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1D" w:rsidRPr="004F0998" w:rsidRDefault="0064691D" w:rsidP="00E729BA">
      <w:pPr>
        <w:adjustRightInd w:val="0"/>
        <w:snapToGrid w:val="0"/>
        <w:spacing w:after="0" w:line="360" w:lineRule="auto"/>
        <w:jc w:val="both"/>
        <w:rPr>
          <w:rFonts w:ascii="Book Antiqua" w:eastAsia="Times New Roman" w:hAnsi="Book Antiqua" w:cs="SimSun"/>
          <w:b/>
          <w:i/>
          <w:color w:val="auto"/>
          <w:sz w:val="24"/>
          <w:szCs w:val="24"/>
        </w:rPr>
      </w:pPr>
      <w:bookmarkStart w:id="0" w:name="OLE_LINK545"/>
      <w:bookmarkStart w:id="1" w:name="OLE_LINK546"/>
      <w:bookmarkStart w:id="2" w:name="OLE_LINK592"/>
      <w:bookmarkStart w:id="3" w:name="OLE_LINK543"/>
      <w:bookmarkStart w:id="4" w:name="OLE_LINK544"/>
      <w:r w:rsidRPr="004F0998">
        <w:rPr>
          <w:rFonts w:ascii="Book Antiqua" w:eastAsia="Times New Roman" w:hAnsi="Book Antiqua" w:cs="SimSun"/>
          <w:b/>
          <w:color w:val="auto"/>
          <w:sz w:val="24"/>
          <w:szCs w:val="24"/>
        </w:rPr>
        <w:t xml:space="preserve">Name of journal: </w:t>
      </w:r>
      <w:bookmarkStart w:id="5" w:name="OLE_LINK718"/>
      <w:bookmarkStart w:id="6" w:name="OLE_LINK719"/>
      <w:bookmarkStart w:id="7" w:name="OLE_LINK645"/>
      <w:bookmarkStart w:id="8" w:name="OLE_LINK661"/>
      <w:bookmarkStart w:id="9" w:name="OLE_LINK1068"/>
      <w:r w:rsidRPr="004F0998">
        <w:rPr>
          <w:rFonts w:ascii="Book Antiqua" w:eastAsia="Times New Roman" w:hAnsi="Book Antiqua" w:cs="SimSun"/>
          <w:b/>
          <w:i/>
          <w:color w:val="auto"/>
          <w:sz w:val="24"/>
          <w:szCs w:val="24"/>
        </w:rPr>
        <w:t xml:space="preserve">World Journal of </w:t>
      </w:r>
      <w:bookmarkStart w:id="10" w:name="OLE_LINK1222"/>
      <w:bookmarkStart w:id="11" w:name="OLE_LINK1223"/>
      <w:r w:rsidRPr="004F0998">
        <w:rPr>
          <w:rFonts w:ascii="Book Antiqua" w:eastAsia="Times New Roman" w:hAnsi="Book Antiqua" w:cs="SimSun"/>
          <w:b/>
          <w:i/>
          <w:color w:val="auto"/>
          <w:sz w:val="24"/>
          <w:szCs w:val="24"/>
        </w:rPr>
        <w:t>Gastroenterology</w:t>
      </w:r>
      <w:bookmarkEnd w:id="5"/>
      <w:bookmarkEnd w:id="6"/>
      <w:bookmarkEnd w:id="7"/>
      <w:bookmarkEnd w:id="8"/>
      <w:bookmarkEnd w:id="9"/>
      <w:bookmarkEnd w:id="10"/>
      <w:bookmarkEnd w:id="11"/>
    </w:p>
    <w:p w:rsidR="0064691D" w:rsidRPr="004F0998" w:rsidRDefault="0064691D" w:rsidP="00E729BA">
      <w:pPr>
        <w:adjustRightInd w:val="0"/>
        <w:snapToGrid w:val="0"/>
        <w:spacing w:after="0" w:line="360" w:lineRule="auto"/>
        <w:jc w:val="both"/>
        <w:rPr>
          <w:rFonts w:ascii="Book Antiqua" w:hAnsi="Book Antiqua" w:cs="Arial"/>
          <w:color w:val="auto"/>
          <w:sz w:val="24"/>
          <w:szCs w:val="24"/>
          <w:lang w:eastAsia="zh-CN"/>
        </w:rPr>
      </w:pPr>
      <w:r w:rsidRPr="004F0998">
        <w:rPr>
          <w:rFonts w:ascii="Book Antiqua" w:hAnsi="Book Antiqua" w:cs="Arial"/>
          <w:b/>
          <w:color w:val="auto"/>
          <w:sz w:val="24"/>
          <w:szCs w:val="24"/>
        </w:rPr>
        <w:t xml:space="preserve">ESPS Manuscript NO: </w:t>
      </w:r>
      <w:r w:rsidRPr="004F0998">
        <w:rPr>
          <w:rFonts w:ascii="Book Antiqua" w:hAnsi="Book Antiqua" w:cs="Arial"/>
          <w:b/>
          <w:color w:val="auto"/>
          <w:sz w:val="24"/>
          <w:szCs w:val="24"/>
          <w:lang w:eastAsia="zh-CN"/>
        </w:rPr>
        <w:t>29101</w:t>
      </w:r>
    </w:p>
    <w:p w:rsidR="0064691D" w:rsidRDefault="0064691D" w:rsidP="00E729BA">
      <w:pPr>
        <w:spacing w:after="0" w:line="360" w:lineRule="auto"/>
        <w:jc w:val="both"/>
        <w:rPr>
          <w:rFonts w:ascii="Book Antiqua" w:hAnsi="Book Antiqua"/>
          <w:b/>
          <w:color w:val="auto"/>
          <w:sz w:val="24"/>
          <w:szCs w:val="24"/>
          <w:lang w:eastAsia="zh-CN"/>
        </w:rPr>
      </w:pPr>
      <w:r w:rsidRPr="004F0998">
        <w:rPr>
          <w:rFonts w:ascii="Book Antiqua" w:hAnsi="Book Antiqua"/>
          <w:b/>
          <w:color w:val="auto"/>
          <w:sz w:val="24"/>
          <w:szCs w:val="24"/>
        </w:rPr>
        <w:t xml:space="preserve">Manuscript Type: </w:t>
      </w:r>
      <w:r w:rsidR="002602B4" w:rsidRPr="004F0998">
        <w:rPr>
          <w:rFonts w:ascii="Book Antiqua" w:hAnsi="Book Antiqua"/>
          <w:b/>
          <w:color w:val="auto"/>
          <w:sz w:val="24"/>
          <w:szCs w:val="24"/>
        </w:rPr>
        <w:t>ORIGINAL ARTICLE</w:t>
      </w:r>
    </w:p>
    <w:p w:rsidR="002602B4" w:rsidRPr="004F0998" w:rsidRDefault="002602B4" w:rsidP="00E729BA">
      <w:pPr>
        <w:spacing w:after="0" w:line="360" w:lineRule="auto"/>
        <w:jc w:val="both"/>
        <w:rPr>
          <w:rFonts w:ascii="Book Antiqua" w:hAnsi="Book Antiqua"/>
          <w:b/>
          <w:color w:val="auto"/>
          <w:sz w:val="24"/>
          <w:szCs w:val="24"/>
          <w:lang w:eastAsia="zh-CN"/>
        </w:rPr>
      </w:pPr>
    </w:p>
    <w:bookmarkEnd w:id="0"/>
    <w:bookmarkEnd w:id="1"/>
    <w:bookmarkEnd w:id="2"/>
    <w:p w:rsidR="0064691D" w:rsidRPr="00F66DFE" w:rsidRDefault="002602B4" w:rsidP="00E729BA">
      <w:pPr>
        <w:spacing w:after="0" w:line="360" w:lineRule="auto"/>
        <w:jc w:val="both"/>
        <w:rPr>
          <w:rFonts w:ascii="Book Antiqua" w:hAnsi="Book Antiqua"/>
          <w:b/>
          <w:i/>
          <w:color w:val="auto"/>
          <w:sz w:val="24"/>
          <w:szCs w:val="24"/>
          <w:lang w:eastAsia="zh-CN"/>
        </w:rPr>
      </w:pPr>
      <w:r w:rsidRPr="00F66DFE">
        <w:rPr>
          <w:rFonts w:ascii="Book Antiqua" w:hAnsi="Book Antiqua"/>
          <w:b/>
          <w:i/>
          <w:color w:val="auto"/>
          <w:sz w:val="24"/>
          <w:szCs w:val="24"/>
        </w:rPr>
        <w:t>Observational Study</w:t>
      </w:r>
    </w:p>
    <w:bookmarkEnd w:id="3"/>
    <w:bookmarkEnd w:id="4"/>
    <w:p w:rsidR="00EB4BCE" w:rsidRPr="004F0998" w:rsidRDefault="00584090" w:rsidP="00E729BA">
      <w:pPr>
        <w:pStyle w:val="Bibliografia"/>
        <w:spacing w:line="360" w:lineRule="auto"/>
        <w:rPr>
          <w:rFonts w:ascii="Book Antiqua" w:eastAsiaTheme="minorEastAsia" w:hAnsi="Book Antiqua"/>
          <w:b/>
          <w:color w:val="auto"/>
          <w:lang w:eastAsia="zh-CN"/>
        </w:rPr>
      </w:pPr>
      <w:r w:rsidRPr="004F0998">
        <w:rPr>
          <w:rFonts w:ascii="Book Antiqua" w:hAnsi="Book Antiqua"/>
          <w:b/>
          <w:color w:val="auto"/>
        </w:rPr>
        <w:t>Shor</w:t>
      </w:r>
      <w:r w:rsidR="00015A49" w:rsidRPr="004F0998">
        <w:rPr>
          <w:rFonts w:ascii="Book Antiqua" w:hAnsi="Book Antiqua"/>
          <w:b/>
          <w:color w:val="auto"/>
        </w:rPr>
        <w:t>t-</w:t>
      </w:r>
      <w:r w:rsidRPr="004F0998">
        <w:rPr>
          <w:rFonts w:ascii="Book Antiqua" w:hAnsi="Book Antiqua"/>
          <w:b/>
          <w:color w:val="auto"/>
        </w:rPr>
        <w:t xml:space="preserve">term </w:t>
      </w:r>
      <w:r w:rsidR="006E0DBE" w:rsidRPr="004F0998">
        <w:rPr>
          <w:rFonts w:ascii="Book Antiqua" w:hAnsi="Book Antiqua"/>
          <w:b/>
          <w:color w:val="auto"/>
        </w:rPr>
        <w:t xml:space="preserve">effectiveness </w:t>
      </w:r>
      <w:r w:rsidRPr="004F0998">
        <w:rPr>
          <w:rFonts w:ascii="Book Antiqua" w:hAnsi="Book Antiqua"/>
          <w:b/>
          <w:color w:val="auto"/>
        </w:rPr>
        <w:t xml:space="preserve">of </w:t>
      </w:r>
      <w:r w:rsidR="00750BDE" w:rsidRPr="004F0998">
        <w:rPr>
          <w:rFonts w:ascii="Book Antiqua" w:hAnsi="Book Antiqua"/>
          <w:b/>
          <w:color w:val="auto"/>
        </w:rPr>
        <w:t xml:space="preserve">golimumab </w:t>
      </w:r>
      <w:r w:rsidRPr="004F0998">
        <w:rPr>
          <w:rFonts w:ascii="Book Antiqua" w:hAnsi="Book Antiqua"/>
          <w:b/>
          <w:color w:val="auto"/>
        </w:rPr>
        <w:t xml:space="preserve">for </w:t>
      </w:r>
      <w:r w:rsidR="006E0DBE" w:rsidRPr="004F0998">
        <w:rPr>
          <w:rFonts w:ascii="Book Antiqua" w:hAnsi="Book Antiqua"/>
          <w:b/>
          <w:color w:val="auto"/>
        </w:rPr>
        <w:t>ulcerative colitis</w:t>
      </w:r>
      <w:r w:rsidRPr="004F0998">
        <w:rPr>
          <w:rFonts w:ascii="Book Antiqua" w:hAnsi="Book Antiqua"/>
          <w:b/>
          <w:color w:val="auto"/>
        </w:rPr>
        <w:t xml:space="preserve">: Observational </w:t>
      </w:r>
      <w:r w:rsidR="006E0DBE" w:rsidRPr="004F0998">
        <w:rPr>
          <w:rFonts w:ascii="Book Antiqua" w:hAnsi="Book Antiqua"/>
          <w:b/>
          <w:color w:val="auto"/>
        </w:rPr>
        <w:t>multicenter study</w:t>
      </w:r>
    </w:p>
    <w:p w:rsidR="00903248" w:rsidRPr="004F0998" w:rsidRDefault="00903248" w:rsidP="00E729BA">
      <w:pPr>
        <w:pStyle w:val="Bibliografia"/>
        <w:spacing w:line="360" w:lineRule="auto"/>
        <w:rPr>
          <w:rFonts w:ascii="Book Antiqua" w:eastAsiaTheme="minorEastAsia" w:hAnsi="Book Antiqua"/>
          <w:b/>
          <w:color w:val="auto"/>
          <w:lang w:eastAsia="zh-CN"/>
        </w:rPr>
      </w:pPr>
    </w:p>
    <w:p w:rsidR="00903248" w:rsidRPr="004F0998" w:rsidRDefault="00903248" w:rsidP="00E729BA">
      <w:pPr>
        <w:pStyle w:val="Bibliografia"/>
        <w:spacing w:line="360" w:lineRule="auto"/>
        <w:rPr>
          <w:rFonts w:ascii="Book Antiqua" w:hAnsi="Book Antiqua" w:cs="Times New Roman"/>
          <w:color w:val="auto"/>
        </w:rPr>
      </w:pPr>
      <w:r w:rsidRPr="004F0998">
        <w:rPr>
          <w:rFonts w:ascii="Book Antiqua" w:hAnsi="Book Antiqua"/>
          <w:color w:val="auto"/>
        </w:rPr>
        <w:t>Bosca-Watts</w:t>
      </w:r>
      <w:r w:rsidRPr="004F0998">
        <w:rPr>
          <w:rFonts w:ascii="Book Antiqua" w:eastAsia="Arial Unicode MS" w:hAnsi="Book Antiqua" w:cs="Times New Roman"/>
          <w:color w:val="auto"/>
          <w:lang w:val="nl-NL"/>
        </w:rPr>
        <w:t xml:space="preserve"> </w:t>
      </w:r>
      <w:r w:rsidRPr="004F0998">
        <w:rPr>
          <w:rFonts w:ascii="Book Antiqua" w:eastAsia="Arial Unicode MS" w:hAnsi="Book Antiqua" w:cs="Times New Roman" w:hint="eastAsia"/>
          <w:color w:val="auto"/>
          <w:lang w:val="nl-NL" w:eastAsia="zh-CN"/>
        </w:rPr>
        <w:t>MM</w:t>
      </w:r>
      <w:r w:rsidRPr="004F0998">
        <w:rPr>
          <w:rFonts w:ascii="Book Antiqua" w:eastAsia="Arial Unicode MS" w:hAnsi="Book Antiqua" w:cs="Times New Roman" w:hint="eastAsia"/>
          <w:i/>
          <w:color w:val="auto"/>
          <w:lang w:val="nl-NL" w:eastAsia="zh-CN"/>
        </w:rPr>
        <w:t xml:space="preserve"> et al. </w:t>
      </w:r>
      <w:r w:rsidRPr="004F0998">
        <w:rPr>
          <w:rFonts w:ascii="Book Antiqua" w:eastAsia="Arial Unicode MS" w:hAnsi="Book Antiqua" w:cs="Times New Roman"/>
          <w:color w:val="auto"/>
          <w:lang w:val="nl-NL"/>
        </w:rPr>
        <w:t xml:space="preserve">Golimumab in </w:t>
      </w:r>
      <w:r w:rsidR="00750BDE" w:rsidRPr="004F0998">
        <w:rPr>
          <w:rFonts w:ascii="Book Antiqua" w:hAnsi="Book Antiqua" w:cs="Times New Roman"/>
          <w:color w:val="auto"/>
        </w:rPr>
        <w:t>ulcerative colitis</w:t>
      </w:r>
    </w:p>
    <w:p w:rsidR="00903248" w:rsidRPr="004F0998" w:rsidRDefault="00903248" w:rsidP="00E729BA">
      <w:pPr>
        <w:pStyle w:val="Bibliografia"/>
        <w:spacing w:line="360" w:lineRule="auto"/>
        <w:rPr>
          <w:rFonts w:ascii="Book Antiqua" w:eastAsiaTheme="minorEastAsia" w:hAnsi="Book Antiqua"/>
          <w:color w:val="auto"/>
          <w:lang w:eastAsia="zh-CN"/>
        </w:rPr>
      </w:pPr>
    </w:p>
    <w:p w:rsidR="00903248" w:rsidRPr="004F0998" w:rsidRDefault="00903248" w:rsidP="00E729BA">
      <w:pPr>
        <w:pStyle w:val="Bibliografia"/>
        <w:spacing w:line="360" w:lineRule="auto"/>
        <w:rPr>
          <w:rFonts w:ascii="Book Antiqua" w:eastAsiaTheme="minorEastAsia" w:hAnsi="Book Antiqua"/>
          <w:color w:val="auto"/>
          <w:lang w:val="es-ES" w:eastAsia="zh-CN"/>
        </w:rPr>
      </w:pPr>
      <w:r w:rsidRPr="004F0998">
        <w:rPr>
          <w:rFonts w:ascii="Book Antiqua" w:hAnsi="Book Antiqua"/>
          <w:color w:val="auto"/>
        </w:rPr>
        <w:t>Marta Maia Bosca-Watts, Xavier Cortes, Marisa Iborra, Jose Maria Huguet, Laura Sempere, Gloria Garcia, Rafa Gil, MariFe Garcia, Marga Muñoz, Pedro Almela, Nuria Maroto</w:t>
      </w:r>
      <w:r w:rsidRPr="004F0998">
        <w:rPr>
          <w:rFonts w:ascii="Book Antiqua" w:hAnsi="Book Antiqua" w:hint="eastAsia"/>
          <w:color w:val="auto"/>
          <w:lang w:eastAsia="zh-CN"/>
        </w:rPr>
        <w:t>,</w:t>
      </w:r>
      <w:r w:rsidRPr="004F0998">
        <w:rPr>
          <w:rFonts w:ascii="Book Antiqua" w:hAnsi="Book Antiqua"/>
          <w:color w:val="auto"/>
        </w:rPr>
        <w:t xml:space="preserve"> Jose Maria Paredes</w:t>
      </w:r>
    </w:p>
    <w:p w:rsidR="00903248" w:rsidRPr="004F0998" w:rsidRDefault="00903248" w:rsidP="00E729BA">
      <w:pPr>
        <w:pStyle w:val="Bibliografia"/>
        <w:spacing w:line="360" w:lineRule="auto"/>
        <w:rPr>
          <w:rFonts w:ascii="Book Antiqua" w:eastAsiaTheme="minorEastAsia" w:hAnsi="Book Antiqua"/>
          <w:color w:val="auto"/>
          <w:vertAlign w:val="superscript"/>
          <w:lang w:val="es-ES" w:eastAsia="zh-CN"/>
        </w:rPr>
      </w:pPr>
    </w:p>
    <w:p w:rsidR="00531390" w:rsidRPr="004F0998" w:rsidRDefault="00903248" w:rsidP="00E729BA">
      <w:pPr>
        <w:pStyle w:val="Bibliografia"/>
        <w:spacing w:line="360" w:lineRule="auto"/>
        <w:rPr>
          <w:rFonts w:ascii="Book Antiqua" w:eastAsiaTheme="minorEastAsia" w:hAnsi="Book Antiqua"/>
          <w:color w:val="auto"/>
          <w:lang w:eastAsia="zh-CN"/>
        </w:rPr>
      </w:pPr>
      <w:r w:rsidRPr="004F0998">
        <w:rPr>
          <w:rFonts w:ascii="Book Antiqua" w:hAnsi="Book Antiqua"/>
          <w:b/>
          <w:color w:val="auto"/>
        </w:rPr>
        <w:t>Marta Maia Bosca-Watts,</w:t>
      </w:r>
      <w:r w:rsidRPr="004F0998">
        <w:rPr>
          <w:rFonts w:ascii="Book Antiqua" w:hAnsi="Book Antiqua" w:hint="eastAsia"/>
          <w:b/>
          <w:color w:val="auto"/>
          <w:lang w:eastAsia="zh-CN"/>
        </w:rPr>
        <w:t xml:space="preserve"> </w:t>
      </w:r>
      <w:r w:rsidR="00352495" w:rsidRPr="004F0998">
        <w:rPr>
          <w:rFonts w:ascii="Book Antiqua" w:eastAsia="Arial Unicode MS" w:hAnsi="Book Antiqua" w:cs="Times New Roman"/>
          <w:color w:val="auto"/>
          <w:lang w:val="nl-NL"/>
        </w:rPr>
        <w:t>Inflammatory Bowel D</w:t>
      </w:r>
      <w:r w:rsidR="00352495">
        <w:rPr>
          <w:rFonts w:ascii="Book Antiqua" w:eastAsia="Arial Unicode MS" w:hAnsi="Book Antiqua" w:cs="Times New Roman"/>
          <w:color w:val="auto"/>
          <w:lang w:val="nl-NL"/>
        </w:rPr>
        <w:t>isease</w:t>
      </w:r>
      <w:r w:rsidR="00352495" w:rsidRPr="004F0998">
        <w:rPr>
          <w:rFonts w:ascii="Book Antiqua" w:hAnsi="Book Antiqua"/>
          <w:color w:val="auto"/>
        </w:rPr>
        <w:t xml:space="preserve"> </w:t>
      </w:r>
      <w:r w:rsidR="000C0246" w:rsidRPr="004F0998">
        <w:rPr>
          <w:rFonts w:ascii="Book Antiqua" w:hAnsi="Book Antiqua"/>
          <w:color w:val="auto"/>
        </w:rPr>
        <w:t xml:space="preserve">Unit, Digestive Disease Department, University of Valencia, </w:t>
      </w:r>
      <w:r w:rsidR="009251B6" w:rsidRPr="004F0998">
        <w:rPr>
          <w:rFonts w:ascii="Book Antiqua" w:hAnsi="Book Antiqua"/>
          <w:color w:val="auto"/>
        </w:rPr>
        <w:t>University Clinic Hospital of Valencia</w:t>
      </w:r>
      <w:r w:rsidR="00A65314" w:rsidRPr="004F0998">
        <w:rPr>
          <w:rFonts w:ascii="Book Antiqua" w:hAnsi="Book Antiqua"/>
          <w:color w:val="auto"/>
        </w:rPr>
        <w:t xml:space="preserve">, </w:t>
      </w:r>
      <w:r w:rsidR="003820C4" w:rsidRPr="004F0998">
        <w:rPr>
          <w:rFonts w:ascii="Book Antiqua" w:hAnsi="Book Antiqua"/>
          <w:color w:val="auto"/>
        </w:rPr>
        <w:t xml:space="preserve">46010 </w:t>
      </w:r>
      <w:r w:rsidR="00A65314" w:rsidRPr="004F0998">
        <w:rPr>
          <w:rFonts w:ascii="Book Antiqua" w:hAnsi="Book Antiqua"/>
          <w:color w:val="auto"/>
        </w:rPr>
        <w:t>Valencia, Spain</w:t>
      </w:r>
    </w:p>
    <w:p w:rsidR="00903248" w:rsidRPr="004F0998" w:rsidRDefault="00903248" w:rsidP="00E729BA">
      <w:pPr>
        <w:pStyle w:val="Bibliografia"/>
        <w:spacing w:line="360" w:lineRule="auto"/>
        <w:rPr>
          <w:rFonts w:ascii="Book Antiqua" w:eastAsiaTheme="minorEastAsia" w:hAnsi="Book Antiqua" w:cs="Times New Roman"/>
          <w:color w:val="auto"/>
          <w:lang w:val="it-IT" w:eastAsia="zh-CN"/>
        </w:rPr>
      </w:pPr>
    </w:p>
    <w:p w:rsidR="00531390" w:rsidRPr="004F0998" w:rsidRDefault="00903248" w:rsidP="00E729BA">
      <w:pPr>
        <w:pStyle w:val="Bibliografia"/>
        <w:spacing w:line="360" w:lineRule="auto"/>
        <w:rPr>
          <w:rFonts w:ascii="Book Antiqua" w:eastAsiaTheme="minorEastAsia" w:hAnsi="Book Antiqua"/>
          <w:color w:val="auto"/>
          <w:lang w:eastAsia="zh-CN"/>
        </w:rPr>
      </w:pPr>
      <w:r w:rsidRPr="004F0998">
        <w:rPr>
          <w:rFonts w:ascii="Book Antiqua" w:hAnsi="Book Antiqua"/>
          <w:b/>
          <w:color w:val="auto"/>
        </w:rPr>
        <w:t>Xavier Cortes,</w:t>
      </w:r>
      <w:r w:rsidRPr="004F0998">
        <w:rPr>
          <w:rFonts w:ascii="Book Antiqua" w:hAnsi="Book Antiqua"/>
          <w:color w:val="auto"/>
        </w:rPr>
        <w:t xml:space="preserve"> </w:t>
      </w:r>
      <w:r w:rsidR="004740BB" w:rsidRPr="004F0998">
        <w:rPr>
          <w:rFonts w:ascii="Book Antiqua" w:hAnsi="Book Antiqua"/>
          <w:color w:val="auto"/>
        </w:rPr>
        <w:t xml:space="preserve">Digestive Disease Department, </w:t>
      </w:r>
      <w:r w:rsidR="009251B6" w:rsidRPr="004F0998">
        <w:rPr>
          <w:rFonts w:ascii="Book Antiqua" w:hAnsi="Book Antiqua"/>
          <w:color w:val="auto"/>
        </w:rPr>
        <w:t>Hospital of Sagunto</w:t>
      </w:r>
      <w:r w:rsidR="00A65314" w:rsidRPr="004F0998">
        <w:rPr>
          <w:rFonts w:ascii="Book Antiqua" w:hAnsi="Book Antiqua"/>
          <w:color w:val="auto"/>
        </w:rPr>
        <w:t xml:space="preserve">, </w:t>
      </w:r>
      <w:r w:rsidRPr="004F0998">
        <w:rPr>
          <w:rFonts w:ascii="Book Antiqua" w:hAnsi="Book Antiqua"/>
          <w:color w:val="auto"/>
        </w:rPr>
        <w:t xml:space="preserve">46010 </w:t>
      </w:r>
      <w:r w:rsidR="00A65314" w:rsidRPr="004F0998">
        <w:rPr>
          <w:rFonts w:ascii="Book Antiqua" w:hAnsi="Book Antiqua"/>
          <w:color w:val="auto"/>
        </w:rPr>
        <w:t>Valencia, Spain</w:t>
      </w:r>
    </w:p>
    <w:p w:rsidR="00903248" w:rsidRPr="004F0998" w:rsidRDefault="00903248" w:rsidP="00E729BA">
      <w:pPr>
        <w:pStyle w:val="Bibliografia"/>
        <w:spacing w:line="360" w:lineRule="auto"/>
        <w:rPr>
          <w:rFonts w:ascii="Book Antiqua" w:eastAsiaTheme="minorEastAsia" w:hAnsi="Book Antiqua" w:cs="Times New Roman"/>
          <w:color w:val="auto"/>
          <w:lang w:val="it-IT" w:eastAsia="zh-CN"/>
        </w:rPr>
      </w:pPr>
    </w:p>
    <w:p w:rsidR="00531390" w:rsidRPr="004F0998" w:rsidRDefault="00903248" w:rsidP="00E729BA">
      <w:pPr>
        <w:pStyle w:val="Bibliografia"/>
        <w:spacing w:line="360" w:lineRule="auto"/>
        <w:rPr>
          <w:rFonts w:ascii="Book Antiqua" w:eastAsia="Arial Unicode MS" w:hAnsi="Book Antiqua" w:cs="Times New Roman"/>
          <w:color w:val="auto"/>
          <w:lang w:val="it-IT" w:eastAsia="zh-CN"/>
        </w:rPr>
      </w:pPr>
      <w:r w:rsidRPr="004F0998">
        <w:rPr>
          <w:rFonts w:ascii="Book Antiqua" w:hAnsi="Book Antiqua"/>
          <w:b/>
          <w:color w:val="auto"/>
        </w:rPr>
        <w:t>Marisa Iborra,</w:t>
      </w:r>
      <w:r w:rsidRPr="004F0998">
        <w:rPr>
          <w:rFonts w:ascii="Book Antiqua" w:hAnsi="Book Antiqua"/>
          <w:color w:val="auto"/>
        </w:rPr>
        <w:t xml:space="preserve"> </w:t>
      </w:r>
      <w:r w:rsidR="000C0246" w:rsidRPr="004F0998">
        <w:rPr>
          <w:rFonts w:ascii="Book Antiqua" w:hAnsi="Book Antiqua"/>
          <w:color w:val="auto"/>
        </w:rPr>
        <w:t>Gastroenterology Department and CIBEREHD, Hospital Universitari i Politecnic La Fe</w:t>
      </w:r>
      <w:r w:rsidRPr="004F0998">
        <w:rPr>
          <w:rFonts w:ascii="Book Antiqua" w:hAnsi="Book Antiqua" w:hint="eastAsia"/>
          <w:color w:val="auto"/>
          <w:lang w:eastAsia="zh-CN"/>
        </w:rPr>
        <w:t xml:space="preserve">, </w:t>
      </w:r>
      <w:r w:rsidR="002602B4" w:rsidRPr="002602B4">
        <w:rPr>
          <w:rFonts w:ascii="Book Antiqua" w:hAnsi="Book Antiqua"/>
          <w:color w:val="auto"/>
          <w:lang w:eastAsia="zh-CN"/>
        </w:rPr>
        <w:t>46026 València,</w:t>
      </w:r>
      <w:r w:rsidR="002602B4" w:rsidRPr="002602B4">
        <w:rPr>
          <w:rFonts w:ascii="Book Antiqua" w:hAnsi="Book Antiqua"/>
          <w:color w:val="auto"/>
        </w:rPr>
        <w:t xml:space="preserve"> </w:t>
      </w:r>
      <w:r w:rsidR="002602B4" w:rsidRPr="004F0998">
        <w:rPr>
          <w:rFonts w:ascii="Book Antiqua" w:hAnsi="Book Antiqua"/>
          <w:color w:val="auto"/>
        </w:rPr>
        <w:t>Spain</w:t>
      </w:r>
    </w:p>
    <w:p w:rsidR="00903248" w:rsidRPr="004F0998" w:rsidRDefault="00903248" w:rsidP="00E729BA">
      <w:pPr>
        <w:pStyle w:val="Bibliografia"/>
        <w:spacing w:line="360" w:lineRule="auto"/>
        <w:rPr>
          <w:rFonts w:ascii="Book Antiqua" w:eastAsiaTheme="minorEastAsia" w:hAnsi="Book Antiqua"/>
          <w:color w:val="auto"/>
          <w:lang w:val="it-IT" w:eastAsia="zh-CN"/>
        </w:rPr>
      </w:pPr>
    </w:p>
    <w:p w:rsidR="00531390" w:rsidRPr="004F0998" w:rsidRDefault="00903248" w:rsidP="00E729BA">
      <w:pPr>
        <w:pStyle w:val="Bibliografia"/>
        <w:spacing w:line="360" w:lineRule="auto"/>
        <w:rPr>
          <w:rFonts w:ascii="Book Antiqua" w:eastAsia="Arial Unicode MS" w:hAnsi="Book Antiqua" w:cs="Times New Roman"/>
          <w:color w:val="auto"/>
          <w:lang w:val="it-IT"/>
        </w:rPr>
      </w:pPr>
      <w:r w:rsidRPr="004F0998">
        <w:rPr>
          <w:rFonts w:ascii="Book Antiqua" w:hAnsi="Book Antiqua"/>
          <w:b/>
          <w:color w:val="auto"/>
        </w:rPr>
        <w:t>Jose Maria Huguet,</w:t>
      </w:r>
      <w:r w:rsidRPr="004F0998">
        <w:rPr>
          <w:rFonts w:ascii="Book Antiqua" w:hAnsi="Book Antiqua" w:hint="eastAsia"/>
          <w:color w:val="auto"/>
          <w:lang w:eastAsia="zh-CN"/>
        </w:rPr>
        <w:t xml:space="preserve"> </w:t>
      </w:r>
      <w:r w:rsidR="004740BB" w:rsidRPr="004F0998">
        <w:rPr>
          <w:rFonts w:ascii="Book Antiqua" w:hAnsi="Book Antiqua"/>
          <w:color w:val="auto"/>
        </w:rPr>
        <w:t>Digestive Disease Department</w:t>
      </w:r>
      <w:r w:rsidR="004740BB" w:rsidRPr="004F0998">
        <w:rPr>
          <w:rFonts w:ascii="Book Antiqua" w:eastAsia="Arial Unicode MS" w:hAnsi="Book Antiqua" w:cs="Times New Roman"/>
          <w:color w:val="auto"/>
          <w:lang w:val="it-IT"/>
        </w:rPr>
        <w:t xml:space="preserve">, </w:t>
      </w:r>
      <w:r w:rsidR="001E796F" w:rsidRPr="004F0998">
        <w:rPr>
          <w:rFonts w:ascii="Book Antiqua" w:eastAsia="Arial Unicode MS" w:hAnsi="Book Antiqua" w:cs="Times New Roman"/>
          <w:color w:val="auto"/>
          <w:lang w:val="it-IT"/>
        </w:rPr>
        <w:t>General Hospital of Valencia,</w:t>
      </w:r>
      <w:r w:rsidR="004740BB" w:rsidRPr="004F0998">
        <w:rPr>
          <w:rFonts w:ascii="Book Antiqua" w:eastAsia="Arial Unicode MS" w:hAnsi="Book Antiqua" w:cs="Times New Roman"/>
          <w:color w:val="auto"/>
          <w:lang w:val="it-IT"/>
        </w:rPr>
        <w:t xml:space="preserve"> </w:t>
      </w:r>
      <w:r w:rsidRPr="004F0998">
        <w:rPr>
          <w:rFonts w:ascii="Book Antiqua" w:hAnsi="Book Antiqua"/>
          <w:color w:val="auto"/>
        </w:rPr>
        <w:t>4601</w:t>
      </w:r>
      <w:r w:rsidR="002602B4">
        <w:rPr>
          <w:rFonts w:ascii="Book Antiqua" w:hAnsi="Book Antiqua" w:hint="eastAsia"/>
          <w:color w:val="auto"/>
          <w:lang w:eastAsia="zh-CN"/>
        </w:rPr>
        <w:t xml:space="preserve">4 </w:t>
      </w:r>
      <w:r w:rsidR="001E796F" w:rsidRPr="004F0998">
        <w:rPr>
          <w:rFonts w:ascii="Book Antiqua" w:hAnsi="Book Antiqua"/>
          <w:color w:val="auto"/>
        </w:rPr>
        <w:t>Valencia, Spain</w:t>
      </w:r>
    </w:p>
    <w:p w:rsidR="00903248" w:rsidRPr="004F0998" w:rsidRDefault="00903248" w:rsidP="00E729BA">
      <w:pPr>
        <w:pStyle w:val="Bibliografia"/>
        <w:spacing w:line="360" w:lineRule="auto"/>
        <w:rPr>
          <w:rFonts w:ascii="Book Antiqua" w:eastAsiaTheme="minorEastAsia" w:hAnsi="Book Antiqua"/>
          <w:b/>
          <w:color w:val="auto"/>
          <w:lang w:val="it-IT" w:eastAsia="zh-CN"/>
        </w:rPr>
      </w:pPr>
    </w:p>
    <w:p w:rsidR="00531390" w:rsidRPr="004F0998" w:rsidRDefault="00903248" w:rsidP="00E729BA">
      <w:pPr>
        <w:pStyle w:val="Bibliografia"/>
        <w:spacing w:line="360" w:lineRule="auto"/>
        <w:rPr>
          <w:rFonts w:ascii="Book Antiqua" w:eastAsiaTheme="minorEastAsia" w:hAnsi="Book Antiqua"/>
          <w:color w:val="auto"/>
          <w:lang w:eastAsia="zh-CN"/>
        </w:rPr>
      </w:pPr>
      <w:r w:rsidRPr="004F0998">
        <w:rPr>
          <w:rFonts w:ascii="Book Antiqua" w:hAnsi="Book Antiqua"/>
          <w:b/>
          <w:color w:val="auto"/>
        </w:rPr>
        <w:t>Laura Sempere,</w:t>
      </w:r>
      <w:r w:rsidRPr="004F0998">
        <w:rPr>
          <w:rFonts w:ascii="Book Antiqua" w:hAnsi="Book Antiqua" w:hint="eastAsia"/>
          <w:color w:val="auto"/>
          <w:lang w:eastAsia="zh-CN"/>
        </w:rPr>
        <w:t xml:space="preserve"> </w:t>
      </w:r>
      <w:r w:rsidR="004740BB" w:rsidRPr="004F0998">
        <w:rPr>
          <w:rFonts w:ascii="Book Antiqua" w:hAnsi="Book Antiqua"/>
          <w:color w:val="auto"/>
        </w:rPr>
        <w:t>Digestive Disease Department</w:t>
      </w:r>
      <w:r w:rsidR="004740BB" w:rsidRPr="004F0998">
        <w:rPr>
          <w:rFonts w:ascii="Book Antiqua" w:eastAsia="Arial Unicode MS" w:hAnsi="Book Antiqua" w:cs="Times New Roman"/>
          <w:color w:val="auto"/>
          <w:lang w:val="it-IT"/>
        </w:rPr>
        <w:t xml:space="preserve">, General Hospital of Alicante, </w:t>
      </w:r>
      <w:r w:rsidR="002602B4" w:rsidRPr="002602B4">
        <w:rPr>
          <w:rFonts w:ascii="Book Antiqua" w:hAnsi="Book Antiqua"/>
          <w:color w:val="auto"/>
        </w:rPr>
        <w:t>03010 Alacant,</w:t>
      </w:r>
      <w:r w:rsidR="004740BB" w:rsidRPr="004F0998">
        <w:rPr>
          <w:rFonts w:ascii="Book Antiqua" w:hAnsi="Book Antiqua"/>
          <w:color w:val="auto"/>
        </w:rPr>
        <w:t xml:space="preserve"> Spain</w:t>
      </w:r>
    </w:p>
    <w:p w:rsidR="00903248" w:rsidRPr="004F0998" w:rsidRDefault="00903248" w:rsidP="00E729BA">
      <w:pPr>
        <w:pStyle w:val="Bibliografia"/>
        <w:spacing w:line="360" w:lineRule="auto"/>
        <w:rPr>
          <w:rFonts w:ascii="Book Antiqua" w:eastAsiaTheme="minorEastAsia" w:hAnsi="Book Antiqua" w:cs="Times New Roman"/>
          <w:color w:val="auto"/>
          <w:lang w:val="it-IT" w:eastAsia="zh-CN"/>
        </w:rPr>
      </w:pPr>
    </w:p>
    <w:p w:rsidR="00531390" w:rsidRPr="004F0998" w:rsidRDefault="00903248" w:rsidP="00E729BA">
      <w:pPr>
        <w:pStyle w:val="Bibliografia"/>
        <w:spacing w:line="360" w:lineRule="auto"/>
        <w:rPr>
          <w:rFonts w:ascii="Book Antiqua" w:eastAsia="Arial Unicode MS" w:hAnsi="Book Antiqua" w:cs="Times New Roman"/>
          <w:color w:val="auto"/>
          <w:lang w:val="it-IT" w:eastAsia="zh-CN"/>
        </w:rPr>
      </w:pPr>
      <w:r w:rsidRPr="004F0998">
        <w:rPr>
          <w:rFonts w:ascii="Book Antiqua" w:hAnsi="Book Antiqua"/>
          <w:b/>
          <w:color w:val="auto"/>
        </w:rPr>
        <w:lastRenderedPageBreak/>
        <w:t>Gloria Garcia,</w:t>
      </w:r>
      <w:r w:rsidRPr="004F0998">
        <w:rPr>
          <w:rFonts w:ascii="Book Antiqua" w:hAnsi="Book Antiqua"/>
          <w:color w:val="auto"/>
        </w:rPr>
        <w:t xml:space="preserve"> </w:t>
      </w:r>
      <w:r w:rsidR="004740BB" w:rsidRPr="004F0998">
        <w:rPr>
          <w:rFonts w:ascii="Book Antiqua" w:hAnsi="Book Antiqua"/>
          <w:color w:val="auto"/>
        </w:rPr>
        <w:t>Digestive Disease Department</w:t>
      </w:r>
      <w:r w:rsidR="004740BB" w:rsidRPr="004F0998">
        <w:rPr>
          <w:rFonts w:ascii="Book Antiqua" w:eastAsia="Arial Unicode MS" w:hAnsi="Book Antiqua" w:cs="Times New Roman"/>
          <w:color w:val="auto"/>
          <w:lang w:val="it-IT"/>
        </w:rPr>
        <w:t xml:space="preserve">, San Juan University Hospital of Alicante, </w:t>
      </w:r>
      <w:r w:rsidRPr="004F0998">
        <w:rPr>
          <w:rFonts w:ascii="Book Antiqua" w:hAnsi="Book Antiqua"/>
          <w:color w:val="auto"/>
        </w:rPr>
        <w:t xml:space="preserve">46010 </w:t>
      </w:r>
      <w:r w:rsidR="004740BB" w:rsidRPr="004F0998">
        <w:rPr>
          <w:rFonts w:ascii="Book Antiqua" w:hAnsi="Book Antiqua"/>
          <w:color w:val="auto"/>
        </w:rPr>
        <w:t>Valencia, Spain</w:t>
      </w:r>
      <w:r w:rsidR="004740BB" w:rsidRPr="004F0998">
        <w:rPr>
          <w:rFonts w:ascii="Book Antiqua" w:eastAsia="Arial Unicode MS" w:hAnsi="Book Antiqua" w:cs="Times New Roman"/>
          <w:color w:val="auto"/>
          <w:lang w:val="it-IT"/>
        </w:rPr>
        <w:t xml:space="preserve"> </w:t>
      </w:r>
    </w:p>
    <w:p w:rsidR="00903248" w:rsidRPr="004F0998" w:rsidRDefault="00903248" w:rsidP="00E729BA">
      <w:pPr>
        <w:pStyle w:val="Bibliografia"/>
        <w:spacing w:line="360" w:lineRule="auto"/>
        <w:rPr>
          <w:rFonts w:ascii="Book Antiqua" w:eastAsia="Arial Unicode MS" w:hAnsi="Book Antiqua" w:cs="Times New Roman"/>
          <w:color w:val="auto"/>
          <w:lang w:val="it-IT" w:eastAsia="zh-CN"/>
        </w:rPr>
      </w:pPr>
    </w:p>
    <w:p w:rsidR="008E26D0" w:rsidRPr="004F0998" w:rsidRDefault="00903248" w:rsidP="00E729BA">
      <w:pPr>
        <w:pStyle w:val="Bibliografia"/>
        <w:spacing w:line="360" w:lineRule="auto"/>
        <w:rPr>
          <w:rFonts w:ascii="Book Antiqua" w:eastAsiaTheme="minorEastAsia" w:hAnsi="Book Antiqua"/>
          <w:color w:val="auto"/>
          <w:lang w:eastAsia="zh-CN"/>
        </w:rPr>
      </w:pPr>
      <w:r w:rsidRPr="004F0998">
        <w:rPr>
          <w:rFonts w:ascii="Book Antiqua" w:hAnsi="Book Antiqua"/>
          <w:b/>
          <w:color w:val="auto"/>
        </w:rPr>
        <w:t>Rafa Gil,</w:t>
      </w:r>
      <w:r w:rsidRPr="004F0998">
        <w:rPr>
          <w:rFonts w:ascii="Book Antiqua" w:hAnsi="Book Antiqua" w:hint="eastAsia"/>
          <w:b/>
          <w:color w:val="auto"/>
          <w:lang w:eastAsia="zh-CN"/>
        </w:rPr>
        <w:t xml:space="preserve"> </w:t>
      </w:r>
      <w:r w:rsidR="004740BB" w:rsidRPr="004F0998">
        <w:rPr>
          <w:rFonts w:ascii="Book Antiqua" w:hAnsi="Book Antiqua"/>
          <w:color w:val="auto"/>
        </w:rPr>
        <w:t>Digestive Disease Department</w:t>
      </w:r>
      <w:r w:rsidR="004740BB" w:rsidRPr="004F0998">
        <w:rPr>
          <w:rFonts w:ascii="Book Antiqua" w:eastAsia="Arial Unicode MS" w:hAnsi="Book Antiqua" w:cs="Times New Roman"/>
          <w:color w:val="auto"/>
          <w:lang w:val="it-IT"/>
        </w:rPr>
        <w:t xml:space="preserve">, </w:t>
      </w:r>
      <w:r w:rsidR="00A65314" w:rsidRPr="004F0998">
        <w:rPr>
          <w:rFonts w:ascii="Book Antiqua" w:eastAsia="Arial Unicode MS" w:hAnsi="Book Antiqua" w:cs="Times New Roman"/>
          <w:color w:val="auto"/>
          <w:lang w:val="it-IT"/>
        </w:rPr>
        <w:t xml:space="preserve">Arnau Hospital of </w:t>
      </w:r>
      <w:r w:rsidR="00A65314" w:rsidRPr="004F0998">
        <w:rPr>
          <w:rFonts w:ascii="Book Antiqua" w:hAnsi="Book Antiqua"/>
          <w:color w:val="auto"/>
        </w:rPr>
        <w:t xml:space="preserve">Valencia, </w:t>
      </w:r>
      <w:r w:rsidR="002602B4" w:rsidRPr="002602B4">
        <w:rPr>
          <w:rFonts w:ascii="Book Antiqua" w:hAnsi="Book Antiqua"/>
          <w:color w:val="auto"/>
        </w:rPr>
        <w:t>46015 València</w:t>
      </w:r>
      <w:r w:rsidR="002602B4">
        <w:rPr>
          <w:rFonts w:ascii="Book Antiqua" w:hAnsi="Book Antiqua" w:hint="eastAsia"/>
          <w:color w:val="auto"/>
          <w:lang w:eastAsia="zh-CN"/>
        </w:rPr>
        <w:t xml:space="preserve">, </w:t>
      </w:r>
      <w:r w:rsidR="00A65314" w:rsidRPr="004F0998">
        <w:rPr>
          <w:rFonts w:ascii="Book Antiqua" w:hAnsi="Book Antiqua"/>
          <w:color w:val="auto"/>
        </w:rPr>
        <w:t>Spain</w:t>
      </w:r>
    </w:p>
    <w:p w:rsidR="00903248" w:rsidRPr="004F0998" w:rsidRDefault="00903248" w:rsidP="00E729BA">
      <w:pPr>
        <w:pStyle w:val="Bibliografia"/>
        <w:spacing w:line="360" w:lineRule="auto"/>
        <w:rPr>
          <w:rFonts w:ascii="Book Antiqua" w:eastAsiaTheme="minorEastAsia" w:hAnsi="Book Antiqua" w:cs="Times New Roman"/>
          <w:b/>
          <w:color w:val="auto"/>
          <w:lang w:val="it-IT" w:eastAsia="zh-CN"/>
        </w:rPr>
      </w:pPr>
    </w:p>
    <w:p w:rsidR="00531390" w:rsidRPr="004F0998" w:rsidRDefault="00903248" w:rsidP="00E729BA">
      <w:pPr>
        <w:pStyle w:val="Bibliografia"/>
        <w:spacing w:line="360" w:lineRule="auto"/>
        <w:rPr>
          <w:rFonts w:ascii="Book Antiqua" w:eastAsiaTheme="minorEastAsia" w:hAnsi="Book Antiqua"/>
          <w:color w:val="auto"/>
          <w:lang w:eastAsia="zh-CN"/>
        </w:rPr>
      </w:pPr>
      <w:r w:rsidRPr="004F0998">
        <w:rPr>
          <w:rFonts w:ascii="Book Antiqua" w:hAnsi="Book Antiqua"/>
          <w:b/>
          <w:color w:val="auto"/>
        </w:rPr>
        <w:t>MariFe Garcia,</w:t>
      </w:r>
      <w:r w:rsidRPr="004F0998">
        <w:rPr>
          <w:rFonts w:ascii="Book Antiqua" w:hAnsi="Book Antiqua" w:hint="eastAsia"/>
          <w:color w:val="auto"/>
          <w:lang w:eastAsia="zh-CN"/>
        </w:rPr>
        <w:t xml:space="preserve"> </w:t>
      </w:r>
      <w:r w:rsidR="004740BB" w:rsidRPr="004F0998">
        <w:rPr>
          <w:rFonts w:ascii="Book Antiqua" w:hAnsi="Book Antiqua"/>
          <w:color w:val="auto"/>
        </w:rPr>
        <w:t>Digestive Disease Department</w:t>
      </w:r>
      <w:r w:rsidR="004740BB" w:rsidRPr="004F0998">
        <w:rPr>
          <w:rFonts w:ascii="Book Antiqua" w:eastAsia="Arial Unicode MS" w:hAnsi="Book Antiqua" w:cs="Times New Roman"/>
          <w:color w:val="auto"/>
          <w:lang w:val="it-IT"/>
        </w:rPr>
        <w:t xml:space="preserve">, General University Hospital of Elche, </w:t>
      </w:r>
      <w:r w:rsidR="002602B4" w:rsidRPr="002602B4">
        <w:rPr>
          <w:rFonts w:ascii="Book Antiqua" w:hAnsi="Book Antiqua"/>
          <w:color w:val="auto"/>
        </w:rPr>
        <w:t>03203 Alicante,</w:t>
      </w:r>
      <w:r w:rsidR="004740BB" w:rsidRPr="004F0998">
        <w:rPr>
          <w:rFonts w:ascii="Book Antiqua" w:hAnsi="Book Antiqua"/>
          <w:color w:val="auto"/>
        </w:rPr>
        <w:t xml:space="preserve"> Spain</w:t>
      </w:r>
    </w:p>
    <w:p w:rsidR="00903248" w:rsidRPr="002602B4" w:rsidRDefault="00903248" w:rsidP="00E729BA">
      <w:pPr>
        <w:pStyle w:val="Bibliografia"/>
        <w:spacing w:line="360" w:lineRule="auto"/>
        <w:rPr>
          <w:rFonts w:ascii="Book Antiqua" w:eastAsiaTheme="minorEastAsia" w:hAnsi="Book Antiqua" w:cs="Times New Roman"/>
          <w:color w:val="auto"/>
          <w:lang w:eastAsia="zh-CN"/>
        </w:rPr>
      </w:pPr>
    </w:p>
    <w:p w:rsidR="00531390" w:rsidRPr="004F0998" w:rsidRDefault="00903248" w:rsidP="00E729BA">
      <w:pPr>
        <w:pStyle w:val="Bibliografia"/>
        <w:spacing w:line="360" w:lineRule="auto"/>
        <w:rPr>
          <w:rFonts w:ascii="Book Antiqua" w:eastAsiaTheme="minorEastAsia" w:hAnsi="Book Antiqua"/>
          <w:color w:val="auto"/>
          <w:lang w:eastAsia="zh-CN"/>
        </w:rPr>
      </w:pPr>
      <w:r w:rsidRPr="004F0998">
        <w:rPr>
          <w:rFonts w:ascii="Book Antiqua" w:hAnsi="Book Antiqua"/>
          <w:b/>
          <w:color w:val="auto"/>
        </w:rPr>
        <w:t xml:space="preserve">Marga Muñoz, </w:t>
      </w:r>
      <w:r w:rsidRPr="000F74CC">
        <w:rPr>
          <w:rFonts w:ascii="Book Antiqua" w:hAnsi="Book Antiqua"/>
          <w:b/>
          <w:color w:val="auto"/>
        </w:rPr>
        <w:t>Pedro Almela,</w:t>
      </w:r>
      <w:r w:rsidRPr="000F74CC">
        <w:rPr>
          <w:rFonts w:ascii="Book Antiqua" w:hAnsi="Book Antiqua" w:hint="eastAsia"/>
          <w:b/>
          <w:color w:val="auto"/>
          <w:lang w:eastAsia="zh-CN"/>
        </w:rPr>
        <w:t xml:space="preserve"> </w:t>
      </w:r>
      <w:r w:rsidR="004740BB" w:rsidRPr="004F0998">
        <w:rPr>
          <w:rFonts w:ascii="Book Antiqua" w:hAnsi="Book Antiqua"/>
          <w:color w:val="auto"/>
        </w:rPr>
        <w:t>Digestive Disease Department</w:t>
      </w:r>
      <w:r w:rsidR="004740BB" w:rsidRPr="004F0998">
        <w:rPr>
          <w:rFonts w:ascii="Book Antiqua" w:eastAsia="Arial Unicode MS" w:hAnsi="Book Antiqua" w:cs="Times New Roman"/>
          <w:color w:val="auto"/>
          <w:lang w:val="it-IT"/>
        </w:rPr>
        <w:t xml:space="preserve">, General Hospital of Castellon, </w:t>
      </w:r>
      <w:r w:rsidR="002602B4" w:rsidRPr="002602B4">
        <w:rPr>
          <w:rFonts w:ascii="Book Antiqua" w:hAnsi="Book Antiqua"/>
          <w:color w:val="auto"/>
        </w:rPr>
        <w:t>12004</w:t>
      </w:r>
      <w:r w:rsidR="002602B4" w:rsidRPr="002602B4">
        <w:t xml:space="preserve"> </w:t>
      </w:r>
      <w:r w:rsidR="002602B4" w:rsidRPr="002602B4">
        <w:rPr>
          <w:rFonts w:ascii="Book Antiqua" w:hAnsi="Book Antiqua"/>
          <w:color w:val="auto"/>
        </w:rPr>
        <w:t>Castellón de la Plana</w:t>
      </w:r>
      <w:r w:rsidR="004740BB" w:rsidRPr="004F0998">
        <w:rPr>
          <w:rFonts w:ascii="Book Antiqua" w:hAnsi="Book Antiqua"/>
          <w:color w:val="auto"/>
        </w:rPr>
        <w:t>, Spain</w:t>
      </w:r>
    </w:p>
    <w:p w:rsidR="00903248" w:rsidRPr="004F0998" w:rsidRDefault="00903248" w:rsidP="00E729BA">
      <w:pPr>
        <w:pStyle w:val="Bibliografia"/>
        <w:spacing w:line="360" w:lineRule="auto"/>
        <w:rPr>
          <w:rFonts w:ascii="Book Antiqua" w:eastAsiaTheme="minorEastAsia" w:hAnsi="Book Antiqua" w:cs="Times New Roman"/>
          <w:color w:val="auto"/>
          <w:lang w:val="it-IT" w:eastAsia="zh-CN"/>
        </w:rPr>
      </w:pPr>
    </w:p>
    <w:p w:rsidR="001E796F" w:rsidRPr="004F0998" w:rsidRDefault="00903248" w:rsidP="00E729BA">
      <w:pPr>
        <w:pStyle w:val="Bibliografia"/>
        <w:spacing w:line="360" w:lineRule="auto"/>
        <w:rPr>
          <w:rFonts w:ascii="Book Antiqua" w:eastAsia="Arial Unicode MS" w:hAnsi="Book Antiqua" w:cs="Times New Roman"/>
          <w:color w:val="auto"/>
          <w:lang w:val="it-IT" w:eastAsia="zh-CN"/>
        </w:rPr>
      </w:pPr>
      <w:r w:rsidRPr="004F0998">
        <w:rPr>
          <w:rFonts w:ascii="Book Antiqua" w:hAnsi="Book Antiqua"/>
          <w:b/>
          <w:color w:val="auto"/>
        </w:rPr>
        <w:t>Nuria Maroto</w:t>
      </w:r>
      <w:r w:rsidRPr="004F0998">
        <w:rPr>
          <w:rFonts w:ascii="Book Antiqua" w:hAnsi="Book Antiqua" w:hint="eastAsia"/>
          <w:b/>
          <w:color w:val="auto"/>
          <w:lang w:eastAsia="zh-CN"/>
        </w:rPr>
        <w:t>,</w:t>
      </w:r>
      <w:r w:rsidRPr="004F0998">
        <w:rPr>
          <w:rFonts w:ascii="Book Antiqua" w:hAnsi="Book Antiqua"/>
          <w:b/>
          <w:color w:val="auto"/>
        </w:rPr>
        <w:t xml:space="preserve"> </w:t>
      </w:r>
      <w:r w:rsidR="00352495" w:rsidRPr="004F0998">
        <w:rPr>
          <w:rFonts w:ascii="Book Antiqua" w:eastAsia="Arial Unicode MS" w:hAnsi="Book Antiqua" w:cs="Times New Roman"/>
          <w:color w:val="auto"/>
          <w:lang w:val="nl-NL"/>
        </w:rPr>
        <w:t>Inflammatory Bowel D</w:t>
      </w:r>
      <w:r w:rsidR="00352495">
        <w:rPr>
          <w:rFonts w:ascii="Book Antiqua" w:eastAsia="Arial Unicode MS" w:hAnsi="Book Antiqua" w:cs="Times New Roman"/>
          <w:color w:val="auto"/>
          <w:lang w:val="nl-NL"/>
        </w:rPr>
        <w:t xml:space="preserve">isease </w:t>
      </w:r>
      <w:r w:rsidR="004740BB" w:rsidRPr="004F0998">
        <w:rPr>
          <w:rFonts w:ascii="Book Antiqua" w:eastAsia="Arial Unicode MS" w:hAnsi="Book Antiqua" w:cs="Times New Roman"/>
          <w:color w:val="auto"/>
          <w:lang w:val="it-IT"/>
        </w:rPr>
        <w:t>Unit</w:t>
      </w:r>
      <w:r w:rsidR="00C03F0D">
        <w:rPr>
          <w:rFonts w:ascii="Book Antiqua" w:eastAsia="Arial Unicode MS" w:hAnsi="Book Antiqua" w:cs="Times New Roman" w:hint="eastAsia"/>
          <w:color w:val="auto"/>
          <w:lang w:val="it-IT" w:eastAsia="zh-CN"/>
        </w:rPr>
        <w:t>,</w:t>
      </w:r>
      <w:r w:rsidR="004740BB" w:rsidRPr="004F0998">
        <w:rPr>
          <w:rFonts w:ascii="Book Antiqua" w:eastAsia="Arial Unicode MS" w:hAnsi="Book Antiqua" w:cs="Times New Roman"/>
          <w:color w:val="auto"/>
          <w:lang w:val="it-IT"/>
        </w:rPr>
        <w:t xml:space="preserve"> Digestive Disease Department</w:t>
      </w:r>
      <w:r w:rsidR="002602B4">
        <w:rPr>
          <w:rFonts w:ascii="Book Antiqua" w:eastAsia="Arial Unicode MS" w:hAnsi="Book Antiqua" w:cs="Times New Roman" w:hint="eastAsia"/>
          <w:color w:val="auto"/>
          <w:lang w:val="it-IT" w:eastAsia="zh-CN"/>
        </w:rPr>
        <w:t>,</w:t>
      </w:r>
      <w:r w:rsidR="004740BB" w:rsidRPr="004F0998">
        <w:rPr>
          <w:rFonts w:ascii="Book Antiqua" w:eastAsia="Arial Unicode MS" w:hAnsi="Book Antiqua" w:cs="Times New Roman"/>
          <w:color w:val="auto"/>
          <w:lang w:val="it-IT"/>
        </w:rPr>
        <w:t xml:space="preserve"> </w:t>
      </w:r>
      <w:r w:rsidR="00A65314" w:rsidRPr="004F0998">
        <w:rPr>
          <w:rFonts w:ascii="Book Antiqua" w:eastAsia="Arial Unicode MS" w:hAnsi="Book Antiqua" w:cs="Times New Roman"/>
          <w:color w:val="auto"/>
          <w:lang w:val="it-IT"/>
        </w:rPr>
        <w:t>Hospital of Manises,</w:t>
      </w:r>
      <w:r w:rsidR="002602B4" w:rsidRPr="002602B4">
        <w:t xml:space="preserve"> </w:t>
      </w:r>
      <w:r w:rsidR="002602B4" w:rsidRPr="002602B4">
        <w:rPr>
          <w:rFonts w:ascii="Book Antiqua" w:hAnsi="Book Antiqua"/>
          <w:color w:val="auto"/>
        </w:rPr>
        <w:t xml:space="preserve">46940 Manises, </w:t>
      </w:r>
      <w:r w:rsidR="00A65314" w:rsidRPr="004F0998">
        <w:rPr>
          <w:rFonts w:ascii="Book Antiqua" w:hAnsi="Book Antiqua"/>
          <w:color w:val="auto"/>
        </w:rPr>
        <w:t>Spain</w:t>
      </w:r>
      <w:r w:rsidR="001E796F" w:rsidRPr="004F0998">
        <w:rPr>
          <w:rFonts w:ascii="Book Antiqua" w:eastAsia="Arial Unicode MS" w:hAnsi="Book Antiqua" w:cs="Times New Roman"/>
          <w:color w:val="auto"/>
          <w:lang w:val="it-IT"/>
        </w:rPr>
        <w:t xml:space="preserve"> </w:t>
      </w:r>
    </w:p>
    <w:p w:rsidR="00903248" w:rsidRPr="004F0998" w:rsidRDefault="00903248" w:rsidP="00E729BA">
      <w:pPr>
        <w:pStyle w:val="Bibliografia"/>
        <w:spacing w:line="360" w:lineRule="auto"/>
        <w:rPr>
          <w:rFonts w:ascii="Book Antiqua" w:eastAsiaTheme="minorEastAsia" w:hAnsi="Book Antiqua"/>
          <w:color w:val="auto"/>
          <w:lang w:val="es-ES" w:eastAsia="zh-CN"/>
        </w:rPr>
      </w:pPr>
    </w:p>
    <w:p w:rsidR="0064691D" w:rsidRPr="004F0998" w:rsidRDefault="00903248" w:rsidP="00E729BA">
      <w:pPr>
        <w:pStyle w:val="Bibliografia"/>
        <w:spacing w:line="360" w:lineRule="auto"/>
        <w:rPr>
          <w:rFonts w:ascii="Book Antiqua" w:eastAsia="Arial Unicode MS" w:hAnsi="Book Antiqua" w:cs="Times New Roman"/>
          <w:color w:val="auto"/>
          <w:lang w:val="it-IT" w:eastAsia="zh-CN"/>
        </w:rPr>
      </w:pPr>
      <w:r w:rsidRPr="004F0998">
        <w:rPr>
          <w:rFonts w:ascii="Book Antiqua" w:hAnsi="Book Antiqua"/>
          <w:b/>
          <w:color w:val="auto"/>
        </w:rPr>
        <w:t>Jose Maria Paredes</w:t>
      </w:r>
      <w:r w:rsidRPr="004F0998">
        <w:rPr>
          <w:rFonts w:ascii="Book Antiqua" w:eastAsia="Arial Unicode MS" w:hAnsi="Book Antiqua" w:cs="Times New Roman" w:hint="eastAsia"/>
          <w:b/>
          <w:color w:val="auto"/>
          <w:lang w:val="it-IT" w:eastAsia="zh-CN"/>
        </w:rPr>
        <w:t xml:space="preserve">, </w:t>
      </w:r>
      <w:r w:rsidR="004740BB" w:rsidRPr="004F0998">
        <w:rPr>
          <w:rFonts w:ascii="Book Antiqua" w:eastAsia="Arial Unicode MS" w:hAnsi="Book Antiqua" w:cs="Times New Roman"/>
          <w:color w:val="auto"/>
          <w:lang w:val="it-IT"/>
        </w:rPr>
        <w:t xml:space="preserve">Digestive Disease Department, </w:t>
      </w:r>
      <w:r w:rsidR="001E796F" w:rsidRPr="004F0998">
        <w:rPr>
          <w:rFonts w:ascii="Book Antiqua" w:eastAsia="Arial Unicode MS" w:hAnsi="Book Antiqua" w:cs="Times New Roman"/>
          <w:color w:val="auto"/>
          <w:lang w:val="it-IT"/>
        </w:rPr>
        <w:t xml:space="preserve">Peset </w:t>
      </w:r>
      <w:r w:rsidR="004740BB" w:rsidRPr="004F0998">
        <w:rPr>
          <w:rFonts w:ascii="Book Antiqua" w:eastAsia="Arial Unicode MS" w:hAnsi="Book Antiqua" w:cs="Times New Roman"/>
          <w:color w:val="auto"/>
          <w:lang w:val="it-IT"/>
        </w:rPr>
        <w:t xml:space="preserve">University </w:t>
      </w:r>
      <w:r w:rsidR="001E796F" w:rsidRPr="004F0998">
        <w:rPr>
          <w:rFonts w:ascii="Book Antiqua" w:eastAsia="Arial Unicode MS" w:hAnsi="Book Antiqua" w:cs="Times New Roman"/>
          <w:color w:val="auto"/>
          <w:lang w:val="it-IT"/>
        </w:rPr>
        <w:t xml:space="preserve">Hospital of </w:t>
      </w:r>
      <w:r w:rsidR="001E796F" w:rsidRPr="004F0998">
        <w:rPr>
          <w:rFonts w:ascii="Book Antiqua" w:hAnsi="Book Antiqua"/>
          <w:color w:val="auto"/>
        </w:rPr>
        <w:t xml:space="preserve">Valencia, </w:t>
      </w:r>
      <w:r w:rsidR="002602B4" w:rsidRPr="002602B4">
        <w:rPr>
          <w:rFonts w:ascii="Book Antiqua" w:hAnsi="Book Antiqua"/>
          <w:color w:val="auto"/>
        </w:rPr>
        <w:t>46017 València</w:t>
      </w:r>
      <w:r w:rsidR="004740BB" w:rsidRPr="004F0998">
        <w:rPr>
          <w:rFonts w:ascii="Book Antiqua" w:hAnsi="Book Antiqua"/>
          <w:color w:val="auto"/>
        </w:rPr>
        <w:t xml:space="preserve">, </w:t>
      </w:r>
      <w:r w:rsidR="001E796F" w:rsidRPr="004F0998">
        <w:rPr>
          <w:rFonts w:ascii="Book Antiqua" w:hAnsi="Book Antiqua"/>
          <w:color w:val="auto"/>
        </w:rPr>
        <w:t>Spain</w:t>
      </w:r>
      <w:bookmarkStart w:id="12" w:name="OLE_LINK4"/>
      <w:bookmarkStart w:id="13" w:name="OLE_LINK5"/>
      <w:bookmarkStart w:id="14" w:name="OLE_LINK379"/>
      <w:bookmarkStart w:id="15" w:name="OLE_LINK380"/>
      <w:bookmarkStart w:id="16" w:name="OLE_LINK534"/>
      <w:bookmarkStart w:id="17" w:name="OLE_LINK498"/>
      <w:bookmarkStart w:id="18" w:name="OLE_LINK499"/>
      <w:bookmarkStart w:id="19" w:name="OLE_LINK513"/>
      <w:bookmarkStart w:id="20" w:name="OLE_LINK521"/>
      <w:bookmarkStart w:id="21" w:name="OLE_LINK20"/>
      <w:bookmarkStart w:id="22" w:name="OLE_LINK21"/>
      <w:bookmarkStart w:id="23" w:name="OLE_LINK208"/>
      <w:bookmarkStart w:id="24" w:name="OLE_LINK209"/>
    </w:p>
    <w:p w:rsidR="00903248" w:rsidRPr="002602B4" w:rsidRDefault="00903248" w:rsidP="00E729BA">
      <w:pPr>
        <w:pStyle w:val="Bibliografia"/>
        <w:spacing w:line="360" w:lineRule="auto"/>
        <w:rPr>
          <w:rFonts w:ascii="Book Antiqua" w:eastAsia="Arial Unicode MS" w:hAnsi="Book Antiqua" w:cs="Times New Roman"/>
          <w:color w:val="auto"/>
          <w:lang w:val="it-IT" w:eastAsia="zh-CN"/>
        </w:rPr>
      </w:pPr>
    </w:p>
    <w:p w:rsidR="0064691D" w:rsidRDefault="0064691D" w:rsidP="00E729BA">
      <w:pPr>
        <w:pStyle w:val="Bibliografia"/>
        <w:spacing w:line="360" w:lineRule="auto"/>
        <w:rPr>
          <w:rFonts w:ascii="Book Antiqua" w:eastAsiaTheme="minorEastAsia" w:hAnsi="Book Antiqua" w:cs="Times New Roman"/>
          <w:color w:val="auto"/>
          <w:lang w:eastAsia="zh-CN"/>
        </w:rPr>
      </w:pPr>
      <w:r w:rsidRPr="004F0998">
        <w:rPr>
          <w:rFonts w:ascii="Book Antiqua" w:hAnsi="Book Antiqua" w:cs="Times New Roman"/>
          <w:b/>
          <w:bCs/>
          <w:color w:val="auto"/>
        </w:rPr>
        <w:t>Author contributions</w:t>
      </w:r>
      <w:r w:rsidR="00903248" w:rsidRPr="004F0998">
        <w:rPr>
          <w:rFonts w:ascii="Book Antiqua" w:hAnsi="Book Antiqua" w:cs="Times New Roman" w:hint="eastAsia"/>
          <w:b/>
          <w:bCs/>
          <w:color w:val="auto"/>
          <w:lang w:eastAsia="zh-CN"/>
        </w:rPr>
        <w:t xml:space="preserve">: </w:t>
      </w:r>
      <w:r w:rsidRPr="004F0998">
        <w:rPr>
          <w:rFonts w:ascii="Book Antiqua" w:eastAsia="Arial Unicode MS" w:hAnsi="Book Antiqua" w:cs="Times New Roman"/>
          <w:color w:val="auto"/>
          <w:lang w:val="it-IT"/>
        </w:rPr>
        <w:t>All authors included patients for the study, contributed to the review of the medical literature and wrote and/or reviewed the article</w:t>
      </w:r>
      <w:r w:rsidR="00C03F0D">
        <w:rPr>
          <w:rFonts w:ascii="Book Antiqua" w:eastAsia="Arial Unicode MS" w:hAnsi="Book Antiqua" w:cs="Times New Roman" w:hint="eastAsia"/>
          <w:color w:val="auto"/>
          <w:lang w:val="it-IT" w:eastAsia="zh-CN"/>
        </w:rPr>
        <w:t>;</w:t>
      </w:r>
      <w:r w:rsidRPr="004F0998">
        <w:rPr>
          <w:rFonts w:ascii="Book Antiqua" w:eastAsia="Arial Unicode MS" w:hAnsi="Book Antiqua" w:cs="Times New Roman"/>
          <w:color w:val="auto"/>
          <w:lang w:val="it-IT"/>
        </w:rPr>
        <w:t xml:space="preserve"> </w:t>
      </w:r>
      <w:r w:rsidR="00C03F0D" w:rsidRPr="004F0998">
        <w:rPr>
          <w:rFonts w:ascii="Book Antiqua" w:hAnsi="Book Antiqua" w:cs="Times New Roman"/>
          <w:color w:val="auto"/>
        </w:rPr>
        <w:t xml:space="preserve">all </w:t>
      </w:r>
      <w:r w:rsidRPr="004F0998">
        <w:rPr>
          <w:rFonts w:ascii="Book Antiqua" w:hAnsi="Book Antiqua" w:cs="Times New Roman"/>
          <w:color w:val="auto"/>
        </w:rPr>
        <w:t>listed authors approved the final version of the manuscript</w:t>
      </w:r>
      <w:r w:rsidR="00C03F0D">
        <w:rPr>
          <w:rFonts w:ascii="Book Antiqua" w:hAnsi="Book Antiqua" w:cs="Times New Roman" w:hint="eastAsia"/>
          <w:color w:val="auto"/>
          <w:lang w:eastAsia="zh-CN"/>
        </w:rPr>
        <w:t>.</w:t>
      </w:r>
    </w:p>
    <w:p w:rsidR="00C03F0D" w:rsidRPr="00C03F0D" w:rsidRDefault="00C03F0D" w:rsidP="00E729BA">
      <w:pPr>
        <w:pStyle w:val="Bibliografia"/>
        <w:spacing w:line="360" w:lineRule="auto"/>
        <w:rPr>
          <w:rFonts w:ascii="Book Antiqua" w:eastAsiaTheme="minorEastAsia" w:hAnsi="Book Antiqua" w:cs="Times New Roman"/>
          <w:b/>
          <w:bCs/>
          <w:color w:val="auto"/>
          <w:lang w:eastAsia="zh-CN"/>
        </w:rPr>
      </w:pPr>
    </w:p>
    <w:bookmarkEnd w:id="12"/>
    <w:bookmarkEnd w:id="13"/>
    <w:p w:rsidR="00C03F0D" w:rsidRPr="00484F59" w:rsidRDefault="00C03F0D" w:rsidP="00E729BA">
      <w:pPr>
        <w:autoSpaceDE w:val="0"/>
        <w:autoSpaceDN w:val="0"/>
        <w:adjustRightInd w:val="0"/>
        <w:spacing w:after="0" w:line="360" w:lineRule="auto"/>
        <w:rPr>
          <w:rFonts w:ascii="Book Antiqua" w:hAnsi="Book Antiqua"/>
          <w:b/>
          <w:bCs/>
          <w:iCs/>
          <w:color w:val="000000"/>
          <w:sz w:val="24"/>
          <w:lang w:eastAsia="zh-CN"/>
        </w:rPr>
      </w:pPr>
      <w:r>
        <w:rPr>
          <w:rFonts w:ascii="Book Antiqua" w:hAnsi="Book Antiqua" w:hint="eastAsia"/>
          <w:b/>
          <w:bCs/>
          <w:iCs/>
          <w:color w:val="000000"/>
          <w:sz w:val="24"/>
        </w:rPr>
        <w:t>Institutional review board</w:t>
      </w:r>
      <w:r w:rsidRPr="0017781A">
        <w:rPr>
          <w:rFonts w:ascii="Book Antiqua" w:hAnsi="Book Antiqua"/>
          <w:b/>
          <w:bCs/>
          <w:iCs/>
          <w:sz w:val="24"/>
        </w:rPr>
        <w:t xml:space="preserve"> </w:t>
      </w:r>
      <w:r w:rsidRPr="00753939">
        <w:rPr>
          <w:rFonts w:ascii="Book Antiqua" w:hAnsi="Book Antiqua"/>
          <w:b/>
          <w:bCs/>
          <w:iCs/>
          <w:sz w:val="24"/>
        </w:rPr>
        <w:t>statement</w:t>
      </w:r>
      <w:r w:rsidRPr="00484F59">
        <w:rPr>
          <w:rFonts w:ascii="Book Antiqua" w:hAnsi="Book Antiqua" w:hint="eastAsia"/>
          <w:b/>
          <w:bCs/>
          <w:iCs/>
          <w:color w:val="000000"/>
          <w:sz w:val="24"/>
        </w:rPr>
        <w:t>:</w:t>
      </w:r>
      <w:r w:rsidRPr="00C03F0D">
        <w:rPr>
          <w:rFonts w:ascii="Book Antiqua" w:hAnsi="Book Antiqua" w:hint="eastAsia"/>
          <w:bCs/>
          <w:iCs/>
          <w:color w:val="000000"/>
          <w:sz w:val="24"/>
          <w:lang w:eastAsia="zh-CN"/>
        </w:rPr>
        <w:t xml:space="preserve"> </w:t>
      </w:r>
      <w:r w:rsidRPr="00C03F0D">
        <w:rPr>
          <w:rFonts w:ascii="Book Antiqua" w:hAnsi="Book Antiqua"/>
          <w:bCs/>
          <w:iCs/>
          <w:color w:val="000000"/>
          <w:sz w:val="24"/>
          <w:lang w:eastAsia="zh-CN"/>
        </w:rPr>
        <w:t xml:space="preserve">This </w:t>
      </w:r>
      <w:r w:rsidRPr="00C03F0D">
        <w:rPr>
          <w:rFonts w:ascii="Book Antiqua" w:hAnsi="Book Antiqua" w:hint="eastAsia"/>
          <w:bCs/>
          <w:iCs/>
          <w:color w:val="000000"/>
          <w:sz w:val="24"/>
          <w:lang w:eastAsia="zh-CN"/>
        </w:rPr>
        <w:t xml:space="preserve">study </w:t>
      </w:r>
      <w:r w:rsidRPr="00C03F0D">
        <w:rPr>
          <w:rFonts w:ascii="Book Antiqua" w:hAnsi="Book Antiqua"/>
          <w:bCs/>
          <w:iCs/>
          <w:color w:val="000000"/>
          <w:sz w:val="24"/>
          <w:lang w:eastAsia="zh-CN"/>
        </w:rPr>
        <w:t>approved</w:t>
      </w:r>
      <w:r w:rsidRPr="00C03F0D">
        <w:rPr>
          <w:rFonts w:ascii="Book Antiqua" w:hAnsi="Book Antiqua" w:hint="eastAsia"/>
          <w:bCs/>
          <w:iCs/>
          <w:color w:val="000000"/>
          <w:sz w:val="24"/>
          <w:lang w:eastAsia="zh-CN"/>
        </w:rPr>
        <w:t xml:space="preserve"> by </w:t>
      </w:r>
      <w:r w:rsidRPr="00C03F0D">
        <w:rPr>
          <w:rFonts w:ascii="Book Antiqua" w:hAnsi="Book Antiqua" w:hint="eastAsia"/>
          <w:bCs/>
          <w:iCs/>
          <w:color w:val="000000"/>
          <w:sz w:val="24"/>
        </w:rPr>
        <w:t xml:space="preserve">Institutional </w:t>
      </w:r>
      <w:r w:rsidRPr="00C03F0D">
        <w:rPr>
          <w:rFonts w:ascii="Book Antiqua" w:hAnsi="Book Antiqua"/>
          <w:bCs/>
          <w:iCs/>
          <w:color w:val="000000"/>
          <w:sz w:val="24"/>
        </w:rPr>
        <w:t>Review Board</w:t>
      </w:r>
      <w:r w:rsidRPr="00C03F0D">
        <w:rPr>
          <w:rFonts w:ascii="Book Antiqua" w:hAnsi="Book Antiqua"/>
          <w:bCs/>
          <w:iCs/>
          <w:sz w:val="24"/>
        </w:rPr>
        <w:t xml:space="preserve"> Statement</w:t>
      </w:r>
      <w:r>
        <w:rPr>
          <w:rFonts w:ascii="Book Antiqua" w:hAnsi="Book Antiqua" w:hint="eastAsia"/>
          <w:bCs/>
          <w:iCs/>
          <w:color w:val="000000"/>
          <w:sz w:val="24"/>
          <w:lang w:eastAsia="zh-CN"/>
        </w:rPr>
        <w:t>.</w:t>
      </w:r>
    </w:p>
    <w:p w:rsidR="0064691D" w:rsidRPr="004F0998" w:rsidRDefault="0064691D" w:rsidP="00E729BA">
      <w:pPr>
        <w:autoSpaceDE w:val="0"/>
        <w:autoSpaceDN w:val="0"/>
        <w:adjustRightInd w:val="0"/>
        <w:spacing w:after="0" w:line="360" w:lineRule="auto"/>
        <w:jc w:val="both"/>
        <w:rPr>
          <w:rFonts w:ascii="Book Antiqua" w:hAnsi="Book Antiqua" w:cs="TimesNewRomanPS-BoldItalicMT"/>
          <w:b/>
          <w:bCs/>
          <w:iCs/>
          <w:color w:val="auto"/>
          <w:sz w:val="24"/>
          <w:szCs w:val="24"/>
          <w:lang w:eastAsia="zh-CN"/>
        </w:rPr>
      </w:pPr>
    </w:p>
    <w:p w:rsidR="0064691D" w:rsidRPr="002602B4" w:rsidRDefault="0064691D" w:rsidP="00E729BA">
      <w:pPr>
        <w:autoSpaceDE w:val="0"/>
        <w:autoSpaceDN w:val="0"/>
        <w:adjustRightInd w:val="0"/>
        <w:spacing w:after="0" w:line="360" w:lineRule="auto"/>
        <w:jc w:val="both"/>
        <w:rPr>
          <w:rFonts w:ascii="Book Antiqua" w:hAnsi="Book Antiqua" w:cs="TimesNewRomanPS-BoldItalicMT"/>
          <w:bCs/>
          <w:iCs/>
          <w:color w:val="auto"/>
          <w:sz w:val="24"/>
          <w:szCs w:val="24"/>
          <w:lang w:eastAsia="zh-CN"/>
        </w:rPr>
      </w:pPr>
      <w:bookmarkStart w:id="25" w:name="OLE_LINK526"/>
      <w:bookmarkStart w:id="26" w:name="OLE_LINK527"/>
      <w:r w:rsidRPr="004F0998">
        <w:rPr>
          <w:rFonts w:ascii="Book Antiqua" w:hAnsi="Book Antiqua" w:cs="TimesNewRomanPS-BoldItalicMT"/>
          <w:b/>
          <w:bCs/>
          <w:iCs/>
          <w:color w:val="auto"/>
          <w:sz w:val="24"/>
          <w:szCs w:val="24"/>
        </w:rPr>
        <w:t>Conflict-of-interest</w:t>
      </w:r>
      <w:r w:rsidRPr="004F0998">
        <w:rPr>
          <w:rFonts w:ascii="Book Antiqua" w:hAnsi="Book Antiqua"/>
          <w:b/>
          <w:bCs/>
          <w:iCs/>
          <w:color w:val="auto"/>
          <w:sz w:val="24"/>
          <w:szCs w:val="24"/>
        </w:rPr>
        <w:t xml:space="preserve"> statement</w:t>
      </w:r>
      <w:r w:rsidRPr="004F0998">
        <w:rPr>
          <w:rFonts w:ascii="Book Antiqua" w:hAnsi="Book Antiqua" w:cs="TimesNewRomanPS-BoldItalicMT"/>
          <w:b/>
          <w:bCs/>
          <w:iCs/>
          <w:color w:val="auto"/>
          <w:sz w:val="24"/>
          <w:szCs w:val="24"/>
        </w:rPr>
        <w:t>:</w:t>
      </w:r>
      <w:r w:rsidR="002602B4">
        <w:rPr>
          <w:rFonts w:ascii="Book Antiqua" w:hAnsi="Book Antiqua" w:cs="TimesNewRomanPS-BoldItalicMT" w:hint="eastAsia"/>
          <w:b/>
          <w:bCs/>
          <w:iCs/>
          <w:color w:val="auto"/>
          <w:sz w:val="24"/>
          <w:szCs w:val="24"/>
          <w:lang w:eastAsia="zh-CN"/>
        </w:rPr>
        <w:t xml:space="preserve"> </w:t>
      </w:r>
      <w:r w:rsidR="002602B4" w:rsidRPr="002602B4">
        <w:rPr>
          <w:rFonts w:ascii="Book Antiqua" w:hAnsi="Book Antiqua" w:cs="TimesNewRomanPS-BoldItalicMT"/>
          <w:bCs/>
          <w:iCs/>
          <w:color w:val="auto"/>
          <w:sz w:val="24"/>
          <w:szCs w:val="24"/>
          <w:lang w:eastAsia="zh-CN"/>
        </w:rPr>
        <w:t>All authors included patients for the study, contributed to the review of the medical literature and wrote and/or reviewed the article. All listed authors approved the final version of the manuscript. The authors declare no conflicts of interest.</w:t>
      </w:r>
    </w:p>
    <w:bookmarkEnd w:id="14"/>
    <w:bookmarkEnd w:id="15"/>
    <w:bookmarkEnd w:id="16"/>
    <w:bookmarkEnd w:id="25"/>
    <w:bookmarkEnd w:id="26"/>
    <w:p w:rsidR="0064691D" w:rsidRPr="004F0998" w:rsidRDefault="0064691D" w:rsidP="00E729BA">
      <w:pPr>
        <w:autoSpaceDE w:val="0"/>
        <w:autoSpaceDN w:val="0"/>
        <w:adjustRightInd w:val="0"/>
        <w:spacing w:after="0" w:line="360" w:lineRule="auto"/>
        <w:jc w:val="both"/>
        <w:rPr>
          <w:rFonts w:ascii="Book Antiqua" w:hAnsi="Book Antiqua" w:cs="TimesNewRomanPS-BoldItalicMT"/>
          <w:b/>
          <w:bCs/>
          <w:iCs/>
          <w:color w:val="auto"/>
          <w:sz w:val="24"/>
          <w:szCs w:val="24"/>
        </w:rPr>
      </w:pPr>
    </w:p>
    <w:p w:rsidR="002602B4" w:rsidRPr="00BA640E" w:rsidRDefault="0064691D" w:rsidP="00E729BA">
      <w:pPr>
        <w:autoSpaceDE w:val="0"/>
        <w:autoSpaceDN w:val="0"/>
        <w:adjustRightInd w:val="0"/>
        <w:spacing w:after="0" w:line="360" w:lineRule="auto"/>
        <w:rPr>
          <w:rFonts w:ascii="Book Antiqua" w:hAnsi="Book Antiqua"/>
          <w:b/>
          <w:bCs/>
          <w:iCs/>
          <w:sz w:val="24"/>
        </w:rPr>
      </w:pPr>
      <w:r w:rsidRPr="004F0998">
        <w:rPr>
          <w:rFonts w:ascii="Book Antiqua" w:hAnsi="Book Antiqua" w:cs="TimesNewRomanPS-BoldItalicMT"/>
          <w:b/>
          <w:bCs/>
          <w:iCs/>
          <w:color w:val="auto"/>
          <w:sz w:val="24"/>
          <w:szCs w:val="24"/>
        </w:rPr>
        <w:t>Data sharing</w:t>
      </w:r>
      <w:r w:rsidRPr="004F0998">
        <w:rPr>
          <w:rFonts w:ascii="Book Antiqua" w:hAnsi="Book Antiqua"/>
          <w:b/>
          <w:bCs/>
          <w:iCs/>
          <w:color w:val="auto"/>
          <w:sz w:val="24"/>
          <w:szCs w:val="24"/>
        </w:rPr>
        <w:t xml:space="preserve"> statement</w:t>
      </w:r>
      <w:r w:rsidRPr="004F0998">
        <w:rPr>
          <w:rFonts w:ascii="Book Antiqua" w:hAnsi="Book Antiqua" w:cs="TimesNewRomanPS-BoldItalicMT"/>
          <w:b/>
          <w:bCs/>
          <w:iCs/>
          <w:color w:val="auto"/>
          <w:sz w:val="24"/>
          <w:szCs w:val="24"/>
        </w:rPr>
        <w:t>:</w:t>
      </w:r>
      <w:r w:rsidR="002602B4" w:rsidRPr="002602B4">
        <w:rPr>
          <w:rFonts w:ascii="Book Antiqua" w:hAnsi="Book Antiqua"/>
          <w:color w:val="000000"/>
          <w:sz w:val="24"/>
        </w:rPr>
        <w:t xml:space="preserve"> </w:t>
      </w:r>
      <w:r w:rsidR="002602B4" w:rsidRPr="00BA640E">
        <w:rPr>
          <w:rFonts w:ascii="Book Antiqua" w:hAnsi="Book Antiqua"/>
          <w:color w:val="000000"/>
          <w:sz w:val="24"/>
        </w:rPr>
        <w:t>No additional data are available.</w:t>
      </w:r>
    </w:p>
    <w:bookmarkEnd w:id="17"/>
    <w:bookmarkEnd w:id="18"/>
    <w:bookmarkEnd w:id="19"/>
    <w:bookmarkEnd w:id="20"/>
    <w:bookmarkEnd w:id="21"/>
    <w:bookmarkEnd w:id="22"/>
    <w:p w:rsidR="0064691D" w:rsidRPr="004F0998" w:rsidRDefault="0064691D" w:rsidP="00E729BA">
      <w:pPr>
        <w:spacing w:after="0" w:line="360" w:lineRule="auto"/>
        <w:jc w:val="both"/>
        <w:rPr>
          <w:rFonts w:ascii="Book Antiqua" w:hAnsi="Book Antiqua"/>
          <w:b/>
          <w:i/>
          <w:color w:val="auto"/>
          <w:sz w:val="24"/>
          <w:szCs w:val="24"/>
          <w:lang w:eastAsia="zh-CN"/>
        </w:rPr>
      </w:pPr>
    </w:p>
    <w:p w:rsidR="0064691D" w:rsidRPr="004F0998" w:rsidRDefault="0064691D" w:rsidP="00E729BA">
      <w:pPr>
        <w:spacing w:after="0" w:line="360" w:lineRule="auto"/>
        <w:jc w:val="both"/>
        <w:rPr>
          <w:rFonts w:ascii="Book Antiqua" w:hAnsi="Book Antiqua"/>
          <w:b/>
          <w:color w:val="auto"/>
          <w:sz w:val="24"/>
          <w:szCs w:val="24"/>
        </w:rPr>
      </w:pPr>
      <w:bookmarkStart w:id="27" w:name="OLE_LINK155"/>
      <w:bookmarkStart w:id="28" w:name="OLE_LINK183"/>
      <w:bookmarkStart w:id="29" w:name="OLE_LINK441"/>
      <w:bookmarkEnd w:id="23"/>
      <w:bookmarkEnd w:id="24"/>
      <w:r w:rsidRPr="004F0998">
        <w:rPr>
          <w:rFonts w:ascii="Book Antiqua" w:hAnsi="Book Antiqua"/>
          <w:b/>
          <w:color w:val="auto"/>
          <w:sz w:val="24"/>
          <w:szCs w:val="24"/>
        </w:rPr>
        <w:t xml:space="preserve">Open-Access: </w:t>
      </w:r>
      <w:r w:rsidRPr="004F0998">
        <w:rPr>
          <w:rFonts w:ascii="Book Antiqua" w:hAnsi="Book Antiqua"/>
          <w:color w:val="auto"/>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7"/>
    <w:bookmarkEnd w:id="28"/>
    <w:bookmarkEnd w:id="29"/>
    <w:p w:rsidR="0064691D" w:rsidRPr="004F0998" w:rsidRDefault="0064691D" w:rsidP="00E729BA">
      <w:pPr>
        <w:spacing w:after="0" w:line="360" w:lineRule="auto"/>
        <w:jc w:val="both"/>
        <w:rPr>
          <w:rFonts w:ascii="Book Antiqua" w:hAnsi="Book Antiqua" w:cs="Arial Unicode MS"/>
          <w:color w:val="auto"/>
          <w:sz w:val="24"/>
          <w:szCs w:val="24"/>
        </w:rPr>
      </w:pPr>
    </w:p>
    <w:p w:rsidR="0064691D" w:rsidRPr="004F0998" w:rsidRDefault="0064691D" w:rsidP="00E729BA">
      <w:pPr>
        <w:spacing w:after="0" w:line="360" w:lineRule="auto"/>
        <w:jc w:val="both"/>
        <w:rPr>
          <w:rFonts w:ascii="Book Antiqua" w:hAnsi="Book Antiqua" w:cs="Arial Unicode MS"/>
          <w:color w:val="auto"/>
          <w:sz w:val="24"/>
          <w:szCs w:val="24"/>
        </w:rPr>
      </w:pPr>
      <w:r w:rsidRPr="004F0998">
        <w:rPr>
          <w:rFonts w:ascii="Book Antiqua" w:hAnsi="Book Antiqua" w:cs="Arial Unicode MS"/>
          <w:b/>
          <w:color w:val="auto"/>
          <w:sz w:val="24"/>
          <w:szCs w:val="24"/>
        </w:rPr>
        <w:t>Manuscript source:</w:t>
      </w:r>
      <w:r w:rsidRPr="004F0998">
        <w:rPr>
          <w:rFonts w:ascii="Book Antiqua" w:hAnsi="Book Antiqua" w:cs="Arial Unicode MS"/>
          <w:color w:val="auto"/>
          <w:sz w:val="24"/>
          <w:szCs w:val="24"/>
        </w:rPr>
        <w:t xml:space="preserve"> Invited manuscript</w:t>
      </w:r>
    </w:p>
    <w:p w:rsidR="00B2008B" w:rsidRPr="004F0998" w:rsidRDefault="00B2008B" w:rsidP="00E729BA">
      <w:pPr>
        <w:pStyle w:val="Bibliografia"/>
        <w:spacing w:line="360" w:lineRule="auto"/>
        <w:rPr>
          <w:rFonts w:ascii="Book Antiqua" w:eastAsia="Arial Unicode MS" w:hAnsi="Book Antiqua" w:cs="Times New Roman"/>
          <w:b/>
          <w:bCs/>
          <w:color w:val="auto"/>
        </w:rPr>
      </w:pPr>
    </w:p>
    <w:p w:rsidR="00EB4BCE" w:rsidRPr="004F0998" w:rsidRDefault="0064691D" w:rsidP="00E729BA">
      <w:pPr>
        <w:spacing w:after="0" w:line="360" w:lineRule="auto"/>
        <w:jc w:val="both"/>
        <w:rPr>
          <w:rFonts w:ascii="Book Antiqua" w:hAnsi="Book Antiqua"/>
          <w:b/>
          <w:color w:val="auto"/>
          <w:sz w:val="24"/>
          <w:szCs w:val="24"/>
        </w:rPr>
      </w:pPr>
      <w:r w:rsidRPr="004F0998">
        <w:rPr>
          <w:rFonts w:ascii="Book Antiqua" w:hAnsi="Book Antiqua"/>
          <w:b/>
          <w:color w:val="auto"/>
          <w:sz w:val="24"/>
          <w:szCs w:val="24"/>
        </w:rPr>
        <w:t>Correspondence to:</w:t>
      </w:r>
      <w:r w:rsidRPr="004F0998">
        <w:rPr>
          <w:rFonts w:ascii="Book Antiqua" w:hAnsi="Book Antiqua"/>
          <w:b/>
          <w:color w:val="auto"/>
          <w:sz w:val="24"/>
          <w:szCs w:val="24"/>
          <w:lang w:eastAsia="zh-CN"/>
        </w:rPr>
        <w:t xml:space="preserve"> </w:t>
      </w:r>
      <w:r w:rsidR="00A7777F" w:rsidRPr="004F0998">
        <w:rPr>
          <w:rFonts w:ascii="Book Antiqua" w:eastAsia="Arial Unicode MS" w:hAnsi="Book Antiqua" w:cs="Times New Roman"/>
          <w:b/>
          <w:color w:val="auto"/>
          <w:sz w:val="24"/>
          <w:szCs w:val="24"/>
        </w:rPr>
        <w:t>Marta Maia Bosca-Watts, PhD</w:t>
      </w:r>
      <w:r w:rsidR="00903248" w:rsidRPr="004F0998">
        <w:rPr>
          <w:rFonts w:ascii="Book Antiqua" w:eastAsia="Arial Unicode MS" w:hAnsi="Book Antiqua" w:cs="Times New Roman" w:hint="eastAsia"/>
          <w:b/>
          <w:color w:val="auto"/>
          <w:sz w:val="24"/>
          <w:szCs w:val="24"/>
          <w:lang w:eastAsia="zh-CN"/>
        </w:rPr>
        <w:t xml:space="preserve">, </w:t>
      </w:r>
      <w:r w:rsidR="00A7777F" w:rsidRPr="004F0998">
        <w:rPr>
          <w:rFonts w:ascii="Book Antiqua" w:eastAsia="Arial Unicode MS" w:hAnsi="Book Antiqua" w:cs="Times New Roman"/>
          <w:b/>
          <w:color w:val="auto"/>
          <w:sz w:val="24"/>
          <w:szCs w:val="24"/>
        </w:rPr>
        <w:t>MD</w:t>
      </w:r>
      <w:r w:rsidRPr="004F0998">
        <w:rPr>
          <w:rFonts w:ascii="Book Antiqua" w:eastAsia="Arial Unicode MS" w:hAnsi="Book Antiqua" w:cs="Times New Roman"/>
          <w:b/>
          <w:color w:val="auto"/>
          <w:sz w:val="24"/>
          <w:szCs w:val="24"/>
          <w:lang w:eastAsia="zh-CN"/>
        </w:rPr>
        <w:t xml:space="preserve">, </w:t>
      </w:r>
      <w:r w:rsidR="00A7777F" w:rsidRPr="004F0998">
        <w:rPr>
          <w:rFonts w:ascii="Book Antiqua" w:eastAsia="Arial Unicode MS" w:hAnsi="Book Antiqua" w:cs="Times New Roman"/>
          <w:color w:val="auto"/>
          <w:sz w:val="24"/>
          <w:szCs w:val="24"/>
          <w:lang w:val="nl-NL"/>
        </w:rPr>
        <w:t xml:space="preserve">Inflammatory </w:t>
      </w:r>
      <w:r w:rsidR="006624AE" w:rsidRPr="004F0998">
        <w:rPr>
          <w:rFonts w:ascii="Book Antiqua" w:eastAsia="Arial Unicode MS" w:hAnsi="Book Antiqua" w:cs="Times New Roman"/>
          <w:color w:val="auto"/>
          <w:sz w:val="24"/>
          <w:szCs w:val="24"/>
          <w:lang w:val="nl-NL"/>
        </w:rPr>
        <w:t>B</w:t>
      </w:r>
      <w:r w:rsidR="00A7777F" w:rsidRPr="004F0998">
        <w:rPr>
          <w:rFonts w:ascii="Book Antiqua" w:eastAsia="Arial Unicode MS" w:hAnsi="Book Antiqua" w:cs="Times New Roman"/>
          <w:color w:val="auto"/>
          <w:sz w:val="24"/>
          <w:szCs w:val="24"/>
          <w:lang w:val="nl-NL"/>
        </w:rPr>
        <w:t xml:space="preserve">owel </w:t>
      </w:r>
      <w:r w:rsidR="006624AE" w:rsidRPr="004F0998">
        <w:rPr>
          <w:rFonts w:ascii="Book Antiqua" w:eastAsia="Arial Unicode MS" w:hAnsi="Book Antiqua" w:cs="Times New Roman"/>
          <w:color w:val="auto"/>
          <w:sz w:val="24"/>
          <w:szCs w:val="24"/>
          <w:lang w:val="nl-NL"/>
        </w:rPr>
        <w:t>D</w:t>
      </w:r>
      <w:r w:rsidR="00A7777F" w:rsidRPr="004F0998">
        <w:rPr>
          <w:rFonts w:ascii="Book Antiqua" w:eastAsia="Arial Unicode MS" w:hAnsi="Book Antiqua" w:cs="Times New Roman"/>
          <w:color w:val="auto"/>
          <w:sz w:val="24"/>
          <w:szCs w:val="24"/>
          <w:lang w:val="nl-NL"/>
        </w:rPr>
        <w:t>isease Unit</w:t>
      </w:r>
      <w:r w:rsidR="00976B0E">
        <w:rPr>
          <w:rFonts w:ascii="Book Antiqua" w:eastAsia="Arial Unicode MS" w:hAnsi="Book Antiqua" w:cs="Times New Roman" w:hint="eastAsia"/>
          <w:color w:val="auto"/>
          <w:sz w:val="24"/>
          <w:szCs w:val="24"/>
          <w:lang w:val="nl-NL" w:eastAsia="zh-CN"/>
        </w:rPr>
        <w:t xml:space="preserve">, </w:t>
      </w:r>
      <w:r w:rsidR="00A7777F" w:rsidRPr="004F0998">
        <w:rPr>
          <w:rFonts w:ascii="Book Antiqua" w:eastAsia="Arial Unicode MS" w:hAnsi="Book Antiqua" w:cs="Times New Roman"/>
          <w:color w:val="auto"/>
          <w:sz w:val="24"/>
          <w:szCs w:val="24"/>
          <w:lang w:val="nl-NL"/>
        </w:rPr>
        <w:t>Digestive Medicine Department</w:t>
      </w:r>
      <w:r w:rsidR="00903248" w:rsidRPr="004F0998">
        <w:rPr>
          <w:rFonts w:ascii="Book Antiqua" w:eastAsia="Arial Unicode MS" w:hAnsi="Book Antiqua" w:cs="Times New Roman" w:hint="eastAsia"/>
          <w:color w:val="auto"/>
          <w:sz w:val="24"/>
          <w:szCs w:val="24"/>
          <w:lang w:val="nl-NL" w:eastAsia="zh-CN"/>
        </w:rPr>
        <w:t>,</w:t>
      </w:r>
      <w:r w:rsidR="00A7777F" w:rsidRPr="004F0998">
        <w:rPr>
          <w:rFonts w:ascii="Book Antiqua" w:eastAsia="Arial Unicode MS" w:hAnsi="Book Antiqua" w:cs="Times New Roman"/>
          <w:color w:val="auto"/>
          <w:sz w:val="24"/>
          <w:szCs w:val="24"/>
          <w:lang w:val="nl-NL"/>
        </w:rPr>
        <w:t xml:space="preserve"> </w:t>
      </w:r>
      <w:r w:rsidR="00A7777F" w:rsidRPr="004F0998">
        <w:rPr>
          <w:rFonts w:ascii="Book Antiqua" w:eastAsia="Arial Unicode MS" w:hAnsi="Book Antiqua" w:cs="Times New Roman"/>
          <w:color w:val="auto"/>
          <w:sz w:val="24"/>
          <w:szCs w:val="24"/>
        </w:rPr>
        <w:t>Univers</w:t>
      </w:r>
      <w:r w:rsidR="00903248" w:rsidRPr="004F0998">
        <w:rPr>
          <w:rFonts w:ascii="Book Antiqua" w:eastAsia="Arial Unicode MS" w:hAnsi="Book Antiqua" w:cs="Times New Roman"/>
          <w:color w:val="auto"/>
          <w:sz w:val="24"/>
          <w:szCs w:val="24"/>
        </w:rPr>
        <w:t xml:space="preserve">ity Clinic Hospital of Valencia, </w:t>
      </w:r>
      <w:r w:rsidR="00A7777F" w:rsidRPr="004F0998">
        <w:rPr>
          <w:rFonts w:ascii="Book Antiqua" w:eastAsia="Arial Unicode MS" w:hAnsi="Book Antiqua" w:cs="Times New Roman"/>
          <w:color w:val="auto"/>
          <w:sz w:val="24"/>
          <w:szCs w:val="24"/>
          <w:lang w:val="it-IT"/>
        </w:rPr>
        <w:t>Avda. Blasco Iba</w:t>
      </w:r>
      <w:r w:rsidR="00A7777F" w:rsidRPr="004F0998">
        <w:rPr>
          <w:rFonts w:ascii="Book Antiqua" w:eastAsia="Arial Unicode MS" w:hAnsi="Book Antiqua" w:cs="Times New Roman"/>
          <w:color w:val="auto"/>
          <w:sz w:val="24"/>
          <w:szCs w:val="24"/>
        </w:rPr>
        <w:t>ñez 17</w:t>
      </w:r>
      <w:r w:rsidR="00903248" w:rsidRPr="004F0998">
        <w:rPr>
          <w:rFonts w:ascii="Book Antiqua" w:eastAsia="Arial Unicode MS" w:hAnsi="Book Antiqua" w:cs="Times New Roman" w:hint="eastAsia"/>
          <w:color w:val="auto"/>
          <w:sz w:val="24"/>
          <w:szCs w:val="24"/>
          <w:lang w:eastAsia="zh-CN"/>
        </w:rPr>
        <w:t xml:space="preserve">, </w:t>
      </w:r>
      <w:r w:rsidR="00903248" w:rsidRPr="004F0998">
        <w:rPr>
          <w:rFonts w:ascii="Book Antiqua" w:eastAsia="Arial Unicode MS" w:hAnsi="Book Antiqua" w:cs="Times New Roman"/>
          <w:color w:val="auto"/>
          <w:sz w:val="24"/>
          <w:szCs w:val="24"/>
        </w:rPr>
        <w:t>46010</w:t>
      </w:r>
      <w:r w:rsidR="00A7777F" w:rsidRPr="004F0998">
        <w:rPr>
          <w:rFonts w:ascii="Book Antiqua" w:eastAsia="Arial Unicode MS" w:hAnsi="Book Antiqua" w:cs="Times New Roman"/>
          <w:color w:val="auto"/>
          <w:sz w:val="24"/>
          <w:szCs w:val="24"/>
        </w:rPr>
        <w:t xml:space="preserve"> Valencia, Spain</w:t>
      </w:r>
      <w:r w:rsidR="00903248" w:rsidRPr="004F0998">
        <w:rPr>
          <w:rFonts w:ascii="Book Antiqua" w:eastAsia="Arial Unicode MS" w:hAnsi="Book Antiqua" w:cs="Times New Roman" w:hint="eastAsia"/>
          <w:color w:val="auto"/>
          <w:sz w:val="24"/>
          <w:szCs w:val="24"/>
          <w:lang w:eastAsia="zh-CN"/>
        </w:rPr>
        <w:t xml:space="preserve">. </w:t>
      </w:r>
      <w:r w:rsidR="00A7777F" w:rsidRPr="004F0998">
        <w:rPr>
          <w:rFonts w:ascii="Book Antiqua" w:hAnsi="Book Antiqua" w:cs="Times New Roman"/>
          <w:color w:val="auto"/>
          <w:sz w:val="24"/>
          <w:szCs w:val="24"/>
        </w:rPr>
        <w:t>inflamatoriahcuv@gmail.com</w:t>
      </w:r>
    </w:p>
    <w:p w:rsidR="00EB4BCE" w:rsidRPr="004F0998" w:rsidRDefault="00A7777F" w:rsidP="00E729BA">
      <w:pPr>
        <w:pStyle w:val="Bibliografia"/>
        <w:spacing w:line="360" w:lineRule="auto"/>
        <w:rPr>
          <w:rFonts w:ascii="Book Antiqua" w:eastAsia="Arial Unicode MS" w:hAnsi="Book Antiqua" w:cs="Times New Roman"/>
          <w:color w:val="auto"/>
          <w:lang w:eastAsia="zh-CN"/>
        </w:rPr>
      </w:pPr>
      <w:r w:rsidRPr="004F0998">
        <w:rPr>
          <w:rFonts w:ascii="Book Antiqua" w:eastAsia="Arial Unicode MS" w:hAnsi="Book Antiqua" w:cs="Times New Roman"/>
          <w:b/>
          <w:color w:val="auto"/>
        </w:rPr>
        <w:t>Tel</w:t>
      </w:r>
      <w:r w:rsidR="00903248" w:rsidRPr="004F0998">
        <w:rPr>
          <w:rFonts w:ascii="Book Antiqua" w:eastAsia="Arial Unicode MS" w:hAnsi="Book Antiqua" w:cs="Times New Roman" w:hint="eastAsia"/>
          <w:b/>
          <w:color w:val="auto"/>
          <w:lang w:eastAsia="zh-CN"/>
        </w:rPr>
        <w:t>ephone</w:t>
      </w:r>
      <w:r w:rsidR="00903248" w:rsidRPr="004F0998">
        <w:rPr>
          <w:rFonts w:ascii="Book Antiqua" w:eastAsia="Arial Unicode MS" w:hAnsi="Book Antiqua" w:cs="Times New Roman" w:hint="eastAsia"/>
          <w:color w:val="auto"/>
          <w:lang w:eastAsia="zh-CN"/>
        </w:rPr>
        <w:t>:</w:t>
      </w:r>
      <w:r w:rsidRPr="004F0998">
        <w:rPr>
          <w:rFonts w:ascii="Book Antiqua" w:eastAsia="Arial Unicode MS" w:hAnsi="Book Antiqua" w:cs="Times New Roman"/>
          <w:color w:val="auto"/>
        </w:rPr>
        <w:t xml:space="preserve"> +34-96</w:t>
      </w:r>
      <w:r w:rsidR="00903248" w:rsidRPr="004F0998">
        <w:rPr>
          <w:rFonts w:ascii="Book Antiqua" w:eastAsia="Arial Unicode MS" w:hAnsi="Book Antiqua" w:cs="Times New Roman" w:hint="eastAsia"/>
          <w:color w:val="auto"/>
          <w:lang w:eastAsia="zh-CN"/>
        </w:rPr>
        <w:t>-</w:t>
      </w:r>
      <w:r w:rsidRPr="004F0998">
        <w:rPr>
          <w:rFonts w:ascii="Book Antiqua" w:eastAsia="Arial Unicode MS" w:hAnsi="Book Antiqua" w:cs="Times New Roman"/>
          <w:color w:val="auto"/>
        </w:rPr>
        <w:t>1973500</w:t>
      </w:r>
    </w:p>
    <w:p w:rsidR="00903248" w:rsidRPr="004F0998" w:rsidRDefault="00903248" w:rsidP="00E729BA">
      <w:pPr>
        <w:pStyle w:val="Bibliografia"/>
        <w:spacing w:line="360" w:lineRule="auto"/>
        <w:rPr>
          <w:rFonts w:ascii="Book Antiqua" w:eastAsia="Arial Unicode MS" w:hAnsi="Book Antiqua" w:cs="Times New Roman"/>
          <w:color w:val="auto"/>
          <w:lang w:val="it-IT" w:eastAsia="zh-CN"/>
        </w:rPr>
      </w:pPr>
    </w:p>
    <w:p w:rsidR="0064691D" w:rsidRPr="004F0998" w:rsidRDefault="0064691D" w:rsidP="00E729BA">
      <w:pPr>
        <w:spacing w:after="0" w:line="360" w:lineRule="auto"/>
        <w:jc w:val="both"/>
        <w:rPr>
          <w:rFonts w:ascii="Book Antiqua" w:hAnsi="Book Antiqua"/>
          <w:color w:val="auto"/>
          <w:sz w:val="24"/>
          <w:szCs w:val="24"/>
          <w:lang w:eastAsia="zh-CN"/>
        </w:rPr>
      </w:pPr>
      <w:bookmarkStart w:id="30" w:name="OLE_LINK476"/>
      <w:bookmarkStart w:id="31" w:name="OLE_LINK477"/>
      <w:bookmarkStart w:id="32" w:name="OLE_LINK117"/>
      <w:bookmarkStart w:id="33" w:name="OLE_LINK528"/>
      <w:bookmarkStart w:id="34" w:name="OLE_LINK557"/>
      <w:r w:rsidRPr="004F0998">
        <w:rPr>
          <w:rFonts w:ascii="Book Antiqua" w:hAnsi="Book Antiqua"/>
          <w:b/>
          <w:color w:val="auto"/>
          <w:sz w:val="24"/>
          <w:szCs w:val="24"/>
        </w:rPr>
        <w:t>Received:</w:t>
      </w:r>
      <w:r w:rsidR="00903248" w:rsidRPr="004F0998">
        <w:rPr>
          <w:rFonts w:ascii="Book Antiqua" w:hAnsi="Book Antiqua" w:hint="eastAsia"/>
          <w:b/>
          <w:color w:val="auto"/>
          <w:sz w:val="24"/>
          <w:szCs w:val="24"/>
          <w:lang w:eastAsia="zh-CN"/>
        </w:rPr>
        <w:t xml:space="preserve"> </w:t>
      </w:r>
      <w:r w:rsidR="00903248" w:rsidRPr="004F0998">
        <w:rPr>
          <w:rFonts w:ascii="Book Antiqua" w:hAnsi="Book Antiqua" w:hint="eastAsia"/>
          <w:color w:val="auto"/>
          <w:sz w:val="24"/>
          <w:szCs w:val="24"/>
          <w:lang w:eastAsia="zh-CN"/>
        </w:rPr>
        <w:t>August 9, 2016</w:t>
      </w:r>
    </w:p>
    <w:p w:rsidR="00903248" w:rsidRPr="004F0998" w:rsidRDefault="0064691D" w:rsidP="00E729BA">
      <w:pPr>
        <w:spacing w:after="0" w:line="360" w:lineRule="auto"/>
        <w:jc w:val="both"/>
        <w:rPr>
          <w:rFonts w:ascii="Book Antiqua" w:hAnsi="Book Antiqua"/>
          <w:b/>
          <w:color w:val="auto"/>
          <w:sz w:val="24"/>
          <w:szCs w:val="24"/>
          <w:lang w:eastAsia="zh-CN"/>
        </w:rPr>
      </w:pPr>
      <w:r w:rsidRPr="004F0998">
        <w:rPr>
          <w:rFonts w:ascii="Book Antiqua" w:hAnsi="Book Antiqua"/>
          <w:b/>
          <w:color w:val="auto"/>
          <w:sz w:val="24"/>
          <w:szCs w:val="24"/>
        </w:rPr>
        <w:t xml:space="preserve">Peer-review </w:t>
      </w:r>
      <w:r w:rsidR="00C67A64">
        <w:rPr>
          <w:rFonts w:ascii="Book Antiqua" w:hAnsi="Book Antiqua"/>
          <w:b/>
          <w:color w:val="auto"/>
          <w:sz w:val="24"/>
          <w:szCs w:val="24"/>
        </w:rPr>
        <w:t>started</w:t>
      </w:r>
      <w:r w:rsidR="00C67A64">
        <w:rPr>
          <w:rFonts w:ascii="Book Antiqua" w:hAnsi="Book Antiqua" w:hint="eastAsia"/>
          <w:b/>
          <w:color w:val="auto"/>
          <w:sz w:val="24"/>
          <w:szCs w:val="24"/>
          <w:lang w:eastAsia="zh-CN"/>
        </w:rPr>
        <w:t>:</w:t>
      </w:r>
      <w:r w:rsidR="00903248" w:rsidRPr="004F0998">
        <w:rPr>
          <w:rFonts w:ascii="Book Antiqua" w:hAnsi="Book Antiqua" w:hint="eastAsia"/>
          <w:b/>
          <w:color w:val="auto"/>
          <w:sz w:val="24"/>
          <w:szCs w:val="24"/>
          <w:lang w:eastAsia="zh-CN"/>
        </w:rPr>
        <w:t xml:space="preserve"> </w:t>
      </w:r>
      <w:r w:rsidR="00903248" w:rsidRPr="004F0998">
        <w:rPr>
          <w:rFonts w:ascii="Book Antiqua" w:hAnsi="Book Antiqua" w:hint="eastAsia"/>
          <w:color w:val="auto"/>
          <w:sz w:val="24"/>
          <w:szCs w:val="24"/>
          <w:lang w:eastAsia="zh-CN"/>
        </w:rPr>
        <w:t>August 11, 2016</w:t>
      </w:r>
    </w:p>
    <w:p w:rsidR="0064691D" w:rsidRPr="004F0998" w:rsidRDefault="0064691D" w:rsidP="00E729BA">
      <w:pPr>
        <w:spacing w:after="0" w:line="360" w:lineRule="auto"/>
        <w:jc w:val="both"/>
        <w:rPr>
          <w:rFonts w:ascii="Book Antiqua" w:hAnsi="Book Antiqua"/>
          <w:color w:val="auto"/>
          <w:sz w:val="24"/>
          <w:szCs w:val="24"/>
          <w:lang w:eastAsia="zh-CN"/>
        </w:rPr>
      </w:pPr>
      <w:r w:rsidRPr="004F0998">
        <w:rPr>
          <w:rFonts w:ascii="Book Antiqua" w:hAnsi="Book Antiqua"/>
          <w:b/>
          <w:color w:val="auto"/>
          <w:sz w:val="24"/>
          <w:szCs w:val="24"/>
        </w:rPr>
        <w:t>First decision:</w:t>
      </w:r>
      <w:r w:rsidR="00903248" w:rsidRPr="004F0998">
        <w:rPr>
          <w:rFonts w:ascii="Book Antiqua" w:hAnsi="Book Antiqua" w:hint="eastAsia"/>
          <w:b/>
          <w:color w:val="auto"/>
          <w:sz w:val="24"/>
          <w:szCs w:val="24"/>
          <w:lang w:eastAsia="zh-CN"/>
        </w:rPr>
        <w:t xml:space="preserve"> </w:t>
      </w:r>
      <w:r w:rsidR="00903248" w:rsidRPr="004F0998">
        <w:rPr>
          <w:rFonts w:ascii="Book Antiqua" w:hAnsi="Book Antiqua" w:hint="eastAsia"/>
          <w:color w:val="auto"/>
          <w:sz w:val="24"/>
          <w:szCs w:val="24"/>
          <w:lang w:eastAsia="zh-CN"/>
        </w:rPr>
        <w:t>September 5, 2016</w:t>
      </w:r>
    </w:p>
    <w:p w:rsidR="0064691D" w:rsidRPr="004F0998" w:rsidRDefault="0064691D" w:rsidP="00E729BA">
      <w:pPr>
        <w:spacing w:after="0" w:line="360" w:lineRule="auto"/>
        <w:jc w:val="both"/>
        <w:rPr>
          <w:rFonts w:ascii="Book Antiqua" w:hAnsi="Book Antiqua"/>
          <w:b/>
          <w:color w:val="auto"/>
          <w:sz w:val="24"/>
          <w:szCs w:val="24"/>
        </w:rPr>
      </w:pPr>
      <w:r w:rsidRPr="004F0998">
        <w:rPr>
          <w:rFonts w:ascii="Book Antiqua" w:hAnsi="Book Antiqua"/>
          <w:b/>
          <w:color w:val="auto"/>
          <w:sz w:val="24"/>
          <w:szCs w:val="24"/>
        </w:rPr>
        <w:t>Revised:</w:t>
      </w:r>
      <w:r w:rsidR="00903248" w:rsidRPr="004F0998">
        <w:rPr>
          <w:rFonts w:ascii="Book Antiqua" w:hAnsi="Book Antiqua" w:hint="eastAsia"/>
          <w:color w:val="auto"/>
          <w:sz w:val="24"/>
          <w:szCs w:val="24"/>
          <w:lang w:eastAsia="zh-CN"/>
        </w:rPr>
        <w:t xml:space="preserve"> September 25, 2016</w:t>
      </w:r>
    </w:p>
    <w:p w:rsidR="0064691D" w:rsidRPr="004F0998" w:rsidRDefault="0064691D" w:rsidP="00E729BA">
      <w:pPr>
        <w:spacing w:after="0" w:line="360" w:lineRule="auto"/>
        <w:jc w:val="both"/>
        <w:rPr>
          <w:rFonts w:ascii="Book Antiqua" w:hAnsi="Book Antiqua"/>
          <w:b/>
          <w:color w:val="auto"/>
          <w:sz w:val="24"/>
          <w:szCs w:val="24"/>
        </w:rPr>
      </w:pPr>
      <w:r w:rsidRPr="004F0998">
        <w:rPr>
          <w:rFonts w:ascii="Book Antiqua" w:hAnsi="Book Antiqua"/>
          <w:b/>
          <w:color w:val="auto"/>
          <w:sz w:val="24"/>
          <w:szCs w:val="24"/>
        </w:rPr>
        <w:t>Accepted:</w:t>
      </w:r>
      <w:r w:rsidR="009144E5" w:rsidRPr="009144E5">
        <w:rPr>
          <w:rFonts w:ascii="Book Antiqua" w:hAnsi="Book Antiqua"/>
          <w:color w:val="000000"/>
          <w:sz w:val="24"/>
        </w:rPr>
        <w:t xml:space="preserve"> </w:t>
      </w:r>
      <w:r w:rsidR="009144E5">
        <w:rPr>
          <w:rFonts w:ascii="Book Antiqua" w:hAnsi="Book Antiqua"/>
          <w:color w:val="000000"/>
          <w:sz w:val="24"/>
        </w:rPr>
        <w:t>October 30, 2016</w:t>
      </w:r>
      <w:bookmarkStart w:id="35" w:name="_GoBack"/>
      <w:bookmarkEnd w:id="35"/>
      <w:r w:rsidRPr="004F0998">
        <w:rPr>
          <w:rFonts w:ascii="Book Antiqua" w:hAnsi="Book Antiqua"/>
          <w:b/>
          <w:color w:val="auto"/>
          <w:sz w:val="24"/>
          <w:szCs w:val="24"/>
        </w:rPr>
        <w:t xml:space="preserve">  </w:t>
      </w:r>
    </w:p>
    <w:p w:rsidR="0064691D" w:rsidRPr="004F0998" w:rsidRDefault="0064691D" w:rsidP="00E729BA">
      <w:pPr>
        <w:spacing w:after="0" w:line="360" w:lineRule="auto"/>
        <w:jc w:val="both"/>
        <w:rPr>
          <w:rFonts w:ascii="Book Antiqua" w:hAnsi="Book Antiqua"/>
          <w:b/>
          <w:color w:val="auto"/>
          <w:sz w:val="24"/>
          <w:szCs w:val="24"/>
        </w:rPr>
      </w:pPr>
      <w:r w:rsidRPr="004F0998">
        <w:rPr>
          <w:rFonts w:ascii="Book Antiqua" w:hAnsi="Book Antiqua"/>
          <w:b/>
          <w:color w:val="auto"/>
          <w:sz w:val="24"/>
          <w:szCs w:val="24"/>
        </w:rPr>
        <w:t>Article in press:</w:t>
      </w:r>
    </w:p>
    <w:p w:rsidR="0064691D" w:rsidRPr="004F0998" w:rsidRDefault="0064691D" w:rsidP="00E729BA">
      <w:pPr>
        <w:spacing w:after="0" w:line="360" w:lineRule="auto"/>
        <w:jc w:val="both"/>
        <w:rPr>
          <w:rFonts w:ascii="Book Antiqua" w:hAnsi="Book Antiqua"/>
          <w:b/>
          <w:color w:val="auto"/>
          <w:sz w:val="24"/>
          <w:szCs w:val="24"/>
        </w:rPr>
      </w:pPr>
      <w:r w:rsidRPr="004F0998">
        <w:rPr>
          <w:rFonts w:ascii="Book Antiqua" w:hAnsi="Book Antiqua"/>
          <w:b/>
          <w:color w:val="auto"/>
          <w:sz w:val="24"/>
          <w:szCs w:val="24"/>
        </w:rPr>
        <w:t>Published online:</w:t>
      </w:r>
    </w:p>
    <w:bookmarkEnd w:id="30"/>
    <w:bookmarkEnd w:id="31"/>
    <w:bookmarkEnd w:id="32"/>
    <w:bookmarkEnd w:id="33"/>
    <w:bookmarkEnd w:id="34"/>
    <w:p w:rsidR="00EB4BCE" w:rsidRPr="004F0998" w:rsidRDefault="007C3806" w:rsidP="00E729BA">
      <w:pPr>
        <w:suppressAutoHyphens w:val="0"/>
        <w:spacing w:after="0" w:line="360" w:lineRule="auto"/>
        <w:jc w:val="both"/>
        <w:rPr>
          <w:rFonts w:ascii="Book Antiqua" w:eastAsia="Arial Unicode MS" w:hAnsi="Book Antiqua" w:cs="Times New Roman"/>
          <w:b/>
          <w:color w:val="auto"/>
          <w:sz w:val="24"/>
          <w:szCs w:val="24"/>
          <w:lang w:val="it-IT" w:eastAsia="en-US"/>
        </w:rPr>
      </w:pPr>
      <w:r w:rsidRPr="004F0998">
        <w:rPr>
          <w:rFonts w:ascii="Book Antiqua" w:eastAsia="Arial Unicode MS" w:hAnsi="Book Antiqua" w:cs="Times New Roman"/>
          <w:b/>
          <w:color w:val="auto"/>
          <w:sz w:val="24"/>
          <w:szCs w:val="24"/>
          <w:lang w:val="it-IT"/>
        </w:rPr>
        <w:br w:type="page"/>
      </w:r>
    </w:p>
    <w:p w:rsidR="00EB4BCE" w:rsidRPr="004F0998" w:rsidRDefault="00A7777F" w:rsidP="00E729BA">
      <w:pPr>
        <w:pStyle w:val="Bibliografia"/>
        <w:spacing w:line="360" w:lineRule="auto"/>
        <w:rPr>
          <w:rFonts w:ascii="Book Antiqua" w:eastAsia="Arial Unicode MS" w:hAnsi="Book Antiqua" w:cs="Times New Roman"/>
          <w:b/>
          <w:color w:val="auto"/>
          <w:lang w:val="it-IT" w:eastAsia="zh-CN"/>
        </w:rPr>
      </w:pPr>
      <w:r w:rsidRPr="004F0998">
        <w:rPr>
          <w:rFonts w:ascii="Book Antiqua" w:eastAsia="Arial Unicode MS" w:hAnsi="Book Antiqua" w:cs="Times New Roman"/>
          <w:b/>
          <w:color w:val="auto"/>
          <w:lang w:val="it-IT"/>
        </w:rPr>
        <w:lastRenderedPageBreak/>
        <w:t>A</w:t>
      </w:r>
      <w:r w:rsidR="0064691D" w:rsidRPr="004F0998">
        <w:rPr>
          <w:rFonts w:ascii="Book Antiqua" w:eastAsia="Arial Unicode MS" w:hAnsi="Book Antiqua" w:cs="Times New Roman"/>
          <w:b/>
          <w:color w:val="auto"/>
          <w:lang w:val="it-IT"/>
        </w:rPr>
        <w:t>bstract</w:t>
      </w:r>
    </w:p>
    <w:p w:rsidR="00903248" w:rsidRPr="004F0998" w:rsidRDefault="000E03CB" w:rsidP="00E729BA">
      <w:pPr>
        <w:spacing w:after="0" w:line="360" w:lineRule="auto"/>
        <w:jc w:val="both"/>
        <w:rPr>
          <w:rFonts w:ascii="Book Antiqua" w:hAnsi="Book Antiqua" w:cs="Optima"/>
          <w:i/>
          <w:color w:val="auto"/>
          <w:sz w:val="24"/>
          <w:szCs w:val="24"/>
          <w:lang w:eastAsia="zh-CN"/>
        </w:rPr>
      </w:pPr>
      <w:r w:rsidRPr="004F0998">
        <w:rPr>
          <w:rFonts w:ascii="Book Antiqua" w:eastAsia="Optima" w:hAnsi="Book Antiqua" w:cs="Optima"/>
          <w:b/>
          <w:i/>
          <w:color w:val="auto"/>
          <w:sz w:val="24"/>
          <w:szCs w:val="24"/>
        </w:rPr>
        <w:t>AIM</w:t>
      </w:r>
    </w:p>
    <w:p w:rsidR="000E03CB" w:rsidRPr="004F0998" w:rsidRDefault="00903248" w:rsidP="00E729BA">
      <w:pPr>
        <w:spacing w:after="0" w:line="360" w:lineRule="auto"/>
        <w:jc w:val="both"/>
        <w:rPr>
          <w:rFonts w:ascii="Book Antiqua" w:hAnsi="Book Antiqua" w:cs="Times New Roman"/>
          <w:color w:val="auto"/>
          <w:sz w:val="24"/>
          <w:szCs w:val="24"/>
          <w:lang w:eastAsia="zh-CN"/>
        </w:rPr>
      </w:pPr>
      <w:r w:rsidRPr="004F0998">
        <w:rPr>
          <w:rFonts w:ascii="Book Antiqua" w:eastAsia="Times New Roman" w:hAnsi="Book Antiqua" w:cs="Times New Roman"/>
          <w:color w:val="auto"/>
          <w:sz w:val="24"/>
          <w:szCs w:val="24"/>
        </w:rPr>
        <w:t xml:space="preserve">To </w:t>
      </w:r>
      <w:r w:rsidR="000E03CB" w:rsidRPr="004F0998">
        <w:rPr>
          <w:rFonts w:ascii="Book Antiqua" w:eastAsia="Times New Roman" w:hAnsi="Book Antiqua" w:cs="Times New Roman"/>
          <w:color w:val="auto"/>
          <w:sz w:val="24"/>
          <w:szCs w:val="24"/>
        </w:rPr>
        <w:t xml:space="preserve">evaluate the </w:t>
      </w:r>
      <w:r w:rsidR="006624AE" w:rsidRPr="004F0998">
        <w:rPr>
          <w:rFonts w:ascii="Book Antiqua" w:eastAsia="Times New Roman" w:hAnsi="Book Antiqua" w:cs="Times New Roman"/>
          <w:color w:val="auto"/>
          <w:sz w:val="24"/>
          <w:szCs w:val="24"/>
        </w:rPr>
        <w:t>real-world effectiveness of </w:t>
      </w:r>
      <w:r w:rsidR="001E796F" w:rsidRPr="004F0998">
        <w:rPr>
          <w:rFonts w:ascii="Book Antiqua" w:eastAsia="Times New Roman" w:hAnsi="Book Antiqua" w:cs="Times New Roman"/>
          <w:color w:val="auto"/>
          <w:sz w:val="24"/>
          <w:szCs w:val="24"/>
        </w:rPr>
        <w:t>golimumab</w:t>
      </w:r>
      <w:r w:rsidR="00304BB0" w:rsidRPr="004F0998">
        <w:rPr>
          <w:rFonts w:ascii="Book Antiqua" w:eastAsia="Times New Roman" w:hAnsi="Book Antiqua" w:cs="Times New Roman"/>
          <w:color w:val="auto"/>
          <w:sz w:val="24"/>
          <w:szCs w:val="24"/>
        </w:rPr>
        <w:t> in</w:t>
      </w:r>
      <w:r w:rsidR="00EE49FC" w:rsidRPr="004F0998">
        <w:rPr>
          <w:rFonts w:ascii="Book Antiqua" w:eastAsia="Times New Roman" w:hAnsi="Book Antiqua" w:cs="Times New Roman"/>
          <w:color w:val="auto"/>
          <w:sz w:val="24"/>
          <w:szCs w:val="24"/>
        </w:rPr>
        <w:t xml:space="preserve"> </w:t>
      </w:r>
      <w:r w:rsidR="000E03CB" w:rsidRPr="004F0998">
        <w:rPr>
          <w:rFonts w:ascii="Book Antiqua" w:eastAsia="Times New Roman" w:hAnsi="Book Antiqua" w:cs="Times New Roman"/>
          <w:color w:val="auto"/>
          <w:sz w:val="24"/>
          <w:szCs w:val="24"/>
        </w:rPr>
        <w:t>UC and to identify predictors of response.</w:t>
      </w:r>
    </w:p>
    <w:p w:rsidR="00903248" w:rsidRPr="004F0998" w:rsidRDefault="00903248" w:rsidP="00E729BA">
      <w:pPr>
        <w:spacing w:after="0" w:line="360" w:lineRule="auto"/>
        <w:jc w:val="both"/>
        <w:rPr>
          <w:rFonts w:ascii="Book Antiqua" w:hAnsi="Book Antiqua"/>
          <w:color w:val="auto"/>
          <w:sz w:val="24"/>
          <w:szCs w:val="24"/>
          <w:lang w:eastAsia="zh-CN"/>
        </w:rPr>
      </w:pPr>
    </w:p>
    <w:p w:rsidR="00903248" w:rsidRPr="004F0998" w:rsidRDefault="000E03CB" w:rsidP="00E729BA">
      <w:pPr>
        <w:spacing w:after="0" w:line="360" w:lineRule="auto"/>
        <w:jc w:val="both"/>
        <w:rPr>
          <w:rFonts w:ascii="Book Antiqua" w:hAnsi="Book Antiqua" w:cs="Optima"/>
          <w:i/>
          <w:color w:val="auto"/>
          <w:sz w:val="24"/>
          <w:szCs w:val="24"/>
          <w:lang w:eastAsia="zh-CN"/>
        </w:rPr>
      </w:pPr>
      <w:r w:rsidRPr="004F0998">
        <w:rPr>
          <w:rFonts w:ascii="Book Antiqua" w:eastAsia="Optima" w:hAnsi="Book Antiqua" w:cs="Optima"/>
          <w:b/>
          <w:i/>
          <w:color w:val="auto"/>
          <w:sz w:val="24"/>
          <w:szCs w:val="24"/>
        </w:rPr>
        <w:t>METHODS</w:t>
      </w:r>
    </w:p>
    <w:p w:rsidR="000E03CB" w:rsidRPr="004F0998" w:rsidRDefault="000E03CB" w:rsidP="00E729BA">
      <w:pPr>
        <w:spacing w:after="0" w:line="360" w:lineRule="auto"/>
        <w:jc w:val="both"/>
        <w:rPr>
          <w:rFonts w:ascii="Book Antiqua" w:hAnsi="Book Antiqua" w:cs="Optima"/>
          <w:color w:val="auto"/>
          <w:sz w:val="24"/>
          <w:szCs w:val="24"/>
          <w:lang w:eastAsia="zh-CN"/>
        </w:rPr>
      </w:pPr>
      <w:r w:rsidRPr="004F0998">
        <w:rPr>
          <w:rFonts w:ascii="Book Antiqua" w:eastAsia="Optima" w:hAnsi="Book Antiqua" w:cs="Optima"/>
          <w:color w:val="auto"/>
          <w:sz w:val="24"/>
          <w:szCs w:val="24"/>
        </w:rPr>
        <w:t>We conducted an observational, prospective and multi-center stu</w:t>
      </w:r>
      <w:r w:rsidR="006624AE" w:rsidRPr="004F0998">
        <w:rPr>
          <w:rFonts w:ascii="Book Antiqua" w:eastAsia="Optima" w:hAnsi="Book Antiqua" w:cs="Optima"/>
          <w:color w:val="auto"/>
          <w:sz w:val="24"/>
          <w:szCs w:val="24"/>
        </w:rPr>
        <w:t xml:space="preserve">dy in UC patients treated with </w:t>
      </w:r>
      <w:r w:rsidR="001E796F" w:rsidRPr="004F0998">
        <w:rPr>
          <w:rFonts w:ascii="Book Antiqua" w:eastAsia="Optima" w:hAnsi="Book Antiqua" w:cs="Optima"/>
          <w:color w:val="auto"/>
          <w:sz w:val="24"/>
          <w:szCs w:val="24"/>
        </w:rPr>
        <w:t>golimumab</w:t>
      </w:r>
      <w:r w:rsidRPr="004F0998">
        <w:rPr>
          <w:rFonts w:ascii="Book Antiqua" w:eastAsia="Optima" w:hAnsi="Book Antiqua" w:cs="Optima"/>
          <w:color w:val="auto"/>
          <w:sz w:val="24"/>
          <w:szCs w:val="24"/>
        </w:rPr>
        <w:t>, from September 2014 to September</w:t>
      </w:r>
      <w:r w:rsidR="000F5D43" w:rsidRPr="004F0998">
        <w:rPr>
          <w:rFonts w:ascii="Book Antiqua" w:eastAsia="Optima" w:hAnsi="Book Antiqua" w:cs="Optima"/>
          <w:color w:val="auto"/>
          <w:sz w:val="24"/>
          <w:szCs w:val="24"/>
        </w:rPr>
        <w:t xml:space="preserve"> 2015</w:t>
      </w:r>
      <w:r w:rsidRPr="004F0998">
        <w:rPr>
          <w:rFonts w:ascii="Book Antiqua" w:eastAsia="Optima" w:hAnsi="Book Antiqua" w:cs="Optima"/>
          <w:color w:val="auto"/>
          <w:sz w:val="24"/>
          <w:szCs w:val="24"/>
        </w:rPr>
        <w:t xml:space="preserve">. Clinical activity was assessed at week 0 and 14 with the physician’s </w:t>
      </w:r>
      <w:r w:rsidR="006624AE" w:rsidRPr="004F0998">
        <w:rPr>
          <w:rFonts w:ascii="Book Antiqua" w:eastAsia="Optima" w:hAnsi="Book Antiqua" w:cs="Optima"/>
          <w:color w:val="auto"/>
          <w:sz w:val="24"/>
          <w:szCs w:val="24"/>
        </w:rPr>
        <w:t xml:space="preserve">global clinical </w:t>
      </w:r>
      <w:r w:rsidRPr="004F0998">
        <w:rPr>
          <w:rFonts w:ascii="Book Antiqua" w:eastAsia="Optima" w:hAnsi="Book Antiqua" w:cs="Optima"/>
          <w:color w:val="auto"/>
          <w:sz w:val="24"/>
          <w:szCs w:val="24"/>
        </w:rPr>
        <w:t>assessment (PGA) and the partial Mayo score. Colonoscopies and blood tests were performed, following daily-practice clinical criteria, and the results were recorded in an SPSS database.</w:t>
      </w:r>
    </w:p>
    <w:p w:rsidR="00903248" w:rsidRPr="004F0998" w:rsidRDefault="00903248" w:rsidP="00E729BA">
      <w:pPr>
        <w:spacing w:after="0" w:line="360" w:lineRule="auto"/>
        <w:jc w:val="both"/>
        <w:rPr>
          <w:rFonts w:ascii="Book Antiqua" w:hAnsi="Book Antiqua" w:cs="Optima"/>
          <w:color w:val="auto"/>
          <w:sz w:val="24"/>
          <w:szCs w:val="24"/>
          <w:lang w:eastAsia="zh-CN"/>
        </w:rPr>
      </w:pPr>
    </w:p>
    <w:p w:rsidR="00903248" w:rsidRPr="004F0998" w:rsidRDefault="000E03CB" w:rsidP="00E729BA">
      <w:pPr>
        <w:spacing w:after="0" w:line="360" w:lineRule="auto"/>
        <w:jc w:val="both"/>
        <w:rPr>
          <w:rFonts w:ascii="Book Antiqua" w:hAnsi="Book Antiqua" w:cs="Optima"/>
          <w:i/>
          <w:color w:val="auto"/>
          <w:sz w:val="24"/>
          <w:szCs w:val="24"/>
          <w:lang w:eastAsia="zh-CN"/>
        </w:rPr>
      </w:pPr>
      <w:r w:rsidRPr="004F0998">
        <w:rPr>
          <w:rFonts w:ascii="Book Antiqua" w:eastAsia="Optima" w:hAnsi="Book Antiqua" w:cs="Optima"/>
          <w:b/>
          <w:i/>
          <w:color w:val="auto"/>
          <w:sz w:val="24"/>
          <w:szCs w:val="24"/>
        </w:rPr>
        <w:t>RESULTS</w:t>
      </w:r>
    </w:p>
    <w:p w:rsidR="000E03CB" w:rsidRPr="004F0998" w:rsidRDefault="000E03CB" w:rsidP="00E729BA">
      <w:pPr>
        <w:spacing w:after="0" w:line="360" w:lineRule="auto"/>
        <w:jc w:val="both"/>
        <w:rPr>
          <w:rFonts w:ascii="Book Antiqua" w:hAnsi="Book Antiqua"/>
          <w:color w:val="auto"/>
          <w:sz w:val="24"/>
          <w:szCs w:val="24"/>
          <w:lang w:eastAsia="zh-CN"/>
        </w:rPr>
      </w:pPr>
      <w:r w:rsidRPr="004F0998">
        <w:rPr>
          <w:rFonts w:ascii="Book Antiqua" w:eastAsia="Optima" w:hAnsi="Book Antiqua" w:cs="Optima"/>
          <w:color w:val="auto"/>
          <w:sz w:val="24"/>
          <w:szCs w:val="24"/>
        </w:rPr>
        <w:t xml:space="preserve">Thirty-three consecutive patients with moderate-to-severely active UC were included.  54.5% were </w:t>
      </w:r>
      <w:r w:rsidR="006624AE" w:rsidRPr="004F0998">
        <w:rPr>
          <w:rFonts w:ascii="Book Antiqua" w:eastAsia="Optima" w:hAnsi="Book Antiqua" w:cs="Optima"/>
          <w:color w:val="auto"/>
          <w:sz w:val="24"/>
          <w:szCs w:val="24"/>
        </w:rPr>
        <w:t xml:space="preserve">female; </w:t>
      </w:r>
      <w:r w:rsidR="00015A49" w:rsidRPr="004F0998">
        <w:rPr>
          <w:rFonts w:ascii="Book Antiqua" w:eastAsia="Optima" w:hAnsi="Book Antiqua" w:cs="Optima"/>
          <w:color w:val="auto"/>
          <w:sz w:val="24"/>
          <w:szCs w:val="24"/>
        </w:rPr>
        <w:t>42 years was the</w:t>
      </w:r>
      <w:r w:rsidRPr="004F0998">
        <w:rPr>
          <w:rFonts w:ascii="Book Antiqua" w:eastAsia="Optima" w:hAnsi="Book Antiqua" w:cs="Optima"/>
          <w:color w:val="auto"/>
          <w:sz w:val="24"/>
          <w:szCs w:val="24"/>
        </w:rPr>
        <w:t xml:space="preserve"> average age. </w:t>
      </w:r>
      <w:r w:rsidR="00903248" w:rsidRPr="004F0998">
        <w:rPr>
          <w:rFonts w:ascii="Book Antiqua" w:eastAsia="Optima" w:hAnsi="Book Antiqua" w:cs="Optima"/>
          <w:color w:val="auto"/>
          <w:sz w:val="24"/>
          <w:szCs w:val="24"/>
        </w:rPr>
        <w:t>Thirty</w:t>
      </w:r>
      <w:r w:rsidR="00903248" w:rsidRPr="004F0998">
        <w:rPr>
          <w:rFonts w:ascii="Book Antiqua" w:eastAsia="Optima" w:hAnsi="Book Antiqua" w:cs="Optima" w:hint="eastAsia"/>
          <w:color w:val="auto"/>
          <w:sz w:val="24"/>
          <w:szCs w:val="24"/>
          <w:lang w:eastAsia="zh-CN"/>
        </w:rPr>
        <w:t xml:space="preserve"> percent</w:t>
      </w:r>
      <w:r w:rsidRPr="004F0998">
        <w:rPr>
          <w:rFonts w:ascii="Book Antiqua" w:eastAsia="Optima" w:hAnsi="Book Antiqua" w:cs="Optima"/>
          <w:color w:val="auto"/>
          <w:sz w:val="24"/>
          <w:szCs w:val="24"/>
        </w:rPr>
        <w:t xml:space="preserve"> had left-sided UC (E2) and 70% had extensive UC (E3). All patients had an endoscopic Mayo score of 2 or 3 at baseline. </w:t>
      </w:r>
      <w:r w:rsidR="004F0998" w:rsidRPr="004F0998">
        <w:rPr>
          <w:rFonts w:ascii="Book Antiqua" w:eastAsia="Optima" w:hAnsi="Book Antiqua" w:cs="Optima"/>
          <w:color w:val="auto"/>
          <w:sz w:val="24"/>
          <w:szCs w:val="24"/>
        </w:rPr>
        <w:t>Twenty-seven point three</w:t>
      </w:r>
      <w:r w:rsidR="004F0998" w:rsidRPr="004F0998">
        <w:rPr>
          <w:rFonts w:ascii="Book Antiqua" w:eastAsia="Optima" w:hAnsi="Book Antiqua" w:cs="Optima" w:hint="eastAsia"/>
          <w:color w:val="auto"/>
          <w:sz w:val="24"/>
          <w:szCs w:val="24"/>
          <w:lang w:eastAsia="zh-CN"/>
        </w:rPr>
        <w:t xml:space="preserve"> percent</w:t>
      </w:r>
      <w:r w:rsidRPr="004F0998">
        <w:rPr>
          <w:rFonts w:ascii="Book Antiqua" w:eastAsia="Optima" w:hAnsi="Book Antiqua" w:cs="Optima"/>
          <w:color w:val="auto"/>
          <w:sz w:val="24"/>
          <w:szCs w:val="24"/>
        </w:rPr>
        <w:t xml:space="preserve"> were anti-TNF naïve, whereas 72.7% had previously received infliximab and/or adalimumab.</w:t>
      </w:r>
      <w:r w:rsidR="00903248" w:rsidRPr="004F0998">
        <w:rPr>
          <w:rFonts w:ascii="Book Antiqua" w:hAnsi="Book Antiqua" w:cs="Optima" w:hint="eastAsia"/>
          <w:color w:val="auto"/>
          <w:sz w:val="24"/>
          <w:szCs w:val="24"/>
          <w:lang w:eastAsia="zh-CN"/>
        </w:rPr>
        <w:t xml:space="preserve"> </w:t>
      </w:r>
      <w:r w:rsidR="00903248" w:rsidRPr="004F0998">
        <w:rPr>
          <w:rFonts w:ascii="Book Antiqua" w:hAnsi="Book Antiqua"/>
          <w:color w:val="auto"/>
          <w:sz w:val="24"/>
          <w:szCs w:val="24"/>
        </w:rPr>
        <w:t>Sixty-nine point seven</w:t>
      </w:r>
      <w:r w:rsidR="00903248" w:rsidRPr="004F0998">
        <w:rPr>
          <w:rFonts w:ascii="Book Antiqua" w:hAnsi="Book Antiqua" w:hint="eastAsia"/>
          <w:color w:val="auto"/>
          <w:sz w:val="24"/>
          <w:szCs w:val="24"/>
          <w:lang w:eastAsia="zh-CN"/>
        </w:rPr>
        <w:t xml:space="preserve"> </w:t>
      </w:r>
      <w:r w:rsidR="00903248" w:rsidRPr="004F0998">
        <w:rPr>
          <w:rFonts w:ascii="Book Antiqua" w:eastAsia="Optima" w:hAnsi="Book Antiqua" w:cs="Optima" w:hint="eastAsia"/>
          <w:color w:val="auto"/>
          <w:sz w:val="24"/>
          <w:szCs w:val="24"/>
          <w:lang w:eastAsia="zh-CN"/>
        </w:rPr>
        <w:t>percent</w:t>
      </w:r>
      <w:r w:rsidRPr="004F0998">
        <w:rPr>
          <w:rFonts w:ascii="Book Antiqua" w:hAnsi="Book Antiqua"/>
          <w:color w:val="auto"/>
          <w:sz w:val="24"/>
          <w:szCs w:val="24"/>
        </w:rPr>
        <w:t xml:space="preserve"> showed clinical response and were steroid-free at week 14 (a decrease from baseline in the partial Mayo score of at least 3 points). Based on PGA, clinical remission and clinical response was 24% and 55%. Withdrawal of corticosteroids was observed in 70.8% of steroid</w:t>
      </w:r>
      <w:r w:rsidR="006624AE" w:rsidRPr="004F0998">
        <w:rPr>
          <w:rFonts w:ascii="Book Antiqua" w:hAnsi="Book Antiqua"/>
          <w:color w:val="auto"/>
          <w:sz w:val="24"/>
          <w:szCs w:val="24"/>
        </w:rPr>
        <w:t>-</w:t>
      </w:r>
      <w:r w:rsidRPr="004F0998">
        <w:rPr>
          <w:rFonts w:ascii="Book Antiqua" w:hAnsi="Book Antiqua"/>
          <w:color w:val="auto"/>
          <w:sz w:val="24"/>
          <w:szCs w:val="24"/>
        </w:rPr>
        <w:t xml:space="preserve">dependent patients at the end of the study. </w:t>
      </w:r>
      <w:r w:rsidR="00C304D2" w:rsidRPr="004F0998">
        <w:rPr>
          <w:rFonts w:ascii="Book Antiqua" w:hAnsi="Book Antiqua"/>
          <w:color w:val="auto"/>
          <w:sz w:val="24"/>
          <w:szCs w:val="24"/>
        </w:rPr>
        <w:t xml:space="preserve">Three </w:t>
      </w:r>
      <w:r w:rsidRPr="004F0998">
        <w:rPr>
          <w:rFonts w:ascii="Book Antiqua" w:hAnsi="Book Antiqua"/>
          <w:color w:val="auto"/>
          <w:sz w:val="24"/>
          <w:szCs w:val="24"/>
        </w:rPr>
        <w:t xml:space="preserve">out of 10 clinical non-responders needed a colectomy. Mean Fecal calprotectin value at baseline was 300 ug/g, and 170.5 ug/g at week 14. Being anti-TNF naïve was a protection factor which was related to better chances of reaching clinical remission. 27.3% of the patients required treatment intensification </w:t>
      </w:r>
      <w:r w:rsidR="006624AE" w:rsidRPr="004F0998">
        <w:rPr>
          <w:rFonts w:ascii="Book Antiqua" w:hAnsi="Book Antiqua"/>
          <w:color w:val="auto"/>
          <w:sz w:val="24"/>
          <w:szCs w:val="24"/>
        </w:rPr>
        <w:t>at</w:t>
      </w:r>
      <w:r w:rsidRPr="004F0998">
        <w:rPr>
          <w:rFonts w:ascii="Book Antiqua" w:hAnsi="Book Antiqua"/>
          <w:color w:val="auto"/>
          <w:sz w:val="24"/>
          <w:szCs w:val="24"/>
        </w:rPr>
        <w:t xml:space="preserve"> 14 weeks of follow-up. Only </w:t>
      </w:r>
      <w:r w:rsidR="003F6C60" w:rsidRPr="004F0998">
        <w:rPr>
          <w:rFonts w:ascii="Book Antiqua" w:hAnsi="Book Antiqua"/>
          <w:color w:val="auto"/>
          <w:sz w:val="24"/>
          <w:szCs w:val="24"/>
        </w:rPr>
        <w:t>three</w:t>
      </w:r>
      <w:r w:rsidRPr="004F0998">
        <w:rPr>
          <w:rFonts w:ascii="Book Antiqua" w:hAnsi="Book Antiqua"/>
          <w:color w:val="auto"/>
          <w:sz w:val="24"/>
          <w:szCs w:val="24"/>
        </w:rPr>
        <w:t xml:space="preserve"> adverse effects (AEs) were observed during the study; </w:t>
      </w:r>
      <w:r w:rsidR="00A7777F" w:rsidRPr="004F0998">
        <w:rPr>
          <w:rFonts w:ascii="Book Antiqua" w:hAnsi="Book Antiqua"/>
          <w:color w:val="auto"/>
          <w:sz w:val="24"/>
          <w:szCs w:val="24"/>
        </w:rPr>
        <w:t>all</w:t>
      </w:r>
      <w:r w:rsidRPr="004F0998">
        <w:rPr>
          <w:rFonts w:ascii="Book Antiqua" w:hAnsi="Book Antiqua"/>
          <w:color w:val="auto"/>
          <w:sz w:val="24"/>
          <w:szCs w:val="24"/>
        </w:rPr>
        <w:t xml:space="preserve"> were mild and </w:t>
      </w:r>
      <w:r w:rsidR="001E796F" w:rsidRPr="004F0998">
        <w:rPr>
          <w:rFonts w:ascii="Book Antiqua" w:hAnsi="Book Antiqua"/>
          <w:color w:val="auto"/>
          <w:sz w:val="24"/>
          <w:szCs w:val="24"/>
        </w:rPr>
        <w:t>golimumab</w:t>
      </w:r>
      <w:r w:rsidRPr="004F0998">
        <w:rPr>
          <w:rFonts w:ascii="Book Antiqua" w:hAnsi="Book Antiqua"/>
          <w:color w:val="auto"/>
          <w:sz w:val="24"/>
          <w:szCs w:val="24"/>
        </w:rPr>
        <w:t xml:space="preserve"> was not </w:t>
      </w:r>
      <w:r w:rsidR="00E36038" w:rsidRPr="004F0998">
        <w:rPr>
          <w:rFonts w:ascii="Book Antiqua" w:hAnsi="Book Antiqua"/>
          <w:color w:val="auto"/>
          <w:sz w:val="24"/>
          <w:szCs w:val="24"/>
        </w:rPr>
        <w:t>interrupted</w:t>
      </w:r>
      <w:r w:rsidRPr="004F0998">
        <w:rPr>
          <w:rFonts w:ascii="Book Antiqua" w:hAnsi="Book Antiqua"/>
          <w:color w:val="auto"/>
          <w:sz w:val="24"/>
          <w:szCs w:val="24"/>
        </w:rPr>
        <w:t>.</w:t>
      </w:r>
    </w:p>
    <w:p w:rsidR="004F0998" w:rsidRPr="004F0998" w:rsidRDefault="004F0998" w:rsidP="00E729BA">
      <w:pPr>
        <w:spacing w:after="0" w:line="360" w:lineRule="auto"/>
        <w:jc w:val="both"/>
        <w:rPr>
          <w:rFonts w:ascii="Book Antiqua" w:eastAsia="Optima" w:hAnsi="Book Antiqua" w:cs="Optima"/>
          <w:color w:val="auto"/>
          <w:sz w:val="24"/>
          <w:szCs w:val="24"/>
          <w:lang w:eastAsia="zh-CN"/>
        </w:rPr>
      </w:pPr>
    </w:p>
    <w:p w:rsidR="004F0998" w:rsidRPr="002553DA" w:rsidRDefault="004F0998" w:rsidP="00E729BA">
      <w:pPr>
        <w:spacing w:after="0" w:line="360" w:lineRule="auto"/>
        <w:jc w:val="both"/>
        <w:rPr>
          <w:rFonts w:ascii="Book Antiqua" w:hAnsi="Book Antiqua"/>
          <w:i/>
          <w:color w:val="auto"/>
          <w:sz w:val="24"/>
          <w:szCs w:val="24"/>
          <w:shd w:val="clear" w:color="auto" w:fill="FFFFFF"/>
          <w:lang w:eastAsia="zh-CN"/>
        </w:rPr>
      </w:pPr>
      <w:r w:rsidRPr="002553DA">
        <w:rPr>
          <w:rFonts w:ascii="Book Antiqua" w:hAnsi="Book Antiqua"/>
          <w:b/>
          <w:i/>
          <w:color w:val="auto"/>
          <w:sz w:val="24"/>
          <w:szCs w:val="24"/>
          <w:shd w:val="clear" w:color="auto" w:fill="FFFFFF"/>
        </w:rPr>
        <w:lastRenderedPageBreak/>
        <w:t>CONCLUSION</w:t>
      </w:r>
    </w:p>
    <w:p w:rsidR="000E03CB" w:rsidRPr="004F0998" w:rsidRDefault="000E03CB" w:rsidP="00E729BA">
      <w:pPr>
        <w:spacing w:after="0" w:line="360" w:lineRule="auto"/>
        <w:jc w:val="both"/>
        <w:rPr>
          <w:rFonts w:ascii="Book Antiqua" w:hAnsi="Book Antiqua"/>
          <w:color w:val="auto"/>
          <w:sz w:val="24"/>
          <w:szCs w:val="24"/>
          <w:shd w:val="clear" w:color="auto" w:fill="FFFFFF"/>
        </w:rPr>
      </w:pPr>
      <w:r w:rsidRPr="002553DA">
        <w:rPr>
          <w:rFonts w:ascii="Book Antiqua" w:hAnsi="Book Antiqua"/>
          <w:color w:val="auto"/>
          <w:sz w:val="24"/>
          <w:szCs w:val="24"/>
          <w:shd w:val="clear" w:color="auto" w:fill="FFFFFF"/>
        </w:rPr>
        <w:t xml:space="preserve">This real-life practice study endorses </w:t>
      </w:r>
      <w:r w:rsidR="001E796F" w:rsidRPr="002553DA">
        <w:rPr>
          <w:rFonts w:ascii="Book Antiqua" w:hAnsi="Book Antiqua"/>
          <w:color w:val="auto"/>
          <w:sz w:val="24"/>
          <w:szCs w:val="24"/>
          <w:shd w:val="clear" w:color="auto" w:fill="FFFFFF"/>
        </w:rPr>
        <w:t>golimumab</w:t>
      </w:r>
      <w:r w:rsidRPr="002553DA">
        <w:rPr>
          <w:rFonts w:ascii="Book Antiqua" w:hAnsi="Book Antiqua"/>
          <w:color w:val="auto"/>
          <w:sz w:val="24"/>
          <w:szCs w:val="24"/>
          <w:shd w:val="clear" w:color="auto" w:fill="FFFFFF"/>
        </w:rPr>
        <w:t>’s promising results, demonstrating its short-term effectiveness and confirming it as a safe drug</w:t>
      </w:r>
      <w:r w:rsidR="00DA6CA0" w:rsidRPr="002553DA">
        <w:rPr>
          <w:rFonts w:ascii="Book Antiqua" w:hAnsi="Book Antiqua"/>
          <w:strike/>
          <w:color w:val="auto"/>
          <w:sz w:val="24"/>
          <w:szCs w:val="24"/>
          <w:shd w:val="clear" w:color="auto" w:fill="FFFFFF"/>
        </w:rPr>
        <w:t>,</w:t>
      </w:r>
      <w:r w:rsidR="00DA6CA0" w:rsidRPr="002553DA">
        <w:rPr>
          <w:rFonts w:ascii="Book Antiqua" w:hAnsi="Book Antiqua"/>
          <w:color w:val="auto"/>
          <w:sz w:val="24"/>
          <w:szCs w:val="24"/>
          <w:shd w:val="clear" w:color="auto" w:fill="FFFFFF"/>
        </w:rPr>
        <w:t xml:space="preserve"> </w:t>
      </w:r>
      <w:r w:rsidRPr="002553DA">
        <w:rPr>
          <w:rFonts w:ascii="Book Antiqua" w:hAnsi="Book Antiqua"/>
          <w:color w:val="auto"/>
          <w:sz w:val="24"/>
          <w:szCs w:val="24"/>
          <w:shd w:val="clear" w:color="auto" w:fill="FFFFFF"/>
        </w:rPr>
        <w:t>during the induction phase.</w:t>
      </w:r>
    </w:p>
    <w:p w:rsidR="007C3806" w:rsidRPr="004F0998" w:rsidRDefault="007C3806" w:rsidP="00E729BA">
      <w:pPr>
        <w:pStyle w:val="Bibliografia"/>
        <w:spacing w:line="360" w:lineRule="auto"/>
        <w:rPr>
          <w:rFonts w:ascii="Book Antiqua" w:eastAsia="Arial Unicode MS" w:hAnsi="Book Antiqua" w:cs="Times New Roman"/>
          <w:b/>
          <w:color w:val="auto"/>
          <w:lang w:val="it-IT"/>
        </w:rPr>
      </w:pPr>
    </w:p>
    <w:p w:rsidR="007C3806" w:rsidRPr="004F0998" w:rsidRDefault="007C3806" w:rsidP="00E729BA">
      <w:pPr>
        <w:pStyle w:val="Bibliografia"/>
        <w:spacing w:line="360" w:lineRule="auto"/>
        <w:rPr>
          <w:rFonts w:ascii="Book Antiqua" w:eastAsia="Arial Unicode MS" w:hAnsi="Book Antiqua" w:cs="Times New Roman"/>
          <w:color w:val="auto"/>
          <w:lang w:val="it-IT" w:eastAsia="zh-CN"/>
        </w:rPr>
      </w:pPr>
      <w:r w:rsidRPr="004F0998">
        <w:rPr>
          <w:rFonts w:ascii="Book Antiqua" w:eastAsia="Arial Unicode MS" w:hAnsi="Book Antiqua" w:cs="Times New Roman"/>
          <w:b/>
          <w:color w:val="auto"/>
          <w:lang w:val="it-IT"/>
        </w:rPr>
        <w:t>Key</w:t>
      </w:r>
      <w:r w:rsidR="004F0998" w:rsidRPr="004F0998">
        <w:rPr>
          <w:rFonts w:ascii="Book Antiqua" w:eastAsia="Arial Unicode MS" w:hAnsi="Book Antiqua" w:cs="Times New Roman" w:hint="eastAsia"/>
          <w:b/>
          <w:color w:val="auto"/>
          <w:lang w:val="it-IT" w:eastAsia="zh-CN"/>
        </w:rPr>
        <w:t xml:space="preserve"> </w:t>
      </w:r>
      <w:r w:rsidRPr="004F0998">
        <w:rPr>
          <w:rFonts w:ascii="Book Antiqua" w:eastAsia="Arial Unicode MS" w:hAnsi="Book Antiqua" w:cs="Times New Roman"/>
          <w:b/>
          <w:color w:val="auto"/>
          <w:lang w:val="it-IT"/>
        </w:rPr>
        <w:t>words</w:t>
      </w:r>
      <w:r w:rsidRPr="004F0998">
        <w:rPr>
          <w:rFonts w:ascii="Book Antiqua" w:eastAsia="Arial Unicode MS" w:hAnsi="Book Antiqua" w:cs="Times New Roman"/>
          <w:color w:val="auto"/>
          <w:lang w:val="it-IT"/>
        </w:rPr>
        <w:t xml:space="preserve">: </w:t>
      </w:r>
      <w:r w:rsidR="001E796F" w:rsidRPr="004F0998">
        <w:rPr>
          <w:rFonts w:ascii="Book Antiqua" w:eastAsia="Arial Unicode MS" w:hAnsi="Book Antiqua" w:cs="Times New Roman"/>
          <w:color w:val="auto"/>
          <w:lang w:val="it-IT"/>
        </w:rPr>
        <w:t>Golimumab</w:t>
      </w:r>
      <w:r w:rsidR="004F0998" w:rsidRPr="004F0998">
        <w:rPr>
          <w:rFonts w:ascii="Book Antiqua" w:eastAsia="Arial Unicode MS" w:hAnsi="Book Antiqua" w:cs="Times New Roman" w:hint="eastAsia"/>
          <w:color w:val="auto"/>
          <w:lang w:val="it-IT" w:eastAsia="zh-CN"/>
        </w:rPr>
        <w:t>;</w:t>
      </w:r>
      <w:r w:rsidRPr="004F0998">
        <w:rPr>
          <w:rFonts w:ascii="Book Antiqua" w:eastAsia="Arial Unicode MS" w:hAnsi="Book Antiqua" w:cs="Times New Roman"/>
          <w:color w:val="auto"/>
          <w:lang w:val="it-IT"/>
        </w:rPr>
        <w:t xml:space="preserve"> Ulcerative </w:t>
      </w:r>
      <w:r w:rsidR="004F0998" w:rsidRPr="004F0998">
        <w:rPr>
          <w:rFonts w:ascii="Book Antiqua" w:eastAsia="Arial Unicode MS" w:hAnsi="Book Antiqua" w:cs="Times New Roman"/>
          <w:color w:val="auto"/>
          <w:lang w:val="it-IT"/>
        </w:rPr>
        <w:t>colitis</w:t>
      </w:r>
      <w:r w:rsidR="004F0998" w:rsidRPr="004F0998">
        <w:rPr>
          <w:rFonts w:ascii="Book Antiqua" w:eastAsia="Arial Unicode MS" w:hAnsi="Book Antiqua" w:cs="Times New Roman" w:hint="eastAsia"/>
          <w:color w:val="auto"/>
          <w:lang w:val="it-IT" w:eastAsia="zh-CN"/>
        </w:rPr>
        <w:t>;</w:t>
      </w:r>
      <w:r w:rsidRPr="004F0998">
        <w:rPr>
          <w:rFonts w:ascii="Book Antiqua" w:eastAsia="Arial Unicode MS" w:hAnsi="Book Antiqua" w:cs="Times New Roman"/>
          <w:color w:val="auto"/>
          <w:lang w:val="it-IT"/>
        </w:rPr>
        <w:t xml:space="preserve"> Real-life results</w:t>
      </w:r>
    </w:p>
    <w:p w:rsidR="0064691D" w:rsidRPr="004F0998" w:rsidRDefault="0064691D" w:rsidP="00E729BA">
      <w:pPr>
        <w:pStyle w:val="Bibliografia"/>
        <w:spacing w:line="360" w:lineRule="auto"/>
        <w:rPr>
          <w:rFonts w:ascii="Book Antiqua" w:eastAsia="Arial Unicode MS" w:hAnsi="Book Antiqua" w:cs="Times New Roman"/>
          <w:color w:val="auto"/>
          <w:lang w:val="it-IT" w:eastAsia="zh-CN"/>
        </w:rPr>
      </w:pPr>
    </w:p>
    <w:p w:rsidR="0064691D" w:rsidRPr="004F0998" w:rsidRDefault="0064691D" w:rsidP="00E729BA">
      <w:pPr>
        <w:spacing w:after="0" w:line="360" w:lineRule="auto"/>
        <w:jc w:val="both"/>
        <w:rPr>
          <w:rFonts w:ascii="Book Antiqua" w:hAnsi="Book Antiqua" w:cs="Arial"/>
          <w:color w:val="auto"/>
          <w:sz w:val="24"/>
          <w:szCs w:val="24"/>
        </w:rPr>
      </w:pPr>
      <w:bookmarkStart w:id="36" w:name="OLE_LINK55"/>
      <w:bookmarkStart w:id="37" w:name="OLE_LINK56"/>
      <w:bookmarkStart w:id="38" w:name="OLE_LINK105"/>
      <w:bookmarkStart w:id="39" w:name="OLE_LINK116"/>
      <w:bookmarkStart w:id="40" w:name="OLE_LINK89"/>
      <w:r w:rsidRPr="004F0998">
        <w:rPr>
          <w:rFonts w:ascii="Book Antiqua" w:hAnsi="Book Antiqua"/>
          <w:b/>
          <w:color w:val="auto"/>
          <w:sz w:val="24"/>
          <w:szCs w:val="24"/>
        </w:rPr>
        <w:t>©</w:t>
      </w:r>
      <w:bookmarkEnd w:id="36"/>
      <w:bookmarkEnd w:id="37"/>
      <w:r w:rsidRPr="004F0998">
        <w:rPr>
          <w:rFonts w:ascii="Book Antiqua" w:hAnsi="Book Antiqua"/>
          <w:b/>
          <w:color w:val="auto"/>
          <w:sz w:val="24"/>
          <w:szCs w:val="24"/>
        </w:rPr>
        <w:t xml:space="preserve"> </w:t>
      </w:r>
      <w:r w:rsidRPr="004F0998">
        <w:rPr>
          <w:rFonts w:ascii="Book Antiqua" w:hAnsi="Book Antiqua" w:cs="Arial"/>
          <w:b/>
          <w:color w:val="auto"/>
          <w:sz w:val="24"/>
          <w:szCs w:val="24"/>
        </w:rPr>
        <w:t xml:space="preserve">The Author(s) 2016. </w:t>
      </w:r>
      <w:r w:rsidRPr="004F0998">
        <w:rPr>
          <w:rFonts w:ascii="Book Antiqua" w:hAnsi="Book Antiqua" w:cs="Arial"/>
          <w:color w:val="auto"/>
          <w:sz w:val="24"/>
          <w:szCs w:val="24"/>
        </w:rPr>
        <w:t>Published by Baishideng Publishing Group Inc. All rights reserved.</w:t>
      </w:r>
    </w:p>
    <w:bookmarkEnd w:id="38"/>
    <w:bookmarkEnd w:id="39"/>
    <w:bookmarkEnd w:id="40"/>
    <w:p w:rsidR="00EB4BCE" w:rsidRPr="004F0998" w:rsidRDefault="00EB4BCE" w:rsidP="00E729BA">
      <w:pPr>
        <w:pStyle w:val="Bibliografia"/>
        <w:spacing w:line="360" w:lineRule="auto"/>
        <w:rPr>
          <w:rFonts w:ascii="Book Antiqua" w:eastAsia="Arial Unicode MS" w:hAnsi="Book Antiqua" w:cs="Times New Roman"/>
          <w:color w:val="auto"/>
          <w:lang w:val="it-IT"/>
        </w:rPr>
      </w:pPr>
    </w:p>
    <w:p w:rsidR="001E59AE" w:rsidRPr="004F0998" w:rsidRDefault="00A7777F" w:rsidP="00E729BA">
      <w:pPr>
        <w:pStyle w:val="Bibliografia"/>
        <w:spacing w:line="360" w:lineRule="auto"/>
        <w:rPr>
          <w:rFonts w:ascii="Book Antiqua" w:eastAsia="Arial Unicode MS" w:hAnsi="Book Antiqua" w:cs="Times New Roman"/>
          <w:b/>
          <w:color w:val="auto"/>
          <w:lang w:val="it-IT" w:eastAsia="zh-CN"/>
        </w:rPr>
      </w:pPr>
      <w:r w:rsidRPr="004F0998">
        <w:rPr>
          <w:rFonts w:ascii="Book Antiqua" w:eastAsia="Arial Unicode MS" w:hAnsi="Book Antiqua" w:cs="Times New Roman"/>
          <w:b/>
          <w:color w:val="auto"/>
          <w:lang w:val="it-IT"/>
        </w:rPr>
        <w:t>C</w:t>
      </w:r>
      <w:r w:rsidR="0064691D" w:rsidRPr="004F0998">
        <w:rPr>
          <w:rFonts w:ascii="Book Antiqua" w:eastAsia="Arial Unicode MS" w:hAnsi="Book Antiqua" w:cs="Times New Roman"/>
          <w:b/>
          <w:color w:val="auto"/>
          <w:lang w:val="it-IT"/>
        </w:rPr>
        <w:t>ore tip</w:t>
      </w:r>
      <w:r w:rsidR="0064691D" w:rsidRPr="004F0998">
        <w:rPr>
          <w:rFonts w:ascii="Book Antiqua" w:eastAsia="Arial Unicode MS" w:hAnsi="Book Antiqua" w:cs="Times New Roman"/>
          <w:b/>
          <w:color w:val="auto"/>
          <w:lang w:val="it-IT" w:eastAsia="zh-CN"/>
        </w:rPr>
        <w:t xml:space="preserve">: </w:t>
      </w:r>
      <w:r w:rsidR="001E796F" w:rsidRPr="004F0998">
        <w:rPr>
          <w:rFonts w:ascii="Book Antiqua" w:hAnsi="Book Antiqua"/>
          <w:color w:val="auto"/>
        </w:rPr>
        <w:t>Golimumab</w:t>
      </w:r>
      <w:r w:rsidRPr="004F0998">
        <w:rPr>
          <w:rFonts w:ascii="Book Antiqua" w:hAnsi="Book Antiqua"/>
          <w:color w:val="auto"/>
        </w:rPr>
        <w:t xml:space="preserve"> is a fully humanized anti-tumor necrosis</w:t>
      </w:r>
      <w:r w:rsidR="00DA6CA0" w:rsidRPr="004F0998">
        <w:rPr>
          <w:rFonts w:ascii="Book Antiqua" w:hAnsi="Book Antiqua"/>
          <w:color w:val="auto"/>
        </w:rPr>
        <w:t xml:space="preserve"> factor</w:t>
      </w:r>
      <w:r w:rsidRPr="004F0998">
        <w:rPr>
          <w:rFonts w:ascii="Book Antiqua" w:hAnsi="Book Antiqua"/>
          <w:color w:val="auto"/>
        </w:rPr>
        <w:t xml:space="preserve">-alpha </w:t>
      </w:r>
      <w:r w:rsidR="00DA6CA0" w:rsidRPr="004F0998">
        <w:rPr>
          <w:rFonts w:ascii="Book Antiqua" w:hAnsi="Book Antiqua"/>
          <w:color w:val="auto"/>
        </w:rPr>
        <w:t xml:space="preserve">(anti-TNF) </w:t>
      </w:r>
      <w:r w:rsidRPr="004F0998">
        <w:rPr>
          <w:rFonts w:ascii="Book Antiqua" w:hAnsi="Book Antiqua"/>
          <w:color w:val="auto"/>
        </w:rPr>
        <w:t xml:space="preserve">monoclonal antibody, which has recently been accepted in clinical practice. Pivotal studies have demonstrated the drug’s benefits, but real-life studies are still scarce. This observational, prospective and multi-center study in moderate-severe </w:t>
      </w:r>
      <w:r w:rsidR="00DB640A" w:rsidRPr="004F0998">
        <w:rPr>
          <w:rFonts w:ascii="Book Antiqua" w:hAnsi="Book Antiqua"/>
          <w:color w:val="auto"/>
        </w:rPr>
        <w:t xml:space="preserve">ulcerative colitis </w:t>
      </w:r>
      <w:r w:rsidRPr="004F0998">
        <w:rPr>
          <w:rFonts w:ascii="Book Antiqua" w:hAnsi="Book Antiqua"/>
          <w:color w:val="auto"/>
        </w:rPr>
        <w:t xml:space="preserve">patients, confirmed </w:t>
      </w:r>
      <w:r w:rsidR="001E796F" w:rsidRPr="004F0998">
        <w:rPr>
          <w:rFonts w:ascii="Book Antiqua" w:hAnsi="Book Antiqua"/>
          <w:color w:val="auto"/>
        </w:rPr>
        <w:t>golimumab</w:t>
      </w:r>
      <w:r w:rsidRPr="004F0998">
        <w:rPr>
          <w:rFonts w:ascii="Book Antiqua" w:hAnsi="Book Antiqua"/>
          <w:color w:val="auto"/>
        </w:rPr>
        <w:t xml:space="preserve">’s short-term (14 </w:t>
      </w:r>
      <w:r w:rsidR="004F0998" w:rsidRPr="004F0998">
        <w:rPr>
          <w:rFonts w:ascii="Book Antiqua" w:hAnsi="Book Antiqua" w:hint="eastAsia"/>
          <w:color w:val="auto"/>
          <w:lang w:eastAsia="zh-CN"/>
        </w:rPr>
        <w:t>wk</w:t>
      </w:r>
      <w:r w:rsidRPr="004F0998">
        <w:rPr>
          <w:rFonts w:ascii="Book Antiqua" w:hAnsi="Book Antiqua"/>
          <w:color w:val="auto"/>
        </w:rPr>
        <w:t xml:space="preserve">) effectiveness. A high percentage of patients had responded and were off steroids at the end of follow-up. No severe adverse events were observed. Intensification (reducing the drug administration interval or increasing the dosage) </w:t>
      </w:r>
      <w:r w:rsidR="00F626AD" w:rsidRPr="004F0998">
        <w:rPr>
          <w:rFonts w:ascii="Book Antiqua" w:hAnsi="Book Antiqua"/>
          <w:color w:val="auto"/>
        </w:rPr>
        <w:t>may</w:t>
      </w:r>
      <w:r w:rsidRPr="004F0998">
        <w:rPr>
          <w:rFonts w:ascii="Book Antiqua" w:hAnsi="Book Antiqua"/>
          <w:color w:val="auto"/>
        </w:rPr>
        <w:t xml:space="preserve"> be useful in many slow-to-respond cases.</w:t>
      </w:r>
    </w:p>
    <w:p w:rsidR="004F0998" w:rsidRPr="004F0998" w:rsidRDefault="004F0998" w:rsidP="00E729BA">
      <w:pPr>
        <w:adjustRightInd w:val="0"/>
        <w:snapToGrid w:val="0"/>
        <w:spacing w:after="0" w:line="360" w:lineRule="auto"/>
        <w:jc w:val="both"/>
        <w:rPr>
          <w:rFonts w:ascii="Book Antiqua" w:eastAsia="Arial Unicode MS" w:hAnsi="Book Antiqua" w:cs="Times New Roman"/>
          <w:color w:val="auto"/>
          <w:sz w:val="24"/>
          <w:szCs w:val="24"/>
          <w:lang w:val="it-IT" w:eastAsia="zh-CN"/>
        </w:rPr>
      </w:pPr>
      <w:bookmarkStart w:id="41" w:name="OLE_LINK130"/>
      <w:bookmarkStart w:id="42" w:name="OLE_LINK134"/>
      <w:bookmarkStart w:id="43" w:name="OLE_LINK455"/>
      <w:bookmarkStart w:id="44" w:name="OLE_LINK464"/>
      <w:bookmarkStart w:id="45" w:name="OLE_LINK73"/>
      <w:bookmarkStart w:id="46" w:name="OLE_LINK74"/>
    </w:p>
    <w:p w:rsidR="0064691D" w:rsidRPr="004F0998" w:rsidRDefault="005A7162" w:rsidP="00E729BA">
      <w:pPr>
        <w:adjustRightInd w:val="0"/>
        <w:snapToGrid w:val="0"/>
        <w:spacing w:after="0" w:line="360" w:lineRule="auto"/>
        <w:jc w:val="both"/>
        <w:rPr>
          <w:rFonts w:ascii="Book Antiqua" w:hAnsi="Book Antiqua" w:cs="Tahoma"/>
          <w:color w:val="auto"/>
          <w:sz w:val="24"/>
          <w:szCs w:val="24"/>
        </w:rPr>
      </w:pPr>
      <w:r w:rsidRPr="004F0998">
        <w:rPr>
          <w:rFonts w:ascii="Book Antiqua" w:hAnsi="Book Antiqua"/>
          <w:color w:val="auto"/>
          <w:sz w:val="24"/>
          <w:szCs w:val="24"/>
          <w:lang w:val="es-ES"/>
        </w:rPr>
        <w:t>Bosca-Watts MM, Cortes X, Iborra M, Huguet JM, Sempere L, Garcia G,</w:t>
      </w:r>
      <w:r w:rsidRPr="004F0998">
        <w:rPr>
          <w:rFonts w:ascii="Book Antiqua" w:hAnsi="Book Antiqua"/>
          <w:color w:val="auto"/>
          <w:sz w:val="24"/>
          <w:szCs w:val="24"/>
          <w:vertAlign w:val="superscript"/>
          <w:lang w:val="es-ES"/>
        </w:rPr>
        <w:t xml:space="preserve"> </w:t>
      </w:r>
      <w:r w:rsidRPr="004F0998">
        <w:rPr>
          <w:rFonts w:ascii="Book Antiqua" w:hAnsi="Book Antiqua"/>
          <w:color w:val="auto"/>
          <w:sz w:val="24"/>
          <w:szCs w:val="24"/>
          <w:lang w:val="es-ES"/>
        </w:rPr>
        <w:t xml:space="preserve">Gil R, García MF, Muñoz M, Almela P, Maroto N, Paredes JM. </w:t>
      </w:r>
      <w:r w:rsidRPr="004F0998">
        <w:rPr>
          <w:rFonts w:ascii="Book Antiqua" w:hAnsi="Book Antiqua"/>
          <w:color w:val="auto"/>
          <w:sz w:val="24"/>
          <w:szCs w:val="24"/>
        </w:rPr>
        <w:t xml:space="preserve">Short-term </w:t>
      </w:r>
      <w:r w:rsidR="004F0998" w:rsidRPr="004F0998">
        <w:rPr>
          <w:rFonts w:ascii="Book Antiqua" w:hAnsi="Book Antiqua"/>
          <w:color w:val="auto"/>
          <w:sz w:val="24"/>
          <w:szCs w:val="24"/>
        </w:rPr>
        <w:t xml:space="preserve">effectiveness of golimumab for ulcerative colitis: </w:t>
      </w:r>
      <w:r w:rsidR="00CC5C51" w:rsidRPr="004F0998">
        <w:rPr>
          <w:rFonts w:ascii="Book Antiqua" w:hAnsi="Book Antiqua"/>
          <w:color w:val="auto"/>
          <w:sz w:val="24"/>
          <w:szCs w:val="24"/>
        </w:rPr>
        <w:t xml:space="preserve">Observational </w:t>
      </w:r>
      <w:r w:rsidR="004F0998" w:rsidRPr="004F0998">
        <w:rPr>
          <w:rFonts w:ascii="Book Antiqua" w:hAnsi="Book Antiqua"/>
          <w:color w:val="auto"/>
          <w:sz w:val="24"/>
          <w:szCs w:val="24"/>
        </w:rPr>
        <w:t>multicenter stud</w:t>
      </w:r>
      <w:r w:rsidRPr="004F0998">
        <w:rPr>
          <w:rFonts w:ascii="Book Antiqua" w:hAnsi="Book Antiqua"/>
          <w:color w:val="auto"/>
          <w:sz w:val="24"/>
          <w:szCs w:val="24"/>
        </w:rPr>
        <w:t>y</w:t>
      </w:r>
      <w:bookmarkStart w:id="47" w:name="OLE_LINK424"/>
      <w:bookmarkStart w:id="48" w:name="OLE_LINK425"/>
      <w:r w:rsidRPr="004F0998">
        <w:rPr>
          <w:rFonts w:ascii="Book Antiqua" w:hAnsi="Book Antiqua"/>
          <w:color w:val="auto"/>
          <w:sz w:val="24"/>
          <w:szCs w:val="24"/>
        </w:rPr>
        <w:t>.</w:t>
      </w:r>
      <w:r w:rsidRPr="004F0998">
        <w:rPr>
          <w:rFonts w:ascii="Book Antiqua" w:hAnsi="Book Antiqua"/>
          <w:b/>
          <w:color w:val="auto"/>
          <w:sz w:val="24"/>
          <w:szCs w:val="24"/>
        </w:rPr>
        <w:t xml:space="preserve"> </w:t>
      </w:r>
      <w:r w:rsidR="0064691D" w:rsidRPr="004F0998">
        <w:rPr>
          <w:rFonts w:ascii="Book Antiqua" w:hAnsi="Book Antiqua"/>
          <w:i/>
          <w:color w:val="auto"/>
          <w:sz w:val="24"/>
          <w:szCs w:val="24"/>
        </w:rPr>
        <w:t>World J Gastroenterol</w:t>
      </w:r>
      <w:r w:rsidR="0064691D" w:rsidRPr="004F0998">
        <w:rPr>
          <w:rFonts w:ascii="Book Antiqua" w:hAnsi="Book Antiqua"/>
          <w:color w:val="auto"/>
          <w:sz w:val="24"/>
          <w:szCs w:val="24"/>
        </w:rPr>
        <w:t xml:space="preserve"> 2016; </w:t>
      </w:r>
      <w:bookmarkStart w:id="49" w:name="OLE_LINK1689"/>
      <w:bookmarkStart w:id="50" w:name="OLE_LINK1298"/>
      <w:bookmarkStart w:id="51" w:name="OLE_LINK1297"/>
      <w:r w:rsidR="0064691D" w:rsidRPr="004F0998">
        <w:rPr>
          <w:rFonts w:ascii="Book Antiqua" w:hAnsi="Book Antiqua"/>
          <w:color w:val="auto"/>
          <w:sz w:val="24"/>
          <w:szCs w:val="24"/>
        </w:rPr>
        <w:t>In press</w:t>
      </w:r>
      <w:bookmarkEnd w:id="49"/>
      <w:bookmarkEnd w:id="50"/>
      <w:bookmarkEnd w:id="51"/>
    </w:p>
    <w:bookmarkEnd w:id="41"/>
    <w:bookmarkEnd w:id="42"/>
    <w:bookmarkEnd w:id="43"/>
    <w:bookmarkEnd w:id="44"/>
    <w:bookmarkEnd w:id="45"/>
    <w:bookmarkEnd w:id="46"/>
    <w:bookmarkEnd w:id="47"/>
    <w:bookmarkEnd w:id="48"/>
    <w:p w:rsidR="007C3806" w:rsidRPr="004F0998" w:rsidRDefault="007C3806" w:rsidP="00E729BA">
      <w:pPr>
        <w:suppressAutoHyphens w:val="0"/>
        <w:spacing w:after="0" w:line="360" w:lineRule="auto"/>
        <w:jc w:val="both"/>
        <w:rPr>
          <w:rFonts w:ascii="Book Antiqua" w:eastAsia="Arial Unicode MS" w:hAnsi="Book Antiqua" w:cs="Times New Roman"/>
          <w:color w:val="auto"/>
          <w:sz w:val="24"/>
          <w:szCs w:val="24"/>
          <w:lang w:val="it-IT" w:eastAsia="en-US"/>
        </w:rPr>
      </w:pPr>
    </w:p>
    <w:p w:rsidR="00EB4BCE" w:rsidRPr="004F0998" w:rsidRDefault="00EB4BCE" w:rsidP="00E729BA">
      <w:pPr>
        <w:pStyle w:val="Bibliografia"/>
        <w:spacing w:line="360" w:lineRule="auto"/>
        <w:rPr>
          <w:rFonts w:ascii="Book Antiqua" w:eastAsia="Arial Unicode MS" w:hAnsi="Book Antiqua" w:cs="Times New Roman"/>
          <w:color w:val="auto"/>
          <w:lang w:val="it-IT"/>
        </w:rPr>
      </w:pPr>
    </w:p>
    <w:p w:rsidR="004F0998" w:rsidRPr="004F0998" w:rsidRDefault="004F0998" w:rsidP="00E729BA">
      <w:pPr>
        <w:suppressAutoHyphens w:val="0"/>
        <w:spacing w:after="0" w:line="240" w:lineRule="auto"/>
        <w:rPr>
          <w:rFonts w:ascii="Book Antiqua" w:eastAsia="Arial Unicode MS" w:hAnsi="Book Antiqua" w:cs="Times New Roman"/>
          <w:b/>
          <w:color w:val="auto"/>
          <w:sz w:val="24"/>
          <w:szCs w:val="24"/>
          <w:lang w:val="it-IT" w:eastAsia="en-US"/>
        </w:rPr>
      </w:pPr>
      <w:r w:rsidRPr="004F0998">
        <w:rPr>
          <w:rFonts w:ascii="Book Antiqua" w:eastAsia="Arial Unicode MS" w:hAnsi="Book Antiqua" w:cs="Times New Roman"/>
          <w:b/>
          <w:color w:val="auto"/>
          <w:lang w:val="it-IT"/>
        </w:rPr>
        <w:br w:type="page"/>
      </w:r>
    </w:p>
    <w:p w:rsidR="00EB4BCE" w:rsidRPr="004F0998" w:rsidRDefault="00A7777F" w:rsidP="00E729BA">
      <w:pPr>
        <w:pStyle w:val="Bibliografia"/>
        <w:spacing w:line="360" w:lineRule="auto"/>
        <w:rPr>
          <w:rFonts w:ascii="Book Antiqua" w:eastAsia="Arial Unicode MS" w:hAnsi="Book Antiqua" w:cs="Times New Roman"/>
          <w:color w:val="auto"/>
          <w:lang w:val="it-IT" w:eastAsia="zh-CN"/>
        </w:rPr>
      </w:pPr>
      <w:r w:rsidRPr="004F0998">
        <w:rPr>
          <w:rFonts w:ascii="Book Antiqua" w:eastAsia="Arial Unicode MS" w:hAnsi="Book Antiqua" w:cs="Times New Roman"/>
          <w:b/>
          <w:color w:val="auto"/>
          <w:lang w:val="it-IT"/>
        </w:rPr>
        <w:lastRenderedPageBreak/>
        <w:t>INTRODUCTION</w:t>
      </w:r>
    </w:p>
    <w:p w:rsidR="00EB4BCE" w:rsidRPr="004F0998" w:rsidRDefault="00A7777F" w:rsidP="00E729BA">
      <w:pPr>
        <w:spacing w:after="0" w:line="360" w:lineRule="auto"/>
        <w:jc w:val="both"/>
        <w:rPr>
          <w:rFonts w:ascii="Book Antiqua" w:hAnsi="Book Antiqua" w:cs="Times New Roman"/>
          <w:color w:val="auto"/>
          <w:sz w:val="24"/>
          <w:szCs w:val="24"/>
        </w:rPr>
      </w:pPr>
      <w:r w:rsidRPr="004F0998">
        <w:rPr>
          <w:rFonts w:ascii="Book Antiqua" w:eastAsia="Arial Unicode MS" w:hAnsi="Book Antiqua" w:cs="Times New Roman"/>
          <w:color w:val="auto"/>
          <w:sz w:val="24"/>
          <w:szCs w:val="24"/>
          <w:lang w:val="it-IT"/>
        </w:rPr>
        <w:t xml:space="preserve">Ulcerative colitis (UC) is a chronic inflammatory bowel disease (IBD) of the colon with </w:t>
      </w:r>
      <w:r w:rsidRPr="004F0998">
        <w:rPr>
          <w:rFonts w:ascii="Book Antiqua" w:hAnsi="Book Antiqua" w:cs="Times New Roman"/>
          <w:color w:val="auto"/>
          <w:sz w:val="24"/>
          <w:szCs w:val="24"/>
        </w:rPr>
        <w:t xml:space="preserve">progressively increasing incidence and prevalence. The prevalence of UC varies by geographic region, </w:t>
      </w:r>
      <w:r w:rsidR="002553DA">
        <w:rPr>
          <w:rFonts w:ascii="Book Antiqua" w:hAnsi="Book Antiqua" w:cs="Times New Roman"/>
          <w:color w:val="auto"/>
          <w:sz w:val="24"/>
          <w:szCs w:val="24"/>
        </w:rPr>
        <w:t>ranging from 4.9 to 505 per 100</w:t>
      </w:r>
      <w:r w:rsidRPr="004F0998">
        <w:rPr>
          <w:rFonts w:ascii="Book Antiqua" w:hAnsi="Book Antiqua" w:cs="Times New Roman"/>
          <w:color w:val="auto"/>
          <w:sz w:val="24"/>
          <w:szCs w:val="24"/>
        </w:rPr>
        <w:t xml:space="preserve">000 people </w:t>
      </w:r>
      <w:r w:rsidR="00074F8D">
        <w:rPr>
          <w:rFonts w:ascii="Book Antiqua" w:hAnsi="Book Antiqua" w:cs="Times New Roman"/>
          <w:color w:val="auto"/>
          <w:sz w:val="24"/>
          <w:szCs w:val="24"/>
        </w:rPr>
        <w:t>in Europe, 4.9 to 168.3 per 100</w:t>
      </w:r>
      <w:r w:rsidRPr="004F0998">
        <w:rPr>
          <w:rFonts w:ascii="Book Antiqua" w:hAnsi="Book Antiqua" w:cs="Times New Roman"/>
          <w:color w:val="auto"/>
          <w:sz w:val="24"/>
          <w:szCs w:val="24"/>
        </w:rPr>
        <w:t xml:space="preserve">000 in Asia and the Middle </w:t>
      </w:r>
      <w:r w:rsidR="002553DA">
        <w:rPr>
          <w:rFonts w:ascii="Book Antiqua" w:hAnsi="Book Antiqua" w:cs="Times New Roman"/>
          <w:color w:val="auto"/>
          <w:sz w:val="24"/>
          <w:szCs w:val="24"/>
        </w:rPr>
        <w:t>East, and 37.5 to 248.6 per 100</w:t>
      </w:r>
      <w:r w:rsidRPr="004F0998">
        <w:rPr>
          <w:rFonts w:ascii="Book Antiqua" w:hAnsi="Book Antiqua" w:cs="Times New Roman"/>
          <w:color w:val="auto"/>
          <w:sz w:val="24"/>
          <w:szCs w:val="24"/>
        </w:rPr>
        <w:t>000 in North America</w:t>
      </w:r>
      <w:r w:rsidR="0064691D" w:rsidRPr="004F0998">
        <w:rPr>
          <w:rFonts w:ascii="Book Antiqua" w:hAnsi="Book Antiqua" w:cs="Times New Roman"/>
          <w:color w:val="auto"/>
          <w:sz w:val="24"/>
          <w:szCs w:val="24"/>
          <w:vertAlign w:val="superscript"/>
          <w:lang w:eastAsia="zh-CN"/>
        </w:rPr>
        <w:t>[</w:t>
      </w:r>
      <w:r w:rsidRPr="004F0998">
        <w:rPr>
          <w:rFonts w:ascii="Book Antiqua" w:hAnsi="Book Antiqua" w:cs="Times New Roman"/>
          <w:color w:val="auto"/>
          <w:sz w:val="24"/>
          <w:szCs w:val="24"/>
          <w:vertAlign w:val="superscript"/>
        </w:rPr>
        <w:t>1-6</w:t>
      </w:r>
      <w:r w:rsidR="0064691D" w:rsidRPr="004F0998">
        <w:rPr>
          <w:rFonts w:ascii="Book Antiqua" w:hAnsi="Book Antiqua" w:cs="Times New Roman"/>
          <w:color w:val="auto"/>
          <w:sz w:val="24"/>
          <w:szCs w:val="24"/>
          <w:vertAlign w:val="superscript"/>
          <w:lang w:eastAsia="zh-CN"/>
        </w:rPr>
        <w:t>]</w:t>
      </w:r>
      <w:r w:rsidRPr="004F0998">
        <w:rPr>
          <w:rFonts w:ascii="Book Antiqua" w:hAnsi="Book Antiqua" w:cs="Times New Roman"/>
          <w:color w:val="auto"/>
          <w:sz w:val="24"/>
          <w:szCs w:val="24"/>
        </w:rPr>
        <w:t>.</w:t>
      </w:r>
      <w:r w:rsidRPr="004F0998">
        <w:rPr>
          <w:rFonts w:ascii="Book Antiqua" w:hAnsi="Book Antiqua" w:cs="Times New Roman"/>
          <w:color w:val="auto"/>
          <w:sz w:val="24"/>
          <w:szCs w:val="24"/>
        </w:rPr>
        <w:tab/>
        <w:t xml:space="preserve">The treatment of </w:t>
      </w:r>
      <w:r w:rsidR="007C3806" w:rsidRPr="004F0998">
        <w:rPr>
          <w:rFonts w:ascii="Book Antiqua" w:hAnsi="Book Antiqua" w:cs="Times New Roman"/>
          <w:color w:val="auto"/>
          <w:sz w:val="24"/>
          <w:szCs w:val="24"/>
        </w:rPr>
        <w:t>UC</w:t>
      </w:r>
      <w:r w:rsidRPr="004F0998">
        <w:rPr>
          <w:rFonts w:ascii="Book Antiqua" w:hAnsi="Book Antiqua" w:cs="Times New Roman"/>
          <w:color w:val="auto"/>
          <w:sz w:val="24"/>
          <w:szCs w:val="24"/>
        </w:rPr>
        <w:t xml:space="preserve"> </w:t>
      </w:r>
      <w:r w:rsidR="00C22C9C" w:rsidRPr="004F0998">
        <w:rPr>
          <w:rFonts w:ascii="Book Antiqua" w:hAnsi="Book Antiqua" w:cs="Times New Roman"/>
          <w:color w:val="auto"/>
          <w:sz w:val="24"/>
          <w:szCs w:val="24"/>
        </w:rPr>
        <w:t xml:space="preserve">was </w:t>
      </w:r>
      <w:r w:rsidRPr="004F0998">
        <w:rPr>
          <w:rFonts w:ascii="Book Antiqua" w:hAnsi="Book Antiqua" w:cs="Times New Roman"/>
          <w:color w:val="auto"/>
          <w:sz w:val="24"/>
          <w:szCs w:val="24"/>
        </w:rPr>
        <w:t>initially based on symptom improvement and induction of clinical remission, but has become more ambitious as new treatments have appeared. Nowadays, the objective is to maintain a steroid-free remission, prevent hospital admission and surgery, obtain mucosal healing, improve quality of life, and avoid disability</w:t>
      </w:r>
      <w:r w:rsidR="00BB6FCB" w:rsidRPr="004F0998">
        <w:rPr>
          <w:rFonts w:ascii="Book Antiqua" w:hAnsi="Book Antiqua" w:cs="Times New Roman"/>
          <w:color w:val="auto"/>
          <w:sz w:val="24"/>
          <w:szCs w:val="24"/>
          <w:vertAlign w:val="superscript"/>
        </w:rPr>
        <w:t>[2]</w:t>
      </w:r>
      <w:r w:rsidRPr="004F0998">
        <w:rPr>
          <w:rFonts w:ascii="Book Antiqua" w:hAnsi="Book Antiqua" w:cs="Times New Roman"/>
          <w:color w:val="auto"/>
          <w:sz w:val="24"/>
          <w:szCs w:val="24"/>
        </w:rPr>
        <w:t xml:space="preserve">. Treatment for </w:t>
      </w:r>
      <w:r w:rsidR="007C3806" w:rsidRPr="004F0998">
        <w:rPr>
          <w:rFonts w:ascii="Book Antiqua" w:hAnsi="Book Antiqua" w:cs="Times New Roman"/>
          <w:color w:val="auto"/>
          <w:sz w:val="24"/>
          <w:szCs w:val="24"/>
        </w:rPr>
        <w:t>UC</w:t>
      </w:r>
      <w:r w:rsidRPr="004F0998">
        <w:rPr>
          <w:rFonts w:ascii="Book Antiqua" w:hAnsi="Book Antiqua" w:cs="Times New Roman"/>
          <w:color w:val="auto"/>
          <w:sz w:val="24"/>
          <w:szCs w:val="24"/>
        </w:rPr>
        <w:t xml:space="preserve"> consists mainly of mesalazine, corticosteroids, immunosuppressive drugs and biologic drugs (monoclonal antibodies to tumor necrosis factor-α (anti-TNF)</w:t>
      </w:r>
      <w:r w:rsidR="00C22C9C" w:rsidRPr="004F0998">
        <w:rPr>
          <w:rFonts w:ascii="Book Antiqua" w:hAnsi="Book Antiqua" w:cs="Times New Roman"/>
          <w:color w:val="auto"/>
          <w:sz w:val="24"/>
          <w:szCs w:val="24"/>
        </w:rPr>
        <w:t xml:space="preserve"> </w:t>
      </w:r>
      <w:r w:rsidRPr="004F0998">
        <w:rPr>
          <w:rFonts w:ascii="Book Antiqua" w:hAnsi="Book Antiqua" w:cs="Times New Roman"/>
          <w:color w:val="auto"/>
          <w:sz w:val="24"/>
          <w:szCs w:val="24"/>
        </w:rPr>
        <w:t xml:space="preserve">and anti-integrin medicines are currently available for regular use in Spain). Which one/s to use depends on disease extension (proctitis, left-sided colitis or extensive disease), disease activity and behavior (early relapse, steroid-dependence, </w:t>
      </w:r>
      <w:r w:rsidRPr="004F0998">
        <w:rPr>
          <w:rFonts w:ascii="Book Antiqua" w:hAnsi="Book Antiqua" w:cs="Times New Roman"/>
          <w:i/>
          <w:color w:val="auto"/>
          <w:sz w:val="24"/>
          <w:szCs w:val="24"/>
        </w:rPr>
        <w:t>etc.</w:t>
      </w:r>
      <w:r w:rsidRPr="004F0998">
        <w:rPr>
          <w:rFonts w:ascii="Book Antiqua" w:hAnsi="Book Antiqua" w:cs="Times New Roman"/>
          <w:color w:val="auto"/>
          <w:sz w:val="24"/>
          <w:szCs w:val="24"/>
        </w:rPr>
        <w:t>)</w:t>
      </w:r>
      <w:r w:rsidR="00BB6FCB" w:rsidRPr="004F0998">
        <w:rPr>
          <w:rFonts w:ascii="Book Antiqua" w:hAnsi="Book Antiqua" w:cs="Times New Roman"/>
          <w:color w:val="auto"/>
          <w:sz w:val="24"/>
          <w:szCs w:val="24"/>
          <w:vertAlign w:val="superscript"/>
        </w:rPr>
        <w:t>[7]</w:t>
      </w:r>
      <w:r w:rsidRPr="004F0998">
        <w:rPr>
          <w:rFonts w:ascii="Book Antiqua" w:hAnsi="Book Antiqua" w:cs="Times New Roman"/>
          <w:color w:val="auto"/>
          <w:sz w:val="24"/>
          <w:szCs w:val="24"/>
        </w:rPr>
        <w:t>.</w:t>
      </w:r>
    </w:p>
    <w:p w:rsidR="00EB4BCE" w:rsidRPr="004F0998" w:rsidRDefault="00A7777F" w:rsidP="00E729BA">
      <w:pPr>
        <w:spacing w:after="0" w:line="360" w:lineRule="auto"/>
        <w:jc w:val="both"/>
        <w:rPr>
          <w:rFonts w:ascii="Book Antiqua" w:hAnsi="Book Antiqua" w:cs="Times New Roman"/>
          <w:color w:val="auto"/>
          <w:sz w:val="24"/>
          <w:szCs w:val="24"/>
        </w:rPr>
      </w:pPr>
      <w:r w:rsidRPr="004F0998">
        <w:rPr>
          <w:rFonts w:ascii="Book Antiqua" w:hAnsi="Book Antiqua" w:cs="Times New Roman"/>
          <w:color w:val="auto"/>
          <w:sz w:val="24"/>
          <w:szCs w:val="24"/>
        </w:rPr>
        <w:tab/>
        <w:t>The introduction of anti-TNF drugs in the past two decades, has allowed clinicians to change the treatment objectives to the more determined ones mentioned above. Biologics were initially</w:t>
      </w:r>
      <w:r w:rsidR="00003289" w:rsidRPr="004F0998">
        <w:rPr>
          <w:rFonts w:ascii="Book Antiqua" w:hAnsi="Book Antiqua" w:cs="Times New Roman"/>
          <w:color w:val="auto"/>
          <w:sz w:val="24"/>
          <w:szCs w:val="24"/>
        </w:rPr>
        <w:t xml:space="preserve"> used</w:t>
      </w:r>
      <w:r w:rsidRPr="004F0998">
        <w:rPr>
          <w:rFonts w:ascii="Book Antiqua" w:hAnsi="Book Antiqua" w:cs="Times New Roman"/>
          <w:color w:val="auto"/>
          <w:sz w:val="24"/>
          <w:szCs w:val="24"/>
        </w:rPr>
        <w:t xml:space="preserve"> only for severe steroid-refractory patients, and have been increasingly recommended in different categories, seeking an endoscopic and clinical remission, to avoid steroid overuse, deterioration of patients’ quality of life, colectomy,</w:t>
      </w:r>
      <w:r w:rsidRPr="004F0998">
        <w:rPr>
          <w:rFonts w:ascii="Book Antiqua" w:hAnsi="Book Antiqua" w:cs="Times New Roman"/>
          <w:i/>
          <w:color w:val="auto"/>
          <w:sz w:val="24"/>
          <w:szCs w:val="24"/>
        </w:rPr>
        <w:t xml:space="preserve"> etc.</w:t>
      </w:r>
      <w:r w:rsidRPr="004F0998">
        <w:rPr>
          <w:rFonts w:ascii="Book Antiqua" w:hAnsi="Book Antiqua" w:cs="Times New Roman"/>
          <w:color w:val="auto"/>
          <w:sz w:val="24"/>
          <w:szCs w:val="24"/>
        </w:rPr>
        <w:t xml:space="preserve"> Anti-TNF drugs are the only ones to have proven effectiveness in obtaining mucosal healing in a high percentage of responding patients. To date, three anti-TNF alpha drugs are licensed for treatment in moderate-severe UC: </w:t>
      </w:r>
      <w:r w:rsidR="006D6F4D" w:rsidRPr="004F0998">
        <w:rPr>
          <w:rFonts w:ascii="Book Antiqua" w:hAnsi="Book Antiqua" w:cs="Times New Roman"/>
          <w:color w:val="auto"/>
          <w:sz w:val="24"/>
          <w:szCs w:val="24"/>
        </w:rPr>
        <w:t>i</w:t>
      </w:r>
      <w:r w:rsidRPr="004F0998">
        <w:rPr>
          <w:rFonts w:ascii="Book Antiqua" w:hAnsi="Book Antiqua" w:cs="Times New Roman"/>
          <w:color w:val="auto"/>
          <w:sz w:val="24"/>
          <w:szCs w:val="24"/>
        </w:rPr>
        <w:t xml:space="preserve">nfliximab, </w:t>
      </w:r>
      <w:r w:rsidR="006D6F4D" w:rsidRPr="004F0998">
        <w:rPr>
          <w:rFonts w:ascii="Book Antiqua" w:hAnsi="Book Antiqua" w:cs="Times New Roman"/>
          <w:color w:val="auto"/>
          <w:sz w:val="24"/>
          <w:szCs w:val="24"/>
        </w:rPr>
        <w:t>a</w:t>
      </w:r>
      <w:r w:rsidRPr="004F0998">
        <w:rPr>
          <w:rFonts w:ascii="Book Antiqua" w:hAnsi="Book Antiqua" w:cs="Times New Roman"/>
          <w:color w:val="auto"/>
          <w:sz w:val="24"/>
          <w:szCs w:val="24"/>
        </w:rPr>
        <w:t xml:space="preserve">dalimumab and </w:t>
      </w:r>
      <w:r w:rsidR="006D6F4D" w:rsidRPr="004F0998">
        <w:rPr>
          <w:rFonts w:ascii="Book Antiqua" w:hAnsi="Book Antiqua" w:cs="Times New Roman"/>
          <w:color w:val="auto"/>
          <w:sz w:val="24"/>
          <w:szCs w:val="24"/>
        </w:rPr>
        <w:t>g</w:t>
      </w:r>
      <w:r w:rsidR="001E796F" w:rsidRPr="004F0998">
        <w:rPr>
          <w:rFonts w:ascii="Book Antiqua" w:hAnsi="Book Antiqua" w:cs="Times New Roman"/>
          <w:color w:val="auto"/>
          <w:sz w:val="24"/>
          <w:szCs w:val="24"/>
        </w:rPr>
        <w:t>olimumab</w:t>
      </w:r>
      <w:r w:rsidRPr="004F0998">
        <w:rPr>
          <w:rFonts w:ascii="Book Antiqua" w:hAnsi="Book Antiqua" w:cs="Times New Roman"/>
          <w:color w:val="auto"/>
          <w:sz w:val="24"/>
          <w:szCs w:val="24"/>
        </w:rPr>
        <w:t>.</w:t>
      </w:r>
    </w:p>
    <w:p w:rsidR="00EB4BCE" w:rsidRPr="004F0998" w:rsidRDefault="00A7777F" w:rsidP="00E729BA">
      <w:pPr>
        <w:spacing w:after="0" w:line="360" w:lineRule="auto"/>
        <w:jc w:val="both"/>
        <w:rPr>
          <w:rFonts w:ascii="Book Antiqua" w:hAnsi="Book Antiqua" w:cs="Times New Roman"/>
          <w:color w:val="auto"/>
          <w:sz w:val="24"/>
          <w:szCs w:val="24"/>
        </w:rPr>
      </w:pPr>
      <w:r w:rsidRPr="004F0998">
        <w:rPr>
          <w:rFonts w:ascii="Book Antiqua" w:hAnsi="Book Antiqua" w:cs="Times New Roman"/>
          <w:color w:val="auto"/>
          <w:sz w:val="24"/>
          <w:szCs w:val="24"/>
        </w:rPr>
        <w:tab/>
      </w:r>
      <w:r w:rsidR="001E796F" w:rsidRPr="004F0998">
        <w:rPr>
          <w:rFonts w:ascii="Book Antiqua" w:hAnsi="Book Antiqua" w:cs="Times New Roman"/>
          <w:color w:val="auto"/>
          <w:sz w:val="24"/>
          <w:szCs w:val="24"/>
        </w:rPr>
        <w:t>Golimumab</w:t>
      </w:r>
      <w:r w:rsidRPr="004F0998">
        <w:rPr>
          <w:rFonts w:ascii="Book Antiqua" w:hAnsi="Book Antiqua" w:cs="Times New Roman"/>
          <w:color w:val="auto"/>
          <w:sz w:val="24"/>
          <w:szCs w:val="24"/>
        </w:rPr>
        <w:t xml:space="preserve"> is a fully humanized anti-TNF-alpha monoclonal antibody, administered subcutaneously. As with infliximab and adalimumab, </w:t>
      </w:r>
      <w:r w:rsidR="001E796F" w:rsidRPr="004F0998">
        <w:rPr>
          <w:rFonts w:ascii="Book Antiqua" w:hAnsi="Book Antiqua" w:cs="Times New Roman"/>
          <w:color w:val="auto"/>
          <w:sz w:val="24"/>
          <w:szCs w:val="24"/>
        </w:rPr>
        <w:t>golimumab</w:t>
      </w:r>
      <w:r w:rsidRPr="004F0998">
        <w:rPr>
          <w:rFonts w:ascii="Book Antiqua" w:hAnsi="Book Antiqua" w:cs="Times New Roman"/>
          <w:color w:val="auto"/>
          <w:sz w:val="24"/>
          <w:szCs w:val="24"/>
        </w:rPr>
        <w:t xml:space="preserve"> blocks soluble and trans-membrane TNFα, avoiding permanent TNFα receptor binding. Howev</w:t>
      </w:r>
      <w:r w:rsidR="00003289" w:rsidRPr="004F0998">
        <w:rPr>
          <w:rFonts w:ascii="Book Antiqua" w:hAnsi="Book Antiqua" w:cs="Times New Roman"/>
          <w:color w:val="auto"/>
          <w:sz w:val="24"/>
          <w:szCs w:val="24"/>
        </w:rPr>
        <w:t>er, compared to the other anti-</w:t>
      </w:r>
      <w:r w:rsidRPr="004F0998">
        <w:rPr>
          <w:rFonts w:ascii="Book Antiqua" w:hAnsi="Book Antiqua" w:cs="Times New Roman"/>
          <w:color w:val="auto"/>
          <w:sz w:val="24"/>
          <w:szCs w:val="24"/>
        </w:rPr>
        <w:t xml:space="preserve">TNFα, preclinical studies showed that </w:t>
      </w:r>
      <w:r w:rsidR="00824AC2" w:rsidRPr="004F0998">
        <w:rPr>
          <w:rFonts w:ascii="Book Antiqua" w:hAnsi="Book Antiqua" w:cs="Times New Roman"/>
          <w:color w:val="auto"/>
          <w:sz w:val="24"/>
          <w:szCs w:val="24"/>
        </w:rPr>
        <w:t>g</w:t>
      </w:r>
      <w:r w:rsidR="001E796F" w:rsidRPr="004F0998">
        <w:rPr>
          <w:rFonts w:ascii="Book Antiqua" w:hAnsi="Book Antiqua" w:cs="Times New Roman"/>
          <w:color w:val="auto"/>
          <w:sz w:val="24"/>
          <w:szCs w:val="24"/>
        </w:rPr>
        <w:t>olimumab</w:t>
      </w:r>
      <w:r w:rsidRPr="004F0998">
        <w:rPr>
          <w:rFonts w:ascii="Book Antiqua" w:hAnsi="Book Antiqua" w:cs="Times New Roman"/>
          <w:color w:val="auto"/>
          <w:sz w:val="24"/>
          <w:szCs w:val="24"/>
        </w:rPr>
        <w:t xml:space="preserve"> had greater conformational stability and higher </w:t>
      </w:r>
      <w:r w:rsidRPr="004F0998">
        <w:rPr>
          <w:rFonts w:ascii="Book Antiqua" w:hAnsi="Book Antiqua" w:cs="Times New Roman"/>
          <w:color w:val="auto"/>
          <w:sz w:val="24"/>
          <w:szCs w:val="24"/>
        </w:rPr>
        <w:lastRenderedPageBreak/>
        <w:t xml:space="preserve">binding affinity for soluble and trans-membrane TNFα. </w:t>
      </w:r>
      <w:r w:rsidR="001E796F" w:rsidRPr="004F0998">
        <w:rPr>
          <w:rFonts w:ascii="Book Antiqua" w:hAnsi="Book Antiqua" w:cs="Times New Roman"/>
          <w:color w:val="auto"/>
          <w:sz w:val="24"/>
          <w:szCs w:val="24"/>
        </w:rPr>
        <w:t>Golimumab</w:t>
      </w:r>
      <w:r w:rsidRPr="004F0998">
        <w:rPr>
          <w:rFonts w:ascii="Book Antiqua" w:hAnsi="Book Antiqua" w:cs="Times New Roman"/>
          <w:color w:val="auto"/>
          <w:sz w:val="24"/>
          <w:szCs w:val="24"/>
        </w:rPr>
        <w:t xml:space="preserve"> reaches peak serum concentrations in 2-6 </w:t>
      </w:r>
      <w:r w:rsidR="004F0998" w:rsidRPr="004F0998">
        <w:rPr>
          <w:rFonts w:ascii="Book Antiqua" w:hAnsi="Book Antiqua" w:cs="Times New Roman" w:hint="eastAsia"/>
          <w:color w:val="auto"/>
          <w:sz w:val="24"/>
          <w:szCs w:val="24"/>
          <w:lang w:eastAsia="zh-CN"/>
        </w:rPr>
        <w:t>d</w:t>
      </w:r>
      <w:r w:rsidRPr="004F0998">
        <w:rPr>
          <w:rFonts w:ascii="Book Antiqua" w:hAnsi="Book Antiqua" w:cs="Times New Roman"/>
          <w:color w:val="auto"/>
          <w:sz w:val="24"/>
          <w:szCs w:val="24"/>
        </w:rPr>
        <w:t xml:space="preserve">, obtaining steady drug levels after 14 </w:t>
      </w:r>
      <w:r w:rsidR="004F0998" w:rsidRPr="004F0998">
        <w:rPr>
          <w:rFonts w:ascii="Book Antiqua" w:hAnsi="Book Antiqua" w:cs="Times New Roman" w:hint="eastAsia"/>
          <w:color w:val="auto"/>
          <w:sz w:val="24"/>
          <w:szCs w:val="24"/>
          <w:lang w:eastAsia="zh-CN"/>
        </w:rPr>
        <w:t>wk</w:t>
      </w:r>
      <w:r w:rsidRPr="004F0998">
        <w:rPr>
          <w:rFonts w:ascii="Book Antiqua" w:hAnsi="Book Antiqua" w:cs="Times New Roman"/>
          <w:color w:val="auto"/>
          <w:sz w:val="24"/>
          <w:szCs w:val="24"/>
        </w:rPr>
        <w:t xml:space="preserve"> of treatment</w:t>
      </w:r>
      <w:r w:rsidR="00BB6FCB" w:rsidRPr="004F0998">
        <w:rPr>
          <w:rFonts w:ascii="Book Antiqua" w:hAnsi="Book Antiqua" w:cs="Times New Roman"/>
          <w:color w:val="auto"/>
          <w:sz w:val="24"/>
          <w:szCs w:val="24"/>
          <w:vertAlign w:val="superscript"/>
        </w:rPr>
        <w:t>[8]</w:t>
      </w:r>
      <w:r w:rsidRPr="004F0998">
        <w:rPr>
          <w:rFonts w:ascii="Book Antiqua" w:hAnsi="Book Antiqua" w:cs="Times New Roman"/>
          <w:color w:val="auto"/>
          <w:sz w:val="24"/>
          <w:szCs w:val="24"/>
        </w:rPr>
        <w:t>.</w:t>
      </w:r>
    </w:p>
    <w:p w:rsidR="00EB4BCE" w:rsidRPr="004F0998" w:rsidRDefault="001E796F" w:rsidP="00E729BA">
      <w:pPr>
        <w:spacing w:after="0" w:line="360" w:lineRule="auto"/>
        <w:ind w:firstLine="708"/>
        <w:jc w:val="both"/>
        <w:rPr>
          <w:rFonts w:ascii="Book Antiqua" w:hAnsi="Book Antiqua" w:cs="Times New Roman"/>
          <w:color w:val="auto"/>
          <w:sz w:val="24"/>
          <w:szCs w:val="24"/>
        </w:rPr>
      </w:pPr>
      <w:r w:rsidRPr="004F0998">
        <w:rPr>
          <w:rFonts w:ascii="Book Antiqua" w:hAnsi="Book Antiqua" w:cs="Times New Roman"/>
          <w:color w:val="auto"/>
          <w:sz w:val="24"/>
          <w:szCs w:val="24"/>
        </w:rPr>
        <w:t>Golimumab</w:t>
      </w:r>
      <w:r w:rsidR="00A7777F" w:rsidRPr="004F0998">
        <w:rPr>
          <w:rFonts w:ascii="Book Antiqua" w:hAnsi="Book Antiqua" w:cs="Times New Roman"/>
          <w:color w:val="auto"/>
          <w:sz w:val="24"/>
          <w:szCs w:val="24"/>
        </w:rPr>
        <w:t xml:space="preserve"> was approved for UC by the European Medicines Agency (EMA) in the European Union and the Food and Drug Administration (FDA) in the United States in 2013, and in Spain as </w:t>
      </w:r>
      <w:r w:rsidR="00003289" w:rsidRPr="004F0998">
        <w:rPr>
          <w:rFonts w:ascii="Book Antiqua" w:hAnsi="Book Antiqua" w:cs="Times New Roman"/>
          <w:color w:val="auto"/>
          <w:sz w:val="24"/>
          <w:szCs w:val="24"/>
        </w:rPr>
        <w:t xml:space="preserve">the </w:t>
      </w:r>
      <w:r w:rsidR="00A7777F" w:rsidRPr="004F0998">
        <w:rPr>
          <w:rFonts w:ascii="Book Antiqua" w:hAnsi="Book Antiqua" w:cs="Times New Roman"/>
          <w:color w:val="auto"/>
          <w:sz w:val="24"/>
          <w:szCs w:val="24"/>
        </w:rPr>
        <w:t xml:space="preserve">first-line treatment in May 2014. </w:t>
      </w:r>
      <w:r w:rsidRPr="004F0998">
        <w:rPr>
          <w:rFonts w:ascii="Book Antiqua" w:hAnsi="Book Antiqua" w:cs="Times New Roman"/>
          <w:color w:val="auto"/>
          <w:sz w:val="24"/>
          <w:szCs w:val="24"/>
        </w:rPr>
        <w:t>Golimumab</w:t>
      </w:r>
      <w:r w:rsidR="00A7777F" w:rsidRPr="004F0998">
        <w:rPr>
          <w:rFonts w:ascii="Book Antiqua" w:hAnsi="Book Antiqua" w:cs="Times New Roman"/>
          <w:color w:val="auto"/>
          <w:sz w:val="24"/>
          <w:szCs w:val="24"/>
        </w:rPr>
        <w:t xml:space="preserve"> has an induction phase with higher dosage in the first two shots; the initial dose is 200 mg subcutaneously at week 0, followed by 100 mg at week 2. Maintenance dose is 50 or 100 mg subcutaneously every 4 </w:t>
      </w:r>
      <w:r w:rsidR="004F0998" w:rsidRPr="004F0998">
        <w:rPr>
          <w:rFonts w:ascii="Book Antiqua" w:hAnsi="Book Antiqua" w:cs="Times New Roman" w:hint="eastAsia"/>
          <w:color w:val="auto"/>
          <w:sz w:val="24"/>
          <w:szCs w:val="24"/>
          <w:lang w:eastAsia="zh-CN"/>
        </w:rPr>
        <w:t>wk</w:t>
      </w:r>
      <w:r w:rsidR="00A7777F" w:rsidRPr="004F0998">
        <w:rPr>
          <w:rFonts w:ascii="Book Antiqua" w:hAnsi="Book Antiqua" w:cs="Times New Roman"/>
          <w:color w:val="auto"/>
          <w:sz w:val="24"/>
          <w:szCs w:val="24"/>
        </w:rPr>
        <w:t xml:space="preserve">, depending on the patient’s weight (more or less than 80kg) in Europe, with a fixed 100mg dose in the </w:t>
      </w:r>
      <w:r w:rsidR="004F0998" w:rsidRPr="004F0998">
        <w:rPr>
          <w:rFonts w:ascii="Book Antiqua" w:hAnsi="Book Antiqua" w:cs="Times New Roman"/>
          <w:color w:val="auto"/>
          <w:sz w:val="24"/>
          <w:szCs w:val="24"/>
        </w:rPr>
        <w:t>United States</w:t>
      </w:r>
      <w:r w:rsidR="00A7777F" w:rsidRPr="004F0998">
        <w:rPr>
          <w:rFonts w:ascii="Book Antiqua" w:hAnsi="Book Antiqua" w:cs="Times New Roman"/>
          <w:color w:val="auto"/>
          <w:sz w:val="24"/>
          <w:szCs w:val="24"/>
        </w:rPr>
        <w:t>.</w:t>
      </w:r>
    </w:p>
    <w:p w:rsidR="00416BE1" w:rsidRPr="004F0998" w:rsidRDefault="00A7777F" w:rsidP="00E729BA">
      <w:pPr>
        <w:spacing w:after="0" w:line="360" w:lineRule="auto"/>
        <w:ind w:firstLine="708"/>
        <w:jc w:val="both"/>
        <w:rPr>
          <w:rFonts w:ascii="Book Antiqua" w:hAnsi="Book Antiqua" w:cs="Times New Roman"/>
          <w:color w:val="auto"/>
          <w:sz w:val="24"/>
          <w:szCs w:val="24"/>
        </w:rPr>
      </w:pPr>
      <w:r w:rsidRPr="004F0998">
        <w:rPr>
          <w:rFonts w:ascii="Book Antiqua" w:hAnsi="Book Antiqua" w:cs="Times New Roman"/>
          <w:color w:val="auto"/>
          <w:sz w:val="24"/>
          <w:szCs w:val="24"/>
        </w:rPr>
        <w:t xml:space="preserve">The </w:t>
      </w:r>
      <w:r w:rsidR="001E796F" w:rsidRPr="004F0998">
        <w:rPr>
          <w:rFonts w:ascii="Book Antiqua" w:hAnsi="Book Antiqua" w:cs="Times New Roman"/>
          <w:color w:val="auto"/>
          <w:sz w:val="24"/>
          <w:szCs w:val="24"/>
        </w:rPr>
        <w:t>Golimumab</w:t>
      </w:r>
      <w:r w:rsidRPr="004F0998">
        <w:rPr>
          <w:rFonts w:ascii="Book Antiqua" w:hAnsi="Book Antiqua" w:cs="Times New Roman"/>
          <w:color w:val="auto"/>
          <w:sz w:val="24"/>
          <w:szCs w:val="24"/>
        </w:rPr>
        <w:t xml:space="preserve"> pivotal studies (PURSUIT) demonstrated its efficacy and safety in moderate to severe UC patients, who had an inadequate response to steroids and immunosupressants, and had not received anti-TNF drugs 12 </w:t>
      </w:r>
      <w:r w:rsidR="004F0998" w:rsidRPr="004F0998">
        <w:rPr>
          <w:rFonts w:ascii="Book Antiqua" w:hAnsi="Book Antiqua" w:cs="Times New Roman" w:hint="eastAsia"/>
          <w:color w:val="auto"/>
          <w:sz w:val="24"/>
          <w:szCs w:val="24"/>
          <w:lang w:eastAsia="zh-CN"/>
        </w:rPr>
        <w:t>mo</w:t>
      </w:r>
      <w:r w:rsidRPr="004F0998">
        <w:rPr>
          <w:rFonts w:ascii="Book Antiqua" w:hAnsi="Book Antiqua" w:cs="Times New Roman"/>
          <w:color w:val="auto"/>
          <w:sz w:val="24"/>
          <w:szCs w:val="24"/>
        </w:rPr>
        <w:t xml:space="preserve"> before the study. However, there is </w:t>
      </w:r>
      <w:r w:rsidR="00003289" w:rsidRPr="004F0998">
        <w:rPr>
          <w:rFonts w:ascii="Book Antiqua" w:hAnsi="Book Antiqua" w:cs="Times New Roman"/>
          <w:color w:val="auto"/>
          <w:sz w:val="24"/>
          <w:szCs w:val="24"/>
        </w:rPr>
        <w:t>hardly</w:t>
      </w:r>
      <w:r w:rsidRPr="004F0998">
        <w:rPr>
          <w:rFonts w:ascii="Book Antiqua" w:hAnsi="Book Antiqua" w:cs="Times New Roman"/>
          <w:color w:val="auto"/>
          <w:sz w:val="24"/>
          <w:szCs w:val="24"/>
        </w:rPr>
        <w:t xml:space="preserve"> any data </w:t>
      </w:r>
      <w:r w:rsidR="00003289" w:rsidRPr="004F0998">
        <w:rPr>
          <w:rFonts w:ascii="Book Antiqua" w:hAnsi="Book Antiqua" w:cs="Times New Roman"/>
          <w:color w:val="auto"/>
          <w:sz w:val="24"/>
          <w:szCs w:val="24"/>
        </w:rPr>
        <w:t>from</w:t>
      </w:r>
      <w:r w:rsidRPr="004F0998">
        <w:rPr>
          <w:rFonts w:ascii="Book Antiqua" w:hAnsi="Book Antiqua" w:cs="Times New Roman"/>
          <w:color w:val="auto"/>
          <w:sz w:val="24"/>
          <w:szCs w:val="24"/>
        </w:rPr>
        <w:t xml:space="preserve"> daily clinical practice and the best scenario for </w:t>
      </w:r>
      <w:r w:rsidR="00824AC2" w:rsidRPr="004F0998">
        <w:rPr>
          <w:rFonts w:ascii="Book Antiqua" w:hAnsi="Book Antiqua" w:cs="Times New Roman"/>
          <w:color w:val="auto"/>
          <w:sz w:val="24"/>
          <w:szCs w:val="24"/>
        </w:rPr>
        <w:t>g</w:t>
      </w:r>
      <w:r w:rsidR="001E796F" w:rsidRPr="004F0998">
        <w:rPr>
          <w:rFonts w:ascii="Book Antiqua" w:hAnsi="Book Antiqua" w:cs="Times New Roman"/>
          <w:color w:val="auto"/>
          <w:sz w:val="24"/>
          <w:szCs w:val="24"/>
        </w:rPr>
        <w:t>olimumab</w:t>
      </w:r>
      <w:r w:rsidRPr="004F0998">
        <w:rPr>
          <w:rFonts w:ascii="Book Antiqua" w:hAnsi="Book Antiqua" w:cs="Times New Roman"/>
          <w:color w:val="auto"/>
          <w:sz w:val="24"/>
          <w:szCs w:val="24"/>
        </w:rPr>
        <w:t xml:space="preserve"> use has not yet</w:t>
      </w:r>
      <w:r w:rsidR="00003289" w:rsidRPr="004F0998">
        <w:rPr>
          <w:rFonts w:ascii="Book Antiqua" w:hAnsi="Book Antiqua" w:cs="Times New Roman"/>
          <w:color w:val="auto"/>
          <w:sz w:val="24"/>
          <w:szCs w:val="24"/>
        </w:rPr>
        <w:t xml:space="preserve"> </w:t>
      </w:r>
      <w:r w:rsidRPr="004F0998">
        <w:rPr>
          <w:rFonts w:ascii="Book Antiqua" w:hAnsi="Book Antiqua" w:cs="Times New Roman"/>
          <w:color w:val="auto"/>
          <w:sz w:val="24"/>
          <w:szCs w:val="24"/>
        </w:rPr>
        <w:t>been defined</w:t>
      </w:r>
      <w:r w:rsidR="00585688" w:rsidRPr="004F0998">
        <w:rPr>
          <w:rFonts w:ascii="Book Antiqua" w:hAnsi="Book Antiqua" w:cs="Times New Roman"/>
          <w:color w:val="auto"/>
          <w:sz w:val="24"/>
          <w:szCs w:val="24"/>
        </w:rPr>
        <w:t xml:space="preserve"> </w:t>
      </w:r>
      <w:r w:rsidRPr="004F0998">
        <w:rPr>
          <w:rFonts w:ascii="Book Antiqua" w:hAnsi="Book Antiqua" w:cs="Times New Roman"/>
          <w:color w:val="auto"/>
          <w:sz w:val="24"/>
          <w:szCs w:val="24"/>
        </w:rPr>
        <w:t>precisely.</w:t>
      </w:r>
    </w:p>
    <w:p w:rsidR="00EB4BCE" w:rsidRPr="004F0998" w:rsidRDefault="00A7777F" w:rsidP="00E729BA">
      <w:pPr>
        <w:spacing w:after="0" w:line="360" w:lineRule="auto"/>
        <w:ind w:firstLine="708"/>
        <w:jc w:val="both"/>
        <w:rPr>
          <w:rFonts w:ascii="Book Antiqua" w:hAnsi="Book Antiqua" w:cs="Times New Roman"/>
          <w:color w:val="auto"/>
          <w:sz w:val="24"/>
          <w:szCs w:val="24"/>
        </w:rPr>
      </w:pPr>
      <w:r w:rsidRPr="004F0998">
        <w:rPr>
          <w:rFonts w:ascii="Book Antiqua" w:hAnsi="Book Antiqua" w:cs="Times New Roman"/>
          <w:color w:val="auto"/>
          <w:sz w:val="24"/>
          <w:szCs w:val="24"/>
        </w:rPr>
        <w:t>To determine how the new a</w:t>
      </w:r>
      <w:r w:rsidR="00585688" w:rsidRPr="004F0998">
        <w:rPr>
          <w:rFonts w:ascii="Book Antiqua" w:hAnsi="Book Antiqua" w:cs="Times New Roman"/>
          <w:color w:val="auto"/>
          <w:sz w:val="24"/>
          <w:szCs w:val="24"/>
        </w:rPr>
        <w:t>nti-TNF worked on a daily basis</w:t>
      </w:r>
      <w:r w:rsidRPr="004F0998">
        <w:rPr>
          <w:rFonts w:ascii="Book Antiqua" w:hAnsi="Book Antiqua" w:cs="Times New Roman"/>
          <w:color w:val="auto"/>
          <w:sz w:val="24"/>
          <w:szCs w:val="24"/>
        </w:rPr>
        <w:t xml:space="preserve"> with our real-life patients, many of </w:t>
      </w:r>
      <w:r w:rsidR="00585688" w:rsidRPr="004F0998">
        <w:rPr>
          <w:rFonts w:ascii="Book Antiqua" w:hAnsi="Book Antiqua" w:cs="Times New Roman"/>
          <w:color w:val="auto"/>
          <w:sz w:val="24"/>
          <w:szCs w:val="24"/>
        </w:rPr>
        <w:t>whom</w:t>
      </w:r>
      <w:r w:rsidRPr="004F0998">
        <w:rPr>
          <w:rFonts w:ascii="Book Antiqua" w:hAnsi="Book Antiqua" w:cs="Times New Roman"/>
          <w:color w:val="auto"/>
          <w:sz w:val="24"/>
          <w:szCs w:val="24"/>
        </w:rPr>
        <w:t xml:space="preserve"> were refractory to other treatments (</w:t>
      </w:r>
      <w:r w:rsidR="00585688" w:rsidRPr="004F0998">
        <w:rPr>
          <w:rFonts w:ascii="Book Antiqua" w:hAnsi="Book Antiqua" w:cs="Times New Roman"/>
          <w:color w:val="auto"/>
          <w:sz w:val="24"/>
          <w:szCs w:val="24"/>
        </w:rPr>
        <w:t xml:space="preserve">a case </w:t>
      </w:r>
      <w:r w:rsidR="003F6C60" w:rsidRPr="004F0998">
        <w:rPr>
          <w:rFonts w:ascii="Book Antiqua" w:hAnsi="Book Antiqua" w:cs="Times New Roman"/>
          <w:color w:val="auto"/>
          <w:sz w:val="24"/>
          <w:szCs w:val="24"/>
        </w:rPr>
        <w:t>that</w:t>
      </w:r>
      <w:r w:rsidRPr="004F0998">
        <w:rPr>
          <w:rFonts w:ascii="Book Antiqua" w:hAnsi="Book Antiqua" w:cs="Times New Roman"/>
          <w:color w:val="auto"/>
          <w:sz w:val="24"/>
          <w:szCs w:val="24"/>
        </w:rPr>
        <w:t xml:space="preserve"> had not been </w:t>
      </w:r>
      <w:r w:rsidR="00585688" w:rsidRPr="004F0998">
        <w:rPr>
          <w:rFonts w:ascii="Book Antiqua" w:hAnsi="Book Antiqua" w:cs="Times New Roman"/>
          <w:color w:val="auto"/>
          <w:sz w:val="24"/>
          <w:szCs w:val="24"/>
        </w:rPr>
        <w:t>examined</w:t>
      </w:r>
      <w:r w:rsidRPr="004F0998">
        <w:rPr>
          <w:rFonts w:ascii="Book Antiqua" w:hAnsi="Book Antiqua" w:cs="Times New Roman"/>
          <w:color w:val="auto"/>
          <w:sz w:val="24"/>
          <w:szCs w:val="24"/>
        </w:rPr>
        <w:t xml:space="preserve"> in the pre-com</w:t>
      </w:r>
      <w:r w:rsidR="00585688" w:rsidRPr="004F0998">
        <w:rPr>
          <w:rFonts w:ascii="Book Antiqua" w:hAnsi="Book Antiqua" w:cs="Times New Roman"/>
          <w:color w:val="auto"/>
          <w:sz w:val="24"/>
          <w:szCs w:val="24"/>
        </w:rPr>
        <w:t>m</w:t>
      </w:r>
      <w:r w:rsidRPr="004F0998">
        <w:rPr>
          <w:rFonts w:ascii="Book Antiqua" w:hAnsi="Book Antiqua" w:cs="Times New Roman"/>
          <w:color w:val="auto"/>
          <w:sz w:val="24"/>
          <w:szCs w:val="24"/>
        </w:rPr>
        <w:t xml:space="preserve">ercial phase studies), we decided to prospectively record the data of all of the first patients </w:t>
      </w:r>
      <w:r w:rsidR="00585688" w:rsidRPr="004F0998">
        <w:rPr>
          <w:rFonts w:ascii="Book Antiqua" w:hAnsi="Book Antiqua" w:cs="Times New Roman"/>
          <w:color w:val="auto"/>
          <w:sz w:val="24"/>
          <w:szCs w:val="24"/>
        </w:rPr>
        <w:t xml:space="preserve">to whom </w:t>
      </w:r>
      <w:r w:rsidRPr="004F0998">
        <w:rPr>
          <w:rFonts w:ascii="Book Antiqua" w:hAnsi="Book Antiqua" w:cs="Times New Roman"/>
          <w:color w:val="auto"/>
          <w:sz w:val="24"/>
          <w:szCs w:val="24"/>
        </w:rPr>
        <w:t xml:space="preserve">we prescribed </w:t>
      </w:r>
      <w:r w:rsidR="00824AC2" w:rsidRPr="004F0998">
        <w:rPr>
          <w:rFonts w:ascii="Book Antiqua" w:hAnsi="Book Antiqua" w:cs="Times New Roman"/>
          <w:color w:val="auto"/>
          <w:sz w:val="24"/>
          <w:szCs w:val="24"/>
        </w:rPr>
        <w:t>g</w:t>
      </w:r>
      <w:r w:rsidR="001E796F" w:rsidRPr="004F0998">
        <w:rPr>
          <w:rFonts w:ascii="Book Antiqua" w:hAnsi="Book Antiqua" w:cs="Times New Roman"/>
          <w:color w:val="auto"/>
          <w:sz w:val="24"/>
          <w:szCs w:val="24"/>
        </w:rPr>
        <w:t>olimumab</w:t>
      </w:r>
      <w:r w:rsidR="00585688" w:rsidRPr="004F0998">
        <w:rPr>
          <w:rFonts w:ascii="Book Antiqua" w:hAnsi="Book Antiqua" w:cs="Times New Roman"/>
          <w:color w:val="auto"/>
          <w:sz w:val="24"/>
          <w:szCs w:val="24"/>
        </w:rPr>
        <w:t xml:space="preserve"> after</w:t>
      </w:r>
      <w:r w:rsidRPr="004F0998">
        <w:rPr>
          <w:rFonts w:ascii="Book Antiqua" w:hAnsi="Book Antiqua" w:cs="Times New Roman"/>
          <w:color w:val="auto"/>
          <w:sz w:val="24"/>
          <w:szCs w:val="24"/>
        </w:rPr>
        <w:t xml:space="preserve"> its approval in Spain. Our objective was also to review the published literature to obtain, and transmit, an idea of the real-life management of UC with </w:t>
      </w:r>
      <w:r w:rsidR="00824AC2" w:rsidRPr="004F0998">
        <w:rPr>
          <w:rFonts w:ascii="Book Antiqua" w:hAnsi="Book Antiqua" w:cs="Times New Roman"/>
          <w:color w:val="auto"/>
          <w:sz w:val="24"/>
          <w:szCs w:val="24"/>
        </w:rPr>
        <w:t>g</w:t>
      </w:r>
      <w:r w:rsidR="001E796F" w:rsidRPr="004F0998">
        <w:rPr>
          <w:rFonts w:ascii="Book Antiqua" w:hAnsi="Book Antiqua" w:cs="Times New Roman"/>
          <w:color w:val="auto"/>
          <w:sz w:val="24"/>
          <w:szCs w:val="24"/>
        </w:rPr>
        <w:t>olimumab</w:t>
      </w:r>
      <w:r w:rsidRPr="004F0998">
        <w:rPr>
          <w:rFonts w:ascii="Book Antiqua" w:hAnsi="Book Antiqua" w:cs="Times New Roman"/>
          <w:color w:val="auto"/>
          <w:sz w:val="24"/>
          <w:szCs w:val="24"/>
        </w:rPr>
        <w:t xml:space="preserve">. </w:t>
      </w:r>
    </w:p>
    <w:p w:rsidR="00EB4BCE" w:rsidRPr="004F0998" w:rsidRDefault="00EB4BCE" w:rsidP="00E729BA">
      <w:pPr>
        <w:spacing w:after="0" w:line="360" w:lineRule="auto"/>
        <w:jc w:val="both"/>
        <w:rPr>
          <w:rFonts w:ascii="Book Antiqua" w:hAnsi="Book Antiqua" w:cs="Times New Roman"/>
          <w:color w:val="auto"/>
          <w:sz w:val="24"/>
          <w:szCs w:val="24"/>
        </w:rPr>
      </w:pPr>
    </w:p>
    <w:p w:rsidR="0064691D" w:rsidRPr="004F0998" w:rsidRDefault="0064691D" w:rsidP="00E729BA">
      <w:pPr>
        <w:spacing w:after="0" w:line="360" w:lineRule="auto"/>
        <w:jc w:val="both"/>
        <w:rPr>
          <w:rFonts w:ascii="Book Antiqua" w:hAnsi="Book Antiqua"/>
          <w:b/>
          <w:color w:val="auto"/>
          <w:sz w:val="24"/>
          <w:szCs w:val="24"/>
        </w:rPr>
      </w:pPr>
      <w:bookmarkStart w:id="52" w:name="OLE_LINK337"/>
      <w:bookmarkStart w:id="53" w:name="OLE_LINK338"/>
      <w:bookmarkStart w:id="54" w:name="OLE_LINK378"/>
      <w:bookmarkStart w:id="55" w:name="OLE_LINK388"/>
      <w:bookmarkStart w:id="56" w:name="OLE_LINK394"/>
      <w:r w:rsidRPr="004F0998">
        <w:rPr>
          <w:rFonts w:ascii="Book Antiqua" w:hAnsi="Book Antiqua"/>
          <w:b/>
          <w:color w:val="auto"/>
          <w:sz w:val="24"/>
          <w:szCs w:val="24"/>
        </w:rPr>
        <w:t>MATERIALS AND METHODS</w:t>
      </w:r>
    </w:p>
    <w:bookmarkEnd w:id="52"/>
    <w:bookmarkEnd w:id="53"/>
    <w:bookmarkEnd w:id="54"/>
    <w:bookmarkEnd w:id="55"/>
    <w:bookmarkEnd w:id="56"/>
    <w:p w:rsidR="004A1957" w:rsidRPr="004F0998" w:rsidRDefault="004A1957" w:rsidP="00E729BA">
      <w:pPr>
        <w:shd w:val="clear" w:color="auto" w:fill="FFFFFF"/>
        <w:spacing w:after="0" w:line="360" w:lineRule="auto"/>
        <w:jc w:val="both"/>
        <w:rPr>
          <w:rFonts w:ascii="Book Antiqua" w:hAnsi="Book Antiqua" w:cs="Times New Roman"/>
          <w:b/>
          <w:i/>
          <w:color w:val="auto"/>
          <w:sz w:val="24"/>
          <w:szCs w:val="24"/>
          <w:lang w:val="it-IT"/>
        </w:rPr>
      </w:pPr>
      <w:r w:rsidRPr="004F0998">
        <w:rPr>
          <w:rFonts w:ascii="Book Antiqua" w:hAnsi="Book Antiqua" w:cs="Times New Roman"/>
          <w:b/>
          <w:i/>
          <w:color w:val="auto"/>
          <w:sz w:val="24"/>
          <w:szCs w:val="24"/>
          <w:lang w:val="it-IT"/>
        </w:rPr>
        <w:t>Study design</w:t>
      </w:r>
    </w:p>
    <w:p w:rsidR="00EB4BCE" w:rsidRPr="004F0998" w:rsidRDefault="00A7777F" w:rsidP="00E729BA">
      <w:pPr>
        <w:shd w:val="clear" w:color="auto" w:fill="FFFFFF"/>
        <w:spacing w:after="0" w:line="360" w:lineRule="auto"/>
        <w:jc w:val="both"/>
        <w:rPr>
          <w:rFonts w:ascii="Book Antiqua" w:hAnsi="Book Antiqua" w:cs="Times New Roman"/>
          <w:color w:val="auto"/>
          <w:sz w:val="24"/>
          <w:szCs w:val="24"/>
          <w:lang w:val="it-IT"/>
        </w:rPr>
      </w:pPr>
      <w:r w:rsidRPr="004F0998">
        <w:rPr>
          <w:rFonts w:ascii="Book Antiqua" w:hAnsi="Book Antiqua" w:cs="Times New Roman"/>
          <w:color w:val="auto"/>
          <w:sz w:val="24"/>
          <w:szCs w:val="24"/>
          <w:lang w:val="it-IT"/>
        </w:rPr>
        <w:t>We conducted an observational, prospective and multi-center study including patients from ten Hospitals of the Community of Valencia. All UC patients to be treated with</w:t>
      </w:r>
      <w:r w:rsidR="00585688" w:rsidRPr="004F0998">
        <w:rPr>
          <w:rFonts w:ascii="Book Antiqua" w:hAnsi="Book Antiqua" w:cs="Times New Roman"/>
          <w:color w:val="auto"/>
          <w:sz w:val="24"/>
          <w:szCs w:val="24"/>
          <w:lang w:val="it-IT"/>
        </w:rPr>
        <w:t xml:space="preserve"> the recently approved anti-TNF</w:t>
      </w:r>
      <w:r w:rsidR="00991B40" w:rsidRPr="004F0998">
        <w:rPr>
          <w:rFonts w:ascii="Book Antiqua" w:hAnsi="Book Antiqua" w:cs="Times New Roman"/>
          <w:color w:val="auto"/>
          <w:sz w:val="24"/>
          <w:szCs w:val="24"/>
          <w:lang w:val="it-IT"/>
        </w:rPr>
        <w:t>, g</w:t>
      </w:r>
      <w:r w:rsidR="001E796F" w:rsidRPr="004F0998">
        <w:rPr>
          <w:rFonts w:ascii="Book Antiqua" w:hAnsi="Book Antiqua" w:cs="Times New Roman"/>
          <w:color w:val="auto"/>
          <w:sz w:val="24"/>
          <w:szCs w:val="24"/>
          <w:lang w:val="it-IT"/>
        </w:rPr>
        <w:t>olimumab</w:t>
      </w:r>
      <w:r w:rsidRPr="004F0998">
        <w:rPr>
          <w:rFonts w:ascii="Book Antiqua" w:hAnsi="Book Antiqua" w:cs="Times New Roman"/>
          <w:color w:val="auto"/>
          <w:sz w:val="24"/>
          <w:szCs w:val="24"/>
          <w:lang w:val="it-IT"/>
        </w:rPr>
        <w:t xml:space="preserve">, -following real-life </w:t>
      </w:r>
      <w:r w:rsidRPr="004F0998">
        <w:rPr>
          <w:rFonts w:ascii="Book Antiqua" w:hAnsi="Book Antiqua" w:cs="Times New Roman"/>
          <w:color w:val="auto"/>
          <w:sz w:val="24"/>
          <w:szCs w:val="24"/>
          <w:lang w:val="it-IT"/>
        </w:rPr>
        <w:lastRenderedPageBreak/>
        <w:t xml:space="preserve">clinical practice considerations- were included from September 2014 to September 2015. </w:t>
      </w:r>
    </w:p>
    <w:p w:rsidR="004C2F28" w:rsidRPr="004F0998" w:rsidRDefault="00A7777F" w:rsidP="00E729BA">
      <w:pPr>
        <w:autoSpaceDE w:val="0"/>
        <w:autoSpaceDN w:val="0"/>
        <w:adjustRightInd w:val="0"/>
        <w:spacing w:after="0" w:line="360" w:lineRule="auto"/>
        <w:ind w:firstLineChars="150" w:firstLine="360"/>
        <w:jc w:val="both"/>
        <w:rPr>
          <w:rFonts w:ascii="Book Antiqua" w:hAnsi="Book Antiqua" w:cs="Arial"/>
          <w:color w:val="auto"/>
          <w:sz w:val="24"/>
          <w:szCs w:val="24"/>
        </w:rPr>
      </w:pPr>
      <w:r w:rsidRPr="004F0998">
        <w:rPr>
          <w:rFonts w:ascii="Book Antiqua" w:hAnsi="Book Antiqua" w:cs="Times New Roman"/>
          <w:color w:val="auto"/>
          <w:sz w:val="24"/>
          <w:szCs w:val="24"/>
          <w:lang w:val="it-IT"/>
        </w:rPr>
        <w:t>The information was obtained from personal interview</w:t>
      </w:r>
      <w:r w:rsidR="00585688" w:rsidRPr="004F0998">
        <w:rPr>
          <w:rFonts w:ascii="Book Antiqua" w:hAnsi="Book Antiqua" w:cs="Times New Roman"/>
          <w:color w:val="auto"/>
          <w:sz w:val="24"/>
          <w:szCs w:val="24"/>
          <w:lang w:val="it-IT"/>
        </w:rPr>
        <w:t>s</w:t>
      </w:r>
      <w:r w:rsidRPr="004F0998">
        <w:rPr>
          <w:rFonts w:ascii="Book Antiqua" w:hAnsi="Book Antiqua" w:cs="Times New Roman"/>
          <w:color w:val="auto"/>
          <w:sz w:val="24"/>
          <w:szCs w:val="24"/>
          <w:lang w:val="it-IT"/>
        </w:rPr>
        <w:t xml:space="preserve">, written and computerized </w:t>
      </w:r>
      <w:r w:rsidR="007C3806" w:rsidRPr="004F0998">
        <w:rPr>
          <w:rFonts w:ascii="Book Antiqua" w:hAnsi="Book Antiqua" w:cs="Times New Roman"/>
          <w:color w:val="auto"/>
          <w:sz w:val="24"/>
          <w:szCs w:val="24"/>
          <w:lang w:val="it-IT"/>
        </w:rPr>
        <w:t>medical histories</w:t>
      </w:r>
      <w:r w:rsidRPr="004F0998">
        <w:rPr>
          <w:rFonts w:ascii="Book Antiqua" w:hAnsi="Book Antiqua" w:cs="Times New Roman"/>
          <w:color w:val="auto"/>
          <w:sz w:val="24"/>
          <w:szCs w:val="24"/>
          <w:lang w:val="it-IT"/>
        </w:rPr>
        <w:t xml:space="preserve"> a</w:t>
      </w:r>
      <w:r w:rsidR="007F546D" w:rsidRPr="004F0998">
        <w:rPr>
          <w:rFonts w:ascii="Book Antiqua" w:hAnsi="Book Antiqua" w:cs="Times New Roman"/>
          <w:color w:val="auto"/>
          <w:sz w:val="24"/>
          <w:szCs w:val="24"/>
          <w:lang w:val="it-IT"/>
        </w:rPr>
        <w:t xml:space="preserve">nd each hospital’s IBD database. </w:t>
      </w:r>
      <w:r w:rsidRPr="004F0998">
        <w:rPr>
          <w:rFonts w:ascii="Book Antiqua" w:hAnsi="Book Antiqua" w:cs="Times New Roman"/>
          <w:color w:val="auto"/>
          <w:sz w:val="24"/>
          <w:szCs w:val="24"/>
          <w:lang w:val="it-IT"/>
        </w:rPr>
        <w:t>Demographic data (age, sex,</w:t>
      </w:r>
      <w:r w:rsidRPr="004F0998">
        <w:rPr>
          <w:rFonts w:ascii="Book Antiqua" w:hAnsi="Book Antiqua" w:cs="Times New Roman"/>
          <w:i/>
          <w:color w:val="auto"/>
          <w:sz w:val="24"/>
          <w:szCs w:val="24"/>
          <w:lang w:val="it-IT"/>
        </w:rPr>
        <w:t xml:space="preserve"> etc.</w:t>
      </w:r>
      <w:r w:rsidRPr="004F0998">
        <w:rPr>
          <w:rFonts w:ascii="Book Antiqua" w:hAnsi="Book Antiqua" w:cs="Times New Roman"/>
          <w:color w:val="auto"/>
          <w:sz w:val="24"/>
          <w:szCs w:val="24"/>
          <w:lang w:val="it-IT"/>
        </w:rPr>
        <w:t>), smoking habit</w:t>
      </w:r>
      <w:r w:rsidR="00585688" w:rsidRPr="004F0998">
        <w:rPr>
          <w:rFonts w:ascii="Book Antiqua" w:hAnsi="Book Antiqua" w:cs="Times New Roman"/>
          <w:color w:val="auto"/>
          <w:sz w:val="24"/>
          <w:szCs w:val="24"/>
          <w:lang w:val="it-IT"/>
        </w:rPr>
        <w:t>s</w:t>
      </w:r>
      <w:r w:rsidRPr="004F0998">
        <w:rPr>
          <w:rFonts w:ascii="Book Antiqua" w:hAnsi="Book Antiqua" w:cs="Times New Roman"/>
          <w:color w:val="auto"/>
          <w:sz w:val="24"/>
          <w:szCs w:val="24"/>
          <w:lang w:val="it-IT"/>
        </w:rPr>
        <w:t>, UC phenotype, previous and current treatments (including anti-TNF, steroid dependance or resistance, loss of response, primary non-responders,</w:t>
      </w:r>
      <w:r w:rsidR="004F0998" w:rsidRPr="004F0998">
        <w:rPr>
          <w:rFonts w:ascii="Book Antiqua" w:hAnsi="Book Antiqua" w:cs="Times New Roman" w:hint="eastAsia"/>
          <w:i/>
          <w:color w:val="auto"/>
          <w:sz w:val="24"/>
          <w:szCs w:val="24"/>
          <w:lang w:val="it-IT" w:eastAsia="zh-CN"/>
        </w:rPr>
        <w:t xml:space="preserve"> </w:t>
      </w:r>
      <w:r w:rsidR="000B1622" w:rsidRPr="004F0998">
        <w:rPr>
          <w:rFonts w:ascii="Book Antiqua" w:hAnsi="Book Antiqua" w:cs="Times New Roman"/>
          <w:i/>
          <w:color w:val="auto"/>
          <w:sz w:val="24"/>
          <w:szCs w:val="24"/>
          <w:lang w:val="it-IT"/>
        </w:rPr>
        <w:t>etc.</w:t>
      </w:r>
      <w:r w:rsidRPr="004F0998">
        <w:rPr>
          <w:rFonts w:ascii="Book Antiqua" w:hAnsi="Book Antiqua" w:cs="Times New Roman"/>
          <w:color w:val="auto"/>
          <w:sz w:val="24"/>
          <w:szCs w:val="24"/>
          <w:lang w:val="it-IT"/>
        </w:rPr>
        <w:t>), pre-treatment colonoscopy, and Mayo index, were registered</w:t>
      </w:r>
      <w:r w:rsidR="007F546D" w:rsidRPr="004F0998">
        <w:rPr>
          <w:rFonts w:ascii="Book Antiqua" w:hAnsi="Book Antiqua" w:cs="Times New Roman"/>
          <w:color w:val="auto"/>
          <w:sz w:val="24"/>
          <w:szCs w:val="24"/>
          <w:lang w:val="it-IT"/>
        </w:rPr>
        <w:t xml:space="preserve">. </w:t>
      </w:r>
      <w:r w:rsidR="007F546D" w:rsidRPr="004F0998">
        <w:rPr>
          <w:rFonts w:ascii="Book Antiqua" w:hAnsi="Book Antiqua" w:cs="Arial"/>
          <w:color w:val="auto"/>
          <w:sz w:val="24"/>
          <w:szCs w:val="24"/>
        </w:rPr>
        <w:t>H</w:t>
      </w:r>
      <w:r w:rsidRPr="004F0998">
        <w:rPr>
          <w:rFonts w:ascii="Book Antiqua" w:hAnsi="Book Antiqua" w:cs="Arial"/>
          <w:color w:val="auto"/>
          <w:sz w:val="24"/>
          <w:szCs w:val="24"/>
        </w:rPr>
        <w:t>ematological parameters were recorded: hemoglobin (Hb), hematocrit, mean corpuscular volume (MCV), mean corpuscular Hb volume (MCH), red blood cell distribution width (RDW), leukocyte analysis, erythrocyte sedimentation rate (ESR), serum ferritin (s</w:t>
      </w:r>
      <w:r w:rsidRPr="004F0998">
        <w:rPr>
          <w:rFonts w:ascii="Book Antiqua" w:hAnsi="Book Antiqua" w:cs="Arial"/>
          <w:color w:val="auto"/>
          <w:sz w:val="24"/>
          <w:szCs w:val="24"/>
        </w:rPr>
        <w:noBreakHyphen/>
        <w:t xml:space="preserve">ferritin), transferrin saturation (TSAT), total iron-binding capacity (TIBC) and serum iron and C-reactive protein (CRP) as well as routine serum biochemical parameters before </w:t>
      </w:r>
      <w:r w:rsidR="00DF5948" w:rsidRPr="004F0998">
        <w:rPr>
          <w:rFonts w:ascii="Book Antiqua" w:hAnsi="Book Antiqua" w:cs="Arial"/>
          <w:color w:val="auto"/>
          <w:sz w:val="24"/>
          <w:szCs w:val="24"/>
        </w:rPr>
        <w:t>starting</w:t>
      </w:r>
      <w:r w:rsidRPr="004F0998">
        <w:rPr>
          <w:rFonts w:ascii="Book Antiqua" w:hAnsi="Book Antiqua" w:cs="Arial"/>
          <w:color w:val="auto"/>
          <w:sz w:val="24"/>
          <w:szCs w:val="24"/>
        </w:rPr>
        <w:t xml:space="preserve"> </w:t>
      </w:r>
      <w:r w:rsidR="001E796F" w:rsidRPr="004F0998">
        <w:rPr>
          <w:rFonts w:ascii="Book Antiqua" w:hAnsi="Book Antiqua" w:cs="Arial"/>
          <w:color w:val="auto"/>
          <w:sz w:val="24"/>
          <w:szCs w:val="24"/>
        </w:rPr>
        <w:t>golimumab</w:t>
      </w:r>
      <w:r w:rsidRPr="004F0998">
        <w:rPr>
          <w:rFonts w:ascii="Book Antiqua" w:hAnsi="Book Antiqua" w:cs="Arial"/>
          <w:color w:val="auto"/>
          <w:sz w:val="24"/>
          <w:szCs w:val="24"/>
        </w:rPr>
        <w:t xml:space="preserve"> treatment and at the end on the study follow-up (14 weeks) were also determined. Fecal calprotectin was registered, when available</w:t>
      </w:r>
      <w:r w:rsidR="007C3806" w:rsidRPr="004F0998">
        <w:rPr>
          <w:rFonts w:ascii="Book Antiqua" w:hAnsi="Book Antiqua" w:cs="Arial"/>
          <w:color w:val="auto"/>
          <w:sz w:val="24"/>
          <w:szCs w:val="24"/>
        </w:rPr>
        <w:t>,  before and after treatment</w:t>
      </w:r>
      <w:r w:rsidRPr="004F0998">
        <w:rPr>
          <w:rFonts w:ascii="Book Antiqua" w:hAnsi="Book Antiqua" w:cs="Arial"/>
          <w:color w:val="auto"/>
          <w:sz w:val="24"/>
          <w:szCs w:val="24"/>
        </w:rPr>
        <w:t>.</w:t>
      </w:r>
    </w:p>
    <w:p w:rsidR="00EB4BCE" w:rsidRPr="004F0998" w:rsidRDefault="00A7777F" w:rsidP="00E729BA">
      <w:pPr>
        <w:shd w:val="clear" w:color="auto" w:fill="FFFFFF"/>
        <w:spacing w:after="0" w:line="360" w:lineRule="auto"/>
        <w:ind w:firstLineChars="150" w:firstLine="360"/>
        <w:jc w:val="both"/>
        <w:rPr>
          <w:rFonts w:ascii="Book Antiqua" w:hAnsi="Book Antiqua" w:cs="Times New Roman"/>
          <w:color w:val="auto"/>
          <w:sz w:val="24"/>
          <w:szCs w:val="24"/>
        </w:rPr>
      </w:pPr>
      <w:r w:rsidRPr="004F0998">
        <w:rPr>
          <w:rFonts w:ascii="Book Antiqua" w:hAnsi="Book Antiqua" w:cs="Times New Roman"/>
          <w:color w:val="auto"/>
          <w:sz w:val="24"/>
          <w:szCs w:val="24"/>
        </w:rPr>
        <w:t>The Montreal classification</w:t>
      </w:r>
      <w:r w:rsidR="00BB6FCB" w:rsidRPr="004F0998">
        <w:rPr>
          <w:rFonts w:ascii="Book Antiqua" w:hAnsi="Book Antiqua" w:cs="Times New Roman"/>
          <w:color w:val="auto"/>
          <w:sz w:val="24"/>
          <w:szCs w:val="24"/>
          <w:vertAlign w:val="superscript"/>
        </w:rPr>
        <w:t>[9]</w:t>
      </w:r>
      <w:r w:rsidRPr="004F0998">
        <w:rPr>
          <w:rFonts w:ascii="Book Antiqua" w:hAnsi="Book Antiqua" w:cs="Times New Roman"/>
          <w:color w:val="auto"/>
          <w:sz w:val="24"/>
          <w:szCs w:val="24"/>
        </w:rPr>
        <w:t xml:space="preserve"> was used to characterize patients, considering the extent of the disease (E1: ulcerative proctitis; E2: left-sided UC, also known a distal UC; and E3: extensive UC) and its activity/severity (S0: UC in clinical remission; S1: mild UC; S2: moderate UC; and S3: severe UC)</w:t>
      </w:r>
      <w:r w:rsidR="00982911" w:rsidRPr="004F0998">
        <w:rPr>
          <w:rFonts w:ascii="Book Antiqua" w:hAnsi="Book Antiqua" w:cs="Times New Roman"/>
          <w:color w:val="auto"/>
          <w:sz w:val="24"/>
          <w:szCs w:val="24"/>
        </w:rPr>
        <w:t>.</w:t>
      </w:r>
      <w:r w:rsidRPr="004F0998">
        <w:rPr>
          <w:rFonts w:ascii="Book Antiqua" w:hAnsi="Book Antiqua" w:cs="Times New Roman"/>
          <w:color w:val="auto"/>
          <w:sz w:val="24"/>
          <w:szCs w:val="24"/>
        </w:rPr>
        <w:t xml:space="preserve"> </w:t>
      </w:r>
    </w:p>
    <w:p w:rsidR="00244CAB" w:rsidRPr="004F0998" w:rsidRDefault="00A7777F" w:rsidP="00E729BA">
      <w:pPr>
        <w:shd w:val="clear" w:color="auto" w:fill="FFFFFF"/>
        <w:spacing w:after="0" w:line="360" w:lineRule="auto"/>
        <w:ind w:firstLineChars="150" w:firstLine="360"/>
        <w:jc w:val="both"/>
        <w:rPr>
          <w:rFonts w:ascii="Book Antiqua" w:hAnsi="Book Antiqua" w:cs="Times New Roman"/>
          <w:color w:val="auto"/>
          <w:sz w:val="24"/>
          <w:szCs w:val="24"/>
        </w:rPr>
      </w:pPr>
      <w:r w:rsidRPr="004F0998">
        <w:rPr>
          <w:rFonts w:ascii="Book Antiqua" w:hAnsi="Book Antiqua" w:cs="Times New Roman"/>
          <w:color w:val="auto"/>
          <w:sz w:val="24"/>
          <w:szCs w:val="24"/>
        </w:rPr>
        <w:t xml:space="preserve">Inclusion criteria were: 18 years </w:t>
      </w:r>
      <w:r w:rsidR="000B1622" w:rsidRPr="004F0998">
        <w:rPr>
          <w:rFonts w:ascii="Book Antiqua" w:hAnsi="Book Antiqua" w:cs="Times New Roman"/>
          <w:color w:val="auto"/>
          <w:sz w:val="24"/>
          <w:szCs w:val="24"/>
        </w:rPr>
        <w:t>of age</w:t>
      </w:r>
      <w:r w:rsidRPr="004F0998">
        <w:rPr>
          <w:rFonts w:ascii="Book Antiqua" w:hAnsi="Book Antiqua" w:cs="Times New Roman"/>
          <w:color w:val="auto"/>
          <w:sz w:val="24"/>
          <w:szCs w:val="24"/>
        </w:rPr>
        <w:t xml:space="preserve"> or older, diagnosis of UC according to the Montreal criteria,</w:t>
      </w:r>
      <w:r w:rsidR="00991B40" w:rsidRPr="004F0998">
        <w:rPr>
          <w:rFonts w:ascii="Book Antiqua" w:hAnsi="Book Antiqua" w:cs="Times New Roman"/>
          <w:color w:val="auto"/>
          <w:sz w:val="24"/>
          <w:szCs w:val="24"/>
        </w:rPr>
        <w:t xml:space="preserve"> </w:t>
      </w:r>
      <w:r w:rsidRPr="004F0998">
        <w:rPr>
          <w:rFonts w:ascii="Book Antiqua" w:hAnsi="Book Antiqua" w:cs="Times New Roman"/>
          <w:color w:val="auto"/>
          <w:sz w:val="24"/>
          <w:szCs w:val="24"/>
        </w:rPr>
        <w:t xml:space="preserve">signed informed consent and </w:t>
      </w:r>
      <w:r w:rsidR="00991B40" w:rsidRPr="004F0998">
        <w:rPr>
          <w:rFonts w:ascii="Book Antiqua" w:hAnsi="Book Antiqua" w:cs="Times New Roman"/>
          <w:color w:val="auto"/>
          <w:sz w:val="24"/>
          <w:szCs w:val="24"/>
        </w:rPr>
        <w:t xml:space="preserve">requirement of </w:t>
      </w:r>
      <w:r w:rsidRPr="004F0998">
        <w:rPr>
          <w:rFonts w:ascii="Book Antiqua" w:hAnsi="Book Antiqua" w:cs="Times New Roman"/>
          <w:color w:val="auto"/>
          <w:sz w:val="24"/>
          <w:szCs w:val="24"/>
        </w:rPr>
        <w:t>anti-TNF for the UC, following real-life clinical criteria</w:t>
      </w:r>
      <w:r w:rsidR="00991B40" w:rsidRPr="004F0998">
        <w:rPr>
          <w:rFonts w:ascii="Book Antiqua" w:hAnsi="Book Antiqua" w:cs="Times New Roman"/>
          <w:color w:val="auto"/>
          <w:sz w:val="24"/>
          <w:szCs w:val="24"/>
        </w:rPr>
        <w:t xml:space="preserve"> </w:t>
      </w:r>
      <w:r w:rsidRPr="004F0998">
        <w:rPr>
          <w:rFonts w:ascii="Book Antiqua" w:hAnsi="Book Antiqua" w:cs="Times New Roman"/>
          <w:color w:val="auto"/>
          <w:sz w:val="24"/>
          <w:szCs w:val="24"/>
        </w:rPr>
        <w:t xml:space="preserve">(moderate to severe UC). Patients were excluded if they were under 18, did not have confirmed UC, did not sign the consent or had a different indication for </w:t>
      </w:r>
      <w:r w:rsidR="00991B40" w:rsidRPr="004F0998">
        <w:rPr>
          <w:rFonts w:ascii="Book Antiqua" w:hAnsi="Book Antiqua" w:cs="Times New Roman"/>
          <w:color w:val="auto"/>
          <w:sz w:val="24"/>
          <w:szCs w:val="24"/>
        </w:rPr>
        <w:t>g</w:t>
      </w:r>
      <w:r w:rsidR="001E796F" w:rsidRPr="004F0998">
        <w:rPr>
          <w:rFonts w:ascii="Book Antiqua" w:hAnsi="Book Antiqua" w:cs="Times New Roman"/>
          <w:color w:val="auto"/>
          <w:sz w:val="24"/>
          <w:szCs w:val="24"/>
        </w:rPr>
        <w:t>olimumab</w:t>
      </w:r>
      <w:r w:rsidR="007C3806" w:rsidRPr="004F0998">
        <w:rPr>
          <w:rStyle w:val="CommentReference"/>
          <w:rFonts w:ascii="Book Antiqua" w:hAnsi="Book Antiqua" w:cs="Times New Roman"/>
          <w:color w:val="auto"/>
          <w:sz w:val="24"/>
          <w:szCs w:val="24"/>
        </w:rPr>
        <w:t>.</w:t>
      </w:r>
    </w:p>
    <w:p w:rsidR="00EB4BCE" w:rsidRPr="004F0998" w:rsidRDefault="00A7777F" w:rsidP="00E729BA">
      <w:pPr>
        <w:shd w:val="clear" w:color="auto" w:fill="FFFFFF"/>
        <w:spacing w:after="0" w:line="360" w:lineRule="auto"/>
        <w:ind w:firstLineChars="150" w:firstLine="360"/>
        <w:jc w:val="both"/>
        <w:rPr>
          <w:rFonts w:ascii="Book Antiqua" w:hAnsi="Book Antiqua" w:cs="Times New Roman"/>
          <w:color w:val="auto"/>
          <w:sz w:val="24"/>
          <w:szCs w:val="24"/>
          <w:lang w:eastAsia="zh-CN"/>
        </w:rPr>
      </w:pPr>
      <w:r w:rsidRPr="004F0998">
        <w:rPr>
          <w:rFonts w:ascii="Book Antiqua" w:hAnsi="Book Antiqua" w:cs="Times New Roman"/>
          <w:color w:val="auto"/>
          <w:sz w:val="24"/>
          <w:szCs w:val="24"/>
        </w:rPr>
        <w:t xml:space="preserve">All patients received 200 mg of </w:t>
      </w:r>
      <w:r w:rsidR="00991B40" w:rsidRPr="004F0998">
        <w:rPr>
          <w:rFonts w:ascii="Book Antiqua" w:hAnsi="Book Antiqua" w:cs="Times New Roman"/>
          <w:color w:val="auto"/>
          <w:sz w:val="24"/>
          <w:szCs w:val="24"/>
        </w:rPr>
        <w:t>g</w:t>
      </w:r>
      <w:r w:rsidR="001E796F" w:rsidRPr="004F0998">
        <w:rPr>
          <w:rFonts w:ascii="Book Antiqua" w:hAnsi="Book Antiqua" w:cs="Times New Roman"/>
          <w:color w:val="auto"/>
          <w:sz w:val="24"/>
          <w:szCs w:val="24"/>
        </w:rPr>
        <w:t>olimumab</w:t>
      </w:r>
      <w:r w:rsidRPr="004F0998">
        <w:rPr>
          <w:rFonts w:ascii="Book Antiqua" w:hAnsi="Book Antiqua" w:cs="Times New Roman"/>
          <w:color w:val="auto"/>
          <w:sz w:val="24"/>
          <w:szCs w:val="24"/>
        </w:rPr>
        <w:t xml:space="preserve"> subcutaneously at week 0 and 100 mg at week 2. After the induction treatment, each patient received, in accordance with the data sheet of the EMA</w:t>
      </w:r>
      <w:r w:rsidR="00BB6FCB" w:rsidRPr="004F0998">
        <w:rPr>
          <w:rFonts w:ascii="Book Antiqua" w:hAnsi="Book Antiqua" w:cs="Times New Roman"/>
          <w:color w:val="auto"/>
          <w:sz w:val="24"/>
          <w:szCs w:val="24"/>
          <w:vertAlign w:val="superscript"/>
        </w:rPr>
        <w:t>[10]</w:t>
      </w:r>
      <w:r w:rsidR="007558E2" w:rsidRPr="004F0998">
        <w:rPr>
          <w:rFonts w:ascii="Book Antiqua" w:hAnsi="Book Antiqua" w:cs="Times New Roman"/>
          <w:color w:val="auto"/>
          <w:sz w:val="24"/>
          <w:szCs w:val="24"/>
        </w:rPr>
        <w:t xml:space="preserve">, </w:t>
      </w:r>
      <w:r w:rsidRPr="004F0998">
        <w:rPr>
          <w:rFonts w:ascii="Book Antiqua" w:hAnsi="Book Antiqua" w:cs="Times New Roman"/>
          <w:color w:val="auto"/>
          <w:sz w:val="24"/>
          <w:szCs w:val="24"/>
        </w:rPr>
        <w:t>50 mg sc. every 4 weeks in patients with body weight less than 80 kg, and 100 mg every 4 weeks in patients with body weight greater than or equal to 80 kg.</w:t>
      </w:r>
    </w:p>
    <w:p w:rsidR="004F0998" w:rsidRPr="004F0998" w:rsidRDefault="004F0998" w:rsidP="00E729BA">
      <w:pPr>
        <w:shd w:val="clear" w:color="auto" w:fill="FFFFFF"/>
        <w:spacing w:after="0" w:line="360" w:lineRule="auto"/>
        <w:ind w:firstLineChars="150" w:firstLine="360"/>
        <w:jc w:val="both"/>
        <w:rPr>
          <w:rFonts w:ascii="Book Antiqua" w:hAnsi="Book Antiqua" w:cs="Times New Roman"/>
          <w:color w:val="auto"/>
          <w:sz w:val="24"/>
          <w:szCs w:val="24"/>
          <w:lang w:eastAsia="zh-CN"/>
        </w:rPr>
      </w:pPr>
    </w:p>
    <w:p w:rsidR="00EB4BCE" w:rsidRPr="004F0998" w:rsidRDefault="00A7777F" w:rsidP="00E729BA">
      <w:pPr>
        <w:widowControl w:val="0"/>
        <w:spacing w:after="0" w:line="360" w:lineRule="auto"/>
        <w:jc w:val="both"/>
        <w:rPr>
          <w:rFonts w:ascii="Book Antiqua" w:hAnsi="Book Antiqua" w:cs="Times New Roman"/>
          <w:b/>
          <w:i/>
          <w:color w:val="auto"/>
          <w:sz w:val="24"/>
          <w:szCs w:val="24"/>
        </w:rPr>
      </w:pPr>
      <w:r w:rsidRPr="004F0998">
        <w:rPr>
          <w:rFonts w:ascii="Book Antiqua" w:hAnsi="Book Antiqua" w:cs="Times New Roman"/>
          <w:b/>
          <w:i/>
          <w:color w:val="auto"/>
          <w:sz w:val="24"/>
          <w:szCs w:val="24"/>
        </w:rPr>
        <w:lastRenderedPageBreak/>
        <w:t xml:space="preserve">Assessment of response </w:t>
      </w:r>
    </w:p>
    <w:p w:rsidR="00432975" w:rsidRPr="004F0998" w:rsidRDefault="00E24EBF" w:rsidP="00E729BA">
      <w:pPr>
        <w:widowControl w:val="0"/>
        <w:spacing w:after="0" w:line="360" w:lineRule="auto"/>
        <w:jc w:val="both"/>
        <w:rPr>
          <w:rFonts w:ascii="Book Antiqua" w:hAnsi="Book Antiqua" w:cs="Times New Roman"/>
          <w:color w:val="auto"/>
          <w:sz w:val="24"/>
          <w:szCs w:val="24"/>
        </w:rPr>
      </w:pPr>
      <w:r w:rsidRPr="004F0998">
        <w:rPr>
          <w:rFonts w:ascii="Book Antiqua" w:hAnsi="Book Antiqua" w:cs="Times New Roman"/>
          <w:color w:val="auto"/>
          <w:sz w:val="24"/>
          <w:szCs w:val="24"/>
        </w:rPr>
        <w:t xml:space="preserve">Clinical activity </w:t>
      </w:r>
      <w:r w:rsidR="00A7777F" w:rsidRPr="004F0998">
        <w:rPr>
          <w:rFonts w:ascii="Book Antiqua" w:hAnsi="Book Antiqua" w:cs="Times New Roman"/>
          <w:color w:val="auto"/>
          <w:sz w:val="24"/>
          <w:szCs w:val="24"/>
        </w:rPr>
        <w:t>was assessed at week 0 (baseline) and 14 with the physician’s</w:t>
      </w:r>
      <w:r w:rsidR="00991B40" w:rsidRPr="004F0998">
        <w:rPr>
          <w:rFonts w:ascii="Book Antiqua" w:hAnsi="Book Antiqua" w:cs="Times New Roman"/>
          <w:color w:val="auto"/>
          <w:sz w:val="24"/>
          <w:szCs w:val="24"/>
        </w:rPr>
        <w:t xml:space="preserve"> </w:t>
      </w:r>
      <w:r w:rsidR="00A7777F" w:rsidRPr="004F0998">
        <w:rPr>
          <w:rFonts w:ascii="Book Antiqua" w:hAnsi="Book Antiqua" w:cs="Times New Roman"/>
          <w:color w:val="auto"/>
          <w:sz w:val="24"/>
          <w:szCs w:val="24"/>
        </w:rPr>
        <w:t xml:space="preserve">global assessment (PGA) and the partial Mayo score. IBD Gastroenterologists </w:t>
      </w:r>
      <w:r w:rsidR="00BD796C" w:rsidRPr="004F0998">
        <w:rPr>
          <w:rFonts w:ascii="Book Antiqua" w:hAnsi="Book Antiqua" w:cs="Times New Roman"/>
          <w:color w:val="auto"/>
          <w:sz w:val="24"/>
          <w:szCs w:val="24"/>
        </w:rPr>
        <w:t>carried out</w:t>
      </w:r>
      <w:r w:rsidR="00A7777F" w:rsidRPr="004F0998">
        <w:rPr>
          <w:rFonts w:ascii="Book Antiqua" w:hAnsi="Book Antiqua" w:cs="Times New Roman"/>
          <w:color w:val="auto"/>
          <w:sz w:val="24"/>
          <w:szCs w:val="24"/>
        </w:rPr>
        <w:t xml:space="preserve"> the PGA with routine questions, following real-life clinical practice, to </w:t>
      </w:r>
      <w:r w:rsidR="003F6C60" w:rsidRPr="004F0998">
        <w:rPr>
          <w:rFonts w:ascii="Book Antiqua" w:hAnsi="Book Antiqua" w:cs="Times New Roman"/>
          <w:color w:val="auto"/>
          <w:sz w:val="24"/>
          <w:szCs w:val="24"/>
        </w:rPr>
        <w:t>gauge</w:t>
      </w:r>
      <w:r w:rsidR="00A7777F" w:rsidRPr="004F0998">
        <w:rPr>
          <w:rFonts w:ascii="Book Antiqua" w:hAnsi="Book Antiqua" w:cs="Times New Roman"/>
          <w:color w:val="auto"/>
          <w:sz w:val="24"/>
          <w:szCs w:val="24"/>
        </w:rPr>
        <w:t xml:space="preserve"> disease activity: </w:t>
      </w:r>
      <w:r w:rsidR="00A7777F" w:rsidRPr="004F0998">
        <w:rPr>
          <w:rFonts w:ascii="Book Antiqua" w:eastAsia="Times New Roman" w:hAnsi="Book Antiqua" w:cs="Times New Roman"/>
          <w:color w:val="auto"/>
          <w:sz w:val="24"/>
          <w:szCs w:val="24"/>
        </w:rPr>
        <w:t xml:space="preserve">number of bowel movements, presence or absence of abdominal pain, blood with defecation and objective weight loss. Based on these clinical parameters, PGA was classified as no response, response or clinical remission.  </w:t>
      </w:r>
      <w:r w:rsidR="00A7777F" w:rsidRPr="004F0998">
        <w:rPr>
          <w:rFonts w:ascii="Book Antiqua" w:hAnsi="Book Antiqua" w:cs="Times New Roman"/>
          <w:color w:val="auto"/>
          <w:sz w:val="24"/>
          <w:szCs w:val="24"/>
        </w:rPr>
        <w:t>Clinical response was defined as complete</w:t>
      </w:r>
      <w:r w:rsidR="00BD796C" w:rsidRPr="004F0998">
        <w:rPr>
          <w:rFonts w:ascii="Book Antiqua" w:hAnsi="Book Antiqua" w:cs="Times New Roman"/>
          <w:color w:val="auto"/>
          <w:sz w:val="24"/>
          <w:szCs w:val="24"/>
        </w:rPr>
        <w:t xml:space="preserve"> if there was absence of diarrh</w:t>
      </w:r>
      <w:r w:rsidR="00A7777F" w:rsidRPr="004F0998">
        <w:rPr>
          <w:rFonts w:ascii="Book Antiqua" w:hAnsi="Book Antiqua" w:cs="Times New Roman"/>
          <w:color w:val="auto"/>
          <w:sz w:val="24"/>
          <w:szCs w:val="24"/>
        </w:rPr>
        <w:t xml:space="preserve">ea and blood, and partial if there was marked clinical improvement but still persistent rectal </w:t>
      </w:r>
      <w:r w:rsidR="00DF5948" w:rsidRPr="004F0998">
        <w:rPr>
          <w:rFonts w:ascii="Book Antiqua" w:hAnsi="Book Antiqua" w:cs="Times New Roman"/>
          <w:color w:val="auto"/>
          <w:sz w:val="24"/>
          <w:szCs w:val="24"/>
        </w:rPr>
        <w:t>bleeding</w:t>
      </w:r>
      <w:r w:rsidR="00BB6FCB" w:rsidRPr="004F0998">
        <w:rPr>
          <w:rFonts w:ascii="Book Antiqua" w:hAnsi="Book Antiqua" w:cs="Times New Roman"/>
          <w:color w:val="auto"/>
          <w:sz w:val="24"/>
          <w:szCs w:val="24"/>
          <w:vertAlign w:val="superscript"/>
        </w:rPr>
        <w:t>[11]</w:t>
      </w:r>
      <w:r w:rsidR="00DF5948" w:rsidRPr="004F0998">
        <w:rPr>
          <w:rFonts w:ascii="Book Antiqua" w:hAnsi="Book Antiqua" w:cs="Times New Roman"/>
          <w:color w:val="auto"/>
          <w:sz w:val="24"/>
          <w:szCs w:val="24"/>
        </w:rPr>
        <w:t>.</w:t>
      </w:r>
      <w:r w:rsidR="00A7777F" w:rsidRPr="004F0998">
        <w:rPr>
          <w:rFonts w:ascii="Book Antiqua" w:hAnsi="Book Antiqua" w:cs="Times New Roman"/>
          <w:color w:val="auto"/>
          <w:sz w:val="24"/>
          <w:szCs w:val="24"/>
        </w:rPr>
        <w:t xml:space="preserve"> The definition of clinical response included reduction or removal</w:t>
      </w:r>
      <w:r w:rsidR="00BD796C" w:rsidRPr="004F0998">
        <w:rPr>
          <w:rFonts w:ascii="Book Antiqua" w:hAnsi="Book Antiqua" w:cs="Times New Roman"/>
          <w:color w:val="auto"/>
          <w:sz w:val="24"/>
          <w:szCs w:val="24"/>
        </w:rPr>
        <w:t xml:space="preserve"> of </w:t>
      </w:r>
      <w:r w:rsidR="00A7777F" w:rsidRPr="004F0998">
        <w:rPr>
          <w:rFonts w:ascii="Book Antiqua" w:hAnsi="Book Antiqua" w:cs="Times New Roman"/>
          <w:color w:val="auto"/>
          <w:sz w:val="24"/>
          <w:szCs w:val="24"/>
        </w:rPr>
        <w:t>steroid</w:t>
      </w:r>
      <w:r w:rsidR="00BD796C" w:rsidRPr="004F0998">
        <w:rPr>
          <w:rFonts w:ascii="Book Antiqua" w:hAnsi="Book Antiqua" w:cs="Times New Roman"/>
          <w:color w:val="auto"/>
          <w:sz w:val="24"/>
          <w:szCs w:val="24"/>
        </w:rPr>
        <w:t>s</w:t>
      </w:r>
      <w:r w:rsidR="00A7777F" w:rsidRPr="004F0998">
        <w:rPr>
          <w:rFonts w:ascii="Book Antiqua" w:hAnsi="Book Antiqua" w:cs="Times New Roman"/>
          <w:color w:val="auto"/>
          <w:sz w:val="24"/>
          <w:szCs w:val="24"/>
        </w:rPr>
        <w:t>. At week 14, clinical response and remission w</w:t>
      </w:r>
      <w:r w:rsidR="00FB1CFF" w:rsidRPr="004F0998">
        <w:rPr>
          <w:rFonts w:ascii="Book Antiqua" w:hAnsi="Book Antiqua" w:cs="Times New Roman"/>
          <w:color w:val="auto"/>
          <w:sz w:val="24"/>
          <w:szCs w:val="24"/>
        </w:rPr>
        <w:t>ere</w:t>
      </w:r>
      <w:r w:rsidR="00A7777F" w:rsidRPr="004F0998">
        <w:rPr>
          <w:rFonts w:ascii="Book Antiqua" w:hAnsi="Book Antiqua" w:cs="Times New Roman"/>
          <w:color w:val="auto"/>
          <w:sz w:val="24"/>
          <w:szCs w:val="24"/>
        </w:rPr>
        <w:t xml:space="preserve"> evaluated including complete removal of steroids (primary objective</w:t>
      </w:r>
      <w:r w:rsidR="007C3806" w:rsidRPr="004F0998">
        <w:rPr>
          <w:rFonts w:ascii="Book Antiqua" w:hAnsi="Book Antiqua" w:cs="Times New Roman"/>
          <w:color w:val="auto"/>
          <w:sz w:val="24"/>
          <w:szCs w:val="24"/>
        </w:rPr>
        <w:t>)</w:t>
      </w:r>
      <w:r w:rsidR="00A7777F" w:rsidRPr="004F0998">
        <w:rPr>
          <w:rFonts w:ascii="Book Antiqua" w:hAnsi="Book Antiqua" w:cs="Times New Roman"/>
          <w:color w:val="auto"/>
          <w:sz w:val="24"/>
          <w:szCs w:val="24"/>
        </w:rPr>
        <w:t xml:space="preserve"> and globally, independently of if the steroids had been removed</w:t>
      </w:r>
      <w:r w:rsidR="00FB1CFF" w:rsidRPr="004F0998">
        <w:rPr>
          <w:rFonts w:ascii="Book Antiqua" w:hAnsi="Book Antiqua" w:cs="Times New Roman"/>
          <w:color w:val="auto"/>
          <w:sz w:val="24"/>
          <w:szCs w:val="24"/>
        </w:rPr>
        <w:t>.</w:t>
      </w:r>
      <w:r w:rsidR="00A7777F" w:rsidRPr="004F0998">
        <w:rPr>
          <w:rFonts w:ascii="Book Antiqua" w:hAnsi="Book Antiqua" w:cs="Times New Roman"/>
          <w:color w:val="auto"/>
          <w:sz w:val="24"/>
          <w:szCs w:val="24"/>
        </w:rPr>
        <w:t xml:space="preserve"> </w:t>
      </w:r>
    </w:p>
    <w:p w:rsidR="00EB4BCE" w:rsidRPr="004F0998" w:rsidRDefault="00A7777F" w:rsidP="00E729BA">
      <w:pPr>
        <w:widowControl w:val="0"/>
        <w:spacing w:after="0" w:line="360" w:lineRule="auto"/>
        <w:ind w:firstLineChars="150" w:firstLine="360"/>
        <w:jc w:val="both"/>
        <w:rPr>
          <w:rFonts w:ascii="Book Antiqua" w:hAnsi="Book Antiqua" w:cs="Times New Roman"/>
          <w:color w:val="auto"/>
          <w:sz w:val="24"/>
          <w:szCs w:val="24"/>
          <w:lang w:eastAsia="zh-CN"/>
        </w:rPr>
      </w:pPr>
      <w:r w:rsidRPr="004F0998">
        <w:rPr>
          <w:rFonts w:ascii="Book Antiqua" w:hAnsi="Book Antiqua" w:cs="Times New Roman"/>
          <w:color w:val="auto"/>
          <w:sz w:val="24"/>
          <w:szCs w:val="24"/>
        </w:rPr>
        <w:t xml:space="preserve">When UC disease activity was measured using the partial Mayo score, clinical remission was defined as a total Mayo score of 2 or lower and every </w:t>
      </w:r>
      <w:r w:rsidR="003F6C60" w:rsidRPr="004F0998">
        <w:rPr>
          <w:rFonts w:ascii="Book Antiqua" w:hAnsi="Book Antiqua" w:cs="Times New Roman"/>
          <w:color w:val="auto"/>
          <w:sz w:val="24"/>
          <w:szCs w:val="24"/>
        </w:rPr>
        <w:t>sub score</w:t>
      </w:r>
      <w:r w:rsidRPr="004F0998">
        <w:rPr>
          <w:rFonts w:ascii="Book Antiqua" w:hAnsi="Book Antiqua" w:cs="Times New Roman"/>
          <w:color w:val="auto"/>
          <w:sz w:val="24"/>
          <w:szCs w:val="24"/>
        </w:rPr>
        <w:t xml:space="preserve"> less than 2, and partial response was defined as a decrease from baseline of at least 3 points</w:t>
      </w:r>
      <w:r w:rsidR="00BB6FCB" w:rsidRPr="004F0998">
        <w:rPr>
          <w:rFonts w:ascii="Book Antiqua" w:hAnsi="Book Antiqua" w:cs="Times New Roman"/>
          <w:color w:val="auto"/>
          <w:sz w:val="24"/>
          <w:szCs w:val="24"/>
          <w:vertAlign w:val="superscript"/>
        </w:rPr>
        <w:t>[12]</w:t>
      </w:r>
      <w:r w:rsidR="00FB1CFF" w:rsidRPr="004F0998">
        <w:rPr>
          <w:rFonts w:ascii="Book Antiqua" w:hAnsi="Book Antiqua" w:cs="Times New Roman"/>
          <w:color w:val="auto"/>
          <w:sz w:val="24"/>
          <w:szCs w:val="24"/>
        </w:rPr>
        <w:t xml:space="preserve">. </w:t>
      </w:r>
      <w:r w:rsidRPr="004F0998">
        <w:rPr>
          <w:rFonts w:ascii="Book Antiqua" w:hAnsi="Book Antiqua" w:cs="Times New Roman"/>
          <w:color w:val="auto"/>
          <w:sz w:val="24"/>
          <w:szCs w:val="24"/>
        </w:rPr>
        <w:t>Recurrence or aggravation after remission was defined as a partial Mayo score of 5 or higher, an increase from baseline at least 3 points, or additional medication or surgical procedure owing to the development of new symptoms or signs.</w:t>
      </w:r>
    </w:p>
    <w:p w:rsidR="004F0998" w:rsidRPr="004F0998" w:rsidRDefault="004F0998" w:rsidP="00E729BA">
      <w:pPr>
        <w:widowControl w:val="0"/>
        <w:spacing w:after="0" w:line="360" w:lineRule="auto"/>
        <w:ind w:firstLineChars="150" w:firstLine="360"/>
        <w:jc w:val="both"/>
        <w:rPr>
          <w:rFonts w:ascii="Book Antiqua" w:hAnsi="Book Antiqua" w:cs="Times New Roman"/>
          <w:color w:val="auto"/>
          <w:sz w:val="24"/>
          <w:szCs w:val="24"/>
          <w:lang w:eastAsia="zh-CN"/>
        </w:rPr>
      </w:pPr>
    </w:p>
    <w:p w:rsidR="00EB4BCE" w:rsidRPr="004F0998" w:rsidRDefault="00A7777F" w:rsidP="00E729BA">
      <w:pPr>
        <w:pStyle w:val="Ttulo31"/>
        <w:shd w:val="clear" w:color="auto" w:fill="FFFFFF"/>
        <w:spacing w:before="0" w:line="360" w:lineRule="auto"/>
        <w:jc w:val="both"/>
        <w:rPr>
          <w:rFonts w:ascii="Book Antiqua" w:hAnsi="Book Antiqua"/>
          <w:bCs w:val="0"/>
          <w:i/>
          <w:color w:val="auto"/>
          <w:sz w:val="24"/>
          <w:szCs w:val="24"/>
        </w:rPr>
      </w:pPr>
      <w:r w:rsidRPr="004F0998">
        <w:rPr>
          <w:rFonts w:ascii="Book Antiqua" w:hAnsi="Book Antiqua"/>
          <w:bCs w:val="0"/>
          <w:i/>
          <w:color w:val="auto"/>
          <w:sz w:val="24"/>
          <w:szCs w:val="24"/>
        </w:rPr>
        <w:t>Safety evaluation</w:t>
      </w:r>
    </w:p>
    <w:p w:rsidR="00EB4BCE" w:rsidRPr="004F0998" w:rsidRDefault="00A7777F" w:rsidP="00E729BA">
      <w:pPr>
        <w:spacing w:after="0" w:line="360" w:lineRule="auto"/>
        <w:jc w:val="both"/>
        <w:rPr>
          <w:rFonts w:ascii="Book Antiqua" w:hAnsi="Book Antiqua" w:cs="Times New Roman"/>
          <w:color w:val="auto"/>
          <w:sz w:val="24"/>
          <w:szCs w:val="24"/>
        </w:rPr>
      </w:pPr>
      <w:r w:rsidRPr="004F0998">
        <w:rPr>
          <w:rFonts w:ascii="Book Antiqua" w:hAnsi="Book Antiqua" w:cs="Times New Roman"/>
          <w:color w:val="auto"/>
          <w:sz w:val="24"/>
          <w:szCs w:val="24"/>
        </w:rPr>
        <w:t xml:space="preserve">In order to identify any </w:t>
      </w:r>
      <w:r w:rsidRPr="004F0998">
        <w:rPr>
          <w:rFonts w:ascii="Book Antiqua" w:eastAsia="Times New Roman" w:hAnsi="Book Antiqua" w:cs="Times New Roman"/>
          <w:color w:val="auto"/>
          <w:sz w:val="24"/>
          <w:szCs w:val="24"/>
          <w:shd w:val="clear" w:color="auto" w:fill="FFFFFF"/>
        </w:rPr>
        <w:t>adverse events (</w:t>
      </w:r>
      <w:r w:rsidRPr="004F0998">
        <w:rPr>
          <w:rFonts w:ascii="Book Antiqua" w:hAnsi="Book Antiqua" w:cs="Times New Roman"/>
          <w:color w:val="auto"/>
          <w:sz w:val="24"/>
          <w:szCs w:val="24"/>
        </w:rPr>
        <w:t>AEs) associated with the drug, physical examination and laboratory parameters were evaluated during the study, and all AEs were recorded.</w:t>
      </w:r>
    </w:p>
    <w:p w:rsidR="00EB4BCE" w:rsidRPr="004F0998" w:rsidRDefault="00A7777F" w:rsidP="00E729BA">
      <w:pPr>
        <w:pStyle w:val="Ttulo31"/>
        <w:shd w:val="clear" w:color="auto" w:fill="FFFFFF"/>
        <w:spacing w:before="0" w:line="360" w:lineRule="auto"/>
        <w:jc w:val="both"/>
        <w:rPr>
          <w:rFonts w:ascii="Book Antiqua" w:hAnsi="Book Antiqua"/>
          <w:bCs w:val="0"/>
          <w:i/>
          <w:color w:val="auto"/>
          <w:sz w:val="24"/>
          <w:szCs w:val="24"/>
        </w:rPr>
      </w:pPr>
      <w:r w:rsidRPr="004F0998">
        <w:rPr>
          <w:rFonts w:ascii="Book Antiqua" w:hAnsi="Book Antiqua"/>
          <w:bCs w:val="0"/>
          <w:i/>
          <w:color w:val="auto"/>
          <w:sz w:val="24"/>
          <w:szCs w:val="24"/>
        </w:rPr>
        <w:lastRenderedPageBreak/>
        <w:t>Ethical considerations</w:t>
      </w:r>
    </w:p>
    <w:p w:rsidR="00EB4BCE" w:rsidRPr="004F0998" w:rsidRDefault="00A7777F" w:rsidP="00E729BA">
      <w:pPr>
        <w:pStyle w:val="Ttulo31"/>
        <w:shd w:val="clear" w:color="auto" w:fill="FFFFFF"/>
        <w:spacing w:before="0" w:line="360" w:lineRule="auto"/>
        <w:jc w:val="both"/>
        <w:rPr>
          <w:rFonts w:ascii="Book Antiqua" w:eastAsiaTheme="minorEastAsia" w:hAnsi="Book Antiqua"/>
          <w:b w:val="0"/>
          <w:color w:val="auto"/>
          <w:sz w:val="24"/>
          <w:szCs w:val="24"/>
          <w:lang w:eastAsia="zh-CN"/>
        </w:rPr>
      </w:pPr>
      <w:r w:rsidRPr="004F0998">
        <w:rPr>
          <w:rFonts w:ascii="Book Antiqua" w:hAnsi="Book Antiqua"/>
          <w:b w:val="0"/>
          <w:color w:val="auto"/>
          <w:sz w:val="24"/>
          <w:szCs w:val="24"/>
        </w:rPr>
        <w:t>Our study protocol was reviewed and approved by the Ethics Committee</w:t>
      </w:r>
      <w:r w:rsidR="00B7382C" w:rsidRPr="004F0998">
        <w:rPr>
          <w:rFonts w:ascii="Book Antiqua" w:hAnsi="Book Antiqua"/>
          <w:b w:val="0"/>
          <w:color w:val="auto"/>
          <w:sz w:val="24"/>
          <w:szCs w:val="24"/>
        </w:rPr>
        <w:t xml:space="preserve"> </w:t>
      </w:r>
      <w:r w:rsidRPr="004F0998">
        <w:rPr>
          <w:rFonts w:ascii="Book Antiqua" w:eastAsia="Calibri" w:hAnsi="Book Antiqua" w:cs="Calibri"/>
          <w:b w:val="0"/>
          <w:color w:val="auto"/>
          <w:sz w:val="24"/>
          <w:szCs w:val="24"/>
          <w:shd w:val="clear" w:color="auto" w:fill="FFFFFF"/>
        </w:rPr>
        <w:t>of all participating hospitals. All included patients signed an informed consent authorizing the use of their clinical data for research purposes</w:t>
      </w:r>
      <w:r w:rsidRPr="004F0998">
        <w:rPr>
          <w:rFonts w:ascii="Book Antiqua" w:hAnsi="Book Antiqua"/>
          <w:b w:val="0"/>
          <w:color w:val="auto"/>
          <w:sz w:val="24"/>
          <w:szCs w:val="24"/>
        </w:rPr>
        <w:t xml:space="preserve">. Regarding the potential risks of </w:t>
      </w:r>
      <w:r w:rsidR="00777BE5" w:rsidRPr="004F0998">
        <w:rPr>
          <w:rFonts w:ascii="Book Antiqua" w:hAnsi="Book Antiqua"/>
          <w:b w:val="0"/>
          <w:color w:val="auto"/>
          <w:sz w:val="24"/>
          <w:szCs w:val="24"/>
        </w:rPr>
        <w:t>g</w:t>
      </w:r>
      <w:r w:rsidRPr="004F0998">
        <w:rPr>
          <w:rFonts w:ascii="Book Antiqua" w:hAnsi="Book Antiqua"/>
          <w:b w:val="0"/>
          <w:color w:val="auto"/>
          <w:sz w:val="24"/>
          <w:szCs w:val="24"/>
        </w:rPr>
        <w:t xml:space="preserve">olimumab therapy, prior to enrollment, patients were informed of the known, reported, side effects in patients with UC. Prior to </w:t>
      </w:r>
      <w:r w:rsidR="00777BE5" w:rsidRPr="004F0998">
        <w:rPr>
          <w:rFonts w:ascii="Book Antiqua" w:hAnsi="Book Antiqua"/>
          <w:b w:val="0"/>
          <w:color w:val="auto"/>
          <w:sz w:val="24"/>
          <w:szCs w:val="24"/>
        </w:rPr>
        <w:t>g</w:t>
      </w:r>
      <w:r w:rsidRPr="004F0998">
        <w:rPr>
          <w:rFonts w:ascii="Book Antiqua" w:hAnsi="Book Antiqua"/>
          <w:b w:val="0"/>
          <w:color w:val="auto"/>
          <w:sz w:val="24"/>
          <w:szCs w:val="24"/>
        </w:rPr>
        <w:t xml:space="preserve">olimumab infusion, written informed consent was obtained from all patients. Additionally, adherence was made to the Principle of Good Clinical Practice and the Helsinki Declaration at all times. </w:t>
      </w:r>
    </w:p>
    <w:p w:rsidR="004F0998" w:rsidRPr="004F0998" w:rsidRDefault="004F0998" w:rsidP="00E729BA">
      <w:pPr>
        <w:spacing w:after="0"/>
        <w:rPr>
          <w:color w:val="auto"/>
          <w:lang w:eastAsia="zh-CN"/>
        </w:rPr>
      </w:pPr>
    </w:p>
    <w:p w:rsidR="00EB4BCE" w:rsidRPr="004F0998" w:rsidRDefault="00A7777F" w:rsidP="00E729BA">
      <w:pPr>
        <w:spacing w:after="0" w:line="360" w:lineRule="auto"/>
        <w:jc w:val="both"/>
        <w:rPr>
          <w:rFonts w:ascii="Book Antiqua" w:hAnsi="Book Antiqua" w:cs="Times New Roman"/>
          <w:b/>
          <w:i/>
          <w:color w:val="auto"/>
          <w:sz w:val="24"/>
          <w:szCs w:val="24"/>
        </w:rPr>
      </w:pPr>
      <w:r w:rsidRPr="004F0998">
        <w:rPr>
          <w:rFonts w:ascii="Book Antiqua" w:hAnsi="Book Antiqua" w:cs="Times New Roman"/>
          <w:b/>
          <w:i/>
          <w:color w:val="auto"/>
          <w:sz w:val="24"/>
          <w:szCs w:val="24"/>
        </w:rPr>
        <w:t xml:space="preserve">Statistical analysis </w:t>
      </w:r>
    </w:p>
    <w:p w:rsidR="00EB4BCE" w:rsidRPr="004F0998" w:rsidRDefault="00A7777F" w:rsidP="00E729BA">
      <w:pPr>
        <w:spacing w:after="0" w:line="360" w:lineRule="auto"/>
        <w:jc w:val="both"/>
        <w:rPr>
          <w:rFonts w:ascii="Book Antiqua" w:hAnsi="Book Antiqua" w:cs="Times New Roman"/>
          <w:color w:val="auto"/>
          <w:sz w:val="24"/>
          <w:szCs w:val="24"/>
        </w:rPr>
      </w:pPr>
      <w:r w:rsidRPr="004F0998">
        <w:rPr>
          <w:rFonts w:ascii="Book Antiqua" w:hAnsi="Book Antiqua" w:cs="Times New Roman"/>
          <w:color w:val="auto"/>
          <w:sz w:val="24"/>
          <w:szCs w:val="24"/>
        </w:rPr>
        <w:t>When appropriate, data were prese</w:t>
      </w:r>
      <w:r w:rsidR="003F6C60" w:rsidRPr="004F0998">
        <w:rPr>
          <w:rFonts w:ascii="Book Antiqua" w:hAnsi="Book Antiqua" w:cs="Times New Roman"/>
          <w:color w:val="auto"/>
          <w:sz w:val="24"/>
          <w:szCs w:val="24"/>
        </w:rPr>
        <w:t>nted as the median and interquar</w:t>
      </w:r>
      <w:r w:rsidRPr="004F0998">
        <w:rPr>
          <w:rFonts w:ascii="Book Antiqua" w:hAnsi="Book Antiqua" w:cs="Times New Roman"/>
          <w:color w:val="auto"/>
          <w:sz w:val="24"/>
          <w:szCs w:val="24"/>
        </w:rPr>
        <w:t xml:space="preserve">tile range. Quantitative data were summarized by median and interquartile range (median [interquartile range, IQR]). A Shapiro-Wilk test was used to assess the normality of continuous variables. Differences between responders and non-responders were analyzed with the Mann-Whitney test. Pearson correlation and Spearman rank were used for correlation analysis. A two-sided p-value less than 0.05 was considered statistically significant. Statistical analyses were performed using PASW Statistics 22.0 (SPSS Inc., Chicago, IL, </w:t>
      </w:r>
      <w:r w:rsidR="004F0998" w:rsidRPr="004F0998">
        <w:rPr>
          <w:rFonts w:ascii="Book Antiqua" w:hAnsi="Book Antiqua" w:cs="Times New Roman"/>
          <w:color w:val="auto"/>
          <w:sz w:val="24"/>
          <w:szCs w:val="24"/>
        </w:rPr>
        <w:t>United States</w:t>
      </w:r>
      <w:r w:rsidRPr="004F0998">
        <w:rPr>
          <w:rFonts w:ascii="Book Antiqua" w:hAnsi="Book Antiqua" w:cs="Times New Roman"/>
          <w:color w:val="auto"/>
          <w:sz w:val="24"/>
          <w:szCs w:val="24"/>
        </w:rPr>
        <w:t xml:space="preserve">). </w:t>
      </w:r>
    </w:p>
    <w:p w:rsidR="00EB4BCE" w:rsidRPr="004F0998" w:rsidRDefault="00EB4BCE" w:rsidP="00E729BA">
      <w:pPr>
        <w:spacing w:after="0" w:line="360" w:lineRule="auto"/>
        <w:jc w:val="both"/>
        <w:rPr>
          <w:rFonts w:ascii="Book Antiqua" w:hAnsi="Book Antiqua" w:cs="Times New Roman"/>
          <w:color w:val="auto"/>
          <w:sz w:val="24"/>
          <w:szCs w:val="24"/>
          <w:lang w:eastAsia="zh-CN"/>
        </w:rPr>
      </w:pPr>
    </w:p>
    <w:p w:rsidR="00EB4BCE" w:rsidRPr="004F0998" w:rsidRDefault="00A7777F" w:rsidP="00E729BA">
      <w:pPr>
        <w:pStyle w:val="Bibliografia"/>
        <w:spacing w:line="360" w:lineRule="auto"/>
        <w:rPr>
          <w:rFonts w:ascii="Book Antiqua" w:eastAsia="Arial Unicode MS" w:hAnsi="Book Antiqua" w:cs="Times New Roman"/>
          <w:b/>
          <w:color w:val="auto"/>
          <w:lang w:val="it-IT"/>
        </w:rPr>
      </w:pPr>
      <w:r w:rsidRPr="004F0998">
        <w:rPr>
          <w:rFonts w:ascii="Book Antiqua" w:eastAsia="Arial Unicode MS" w:hAnsi="Book Antiqua" w:cs="Times New Roman"/>
          <w:b/>
          <w:color w:val="auto"/>
          <w:lang w:val="it-IT"/>
        </w:rPr>
        <w:t>RESULTS</w:t>
      </w:r>
    </w:p>
    <w:p w:rsidR="00EB4BCE" w:rsidRPr="004F0998" w:rsidRDefault="00A7777F" w:rsidP="00E729BA">
      <w:pPr>
        <w:widowControl w:val="0"/>
        <w:spacing w:after="0" w:line="360" w:lineRule="auto"/>
        <w:jc w:val="both"/>
        <w:rPr>
          <w:rFonts w:ascii="Book Antiqua" w:hAnsi="Book Antiqua" w:cs="Times New Roman"/>
          <w:b/>
          <w:i/>
          <w:color w:val="auto"/>
          <w:sz w:val="24"/>
          <w:szCs w:val="24"/>
        </w:rPr>
      </w:pPr>
      <w:r w:rsidRPr="004F0998">
        <w:rPr>
          <w:rFonts w:ascii="Book Antiqua" w:hAnsi="Book Antiqua" w:cs="Times New Roman"/>
          <w:b/>
          <w:i/>
          <w:color w:val="auto"/>
          <w:sz w:val="24"/>
          <w:szCs w:val="24"/>
        </w:rPr>
        <w:t xml:space="preserve">Demographic characteristics </w:t>
      </w:r>
    </w:p>
    <w:p w:rsidR="00EB4BCE" w:rsidRPr="004F0998" w:rsidRDefault="00A7777F" w:rsidP="00E729BA">
      <w:pPr>
        <w:widowControl w:val="0"/>
        <w:spacing w:after="0" w:line="360" w:lineRule="auto"/>
        <w:jc w:val="both"/>
        <w:rPr>
          <w:rFonts w:ascii="Book Antiqua" w:hAnsi="Book Antiqua" w:cs="Times New Roman"/>
          <w:color w:val="auto"/>
          <w:sz w:val="24"/>
          <w:szCs w:val="24"/>
        </w:rPr>
      </w:pPr>
      <w:r w:rsidRPr="004F0998">
        <w:rPr>
          <w:rFonts w:ascii="Book Antiqua" w:hAnsi="Book Antiqua" w:cs="Times New Roman"/>
          <w:color w:val="auto"/>
          <w:sz w:val="24"/>
          <w:szCs w:val="24"/>
        </w:rPr>
        <w:t>The demographic characteristics of the patients are shown in Table 1. Thirty-three consecutive patients with moderate-to-severely active UC were inclu</w:t>
      </w:r>
      <w:r w:rsidR="00FB553C" w:rsidRPr="004F0998">
        <w:rPr>
          <w:rFonts w:ascii="Book Antiqua" w:hAnsi="Book Antiqua" w:cs="Times New Roman"/>
          <w:color w:val="auto"/>
          <w:sz w:val="24"/>
          <w:szCs w:val="24"/>
        </w:rPr>
        <w:t>ded in the study.  Eighteen (54.</w:t>
      </w:r>
      <w:r w:rsidRPr="004F0998">
        <w:rPr>
          <w:rFonts w:ascii="Book Antiqua" w:hAnsi="Book Antiqua" w:cs="Times New Roman"/>
          <w:color w:val="auto"/>
          <w:sz w:val="24"/>
          <w:szCs w:val="24"/>
        </w:rPr>
        <w:t>5%) were women an</w:t>
      </w:r>
      <w:r w:rsidR="00FB553C" w:rsidRPr="004F0998">
        <w:rPr>
          <w:rFonts w:ascii="Book Antiqua" w:hAnsi="Book Antiqua" w:cs="Times New Roman"/>
          <w:color w:val="auto"/>
          <w:sz w:val="24"/>
          <w:szCs w:val="24"/>
        </w:rPr>
        <w:t xml:space="preserve">d the average age was 42 </w:t>
      </w:r>
      <w:r w:rsidR="002B048A" w:rsidRPr="004F0998">
        <w:rPr>
          <w:rFonts w:ascii="Book Antiqua" w:hAnsi="Book Antiqua" w:cs="Times New Roman"/>
          <w:color w:val="auto"/>
          <w:sz w:val="24"/>
          <w:szCs w:val="24"/>
        </w:rPr>
        <w:t xml:space="preserve">years old </w:t>
      </w:r>
      <w:r w:rsidR="00FB553C" w:rsidRPr="004F0998">
        <w:rPr>
          <w:rFonts w:ascii="Book Antiqua" w:hAnsi="Book Antiqua" w:cs="Times New Roman"/>
          <w:color w:val="auto"/>
          <w:sz w:val="24"/>
          <w:szCs w:val="24"/>
        </w:rPr>
        <w:t>(SD 13.</w:t>
      </w:r>
      <w:r w:rsidRPr="004F0998">
        <w:rPr>
          <w:rFonts w:ascii="Book Antiqua" w:hAnsi="Book Antiqua" w:cs="Times New Roman"/>
          <w:color w:val="auto"/>
          <w:sz w:val="24"/>
          <w:szCs w:val="24"/>
        </w:rPr>
        <w:t>75</w:t>
      </w:r>
      <w:r w:rsidR="00FB553C" w:rsidRPr="004F0998">
        <w:rPr>
          <w:rFonts w:ascii="Book Antiqua" w:hAnsi="Book Antiqua" w:cs="Times New Roman"/>
          <w:color w:val="auto"/>
          <w:sz w:val="24"/>
          <w:szCs w:val="24"/>
        </w:rPr>
        <w:t>).</w:t>
      </w:r>
      <w:r w:rsidRPr="004F0998">
        <w:rPr>
          <w:rFonts w:ascii="Book Antiqua" w:hAnsi="Book Antiqua" w:cs="Times New Roman"/>
          <w:color w:val="auto"/>
          <w:sz w:val="24"/>
          <w:szCs w:val="24"/>
        </w:rPr>
        <w:t xml:space="preserve"> The mean disease time since diagnosis was 73</w:t>
      </w:r>
      <w:r w:rsidR="00FB553C" w:rsidRPr="004F0998">
        <w:rPr>
          <w:rFonts w:ascii="Book Antiqua" w:hAnsi="Book Antiqua" w:cs="Times New Roman"/>
          <w:color w:val="auto"/>
          <w:sz w:val="24"/>
          <w:szCs w:val="24"/>
        </w:rPr>
        <w:t xml:space="preserve">.5 </w:t>
      </w:r>
      <w:r w:rsidR="004F0998" w:rsidRPr="004F0998">
        <w:rPr>
          <w:rFonts w:ascii="Book Antiqua" w:hAnsi="Book Antiqua" w:cs="Times New Roman" w:hint="eastAsia"/>
          <w:color w:val="auto"/>
          <w:sz w:val="24"/>
          <w:szCs w:val="24"/>
          <w:lang w:eastAsia="zh-CN"/>
        </w:rPr>
        <w:t>mo</w:t>
      </w:r>
      <w:r w:rsidR="00FB553C" w:rsidRPr="004F0998">
        <w:rPr>
          <w:rFonts w:ascii="Book Antiqua" w:hAnsi="Book Antiqua" w:cs="Times New Roman"/>
          <w:color w:val="auto"/>
          <w:sz w:val="24"/>
          <w:szCs w:val="24"/>
        </w:rPr>
        <w:t xml:space="preserve"> (range</w:t>
      </w:r>
      <w:r w:rsidRPr="004F0998">
        <w:rPr>
          <w:rFonts w:ascii="Book Antiqua" w:hAnsi="Book Antiqua" w:cs="Times New Roman"/>
          <w:color w:val="auto"/>
          <w:sz w:val="24"/>
          <w:szCs w:val="24"/>
        </w:rPr>
        <w:t xml:space="preserve"> 4-360).  Concerning the extent of the disease, no patients had ulcerative proctitis (E1), 12 (30%) had left-sided UC (E2) and 21 (70%) patients had extensive UC (E3). Twenty-four were steroid dependent (72.7%) and 7 were classified as steroid refractory (21.3%). </w:t>
      </w:r>
    </w:p>
    <w:p w:rsidR="004C2F28" w:rsidRPr="004F0998" w:rsidRDefault="00A7777F" w:rsidP="00E729BA">
      <w:pPr>
        <w:widowControl w:val="0"/>
        <w:spacing w:after="0" w:line="360" w:lineRule="auto"/>
        <w:ind w:firstLineChars="150" w:firstLine="360"/>
        <w:jc w:val="both"/>
        <w:rPr>
          <w:rFonts w:ascii="Book Antiqua" w:hAnsi="Book Antiqua" w:cs="Times New Roman"/>
          <w:color w:val="auto"/>
          <w:sz w:val="24"/>
          <w:szCs w:val="24"/>
        </w:rPr>
      </w:pPr>
      <w:r w:rsidRPr="004F0998">
        <w:rPr>
          <w:rFonts w:ascii="Book Antiqua" w:hAnsi="Book Antiqua" w:cs="Times New Roman"/>
          <w:color w:val="auto"/>
          <w:sz w:val="24"/>
          <w:szCs w:val="24"/>
        </w:rPr>
        <w:t xml:space="preserve">All patients had moderate-to-severely active UC (endoscopic Mayo score 2/3) at baseline. With regard to the disease’s clinical activity, at the beginning of </w:t>
      </w:r>
      <w:r w:rsidRPr="004F0998">
        <w:rPr>
          <w:rFonts w:ascii="Book Antiqua" w:hAnsi="Book Antiqua" w:cs="Times New Roman"/>
          <w:color w:val="auto"/>
          <w:sz w:val="24"/>
          <w:szCs w:val="24"/>
        </w:rPr>
        <w:lastRenderedPageBreak/>
        <w:t xml:space="preserve">treatment with </w:t>
      </w:r>
      <w:r w:rsidR="00AA037D" w:rsidRPr="004F0998">
        <w:rPr>
          <w:rFonts w:ascii="Book Antiqua" w:hAnsi="Book Antiqua" w:cs="Times New Roman"/>
          <w:color w:val="auto"/>
          <w:sz w:val="24"/>
          <w:szCs w:val="24"/>
        </w:rPr>
        <w:t>g</w:t>
      </w:r>
      <w:r w:rsidR="001E796F" w:rsidRPr="004F0998">
        <w:rPr>
          <w:rFonts w:ascii="Book Antiqua" w:hAnsi="Book Antiqua" w:cs="Times New Roman"/>
          <w:color w:val="auto"/>
          <w:sz w:val="24"/>
          <w:szCs w:val="24"/>
        </w:rPr>
        <w:t>olimumab</w:t>
      </w:r>
      <w:r w:rsidR="00A86A08" w:rsidRPr="004F0998">
        <w:rPr>
          <w:rFonts w:ascii="Book Antiqua" w:hAnsi="Book Antiqua" w:cs="Times New Roman"/>
          <w:color w:val="auto"/>
          <w:sz w:val="24"/>
          <w:szCs w:val="24"/>
        </w:rPr>
        <w:t>,</w:t>
      </w:r>
      <w:r w:rsidRPr="004F0998">
        <w:rPr>
          <w:rFonts w:ascii="Book Antiqua" w:hAnsi="Book Antiqua" w:cs="Times New Roman"/>
          <w:color w:val="auto"/>
          <w:sz w:val="24"/>
          <w:szCs w:val="24"/>
        </w:rPr>
        <w:t xml:space="preserve"> 28 (85%) patients had moderate-severe UC (S2-3) and 5 (15.2%) had mild activity. </w:t>
      </w:r>
    </w:p>
    <w:p w:rsidR="00EB4BCE" w:rsidRPr="004F0998" w:rsidRDefault="00A7777F" w:rsidP="00E729BA">
      <w:pPr>
        <w:widowControl w:val="0"/>
        <w:spacing w:after="0" w:line="360" w:lineRule="auto"/>
        <w:ind w:firstLineChars="150" w:firstLine="360"/>
        <w:jc w:val="both"/>
        <w:rPr>
          <w:rFonts w:ascii="Book Antiqua" w:hAnsi="Book Antiqua" w:cs="Times New Roman"/>
          <w:color w:val="auto"/>
          <w:sz w:val="24"/>
          <w:szCs w:val="24"/>
          <w:lang w:eastAsia="zh-CN"/>
        </w:rPr>
      </w:pPr>
      <w:r w:rsidRPr="004F0998">
        <w:rPr>
          <w:rFonts w:ascii="Book Antiqua" w:hAnsi="Book Antiqua" w:cs="Times New Roman"/>
          <w:color w:val="auto"/>
          <w:sz w:val="24"/>
          <w:szCs w:val="24"/>
        </w:rPr>
        <w:t xml:space="preserve">At study </w:t>
      </w:r>
      <w:r w:rsidR="00B2008B" w:rsidRPr="004F0998">
        <w:rPr>
          <w:rFonts w:ascii="Book Antiqua" w:hAnsi="Book Antiqua" w:cs="Times New Roman"/>
          <w:color w:val="auto"/>
          <w:sz w:val="24"/>
          <w:szCs w:val="24"/>
        </w:rPr>
        <w:t>entry, 9 out of 33 patients (27.</w:t>
      </w:r>
      <w:r w:rsidRPr="004F0998">
        <w:rPr>
          <w:rFonts w:ascii="Book Antiqua" w:hAnsi="Book Antiqua" w:cs="Times New Roman"/>
          <w:color w:val="auto"/>
          <w:sz w:val="24"/>
          <w:szCs w:val="24"/>
        </w:rPr>
        <w:t xml:space="preserve">3%) were anti-TNF naïve, whereas </w:t>
      </w:r>
      <w:r w:rsidR="00B2008B" w:rsidRPr="004F0998">
        <w:rPr>
          <w:rFonts w:ascii="Book Antiqua" w:hAnsi="Book Antiqua" w:cs="Times New Roman"/>
          <w:color w:val="auto"/>
          <w:sz w:val="24"/>
          <w:szCs w:val="24"/>
        </w:rPr>
        <w:t>24/33 patients (72.</w:t>
      </w:r>
      <w:r w:rsidRPr="004F0998">
        <w:rPr>
          <w:rFonts w:ascii="Book Antiqua" w:hAnsi="Book Antiqua" w:cs="Times New Roman"/>
          <w:color w:val="auto"/>
          <w:sz w:val="24"/>
          <w:szCs w:val="24"/>
        </w:rPr>
        <w:t>7%) had previously received infliximab and/or a</w:t>
      </w:r>
      <w:r w:rsidR="00B2008B" w:rsidRPr="004F0998">
        <w:rPr>
          <w:rFonts w:ascii="Book Antiqua" w:hAnsi="Book Antiqua" w:cs="Times New Roman"/>
          <w:color w:val="auto"/>
          <w:sz w:val="24"/>
          <w:szCs w:val="24"/>
        </w:rPr>
        <w:t>dalimumab. Sixteen patients (66.</w:t>
      </w:r>
      <w:r w:rsidRPr="004F0998">
        <w:rPr>
          <w:rFonts w:ascii="Book Antiqua" w:hAnsi="Book Antiqua" w:cs="Times New Roman"/>
          <w:color w:val="auto"/>
          <w:sz w:val="24"/>
          <w:szCs w:val="24"/>
        </w:rPr>
        <w:t xml:space="preserve">7%) had previously received </w:t>
      </w:r>
      <w:r w:rsidRPr="004F0998">
        <w:rPr>
          <w:rFonts w:ascii="Book Antiqua" w:hAnsi="Book Antiqua" w:cs="Times New Roman"/>
          <w:i/>
          <w:color w:val="auto"/>
          <w:sz w:val="24"/>
          <w:szCs w:val="24"/>
        </w:rPr>
        <w:t>two</w:t>
      </w:r>
      <w:r w:rsidRPr="004F0998">
        <w:rPr>
          <w:rFonts w:ascii="Book Antiqua" w:hAnsi="Book Antiqua" w:cs="Times New Roman"/>
          <w:color w:val="auto"/>
          <w:sz w:val="24"/>
          <w:szCs w:val="24"/>
        </w:rPr>
        <w:t xml:space="preserve"> biological agents. The reason for anti-TNF discontinuation for the ant</w:t>
      </w:r>
      <w:r w:rsidR="00A86A08" w:rsidRPr="004F0998">
        <w:rPr>
          <w:rFonts w:ascii="Book Antiqua" w:hAnsi="Book Antiqua" w:cs="Times New Roman"/>
          <w:color w:val="auto"/>
          <w:sz w:val="24"/>
          <w:szCs w:val="24"/>
        </w:rPr>
        <w:t xml:space="preserve">i-TNF exposed patients was </w:t>
      </w:r>
      <w:r w:rsidR="00A11475" w:rsidRPr="004F0998">
        <w:rPr>
          <w:rFonts w:ascii="Book Antiqua" w:hAnsi="Book Antiqua" w:cs="Times New Roman"/>
          <w:color w:val="auto"/>
          <w:sz w:val="24"/>
          <w:szCs w:val="24"/>
        </w:rPr>
        <w:t>primary non-response</w:t>
      </w:r>
      <w:r w:rsidR="00A86A08" w:rsidRPr="004F0998">
        <w:rPr>
          <w:rFonts w:ascii="Book Antiqua" w:hAnsi="Book Antiqua" w:cs="Times New Roman"/>
          <w:color w:val="auto"/>
          <w:sz w:val="24"/>
          <w:szCs w:val="24"/>
        </w:rPr>
        <w:t xml:space="preserve"> in 6 out of </w:t>
      </w:r>
      <w:r w:rsidRPr="004F0998">
        <w:rPr>
          <w:rFonts w:ascii="Book Antiqua" w:hAnsi="Book Antiqua" w:cs="Times New Roman"/>
          <w:color w:val="auto"/>
          <w:sz w:val="24"/>
          <w:szCs w:val="24"/>
        </w:rPr>
        <w:t xml:space="preserve">24 </w:t>
      </w:r>
      <w:r w:rsidR="00A86A08" w:rsidRPr="004F0998">
        <w:rPr>
          <w:rFonts w:ascii="Book Antiqua" w:hAnsi="Book Antiqua" w:cs="Times New Roman"/>
          <w:color w:val="auto"/>
          <w:sz w:val="24"/>
          <w:szCs w:val="24"/>
        </w:rPr>
        <w:t xml:space="preserve">cases </w:t>
      </w:r>
      <w:r w:rsidRPr="004F0998">
        <w:rPr>
          <w:rFonts w:ascii="Book Antiqua" w:hAnsi="Book Antiqua" w:cs="Times New Roman"/>
          <w:color w:val="auto"/>
          <w:sz w:val="24"/>
          <w:szCs w:val="24"/>
        </w:rPr>
        <w:t xml:space="preserve">(25%), </w:t>
      </w:r>
      <w:r w:rsidR="00A11475" w:rsidRPr="004F0998">
        <w:rPr>
          <w:rFonts w:ascii="Book Antiqua" w:hAnsi="Book Antiqua" w:cs="Times New Roman"/>
          <w:color w:val="auto"/>
          <w:sz w:val="24"/>
          <w:szCs w:val="24"/>
        </w:rPr>
        <w:t>failure or loss of response</w:t>
      </w:r>
      <w:r w:rsidR="00A86A08" w:rsidRPr="004F0998">
        <w:rPr>
          <w:rFonts w:ascii="Book Antiqua" w:hAnsi="Book Antiqua" w:cs="Times New Roman"/>
          <w:color w:val="auto"/>
          <w:sz w:val="24"/>
          <w:szCs w:val="24"/>
        </w:rPr>
        <w:t xml:space="preserve"> </w:t>
      </w:r>
      <w:r w:rsidRPr="004F0998">
        <w:rPr>
          <w:rFonts w:ascii="Book Antiqua" w:hAnsi="Book Antiqua" w:cs="Times New Roman"/>
          <w:color w:val="auto"/>
          <w:sz w:val="24"/>
          <w:szCs w:val="24"/>
        </w:rPr>
        <w:t xml:space="preserve">in 14 (58.3%), and </w:t>
      </w:r>
      <w:r w:rsidR="00A86A08" w:rsidRPr="004F0998">
        <w:rPr>
          <w:rFonts w:ascii="Book Antiqua" w:hAnsi="Book Antiqua" w:cs="Times New Roman"/>
          <w:color w:val="auto"/>
          <w:sz w:val="24"/>
          <w:szCs w:val="24"/>
        </w:rPr>
        <w:t xml:space="preserve">in </w:t>
      </w:r>
      <w:r w:rsidRPr="004F0998">
        <w:rPr>
          <w:rFonts w:ascii="Book Antiqua" w:hAnsi="Book Antiqua" w:cs="Times New Roman"/>
          <w:color w:val="auto"/>
          <w:sz w:val="24"/>
          <w:szCs w:val="24"/>
        </w:rPr>
        <w:t>4 (16</w:t>
      </w:r>
      <w:r w:rsidR="00A11475" w:rsidRPr="004F0998">
        <w:rPr>
          <w:rFonts w:ascii="Book Antiqua" w:hAnsi="Book Antiqua" w:cs="Times New Roman"/>
          <w:color w:val="auto"/>
          <w:sz w:val="24"/>
          <w:szCs w:val="24"/>
        </w:rPr>
        <w:t>.</w:t>
      </w:r>
      <w:r w:rsidRPr="004F0998">
        <w:rPr>
          <w:rFonts w:ascii="Book Antiqua" w:hAnsi="Book Antiqua" w:cs="Times New Roman"/>
          <w:color w:val="auto"/>
          <w:sz w:val="24"/>
          <w:szCs w:val="24"/>
        </w:rPr>
        <w:t xml:space="preserve">6%) due to intolerance (delayed hypersensitivity). Twenty-one patients received </w:t>
      </w:r>
      <w:r w:rsidR="00A55AB1" w:rsidRPr="004F0998">
        <w:rPr>
          <w:rFonts w:ascii="Book Antiqua" w:hAnsi="Book Antiqua" w:cs="Times New Roman"/>
          <w:color w:val="auto"/>
          <w:sz w:val="24"/>
          <w:szCs w:val="24"/>
        </w:rPr>
        <w:t>g</w:t>
      </w:r>
      <w:r w:rsidR="001E796F" w:rsidRPr="004F0998">
        <w:rPr>
          <w:rFonts w:ascii="Book Antiqua" w:hAnsi="Book Antiqua" w:cs="Times New Roman"/>
          <w:color w:val="auto"/>
          <w:sz w:val="24"/>
          <w:szCs w:val="24"/>
        </w:rPr>
        <w:t>olimumab</w:t>
      </w:r>
      <w:r w:rsidRPr="004F0998">
        <w:rPr>
          <w:rFonts w:ascii="Book Antiqua" w:hAnsi="Book Antiqua" w:cs="Times New Roman"/>
          <w:color w:val="auto"/>
          <w:sz w:val="24"/>
          <w:szCs w:val="24"/>
        </w:rPr>
        <w:t xml:space="preserve"> monotherap</w:t>
      </w:r>
      <w:r w:rsidR="00B2008B" w:rsidRPr="004F0998">
        <w:rPr>
          <w:rFonts w:ascii="Book Antiqua" w:hAnsi="Book Antiqua" w:cs="Times New Roman"/>
          <w:color w:val="auto"/>
          <w:sz w:val="24"/>
          <w:szCs w:val="24"/>
        </w:rPr>
        <w:t>y, whereas 12 (36.</w:t>
      </w:r>
      <w:r w:rsidRPr="004F0998">
        <w:rPr>
          <w:rFonts w:ascii="Book Antiqua" w:hAnsi="Book Antiqua" w:cs="Times New Roman"/>
          <w:color w:val="auto"/>
          <w:sz w:val="24"/>
          <w:szCs w:val="24"/>
        </w:rPr>
        <w:t xml:space="preserve">6%) patients received combination therapy with thiopurines (11/12) and one patient received tacrolimus. Twenty-five patients received steroids during </w:t>
      </w:r>
      <w:r w:rsidR="00A55AB1" w:rsidRPr="004F0998">
        <w:rPr>
          <w:rFonts w:ascii="Book Antiqua" w:hAnsi="Book Antiqua" w:cs="Times New Roman"/>
          <w:color w:val="auto"/>
          <w:sz w:val="24"/>
          <w:szCs w:val="24"/>
        </w:rPr>
        <w:t>g</w:t>
      </w:r>
      <w:r w:rsidR="001E796F" w:rsidRPr="004F0998">
        <w:rPr>
          <w:rFonts w:ascii="Book Antiqua" w:hAnsi="Book Antiqua" w:cs="Times New Roman"/>
          <w:color w:val="auto"/>
          <w:sz w:val="24"/>
          <w:szCs w:val="24"/>
        </w:rPr>
        <w:t>olimumab</w:t>
      </w:r>
      <w:r w:rsidRPr="004F0998">
        <w:rPr>
          <w:rFonts w:ascii="Book Antiqua" w:hAnsi="Book Antiqua" w:cs="Times New Roman"/>
          <w:color w:val="auto"/>
          <w:sz w:val="24"/>
          <w:szCs w:val="24"/>
        </w:rPr>
        <w:t xml:space="preserve"> induction; of these, 7 (21.2%) maintained steroid use when the study finished. </w:t>
      </w:r>
    </w:p>
    <w:p w:rsidR="004F0998" w:rsidRPr="004F0998" w:rsidRDefault="004F0998" w:rsidP="00E729BA">
      <w:pPr>
        <w:widowControl w:val="0"/>
        <w:spacing w:after="0" w:line="360" w:lineRule="auto"/>
        <w:ind w:firstLineChars="150" w:firstLine="360"/>
        <w:jc w:val="both"/>
        <w:rPr>
          <w:rFonts w:ascii="Book Antiqua" w:hAnsi="Book Antiqua" w:cs="Times New Roman"/>
          <w:color w:val="auto"/>
          <w:sz w:val="24"/>
          <w:szCs w:val="24"/>
          <w:lang w:eastAsia="zh-CN"/>
        </w:rPr>
      </w:pPr>
    </w:p>
    <w:p w:rsidR="00EB4BCE" w:rsidRPr="004F0998" w:rsidRDefault="00A7777F" w:rsidP="00E729BA">
      <w:pPr>
        <w:widowControl w:val="0"/>
        <w:spacing w:after="0" w:line="360" w:lineRule="auto"/>
        <w:jc w:val="both"/>
        <w:rPr>
          <w:rFonts w:ascii="Book Antiqua" w:hAnsi="Book Antiqua" w:cs="Times New Roman"/>
          <w:b/>
          <w:i/>
          <w:color w:val="auto"/>
          <w:sz w:val="24"/>
          <w:szCs w:val="24"/>
        </w:rPr>
      </w:pPr>
      <w:r w:rsidRPr="004F0998">
        <w:rPr>
          <w:rFonts w:ascii="Book Antiqua" w:hAnsi="Book Antiqua" w:cs="Times New Roman"/>
          <w:b/>
          <w:i/>
          <w:color w:val="auto"/>
          <w:sz w:val="24"/>
          <w:szCs w:val="24"/>
        </w:rPr>
        <w:t xml:space="preserve">Response rates </w:t>
      </w:r>
    </w:p>
    <w:p w:rsidR="00653AD2" w:rsidRPr="004F0998" w:rsidRDefault="00D41E1B" w:rsidP="00E729BA">
      <w:pPr>
        <w:widowControl w:val="0"/>
        <w:spacing w:after="0" w:line="360" w:lineRule="auto"/>
        <w:jc w:val="both"/>
        <w:rPr>
          <w:rFonts w:ascii="Book Antiqua" w:hAnsi="Book Antiqua" w:cs="Times New Roman"/>
          <w:color w:val="auto"/>
          <w:sz w:val="24"/>
          <w:szCs w:val="24"/>
        </w:rPr>
      </w:pPr>
      <w:r w:rsidRPr="004F0998">
        <w:rPr>
          <w:rFonts w:ascii="Book Antiqua" w:hAnsi="Book Antiqua" w:cs="Times New Roman"/>
          <w:color w:val="auto"/>
          <w:sz w:val="24"/>
          <w:szCs w:val="24"/>
        </w:rPr>
        <w:t>Twenty-three</w:t>
      </w:r>
      <w:r w:rsidR="00A7777F" w:rsidRPr="004F0998">
        <w:rPr>
          <w:rFonts w:ascii="Book Antiqua" w:hAnsi="Book Antiqua" w:cs="Times New Roman"/>
          <w:color w:val="auto"/>
          <w:sz w:val="24"/>
          <w:szCs w:val="24"/>
        </w:rPr>
        <w:t xml:space="preserve"> (69.7%) out of 33 UC patients showed clinical response </w:t>
      </w:r>
      <w:r w:rsidR="00140301" w:rsidRPr="004F0998">
        <w:rPr>
          <w:rFonts w:ascii="Book Antiqua" w:hAnsi="Book Antiqua" w:cs="Times New Roman"/>
          <w:color w:val="auto"/>
          <w:sz w:val="24"/>
          <w:szCs w:val="24"/>
        </w:rPr>
        <w:t xml:space="preserve">(figures one and 2 show the </w:t>
      </w:r>
      <w:r w:rsidR="003F6C60" w:rsidRPr="004F0998">
        <w:rPr>
          <w:rFonts w:ascii="Book Antiqua" w:hAnsi="Book Antiqua" w:cs="Times New Roman"/>
          <w:color w:val="auto"/>
          <w:sz w:val="24"/>
          <w:szCs w:val="24"/>
        </w:rPr>
        <w:t>endoscopic</w:t>
      </w:r>
      <w:r w:rsidR="00140301" w:rsidRPr="004F0998">
        <w:rPr>
          <w:rFonts w:ascii="Book Antiqua" w:hAnsi="Book Antiqua" w:cs="Times New Roman"/>
          <w:color w:val="auto"/>
          <w:sz w:val="24"/>
          <w:szCs w:val="24"/>
        </w:rPr>
        <w:t xml:space="preserve"> images of a patient before and after 12 weeks of golimumab) </w:t>
      </w:r>
      <w:r w:rsidR="00A7777F" w:rsidRPr="004F0998">
        <w:rPr>
          <w:rFonts w:ascii="Book Antiqua" w:hAnsi="Book Antiqua" w:cs="Times New Roman"/>
          <w:color w:val="auto"/>
          <w:sz w:val="24"/>
          <w:szCs w:val="24"/>
        </w:rPr>
        <w:t>and were steroid-free at week 14 (a decrease from baseline in the partial Mayo score of at least 3 points). Of these, 17 (51.5%) obtained clinical remission (steroid-free) at week 14. When response rates were based on PGA, clinical remission and clinical response w</w:t>
      </w:r>
      <w:r w:rsidR="00A86A08" w:rsidRPr="004F0998">
        <w:rPr>
          <w:rFonts w:ascii="Book Antiqua" w:hAnsi="Book Antiqua" w:cs="Times New Roman"/>
          <w:color w:val="auto"/>
          <w:sz w:val="24"/>
          <w:szCs w:val="24"/>
        </w:rPr>
        <w:t>ere</w:t>
      </w:r>
      <w:r w:rsidR="00A7777F" w:rsidRPr="004F0998">
        <w:rPr>
          <w:rFonts w:ascii="Book Antiqua" w:hAnsi="Book Antiqua" w:cs="Times New Roman"/>
          <w:color w:val="auto"/>
          <w:sz w:val="24"/>
          <w:szCs w:val="24"/>
        </w:rPr>
        <w:t xml:space="preserve"> 24% (8/33) and 55% (18/33)</w:t>
      </w:r>
      <w:r w:rsidR="00A86A08" w:rsidRPr="004F0998">
        <w:rPr>
          <w:rFonts w:ascii="Book Antiqua" w:hAnsi="Book Antiqua" w:cs="Times New Roman"/>
          <w:color w:val="auto"/>
          <w:sz w:val="24"/>
          <w:szCs w:val="24"/>
        </w:rPr>
        <w:t>,</w:t>
      </w:r>
      <w:r w:rsidR="00A7777F" w:rsidRPr="004F0998">
        <w:rPr>
          <w:rFonts w:ascii="Book Antiqua" w:hAnsi="Book Antiqua" w:cs="Times New Roman"/>
          <w:color w:val="auto"/>
          <w:sz w:val="24"/>
          <w:szCs w:val="24"/>
        </w:rPr>
        <w:t xml:space="preserve"> respectively. Globally, withdrawal of corticosteroids was observed in 70.8% of steroid</w:t>
      </w:r>
      <w:r w:rsidR="00A86A08" w:rsidRPr="004F0998">
        <w:rPr>
          <w:rFonts w:ascii="Book Antiqua" w:hAnsi="Book Antiqua" w:cs="Times New Roman"/>
          <w:color w:val="auto"/>
          <w:sz w:val="24"/>
          <w:szCs w:val="24"/>
        </w:rPr>
        <w:t>-</w:t>
      </w:r>
      <w:r w:rsidR="00A7777F" w:rsidRPr="004F0998">
        <w:rPr>
          <w:rFonts w:ascii="Book Antiqua" w:hAnsi="Book Antiqua" w:cs="Times New Roman"/>
          <w:color w:val="auto"/>
          <w:sz w:val="24"/>
          <w:szCs w:val="24"/>
        </w:rPr>
        <w:t xml:space="preserve">dependent patients (17/24) at the end of the study. Finally, 3 out of 10 clinical non-responders needed a colectomy within 3 months after the first </w:t>
      </w:r>
      <w:r w:rsidR="00A55AB1" w:rsidRPr="004F0998">
        <w:rPr>
          <w:rFonts w:ascii="Book Antiqua" w:hAnsi="Book Antiqua" w:cs="Times New Roman"/>
          <w:color w:val="auto"/>
          <w:sz w:val="24"/>
          <w:szCs w:val="24"/>
        </w:rPr>
        <w:t>g</w:t>
      </w:r>
      <w:r w:rsidR="001E796F" w:rsidRPr="004F0998">
        <w:rPr>
          <w:rFonts w:ascii="Book Antiqua" w:hAnsi="Book Antiqua" w:cs="Times New Roman"/>
          <w:color w:val="auto"/>
          <w:sz w:val="24"/>
          <w:szCs w:val="24"/>
        </w:rPr>
        <w:t>olimumab</w:t>
      </w:r>
      <w:r w:rsidR="00A7777F" w:rsidRPr="004F0998">
        <w:rPr>
          <w:rFonts w:ascii="Book Antiqua" w:hAnsi="Book Antiqua" w:cs="Times New Roman"/>
          <w:color w:val="auto"/>
          <w:sz w:val="24"/>
          <w:szCs w:val="24"/>
        </w:rPr>
        <w:t xml:space="preserve"> injection. </w:t>
      </w:r>
    </w:p>
    <w:p w:rsidR="00F464E2" w:rsidRPr="004F0998" w:rsidRDefault="00F464E2" w:rsidP="00E729BA">
      <w:pPr>
        <w:widowControl w:val="0"/>
        <w:spacing w:after="0" w:line="360" w:lineRule="auto"/>
        <w:ind w:firstLineChars="150" w:firstLine="360"/>
        <w:jc w:val="both"/>
        <w:rPr>
          <w:rFonts w:ascii="Book Antiqua" w:hAnsi="Book Antiqua" w:cs="Times New Roman"/>
          <w:color w:val="auto"/>
          <w:sz w:val="24"/>
          <w:szCs w:val="24"/>
        </w:rPr>
      </w:pPr>
      <w:r w:rsidRPr="004F0998">
        <w:rPr>
          <w:rFonts w:ascii="Book Antiqua" w:hAnsi="Book Antiqua" w:cs="Times New Roman"/>
          <w:color w:val="auto"/>
          <w:sz w:val="24"/>
          <w:szCs w:val="24"/>
        </w:rPr>
        <w:t>When analyzing the nine anti-TNF naïve patients, we observed that six (66.7%) responded but three did not. All responders obtained steroid-free clinical response at week 14.</w:t>
      </w:r>
    </w:p>
    <w:p w:rsidR="00EB4BCE" w:rsidRPr="004F0998" w:rsidRDefault="00A7777F" w:rsidP="00E729BA">
      <w:pPr>
        <w:widowControl w:val="0"/>
        <w:spacing w:after="0" w:line="360" w:lineRule="auto"/>
        <w:ind w:firstLineChars="150" w:firstLine="360"/>
        <w:jc w:val="both"/>
        <w:rPr>
          <w:rFonts w:ascii="Book Antiqua" w:hAnsi="Book Antiqua" w:cs="Times New Roman"/>
          <w:color w:val="auto"/>
          <w:sz w:val="24"/>
          <w:szCs w:val="24"/>
        </w:rPr>
      </w:pPr>
      <w:r w:rsidRPr="004F0998">
        <w:rPr>
          <w:rFonts w:ascii="Book Antiqua" w:hAnsi="Book Antiqua" w:cs="Times New Roman"/>
          <w:color w:val="auto"/>
          <w:sz w:val="24"/>
          <w:szCs w:val="24"/>
        </w:rPr>
        <w:t>Mean Fecal calprotectin v</w:t>
      </w:r>
      <w:r w:rsidR="00B2008B" w:rsidRPr="004F0998">
        <w:rPr>
          <w:rFonts w:ascii="Book Antiqua" w:hAnsi="Book Antiqua" w:cs="Times New Roman"/>
          <w:color w:val="auto"/>
          <w:sz w:val="24"/>
          <w:szCs w:val="24"/>
        </w:rPr>
        <w:t xml:space="preserve">alue at baseline was 300 ug/g, </w:t>
      </w:r>
      <w:r w:rsidRPr="004F0998">
        <w:rPr>
          <w:rFonts w:ascii="Book Antiqua" w:hAnsi="Book Antiqua" w:cs="Times New Roman"/>
          <w:color w:val="auto"/>
          <w:sz w:val="24"/>
          <w:szCs w:val="24"/>
        </w:rPr>
        <w:t xml:space="preserve">(245-1800 </w:t>
      </w:r>
      <w:r w:rsidR="003F6C60" w:rsidRPr="004F0998">
        <w:rPr>
          <w:rFonts w:ascii="Book Antiqua" w:hAnsi="Book Antiqua" w:cs="Times New Roman"/>
          <w:color w:val="auto"/>
          <w:sz w:val="24"/>
          <w:szCs w:val="24"/>
        </w:rPr>
        <w:t>percentile</w:t>
      </w:r>
      <w:r w:rsidRPr="004F0998">
        <w:rPr>
          <w:rFonts w:ascii="Book Antiqua" w:hAnsi="Book Antiqua" w:cs="Times New Roman"/>
          <w:color w:val="auto"/>
          <w:sz w:val="24"/>
          <w:szCs w:val="24"/>
        </w:rPr>
        <w:t xml:space="preserve"> 25-75) and 170.5 ug/g at week 14 (49-1031 </w:t>
      </w:r>
      <w:r w:rsidR="003F6C60" w:rsidRPr="004F0998">
        <w:rPr>
          <w:rFonts w:ascii="Book Antiqua" w:hAnsi="Book Antiqua" w:cs="Times New Roman"/>
          <w:color w:val="auto"/>
          <w:sz w:val="24"/>
          <w:szCs w:val="24"/>
        </w:rPr>
        <w:t>percentiles</w:t>
      </w:r>
      <w:r w:rsidRPr="004F0998">
        <w:rPr>
          <w:rFonts w:ascii="Book Antiqua" w:hAnsi="Book Antiqua" w:cs="Times New Roman"/>
          <w:color w:val="auto"/>
          <w:sz w:val="24"/>
          <w:szCs w:val="24"/>
        </w:rPr>
        <w:t xml:space="preserve"> 25-75). Mean baseline C-reactive protein (CRP) was 11.9 mg/L and 3.4 mg/L at </w:t>
      </w:r>
      <w:r w:rsidR="003F6C60" w:rsidRPr="004F0998">
        <w:rPr>
          <w:rFonts w:ascii="Book Antiqua" w:hAnsi="Book Antiqua" w:cs="Times New Roman"/>
          <w:color w:val="auto"/>
          <w:sz w:val="24"/>
          <w:szCs w:val="24"/>
        </w:rPr>
        <w:t>finish line</w:t>
      </w:r>
      <w:r w:rsidRPr="004F0998">
        <w:rPr>
          <w:rFonts w:ascii="Book Antiqua" w:hAnsi="Book Antiqua" w:cs="Times New Roman"/>
          <w:color w:val="auto"/>
          <w:sz w:val="24"/>
          <w:szCs w:val="24"/>
        </w:rPr>
        <w:t xml:space="preserve"> (week 14).</w:t>
      </w:r>
    </w:p>
    <w:p w:rsidR="0050026C" w:rsidRPr="004F0998" w:rsidRDefault="00A7777F" w:rsidP="00E729BA">
      <w:pPr>
        <w:widowControl w:val="0"/>
        <w:spacing w:after="0" w:line="360" w:lineRule="auto"/>
        <w:ind w:firstLineChars="150" w:firstLine="360"/>
        <w:jc w:val="both"/>
        <w:rPr>
          <w:rFonts w:ascii="Book Antiqua" w:hAnsi="Book Antiqua" w:cs="Times New Roman"/>
          <w:color w:val="auto"/>
          <w:sz w:val="24"/>
          <w:szCs w:val="24"/>
        </w:rPr>
      </w:pPr>
      <w:r w:rsidRPr="004F0998">
        <w:rPr>
          <w:rFonts w:ascii="Book Antiqua" w:hAnsi="Book Antiqua" w:cs="Times New Roman"/>
          <w:color w:val="auto"/>
          <w:sz w:val="24"/>
          <w:szCs w:val="24"/>
        </w:rPr>
        <w:t xml:space="preserve">The bivariant analysis did not find any risk factors related to less clinical </w:t>
      </w:r>
      <w:r w:rsidRPr="004F0998">
        <w:rPr>
          <w:rFonts w:ascii="Book Antiqua" w:hAnsi="Book Antiqua" w:cs="Times New Roman"/>
          <w:color w:val="auto"/>
          <w:sz w:val="24"/>
          <w:szCs w:val="24"/>
        </w:rPr>
        <w:lastRenderedPageBreak/>
        <w:t>response, taking into ac</w:t>
      </w:r>
      <w:r w:rsidR="00EB02BC" w:rsidRPr="004F0998">
        <w:rPr>
          <w:rFonts w:ascii="Book Antiqua" w:hAnsi="Book Antiqua" w:cs="Times New Roman"/>
          <w:color w:val="auto"/>
          <w:sz w:val="24"/>
          <w:szCs w:val="24"/>
        </w:rPr>
        <w:t>count partial Mayo score, but when partial Mayo score was analyzed, taking into account remission free of steroids, we observed that remission was related to a disease duration of less than 2 years and to not being steroid-dependent</w:t>
      </w:r>
      <w:r w:rsidR="00D01226" w:rsidRPr="004F0998">
        <w:rPr>
          <w:rFonts w:ascii="Book Antiqua" w:hAnsi="Book Antiqua" w:cs="Times New Roman"/>
          <w:color w:val="auto"/>
          <w:sz w:val="24"/>
          <w:szCs w:val="24"/>
        </w:rPr>
        <w:t>. W</w:t>
      </w:r>
      <w:r w:rsidRPr="004F0998">
        <w:rPr>
          <w:rFonts w:ascii="Book Antiqua" w:hAnsi="Book Antiqua" w:cs="Times New Roman"/>
          <w:color w:val="auto"/>
          <w:sz w:val="24"/>
          <w:szCs w:val="24"/>
        </w:rPr>
        <w:t>hen clinical remission was analyzed based on PGA, bivariant analysis showed that being anti-TNF naïve was a protection factor which was related to better chances of reaching clinical remission (</w:t>
      </w:r>
      <w:r w:rsidR="004F0998" w:rsidRPr="004F0998">
        <w:rPr>
          <w:rFonts w:ascii="Book Antiqua" w:hAnsi="Book Antiqua" w:cs="Times New Roman"/>
          <w:i/>
          <w:color w:val="auto"/>
          <w:sz w:val="24"/>
          <w:szCs w:val="24"/>
        </w:rPr>
        <w:t>P</w:t>
      </w:r>
      <w:r w:rsidR="004F0998" w:rsidRPr="004F0998">
        <w:rPr>
          <w:rFonts w:ascii="Book Antiqua" w:hAnsi="Book Antiqua" w:cs="Times New Roman" w:hint="eastAsia"/>
          <w:color w:val="auto"/>
          <w:sz w:val="24"/>
          <w:szCs w:val="24"/>
          <w:lang w:eastAsia="zh-CN"/>
        </w:rPr>
        <w:t xml:space="preserve"> </w:t>
      </w:r>
      <w:r w:rsidRPr="004F0998">
        <w:rPr>
          <w:rFonts w:ascii="Book Antiqua" w:hAnsi="Book Antiqua" w:cs="Times New Roman"/>
          <w:color w:val="auto"/>
          <w:sz w:val="24"/>
          <w:szCs w:val="24"/>
        </w:rPr>
        <w:t>=</w:t>
      </w:r>
      <w:r w:rsidR="004F0998" w:rsidRPr="004F0998">
        <w:rPr>
          <w:rFonts w:ascii="Book Antiqua" w:hAnsi="Book Antiqua" w:cs="Times New Roman" w:hint="eastAsia"/>
          <w:color w:val="auto"/>
          <w:sz w:val="24"/>
          <w:szCs w:val="24"/>
          <w:lang w:eastAsia="zh-CN"/>
        </w:rPr>
        <w:t xml:space="preserve"> </w:t>
      </w:r>
      <w:r w:rsidRPr="004F0998">
        <w:rPr>
          <w:rFonts w:ascii="Book Antiqua" w:hAnsi="Book Antiqua" w:cs="Times New Roman"/>
          <w:color w:val="auto"/>
          <w:sz w:val="24"/>
          <w:szCs w:val="24"/>
        </w:rPr>
        <w:t>0.01). The other varia</w:t>
      </w:r>
      <w:r w:rsidR="008F1610" w:rsidRPr="004F0998">
        <w:rPr>
          <w:rFonts w:ascii="Book Antiqua" w:hAnsi="Book Antiqua" w:cs="Times New Roman"/>
          <w:color w:val="auto"/>
          <w:sz w:val="24"/>
          <w:szCs w:val="24"/>
        </w:rPr>
        <w:t>bles did not reach significance</w:t>
      </w:r>
      <w:r w:rsidRPr="004F0998">
        <w:rPr>
          <w:rFonts w:ascii="Book Antiqua" w:hAnsi="Book Antiqua" w:cs="Times New Roman"/>
          <w:color w:val="auto"/>
          <w:sz w:val="24"/>
          <w:szCs w:val="24"/>
        </w:rPr>
        <w:t xml:space="preserve"> in the </w:t>
      </w:r>
      <w:r w:rsidR="00D01226" w:rsidRPr="004F0998">
        <w:rPr>
          <w:rFonts w:ascii="Book Antiqua" w:hAnsi="Book Antiqua" w:cs="Times New Roman"/>
          <w:color w:val="auto"/>
          <w:sz w:val="24"/>
          <w:szCs w:val="24"/>
        </w:rPr>
        <w:t>bivariant analysis (</w:t>
      </w:r>
      <w:r w:rsidR="004F0998" w:rsidRPr="004F0998">
        <w:rPr>
          <w:rFonts w:ascii="Book Antiqua" w:hAnsi="Book Antiqua" w:cs="Times New Roman"/>
          <w:color w:val="auto"/>
          <w:sz w:val="24"/>
          <w:szCs w:val="24"/>
        </w:rPr>
        <w:t xml:space="preserve">Tables </w:t>
      </w:r>
      <w:r w:rsidR="00D01226" w:rsidRPr="004F0998">
        <w:rPr>
          <w:rFonts w:ascii="Book Antiqua" w:hAnsi="Book Antiqua" w:cs="Times New Roman"/>
          <w:color w:val="auto"/>
          <w:sz w:val="24"/>
          <w:szCs w:val="24"/>
        </w:rPr>
        <w:t>2 and 3</w:t>
      </w:r>
      <w:r w:rsidRPr="004F0998">
        <w:rPr>
          <w:rFonts w:ascii="Book Antiqua" w:hAnsi="Book Antiqua" w:cs="Times New Roman"/>
          <w:color w:val="auto"/>
          <w:sz w:val="24"/>
          <w:szCs w:val="24"/>
        </w:rPr>
        <w:t>).</w:t>
      </w:r>
    </w:p>
    <w:p w:rsidR="00E648BC" w:rsidRPr="004F0998" w:rsidRDefault="00367F0F" w:rsidP="00E729BA">
      <w:pPr>
        <w:pStyle w:val="NormalWeb"/>
        <w:spacing w:beforeAutospacing="0" w:after="0" w:afterAutospacing="0" w:line="360" w:lineRule="auto"/>
        <w:ind w:firstLineChars="150" w:firstLine="360"/>
        <w:jc w:val="both"/>
        <w:rPr>
          <w:rFonts w:ascii="Book Antiqua" w:hAnsi="Book Antiqua"/>
          <w:color w:val="auto"/>
          <w:lang w:val="en-US"/>
        </w:rPr>
      </w:pPr>
      <w:r w:rsidRPr="004F0998">
        <w:rPr>
          <w:rFonts w:ascii="Book Antiqua" w:hAnsi="Book Antiqua"/>
          <w:color w:val="auto"/>
          <w:lang w:val="en-US"/>
        </w:rPr>
        <w:t>Nine</w:t>
      </w:r>
      <w:r w:rsidR="00A7777F" w:rsidRPr="004F0998">
        <w:rPr>
          <w:rFonts w:ascii="Book Antiqua" w:hAnsi="Book Antiqua"/>
          <w:color w:val="auto"/>
          <w:lang w:val="en-US"/>
        </w:rPr>
        <w:t xml:space="preserve"> of the 33 patients (27</w:t>
      </w:r>
      <w:r w:rsidR="00B2008B" w:rsidRPr="004F0998">
        <w:rPr>
          <w:rFonts w:ascii="Book Antiqua" w:hAnsi="Book Antiqua"/>
          <w:color w:val="auto"/>
          <w:lang w:val="en-US"/>
        </w:rPr>
        <w:t>.</w:t>
      </w:r>
      <w:r w:rsidR="00A7777F" w:rsidRPr="004F0998">
        <w:rPr>
          <w:rFonts w:ascii="Book Antiqua" w:hAnsi="Book Antiqua"/>
          <w:color w:val="auto"/>
          <w:lang w:val="en-US"/>
        </w:rPr>
        <w:t xml:space="preserve">3%) required treatment intensification in the 14 </w:t>
      </w:r>
      <w:r w:rsidR="004F0998" w:rsidRPr="004F0998">
        <w:rPr>
          <w:rFonts w:ascii="Book Antiqua" w:hAnsi="Book Antiqua" w:hint="eastAsia"/>
          <w:color w:val="auto"/>
          <w:lang w:val="en-US" w:eastAsia="zh-CN"/>
        </w:rPr>
        <w:t>wk</w:t>
      </w:r>
      <w:r w:rsidR="00A7777F" w:rsidRPr="004F0998">
        <w:rPr>
          <w:rFonts w:ascii="Book Antiqua" w:hAnsi="Book Antiqua"/>
          <w:color w:val="auto"/>
          <w:lang w:val="en-US"/>
        </w:rPr>
        <w:t xml:space="preserve"> of follow-up. Four patients received </w:t>
      </w:r>
      <w:r w:rsidR="008F1610" w:rsidRPr="004F0998">
        <w:rPr>
          <w:rFonts w:ascii="Book Antiqua" w:hAnsi="Book Antiqua"/>
          <w:color w:val="auto"/>
          <w:lang w:val="en-US"/>
        </w:rPr>
        <w:t>one</w:t>
      </w:r>
      <w:r w:rsidR="00A7777F" w:rsidRPr="004F0998">
        <w:rPr>
          <w:rFonts w:ascii="Book Antiqua" w:hAnsi="Book Antiqua"/>
          <w:color w:val="auto"/>
          <w:lang w:val="en-US"/>
        </w:rPr>
        <w:t xml:space="preserve"> shot every two weeks and five patients had a dosage increase (from 50 to 100</w:t>
      </w:r>
      <w:r w:rsidR="004F0998" w:rsidRPr="004F0998">
        <w:rPr>
          <w:rFonts w:ascii="Book Antiqua" w:hAnsi="Book Antiqua" w:hint="eastAsia"/>
          <w:color w:val="auto"/>
          <w:lang w:val="en-US" w:eastAsia="zh-CN"/>
        </w:rPr>
        <w:t xml:space="preserve"> </w:t>
      </w:r>
      <w:r w:rsidR="00A7777F" w:rsidRPr="004F0998">
        <w:rPr>
          <w:rFonts w:ascii="Book Antiqua" w:hAnsi="Book Antiqua"/>
          <w:color w:val="auto"/>
          <w:lang w:val="en-US"/>
        </w:rPr>
        <w:t xml:space="preserve">mg, every four weeks). Three of the nine intensified patients were anti-TNF naïve, and six had not responded to previous anti-TNF. Seven reached remission; only one of the three naïve and one of the previous non-responders did not reach remission. </w:t>
      </w:r>
    </w:p>
    <w:p w:rsidR="00D41E1B" w:rsidRPr="004F0998" w:rsidRDefault="00A7777F" w:rsidP="00E729BA">
      <w:pPr>
        <w:pStyle w:val="NormalWeb"/>
        <w:spacing w:beforeAutospacing="0" w:after="0" w:afterAutospacing="0" w:line="360" w:lineRule="auto"/>
        <w:ind w:firstLineChars="150" w:firstLine="360"/>
        <w:jc w:val="both"/>
        <w:rPr>
          <w:rFonts w:ascii="Book Antiqua" w:hAnsi="Book Antiqua"/>
          <w:color w:val="auto"/>
          <w:lang w:val="en-US"/>
        </w:rPr>
      </w:pPr>
      <w:r w:rsidRPr="004F0998">
        <w:rPr>
          <w:rFonts w:ascii="Book Antiqua" w:hAnsi="Book Antiqua"/>
          <w:color w:val="auto"/>
          <w:lang w:val="en-US"/>
        </w:rPr>
        <w:t>Three</w:t>
      </w:r>
      <w:r w:rsidR="00D41E1B" w:rsidRPr="004F0998">
        <w:rPr>
          <w:rFonts w:ascii="Book Antiqua" w:hAnsi="Book Antiqua"/>
          <w:color w:val="auto"/>
          <w:lang w:val="en-US"/>
        </w:rPr>
        <w:t xml:space="preserve"> AEs were observed during the study, which were thought to be related to the </w:t>
      </w:r>
      <w:r w:rsidR="00367F0F" w:rsidRPr="004F0998">
        <w:rPr>
          <w:rFonts w:ascii="Book Antiqua" w:hAnsi="Book Antiqua"/>
          <w:color w:val="auto"/>
          <w:lang w:val="en-US"/>
        </w:rPr>
        <w:t>g</w:t>
      </w:r>
      <w:r w:rsidR="001E796F" w:rsidRPr="004F0998">
        <w:rPr>
          <w:rFonts w:ascii="Book Antiqua" w:hAnsi="Book Antiqua"/>
          <w:color w:val="auto"/>
          <w:lang w:val="en-US"/>
        </w:rPr>
        <w:t>olimumab</w:t>
      </w:r>
      <w:r w:rsidR="00D41E1B" w:rsidRPr="004F0998">
        <w:rPr>
          <w:rFonts w:ascii="Book Antiqua" w:hAnsi="Book Antiqua"/>
          <w:color w:val="auto"/>
          <w:lang w:val="en-US"/>
        </w:rPr>
        <w:t>: 2 patients had urine infection and one had nausea when the drug was administered. The</w:t>
      </w:r>
      <w:r w:rsidR="008F1610" w:rsidRPr="004F0998">
        <w:rPr>
          <w:rFonts w:ascii="Book Antiqua" w:hAnsi="Book Antiqua"/>
          <w:color w:val="auto"/>
          <w:lang w:val="en-US"/>
        </w:rPr>
        <w:t xml:space="preserve"> AEs</w:t>
      </w:r>
      <w:r w:rsidR="00D41E1B" w:rsidRPr="004F0998">
        <w:rPr>
          <w:rFonts w:ascii="Book Antiqua" w:hAnsi="Book Antiqua"/>
          <w:color w:val="auto"/>
          <w:lang w:val="en-US"/>
        </w:rPr>
        <w:t xml:space="preserve"> were all considered mild and </w:t>
      </w:r>
      <w:r w:rsidR="00367F0F" w:rsidRPr="004F0998">
        <w:rPr>
          <w:rFonts w:ascii="Book Antiqua" w:hAnsi="Book Antiqua"/>
          <w:color w:val="auto"/>
          <w:lang w:val="en-US"/>
        </w:rPr>
        <w:t>g</w:t>
      </w:r>
      <w:r w:rsidR="001E796F" w:rsidRPr="004F0998">
        <w:rPr>
          <w:rFonts w:ascii="Book Antiqua" w:hAnsi="Book Antiqua"/>
          <w:color w:val="auto"/>
          <w:lang w:val="en-US"/>
        </w:rPr>
        <w:t>olimumab</w:t>
      </w:r>
      <w:r w:rsidR="00D41E1B" w:rsidRPr="004F0998">
        <w:rPr>
          <w:rFonts w:ascii="Book Antiqua" w:hAnsi="Book Antiqua"/>
          <w:color w:val="auto"/>
          <w:lang w:val="en-US"/>
        </w:rPr>
        <w:t xml:space="preserve"> was not interrup</w:t>
      </w:r>
      <w:r w:rsidR="008F1610" w:rsidRPr="004F0998">
        <w:rPr>
          <w:rFonts w:ascii="Book Antiqua" w:hAnsi="Book Antiqua"/>
          <w:color w:val="auto"/>
          <w:lang w:val="en-US"/>
        </w:rPr>
        <w:t>t</w:t>
      </w:r>
      <w:r w:rsidR="00D41E1B" w:rsidRPr="004F0998">
        <w:rPr>
          <w:rFonts w:ascii="Book Antiqua" w:hAnsi="Book Antiqua"/>
          <w:color w:val="auto"/>
          <w:lang w:val="en-US"/>
        </w:rPr>
        <w:t xml:space="preserve">ed. </w:t>
      </w:r>
    </w:p>
    <w:p w:rsidR="00EB4BCE" w:rsidRPr="004F0998" w:rsidRDefault="00EB4BCE" w:rsidP="00E729BA">
      <w:pPr>
        <w:spacing w:after="0" w:line="360" w:lineRule="auto"/>
        <w:jc w:val="both"/>
        <w:rPr>
          <w:rFonts w:ascii="Book Antiqua" w:hAnsi="Book Antiqua" w:cs="Times New Roman"/>
          <w:color w:val="auto"/>
          <w:sz w:val="24"/>
          <w:szCs w:val="24"/>
        </w:rPr>
      </w:pPr>
    </w:p>
    <w:p w:rsidR="00EB4BCE" w:rsidRPr="004F0998" w:rsidRDefault="00A7777F" w:rsidP="00E729BA">
      <w:pPr>
        <w:pStyle w:val="Bibliografia"/>
        <w:spacing w:line="360" w:lineRule="auto"/>
        <w:rPr>
          <w:rFonts w:ascii="Book Antiqua" w:eastAsia="Arial Unicode MS" w:hAnsi="Book Antiqua" w:cs="Times New Roman"/>
          <w:b/>
          <w:color w:val="auto"/>
          <w:lang w:val="it-IT"/>
        </w:rPr>
      </w:pPr>
      <w:r w:rsidRPr="004F0998">
        <w:rPr>
          <w:rFonts w:ascii="Book Antiqua" w:eastAsia="Arial Unicode MS" w:hAnsi="Book Antiqua" w:cs="Times New Roman"/>
          <w:b/>
          <w:color w:val="auto"/>
          <w:lang w:val="it-IT"/>
        </w:rPr>
        <w:t>DISCUSSION</w:t>
      </w:r>
    </w:p>
    <w:p w:rsidR="00EB4BCE" w:rsidRPr="004F0998" w:rsidRDefault="001E796F" w:rsidP="00E729BA">
      <w:pPr>
        <w:pStyle w:val="NormalWeb"/>
        <w:spacing w:beforeAutospacing="0" w:after="0" w:afterAutospacing="0" w:line="360" w:lineRule="auto"/>
        <w:jc w:val="both"/>
        <w:rPr>
          <w:rFonts w:ascii="Book Antiqua" w:hAnsi="Book Antiqua"/>
          <w:color w:val="auto"/>
          <w:lang w:val="en-US"/>
        </w:rPr>
      </w:pPr>
      <w:r w:rsidRPr="004F0998">
        <w:rPr>
          <w:rFonts w:ascii="Book Antiqua" w:hAnsi="Book Antiqua"/>
          <w:color w:val="auto"/>
          <w:lang w:val="en-US"/>
        </w:rPr>
        <w:t>Golimumab</w:t>
      </w:r>
      <w:r w:rsidR="008F1610" w:rsidRPr="004F0998">
        <w:rPr>
          <w:rFonts w:ascii="Book Antiqua" w:hAnsi="Book Antiqua"/>
          <w:color w:val="auto"/>
          <w:lang w:val="en-US"/>
        </w:rPr>
        <w:t xml:space="preserve"> was accepted in Spain</w:t>
      </w:r>
      <w:r w:rsidR="00A7777F" w:rsidRPr="004F0998">
        <w:rPr>
          <w:rFonts w:ascii="Book Antiqua" w:hAnsi="Book Antiqua"/>
          <w:color w:val="auto"/>
          <w:lang w:val="en-US"/>
        </w:rPr>
        <w:t xml:space="preserve"> as first-line biological trea</w:t>
      </w:r>
      <w:r w:rsidR="00180C0F" w:rsidRPr="004F0998">
        <w:rPr>
          <w:rFonts w:ascii="Book Antiqua" w:hAnsi="Book Antiqua"/>
          <w:color w:val="auto"/>
          <w:lang w:val="en-US"/>
        </w:rPr>
        <w:t xml:space="preserve">tment for moderate or </w:t>
      </w:r>
      <w:r w:rsidR="008F1610" w:rsidRPr="004F0998">
        <w:rPr>
          <w:rFonts w:ascii="Book Antiqua" w:hAnsi="Book Antiqua"/>
          <w:color w:val="auto"/>
          <w:lang w:val="en-US"/>
        </w:rPr>
        <w:t>severe UC</w:t>
      </w:r>
      <w:r w:rsidR="00A7777F" w:rsidRPr="004F0998">
        <w:rPr>
          <w:rFonts w:ascii="Book Antiqua" w:hAnsi="Book Antiqua"/>
          <w:color w:val="auto"/>
          <w:lang w:val="en-US"/>
        </w:rPr>
        <w:t xml:space="preserve"> only two years ago. Scientific evidence of its e</w:t>
      </w:r>
      <w:r w:rsidR="00E56A6B" w:rsidRPr="004F0998">
        <w:rPr>
          <w:rFonts w:ascii="Book Antiqua" w:hAnsi="Book Antiqua"/>
          <w:color w:val="auto"/>
          <w:lang w:val="en-US"/>
        </w:rPr>
        <w:t xml:space="preserve">fficacy was first obtained with </w:t>
      </w:r>
      <w:r w:rsidR="00A7777F" w:rsidRPr="004F0998">
        <w:rPr>
          <w:rFonts w:ascii="Book Antiqua" w:hAnsi="Book Antiqua"/>
          <w:color w:val="auto"/>
          <w:lang w:val="en-US"/>
        </w:rPr>
        <w:t>the PURSUIT studies (published in 2014). The induction study (PURSUIT-Induction</w:t>
      </w:r>
      <w:r w:rsidR="005E7F3A" w:rsidRPr="004F0998">
        <w:rPr>
          <w:rFonts w:ascii="Book Antiqua" w:hAnsi="Book Antiqua"/>
          <w:color w:val="auto"/>
          <w:lang w:val="en-US"/>
        </w:rPr>
        <w:t>)</w:t>
      </w:r>
      <w:r w:rsidR="00BB6FCB" w:rsidRPr="004F0998">
        <w:rPr>
          <w:rFonts w:ascii="Book Antiqua" w:hAnsi="Book Antiqua"/>
          <w:color w:val="auto"/>
          <w:vertAlign w:val="superscript"/>
          <w:lang w:val="en-US"/>
        </w:rPr>
        <w:t>[13]</w:t>
      </w:r>
      <w:r w:rsidR="00A7777F" w:rsidRPr="004F0998">
        <w:rPr>
          <w:rFonts w:ascii="Book Antiqua" w:hAnsi="Book Antiqua"/>
          <w:color w:val="auto"/>
          <w:lang w:val="en-US"/>
        </w:rPr>
        <w:t xml:space="preserve"> evaluated moderate</w:t>
      </w:r>
      <w:r w:rsidR="009B132B" w:rsidRPr="004F0998">
        <w:rPr>
          <w:rFonts w:ascii="Book Antiqua" w:hAnsi="Book Antiqua"/>
          <w:color w:val="auto"/>
          <w:lang w:val="en-US"/>
        </w:rPr>
        <w:t>-</w:t>
      </w:r>
      <w:r w:rsidR="00A7777F" w:rsidRPr="004F0998">
        <w:rPr>
          <w:rFonts w:ascii="Book Antiqua" w:hAnsi="Book Antiqua"/>
          <w:color w:val="auto"/>
          <w:lang w:val="en-US"/>
        </w:rPr>
        <w:t>to</w:t>
      </w:r>
      <w:r w:rsidR="009B132B" w:rsidRPr="004F0998">
        <w:rPr>
          <w:rFonts w:ascii="Book Antiqua" w:hAnsi="Book Antiqua"/>
          <w:color w:val="auto"/>
          <w:lang w:val="en-US"/>
        </w:rPr>
        <w:t>-</w:t>
      </w:r>
      <w:r w:rsidR="00A7777F" w:rsidRPr="004F0998">
        <w:rPr>
          <w:rFonts w:ascii="Book Antiqua" w:hAnsi="Book Antiqua"/>
          <w:color w:val="auto"/>
          <w:lang w:val="en-US"/>
        </w:rPr>
        <w:t xml:space="preserve">severe UC anti-TNF naïve. This study determined </w:t>
      </w:r>
      <w:r w:rsidR="008055F5" w:rsidRPr="004F0998">
        <w:rPr>
          <w:rFonts w:ascii="Book Antiqua" w:hAnsi="Book Antiqua"/>
          <w:color w:val="auto"/>
          <w:lang w:val="en-US"/>
        </w:rPr>
        <w:t>g</w:t>
      </w:r>
      <w:r w:rsidRPr="004F0998">
        <w:rPr>
          <w:rFonts w:ascii="Book Antiqua" w:hAnsi="Book Antiqua"/>
          <w:color w:val="auto"/>
          <w:lang w:val="en-US"/>
        </w:rPr>
        <w:t>olimumab</w:t>
      </w:r>
      <w:r w:rsidR="00A7777F" w:rsidRPr="004F0998">
        <w:rPr>
          <w:rFonts w:ascii="Book Antiqua" w:hAnsi="Book Antiqua"/>
          <w:color w:val="auto"/>
          <w:lang w:val="en-US"/>
        </w:rPr>
        <w:t xml:space="preserve"> efficacy until week 6, with clinical response at week 6 as the primary objective. </w:t>
      </w:r>
      <w:r w:rsidR="00E56A6B" w:rsidRPr="004F0998">
        <w:rPr>
          <w:rFonts w:ascii="Book Antiqua" w:hAnsi="Book Antiqua"/>
          <w:color w:val="auto"/>
          <w:lang w:val="en-US"/>
        </w:rPr>
        <w:t>Fifty-</w:t>
      </w:r>
      <w:r w:rsidR="009B132B" w:rsidRPr="004F0998">
        <w:rPr>
          <w:rFonts w:ascii="Book Antiqua" w:hAnsi="Book Antiqua"/>
          <w:color w:val="auto"/>
          <w:lang w:val="en-US"/>
        </w:rPr>
        <w:t>one per cent</w:t>
      </w:r>
      <w:r w:rsidR="00A7777F" w:rsidRPr="004F0998">
        <w:rPr>
          <w:rFonts w:ascii="Book Antiqua" w:hAnsi="Book Antiqua"/>
          <w:color w:val="auto"/>
          <w:lang w:val="en-US"/>
        </w:rPr>
        <w:t xml:space="preserve"> of the patients that received 200/100mg </w:t>
      </w:r>
      <w:r w:rsidRPr="004F0998">
        <w:rPr>
          <w:rFonts w:ascii="Book Antiqua" w:hAnsi="Book Antiqua"/>
          <w:color w:val="auto"/>
          <w:lang w:val="en-US"/>
        </w:rPr>
        <w:t>golimumab</w:t>
      </w:r>
      <w:r w:rsidR="00A7777F" w:rsidRPr="004F0998">
        <w:rPr>
          <w:rFonts w:ascii="Book Antiqua" w:hAnsi="Book Antiqua"/>
          <w:color w:val="auto"/>
          <w:lang w:val="en-US"/>
        </w:rPr>
        <w:t xml:space="preserve"> and 30.3% of those treated with placebo had clinical response </w:t>
      </w:r>
      <w:r w:rsidR="009B132B" w:rsidRPr="004F0998">
        <w:rPr>
          <w:rFonts w:ascii="Book Antiqua" w:hAnsi="Book Antiqua"/>
          <w:color w:val="auto"/>
          <w:lang w:val="en-US"/>
        </w:rPr>
        <w:t>at</w:t>
      </w:r>
      <w:r w:rsidR="00A7777F" w:rsidRPr="004F0998">
        <w:rPr>
          <w:rFonts w:ascii="Book Antiqua" w:hAnsi="Book Antiqua"/>
          <w:color w:val="auto"/>
          <w:lang w:val="en-US"/>
        </w:rPr>
        <w:t xml:space="preserve"> week 6 (</w:t>
      </w:r>
      <w:r w:rsidR="004F0998" w:rsidRPr="004F0998">
        <w:rPr>
          <w:rFonts w:ascii="Book Antiqua" w:hAnsi="Book Antiqua"/>
          <w:i/>
          <w:color w:val="auto"/>
          <w:lang w:val="en-US"/>
        </w:rPr>
        <w:t>P</w:t>
      </w:r>
      <w:r w:rsidR="004F0998" w:rsidRPr="004F0998">
        <w:rPr>
          <w:rFonts w:ascii="Book Antiqua" w:hAnsi="Book Antiqua" w:hint="eastAsia"/>
          <w:color w:val="auto"/>
          <w:lang w:val="en-US" w:eastAsia="zh-CN"/>
        </w:rPr>
        <w:t xml:space="preserve"> </w:t>
      </w:r>
      <w:r w:rsidR="00A7777F" w:rsidRPr="004F0998">
        <w:rPr>
          <w:rFonts w:ascii="Book Antiqua" w:hAnsi="Book Antiqua"/>
          <w:color w:val="auto"/>
          <w:lang w:val="en-US"/>
        </w:rPr>
        <w:t>&lt;</w:t>
      </w:r>
      <w:r w:rsidR="004F0998" w:rsidRPr="004F0998">
        <w:rPr>
          <w:rFonts w:ascii="Book Antiqua" w:hAnsi="Book Antiqua" w:hint="eastAsia"/>
          <w:color w:val="auto"/>
          <w:lang w:val="en-US" w:eastAsia="zh-CN"/>
        </w:rPr>
        <w:t xml:space="preserve"> </w:t>
      </w:r>
      <w:r w:rsidR="00A7777F" w:rsidRPr="004F0998">
        <w:rPr>
          <w:rFonts w:ascii="Book Antiqua" w:hAnsi="Book Antiqua"/>
          <w:color w:val="auto"/>
          <w:lang w:val="en-US"/>
        </w:rPr>
        <w:t xml:space="preserve">0.001). </w:t>
      </w:r>
      <w:r w:rsidR="009B132B" w:rsidRPr="004F0998">
        <w:rPr>
          <w:rFonts w:ascii="Book Antiqua" w:hAnsi="Book Antiqua"/>
          <w:color w:val="auto"/>
          <w:lang w:val="en-US"/>
        </w:rPr>
        <w:t xml:space="preserve">In </w:t>
      </w:r>
      <w:r w:rsidR="00A7777F" w:rsidRPr="004F0998">
        <w:rPr>
          <w:rFonts w:ascii="Book Antiqua" w:hAnsi="Book Antiqua"/>
          <w:color w:val="auto"/>
          <w:lang w:val="en-US"/>
        </w:rPr>
        <w:t xml:space="preserve">the </w:t>
      </w:r>
      <w:r w:rsidRPr="004F0998">
        <w:rPr>
          <w:rFonts w:ascii="Book Antiqua" w:hAnsi="Book Antiqua"/>
          <w:color w:val="auto"/>
          <w:lang w:val="en-US"/>
        </w:rPr>
        <w:t>golimumab</w:t>
      </w:r>
      <w:r w:rsidR="00A7777F" w:rsidRPr="004F0998">
        <w:rPr>
          <w:rFonts w:ascii="Book Antiqua" w:hAnsi="Book Antiqua"/>
          <w:color w:val="auto"/>
          <w:lang w:val="en-US"/>
        </w:rPr>
        <w:t xml:space="preserve"> group 17.8% obtained clinical remission</w:t>
      </w:r>
      <w:r w:rsidR="009B132B" w:rsidRPr="004F0998">
        <w:rPr>
          <w:rFonts w:ascii="Book Antiqua" w:hAnsi="Book Antiqua"/>
          <w:color w:val="auto"/>
          <w:lang w:val="en-US"/>
        </w:rPr>
        <w:t>,</w:t>
      </w:r>
      <w:r w:rsidR="00A7777F" w:rsidRPr="004F0998">
        <w:rPr>
          <w:rFonts w:ascii="Book Antiqua" w:hAnsi="Book Antiqua"/>
          <w:color w:val="auto"/>
          <w:lang w:val="en-US"/>
        </w:rPr>
        <w:t xml:space="preserve"> whereas only 6.4% of the placebo patients </w:t>
      </w:r>
      <w:r w:rsidR="009B132B" w:rsidRPr="004F0998">
        <w:rPr>
          <w:rFonts w:ascii="Book Antiqua" w:hAnsi="Book Antiqua"/>
          <w:color w:val="auto"/>
          <w:lang w:val="en-US"/>
        </w:rPr>
        <w:t xml:space="preserve">did </w:t>
      </w:r>
      <w:r w:rsidR="00A7777F" w:rsidRPr="004F0998">
        <w:rPr>
          <w:rFonts w:ascii="Book Antiqua" w:hAnsi="Book Antiqua"/>
          <w:color w:val="auto"/>
          <w:lang w:val="en-US"/>
        </w:rPr>
        <w:t>(</w:t>
      </w:r>
      <w:r w:rsidR="004F0998" w:rsidRPr="004F0998">
        <w:rPr>
          <w:rFonts w:ascii="Book Antiqua" w:hAnsi="Book Antiqua"/>
          <w:i/>
          <w:color w:val="auto"/>
          <w:lang w:val="en-US"/>
        </w:rPr>
        <w:t>P</w:t>
      </w:r>
      <w:r w:rsidR="004F0998" w:rsidRPr="004F0998">
        <w:rPr>
          <w:rFonts w:ascii="Book Antiqua" w:hAnsi="Book Antiqua" w:hint="eastAsia"/>
          <w:color w:val="auto"/>
          <w:lang w:val="en-US" w:eastAsia="zh-CN"/>
        </w:rPr>
        <w:t xml:space="preserve"> </w:t>
      </w:r>
      <w:r w:rsidR="00A7777F" w:rsidRPr="004F0998">
        <w:rPr>
          <w:rFonts w:ascii="Book Antiqua" w:hAnsi="Book Antiqua"/>
          <w:color w:val="auto"/>
          <w:lang w:val="en-US"/>
        </w:rPr>
        <w:t>&lt;</w:t>
      </w:r>
      <w:r w:rsidR="004F0998" w:rsidRPr="004F0998">
        <w:rPr>
          <w:rFonts w:ascii="Book Antiqua" w:hAnsi="Book Antiqua" w:hint="eastAsia"/>
          <w:color w:val="auto"/>
          <w:lang w:val="en-US" w:eastAsia="zh-CN"/>
        </w:rPr>
        <w:t xml:space="preserve"> </w:t>
      </w:r>
      <w:r w:rsidR="00A7777F" w:rsidRPr="004F0998">
        <w:rPr>
          <w:rFonts w:ascii="Book Antiqua" w:hAnsi="Book Antiqua"/>
          <w:color w:val="auto"/>
          <w:lang w:val="en-US"/>
        </w:rPr>
        <w:t>0.001).</w:t>
      </w:r>
    </w:p>
    <w:p w:rsidR="0028002F" w:rsidRPr="004F0998" w:rsidRDefault="00A7777F" w:rsidP="00E729BA">
      <w:pPr>
        <w:spacing w:after="0" w:line="360" w:lineRule="auto"/>
        <w:ind w:firstLineChars="150" w:firstLine="360"/>
        <w:jc w:val="both"/>
        <w:rPr>
          <w:rFonts w:ascii="Book Antiqua" w:hAnsi="Book Antiqua" w:cs="Times New Roman"/>
          <w:color w:val="auto"/>
          <w:sz w:val="24"/>
          <w:szCs w:val="24"/>
        </w:rPr>
      </w:pPr>
      <w:r w:rsidRPr="004F0998">
        <w:rPr>
          <w:rFonts w:ascii="Book Antiqua" w:hAnsi="Book Antiqua"/>
          <w:color w:val="auto"/>
          <w:sz w:val="24"/>
          <w:szCs w:val="24"/>
        </w:rPr>
        <w:lastRenderedPageBreak/>
        <w:t>The second PURSUIT study (PURSUIT-maint</w:t>
      </w:r>
      <w:r w:rsidR="009B132B" w:rsidRPr="004F0998">
        <w:rPr>
          <w:rFonts w:ascii="Book Antiqua" w:hAnsi="Book Antiqua"/>
          <w:color w:val="auto"/>
          <w:sz w:val="24"/>
          <w:szCs w:val="24"/>
        </w:rPr>
        <w:t>e</w:t>
      </w:r>
      <w:r w:rsidRPr="004F0998">
        <w:rPr>
          <w:rFonts w:ascii="Book Antiqua" w:hAnsi="Book Antiqua"/>
          <w:color w:val="auto"/>
          <w:sz w:val="24"/>
          <w:szCs w:val="24"/>
        </w:rPr>
        <w:t>nance)</w:t>
      </w:r>
      <w:r w:rsidR="00BB6FCB" w:rsidRPr="004F0998">
        <w:rPr>
          <w:rFonts w:ascii="Book Antiqua" w:hAnsi="Book Antiqua" w:cs="Times New Roman"/>
          <w:color w:val="auto"/>
          <w:sz w:val="24"/>
          <w:szCs w:val="24"/>
          <w:vertAlign w:val="superscript"/>
        </w:rPr>
        <w:t>[14]</w:t>
      </w:r>
      <w:r w:rsidRPr="004F0998">
        <w:rPr>
          <w:rFonts w:ascii="Book Antiqua" w:hAnsi="Book Antiqua"/>
          <w:color w:val="auto"/>
          <w:sz w:val="24"/>
          <w:szCs w:val="24"/>
        </w:rPr>
        <w:t xml:space="preserve"> evaluated 456 patients that had responded in the previous </w:t>
      </w:r>
      <w:r w:rsidR="001E796F" w:rsidRPr="004F0998">
        <w:rPr>
          <w:rFonts w:ascii="Book Antiqua" w:hAnsi="Book Antiqua"/>
          <w:color w:val="auto"/>
          <w:sz w:val="24"/>
          <w:szCs w:val="24"/>
        </w:rPr>
        <w:t>golimumab</w:t>
      </w:r>
      <w:r w:rsidRPr="004F0998">
        <w:rPr>
          <w:rFonts w:ascii="Book Antiqua" w:hAnsi="Book Antiqua"/>
          <w:color w:val="auto"/>
          <w:sz w:val="24"/>
          <w:szCs w:val="24"/>
        </w:rPr>
        <w:t xml:space="preserve"> induction study. The primary objective was maint</w:t>
      </w:r>
      <w:r w:rsidR="009B132B" w:rsidRPr="004F0998">
        <w:rPr>
          <w:rFonts w:ascii="Book Antiqua" w:hAnsi="Book Antiqua"/>
          <w:color w:val="auto"/>
          <w:sz w:val="24"/>
          <w:szCs w:val="24"/>
        </w:rPr>
        <w:t>e</w:t>
      </w:r>
      <w:r w:rsidRPr="004F0998">
        <w:rPr>
          <w:rFonts w:ascii="Book Antiqua" w:hAnsi="Book Antiqua"/>
          <w:color w:val="auto"/>
          <w:sz w:val="24"/>
          <w:szCs w:val="24"/>
        </w:rPr>
        <w:t xml:space="preserve">nance of clinical response through week 54. </w:t>
      </w:r>
      <w:r w:rsidR="004C59D0" w:rsidRPr="004F0998">
        <w:rPr>
          <w:rFonts w:ascii="Book Antiqua" w:hAnsi="Book Antiqua"/>
          <w:color w:val="auto"/>
          <w:sz w:val="24"/>
          <w:szCs w:val="24"/>
        </w:rPr>
        <w:t xml:space="preserve">There was clinical response in </w:t>
      </w:r>
      <w:r w:rsidRPr="004F0998">
        <w:rPr>
          <w:rFonts w:ascii="Book Antiqua" w:hAnsi="Book Antiqua"/>
          <w:color w:val="auto"/>
          <w:sz w:val="24"/>
          <w:szCs w:val="24"/>
        </w:rPr>
        <w:t xml:space="preserve">47% of the patients who received 50mg of </w:t>
      </w:r>
      <w:r w:rsidR="001E796F" w:rsidRPr="004F0998">
        <w:rPr>
          <w:rFonts w:ascii="Book Antiqua" w:hAnsi="Book Antiqua"/>
          <w:color w:val="auto"/>
          <w:sz w:val="24"/>
          <w:szCs w:val="24"/>
        </w:rPr>
        <w:t>golimumab</w:t>
      </w:r>
      <w:r w:rsidRPr="004F0998">
        <w:rPr>
          <w:rFonts w:ascii="Book Antiqua" w:hAnsi="Book Antiqua"/>
          <w:color w:val="auto"/>
          <w:sz w:val="24"/>
          <w:szCs w:val="24"/>
        </w:rPr>
        <w:t xml:space="preserve"> every four weeks, 49.7% of those who had 100mg/every four weeks and 31.2% of th</w:t>
      </w:r>
      <w:r w:rsidR="009B132B" w:rsidRPr="004F0998">
        <w:rPr>
          <w:rFonts w:ascii="Book Antiqua" w:hAnsi="Book Antiqua"/>
          <w:color w:val="auto"/>
          <w:sz w:val="24"/>
          <w:szCs w:val="24"/>
        </w:rPr>
        <w:t>ose</w:t>
      </w:r>
      <w:r w:rsidRPr="004F0998">
        <w:rPr>
          <w:rFonts w:ascii="Book Antiqua" w:hAnsi="Book Antiqua"/>
          <w:color w:val="auto"/>
          <w:sz w:val="24"/>
          <w:szCs w:val="24"/>
        </w:rPr>
        <w:t xml:space="preserve"> given placebo, with significant differences between the </w:t>
      </w:r>
      <w:r w:rsidR="001E796F" w:rsidRPr="004F0998">
        <w:rPr>
          <w:rFonts w:ascii="Book Antiqua" w:hAnsi="Book Antiqua"/>
          <w:color w:val="auto"/>
          <w:sz w:val="24"/>
          <w:szCs w:val="24"/>
        </w:rPr>
        <w:t>golimumab</w:t>
      </w:r>
      <w:r w:rsidRPr="004F0998">
        <w:rPr>
          <w:rFonts w:ascii="Book Antiqua" w:hAnsi="Book Antiqua"/>
          <w:color w:val="auto"/>
          <w:sz w:val="24"/>
          <w:szCs w:val="24"/>
        </w:rPr>
        <w:t xml:space="preserve"> patients and the placebo group (50</w:t>
      </w:r>
      <w:r w:rsidR="004F0998" w:rsidRPr="004F0998">
        <w:rPr>
          <w:rFonts w:ascii="Book Antiqua" w:hAnsi="Book Antiqua" w:hint="eastAsia"/>
          <w:color w:val="auto"/>
          <w:sz w:val="24"/>
          <w:szCs w:val="24"/>
          <w:lang w:eastAsia="zh-CN"/>
        </w:rPr>
        <w:t xml:space="preserve"> </w:t>
      </w:r>
      <w:r w:rsidRPr="004F0998">
        <w:rPr>
          <w:rFonts w:ascii="Book Antiqua" w:hAnsi="Book Antiqua"/>
          <w:color w:val="auto"/>
          <w:sz w:val="24"/>
          <w:szCs w:val="24"/>
        </w:rPr>
        <w:t xml:space="preserve">mg </w:t>
      </w:r>
      <w:r w:rsidR="001E796F" w:rsidRPr="004F0998">
        <w:rPr>
          <w:rFonts w:ascii="Book Antiqua" w:hAnsi="Book Antiqua"/>
          <w:color w:val="auto"/>
          <w:sz w:val="24"/>
          <w:szCs w:val="24"/>
        </w:rPr>
        <w:t>golimumab</w:t>
      </w:r>
      <w:r w:rsidRPr="004F0998">
        <w:rPr>
          <w:rFonts w:ascii="Book Antiqua" w:hAnsi="Book Antiqua"/>
          <w:color w:val="auto"/>
          <w:sz w:val="24"/>
          <w:szCs w:val="24"/>
        </w:rPr>
        <w:t xml:space="preserve"> </w:t>
      </w:r>
      <w:r w:rsidRPr="004F0998">
        <w:rPr>
          <w:rFonts w:ascii="Book Antiqua" w:hAnsi="Book Antiqua"/>
          <w:i/>
          <w:color w:val="auto"/>
          <w:sz w:val="24"/>
          <w:szCs w:val="24"/>
        </w:rPr>
        <w:t>vs</w:t>
      </w:r>
      <w:r w:rsidRPr="004F0998">
        <w:rPr>
          <w:rFonts w:ascii="Book Antiqua" w:hAnsi="Book Antiqua"/>
          <w:color w:val="auto"/>
          <w:sz w:val="24"/>
          <w:szCs w:val="24"/>
        </w:rPr>
        <w:t xml:space="preserve"> placebo: </w:t>
      </w:r>
      <w:r w:rsidR="004F0998" w:rsidRPr="004F0998">
        <w:rPr>
          <w:rFonts w:ascii="Book Antiqua" w:hAnsi="Book Antiqua"/>
          <w:i/>
          <w:color w:val="auto"/>
        </w:rPr>
        <w:t>P</w:t>
      </w:r>
      <w:r w:rsidR="004F0998" w:rsidRPr="004F0998">
        <w:rPr>
          <w:rFonts w:ascii="Book Antiqua" w:hAnsi="Book Antiqua" w:hint="eastAsia"/>
          <w:color w:val="auto"/>
          <w:lang w:eastAsia="zh-CN"/>
        </w:rPr>
        <w:t xml:space="preserve"> </w:t>
      </w:r>
      <w:r w:rsidRPr="004F0998">
        <w:rPr>
          <w:rFonts w:ascii="Book Antiqua" w:hAnsi="Book Antiqua"/>
          <w:color w:val="auto"/>
          <w:sz w:val="24"/>
          <w:szCs w:val="24"/>
        </w:rPr>
        <w:t>&lt;</w:t>
      </w:r>
      <w:r w:rsidR="004F0998" w:rsidRPr="004F0998">
        <w:rPr>
          <w:rFonts w:ascii="Book Antiqua" w:hAnsi="Book Antiqua" w:hint="eastAsia"/>
          <w:color w:val="auto"/>
          <w:sz w:val="24"/>
          <w:szCs w:val="24"/>
          <w:lang w:eastAsia="zh-CN"/>
        </w:rPr>
        <w:t xml:space="preserve"> </w:t>
      </w:r>
      <w:r w:rsidRPr="004F0998">
        <w:rPr>
          <w:rFonts w:ascii="Book Antiqua" w:hAnsi="Book Antiqua"/>
          <w:color w:val="auto"/>
          <w:sz w:val="24"/>
          <w:szCs w:val="24"/>
        </w:rPr>
        <w:t>0.01, and 100</w:t>
      </w:r>
      <w:r w:rsidR="004F0998" w:rsidRPr="004F0998">
        <w:rPr>
          <w:rFonts w:ascii="Book Antiqua" w:hAnsi="Book Antiqua" w:hint="eastAsia"/>
          <w:color w:val="auto"/>
          <w:sz w:val="24"/>
          <w:szCs w:val="24"/>
          <w:lang w:eastAsia="zh-CN"/>
        </w:rPr>
        <w:t xml:space="preserve"> </w:t>
      </w:r>
      <w:r w:rsidRPr="004F0998">
        <w:rPr>
          <w:rFonts w:ascii="Book Antiqua" w:hAnsi="Book Antiqua"/>
          <w:color w:val="auto"/>
          <w:sz w:val="24"/>
          <w:szCs w:val="24"/>
        </w:rPr>
        <w:t xml:space="preserve">mg </w:t>
      </w:r>
      <w:r w:rsidRPr="004F0998">
        <w:rPr>
          <w:rFonts w:ascii="Book Antiqua" w:hAnsi="Book Antiqua"/>
          <w:i/>
          <w:color w:val="auto"/>
          <w:sz w:val="24"/>
          <w:szCs w:val="24"/>
        </w:rPr>
        <w:t>vs</w:t>
      </w:r>
      <w:r w:rsidRPr="004F0998">
        <w:rPr>
          <w:rFonts w:ascii="Book Antiqua" w:hAnsi="Book Antiqua"/>
          <w:color w:val="auto"/>
          <w:sz w:val="24"/>
          <w:szCs w:val="24"/>
        </w:rPr>
        <w:t xml:space="preserve"> placebo: </w:t>
      </w:r>
      <w:r w:rsidR="004F0998" w:rsidRPr="004F0998">
        <w:rPr>
          <w:rFonts w:ascii="Book Antiqua" w:hAnsi="Book Antiqua"/>
          <w:i/>
          <w:color w:val="auto"/>
        </w:rPr>
        <w:t>P</w:t>
      </w:r>
      <w:r w:rsidR="004F0998" w:rsidRPr="004F0998">
        <w:rPr>
          <w:rFonts w:ascii="Book Antiqua" w:hAnsi="Book Antiqua" w:hint="eastAsia"/>
          <w:color w:val="auto"/>
          <w:sz w:val="24"/>
          <w:szCs w:val="24"/>
          <w:lang w:eastAsia="zh-CN"/>
        </w:rPr>
        <w:t xml:space="preserve"> </w:t>
      </w:r>
      <w:r w:rsidRPr="004F0998">
        <w:rPr>
          <w:rFonts w:ascii="Book Antiqua" w:hAnsi="Book Antiqua"/>
          <w:color w:val="auto"/>
          <w:sz w:val="24"/>
          <w:szCs w:val="24"/>
        </w:rPr>
        <w:t>&lt;</w:t>
      </w:r>
      <w:r w:rsidR="004F0998" w:rsidRPr="004F0998">
        <w:rPr>
          <w:rFonts w:ascii="Book Antiqua" w:hAnsi="Book Antiqua" w:hint="eastAsia"/>
          <w:color w:val="auto"/>
          <w:sz w:val="24"/>
          <w:szCs w:val="24"/>
          <w:lang w:eastAsia="zh-CN"/>
        </w:rPr>
        <w:t xml:space="preserve"> </w:t>
      </w:r>
      <w:r w:rsidRPr="004F0998">
        <w:rPr>
          <w:rFonts w:ascii="Book Antiqua" w:hAnsi="Book Antiqua"/>
          <w:color w:val="auto"/>
          <w:sz w:val="24"/>
          <w:szCs w:val="24"/>
        </w:rPr>
        <w:t xml:space="preserve">0.001).  </w:t>
      </w:r>
      <w:r w:rsidRPr="004F0998">
        <w:rPr>
          <w:rFonts w:ascii="Book Antiqua" w:hAnsi="Book Antiqua" w:cs="Times New Roman"/>
          <w:color w:val="auto"/>
          <w:sz w:val="24"/>
          <w:szCs w:val="24"/>
        </w:rPr>
        <w:t>No differences were found in the amount of severe adv</w:t>
      </w:r>
      <w:r w:rsidR="005612D4" w:rsidRPr="004F0998">
        <w:rPr>
          <w:rFonts w:ascii="Book Antiqua" w:hAnsi="Book Antiqua" w:cs="Times New Roman"/>
          <w:color w:val="auto"/>
          <w:sz w:val="24"/>
          <w:szCs w:val="24"/>
        </w:rPr>
        <w:t>erse events in the three groups.</w:t>
      </w:r>
      <w:r w:rsidRPr="004F0998">
        <w:rPr>
          <w:rFonts w:ascii="Book Antiqua" w:hAnsi="Book Antiqua" w:cs="Times New Roman"/>
          <w:color w:val="auto"/>
          <w:sz w:val="24"/>
          <w:szCs w:val="24"/>
        </w:rPr>
        <w:t xml:space="preserve"> </w:t>
      </w:r>
    </w:p>
    <w:p w:rsidR="00EB4BCE" w:rsidRPr="004F0998" w:rsidRDefault="00A7777F" w:rsidP="00E729BA">
      <w:pPr>
        <w:spacing w:after="0" w:line="360" w:lineRule="auto"/>
        <w:ind w:firstLineChars="150" w:firstLine="360"/>
        <w:jc w:val="both"/>
        <w:rPr>
          <w:rFonts w:ascii="Book Antiqua" w:hAnsi="Book Antiqua" w:cs="Times New Roman"/>
          <w:color w:val="auto"/>
          <w:sz w:val="24"/>
          <w:szCs w:val="24"/>
        </w:rPr>
      </w:pPr>
      <w:r w:rsidRPr="004F0998">
        <w:rPr>
          <w:rFonts w:ascii="Book Antiqua" w:hAnsi="Book Antiqua" w:cs="Times New Roman"/>
          <w:color w:val="auto"/>
          <w:sz w:val="24"/>
          <w:szCs w:val="24"/>
        </w:rPr>
        <w:t xml:space="preserve">When we conducted the study, no studies had been published regarding real-life results with </w:t>
      </w:r>
      <w:r w:rsidR="001E796F" w:rsidRPr="004F0998">
        <w:rPr>
          <w:rFonts w:ascii="Book Antiqua" w:hAnsi="Book Antiqua" w:cs="Times New Roman"/>
          <w:color w:val="auto"/>
          <w:sz w:val="24"/>
          <w:szCs w:val="24"/>
        </w:rPr>
        <w:t>golimumab</w:t>
      </w:r>
      <w:r w:rsidRPr="004F0998">
        <w:rPr>
          <w:rFonts w:ascii="Book Antiqua" w:hAnsi="Book Antiqua" w:cs="Times New Roman"/>
          <w:color w:val="auto"/>
          <w:sz w:val="24"/>
          <w:szCs w:val="24"/>
        </w:rPr>
        <w:t>. Currently, many studies are on-going, some of which have presented their preliminary results at IBD Congresses, and two have been recently published</w:t>
      </w:r>
      <w:r w:rsidR="00BB6FCB" w:rsidRPr="004F0998">
        <w:rPr>
          <w:rFonts w:ascii="Book Antiqua" w:hAnsi="Book Antiqua" w:cs="Times New Roman"/>
          <w:color w:val="auto"/>
          <w:sz w:val="24"/>
          <w:szCs w:val="24"/>
          <w:vertAlign w:val="superscript"/>
        </w:rPr>
        <w:t>[15,16]</w:t>
      </w:r>
      <w:r w:rsidRPr="004F0998">
        <w:rPr>
          <w:rFonts w:ascii="Book Antiqua" w:hAnsi="Book Antiqua" w:cs="Times New Roman"/>
          <w:color w:val="auto"/>
          <w:sz w:val="24"/>
          <w:szCs w:val="24"/>
        </w:rPr>
        <w:t>. Detrez</w:t>
      </w:r>
      <w:r w:rsidRPr="004F0998">
        <w:rPr>
          <w:rFonts w:ascii="Book Antiqua" w:hAnsi="Book Antiqua" w:cs="Times New Roman"/>
          <w:i/>
          <w:color w:val="auto"/>
          <w:sz w:val="24"/>
          <w:szCs w:val="24"/>
        </w:rPr>
        <w:t xml:space="preserve"> et al</w:t>
      </w:r>
      <w:r w:rsidR="002553DA" w:rsidRPr="004F0998">
        <w:rPr>
          <w:rFonts w:ascii="Book Antiqua" w:hAnsi="Book Antiqua" w:cs="Times New Roman"/>
          <w:color w:val="auto"/>
          <w:sz w:val="24"/>
          <w:szCs w:val="24"/>
          <w:vertAlign w:val="superscript"/>
        </w:rPr>
        <w:t>[15]</w:t>
      </w:r>
      <w:r w:rsidRPr="004F0998">
        <w:rPr>
          <w:rFonts w:ascii="Book Antiqua" w:hAnsi="Book Antiqua" w:cs="Times New Roman"/>
          <w:color w:val="auto"/>
          <w:sz w:val="24"/>
          <w:szCs w:val="24"/>
        </w:rPr>
        <w:t xml:space="preserve"> included 21 patients and determined </w:t>
      </w:r>
      <w:r w:rsidR="001E796F" w:rsidRPr="004F0998">
        <w:rPr>
          <w:rFonts w:ascii="Book Antiqua" w:hAnsi="Book Antiqua" w:cs="Times New Roman"/>
          <w:color w:val="auto"/>
          <w:sz w:val="24"/>
          <w:szCs w:val="24"/>
        </w:rPr>
        <w:t>golimumab</w:t>
      </w:r>
      <w:r w:rsidRPr="004F0998">
        <w:rPr>
          <w:rFonts w:ascii="Book Antiqua" w:hAnsi="Book Antiqua" w:cs="Times New Roman"/>
          <w:color w:val="auto"/>
          <w:sz w:val="24"/>
          <w:szCs w:val="24"/>
        </w:rPr>
        <w:t xml:space="preserve"> levels and antibodies in the first 14 weeks of treatment, to correlate these with clinical response and remission.</w:t>
      </w:r>
    </w:p>
    <w:p w:rsidR="00987714" w:rsidRPr="004F0998" w:rsidRDefault="00D83AD0" w:rsidP="00E729BA">
      <w:pPr>
        <w:spacing w:after="0" w:line="360" w:lineRule="auto"/>
        <w:ind w:firstLineChars="150" w:firstLine="360"/>
        <w:jc w:val="both"/>
        <w:rPr>
          <w:rFonts w:ascii="Book Antiqua" w:hAnsi="Book Antiqua"/>
          <w:color w:val="auto"/>
          <w:sz w:val="24"/>
          <w:szCs w:val="24"/>
        </w:rPr>
      </w:pPr>
      <w:r w:rsidRPr="004F0998">
        <w:rPr>
          <w:rFonts w:ascii="Book Antiqua" w:hAnsi="Book Antiqua" w:cs="Times New Roman"/>
          <w:color w:val="auto"/>
          <w:sz w:val="24"/>
          <w:szCs w:val="24"/>
        </w:rPr>
        <w:t xml:space="preserve">The </w:t>
      </w:r>
      <w:r w:rsidR="00A7777F" w:rsidRPr="004F0998">
        <w:rPr>
          <w:rFonts w:ascii="Book Antiqua" w:hAnsi="Book Antiqua" w:cs="Times New Roman"/>
          <w:color w:val="auto"/>
          <w:sz w:val="24"/>
          <w:szCs w:val="24"/>
        </w:rPr>
        <w:t xml:space="preserve">most relevant result </w:t>
      </w:r>
      <w:r w:rsidRPr="004F0998">
        <w:rPr>
          <w:rFonts w:ascii="Book Antiqua" w:hAnsi="Book Antiqua" w:cs="Times New Roman"/>
          <w:color w:val="auto"/>
          <w:sz w:val="24"/>
          <w:szCs w:val="24"/>
        </w:rPr>
        <w:t xml:space="preserve">of </w:t>
      </w:r>
      <w:r w:rsidR="00A7777F" w:rsidRPr="004F0998">
        <w:rPr>
          <w:rFonts w:ascii="Book Antiqua" w:hAnsi="Book Antiqua" w:cs="Times New Roman"/>
          <w:color w:val="auto"/>
          <w:sz w:val="24"/>
          <w:szCs w:val="24"/>
        </w:rPr>
        <w:t xml:space="preserve">Castro </w:t>
      </w:r>
      <w:r w:rsidR="00A7777F" w:rsidRPr="004F0998">
        <w:rPr>
          <w:rFonts w:ascii="Book Antiqua" w:hAnsi="Book Antiqua" w:cs="Times New Roman"/>
          <w:i/>
          <w:color w:val="auto"/>
          <w:sz w:val="24"/>
          <w:szCs w:val="24"/>
        </w:rPr>
        <w:t>et al</w:t>
      </w:r>
      <w:r w:rsidR="004F0998" w:rsidRPr="004F0998">
        <w:rPr>
          <w:rFonts w:ascii="Book Antiqua" w:hAnsi="Book Antiqua" w:cs="Times New Roman"/>
          <w:color w:val="auto"/>
          <w:sz w:val="24"/>
          <w:szCs w:val="24"/>
          <w:vertAlign w:val="superscript"/>
        </w:rPr>
        <w:t>[16]</w:t>
      </w:r>
      <w:r w:rsidR="00A7777F" w:rsidRPr="004F0998">
        <w:rPr>
          <w:rFonts w:ascii="Book Antiqua" w:hAnsi="Book Antiqua" w:cs="Times New Roman"/>
          <w:color w:val="auto"/>
          <w:sz w:val="24"/>
          <w:szCs w:val="24"/>
        </w:rPr>
        <w:t xml:space="preserve"> study (which included 23 patients) was that 74% of their patients were able to withdraw steroids, which is quite similar to our results. </w:t>
      </w:r>
      <w:r w:rsidRPr="004F0998">
        <w:rPr>
          <w:rFonts w:ascii="Book Antiqua" w:hAnsi="Book Antiqua" w:cs="Times New Roman"/>
          <w:color w:val="auto"/>
          <w:sz w:val="24"/>
          <w:szCs w:val="24"/>
        </w:rPr>
        <w:t>In</w:t>
      </w:r>
      <w:r w:rsidR="00A7777F" w:rsidRPr="004F0998">
        <w:rPr>
          <w:rFonts w:ascii="Book Antiqua" w:hAnsi="Book Antiqua" w:cs="Times New Roman"/>
          <w:color w:val="auto"/>
          <w:sz w:val="24"/>
          <w:szCs w:val="24"/>
        </w:rPr>
        <w:t xml:space="preserve"> our study 70.8% of the steroid-dependant patients </w:t>
      </w:r>
      <w:r w:rsidRPr="004F0998">
        <w:rPr>
          <w:rFonts w:ascii="Book Antiqua" w:hAnsi="Book Antiqua" w:cs="Times New Roman"/>
          <w:color w:val="auto"/>
          <w:sz w:val="24"/>
          <w:szCs w:val="24"/>
        </w:rPr>
        <w:t>and 69.7% of all the patients</w:t>
      </w:r>
      <w:r w:rsidR="00A7777F" w:rsidRPr="004F0998">
        <w:rPr>
          <w:rFonts w:ascii="Book Antiqua" w:hAnsi="Book Antiqua" w:cs="Times New Roman"/>
          <w:color w:val="auto"/>
          <w:sz w:val="24"/>
          <w:szCs w:val="24"/>
        </w:rPr>
        <w:t xml:space="preserve"> were steroid-free at the end of follow-up. Although both studies, Castro’s and ours, do not include many patients due the fact that it is a recently approved drug, and not forgetting that Castro </w:t>
      </w:r>
      <w:r w:rsidR="004F0998" w:rsidRPr="004F0998">
        <w:rPr>
          <w:rFonts w:ascii="Book Antiqua" w:hAnsi="Book Antiqua" w:cs="Times New Roman"/>
          <w:i/>
          <w:color w:val="auto"/>
          <w:sz w:val="24"/>
          <w:szCs w:val="24"/>
        </w:rPr>
        <w:t>et al</w:t>
      </w:r>
      <w:r w:rsidR="004F0998" w:rsidRPr="004F0998">
        <w:rPr>
          <w:rFonts w:ascii="Book Antiqua" w:hAnsi="Book Antiqua" w:cs="Times New Roman"/>
          <w:color w:val="auto"/>
          <w:sz w:val="24"/>
          <w:szCs w:val="24"/>
          <w:vertAlign w:val="superscript"/>
        </w:rPr>
        <w:t>[16]</w:t>
      </w:r>
      <w:r w:rsidR="00A7777F" w:rsidRPr="004F0998">
        <w:rPr>
          <w:rFonts w:ascii="Book Antiqua" w:hAnsi="Book Antiqua" w:cs="Times New Roman"/>
          <w:color w:val="auto"/>
          <w:sz w:val="24"/>
          <w:szCs w:val="24"/>
        </w:rPr>
        <w:t xml:space="preserve"> 23-patient study is retrospective, a significant real-life steroid withdrawal in 70.8</w:t>
      </w:r>
      <w:r w:rsidRPr="004F0998">
        <w:rPr>
          <w:rFonts w:ascii="Book Antiqua" w:hAnsi="Book Antiqua" w:cs="Times New Roman"/>
          <w:color w:val="auto"/>
          <w:sz w:val="24"/>
          <w:szCs w:val="24"/>
        </w:rPr>
        <w:t>% and 74% of the cases</w:t>
      </w:r>
      <w:r w:rsidR="00A7777F" w:rsidRPr="004F0998">
        <w:rPr>
          <w:rFonts w:ascii="Book Antiqua" w:hAnsi="Book Antiqua" w:cs="Times New Roman"/>
          <w:color w:val="auto"/>
          <w:sz w:val="24"/>
          <w:szCs w:val="24"/>
        </w:rPr>
        <w:t xml:space="preserve"> is clinically relevant. In the PURSUIT-maintenance study, </w:t>
      </w:r>
      <w:r w:rsidR="00A7777F" w:rsidRPr="004F0998">
        <w:rPr>
          <w:rFonts w:ascii="Book Antiqua" w:hAnsi="Book Antiqua"/>
          <w:color w:val="auto"/>
          <w:sz w:val="24"/>
          <w:szCs w:val="24"/>
        </w:rPr>
        <w:t xml:space="preserve">corticosteroid-free remission at 54 </w:t>
      </w:r>
      <w:r w:rsidR="004F0998" w:rsidRPr="004F0998">
        <w:rPr>
          <w:rFonts w:ascii="Book Antiqua" w:hAnsi="Book Antiqua" w:hint="eastAsia"/>
          <w:color w:val="auto"/>
          <w:sz w:val="24"/>
          <w:szCs w:val="24"/>
          <w:lang w:eastAsia="zh-CN"/>
        </w:rPr>
        <w:t>wk</w:t>
      </w:r>
      <w:r w:rsidR="00A7777F" w:rsidRPr="004F0998">
        <w:rPr>
          <w:rFonts w:ascii="Book Antiqua" w:hAnsi="Book Antiqua"/>
          <w:color w:val="auto"/>
          <w:sz w:val="24"/>
          <w:szCs w:val="24"/>
        </w:rPr>
        <w:t xml:space="preserve"> among those who received corticosteroids at baseline was statistically non-significant among the groups (PURSUIT2). </w:t>
      </w:r>
    </w:p>
    <w:p w:rsidR="00EB4BCE" w:rsidRPr="004F0998" w:rsidRDefault="00A7777F" w:rsidP="00E729BA">
      <w:pPr>
        <w:spacing w:after="0" w:line="360" w:lineRule="auto"/>
        <w:ind w:firstLineChars="150" w:firstLine="360"/>
        <w:jc w:val="both"/>
        <w:rPr>
          <w:rFonts w:ascii="Book Antiqua" w:hAnsi="Book Antiqua" w:cs="Times New Roman"/>
          <w:color w:val="auto"/>
          <w:sz w:val="24"/>
          <w:szCs w:val="24"/>
        </w:rPr>
      </w:pPr>
      <w:r w:rsidRPr="004F0998">
        <w:rPr>
          <w:rFonts w:ascii="Book Antiqua" w:hAnsi="Book Antiqua"/>
          <w:color w:val="auto"/>
          <w:sz w:val="24"/>
          <w:szCs w:val="24"/>
        </w:rPr>
        <w:t>An unpublished real</w:t>
      </w:r>
      <w:r w:rsidR="00D83AD0" w:rsidRPr="004F0998">
        <w:rPr>
          <w:rFonts w:ascii="Book Antiqua" w:hAnsi="Book Antiqua"/>
          <w:color w:val="auto"/>
          <w:sz w:val="24"/>
          <w:szCs w:val="24"/>
        </w:rPr>
        <w:t>-life experience, retrospective</w:t>
      </w:r>
      <w:r w:rsidRPr="004F0998">
        <w:rPr>
          <w:rFonts w:ascii="Book Antiqua" w:hAnsi="Book Antiqua"/>
          <w:color w:val="auto"/>
          <w:sz w:val="24"/>
          <w:szCs w:val="24"/>
        </w:rPr>
        <w:t xml:space="preserve"> Spanish study, which included 142 patients, recently presented its results at a congress. They observed that, after a median follow-up of 10 months, 67 patients (47%) maintained clinical response, and, of these, 49 (35%) were in corticosteroid-free remission</w:t>
      </w:r>
      <w:r w:rsidR="00BB6FCB" w:rsidRPr="004F0998">
        <w:rPr>
          <w:rFonts w:ascii="Book Antiqua" w:hAnsi="Book Antiqua" w:cs="Times New Roman"/>
          <w:color w:val="auto"/>
          <w:sz w:val="24"/>
          <w:szCs w:val="24"/>
          <w:vertAlign w:val="superscript"/>
        </w:rPr>
        <w:t>[17]</w:t>
      </w:r>
      <w:r w:rsidRPr="004F0998">
        <w:rPr>
          <w:rFonts w:ascii="Book Antiqua" w:hAnsi="Book Antiqua"/>
          <w:color w:val="auto"/>
          <w:sz w:val="24"/>
          <w:szCs w:val="24"/>
        </w:rPr>
        <w:t>, with a long-term partial loss of response</w:t>
      </w:r>
      <w:r w:rsidR="00D83AD0" w:rsidRPr="004F0998">
        <w:rPr>
          <w:rFonts w:ascii="Book Antiqua" w:hAnsi="Book Antiqua"/>
          <w:color w:val="auto"/>
          <w:sz w:val="24"/>
          <w:szCs w:val="24"/>
        </w:rPr>
        <w:t>,</w:t>
      </w:r>
      <w:r w:rsidRPr="004F0998">
        <w:rPr>
          <w:rFonts w:ascii="Book Antiqua" w:hAnsi="Book Antiqua"/>
          <w:color w:val="auto"/>
          <w:sz w:val="24"/>
          <w:szCs w:val="24"/>
        </w:rPr>
        <w:t xml:space="preserve"> which is similar to other </w:t>
      </w:r>
      <w:r w:rsidRPr="004F0998">
        <w:rPr>
          <w:rFonts w:ascii="Book Antiqua" w:hAnsi="Book Antiqua"/>
          <w:color w:val="auto"/>
          <w:sz w:val="24"/>
          <w:szCs w:val="24"/>
        </w:rPr>
        <w:lastRenderedPageBreak/>
        <w:t>anti-TNF</w:t>
      </w:r>
      <w:r w:rsidR="00BB6FCB" w:rsidRPr="004F0998">
        <w:rPr>
          <w:rFonts w:ascii="Book Antiqua" w:hAnsi="Book Antiqua" w:cs="Times New Roman"/>
          <w:color w:val="auto"/>
          <w:sz w:val="24"/>
          <w:szCs w:val="24"/>
          <w:vertAlign w:val="superscript"/>
        </w:rPr>
        <w:t>[18,19]</w:t>
      </w:r>
      <w:r w:rsidRPr="004F0998">
        <w:rPr>
          <w:rFonts w:ascii="Book Antiqua" w:hAnsi="Book Antiqua"/>
          <w:color w:val="auto"/>
          <w:sz w:val="24"/>
          <w:szCs w:val="24"/>
        </w:rPr>
        <w:t xml:space="preserve">. Therefore, the current limited published data (Castro’s retrospective and our prospective study) point to a very good initial response to </w:t>
      </w:r>
      <w:r w:rsidR="001E796F" w:rsidRPr="004F0998">
        <w:rPr>
          <w:rFonts w:ascii="Book Antiqua" w:hAnsi="Book Antiqua"/>
          <w:color w:val="auto"/>
          <w:sz w:val="24"/>
          <w:szCs w:val="24"/>
        </w:rPr>
        <w:t>golimumab</w:t>
      </w:r>
      <w:r w:rsidRPr="004F0998">
        <w:rPr>
          <w:rFonts w:ascii="Book Antiqua" w:hAnsi="Book Antiqua"/>
          <w:color w:val="auto"/>
          <w:sz w:val="24"/>
          <w:szCs w:val="24"/>
        </w:rPr>
        <w:t>, w</w:t>
      </w:r>
      <w:r w:rsidR="00D83AD0" w:rsidRPr="004F0998">
        <w:rPr>
          <w:rFonts w:ascii="Book Antiqua" w:hAnsi="Book Antiqua"/>
          <w:color w:val="auto"/>
          <w:sz w:val="24"/>
          <w:szCs w:val="24"/>
        </w:rPr>
        <w:t>hich enables steroid withdrawal;</w:t>
      </w:r>
      <w:r w:rsidRPr="004F0998">
        <w:rPr>
          <w:rFonts w:ascii="Book Antiqua" w:hAnsi="Book Antiqua"/>
          <w:color w:val="auto"/>
          <w:sz w:val="24"/>
          <w:szCs w:val="24"/>
        </w:rPr>
        <w:t xml:space="preserve"> preliminary unpublished data show a decrease in the steroid-fre</w:t>
      </w:r>
      <w:r w:rsidR="00D83AD0" w:rsidRPr="004F0998">
        <w:rPr>
          <w:rFonts w:ascii="Book Antiqua" w:hAnsi="Book Antiqua"/>
          <w:color w:val="auto"/>
          <w:sz w:val="24"/>
          <w:szCs w:val="24"/>
        </w:rPr>
        <w:t>e percentage of patients over</w:t>
      </w:r>
      <w:r w:rsidRPr="004F0998">
        <w:rPr>
          <w:rFonts w:ascii="Book Antiqua" w:hAnsi="Book Antiqua"/>
          <w:color w:val="auto"/>
          <w:sz w:val="24"/>
          <w:szCs w:val="24"/>
        </w:rPr>
        <w:t xml:space="preserve"> time.</w:t>
      </w:r>
    </w:p>
    <w:p w:rsidR="008E6A3B" w:rsidRPr="004F0998" w:rsidRDefault="00A7777F" w:rsidP="00E729BA">
      <w:pPr>
        <w:pStyle w:val="NormalWeb"/>
        <w:spacing w:beforeAutospacing="0" w:after="0" w:afterAutospacing="0" w:line="360" w:lineRule="auto"/>
        <w:ind w:firstLineChars="150" w:firstLine="360"/>
        <w:jc w:val="both"/>
        <w:rPr>
          <w:rFonts w:ascii="Book Antiqua" w:hAnsi="Book Antiqua"/>
          <w:color w:val="auto"/>
          <w:lang w:val="en-US"/>
        </w:rPr>
      </w:pPr>
      <w:r w:rsidRPr="004F0998">
        <w:rPr>
          <w:rFonts w:ascii="Book Antiqua" w:hAnsi="Book Antiqua"/>
          <w:color w:val="auto"/>
          <w:lang w:val="en-US"/>
        </w:rPr>
        <w:t xml:space="preserve">The patients included in our study had a mean age of 42, with extensive moderate-severe colitis (70%) and were steroid-dependant. </w:t>
      </w:r>
      <w:r w:rsidR="00D83AD0" w:rsidRPr="004F0998">
        <w:rPr>
          <w:rFonts w:ascii="Book Antiqua" w:hAnsi="Book Antiqua"/>
          <w:color w:val="auto"/>
          <w:lang w:val="en-US"/>
        </w:rPr>
        <w:t>Seventy-three percent</w:t>
      </w:r>
      <w:r w:rsidRPr="004F0998">
        <w:rPr>
          <w:rFonts w:ascii="Book Antiqua" w:hAnsi="Book Antiqua"/>
          <w:color w:val="auto"/>
          <w:lang w:val="en-US"/>
        </w:rPr>
        <w:t xml:space="preserve"> of the patients had previously receiv</w:t>
      </w:r>
      <w:r w:rsidR="00D83AD0" w:rsidRPr="004F0998">
        <w:rPr>
          <w:rFonts w:ascii="Book Antiqua" w:hAnsi="Book Antiqua"/>
          <w:color w:val="auto"/>
          <w:lang w:val="en-US"/>
        </w:rPr>
        <w:t>ed anti-TNF drugs (67% of these</w:t>
      </w:r>
      <w:r w:rsidRPr="004F0998">
        <w:rPr>
          <w:rFonts w:ascii="Book Antiqua" w:hAnsi="Book Antiqua"/>
          <w:color w:val="auto"/>
          <w:lang w:val="en-US"/>
        </w:rPr>
        <w:t xml:space="preserve"> had previously been on both infliximab and adalimumab when they were included), which is logical because this is real-life practice and patients had received the anti-TNFs that were available until then. The most frequent reason to change to </w:t>
      </w:r>
      <w:r w:rsidR="001E796F" w:rsidRPr="004F0998">
        <w:rPr>
          <w:rFonts w:ascii="Book Antiqua" w:hAnsi="Book Antiqua"/>
          <w:color w:val="auto"/>
          <w:lang w:val="en-US"/>
        </w:rPr>
        <w:t>golimumab</w:t>
      </w:r>
      <w:r w:rsidRPr="004F0998">
        <w:rPr>
          <w:rFonts w:ascii="Book Antiqua" w:hAnsi="Book Antiqua"/>
          <w:color w:val="auto"/>
          <w:lang w:val="en-US"/>
        </w:rPr>
        <w:t xml:space="preserve"> was loss of response (58%) to the previous anti-TNF, although a not inconsiderable 25% (6 of the 24 who had previously received anti-TNF) were directly primary non-responders to previous anti-TNF drugs. This would lead us to predict an insufficient response with the new anti-TNF (</w:t>
      </w:r>
      <w:r w:rsidR="001E796F" w:rsidRPr="004F0998">
        <w:rPr>
          <w:rFonts w:ascii="Book Antiqua" w:hAnsi="Book Antiqua"/>
          <w:color w:val="auto"/>
          <w:lang w:val="en-US"/>
        </w:rPr>
        <w:t>Golimumab</w:t>
      </w:r>
      <w:r w:rsidRPr="004F0998">
        <w:rPr>
          <w:rFonts w:ascii="Book Antiqua" w:hAnsi="Book Antiqua"/>
          <w:color w:val="auto"/>
          <w:lang w:val="en-US"/>
        </w:rPr>
        <w:t xml:space="preserve">) in some </w:t>
      </w:r>
      <w:r w:rsidR="00993688" w:rsidRPr="004F0998">
        <w:rPr>
          <w:rFonts w:ascii="Book Antiqua" w:hAnsi="Book Antiqua"/>
          <w:color w:val="auto"/>
          <w:lang w:val="en-US"/>
        </w:rPr>
        <w:t xml:space="preserve">patients </w:t>
      </w:r>
      <w:r w:rsidRPr="004F0998">
        <w:rPr>
          <w:rFonts w:ascii="Book Antiqua" w:hAnsi="Book Antiqua"/>
          <w:color w:val="auto"/>
          <w:lang w:val="en-US"/>
        </w:rPr>
        <w:t xml:space="preserve">and a delayed loss of response in others. However, 69.7% of the patients had clinical response (a decrease from baseline in the partial Mayo score of at least 3 points) and were able to </w:t>
      </w:r>
      <w:r w:rsidR="00993688" w:rsidRPr="004F0998">
        <w:rPr>
          <w:rFonts w:ascii="Book Antiqua" w:hAnsi="Book Antiqua"/>
          <w:color w:val="auto"/>
          <w:lang w:val="en-US"/>
        </w:rPr>
        <w:t xml:space="preserve">cease </w:t>
      </w:r>
      <w:r w:rsidRPr="004F0998">
        <w:rPr>
          <w:rFonts w:ascii="Book Antiqua" w:hAnsi="Book Antiqua"/>
          <w:color w:val="auto"/>
          <w:lang w:val="en-US"/>
        </w:rPr>
        <w:t>steroids, and 51.5% of these reache</w:t>
      </w:r>
      <w:r w:rsidR="00993688" w:rsidRPr="004F0998">
        <w:rPr>
          <w:rFonts w:ascii="Book Antiqua" w:hAnsi="Book Antiqua"/>
          <w:color w:val="auto"/>
          <w:lang w:val="en-US"/>
        </w:rPr>
        <w:t>d clinical remission at week 14. T</w:t>
      </w:r>
      <w:r w:rsidRPr="004F0998">
        <w:rPr>
          <w:rFonts w:ascii="Book Antiqua" w:hAnsi="Book Antiqua"/>
          <w:color w:val="auto"/>
          <w:lang w:val="en-US"/>
        </w:rPr>
        <w:t>hese percentages were lower when taking into account the PGA (55% of clinical response and 24% of clinical remission). Steroid-sparing in previously corticosteroid-depend</w:t>
      </w:r>
      <w:r w:rsidR="007C3806" w:rsidRPr="004F0998">
        <w:rPr>
          <w:rFonts w:ascii="Book Antiqua" w:hAnsi="Book Antiqua"/>
          <w:color w:val="auto"/>
          <w:lang w:val="en-US"/>
        </w:rPr>
        <w:t>e</w:t>
      </w:r>
      <w:r w:rsidRPr="004F0998">
        <w:rPr>
          <w:rFonts w:ascii="Book Antiqua" w:hAnsi="Book Antiqua"/>
          <w:color w:val="auto"/>
          <w:lang w:val="en-US"/>
        </w:rPr>
        <w:t xml:space="preserve">nt patients was especially striking (70.8%), when follow-up ended. These patients will be followed to determine if they lose response, as with other anti-TNF, but at least </w:t>
      </w:r>
      <w:r w:rsidR="001E796F" w:rsidRPr="004F0998">
        <w:rPr>
          <w:rFonts w:ascii="Book Antiqua" w:hAnsi="Book Antiqua"/>
          <w:color w:val="auto"/>
          <w:lang w:val="en-US"/>
        </w:rPr>
        <w:t>golimumab</w:t>
      </w:r>
      <w:r w:rsidRPr="004F0998">
        <w:rPr>
          <w:rFonts w:ascii="Book Antiqua" w:hAnsi="Book Antiqua"/>
          <w:color w:val="auto"/>
          <w:lang w:val="en-US"/>
        </w:rPr>
        <w:t xml:space="preserve"> was able to win back an important number of our patients, including many of the primary non-responders. </w:t>
      </w:r>
    </w:p>
    <w:p w:rsidR="00EB4BCE" w:rsidRPr="004F0998" w:rsidRDefault="00993688" w:rsidP="00E729BA">
      <w:pPr>
        <w:pStyle w:val="NormalWeb"/>
        <w:spacing w:beforeAutospacing="0" w:after="0" w:afterAutospacing="0" w:line="360" w:lineRule="auto"/>
        <w:ind w:firstLineChars="150" w:firstLine="360"/>
        <w:jc w:val="both"/>
        <w:rPr>
          <w:rFonts w:ascii="Book Antiqua" w:hAnsi="Book Antiqua"/>
          <w:color w:val="auto"/>
          <w:lang w:val="en-US"/>
        </w:rPr>
      </w:pPr>
      <w:r w:rsidRPr="004F0998">
        <w:rPr>
          <w:rFonts w:ascii="Book Antiqua" w:hAnsi="Book Antiqua"/>
          <w:color w:val="auto"/>
          <w:lang w:val="en-US"/>
        </w:rPr>
        <w:t>Al</w:t>
      </w:r>
      <w:r w:rsidR="00A7777F" w:rsidRPr="004F0998">
        <w:rPr>
          <w:rFonts w:ascii="Book Antiqua" w:hAnsi="Book Antiqua"/>
          <w:color w:val="auto"/>
          <w:lang w:val="en-US"/>
        </w:rPr>
        <w:t xml:space="preserve">though dosage intensification worked for some patients (7 of the nine that received higher or more frequent dosages), 3 of the 10 which did not respond ended up in colectomy 3 </w:t>
      </w:r>
      <w:r w:rsidR="004F0998" w:rsidRPr="004F0998">
        <w:rPr>
          <w:rFonts w:ascii="Book Antiqua" w:hAnsi="Book Antiqua" w:hint="eastAsia"/>
          <w:color w:val="auto"/>
          <w:lang w:val="en-US" w:eastAsia="zh-CN"/>
        </w:rPr>
        <w:t>mo</w:t>
      </w:r>
      <w:r w:rsidR="00A7777F" w:rsidRPr="004F0998">
        <w:rPr>
          <w:rFonts w:ascii="Book Antiqua" w:hAnsi="Book Antiqua"/>
          <w:color w:val="auto"/>
          <w:lang w:val="en-US"/>
        </w:rPr>
        <w:t xml:space="preserve"> after the first </w:t>
      </w:r>
      <w:r w:rsidR="001E796F" w:rsidRPr="004F0998">
        <w:rPr>
          <w:rFonts w:ascii="Book Antiqua" w:hAnsi="Book Antiqua"/>
          <w:color w:val="auto"/>
          <w:lang w:val="en-US"/>
        </w:rPr>
        <w:t>golimumab</w:t>
      </w:r>
      <w:r w:rsidR="00A7777F" w:rsidRPr="004F0998">
        <w:rPr>
          <w:rFonts w:ascii="Book Antiqua" w:hAnsi="Book Antiqua"/>
          <w:color w:val="auto"/>
          <w:lang w:val="en-US"/>
        </w:rPr>
        <w:t xml:space="preserve"> injection. According to Detrez </w:t>
      </w:r>
      <w:r w:rsidR="004F0998" w:rsidRPr="004F0998">
        <w:rPr>
          <w:rFonts w:ascii="Book Antiqua" w:hAnsi="Book Antiqua"/>
          <w:i/>
          <w:color w:val="auto"/>
        </w:rPr>
        <w:t>et al</w:t>
      </w:r>
      <w:r w:rsidR="004F0998" w:rsidRPr="004F0998">
        <w:rPr>
          <w:rFonts w:ascii="Book Antiqua" w:hAnsi="Book Antiqua"/>
          <w:color w:val="auto"/>
          <w:vertAlign w:val="superscript"/>
        </w:rPr>
        <w:t>[</w:t>
      </w:r>
      <w:r w:rsidR="004F0998" w:rsidRPr="004F0998">
        <w:rPr>
          <w:rFonts w:ascii="Book Antiqua" w:hAnsi="Book Antiqua" w:hint="eastAsia"/>
          <w:color w:val="auto"/>
          <w:vertAlign w:val="superscript"/>
          <w:lang w:eastAsia="zh-CN"/>
        </w:rPr>
        <w:t>15</w:t>
      </w:r>
      <w:r w:rsidR="004F0998" w:rsidRPr="004F0998">
        <w:rPr>
          <w:rFonts w:ascii="Book Antiqua" w:hAnsi="Book Antiqua"/>
          <w:color w:val="auto"/>
          <w:vertAlign w:val="superscript"/>
        </w:rPr>
        <w:t>]</w:t>
      </w:r>
      <w:r w:rsidR="00A7777F" w:rsidRPr="004F0998">
        <w:rPr>
          <w:rFonts w:ascii="Book Antiqua" w:hAnsi="Book Antiqua"/>
          <w:color w:val="auto"/>
          <w:lang w:val="en-US"/>
        </w:rPr>
        <w:t xml:space="preserve"> the response to </w:t>
      </w:r>
      <w:r w:rsidR="001E796F" w:rsidRPr="004F0998">
        <w:rPr>
          <w:rFonts w:ascii="Book Antiqua" w:hAnsi="Book Antiqua"/>
          <w:color w:val="auto"/>
          <w:lang w:val="en-US"/>
        </w:rPr>
        <w:t>golimumab</w:t>
      </w:r>
      <w:r w:rsidR="00A7777F" w:rsidRPr="004F0998">
        <w:rPr>
          <w:rFonts w:ascii="Book Antiqua" w:hAnsi="Book Antiqua"/>
          <w:color w:val="auto"/>
          <w:lang w:val="en-US"/>
        </w:rPr>
        <w:t xml:space="preserve"> treatment is related to serum </w:t>
      </w:r>
      <w:r w:rsidR="001E796F" w:rsidRPr="004F0998">
        <w:rPr>
          <w:rFonts w:ascii="Book Antiqua" w:hAnsi="Book Antiqua"/>
          <w:color w:val="auto"/>
          <w:lang w:val="en-US"/>
        </w:rPr>
        <w:t>golimumab</w:t>
      </w:r>
      <w:r w:rsidR="00A7777F" w:rsidRPr="004F0998">
        <w:rPr>
          <w:rFonts w:ascii="Book Antiqua" w:hAnsi="Book Antiqua"/>
          <w:color w:val="auto"/>
          <w:lang w:val="en-US"/>
        </w:rPr>
        <w:t xml:space="preserve"> concentrations and shows a large var</w:t>
      </w:r>
      <w:r w:rsidR="00607495" w:rsidRPr="004F0998">
        <w:rPr>
          <w:rFonts w:ascii="Book Antiqua" w:hAnsi="Book Antiqua"/>
          <w:color w:val="auto"/>
          <w:lang w:val="en-US"/>
        </w:rPr>
        <w:t>iation between patients</w:t>
      </w:r>
      <w:r w:rsidR="00A7777F" w:rsidRPr="004F0998">
        <w:rPr>
          <w:rFonts w:ascii="Book Antiqua" w:hAnsi="Book Antiqua"/>
          <w:color w:val="auto"/>
          <w:lang w:val="en-US"/>
        </w:rPr>
        <w:t>.</w:t>
      </w:r>
      <w:r w:rsidRPr="004F0998">
        <w:rPr>
          <w:rFonts w:ascii="Book Antiqua" w:hAnsi="Book Antiqua"/>
          <w:color w:val="auto"/>
          <w:lang w:val="en-US"/>
        </w:rPr>
        <w:t xml:space="preserve"> S</w:t>
      </w:r>
      <w:r w:rsidR="00A7777F" w:rsidRPr="004F0998">
        <w:rPr>
          <w:rFonts w:ascii="Book Antiqua" w:hAnsi="Book Antiqua"/>
          <w:color w:val="auto"/>
          <w:lang w:val="en-US"/>
        </w:rPr>
        <w:t xml:space="preserve">erum </w:t>
      </w:r>
      <w:r w:rsidR="001E796F" w:rsidRPr="004F0998">
        <w:rPr>
          <w:rFonts w:ascii="Book Antiqua" w:hAnsi="Book Antiqua"/>
          <w:color w:val="auto"/>
          <w:lang w:val="en-US"/>
        </w:rPr>
        <w:t>golimumab</w:t>
      </w:r>
      <w:r w:rsidR="00A7777F" w:rsidRPr="004F0998">
        <w:rPr>
          <w:rFonts w:ascii="Book Antiqua" w:hAnsi="Book Antiqua"/>
          <w:color w:val="auto"/>
          <w:lang w:val="en-US"/>
        </w:rPr>
        <w:t xml:space="preserve"> levels could be of use at induction (week 6), in patients with </w:t>
      </w:r>
      <w:r w:rsidR="00A7777F" w:rsidRPr="004F0998">
        <w:rPr>
          <w:rFonts w:ascii="Book Antiqua" w:hAnsi="Book Antiqua"/>
          <w:color w:val="auto"/>
          <w:lang w:val="en-US"/>
        </w:rPr>
        <w:lastRenderedPageBreak/>
        <w:t xml:space="preserve">insufficient response who might need higher doses of </w:t>
      </w:r>
      <w:r w:rsidR="001E796F" w:rsidRPr="004F0998">
        <w:rPr>
          <w:rFonts w:ascii="Book Antiqua" w:hAnsi="Book Antiqua"/>
          <w:color w:val="auto"/>
          <w:lang w:val="en-US"/>
        </w:rPr>
        <w:t>golimumab</w:t>
      </w:r>
      <w:r w:rsidR="00A7777F" w:rsidRPr="004F0998">
        <w:rPr>
          <w:rFonts w:ascii="Book Antiqua" w:hAnsi="Book Antiqua"/>
          <w:color w:val="auto"/>
          <w:lang w:val="en-US"/>
        </w:rPr>
        <w:t>, in order to avoid changes to other medical or surgical treatments.</w:t>
      </w:r>
    </w:p>
    <w:p w:rsidR="00EB4BCE" w:rsidRPr="004F0998" w:rsidRDefault="00A7777F" w:rsidP="00E729BA">
      <w:pPr>
        <w:pStyle w:val="NormalWeb"/>
        <w:spacing w:beforeAutospacing="0" w:after="0" w:afterAutospacing="0" w:line="360" w:lineRule="auto"/>
        <w:ind w:firstLineChars="150" w:firstLine="360"/>
        <w:jc w:val="both"/>
        <w:rPr>
          <w:rFonts w:ascii="Book Antiqua" w:hAnsi="Book Antiqua"/>
          <w:color w:val="auto"/>
          <w:lang w:val="en-US"/>
        </w:rPr>
      </w:pPr>
      <w:r w:rsidRPr="004F0998">
        <w:rPr>
          <w:rFonts w:ascii="Book Antiqua" w:hAnsi="Book Antiqua"/>
          <w:color w:val="auto"/>
          <w:lang w:val="en-US"/>
        </w:rPr>
        <w:t>As would be expected, anti-TNF naïve patients had more possibilities than non-naïve patients of achieving clinical remission</w:t>
      </w:r>
      <w:r w:rsidR="00DE7B62" w:rsidRPr="004F0998">
        <w:rPr>
          <w:rFonts w:ascii="Book Antiqua" w:hAnsi="Book Antiqua"/>
          <w:color w:val="auto"/>
          <w:lang w:val="en-US"/>
        </w:rPr>
        <w:t>, a</w:t>
      </w:r>
      <w:r w:rsidR="00607495" w:rsidRPr="004F0998">
        <w:rPr>
          <w:rFonts w:ascii="Book Antiqua" w:hAnsi="Book Antiqua"/>
          <w:color w:val="auto"/>
          <w:lang w:val="en-US"/>
        </w:rPr>
        <w:t>s well as patients with short-duration disease, and not being steroid dependent</w:t>
      </w:r>
      <w:r w:rsidRPr="004F0998">
        <w:rPr>
          <w:rFonts w:ascii="Book Antiqua" w:hAnsi="Book Antiqua"/>
          <w:color w:val="auto"/>
          <w:lang w:val="en-US"/>
        </w:rPr>
        <w:t xml:space="preserve">. This was not observed in Castro </w:t>
      </w:r>
      <w:r w:rsidR="004F0998" w:rsidRPr="004F0998">
        <w:rPr>
          <w:rFonts w:ascii="Book Antiqua" w:hAnsi="Book Antiqua"/>
          <w:i/>
          <w:color w:val="auto"/>
        </w:rPr>
        <w:t>et al</w:t>
      </w:r>
      <w:r w:rsidR="004F0998" w:rsidRPr="004F0998">
        <w:rPr>
          <w:rFonts w:ascii="Book Antiqua" w:hAnsi="Book Antiqua"/>
          <w:color w:val="auto"/>
          <w:vertAlign w:val="superscript"/>
        </w:rPr>
        <w:t>[16]</w:t>
      </w:r>
      <w:r w:rsidRPr="004F0998">
        <w:rPr>
          <w:rFonts w:ascii="Book Antiqua" w:hAnsi="Book Antiqua"/>
          <w:color w:val="auto"/>
          <w:lang w:val="en-US"/>
        </w:rPr>
        <w:t xml:space="preserve"> study, probably because of the small sample size, nor in a Canadian study presented as abstract</w:t>
      </w:r>
      <w:r w:rsidR="00FE25E5" w:rsidRPr="004F0998">
        <w:rPr>
          <w:rFonts w:ascii="Book Antiqua" w:hAnsi="Book Antiqua"/>
          <w:color w:val="auto"/>
          <w:vertAlign w:val="superscript"/>
          <w:lang w:val="en-US"/>
        </w:rPr>
        <w:t>[20]</w:t>
      </w:r>
      <w:r w:rsidR="002778FA" w:rsidRPr="004F0998">
        <w:rPr>
          <w:rFonts w:ascii="Book Antiqua" w:hAnsi="Book Antiqua"/>
          <w:color w:val="auto"/>
          <w:lang w:val="en-US"/>
        </w:rPr>
        <w:t>. Bressler</w:t>
      </w:r>
      <w:r w:rsidRPr="004F0998">
        <w:rPr>
          <w:rFonts w:ascii="Book Antiqua" w:hAnsi="Book Antiqua"/>
          <w:color w:val="auto"/>
          <w:lang w:val="en-US"/>
        </w:rPr>
        <w:t xml:space="preserve"> </w:t>
      </w:r>
      <w:r w:rsidR="004F0998" w:rsidRPr="004F0998">
        <w:rPr>
          <w:rFonts w:ascii="Book Antiqua" w:hAnsi="Book Antiqua"/>
          <w:i/>
          <w:color w:val="auto"/>
        </w:rPr>
        <w:t>et al</w:t>
      </w:r>
      <w:r w:rsidR="004F0998" w:rsidRPr="004F0998">
        <w:rPr>
          <w:rFonts w:ascii="Book Antiqua" w:hAnsi="Book Antiqua"/>
          <w:color w:val="auto"/>
          <w:vertAlign w:val="superscript"/>
        </w:rPr>
        <w:t>[</w:t>
      </w:r>
      <w:r w:rsidR="004F0998" w:rsidRPr="004F0998">
        <w:rPr>
          <w:rFonts w:ascii="Book Antiqua" w:hAnsi="Book Antiqua" w:hint="eastAsia"/>
          <w:color w:val="auto"/>
          <w:vertAlign w:val="superscript"/>
          <w:lang w:eastAsia="zh-CN"/>
        </w:rPr>
        <w:t>20</w:t>
      </w:r>
      <w:r w:rsidR="004F0998" w:rsidRPr="004F0998">
        <w:rPr>
          <w:rFonts w:ascii="Book Antiqua" w:hAnsi="Book Antiqua"/>
          <w:color w:val="auto"/>
          <w:vertAlign w:val="superscript"/>
        </w:rPr>
        <w:t>]</w:t>
      </w:r>
      <w:r w:rsidR="004F0998" w:rsidRPr="004F0998">
        <w:rPr>
          <w:rFonts w:ascii="Book Antiqua" w:hAnsi="Book Antiqua" w:hint="eastAsia"/>
          <w:color w:val="auto"/>
          <w:vertAlign w:val="superscript"/>
          <w:lang w:eastAsia="zh-CN"/>
        </w:rPr>
        <w:t xml:space="preserve"> </w:t>
      </w:r>
      <w:r w:rsidRPr="004F0998">
        <w:rPr>
          <w:rFonts w:ascii="Book Antiqua" w:hAnsi="Book Antiqua"/>
          <w:color w:val="auto"/>
          <w:lang w:val="en-US"/>
        </w:rPr>
        <w:t>presented in the form of an abstract</w:t>
      </w:r>
      <w:r w:rsidR="00993688" w:rsidRPr="004F0998">
        <w:rPr>
          <w:rFonts w:ascii="Book Antiqua" w:hAnsi="Book Antiqua"/>
          <w:color w:val="auto"/>
          <w:lang w:val="en-US"/>
        </w:rPr>
        <w:t xml:space="preserve"> </w:t>
      </w:r>
      <w:r w:rsidRPr="004F0998">
        <w:rPr>
          <w:rFonts w:ascii="Book Antiqua" w:hAnsi="Book Antiqua"/>
          <w:color w:val="auto"/>
          <w:lang w:val="en-US"/>
        </w:rPr>
        <w:t>the preliminary results of a nationwide study</w:t>
      </w:r>
      <w:r w:rsidR="00993688" w:rsidRPr="004F0998">
        <w:rPr>
          <w:rFonts w:ascii="Book Antiqua" w:hAnsi="Book Antiqua"/>
          <w:color w:val="auto"/>
          <w:lang w:val="en-US"/>
        </w:rPr>
        <w:t xml:space="preserve"> in Canada that</w:t>
      </w:r>
      <w:r w:rsidRPr="004F0998">
        <w:rPr>
          <w:rFonts w:ascii="Book Antiqua" w:hAnsi="Book Antiqua"/>
          <w:color w:val="auto"/>
          <w:lang w:val="en-US"/>
        </w:rPr>
        <w:t xml:space="preserve"> included 136 UC patients treated with </w:t>
      </w:r>
      <w:r w:rsidR="001E796F" w:rsidRPr="004F0998">
        <w:rPr>
          <w:rFonts w:ascii="Book Antiqua" w:hAnsi="Book Antiqua"/>
          <w:color w:val="auto"/>
          <w:lang w:val="en-US"/>
        </w:rPr>
        <w:t>golimumab</w:t>
      </w:r>
      <w:r w:rsidRPr="004F0998">
        <w:rPr>
          <w:rFonts w:ascii="Book Antiqua" w:hAnsi="Book Antiqua"/>
          <w:color w:val="auto"/>
          <w:lang w:val="en-US"/>
        </w:rPr>
        <w:t xml:space="preserve">, 72.1% of </w:t>
      </w:r>
      <w:r w:rsidR="00993688" w:rsidRPr="004F0998">
        <w:rPr>
          <w:rFonts w:ascii="Book Antiqua" w:hAnsi="Book Antiqua"/>
          <w:color w:val="auto"/>
          <w:lang w:val="en-US"/>
        </w:rPr>
        <w:t>which</w:t>
      </w:r>
      <w:r w:rsidRPr="004F0998">
        <w:rPr>
          <w:rFonts w:ascii="Book Antiqua" w:hAnsi="Book Antiqua"/>
          <w:color w:val="auto"/>
          <w:lang w:val="en-US"/>
        </w:rPr>
        <w:t xml:space="preserve"> were anti-TNF naïve, which might explain why they did not find differences. In accordance with our results, Taxonera </w:t>
      </w:r>
      <w:r w:rsidR="004F0998" w:rsidRPr="004F0998">
        <w:rPr>
          <w:rFonts w:ascii="Book Antiqua" w:hAnsi="Book Antiqua"/>
          <w:i/>
          <w:color w:val="auto"/>
        </w:rPr>
        <w:t>et al</w:t>
      </w:r>
      <w:r w:rsidR="004F0998" w:rsidRPr="004F0998">
        <w:rPr>
          <w:rFonts w:ascii="Book Antiqua" w:hAnsi="Book Antiqua"/>
          <w:color w:val="auto"/>
          <w:vertAlign w:val="superscript"/>
        </w:rPr>
        <w:t>[</w:t>
      </w:r>
      <w:r w:rsidR="004F0998" w:rsidRPr="004F0998">
        <w:rPr>
          <w:rFonts w:ascii="Book Antiqua" w:hAnsi="Book Antiqua" w:hint="eastAsia"/>
          <w:color w:val="auto"/>
          <w:vertAlign w:val="superscript"/>
          <w:lang w:eastAsia="zh-CN"/>
        </w:rPr>
        <w:t>17</w:t>
      </w:r>
      <w:r w:rsidR="004F0998" w:rsidRPr="004F0998">
        <w:rPr>
          <w:rFonts w:ascii="Book Antiqua" w:hAnsi="Book Antiqua"/>
          <w:color w:val="auto"/>
          <w:vertAlign w:val="superscript"/>
        </w:rPr>
        <w:t>]</w:t>
      </w:r>
      <w:r w:rsidR="004F0998" w:rsidRPr="004F0998">
        <w:rPr>
          <w:rFonts w:ascii="Book Antiqua" w:hAnsi="Book Antiqua" w:hint="eastAsia"/>
          <w:color w:val="auto"/>
          <w:vertAlign w:val="superscript"/>
          <w:lang w:eastAsia="zh-CN"/>
        </w:rPr>
        <w:t xml:space="preserve"> </w:t>
      </w:r>
      <w:r w:rsidRPr="004F0998">
        <w:rPr>
          <w:rFonts w:ascii="Book Antiqua" w:hAnsi="Book Antiqua"/>
          <w:color w:val="auto"/>
          <w:lang w:val="en-US"/>
        </w:rPr>
        <w:t>had a sample that included 80% o</w:t>
      </w:r>
      <w:r w:rsidR="00993688" w:rsidRPr="004F0998">
        <w:rPr>
          <w:rFonts w:ascii="Book Antiqua" w:hAnsi="Book Antiqua"/>
          <w:color w:val="auto"/>
          <w:lang w:val="en-US"/>
        </w:rPr>
        <w:t>f anti-TNF experienced patients;</w:t>
      </w:r>
      <w:r w:rsidRPr="004F0998">
        <w:rPr>
          <w:rFonts w:ascii="Book Antiqua" w:hAnsi="Book Antiqua"/>
          <w:color w:val="auto"/>
          <w:lang w:val="en-US"/>
        </w:rPr>
        <w:t xml:space="preserve"> they observed significantly lower clinical response and remission rates in anti-TNF experienced patients when compared to naïve. </w:t>
      </w:r>
    </w:p>
    <w:p w:rsidR="00653AD2" w:rsidRPr="004F0998" w:rsidRDefault="00A7777F" w:rsidP="00E729BA">
      <w:pPr>
        <w:widowControl w:val="0"/>
        <w:spacing w:after="0" w:line="360" w:lineRule="auto"/>
        <w:ind w:firstLine="708"/>
        <w:jc w:val="both"/>
        <w:rPr>
          <w:rFonts w:ascii="Book Antiqua" w:hAnsi="Book Antiqua" w:cs="Times New Roman"/>
          <w:color w:val="auto"/>
          <w:sz w:val="24"/>
          <w:szCs w:val="24"/>
        </w:rPr>
      </w:pPr>
      <w:r w:rsidRPr="004F0998">
        <w:rPr>
          <w:rFonts w:ascii="Book Antiqua" w:hAnsi="Book Antiqua"/>
          <w:color w:val="auto"/>
          <w:sz w:val="24"/>
          <w:szCs w:val="24"/>
        </w:rPr>
        <w:t xml:space="preserve">The reduction of fecal calprotectin with </w:t>
      </w:r>
      <w:r w:rsidR="001E796F" w:rsidRPr="004F0998">
        <w:rPr>
          <w:rFonts w:ascii="Book Antiqua" w:hAnsi="Book Antiqua"/>
          <w:color w:val="auto"/>
          <w:sz w:val="24"/>
          <w:szCs w:val="24"/>
        </w:rPr>
        <w:t>golimumab</w:t>
      </w:r>
      <w:r w:rsidRPr="004F0998">
        <w:rPr>
          <w:rFonts w:ascii="Book Antiqua" w:hAnsi="Book Antiqua"/>
          <w:color w:val="auto"/>
          <w:sz w:val="24"/>
          <w:szCs w:val="24"/>
        </w:rPr>
        <w:t xml:space="preserve"> treatment </w:t>
      </w:r>
      <w:r w:rsidR="00993688" w:rsidRPr="004F0998">
        <w:rPr>
          <w:rFonts w:ascii="Book Antiqua" w:hAnsi="Book Antiqua"/>
          <w:color w:val="auto"/>
          <w:sz w:val="24"/>
          <w:szCs w:val="24"/>
        </w:rPr>
        <w:t xml:space="preserve">that </w:t>
      </w:r>
      <w:r w:rsidRPr="004F0998">
        <w:rPr>
          <w:rFonts w:ascii="Book Antiqua" w:hAnsi="Book Antiqua"/>
          <w:color w:val="auto"/>
          <w:sz w:val="24"/>
          <w:szCs w:val="24"/>
        </w:rPr>
        <w:t xml:space="preserve">we </w:t>
      </w:r>
      <w:r w:rsidR="00993688" w:rsidRPr="004F0998">
        <w:rPr>
          <w:rFonts w:ascii="Book Antiqua" w:hAnsi="Book Antiqua"/>
          <w:color w:val="auto"/>
          <w:sz w:val="24"/>
          <w:szCs w:val="24"/>
        </w:rPr>
        <w:t>observed</w:t>
      </w:r>
      <w:r w:rsidRPr="004F0998">
        <w:rPr>
          <w:rFonts w:ascii="Book Antiqua" w:hAnsi="Book Antiqua"/>
          <w:color w:val="auto"/>
          <w:sz w:val="24"/>
          <w:szCs w:val="24"/>
        </w:rPr>
        <w:t xml:space="preserve"> is encouraging but </w:t>
      </w:r>
      <w:r w:rsidR="00993688" w:rsidRPr="004F0998">
        <w:rPr>
          <w:rFonts w:ascii="Book Antiqua" w:hAnsi="Book Antiqua"/>
          <w:color w:val="auto"/>
          <w:sz w:val="24"/>
          <w:szCs w:val="24"/>
        </w:rPr>
        <w:t xml:space="preserve">the finding </w:t>
      </w:r>
      <w:r w:rsidRPr="004F0998">
        <w:rPr>
          <w:rFonts w:ascii="Book Antiqua" w:hAnsi="Book Antiqua"/>
          <w:color w:val="auto"/>
          <w:sz w:val="24"/>
          <w:szCs w:val="24"/>
        </w:rPr>
        <w:t>should be taken with caution because of the fe</w:t>
      </w:r>
      <w:r w:rsidR="00993688" w:rsidRPr="004F0998">
        <w:rPr>
          <w:rFonts w:ascii="Book Antiqua" w:hAnsi="Book Antiqua"/>
          <w:color w:val="auto"/>
          <w:sz w:val="24"/>
          <w:szCs w:val="24"/>
        </w:rPr>
        <w:t>w centers that had the determination</w:t>
      </w:r>
      <w:r w:rsidRPr="004F0998">
        <w:rPr>
          <w:rFonts w:ascii="Book Antiqua" w:hAnsi="Book Antiqua"/>
          <w:color w:val="auto"/>
          <w:sz w:val="24"/>
          <w:szCs w:val="24"/>
        </w:rPr>
        <w:t xml:space="preserve"> available. It should be contrasted with future studies which include a larger number of patients and samples to see what factors are related with calprotectin normalization, which is known to go</w:t>
      </w:r>
      <w:r w:rsidR="00450AE9" w:rsidRPr="004F0998">
        <w:rPr>
          <w:rFonts w:ascii="Book Antiqua" w:hAnsi="Book Antiqua"/>
          <w:color w:val="auto"/>
          <w:sz w:val="24"/>
          <w:szCs w:val="24"/>
        </w:rPr>
        <w:t xml:space="preserve"> hand</w:t>
      </w:r>
      <w:r w:rsidRPr="004F0998">
        <w:rPr>
          <w:rFonts w:ascii="Book Antiqua" w:hAnsi="Book Antiqua"/>
          <w:color w:val="auto"/>
          <w:sz w:val="24"/>
          <w:szCs w:val="24"/>
        </w:rPr>
        <w:t xml:space="preserve"> in hand with mucosal healing. This is also the case for the CRP; </w:t>
      </w:r>
      <w:r w:rsidR="00450AE9" w:rsidRPr="004F0998">
        <w:rPr>
          <w:rFonts w:ascii="Book Antiqua" w:hAnsi="Book Antiqua"/>
          <w:color w:val="auto"/>
          <w:sz w:val="24"/>
          <w:szCs w:val="24"/>
        </w:rPr>
        <w:t xml:space="preserve">that </w:t>
      </w:r>
      <w:r w:rsidRPr="004F0998">
        <w:rPr>
          <w:rFonts w:ascii="Book Antiqua" w:hAnsi="Book Antiqua"/>
          <w:color w:val="auto"/>
          <w:sz w:val="24"/>
          <w:szCs w:val="24"/>
        </w:rPr>
        <w:t xml:space="preserve">the reduction did not reach significance </w:t>
      </w:r>
      <w:r w:rsidR="00450AE9" w:rsidRPr="004F0998">
        <w:rPr>
          <w:rFonts w:ascii="Book Antiqua" w:hAnsi="Book Antiqua"/>
          <w:color w:val="auto"/>
          <w:sz w:val="24"/>
          <w:szCs w:val="24"/>
        </w:rPr>
        <w:t>may be</w:t>
      </w:r>
      <w:r w:rsidRPr="004F0998">
        <w:rPr>
          <w:rFonts w:ascii="Book Antiqua" w:hAnsi="Book Antiqua"/>
          <w:color w:val="auto"/>
          <w:sz w:val="24"/>
          <w:szCs w:val="24"/>
        </w:rPr>
        <w:t xml:space="preserve"> because of the small sample size in each CRP group.</w:t>
      </w:r>
      <w:r w:rsidR="00653AD2" w:rsidRPr="004F0998">
        <w:rPr>
          <w:rFonts w:ascii="Book Antiqua" w:hAnsi="Book Antiqua" w:cs="Times New Roman"/>
          <w:color w:val="auto"/>
          <w:sz w:val="24"/>
          <w:szCs w:val="24"/>
        </w:rPr>
        <w:t xml:space="preserve"> </w:t>
      </w:r>
    </w:p>
    <w:p w:rsidR="00653AD2" w:rsidRPr="004F0998" w:rsidRDefault="00653AD2" w:rsidP="00E729BA">
      <w:pPr>
        <w:widowControl w:val="0"/>
        <w:spacing w:after="0" w:line="360" w:lineRule="auto"/>
        <w:ind w:firstLine="708"/>
        <w:jc w:val="both"/>
        <w:rPr>
          <w:rFonts w:ascii="Book Antiqua" w:hAnsi="Book Antiqua" w:cs="Times New Roman"/>
          <w:color w:val="auto"/>
          <w:sz w:val="24"/>
          <w:szCs w:val="24"/>
        </w:rPr>
      </w:pPr>
      <w:r w:rsidRPr="004F0998">
        <w:rPr>
          <w:rFonts w:ascii="Book Antiqua" w:hAnsi="Book Antiqua" w:cs="Times New Roman"/>
          <w:color w:val="auto"/>
          <w:sz w:val="24"/>
          <w:szCs w:val="24"/>
        </w:rPr>
        <w:t xml:space="preserve">The endoscopic images of a patient who responded to treatment are shown </w:t>
      </w:r>
      <w:r w:rsidR="002553DA" w:rsidRPr="004F0998">
        <w:rPr>
          <w:rFonts w:ascii="Book Antiqua" w:hAnsi="Book Antiqua" w:cs="Times New Roman"/>
          <w:color w:val="auto"/>
          <w:sz w:val="24"/>
          <w:szCs w:val="24"/>
        </w:rPr>
        <w:t>below</w:t>
      </w:r>
      <w:r w:rsidRPr="004F0998">
        <w:rPr>
          <w:rFonts w:ascii="Book Antiqua" w:hAnsi="Book Antiqua" w:cs="Times New Roman"/>
          <w:color w:val="auto"/>
          <w:sz w:val="24"/>
          <w:szCs w:val="24"/>
        </w:rPr>
        <w:t xml:space="preserve"> (</w:t>
      </w:r>
      <w:r w:rsidR="006B1249" w:rsidRPr="004F0998">
        <w:rPr>
          <w:rFonts w:ascii="Book Antiqua" w:hAnsi="Book Antiqua" w:cs="Times New Roman"/>
          <w:color w:val="auto"/>
          <w:sz w:val="24"/>
          <w:szCs w:val="24"/>
        </w:rPr>
        <w:t>Figure</w:t>
      </w:r>
      <w:r w:rsidR="006B1249">
        <w:rPr>
          <w:rFonts w:ascii="Book Antiqua" w:hAnsi="Book Antiqua" w:cs="Times New Roman" w:hint="eastAsia"/>
          <w:color w:val="auto"/>
          <w:sz w:val="24"/>
          <w:szCs w:val="24"/>
          <w:lang w:eastAsia="zh-CN"/>
        </w:rPr>
        <w:t xml:space="preserve"> </w:t>
      </w:r>
      <w:r w:rsidR="006B1249">
        <w:rPr>
          <w:rFonts w:ascii="Book Antiqua" w:hAnsi="Book Antiqua" w:cs="Times New Roman"/>
          <w:color w:val="auto"/>
          <w:sz w:val="24"/>
          <w:szCs w:val="24"/>
          <w:lang w:eastAsia="zh-CN"/>
        </w:rPr>
        <w:t>1</w:t>
      </w:r>
      <w:r w:rsidRPr="004F0998">
        <w:rPr>
          <w:rFonts w:ascii="Book Antiqua" w:hAnsi="Book Antiqua" w:cs="Times New Roman"/>
          <w:color w:val="auto"/>
          <w:sz w:val="24"/>
          <w:szCs w:val="24"/>
        </w:rPr>
        <w:t>). Improvement was outstanding; the mucosa went from a Mayo score of 3 to 0 (normal macroscopic mucosa). Since the study was based on daily practice, many patients did not have a control endoscopy, and many of the ones that did have it, did not have pictures taken. Although changes were sometimes quite remarkable, they were not taken into account when analyzing the results because endoscopic improvement was not part of the objectives and, therefore, the data was not prospectively included in all cases.</w:t>
      </w:r>
    </w:p>
    <w:p w:rsidR="00EB4BCE" w:rsidRPr="004F0998" w:rsidRDefault="00A7777F" w:rsidP="00E729BA">
      <w:pPr>
        <w:pStyle w:val="NormalWeb"/>
        <w:spacing w:beforeAutospacing="0" w:after="0" w:afterAutospacing="0" w:line="360" w:lineRule="auto"/>
        <w:ind w:firstLineChars="150" w:firstLine="360"/>
        <w:jc w:val="both"/>
        <w:rPr>
          <w:rFonts w:ascii="Book Antiqua" w:hAnsi="Book Antiqua"/>
          <w:color w:val="auto"/>
          <w:lang w:val="en-US"/>
        </w:rPr>
      </w:pPr>
      <w:r w:rsidRPr="004F0998">
        <w:rPr>
          <w:rFonts w:ascii="Book Antiqua" w:hAnsi="Book Antiqua"/>
          <w:color w:val="auto"/>
          <w:lang w:val="en-US"/>
        </w:rPr>
        <w:lastRenderedPageBreak/>
        <w:t>Adverse dr</w:t>
      </w:r>
      <w:r w:rsidR="00450AE9" w:rsidRPr="004F0998">
        <w:rPr>
          <w:rFonts w:ascii="Book Antiqua" w:hAnsi="Book Antiqua"/>
          <w:color w:val="auto"/>
          <w:lang w:val="en-US"/>
        </w:rPr>
        <w:t>ug events were limited and mild</w:t>
      </w:r>
      <w:r w:rsidRPr="004F0998">
        <w:rPr>
          <w:rFonts w:ascii="Book Antiqua" w:hAnsi="Book Antiqua"/>
          <w:color w:val="auto"/>
          <w:lang w:val="en-US"/>
        </w:rPr>
        <w:t xml:space="preserve"> in our cohort of patients. </w:t>
      </w:r>
      <w:r w:rsidR="001E796F" w:rsidRPr="004F0998">
        <w:rPr>
          <w:rFonts w:ascii="Book Antiqua" w:hAnsi="Book Antiqua"/>
          <w:color w:val="auto"/>
          <w:lang w:val="en-US"/>
        </w:rPr>
        <w:t>Golimumab</w:t>
      </w:r>
      <w:r w:rsidRPr="004F0998">
        <w:rPr>
          <w:rFonts w:ascii="Book Antiqua" w:hAnsi="Book Antiqua"/>
          <w:color w:val="auto"/>
          <w:lang w:val="en-US"/>
        </w:rPr>
        <w:t xml:space="preserve"> seemed quite safe and was only related to the appearance of two urine infections and one case of nauseas. This is in line with what has been </w:t>
      </w:r>
      <w:r w:rsidR="00450AE9" w:rsidRPr="004F0998">
        <w:rPr>
          <w:rFonts w:ascii="Book Antiqua" w:hAnsi="Book Antiqua"/>
          <w:color w:val="auto"/>
          <w:lang w:val="en-US"/>
        </w:rPr>
        <w:t xml:space="preserve">reported </w:t>
      </w:r>
      <w:r w:rsidRPr="004F0998">
        <w:rPr>
          <w:rFonts w:ascii="Book Antiqua" w:hAnsi="Book Antiqua"/>
          <w:color w:val="auto"/>
          <w:lang w:val="en-US"/>
        </w:rPr>
        <w:t>by others in abstract form</w:t>
      </w:r>
      <w:r w:rsidR="00FE25E5" w:rsidRPr="004F0998">
        <w:rPr>
          <w:rFonts w:ascii="Book Antiqua" w:hAnsi="Book Antiqua"/>
          <w:color w:val="auto"/>
          <w:vertAlign w:val="superscript"/>
          <w:lang w:val="en-US"/>
        </w:rPr>
        <w:t>[21]</w:t>
      </w:r>
      <w:r w:rsidRPr="004F0998">
        <w:rPr>
          <w:rFonts w:ascii="Book Antiqua" w:hAnsi="Book Antiqua"/>
          <w:color w:val="auto"/>
          <w:lang w:val="en-US"/>
        </w:rPr>
        <w:t>.</w:t>
      </w:r>
    </w:p>
    <w:p w:rsidR="00EB4BCE" w:rsidRPr="004F0998" w:rsidRDefault="00A7777F" w:rsidP="00E729BA">
      <w:pPr>
        <w:pStyle w:val="NormalWeb"/>
        <w:spacing w:beforeAutospacing="0" w:after="0" w:afterAutospacing="0" w:line="360" w:lineRule="auto"/>
        <w:ind w:firstLineChars="150" w:firstLine="360"/>
        <w:jc w:val="both"/>
        <w:rPr>
          <w:rFonts w:ascii="Book Antiqua" w:eastAsiaTheme="minorEastAsia" w:hAnsi="Book Antiqua"/>
          <w:color w:val="auto"/>
          <w:lang w:val="en-US" w:eastAsia="zh-CN"/>
        </w:rPr>
      </w:pPr>
      <w:r w:rsidRPr="004F0998">
        <w:rPr>
          <w:rFonts w:ascii="Book Antiqua" w:hAnsi="Book Antiqua"/>
          <w:color w:val="auto"/>
          <w:lang w:val="en-US"/>
        </w:rPr>
        <w:t>This study, to our knowledge, is one of the first real-life experience prospective studies with</w:t>
      </w:r>
      <w:r w:rsidR="00450AE9" w:rsidRPr="004F0998">
        <w:rPr>
          <w:rFonts w:ascii="Book Antiqua" w:hAnsi="Book Antiqua"/>
          <w:color w:val="auto"/>
          <w:lang w:val="en-US"/>
        </w:rPr>
        <w:t xml:space="preserve"> </w:t>
      </w:r>
      <w:r w:rsidR="001E796F" w:rsidRPr="004F0998">
        <w:rPr>
          <w:rFonts w:ascii="Book Antiqua" w:hAnsi="Book Antiqua"/>
          <w:color w:val="auto"/>
          <w:lang w:val="en-US"/>
        </w:rPr>
        <w:t>golimumab</w:t>
      </w:r>
      <w:r w:rsidRPr="004F0998">
        <w:rPr>
          <w:rFonts w:ascii="Book Antiqua" w:hAnsi="Book Antiqua"/>
          <w:color w:val="auto"/>
          <w:lang w:val="en-US"/>
        </w:rPr>
        <w:t xml:space="preserve"> to be published. Although the results have to be taken with caution because, to-date, there are only two prospective and one retrospective studies published (Detrez</w:t>
      </w:r>
      <w:r w:rsidR="002778FA" w:rsidRPr="004F0998">
        <w:rPr>
          <w:rFonts w:ascii="Book Antiqua" w:hAnsi="Book Antiqua"/>
          <w:color w:val="auto"/>
          <w:lang w:val="en-US"/>
        </w:rPr>
        <w:t xml:space="preserve"> et al’s</w:t>
      </w:r>
      <w:r w:rsidRPr="004F0998">
        <w:rPr>
          <w:rFonts w:ascii="Book Antiqua" w:hAnsi="Book Antiqua"/>
          <w:color w:val="auto"/>
          <w:lang w:val="en-US"/>
        </w:rPr>
        <w:t xml:space="preserve">, Castro </w:t>
      </w:r>
      <w:r w:rsidR="002778FA" w:rsidRPr="004F0998">
        <w:rPr>
          <w:rFonts w:ascii="Book Antiqua" w:hAnsi="Book Antiqua"/>
          <w:color w:val="auto"/>
          <w:lang w:val="en-US"/>
        </w:rPr>
        <w:t xml:space="preserve">et al’s </w:t>
      </w:r>
      <w:r w:rsidRPr="004F0998">
        <w:rPr>
          <w:rFonts w:ascii="Book Antiqua" w:hAnsi="Book Antiqua"/>
          <w:color w:val="auto"/>
          <w:lang w:val="en-US"/>
        </w:rPr>
        <w:t xml:space="preserve">and ours) and </w:t>
      </w:r>
      <w:r w:rsidR="002778FA" w:rsidRPr="004F0998">
        <w:rPr>
          <w:rFonts w:ascii="Book Antiqua" w:hAnsi="Book Antiqua"/>
          <w:color w:val="auto"/>
          <w:lang w:val="en-US"/>
        </w:rPr>
        <w:t xml:space="preserve">they </w:t>
      </w:r>
      <w:r w:rsidRPr="004F0998">
        <w:rPr>
          <w:rFonts w:ascii="Book Antiqua" w:hAnsi="Book Antiqua"/>
          <w:color w:val="auto"/>
          <w:lang w:val="en-US"/>
        </w:rPr>
        <w:t xml:space="preserve">all include small sample sizes (23, 21 and 33, respectively), </w:t>
      </w:r>
      <w:r w:rsidR="00450AE9" w:rsidRPr="004F0998">
        <w:rPr>
          <w:rFonts w:ascii="Book Antiqua" w:hAnsi="Book Antiqua"/>
          <w:color w:val="auto"/>
          <w:lang w:val="en-US"/>
        </w:rPr>
        <w:t xml:space="preserve">the studies do offer </w:t>
      </w:r>
      <w:r w:rsidRPr="004F0998">
        <w:rPr>
          <w:rFonts w:ascii="Book Antiqua" w:hAnsi="Book Antiqua"/>
          <w:color w:val="auto"/>
          <w:lang w:val="en-US"/>
        </w:rPr>
        <w:t xml:space="preserve">promising results because they confirm the efficacy of this new anti-TNF in real-life practice. In our study, </w:t>
      </w:r>
      <w:r w:rsidR="001E796F" w:rsidRPr="004F0998">
        <w:rPr>
          <w:rFonts w:ascii="Book Antiqua" w:hAnsi="Book Antiqua"/>
          <w:color w:val="auto"/>
          <w:lang w:val="en-US"/>
        </w:rPr>
        <w:t>golimumab</w:t>
      </w:r>
      <w:r w:rsidRPr="004F0998">
        <w:rPr>
          <w:rFonts w:ascii="Book Antiqua" w:hAnsi="Book Antiqua"/>
          <w:color w:val="auto"/>
          <w:lang w:val="en-US"/>
        </w:rPr>
        <w:t xml:space="preserve"> allows steroid-sparing in a high number of steroid-depend</w:t>
      </w:r>
      <w:r w:rsidR="00447B51" w:rsidRPr="004F0998">
        <w:rPr>
          <w:rFonts w:ascii="Book Antiqua" w:hAnsi="Book Antiqua"/>
          <w:color w:val="auto"/>
          <w:lang w:val="en-US"/>
        </w:rPr>
        <w:t>e</w:t>
      </w:r>
      <w:r w:rsidRPr="004F0998">
        <w:rPr>
          <w:rFonts w:ascii="Book Antiqua" w:hAnsi="Book Antiqua"/>
          <w:color w:val="auto"/>
          <w:lang w:val="en-US"/>
        </w:rPr>
        <w:t>nt patients</w:t>
      </w:r>
      <w:r w:rsidR="00450AE9" w:rsidRPr="004F0998">
        <w:rPr>
          <w:rFonts w:ascii="Book Antiqua" w:hAnsi="Book Antiqua"/>
          <w:color w:val="auto"/>
          <w:lang w:val="en-US"/>
        </w:rPr>
        <w:t>.</w:t>
      </w:r>
      <w:r w:rsidRPr="004F0998">
        <w:rPr>
          <w:rFonts w:ascii="Book Antiqua" w:hAnsi="Book Antiqua"/>
          <w:color w:val="auto"/>
          <w:lang w:val="en-US"/>
        </w:rPr>
        <w:t xml:space="preserve"> </w:t>
      </w:r>
      <w:r w:rsidR="00450AE9" w:rsidRPr="004F0998">
        <w:rPr>
          <w:rFonts w:ascii="Book Antiqua" w:hAnsi="Book Antiqua"/>
          <w:color w:val="auto"/>
          <w:lang w:val="en-US"/>
        </w:rPr>
        <w:t>I</w:t>
      </w:r>
      <w:r w:rsidRPr="004F0998">
        <w:rPr>
          <w:rFonts w:ascii="Book Antiqua" w:hAnsi="Book Antiqua"/>
          <w:color w:val="auto"/>
          <w:lang w:val="en-US"/>
        </w:rPr>
        <w:t xml:space="preserve">t is associated to good clinical response in the first 14 </w:t>
      </w:r>
      <w:r w:rsidR="004F0998">
        <w:rPr>
          <w:rFonts w:ascii="Book Antiqua" w:hAnsi="Book Antiqua" w:hint="eastAsia"/>
          <w:color w:val="auto"/>
          <w:lang w:val="en-US" w:eastAsia="zh-CN"/>
        </w:rPr>
        <w:t>wk</w:t>
      </w:r>
      <w:r w:rsidR="00450AE9" w:rsidRPr="004F0998">
        <w:rPr>
          <w:rFonts w:ascii="Book Antiqua" w:hAnsi="Book Antiqua"/>
          <w:color w:val="auto"/>
          <w:lang w:val="en-US"/>
        </w:rPr>
        <w:t>. I</w:t>
      </w:r>
      <w:r w:rsidRPr="004F0998">
        <w:rPr>
          <w:rFonts w:ascii="Book Antiqua" w:hAnsi="Book Antiqua"/>
          <w:color w:val="auto"/>
          <w:lang w:val="en-US"/>
        </w:rPr>
        <w:t>t may even be more effective in anti-TNF naïve patients, although it is also a compelling treatment for experienced anti-TNF patients. More studies should be performed and w</w:t>
      </w:r>
      <w:r w:rsidR="00450AE9" w:rsidRPr="004F0998">
        <w:rPr>
          <w:rFonts w:ascii="Book Antiqua" w:hAnsi="Book Antiqua"/>
          <w:color w:val="auto"/>
          <w:lang w:val="en-US"/>
        </w:rPr>
        <w:t>ill hopefully be published soon</w:t>
      </w:r>
      <w:r w:rsidRPr="004F0998">
        <w:rPr>
          <w:rFonts w:ascii="Book Antiqua" w:hAnsi="Book Antiqua"/>
          <w:color w:val="auto"/>
          <w:lang w:val="en-US"/>
        </w:rPr>
        <w:t xml:space="preserve"> to confirm these conclusions.</w:t>
      </w:r>
    </w:p>
    <w:p w:rsidR="004F0998" w:rsidRPr="004F0998" w:rsidRDefault="004F0998" w:rsidP="00E729BA">
      <w:pPr>
        <w:pStyle w:val="NormalWeb"/>
        <w:spacing w:beforeAutospacing="0" w:after="0" w:afterAutospacing="0" w:line="360" w:lineRule="auto"/>
        <w:ind w:firstLineChars="150" w:firstLine="360"/>
        <w:jc w:val="both"/>
        <w:rPr>
          <w:rFonts w:ascii="Book Antiqua" w:eastAsiaTheme="minorEastAsia" w:hAnsi="Book Antiqua"/>
          <w:color w:val="auto"/>
          <w:lang w:val="en-US" w:eastAsia="zh-CN"/>
        </w:rPr>
      </w:pPr>
    </w:p>
    <w:p w:rsidR="0064691D" w:rsidRPr="004F0998" w:rsidRDefault="0064691D" w:rsidP="00E729BA">
      <w:pPr>
        <w:spacing w:after="0" w:line="360" w:lineRule="auto"/>
        <w:jc w:val="both"/>
        <w:rPr>
          <w:rFonts w:ascii="Book Antiqua" w:hAnsi="Book Antiqua"/>
          <w:b/>
          <w:color w:val="auto"/>
          <w:sz w:val="24"/>
          <w:szCs w:val="24"/>
        </w:rPr>
      </w:pPr>
      <w:bookmarkStart w:id="57" w:name="OLE_LINK595"/>
      <w:bookmarkStart w:id="58" w:name="OLE_LINK596"/>
      <w:bookmarkStart w:id="59" w:name="OLE_LINK573"/>
      <w:bookmarkStart w:id="60" w:name="OLE_LINK574"/>
      <w:bookmarkStart w:id="61" w:name="OLE_LINK591"/>
      <w:r w:rsidRPr="004F0998">
        <w:rPr>
          <w:rFonts w:ascii="Book Antiqua" w:hAnsi="Book Antiqua"/>
          <w:b/>
          <w:color w:val="auto"/>
          <w:sz w:val="24"/>
          <w:szCs w:val="24"/>
        </w:rPr>
        <w:t>COMMENTS</w:t>
      </w:r>
    </w:p>
    <w:p w:rsidR="004F0998" w:rsidRPr="004F0998" w:rsidRDefault="004F0998" w:rsidP="00E729BA">
      <w:pPr>
        <w:pStyle w:val="Bibliografia"/>
        <w:spacing w:line="360" w:lineRule="auto"/>
        <w:rPr>
          <w:rFonts w:ascii="Book Antiqua" w:eastAsiaTheme="minorEastAsia" w:hAnsi="Book Antiqua"/>
          <w:color w:val="auto"/>
          <w:lang w:eastAsia="zh-CN"/>
        </w:rPr>
      </w:pPr>
      <w:r w:rsidRPr="004F0998">
        <w:rPr>
          <w:rFonts w:ascii="Book Antiqua" w:hAnsi="Book Antiqua"/>
          <w:b/>
          <w:bCs/>
          <w:i/>
          <w:color w:val="auto"/>
        </w:rPr>
        <w:t>Background</w:t>
      </w:r>
      <w:r w:rsidRPr="004F0998">
        <w:rPr>
          <w:rFonts w:ascii="Book Antiqua" w:hAnsi="Book Antiqua"/>
          <w:color w:val="auto"/>
        </w:rPr>
        <w:t xml:space="preserve"> </w:t>
      </w:r>
    </w:p>
    <w:p w:rsidR="004F0998" w:rsidRPr="004F0998" w:rsidRDefault="00F846D0" w:rsidP="00E729BA">
      <w:pPr>
        <w:pStyle w:val="Bibliografia"/>
        <w:spacing w:line="360" w:lineRule="auto"/>
        <w:rPr>
          <w:rFonts w:ascii="Book Antiqua" w:eastAsiaTheme="minorEastAsia" w:hAnsi="Book Antiqua"/>
          <w:color w:val="auto"/>
          <w:lang w:eastAsia="zh-CN"/>
        </w:rPr>
      </w:pPr>
      <w:r w:rsidRPr="004F0998">
        <w:rPr>
          <w:rFonts w:ascii="Book Antiqua" w:hAnsi="Book Antiqua"/>
          <w:color w:val="auto"/>
        </w:rPr>
        <w:t xml:space="preserve">Pivotal studies have demonstrated golimumab’s benefits in moderate or severe ulcerative colitis (UC), </w:t>
      </w:r>
      <w:r w:rsidR="002553DA" w:rsidRPr="004F0998">
        <w:rPr>
          <w:rFonts w:ascii="Book Antiqua" w:hAnsi="Book Antiqua"/>
          <w:color w:val="auto"/>
        </w:rPr>
        <w:t>but</w:t>
      </w:r>
      <w:r w:rsidRPr="004F0998">
        <w:rPr>
          <w:rFonts w:ascii="Book Antiqua" w:hAnsi="Book Antiqua"/>
          <w:color w:val="auto"/>
        </w:rPr>
        <w:t xml:space="preserve"> since golimumab was accepted for clinical practice quite recently, real-life studies are still scarce. </w:t>
      </w:r>
    </w:p>
    <w:p w:rsidR="004F0998" w:rsidRPr="004F0998" w:rsidRDefault="004F0998" w:rsidP="00E729BA">
      <w:pPr>
        <w:pStyle w:val="Bibliografia"/>
        <w:spacing w:line="360" w:lineRule="auto"/>
        <w:rPr>
          <w:rFonts w:ascii="Book Antiqua" w:eastAsiaTheme="minorEastAsia" w:hAnsi="Book Antiqua"/>
          <w:color w:val="auto"/>
          <w:lang w:eastAsia="zh-CN"/>
        </w:rPr>
      </w:pPr>
    </w:p>
    <w:p w:rsidR="004F0998" w:rsidRPr="004F0998" w:rsidRDefault="004F0998" w:rsidP="00E729BA">
      <w:pPr>
        <w:pStyle w:val="Bibliografia"/>
        <w:spacing w:line="360" w:lineRule="auto"/>
        <w:rPr>
          <w:rFonts w:ascii="Book Antiqua" w:eastAsiaTheme="minorEastAsia" w:hAnsi="Book Antiqua"/>
          <w:color w:val="auto"/>
          <w:lang w:eastAsia="zh-CN"/>
        </w:rPr>
      </w:pPr>
      <w:r w:rsidRPr="004F0998">
        <w:rPr>
          <w:rFonts w:ascii="Book Antiqua" w:hAnsi="Book Antiqua"/>
          <w:b/>
          <w:bCs/>
          <w:i/>
          <w:color w:val="auto"/>
        </w:rPr>
        <w:t>Research frontiers</w:t>
      </w:r>
      <w:r w:rsidRPr="004F0998">
        <w:rPr>
          <w:rFonts w:ascii="Book Antiqua" w:hAnsi="Book Antiqua"/>
          <w:color w:val="auto"/>
        </w:rPr>
        <w:t xml:space="preserve"> </w:t>
      </w:r>
    </w:p>
    <w:p w:rsidR="004F0998" w:rsidRPr="004F0998" w:rsidRDefault="00F846D0" w:rsidP="00E729BA">
      <w:pPr>
        <w:pStyle w:val="Bibliografia"/>
        <w:spacing w:line="360" w:lineRule="auto"/>
        <w:rPr>
          <w:rFonts w:ascii="Book Antiqua" w:eastAsiaTheme="minorEastAsia" w:hAnsi="Book Antiqua"/>
          <w:color w:val="auto"/>
          <w:lang w:eastAsia="zh-CN"/>
        </w:rPr>
      </w:pPr>
      <w:r w:rsidRPr="004F0998">
        <w:rPr>
          <w:rFonts w:ascii="Book Antiqua" w:hAnsi="Book Antiqua"/>
          <w:color w:val="auto"/>
        </w:rPr>
        <w:t xml:space="preserve">This article presents the results of one of the first real-life short-term studies. This observational, prospective and multi-center study in moderate-severe UC patients, confirmed golimumab’s short-term (14 </w:t>
      </w:r>
      <w:r w:rsidR="004F0998" w:rsidRPr="004F0998">
        <w:rPr>
          <w:rFonts w:ascii="Book Antiqua" w:hAnsi="Book Antiqua" w:hint="eastAsia"/>
          <w:color w:val="auto"/>
          <w:lang w:eastAsia="zh-CN"/>
        </w:rPr>
        <w:t>wk</w:t>
      </w:r>
      <w:r w:rsidRPr="004F0998">
        <w:rPr>
          <w:rFonts w:ascii="Book Antiqua" w:hAnsi="Book Antiqua"/>
          <w:color w:val="auto"/>
        </w:rPr>
        <w:t xml:space="preserve">) effectiveness. </w:t>
      </w:r>
    </w:p>
    <w:p w:rsidR="004F0998" w:rsidRPr="004F0998" w:rsidRDefault="004F0998" w:rsidP="00E729BA">
      <w:pPr>
        <w:pStyle w:val="Bibliografia"/>
        <w:spacing w:line="360" w:lineRule="auto"/>
        <w:rPr>
          <w:rFonts w:ascii="Book Antiqua" w:eastAsiaTheme="minorEastAsia" w:hAnsi="Book Antiqua"/>
          <w:color w:val="auto"/>
          <w:lang w:eastAsia="zh-CN"/>
        </w:rPr>
      </w:pPr>
    </w:p>
    <w:p w:rsidR="004F0998" w:rsidRPr="004F0998" w:rsidRDefault="004F0998" w:rsidP="00E729BA">
      <w:pPr>
        <w:pStyle w:val="Bibliografia"/>
        <w:spacing w:line="360" w:lineRule="auto"/>
        <w:rPr>
          <w:rFonts w:ascii="Book Antiqua" w:eastAsiaTheme="minorEastAsia" w:hAnsi="Book Antiqua"/>
          <w:color w:val="auto"/>
          <w:lang w:eastAsia="zh-CN"/>
        </w:rPr>
      </w:pPr>
      <w:r w:rsidRPr="004F0998">
        <w:rPr>
          <w:rFonts w:ascii="Book Antiqua" w:hAnsi="Book Antiqua"/>
          <w:b/>
          <w:bCs/>
          <w:i/>
          <w:color w:val="auto"/>
        </w:rPr>
        <w:t>Innovations and breakthroughs</w:t>
      </w:r>
    </w:p>
    <w:p w:rsidR="004F0998" w:rsidRPr="004F0998" w:rsidRDefault="00F846D0" w:rsidP="00E729BA">
      <w:pPr>
        <w:pStyle w:val="Bibliografia"/>
        <w:spacing w:line="360" w:lineRule="auto"/>
        <w:rPr>
          <w:rFonts w:ascii="Book Antiqua" w:eastAsiaTheme="minorEastAsia" w:hAnsi="Book Antiqua"/>
          <w:color w:val="auto"/>
          <w:lang w:eastAsia="zh-CN"/>
        </w:rPr>
      </w:pPr>
      <w:r w:rsidRPr="004F0998">
        <w:rPr>
          <w:rFonts w:ascii="Book Antiqua" w:hAnsi="Book Antiqua"/>
          <w:color w:val="auto"/>
        </w:rPr>
        <w:t xml:space="preserve">A high percentage of patients had responded and were off steroids at the end of follow-up. No severe adverse events were observed. Intensification (reducing </w:t>
      </w:r>
      <w:r w:rsidRPr="004F0998">
        <w:rPr>
          <w:rFonts w:ascii="Book Antiqua" w:hAnsi="Book Antiqua"/>
          <w:color w:val="auto"/>
        </w:rPr>
        <w:lastRenderedPageBreak/>
        <w:t xml:space="preserve">the drug administration interval or increasing the dosage) may be useful in many slow-to-respond cases. </w:t>
      </w:r>
    </w:p>
    <w:p w:rsidR="004F0998" w:rsidRPr="004F0998" w:rsidRDefault="004F0998" w:rsidP="00E729BA">
      <w:pPr>
        <w:pStyle w:val="Bibliografia"/>
        <w:spacing w:line="360" w:lineRule="auto"/>
        <w:rPr>
          <w:rFonts w:ascii="Book Antiqua" w:eastAsiaTheme="minorEastAsia" w:hAnsi="Book Antiqua"/>
          <w:color w:val="auto"/>
          <w:lang w:eastAsia="zh-CN"/>
        </w:rPr>
      </w:pPr>
    </w:p>
    <w:p w:rsidR="004F0998" w:rsidRPr="004F0998" w:rsidRDefault="004F0998" w:rsidP="00E729BA">
      <w:pPr>
        <w:pStyle w:val="Bibliografia"/>
        <w:spacing w:line="360" w:lineRule="auto"/>
        <w:rPr>
          <w:rFonts w:ascii="Book Antiqua" w:eastAsiaTheme="minorEastAsia" w:hAnsi="Book Antiqua"/>
          <w:color w:val="auto"/>
          <w:lang w:eastAsia="zh-CN"/>
        </w:rPr>
      </w:pPr>
      <w:r w:rsidRPr="004F0998">
        <w:rPr>
          <w:rFonts w:ascii="Book Antiqua" w:hAnsi="Book Antiqua"/>
          <w:b/>
          <w:bCs/>
          <w:i/>
          <w:color w:val="auto"/>
        </w:rPr>
        <w:t>Applications</w:t>
      </w:r>
      <w:r w:rsidRPr="004F0998">
        <w:rPr>
          <w:rFonts w:ascii="Book Antiqua" w:hAnsi="Book Antiqua"/>
          <w:color w:val="auto"/>
        </w:rPr>
        <w:t xml:space="preserve"> </w:t>
      </w:r>
    </w:p>
    <w:p w:rsidR="00F846D0" w:rsidRPr="004F0998" w:rsidRDefault="00F846D0" w:rsidP="00E729BA">
      <w:pPr>
        <w:pStyle w:val="Bibliografia"/>
        <w:spacing w:line="360" w:lineRule="auto"/>
        <w:rPr>
          <w:rFonts w:ascii="Book Antiqua" w:eastAsiaTheme="minorEastAsia" w:hAnsi="Book Antiqua"/>
          <w:color w:val="auto"/>
          <w:lang w:eastAsia="zh-CN"/>
        </w:rPr>
      </w:pPr>
      <w:r w:rsidRPr="004F0998">
        <w:rPr>
          <w:rFonts w:ascii="Book Antiqua" w:hAnsi="Book Antiqua"/>
          <w:color w:val="auto"/>
        </w:rPr>
        <w:t>This supports the use of golimumab in real-life practice. Future studies are necessary to confirm the drug’s long-term benefit.</w:t>
      </w:r>
    </w:p>
    <w:p w:rsidR="004F0998" w:rsidRPr="004F0998" w:rsidRDefault="004F0998" w:rsidP="00E729BA">
      <w:pPr>
        <w:pStyle w:val="Bibliografia"/>
        <w:spacing w:line="360" w:lineRule="auto"/>
        <w:rPr>
          <w:rFonts w:ascii="Book Antiqua" w:eastAsiaTheme="minorEastAsia" w:hAnsi="Book Antiqua"/>
          <w:color w:val="auto"/>
          <w:lang w:eastAsia="zh-CN"/>
        </w:rPr>
      </w:pPr>
    </w:p>
    <w:p w:rsidR="004F0998" w:rsidRPr="004F0998" w:rsidRDefault="004F0998" w:rsidP="00E729BA">
      <w:pPr>
        <w:pStyle w:val="Bibliografia"/>
        <w:spacing w:line="360" w:lineRule="auto"/>
        <w:rPr>
          <w:rFonts w:ascii="Book Antiqua" w:eastAsiaTheme="minorEastAsia" w:hAnsi="Book Antiqua"/>
          <w:b/>
          <w:i/>
          <w:color w:val="auto"/>
          <w:lang w:eastAsia="zh-CN"/>
        </w:rPr>
      </w:pPr>
      <w:r w:rsidRPr="004F0998">
        <w:rPr>
          <w:rFonts w:ascii="Book Antiqua" w:eastAsiaTheme="minorEastAsia" w:hAnsi="Book Antiqua"/>
          <w:b/>
          <w:i/>
          <w:color w:val="auto"/>
          <w:lang w:eastAsia="zh-CN"/>
        </w:rPr>
        <w:t>P</w:t>
      </w:r>
      <w:r w:rsidRPr="004F0998">
        <w:rPr>
          <w:rFonts w:ascii="Book Antiqua" w:eastAsiaTheme="minorEastAsia" w:hAnsi="Book Antiqua" w:hint="eastAsia"/>
          <w:b/>
          <w:i/>
          <w:color w:val="auto"/>
          <w:lang w:eastAsia="zh-CN"/>
        </w:rPr>
        <w:t>eer-review</w:t>
      </w:r>
    </w:p>
    <w:p w:rsidR="00F846D0" w:rsidRPr="004F0998" w:rsidRDefault="004F0998" w:rsidP="00E729BA">
      <w:pPr>
        <w:suppressAutoHyphens w:val="0"/>
        <w:spacing w:after="0" w:line="360" w:lineRule="auto"/>
        <w:jc w:val="both"/>
        <w:rPr>
          <w:rFonts w:ascii="Book Antiqua" w:eastAsia="Optima" w:hAnsi="Book Antiqua" w:cs="Optima"/>
          <w:color w:val="auto"/>
          <w:sz w:val="24"/>
          <w:szCs w:val="24"/>
          <w:lang w:eastAsia="en-US"/>
        </w:rPr>
      </w:pPr>
      <w:r w:rsidRPr="004F0998">
        <w:rPr>
          <w:rFonts w:ascii="Book Antiqua" w:hAnsi="Book Antiqua"/>
          <w:color w:val="auto"/>
          <w:sz w:val="24"/>
          <w:szCs w:val="24"/>
        </w:rPr>
        <w:t xml:space="preserve">The authors present interesting data about the role of </w:t>
      </w:r>
      <w:r w:rsidR="00074F8D" w:rsidRPr="004F0998">
        <w:rPr>
          <w:rFonts w:ascii="Book Antiqua" w:hAnsi="Book Antiqua"/>
          <w:color w:val="auto"/>
          <w:sz w:val="24"/>
          <w:szCs w:val="24"/>
        </w:rPr>
        <w:t xml:space="preserve">golimumab </w:t>
      </w:r>
      <w:r w:rsidRPr="004F0998">
        <w:rPr>
          <w:rFonts w:ascii="Book Antiqua" w:hAnsi="Book Antiqua"/>
          <w:color w:val="auto"/>
          <w:sz w:val="24"/>
          <w:szCs w:val="24"/>
        </w:rPr>
        <w:t>in short-term effectiveness therapy of UC. The authors report that a real-life practice study endorses golimumab’s promising results, demonstrating its short-term effectiveness and confirming it as a safe drug, during the induction phase. The manuscript is well written, has important clinical message, and should be of great interest to the readers.</w:t>
      </w:r>
      <w:r w:rsidR="00F846D0" w:rsidRPr="004F0998">
        <w:rPr>
          <w:rFonts w:ascii="Book Antiqua" w:hAnsi="Book Antiqua"/>
          <w:color w:val="auto"/>
          <w:sz w:val="24"/>
          <w:szCs w:val="24"/>
        </w:rPr>
        <w:br w:type="page"/>
      </w:r>
    </w:p>
    <w:p w:rsidR="00EB4BCE" w:rsidRDefault="0064691D" w:rsidP="00E729BA">
      <w:pPr>
        <w:autoSpaceDE w:val="0"/>
        <w:autoSpaceDN w:val="0"/>
        <w:adjustRightInd w:val="0"/>
        <w:snapToGrid w:val="0"/>
        <w:spacing w:after="0" w:line="360" w:lineRule="auto"/>
        <w:jc w:val="both"/>
        <w:rPr>
          <w:rFonts w:ascii="Book Antiqua" w:hAnsi="Book Antiqua" w:cs="Times New Roman"/>
          <w:color w:val="auto"/>
          <w:sz w:val="24"/>
          <w:szCs w:val="24"/>
          <w:lang w:eastAsia="zh-CN"/>
        </w:rPr>
      </w:pPr>
      <w:bookmarkStart w:id="62" w:name="OLE_LINK346"/>
      <w:bookmarkStart w:id="63" w:name="OLE_LINK347"/>
      <w:bookmarkEnd w:id="57"/>
      <w:bookmarkEnd w:id="58"/>
      <w:bookmarkEnd w:id="59"/>
      <w:bookmarkEnd w:id="60"/>
      <w:bookmarkEnd w:id="61"/>
      <w:r w:rsidRPr="004F0998">
        <w:rPr>
          <w:rFonts w:ascii="Book Antiqua" w:hAnsi="Book Antiqua" w:cs="Arial"/>
          <w:b/>
          <w:color w:val="auto"/>
          <w:sz w:val="24"/>
          <w:szCs w:val="24"/>
        </w:rPr>
        <w:lastRenderedPageBreak/>
        <w:t>REFERENCES</w:t>
      </w:r>
      <w:bookmarkEnd w:id="62"/>
      <w:bookmarkEnd w:id="63"/>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1 </w:t>
      </w:r>
      <w:r w:rsidRPr="00073FA4">
        <w:rPr>
          <w:rFonts w:ascii="Book Antiqua" w:eastAsia="SimSun" w:hAnsi="Book Antiqua" w:cs="SimSun"/>
          <w:b/>
          <w:bCs/>
          <w:sz w:val="24"/>
          <w:szCs w:val="24"/>
        </w:rPr>
        <w:t>Danese S</w:t>
      </w:r>
      <w:r w:rsidRPr="00073FA4">
        <w:rPr>
          <w:rFonts w:ascii="Book Antiqua" w:eastAsia="SimSun" w:hAnsi="Book Antiqua" w:cs="SimSun"/>
          <w:sz w:val="24"/>
          <w:szCs w:val="24"/>
        </w:rPr>
        <w:t>, Fiocchi C. Ulcerative colitis. </w:t>
      </w:r>
      <w:r w:rsidRPr="00073FA4">
        <w:rPr>
          <w:rFonts w:ascii="Book Antiqua" w:eastAsia="SimSun" w:hAnsi="Book Antiqua" w:cs="SimSun"/>
          <w:i/>
          <w:iCs/>
          <w:sz w:val="24"/>
          <w:szCs w:val="24"/>
        </w:rPr>
        <w:t>N Engl J Med</w:t>
      </w:r>
      <w:r w:rsidRPr="00073FA4">
        <w:rPr>
          <w:rFonts w:ascii="Book Antiqua" w:eastAsia="SimSun" w:hAnsi="Book Antiqua" w:cs="SimSun"/>
          <w:sz w:val="24"/>
          <w:szCs w:val="24"/>
        </w:rPr>
        <w:t> 2011; </w:t>
      </w:r>
      <w:r w:rsidRPr="00073FA4">
        <w:rPr>
          <w:rFonts w:ascii="Book Antiqua" w:eastAsia="SimSun" w:hAnsi="Book Antiqua" w:cs="SimSun"/>
          <w:b/>
          <w:bCs/>
          <w:sz w:val="24"/>
          <w:szCs w:val="24"/>
        </w:rPr>
        <w:t>365</w:t>
      </w:r>
      <w:r w:rsidRPr="00073FA4">
        <w:rPr>
          <w:rFonts w:ascii="Book Antiqua" w:eastAsia="SimSun" w:hAnsi="Book Antiqua" w:cs="SimSun"/>
          <w:sz w:val="24"/>
          <w:szCs w:val="24"/>
        </w:rPr>
        <w:t>: 1713-1725 [PMID: 22047562 DOI: 10.1056/NEJMra1102942</w:t>
      </w:r>
      <w:r>
        <w:rPr>
          <w:rFonts w:ascii="Book Antiqua" w:eastAsia="SimSun" w:hAnsi="Book Antiqua" w:cs="SimSun"/>
          <w:sz w:val="24"/>
          <w:szCs w:val="24"/>
        </w:rPr>
        <w:t>]</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2 </w:t>
      </w:r>
      <w:r w:rsidRPr="00073FA4">
        <w:rPr>
          <w:rFonts w:ascii="Book Antiqua" w:eastAsia="SimSun" w:hAnsi="Book Antiqua" w:cs="SimSun"/>
          <w:b/>
          <w:bCs/>
          <w:sz w:val="24"/>
          <w:szCs w:val="24"/>
        </w:rPr>
        <w:t>Ordás I</w:t>
      </w:r>
      <w:r w:rsidRPr="00073FA4">
        <w:rPr>
          <w:rFonts w:ascii="Book Antiqua" w:eastAsia="SimSun" w:hAnsi="Book Antiqua" w:cs="SimSun"/>
          <w:sz w:val="24"/>
          <w:szCs w:val="24"/>
        </w:rPr>
        <w:t>, Eckmann L, Talamini M, Baumgart DC, Sandborn WJ. Ulcerative colitis. </w:t>
      </w:r>
      <w:r w:rsidRPr="00073FA4">
        <w:rPr>
          <w:rFonts w:ascii="Book Antiqua" w:eastAsia="SimSun" w:hAnsi="Book Antiqua" w:cs="SimSun"/>
          <w:i/>
          <w:iCs/>
          <w:sz w:val="24"/>
          <w:szCs w:val="24"/>
        </w:rPr>
        <w:t>Lancet</w:t>
      </w:r>
      <w:r w:rsidRPr="00073FA4">
        <w:rPr>
          <w:rFonts w:ascii="Book Antiqua" w:eastAsia="SimSun" w:hAnsi="Book Antiqua" w:cs="SimSun"/>
          <w:sz w:val="24"/>
          <w:szCs w:val="24"/>
        </w:rPr>
        <w:t> 2012; </w:t>
      </w:r>
      <w:r w:rsidRPr="00073FA4">
        <w:rPr>
          <w:rFonts w:ascii="Book Antiqua" w:eastAsia="SimSun" w:hAnsi="Book Antiqua" w:cs="SimSun"/>
          <w:b/>
          <w:bCs/>
          <w:sz w:val="24"/>
          <w:szCs w:val="24"/>
        </w:rPr>
        <w:t>380</w:t>
      </w:r>
      <w:r w:rsidRPr="00073FA4">
        <w:rPr>
          <w:rFonts w:ascii="Book Antiqua" w:eastAsia="SimSun" w:hAnsi="Book Antiqua" w:cs="SimSun"/>
          <w:sz w:val="24"/>
          <w:szCs w:val="24"/>
        </w:rPr>
        <w:t>: 1606-1619 [PMID: 22914296 DOI: 10.1016/S0140-6736(12)60150-0</w:t>
      </w:r>
      <w:r>
        <w:rPr>
          <w:rFonts w:ascii="Book Antiqua" w:eastAsia="SimSun" w:hAnsi="Book Antiqua" w:cs="SimSun"/>
          <w:sz w:val="24"/>
          <w:szCs w:val="24"/>
        </w:rPr>
        <w:t>]</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3 </w:t>
      </w:r>
      <w:r w:rsidRPr="00073FA4">
        <w:rPr>
          <w:rFonts w:ascii="Book Antiqua" w:eastAsia="SimSun" w:hAnsi="Book Antiqua" w:cs="SimSun"/>
          <w:b/>
          <w:bCs/>
          <w:sz w:val="24"/>
          <w:szCs w:val="24"/>
        </w:rPr>
        <w:t>da Silva BC</w:t>
      </w:r>
      <w:r w:rsidRPr="00073FA4">
        <w:rPr>
          <w:rFonts w:ascii="Book Antiqua" w:eastAsia="SimSun" w:hAnsi="Book Antiqua" w:cs="SimSun"/>
          <w:sz w:val="24"/>
          <w:szCs w:val="24"/>
        </w:rPr>
        <w:t>, Lyra AC, Rocha R, Santana GO. Epidemiology, demographic characteristics and prognostic predictors of ulcerative colitis. </w:t>
      </w:r>
      <w:r w:rsidRPr="00073FA4">
        <w:rPr>
          <w:rFonts w:ascii="Book Antiqua" w:eastAsia="SimSun" w:hAnsi="Book Antiqua" w:cs="SimSun"/>
          <w:i/>
          <w:iCs/>
          <w:sz w:val="24"/>
          <w:szCs w:val="24"/>
        </w:rPr>
        <w:t>World J Gastroenterol</w:t>
      </w:r>
      <w:r w:rsidRPr="00073FA4">
        <w:rPr>
          <w:rFonts w:ascii="Book Antiqua" w:eastAsia="SimSun" w:hAnsi="Book Antiqua" w:cs="SimSun"/>
          <w:sz w:val="24"/>
          <w:szCs w:val="24"/>
        </w:rPr>
        <w:t> 2014; </w:t>
      </w:r>
      <w:r w:rsidRPr="00073FA4">
        <w:rPr>
          <w:rFonts w:ascii="Book Antiqua" w:eastAsia="SimSun" w:hAnsi="Book Antiqua" w:cs="SimSun"/>
          <w:b/>
          <w:bCs/>
          <w:sz w:val="24"/>
          <w:szCs w:val="24"/>
        </w:rPr>
        <w:t>20</w:t>
      </w:r>
      <w:r w:rsidRPr="00073FA4">
        <w:rPr>
          <w:rFonts w:ascii="Book Antiqua" w:eastAsia="SimSun" w:hAnsi="Book Antiqua" w:cs="SimSun"/>
          <w:sz w:val="24"/>
          <w:szCs w:val="24"/>
        </w:rPr>
        <w:t>: 9458-9467 [PMID: 25071340 DOI: 10.3748/wjg.v20.i28.9458</w:t>
      </w:r>
      <w:r>
        <w:rPr>
          <w:rFonts w:ascii="Book Antiqua" w:eastAsia="SimSun" w:hAnsi="Book Antiqua" w:cs="SimSun"/>
          <w:sz w:val="24"/>
          <w:szCs w:val="24"/>
        </w:rPr>
        <w:t>]</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4 </w:t>
      </w:r>
      <w:r w:rsidRPr="00073FA4">
        <w:rPr>
          <w:rFonts w:ascii="Book Antiqua" w:eastAsia="SimSun" w:hAnsi="Book Antiqua" w:cs="SimSun"/>
          <w:b/>
          <w:bCs/>
          <w:sz w:val="24"/>
          <w:szCs w:val="24"/>
        </w:rPr>
        <w:t>Carter MJ</w:t>
      </w:r>
      <w:r w:rsidRPr="00073FA4">
        <w:rPr>
          <w:rFonts w:ascii="Book Antiqua" w:eastAsia="SimSun" w:hAnsi="Book Antiqua" w:cs="SimSun"/>
          <w:sz w:val="24"/>
          <w:szCs w:val="24"/>
        </w:rPr>
        <w:t>, Lobo AJ, Travis SP. Guidelines for the management of inflammatory bowel disease in adults. </w:t>
      </w:r>
      <w:r w:rsidRPr="00073FA4">
        <w:rPr>
          <w:rFonts w:ascii="Book Antiqua" w:eastAsia="SimSun" w:hAnsi="Book Antiqua" w:cs="SimSun"/>
          <w:i/>
          <w:iCs/>
          <w:sz w:val="24"/>
          <w:szCs w:val="24"/>
        </w:rPr>
        <w:t>Gut</w:t>
      </w:r>
      <w:r w:rsidRPr="00073FA4">
        <w:rPr>
          <w:rFonts w:ascii="Book Antiqua" w:eastAsia="SimSun" w:hAnsi="Book Antiqua" w:cs="SimSun"/>
          <w:sz w:val="24"/>
          <w:szCs w:val="24"/>
        </w:rPr>
        <w:t> 2004; </w:t>
      </w:r>
      <w:r w:rsidRPr="00073FA4">
        <w:rPr>
          <w:rFonts w:ascii="Book Antiqua" w:eastAsia="SimSun" w:hAnsi="Book Antiqua" w:cs="SimSun"/>
          <w:b/>
          <w:bCs/>
          <w:sz w:val="24"/>
          <w:szCs w:val="24"/>
        </w:rPr>
        <w:t xml:space="preserve">53 </w:t>
      </w:r>
      <w:r w:rsidRPr="00073FA4">
        <w:rPr>
          <w:rFonts w:ascii="Book Antiqua" w:eastAsia="SimSun" w:hAnsi="Book Antiqua" w:cs="SimSun"/>
          <w:bCs/>
          <w:sz w:val="24"/>
          <w:szCs w:val="24"/>
        </w:rPr>
        <w:t>Suppl 5</w:t>
      </w:r>
      <w:r w:rsidRPr="00073FA4">
        <w:rPr>
          <w:rFonts w:ascii="Book Antiqua" w:eastAsia="SimSun" w:hAnsi="Book Antiqua" w:cs="SimSun"/>
          <w:sz w:val="24"/>
          <w:szCs w:val="24"/>
        </w:rPr>
        <w:t>: V1-16 [PMID: 15306569]</w:t>
      </w:r>
    </w:p>
    <w:p w:rsidR="00E729BA" w:rsidRPr="00073FA4" w:rsidRDefault="00E729BA" w:rsidP="00E729BA">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5 </w:t>
      </w:r>
      <w:r w:rsidRPr="00073FA4">
        <w:rPr>
          <w:rFonts w:ascii="Book Antiqua" w:eastAsia="SimSun" w:hAnsi="Book Antiqua" w:cs="SimSun"/>
          <w:b/>
          <w:sz w:val="24"/>
          <w:szCs w:val="24"/>
        </w:rPr>
        <w:t>Bartnik W</w:t>
      </w:r>
      <w:r w:rsidRPr="00073FA4">
        <w:rPr>
          <w:rFonts w:ascii="Book Antiqua" w:eastAsia="SimSun" w:hAnsi="Book Antiqua" w:cs="SimSun"/>
          <w:sz w:val="24"/>
          <w:szCs w:val="24"/>
        </w:rPr>
        <w:t>. Choroby jel</w:t>
      </w:r>
      <w:r>
        <w:rPr>
          <w:rFonts w:ascii="Book Antiqua" w:eastAsia="SimSun" w:hAnsi="Book Antiqua" w:cs="SimSun"/>
          <w:sz w:val="24"/>
          <w:szCs w:val="24"/>
        </w:rPr>
        <w:t>ita grubego. In</w:t>
      </w:r>
      <w:r>
        <w:rPr>
          <w:rFonts w:ascii="Book Antiqua" w:eastAsia="SimSun" w:hAnsi="Book Antiqua" w:cs="SimSun" w:hint="eastAsia"/>
          <w:sz w:val="24"/>
          <w:szCs w:val="24"/>
        </w:rPr>
        <w:t>:</w:t>
      </w:r>
      <w:r>
        <w:rPr>
          <w:rFonts w:ascii="Book Antiqua" w:eastAsia="SimSun" w:hAnsi="Book Antiqua" w:cs="SimSun"/>
          <w:sz w:val="24"/>
          <w:szCs w:val="24"/>
        </w:rPr>
        <w:t xml:space="preserve"> Gajewski P, ed</w:t>
      </w:r>
      <w:r w:rsidRPr="00073FA4">
        <w:rPr>
          <w:rFonts w:ascii="Book Antiqua" w:eastAsia="SimSun" w:hAnsi="Book Antiqua" w:cs="SimSun"/>
          <w:sz w:val="24"/>
          <w:szCs w:val="24"/>
        </w:rPr>
        <w:t>s. Interna Szczeklika – Podr</w:t>
      </w:r>
      <w:r w:rsidRPr="00073FA4">
        <w:rPr>
          <w:rFonts w:ascii="Book Antiqua" w:eastAsia="MS Mincho" w:hAnsi="Book Antiqua" w:cs="MS Mincho"/>
          <w:sz w:val="24"/>
          <w:szCs w:val="24"/>
        </w:rPr>
        <w:t>ę</w:t>
      </w:r>
      <w:r w:rsidRPr="00073FA4">
        <w:rPr>
          <w:rFonts w:ascii="Book Antiqua" w:eastAsia="SimSun" w:hAnsi="Book Antiqua" w:cs="SimSun"/>
          <w:sz w:val="24"/>
          <w:szCs w:val="24"/>
        </w:rPr>
        <w:t>cznik</w:t>
      </w:r>
      <w:r w:rsidRPr="00073FA4">
        <w:rPr>
          <w:rFonts w:ascii="Book Antiqua" w:hAnsi="Book Antiqua" w:cs="Times New Roman"/>
          <w:sz w:val="24"/>
          <w:szCs w:val="24"/>
        </w:rPr>
        <w:t xml:space="preserve"> </w:t>
      </w:r>
      <w:r w:rsidRPr="004F0998">
        <w:rPr>
          <w:rFonts w:ascii="Book Antiqua" w:hAnsi="Book Antiqua" w:cs="Times New Roman"/>
          <w:color w:val="auto"/>
          <w:sz w:val="24"/>
          <w:szCs w:val="24"/>
        </w:rPr>
        <w:t>chorób</w:t>
      </w:r>
      <w:r w:rsidRPr="00073FA4">
        <w:rPr>
          <w:rFonts w:ascii="Book Antiqua" w:eastAsia="SimSun" w:hAnsi="Book Antiqua" w:cs="SimSun"/>
          <w:sz w:val="24"/>
          <w:szCs w:val="24"/>
        </w:rPr>
        <w:t xml:space="preserve"> wewn</w:t>
      </w:r>
      <w:r w:rsidRPr="00073FA4">
        <w:rPr>
          <w:rFonts w:ascii="Book Antiqua" w:eastAsia="MS Mincho" w:hAnsi="Book Antiqua" w:cs="MS Mincho"/>
          <w:sz w:val="24"/>
          <w:szCs w:val="24"/>
        </w:rPr>
        <w:t>ę</w:t>
      </w:r>
      <w:r w:rsidRPr="00073FA4">
        <w:rPr>
          <w:rFonts w:ascii="Book Antiqua" w:eastAsia="SimSun" w:hAnsi="Book Antiqua" w:cs="SimSun"/>
          <w:sz w:val="24"/>
          <w:szCs w:val="24"/>
        </w:rPr>
        <w:t xml:space="preserve">trznych. Medycyna Praktyczna, </w:t>
      </w:r>
      <w:r w:rsidRPr="004F0998">
        <w:rPr>
          <w:rFonts w:ascii="Book Antiqua" w:hAnsi="Book Antiqua" w:cs="Times New Roman"/>
          <w:color w:val="auto"/>
          <w:sz w:val="24"/>
          <w:szCs w:val="24"/>
        </w:rPr>
        <w:t>Kraków</w:t>
      </w:r>
      <w:r>
        <w:rPr>
          <w:rFonts w:ascii="Book Antiqua" w:hAnsi="Book Antiqua" w:cs="Times New Roman" w:hint="eastAsia"/>
          <w:sz w:val="24"/>
          <w:szCs w:val="24"/>
        </w:rPr>
        <w:t>,</w:t>
      </w:r>
      <w:r w:rsidRPr="00073FA4">
        <w:rPr>
          <w:rFonts w:ascii="Book Antiqua" w:eastAsia="SimSun" w:hAnsi="Book Antiqua" w:cs="SimSun"/>
          <w:sz w:val="24"/>
          <w:szCs w:val="24"/>
        </w:rPr>
        <w:t xml:space="preserve"> 2015</w:t>
      </w:r>
      <w:r>
        <w:rPr>
          <w:rFonts w:ascii="Book Antiqua" w:eastAsia="SimSun" w:hAnsi="Book Antiqua" w:cs="SimSun" w:hint="eastAsia"/>
          <w:sz w:val="24"/>
          <w:szCs w:val="24"/>
        </w:rPr>
        <w:t>:</w:t>
      </w:r>
      <w:r w:rsidRPr="00073FA4">
        <w:rPr>
          <w:rFonts w:ascii="Book Antiqua" w:eastAsia="SimSun" w:hAnsi="Book Antiqua" w:cs="SimSun"/>
          <w:sz w:val="24"/>
          <w:szCs w:val="24"/>
        </w:rPr>
        <w:t xml:space="preserve"> 997 -1010</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6 </w:t>
      </w:r>
      <w:r w:rsidRPr="00073FA4">
        <w:rPr>
          <w:rFonts w:ascii="Book Antiqua" w:eastAsia="SimSun" w:hAnsi="Book Antiqua" w:cs="SimSun"/>
          <w:b/>
          <w:bCs/>
          <w:sz w:val="24"/>
          <w:szCs w:val="24"/>
        </w:rPr>
        <w:t>Mo</w:t>
      </w:r>
      <w:r w:rsidRPr="00073FA4">
        <w:rPr>
          <w:rFonts w:ascii="Book Antiqua" w:eastAsia="MS Mincho" w:hAnsi="Book Antiqua" w:cs="MS Mincho"/>
          <w:b/>
          <w:bCs/>
          <w:sz w:val="24"/>
          <w:szCs w:val="24"/>
        </w:rPr>
        <w:t>ć</w:t>
      </w:r>
      <w:r w:rsidRPr="00073FA4">
        <w:rPr>
          <w:rFonts w:ascii="Book Antiqua" w:eastAsia="SimSun" w:hAnsi="Book Antiqua" w:cs="SimSun"/>
          <w:b/>
          <w:bCs/>
          <w:sz w:val="24"/>
          <w:szCs w:val="24"/>
        </w:rPr>
        <w:t>ko P</w:t>
      </w:r>
      <w:r w:rsidRPr="00073FA4">
        <w:rPr>
          <w:rFonts w:ascii="Book Antiqua" w:eastAsia="SimSun" w:hAnsi="Book Antiqua" w:cs="SimSun"/>
          <w:sz w:val="24"/>
          <w:szCs w:val="24"/>
        </w:rPr>
        <w:t>, Kawalec P, Pilc A. Safety Profile of Biologic Drugs in the Therapy of Ulcerative Colitis: A Systematic Review and Network Meta-Analysis. </w:t>
      </w:r>
      <w:r w:rsidRPr="00073FA4">
        <w:rPr>
          <w:rFonts w:ascii="Book Antiqua" w:eastAsia="SimSun" w:hAnsi="Book Antiqua" w:cs="SimSun"/>
          <w:i/>
          <w:iCs/>
          <w:sz w:val="24"/>
          <w:szCs w:val="24"/>
        </w:rPr>
        <w:t>Pharmacotherapy</w:t>
      </w:r>
      <w:r w:rsidRPr="00073FA4">
        <w:rPr>
          <w:rFonts w:ascii="Book Antiqua" w:eastAsia="SimSun" w:hAnsi="Book Antiqua" w:cs="SimSun"/>
          <w:sz w:val="24"/>
          <w:szCs w:val="24"/>
        </w:rPr>
        <w:t> 2016; </w:t>
      </w:r>
      <w:r w:rsidRPr="00073FA4">
        <w:rPr>
          <w:rFonts w:ascii="Book Antiqua" w:eastAsia="SimSun" w:hAnsi="Book Antiqua" w:cs="SimSun"/>
          <w:b/>
          <w:bCs/>
          <w:sz w:val="24"/>
          <w:szCs w:val="24"/>
        </w:rPr>
        <w:t>36</w:t>
      </w:r>
      <w:r w:rsidRPr="00073FA4">
        <w:rPr>
          <w:rFonts w:ascii="Book Antiqua" w:eastAsia="SimSun" w:hAnsi="Book Antiqua" w:cs="SimSun"/>
          <w:sz w:val="24"/>
          <w:szCs w:val="24"/>
        </w:rPr>
        <w:t>: 870-879 [PMID: 27312826 DOI: 10.1002/phar.1785</w:t>
      </w:r>
      <w:r>
        <w:rPr>
          <w:rFonts w:ascii="Book Antiqua" w:eastAsia="SimSun" w:hAnsi="Book Antiqua" w:cs="SimSun"/>
          <w:sz w:val="24"/>
          <w:szCs w:val="24"/>
        </w:rPr>
        <w:t>]</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7 </w:t>
      </w:r>
      <w:r w:rsidRPr="00073FA4">
        <w:rPr>
          <w:rFonts w:ascii="Book Antiqua" w:eastAsia="SimSun" w:hAnsi="Book Antiqua" w:cs="SimSun"/>
          <w:b/>
          <w:bCs/>
          <w:sz w:val="24"/>
          <w:szCs w:val="24"/>
        </w:rPr>
        <w:t>Dignass A</w:t>
      </w:r>
      <w:r w:rsidRPr="00073FA4">
        <w:rPr>
          <w:rFonts w:ascii="Book Antiqua" w:eastAsia="SimSun" w:hAnsi="Book Antiqua" w:cs="SimSun"/>
          <w:sz w:val="24"/>
          <w:szCs w:val="24"/>
        </w:rPr>
        <w:t>, Lindsay JO, Sturm A, Windsor A, Colombel JF, Allez M, D'Haens G, D'Hoore A, Mantzaris G, Novacek G, Oresland T, Reinisch W, Sans M, Stange E, Vermeire S, Travis S, Van Assche G. Second European evidence-based consensus on the diagnosis and management of ulcerative colitis part 2: current management. </w:t>
      </w:r>
      <w:r w:rsidRPr="00073FA4">
        <w:rPr>
          <w:rFonts w:ascii="Book Antiqua" w:eastAsia="SimSun" w:hAnsi="Book Antiqua" w:cs="SimSun"/>
          <w:i/>
          <w:iCs/>
          <w:sz w:val="24"/>
          <w:szCs w:val="24"/>
        </w:rPr>
        <w:t>J Crohns Colitis</w:t>
      </w:r>
      <w:r w:rsidRPr="00073FA4">
        <w:rPr>
          <w:rFonts w:ascii="Book Antiqua" w:eastAsia="SimSun" w:hAnsi="Book Antiqua" w:cs="SimSun"/>
          <w:sz w:val="24"/>
          <w:szCs w:val="24"/>
        </w:rPr>
        <w:t> 2012; </w:t>
      </w:r>
      <w:r w:rsidRPr="00073FA4">
        <w:rPr>
          <w:rFonts w:ascii="Book Antiqua" w:eastAsia="SimSun" w:hAnsi="Book Antiqua" w:cs="SimSun"/>
          <w:b/>
          <w:bCs/>
          <w:sz w:val="24"/>
          <w:szCs w:val="24"/>
        </w:rPr>
        <w:t>6</w:t>
      </w:r>
      <w:r w:rsidRPr="00073FA4">
        <w:rPr>
          <w:rFonts w:ascii="Book Antiqua" w:eastAsia="SimSun" w:hAnsi="Book Antiqua" w:cs="SimSun"/>
          <w:sz w:val="24"/>
          <w:szCs w:val="24"/>
        </w:rPr>
        <w:t>: 991-1030 [PMID: 23040451 DOI: 10.1016/j.crohns.2012.09.002]</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8 </w:t>
      </w:r>
      <w:r w:rsidRPr="00073FA4">
        <w:rPr>
          <w:rFonts w:ascii="Book Antiqua" w:eastAsia="SimSun" w:hAnsi="Book Antiqua" w:cs="SimSun"/>
          <w:b/>
          <w:bCs/>
          <w:sz w:val="24"/>
          <w:szCs w:val="24"/>
        </w:rPr>
        <w:t>Pugliese D</w:t>
      </w:r>
      <w:r w:rsidRPr="00073FA4">
        <w:rPr>
          <w:rFonts w:ascii="Book Antiqua" w:eastAsia="SimSun" w:hAnsi="Book Antiqua" w:cs="SimSun"/>
          <w:sz w:val="24"/>
          <w:szCs w:val="24"/>
        </w:rPr>
        <w:t>, Felice C, Landi R, Papa A, Guidi L, Armuzzi A. Benefit-risk assessment of golimumab in the treatment of refractory ulcerative colitis. </w:t>
      </w:r>
      <w:r w:rsidRPr="00073FA4">
        <w:rPr>
          <w:rFonts w:ascii="Book Antiqua" w:eastAsia="SimSun" w:hAnsi="Book Antiqua" w:cs="SimSun"/>
          <w:i/>
          <w:iCs/>
          <w:sz w:val="24"/>
          <w:szCs w:val="24"/>
        </w:rPr>
        <w:t>Drug Healthc Patient Saf</w:t>
      </w:r>
      <w:r w:rsidRPr="00073FA4">
        <w:rPr>
          <w:rFonts w:ascii="Book Antiqua" w:eastAsia="SimSun" w:hAnsi="Book Antiqua" w:cs="SimSun"/>
          <w:sz w:val="24"/>
          <w:szCs w:val="24"/>
        </w:rPr>
        <w:t> 2016; </w:t>
      </w:r>
      <w:r w:rsidRPr="00073FA4">
        <w:rPr>
          <w:rFonts w:ascii="Book Antiqua" w:eastAsia="SimSun" w:hAnsi="Book Antiqua" w:cs="SimSun"/>
          <w:b/>
          <w:bCs/>
          <w:sz w:val="24"/>
          <w:szCs w:val="24"/>
        </w:rPr>
        <w:t>8</w:t>
      </w:r>
      <w:r w:rsidRPr="00073FA4">
        <w:rPr>
          <w:rFonts w:ascii="Book Antiqua" w:eastAsia="SimSun" w:hAnsi="Book Antiqua" w:cs="SimSun"/>
          <w:sz w:val="24"/>
          <w:szCs w:val="24"/>
        </w:rPr>
        <w:t>: 1-7 [PMID: 26893582 DOI: 10.2147/DHPS.S62649</w:t>
      </w:r>
      <w:r>
        <w:rPr>
          <w:rFonts w:ascii="Book Antiqua" w:eastAsia="SimSun" w:hAnsi="Book Antiqua" w:cs="SimSun"/>
          <w:sz w:val="24"/>
          <w:szCs w:val="24"/>
        </w:rPr>
        <w:t>]</w:t>
      </w:r>
    </w:p>
    <w:p w:rsidR="00E729BA" w:rsidRPr="00073FA4" w:rsidRDefault="00E729BA" w:rsidP="00E729BA">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9 </w:t>
      </w:r>
      <w:r w:rsidRPr="00073FA4">
        <w:rPr>
          <w:rFonts w:ascii="Book Antiqua" w:eastAsia="SimSun" w:hAnsi="Book Antiqua" w:cs="SimSun"/>
          <w:b/>
          <w:sz w:val="24"/>
          <w:szCs w:val="24"/>
        </w:rPr>
        <w:t>Silverberg MS</w:t>
      </w:r>
      <w:r w:rsidRPr="00073FA4">
        <w:rPr>
          <w:rFonts w:ascii="Book Antiqua" w:eastAsia="SimSun" w:hAnsi="Book Antiqua" w:cs="SimSun"/>
          <w:sz w:val="24"/>
          <w:szCs w:val="24"/>
        </w:rPr>
        <w:t>, Satsangi J, Ahmad T, Arnott ID, Bernstein CN, Brant SR, Caprilli R, Colombel JF, Gasche C, Geboes K, Jewell DP, Karban A, Loftus EV Jr,</w:t>
      </w:r>
      <w:r w:rsidRPr="00073FA4">
        <w:t xml:space="preserve"> </w:t>
      </w:r>
      <w:r w:rsidRPr="00073FA4">
        <w:rPr>
          <w:rFonts w:ascii="Book Antiqua" w:eastAsia="SimSun" w:hAnsi="Book Antiqua" w:cs="SimSun"/>
          <w:sz w:val="24"/>
          <w:szCs w:val="24"/>
        </w:rPr>
        <w:lastRenderedPageBreak/>
        <w:t xml:space="preserve">Peña AS, Riddell RH, Sachar DB, Schreiber S, Steinhart AH, Targan SR, Vermeire S, Warren BF.Toward an integrated clinical, molecular and serological classification of inflammatory bowel disease: Report of a working party of the 2005 Montreal World Congress of Gastroenterology. </w:t>
      </w:r>
      <w:r w:rsidRPr="00073FA4">
        <w:rPr>
          <w:rFonts w:ascii="Book Antiqua" w:eastAsia="SimSun" w:hAnsi="Book Antiqua" w:cs="SimSun"/>
          <w:i/>
          <w:sz w:val="24"/>
          <w:szCs w:val="24"/>
        </w:rPr>
        <w:t xml:space="preserve">Can J Gastroenterol </w:t>
      </w:r>
      <w:r w:rsidRPr="00073FA4">
        <w:rPr>
          <w:rFonts w:ascii="Book Antiqua" w:eastAsia="SimSun" w:hAnsi="Book Antiqua" w:cs="SimSun"/>
          <w:sz w:val="24"/>
          <w:szCs w:val="24"/>
        </w:rPr>
        <w:t>2005; 19</w:t>
      </w:r>
      <w:r>
        <w:rPr>
          <w:rFonts w:ascii="Book Antiqua" w:eastAsia="SimSun" w:hAnsi="Book Antiqua" w:cs="SimSun" w:hint="eastAsia"/>
          <w:sz w:val="24"/>
          <w:szCs w:val="24"/>
        </w:rPr>
        <w:t xml:space="preserve"> </w:t>
      </w:r>
      <w:r w:rsidRPr="00073FA4">
        <w:rPr>
          <w:rFonts w:ascii="Book Antiqua" w:eastAsia="SimSun" w:hAnsi="Book Antiqua" w:cs="SimSun"/>
          <w:sz w:val="24"/>
          <w:szCs w:val="24"/>
        </w:rPr>
        <w:t>(SupplA): 5A-36A</w:t>
      </w:r>
    </w:p>
    <w:p w:rsidR="00E729BA" w:rsidRPr="00073FA4" w:rsidRDefault="00E729BA" w:rsidP="00E729BA">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10 </w:t>
      </w:r>
      <w:r w:rsidRPr="00073FA4">
        <w:rPr>
          <w:rFonts w:ascii="Book Antiqua" w:eastAsia="SimSun" w:hAnsi="Book Antiqua" w:cs="SimSun"/>
          <w:sz w:val="24"/>
          <w:szCs w:val="24"/>
        </w:rPr>
        <w:t>Simponi Summary of Product Characteristics [online].</w:t>
      </w:r>
      <w:r>
        <w:rPr>
          <w:rFonts w:ascii="Book Antiqua" w:eastAsia="SimSun" w:hAnsi="Book Antiqua" w:cs="SimSun"/>
          <w:sz w:val="24"/>
          <w:szCs w:val="24"/>
        </w:rPr>
        <w:t xml:space="preserve"> Accessed January 27,</w:t>
      </w:r>
      <w:r>
        <w:rPr>
          <w:rFonts w:ascii="Book Antiqua" w:eastAsia="SimSun" w:hAnsi="Book Antiqua" w:cs="SimSun" w:hint="eastAsia"/>
          <w:sz w:val="24"/>
          <w:szCs w:val="24"/>
        </w:rPr>
        <w:t xml:space="preserve"> </w:t>
      </w:r>
      <w:r>
        <w:rPr>
          <w:rFonts w:ascii="Book Antiqua" w:eastAsia="SimSun" w:hAnsi="Book Antiqua" w:cs="SimSun"/>
          <w:sz w:val="24"/>
          <w:szCs w:val="24"/>
        </w:rPr>
        <w:t>2015.</w:t>
      </w:r>
      <w:r w:rsidRPr="00073FA4">
        <w:t xml:space="preserve"> </w:t>
      </w:r>
      <w:r w:rsidRPr="00073FA4">
        <w:rPr>
          <w:rFonts w:ascii="Book Antiqua" w:eastAsia="SimSun" w:hAnsi="Book Antiqua" w:cs="SimSun"/>
          <w:sz w:val="24"/>
          <w:szCs w:val="24"/>
        </w:rPr>
        <w:t>Available from: URL:</w:t>
      </w:r>
      <w:r>
        <w:rPr>
          <w:rFonts w:ascii="Book Antiqua" w:eastAsia="SimSun" w:hAnsi="Book Antiqua" w:cs="SimSun" w:hint="eastAsia"/>
          <w:sz w:val="24"/>
          <w:szCs w:val="24"/>
        </w:rPr>
        <w:t xml:space="preserve"> </w:t>
      </w:r>
      <w:r>
        <w:rPr>
          <w:rFonts w:ascii="Book Antiqua" w:eastAsia="SimSun" w:hAnsi="Book Antiqua" w:cs="SimSun"/>
          <w:sz w:val="24"/>
          <w:szCs w:val="24"/>
        </w:rPr>
        <w:t>http:</w:t>
      </w:r>
      <w:r w:rsidRPr="00073FA4">
        <w:rPr>
          <w:rFonts w:ascii="Book Antiqua" w:eastAsia="SimSun" w:hAnsi="Book Antiqua" w:cs="SimSun"/>
          <w:sz w:val="24"/>
          <w:szCs w:val="24"/>
        </w:rPr>
        <w:t>//www.ema.europa.eu/docs/en_GB/document_library/EPAR__Product_ Information/human/000992/WC500052368.pdf</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11 </w:t>
      </w:r>
      <w:r w:rsidRPr="00073FA4">
        <w:rPr>
          <w:rFonts w:ascii="Book Antiqua" w:eastAsia="SimSun" w:hAnsi="Book Antiqua" w:cs="SimSun"/>
          <w:b/>
          <w:bCs/>
          <w:sz w:val="24"/>
          <w:szCs w:val="24"/>
        </w:rPr>
        <w:t>Ferrante M</w:t>
      </w:r>
      <w:r w:rsidRPr="00073FA4">
        <w:rPr>
          <w:rFonts w:ascii="Book Antiqua" w:eastAsia="SimSun" w:hAnsi="Book Antiqua" w:cs="SimSun"/>
          <w:sz w:val="24"/>
          <w:szCs w:val="24"/>
        </w:rPr>
        <w:t>, Vermeire S, Katsanos KH, Noman M, Van Assche G, Schnitzler F, Arijs I, De Hertogh G, Hoffman I, Geboes JK, Rutgeerts P. Predictors of early response to infliximab in patients with ulcerative colitis. </w:t>
      </w:r>
      <w:r w:rsidRPr="00073FA4">
        <w:rPr>
          <w:rFonts w:ascii="Book Antiqua" w:eastAsia="SimSun" w:hAnsi="Book Antiqua" w:cs="SimSun"/>
          <w:i/>
          <w:iCs/>
          <w:sz w:val="24"/>
          <w:szCs w:val="24"/>
        </w:rPr>
        <w:t>Inflamm Bowel Dis</w:t>
      </w:r>
      <w:r w:rsidRPr="00073FA4">
        <w:rPr>
          <w:rFonts w:ascii="Book Antiqua" w:eastAsia="SimSun" w:hAnsi="Book Antiqua" w:cs="SimSun"/>
          <w:sz w:val="24"/>
          <w:szCs w:val="24"/>
        </w:rPr>
        <w:t> 2007; </w:t>
      </w:r>
      <w:r w:rsidRPr="00073FA4">
        <w:rPr>
          <w:rFonts w:ascii="Book Antiqua" w:eastAsia="SimSun" w:hAnsi="Book Antiqua" w:cs="SimSun"/>
          <w:b/>
          <w:bCs/>
          <w:sz w:val="24"/>
          <w:szCs w:val="24"/>
        </w:rPr>
        <w:t>13</w:t>
      </w:r>
      <w:r w:rsidRPr="00073FA4">
        <w:rPr>
          <w:rFonts w:ascii="Book Antiqua" w:eastAsia="SimSun" w:hAnsi="Book Antiqua" w:cs="SimSun"/>
          <w:sz w:val="24"/>
          <w:szCs w:val="24"/>
        </w:rPr>
        <w:t>: 123-128 [PMID: 17206703 DOI: 10.1002/ibd.20054]</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12 </w:t>
      </w:r>
      <w:r w:rsidRPr="00073FA4">
        <w:rPr>
          <w:rFonts w:ascii="Book Antiqua" w:eastAsia="SimSun" w:hAnsi="Book Antiqua" w:cs="SimSun"/>
          <w:b/>
          <w:bCs/>
          <w:sz w:val="24"/>
          <w:szCs w:val="24"/>
        </w:rPr>
        <w:t>Rutgeerts P</w:t>
      </w:r>
      <w:r w:rsidRPr="00073FA4">
        <w:rPr>
          <w:rFonts w:ascii="Book Antiqua" w:eastAsia="SimSun" w:hAnsi="Book Antiqua" w:cs="SimSun"/>
          <w:sz w:val="24"/>
          <w:szCs w:val="24"/>
        </w:rPr>
        <w:t>, Sandborn WJ, Feagan BG, Reinisch W, Olson A, Johanns J, Travers S, Rachmilewitz D, Hanauer SB, Lichtenstein GR, de Villiers WJ, Present D, Sands BE, Colombel JF. Infliximab for induction and maintenance therapy for ulcerative colitis. </w:t>
      </w:r>
      <w:r w:rsidRPr="00073FA4">
        <w:rPr>
          <w:rFonts w:ascii="Book Antiqua" w:eastAsia="SimSun" w:hAnsi="Book Antiqua" w:cs="SimSun"/>
          <w:i/>
          <w:iCs/>
          <w:sz w:val="24"/>
          <w:szCs w:val="24"/>
        </w:rPr>
        <w:t>N Engl J Med</w:t>
      </w:r>
      <w:r w:rsidRPr="00073FA4">
        <w:rPr>
          <w:rFonts w:ascii="Book Antiqua" w:eastAsia="SimSun" w:hAnsi="Book Antiqua" w:cs="SimSun"/>
          <w:sz w:val="24"/>
          <w:szCs w:val="24"/>
        </w:rPr>
        <w:t> 2005; </w:t>
      </w:r>
      <w:r w:rsidRPr="00073FA4">
        <w:rPr>
          <w:rFonts w:ascii="Book Antiqua" w:eastAsia="SimSun" w:hAnsi="Book Antiqua" w:cs="SimSun"/>
          <w:b/>
          <w:bCs/>
          <w:sz w:val="24"/>
          <w:szCs w:val="24"/>
        </w:rPr>
        <w:t>353</w:t>
      </w:r>
      <w:r w:rsidRPr="00073FA4">
        <w:rPr>
          <w:rFonts w:ascii="Book Antiqua" w:eastAsia="SimSun" w:hAnsi="Book Antiqua" w:cs="SimSun"/>
          <w:sz w:val="24"/>
          <w:szCs w:val="24"/>
        </w:rPr>
        <w:t>: 2462-2476 [PMID: 16339095 DOI: 10.1056/NEJMoa050516</w:t>
      </w:r>
      <w:r>
        <w:rPr>
          <w:rFonts w:ascii="Book Antiqua" w:eastAsia="SimSun" w:hAnsi="Book Antiqua" w:cs="SimSun"/>
          <w:sz w:val="24"/>
          <w:szCs w:val="24"/>
        </w:rPr>
        <w:t>]</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13 </w:t>
      </w:r>
      <w:r w:rsidRPr="00073FA4">
        <w:rPr>
          <w:rFonts w:ascii="Book Antiqua" w:eastAsia="SimSun" w:hAnsi="Book Antiqua" w:cs="SimSun"/>
          <w:b/>
          <w:bCs/>
          <w:sz w:val="24"/>
          <w:szCs w:val="24"/>
        </w:rPr>
        <w:t>Sandborn WJ</w:t>
      </w:r>
      <w:r w:rsidRPr="00073FA4">
        <w:rPr>
          <w:rFonts w:ascii="Book Antiqua" w:eastAsia="SimSun" w:hAnsi="Book Antiqua" w:cs="SimSun"/>
          <w:sz w:val="24"/>
          <w:szCs w:val="24"/>
        </w:rPr>
        <w:t>, Feagan BG, Marano C, Zhang H, Strauss R, Johanns J, Adedokun OJ, Guzzo C, Colombel JF, Reinisch W, Gibson PR, Collins J, Järnerot G, Hibi T, Rutgeerts P. Subcutaneous golimumab induces clinical response and remission in patients with moderate-to-severe ulcerative colitis. </w:t>
      </w:r>
      <w:r w:rsidRPr="00073FA4">
        <w:rPr>
          <w:rFonts w:ascii="Book Antiqua" w:eastAsia="SimSun" w:hAnsi="Book Antiqua" w:cs="SimSun"/>
          <w:i/>
          <w:iCs/>
          <w:sz w:val="24"/>
          <w:szCs w:val="24"/>
        </w:rPr>
        <w:t>Gastroenterology</w:t>
      </w:r>
      <w:r w:rsidRPr="00073FA4">
        <w:rPr>
          <w:rFonts w:ascii="Book Antiqua" w:eastAsia="SimSun" w:hAnsi="Book Antiqua" w:cs="SimSun"/>
          <w:sz w:val="24"/>
          <w:szCs w:val="24"/>
        </w:rPr>
        <w:t> 2014; </w:t>
      </w:r>
      <w:r w:rsidRPr="00073FA4">
        <w:rPr>
          <w:rFonts w:ascii="Book Antiqua" w:eastAsia="SimSun" w:hAnsi="Book Antiqua" w:cs="SimSun"/>
          <w:b/>
          <w:bCs/>
          <w:sz w:val="24"/>
          <w:szCs w:val="24"/>
        </w:rPr>
        <w:t>146</w:t>
      </w:r>
      <w:r w:rsidRPr="00073FA4">
        <w:rPr>
          <w:rFonts w:ascii="Book Antiqua" w:eastAsia="SimSun" w:hAnsi="Book Antiqua" w:cs="SimSun"/>
          <w:sz w:val="24"/>
          <w:szCs w:val="24"/>
        </w:rPr>
        <w:t>: 85-95; quiz e14-5 [PMID: 23735746 DOI: 10.1053/j.gastro.2013.05.048</w:t>
      </w:r>
      <w:r>
        <w:rPr>
          <w:rFonts w:ascii="Book Antiqua" w:eastAsia="SimSun" w:hAnsi="Book Antiqua" w:cs="SimSun"/>
          <w:sz w:val="24"/>
          <w:szCs w:val="24"/>
        </w:rPr>
        <w:t>]</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14 </w:t>
      </w:r>
      <w:r w:rsidRPr="00073FA4">
        <w:rPr>
          <w:rFonts w:ascii="Book Antiqua" w:eastAsia="SimSun" w:hAnsi="Book Antiqua" w:cs="SimSun"/>
          <w:b/>
          <w:bCs/>
          <w:sz w:val="24"/>
          <w:szCs w:val="24"/>
        </w:rPr>
        <w:t>Sandborn WJ</w:t>
      </w:r>
      <w:r w:rsidRPr="00073FA4">
        <w:rPr>
          <w:rFonts w:ascii="Book Antiqua" w:eastAsia="SimSun" w:hAnsi="Book Antiqua" w:cs="SimSun"/>
          <w:sz w:val="24"/>
          <w:szCs w:val="24"/>
        </w:rPr>
        <w:t>, Feagan BG, Marano C, Zhang H, Strauss R, Johanns J, Adedokun OJ, Guzzo C, Colombel JF, Reinisch W, Gibson PR, Collins J, Järnerot G, Rutgeerts P. Subcutaneous golimumab maintains clinical response in patients with moderate-to-severe ulcerative colitis. </w:t>
      </w:r>
      <w:r w:rsidRPr="00073FA4">
        <w:rPr>
          <w:rFonts w:ascii="Book Antiqua" w:eastAsia="SimSun" w:hAnsi="Book Antiqua" w:cs="SimSun"/>
          <w:i/>
          <w:iCs/>
          <w:sz w:val="24"/>
          <w:szCs w:val="24"/>
        </w:rPr>
        <w:t>Gastroenterology</w:t>
      </w:r>
      <w:r w:rsidRPr="00073FA4">
        <w:rPr>
          <w:rFonts w:ascii="Book Antiqua" w:eastAsia="SimSun" w:hAnsi="Book Antiqua" w:cs="SimSun"/>
          <w:sz w:val="24"/>
          <w:szCs w:val="24"/>
        </w:rPr>
        <w:t> 2014; </w:t>
      </w:r>
      <w:r w:rsidRPr="00073FA4">
        <w:rPr>
          <w:rFonts w:ascii="Book Antiqua" w:eastAsia="SimSun" w:hAnsi="Book Antiqua" w:cs="SimSun"/>
          <w:b/>
          <w:bCs/>
          <w:sz w:val="24"/>
          <w:szCs w:val="24"/>
        </w:rPr>
        <w:t>146</w:t>
      </w:r>
      <w:r w:rsidRPr="00073FA4">
        <w:rPr>
          <w:rFonts w:ascii="Book Antiqua" w:eastAsia="SimSun" w:hAnsi="Book Antiqua" w:cs="SimSun"/>
          <w:sz w:val="24"/>
          <w:szCs w:val="24"/>
        </w:rPr>
        <w:t>: 96-109.e1 [PMID: 23770005 DOI: 10.1053/j.gastro.2013.06.010]</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15 </w:t>
      </w:r>
      <w:r w:rsidRPr="00073FA4">
        <w:rPr>
          <w:rFonts w:ascii="Book Antiqua" w:eastAsia="SimSun" w:hAnsi="Book Antiqua" w:cs="SimSun"/>
          <w:b/>
          <w:bCs/>
          <w:sz w:val="24"/>
          <w:szCs w:val="24"/>
        </w:rPr>
        <w:t>Detrez I</w:t>
      </w:r>
      <w:r w:rsidRPr="00073FA4">
        <w:rPr>
          <w:rFonts w:ascii="Book Antiqua" w:eastAsia="SimSun" w:hAnsi="Book Antiqua" w:cs="SimSun"/>
          <w:sz w:val="24"/>
          <w:szCs w:val="24"/>
        </w:rPr>
        <w:t>, Dreesen E, Van Stappen T, de Vries A, Brouwers E, Van Assche G, Vermeire S, Ferrante M, Gils A. Variability in Golimumab Exposure: A 'Real-</w:t>
      </w:r>
      <w:r w:rsidRPr="00073FA4">
        <w:rPr>
          <w:rFonts w:ascii="Book Antiqua" w:eastAsia="SimSun" w:hAnsi="Book Antiqua" w:cs="SimSun"/>
          <w:sz w:val="24"/>
          <w:szCs w:val="24"/>
        </w:rPr>
        <w:lastRenderedPageBreak/>
        <w:t>Life' Observational Study in Active Ulcerative Colitis. </w:t>
      </w:r>
      <w:r w:rsidRPr="00073FA4">
        <w:rPr>
          <w:rFonts w:ascii="Book Antiqua" w:eastAsia="SimSun" w:hAnsi="Book Antiqua" w:cs="SimSun"/>
          <w:i/>
          <w:iCs/>
          <w:sz w:val="24"/>
          <w:szCs w:val="24"/>
        </w:rPr>
        <w:t>J Crohns Colitis</w:t>
      </w:r>
      <w:r w:rsidRPr="00073FA4">
        <w:rPr>
          <w:rFonts w:ascii="Book Antiqua" w:eastAsia="SimSun" w:hAnsi="Book Antiqua" w:cs="SimSun"/>
          <w:sz w:val="24"/>
          <w:szCs w:val="24"/>
        </w:rPr>
        <w:t> 2016; </w:t>
      </w:r>
      <w:r w:rsidRPr="00073FA4">
        <w:rPr>
          <w:rFonts w:ascii="Book Antiqua" w:eastAsia="SimSun" w:hAnsi="Book Antiqua" w:cs="SimSun"/>
          <w:b/>
          <w:bCs/>
          <w:sz w:val="24"/>
          <w:szCs w:val="24"/>
        </w:rPr>
        <w:t>10</w:t>
      </w:r>
      <w:r w:rsidRPr="00073FA4">
        <w:rPr>
          <w:rFonts w:ascii="Book Antiqua" w:eastAsia="SimSun" w:hAnsi="Book Antiqua" w:cs="SimSun"/>
          <w:sz w:val="24"/>
          <w:szCs w:val="24"/>
        </w:rPr>
        <w:t>: 575-581 [PMID: 267387</w:t>
      </w:r>
      <w:r>
        <w:rPr>
          <w:rFonts w:ascii="Book Antiqua" w:eastAsia="SimSun" w:hAnsi="Book Antiqua" w:cs="SimSun"/>
          <w:sz w:val="24"/>
          <w:szCs w:val="24"/>
        </w:rPr>
        <w:t>56 DOI: 10.1093/ecco-jcc/jjv241</w:t>
      </w:r>
      <w:r w:rsidRPr="00073FA4">
        <w:rPr>
          <w:rFonts w:ascii="Book Antiqua" w:eastAsia="SimSun" w:hAnsi="Book Antiqua" w:cs="SimSun"/>
          <w:sz w:val="24"/>
          <w:szCs w:val="24"/>
        </w:rPr>
        <w:t>]</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16 </w:t>
      </w:r>
      <w:r w:rsidRPr="00073FA4">
        <w:rPr>
          <w:rFonts w:ascii="Book Antiqua" w:eastAsia="SimSun" w:hAnsi="Book Antiqua" w:cs="SimSun"/>
          <w:b/>
          <w:bCs/>
          <w:sz w:val="24"/>
          <w:szCs w:val="24"/>
        </w:rPr>
        <w:t>Castro-Laria L</w:t>
      </w:r>
      <w:r w:rsidRPr="00073FA4">
        <w:rPr>
          <w:rFonts w:ascii="Book Antiqua" w:eastAsia="SimSun" w:hAnsi="Book Antiqua" w:cs="SimSun"/>
          <w:sz w:val="24"/>
          <w:szCs w:val="24"/>
        </w:rPr>
        <w:t>, Argüelles-Arias F, García-Sánchez V, Benítez JM, Fernández-Pérez R, Trapero-Fernández AM, Gallardo-Sánchez F, Pallarés-Manrique H, Gómez-García M, Cabello-Tapia MJ, Talavera-Fabuel A, Bejarano-García A, Leo-Carnerero E, Hernández-Martínez Á, Caunedo-Álvarez Á, Herrerías-Gutiérrez JM. Initial experience with golimumab in clinical practice for ulcerative colitis. </w:t>
      </w:r>
      <w:r w:rsidRPr="00073FA4">
        <w:rPr>
          <w:rFonts w:ascii="Book Antiqua" w:eastAsia="SimSun" w:hAnsi="Book Antiqua" w:cs="SimSun"/>
          <w:i/>
          <w:iCs/>
          <w:sz w:val="24"/>
          <w:szCs w:val="24"/>
        </w:rPr>
        <w:t>Rev Esp Enferm Dig</w:t>
      </w:r>
      <w:r w:rsidRPr="00073FA4">
        <w:rPr>
          <w:rFonts w:ascii="Book Antiqua" w:eastAsia="SimSun" w:hAnsi="Book Antiqua" w:cs="SimSun"/>
          <w:sz w:val="24"/>
          <w:szCs w:val="24"/>
        </w:rPr>
        <w:t> 2016; </w:t>
      </w:r>
      <w:r w:rsidRPr="00073FA4">
        <w:rPr>
          <w:rFonts w:ascii="Book Antiqua" w:eastAsia="SimSun" w:hAnsi="Book Antiqua" w:cs="SimSun"/>
          <w:b/>
          <w:bCs/>
          <w:sz w:val="24"/>
          <w:szCs w:val="24"/>
        </w:rPr>
        <w:t>108</w:t>
      </w:r>
      <w:r w:rsidRPr="00073FA4">
        <w:rPr>
          <w:rFonts w:ascii="Book Antiqua" w:eastAsia="SimSun" w:hAnsi="Book Antiqua" w:cs="SimSun"/>
          <w:sz w:val="24"/>
          <w:szCs w:val="24"/>
        </w:rPr>
        <w:t>: 129-132 [PMID: 26786341 DOI: 10.17235/reed.2016.4068/2015</w:t>
      </w:r>
      <w:r>
        <w:rPr>
          <w:rFonts w:ascii="Book Antiqua" w:eastAsia="SimSun" w:hAnsi="Book Antiqua" w:cs="SimSun"/>
          <w:sz w:val="24"/>
          <w:szCs w:val="24"/>
        </w:rPr>
        <w:t>]</w:t>
      </w:r>
    </w:p>
    <w:p w:rsidR="00E729BA" w:rsidRPr="00073FA4" w:rsidRDefault="00E729BA" w:rsidP="00E729BA">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17 </w:t>
      </w:r>
      <w:r w:rsidRPr="00073FA4">
        <w:rPr>
          <w:rFonts w:ascii="Book Antiqua" w:eastAsia="SimSun" w:hAnsi="Book Antiqua" w:cs="SimSun"/>
          <w:b/>
          <w:sz w:val="24"/>
          <w:szCs w:val="24"/>
        </w:rPr>
        <w:t>Taxonera C</w:t>
      </w:r>
      <w:r w:rsidRPr="00073FA4">
        <w:rPr>
          <w:rFonts w:ascii="Book Antiqua" w:eastAsia="SimSun" w:hAnsi="Book Antiqua" w:cs="SimSun"/>
          <w:sz w:val="24"/>
          <w:szCs w:val="24"/>
        </w:rPr>
        <w:t xml:space="preserve">, Bertoletti F, Rodriguez C, Marin I, Arribas J, Martinez-Montiel P, Sierra M, Arias L, Rivero M, Juan A, Iglesias E, Manceñido N, Perez-Calle JL, Algaba A, Barreiro-de Acosta M, Gutierrez A, </w:t>
      </w:r>
      <w:r w:rsidRPr="00073FA4">
        <w:rPr>
          <w:rFonts w:ascii="Book Antiqua" w:eastAsia="Calibri" w:hAnsi="Book Antiqua"/>
          <w:bCs/>
          <w:sz w:val="24"/>
          <w:szCs w:val="24"/>
        </w:rPr>
        <w:t>Argüelles</w:t>
      </w:r>
      <w:r w:rsidRPr="00073FA4">
        <w:rPr>
          <w:rFonts w:ascii="Book Antiqua" w:eastAsia="SimSun" w:hAnsi="Book Antiqua" w:cs="SimSun"/>
          <w:sz w:val="24"/>
          <w:szCs w:val="24"/>
        </w:rPr>
        <w:t xml:space="preserve"> F, Busquets D, Chaparro M, Alba C, Olivares D, Calvo M, Gisbert JP. P404 Real-life experience with golimumab in ulcerative colitis patients according to prior anti-TNF use. 11</w:t>
      </w:r>
      <w:r>
        <w:rPr>
          <w:rFonts w:ascii="Book Antiqua" w:eastAsia="SimSun" w:hAnsi="Book Antiqua" w:cs="SimSun" w:hint="eastAsia"/>
          <w:sz w:val="24"/>
          <w:szCs w:val="24"/>
        </w:rPr>
        <w:t>th</w:t>
      </w:r>
      <w:r w:rsidRPr="00073FA4">
        <w:rPr>
          <w:rFonts w:ascii="Book Antiqua" w:eastAsia="SimSun" w:hAnsi="Book Antiqua" w:cs="SimSun"/>
          <w:sz w:val="24"/>
          <w:szCs w:val="24"/>
        </w:rPr>
        <w:t xml:space="preserve"> Congress of ECCO- IBD</w:t>
      </w:r>
      <w:r>
        <w:rPr>
          <w:rFonts w:ascii="Book Antiqua" w:eastAsia="SimSun" w:hAnsi="Book Antiqua" w:cs="SimSun" w:hint="eastAsia"/>
          <w:sz w:val="24"/>
          <w:szCs w:val="24"/>
        </w:rPr>
        <w:t>;</w:t>
      </w:r>
      <w:r w:rsidRPr="00073FA4">
        <w:rPr>
          <w:rFonts w:ascii="Book Antiqua" w:eastAsia="SimSun" w:hAnsi="Book Antiqua" w:cs="SimSun"/>
          <w:sz w:val="24"/>
          <w:szCs w:val="24"/>
        </w:rPr>
        <w:t xml:space="preserve"> 2016</w:t>
      </w:r>
      <w:r>
        <w:rPr>
          <w:rFonts w:ascii="Book Antiqua" w:eastAsia="SimSun" w:hAnsi="Book Antiqua" w:cs="SimSun" w:hint="eastAsia"/>
          <w:sz w:val="24"/>
          <w:szCs w:val="24"/>
        </w:rPr>
        <w:t xml:space="preserve"> Mar 16-19; </w:t>
      </w:r>
      <w:r>
        <w:rPr>
          <w:rFonts w:ascii="Book Antiqua" w:eastAsia="SimSun" w:hAnsi="Book Antiqua" w:cs="SimSun"/>
          <w:sz w:val="24"/>
          <w:szCs w:val="24"/>
        </w:rPr>
        <w:t>Amsterdam</w:t>
      </w:r>
      <w:r>
        <w:rPr>
          <w:rFonts w:ascii="Book Antiqua" w:eastAsia="SimSun" w:hAnsi="Book Antiqua" w:cs="SimSun" w:hint="eastAsia"/>
          <w:sz w:val="24"/>
          <w:szCs w:val="24"/>
        </w:rPr>
        <w:t xml:space="preserve">, the </w:t>
      </w:r>
      <w:r w:rsidRPr="00073FA4">
        <w:rPr>
          <w:rFonts w:ascii="Book Antiqua" w:eastAsia="SimSun" w:hAnsi="Book Antiqua" w:cs="SimSun"/>
          <w:sz w:val="24"/>
          <w:szCs w:val="24"/>
        </w:rPr>
        <w:t>Netherlands</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18 </w:t>
      </w:r>
      <w:r w:rsidRPr="00073FA4">
        <w:rPr>
          <w:rFonts w:ascii="Book Antiqua" w:eastAsia="SimSun" w:hAnsi="Book Antiqua" w:cs="SimSun"/>
          <w:b/>
          <w:bCs/>
          <w:sz w:val="24"/>
          <w:szCs w:val="24"/>
        </w:rPr>
        <w:t>Murthy SK</w:t>
      </w:r>
      <w:r w:rsidRPr="00073FA4">
        <w:rPr>
          <w:rFonts w:ascii="Book Antiqua" w:eastAsia="SimSun" w:hAnsi="Book Antiqua" w:cs="SimSun"/>
          <w:sz w:val="24"/>
          <w:szCs w:val="24"/>
        </w:rPr>
        <w:t>, Greenberg GR, Croitoru K, Nguyen GC, Silverberg MS, Steinhart AH. Extent of Early Clinical Response to Infliximab Predicts Long-term Treatment Success in Active Ulcerative Colitis. </w:t>
      </w:r>
      <w:r w:rsidRPr="00073FA4">
        <w:rPr>
          <w:rFonts w:ascii="Book Antiqua" w:eastAsia="SimSun" w:hAnsi="Book Antiqua" w:cs="SimSun"/>
          <w:i/>
          <w:iCs/>
          <w:sz w:val="24"/>
          <w:szCs w:val="24"/>
        </w:rPr>
        <w:t>Inflamm Bowel Dis</w:t>
      </w:r>
      <w:r w:rsidRPr="00073FA4">
        <w:rPr>
          <w:rFonts w:ascii="Book Antiqua" w:eastAsia="SimSun" w:hAnsi="Book Antiqua" w:cs="SimSun"/>
          <w:sz w:val="24"/>
          <w:szCs w:val="24"/>
        </w:rPr>
        <w:t> 2015; </w:t>
      </w:r>
      <w:r w:rsidRPr="00073FA4">
        <w:rPr>
          <w:rFonts w:ascii="Book Antiqua" w:eastAsia="SimSun" w:hAnsi="Book Antiqua" w:cs="SimSun"/>
          <w:b/>
          <w:bCs/>
          <w:sz w:val="24"/>
          <w:szCs w:val="24"/>
        </w:rPr>
        <w:t>21</w:t>
      </w:r>
      <w:r w:rsidRPr="00073FA4">
        <w:rPr>
          <w:rFonts w:ascii="Book Antiqua" w:eastAsia="SimSun" w:hAnsi="Book Antiqua" w:cs="SimSun"/>
          <w:sz w:val="24"/>
          <w:szCs w:val="24"/>
        </w:rPr>
        <w:t>: 2090-2096 [PMID: 26099066 DOI: 10.1097/MIB.0000000000000474</w:t>
      </w:r>
      <w:r>
        <w:rPr>
          <w:rFonts w:ascii="Book Antiqua" w:eastAsia="SimSun" w:hAnsi="Book Antiqua" w:cs="SimSun"/>
          <w:sz w:val="24"/>
          <w:szCs w:val="24"/>
        </w:rPr>
        <w:t>]</w:t>
      </w:r>
    </w:p>
    <w:p w:rsidR="00E729BA" w:rsidRPr="00073FA4" w:rsidRDefault="00E729BA" w:rsidP="00E729BA">
      <w:pPr>
        <w:spacing w:after="0" w:line="360" w:lineRule="auto"/>
        <w:jc w:val="both"/>
        <w:rPr>
          <w:rFonts w:ascii="Book Antiqua" w:eastAsia="SimSun" w:hAnsi="Book Antiqua" w:cs="SimSun"/>
          <w:sz w:val="24"/>
          <w:szCs w:val="24"/>
        </w:rPr>
      </w:pPr>
      <w:r w:rsidRPr="00073FA4">
        <w:rPr>
          <w:rFonts w:ascii="Book Antiqua" w:eastAsia="SimSun" w:hAnsi="Book Antiqua" w:cs="SimSun"/>
          <w:sz w:val="24"/>
          <w:szCs w:val="24"/>
        </w:rPr>
        <w:t>19 </w:t>
      </w:r>
      <w:r w:rsidRPr="00073FA4">
        <w:rPr>
          <w:rFonts w:ascii="Book Antiqua" w:eastAsia="SimSun" w:hAnsi="Book Antiqua" w:cs="SimSun"/>
          <w:b/>
          <w:bCs/>
          <w:sz w:val="24"/>
          <w:szCs w:val="24"/>
        </w:rPr>
        <w:t>Baki E</w:t>
      </w:r>
      <w:r w:rsidRPr="00073FA4">
        <w:rPr>
          <w:rFonts w:ascii="Book Antiqua" w:eastAsia="SimSun" w:hAnsi="Book Antiqua" w:cs="SimSun"/>
          <w:sz w:val="24"/>
          <w:szCs w:val="24"/>
        </w:rPr>
        <w:t>, Zwickel P, Zawierucha A, Ehehalt R, Gotthardt D, Stremmel W, Gauss A. Real-life outcome of anti-tumor necrosis factor α in the ambulatory treatment of ulcerative colitis. </w:t>
      </w:r>
      <w:r w:rsidRPr="00073FA4">
        <w:rPr>
          <w:rFonts w:ascii="Book Antiqua" w:eastAsia="SimSun" w:hAnsi="Book Antiqua" w:cs="SimSun"/>
          <w:i/>
          <w:iCs/>
          <w:sz w:val="24"/>
          <w:szCs w:val="24"/>
        </w:rPr>
        <w:t>World J Gastroenterol</w:t>
      </w:r>
      <w:r w:rsidRPr="00073FA4">
        <w:rPr>
          <w:rFonts w:ascii="Book Antiqua" w:eastAsia="SimSun" w:hAnsi="Book Antiqua" w:cs="SimSun"/>
          <w:sz w:val="24"/>
          <w:szCs w:val="24"/>
        </w:rPr>
        <w:t> 2015; </w:t>
      </w:r>
      <w:r w:rsidRPr="00073FA4">
        <w:rPr>
          <w:rFonts w:ascii="Book Antiqua" w:eastAsia="SimSun" w:hAnsi="Book Antiqua" w:cs="SimSun"/>
          <w:b/>
          <w:bCs/>
          <w:sz w:val="24"/>
          <w:szCs w:val="24"/>
        </w:rPr>
        <w:t>21</w:t>
      </w:r>
      <w:r w:rsidRPr="00073FA4">
        <w:rPr>
          <w:rFonts w:ascii="Book Antiqua" w:eastAsia="SimSun" w:hAnsi="Book Antiqua" w:cs="SimSun"/>
          <w:sz w:val="24"/>
          <w:szCs w:val="24"/>
        </w:rPr>
        <w:t>: 3282-3290 [PMID: 25805935 DOI: 10.3748/wjg.v21.i11.3282</w:t>
      </w:r>
      <w:r>
        <w:rPr>
          <w:rFonts w:ascii="Book Antiqua" w:eastAsia="SimSun" w:hAnsi="Book Antiqua" w:cs="SimSun"/>
          <w:sz w:val="24"/>
          <w:szCs w:val="24"/>
        </w:rPr>
        <w:t>]</w:t>
      </w:r>
    </w:p>
    <w:p w:rsidR="00E729BA" w:rsidRPr="00073FA4" w:rsidRDefault="00E729BA" w:rsidP="00E729BA">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20 </w:t>
      </w:r>
      <w:r w:rsidRPr="00073FA4">
        <w:rPr>
          <w:rFonts w:ascii="Book Antiqua" w:eastAsia="SimSun" w:hAnsi="Book Antiqua" w:cs="SimSun"/>
          <w:b/>
          <w:sz w:val="24"/>
          <w:szCs w:val="24"/>
        </w:rPr>
        <w:t>Bressler B</w:t>
      </w:r>
      <w:r w:rsidRPr="00073FA4">
        <w:rPr>
          <w:rFonts w:ascii="Book Antiqua" w:eastAsia="SimSun" w:hAnsi="Book Antiqua" w:cs="SimSun"/>
          <w:sz w:val="24"/>
          <w:szCs w:val="24"/>
        </w:rPr>
        <w:t xml:space="preserve">, Williamson MA, Camacho F, Sattin BD, Satinhart AH. Mo1902 Real World Use and Effectiveness of Golimumab for Ulcerative Colitis in Canada. </w:t>
      </w:r>
      <w:r w:rsidRPr="00073FA4">
        <w:rPr>
          <w:rFonts w:ascii="Book Antiqua" w:eastAsia="SimSun" w:hAnsi="Book Antiqua" w:cs="SimSun"/>
          <w:i/>
          <w:sz w:val="24"/>
          <w:szCs w:val="24"/>
        </w:rPr>
        <w:t>Gastroenterology</w:t>
      </w:r>
      <w:r w:rsidRPr="00073FA4">
        <w:rPr>
          <w:rFonts w:ascii="Book Antiqua" w:eastAsia="SimSun" w:hAnsi="Book Antiqua" w:cs="SimSun"/>
          <w:sz w:val="24"/>
          <w:szCs w:val="24"/>
        </w:rPr>
        <w:t xml:space="preserve"> 2016</w:t>
      </w:r>
      <w:r>
        <w:rPr>
          <w:rFonts w:ascii="Book Antiqua" w:eastAsia="SimSun" w:hAnsi="Book Antiqua" w:cs="SimSun" w:hint="eastAsia"/>
          <w:sz w:val="24"/>
          <w:szCs w:val="24"/>
        </w:rPr>
        <w:t>;</w:t>
      </w:r>
      <w:r w:rsidRPr="00073FA4">
        <w:rPr>
          <w:rFonts w:ascii="Book Antiqua" w:eastAsia="SimSun" w:hAnsi="Book Antiqua" w:cs="SimSun"/>
          <w:sz w:val="24"/>
          <w:szCs w:val="24"/>
        </w:rPr>
        <w:t xml:space="preserve"> </w:t>
      </w:r>
      <w:r w:rsidRPr="00073FA4">
        <w:rPr>
          <w:rFonts w:ascii="Book Antiqua" w:eastAsia="SimSun" w:hAnsi="Book Antiqua" w:cs="SimSun"/>
          <w:b/>
          <w:sz w:val="24"/>
          <w:szCs w:val="24"/>
        </w:rPr>
        <w:t>4</w:t>
      </w:r>
      <w:r>
        <w:rPr>
          <w:rFonts w:ascii="Book Antiqua" w:eastAsia="SimSun" w:hAnsi="Book Antiqua" w:cs="SimSun" w:hint="eastAsia"/>
          <w:sz w:val="24"/>
          <w:szCs w:val="24"/>
        </w:rPr>
        <w:t xml:space="preserve"> </w:t>
      </w:r>
      <w:r w:rsidRPr="00073FA4">
        <w:rPr>
          <w:rFonts w:ascii="Book Antiqua" w:eastAsia="SimSun" w:hAnsi="Book Antiqua" w:cs="SimSun"/>
          <w:sz w:val="24"/>
          <w:szCs w:val="24"/>
        </w:rPr>
        <w:t>Suppl 1</w:t>
      </w:r>
      <w:r>
        <w:rPr>
          <w:rFonts w:ascii="Book Antiqua" w:eastAsia="SimSun" w:hAnsi="Book Antiqua" w:cs="SimSun" w:hint="eastAsia"/>
          <w:sz w:val="24"/>
          <w:szCs w:val="24"/>
        </w:rPr>
        <w:t>:</w:t>
      </w:r>
      <w:r w:rsidRPr="00073FA4">
        <w:rPr>
          <w:rFonts w:ascii="Book Antiqua" w:eastAsia="SimSun" w:hAnsi="Book Antiqua" w:cs="SimSun"/>
          <w:sz w:val="24"/>
          <w:szCs w:val="24"/>
        </w:rPr>
        <w:t xml:space="preserve"> S811</w:t>
      </w:r>
    </w:p>
    <w:p w:rsidR="00E729BA" w:rsidRPr="00073FA4" w:rsidRDefault="00E729BA" w:rsidP="00E729BA">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21 </w:t>
      </w:r>
      <w:r w:rsidRPr="00073FA4">
        <w:rPr>
          <w:rFonts w:ascii="Book Antiqua" w:eastAsia="SimSun" w:hAnsi="Book Antiqua" w:cs="SimSun"/>
          <w:b/>
          <w:sz w:val="24"/>
          <w:szCs w:val="24"/>
        </w:rPr>
        <w:t>Varvara D</w:t>
      </w:r>
      <w:r w:rsidRPr="00073FA4">
        <w:rPr>
          <w:rFonts w:ascii="Book Antiqua" w:eastAsia="SimSun" w:hAnsi="Book Antiqua" w:cs="SimSun"/>
          <w:sz w:val="24"/>
          <w:szCs w:val="24"/>
        </w:rPr>
        <w:t>, Costantino G, Privitera AC, Principi B, Cappello M, Mazzuoli S, Paiano P, Tursi A, Paese P, Fries W, Andriulli A, Bossa F. P363 Efficacy and safety of golimumab in patients with ulcerative colitis: a prospective multicentre study. 11</w:t>
      </w:r>
      <w:r>
        <w:rPr>
          <w:rFonts w:ascii="Book Antiqua" w:eastAsia="SimSun" w:hAnsi="Book Antiqua" w:cs="SimSun" w:hint="eastAsia"/>
          <w:sz w:val="24"/>
          <w:szCs w:val="24"/>
        </w:rPr>
        <w:t>th</w:t>
      </w:r>
      <w:r w:rsidRPr="00073FA4">
        <w:rPr>
          <w:rFonts w:ascii="Book Antiqua" w:eastAsia="SimSun" w:hAnsi="Book Antiqua" w:cs="SimSun"/>
          <w:sz w:val="24"/>
          <w:szCs w:val="24"/>
        </w:rPr>
        <w:t xml:space="preserve"> Congress of ECCO- IBD</w:t>
      </w:r>
      <w:r>
        <w:rPr>
          <w:rFonts w:ascii="Book Antiqua" w:eastAsia="SimSun" w:hAnsi="Book Antiqua" w:cs="SimSun" w:hint="eastAsia"/>
          <w:sz w:val="24"/>
          <w:szCs w:val="24"/>
        </w:rPr>
        <w:t>;</w:t>
      </w:r>
      <w:r w:rsidRPr="00073FA4">
        <w:rPr>
          <w:rFonts w:ascii="Book Antiqua" w:eastAsia="SimSun" w:hAnsi="Book Antiqua" w:cs="SimSun"/>
          <w:sz w:val="24"/>
          <w:szCs w:val="24"/>
        </w:rPr>
        <w:t xml:space="preserve"> 2016</w:t>
      </w:r>
      <w:r>
        <w:rPr>
          <w:rFonts w:ascii="Book Antiqua" w:eastAsia="SimSun" w:hAnsi="Book Antiqua" w:cs="SimSun" w:hint="eastAsia"/>
          <w:sz w:val="24"/>
          <w:szCs w:val="24"/>
        </w:rPr>
        <w:t xml:space="preserve"> Mar 16-19; </w:t>
      </w:r>
      <w:r>
        <w:rPr>
          <w:rFonts w:ascii="Book Antiqua" w:eastAsia="SimSun" w:hAnsi="Book Antiqua" w:cs="SimSun"/>
          <w:sz w:val="24"/>
          <w:szCs w:val="24"/>
        </w:rPr>
        <w:t>Amsterdam</w:t>
      </w:r>
      <w:r>
        <w:rPr>
          <w:rFonts w:ascii="Book Antiqua" w:eastAsia="SimSun" w:hAnsi="Book Antiqua" w:cs="SimSun" w:hint="eastAsia"/>
          <w:sz w:val="24"/>
          <w:szCs w:val="24"/>
        </w:rPr>
        <w:t xml:space="preserve">, the </w:t>
      </w:r>
      <w:r w:rsidRPr="00073FA4">
        <w:rPr>
          <w:rFonts w:ascii="Book Antiqua" w:eastAsia="SimSun" w:hAnsi="Book Antiqua" w:cs="SimSun"/>
          <w:sz w:val="24"/>
          <w:szCs w:val="24"/>
        </w:rPr>
        <w:t>Netherlands</w:t>
      </w:r>
    </w:p>
    <w:p w:rsidR="004F0998" w:rsidRPr="00E729BA" w:rsidRDefault="004F0998" w:rsidP="00E729BA">
      <w:pPr>
        <w:pStyle w:val="ListParagraph"/>
        <w:spacing w:line="360" w:lineRule="auto"/>
        <w:ind w:right="120" w:firstLineChars="0" w:firstLine="0"/>
        <w:rPr>
          <w:rStyle w:val="Strong"/>
          <w:rFonts w:ascii="Book Antiqua" w:eastAsiaTheme="minorEastAsia" w:hAnsi="Book Antiqua" w:cs="Arial"/>
          <w:bCs w:val="0"/>
          <w:noProof/>
          <w:color w:val="000000"/>
          <w:lang w:eastAsia="zh-CN"/>
        </w:rPr>
      </w:pPr>
    </w:p>
    <w:p w:rsidR="004F0998" w:rsidRPr="008E0A88" w:rsidRDefault="004F0998" w:rsidP="00E729BA">
      <w:pPr>
        <w:pStyle w:val="ListParagraph"/>
        <w:spacing w:line="360" w:lineRule="auto"/>
        <w:ind w:right="120"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2602B4" w:rsidRPr="002602B4">
        <w:rPr>
          <w:rFonts w:ascii="Book Antiqua" w:hAnsi="Book Antiqua"/>
          <w:bCs/>
          <w:color w:val="000000"/>
        </w:rPr>
        <w:t>Stewart Day</w:t>
      </w:r>
      <w:r w:rsidR="002602B4">
        <w:rPr>
          <w:rFonts w:ascii="Book Antiqua" w:hAnsi="Book Antiqua" w:hint="eastAsia"/>
          <w:bCs/>
          <w:color w:val="000000"/>
          <w:lang w:eastAsia="zh-CN"/>
        </w:rPr>
        <w:t xml:space="preserve"> AS, </w:t>
      </w:r>
      <w:r w:rsidR="002602B4">
        <w:rPr>
          <w:rFonts w:ascii="Book Antiqua" w:hAnsi="Book Antiqua"/>
          <w:bCs/>
          <w:color w:val="000000"/>
          <w:lang w:eastAsia="zh-CN"/>
        </w:rPr>
        <w:t>Wu</w:t>
      </w:r>
      <w:r w:rsidR="002602B4" w:rsidRPr="002602B4">
        <w:rPr>
          <w:rFonts w:ascii="Book Antiqua" w:hAnsi="Book Antiqua"/>
          <w:bCs/>
          <w:color w:val="000000"/>
          <w:lang w:eastAsia="zh-CN"/>
        </w:rPr>
        <w:t xml:space="preserve"> B</w:t>
      </w:r>
      <w:r w:rsidR="00B77697">
        <w:rPr>
          <w:rFonts w:ascii="Book Antiqua" w:hAnsi="Book Antiqua" w:hint="eastAsia"/>
          <w:bCs/>
          <w:color w:val="000000"/>
          <w:lang w:eastAsia="zh-CN"/>
        </w:rPr>
        <w:t>,</w:t>
      </w:r>
      <w:r w:rsidR="002602B4">
        <w:rPr>
          <w:rFonts w:ascii="Book Antiqua" w:hAnsi="Book Antiqua" w:hint="eastAsia"/>
          <w:bCs/>
          <w:color w:val="000000"/>
          <w:lang w:eastAsia="zh-CN"/>
        </w:rPr>
        <w:t xml:space="preserve"> </w:t>
      </w:r>
      <w:r w:rsidR="00B77697" w:rsidRPr="00B77697">
        <w:rPr>
          <w:rFonts w:ascii="Book Antiqua" w:hAnsi="Book Antiqua"/>
          <w:bCs/>
          <w:color w:val="000000"/>
          <w:lang w:eastAsia="zh-CN"/>
        </w:rPr>
        <w:t>Lakatos</w:t>
      </w:r>
      <w:r w:rsidR="00B77697">
        <w:rPr>
          <w:rFonts w:ascii="Book Antiqua" w:hAnsi="Book Antiqua" w:hint="eastAsia"/>
          <w:bCs/>
          <w:color w:val="000000"/>
          <w:lang w:eastAsia="zh-CN"/>
        </w:rPr>
        <w:t xml:space="preserve"> PL</w:t>
      </w:r>
      <w:r w:rsidR="002602B4">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rsidR="00A34A77" w:rsidRDefault="00A34A77" w:rsidP="00E729BA">
      <w:pPr>
        <w:shd w:val="clear" w:color="auto" w:fill="FFFFFF"/>
        <w:snapToGrid w:val="0"/>
        <w:spacing w:after="0" w:line="360" w:lineRule="auto"/>
        <w:rPr>
          <w:rFonts w:ascii="Book Antiqua" w:hAnsi="Book Antiqua" w:cs="Helvetica"/>
          <w:b/>
          <w:sz w:val="24"/>
          <w:lang w:eastAsia="zh-CN"/>
        </w:rPr>
      </w:pPr>
    </w:p>
    <w:p w:rsidR="004F0998" w:rsidRPr="008F0DB6" w:rsidRDefault="004F0998" w:rsidP="00E729BA">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4F0998" w:rsidRPr="008F0DB6" w:rsidRDefault="004F0998" w:rsidP="00E729BA">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2602B4" w:rsidRPr="002602B4">
        <w:rPr>
          <w:rFonts w:ascii="Book Antiqua" w:hAnsi="Book Antiqua" w:cs="Helvetica"/>
          <w:sz w:val="24"/>
        </w:rPr>
        <w:t>Spain</w:t>
      </w:r>
    </w:p>
    <w:p w:rsidR="004F0998" w:rsidRPr="008F0DB6" w:rsidRDefault="004F0998" w:rsidP="00E729BA">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rsidR="004F0998" w:rsidRPr="008F0DB6" w:rsidRDefault="004F0998" w:rsidP="00E729BA">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4F0998" w:rsidRPr="008F0DB6" w:rsidRDefault="004F0998" w:rsidP="00E729BA">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B (Very good): </w:t>
      </w:r>
      <w:r w:rsidR="002602B4">
        <w:rPr>
          <w:rFonts w:ascii="Book Antiqua" w:hAnsi="Book Antiqua" w:cs="Helvetica" w:hint="eastAsia"/>
          <w:sz w:val="24"/>
          <w:lang w:eastAsia="zh-CN"/>
        </w:rPr>
        <w:t>B, B</w:t>
      </w:r>
    </w:p>
    <w:p w:rsidR="004F0998" w:rsidRPr="008F0DB6" w:rsidRDefault="004F0998" w:rsidP="00E729BA">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sidR="00B77697">
        <w:rPr>
          <w:rFonts w:ascii="Book Antiqua" w:hAnsi="Book Antiqua" w:cs="Helvetica" w:hint="eastAsia"/>
          <w:sz w:val="24"/>
          <w:lang w:eastAsia="zh-CN"/>
        </w:rPr>
        <w:t>C</w:t>
      </w:r>
    </w:p>
    <w:p w:rsidR="004F0998" w:rsidRPr="008F0DB6" w:rsidRDefault="004F0998" w:rsidP="00E729BA">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4F0998" w:rsidRPr="008F0DB6" w:rsidRDefault="004F0998" w:rsidP="00E729BA">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EB4BCE" w:rsidRPr="004F0998" w:rsidRDefault="00EB4BCE" w:rsidP="00E729BA">
      <w:pPr>
        <w:spacing w:after="0" w:line="360" w:lineRule="auto"/>
        <w:jc w:val="both"/>
        <w:rPr>
          <w:rFonts w:ascii="Book Antiqua" w:hAnsi="Book Antiqua" w:cs="Times New Roman"/>
          <w:color w:val="auto"/>
          <w:sz w:val="24"/>
          <w:szCs w:val="24"/>
          <w:lang w:val="it-IT"/>
        </w:rPr>
      </w:pPr>
    </w:p>
    <w:p w:rsidR="00EB4BCE" w:rsidRPr="004F0998" w:rsidRDefault="00EB4BCE" w:rsidP="00E729BA">
      <w:pPr>
        <w:spacing w:after="0" w:line="360" w:lineRule="auto"/>
        <w:jc w:val="both"/>
        <w:rPr>
          <w:rFonts w:ascii="Book Antiqua" w:hAnsi="Book Antiqua" w:cs="Times New Roman"/>
          <w:color w:val="auto"/>
          <w:sz w:val="24"/>
          <w:szCs w:val="24"/>
        </w:rPr>
      </w:pPr>
    </w:p>
    <w:p w:rsidR="004F0998" w:rsidRDefault="004F0998" w:rsidP="00E729BA">
      <w:pPr>
        <w:suppressAutoHyphens w:val="0"/>
        <w:spacing w:after="0" w:line="240" w:lineRule="auto"/>
        <w:rPr>
          <w:rFonts w:ascii="Book Antiqua" w:hAnsi="Book Antiqua" w:cs="Times New Roman"/>
          <w:color w:val="auto"/>
          <w:sz w:val="24"/>
          <w:szCs w:val="24"/>
        </w:rPr>
      </w:pPr>
      <w:r>
        <w:rPr>
          <w:rFonts w:ascii="Book Antiqua" w:hAnsi="Book Antiqua" w:cs="Times New Roman"/>
          <w:color w:val="auto"/>
          <w:sz w:val="24"/>
          <w:szCs w:val="24"/>
        </w:rPr>
        <w:br w:type="page"/>
      </w:r>
    </w:p>
    <w:p w:rsidR="004F0998" w:rsidRPr="004F0998" w:rsidRDefault="004F0998" w:rsidP="00E729BA">
      <w:pPr>
        <w:spacing w:after="0" w:line="360" w:lineRule="auto"/>
        <w:jc w:val="both"/>
        <w:rPr>
          <w:rFonts w:ascii="Book Antiqua" w:hAnsi="Book Antiqua" w:cs="Times New Roman"/>
          <w:b/>
          <w:color w:val="auto"/>
          <w:sz w:val="24"/>
          <w:szCs w:val="24"/>
          <w:lang w:eastAsia="zh-CN"/>
        </w:rPr>
      </w:pPr>
      <w:r w:rsidRPr="004F0998">
        <w:rPr>
          <w:rFonts w:ascii="Book Antiqua" w:hAnsi="Book Antiqua" w:cs="Times New Roman"/>
          <w:b/>
          <w:color w:val="auto"/>
          <w:sz w:val="24"/>
          <w:szCs w:val="24"/>
        </w:rPr>
        <w:lastRenderedPageBreak/>
        <w:t xml:space="preserve">Table 1 Baseline </w:t>
      </w:r>
      <w:r>
        <w:rPr>
          <w:rFonts w:ascii="Book Antiqua" w:hAnsi="Book Antiqua" w:cs="Times New Roman"/>
          <w:b/>
          <w:color w:val="auto"/>
          <w:sz w:val="24"/>
          <w:szCs w:val="24"/>
        </w:rPr>
        <w:t>characteristics of the patients</w:t>
      </w:r>
      <w:r w:rsidRPr="004F0998">
        <w:rPr>
          <w:rFonts w:ascii="Book Antiqua" w:hAnsi="Book Antiqua" w:cs="Times New Roman" w:hint="eastAsia"/>
          <w:b/>
          <w:color w:val="auto"/>
          <w:sz w:val="24"/>
          <w:szCs w:val="24"/>
          <w:lang w:eastAsia="zh-CN"/>
        </w:rPr>
        <w:t xml:space="preserve"> </w:t>
      </w:r>
      <w:r w:rsidRPr="004F0998">
        <w:rPr>
          <w:rFonts w:ascii="Book Antiqua" w:hAnsi="Book Antiqua" w:cs="Times New Roman"/>
          <w:b/>
          <w:i/>
          <w:color w:val="auto"/>
          <w:sz w:val="24"/>
          <w:szCs w:val="24"/>
          <w:lang w:val="en-GB"/>
        </w:rPr>
        <w:t>n</w:t>
      </w:r>
      <w:r w:rsidRPr="004F0998">
        <w:rPr>
          <w:rFonts w:ascii="Book Antiqua" w:hAnsi="Book Antiqua" w:cs="Times New Roman"/>
          <w:b/>
          <w:color w:val="auto"/>
          <w:sz w:val="24"/>
          <w:szCs w:val="24"/>
          <w:lang w:val="en-GB"/>
        </w:rPr>
        <w:t xml:space="preserve"> (%)</w:t>
      </w:r>
    </w:p>
    <w:tbl>
      <w:tblPr>
        <w:tblW w:w="9536" w:type="dxa"/>
        <w:tblBorders>
          <w:top w:val="single" w:sz="4" w:space="0" w:color="00000A"/>
          <w:bottom w:val="single" w:sz="4" w:space="0" w:color="00000A"/>
        </w:tblBorders>
        <w:tblLook w:val="00A0" w:firstRow="1" w:lastRow="0" w:firstColumn="1" w:lastColumn="0" w:noHBand="0" w:noVBand="0"/>
      </w:tblPr>
      <w:tblGrid>
        <w:gridCol w:w="7315"/>
        <w:gridCol w:w="2221"/>
      </w:tblGrid>
      <w:tr w:rsidR="004F0998" w:rsidRPr="00E729BA" w:rsidTr="004F0998">
        <w:trPr>
          <w:trHeight w:val="271"/>
        </w:trPr>
        <w:tc>
          <w:tcPr>
            <w:tcW w:w="7315" w:type="dxa"/>
            <w:tcBorders>
              <w:top w:val="single" w:sz="4" w:space="0" w:color="00000A"/>
              <w:bottom w:val="single" w:sz="4" w:space="0" w:color="00000A"/>
            </w:tcBorders>
            <w:shd w:val="clear" w:color="auto" w:fill="auto"/>
          </w:tcPr>
          <w:p w:rsidR="004F0998" w:rsidRPr="00E729BA" w:rsidRDefault="004F0998" w:rsidP="00E729BA">
            <w:pPr>
              <w:pageBreakBefore/>
              <w:widowControl w:val="0"/>
              <w:spacing w:after="0" w:line="360" w:lineRule="auto"/>
              <w:ind w:firstLine="284"/>
              <w:jc w:val="both"/>
              <w:rPr>
                <w:rFonts w:ascii="Book Antiqua" w:hAnsi="Book Antiqua" w:cs="Times New Roman"/>
                <w:b/>
                <w:bCs/>
                <w:color w:val="auto"/>
                <w:sz w:val="24"/>
                <w:szCs w:val="24"/>
                <w:lang w:val="en-GB"/>
              </w:rPr>
            </w:pPr>
            <w:r w:rsidRPr="00E729BA">
              <w:rPr>
                <w:rFonts w:ascii="Book Antiqua" w:hAnsi="Book Antiqua" w:cs="Times New Roman"/>
                <w:b/>
                <w:bCs/>
                <w:color w:val="auto"/>
                <w:sz w:val="24"/>
                <w:szCs w:val="24"/>
                <w:lang w:val="en-GB"/>
              </w:rPr>
              <w:lastRenderedPageBreak/>
              <w:t>Variables</w:t>
            </w:r>
          </w:p>
        </w:tc>
        <w:tc>
          <w:tcPr>
            <w:tcW w:w="2221" w:type="dxa"/>
            <w:tcBorders>
              <w:top w:val="single" w:sz="4" w:space="0" w:color="00000A"/>
              <w:bottom w:val="single" w:sz="4" w:space="0" w:color="00000A"/>
            </w:tcBorders>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p>
        </w:tc>
      </w:tr>
      <w:tr w:rsidR="004F0998" w:rsidRPr="00E729BA" w:rsidTr="004F0998">
        <w:trPr>
          <w:trHeight w:val="281"/>
        </w:trPr>
        <w:tc>
          <w:tcPr>
            <w:tcW w:w="7315" w:type="dxa"/>
            <w:tcBorders>
              <w:top w:val="single" w:sz="4" w:space="0" w:color="00000A"/>
            </w:tcBorders>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eastAsia="zh-CN"/>
              </w:rPr>
            </w:pPr>
            <w:r w:rsidRPr="00E729BA">
              <w:rPr>
                <w:rFonts w:ascii="Book Antiqua" w:hAnsi="Book Antiqua" w:cs="Times New Roman"/>
                <w:color w:val="auto"/>
                <w:sz w:val="24"/>
                <w:szCs w:val="24"/>
                <w:lang w:val="en-GB"/>
              </w:rPr>
              <w:t>Female</w:t>
            </w:r>
          </w:p>
        </w:tc>
        <w:tc>
          <w:tcPr>
            <w:tcW w:w="2221" w:type="dxa"/>
            <w:tcBorders>
              <w:top w:val="single" w:sz="4" w:space="0" w:color="00000A"/>
            </w:tcBorders>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r w:rsidRPr="00E729BA">
              <w:rPr>
                <w:rFonts w:ascii="Book Antiqua" w:hAnsi="Book Antiqua" w:cs="Times New Roman"/>
                <w:color w:val="auto"/>
                <w:sz w:val="24"/>
                <w:szCs w:val="24"/>
                <w:lang w:val="en-GB"/>
              </w:rPr>
              <w:t>18 (54.4)</w:t>
            </w:r>
          </w:p>
        </w:tc>
      </w:tr>
      <w:tr w:rsidR="004F0998" w:rsidRPr="00E729BA" w:rsidTr="004F0998">
        <w:trPr>
          <w:trHeight w:val="271"/>
        </w:trPr>
        <w:tc>
          <w:tcPr>
            <w:tcW w:w="7315" w:type="dxa"/>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r w:rsidRPr="00E729BA">
              <w:rPr>
                <w:rFonts w:ascii="Book Antiqua" w:hAnsi="Book Antiqua" w:cs="Times New Roman"/>
                <w:color w:val="auto"/>
                <w:sz w:val="24"/>
                <w:szCs w:val="24"/>
                <w:lang w:val="en-GB"/>
              </w:rPr>
              <w:t xml:space="preserve">Mean age, </w:t>
            </w:r>
            <w:r w:rsidRPr="00E729BA">
              <w:rPr>
                <w:rFonts w:ascii="Book Antiqua" w:hAnsi="Book Antiqua" w:cs="Times New Roman" w:hint="eastAsia"/>
                <w:color w:val="auto"/>
                <w:sz w:val="24"/>
                <w:szCs w:val="24"/>
                <w:lang w:val="en-GB" w:eastAsia="zh-CN"/>
              </w:rPr>
              <w:t>yr</w:t>
            </w:r>
            <w:r w:rsidRPr="00E729BA">
              <w:rPr>
                <w:rFonts w:ascii="Book Antiqua" w:hAnsi="Book Antiqua" w:cs="Times New Roman"/>
                <w:color w:val="auto"/>
                <w:sz w:val="24"/>
                <w:szCs w:val="24"/>
                <w:lang w:val="en-GB"/>
              </w:rPr>
              <w:t xml:space="preserve"> (range)</w:t>
            </w:r>
          </w:p>
        </w:tc>
        <w:tc>
          <w:tcPr>
            <w:tcW w:w="2221" w:type="dxa"/>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r w:rsidRPr="00E729BA">
              <w:rPr>
                <w:rFonts w:ascii="Book Antiqua" w:hAnsi="Book Antiqua" w:cs="Times New Roman"/>
                <w:color w:val="auto"/>
                <w:sz w:val="24"/>
                <w:szCs w:val="24"/>
                <w:lang w:val="en-GB"/>
              </w:rPr>
              <w:t>42</w:t>
            </w:r>
            <w:r w:rsidRPr="00E729BA">
              <w:rPr>
                <w:rFonts w:ascii="Book Antiqua" w:hAnsi="Book Antiqua" w:cs="Times New Roman" w:hint="eastAsia"/>
                <w:color w:val="auto"/>
                <w:sz w:val="24"/>
                <w:szCs w:val="24"/>
                <w:lang w:val="en-GB" w:eastAsia="zh-CN"/>
              </w:rPr>
              <w:t xml:space="preserve"> </w:t>
            </w:r>
            <w:r w:rsidRPr="00E729BA">
              <w:rPr>
                <w:rFonts w:ascii="Book Antiqua" w:hAnsi="Book Antiqua" w:cs="Times New Roman"/>
                <w:color w:val="auto"/>
                <w:sz w:val="24"/>
                <w:szCs w:val="24"/>
                <w:lang w:val="en-GB"/>
              </w:rPr>
              <w:t>±</w:t>
            </w:r>
            <w:r w:rsidRPr="00E729BA">
              <w:rPr>
                <w:rFonts w:ascii="Book Antiqua" w:hAnsi="Book Antiqua" w:cs="Times New Roman" w:hint="eastAsia"/>
                <w:color w:val="auto"/>
                <w:sz w:val="24"/>
                <w:szCs w:val="24"/>
                <w:lang w:val="en-GB" w:eastAsia="zh-CN"/>
              </w:rPr>
              <w:t xml:space="preserve"> </w:t>
            </w:r>
            <w:r w:rsidRPr="00E729BA">
              <w:rPr>
                <w:rFonts w:ascii="Book Antiqua" w:hAnsi="Book Antiqua" w:cs="Times New Roman"/>
                <w:color w:val="auto"/>
                <w:sz w:val="24"/>
                <w:szCs w:val="24"/>
                <w:lang w:val="en-GB"/>
              </w:rPr>
              <w:t xml:space="preserve">13 </w:t>
            </w:r>
          </w:p>
        </w:tc>
      </w:tr>
      <w:tr w:rsidR="004F0998" w:rsidRPr="00E729BA" w:rsidTr="004F0998">
        <w:trPr>
          <w:trHeight w:val="834"/>
        </w:trPr>
        <w:tc>
          <w:tcPr>
            <w:tcW w:w="7315" w:type="dxa"/>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r w:rsidRPr="00E729BA">
              <w:rPr>
                <w:rFonts w:ascii="Book Antiqua" w:hAnsi="Book Antiqua" w:cs="Times New Roman"/>
                <w:color w:val="auto"/>
                <w:sz w:val="24"/>
                <w:szCs w:val="24"/>
                <w:lang w:val="en-GB"/>
              </w:rPr>
              <w:t>Extent of disease</w:t>
            </w:r>
          </w:p>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eastAsia="zh-CN"/>
              </w:rPr>
            </w:pPr>
            <w:r w:rsidRPr="00E729BA">
              <w:rPr>
                <w:rFonts w:ascii="Book Antiqua" w:hAnsi="Book Antiqua" w:cs="Times New Roman"/>
                <w:color w:val="auto"/>
                <w:sz w:val="24"/>
                <w:szCs w:val="24"/>
                <w:lang w:val="en-GB"/>
              </w:rPr>
              <w:t xml:space="preserve"> Proctitis</w:t>
            </w:r>
          </w:p>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r w:rsidRPr="00E729BA">
              <w:rPr>
                <w:rFonts w:ascii="Book Antiqua" w:hAnsi="Book Antiqua" w:cs="Times New Roman"/>
                <w:color w:val="auto"/>
                <w:sz w:val="24"/>
                <w:szCs w:val="24"/>
                <w:lang w:val="en-GB"/>
              </w:rPr>
              <w:t xml:space="preserve"> Left-side colitis</w:t>
            </w:r>
          </w:p>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eastAsia="zh-CN"/>
              </w:rPr>
            </w:pPr>
            <w:r w:rsidRPr="00E729BA">
              <w:rPr>
                <w:rFonts w:ascii="Book Antiqua" w:hAnsi="Book Antiqua" w:cs="Times New Roman"/>
                <w:color w:val="auto"/>
                <w:sz w:val="24"/>
                <w:szCs w:val="24"/>
                <w:lang w:val="en-GB"/>
              </w:rPr>
              <w:t xml:space="preserve"> Extensive colitis</w:t>
            </w:r>
          </w:p>
        </w:tc>
        <w:tc>
          <w:tcPr>
            <w:tcW w:w="2221" w:type="dxa"/>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p>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r w:rsidRPr="00E729BA">
              <w:rPr>
                <w:rFonts w:ascii="Book Antiqua" w:hAnsi="Book Antiqua" w:cs="Times New Roman"/>
                <w:color w:val="auto"/>
                <w:sz w:val="24"/>
                <w:szCs w:val="24"/>
                <w:lang w:val="en-GB"/>
              </w:rPr>
              <w:t>0</w:t>
            </w:r>
          </w:p>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r w:rsidRPr="00E729BA">
              <w:rPr>
                <w:rFonts w:ascii="Book Antiqua" w:hAnsi="Book Antiqua" w:cs="Times New Roman"/>
                <w:color w:val="auto"/>
                <w:sz w:val="24"/>
                <w:szCs w:val="24"/>
                <w:lang w:val="en-GB"/>
              </w:rPr>
              <w:t>12 (30)</w:t>
            </w:r>
          </w:p>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r w:rsidRPr="00E729BA">
              <w:rPr>
                <w:rFonts w:ascii="Book Antiqua" w:hAnsi="Book Antiqua" w:cs="Times New Roman"/>
                <w:color w:val="auto"/>
                <w:sz w:val="24"/>
                <w:szCs w:val="24"/>
                <w:lang w:val="en-GB"/>
              </w:rPr>
              <w:t>21 (70)</w:t>
            </w:r>
          </w:p>
        </w:tc>
      </w:tr>
      <w:tr w:rsidR="004F0998" w:rsidRPr="00E729BA" w:rsidTr="004F0998">
        <w:trPr>
          <w:trHeight w:val="281"/>
        </w:trPr>
        <w:tc>
          <w:tcPr>
            <w:tcW w:w="7315" w:type="dxa"/>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eastAsia="zh-CN"/>
              </w:rPr>
            </w:pPr>
            <w:r w:rsidRPr="00E729BA">
              <w:rPr>
                <w:rFonts w:ascii="Book Antiqua" w:hAnsi="Book Antiqua" w:cs="Times New Roman"/>
                <w:color w:val="auto"/>
                <w:sz w:val="24"/>
                <w:szCs w:val="24"/>
                <w:lang w:val="en-GB"/>
              </w:rPr>
              <w:t>Current smokers</w:t>
            </w:r>
          </w:p>
        </w:tc>
        <w:tc>
          <w:tcPr>
            <w:tcW w:w="2221" w:type="dxa"/>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r w:rsidRPr="00E729BA">
              <w:rPr>
                <w:rFonts w:ascii="Book Antiqua" w:hAnsi="Book Antiqua" w:cs="Times New Roman"/>
                <w:color w:val="auto"/>
                <w:sz w:val="24"/>
                <w:szCs w:val="24"/>
                <w:lang w:val="en-GB"/>
              </w:rPr>
              <w:t>2 (11.1)</w:t>
            </w:r>
          </w:p>
        </w:tc>
      </w:tr>
      <w:tr w:rsidR="004F0998" w:rsidRPr="00E729BA" w:rsidTr="004F0998">
        <w:trPr>
          <w:trHeight w:val="600"/>
        </w:trPr>
        <w:tc>
          <w:tcPr>
            <w:tcW w:w="7315" w:type="dxa"/>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s-ES"/>
              </w:rPr>
            </w:pPr>
            <w:r w:rsidRPr="00E729BA">
              <w:rPr>
                <w:rFonts w:ascii="Book Antiqua" w:hAnsi="Book Antiqua" w:cs="Times New Roman"/>
                <w:color w:val="auto"/>
                <w:sz w:val="24"/>
                <w:szCs w:val="24"/>
                <w:lang w:val="es-ES"/>
              </w:rPr>
              <w:t xml:space="preserve">Endoscopic Mayo score 2-3 </w:t>
            </w:r>
          </w:p>
          <w:p w:rsidR="004F0998" w:rsidRPr="00E729BA" w:rsidRDefault="002E2C0F" w:rsidP="00E729BA">
            <w:pPr>
              <w:widowControl w:val="0"/>
              <w:spacing w:after="0" w:line="360" w:lineRule="auto"/>
              <w:ind w:firstLine="284"/>
              <w:jc w:val="both"/>
              <w:rPr>
                <w:rFonts w:ascii="Book Antiqua" w:hAnsi="Book Antiqua" w:cs="Times New Roman"/>
                <w:color w:val="auto"/>
                <w:sz w:val="24"/>
                <w:szCs w:val="24"/>
                <w:lang w:val="es-ES" w:eastAsia="zh-CN"/>
              </w:rPr>
            </w:pPr>
            <w:r>
              <w:rPr>
                <w:rFonts w:ascii="Book Antiqua" w:hAnsi="Book Antiqua" w:cs="Times New Roman"/>
                <w:color w:val="auto"/>
                <w:sz w:val="24"/>
                <w:szCs w:val="24"/>
                <w:lang w:val="es-ES"/>
              </w:rPr>
              <w:t>No previous endoscopy</w:t>
            </w:r>
          </w:p>
        </w:tc>
        <w:tc>
          <w:tcPr>
            <w:tcW w:w="2221" w:type="dxa"/>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r w:rsidRPr="00E729BA">
              <w:rPr>
                <w:rFonts w:ascii="Book Antiqua" w:hAnsi="Book Antiqua" w:cs="Times New Roman"/>
                <w:color w:val="auto"/>
                <w:sz w:val="24"/>
                <w:szCs w:val="24"/>
                <w:lang w:val="en-GB"/>
              </w:rPr>
              <w:t>30 (100)</w:t>
            </w:r>
          </w:p>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val="en-GB"/>
              </w:rPr>
            </w:pPr>
            <w:r w:rsidRPr="00E729BA">
              <w:rPr>
                <w:rFonts w:ascii="Book Antiqua" w:hAnsi="Book Antiqua" w:cs="Times New Roman"/>
                <w:color w:val="auto"/>
                <w:sz w:val="24"/>
                <w:szCs w:val="24"/>
                <w:lang w:val="en-GB"/>
              </w:rPr>
              <w:t xml:space="preserve">3 </w:t>
            </w:r>
          </w:p>
        </w:tc>
      </w:tr>
      <w:tr w:rsidR="004F0998" w:rsidRPr="00E729BA" w:rsidTr="004F0998">
        <w:trPr>
          <w:trHeight w:val="448"/>
        </w:trPr>
        <w:tc>
          <w:tcPr>
            <w:tcW w:w="7315" w:type="dxa"/>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rPr>
            </w:pPr>
            <w:r w:rsidRPr="00E729BA">
              <w:rPr>
                <w:rFonts w:ascii="Book Antiqua" w:hAnsi="Book Antiqua" w:cs="Times New Roman"/>
                <w:color w:val="auto"/>
                <w:sz w:val="24"/>
                <w:szCs w:val="24"/>
              </w:rPr>
              <w:t>Clinical situation before golimumab</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s-ES"/>
              </w:rPr>
            </w:pPr>
            <w:r w:rsidRPr="00E729BA">
              <w:rPr>
                <w:rFonts w:ascii="Book Antiqua" w:hAnsi="Book Antiqua" w:cs="Times New Roman"/>
                <w:bCs/>
                <w:color w:val="auto"/>
                <w:sz w:val="24"/>
                <w:szCs w:val="24"/>
              </w:rPr>
              <w:t xml:space="preserve"> </w:t>
            </w:r>
            <w:r w:rsidRPr="00E729BA">
              <w:rPr>
                <w:rFonts w:ascii="Book Antiqua" w:hAnsi="Book Antiqua" w:cs="Times New Roman"/>
                <w:bCs/>
                <w:color w:val="auto"/>
                <w:sz w:val="24"/>
                <w:szCs w:val="24"/>
                <w:lang w:val="es-ES"/>
              </w:rPr>
              <w:t xml:space="preserve">Mild-remission </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s-ES"/>
              </w:rPr>
              <w:t xml:space="preserve"> </w:t>
            </w:r>
            <w:r w:rsidRPr="00E729BA">
              <w:rPr>
                <w:rFonts w:ascii="Book Antiqua" w:hAnsi="Book Antiqua" w:cs="Times New Roman"/>
                <w:bCs/>
                <w:color w:val="auto"/>
                <w:sz w:val="24"/>
                <w:szCs w:val="24"/>
                <w:lang w:val="en-GB"/>
              </w:rPr>
              <w:t>Moderate-severe</w:t>
            </w:r>
          </w:p>
        </w:tc>
        <w:tc>
          <w:tcPr>
            <w:tcW w:w="2221" w:type="dxa"/>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rPr>
            </w:pPr>
          </w:p>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rPr>
            </w:pPr>
            <w:r w:rsidRPr="00E729BA">
              <w:rPr>
                <w:rFonts w:ascii="Book Antiqua" w:hAnsi="Book Antiqua" w:cs="Times New Roman"/>
                <w:color w:val="auto"/>
                <w:sz w:val="24"/>
                <w:szCs w:val="24"/>
              </w:rPr>
              <w:t>5 (15.2)</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color w:val="auto"/>
                <w:sz w:val="24"/>
                <w:szCs w:val="24"/>
              </w:rPr>
              <w:t>28 (84.8)</w:t>
            </w:r>
          </w:p>
        </w:tc>
      </w:tr>
      <w:tr w:rsidR="004F0998" w:rsidRPr="00E729BA" w:rsidTr="004F0998">
        <w:trPr>
          <w:trHeight w:val="1141"/>
        </w:trPr>
        <w:tc>
          <w:tcPr>
            <w:tcW w:w="7315" w:type="dxa"/>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rPr>
            </w:pPr>
            <w:r w:rsidRPr="00E729BA">
              <w:rPr>
                <w:rFonts w:ascii="Book Antiqua" w:hAnsi="Book Antiqua" w:cs="Times New Roman"/>
                <w:color w:val="auto"/>
                <w:sz w:val="24"/>
                <w:szCs w:val="24"/>
              </w:rPr>
              <w:t>Golimumab indication</w:t>
            </w:r>
          </w:p>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rPr>
            </w:pPr>
            <w:r w:rsidRPr="00E729BA">
              <w:rPr>
                <w:rFonts w:ascii="Book Antiqua" w:hAnsi="Book Antiqua" w:cs="Times New Roman"/>
                <w:color w:val="auto"/>
                <w:sz w:val="24"/>
                <w:szCs w:val="24"/>
              </w:rPr>
              <w:t xml:space="preserve"> Induction of remission</w:t>
            </w:r>
          </w:p>
          <w:p w:rsidR="004F0998" w:rsidRPr="00E729BA" w:rsidRDefault="004F0998" w:rsidP="00E729BA">
            <w:pPr>
              <w:widowControl w:val="0"/>
              <w:spacing w:after="0" w:line="360" w:lineRule="auto"/>
              <w:jc w:val="both"/>
              <w:rPr>
                <w:rFonts w:ascii="Book Antiqua" w:hAnsi="Book Antiqua" w:cs="Times New Roman"/>
                <w:color w:val="auto"/>
                <w:sz w:val="24"/>
                <w:szCs w:val="24"/>
              </w:rPr>
            </w:pPr>
            <w:r w:rsidRPr="00E729BA">
              <w:rPr>
                <w:rFonts w:ascii="Book Antiqua" w:hAnsi="Book Antiqua" w:cs="Times New Roman"/>
                <w:color w:val="auto"/>
                <w:sz w:val="24"/>
                <w:szCs w:val="24"/>
              </w:rPr>
              <w:t xml:space="preserve">     Maintainance of remission</w:t>
            </w:r>
          </w:p>
          <w:p w:rsidR="004F0998" w:rsidRPr="00E729BA" w:rsidRDefault="004F0998" w:rsidP="00E729BA">
            <w:pPr>
              <w:widowControl w:val="0"/>
              <w:spacing w:after="0" w:line="360" w:lineRule="auto"/>
              <w:jc w:val="both"/>
              <w:rPr>
                <w:rFonts w:ascii="Book Antiqua" w:hAnsi="Book Antiqua" w:cs="Times New Roman"/>
                <w:color w:val="auto"/>
                <w:sz w:val="24"/>
                <w:szCs w:val="24"/>
              </w:rPr>
            </w:pPr>
            <w:r w:rsidRPr="00E729BA">
              <w:rPr>
                <w:rFonts w:ascii="Book Antiqua" w:hAnsi="Book Antiqua" w:cs="Times New Roman"/>
                <w:color w:val="auto"/>
                <w:sz w:val="24"/>
                <w:szCs w:val="24"/>
              </w:rPr>
              <w:t xml:space="preserve">     Extra-intestinal manifestations</w:t>
            </w:r>
          </w:p>
        </w:tc>
        <w:tc>
          <w:tcPr>
            <w:tcW w:w="2221" w:type="dxa"/>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rPr>
            </w:pPr>
          </w:p>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rPr>
            </w:pPr>
            <w:r w:rsidRPr="00E729BA">
              <w:rPr>
                <w:rFonts w:ascii="Book Antiqua" w:hAnsi="Book Antiqua" w:cs="Times New Roman"/>
                <w:color w:val="auto"/>
                <w:sz w:val="24"/>
                <w:szCs w:val="24"/>
              </w:rPr>
              <w:t xml:space="preserve">28 </w:t>
            </w:r>
            <w:r w:rsidRPr="00E729BA">
              <w:rPr>
                <w:rFonts w:ascii="Book Antiqua" w:hAnsi="Book Antiqua" w:cs="Times New Roman"/>
                <w:iCs/>
                <w:color w:val="auto"/>
                <w:sz w:val="24"/>
                <w:szCs w:val="24"/>
              </w:rPr>
              <w:t>(84.8)</w:t>
            </w:r>
          </w:p>
          <w:p w:rsidR="004F0998" w:rsidRPr="00E729BA" w:rsidRDefault="004F0998" w:rsidP="00E729BA">
            <w:pPr>
              <w:widowControl w:val="0"/>
              <w:spacing w:after="0" w:line="360" w:lineRule="auto"/>
              <w:ind w:firstLine="284"/>
              <w:jc w:val="both"/>
              <w:rPr>
                <w:rFonts w:ascii="Book Antiqua" w:hAnsi="Book Antiqua" w:cs="Times New Roman"/>
                <w:i/>
                <w:iCs/>
                <w:color w:val="auto"/>
                <w:sz w:val="24"/>
                <w:szCs w:val="24"/>
              </w:rPr>
            </w:pPr>
            <w:r w:rsidRPr="00E729BA">
              <w:rPr>
                <w:rFonts w:ascii="Book Antiqua" w:hAnsi="Book Antiqua" w:cs="Times New Roman"/>
                <w:color w:val="auto"/>
                <w:sz w:val="24"/>
                <w:szCs w:val="24"/>
              </w:rPr>
              <w:t xml:space="preserve">3 </w:t>
            </w:r>
            <w:r w:rsidRPr="00E729BA">
              <w:rPr>
                <w:rFonts w:ascii="Book Antiqua" w:hAnsi="Book Antiqua" w:cs="Times New Roman"/>
                <w:iCs/>
                <w:color w:val="auto"/>
                <w:sz w:val="24"/>
                <w:szCs w:val="24"/>
              </w:rPr>
              <w:t>(9.1)</w:t>
            </w:r>
          </w:p>
          <w:p w:rsidR="004F0998" w:rsidRPr="00E729BA" w:rsidRDefault="004F0998" w:rsidP="00E729BA">
            <w:pPr>
              <w:widowControl w:val="0"/>
              <w:spacing w:after="0" w:line="360" w:lineRule="auto"/>
              <w:ind w:firstLine="284"/>
              <w:jc w:val="both"/>
              <w:rPr>
                <w:rFonts w:ascii="Book Antiqua" w:hAnsi="Book Antiqua" w:cs="Times New Roman"/>
                <w:color w:val="auto"/>
                <w:sz w:val="24"/>
                <w:szCs w:val="24"/>
                <w:lang w:eastAsia="zh-CN"/>
              </w:rPr>
            </w:pPr>
            <w:r w:rsidRPr="00E729BA">
              <w:rPr>
                <w:rFonts w:ascii="Book Antiqua" w:hAnsi="Book Antiqua" w:cs="Times New Roman"/>
                <w:color w:val="auto"/>
                <w:sz w:val="24"/>
                <w:szCs w:val="24"/>
                <w:lang w:val="en-GB"/>
              </w:rPr>
              <w:t>2 (11.1)</w:t>
            </w:r>
          </w:p>
        </w:tc>
      </w:tr>
      <w:tr w:rsidR="004F0998" w:rsidRPr="00E729BA" w:rsidTr="004F0998">
        <w:trPr>
          <w:trHeight w:val="555"/>
        </w:trPr>
        <w:tc>
          <w:tcPr>
            <w:tcW w:w="7315" w:type="dxa"/>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Previous anti-TNF use</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Use of &gt; 1 anti-TNF</w:t>
            </w:r>
          </w:p>
        </w:tc>
        <w:tc>
          <w:tcPr>
            <w:tcW w:w="2221" w:type="dxa"/>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24 (72.7)</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16 (48.5)</w:t>
            </w:r>
          </w:p>
        </w:tc>
      </w:tr>
      <w:tr w:rsidR="004F0998" w:rsidRPr="00E729BA" w:rsidTr="004F0998">
        <w:trPr>
          <w:trHeight w:val="1264"/>
        </w:trPr>
        <w:tc>
          <w:tcPr>
            <w:tcW w:w="7315" w:type="dxa"/>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rPr>
            </w:pPr>
            <w:r w:rsidRPr="00E729BA">
              <w:rPr>
                <w:rFonts w:ascii="Book Antiqua" w:hAnsi="Book Antiqua" w:cs="Times New Roman"/>
                <w:bCs/>
                <w:color w:val="auto"/>
                <w:sz w:val="24"/>
                <w:szCs w:val="24"/>
              </w:rPr>
              <w:t>Previous anti-TNF failure</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rPr>
            </w:pPr>
            <w:r w:rsidRPr="00E729BA">
              <w:rPr>
                <w:rFonts w:ascii="Book Antiqua" w:hAnsi="Book Antiqua" w:cs="Times New Roman"/>
                <w:bCs/>
                <w:color w:val="auto"/>
                <w:sz w:val="24"/>
                <w:szCs w:val="24"/>
              </w:rPr>
              <w:t xml:space="preserve"> Primary non-responders</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rPr>
            </w:pPr>
            <w:r w:rsidRPr="00E729BA">
              <w:rPr>
                <w:rFonts w:ascii="Book Antiqua" w:hAnsi="Book Antiqua" w:cs="Times New Roman"/>
                <w:bCs/>
                <w:color w:val="auto"/>
                <w:sz w:val="24"/>
                <w:szCs w:val="24"/>
              </w:rPr>
              <w:t xml:space="preserve"> Loss of response</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s-ES"/>
              </w:rPr>
            </w:pPr>
            <w:r w:rsidRPr="00E729BA">
              <w:rPr>
                <w:rFonts w:ascii="Book Antiqua" w:hAnsi="Book Antiqua" w:cs="Times New Roman"/>
                <w:bCs/>
                <w:color w:val="auto"/>
                <w:sz w:val="24"/>
                <w:szCs w:val="24"/>
              </w:rPr>
              <w:t xml:space="preserve"> </w:t>
            </w:r>
            <w:r w:rsidRPr="00E729BA">
              <w:rPr>
                <w:rFonts w:ascii="Book Antiqua" w:hAnsi="Book Antiqua" w:cs="Times New Roman"/>
                <w:bCs/>
                <w:color w:val="auto"/>
                <w:sz w:val="24"/>
                <w:szCs w:val="24"/>
                <w:lang w:val="es-ES"/>
              </w:rPr>
              <w:t>Infusion reaction</w:t>
            </w:r>
          </w:p>
        </w:tc>
        <w:tc>
          <w:tcPr>
            <w:tcW w:w="2221" w:type="dxa"/>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s-ES"/>
              </w:rPr>
            </w:pP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6(25)</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14(58.3)</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4 (16.6)</w:t>
            </w:r>
          </w:p>
        </w:tc>
      </w:tr>
      <w:tr w:rsidR="004F0998" w:rsidRPr="00E729BA" w:rsidTr="004F0998">
        <w:trPr>
          <w:trHeight w:val="857"/>
        </w:trPr>
        <w:tc>
          <w:tcPr>
            <w:tcW w:w="7315" w:type="dxa"/>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rPr>
            </w:pPr>
            <w:r w:rsidRPr="00E729BA">
              <w:rPr>
                <w:rFonts w:ascii="Book Antiqua" w:hAnsi="Book Antiqua" w:cs="Times New Roman"/>
                <w:bCs/>
                <w:color w:val="auto"/>
                <w:sz w:val="24"/>
                <w:szCs w:val="24"/>
              </w:rPr>
              <w:t>Previous steroid consumption (31 patients had previous steroid consumption)</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rPr>
            </w:pPr>
            <w:r w:rsidRPr="00E729BA">
              <w:rPr>
                <w:rFonts w:ascii="Book Antiqua" w:hAnsi="Book Antiqua" w:cs="Times New Roman"/>
                <w:bCs/>
                <w:color w:val="auto"/>
                <w:sz w:val="24"/>
                <w:szCs w:val="24"/>
              </w:rPr>
              <w:t xml:space="preserve"> Steroid-refractory</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s-ES"/>
              </w:rPr>
            </w:pPr>
            <w:r w:rsidRPr="00E729BA">
              <w:rPr>
                <w:rFonts w:ascii="Book Antiqua" w:hAnsi="Book Antiqua" w:cs="Times New Roman"/>
                <w:bCs/>
                <w:color w:val="auto"/>
                <w:sz w:val="24"/>
                <w:szCs w:val="24"/>
              </w:rPr>
              <w:t xml:space="preserve"> </w:t>
            </w:r>
            <w:r w:rsidRPr="00E729BA">
              <w:rPr>
                <w:rFonts w:ascii="Book Antiqua" w:hAnsi="Book Antiqua" w:cs="Times New Roman"/>
                <w:bCs/>
                <w:color w:val="auto"/>
                <w:sz w:val="24"/>
                <w:szCs w:val="24"/>
                <w:lang w:val="es-ES"/>
              </w:rPr>
              <w:t>Steroid-dependent</w:t>
            </w:r>
          </w:p>
        </w:tc>
        <w:tc>
          <w:tcPr>
            <w:tcW w:w="2221" w:type="dxa"/>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s-ES"/>
              </w:rPr>
            </w:pP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7 (27.3)</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24 (72.7)</w:t>
            </w:r>
          </w:p>
        </w:tc>
      </w:tr>
      <w:tr w:rsidR="004F0998" w:rsidRPr="00E729BA" w:rsidTr="004F0998">
        <w:trPr>
          <w:trHeight w:val="402"/>
        </w:trPr>
        <w:tc>
          <w:tcPr>
            <w:tcW w:w="7315" w:type="dxa"/>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rPr>
            </w:pPr>
            <w:r w:rsidRPr="00E729BA">
              <w:rPr>
                <w:rFonts w:ascii="Book Antiqua" w:hAnsi="Book Antiqua" w:cs="Times New Roman"/>
                <w:bCs/>
                <w:color w:val="auto"/>
                <w:sz w:val="24"/>
                <w:szCs w:val="24"/>
              </w:rPr>
              <w:t>Use of steroids at induction</w:t>
            </w:r>
          </w:p>
        </w:tc>
        <w:tc>
          <w:tcPr>
            <w:tcW w:w="2221" w:type="dxa"/>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25 (75.7)</w:t>
            </w:r>
          </w:p>
        </w:tc>
      </w:tr>
      <w:tr w:rsidR="004F0998" w:rsidRPr="00E729BA" w:rsidTr="004F0998">
        <w:trPr>
          <w:trHeight w:val="827"/>
        </w:trPr>
        <w:tc>
          <w:tcPr>
            <w:tcW w:w="7315" w:type="dxa"/>
            <w:shd w:val="clear" w:color="auto" w:fill="auto"/>
          </w:tcPr>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Associated Inmunosupressors</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 xml:space="preserve"> Azathioprine</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 xml:space="preserve"> Tacrolimus</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p>
        </w:tc>
        <w:tc>
          <w:tcPr>
            <w:tcW w:w="2221" w:type="dxa"/>
            <w:shd w:val="clear" w:color="auto" w:fill="auto"/>
            <w:tcMar>
              <w:left w:w="98" w:type="dxa"/>
            </w:tcMar>
          </w:tcPr>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lastRenderedPageBreak/>
              <w:t>12 (36.6)</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11 (33.3)</w:t>
            </w:r>
          </w:p>
          <w:p w:rsidR="004F0998" w:rsidRPr="00E729BA" w:rsidRDefault="004F0998" w:rsidP="00E729BA">
            <w:pPr>
              <w:widowControl w:val="0"/>
              <w:spacing w:after="0" w:line="360" w:lineRule="auto"/>
              <w:ind w:firstLine="284"/>
              <w:jc w:val="both"/>
              <w:rPr>
                <w:rFonts w:ascii="Book Antiqua" w:hAnsi="Book Antiqua" w:cs="Times New Roman"/>
                <w:bCs/>
                <w:color w:val="auto"/>
                <w:sz w:val="24"/>
                <w:szCs w:val="24"/>
                <w:lang w:val="en-GB"/>
              </w:rPr>
            </w:pPr>
            <w:r w:rsidRPr="00E729BA">
              <w:rPr>
                <w:rFonts w:ascii="Book Antiqua" w:hAnsi="Book Antiqua" w:cs="Times New Roman"/>
                <w:bCs/>
                <w:color w:val="auto"/>
                <w:sz w:val="24"/>
                <w:szCs w:val="24"/>
                <w:lang w:val="en-GB"/>
              </w:rPr>
              <w:t>1 (3)</w:t>
            </w:r>
          </w:p>
        </w:tc>
      </w:tr>
    </w:tbl>
    <w:p w:rsidR="004F0998" w:rsidRPr="004F0998" w:rsidRDefault="004F0998" w:rsidP="00E729BA">
      <w:pPr>
        <w:spacing w:after="0" w:line="360" w:lineRule="auto"/>
        <w:jc w:val="both"/>
        <w:rPr>
          <w:rFonts w:ascii="Book Antiqua" w:hAnsi="Book Antiqua" w:cs="Times New Roman"/>
          <w:b/>
          <w:bCs/>
          <w:color w:val="auto"/>
          <w:sz w:val="24"/>
          <w:szCs w:val="24"/>
          <w:lang w:eastAsia="zh-CN"/>
        </w:rPr>
      </w:pPr>
      <w:r w:rsidRPr="004F0998">
        <w:rPr>
          <w:rFonts w:ascii="Book Antiqua" w:hAnsi="Book Antiqua" w:cs="Times New Roman" w:hint="eastAsia"/>
          <w:b/>
          <w:bCs/>
          <w:color w:val="auto"/>
          <w:sz w:val="24"/>
          <w:szCs w:val="24"/>
          <w:lang w:eastAsia="zh-CN"/>
        </w:rPr>
        <w:t xml:space="preserve"> </w:t>
      </w:r>
    </w:p>
    <w:p w:rsidR="00EB4BCE" w:rsidRPr="004F0998" w:rsidRDefault="00A7777F" w:rsidP="00E729BA">
      <w:pPr>
        <w:suppressAutoHyphens w:val="0"/>
        <w:spacing w:after="0" w:line="360" w:lineRule="auto"/>
        <w:jc w:val="both"/>
        <w:rPr>
          <w:rFonts w:ascii="Book Antiqua" w:hAnsi="Book Antiqua" w:cs="Times New Roman"/>
          <w:color w:val="auto"/>
          <w:sz w:val="24"/>
          <w:szCs w:val="24"/>
        </w:rPr>
      </w:pPr>
      <w:r w:rsidRPr="004F0998">
        <w:rPr>
          <w:rFonts w:ascii="Book Antiqua" w:hAnsi="Book Antiqua"/>
          <w:color w:val="auto"/>
          <w:sz w:val="24"/>
          <w:szCs w:val="24"/>
        </w:rPr>
        <w:br w:type="page"/>
      </w:r>
    </w:p>
    <w:p w:rsidR="00EB4BCE" w:rsidRPr="004F0998" w:rsidRDefault="00EB4BCE" w:rsidP="00E729BA">
      <w:pPr>
        <w:spacing w:after="0" w:line="360" w:lineRule="auto"/>
        <w:jc w:val="both"/>
        <w:rPr>
          <w:rFonts w:ascii="Book Antiqua" w:hAnsi="Book Antiqua" w:cs="Times New Roman"/>
          <w:b/>
          <w:color w:val="auto"/>
          <w:sz w:val="24"/>
          <w:szCs w:val="24"/>
        </w:rPr>
      </w:pPr>
    </w:p>
    <w:p w:rsidR="008128B2" w:rsidRPr="004F0998" w:rsidRDefault="004F0998" w:rsidP="00E729BA">
      <w:pPr>
        <w:spacing w:after="0" w:line="360" w:lineRule="auto"/>
        <w:jc w:val="both"/>
        <w:rPr>
          <w:rFonts w:ascii="Book Antiqua" w:hAnsi="Book Antiqua" w:cs="Times New Roman"/>
          <w:b/>
          <w:color w:val="auto"/>
          <w:sz w:val="24"/>
          <w:szCs w:val="24"/>
          <w:lang w:eastAsia="zh-CN"/>
        </w:rPr>
      </w:pPr>
      <w:r w:rsidRPr="004F0998">
        <w:rPr>
          <w:rFonts w:ascii="Book Antiqua" w:hAnsi="Book Antiqua" w:hint="eastAsia"/>
          <w:b/>
          <w:color w:val="auto"/>
          <w:sz w:val="24"/>
          <w:szCs w:val="24"/>
          <w:lang w:eastAsia="zh-CN"/>
        </w:rPr>
        <w:t>T</w:t>
      </w:r>
      <w:r>
        <w:rPr>
          <w:rFonts w:ascii="Book Antiqua" w:hAnsi="Book Antiqua"/>
          <w:b/>
          <w:color w:val="auto"/>
          <w:sz w:val="24"/>
          <w:szCs w:val="24"/>
        </w:rPr>
        <w:t>able 2</w:t>
      </w:r>
      <w:r w:rsidRPr="004F0998">
        <w:rPr>
          <w:rFonts w:ascii="Book Antiqua" w:hAnsi="Book Antiqua"/>
          <w:b/>
          <w:color w:val="auto"/>
          <w:sz w:val="24"/>
          <w:szCs w:val="24"/>
        </w:rPr>
        <w:t xml:space="preserve"> Bivariant analysis with steroid-free remission</w:t>
      </w:r>
      <w:r>
        <w:rPr>
          <w:rFonts w:ascii="Book Antiqua" w:hAnsi="Book Antiqua" w:hint="eastAsia"/>
          <w:b/>
          <w:color w:val="auto"/>
          <w:sz w:val="24"/>
          <w:szCs w:val="24"/>
          <w:lang w:eastAsia="zh-CN"/>
        </w:rPr>
        <w:t xml:space="preserve"> </w:t>
      </w:r>
      <w:r w:rsidRPr="004F0998">
        <w:rPr>
          <w:rFonts w:ascii="Book Antiqua" w:hAnsi="Book Antiqua"/>
          <w:b/>
          <w:color w:val="auto"/>
          <w:sz w:val="24"/>
          <w:szCs w:val="24"/>
        </w:rPr>
        <w:t>according to Mayo score at week 14 of golimumab treatment</w:t>
      </w:r>
      <w:r w:rsidRPr="004F0998">
        <w:rPr>
          <w:rFonts w:ascii="Book Antiqua" w:hAnsi="Book Antiqua" w:hint="eastAsia"/>
          <w:b/>
          <w:i/>
          <w:color w:val="auto"/>
          <w:sz w:val="24"/>
          <w:szCs w:val="24"/>
          <w:lang w:eastAsia="zh-CN"/>
        </w:rPr>
        <w:t xml:space="preserve"> </w:t>
      </w:r>
      <w:r w:rsidRPr="004F0998">
        <w:rPr>
          <w:rFonts w:ascii="Book Antiqua" w:hAnsi="Book Antiqua"/>
          <w:b/>
          <w:i/>
          <w:color w:val="auto"/>
          <w:sz w:val="24"/>
          <w:szCs w:val="24"/>
        </w:rPr>
        <w:t>n</w:t>
      </w:r>
      <w:r>
        <w:rPr>
          <w:rFonts w:ascii="Book Antiqua" w:hAnsi="Book Antiqua"/>
          <w:b/>
          <w:color w:val="auto"/>
          <w:sz w:val="24"/>
          <w:szCs w:val="24"/>
        </w:rPr>
        <w:t xml:space="preserve"> (%)</w:t>
      </w:r>
    </w:p>
    <w:tbl>
      <w:tblPr>
        <w:tblW w:w="0" w:type="auto"/>
        <w:tblInd w:w="-318" w:type="dxa"/>
        <w:tblBorders>
          <w:top w:val="single" w:sz="4" w:space="0" w:color="auto"/>
          <w:bottom w:val="single" w:sz="4" w:space="0" w:color="auto"/>
        </w:tblBorders>
        <w:tblLook w:val="04A0" w:firstRow="1" w:lastRow="0" w:firstColumn="1" w:lastColumn="0" w:noHBand="0" w:noVBand="1"/>
      </w:tblPr>
      <w:tblGrid>
        <w:gridCol w:w="2479"/>
        <w:gridCol w:w="2161"/>
        <w:gridCol w:w="2161"/>
        <w:gridCol w:w="2161"/>
      </w:tblGrid>
      <w:tr w:rsidR="004F0998" w:rsidRPr="004F0998" w:rsidTr="006B1249">
        <w:tc>
          <w:tcPr>
            <w:tcW w:w="2479" w:type="dxa"/>
            <w:tcBorders>
              <w:top w:val="single" w:sz="4" w:space="0" w:color="auto"/>
              <w:bottom w:val="single" w:sz="4" w:space="0" w:color="auto"/>
            </w:tcBorders>
            <w:hideMark/>
          </w:tcPr>
          <w:p w:rsidR="001576FC" w:rsidRPr="004F0998" w:rsidRDefault="008D0D3B" w:rsidP="008D0D3B">
            <w:pPr>
              <w:spacing w:after="0" w:line="360" w:lineRule="auto"/>
              <w:jc w:val="both"/>
              <w:rPr>
                <w:rFonts w:ascii="Book Antiqua" w:hAnsi="Book Antiqua"/>
                <w:b/>
                <w:color w:val="auto"/>
                <w:sz w:val="24"/>
                <w:szCs w:val="24"/>
                <w:lang w:eastAsia="zh-CN"/>
              </w:rPr>
            </w:pPr>
            <w:r>
              <w:rPr>
                <w:rFonts w:ascii="Book Antiqua" w:hAnsi="Book Antiqua"/>
                <w:b/>
                <w:color w:val="auto"/>
                <w:sz w:val="24"/>
                <w:szCs w:val="24"/>
              </w:rPr>
              <w:t>Variable</w:t>
            </w:r>
          </w:p>
        </w:tc>
        <w:tc>
          <w:tcPr>
            <w:tcW w:w="2161" w:type="dxa"/>
            <w:tcBorders>
              <w:top w:val="single" w:sz="4" w:space="0" w:color="auto"/>
              <w:bottom w:val="single" w:sz="4" w:space="0" w:color="auto"/>
            </w:tcBorders>
            <w:hideMark/>
          </w:tcPr>
          <w:p w:rsidR="001576FC" w:rsidRPr="004F0998" w:rsidRDefault="00A02B66" w:rsidP="00E729BA">
            <w:pPr>
              <w:spacing w:after="0" w:line="360" w:lineRule="auto"/>
              <w:jc w:val="both"/>
              <w:rPr>
                <w:rFonts w:ascii="Book Antiqua" w:hAnsi="Book Antiqua"/>
                <w:b/>
                <w:color w:val="auto"/>
                <w:sz w:val="24"/>
                <w:szCs w:val="24"/>
                <w:lang w:val="es-ES"/>
              </w:rPr>
            </w:pPr>
            <w:r w:rsidRPr="004F0998">
              <w:rPr>
                <w:rFonts w:ascii="Book Antiqua" w:hAnsi="Book Antiqua"/>
                <w:b/>
                <w:color w:val="auto"/>
                <w:sz w:val="24"/>
                <w:szCs w:val="24"/>
                <w:lang w:val="es-ES"/>
              </w:rPr>
              <w:t xml:space="preserve">NO SFR: </w:t>
            </w:r>
            <w:r w:rsidR="004F0998" w:rsidRPr="004F0998">
              <w:rPr>
                <w:rFonts w:ascii="Book Antiqua" w:hAnsi="Book Antiqua"/>
                <w:b/>
                <w:i/>
                <w:color w:val="auto"/>
                <w:sz w:val="24"/>
                <w:szCs w:val="24"/>
                <w:lang w:val="es-ES"/>
              </w:rPr>
              <w:t>n</w:t>
            </w:r>
            <w:r w:rsidR="004F0998" w:rsidRPr="004F0998">
              <w:rPr>
                <w:rFonts w:ascii="Book Antiqua" w:hAnsi="Book Antiqua"/>
                <w:b/>
                <w:color w:val="auto"/>
                <w:sz w:val="24"/>
                <w:szCs w:val="24"/>
                <w:lang w:val="es-ES"/>
              </w:rPr>
              <w:t xml:space="preserve"> </w:t>
            </w:r>
            <w:r w:rsidRPr="004F0998">
              <w:rPr>
                <w:rFonts w:ascii="Book Antiqua" w:hAnsi="Book Antiqua"/>
                <w:b/>
                <w:color w:val="auto"/>
                <w:sz w:val="24"/>
                <w:szCs w:val="24"/>
                <w:lang w:val="es-ES"/>
              </w:rPr>
              <w:t>=</w:t>
            </w:r>
            <w:r w:rsidR="004F0998">
              <w:rPr>
                <w:rFonts w:ascii="Book Antiqua" w:hAnsi="Book Antiqua" w:hint="eastAsia"/>
                <w:b/>
                <w:color w:val="auto"/>
                <w:sz w:val="24"/>
                <w:szCs w:val="24"/>
                <w:lang w:val="es-ES" w:eastAsia="zh-CN"/>
              </w:rPr>
              <w:t xml:space="preserve"> </w:t>
            </w:r>
            <w:r w:rsidRPr="004F0998">
              <w:rPr>
                <w:rFonts w:ascii="Book Antiqua" w:hAnsi="Book Antiqua"/>
                <w:b/>
                <w:color w:val="auto"/>
                <w:sz w:val="24"/>
                <w:szCs w:val="24"/>
                <w:lang w:val="es-ES"/>
              </w:rPr>
              <w:t>16</w:t>
            </w:r>
            <w:r w:rsidR="00EF2AE2" w:rsidRPr="004F0998">
              <w:rPr>
                <w:rFonts w:ascii="Book Antiqua" w:hAnsi="Book Antiqua"/>
                <w:b/>
                <w:color w:val="auto"/>
                <w:sz w:val="24"/>
                <w:szCs w:val="24"/>
                <w:lang w:val="es-ES"/>
              </w:rPr>
              <w:t xml:space="preserve"> </w:t>
            </w:r>
            <w:r w:rsidRPr="004F0998">
              <w:rPr>
                <w:rFonts w:ascii="Book Antiqua" w:hAnsi="Book Antiqua"/>
                <w:b/>
                <w:color w:val="auto"/>
                <w:sz w:val="24"/>
                <w:szCs w:val="24"/>
                <w:lang w:val="es-ES"/>
              </w:rPr>
              <w:t>(</w:t>
            </w:r>
            <w:r w:rsidR="00EF2AE2" w:rsidRPr="004F0998">
              <w:rPr>
                <w:rFonts w:ascii="Book Antiqua" w:hAnsi="Book Antiqua"/>
                <w:b/>
                <w:color w:val="auto"/>
                <w:sz w:val="24"/>
                <w:szCs w:val="24"/>
                <w:lang w:val="es-ES"/>
              </w:rPr>
              <w:t>48.</w:t>
            </w:r>
            <w:r w:rsidR="00C06E7F">
              <w:rPr>
                <w:rFonts w:ascii="Book Antiqua" w:hAnsi="Book Antiqua"/>
                <w:b/>
                <w:color w:val="auto"/>
                <w:sz w:val="24"/>
                <w:szCs w:val="24"/>
                <w:lang w:val="es-ES"/>
              </w:rPr>
              <w:t>5</w:t>
            </w:r>
            <w:r w:rsidRPr="004F0998">
              <w:rPr>
                <w:rFonts w:ascii="Book Antiqua" w:hAnsi="Book Antiqua"/>
                <w:b/>
                <w:color w:val="auto"/>
                <w:sz w:val="24"/>
                <w:szCs w:val="24"/>
                <w:lang w:val="es-ES"/>
              </w:rPr>
              <w:t>)</w:t>
            </w:r>
          </w:p>
        </w:tc>
        <w:tc>
          <w:tcPr>
            <w:tcW w:w="2161" w:type="dxa"/>
            <w:tcBorders>
              <w:top w:val="single" w:sz="4" w:space="0" w:color="auto"/>
              <w:bottom w:val="single" w:sz="4" w:space="0" w:color="auto"/>
            </w:tcBorders>
            <w:hideMark/>
          </w:tcPr>
          <w:p w:rsidR="001576FC" w:rsidRPr="004F0998" w:rsidRDefault="00A02B66" w:rsidP="00E729BA">
            <w:pPr>
              <w:spacing w:after="0" w:line="360" w:lineRule="auto"/>
              <w:jc w:val="both"/>
              <w:rPr>
                <w:rFonts w:ascii="Book Antiqua" w:hAnsi="Book Antiqua"/>
                <w:b/>
                <w:color w:val="auto"/>
                <w:sz w:val="24"/>
                <w:szCs w:val="24"/>
                <w:lang w:val="es-ES"/>
              </w:rPr>
            </w:pPr>
            <w:r w:rsidRPr="004F0998">
              <w:rPr>
                <w:rFonts w:ascii="Book Antiqua" w:hAnsi="Book Antiqua"/>
                <w:b/>
                <w:color w:val="auto"/>
                <w:sz w:val="24"/>
                <w:szCs w:val="24"/>
                <w:lang w:val="es-ES"/>
              </w:rPr>
              <w:t xml:space="preserve">SFR: </w:t>
            </w:r>
            <w:r w:rsidRPr="004F0998">
              <w:rPr>
                <w:rFonts w:ascii="Book Antiqua" w:hAnsi="Book Antiqua"/>
                <w:b/>
                <w:i/>
                <w:color w:val="auto"/>
                <w:sz w:val="24"/>
                <w:szCs w:val="24"/>
                <w:lang w:val="es-ES"/>
              </w:rPr>
              <w:t>n</w:t>
            </w:r>
            <w:r w:rsidR="004F0998">
              <w:rPr>
                <w:rFonts w:ascii="Book Antiqua" w:hAnsi="Book Antiqua" w:hint="eastAsia"/>
                <w:b/>
                <w:color w:val="auto"/>
                <w:sz w:val="24"/>
                <w:szCs w:val="24"/>
                <w:lang w:val="es-ES" w:eastAsia="zh-CN"/>
              </w:rPr>
              <w:t xml:space="preserve"> </w:t>
            </w:r>
            <w:r w:rsidRPr="004F0998">
              <w:rPr>
                <w:rFonts w:ascii="Book Antiqua" w:hAnsi="Book Antiqua"/>
                <w:b/>
                <w:color w:val="auto"/>
                <w:sz w:val="24"/>
                <w:szCs w:val="24"/>
                <w:lang w:val="es-ES"/>
              </w:rPr>
              <w:t>=</w:t>
            </w:r>
            <w:r w:rsidR="004F0998">
              <w:rPr>
                <w:rFonts w:ascii="Book Antiqua" w:hAnsi="Book Antiqua" w:hint="eastAsia"/>
                <w:b/>
                <w:color w:val="auto"/>
                <w:sz w:val="24"/>
                <w:szCs w:val="24"/>
                <w:lang w:val="es-ES" w:eastAsia="zh-CN"/>
              </w:rPr>
              <w:t xml:space="preserve"> </w:t>
            </w:r>
            <w:r w:rsidRPr="004F0998">
              <w:rPr>
                <w:rFonts w:ascii="Book Antiqua" w:hAnsi="Book Antiqua"/>
                <w:b/>
                <w:color w:val="auto"/>
                <w:sz w:val="24"/>
                <w:szCs w:val="24"/>
                <w:lang w:val="es-ES"/>
              </w:rPr>
              <w:t>17</w:t>
            </w:r>
            <w:r w:rsidR="00EF2AE2" w:rsidRPr="004F0998">
              <w:rPr>
                <w:rFonts w:ascii="Book Antiqua" w:hAnsi="Book Antiqua"/>
                <w:b/>
                <w:color w:val="auto"/>
                <w:sz w:val="24"/>
                <w:szCs w:val="24"/>
                <w:lang w:val="es-ES"/>
              </w:rPr>
              <w:t xml:space="preserve"> </w:t>
            </w:r>
            <w:r w:rsidRPr="004F0998">
              <w:rPr>
                <w:rFonts w:ascii="Book Antiqua" w:hAnsi="Book Antiqua"/>
                <w:b/>
                <w:color w:val="auto"/>
                <w:sz w:val="24"/>
                <w:szCs w:val="24"/>
                <w:lang w:val="es-ES"/>
              </w:rPr>
              <w:t>(</w:t>
            </w:r>
            <w:r w:rsidR="00EF2AE2" w:rsidRPr="004F0998">
              <w:rPr>
                <w:rFonts w:ascii="Book Antiqua" w:hAnsi="Book Antiqua"/>
                <w:b/>
                <w:color w:val="auto"/>
                <w:sz w:val="24"/>
                <w:szCs w:val="24"/>
                <w:lang w:val="es-ES"/>
              </w:rPr>
              <w:t>51.</w:t>
            </w:r>
            <w:r w:rsidR="00C06E7F">
              <w:rPr>
                <w:rFonts w:ascii="Book Antiqua" w:hAnsi="Book Antiqua"/>
                <w:b/>
                <w:color w:val="auto"/>
                <w:sz w:val="24"/>
                <w:szCs w:val="24"/>
                <w:lang w:val="es-ES"/>
              </w:rPr>
              <w:t>5</w:t>
            </w:r>
            <w:r w:rsidRPr="004F0998">
              <w:rPr>
                <w:rFonts w:ascii="Book Antiqua" w:hAnsi="Book Antiqua"/>
                <w:b/>
                <w:color w:val="auto"/>
                <w:sz w:val="24"/>
                <w:szCs w:val="24"/>
                <w:lang w:val="es-ES"/>
              </w:rPr>
              <w:t>)</w:t>
            </w:r>
          </w:p>
        </w:tc>
        <w:tc>
          <w:tcPr>
            <w:tcW w:w="2161" w:type="dxa"/>
            <w:tcBorders>
              <w:top w:val="single" w:sz="4" w:space="0" w:color="auto"/>
              <w:bottom w:val="single" w:sz="4" w:space="0" w:color="auto"/>
            </w:tcBorders>
            <w:hideMark/>
          </w:tcPr>
          <w:p w:rsidR="001576FC" w:rsidRPr="004F0998" w:rsidRDefault="001576FC" w:rsidP="00E729BA">
            <w:pPr>
              <w:spacing w:after="0" w:line="360" w:lineRule="auto"/>
              <w:jc w:val="both"/>
              <w:rPr>
                <w:rFonts w:ascii="Book Antiqua" w:hAnsi="Book Antiqua"/>
                <w:b/>
                <w:color w:val="auto"/>
                <w:sz w:val="24"/>
                <w:szCs w:val="24"/>
              </w:rPr>
            </w:pPr>
            <w:r w:rsidRPr="004F0998">
              <w:rPr>
                <w:rFonts w:ascii="Book Antiqua" w:hAnsi="Book Antiqua"/>
                <w:b/>
                <w:i/>
                <w:color w:val="auto"/>
                <w:sz w:val="24"/>
                <w:szCs w:val="24"/>
              </w:rPr>
              <w:t>P</w:t>
            </w:r>
            <w:r w:rsidRPr="004F0998">
              <w:rPr>
                <w:rFonts w:ascii="Book Antiqua" w:hAnsi="Book Antiqua"/>
                <w:b/>
                <w:color w:val="auto"/>
                <w:sz w:val="24"/>
                <w:szCs w:val="24"/>
              </w:rPr>
              <w:t xml:space="preserve"> </w:t>
            </w:r>
            <w:r w:rsidR="004F0998" w:rsidRPr="004F0998">
              <w:rPr>
                <w:rFonts w:ascii="Book Antiqua" w:hAnsi="Book Antiqua"/>
                <w:b/>
                <w:color w:val="auto"/>
                <w:sz w:val="24"/>
                <w:szCs w:val="24"/>
              </w:rPr>
              <w:t>value</w:t>
            </w:r>
          </w:p>
        </w:tc>
      </w:tr>
      <w:tr w:rsidR="004F0998" w:rsidRPr="004F0998" w:rsidTr="006B1249">
        <w:tc>
          <w:tcPr>
            <w:tcW w:w="2479" w:type="dxa"/>
            <w:tcBorders>
              <w:top w:val="single" w:sz="4" w:space="0" w:color="auto"/>
            </w:tcBorders>
            <w:hideMark/>
          </w:tcPr>
          <w:p w:rsidR="001576FC" w:rsidRPr="004F0998" w:rsidRDefault="00EF2AE2" w:rsidP="00E729BA">
            <w:pPr>
              <w:spacing w:after="0" w:line="360" w:lineRule="auto"/>
              <w:jc w:val="both"/>
              <w:rPr>
                <w:rFonts w:ascii="Book Antiqua" w:hAnsi="Book Antiqua"/>
                <w:color w:val="auto"/>
                <w:sz w:val="24"/>
                <w:szCs w:val="24"/>
                <w:lang w:eastAsia="zh-CN"/>
              </w:rPr>
            </w:pPr>
            <w:r w:rsidRPr="004F0998">
              <w:rPr>
                <w:rFonts w:ascii="Book Antiqua" w:hAnsi="Book Antiqua"/>
                <w:color w:val="auto"/>
                <w:sz w:val="24"/>
                <w:szCs w:val="24"/>
              </w:rPr>
              <w:t>Age (</w:t>
            </w:r>
            <w:r w:rsidR="006B1249">
              <w:rPr>
                <w:rFonts w:ascii="Book Antiqua" w:hAnsi="Book Antiqua" w:hint="eastAsia"/>
                <w:color w:val="auto"/>
                <w:sz w:val="24"/>
                <w:szCs w:val="24"/>
                <w:lang w:eastAsia="zh-CN"/>
              </w:rPr>
              <w:t>yr</w:t>
            </w:r>
            <w:r w:rsidR="006B1249">
              <w:rPr>
                <w:rFonts w:ascii="Book Antiqua" w:hAnsi="Book Antiqua"/>
                <w:color w:val="auto"/>
                <w:sz w:val="24"/>
                <w:szCs w:val="24"/>
              </w:rPr>
              <w:t>)</w:t>
            </w:r>
          </w:p>
        </w:tc>
        <w:tc>
          <w:tcPr>
            <w:tcW w:w="2161" w:type="dxa"/>
            <w:tcBorders>
              <w:top w:val="single" w:sz="4" w:space="0" w:color="auto"/>
            </w:tcBorders>
            <w:hideMark/>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38.36 ± 13.</w:t>
            </w:r>
            <w:r w:rsidR="001576FC" w:rsidRPr="004F0998">
              <w:rPr>
                <w:rFonts w:ascii="Book Antiqua" w:hAnsi="Book Antiqua"/>
                <w:color w:val="auto"/>
                <w:sz w:val="24"/>
                <w:szCs w:val="24"/>
              </w:rPr>
              <w:t>6</w:t>
            </w:r>
          </w:p>
        </w:tc>
        <w:tc>
          <w:tcPr>
            <w:tcW w:w="2161" w:type="dxa"/>
            <w:tcBorders>
              <w:top w:val="single" w:sz="4" w:space="0" w:color="auto"/>
            </w:tcBorders>
            <w:hideMark/>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46.35 ± 13.</w:t>
            </w:r>
            <w:r w:rsidR="001576FC" w:rsidRPr="004F0998">
              <w:rPr>
                <w:rFonts w:ascii="Book Antiqua" w:hAnsi="Book Antiqua"/>
                <w:color w:val="auto"/>
                <w:sz w:val="24"/>
                <w:szCs w:val="24"/>
              </w:rPr>
              <w:t>7</w:t>
            </w:r>
          </w:p>
        </w:tc>
        <w:tc>
          <w:tcPr>
            <w:tcW w:w="2161" w:type="dxa"/>
            <w:tcBorders>
              <w:top w:val="single" w:sz="4" w:space="0" w:color="auto"/>
            </w:tcBorders>
            <w:hideMark/>
          </w:tcPr>
          <w:p w:rsidR="001576FC" w:rsidRPr="006B1249" w:rsidRDefault="006B1249" w:rsidP="00E729BA">
            <w:pPr>
              <w:spacing w:after="0" w:line="360" w:lineRule="auto"/>
              <w:jc w:val="both"/>
              <w:rPr>
                <w:rFonts w:ascii="Book Antiqua" w:hAnsi="Book Antiqua"/>
                <w:color w:val="auto"/>
                <w:sz w:val="24"/>
                <w:szCs w:val="24"/>
              </w:rPr>
            </w:pPr>
            <w:r w:rsidRPr="006B1249">
              <w:rPr>
                <w:rFonts w:ascii="Book Antiqua" w:hAnsi="Book Antiqua"/>
                <w:color w:val="auto"/>
                <w:sz w:val="24"/>
                <w:szCs w:val="24"/>
              </w:rPr>
              <w:t>NS</w:t>
            </w:r>
          </w:p>
        </w:tc>
      </w:tr>
      <w:tr w:rsidR="004F0998" w:rsidRPr="004F0998" w:rsidTr="006B1249">
        <w:tc>
          <w:tcPr>
            <w:tcW w:w="2479" w:type="dxa"/>
            <w:hideMark/>
          </w:tcPr>
          <w:p w:rsidR="001576FC" w:rsidRPr="004F0998" w:rsidRDefault="00EF2AE2" w:rsidP="00E729BA">
            <w:pPr>
              <w:spacing w:after="0" w:line="360" w:lineRule="auto"/>
              <w:jc w:val="both"/>
              <w:rPr>
                <w:rFonts w:ascii="Book Antiqua" w:hAnsi="Book Antiqua"/>
                <w:color w:val="auto"/>
                <w:sz w:val="24"/>
                <w:szCs w:val="24"/>
                <w:lang w:eastAsia="zh-CN"/>
              </w:rPr>
            </w:pPr>
            <w:r w:rsidRPr="004F0998">
              <w:rPr>
                <w:rFonts w:ascii="Book Antiqua" w:hAnsi="Book Antiqua"/>
                <w:color w:val="auto"/>
                <w:sz w:val="24"/>
                <w:szCs w:val="24"/>
              </w:rPr>
              <w:t xml:space="preserve">Months since </w:t>
            </w:r>
            <w:r w:rsidR="006B1249" w:rsidRPr="004F0998">
              <w:rPr>
                <w:rFonts w:ascii="Book Antiqua" w:hAnsi="Book Antiqua"/>
                <w:color w:val="auto"/>
                <w:sz w:val="24"/>
                <w:szCs w:val="24"/>
              </w:rPr>
              <w:t>Diagnosis</w:t>
            </w:r>
          </w:p>
        </w:tc>
        <w:tc>
          <w:tcPr>
            <w:tcW w:w="2161" w:type="dxa"/>
            <w:hideMark/>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72.20 ± 96.</w:t>
            </w:r>
            <w:r w:rsidR="001576FC" w:rsidRPr="004F0998">
              <w:rPr>
                <w:rFonts w:ascii="Book Antiqua" w:hAnsi="Book Antiqua"/>
                <w:color w:val="auto"/>
                <w:sz w:val="24"/>
                <w:szCs w:val="24"/>
              </w:rPr>
              <w:t>11</w:t>
            </w:r>
          </w:p>
        </w:tc>
        <w:tc>
          <w:tcPr>
            <w:tcW w:w="2161" w:type="dxa"/>
            <w:hideMark/>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74.65 ± 67.</w:t>
            </w:r>
            <w:r w:rsidR="001576FC" w:rsidRPr="004F0998">
              <w:rPr>
                <w:rFonts w:ascii="Book Antiqua" w:hAnsi="Book Antiqua"/>
                <w:color w:val="auto"/>
                <w:sz w:val="24"/>
                <w:szCs w:val="24"/>
              </w:rPr>
              <w:t>65</w:t>
            </w:r>
          </w:p>
        </w:tc>
        <w:tc>
          <w:tcPr>
            <w:tcW w:w="2161" w:type="dxa"/>
            <w:hideMark/>
          </w:tcPr>
          <w:p w:rsidR="001576FC" w:rsidRPr="006B1249" w:rsidRDefault="00A02B66" w:rsidP="00E729BA">
            <w:pPr>
              <w:spacing w:after="0" w:line="360" w:lineRule="auto"/>
              <w:jc w:val="both"/>
              <w:rPr>
                <w:rFonts w:ascii="Book Antiqua" w:hAnsi="Book Antiqua"/>
                <w:color w:val="auto"/>
                <w:sz w:val="24"/>
                <w:szCs w:val="24"/>
              </w:rPr>
            </w:pPr>
            <w:r w:rsidRPr="006B1249">
              <w:rPr>
                <w:rFonts w:ascii="Book Antiqua" w:hAnsi="Book Antiqua"/>
                <w:color w:val="auto"/>
                <w:sz w:val="24"/>
                <w:szCs w:val="24"/>
              </w:rPr>
              <w:t>N</w:t>
            </w:r>
            <w:r w:rsidR="006B1249" w:rsidRPr="006B1249">
              <w:rPr>
                <w:rFonts w:ascii="Book Antiqua" w:hAnsi="Book Antiqua"/>
                <w:color w:val="auto"/>
                <w:sz w:val="24"/>
                <w:szCs w:val="24"/>
              </w:rPr>
              <w:t>S</w:t>
            </w:r>
          </w:p>
        </w:tc>
      </w:tr>
      <w:tr w:rsidR="004F0998" w:rsidRPr="004F0998" w:rsidTr="006B1249">
        <w:tc>
          <w:tcPr>
            <w:tcW w:w="2479" w:type="dxa"/>
            <w:hideMark/>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Female gender</w:t>
            </w:r>
          </w:p>
        </w:tc>
        <w:tc>
          <w:tcPr>
            <w:tcW w:w="2161" w:type="dxa"/>
            <w:hideMark/>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10 (62.</w:t>
            </w:r>
            <w:r w:rsidR="001576FC" w:rsidRPr="004F0998">
              <w:rPr>
                <w:rFonts w:ascii="Book Antiqua" w:hAnsi="Book Antiqua"/>
                <w:color w:val="auto"/>
                <w:sz w:val="24"/>
                <w:szCs w:val="24"/>
              </w:rPr>
              <w:t>5)</w:t>
            </w:r>
          </w:p>
        </w:tc>
        <w:tc>
          <w:tcPr>
            <w:tcW w:w="2161" w:type="dxa"/>
            <w:hideMark/>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8 (47.</w:t>
            </w:r>
            <w:r w:rsidR="001576FC" w:rsidRPr="004F0998">
              <w:rPr>
                <w:rFonts w:ascii="Book Antiqua" w:hAnsi="Book Antiqua"/>
                <w:color w:val="auto"/>
                <w:sz w:val="24"/>
                <w:szCs w:val="24"/>
              </w:rPr>
              <w:t>1)</w:t>
            </w:r>
          </w:p>
        </w:tc>
        <w:tc>
          <w:tcPr>
            <w:tcW w:w="2161" w:type="dxa"/>
            <w:hideMark/>
          </w:tcPr>
          <w:p w:rsidR="001576FC" w:rsidRPr="006B1249" w:rsidRDefault="006B1249" w:rsidP="00E729BA">
            <w:pPr>
              <w:spacing w:after="0" w:line="360" w:lineRule="auto"/>
              <w:jc w:val="both"/>
              <w:rPr>
                <w:rFonts w:ascii="Book Antiqua" w:hAnsi="Book Antiqua"/>
                <w:color w:val="auto"/>
                <w:sz w:val="24"/>
                <w:szCs w:val="24"/>
              </w:rPr>
            </w:pPr>
            <w:r w:rsidRPr="006B1249">
              <w:rPr>
                <w:rFonts w:ascii="Book Antiqua" w:hAnsi="Book Antiqua"/>
                <w:color w:val="auto"/>
                <w:sz w:val="24"/>
                <w:szCs w:val="24"/>
              </w:rPr>
              <w:t>NS</w:t>
            </w:r>
          </w:p>
        </w:tc>
      </w:tr>
      <w:tr w:rsidR="004F0998" w:rsidRPr="004F0998" w:rsidTr="006B1249">
        <w:tc>
          <w:tcPr>
            <w:tcW w:w="2479" w:type="dxa"/>
            <w:hideMark/>
          </w:tcPr>
          <w:p w:rsidR="001576FC" w:rsidRPr="004F0998" w:rsidRDefault="00AF303E" w:rsidP="00E729BA">
            <w:pPr>
              <w:spacing w:after="0" w:line="360" w:lineRule="auto"/>
              <w:jc w:val="both"/>
              <w:rPr>
                <w:rFonts w:ascii="Book Antiqua" w:hAnsi="Book Antiqua"/>
                <w:color w:val="auto"/>
                <w:sz w:val="24"/>
                <w:szCs w:val="24"/>
                <w:lang w:val="es-ES" w:eastAsia="zh-CN"/>
              </w:rPr>
            </w:pPr>
            <w:r w:rsidRPr="004F0998">
              <w:rPr>
                <w:rFonts w:ascii="Book Antiqua" w:hAnsi="Book Antiqua"/>
                <w:color w:val="auto"/>
                <w:sz w:val="24"/>
                <w:szCs w:val="24"/>
              </w:rPr>
              <w:t>Diagnosis</w:t>
            </w:r>
            <w:r w:rsidR="001576FC" w:rsidRPr="004F0998">
              <w:rPr>
                <w:rFonts w:ascii="Book Antiqua" w:hAnsi="Book Antiqua"/>
                <w:color w:val="auto"/>
                <w:sz w:val="24"/>
                <w:szCs w:val="24"/>
              </w:rPr>
              <w:t xml:space="preserve"> &lt; 2 </w:t>
            </w:r>
            <w:r w:rsidR="006B1249">
              <w:rPr>
                <w:rFonts w:ascii="Book Antiqua" w:hAnsi="Book Antiqua" w:hint="eastAsia"/>
                <w:color w:val="auto"/>
                <w:sz w:val="24"/>
                <w:szCs w:val="24"/>
                <w:lang w:eastAsia="zh-CN"/>
              </w:rPr>
              <w:t>yr</w:t>
            </w:r>
          </w:p>
        </w:tc>
        <w:tc>
          <w:tcPr>
            <w:tcW w:w="2161" w:type="dxa"/>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7 (46.</w:t>
            </w:r>
            <w:r w:rsidR="001576FC" w:rsidRPr="004F0998">
              <w:rPr>
                <w:rFonts w:ascii="Book Antiqua" w:hAnsi="Book Antiqua"/>
                <w:color w:val="auto"/>
                <w:sz w:val="24"/>
                <w:szCs w:val="24"/>
              </w:rPr>
              <w:t>7)</w:t>
            </w:r>
          </w:p>
        </w:tc>
        <w:tc>
          <w:tcPr>
            <w:tcW w:w="2161" w:type="dxa"/>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14 (82.</w:t>
            </w:r>
            <w:r w:rsidR="001576FC" w:rsidRPr="004F0998">
              <w:rPr>
                <w:rFonts w:ascii="Book Antiqua" w:hAnsi="Book Antiqua"/>
                <w:color w:val="auto"/>
                <w:sz w:val="24"/>
                <w:szCs w:val="24"/>
              </w:rPr>
              <w:t>4)</w:t>
            </w:r>
          </w:p>
        </w:tc>
        <w:tc>
          <w:tcPr>
            <w:tcW w:w="2161" w:type="dxa"/>
          </w:tcPr>
          <w:p w:rsidR="001576FC" w:rsidRPr="006B1249" w:rsidRDefault="00EF2AE2" w:rsidP="00E729BA">
            <w:pPr>
              <w:spacing w:after="0" w:line="360" w:lineRule="auto"/>
              <w:jc w:val="both"/>
              <w:rPr>
                <w:rFonts w:ascii="Book Antiqua" w:hAnsi="Book Antiqua"/>
                <w:color w:val="auto"/>
                <w:sz w:val="24"/>
                <w:szCs w:val="24"/>
              </w:rPr>
            </w:pPr>
            <w:r w:rsidRPr="006B1249">
              <w:rPr>
                <w:rFonts w:ascii="Book Antiqua" w:hAnsi="Book Antiqua"/>
                <w:color w:val="auto"/>
                <w:sz w:val="24"/>
                <w:szCs w:val="24"/>
              </w:rPr>
              <w:t>0.</w:t>
            </w:r>
            <w:r w:rsidR="001576FC" w:rsidRPr="006B1249">
              <w:rPr>
                <w:rFonts w:ascii="Book Antiqua" w:hAnsi="Book Antiqua"/>
                <w:color w:val="auto"/>
                <w:sz w:val="24"/>
                <w:szCs w:val="24"/>
              </w:rPr>
              <w:t>03</w:t>
            </w:r>
          </w:p>
        </w:tc>
      </w:tr>
      <w:tr w:rsidR="006B1249" w:rsidRPr="004F0998" w:rsidTr="006B1249">
        <w:tc>
          <w:tcPr>
            <w:tcW w:w="2479" w:type="dxa"/>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Anti-TNF Naïve</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3 (18.8)</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6 (35.3)</w:t>
            </w:r>
          </w:p>
        </w:tc>
        <w:tc>
          <w:tcPr>
            <w:tcW w:w="2161" w:type="dxa"/>
          </w:tcPr>
          <w:p w:rsidR="006B1249" w:rsidRPr="006B1249" w:rsidRDefault="006B1249" w:rsidP="00E729BA">
            <w:pPr>
              <w:spacing w:after="0"/>
            </w:pPr>
            <w:r w:rsidRPr="006B1249">
              <w:rPr>
                <w:rFonts w:ascii="Book Antiqua" w:hAnsi="Book Antiqua"/>
                <w:color w:val="auto"/>
                <w:sz w:val="24"/>
                <w:szCs w:val="24"/>
              </w:rPr>
              <w:t>NS</w:t>
            </w:r>
          </w:p>
        </w:tc>
      </w:tr>
      <w:tr w:rsidR="006B1249" w:rsidRPr="004F0998" w:rsidTr="006B1249">
        <w:tc>
          <w:tcPr>
            <w:tcW w:w="2479" w:type="dxa"/>
            <w:hideMark/>
          </w:tcPr>
          <w:p w:rsidR="006B1249" w:rsidRPr="004F0998" w:rsidRDefault="006B1249" w:rsidP="00E729BA">
            <w:pPr>
              <w:spacing w:after="0" w:line="360" w:lineRule="auto"/>
              <w:jc w:val="both"/>
              <w:rPr>
                <w:rFonts w:ascii="Book Antiqua" w:hAnsi="Book Antiqua"/>
                <w:color w:val="auto"/>
                <w:sz w:val="24"/>
                <w:szCs w:val="24"/>
                <w:lang w:val="es-ES"/>
              </w:rPr>
            </w:pPr>
            <w:r w:rsidRPr="004F0998">
              <w:rPr>
                <w:rFonts w:ascii="Book Antiqua" w:hAnsi="Book Antiqua"/>
                <w:color w:val="auto"/>
                <w:sz w:val="24"/>
                <w:szCs w:val="24"/>
                <w:lang w:val="es-ES"/>
              </w:rPr>
              <w:t>&gt; 1 previous antiTNF</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9 (56.3)</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7 (41.2)</w:t>
            </w:r>
          </w:p>
        </w:tc>
        <w:tc>
          <w:tcPr>
            <w:tcW w:w="2161" w:type="dxa"/>
          </w:tcPr>
          <w:p w:rsidR="006B1249" w:rsidRPr="006B1249" w:rsidRDefault="006B1249" w:rsidP="00E729BA">
            <w:pPr>
              <w:spacing w:after="0"/>
            </w:pPr>
            <w:r w:rsidRPr="006B1249">
              <w:rPr>
                <w:rFonts w:ascii="Book Antiqua" w:hAnsi="Book Antiqua"/>
                <w:color w:val="auto"/>
                <w:sz w:val="24"/>
                <w:szCs w:val="24"/>
              </w:rPr>
              <w:t>NS</w:t>
            </w:r>
          </w:p>
        </w:tc>
      </w:tr>
      <w:tr w:rsidR="004F0998" w:rsidRPr="004F0998" w:rsidTr="006B1249">
        <w:tc>
          <w:tcPr>
            <w:tcW w:w="2479" w:type="dxa"/>
            <w:hideMark/>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Steroid-dependent</w:t>
            </w:r>
          </w:p>
        </w:tc>
        <w:tc>
          <w:tcPr>
            <w:tcW w:w="2161" w:type="dxa"/>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15 (93.</w:t>
            </w:r>
            <w:r w:rsidR="001576FC" w:rsidRPr="004F0998">
              <w:rPr>
                <w:rFonts w:ascii="Book Antiqua" w:hAnsi="Book Antiqua"/>
                <w:color w:val="auto"/>
                <w:sz w:val="24"/>
                <w:szCs w:val="24"/>
              </w:rPr>
              <w:t>8)</w:t>
            </w:r>
          </w:p>
        </w:tc>
        <w:tc>
          <w:tcPr>
            <w:tcW w:w="2161" w:type="dxa"/>
          </w:tcPr>
          <w:p w:rsidR="001576FC" w:rsidRPr="004F0998" w:rsidRDefault="001576FC"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9 (52</w:t>
            </w:r>
            <w:r w:rsidR="00EF2AE2" w:rsidRPr="004F0998">
              <w:rPr>
                <w:rFonts w:ascii="Book Antiqua" w:hAnsi="Book Antiqua"/>
                <w:color w:val="auto"/>
                <w:sz w:val="24"/>
                <w:szCs w:val="24"/>
              </w:rPr>
              <w:t>.9</w:t>
            </w:r>
            <w:r w:rsidRPr="004F0998">
              <w:rPr>
                <w:rFonts w:ascii="Book Antiqua" w:hAnsi="Book Antiqua"/>
                <w:color w:val="auto"/>
                <w:sz w:val="24"/>
                <w:szCs w:val="24"/>
              </w:rPr>
              <w:t>)</w:t>
            </w:r>
          </w:p>
        </w:tc>
        <w:tc>
          <w:tcPr>
            <w:tcW w:w="2161" w:type="dxa"/>
          </w:tcPr>
          <w:p w:rsidR="001576FC" w:rsidRPr="006B1249" w:rsidRDefault="001576FC" w:rsidP="00E729BA">
            <w:pPr>
              <w:spacing w:after="0" w:line="360" w:lineRule="auto"/>
              <w:jc w:val="both"/>
              <w:rPr>
                <w:rFonts w:ascii="Book Antiqua" w:hAnsi="Book Antiqua"/>
                <w:color w:val="auto"/>
                <w:sz w:val="24"/>
                <w:szCs w:val="24"/>
              </w:rPr>
            </w:pPr>
            <w:r w:rsidRPr="006B1249">
              <w:rPr>
                <w:rFonts w:ascii="Book Antiqua" w:hAnsi="Book Antiqua"/>
                <w:color w:val="auto"/>
                <w:sz w:val="24"/>
                <w:szCs w:val="24"/>
              </w:rPr>
              <w:t>0.01</w:t>
            </w:r>
          </w:p>
        </w:tc>
      </w:tr>
      <w:tr w:rsidR="004F0998" w:rsidRPr="004F0998" w:rsidTr="006B1249">
        <w:tc>
          <w:tcPr>
            <w:tcW w:w="2479" w:type="dxa"/>
            <w:hideMark/>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Steroid-refractory</w:t>
            </w:r>
          </w:p>
        </w:tc>
        <w:tc>
          <w:tcPr>
            <w:tcW w:w="2161" w:type="dxa"/>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4 (25.</w:t>
            </w:r>
            <w:r w:rsidR="001576FC" w:rsidRPr="004F0998">
              <w:rPr>
                <w:rFonts w:ascii="Book Antiqua" w:hAnsi="Book Antiqua"/>
                <w:color w:val="auto"/>
                <w:sz w:val="24"/>
                <w:szCs w:val="24"/>
              </w:rPr>
              <w:t>0)</w:t>
            </w:r>
          </w:p>
        </w:tc>
        <w:tc>
          <w:tcPr>
            <w:tcW w:w="2161" w:type="dxa"/>
          </w:tcPr>
          <w:p w:rsidR="001576FC" w:rsidRPr="004F0998" w:rsidRDefault="00EF2AE2"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3 (17.</w:t>
            </w:r>
            <w:r w:rsidR="001576FC" w:rsidRPr="004F0998">
              <w:rPr>
                <w:rFonts w:ascii="Book Antiqua" w:hAnsi="Book Antiqua"/>
                <w:color w:val="auto"/>
                <w:sz w:val="24"/>
                <w:szCs w:val="24"/>
              </w:rPr>
              <w:t>6)</w:t>
            </w:r>
          </w:p>
        </w:tc>
        <w:tc>
          <w:tcPr>
            <w:tcW w:w="2161" w:type="dxa"/>
          </w:tcPr>
          <w:p w:rsidR="001576FC" w:rsidRPr="006B1249" w:rsidRDefault="006B1249" w:rsidP="00E729BA">
            <w:pPr>
              <w:spacing w:after="0" w:line="360" w:lineRule="auto"/>
              <w:jc w:val="both"/>
              <w:rPr>
                <w:rFonts w:ascii="Book Antiqua" w:hAnsi="Book Antiqua"/>
                <w:color w:val="auto"/>
                <w:sz w:val="24"/>
                <w:szCs w:val="24"/>
              </w:rPr>
            </w:pPr>
            <w:r w:rsidRPr="006B1249">
              <w:rPr>
                <w:rFonts w:ascii="Book Antiqua" w:hAnsi="Book Antiqua"/>
                <w:color w:val="auto"/>
                <w:sz w:val="24"/>
                <w:szCs w:val="24"/>
              </w:rPr>
              <w:t>NS</w:t>
            </w:r>
          </w:p>
        </w:tc>
      </w:tr>
      <w:tr w:rsidR="004F0998" w:rsidRPr="004F0998" w:rsidTr="006B1249">
        <w:tc>
          <w:tcPr>
            <w:tcW w:w="8962" w:type="dxa"/>
            <w:gridSpan w:val="4"/>
            <w:hideMark/>
          </w:tcPr>
          <w:p w:rsidR="001576FC" w:rsidRPr="004F0998" w:rsidRDefault="001576FC" w:rsidP="00E729BA">
            <w:pPr>
              <w:spacing w:after="0" w:line="360" w:lineRule="auto"/>
              <w:jc w:val="both"/>
              <w:rPr>
                <w:rFonts w:ascii="Book Antiqua" w:hAnsi="Book Antiqua"/>
                <w:color w:val="auto"/>
                <w:sz w:val="24"/>
                <w:szCs w:val="24"/>
                <w:lang w:eastAsia="zh-CN"/>
              </w:rPr>
            </w:pPr>
            <w:r w:rsidRPr="004F0998">
              <w:rPr>
                <w:rFonts w:ascii="Book Antiqua" w:hAnsi="Book Antiqua"/>
                <w:color w:val="auto"/>
                <w:sz w:val="24"/>
                <w:szCs w:val="24"/>
              </w:rPr>
              <w:t>Me</w:t>
            </w:r>
            <w:r w:rsidR="00EF2AE2" w:rsidRPr="004F0998">
              <w:rPr>
                <w:rFonts w:ascii="Book Antiqua" w:hAnsi="Book Antiqua"/>
                <w:color w:val="auto"/>
                <w:sz w:val="24"/>
                <w:szCs w:val="24"/>
              </w:rPr>
              <w:t>an</w:t>
            </w:r>
            <w:r w:rsidR="006B1249">
              <w:rPr>
                <w:rFonts w:ascii="Book Antiqua" w:hAnsi="Book Antiqua" w:hint="eastAsia"/>
                <w:color w:val="auto"/>
                <w:sz w:val="24"/>
                <w:szCs w:val="24"/>
                <w:lang w:eastAsia="zh-CN"/>
              </w:rPr>
              <w:t xml:space="preserve"> </w:t>
            </w:r>
            <w:r w:rsidR="00EF2AE2" w:rsidRPr="004F0998">
              <w:rPr>
                <w:rFonts w:ascii="Book Antiqua" w:hAnsi="Book Antiqua"/>
                <w:color w:val="auto"/>
                <w:sz w:val="24"/>
                <w:szCs w:val="24"/>
              </w:rPr>
              <w:t xml:space="preserve">± </w:t>
            </w:r>
            <w:r w:rsidR="006B1249">
              <w:rPr>
                <w:rFonts w:ascii="Book Antiqua" w:hAnsi="Book Antiqua" w:hint="eastAsia"/>
                <w:color w:val="auto"/>
                <w:sz w:val="24"/>
                <w:szCs w:val="24"/>
                <w:lang w:eastAsia="zh-CN"/>
              </w:rPr>
              <w:t>SD</w:t>
            </w:r>
          </w:p>
        </w:tc>
      </w:tr>
    </w:tbl>
    <w:p w:rsidR="006B1249" w:rsidRDefault="006B1249" w:rsidP="00E729BA">
      <w:pPr>
        <w:spacing w:after="0" w:line="360" w:lineRule="auto"/>
        <w:jc w:val="both"/>
        <w:rPr>
          <w:rFonts w:ascii="Book Antiqua" w:hAnsi="Book Antiqua"/>
          <w:b/>
          <w:color w:val="auto"/>
          <w:sz w:val="24"/>
          <w:szCs w:val="24"/>
          <w:lang w:eastAsia="zh-CN"/>
        </w:rPr>
      </w:pPr>
    </w:p>
    <w:p w:rsidR="006B1249" w:rsidRDefault="006B1249" w:rsidP="00E729BA">
      <w:pPr>
        <w:spacing w:after="0" w:line="360" w:lineRule="auto"/>
        <w:jc w:val="both"/>
        <w:rPr>
          <w:rFonts w:ascii="Book Antiqua" w:hAnsi="Book Antiqua"/>
          <w:b/>
          <w:color w:val="auto"/>
          <w:sz w:val="24"/>
          <w:szCs w:val="24"/>
          <w:lang w:eastAsia="zh-CN"/>
        </w:rPr>
      </w:pPr>
    </w:p>
    <w:p w:rsidR="006B1249" w:rsidRDefault="006B1249" w:rsidP="00E729BA">
      <w:pPr>
        <w:spacing w:after="0" w:line="360" w:lineRule="auto"/>
        <w:jc w:val="both"/>
        <w:rPr>
          <w:rFonts w:ascii="Book Antiqua" w:hAnsi="Book Antiqua"/>
          <w:b/>
          <w:color w:val="auto"/>
          <w:sz w:val="24"/>
          <w:szCs w:val="24"/>
          <w:lang w:eastAsia="zh-CN"/>
        </w:rPr>
      </w:pPr>
    </w:p>
    <w:p w:rsidR="006B1249" w:rsidRDefault="006B1249" w:rsidP="00E729BA">
      <w:pPr>
        <w:spacing w:after="0" w:line="360" w:lineRule="auto"/>
        <w:jc w:val="both"/>
        <w:rPr>
          <w:rFonts w:ascii="Book Antiqua" w:hAnsi="Book Antiqua"/>
          <w:b/>
          <w:color w:val="auto"/>
          <w:sz w:val="24"/>
          <w:szCs w:val="24"/>
          <w:lang w:eastAsia="zh-CN"/>
        </w:rPr>
      </w:pPr>
    </w:p>
    <w:p w:rsidR="006B1249" w:rsidRDefault="006B1249" w:rsidP="00E729BA">
      <w:pPr>
        <w:spacing w:after="0" w:line="360" w:lineRule="auto"/>
        <w:jc w:val="both"/>
        <w:rPr>
          <w:rFonts w:ascii="Book Antiqua" w:hAnsi="Book Antiqua"/>
          <w:b/>
          <w:color w:val="auto"/>
          <w:sz w:val="24"/>
          <w:szCs w:val="24"/>
          <w:lang w:eastAsia="zh-CN"/>
        </w:rPr>
      </w:pPr>
    </w:p>
    <w:p w:rsidR="006B1249" w:rsidRDefault="006B1249" w:rsidP="00E729BA">
      <w:pPr>
        <w:spacing w:after="0" w:line="360" w:lineRule="auto"/>
        <w:jc w:val="both"/>
        <w:rPr>
          <w:rFonts w:ascii="Book Antiqua" w:hAnsi="Book Antiqua"/>
          <w:b/>
          <w:color w:val="auto"/>
          <w:sz w:val="24"/>
          <w:szCs w:val="24"/>
          <w:lang w:eastAsia="zh-CN"/>
        </w:rPr>
      </w:pPr>
    </w:p>
    <w:p w:rsidR="006B1249" w:rsidRDefault="006B1249" w:rsidP="00E729BA">
      <w:pPr>
        <w:spacing w:after="0" w:line="360" w:lineRule="auto"/>
        <w:jc w:val="both"/>
        <w:rPr>
          <w:rFonts w:ascii="Book Antiqua" w:hAnsi="Book Antiqua"/>
          <w:b/>
          <w:color w:val="auto"/>
          <w:sz w:val="24"/>
          <w:szCs w:val="24"/>
          <w:lang w:eastAsia="zh-CN"/>
        </w:rPr>
      </w:pPr>
    </w:p>
    <w:p w:rsidR="006B1249" w:rsidRDefault="006B1249" w:rsidP="00E729BA">
      <w:pPr>
        <w:spacing w:after="0" w:line="360" w:lineRule="auto"/>
        <w:jc w:val="both"/>
        <w:rPr>
          <w:rFonts w:ascii="Book Antiqua" w:hAnsi="Book Antiqua"/>
          <w:b/>
          <w:color w:val="auto"/>
          <w:sz w:val="24"/>
          <w:szCs w:val="24"/>
          <w:lang w:eastAsia="zh-CN"/>
        </w:rPr>
      </w:pPr>
    </w:p>
    <w:p w:rsidR="00E729BA" w:rsidRDefault="00E729BA">
      <w:pPr>
        <w:suppressAutoHyphens w:val="0"/>
        <w:spacing w:after="0" w:line="240" w:lineRule="auto"/>
        <w:rPr>
          <w:rFonts w:ascii="Book Antiqua" w:hAnsi="Book Antiqua"/>
          <w:b/>
          <w:color w:val="auto"/>
          <w:sz w:val="24"/>
          <w:szCs w:val="24"/>
        </w:rPr>
      </w:pPr>
      <w:r>
        <w:rPr>
          <w:rFonts w:ascii="Book Antiqua" w:hAnsi="Book Antiqua"/>
          <w:b/>
          <w:color w:val="auto"/>
          <w:sz w:val="24"/>
          <w:szCs w:val="24"/>
        </w:rPr>
        <w:br w:type="page"/>
      </w:r>
    </w:p>
    <w:p w:rsidR="006B1249" w:rsidRPr="004F0998" w:rsidRDefault="006B1249" w:rsidP="00E729BA">
      <w:pPr>
        <w:spacing w:after="0" w:line="360" w:lineRule="auto"/>
        <w:jc w:val="both"/>
        <w:rPr>
          <w:rFonts w:ascii="Book Antiqua" w:hAnsi="Book Antiqua"/>
          <w:color w:val="auto"/>
          <w:sz w:val="24"/>
          <w:szCs w:val="24"/>
        </w:rPr>
      </w:pPr>
      <w:r>
        <w:rPr>
          <w:rFonts w:ascii="Book Antiqua" w:hAnsi="Book Antiqua"/>
          <w:b/>
          <w:color w:val="auto"/>
          <w:sz w:val="24"/>
          <w:szCs w:val="24"/>
        </w:rPr>
        <w:lastRenderedPageBreak/>
        <w:t>Table 3</w:t>
      </w:r>
      <w:r w:rsidRPr="004F0998">
        <w:rPr>
          <w:rFonts w:ascii="Book Antiqua" w:hAnsi="Book Antiqua"/>
          <w:color w:val="auto"/>
          <w:sz w:val="24"/>
          <w:szCs w:val="24"/>
        </w:rPr>
        <w:t xml:space="preserve"> </w:t>
      </w:r>
      <w:r w:rsidRPr="006B1249">
        <w:rPr>
          <w:rFonts w:ascii="Book Antiqua" w:hAnsi="Book Antiqua"/>
          <w:b/>
          <w:color w:val="auto"/>
          <w:sz w:val="24"/>
          <w:szCs w:val="24"/>
        </w:rPr>
        <w:t>Bivariant analysis with steroid-free clinical response</w:t>
      </w:r>
      <w:r>
        <w:rPr>
          <w:rFonts w:ascii="Book Antiqua" w:hAnsi="Book Antiqua" w:hint="eastAsia"/>
          <w:b/>
          <w:color w:val="auto"/>
          <w:sz w:val="24"/>
          <w:szCs w:val="24"/>
          <w:lang w:eastAsia="zh-CN"/>
        </w:rPr>
        <w:t xml:space="preserve"> </w:t>
      </w:r>
      <w:r w:rsidRPr="006B1249">
        <w:rPr>
          <w:rFonts w:ascii="Book Antiqua" w:hAnsi="Book Antiqua"/>
          <w:b/>
          <w:color w:val="auto"/>
          <w:sz w:val="24"/>
          <w:szCs w:val="24"/>
        </w:rPr>
        <w:t>according to Mayo score at week 14 of golimumab treatment</w:t>
      </w:r>
      <w:r w:rsidRPr="006B1249">
        <w:rPr>
          <w:rFonts w:ascii="Book Antiqua" w:hAnsi="Book Antiqua"/>
          <w:b/>
          <w:i/>
          <w:color w:val="auto"/>
          <w:sz w:val="24"/>
          <w:szCs w:val="24"/>
        </w:rPr>
        <w:t xml:space="preserve"> </w:t>
      </w:r>
      <w:r w:rsidRPr="004F0998">
        <w:rPr>
          <w:rFonts w:ascii="Book Antiqua" w:hAnsi="Book Antiqua"/>
          <w:b/>
          <w:i/>
          <w:color w:val="auto"/>
          <w:sz w:val="24"/>
          <w:szCs w:val="24"/>
        </w:rPr>
        <w:t>n</w:t>
      </w:r>
      <w:r>
        <w:rPr>
          <w:rFonts w:ascii="Book Antiqua" w:hAnsi="Book Antiqua"/>
          <w:b/>
          <w:color w:val="auto"/>
          <w:sz w:val="24"/>
          <w:szCs w:val="24"/>
        </w:rPr>
        <w:t xml:space="preserve"> (%)</w:t>
      </w:r>
    </w:p>
    <w:p w:rsidR="00A461F2" w:rsidRPr="006B1249" w:rsidRDefault="00A461F2" w:rsidP="00E729BA">
      <w:pPr>
        <w:spacing w:after="0" w:line="360" w:lineRule="auto"/>
        <w:jc w:val="both"/>
        <w:rPr>
          <w:rFonts w:ascii="Book Antiqua" w:hAnsi="Book Antiqua"/>
          <w:color w:val="auto"/>
          <w:sz w:val="24"/>
          <w:szCs w:val="24"/>
        </w:rPr>
      </w:pPr>
    </w:p>
    <w:p w:rsidR="006B1249" w:rsidRDefault="006B1249" w:rsidP="00E729BA">
      <w:pPr>
        <w:suppressAutoHyphens w:val="0"/>
        <w:spacing w:after="0" w:line="240" w:lineRule="auto"/>
        <w:rPr>
          <w:rFonts w:ascii="Book Antiqua" w:hAnsi="Book Antiqua"/>
          <w:b/>
          <w:color w:val="auto"/>
          <w:sz w:val="24"/>
          <w:szCs w:val="24"/>
        </w:rPr>
      </w:pPr>
      <w:r>
        <w:rPr>
          <w:rFonts w:ascii="Book Antiqua" w:hAnsi="Book Antiqua"/>
          <w:b/>
          <w:color w:val="auto"/>
          <w:sz w:val="24"/>
          <w:szCs w:val="24"/>
        </w:rPr>
        <w:br w:type="page"/>
      </w:r>
    </w:p>
    <w:p w:rsidR="00EE77A2" w:rsidRDefault="00EE77A2" w:rsidP="00E729BA">
      <w:pPr>
        <w:spacing w:after="0"/>
        <w:jc w:val="both"/>
        <w:rPr>
          <w:rFonts w:ascii="Book Antiqua" w:hAnsi="Book Antiqua"/>
          <w:color w:val="auto"/>
          <w:sz w:val="24"/>
          <w:szCs w:val="24"/>
          <w:lang w:eastAsia="zh-CN"/>
        </w:rPr>
      </w:pPr>
    </w:p>
    <w:p w:rsidR="006B1249" w:rsidRDefault="006B1249" w:rsidP="00E729BA">
      <w:pPr>
        <w:spacing w:after="0"/>
        <w:jc w:val="both"/>
        <w:rPr>
          <w:rFonts w:ascii="Book Antiqua" w:hAnsi="Book Antiqua"/>
          <w:color w:val="auto"/>
          <w:sz w:val="24"/>
          <w:szCs w:val="24"/>
          <w:lang w:eastAsia="zh-CN"/>
        </w:rPr>
      </w:pPr>
    </w:p>
    <w:p w:rsidR="006B1249" w:rsidRDefault="006B1249" w:rsidP="00E729BA">
      <w:pPr>
        <w:spacing w:after="0"/>
        <w:jc w:val="both"/>
        <w:rPr>
          <w:rFonts w:ascii="Book Antiqua" w:hAnsi="Book Antiqua"/>
          <w:color w:val="auto"/>
          <w:sz w:val="24"/>
          <w:szCs w:val="24"/>
          <w:lang w:eastAsia="zh-CN"/>
        </w:rPr>
      </w:pPr>
    </w:p>
    <w:tbl>
      <w:tblPr>
        <w:tblpPr w:leftFromText="141" w:rightFromText="141" w:vertAnchor="text" w:horzAnchor="page" w:tblpX="1630" w:tblpY="-1469"/>
        <w:tblW w:w="0" w:type="auto"/>
        <w:tblBorders>
          <w:top w:val="single" w:sz="4" w:space="0" w:color="auto"/>
          <w:bottom w:val="single" w:sz="4" w:space="0" w:color="auto"/>
        </w:tblBorders>
        <w:tblLook w:val="04A0" w:firstRow="1" w:lastRow="0" w:firstColumn="1" w:lastColumn="0" w:noHBand="0" w:noVBand="1"/>
      </w:tblPr>
      <w:tblGrid>
        <w:gridCol w:w="2161"/>
        <w:gridCol w:w="2161"/>
        <w:gridCol w:w="2161"/>
        <w:gridCol w:w="2161"/>
      </w:tblGrid>
      <w:tr w:rsidR="006B1249" w:rsidRPr="004F0998" w:rsidTr="002553DA">
        <w:tc>
          <w:tcPr>
            <w:tcW w:w="2161" w:type="dxa"/>
            <w:tcBorders>
              <w:top w:val="single" w:sz="4" w:space="0" w:color="auto"/>
              <w:bottom w:val="single" w:sz="4" w:space="0" w:color="auto"/>
            </w:tcBorders>
            <w:hideMark/>
          </w:tcPr>
          <w:p w:rsidR="006B1249" w:rsidRPr="006B1249" w:rsidRDefault="006B1249" w:rsidP="008D0D3B">
            <w:pPr>
              <w:spacing w:after="0" w:line="360" w:lineRule="auto"/>
              <w:jc w:val="both"/>
              <w:rPr>
                <w:rFonts w:ascii="Book Antiqua" w:hAnsi="Book Antiqua"/>
                <w:b/>
                <w:color w:val="auto"/>
                <w:sz w:val="24"/>
                <w:szCs w:val="24"/>
              </w:rPr>
            </w:pPr>
            <w:r w:rsidRPr="006B1249">
              <w:rPr>
                <w:rFonts w:ascii="Book Antiqua" w:hAnsi="Book Antiqua"/>
                <w:b/>
                <w:color w:val="auto"/>
                <w:sz w:val="24"/>
                <w:szCs w:val="24"/>
              </w:rPr>
              <w:t>Variable</w:t>
            </w:r>
          </w:p>
        </w:tc>
        <w:tc>
          <w:tcPr>
            <w:tcW w:w="2161" w:type="dxa"/>
            <w:tcBorders>
              <w:top w:val="single" w:sz="4" w:space="0" w:color="auto"/>
              <w:bottom w:val="single" w:sz="4" w:space="0" w:color="auto"/>
            </w:tcBorders>
            <w:hideMark/>
          </w:tcPr>
          <w:p w:rsidR="006B1249" w:rsidRPr="006B1249" w:rsidRDefault="006B1249" w:rsidP="00E729BA">
            <w:pPr>
              <w:spacing w:after="0" w:line="360" w:lineRule="auto"/>
              <w:jc w:val="both"/>
              <w:rPr>
                <w:rFonts w:ascii="Book Antiqua" w:hAnsi="Book Antiqua"/>
                <w:b/>
                <w:color w:val="auto"/>
                <w:sz w:val="24"/>
                <w:szCs w:val="24"/>
              </w:rPr>
            </w:pPr>
            <w:r w:rsidRPr="006B1249">
              <w:rPr>
                <w:rFonts w:ascii="Book Antiqua" w:hAnsi="Book Antiqua"/>
                <w:b/>
                <w:color w:val="auto"/>
                <w:sz w:val="24"/>
                <w:szCs w:val="24"/>
              </w:rPr>
              <w:t xml:space="preserve">No clinical response </w:t>
            </w:r>
            <w:r w:rsidRPr="006B1249">
              <w:rPr>
                <w:rFonts w:ascii="Book Antiqua" w:hAnsi="Book Antiqua"/>
                <w:b/>
                <w:i/>
                <w:color w:val="auto"/>
                <w:sz w:val="24"/>
                <w:szCs w:val="24"/>
              </w:rPr>
              <w:t>n</w:t>
            </w:r>
            <w:r>
              <w:rPr>
                <w:rFonts w:ascii="Book Antiqua" w:hAnsi="Book Antiqua" w:hint="eastAsia"/>
                <w:b/>
                <w:color w:val="auto"/>
                <w:sz w:val="24"/>
                <w:szCs w:val="24"/>
                <w:lang w:eastAsia="zh-CN"/>
              </w:rPr>
              <w:t xml:space="preserve"> </w:t>
            </w:r>
            <w:r w:rsidRPr="006B1249">
              <w:rPr>
                <w:rFonts w:ascii="Book Antiqua" w:hAnsi="Book Antiqua"/>
                <w:b/>
                <w:color w:val="auto"/>
                <w:sz w:val="24"/>
                <w:szCs w:val="24"/>
              </w:rPr>
              <w:t>=</w:t>
            </w:r>
            <w:r>
              <w:rPr>
                <w:rFonts w:ascii="Book Antiqua" w:hAnsi="Book Antiqua" w:hint="eastAsia"/>
                <w:b/>
                <w:color w:val="auto"/>
                <w:sz w:val="24"/>
                <w:szCs w:val="24"/>
                <w:lang w:eastAsia="zh-CN"/>
              </w:rPr>
              <w:t xml:space="preserve"> </w:t>
            </w:r>
            <w:r w:rsidR="008D0D3B">
              <w:rPr>
                <w:rFonts w:ascii="Book Antiqua" w:hAnsi="Book Antiqua"/>
                <w:b/>
                <w:color w:val="auto"/>
                <w:sz w:val="24"/>
                <w:szCs w:val="24"/>
              </w:rPr>
              <w:t>8 (24.2</w:t>
            </w:r>
            <w:r w:rsidRPr="006B1249">
              <w:rPr>
                <w:rFonts w:ascii="Book Antiqua" w:hAnsi="Book Antiqua"/>
                <w:b/>
                <w:color w:val="auto"/>
                <w:sz w:val="24"/>
                <w:szCs w:val="24"/>
              </w:rPr>
              <w:t>)</w:t>
            </w:r>
          </w:p>
        </w:tc>
        <w:tc>
          <w:tcPr>
            <w:tcW w:w="2161" w:type="dxa"/>
            <w:tcBorders>
              <w:top w:val="single" w:sz="4" w:space="0" w:color="auto"/>
              <w:bottom w:val="single" w:sz="4" w:space="0" w:color="auto"/>
            </w:tcBorders>
            <w:hideMark/>
          </w:tcPr>
          <w:p w:rsidR="006B1249" w:rsidRPr="006B1249" w:rsidRDefault="006B1249" w:rsidP="00E729BA">
            <w:pPr>
              <w:spacing w:after="0" w:line="360" w:lineRule="auto"/>
              <w:jc w:val="both"/>
              <w:rPr>
                <w:rFonts w:ascii="Book Antiqua" w:hAnsi="Book Antiqua"/>
                <w:b/>
                <w:color w:val="auto"/>
                <w:sz w:val="24"/>
                <w:szCs w:val="24"/>
              </w:rPr>
            </w:pPr>
            <w:r w:rsidRPr="006B1249">
              <w:rPr>
                <w:rFonts w:ascii="Book Antiqua" w:hAnsi="Book Antiqua"/>
                <w:b/>
                <w:color w:val="auto"/>
                <w:sz w:val="24"/>
                <w:szCs w:val="24"/>
              </w:rPr>
              <w:t xml:space="preserve">Clinical response </w:t>
            </w:r>
          </w:p>
          <w:p w:rsidR="006B1249" w:rsidRPr="006B1249" w:rsidRDefault="006B1249" w:rsidP="00E729BA">
            <w:pPr>
              <w:spacing w:after="0" w:line="360" w:lineRule="auto"/>
              <w:jc w:val="both"/>
              <w:rPr>
                <w:rFonts w:ascii="Book Antiqua" w:hAnsi="Book Antiqua"/>
                <w:b/>
                <w:color w:val="auto"/>
                <w:sz w:val="24"/>
                <w:szCs w:val="24"/>
                <w:lang w:val="es-ES"/>
              </w:rPr>
            </w:pPr>
            <w:r w:rsidRPr="006B1249">
              <w:rPr>
                <w:rFonts w:ascii="Book Antiqua" w:hAnsi="Book Antiqua"/>
                <w:b/>
                <w:i/>
                <w:color w:val="auto"/>
                <w:sz w:val="24"/>
                <w:szCs w:val="24"/>
              </w:rPr>
              <w:t>n</w:t>
            </w:r>
            <w:r w:rsidRPr="006B1249">
              <w:rPr>
                <w:rFonts w:ascii="Book Antiqua" w:hAnsi="Book Antiqua"/>
                <w:b/>
                <w:color w:val="auto"/>
                <w:sz w:val="24"/>
                <w:szCs w:val="24"/>
              </w:rPr>
              <w:t xml:space="preserve"> =</w:t>
            </w:r>
            <w:r>
              <w:rPr>
                <w:rFonts w:ascii="Book Antiqua" w:hAnsi="Book Antiqua" w:hint="eastAsia"/>
                <w:b/>
                <w:color w:val="auto"/>
                <w:sz w:val="24"/>
                <w:szCs w:val="24"/>
                <w:lang w:eastAsia="zh-CN"/>
              </w:rPr>
              <w:t xml:space="preserve"> </w:t>
            </w:r>
            <w:r w:rsidR="008D0D3B">
              <w:rPr>
                <w:rFonts w:ascii="Book Antiqua" w:hAnsi="Book Antiqua"/>
                <w:b/>
                <w:color w:val="auto"/>
                <w:sz w:val="24"/>
                <w:szCs w:val="24"/>
              </w:rPr>
              <w:t>25 (75.8</w:t>
            </w:r>
            <w:r w:rsidRPr="006B1249">
              <w:rPr>
                <w:rFonts w:ascii="Book Antiqua" w:hAnsi="Book Antiqua"/>
                <w:b/>
                <w:color w:val="auto"/>
                <w:sz w:val="24"/>
                <w:szCs w:val="24"/>
              </w:rPr>
              <w:t>)</w:t>
            </w:r>
          </w:p>
        </w:tc>
        <w:tc>
          <w:tcPr>
            <w:tcW w:w="2161" w:type="dxa"/>
            <w:tcBorders>
              <w:top w:val="single" w:sz="4" w:space="0" w:color="auto"/>
              <w:bottom w:val="single" w:sz="4" w:space="0" w:color="auto"/>
            </w:tcBorders>
            <w:hideMark/>
          </w:tcPr>
          <w:p w:rsidR="006B1249" w:rsidRPr="006B1249" w:rsidRDefault="006B1249" w:rsidP="00E729BA">
            <w:pPr>
              <w:spacing w:after="0" w:line="360" w:lineRule="auto"/>
              <w:jc w:val="both"/>
              <w:rPr>
                <w:rFonts w:ascii="Book Antiqua" w:hAnsi="Book Antiqua"/>
                <w:b/>
                <w:color w:val="auto"/>
                <w:sz w:val="24"/>
                <w:szCs w:val="24"/>
              </w:rPr>
            </w:pPr>
            <w:r w:rsidRPr="006B1249">
              <w:rPr>
                <w:rFonts w:ascii="Book Antiqua" w:hAnsi="Book Antiqua"/>
                <w:b/>
                <w:i/>
                <w:color w:val="auto"/>
                <w:sz w:val="24"/>
                <w:szCs w:val="24"/>
              </w:rPr>
              <w:t xml:space="preserve">P </w:t>
            </w:r>
            <w:r w:rsidRPr="006B1249">
              <w:rPr>
                <w:rFonts w:ascii="Book Antiqua" w:hAnsi="Book Antiqua"/>
                <w:b/>
                <w:color w:val="auto"/>
                <w:sz w:val="24"/>
                <w:szCs w:val="24"/>
              </w:rPr>
              <w:t>value</w:t>
            </w:r>
          </w:p>
        </w:tc>
      </w:tr>
      <w:tr w:rsidR="006B1249" w:rsidRPr="004F0998" w:rsidTr="002553DA">
        <w:tc>
          <w:tcPr>
            <w:tcW w:w="2161" w:type="dxa"/>
            <w:tcBorders>
              <w:top w:val="single" w:sz="4" w:space="0" w:color="auto"/>
            </w:tcBorders>
            <w:hideMark/>
          </w:tcPr>
          <w:p w:rsidR="006B1249" w:rsidRPr="004F0998" w:rsidRDefault="006B1249" w:rsidP="00E729BA">
            <w:pPr>
              <w:spacing w:after="0" w:line="360" w:lineRule="auto"/>
              <w:jc w:val="both"/>
              <w:rPr>
                <w:rFonts w:ascii="Book Antiqua" w:hAnsi="Book Antiqua"/>
                <w:color w:val="auto"/>
                <w:sz w:val="24"/>
                <w:szCs w:val="24"/>
                <w:lang w:eastAsia="zh-CN"/>
              </w:rPr>
            </w:pPr>
            <w:r w:rsidRPr="004F0998">
              <w:rPr>
                <w:rFonts w:ascii="Book Antiqua" w:hAnsi="Book Antiqua"/>
                <w:color w:val="auto"/>
                <w:sz w:val="24"/>
                <w:szCs w:val="24"/>
              </w:rPr>
              <w:t>Age (</w:t>
            </w:r>
            <w:r>
              <w:rPr>
                <w:rFonts w:ascii="Book Antiqua" w:hAnsi="Book Antiqua" w:hint="eastAsia"/>
                <w:color w:val="auto"/>
                <w:sz w:val="24"/>
                <w:szCs w:val="24"/>
                <w:lang w:eastAsia="zh-CN"/>
              </w:rPr>
              <w:t>yr</w:t>
            </w:r>
            <w:r>
              <w:rPr>
                <w:rFonts w:ascii="Book Antiqua" w:hAnsi="Book Antiqua"/>
                <w:color w:val="auto"/>
                <w:sz w:val="24"/>
                <w:szCs w:val="24"/>
              </w:rPr>
              <w:t>)</w:t>
            </w:r>
          </w:p>
        </w:tc>
        <w:tc>
          <w:tcPr>
            <w:tcW w:w="2161" w:type="dxa"/>
            <w:tcBorders>
              <w:top w:val="single" w:sz="4" w:space="0" w:color="auto"/>
            </w:tcBorders>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42.71 ± 8.6</w:t>
            </w:r>
          </w:p>
        </w:tc>
        <w:tc>
          <w:tcPr>
            <w:tcW w:w="2161" w:type="dxa"/>
            <w:tcBorders>
              <w:top w:val="single" w:sz="4" w:space="0" w:color="auto"/>
            </w:tcBorders>
            <w:hideMark/>
          </w:tcPr>
          <w:p w:rsidR="006B1249" w:rsidRPr="004F0998" w:rsidRDefault="006B1249" w:rsidP="00E729BA">
            <w:pPr>
              <w:spacing w:after="0" w:line="360" w:lineRule="auto"/>
              <w:jc w:val="both"/>
              <w:rPr>
                <w:rFonts w:ascii="Book Antiqua" w:hAnsi="Book Antiqua"/>
                <w:color w:val="auto"/>
                <w:sz w:val="24"/>
                <w:szCs w:val="24"/>
                <w:lang w:val="es-ES"/>
              </w:rPr>
            </w:pPr>
            <w:r w:rsidRPr="004F0998">
              <w:rPr>
                <w:rFonts w:ascii="Book Antiqua" w:hAnsi="Book Antiqua"/>
                <w:color w:val="auto"/>
                <w:sz w:val="24"/>
                <w:szCs w:val="24"/>
              </w:rPr>
              <w:t>43.78 ± 14.9</w:t>
            </w:r>
          </w:p>
        </w:tc>
        <w:tc>
          <w:tcPr>
            <w:tcW w:w="2161" w:type="dxa"/>
            <w:tcBorders>
              <w:top w:val="single" w:sz="4" w:space="0" w:color="auto"/>
            </w:tcBorders>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NS</w:t>
            </w:r>
          </w:p>
        </w:tc>
      </w:tr>
      <w:tr w:rsidR="006B1249" w:rsidRPr="004F0998" w:rsidTr="002553DA">
        <w:tc>
          <w:tcPr>
            <w:tcW w:w="2161" w:type="dxa"/>
            <w:hideMark/>
          </w:tcPr>
          <w:p w:rsidR="006B1249" w:rsidRPr="004F0998" w:rsidRDefault="006B1249" w:rsidP="00E729BA">
            <w:pPr>
              <w:spacing w:after="0" w:line="360" w:lineRule="auto"/>
              <w:jc w:val="both"/>
              <w:rPr>
                <w:rFonts w:ascii="Book Antiqua" w:hAnsi="Book Antiqua"/>
                <w:color w:val="auto"/>
                <w:sz w:val="24"/>
                <w:szCs w:val="24"/>
                <w:lang w:eastAsia="zh-CN"/>
              </w:rPr>
            </w:pPr>
            <w:r w:rsidRPr="004F0998">
              <w:rPr>
                <w:rFonts w:ascii="Book Antiqua" w:hAnsi="Book Antiqua"/>
                <w:color w:val="auto"/>
                <w:sz w:val="24"/>
                <w:szCs w:val="24"/>
              </w:rPr>
              <w:t>Months since Diagnosis</w:t>
            </w:r>
          </w:p>
        </w:tc>
        <w:tc>
          <w:tcPr>
            <w:tcW w:w="2161" w:type="dxa"/>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56.14 ± 68</w:t>
            </w:r>
          </w:p>
        </w:tc>
        <w:tc>
          <w:tcPr>
            <w:tcW w:w="2161" w:type="dxa"/>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77.35 ± 87.9</w:t>
            </w:r>
          </w:p>
        </w:tc>
        <w:tc>
          <w:tcPr>
            <w:tcW w:w="2161" w:type="dxa"/>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NS</w:t>
            </w:r>
          </w:p>
        </w:tc>
      </w:tr>
      <w:tr w:rsidR="006B1249" w:rsidRPr="004F0998" w:rsidTr="002553DA">
        <w:tc>
          <w:tcPr>
            <w:tcW w:w="2161" w:type="dxa"/>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Female gender</w:t>
            </w:r>
          </w:p>
        </w:tc>
        <w:tc>
          <w:tcPr>
            <w:tcW w:w="2161" w:type="dxa"/>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7 (87.5)</w:t>
            </w:r>
          </w:p>
        </w:tc>
        <w:tc>
          <w:tcPr>
            <w:tcW w:w="2161" w:type="dxa"/>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11 (44)</w:t>
            </w:r>
          </w:p>
        </w:tc>
        <w:tc>
          <w:tcPr>
            <w:tcW w:w="2161" w:type="dxa"/>
            <w:hideMark/>
          </w:tcPr>
          <w:p w:rsidR="006B1249" w:rsidRPr="004F0998" w:rsidRDefault="006B1249" w:rsidP="00E729BA">
            <w:pPr>
              <w:spacing w:after="0" w:line="360" w:lineRule="auto"/>
              <w:jc w:val="both"/>
              <w:rPr>
                <w:rFonts w:ascii="Book Antiqua" w:hAnsi="Book Antiqua"/>
                <w:b/>
                <w:color w:val="auto"/>
                <w:sz w:val="24"/>
                <w:szCs w:val="24"/>
              </w:rPr>
            </w:pPr>
            <w:r w:rsidRPr="004F0998">
              <w:rPr>
                <w:rFonts w:ascii="Book Antiqua" w:hAnsi="Book Antiqua"/>
                <w:b/>
                <w:color w:val="auto"/>
                <w:sz w:val="24"/>
                <w:szCs w:val="24"/>
              </w:rPr>
              <w:t>0.04</w:t>
            </w:r>
          </w:p>
        </w:tc>
      </w:tr>
      <w:tr w:rsidR="006B1249" w:rsidRPr="004F0998" w:rsidTr="002553DA">
        <w:tc>
          <w:tcPr>
            <w:tcW w:w="2161" w:type="dxa"/>
            <w:hideMark/>
          </w:tcPr>
          <w:p w:rsidR="006B1249" w:rsidRPr="004F0998" w:rsidRDefault="006B1249" w:rsidP="00E729BA">
            <w:pPr>
              <w:spacing w:after="0" w:line="360" w:lineRule="auto"/>
              <w:jc w:val="both"/>
              <w:rPr>
                <w:rFonts w:ascii="Book Antiqua" w:hAnsi="Book Antiqua"/>
                <w:color w:val="auto"/>
                <w:sz w:val="24"/>
                <w:szCs w:val="24"/>
                <w:lang w:val="es-ES"/>
              </w:rPr>
            </w:pPr>
            <w:r w:rsidRPr="004F0998">
              <w:rPr>
                <w:rFonts w:ascii="Book Antiqua" w:hAnsi="Book Antiqua"/>
                <w:color w:val="auto"/>
                <w:sz w:val="24"/>
                <w:szCs w:val="24"/>
              </w:rPr>
              <w:t>Diagnosis &lt; 2 years</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4 (50)</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17 (70.8)</w:t>
            </w:r>
          </w:p>
        </w:tc>
        <w:tc>
          <w:tcPr>
            <w:tcW w:w="2161" w:type="dxa"/>
          </w:tcPr>
          <w:p w:rsidR="006B1249" w:rsidRDefault="006B1249" w:rsidP="00E729BA">
            <w:pPr>
              <w:spacing w:after="0"/>
            </w:pPr>
            <w:r w:rsidRPr="007B7F28">
              <w:rPr>
                <w:rFonts w:ascii="Book Antiqua" w:hAnsi="Book Antiqua"/>
                <w:color w:val="auto"/>
                <w:sz w:val="24"/>
                <w:szCs w:val="24"/>
              </w:rPr>
              <w:t>NS</w:t>
            </w:r>
          </w:p>
        </w:tc>
      </w:tr>
      <w:tr w:rsidR="006B1249" w:rsidRPr="004F0998" w:rsidTr="002553DA">
        <w:tc>
          <w:tcPr>
            <w:tcW w:w="2161" w:type="dxa"/>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Anti-TNF Naïve</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3 (37.5)</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6 (24)</w:t>
            </w:r>
          </w:p>
        </w:tc>
        <w:tc>
          <w:tcPr>
            <w:tcW w:w="2161" w:type="dxa"/>
          </w:tcPr>
          <w:p w:rsidR="006B1249" w:rsidRDefault="006B1249" w:rsidP="00E729BA">
            <w:pPr>
              <w:spacing w:after="0"/>
            </w:pPr>
            <w:r w:rsidRPr="007B7F28">
              <w:rPr>
                <w:rFonts w:ascii="Book Antiqua" w:hAnsi="Book Antiqua"/>
                <w:color w:val="auto"/>
                <w:sz w:val="24"/>
                <w:szCs w:val="24"/>
              </w:rPr>
              <w:t>NS</w:t>
            </w:r>
          </w:p>
        </w:tc>
      </w:tr>
      <w:tr w:rsidR="006B1249" w:rsidRPr="004F0998" w:rsidTr="002553DA">
        <w:tc>
          <w:tcPr>
            <w:tcW w:w="2161" w:type="dxa"/>
            <w:hideMark/>
          </w:tcPr>
          <w:p w:rsidR="006B1249" w:rsidRPr="004F0998" w:rsidRDefault="006B1249" w:rsidP="00E729BA">
            <w:pPr>
              <w:spacing w:after="0" w:line="360" w:lineRule="auto"/>
              <w:jc w:val="both"/>
              <w:rPr>
                <w:rFonts w:ascii="Book Antiqua" w:hAnsi="Book Antiqua"/>
                <w:color w:val="auto"/>
                <w:sz w:val="24"/>
                <w:szCs w:val="24"/>
                <w:lang w:val="es-ES"/>
              </w:rPr>
            </w:pPr>
            <w:r w:rsidRPr="004F0998">
              <w:rPr>
                <w:rFonts w:ascii="Book Antiqua" w:hAnsi="Book Antiqua"/>
                <w:color w:val="auto"/>
                <w:sz w:val="24"/>
                <w:szCs w:val="24"/>
                <w:lang w:val="es-ES"/>
              </w:rPr>
              <w:t>&gt; 1 previous antiTNF</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4 (50.0)</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12 (48.0)</w:t>
            </w:r>
          </w:p>
        </w:tc>
        <w:tc>
          <w:tcPr>
            <w:tcW w:w="2161" w:type="dxa"/>
          </w:tcPr>
          <w:p w:rsidR="006B1249" w:rsidRDefault="006B1249" w:rsidP="00E729BA">
            <w:pPr>
              <w:spacing w:after="0"/>
            </w:pPr>
            <w:r w:rsidRPr="007B7F28">
              <w:rPr>
                <w:rFonts w:ascii="Book Antiqua" w:hAnsi="Book Antiqua"/>
                <w:color w:val="auto"/>
                <w:sz w:val="24"/>
                <w:szCs w:val="24"/>
              </w:rPr>
              <w:t>NS</w:t>
            </w:r>
          </w:p>
        </w:tc>
      </w:tr>
      <w:tr w:rsidR="006B1249" w:rsidRPr="004F0998" w:rsidTr="002553DA">
        <w:tc>
          <w:tcPr>
            <w:tcW w:w="2161" w:type="dxa"/>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Steroid-dependent</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8 (100)</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16 (64.0)</w:t>
            </w:r>
          </w:p>
        </w:tc>
        <w:tc>
          <w:tcPr>
            <w:tcW w:w="2161" w:type="dxa"/>
          </w:tcPr>
          <w:p w:rsidR="006B1249" w:rsidRPr="004F0998" w:rsidRDefault="006B1249" w:rsidP="00E729BA">
            <w:pPr>
              <w:spacing w:after="0" w:line="360" w:lineRule="auto"/>
              <w:jc w:val="both"/>
              <w:rPr>
                <w:rFonts w:ascii="Book Antiqua" w:hAnsi="Book Antiqua"/>
                <w:b/>
                <w:color w:val="auto"/>
                <w:sz w:val="24"/>
                <w:szCs w:val="24"/>
              </w:rPr>
            </w:pPr>
            <w:r w:rsidRPr="004F0998">
              <w:rPr>
                <w:rFonts w:ascii="Book Antiqua" w:hAnsi="Book Antiqua"/>
                <w:b/>
                <w:color w:val="auto"/>
                <w:sz w:val="24"/>
                <w:szCs w:val="24"/>
              </w:rPr>
              <w:t>0.05</w:t>
            </w:r>
          </w:p>
        </w:tc>
      </w:tr>
      <w:tr w:rsidR="006B1249" w:rsidRPr="004F0998" w:rsidTr="002553DA">
        <w:tc>
          <w:tcPr>
            <w:tcW w:w="2161" w:type="dxa"/>
            <w:hideMark/>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Steroid-refractory</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2 (25.0)</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5 (20.0)</w:t>
            </w:r>
          </w:p>
        </w:tc>
        <w:tc>
          <w:tcPr>
            <w:tcW w:w="2161" w:type="dxa"/>
          </w:tcPr>
          <w:p w:rsidR="006B1249" w:rsidRPr="004F0998" w:rsidRDefault="006B1249" w:rsidP="00E729BA">
            <w:pPr>
              <w:spacing w:after="0" w:line="360" w:lineRule="auto"/>
              <w:jc w:val="both"/>
              <w:rPr>
                <w:rFonts w:ascii="Book Antiqua" w:hAnsi="Book Antiqua"/>
                <w:color w:val="auto"/>
                <w:sz w:val="24"/>
                <w:szCs w:val="24"/>
              </w:rPr>
            </w:pPr>
            <w:r w:rsidRPr="004F0998">
              <w:rPr>
                <w:rFonts w:ascii="Book Antiqua" w:hAnsi="Book Antiqua"/>
                <w:color w:val="auto"/>
                <w:sz w:val="24"/>
                <w:szCs w:val="24"/>
              </w:rPr>
              <w:t>NS</w:t>
            </w:r>
          </w:p>
        </w:tc>
      </w:tr>
      <w:tr w:rsidR="006B1249" w:rsidRPr="004F0998" w:rsidTr="002553DA">
        <w:tc>
          <w:tcPr>
            <w:tcW w:w="8644" w:type="dxa"/>
            <w:gridSpan w:val="4"/>
            <w:hideMark/>
          </w:tcPr>
          <w:p w:rsidR="006B1249" w:rsidRPr="004F0998" w:rsidRDefault="006B1249" w:rsidP="00E729BA">
            <w:pPr>
              <w:spacing w:after="0" w:line="360" w:lineRule="auto"/>
              <w:jc w:val="both"/>
              <w:rPr>
                <w:rFonts w:ascii="Book Antiqua" w:hAnsi="Book Antiqua"/>
                <w:color w:val="auto"/>
                <w:sz w:val="24"/>
                <w:szCs w:val="24"/>
                <w:lang w:eastAsia="zh-CN"/>
              </w:rPr>
            </w:pPr>
            <w:r w:rsidRPr="004F0998">
              <w:rPr>
                <w:rFonts w:ascii="Book Antiqua" w:hAnsi="Book Antiqua"/>
                <w:color w:val="auto"/>
                <w:sz w:val="24"/>
                <w:szCs w:val="24"/>
              </w:rPr>
              <w:t xml:space="preserve">Mean ± </w:t>
            </w:r>
            <w:r>
              <w:rPr>
                <w:rFonts w:ascii="Book Antiqua" w:hAnsi="Book Antiqua" w:hint="eastAsia"/>
                <w:color w:val="auto"/>
                <w:sz w:val="24"/>
                <w:szCs w:val="24"/>
                <w:lang w:eastAsia="zh-CN"/>
              </w:rPr>
              <w:t>SD</w:t>
            </w:r>
          </w:p>
        </w:tc>
      </w:tr>
    </w:tbl>
    <w:p w:rsidR="006B1249" w:rsidRDefault="006B1249" w:rsidP="00E729BA">
      <w:pPr>
        <w:spacing w:after="0"/>
        <w:jc w:val="both"/>
        <w:rPr>
          <w:rFonts w:ascii="Book Antiqua" w:hAnsi="Book Antiqua"/>
          <w:color w:val="auto"/>
          <w:sz w:val="24"/>
          <w:szCs w:val="24"/>
          <w:lang w:eastAsia="zh-CN"/>
        </w:rPr>
      </w:pPr>
    </w:p>
    <w:p w:rsidR="006B1249" w:rsidRDefault="006B1249" w:rsidP="00E729BA">
      <w:pPr>
        <w:spacing w:after="0"/>
        <w:jc w:val="both"/>
        <w:rPr>
          <w:rFonts w:ascii="Book Antiqua" w:hAnsi="Book Antiqua"/>
          <w:color w:val="auto"/>
          <w:sz w:val="24"/>
          <w:szCs w:val="24"/>
          <w:lang w:eastAsia="zh-CN"/>
        </w:rPr>
      </w:pPr>
    </w:p>
    <w:p w:rsidR="006B1249" w:rsidRDefault="006B1249" w:rsidP="00E729BA">
      <w:pPr>
        <w:spacing w:after="0"/>
        <w:jc w:val="both"/>
        <w:rPr>
          <w:rFonts w:ascii="Book Antiqua" w:hAnsi="Book Antiqua"/>
          <w:color w:val="auto"/>
          <w:sz w:val="24"/>
          <w:szCs w:val="24"/>
          <w:lang w:eastAsia="zh-CN"/>
        </w:rPr>
      </w:pPr>
    </w:p>
    <w:p w:rsidR="006B1249" w:rsidRDefault="006B1249" w:rsidP="00E729BA">
      <w:pPr>
        <w:spacing w:after="0"/>
        <w:jc w:val="both"/>
        <w:rPr>
          <w:rFonts w:ascii="Book Antiqua" w:hAnsi="Book Antiqua"/>
          <w:color w:val="auto"/>
          <w:sz w:val="24"/>
          <w:szCs w:val="24"/>
          <w:lang w:eastAsia="zh-CN"/>
        </w:rPr>
      </w:pPr>
    </w:p>
    <w:p w:rsidR="006B1249" w:rsidRDefault="006B1249" w:rsidP="00E729BA">
      <w:pPr>
        <w:suppressAutoHyphens w:val="0"/>
        <w:spacing w:after="0" w:line="240" w:lineRule="auto"/>
        <w:rPr>
          <w:rFonts w:ascii="Book Antiqua" w:hAnsi="Book Antiqua"/>
          <w:color w:val="auto"/>
          <w:sz w:val="24"/>
          <w:szCs w:val="24"/>
          <w:lang w:eastAsia="zh-CN"/>
        </w:rPr>
      </w:pPr>
      <w:r>
        <w:rPr>
          <w:rFonts w:ascii="Book Antiqua" w:hAnsi="Book Antiqua"/>
          <w:color w:val="auto"/>
          <w:sz w:val="24"/>
          <w:szCs w:val="24"/>
          <w:lang w:eastAsia="zh-CN"/>
        </w:rPr>
        <w:br w:type="page"/>
      </w:r>
    </w:p>
    <w:p w:rsidR="006B1249" w:rsidRPr="006B1249" w:rsidRDefault="006B1249" w:rsidP="00E729BA">
      <w:pPr>
        <w:spacing w:after="0"/>
        <w:jc w:val="both"/>
        <w:rPr>
          <w:rFonts w:ascii="Book Antiqua" w:hAnsi="Book Antiqua"/>
          <w:color w:val="auto"/>
          <w:sz w:val="24"/>
          <w:szCs w:val="24"/>
          <w:lang w:eastAsia="zh-CN"/>
        </w:rPr>
      </w:pPr>
    </w:p>
    <w:p w:rsidR="00447170" w:rsidRPr="004F0998" w:rsidRDefault="00447170" w:rsidP="00E729BA">
      <w:pPr>
        <w:spacing w:after="0"/>
        <w:jc w:val="both"/>
        <w:rPr>
          <w:rFonts w:ascii="Book Antiqua" w:hAnsi="Book Antiqua"/>
          <w:color w:val="auto"/>
          <w:sz w:val="24"/>
          <w:szCs w:val="24"/>
        </w:rPr>
      </w:pPr>
      <w:r w:rsidRPr="004F0998">
        <w:rPr>
          <w:rFonts w:ascii="Book Antiqua" w:hAnsi="Book Antiqua"/>
          <w:noProof/>
          <w:color w:val="auto"/>
          <w:sz w:val="24"/>
          <w:szCs w:val="24"/>
          <w:lang w:eastAsia="zh-CN"/>
        </w:rPr>
        <w:drawing>
          <wp:inline distT="0" distB="0" distL="0" distR="0" wp14:anchorId="03E30FE4" wp14:editId="38E55D85">
            <wp:extent cx="2571236" cy="2187245"/>
            <wp:effectExtent l="19050" t="0" r="514" b="0"/>
            <wp:docPr id="1" name="0 Imagen" descr="pre goli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 goli X.jpg"/>
                    <pic:cNvPicPr/>
                  </pic:nvPicPr>
                  <pic:blipFill>
                    <a:blip r:embed="rId8"/>
                    <a:stretch>
                      <a:fillRect/>
                    </a:stretch>
                  </pic:blipFill>
                  <pic:spPr>
                    <a:xfrm>
                      <a:off x="0" y="0"/>
                      <a:ext cx="2579185" cy="2194007"/>
                    </a:xfrm>
                    <a:prstGeom prst="rect">
                      <a:avLst/>
                    </a:prstGeom>
                  </pic:spPr>
                </pic:pic>
              </a:graphicData>
            </a:graphic>
          </wp:inline>
        </w:drawing>
      </w:r>
      <w:r w:rsidRPr="004F0998">
        <w:rPr>
          <w:rFonts w:ascii="Book Antiqua" w:hAnsi="Book Antiqua"/>
          <w:noProof/>
          <w:color w:val="auto"/>
          <w:sz w:val="24"/>
          <w:szCs w:val="24"/>
          <w:lang w:eastAsia="zh-CN"/>
        </w:rPr>
        <w:drawing>
          <wp:inline distT="0" distB="0" distL="0" distR="0" wp14:anchorId="524190ED" wp14:editId="3861AF96">
            <wp:extent cx="2570530" cy="2186642"/>
            <wp:effectExtent l="19050" t="0" r="1220" b="0"/>
            <wp:docPr id="2" name="1 Imagen" descr="post goli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goli X.jpg"/>
                    <pic:cNvPicPr/>
                  </pic:nvPicPr>
                  <pic:blipFill>
                    <a:blip r:embed="rId9"/>
                    <a:stretch>
                      <a:fillRect/>
                    </a:stretch>
                  </pic:blipFill>
                  <pic:spPr>
                    <a:xfrm>
                      <a:off x="0" y="0"/>
                      <a:ext cx="2572801" cy="2188574"/>
                    </a:xfrm>
                    <a:prstGeom prst="rect">
                      <a:avLst/>
                    </a:prstGeom>
                  </pic:spPr>
                </pic:pic>
              </a:graphicData>
            </a:graphic>
          </wp:inline>
        </w:drawing>
      </w:r>
    </w:p>
    <w:p w:rsidR="00447170" w:rsidRPr="004F0998" w:rsidRDefault="00447170" w:rsidP="00E729BA">
      <w:pPr>
        <w:spacing w:after="0"/>
        <w:jc w:val="both"/>
        <w:rPr>
          <w:rFonts w:ascii="Book Antiqua" w:hAnsi="Book Antiqua"/>
          <w:color w:val="auto"/>
          <w:sz w:val="24"/>
          <w:szCs w:val="24"/>
        </w:rPr>
      </w:pPr>
      <w:r w:rsidRPr="004F0998">
        <w:rPr>
          <w:rFonts w:ascii="Book Antiqua" w:hAnsi="Book Antiqua"/>
          <w:b/>
          <w:color w:val="auto"/>
          <w:sz w:val="24"/>
          <w:szCs w:val="24"/>
        </w:rPr>
        <w:t>Figure 1</w:t>
      </w:r>
      <w:r w:rsidR="006B1249">
        <w:rPr>
          <w:rFonts w:ascii="Book Antiqua" w:hAnsi="Book Antiqua" w:hint="eastAsia"/>
          <w:b/>
          <w:color w:val="auto"/>
          <w:sz w:val="24"/>
          <w:szCs w:val="24"/>
          <w:lang w:eastAsia="zh-CN"/>
        </w:rPr>
        <w:t xml:space="preserve"> </w:t>
      </w:r>
      <w:r w:rsidR="00B24603" w:rsidRPr="006B1249">
        <w:rPr>
          <w:rFonts w:ascii="Book Antiqua" w:hAnsi="Book Antiqua"/>
          <w:b/>
          <w:color w:val="auto"/>
          <w:sz w:val="24"/>
          <w:szCs w:val="24"/>
        </w:rPr>
        <w:t>Endoscopic view of one of the</w:t>
      </w:r>
      <w:r w:rsidRPr="006B1249">
        <w:rPr>
          <w:rFonts w:ascii="Book Antiqua" w:hAnsi="Book Antiqua"/>
          <w:b/>
          <w:color w:val="auto"/>
          <w:sz w:val="24"/>
          <w:szCs w:val="24"/>
        </w:rPr>
        <w:t xml:space="preserve"> patients</w:t>
      </w:r>
      <w:r w:rsidR="00B24603" w:rsidRPr="006B1249">
        <w:rPr>
          <w:rFonts w:ascii="Book Antiqua" w:hAnsi="Book Antiqua"/>
          <w:b/>
          <w:color w:val="auto"/>
          <w:sz w:val="24"/>
          <w:szCs w:val="24"/>
        </w:rPr>
        <w:t>'</w:t>
      </w:r>
      <w:r w:rsidR="008D0D3B">
        <w:rPr>
          <w:rFonts w:ascii="Book Antiqua" w:hAnsi="Book Antiqua"/>
          <w:b/>
          <w:color w:val="auto"/>
          <w:sz w:val="24"/>
          <w:szCs w:val="24"/>
        </w:rPr>
        <w:t xml:space="preserve"> colon before and after 12 wk</w:t>
      </w:r>
      <w:r w:rsidRPr="006B1249">
        <w:rPr>
          <w:rFonts w:ascii="Book Antiqua" w:hAnsi="Book Antiqua"/>
          <w:b/>
          <w:color w:val="auto"/>
          <w:sz w:val="24"/>
          <w:szCs w:val="24"/>
        </w:rPr>
        <w:t xml:space="preserve"> of golimumab.</w:t>
      </w:r>
    </w:p>
    <w:sectPr w:rsidR="00447170" w:rsidRPr="004F0998" w:rsidSect="00D8186C">
      <w:headerReference w:type="default" r:id="rId10"/>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253" w:rsidRDefault="002D3253" w:rsidP="0064691D">
      <w:pPr>
        <w:spacing w:after="0" w:line="240" w:lineRule="auto"/>
      </w:pPr>
      <w:r>
        <w:separator/>
      </w:r>
    </w:p>
  </w:endnote>
  <w:endnote w:type="continuationSeparator" w:id="0">
    <w:p w:rsidR="002D3253" w:rsidRDefault="002D3253" w:rsidP="0064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ahoma"/>
    <w:charset w:val="00"/>
    <w:family w:val="swiss"/>
    <w:pitch w:val="variable"/>
    <w:sig w:usb0="00000000" w:usb1="800078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A1002AE7" w:usb1="C0000063" w:usb2="00000038" w:usb3="00000000" w:csb0="000000B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253" w:rsidRDefault="002D3253" w:rsidP="0064691D">
      <w:pPr>
        <w:spacing w:after="0" w:line="240" w:lineRule="auto"/>
      </w:pPr>
      <w:r>
        <w:separator/>
      </w:r>
    </w:p>
  </w:footnote>
  <w:footnote w:type="continuationSeparator" w:id="0">
    <w:p w:rsidR="002D3253" w:rsidRDefault="002D3253" w:rsidP="0064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31673"/>
      <w:docPartObj>
        <w:docPartGallery w:val="Page Numbers (Top of Page)"/>
        <w:docPartUnique/>
      </w:docPartObj>
    </w:sdtPr>
    <w:sdtEndPr/>
    <w:sdtContent>
      <w:p w:rsidR="002553DA" w:rsidRDefault="002553DA">
        <w:pPr>
          <w:pStyle w:val="Header"/>
          <w:jc w:val="right"/>
          <w:rPr>
            <w:rFonts w:hint="eastAsia"/>
          </w:rPr>
        </w:pPr>
        <w:r w:rsidRPr="00304BB0">
          <w:rPr>
            <w:rFonts w:ascii="Book Antiqua" w:hAnsi="Book Antiqua"/>
            <w:sz w:val="24"/>
            <w:szCs w:val="24"/>
          </w:rPr>
          <w:fldChar w:fldCharType="begin"/>
        </w:r>
        <w:r w:rsidRPr="00304BB0">
          <w:rPr>
            <w:rFonts w:ascii="Book Antiqua" w:hAnsi="Book Antiqua"/>
            <w:sz w:val="24"/>
            <w:szCs w:val="24"/>
          </w:rPr>
          <w:instrText xml:space="preserve"> PAGE   \* MERGEFORMAT </w:instrText>
        </w:r>
        <w:r w:rsidRPr="00304BB0">
          <w:rPr>
            <w:rFonts w:ascii="Book Antiqua" w:hAnsi="Book Antiqua"/>
            <w:sz w:val="24"/>
            <w:szCs w:val="24"/>
          </w:rPr>
          <w:fldChar w:fldCharType="separate"/>
        </w:r>
        <w:r w:rsidR="009144E5">
          <w:rPr>
            <w:rFonts w:ascii="Book Antiqua" w:hAnsi="Book Antiqua"/>
            <w:noProof/>
            <w:sz w:val="24"/>
            <w:szCs w:val="24"/>
          </w:rPr>
          <w:t>28</w:t>
        </w:r>
        <w:r w:rsidRPr="00304BB0">
          <w:rPr>
            <w:rFonts w:ascii="Book Antiqua" w:hAnsi="Book Antiqua"/>
            <w:sz w:val="24"/>
            <w:szCs w:val="24"/>
          </w:rPr>
          <w:fldChar w:fldCharType="end"/>
        </w:r>
      </w:p>
    </w:sdtContent>
  </w:sdt>
  <w:p w:rsidR="002553DA" w:rsidRDefault="002553DA">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03CF9"/>
    <w:multiLevelType w:val="hybridMultilevel"/>
    <w:tmpl w:val="E0B4E3AA"/>
    <w:lvl w:ilvl="0" w:tplc="AA7AA914">
      <w:start w:val="1"/>
      <w:numFmt w:val="decimal"/>
      <w:lvlText w:val="%1."/>
      <w:lvlJc w:val="left"/>
      <w:pPr>
        <w:ind w:left="360" w:hanging="360"/>
      </w:pPr>
      <w:rPr>
        <w:rFonts w:ascii="Optima" w:eastAsia="Optima" w:hAnsi="Optima" w:cs="Optima" w:hint="default"/>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it-IT" w:vendorID="64" w:dllVersion="131078" w:nlCheck="1" w:checkStyle="0"/>
  <w:activeWritingStyle w:appName="MSWord" w:lang="nl-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CE"/>
    <w:rsid w:val="00002F9D"/>
    <w:rsid w:val="00003289"/>
    <w:rsid w:val="00015A49"/>
    <w:rsid w:val="0002089A"/>
    <w:rsid w:val="0002468A"/>
    <w:rsid w:val="00024DFA"/>
    <w:rsid w:val="0002546C"/>
    <w:rsid w:val="00027836"/>
    <w:rsid w:val="00057460"/>
    <w:rsid w:val="00074F8D"/>
    <w:rsid w:val="000837F5"/>
    <w:rsid w:val="00083B26"/>
    <w:rsid w:val="000A3AFD"/>
    <w:rsid w:val="000A5860"/>
    <w:rsid w:val="000B1622"/>
    <w:rsid w:val="000C0246"/>
    <w:rsid w:val="000C09FB"/>
    <w:rsid w:val="000D597D"/>
    <w:rsid w:val="000E03CB"/>
    <w:rsid w:val="000F5D43"/>
    <w:rsid w:val="000F74CC"/>
    <w:rsid w:val="00121D7C"/>
    <w:rsid w:val="00135173"/>
    <w:rsid w:val="00140301"/>
    <w:rsid w:val="00155F00"/>
    <w:rsid w:val="001576FC"/>
    <w:rsid w:val="00180C0F"/>
    <w:rsid w:val="001919CB"/>
    <w:rsid w:val="001A5873"/>
    <w:rsid w:val="001D3306"/>
    <w:rsid w:val="001E23FD"/>
    <w:rsid w:val="001E59AE"/>
    <w:rsid w:val="001E796F"/>
    <w:rsid w:val="00202353"/>
    <w:rsid w:val="00244CAB"/>
    <w:rsid w:val="002453EE"/>
    <w:rsid w:val="002553DA"/>
    <w:rsid w:val="002602B4"/>
    <w:rsid w:val="00260C1C"/>
    <w:rsid w:val="00270684"/>
    <w:rsid w:val="002778FA"/>
    <w:rsid w:val="0028002F"/>
    <w:rsid w:val="00282DE1"/>
    <w:rsid w:val="002A0AB0"/>
    <w:rsid w:val="002B048A"/>
    <w:rsid w:val="002C7EDC"/>
    <w:rsid w:val="002D1906"/>
    <w:rsid w:val="002D3253"/>
    <w:rsid w:val="002E2C0F"/>
    <w:rsid w:val="00304BB0"/>
    <w:rsid w:val="00322EBF"/>
    <w:rsid w:val="00352495"/>
    <w:rsid w:val="0036133C"/>
    <w:rsid w:val="0036358B"/>
    <w:rsid w:val="00366653"/>
    <w:rsid w:val="00367F0F"/>
    <w:rsid w:val="003820C4"/>
    <w:rsid w:val="00384896"/>
    <w:rsid w:val="003A564D"/>
    <w:rsid w:val="003F6C60"/>
    <w:rsid w:val="00416BE1"/>
    <w:rsid w:val="00420CE6"/>
    <w:rsid w:val="00432975"/>
    <w:rsid w:val="004403FF"/>
    <w:rsid w:val="00447170"/>
    <w:rsid w:val="00447B51"/>
    <w:rsid w:val="00447F93"/>
    <w:rsid w:val="00447FC8"/>
    <w:rsid w:val="00450AE9"/>
    <w:rsid w:val="00452BC7"/>
    <w:rsid w:val="004538B3"/>
    <w:rsid w:val="004740BB"/>
    <w:rsid w:val="004A1957"/>
    <w:rsid w:val="004C2F28"/>
    <w:rsid w:val="004C59D0"/>
    <w:rsid w:val="004E7158"/>
    <w:rsid w:val="004F0998"/>
    <w:rsid w:val="0050026C"/>
    <w:rsid w:val="00504374"/>
    <w:rsid w:val="00512B54"/>
    <w:rsid w:val="00516F2E"/>
    <w:rsid w:val="00531390"/>
    <w:rsid w:val="0054789D"/>
    <w:rsid w:val="00556A89"/>
    <w:rsid w:val="005612D4"/>
    <w:rsid w:val="00581DED"/>
    <w:rsid w:val="00584090"/>
    <w:rsid w:val="00585688"/>
    <w:rsid w:val="00585926"/>
    <w:rsid w:val="005A215E"/>
    <w:rsid w:val="005A7162"/>
    <w:rsid w:val="005E7F3A"/>
    <w:rsid w:val="00607495"/>
    <w:rsid w:val="00607830"/>
    <w:rsid w:val="0064691D"/>
    <w:rsid w:val="00653AD2"/>
    <w:rsid w:val="006624AE"/>
    <w:rsid w:val="0066719A"/>
    <w:rsid w:val="00670190"/>
    <w:rsid w:val="006720F6"/>
    <w:rsid w:val="006B1249"/>
    <w:rsid w:val="006D1D70"/>
    <w:rsid w:val="006D6F4D"/>
    <w:rsid w:val="006E0DBE"/>
    <w:rsid w:val="007026AC"/>
    <w:rsid w:val="0072007B"/>
    <w:rsid w:val="00750BDE"/>
    <w:rsid w:val="007558E2"/>
    <w:rsid w:val="00777BE5"/>
    <w:rsid w:val="00790CA5"/>
    <w:rsid w:val="00792F67"/>
    <w:rsid w:val="007A43ED"/>
    <w:rsid w:val="007C0039"/>
    <w:rsid w:val="007C1226"/>
    <w:rsid w:val="007C3806"/>
    <w:rsid w:val="007C56EB"/>
    <w:rsid w:val="007C6B02"/>
    <w:rsid w:val="007D393E"/>
    <w:rsid w:val="007E3889"/>
    <w:rsid w:val="007E3FF9"/>
    <w:rsid w:val="007F546D"/>
    <w:rsid w:val="008055F5"/>
    <w:rsid w:val="008128B2"/>
    <w:rsid w:val="00824AC2"/>
    <w:rsid w:val="0082760A"/>
    <w:rsid w:val="008303F0"/>
    <w:rsid w:val="00847B70"/>
    <w:rsid w:val="00870B6A"/>
    <w:rsid w:val="008735D1"/>
    <w:rsid w:val="00884904"/>
    <w:rsid w:val="008D0C8B"/>
    <w:rsid w:val="008D0D3B"/>
    <w:rsid w:val="008E1C4D"/>
    <w:rsid w:val="008E26D0"/>
    <w:rsid w:val="008E6A3B"/>
    <w:rsid w:val="008F1610"/>
    <w:rsid w:val="008F4542"/>
    <w:rsid w:val="008F45AD"/>
    <w:rsid w:val="00903248"/>
    <w:rsid w:val="009111D6"/>
    <w:rsid w:val="009144E5"/>
    <w:rsid w:val="00916AC9"/>
    <w:rsid w:val="009251B6"/>
    <w:rsid w:val="00961C25"/>
    <w:rsid w:val="0096727C"/>
    <w:rsid w:val="009757B2"/>
    <w:rsid w:val="00976B0E"/>
    <w:rsid w:val="00982911"/>
    <w:rsid w:val="00987714"/>
    <w:rsid w:val="00991B40"/>
    <w:rsid w:val="00993688"/>
    <w:rsid w:val="009A34E1"/>
    <w:rsid w:val="009B132B"/>
    <w:rsid w:val="009C2CFA"/>
    <w:rsid w:val="009D18FF"/>
    <w:rsid w:val="009E5005"/>
    <w:rsid w:val="009F3530"/>
    <w:rsid w:val="009F578F"/>
    <w:rsid w:val="00A02B66"/>
    <w:rsid w:val="00A11475"/>
    <w:rsid w:val="00A15F7D"/>
    <w:rsid w:val="00A34A77"/>
    <w:rsid w:val="00A461F2"/>
    <w:rsid w:val="00A55AB1"/>
    <w:rsid w:val="00A646F0"/>
    <w:rsid w:val="00A65314"/>
    <w:rsid w:val="00A7777F"/>
    <w:rsid w:val="00A86A08"/>
    <w:rsid w:val="00AA037D"/>
    <w:rsid w:val="00AC275C"/>
    <w:rsid w:val="00AC7603"/>
    <w:rsid w:val="00AF303E"/>
    <w:rsid w:val="00B033B9"/>
    <w:rsid w:val="00B0651C"/>
    <w:rsid w:val="00B13D78"/>
    <w:rsid w:val="00B2008B"/>
    <w:rsid w:val="00B2320A"/>
    <w:rsid w:val="00B24603"/>
    <w:rsid w:val="00B24B08"/>
    <w:rsid w:val="00B55CD3"/>
    <w:rsid w:val="00B6473C"/>
    <w:rsid w:val="00B700FE"/>
    <w:rsid w:val="00B7382C"/>
    <w:rsid w:val="00B77697"/>
    <w:rsid w:val="00B91F62"/>
    <w:rsid w:val="00BA5D01"/>
    <w:rsid w:val="00BB6FCB"/>
    <w:rsid w:val="00BD179A"/>
    <w:rsid w:val="00BD796C"/>
    <w:rsid w:val="00C02D0A"/>
    <w:rsid w:val="00C0345C"/>
    <w:rsid w:val="00C03F0D"/>
    <w:rsid w:val="00C06E7F"/>
    <w:rsid w:val="00C22C9C"/>
    <w:rsid w:val="00C260A7"/>
    <w:rsid w:val="00C304D2"/>
    <w:rsid w:val="00C57EE4"/>
    <w:rsid w:val="00C67A64"/>
    <w:rsid w:val="00CC5C51"/>
    <w:rsid w:val="00CD54AA"/>
    <w:rsid w:val="00CE6082"/>
    <w:rsid w:val="00CE662D"/>
    <w:rsid w:val="00D01226"/>
    <w:rsid w:val="00D0514F"/>
    <w:rsid w:val="00D102D0"/>
    <w:rsid w:val="00D15031"/>
    <w:rsid w:val="00D15B65"/>
    <w:rsid w:val="00D41E1B"/>
    <w:rsid w:val="00D45569"/>
    <w:rsid w:val="00D531ED"/>
    <w:rsid w:val="00D743F9"/>
    <w:rsid w:val="00D8186C"/>
    <w:rsid w:val="00D83AD0"/>
    <w:rsid w:val="00DA6CA0"/>
    <w:rsid w:val="00DB640A"/>
    <w:rsid w:val="00DC279C"/>
    <w:rsid w:val="00DE6472"/>
    <w:rsid w:val="00DE7B62"/>
    <w:rsid w:val="00DF5948"/>
    <w:rsid w:val="00E06593"/>
    <w:rsid w:val="00E24EBF"/>
    <w:rsid w:val="00E36038"/>
    <w:rsid w:val="00E56A6B"/>
    <w:rsid w:val="00E648BC"/>
    <w:rsid w:val="00E729BA"/>
    <w:rsid w:val="00EB02BC"/>
    <w:rsid w:val="00EB031B"/>
    <w:rsid w:val="00EB4BCE"/>
    <w:rsid w:val="00EC6361"/>
    <w:rsid w:val="00EE0702"/>
    <w:rsid w:val="00EE49FC"/>
    <w:rsid w:val="00EE602B"/>
    <w:rsid w:val="00EE77A2"/>
    <w:rsid w:val="00EF16F3"/>
    <w:rsid w:val="00EF2AE2"/>
    <w:rsid w:val="00F00148"/>
    <w:rsid w:val="00F02C12"/>
    <w:rsid w:val="00F07715"/>
    <w:rsid w:val="00F16222"/>
    <w:rsid w:val="00F24FD5"/>
    <w:rsid w:val="00F464E2"/>
    <w:rsid w:val="00F626AD"/>
    <w:rsid w:val="00F66DFE"/>
    <w:rsid w:val="00F755B0"/>
    <w:rsid w:val="00F846D0"/>
    <w:rsid w:val="00F85CD2"/>
    <w:rsid w:val="00FB1CFF"/>
    <w:rsid w:val="00FB553C"/>
    <w:rsid w:val="00FC0784"/>
    <w:rsid w:val="00FE0A27"/>
    <w:rsid w:val="00FE25E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DFA5406-543D-4E8A-939C-8B34AA3B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9E"/>
    <w:pPr>
      <w:suppressAutoHyphens/>
      <w:spacing w:after="200" w:line="276" w:lineRule="auto"/>
    </w:pPr>
    <w:rPr>
      <w:rFonts w:cs="Calibri"/>
      <w:color w:val="00000A"/>
      <w:sz w:val="22"/>
      <w:szCs w:val="22"/>
      <w:lang w:val="en-US" w:eastAsia="ar-SA"/>
    </w:rPr>
  </w:style>
  <w:style w:type="paragraph" w:styleId="Heading1">
    <w:name w:val="heading 1"/>
    <w:basedOn w:val="Normal"/>
    <w:link w:val="Heading1Char"/>
    <w:uiPriority w:val="9"/>
    <w:qFormat/>
    <w:rsid w:val="009D18FF"/>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Normal"/>
    <w:link w:val="Ttulo1Car"/>
    <w:uiPriority w:val="9"/>
    <w:qFormat/>
    <w:rsid w:val="006004B3"/>
    <w:pPr>
      <w:suppressAutoHyphens w:val="0"/>
      <w:spacing w:beforeAutospacing="1" w:afterAutospacing="1" w:line="240" w:lineRule="auto"/>
      <w:outlineLvl w:val="0"/>
    </w:pPr>
    <w:rPr>
      <w:rFonts w:ascii="Times New Roman" w:eastAsia="Times New Roman" w:hAnsi="Times New Roman" w:cs="Times New Roman"/>
      <w:b/>
      <w:bCs/>
      <w:color w:val="auto"/>
      <w:sz w:val="48"/>
      <w:szCs w:val="48"/>
      <w:lang w:eastAsia="es-ES"/>
    </w:rPr>
  </w:style>
  <w:style w:type="paragraph" w:customStyle="1" w:styleId="Ttulo31">
    <w:name w:val="Título 31"/>
    <w:basedOn w:val="Normal"/>
    <w:next w:val="Normal"/>
    <w:link w:val="Ttulo3Car"/>
    <w:uiPriority w:val="9"/>
    <w:semiHidden/>
    <w:unhideWhenUsed/>
    <w:qFormat/>
    <w:rsid w:val="008767CA"/>
    <w:pPr>
      <w:keepNext/>
      <w:keepLines/>
      <w:spacing w:before="200" w:after="0"/>
      <w:outlineLvl w:val="2"/>
    </w:pPr>
    <w:rPr>
      <w:rFonts w:ascii="Cambria" w:eastAsia="MS Gothic" w:hAnsi="Cambria" w:cs="Times New Roman"/>
      <w:b/>
      <w:bCs/>
      <w:color w:val="4F81BD"/>
      <w:sz w:val="20"/>
      <w:szCs w:val="20"/>
    </w:rPr>
  </w:style>
  <w:style w:type="character" w:customStyle="1" w:styleId="apple-converted-space">
    <w:name w:val="apple-converted-space"/>
    <w:basedOn w:val="DefaultParagraphFont"/>
    <w:qFormat/>
    <w:rsid w:val="00A61F8B"/>
  </w:style>
  <w:style w:type="character" w:customStyle="1" w:styleId="Hyperlink0">
    <w:name w:val="Hyperlink.0"/>
    <w:qFormat/>
    <w:rsid w:val="00A61F8B"/>
    <w:rPr>
      <w:color w:val="0000FF"/>
      <w:u w:val="single"/>
    </w:rPr>
  </w:style>
  <w:style w:type="character" w:customStyle="1" w:styleId="EnlacedeInternet">
    <w:name w:val="Enlace de Internet"/>
    <w:uiPriority w:val="99"/>
    <w:semiHidden/>
    <w:unhideWhenUsed/>
    <w:rsid w:val="00A61F8B"/>
    <w:rPr>
      <w:color w:val="0000FF"/>
      <w:u w:val="single"/>
    </w:rPr>
  </w:style>
  <w:style w:type="character" w:customStyle="1" w:styleId="jrnl">
    <w:name w:val="jrnl"/>
    <w:basedOn w:val="DefaultParagraphFont"/>
    <w:qFormat/>
    <w:rsid w:val="000546B8"/>
  </w:style>
  <w:style w:type="character" w:customStyle="1" w:styleId="Ttulo1Car">
    <w:name w:val="Título 1 Car"/>
    <w:link w:val="Ttulo11"/>
    <w:uiPriority w:val="9"/>
    <w:qFormat/>
    <w:rsid w:val="006004B3"/>
    <w:rPr>
      <w:rFonts w:ascii="Times New Roman" w:eastAsia="Times New Roman" w:hAnsi="Times New Roman" w:cs="Times New Roman"/>
      <w:b/>
      <w:bCs/>
      <w:sz w:val="48"/>
      <w:szCs w:val="48"/>
      <w:lang w:eastAsia="es-ES"/>
    </w:rPr>
  </w:style>
  <w:style w:type="character" w:customStyle="1" w:styleId="highlight">
    <w:name w:val="highlight"/>
    <w:basedOn w:val="DefaultParagraphFont"/>
    <w:qFormat/>
    <w:rsid w:val="006004B3"/>
  </w:style>
  <w:style w:type="character" w:customStyle="1" w:styleId="Ttulo3Car">
    <w:name w:val="Título 3 Car"/>
    <w:link w:val="Ttulo31"/>
    <w:uiPriority w:val="9"/>
    <w:semiHidden/>
    <w:qFormat/>
    <w:rsid w:val="008767CA"/>
    <w:rPr>
      <w:rFonts w:ascii="Cambria" w:eastAsia="MS Gothic" w:hAnsi="Cambria" w:cs="Times New Roman"/>
      <w:b/>
      <w:bCs/>
      <w:color w:val="4F81BD"/>
      <w:lang w:val="en-US" w:eastAsia="ar-SA"/>
    </w:rPr>
  </w:style>
  <w:style w:type="paragraph" w:styleId="Header">
    <w:name w:val="header"/>
    <w:basedOn w:val="Normal"/>
    <w:next w:val="BodyText"/>
    <w:link w:val="HeaderChar"/>
    <w:uiPriority w:val="99"/>
    <w:qFormat/>
    <w:rsid w:val="00D8186C"/>
    <w:pPr>
      <w:keepNext/>
      <w:spacing w:before="240" w:after="120"/>
    </w:pPr>
    <w:rPr>
      <w:rFonts w:ascii="Liberation Sans" w:eastAsia="Microsoft YaHei" w:hAnsi="Liberation Sans" w:cs="Lucida Sans"/>
      <w:sz w:val="28"/>
      <w:szCs w:val="28"/>
    </w:rPr>
  </w:style>
  <w:style w:type="paragraph" w:styleId="BodyText">
    <w:name w:val="Body Text"/>
    <w:basedOn w:val="Normal"/>
    <w:rsid w:val="00D8186C"/>
    <w:pPr>
      <w:spacing w:after="140" w:line="288" w:lineRule="auto"/>
    </w:pPr>
  </w:style>
  <w:style w:type="paragraph" w:styleId="List">
    <w:name w:val="List"/>
    <w:basedOn w:val="BodyText"/>
    <w:rsid w:val="00D8186C"/>
    <w:rPr>
      <w:rFonts w:cs="Lucida Sans"/>
    </w:rPr>
  </w:style>
  <w:style w:type="paragraph" w:customStyle="1" w:styleId="Descripcin1">
    <w:name w:val="Descripción1"/>
    <w:basedOn w:val="Normal"/>
    <w:qFormat/>
    <w:rsid w:val="00D8186C"/>
    <w:pPr>
      <w:suppressLineNumbers/>
      <w:spacing w:before="120" w:after="120"/>
    </w:pPr>
    <w:rPr>
      <w:rFonts w:cs="Lucida Sans"/>
      <w:i/>
      <w:iCs/>
      <w:sz w:val="24"/>
      <w:szCs w:val="24"/>
    </w:rPr>
  </w:style>
  <w:style w:type="paragraph" w:customStyle="1" w:styleId="ndice">
    <w:name w:val="Índice"/>
    <w:basedOn w:val="Normal"/>
    <w:qFormat/>
    <w:rsid w:val="00D8186C"/>
    <w:pPr>
      <w:suppressLineNumbers/>
    </w:pPr>
    <w:rPr>
      <w:rFonts w:cs="Lucida Sans"/>
    </w:rPr>
  </w:style>
  <w:style w:type="paragraph" w:customStyle="1" w:styleId="Cos">
    <w:name w:val="Cos"/>
    <w:qFormat/>
    <w:rsid w:val="00A61F8B"/>
    <w:pPr>
      <w:ind w:firstLine="850"/>
      <w:jc w:val="both"/>
    </w:pPr>
    <w:rPr>
      <w:rFonts w:ascii="Optima" w:eastAsia="Arial Unicode MS" w:hAnsi="Optima" w:cs="Arial Unicode MS"/>
      <w:color w:val="000000"/>
      <w:sz w:val="24"/>
      <w:szCs w:val="24"/>
      <w:lang w:val="en-US" w:eastAsia="en-US"/>
    </w:rPr>
  </w:style>
  <w:style w:type="paragraph" w:customStyle="1" w:styleId="Bibliografia">
    <w:name w:val="Bibliografia"/>
    <w:qFormat/>
    <w:rsid w:val="00A61F8B"/>
    <w:pPr>
      <w:jc w:val="both"/>
    </w:pPr>
    <w:rPr>
      <w:rFonts w:ascii="Optima" w:eastAsia="Optima" w:hAnsi="Optima" w:cs="Optima"/>
      <w:color w:val="000000"/>
      <w:sz w:val="24"/>
      <w:szCs w:val="24"/>
      <w:lang w:val="en-US" w:eastAsia="en-US"/>
    </w:rPr>
  </w:style>
  <w:style w:type="paragraph" w:customStyle="1" w:styleId="Ttulo1">
    <w:name w:val="Título1"/>
    <w:basedOn w:val="Normal"/>
    <w:qFormat/>
    <w:rsid w:val="000546B8"/>
    <w:pPr>
      <w:suppressAutoHyphens w:val="0"/>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desc">
    <w:name w:val="desc"/>
    <w:basedOn w:val="Normal"/>
    <w:qFormat/>
    <w:rsid w:val="000546B8"/>
    <w:pPr>
      <w:suppressAutoHyphens w:val="0"/>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
    <w:qFormat/>
    <w:rsid w:val="000546B8"/>
    <w:pPr>
      <w:suppressAutoHyphens w:val="0"/>
      <w:spacing w:beforeAutospacing="1"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qFormat/>
    <w:rsid w:val="007574B8"/>
    <w:pPr>
      <w:suppressAutoHyphens w:val="0"/>
      <w:spacing w:beforeAutospacing="1" w:afterAutospacing="1" w:line="240" w:lineRule="auto"/>
    </w:pPr>
    <w:rPr>
      <w:rFonts w:ascii="Times New Roman" w:eastAsia="Times New Roman" w:hAnsi="Times New Roman" w:cs="Times New Roman"/>
      <w:sz w:val="24"/>
      <w:szCs w:val="24"/>
      <w:lang w:val="es-ES" w:eastAsia="es-ES"/>
    </w:rPr>
  </w:style>
  <w:style w:type="paragraph" w:styleId="CommentText">
    <w:name w:val="annotation text"/>
    <w:basedOn w:val="Normal"/>
    <w:link w:val="CommentTextChar"/>
    <w:unhideWhenUsed/>
    <w:rsid w:val="00D8186C"/>
    <w:pPr>
      <w:spacing w:line="240" w:lineRule="auto"/>
    </w:pPr>
    <w:rPr>
      <w:rFonts w:cs="Times New Roman"/>
      <w:sz w:val="24"/>
      <w:szCs w:val="24"/>
    </w:rPr>
  </w:style>
  <w:style w:type="character" w:customStyle="1" w:styleId="CommentTextChar">
    <w:name w:val="Comment Text Char"/>
    <w:link w:val="CommentText"/>
    <w:rsid w:val="00D8186C"/>
    <w:rPr>
      <w:rFonts w:cs="Calibri"/>
      <w:color w:val="00000A"/>
      <w:sz w:val="24"/>
      <w:szCs w:val="24"/>
      <w:lang w:val="en-US" w:eastAsia="ar-SA"/>
    </w:rPr>
  </w:style>
  <w:style w:type="character" w:styleId="CommentReference">
    <w:name w:val="annotation reference"/>
    <w:unhideWhenUsed/>
    <w:rsid w:val="00D8186C"/>
    <w:rPr>
      <w:sz w:val="18"/>
      <w:szCs w:val="18"/>
    </w:rPr>
  </w:style>
  <w:style w:type="paragraph" w:styleId="BalloonText">
    <w:name w:val="Balloon Text"/>
    <w:basedOn w:val="Normal"/>
    <w:link w:val="BalloonTextChar"/>
    <w:uiPriority w:val="99"/>
    <w:semiHidden/>
    <w:unhideWhenUsed/>
    <w:rsid w:val="00135173"/>
    <w:pPr>
      <w:spacing w:after="0" w:line="240" w:lineRule="auto"/>
    </w:pPr>
    <w:rPr>
      <w:rFonts w:ascii="Lucida Grande" w:hAnsi="Lucida Grande" w:cs="Times New Roman"/>
      <w:sz w:val="18"/>
      <w:szCs w:val="18"/>
    </w:rPr>
  </w:style>
  <w:style w:type="character" w:customStyle="1" w:styleId="BalloonTextChar">
    <w:name w:val="Balloon Text Char"/>
    <w:link w:val="BalloonText"/>
    <w:uiPriority w:val="99"/>
    <w:semiHidden/>
    <w:rsid w:val="00135173"/>
    <w:rPr>
      <w:rFonts w:ascii="Lucida Grande" w:hAnsi="Lucida Grande" w:cs="Lucida Grande"/>
      <w:color w:val="00000A"/>
      <w:sz w:val="18"/>
      <w:szCs w:val="18"/>
      <w:lang w:val="en-US" w:eastAsia="ar-SA"/>
    </w:rPr>
  </w:style>
  <w:style w:type="character" w:styleId="Hyperlink">
    <w:name w:val="Hyperlink"/>
    <w:unhideWhenUsed/>
    <w:rsid w:val="00135173"/>
    <w:rPr>
      <w:color w:val="0000FF"/>
      <w:u w:val="single"/>
    </w:rPr>
  </w:style>
  <w:style w:type="paragraph" w:styleId="CommentSubject">
    <w:name w:val="annotation subject"/>
    <w:basedOn w:val="CommentText"/>
    <w:next w:val="CommentText"/>
    <w:link w:val="CommentSubjectChar"/>
    <w:uiPriority w:val="99"/>
    <w:semiHidden/>
    <w:unhideWhenUsed/>
    <w:rsid w:val="000F5D43"/>
    <w:pPr>
      <w:spacing w:line="276" w:lineRule="auto"/>
    </w:pPr>
    <w:rPr>
      <w:rFonts w:cs="Calibri"/>
      <w:b/>
      <w:bCs/>
      <w:sz w:val="20"/>
      <w:szCs w:val="20"/>
    </w:rPr>
  </w:style>
  <w:style w:type="character" w:customStyle="1" w:styleId="CommentSubjectChar">
    <w:name w:val="Comment Subject Char"/>
    <w:basedOn w:val="CommentTextChar"/>
    <w:link w:val="CommentSubject"/>
    <w:uiPriority w:val="99"/>
    <w:semiHidden/>
    <w:rsid w:val="000F5D43"/>
    <w:rPr>
      <w:rFonts w:cs="Calibri"/>
      <w:b/>
      <w:bCs/>
      <w:color w:val="00000A"/>
      <w:sz w:val="24"/>
      <w:szCs w:val="24"/>
      <w:lang w:val="en-US" w:eastAsia="ar-SA"/>
    </w:rPr>
  </w:style>
  <w:style w:type="paragraph" w:styleId="Revision">
    <w:name w:val="Revision"/>
    <w:hidden/>
    <w:uiPriority w:val="71"/>
    <w:rsid w:val="00F626AD"/>
    <w:rPr>
      <w:rFonts w:cs="Calibri"/>
      <w:color w:val="00000A"/>
      <w:sz w:val="22"/>
      <w:szCs w:val="22"/>
      <w:lang w:val="en-US" w:eastAsia="ar-SA"/>
    </w:rPr>
  </w:style>
  <w:style w:type="character" w:customStyle="1" w:styleId="Heading1Char">
    <w:name w:val="Heading 1 Char"/>
    <w:basedOn w:val="DefaultParagraphFont"/>
    <w:link w:val="Heading1"/>
    <w:uiPriority w:val="9"/>
    <w:rsid w:val="009D18FF"/>
    <w:rPr>
      <w:rFonts w:asciiTheme="majorHAnsi" w:eastAsiaTheme="majorEastAsia" w:hAnsiTheme="majorHAnsi" w:cstheme="majorBidi"/>
      <w:b/>
      <w:bCs/>
      <w:color w:val="2E74B5" w:themeColor="accent1" w:themeShade="BF"/>
      <w:sz w:val="28"/>
      <w:szCs w:val="28"/>
      <w:lang w:val="en-US" w:eastAsia="ar-SA"/>
    </w:rPr>
  </w:style>
  <w:style w:type="paragraph" w:styleId="Footer">
    <w:name w:val="footer"/>
    <w:basedOn w:val="Normal"/>
    <w:link w:val="FooterChar"/>
    <w:uiPriority w:val="99"/>
    <w:unhideWhenUsed/>
    <w:rsid w:val="0064691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4691D"/>
    <w:rPr>
      <w:rFonts w:cs="Calibri"/>
      <w:color w:val="00000A"/>
      <w:sz w:val="18"/>
      <w:szCs w:val="18"/>
      <w:lang w:val="en-US" w:eastAsia="ar-SA"/>
    </w:rPr>
  </w:style>
  <w:style w:type="character" w:styleId="Strong">
    <w:name w:val="Strong"/>
    <w:uiPriority w:val="22"/>
    <w:qFormat/>
    <w:rsid w:val="0064691D"/>
    <w:rPr>
      <w:b/>
      <w:bCs/>
    </w:rPr>
  </w:style>
  <w:style w:type="paragraph" w:styleId="ListParagraph">
    <w:name w:val="List Paragraph"/>
    <w:basedOn w:val="Normal"/>
    <w:uiPriority w:val="34"/>
    <w:qFormat/>
    <w:rsid w:val="0064691D"/>
    <w:pPr>
      <w:spacing w:after="0" w:line="240" w:lineRule="auto"/>
      <w:ind w:firstLineChars="200" w:firstLine="420"/>
    </w:pPr>
    <w:rPr>
      <w:rFonts w:ascii="Times New Roman" w:eastAsia="Lucida Sans Unicode" w:hAnsi="Times New Roman" w:cs="Mangal"/>
      <w:color w:val="auto"/>
      <w:kern w:val="1"/>
      <w:sz w:val="24"/>
      <w:szCs w:val="21"/>
      <w:lang w:val="it-IT" w:eastAsia="hi-IN" w:bidi="hi-IN"/>
    </w:rPr>
  </w:style>
  <w:style w:type="character" w:customStyle="1" w:styleId="HeaderChar">
    <w:name w:val="Header Char"/>
    <w:basedOn w:val="DefaultParagraphFont"/>
    <w:link w:val="Header"/>
    <w:uiPriority w:val="99"/>
    <w:rsid w:val="007E3FF9"/>
    <w:rPr>
      <w:rFonts w:ascii="Liberation Sans" w:eastAsia="Microsoft YaHei" w:hAnsi="Liberation Sans" w:cs="Lucida Sans"/>
      <w:color w:val="00000A"/>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9281">
      <w:bodyDiv w:val="1"/>
      <w:marLeft w:val="0"/>
      <w:marRight w:val="0"/>
      <w:marTop w:val="0"/>
      <w:marBottom w:val="0"/>
      <w:divBdr>
        <w:top w:val="none" w:sz="0" w:space="0" w:color="auto"/>
        <w:left w:val="none" w:sz="0" w:space="0" w:color="auto"/>
        <w:bottom w:val="none" w:sz="0" w:space="0" w:color="auto"/>
        <w:right w:val="none" w:sz="0" w:space="0" w:color="auto"/>
      </w:divBdr>
    </w:div>
    <w:div w:id="126822368">
      <w:bodyDiv w:val="1"/>
      <w:marLeft w:val="0"/>
      <w:marRight w:val="0"/>
      <w:marTop w:val="0"/>
      <w:marBottom w:val="0"/>
      <w:divBdr>
        <w:top w:val="none" w:sz="0" w:space="0" w:color="auto"/>
        <w:left w:val="none" w:sz="0" w:space="0" w:color="auto"/>
        <w:bottom w:val="none" w:sz="0" w:space="0" w:color="auto"/>
        <w:right w:val="none" w:sz="0" w:space="0" w:color="auto"/>
      </w:divBdr>
      <w:divsChild>
        <w:div w:id="622346194">
          <w:marLeft w:val="0"/>
          <w:marRight w:val="0"/>
          <w:marTop w:val="0"/>
          <w:marBottom w:val="0"/>
          <w:divBdr>
            <w:top w:val="none" w:sz="0" w:space="0" w:color="auto"/>
            <w:left w:val="none" w:sz="0" w:space="0" w:color="auto"/>
            <w:bottom w:val="none" w:sz="0" w:space="0" w:color="auto"/>
            <w:right w:val="none" w:sz="0" w:space="0" w:color="auto"/>
          </w:divBdr>
          <w:divsChild>
            <w:div w:id="525751426">
              <w:marLeft w:val="0"/>
              <w:marRight w:val="0"/>
              <w:marTop w:val="0"/>
              <w:marBottom w:val="161"/>
              <w:divBdr>
                <w:top w:val="none" w:sz="0" w:space="0" w:color="auto"/>
                <w:left w:val="none" w:sz="0" w:space="0" w:color="auto"/>
                <w:bottom w:val="none" w:sz="0" w:space="0" w:color="auto"/>
                <w:right w:val="none" w:sz="0" w:space="0" w:color="auto"/>
              </w:divBdr>
            </w:div>
          </w:divsChild>
        </w:div>
        <w:div w:id="65156286">
          <w:marLeft w:val="0"/>
          <w:marRight w:val="0"/>
          <w:marTop w:val="0"/>
          <w:marBottom w:val="0"/>
          <w:divBdr>
            <w:top w:val="none" w:sz="0" w:space="0" w:color="auto"/>
            <w:left w:val="none" w:sz="0" w:space="0" w:color="auto"/>
            <w:bottom w:val="none" w:sz="0" w:space="0" w:color="auto"/>
            <w:right w:val="none" w:sz="0" w:space="0" w:color="auto"/>
          </w:divBdr>
          <w:divsChild>
            <w:div w:id="153110643">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 w:id="128399047">
      <w:bodyDiv w:val="1"/>
      <w:marLeft w:val="0"/>
      <w:marRight w:val="0"/>
      <w:marTop w:val="0"/>
      <w:marBottom w:val="0"/>
      <w:divBdr>
        <w:top w:val="none" w:sz="0" w:space="0" w:color="auto"/>
        <w:left w:val="none" w:sz="0" w:space="0" w:color="auto"/>
        <w:bottom w:val="none" w:sz="0" w:space="0" w:color="auto"/>
        <w:right w:val="none" w:sz="0" w:space="0" w:color="auto"/>
      </w:divBdr>
    </w:div>
    <w:div w:id="263273682">
      <w:bodyDiv w:val="1"/>
      <w:marLeft w:val="0"/>
      <w:marRight w:val="0"/>
      <w:marTop w:val="0"/>
      <w:marBottom w:val="0"/>
      <w:divBdr>
        <w:top w:val="none" w:sz="0" w:space="0" w:color="auto"/>
        <w:left w:val="none" w:sz="0" w:space="0" w:color="auto"/>
        <w:bottom w:val="none" w:sz="0" w:space="0" w:color="auto"/>
        <w:right w:val="none" w:sz="0" w:space="0" w:color="auto"/>
      </w:divBdr>
      <w:divsChild>
        <w:div w:id="2140609085">
          <w:marLeft w:val="0"/>
          <w:marRight w:val="0"/>
          <w:marTop w:val="0"/>
          <w:marBottom w:val="0"/>
          <w:divBdr>
            <w:top w:val="none" w:sz="0" w:space="0" w:color="auto"/>
            <w:left w:val="none" w:sz="0" w:space="0" w:color="auto"/>
            <w:bottom w:val="none" w:sz="0" w:space="0" w:color="auto"/>
            <w:right w:val="none" w:sz="0" w:space="0" w:color="auto"/>
          </w:divBdr>
        </w:div>
        <w:div w:id="849298736">
          <w:marLeft w:val="0"/>
          <w:marRight w:val="0"/>
          <w:marTop w:val="0"/>
          <w:marBottom w:val="0"/>
          <w:divBdr>
            <w:top w:val="none" w:sz="0" w:space="0" w:color="auto"/>
            <w:left w:val="none" w:sz="0" w:space="0" w:color="auto"/>
            <w:bottom w:val="none" w:sz="0" w:space="0" w:color="auto"/>
            <w:right w:val="none" w:sz="0" w:space="0" w:color="auto"/>
          </w:divBdr>
        </w:div>
        <w:div w:id="1428161386">
          <w:marLeft w:val="0"/>
          <w:marRight w:val="0"/>
          <w:marTop w:val="0"/>
          <w:marBottom w:val="0"/>
          <w:divBdr>
            <w:top w:val="none" w:sz="0" w:space="0" w:color="auto"/>
            <w:left w:val="none" w:sz="0" w:space="0" w:color="auto"/>
            <w:bottom w:val="none" w:sz="0" w:space="0" w:color="auto"/>
            <w:right w:val="none" w:sz="0" w:space="0" w:color="auto"/>
          </w:divBdr>
        </w:div>
        <w:div w:id="2029721220">
          <w:marLeft w:val="0"/>
          <w:marRight w:val="0"/>
          <w:marTop w:val="0"/>
          <w:marBottom w:val="0"/>
          <w:divBdr>
            <w:top w:val="none" w:sz="0" w:space="0" w:color="auto"/>
            <w:left w:val="none" w:sz="0" w:space="0" w:color="auto"/>
            <w:bottom w:val="none" w:sz="0" w:space="0" w:color="auto"/>
            <w:right w:val="none" w:sz="0" w:space="0" w:color="auto"/>
          </w:divBdr>
        </w:div>
        <w:div w:id="1452243657">
          <w:marLeft w:val="0"/>
          <w:marRight w:val="0"/>
          <w:marTop w:val="0"/>
          <w:marBottom w:val="0"/>
          <w:divBdr>
            <w:top w:val="none" w:sz="0" w:space="0" w:color="auto"/>
            <w:left w:val="none" w:sz="0" w:space="0" w:color="auto"/>
            <w:bottom w:val="none" w:sz="0" w:space="0" w:color="auto"/>
            <w:right w:val="none" w:sz="0" w:space="0" w:color="auto"/>
          </w:divBdr>
        </w:div>
      </w:divsChild>
    </w:div>
    <w:div w:id="263929598">
      <w:bodyDiv w:val="1"/>
      <w:marLeft w:val="0"/>
      <w:marRight w:val="0"/>
      <w:marTop w:val="0"/>
      <w:marBottom w:val="0"/>
      <w:divBdr>
        <w:top w:val="none" w:sz="0" w:space="0" w:color="auto"/>
        <w:left w:val="none" w:sz="0" w:space="0" w:color="auto"/>
        <w:bottom w:val="none" w:sz="0" w:space="0" w:color="auto"/>
        <w:right w:val="none" w:sz="0" w:space="0" w:color="auto"/>
      </w:divBdr>
    </w:div>
    <w:div w:id="306277563">
      <w:bodyDiv w:val="1"/>
      <w:marLeft w:val="0"/>
      <w:marRight w:val="0"/>
      <w:marTop w:val="0"/>
      <w:marBottom w:val="0"/>
      <w:divBdr>
        <w:top w:val="none" w:sz="0" w:space="0" w:color="auto"/>
        <w:left w:val="none" w:sz="0" w:space="0" w:color="auto"/>
        <w:bottom w:val="none" w:sz="0" w:space="0" w:color="auto"/>
        <w:right w:val="none" w:sz="0" w:space="0" w:color="auto"/>
      </w:divBdr>
    </w:div>
    <w:div w:id="693657827">
      <w:bodyDiv w:val="1"/>
      <w:marLeft w:val="0"/>
      <w:marRight w:val="0"/>
      <w:marTop w:val="0"/>
      <w:marBottom w:val="0"/>
      <w:divBdr>
        <w:top w:val="none" w:sz="0" w:space="0" w:color="auto"/>
        <w:left w:val="none" w:sz="0" w:space="0" w:color="auto"/>
        <w:bottom w:val="none" w:sz="0" w:space="0" w:color="auto"/>
        <w:right w:val="none" w:sz="0" w:space="0" w:color="auto"/>
      </w:divBdr>
    </w:div>
    <w:div w:id="1036613224">
      <w:bodyDiv w:val="1"/>
      <w:marLeft w:val="0"/>
      <w:marRight w:val="0"/>
      <w:marTop w:val="0"/>
      <w:marBottom w:val="0"/>
      <w:divBdr>
        <w:top w:val="none" w:sz="0" w:space="0" w:color="auto"/>
        <w:left w:val="none" w:sz="0" w:space="0" w:color="auto"/>
        <w:bottom w:val="none" w:sz="0" w:space="0" w:color="auto"/>
        <w:right w:val="none" w:sz="0" w:space="0" w:color="auto"/>
      </w:divBdr>
    </w:div>
    <w:div w:id="1310671894">
      <w:bodyDiv w:val="1"/>
      <w:marLeft w:val="0"/>
      <w:marRight w:val="0"/>
      <w:marTop w:val="0"/>
      <w:marBottom w:val="0"/>
      <w:divBdr>
        <w:top w:val="none" w:sz="0" w:space="0" w:color="auto"/>
        <w:left w:val="none" w:sz="0" w:space="0" w:color="auto"/>
        <w:bottom w:val="none" w:sz="0" w:space="0" w:color="auto"/>
        <w:right w:val="none" w:sz="0" w:space="0" w:color="auto"/>
      </w:divBdr>
    </w:div>
    <w:div w:id="1365516781">
      <w:bodyDiv w:val="1"/>
      <w:marLeft w:val="0"/>
      <w:marRight w:val="0"/>
      <w:marTop w:val="0"/>
      <w:marBottom w:val="0"/>
      <w:divBdr>
        <w:top w:val="none" w:sz="0" w:space="0" w:color="auto"/>
        <w:left w:val="none" w:sz="0" w:space="0" w:color="auto"/>
        <w:bottom w:val="none" w:sz="0" w:space="0" w:color="auto"/>
        <w:right w:val="none" w:sz="0" w:space="0" w:color="auto"/>
      </w:divBdr>
    </w:div>
    <w:div w:id="1527794781">
      <w:bodyDiv w:val="1"/>
      <w:marLeft w:val="0"/>
      <w:marRight w:val="0"/>
      <w:marTop w:val="0"/>
      <w:marBottom w:val="0"/>
      <w:divBdr>
        <w:top w:val="none" w:sz="0" w:space="0" w:color="auto"/>
        <w:left w:val="none" w:sz="0" w:space="0" w:color="auto"/>
        <w:bottom w:val="none" w:sz="0" w:space="0" w:color="auto"/>
        <w:right w:val="none" w:sz="0" w:space="0" w:color="auto"/>
      </w:divBdr>
    </w:div>
    <w:div w:id="1866794874">
      <w:bodyDiv w:val="1"/>
      <w:marLeft w:val="0"/>
      <w:marRight w:val="0"/>
      <w:marTop w:val="0"/>
      <w:marBottom w:val="0"/>
      <w:divBdr>
        <w:top w:val="none" w:sz="0" w:space="0" w:color="auto"/>
        <w:left w:val="none" w:sz="0" w:space="0" w:color="auto"/>
        <w:bottom w:val="none" w:sz="0" w:space="0" w:color="auto"/>
        <w:right w:val="none" w:sz="0" w:space="0" w:color="auto"/>
      </w:divBdr>
    </w:div>
    <w:div w:id="199722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 (1).XSL" StyleName="Vancouver"/>
</file>

<file path=customXml/itemProps1.xml><?xml version="1.0" encoding="utf-8"?>
<ds:datastoreItem xmlns:ds="http://schemas.openxmlformats.org/officeDocument/2006/customXml" ds:itemID="{C75710E0-DE98-495F-B94F-13E4686F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5647</Words>
  <Characters>32189</Characters>
  <Application>Microsoft Office Word</Application>
  <DocSecurity>0</DocSecurity>
  <Lines>268</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UPV</Company>
  <LinksUpToDate>false</LinksUpToDate>
  <CharactersWithSpaces>37761</CharactersWithSpaces>
  <SharedDoc>false</SharedDoc>
  <HLinks>
    <vt:vector size="354" baseType="variant">
      <vt:variant>
        <vt:i4>3604523</vt:i4>
      </vt:variant>
      <vt:variant>
        <vt:i4>174</vt:i4>
      </vt:variant>
      <vt:variant>
        <vt:i4>0</vt:i4>
      </vt:variant>
      <vt:variant>
        <vt:i4>5</vt:i4>
      </vt:variant>
      <vt:variant>
        <vt:lpwstr>http://www.ncbi.nlm.nih.gov/pubmed/26786341</vt:lpwstr>
      </vt:variant>
      <vt:variant>
        <vt:lpwstr/>
      </vt:variant>
      <vt:variant>
        <vt:i4>983083</vt:i4>
      </vt:variant>
      <vt:variant>
        <vt:i4>171</vt:i4>
      </vt:variant>
      <vt:variant>
        <vt:i4>0</vt:i4>
      </vt:variant>
      <vt:variant>
        <vt:i4>5</vt:i4>
      </vt:variant>
      <vt:variant>
        <vt:lpwstr>http://www.ncbi.nlm.nih.gov/pubmed/?term=Herrerías-Gutiérrez JM%5BAuthor%5D&amp;cauthor=true&amp;cauthor_uid=26786341</vt:lpwstr>
      </vt:variant>
      <vt:variant>
        <vt:lpwstr/>
      </vt:variant>
      <vt:variant>
        <vt:i4>3997791</vt:i4>
      </vt:variant>
      <vt:variant>
        <vt:i4>168</vt:i4>
      </vt:variant>
      <vt:variant>
        <vt:i4>0</vt:i4>
      </vt:variant>
      <vt:variant>
        <vt:i4>5</vt:i4>
      </vt:variant>
      <vt:variant>
        <vt:lpwstr>http://www.ncbi.nlm.nih.gov/pubmed/?term=Caunedo Álvarez Á%5BAuthor%5D&amp;cauthor=true&amp;cauthor_uid=26786341</vt:lpwstr>
      </vt:variant>
      <vt:variant>
        <vt:lpwstr/>
      </vt:variant>
      <vt:variant>
        <vt:i4>2359428</vt:i4>
      </vt:variant>
      <vt:variant>
        <vt:i4>165</vt:i4>
      </vt:variant>
      <vt:variant>
        <vt:i4>0</vt:i4>
      </vt:variant>
      <vt:variant>
        <vt:i4>5</vt:i4>
      </vt:variant>
      <vt:variant>
        <vt:lpwstr>http://www.ncbi.nlm.nih.gov/pubmed/?term=Hernández Martínez Á%5BAuthor%5D&amp;cauthor=true&amp;cauthor_uid=26786341</vt:lpwstr>
      </vt:variant>
      <vt:variant>
        <vt:lpwstr/>
      </vt:variant>
      <vt:variant>
        <vt:i4>4653110</vt:i4>
      </vt:variant>
      <vt:variant>
        <vt:i4>162</vt:i4>
      </vt:variant>
      <vt:variant>
        <vt:i4>0</vt:i4>
      </vt:variant>
      <vt:variant>
        <vt:i4>5</vt:i4>
      </vt:variant>
      <vt:variant>
        <vt:lpwstr>http://www.ncbi.nlm.nih.gov/pubmed/?term=Leo Carnerero E%5BAuthor%5D&amp;cauthor=true&amp;cauthor_uid=26786341</vt:lpwstr>
      </vt:variant>
      <vt:variant>
        <vt:lpwstr/>
      </vt:variant>
      <vt:variant>
        <vt:i4>6881422</vt:i4>
      </vt:variant>
      <vt:variant>
        <vt:i4>159</vt:i4>
      </vt:variant>
      <vt:variant>
        <vt:i4>0</vt:i4>
      </vt:variant>
      <vt:variant>
        <vt:i4>5</vt:i4>
      </vt:variant>
      <vt:variant>
        <vt:lpwstr>http://www.ncbi.nlm.nih.gov/pubmed/?term=Bejarano García A%5BAuthor%5D&amp;cauthor=true&amp;cauthor_uid=26786341</vt:lpwstr>
      </vt:variant>
      <vt:variant>
        <vt:lpwstr/>
      </vt:variant>
      <vt:variant>
        <vt:i4>7995417</vt:i4>
      </vt:variant>
      <vt:variant>
        <vt:i4>156</vt:i4>
      </vt:variant>
      <vt:variant>
        <vt:i4>0</vt:i4>
      </vt:variant>
      <vt:variant>
        <vt:i4>5</vt:i4>
      </vt:variant>
      <vt:variant>
        <vt:lpwstr>http://www.ncbi.nlm.nih.gov/pubmed/?term=Talavera Fabuel A%5BAuthor%5D&amp;cauthor=true&amp;cauthor_uid=26786341</vt:lpwstr>
      </vt:variant>
      <vt:variant>
        <vt:lpwstr/>
      </vt:variant>
      <vt:variant>
        <vt:i4>8126542</vt:i4>
      </vt:variant>
      <vt:variant>
        <vt:i4>153</vt:i4>
      </vt:variant>
      <vt:variant>
        <vt:i4>0</vt:i4>
      </vt:variant>
      <vt:variant>
        <vt:i4>5</vt:i4>
      </vt:variant>
      <vt:variant>
        <vt:lpwstr>http://www.ncbi.nlm.nih.gov/pubmed/?term=Cabello Tapia MJ%5BAuthor%5D&amp;cauthor=true&amp;cauthor_uid=26786341</vt:lpwstr>
      </vt:variant>
      <vt:variant>
        <vt:lpwstr/>
      </vt:variant>
      <vt:variant>
        <vt:i4>14549244</vt:i4>
      </vt:variant>
      <vt:variant>
        <vt:i4>150</vt:i4>
      </vt:variant>
      <vt:variant>
        <vt:i4>0</vt:i4>
      </vt:variant>
      <vt:variant>
        <vt:i4>5</vt:i4>
      </vt:variant>
      <vt:variant>
        <vt:lpwstr>http://www.ncbi.nlm.nih.gov/pubmed/?term=Gómez García M%5BAuthor%5D&amp;cauthor=true&amp;cauthor_uid=26786341</vt:lpwstr>
      </vt:variant>
      <vt:variant>
        <vt:lpwstr/>
      </vt:variant>
      <vt:variant>
        <vt:i4>8650863</vt:i4>
      </vt:variant>
      <vt:variant>
        <vt:i4>147</vt:i4>
      </vt:variant>
      <vt:variant>
        <vt:i4>0</vt:i4>
      </vt:variant>
      <vt:variant>
        <vt:i4>5</vt:i4>
      </vt:variant>
      <vt:variant>
        <vt:lpwstr>http://www.ncbi.nlm.nih.gov/pubmed/?term=Pallarés Manrique H%5BAuthor%5D&amp;cauthor=true&amp;cauthor_uid=26786341</vt:lpwstr>
      </vt:variant>
      <vt:variant>
        <vt:lpwstr/>
      </vt:variant>
      <vt:variant>
        <vt:i4>10420285</vt:i4>
      </vt:variant>
      <vt:variant>
        <vt:i4>144</vt:i4>
      </vt:variant>
      <vt:variant>
        <vt:i4>0</vt:i4>
      </vt:variant>
      <vt:variant>
        <vt:i4>5</vt:i4>
      </vt:variant>
      <vt:variant>
        <vt:lpwstr>http://www.ncbi.nlm.nih.gov/pubmed/?term=Gallardo Sánchez F%5BAuthor%5D&amp;cauthor=true&amp;cauthor_uid=26786341</vt:lpwstr>
      </vt:variant>
      <vt:variant>
        <vt:lpwstr/>
      </vt:variant>
      <vt:variant>
        <vt:i4>14876761</vt:i4>
      </vt:variant>
      <vt:variant>
        <vt:i4>141</vt:i4>
      </vt:variant>
      <vt:variant>
        <vt:i4>0</vt:i4>
      </vt:variant>
      <vt:variant>
        <vt:i4>5</vt:i4>
      </vt:variant>
      <vt:variant>
        <vt:lpwstr>http://www.ncbi.nlm.nih.gov/pubmed/?term=Trapero Fernández AM%5BAuthor%5D&amp;cauthor=true&amp;cauthor_uid=26786341</vt:lpwstr>
      </vt:variant>
      <vt:variant>
        <vt:lpwstr/>
      </vt:variant>
      <vt:variant>
        <vt:i4>12452048</vt:i4>
      </vt:variant>
      <vt:variant>
        <vt:i4>138</vt:i4>
      </vt:variant>
      <vt:variant>
        <vt:i4>0</vt:i4>
      </vt:variant>
      <vt:variant>
        <vt:i4>5</vt:i4>
      </vt:variant>
      <vt:variant>
        <vt:lpwstr>http://www.ncbi.nlm.nih.gov/pubmed/?term=Fernández Pérez R%5BAuthor%5D&amp;cauthor=true&amp;cauthor_uid=26786341</vt:lpwstr>
      </vt:variant>
      <vt:variant>
        <vt:lpwstr/>
      </vt:variant>
      <vt:variant>
        <vt:i4>1966308</vt:i4>
      </vt:variant>
      <vt:variant>
        <vt:i4>135</vt:i4>
      </vt:variant>
      <vt:variant>
        <vt:i4>0</vt:i4>
      </vt:variant>
      <vt:variant>
        <vt:i4>5</vt:i4>
      </vt:variant>
      <vt:variant>
        <vt:lpwstr>http://www.ncbi.nlm.nih.gov/pubmed/?term=Benítez JM%5BAuthor%5D&amp;cauthor=true&amp;cauthor_uid=26786341</vt:lpwstr>
      </vt:variant>
      <vt:variant>
        <vt:lpwstr/>
      </vt:variant>
      <vt:variant>
        <vt:i4>6881374</vt:i4>
      </vt:variant>
      <vt:variant>
        <vt:i4>132</vt:i4>
      </vt:variant>
      <vt:variant>
        <vt:i4>0</vt:i4>
      </vt:variant>
      <vt:variant>
        <vt:i4>5</vt:i4>
      </vt:variant>
      <vt:variant>
        <vt:lpwstr>http://www.ncbi.nlm.nih.gov/pubmed/?term=García Sánchez V%5BAuthor%5D&amp;cauthor=true&amp;cauthor_uid=26786341</vt:lpwstr>
      </vt:variant>
      <vt:variant>
        <vt:lpwstr/>
      </vt:variant>
      <vt:variant>
        <vt:i4>4063432</vt:i4>
      </vt:variant>
      <vt:variant>
        <vt:i4>129</vt:i4>
      </vt:variant>
      <vt:variant>
        <vt:i4>0</vt:i4>
      </vt:variant>
      <vt:variant>
        <vt:i4>5</vt:i4>
      </vt:variant>
      <vt:variant>
        <vt:lpwstr>http://www.ncbi.nlm.nih.gov/pubmed/?term=Argüelles Arias F%5BAuthor%5D&amp;cauthor=true&amp;cauthor_uid=26786341</vt:lpwstr>
      </vt:variant>
      <vt:variant>
        <vt:lpwstr/>
      </vt:variant>
      <vt:variant>
        <vt:i4>1835053</vt:i4>
      </vt:variant>
      <vt:variant>
        <vt:i4>126</vt:i4>
      </vt:variant>
      <vt:variant>
        <vt:i4>0</vt:i4>
      </vt:variant>
      <vt:variant>
        <vt:i4>5</vt:i4>
      </vt:variant>
      <vt:variant>
        <vt:lpwstr>http://www.ncbi.nlm.nih.gov/pubmed/?term=Castro Laria L%5BAuthor%5D&amp;cauthor=true&amp;cauthor_uid=26786341</vt:lpwstr>
      </vt:variant>
      <vt:variant>
        <vt:lpwstr/>
      </vt:variant>
      <vt:variant>
        <vt:i4>5898341</vt:i4>
      </vt:variant>
      <vt:variant>
        <vt:i4>123</vt:i4>
      </vt:variant>
      <vt:variant>
        <vt:i4>0</vt:i4>
      </vt:variant>
      <vt:variant>
        <vt:i4>5</vt:i4>
      </vt:variant>
      <vt:variant>
        <vt:lpwstr>http://www.ncbi.nlm.nih.gov/pubmed/?term=Gauss A%5BAuthor%5D&amp;cauthor=true&amp;cauthor_uid=25805935</vt:lpwstr>
      </vt:variant>
      <vt:variant>
        <vt:lpwstr/>
      </vt:variant>
      <vt:variant>
        <vt:i4>5505058</vt:i4>
      </vt:variant>
      <vt:variant>
        <vt:i4>120</vt:i4>
      </vt:variant>
      <vt:variant>
        <vt:i4>0</vt:i4>
      </vt:variant>
      <vt:variant>
        <vt:i4>5</vt:i4>
      </vt:variant>
      <vt:variant>
        <vt:lpwstr>http://www.ncbi.nlm.nih.gov/pubmed/?term=Stremmel W%5BAuthor%5D&amp;cauthor=true&amp;cauthor_uid=25805935</vt:lpwstr>
      </vt:variant>
      <vt:variant>
        <vt:lpwstr/>
      </vt:variant>
      <vt:variant>
        <vt:i4>4391017</vt:i4>
      </vt:variant>
      <vt:variant>
        <vt:i4>117</vt:i4>
      </vt:variant>
      <vt:variant>
        <vt:i4>0</vt:i4>
      </vt:variant>
      <vt:variant>
        <vt:i4>5</vt:i4>
      </vt:variant>
      <vt:variant>
        <vt:lpwstr>http://www.ncbi.nlm.nih.gov/pubmed/?term=Gotthardt D%5BAuthor%5D&amp;cauthor=true&amp;cauthor_uid=25805935</vt:lpwstr>
      </vt:variant>
      <vt:variant>
        <vt:lpwstr/>
      </vt:variant>
      <vt:variant>
        <vt:i4>3997723</vt:i4>
      </vt:variant>
      <vt:variant>
        <vt:i4>114</vt:i4>
      </vt:variant>
      <vt:variant>
        <vt:i4>0</vt:i4>
      </vt:variant>
      <vt:variant>
        <vt:i4>5</vt:i4>
      </vt:variant>
      <vt:variant>
        <vt:lpwstr>http://www.ncbi.nlm.nih.gov/pubmed/?term=Ehehalt R%5BAuthor%5D&amp;cauthor=true&amp;cauthor_uid=25805935</vt:lpwstr>
      </vt:variant>
      <vt:variant>
        <vt:lpwstr/>
      </vt:variant>
      <vt:variant>
        <vt:i4>2621532</vt:i4>
      </vt:variant>
      <vt:variant>
        <vt:i4>111</vt:i4>
      </vt:variant>
      <vt:variant>
        <vt:i4>0</vt:i4>
      </vt:variant>
      <vt:variant>
        <vt:i4>5</vt:i4>
      </vt:variant>
      <vt:variant>
        <vt:lpwstr>http://www.ncbi.nlm.nih.gov/pubmed/?term=Zawierucha A%5BAuthor%5D&amp;cauthor=true&amp;cauthor_uid=25805935</vt:lpwstr>
      </vt:variant>
      <vt:variant>
        <vt:lpwstr/>
      </vt:variant>
      <vt:variant>
        <vt:i4>4063238</vt:i4>
      </vt:variant>
      <vt:variant>
        <vt:i4>108</vt:i4>
      </vt:variant>
      <vt:variant>
        <vt:i4>0</vt:i4>
      </vt:variant>
      <vt:variant>
        <vt:i4>5</vt:i4>
      </vt:variant>
      <vt:variant>
        <vt:lpwstr>http://www.ncbi.nlm.nih.gov/pubmed/?term=Zwickel P%5BAuthor%5D&amp;cauthor=true&amp;cauthor_uid=25805935</vt:lpwstr>
      </vt:variant>
      <vt:variant>
        <vt:lpwstr/>
      </vt:variant>
      <vt:variant>
        <vt:i4>5505064</vt:i4>
      </vt:variant>
      <vt:variant>
        <vt:i4>105</vt:i4>
      </vt:variant>
      <vt:variant>
        <vt:i4>0</vt:i4>
      </vt:variant>
      <vt:variant>
        <vt:i4>5</vt:i4>
      </vt:variant>
      <vt:variant>
        <vt:lpwstr>http://www.ncbi.nlm.nih.gov/pubmed/?term=Baki E%5BAuthor%5D&amp;cauthor=true&amp;cauthor_uid=25805935</vt:lpwstr>
      </vt:variant>
      <vt:variant>
        <vt:lpwstr/>
      </vt:variant>
      <vt:variant>
        <vt:i4>3932202</vt:i4>
      </vt:variant>
      <vt:variant>
        <vt:i4>102</vt:i4>
      </vt:variant>
      <vt:variant>
        <vt:i4>0</vt:i4>
      </vt:variant>
      <vt:variant>
        <vt:i4>5</vt:i4>
      </vt:variant>
      <vt:variant>
        <vt:lpwstr>http://www.ncbi.nlm.nih.gov/pubmed/25805935</vt:lpwstr>
      </vt:variant>
      <vt:variant>
        <vt:lpwstr/>
      </vt:variant>
      <vt:variant>
        <vt:i4>3997737</vt:i4>
      </vt:variant>
      <vt:variant>
        <vt:i4>99</vt:i4>
      </vt:variant>
      <vt:variant>
        <vt:i4>0</vt:i4>
      </vt:variant>
      <vt:variant>
        <vt:i4>5</vt:i4>
      </vt:variant>
      <vt:variant>
        <vt:lpwstr>http://www.ncbi.nlm.nih.gov/pubmed/26099066</vt:lpwstr>
      </vt:variant>
      <vt:variant>
        <vt:lpwstr/>
      </vt:variant>
      <vt:variant>
        <vt:i4>7340041</vt:i4>
      </vt:variant>
      <vt:variant>
        <vt:i4>96</vt:i4>
      </vt:variant>
      <vt:variant>
        <vt:i4>0</vt:i4>
      </vt:variant>
      <vt:variant>
        <vt:i4>5</vt:i4>
      </vt:variant>
      <vt:variant>
        <vt:lpwstr>http://www.ncbi.nlm.nih.gov/pubmed/?term=Steinhart AH%5BAuthor%5D&amp;cauthor=true&amp;cauthor_uid=26099066</vt:lpwstr>
      </vt:variant>
      <vt:variant>
        <vt:lpwstr/>
      </vt:variant>
      <vt:variant>
        <vt:i4>6488148</vt:i4>
      </vt:variant>
      <vt:variant>
        <vt:i4>93</vt:i4>
      </vt:variant>
      <vt:variant>
        <vt:i4>0</vt:i4>
      </vt:variant>
      <vt:variant>
        <vt:i4>5</vt:i4>
      </vt:variant>
      <vt:variant>
        <vt:lpwstr>http://www.ncbi.nlm.nih.gov/pubmed/?term=Silverberg MS%5BAuthor%5D&amp;cauthor=true&amp;cauthor_uid=26099066</vt:lpwstr>
      </vt:variant>
      <vt:variant>
        <vt:lpwstr/>
      </vt:variant>
      <vt:variant>
        <vt:i4>6750273</vt:i4>
      </vt:variant>
      <vt:variant>
        <vt:i4>90</vt:i4>
      </vt:variant>
      <vt:variant>
        <vt:i4>0</vt:i4>
      </vt:variant>
      <vt:variant>
        <vt:i4>5</vt:i4>
      </vt:variant>
      <vt:variant>
        <vt:lpwstr>http://www.ncbi.nlm.nih.gov/pubmed/?term=Nguyen GC%5BAuthor%5D&amp;cauthor=true&amp;cauthor_uid=26099066</vt:lpwstr>
      </vt:variant>
      <vt:variant>
        <vt:lpwstr/>
      </vt:variant>
      <vt:variant>
        <vt:i4>5636140</vt:i4>
      </vt:variant>
      <vt:variant>
        <vt:i4>87</vt:i4>
      </vt:variant>
      <vt:variant>
        <vt:i4>0</vt:i4>
      </vt:variant>
      <vt:variant>
        <vt:i4>5</vt:i4>
      </vt:variant>
      <vt:variant>
        <vt:lpwstr>http://www.ncbi.nlm.nih.gov/pubmed/?term=Croitoru K%5BAuthor%5D&amp;cauthor=true&amp;cauthor_uid=26099066</vt:lpwstr>
      </vt:variant>
      <vt:variant>
        <vt:lpwstr/>
      </vt:variant>
      <vt:variant>
        <vt:i4>7667731</vt:i4>
      </vt:variant>
      <vt:variant>
        <vt:i4>84</vt:i4>
      </vt:variant>
      <vt:variant>
        <vt:i4>0</vt:i4>
      </vt:variant>
      <vt:variant>
        <vt:i4>5</vt:i4>
      </vt:variant>
      <vt:variant>
        <vt:lpwstr>http://www.ncbi.nlm.nih.gov/pubmed/?term=Greenberg GR%5BAuthor%5D&amp;cauthor=true&amp;cauthor_uid=26099066</vt:lpwstr>
      </vt:variant>
      <vt:variant>
        <vt:lpwstr/>
      </vt:variant>
      <vt:variant>
        <vt:i4>6684765</vt:i4>
      </vt:variant>
      <vt:variant>
        <vt:i4>81</vt:i4>
      </vt:variant>
      <vt:variant>
        <vt:i4>0</vt:i4>
      </vt:variant>
      <vt:variant>
        <vt:i4>5</vt:i4>
      </vt:variant>
      <vt:variant>
        <vt:lpwstr>http://www.ncbi.nlm.nih.gov/pubmed/?term=Murthy SK%5BAuthor%5D&amp;cauthor=true&amp;cauthor_uid=26099066</vt:lpwstr>
      </vt:variant>
      <vt:variant>
        <vt:lpwstr/>
      </vt:variant>
      <vt:variant>
        <vt:i4>6422580</vt:i4>
      </vt:variant>
      <vt:variant>
        <vt:i4>78</vt:i4>
      </vt:variant>
      <vt:variant>
        <vt:i4>0</vt:i4>
      </vt:variant>
      <vt:variant>
        <vt:i4>5</vt:i4>
      </vt:variant>
      <vt:variant>
        <vt:lpwstr>http://www.ncbi.nlm.nih.gov/pubmed/?term=PURSUIT-Maintenance Study Group%5BCorporate Author%5D</vt:lpwstr>
      </vt:variant>
      <vt:variant>
        <vt:lpwstr/>
      </vt:variant>
      <vt:variant>
        <vt:i4>4194429</vt:i4>
      </vt:variant>
      <vt:variant>
        <vt:i4>75</vt:i4>
      </vt:variant>
      <vt:variant>
        <vt:i4>0</vt:i4>
      </vt:variant>
      <vt:variant>
        <vt:i4>5</vt:i4>
      </vt:variant>
      <vt:variant>
        <vt:lpwstr>http://www.ncbi.nlm.nih.gov/pubmed/?term=Rutgeerts P%5BAuthor%5D&amp;cauthor=true&amp;cauthor_uid=23770005</vt:lpwstr>
      </vt:variant>
      <vt:variant>
        <vt:lpwstr/>
      </vt:variant>
      <vt:variant>
        <vt:i4>4587686</vt:i4>
      </vt:variant>
      <vt:variant>
        <vt:i4>72</vt:i4>
      </vt:variant>
      <vt:variant>
        <vt:i4>0</vt:i4>
      </vt:variant>
      <vt:variant>
        <vt:i4>5</vt:i4>
      </vt:variant>
      <vt:variant>
        <vt:lpwstr>http://www.ncbi.nlm.nih.gov/pubmed/?term=Järnerot G%5BAuthor%5D&amp;cauthor=true&amp;cauthor_uid=23770005</vt:lpwstr>
      </vt:variant>
      <vt:variant>
        <vt:lpwstr/>
      </vt:variant>
      <vt:variant>
        <vt:i4>2949139</vt:i4>
      </vt:variant>
      <vt:variant>
        <vt:i4>69</vt:i4>
      </vt:variant>
      <vt:variant>
        <vt:i4>0</vt:i4>
      </vt:variant>
      <vt:variant>
        <vt:i4>5</vt:i4>
      </vt:variant>
      <vt:variant>
        <vt:lpwstr>http://www.ncbi.nlm.nih.gov/pubmed/?term=Collins J%5BAuthor%5D&amp;cauthor=true&amp;cauthor_uid=23770005</vt:lpwstr>
      </vt:variant>
      <vt:variant>
        <vt:lpwstr/>
      </vt:variant>
      <vt:variant>
        <vt:i4>6946906</vt:i4>
      </vt:variant>
      <vt:variant>
        <vt:i4>66</vt:i4>
      </vt:variant>
      <vt:variant>
        <vt:i4>0</vt:i4>
      </vt:variant>
      <vt:variant>
        <vt:i4>5</vt:i4>
      </vt:variant>
      <vt:variant>
        <vt:lpwstr>http://www.ncbi.nlm.nih.gov/pubmed/?term=Gibson PR%5BAuthor%5D&amp;cauthor=true&amp;cauthor_uid=23770005</vt:lpwstr>
      </vt:variant>
      <vt:variant>
        <vt:lpwstr/>
      </vt:variant>
      <vt:variant>
        <vt:i4>4522026</vt:i4>
      </vt:variant>
      <vt:variant>
        <vt:i4>63</vt:i4>
      </vt:variant>
      <vt:variant>
        <vt:i4>0</vt:i4>
      </vt:variant>
      <vt:variant>
        <vt:i4>5</vt:i4>
      </vt:variant>
      <vt:variant>
        <vt:lpwstr>http://www.ncbi.nlm.nih.gov/pubmed/?term=Reinisch W%5BAuthor%5D&amp;cauthor=true&amp;cauthor_uid=23770005</vt:lpwstr>
      </vt:variant>
      <vt:variant>
        <vt:lpwstr/>
      </vt:variant>
      <vt:variant>
        <vt:i4>1245242</vt:i4>
      </vt:variant>
      <vt:variant>
        <vt:i4>60</vt:i4>
      </vt:variant>
      <vt:variant>
        <vt:i4>0</vt:i4>
      </vt:variant>
      <vt:variant>
        <vt:i4>5</vt:i4>
      </vt:variant>
      <vt:variant>
        <vt:lpwstr>http://www.ncbi.nlm.nih.gov/pubmed/?term=Colombel JF%5BAuthor%5D&amp;cauthor=true&amp;cauthor_uid=23770005</vt:lpwstr>
      </vt:variant>
      <vt:variant>
        <vt:lpwstr/>
      </vt:variant>
      <vt:variant>
        <vt:i4>4391025</vt:i4>
      </vt:variant>
      <vt:variant>
        <vt:i4>57</vt:i4>
      </vt:variant>
      <vt:variant>
        <vt:i4>0</vt:i4>
      </vt:variant>
      <vt:variant>
        <vt:i4>5</vt:i4>
      </vt:variant>
      <vt:variant>
        <vt:lpwstr>http://www.ncbi.nlm.nih.gov/pubmed/?term=Guzzo C%5BAuthor%5D&amp;cauthor=true&amp;cauthor_uid=23770005</vt:lpwstr>
      </vt:variant>
      <vt:variant>
        <vt:lpwstr/>
      </vt:variant>
      <vt:variant>
        <vt:i4>393268</vt:i4>
      </vt:variant>
      <vt:variant>
        <vt:i4>54</vt:i4>
      </vt:variant>
      <vt:variant>
        <vt:i4>0</vt:i4>
      </vt:variant>
      <vt:variant>
        <vt:i4>5</vt:i4>
      </vt:variant>
      <vt:variant>
        <vt:lpwstr>http://www.ncbi.nlm.nih.gov/pubmed/?term=Adedokun OJ%5BAuthor%5D&amp;cauthor=true&amp;cauthor_uid=23770005</vt:lpwstr>
      </vt:variant>
      <vt:variant>
        <vt:lpwstr/>
      </vt:variant>
      <vt:variant>
        <vt:i4>2555934</vt:i4>
      </vt:variant>
      <vt:variant>
        <vt:i4>51</vt:i4>
      </vt:variant>
      <vt:variant>
        <vt:i4>0</vt:i4>
      </vt:variant>
      <vt:variant>
        <vt:i4>5</vt:i4>
      </vt:variant>
      <vt:variant>
        <vt:lpwstr>http://www.ncbi.nlm.nih.gov/pubmed/?term=Johanns J%5BAuthor%5D&amp;cauthor=true&amp;cauthor_uid=23770005</vt:lpwstr>
      </vt:variant>
      <vt:variant>
        <vt:lpwstr/>
      </vt:variant>
      <vt:variant>
        <vt:i4>2555928</vt:i4>
      </vt:variant>
      <vt:variant>
        <vt:i4>48</vt:i4>
      </vt:variant>
      <vt:variant>
        <vt:i4>0</vt:i4>
      </vt:variant>
      <vt:variant>
        <vt:i4>5</vt:i4>
      </vt:variant>
      <vt:variant>
        <vt:lpwstr>http://www.ncbi.nlm.nih.gov/pubmed/?term=Strauss R%5BAuthor%5D&amp;cauthor=true&amp;cauthor_uid=23770005</vt:lpwstr>
      </vt:variant>
      <vt:variant>
        <vt:lpwstr/>
      </vt:variant>
      <vt:variant>
        <vt:i4>4587640</vt:i4>
      </vt:variant>
      <vt:variant>
        <vt:i4>45</vt:i4>
      </vt:variant>
      <vt:variant>
        <vt:i4>0</vt:i4>
      </vt:variant>
      <vt:variant>
        <vt:i4>5</vt:i4>
      </vt:variant>
      <vt:variant>
        <vt:lpwstr>http://www.ncbi.nlm.nih.gov/pubmed/?term=Zhang H%5BAuthor%5D&amp;cauthor=true&amp;cauthor_uid=23770005</vt:lpwstr>
      </vt:variant>
      <vt:variant>
        <vt:lpwstr/>
      </vt:variant>
      <vt:variant>
        <vt:i4>4456475</vt:i4>
      </vt:variant>
      <vt:variant>
        <vt:i4>42</vt:i4>
      </vt:variant>
      <vt:variant>
        <vt:i4>0</vt:i4>
      </vt:variant>
      <vt:variant>
        <vt:i4>5</vt:i4>
      </vt:variant>
      <vt:variant>
        <vt:lpwstr>http://www.ncbi.nlm.nih.gov/pubmed/?term=PURSUIT-SC Study Group%5BCorporate Author%5D</vt:lpwstr>
      </vt:variant>
      <vt:variant>
        <vt:lpwstr/>
      </vt:variant>
      <vt:variant>
        <vt:i4>4194428</vt:i4>
      </vt:variant>
      <vt:variant>
        <vt:i4>39</vt:i4>
      </vt:variant>
      <vt:variant>
        <vt:i4>0</vt:i4>
      </vt:variant>
      <vt:variant>
        <vt:i4>5</vt:i4>
      </vt:variant>
      <vt:variant>
        <vt:lpwstr>http://www.ncbi.nlm.nih.gov/pubmed/?term=Rutgeerts P%5BAuthor%5D&amp;cauthor=true&amp;cauthor_uid=23735746</vt:lpwstr>
      </vt:variant>
      <vt:variant>
        <vt:lpwstr/>
      </vt:variant>
      <vt:variant>
        <vt:i4>6225978</vt:i4>
      </vt:variant>
      <vt:variant>
        <vt:i4>36</vt:i4>
      </vt:variant>
      <vt:variant>
        <vt:i4>0</vt:i4>
      </vt:variant>
      <vt:variant>
        <vt:i4>5</vt:i4>
      </vt:variant>
      <vt:variant>
        <vt:lpwstr>http://www.ncbi.nlm.nih.gov/pubmed/?term=Hibi T%5BAuthor%5D&amp;cauthor=true&amp;cauthor_uid=23735746</vt:lpwstr>
      </vt:variant>
      <vt:variant>
        <vt:lpwstr/>
      </vt:variant>
      <vt:variant>
        <vt:i4>4653221</vt:i4>
      </vt:variant>
      <vt:variant>
        <vt:i4>33</vt:i4>
      </vt:variant>
      <vt:variant>
        <vt:i4>0</vt:i4>
      </vt:variant>
      <vt:variant>
        <vt:i4>5</vt:i4>
      </vt:variant>
      <vt:variant>
        <vt:lpwstr>http://www.ncbi.nlm.nih.gov/pubmed/?term=Järnerot G%5BAuthor%5D&amp;cauthor=true&amp;cauthor_uid=23735746</vt:lpwstr>
      </vt:variant>
      <vt:variant>
        <vt:lpwstr/>
      </vt:variant>
      <vt:variant>
        <vt:i4>2949138</vt:i4>
      </vt:variant>
      <vt:variant>
        <vt:i4>30</vt:i4>
      </vt:variant>
      <vt:variant>
        <vt:i4>0</vt:i4>
      </vt:variant>
      <vt:variant>
        <vt:i4>5</vt:i4>
      </vt:variant>
      <vt:variant>
        <vt:lpwstr>http://www.ncbi.nlm.nih.gov/pubmed/?term=Collins J%5BAuthor%5D&amp;cauthor=true&amp;cauthor_uid=23735746</vt:lpwstr>
      </vt:variant>
      <vt:variant>
        <vt:lpwstr/>
      </vt:variant>
      <vt:variant>
        <vt:i4>6946907</vt:i4>
      </vt:variant>
      <vt:variant>
        <vt:i4>27</vt:i4>
      </vt:variant>
      <vt:variant>
        <vt:i4>0</vt:i4>
      </vt:variant>
      <vt:variant>
        <vt:i4>5</vt:i4>
      </vt:variant>
      <vt:variant>
        <vt:lpwstr>http://www.ncbi.nlm.nih.gov/pubmed/?term=Gibson PR%5BAuthor%5D&amp;cauthor=true&amp;cauthor_uid=23735746</vt:lpwstr>
      </vt:variant>
      <vt:variant>
        <vt:lpwstr/>
      </vt:variant>
      <vt:variant>
        <vt:i4>4456489</vt:i4>
      </vt:variant>
      <vt:variant>
        <vt:i4>24</vt:i4>
      </vt:variant>
      <vt:variant>
        <vt:i4>0</vt:i4>
      </vt:variant>
      <vt:variant>
        <vt:i4>5</vt:i4>
      </vt:variant>
      <vt:variant>
        <vt:lpwstr>http://www.ncbi.nlm.nih.gov/pubmed/?term=Reinisch W%5BAuthor%5D&amp;cauthor=true&amp;cauthor_uid=23735746</vt:lpwstr>
      </vt:variant>
      <vt:variant>
        <vt:lpwstr/>
      </vt:variant>
      <vt:variant>
        <vt:i4>1245243</vt:i4>
      </vt:variant>
      <vt:variant>
        <vt:i4>21</vt:i4>
      </vt:variant>
      <vt:variant>
        <vt:i4>0</vt:i4>
      </vt:variant>
      <vt:variant>
        <vt:i4>5</vt:i4>
      </vt:variant>
      <vt:variant>
        <vt:lpwstr>http://www.ncbi.nlm.nih.gov/pubmed/?term=Colombel JF%5BAuthor%5D&amp;cauthor=true&amp;cauthor_uid=23735746</vt:lpwstr>
      </vt:variant>
      <vt:variant>
        <vt:lpwstr/>
      </vt:variant>
      <vt:variant>
        <vt:i4>4391024</vt:i4>
      </vt:variant>
      <vt:variant>
        <vt:i4>18</vt:i4>
      </vt:variant>
      <vt:variant>
        <vt:i4>0</vt:i4>
      </vt:variant>
      <vt:variant>
        <vt:i4>5</vt:i4>
      </vt:variant>
      <vt:variant>
        <vt:lpwstr>http://www.ncbi.nlm.nih.gov/pubmed/?term=Guzzo C%5BAuthor%5D&amp;cauthor=true&amp;cauthor_uid=23735746</vt:lpwstr>
      </vt:variant>
      <vt:variant>
        <vt:lpwstr/>
      </vt:variant>
      <vt:variant>
        <vt:i4>393269</vt:i4>
      </vt:variant>
      <vt:variant>
        <vt:i4>15</vt:i4>
      </vt:variant>
      <vt:variant>
        <vt:i4>0</vt:i4>
      </vt:variant>
      <vt:variant>
        <vt:i4>5</vt:i4>
      </vt:variant>
      <vt:variant>
        <vt:lpwstr>http://www.ncbi.nlm.nih.gov/pubmed/?term=Adedokun OJ%5BAuthor%5D&amp;cauthor=true&amp;cauthor_uid=23735746</vt:lpwstr>
      </vt:variant>
      <vt:variant>
        <vt:lpwstr/>
      </vt:variant>
      <vt:variant>
        <vt:i4>2555935</vt:i4>
      </vt:variant>
      <vt:variant>
        <vt:i4>12</vt:i4>
      </vt:variant>
      <vt:variant>
        <vt:i4>0</vt:i4>
      </vt:variant>
      <vt:variant>
        <vt:i4>5</vt:i4>
      </vt:variant>
      <vt:variant>
        <vt:lpwstr>http://www.ncbi.nlm.nih.gov/pubmed/?term=Johanns J%5BAuthor%5D&amp;cauthor=true&amp;cauthor_uid=23735746</vt:lpwstr>
      </vt:variant>
      <vt:variant>
        <vt:lpwstr/>
      </vt:variant>
      <vt:variant>
        <vt:i4>2555929</vt:i4>
      </vt:variant>
      <vt:variant>
        <vt:i4>9</vt:i4>
      </vt:variant>
      <vt:variant>
        <vt:i4>0</vt:i4>
      </vt:variant>
      <vt:variant>
        <vt:i4>5</vt:i4>
      </vt:variant>
      <vt:variant>
        <vt:lpwstr>http://www.ncbi.nlm.nih.gov/pubmed/?term=Strauss R%5BAuthor%5D&amp;cauthor=true&amp;cauthor_uid=23735746</vt:lpwstr>
      </vt:variant>
      <vt:variant>
        <vt:lpwstr/>
      </vt:variant>
      <vt:variant>
        <vt:i4>4587641</vt:i4>
      </vt:variant>
      <vt:variant>
        <vt:i4>6</vt:i4>
      </vt:variant>
      <vt:variant>
        <vt:i4>0</vt:i4>
      </vt:variant>
      <vt:variant>
        <vt:i4>5</vt:i4>
      </vt:variant>
      <vt:variant>
        <vt:lpwstr>http://www.ncbi.nlm.nih.gov/pubmed/?term=Zhang H%5BAuthor%5D&amp;cauthor=true&amp;cauthor_uid=23735746</vt:lpwstr>
      </vt:variant>
      <vt:variant>
        <vt:lpwstr/>
      </vt:variant>
      <vt:variant>
        <vt:i4>1835026</vt:i4>
      </vt:variant>
      <vt:variant>
        <vt:i4>3</vt:i4>
      </vt:variant>
      <vt:variant>
        <vt:i4>0</vt:i4>
      </vt:variant>
      <vt:variant>
        <vt:i4>5</vt:i4>
      </vt:variant>
      <vt:variant>
        <vt:lpwstr>http://hinarilogin.research4life.org/uniquesigwww.ncbi.nlm.nih.gov/uniquesig0/pubmed/27312826</vt:lpwstr>
      </vt:variant>
      <vt:variant>
        <vt:lpwstr/>
      </vt:variant>
      <vt:variant>
        <vt:i4>851971</vt:i4>
      </vt:variant>
      <vt:variant>
        <vt:i4>0</vt:i4>
      </vt:variant>
      <vt:variant>
        <vt:i4>0</vt:i4>
      </vt:variant>
      <vt:variant>
        <vt:i4>5</vt:i4>
      </vt:variant>
      <vt:variant>
        <vt:lpwstr>mailto:paredes_jos@gva.es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LS Ma</cp:lastModifiedBy>
  <cp:revision>2</cp:revision>
  <dcterms:created xsi:type="dcterms:W3CDTF">2016-10-30T02:02:00Z</dcterms:created>
  <dcterms:modified xsi:type="dcterms:W3CDTF">2016-10-30T02:02:00Z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UPV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