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97" w:rsidRPr="00A02038" w:rsidRDefault="00EC534A" w:rsidP="00971E2B">
      <w:pPr>
        <w:snapToGrid w:val="0"/>
        <w:spacing w:line="360" w:lineRule="auto"/>
        <w:rPr>
          <w:rFonts w:ascii="Book Antiqua" w:eastAsia="宋体" w:hAnsi="Book Antiqua"/>
          <w:b/>
          <w:sz w:val="24"/>
          <w:szCs w:val="24"/>
          <w:lang w:eastAsia="zh-CN"/>
        </w:rPr>
      </w:pPr>
      <w:bookmarkStart w:id="0" w:name="OLE_LINK707"/>
      <w:bookmarkStart w:id="1" w:name="OLE_LINK709"/>
      <w:bookmarkStart w:id="2" w:name="OLE_LINK737"/>
      <w:bookmarkStart w:id="3" w:name="OLE_LINK708"/>
      <w:bookmarkStart w:id="4" w:name="OLE_LINK840"/>
      <w:bookmarkStart w:id="5" w:name="OLE_LINK866"/>
      <w:bookmarkStart w:id="6" w:name="OLE_LINK887"/>
      <w:bookmarkStart w:id="7" w:name="OLE_LINK923"/>
      <w:r w:rsidRPr="00A02038">
        <w:rPr>
          <w:rFonts w:ascii="Book Antiqua" w:eastAsia="宋体" w:hAnsi="Book Antiqua"/>
          <w:b/>
          <w:sz w:val="24"/>
          <w:szCs w:val="24"/>
          <w:lang w:eastAsia="zh-CN"/>
        </w:rPr>
        <w:t xml:space="preserve">Name of </w:t>
      </w:r>
      <w:r w:rsidRPr="00A02038">
        <w:rPr>
          <w:rFonts w:ascii="Book Antiqua" w:eastAsia="宋体" w:hAnsi="Book Antiqua"/>
          <w:b/>
          <w:caps/>
          <w:sz w:val="24"/>
          <w:szCs w:val="24"/>
          <w:lang w:eastAsia="zh-CN"/>
        </w:rPr>
        <w:t>j</w:t>
      </w:r>
      <w:r w:rsidRPr="00A02038">
        <w:rPr>
          <w:rFonts w:ascii="Book Antiqua" w:eastAsia="宋体" w:hAnsi="Book Antiqua"/>
          <w:b/>
          <w:sz w:val="24"/>
          <w:szCs w:val="24"/>
          <w:lang w:eastAsia="zh-CN"/>
        </w:rPr>
        <w:t xml:space="preserve">ournal: </w:t>
      </w:r>
      <w:bookmarkStart w:id="8" w:name="OLE_LINK718"/>
      <w:bookmarkStart w:id="9" w:name="OLE_LINK719"/>
      <w:r w:rsidRPr="00A02038">
        <w:rPr>
          <w:rFonts w:ascii="Book Antiqua" w:eastAsia="宋体" w:hAnsi="Book Antiqua"/>
          <w:b/>
          <w:i/>
          <w:sz w:val="24"/>
          <w:szCs w:val="24"/>
          <w:lang w:eastAsia="zh-CN"/>
        </w:rPr>
        <w:t>World Journal of Gastroenterology</w:t>
      </w:r>
      <w:bookmarkEnd w:id="8"/>
      <w:bookmarkEnd w:id="9"/>
    </w:p>
    <w:p w:rsidR="002D0B97" w:rsidRPr="00A02038" w:rsidRDefault="00EC534A" w:rsidP="00971E2B">
      <w:pPr>
        <w:snapToGrid w:val="0"/>
        <w:spacing w:line="360" w:lineRule="auto"/>
        <w:rPr>
          <w:rFonts w:ascii="Book Antiqua" w:hAnsi="Book Antiqua"/>
          <w:b/>
          <w:sz w:val="24"/>
          <w:szCs w:val="24"/>
          <w:lang w:eastAsia="zh-CN"/>
        </w:rPr>
      </w:pPr>
      <w:bookmarkStart w:id="10" w:name="OLE_LINK485"/>
      <w:bookmarkStart w:id="11" w:name="OLE_LINK486"/>
      <w:bookmarkStart w:id="12" w:name="OLE_LINK661"/>
      <w:bookmarkStart w:id="13" w:name="OLE_LINK768"/>
      <w:bookmarkStart w:id="14" w:name="OLE_LINK514"/>
      <w:bookmarkStart w:id="15" w:name="OLE_LINK515"/>
      <w:r w:rsidRPr="00A02038">
        <w:rPr>
          <w:rFonts w:ascii="Book Antiqua" w:eastAsia="宋体" w:hAnsi="Book Antiqua"/>
          <w:b/>
          <w:sz w:val="24"/>
          <w:szCs w:val="24"/>
          <w:lang w:eastAsia="zh-CN"/>
        </w:rPr>
        <w:t>ESPS Manuscript NO:</w:t>
      </w:r>
      <w:bookmarkEnd w:id="10"/>
      <w:bookmarkEnd w:id="11"/>
      <w:bookmarkEnd w:id="12"/>
      <w:bookmarkEnd w:id="13"/>
      <w:r w:rsidRPr="00A02038">
        <w:rPr>
          <w:rFonts w:ascii="Book Antiqua" w:eastAsia="宋体" w:hAnsi="Book Antiqua"/>
          <w:b/>
          <w:sz w:val="24"/>
          <w:szCs w:val="24"/>
          <w:lang w:eastAsia="zh-CN"/>
        </w:rPr>
        <w:t xml:space="preserve"> </w:t>
      </w:r>
      <w:r w:rsidRPr="00A02038">
        <w:rPr>
          <w:rFonts w:ascii="Book Antiqua" w:hAnsi="Book Antiqua"/>
          <w:b/>
          <w:sz w:val="24"/>
          <w:szCs w:val="24"/>
        </w:rPr>
        <w:t>29201</w:t>
      </w:r>
    </w:p>
    <w:bookmarkEnd w:id="14"/>
    <w:bookmarkEnd w:id="15"/>
    <w:p w:rsidR="00EC534A" w:rsidRPr="00FE6742" w:rsidRDefault="00EC534A" w:rsidP="00971E2B">
      <w:pPr>
        <w:snapToGrid w:val="0"/>
        <w:spacing w:line="360" w:lineRule="auto"/>
        <w:rPr>
          <w:rFonts w:ascii="Book Antiqua" w:eastAsia="宋体" w:hAnsi="Book Antiqua"/>
          <w:b/>
          <w:sz w:val="24"/>
          <w:szCs w:val="24"/>
          <w:lang w:eastAsia="zh-CN"/>
        </w:rPr>
      </w:pPr>
      <w:r w:rsidRPr="00A02038">
        <w:rPr>
          <w:rFonts w:ascii="Book Antiqua" w:eastAsia="宋体" w:hAnsi="Book Antiqua"/>
          <w:b/>
          <w:sz w:val="24"/>
          <w:szCs w:val="24"/>
          <w:lang w:eastAsia="zh-CN"/>
        </w:rPr>
        <w:t xml:space="preserve">Manuscript </w:t>
      </w:r>
      <w:r w:rsidRPr="00A02038">
        <w:rPr>
          <w:rFonts w:ascii="Book Antiqua" w:eastAsia="宋体" w:hAnsi="Book Antiqua"/>
          <w:b/>
          <w:caps/>
          <w:sz w:val="24"/>
          <w:szCs w:val="24"/>
          <w:lang w:eastAsia="zh-CN"/>
        </w:rPr>
        <w:t>t</w:t>
      </w:r>
      <w:r w:rsidRPr="00A02038">
        <w:rPr>
          <w:rFonts w:ascii="Book Antiqua" w:eastAsia="宋体" w:hAnsi="Book Antiqua"/>
          <w:b/>
          <w:sz w:val="24"/>
          <w:szCs w:val="24"/>
          <w:lang w:eastAsia="zh-CN"/>
        </w:rPr>
        <w:t>ype:</w:t>
      </w:r>
      <w:bookmarkEnd w:id="0"/>
      <w:bookmarkEnd w:id="1"/>
      <w:bookmarkEnd w:id="2"/>
      <w:bookmarkEnd w:id="3"/>
      <w:bookmarkEnd w:id="4"/>
      <w:bookmarkEnd w:id="5"/>
      <w:bookmarkEnd w:id="6"/>
      <w:bookmarkEnd w:id="7"/>
      <w:r w:rsidRPr="00A02038">
        <w:rPr>
          <w:rFonts w:ascii="Book Antiqua" w:hAnsi="Book Antiqua"/>
          <w:b/>
          <w:sz w:val="24"/>
          <w:szCs w:val="24"/>
        </w:rPr>
        <w:t xml:space="preserve"> ORIGINAL ARTICLE</w:t>
      </w:r>
    </w:p>
    <w:p w:rsidR="00EC534A" w:rsidRPr="00FE6742" w:rsidRDefault="00EC534A" w:rsidP="00971E2B">
      <w:pPr>
        <w:snapToGrid w:val="0"/>
        <w:spacing w:line="360" w:lineRule="auto"/>
        <w:rPr>
          <w:rFonts w:ascii="Book Antiqua" w:eastAsia="宋体" w:hAnsi="Book Antiqua"/>
          <w:b/>
          <w:sz w:val="24"/>
          <w:szCs w:val="24"/>
          <w:lang w:eastAsia="zh-CN"/>
        </w:rPr>
      </w:pPr>
    </w:p>
    <w:p w:rsidR="002D0B97" w:rsidRPr="00A02038" w:rsidRDefault="00EC534A" w:rsidP="00971E2B">
      <w:pPr>
        <w:snapToGrid w:val="0"/>
        <w:spacing w:line="360" w:lineRule="auto"/>
        <w:rPr>
          <w:rFonts w:ascii="Book Antiqua" w:eastAsia="宋体" w:hAnsi="Book Antiqua"/>
          <w:b/>
          <w:i/>
          <w:sz w:val="24"/>
          <w:szCs w:val="24"/>
          <w:lang w:eastAsia="zh-CN"/>
        </w:rPr>
      </w:pPr>
      <w:r w:rsidRPr="00A02038">
        <w:rPr>
          <w:rFonts w:ascii="Book Antiqua" w:hAnsi="Book Antiqua"/>
          <w:b/>
          <w:i/>
          <w:sz w:val="24"/>
          <w:szCs w:val="24"/>
        </w:rPr>
        <w:t>Retrospective Study</w:t>
      </w:r>
    </w:p>
    <w:p w:rsidR="002D0B97" w:rsidRPr="00A02038" w:rsidRDefault="00EC534A" w:rsidP="00971E2B">
      <w:pPr>
        <w:snapToGrid w:val="0"/>
        <w:spacing w:line="360" w:lineRule="auto"/>
        <w:rPr>
          <w:rFonts w:ascii="Book Antiqua" w:hAnsi="Book Antiqua"/>
          <w:b/>
          <w:sz w:val="24"/>
          <w:szCs w:val="24"/>
        </w:rPr>
      </w:pPr>
      <w:r w:rsidRPr="00A02038">
        <w:rPr>
          <w:rFonts w:ascii="Book Antiqua" w:hAnsi="Book Antiqua"/>
          <w:b/>
          <w:sz w:val="24"/>
          <w:szCs w:val="24"/>
        </w:rPr>
        <w:t xml:space="preserve">Clinical </w:t>
      </w:r>
      <w:r w:rsidR="00285443" w:rsidRPr="00A02038">
        <w:rPr>
          <w:rFonts w:ascii="Book Antiqua" w:hAnsi="Book Antiqua"/>
          <w:b/>
          <w:sz w:val="24"/>
          <w:szCs w:val="24"/>
        </w:rPr>
        <w:t>implications of doubling time of gastrointestinal submucosal tumors</w:t>
      </w:r>
    </w:p>
    <w:p w:rsidR="002D0B97" w:rsidRPr="00A02038" w:rsidRDefault="002D0B97" w:rsidP="00971E2B">
      <w:pPr>
        <w:snapToGrid w:val="0"/>
        <w:spacing w:line="360" w:lineRule="auto"/>
        <w:rPr>
          <w:rFonts w:ascii="Book Antiqua" w:eastAsia="宋体" w:hAnsi="Book Antiqua"/>
          <w:sz w:val="24"/>
          <w:szCs w:val="24"/>
          <w:lang w:eastAsia="zh-CN"/>
        </w:rPr>
      </w:pPr>
    </w:p>
    <w:p w:rsidR="002D0B97" w:rsidRPr="00A02038" w:rsidRDefault="00EC534A" w:rsidP="00971E2B">
      <w:pPr>
        <w:pStyle w:val="1"/>
        <w:snapToGrid w:val="0"/>
        <w:spacing w:line="360" w:lineRule="auto"/>
        <w:jc w:val="both"/>
        <w:rPr>
          <w:rFonts w:ascii="Book Antiqua" w:hAnsi="Book Antiqua" w:cs="Times New Roman"/>
          <w:color w:val="auto"/>
          <w:sz w:val="24"/>
          <w:szCs w:val="24"/>
        </w:rPr>
      </w:pPr>
      <w:bookmarkStart w:id="16" w:name="OLE_LINK41"/>
      <w:bookmarkStart w:id="17" w:name="OLE_LINK42"/>
      <w:bookmarkStart w:id="18" w:name="OLE_LINK941"/>
      <w:bookmarkStart w:id="19" w:name="OLE_LINK122"/>
      <w:bookmarkStart w:id="20" w:name="OLE_LINK123"/>
      <w:bookmarkStart w:id="21" w:name="OLE_LINK221"/>
      <w:bookmarkStart w:id="22" w:name="OLE_LINK230"/>
      <w:bookmarkStart w:id="23" w:name="OLE_LINK342"/>
      <w:bookmarkStart w:id="24" w:name="OLE_LINK401"/>
      <w:bookmarkStart w:id="25" w:name="OLE_LINK576"/>
      <w:bookmarkStart w:id="26" w:name="OLE_LINK605"/>
      <w:bookmarkStart w:id="27" w:name="OLE_LINK638"/>
      <w:bookmarkStart w:id="28" w:name="OLE_LINK732"/>
      <w:bookmarkStart w:id="29" w:name="OLE_LINK850"/>
      <w:bookmarkStart w:id="30" w:name="OLE_LINK868"/>
      <w:bookmarkStart w:id="31" w:name="OLE_LINK901"/>
      <w:bookmarkStart w:id="32" w:name="OLE_LINK931"/>
      <w:r w:rsidRPr="00A02038">
        <w:rPr>
          <w:rFonts w:ascii="Book Antiqua" w:hAnsi="Book Antiqua"/>
          <w:bCs/>
          <w:color w:val="auto"/>
          <w:sz w:val="24"/>
          <w:szCs w:val="24"/>
        </w:rPr>
        <w:t>Koizumi S</w:t>
      </w:r>
      <w:bookmarkEnd w:id="16"/>
      <w:bookmarkEnd w:id="17"/>
      <w:bookmarkEnd w:id="18"/>
      <w:r w:rsidRPr="00A02038">
        <w:rPr>
          <w:rFonts w:ascii="Book Antiqua" w:hAnsi="Book Antiqua" w:cs="Times New Roman"/>
          <w:color w:val="auto"/>
          <w:sz w:val="24"/>
          <w:szCs w:val="24"/>
        </w:rPr>
        <w:t xml:space="preserve"> </w:t>
      </w:r>
      <w:r w:rsidRPr="00A02038">
        <w:rPr>
          <w:rFonts w:ascii="Book Antiqua" w:hAnsi="Book Antiqua" w:cs="Times New Roman"/>
          <w:i/>
          <w:color w:val="auto"/>
          <w:sz w:val="24"/>
          <w:szCs w:val="24"/>
        </w:rPr>
        <w:t>et al</w:t>
      </w:r>
      <w:r w:rsidRPr="00A02038">
        <w:rPr>
          <w:rFonts w:ascii="Book Antiqua" w:hAnsi="Book Antiqua" w:cs="Times New Roman"/>
          <w:color w:val="auto"/>
          <w:sz w:val="24"/>
          <w:szCs w:val="24"/>
        </w:rPr>
        <w:t>.</w:t>
      </w:r>
      <w:r w:rsidR="00285443"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 xml:space="preserve">Doubling </w:t>
      </w:r>
      <w:r w:rsidR="00285443" w:rsidRPr="00A02038">
        <w:rPr>
          <w:rFonts w:ascii="Book Antiqua" w:hAnsi="Book Antiqua" w:cs="Times New Roman"/>
          <w:bCs/>
          <w:color w:val="auto"/>
          <w:sz w:val="24"/>
          <w:szCs w:val="24"/>
        </w:rPr>
        <w:t>t</w:t>
      </w:r>
      <w:r w:rsidRPr="00A02038">
        <w:rPr>
          <w:rFonts w:ascii="Book Antiqua" w:hAnsi="Book Antiqua" w:cs="Times New Roman"/>
          <w:bCs/>
          <w:color w:val="auto"/>
          <w:sz w:val="24"/>
          <w:szCs w:val="24"/>
        </w:rPr>
        <w:t xml:space="preserve">ime of </w:t>
      </w:r>
      <w:r w:rsidRPr="00A02038">
        <w:rPr>
          <w:rFonts w:ascii="Book Antiqua" w:eastAsia="MS Mincho" w:hAnsi="Book Antiqua" w:cs="Times New Roman"/>
          <w:bCs/>
          <w:color w:val="auto"/>
          <w:sz w:val="24"/>
          <w:szCs w:val="24"/>
          <w:lang w:eastAsia="ja-JP"/>
        </w:rPr>
        <w:t>GIST</w:t>
      </w:r>
    </w:p>
    <w:bookmarkEnd w:id="19"/>
    <w:bookmarkEnd w:id="20"/>
    <w:bookmarkEnd w:id="21"/>
    <w:bookmarkEnd w:id="22"/>
    <w:bookmarkEnd w:id="23"/>
    <w:bookmarkEnd w:id="24"/>
    <w:bookmarkEnd w:id="25"/>
    <w:bookmarkEnd w:id="26"/>
    <w:bookmarkEnd w:id="27"/>
    <w:bookmarkEnd w:id="28"/>
    <w:bookmarkEnd w:id="29"/>
    <w:bookmarkEnd w:id="30"/>
    <w:bookmarkEnd w:id="31"/>
    <w:bookmarkEnd w:id="32"/>
    <w:p w:rsidR="002D0B97" w:rsidRPr="00A02038" w:rsidRDefault="002D0B97" w:rsidP="00971E2B">
      <w:pPr>
        <w:snapToGrid w:val="0"/>
        <w:spacing w:line="360" w:lineRule="auto"/>
        <w:rPr>
          <w:rFonts w:ascii="Book Antiqua" w:eastAsia="宋体" w:hAnsi="Book Antiqua"/>
          <w:sz w:val="24"/>
          <w:szCs w:val="24"/>
          <w:lang w:eastAsia="zh-CN"/>
        </w:rPr>
      </w:pPr>
    </w:p>
    <w:p w:rsidR="002D0B97" w:rsidRPr="00FE6742" w:rsidRDefault="00EC534A" w:rsidP="00971E2B">
      <w:pPr>
        <w:snapToGrid w:val="0"/>
        <w:spacing w:line="360" w:lineRule="auto"/>
        <w:rPr>
          <w:rFonts w:ascii="Book Antiqua" w:eastAsia="宋体" w:hAnsi="Book Antiqua"/>
          <w:b/>
          <w:sz w:val="24"/>
          <w:szCs w:val="24"/>
          <w:lang w:eastAsia="zh-CN"/>
        </w:rPr>
      </w:pPr>
      <w:r w:rsidRPr="00A02038">
        <w:rPr>
          <w:rFonts w:ascii="Book Antiqua" w:hAnsi="Book Antiqua"/>
          <w:b/>
          <w:sz w:val="24"/>
          <w:szCs w:val="24"/>
        </w:rPr>
        <w:t>Shuko Koizumi, Mitsuhiro Kida,</w:t>
      </w:r>
      <w:r w:rsidRPr="00FE6742">
        <w:rPr>
          <w:rFonts w:ascii="Book Antiqua" w:eastAsia="宋体" w:hAnsi="Book Antiqua"/>
          <w:b/>
          <w:sz w:val="24"/>
          <w:szCs w:val="24"/>
          <w:lang w:eastAsia="zh-CN"/>
        </w:rPr>
        <w:t xml:space="preserve"> </w:t>
      </w:r>
      <w:r w:rsidRPr="00A02038">
        <w:rPr>
          <w:rFonts w:ascii="Book Antiqua" w:hAnsi="Book Antiqua"/>
          <w:b/>
          <w:sz w:val="24"/>
          <w:szCs w:val="24"/>
        </w:rPr>
        <w:t>Hiroshi Yamauchi, Kosuke Okuwaki, Tomohisa Iwai,</w:t>
      </w:r>
      <w:r w:rsidRPr="00FE6742">
        <w:rPr>
          <w:rFonts w:ascii="Book Antiqua" w:eastAsia="宋体" w:hAnsi="Book Antiqua"/>
          <w:b/>
          <w:sz w:val="24"/>
          <w:szCs w:val="24"/>
          <w:lang w:eastAsia="zh-CN"/>
        </w:rPr>
        <w:t xml:space="preserve"> </w:t>
      </w:r>
      <w:r w:rsidRPr="00A02038">
        <w:rPr>
          <w:rFonts w:ascii="Book Antiqua" w:hAnsi="Book Antiqua"/>
          <w:b/>
          <w:sz w:val="24"/>
          <w:szCs w:val="24"/>
        </w:rPr>
        <w:t>Shiro Miyazawa, Miyoko Takezawa, Hiroshi Imaizumi, Wasaburo Koizumi</w:t>
      </w:r>
    </w:p>
    <w:p w:rsidR="002D0B97" w:rsidRPr="00A02038" w:rsidRDefault="002D0B97" w:rsidP="00971E2B">
      <w:pPr>
        <w:snapToGrid w:val="0"/>
        <w:spacing w:line="360" w:lineRule="auto"/>
        <w:rPr>
          <w:rFonts w:ascii="Book Antiqua" w:hAnsi="Book Antiqua"/>
          <w:sz w:val="24"/>
          <w:szCs w:val="24"/>
        </w:rPr>
      </w:pPr>
    </w:p>
    <w:p w:rsidR="002D0B97" w:rsidRPr="00FE6742" w:rsidRDefault="00EC534A" w:rsidP="00971E2B">
      <w:pPr>
        <w:snapToGrid w:val="0"/>
        <w:spacing w:line="360" w:lineRule="auto"/>
        <w:rPr>
          <w:rFonts w:ascii="Book Antiqua" w:eastAsia="宋体" w:hAnsi="Book Antiqua"/>
          <w:b/>
          <w:sz w:val="24"/>
          <w:szCs w:val="24"/>
          <w:lang w:eastAsia="zh-CN"/>
        </w:rPr>
      </w:pPr>
      <w:r w:rsidRPr="00A02038">
        <w:rPr>
          <w:rFonts w:ascii="Book Antiqua" w:hAnsi="Book Antiqua"/>
          <w:b/>
          <w:sz w:val="24"/>
          <w:szCs w:val="24"/>
        </w:rPr>
        <w:t>Shuko Koizumi, Mitsuhiro Kida,</w:t>
      </w:r>
      <w:r w:rsidRPr="00A02038">
        <w:rPr>
          <w:rFonts w:ascii="Book Antiqua" w:eastAsia="宋体" w:hAnsi="Book Antiqua"/>
          <w:b/>
          <w:sz w:val="24"/>
          <w:szCs w:val="24"/>
          <w:lang w:eastAsia="zh-CN"/>
        </w:rPr>
        <w:t xml:space="preserve"> </w:t>
      </w:r>
      <w:r w:rsidRPr="00A02038">
        <w:rPr>
          <w:rFonts w:ascii="Book Antiqua" w:hAnsi="Book Antiqua"/>
          <w:b/>
          <w:sz w:val="24"/>
          <w:szCs w:val="24"/>
        </w:rPr>
        <w:t>Hiroshi Yamauchi, Kosuke Okuwaki, Tomohisa Iwai,</w:t>
      </w:r>
      <w:r w:rsidRPr="00A02038">
        <w:rPr>
          <w:rFonts w:ascii="Book Antiqua" w:eastAsia="宋体" w:hAnsi="Book Antiqua"/>
          <w:b/>
          <w:sz w:val="24"/>
          <w:szCs w:val="24"/>
          <w:lang w:eastAsia="zh-CN"/>
        </w:rPr>
        <w:t xml:space="preserve"> </w:t>
      </w:r>
      <w:r w:rsidRPr="00A02038">
        <w:rPr>
          <w:rFonts w:ascii="Book Antiqua" w:hAnsi="Book Antiqua"/>
          <w:b/>
          <w:sz w:val="24"/>
          <w:szCs w:val="24"/>
        </w:rPr>
        <w:t>Shiro Miyazawa, Miyoko Takezawa, Hiroshi Imaizumi, Wasaburo Koizumi</w:t>
      </w:r>
      <w:r w:rsidRPr="00FE6742">
        <w:rPr>
          <w:rFonts w:ascii="Book Antiqua" w:eastAsia="宋体" w:hAnsi="Book Antiqua"/>
          <w:b/>
          <w:sz w:val="24"/>
          <w:szCs w:val="24"/>
          <w:lang w:eastAsia="zh-CN"/>
        </w:rPr>
        <w:t xml:space="preserve">, </w:t>
      </w:r>
      <w:r w:rsidRPr="00A02038">
        <w:rPr>
          <w:rFonts w:ascii="Book Antiqua" w:hAnsi="Book Antiqua"/>
          <w:sz w:val="24"/>
          <w:szCs w:val="24"/>
        </w:rPr>
        <w:t>Department of Gastroenterology, Kitasato University School of Medicine</w:t>
      </w:r>
      <w:r w:rsidRPr="00A02038">
        <w:rPr>
          <w:rFonts w:ascii="Book Antiqua" w:eastAsia="宋体" w:hAnsi="Book Antiqua"/>
          <w:sz w:val="24"/>
          <w:szCs w:val="24"/>
          <w:lang w:eastAsia="zh-CN"/>
        </w:rPr>
        <w:t xml:space="preserve">, </w:t>
      </w:r>
      <w:r w:rsidRPr="00A02038">
        <w:rPr>
          <w:rFonts w:ascii="Book Antiqua" w:hAnsi="Book Antiqua"/>
          <w:sz w:val="24"/>
          <w:szCs w:val="24"/>
        </w:rPr>
        <w:t>Sagamihara, Kanagawa</w:t>
      </w:r>
      <w:r w:rsidRPr="00FE6742">
        <w:rPr>
          <w:rFonts w:ascii="Book Antiqua" w:eastAsia="宋体" w:hAnsi="Book Antiqua"/>
          <w:sz w:val="24"/>
          <w:szCs w:val="24"/>
          <w:lang w:eastAsia="zh-CN"/>
        </w:rPr>
        <w:t xml:space="preserve"> </w:t>
      </w:r>
      <w:r w:rsidRPr="00A02038">
        <w:rPr>
          <w:rFonts w:ascii="Book Antiqua" w:hAnsi="Book Antiqua"/>
          <w:sz w:val="24"/>
          <w:szCs w:val="24"/>
        </w:rPr>
        <w:t>252-0375</w:t>
      </w:r>
      <w:r w:rsidRPr="00A02038">
        <w:rPr>
          <w:rFonts w:ascii="Book Antiqua" w:eastAsia="宋体" w:hAnsi="Book Antiqua"/>
          <w:sz w:val="24"/>
          <w:szCs w:val="24"/>
          <w:lang w:eastAsia="zh-CN"/>
        </w:rPr>
        <w:t>,</w:t>
      </w:r>
      <w:r w:rsidRPr="00A02038">
        <w:rPr>
          <w:rFonts w:ascii="Book Antiqua" w:hAnsi="Book Antiqua"/>
          <w:sz w:val="24"/>
          <w:szCs w:val="24"/>
        </w:rPr>
        <w:t xml:space="preserve"> Japan</w:t>
      </w:r>
    </w:p>
    <w:p w:rsidR="002D0B97" w:rsidRPr="00A02038" w:rsidRDefault="002D0B97" w:rsidP="00971E2B">
      <w:pPr>
        <w:snapToGrid w:val="0"/>
        <w:spacing w:line="360" w:lineRule="auto"/>
        <w:rPr>
          <w:rFonts w:ascii="Book Antiqua" w:eastAsia="宋体" w:hAnsi="Book Antiqua"/>
          <w:sz w:val="24"/>
          <w:szCs w:val="24"/>
          <w:lang w:eastAsia="zh-CN"/>
        </w:rPr>
      </w:pPr>
    </w:p>
    <w:p w:rsidR="00EC534A" w:rsidRPr="00A02038" w:rsidRDefault="00EC534A" w:rsidP="00971E2B">
      <w:pPr>
        <w:snapToGrid w:val="0"/>
        <w:spacing w:line="360" w:lineRule="auto"/>
        <w:rPr>
          <w:rFonts w:ascii="Book Antiqua" w:hAnsi="Book Antiqua"/>
          <w:b/>
          <w:sz w:val="24"/>
          <w:szCs w:val="24"/>
        </w:rPr>
      </w:pPr>
      <w:r w:rsidRPr="00A02038">
        <w:rPr>
          <w:rFonts w:ascii="Book Antiqua" w:hAnsi="Book Antiqua"/>
          <w:b/>
          <w:sz w:val="24"/>
          <w:szCs w:val="24"/>
          <w:lang w:eastAsia="zh-CN"/>
        </w:rPr>
        <w:t>Author contributions:</w:t>
      </w:r>
      <w:r w:rsidRPr="00A02038">
        <w:rPr>
          <w:rFonts w:ascii="Book Antiqua" w:hAnsi="Book Antiqua"/>
          <w:b/>
          <w:sz w:val="24"/>
          <w:szCs w:val="24"/>
        </w:rPr>
        <w:t xml:space="preserve"> </w:t>
      </w:r>
      <w:r w:rsidRPr="00A02038">
        <w:rPr>
          <w:rFonts w:ascii="Book Antiqua" w:hAnsi="Book Antiqua"/>
          <w:bCs/>
          <w:sz w:val="24"/>
          <w:szCs w:val="24"/>
        </w:rPr>
        <w:t>Koizumi S designed and performed the research and wrote the paper; Kida M designed the research and supervised the report and contributed to the analysis; Yamauchi H, Okuwaki K, Iwai T, Miyazawa S, Takezawa M</w:t>
      </w:r>
      <w:r w:rsidRPr="00FE6742">
        <w:rPr>
          <w:rFonts w:ascii="Book Antiqua" w:eastAsia="宋体" w:hAnsi="Book Antiqua"/>
          <w:bCs/>
          <w:sz w:val="24"/>
          <w:szCs w:val="24"/>
          <w:lang w:eastAsia="zh-CN"/>
        </w:rPr>
        <w:t xml:space="preserve"> and </w:t>
      </w:r>
      <w:r w:rsidRPr="00A02038">
        <w:rPr>
          <w:rFonts w:ascii="Book Antiqua" w:hAnsi="Book Antiqua"/>
          <w:bCs/>
          <w:sz w:val="24"/>
          <w:szCs w:val="24"/>
        </w:rPr>
        <w:t>Imaizumi H</w:t>
      </w:r>
      <w:r w:rsidRPr="00FE6742">
        <w:rPr>
          <w:rFonts w:ascii="Book Antiqua" w:eastAsia="宋体" w:hAnsi="Book Antiqua"/>
          <w:bCs/>
          <w:sz w:val="24"/>
          <w:szCs w:val="24"/>
          <w:lang w:eastAsia="zh-CN"/>
        </w:rPr>
        <w:t xml:space="preserve"> </w:t>
      </w:r>
      <w:r w:rsidRPr="00A02038">
        <w:rPr>
          <w:rFonts w:ascii="Book Antiqua" w:hAnsi="Book Antiqua"/>
          <w:bCs/>
          <w:sz w:val="24"/>
          <w:szCs w:val="24"/>
        </w:rPr>
        <w:t>provided clinical advice; Koizumi W supervised the report.</w:t>
      </w:r>
    </w:p>
    <w:p w:rsidR="00EC534A" w:rsidRPr="00A02038" w:rsidRDefault="00EC534A" w:rsidP="00971E2B">
      <w:pPr>
        <w:snapToGrid w:val="0"/>
        <w:spacing w:line="360" w:lineRule="auto"/>
        <w:rPr>
          <w:rFonts w:ascii="Book Antiqua" w:eastAsia="宋体" w:hAnsi="Book Antiqua"/>
          <w:b/>
          <w:sz w:val="24"/>
          <w:szCs w:val="24"/>
          <w:lang w:eastAsia="zh-CN"/>
        </w:rPr>
      </w:pPr>
    </w:p>
    <w:p w:rsidR="00EC534A" w:rsidRPr="00A02038" w:rsidRDefault="00EC534A" w:rsidP="00971E2B">
      <w:pPr>
        <w:pStyle w:val="1"/>
        <w:snapToGrid w:val="0"/>
        <w:spacing w:line="360" w:lineRule="auto"/>
        <w:jc w:val="both"/>
        <w:rPr>
          <w:rFonts w:ascii="Book Antiqua" w:hAnsi="Book Antiqua" w:cs="Times New Roman"/>
          <w:b/>
          <w:bCs/>
          <w:iCs/>
          <w:color w:val="auto"/>
          <w:sz w:val="24"/>
          <w:szCs w:val="24"/>
        </w:rPr>
      </w:pPr>
      <w:bookmarkStart w:id="33" w:name="OLE_LINK815"/>
      <w:bookmarkStart w:id="34" w:name="OLE_LINK863"/>
      <w:bookmarkStart w:id="35" w:name="OLE_LINK657"/>
      <w:r w:rsidRPr="00A02038">
        <w:rPr>
          <w:rFonts w:ascii="Book Antiqua" w:hAnsi="Book Antiqua" w:cs="Times New Roman"/>
          <w:b/>
          <w:bCs/>
          <w:iCs/>
          <w:color w:val="auto"/>
          <w:sz w:val="24"/>
          <w:szCs w:val="24"/>
        </w:rPr>
        <w:t>Institutional review board statement:</w:t>
      </w:r>
      <w:bookmarkEnd w:id="33"/>
      <w:bookmarkEnd w:id="34"/>
      <w:bookmarkEnd w:id="35"/>
      <w:r w:rsidRPr="00A02038">
        <w:rPr>
          <w:rFonts w:ascii="Book Antiqua" w:hAnsi="Book Antiqua" w:cs="Times New Roman"/>
          <w:b/>
          <w:bCs/>
          <w:iCs/>
          <w:color w:val="auto"/>
          <w:sz w:val="24"/>
          <w:szCs w:val="24"/>
        </w:rPr>
        <w:t xml:space="preserve"> </w:t>
      </w:r>
      <w:r w:rsidRPr="00A02038">
        <w:rPr>
          <w:rFonts w:ascii="Book Antiqua" w:hAnsi="Book Antiqua" w:cs="Times New Roman"/>
          <w:iCs/>
          <w:color w:val="auto"/>
          <w:sz w:val="24"/>
          <w:szCs w:val="24"/>
        </w:rPr>
        <w:t>This study was reviewed and approved by the Ethics Committee of the Kitasato University School of Medicine.</w:t>
      </w:r>
    </w:p>
    <w:p w:rsidR="00EC534A" w:rsidRPr="00A02038" w:rsidRDefault="00EC534A" w:rsidP="00971E2B">
      <w:pPr>
        <w:pStyle w:val="1"/>
        <w:snapToGrid w:val="0"/>
        <w:spacing w:line="360" w:lineRule="auto"/>
        <w:jc w:val="both"/>
        <w:rPr>
          <w:rFonts w:ascii="Book Antiqua" w:hAnsi="Book Antiqua" w:cs="Times New Roman"/>
          <w:b/>
          <w:bCs/>
          <w:iCs/>
          <w:color w:val="auto"/>
          <w:sz w:val="24"/>
          <w:szCs w:val="24"/>
        </w:rPr>
      </w:pPr>
    </w:p>
    <w:p w:rsidR="00EC534A" w:rsidRPr="00A02038" w:rsidRDefault="00EC534A" w:rsidP="00971E2B">
      <w:pPr>
        <w:pStyle w:val="1"/>
        <w:snapToGrid w:val="0"/>
        <w:spacing w:line="360" w:lineRule="auto"/>
        <w:jc w:val="both"/>
        <w:rPr>
          <w:rFonts w:ascii="Book Antiqua" w:hAnsi="Book Antiqua" w:cs="Times New Roman"/>
          <w:b/>
          <w:bCs/>
          <w:iCs/>
          <w:color w:val="auto"/>
          <w:sz w:val="24"/>
          <w:szCs w:val="24"/>
        </w:rPr>
      </w:pPr>
      <w:r w:rsidRPr="00A02038">
        <w:rPr>
          <w:rFonts w:ascii="Book Antiqua" w:hAnsi="Book Antiqua" w:cs="Times New Roman"/>
          <w:b/>
          <w:bCs/>
          <w:iCs/>
          <w:color w:val="auto"/>
          <w:sz w:val="24"/>
          <w:szCs w:val="24"/>
        </w:rPr>
        <w:t>Informed consent statement:</w:t>
      </w:r>
      <w:r w:rsidRPr="00A02038">
        <w:rPr>
          <w:rFonts w:ascii="Book Antiqua" w:eastAsia="MS Mincho" w:hAnsi="Book Antiqua" w:cs="Times New Roman"/>
          <w:b/>
          <w:bCs/>
          <w:iCs/>
          <w:color w:val="auto"/>
          <w:sz w:val="24"/>
          <w:szCs w:val="24"/>
          <w:lang w:eastAsia="ja-JP"/>
        </w:rPr>
        <w:t xml:space="preserve"> </w:t>
      </w:r>
      <w:r w:rsidRPr="00A02038">
        <w:rPr>
          <w:rFonts w:ascii="Book Antiqua" w:hAnsi="Book Antiqua" w:cs="Times New Roman"/>
          <w:iCs/>
          <w:color w:val="auto"/>
          <w:sz w:val="24"/>
          <w:szCs w:val="24"/>
        </w:rPr>
        <w:t xml:space="preserve">Patients were not required to give informed consent to the study because the analysis used anonymous clinical data that were obtained after each patient agreed to treatment by written consent. For full </w:t>
      </w:r>
      <w:r w:rsidRPr="00A02038">
        <w:rPr>
          <w:rFonts w:ascii="Book Antiqua" w:hAnsi="Book Antiqua" w:cs="Times New Roman"/>
          <w:iCs/>
          <w:color w:val="auto"/>
          <w:sz w:val="24"/>
          <w:szCs w:val="24"/>
        </w:rPr>
        <w:lastRenderedPageBreak/>
        <w:t>disclosure, the details of the study are published on the home page of Kitasato University School of Medicine.</w:t>
      </w:r>
    </w:p>
    <w:p w:rsidR="00EC534A" w:rsidRPr="00A02038" w:rsidRDefault="00EC534A" w:rsidP="00971E2B">
      <w:pPr>
        <w:snapToGrid w:val="0"/>
        <w:spacing w:line="360" w:lineRule="auto"/>
        <w:rPr>
          <w:rFonts w:ascii="Book Antiqua" w:eastAsia="宋体" w:hAnsi="Book Antiqua"/>
          <w:sz w:val="24"/>
          <w:szCs w:val="24"/>
          <w:lang w:eastAsia="zh-CN"/>
        </w:rPr>
      </w:pPr>
    </w:p>
    <w:p w:rsidR="00EC534A" w:rsidRPr="00A02038" w:rsidRDefault="00EC534A" w:rsidP="00971E2B">
      <w:pPr>
        <w:pStyle w:val="1"/>
        <w:snapToGrid w:val="0"/>
        <w:spacing w:line="360" w:lineRule="auto"/>
        <w:jc w:val="both"/>
        <w:rPr>
          <w:rFonts w:ascii="Book Antiqua" w:hAnsi="Book Antiqua" w:cs="Times New Roman"/>
          <w:iCs/>
          <w:color w:val="auto"/>
          <w:sz w:val="24"/>
          <w:szCs w:val="24"/>
        </w:rPr>
      </w:pPr>
      <w:bookmarkStart w:id="36" w:name="OLE_LINK235"/>
      <w:bookmarkStart w:id="37" w:name="OLE_LINK236"/>
      <w:bookmarkStart w:id="38" w:name="OLE_LINK684"/>
      <w:bookmarkStart w:id="39" w:name="OLE_LINK795"/>
      <w:bookmarkStart w:id="40" w:name="OLE_LINK796"/>
      <w:r w:rsidRPr="00A02038">
        <w:rPr>
          <w:rFonts w:ascii="Book Antiqua" w:hAnsi="Book Antiqua" w:cs="Times New Roman"/>
          <w:b/>
          <w:bCs/>
          <w:iCs/>
          <w:color w:val="auto"/>
          <w:sz w:val="24"/>
          <w:szCs w:val="24"/>
        </w:rPr>
        <w:t>Conflict-of-interest statement:</w:t>
      </w:r>
      <w:r w:rsidRPr="00A02038">
        <w:rPr>
          <w:rFonts w:ascii="Book Antiqua" w:eastAsia="MS Mincho" w:hAnsi="Book Antiqua" w:cs="Times New Roman"/>
          <w:b/>
          <w:bCs/>
          <w:iCs/>
          <w:color w:val="auto"/>
          <w:sz w:val="24"/>
          <w:szCs w:val="24"/>
          <w:lang w:eastAsia="ja-JP"/>
        </w:rPr>
        <w:t xml:space="preserve"> </w:t>
      </w:r>
      <w:r w:rsidRPr="00A02038">
        <w:rPr>
          <w:rFonts w:ascii="Book Antiqua" w:hAnsi="Book Antiqua" w:cs="Times New Roman"/>
          <w:iCs/>
          <w:color w:val="auto"/>
          <w:sz w:val="24"/>
          <w:szCs w:val="24"/>
        </w:rPr>
        <w:t>We have no financial relationships to disclose.</w:t>
      </w:r>
    </w:p>
    <w:bookmarkEnd w:id="36"/>
    <w:bookmarkEnd w:id="37"/>
    <w:bookmarkEnd w:id="38"/>
    <w:p w:rsidR="00EC534A" w:rsidRPr="00A02038" w:rsidRDefault="00EC534A" w:rsidP="00971E2B">
      <w:pPr>
        <w:pStyle w:val="1"/>
        <w:snapToGrid w:val="0"/>
        <w:spacing w:line="360" w:lineRule="auto"/>
        <w:jc w:val="both"/>
        <w:rPr>
          <w:rFonts w:ascii="Book Antiqua" w:hAnsi="Book Antiqua" w:cs="Times New Roman"/>
          <w:b/>
          <w:bCs/>
          <w:iCs/>
          <w:color w:val="auto"/>
          <w:sz w:val="24"/>
          <w:szCs w:val="24"/>
        </w:rPr>
      </w:pPr>
    </w:p>
    <w:p w:rsidR="00EC534A" w:rsidRPr="00A02038" w:rsidRDefault="00EC534A" w:rsidP="00971E2B">
      <w:pPr>
        <w:snapToGrid w:val="0"/>
        <w:spacing w:line="360" w:lineRule="auto"/>
        <w:rPr>
          <w:rFonts w:ascii="Book Antiqua" w:eastAsia="宋体" w:hAnsi="Book Antiqua"/>
          <w:iCs/>
          <w:sz w:val="24"/>
          <w:szCs w:val="24"/>
          <w:lang w:eastAsia="zh-CN"/>
        </w:rPr>
      </w:pPr>
      <w:bookmarkStart w:id="41" w:name="OLE_LINK824"/>
      <w:bookmarkStart w:id="42" w:name="OLE_LINK825"/>
      <w:r w:rsidRPr="00A02038">
        <w:rPr>
          <w:rFonts w:ascii="Book Antiqua" w:hAnsi="Book Antiqua"/>
          <w:b/>
          <w:bCs/>
          <w:iCs/>
          <w:sz w:val="24"/>
          <w:szCs w:val="24"/>
          <w:lang w:eastAsia="zh-CN"/>
        </w:rPr>
        <w:t>Data sharing statement:</w:t>
      </w:r>
      <w:bookmarkEnd w:id="39"/>
      <w:bookmarkEnd w:id="40"/>
      <w:bookmarkEnd w:id="41"/>
      <w:bookmarkEnd w:id="42"/>
      <w:r w:rsidRPr="00A02038">
        <w:rPr>
          <w:rFonts w:ascii="Book Antiqua" w:hAnsi="Book Antiqua"/>
          <w:b/>
          <w:bCs/>
          <w:iCs/>
          <w:sz w:val="24"/>
          <w:szCs w:val="24"/>
        </w:rPr>
        <w:t xml:space="preserve"> </w:t>
      </w:r>
      <w:r w:rsidRPr="00A02038">
        <w:rPr>
          <w:rFonts w:ascii="Book Antiqua" w:hAnsi="Book Antiqua"/>
          <w:iCs/>
          <w:sz w:val="24"/>
          <w:szCs w:val="24"/>
        </w:rPr>
        <w:t>No additional data are available.</w:t>
      </w:r>
    </w:p>
    <w:p w:rsidR="00EC534A" w:rsidRPr="00A02038" w:rsidRDefault="00EC534A" w:rsidP="00971E2B">
      <w:pPr>
        <w:snapToGrid w:val="0"/>
        <w:spacing w:line="360" w:lineRule="auto"/>
        <w:rPr>
          <w:rFonts w:ascii="Book Antiqua" w:eastAsia="宋体" w:hAnsi="Book Antiqua"/>
          <w:sz w:val="24"/>
          <w:szCs w:val="24"/>
          <w:lang w:eastAsia="zh-CN"/>
        </w:rPr>
      </w:pPr>
    </w:p>
    <w:p w:rsidR="00EC534A" w:rsidRPr="006A426E" w:rsidRDefault="00EC534A" w:rsidP="00971E2B">
      <w:pPr>
        <w:pStyle w:val="1"/>
        <w:snapToGrid w:val="0"/>
        <w:spacing w:line="360" w:lineRule="auto"/>
        <w:jc w:val="both"/>
        <w:rPr>
          <w:rFonts w:ascii="Book Antiqua" w:hAnsi="Book Antiqua" w:cs="Times New Roman"/>
          <w:bCs/>
          <w:color w:val="auto"/>
          <w:sz w:val="24"/>
          <w:szCs w:val="24"/>
        </w:rPr>
      </w:pPr>
      <w:bookmarkStart w:id="43" w:name="OLE_LINK734"/>
      <w:bookmarkStart w:id="44" w:name="OLE_LINK441"/>
      <w:bookmarkStart w:id="45" w:name="OLE_LINK442"/>
      <w:bookmarkStart w:id="46" w:name="OLE_LINK1032"/>
      <w:bookmarkStart w:id="47" w:name="OLE_LINK1232"/>
      <w:bookmarkStart w:id="48" w:name="OLE_LINK559"/>
      <w:r w:rsidRPr="006A426E">
        <w:rPr>
          <w:rFonts w:ascii="Book Antiqua" w:hAnsi="Book Antiqua" w:cs="Times New Roman"/>
          <w:b/>
          <w:bCs/>
          <w:color w:val="auto"/>
          <w:sz w:val="24"/>
          <w:szCs w:val="24"/>
        </w:rPr>
        <w:t>Open-Access:</w:t>
      </w:r>
      <w:r w:rsidRPr="006A426E">
        <w:rPr>
          <w:rFonts w:ascii="Book Antiqua" w:hAnsi="Book Antiqua" w:cs="Times New Roman"/>
          <w:bCs/>
          <w:color w:val="auto"/>
          <w:sz w:val="24"/>
          <w:szCs w:val="24"/>
        </w:rPr>
        <w:t xml:space="preserve"> </w:t>
      </w:r>
      <w:bookmarkStart w:id="49" w:name="OLE_LINK479"/>
      <w:bookmarkStart w:id="50" w:name="OLE_LINK496"/>
      <w:bookmarkStart w:id="51" w:name="OLE_LINK506"/>
      <w:bookmarkStart w:id="52" w:name="OLE_LINK507"/>
      <w:r w:rsidRPr="006A426E">
        <w:rPr>
          <w:rFonts w:ascii="Book Antiqua" w:hAnsi="Book Antiqua" w:cs="Times New Roman"/>
          <w:bCs/>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A426E">
          <w:rPr>
            <w:rStyle w:val="Hyperlink"/>
            <w:rFonts w:ascii="Book Antiqua" w:hAnsi="Book Antiqua" w:cs="Times New Roman"/>
            <w:color w:val="auto"/>
            <w:sz w:val="24"/>
            <w:szCs w:val="24"/>
          </w:rPr>
          <w:t>http://creativecommons.org/licenses/by-nc/4.0/</w:t>
        </w:r>
      </w:hyperlink>
      <w:bookmarkEnd w:id="43"/>
      <w:bookmarkEnd w:id="49"/>
      <w:bookmarkEnd w:id="50"/>
      <w:bookmarkEnd w:id="51"/>
      <w:bookmarkEnd w:id="52"/>
    </w:p>
    <w:bookmarkEnd w:id="44"/>
    <w:bookmarkEnd w:id="45"/>
    <w:bookmarkEnd w:id="46"/>
    <w:bookmarkEnd w:id="47"/>
    <w:bookmarkEnd w:id="48"/>
    <w:p w:rsidR="00EC534A" w:rsidRPr="006A426E" w:rsidRDefault="00EC534A" w:rsidP="00971E2B">
      <w:pPr>
        <w:pStyle w:val="1"/>
        <w:snapToGrid w:val="0"/>
        <w:spacing w:line="360" w:lineRule="auto"/>
        <w:jc w:val="both"/>
        <w:rPr>
          <w:rFonts w:ascii="Book Antiqua" w:hAnsi="Book Antiqua" w:cs="Times New Roman"/>
          <w:b/>
          <w:bCs/>
          <w:color w:val="FF0000"/>
          <w:sz w:val="24"/>
          <w:szCs w:val="24"/>
        </w:rPr>
      </w:pPr>
    </w:p>
    <w:p w:rsidR="00EC534A" w:rsidRPr="006A426E" w:rsidRDefault="00EC534A" w:rsidP="00971E2B">
      <w:pPr>
        <w:pStyle w:val="1"/>
        <w:snapToGrid w:val="0"/>
        <w:spacing w:line="360" w:lineRule="auto"/>
        <w:jc w:val="both"/>
        <w:rPr>
          <w:rFonts w:ascii="Book Antiqua" w:hAnsi="Book Antiqua" w:cs="Times New Roman"/>
          <w:b/>
          <w:bCs/>
          <w:color w:val="auto"/>
          <w:sz w:val="24"/>
          <w:szCs w:val="24"/>
        </w:rPr>
      </w:pPr>
      <w:r w:rsidRPr="006A426E">
        <w:rPr>
          <w:rFonts w:ascii="Book Antiqua" w:hAnsi="Book Antiqua" w:cs="Times New Roman"/>
          <w:b/>
          <w:bCs/>
          <w:color w:val="auto"/>
          <w:sz w:val="24"/>
          <w:szCs w:val="24"/>
        </w:rPr>
        <w:t xml:space="preserve">Manuscript source: </w:t>
      </w:r>
      <w:r w:rsidRPr="006A426E">
        <w:rPr>
          <w:rFonts w:ascii="Book Antiqua" w:hAnsi="Book Antiqua" w:cs="Times New Roman"/>
          <w:bCs/>
          <w:color w:val="auto"/>
          <w:sz w:val="24"/>
          <w:szCs w:val="24"/>
        </w:rPr>
        <w:t>Invited manuscript</w:t>
      </w:r>
    </w:p>
    <w:p w:rsidR="00EC534A" w:rsidRPr="00A02038" w:rsidRDefault="00EC534A" w:rsidP="00971E2B">
      <w:pPr>
        <w:snapToGrid w:val="0"/>
        <w:spacing w:line="360" w:lineRule="auto"/>
        <w:rPr>
          <w:rFonts w:ascii="Book Antiqua" w:eastAsia="宋体" w:hAnsi="Book Antiqua"/>
          <w:sz w:val="24"/>
          <w:szCs w:val="24"/>
          <w:lang w:eastAsia="zh-CN"/>
        </w:rPr>
      </w:pPr>
    </w:p>
    <w:p w:rsidR="002D0B97" w:rsidRPr="00FE6742" w:rsidRDefault="00EC534A" w:rsidP="00971E2B">
      <w:pPr>
        <w:snapToGrid w:val="0"/>
        <w:spacing w:line="360" w:lineRule="auto"/>
        <w:rPr>
          <w:rFonts w:ascii="Book Antiqua" w:eastAsia="宋体" w:hAnsi="Book Antiqua"/>
          <w:sz w:val="24"/>
          <w:szCs w:val="24"/>
          <w:lang w:eastAsia="zh-CN"/>
        </w:rPr>
      </w:pPr>
      <w:r w:rsidRPr="00A02038">
        <w:rPr>
          <w:rFonts w:ascii="Book Antiqua" w:eastAsia="宋体" w:hAnsi="Book Antiqua"/>
          <w:b/>
          <w:bCs/>
          <w:sz w:val="24"/>
          <w:szCs w:val="24"/>
          <w:lang w:eastAsia="zh-CN"/>
        </w:rPr>
        <w:t>Correspondence to:</w:t>
      </w:r>
      <w:r w:rsidRPr="00A02038">
        <w:rPr>
          <w:rFonts w:ascii="Book Antiqua" w:hAnsi="Book Antiqua"/>
          <w:sz w:val="24"/>
          <w:szCs w:val="24"/>
        </w:rPr>
        <w:t xml:space="preserve"> </w:t>
      </w:r>
      <w:r w:rsidRPr="00A02038">
        <w:rPr>
          <w:rFonts w:ascii="Book Antiqua" w:hAnsi="Book Antiqua"/>
          <w:b/>
          <w:sz w:val="24"/>
          <w:szCs w:val="24"/>
        </w:rPr>
        <w:t>Mitsuhiro Kida, MD,</w:t>
      </w:r>
      <w:r w:rsidRPr="00A02038">
        <w:rPr>
          <w:rFonts w:ascii="Book Antiqua" w:hAnsi="Book Antiqua"/>
          <w:sz w:val="24"/>
          <w:szCs w:val="24"/>
        </w:rPr>
        <w:t xml:space="preserve"> Department of Gastroenterology, Kitasato University School of Medicine, 1-15-1 Kitasato, Minami-ku, Sagamihara, Kanagawa 252-0375, Japan.</w:t>
      </w:r>
      <w:r w:rsidRPr="00FE6742">
        <w:rPr>
          <w:rFonts w:ascii="Book Antiqua" w:eastAsia="宋体" w:hAnsi="Book Antiqua"/>
          <w:sz w:val="24"/>
          <w:szCs w:val="24"/>
          <w:lang w:eastAsia="zh-CN"/>
        </w:rPr>
        <w:t xml:space="preserve"> </w:t>
      </w:r>
      <w:hyperlink r:id="rId7" w:history="1">
        <w:r w:rsidRPr="00A02038">
          <w:rPr>
            <w:rStyle w:val="Hyperlink"/>
            <w:rFonts w:ascii="Book Antiqua" w:hAnsi="Book Antiqua"/>
            <w:color w:val="auto"/>
            <w:sz w:val="24"/>
            <w:szCs w:val="24"/>
          </w:rPr>
          <w:t>m-kida@kitasato-u.ac.jp</w:t>
        </w:r>
      </w:hyperlink>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b/>
          <w:sz w:val="24"/>
          <w:szCs w:val="24"/>
          <w:lang w:val="pl-PL"/>
        </w:rPr>
        <w:t>Telephone:</w:t>
      </w:r>
      <w:r w:rsidRPr="00A02038">
        <w:rPr>
          <w:rFonts w:ascii="Book Antiqua" w:hAnsi="Book Antiqua"/>
          <w:sz w:val="24"/>
          <w:szCs w:val="24"/>
        </w:rPr>
        <w:t xml:space="preserve"> +81-42-7788111</w:t>
      </w:r>
    </w:p>
    <w:p w:rsidR="002D0B97" w:rsidRPr="00FE6742" w:rsidRDefault="00EC534A" w:rsidP="00971E2B">
      <w:pPr>
        <w:snapToGrid w:val="0"/>
        <w:spacing w:line="360" w:lineRule="auto"/>
        <w:rPr>
          <w:rFonts w:ascii="Book Antiqua" w:eastAsia="宋体" w:hAnsi="Book Antiqua"/>
          <w:sz w:val="24"/>
          <w:szCs w:val="24"/>
          <w:lang w:eastAsia="zh-CN"/>
        </w:rPr>
      </w:pPr>
      <w:r w:rsidRPr="00A02038">
        <w:rPr>
          <w:rFonts w:ascii="Book Antiqua" w:hAnsi="Book Antiqua"/>
          <w:b/>
          <w:sz w:val="24"/>
          <w:szCs w:val="24"/>
        </w:rPr>
        <w:t xml:space="preserve">Fax: </w:t>
      </w:r>
      <w:r w:rsidRPr="00A02038">
        <w:rPr>
          <w:rFonts w:ascii="Book Antiqua" w:hAnsi="Book Antiqua"/>
          <w:sz w:val="24"/>
          <w:szCs w:val="24"/>
        </w:rPr>
        <w:t>+81-42-7788390</w:t>
      </w:r>
    </w:p>
    <w:p w:rsidR="002D0B97" w:rsidRPr="00A02038" w:rsidRDefault="002D0B97" w:rsidP="00971E2B">
      <w:pPr>
        <w:snapToGrid w:val="0"/>
        <w:spacing w:line="360" w:lineRule="auto"/>
        <w:rPr>
          <w:rFonts w:ascii="Book Antiqua" w:hAnsi="Book Antiqua"/>
          <w:sz w:val="24"/>
          <w:szCs w:val="24"/>
          <w:lang w:eastAsia="zh-CN"/>
        </w:rPr>
      </w:pPr>
    </w:p>
    <w:p w:rsidR="00EC534A" w:rsidRPr="00A02038" w:rsidRDefault="00EC534A" w:rsidP="00971E2B">
      <w:pPr>
        <w:widowControl/>
        <w:snapToGrid w:val="0"/>
        <w:spacing w:line="360" w:lineRule="auto"/>
        <w:jc w:val="left"/>
        <w:rPr>
          <w:rFonts w:ascii="Book Antiqua" w:eastAsia="宋体" w:hAnsi="Book Antiqua"/>
          <w:b/>
          <w:sz w:val="24"/>
          <w:szCs w:val="24"/>
          <w:lang w:eastAsia="zh-CN"/>
        </w:rPr>
      </w:pPr>
      <w:bookmarkStart w:id="53" w:name="OLE_LINK952"/>
      <w:r w:rsidRPr="00A02038">
        <w:rPr>
          <w:rFonts w:ascii="Book Antiqua" w:eastAsia="宋体" w:hAnsi="Book Antiqua"/>
          <w:b/>
          <w:sz w:val="24"/>
          <w:szCs w:val="24"/>
          <w:lang w:eastAsia="zh-CN"/>
        </w:rPr>
        <w:t>Received:</w:t>
      </w:r>
      <w:r w:rsidRPr="00A02038">
        <w:rPr>
          <w:rFonts w:ascii="Book Antiqua" w:eastAsia="宋体" w:hAnsi="Book Antiqua"/>
          <w:sz w:val="24"/>
          <w:szCs w:val="24"/>
          <w:lang w:eastAsia="zh-CN"/>
        </w:rPr>
        <w:t xml:space="preserve"> August 22, 2016</w:t>
      </w:r>
    </w:p>
    <w:p w:rsidR="00EC534A" w:rsidRPr="00A02038" w:rsidRDefault="00EC534A" w:rsidP="00971E2B">
      <w:pPr>
        <w:widowControl/>
        <w:snapToGrid w:val="0"/>
        <w:spacing w:line="360" w:lineRule="auto"/>
        <w:jc w:val="left"/>
        <w:rPr>
          <w:rFonts w:ascii="Book Antiqua" w:eastAsia="宋体" w:hAnsi="Book Antiqua"/>
          <w:b/>
          <w:sz w:val="24"/>
          <w:szCs w:val="24"/>
          <w:lang w:eastAsia="zh-CN"/>
        </w:rPr>
      </w:pPr>
      <w:r w:rsidRPr="00A02038">
        <w:rPr>
          <w:rFonts w:ascii="Book Antiqua" w:eastAsia="宋体" w:hAnsi="Book Antiqua"/>
          <w:b/>
          <w:sz w:val="24"/>
          <w:szCs w:val="24"/>
          <w:lang w:eastAsia="zh-CN"/>
        </w:rPr>
        <w:t xml:space="preserve">Peer-review started: </w:t>
      </w:r>
      <w:r w:rsidRPr="00A02038">
        <w:rPr>
          <w:rFonts w:ascii="Book Antiqua" w:eastAsia="宋体" w:hAnsi="Book Antiqua"/>
          <w:sz w:val="24"/>
          <w:szCs w:val="24"/>
          <w:lang w:eastAsia="zh-CN"/>
        </w:rPr>
        <w:t>August 24, 2016</w:t>
      </w:r>
    </w:p>
    <w:p w:rsidR="00EC534A" w:rsidRPr="00A02038" w:rsidRDefault="00EC534A" w:rsidP="00971E2B">
      <w:pPr>
        <w:widowControl/>
        <w:snapToGrid w:val="0"/>
        <w:spacing w:line="360" w:lineRule="auto"/>
        <w:jc w:val="left"/>
        <w:rPr>
          <w:rFonts w:ascii="Book Antiqua" w:eastAsia="宋体" w:hAnsi="Book Antiqua"/>
          <w:b/>
          <w:sz w:val="24"/>
          <w:szCs w:val="24"/>
          <w:lang w:eastAsia="zh-CN"/>
        </w:rPr>
      </w:pPr>
      <w:r w:rsidRPr="00A02038">
        <w:rPr>
          <w:rFonts w:ascii="Book Antiqua" w:eastAsia="宋体" w:hAnsi="Book Antiqua"/>
          <w:b/>
          <w:sz w:val="24"/>
          <w:szCs w:val="24"/>
          <w:lang w:eastAsia="zh-CN"/>
        </w:rPr>
        <w:t xml:space="preserve">First decision: </w:t>
      </w:r>
      <w:r w:rsidRPr="00A02038">
        <w:rPr>
          <w:rFonts w:ascii="Book Antiqua" w:eastAsia="宋体" w:hAnsi="Book Antiqua"/>
          <w:sz w:val="24"/>
          <w:szCs w:val="24"/>
          <w:lang w:eastAsia="zh-CN"/>
        </w:rPr>
        <w:t>October 20, 2016</w:t>
      </w:r>
    </w:p>
    <w:p w:rsidR="00EC534A" w:rsidRPr="00A02038" w:rsidRDefault="00EC534A" w:rsidP="00971E2B">
      <w:pPr>
        <w:widowControl/>
        <w:snapToGrid w:val="0"/>
        <w:spacing w:line="360" w:lineRule="auto"/>
        <w:jc w:val="left"/>
        <w:rPr>
          <w:rFonts w:ascii="Book Antiqua" w:eastAsia="宋体" w:hAnsi="Book Antiqua"/>
          <w:b/>
          <w:sz w:val="24"/>
          <w:szCs w:val="24"/>
          <w:lang w:eastAsia="zh-CN"/>
        </w:rPr>
      </w:pPr>
      <w:r w:rsidRPr="00A02038">
        <w:rPr>
          <w:rFonts w:ascii="Book Antiqua" w:eastAsia="宋体" w:hAnsi="Book Antiqua"/>
          <w:b/>
          <w:sz w:val="24"/>
          <w:szCs w:val="24"/>
          <w:lang w:eastAsia="zh-CN"/>
        </w:rPr>
        <w:t xml:space="preserve">Revised: </w:t>
      </w:r>
      <w:r w:rsidRPr="00A02038">
        <w:rPr>
          <w:rFonts w:ascii="Book Antiqua" w:eastAsia="宋体" w:hAnsi="Book Antiqua"/>
          <w:sz w:val="24"/>
          <w:szCs w:val="24"/>
          <w:lang w:eastAsia="zh-CN"/>
        </w:rPr>
        <w:t>November 1, 2016</w:t>
      </w:r>
    </w:p>
    <w:p w:rsidR="00EC534A" w:rsidRPr="00E13F56" w:rsidRDefault="00EC534A" w:rsidP="00E13F56">
      <w:pPr>
        <w:rPr>
          <w:rFonts w:ascii="Book Antiqua" w:hAnsi="Book Antiqua"/>
          <w:iCs/>
          <w:sz w:val="24"/>
        </w:rPr>
      </w:pPr>
      <w:r w:rsidRPr="00A02038">
        <w:rPr>
          <w:rFonts w:ascii="Book Antiqua" w:eastAsia="宋体" w:hAnsi="Book Antiqua"/>
          <w:b/>
          <w:sz w:val="24"/>
          <w:szCs w:val="24"/>
          <w:lang w:eastAsia="zh-CN"/>
        </w:rPr>
        <w:t>Accepted:</w:t>
      </w:r>
      <w:r w:rsidR="00E13F56">
        <w:rPr>
          <w:rFonts w:ascii="Book Antiqua" w:eastAsia="宋体" w:hAnsi="Book Antiqua"/>
          <w:b/>
          <w:sz w:val="24"/>
          <w:szCs w:val="24"/>
          <w:lang w:eastAsia="zh-CN"/>
        </w:rPr>
        <w:t xml:space="preserve"> </w:t>
      </w:r>
      <w:r w:rsidR="00E13F56">
        <w:rPr>
          <w:rStyle w:val="Emphasis"/>
        </w:rPr>
        <w:t>November</w:t>
      </w:r>
      <w:r w:rsidR="00E13F56">
        <w:rPr>
          <w:rStyle w:val="Emphasis"/>
          <w:rFonts w:ascii="宋体" w:hAnsi="宋体" w:cs="宋体" w:hint="eastAsia"/>
        </w:rPr>
        <w:t xml:space="preserve"> 14</w:t>
      </w:r>
      <w:r w:rsidR="00E13F56" w:rsidRPr="00235CD4">
        <w:rPr>
          <w:rStyle w:val="Emphasis"/>
        </w:rPr>
        <w:t>,</w:t>
      </w:r>
      <w:r w:rsidR="00E13F56">
        <w:rPr>
          <w:rStyle w:val="Emphasis"/>
        </w:rPr>
        <w:t xml:space="preserve"> 2016</w:t>
      </w:r>
    </w:p>
    <w:p w:rsidR="00EC534A" w:rsidRPr="00A02038" w:rsidRDefault="00EC534A" w:rsidP="00971E2B">
      <w:pPr>
        <w:widowControl/>
        <w:snapToGrid w:val="0"/>
        <w:spacing w:line="360" w:lineRule="auto"/>
        <w:jc w:val="left"/>
        <w:rPr>
          <w:rFonts w:ascii="Book Antiqua" w:eastAsia="宋体" w:hAnsi="Book Antiqua"/>
          <w:b/>
          <w:sz w:val="24"/>
          <w:szCs w:val="24"/>
          <w:lang w:eastAsia="zh-CN"/>
        </w:rPr>
      </w:pPr>
      <w:r w:rsidRPr="00A02038">
        <w:rPr>
          <w:rFonts w:ascii="Book Antiqua" w:eastAsia="宋体" w:hAnsi="Book Antiqua"/>
          <w:b/>
          <w:sz w:val="24"/>
          <w:szCs w:val="24"/>
          <w:lang w:eastAsia="zh-CN"/>
        </w:rPr>
        <w:t>Article in press:</w:t>
      </w:r>
    </w:p>
    <w:p w:rsidR="00EC534A" w:rsidRPr="00A02038" w:rsidRDefault="00EC534A" w:rsidP="00971E2B">
      <w:pPr>
        <w:widowControl/>
        <w:snapToGrid w:val="0"/>
        <w:spacing w:line="360" w:lineRule="auto"/>
        <w:jc w:val="left"/>
        <w:rPr>
          <w:rFonts w:ascii="Book Antiqua" w:eastAsia="宋体" w:hAnsi="Book Antiqua"/>
          <w:b/>
          <w:sz w:val="24"/>
          <w:szCs w:val="24"/>
          <w:lang w:val="pl-PL" w:eastAsia="zh-CN"/>
        </w:rPr>
      </w:pPr>
      <w:r w:rsidRPr="00A02038">
        <w:rPr>
          <w:rFonts w:ascii="Book Antiqua" w:eastAsia="宋体" w:hAnsi="Book Antiqua"/>
          <w:b/>
          <w:sz w:val="24"/>
          <w:szCs w:val="24"/>
          <w:lang w:val="pl-PL" w:eastAsia="zh-CN"/>
        </w:rPr>
        <w:t>Published online:</w:t>
      </w:r>
      <w:bookmarkEnd w:id="53"/>
    </w:p>
    <w:p w:rsidR="002D0B97" w:rsidRPr="00A02038" w:rsidRDefault="00A02038" w:rsidP="00971E2B">
      <w:pPr>
        <w:widowControl/>
        <w:snapToGrid w:val="0"/>
        <w:spacing w:line="360" w:lineRule="auto"/>
        <w:jc w:val="left"/>
        <w:rPr>
          <w:rFonts w:ascii="Book Antiqua" w:hAnsi="Book Antiqua"/>
          <w:b/>
          <w:sz w:val="24"/>
          <w:szCs w:val="24"/>
        </w:rPr>
      </w:pPr>
      <w:r w:rsidRPr="00FE6742">
        <w:rPr>
          <w:rFonts w:ascii="Book Antiqua" w:eastAsia="宋体" w:hAnsi="Book Antiqua"/>
          <w:sz w:val="24"/>
          <w:szCs w:val="24"/>
          <w:lang w:eastAsia="zh-CN"/>
        </w:rPr>
        <w:br w:type="page"/>
      </w:r>
      <w:r w:rsidR="00EC534A" w:rsidRPr="00A02038">
        <w:rPr>
          <w:rFonts w:ascii="Book Antiqua" w:hAnsi="Book Antiqua"/>
          <w:b/>
          <w:sz w:val="24"/>
          <w:szCs w:val="24"/>
        </w:rPr>
        <w:lastRenderedPageBreak/>
        <w:t>Abstract</w:t>
      </w:r>
    </w:p>
    <w:p w:rsidR="00A02038" w:rsidRPr="00FE6742" w:rsidRDefault="00EC534A" w:rsidP="00971E2B">
      <w:pPr>
        <w:snapToGrid w:val="0"/>
        <w:spacing w:line="360" w:lineRule="auto"/>
        <w:rPr>
          <w:rFonts w:ascii="Book Antiqua" w:eastAsia="宋体" w:hAnsi="Book Antiqua"/>
          <w:i/>
          <w:sz w:val="24"/>
          <w:szCs w:val="24"/>
          <w:lang w:eastAsia="zh-CN"/>
        </w:rPr>
      </w:pPr>
      <w:r w:rsidRPr="00A02038">
        <w:rPr>
          <w:rFonts w:ascii="Book Antiqua" w:hAnsi="Book Antiqua"/>
          <w:b/>
          <w:i/>
          <w:caps/>
          <w:sz w:val="24"/>
          <w:szCs w:val="24"/>
        </w:rPr>
        <w:t>aim</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 xml:space="preserve">To evaluate the efficacy of </w:t>
      </w:r>
      <w:r w:rsidR="00A02038" w:rsidRPr="00A02038">
        <w:rPr>
          <w:rFonts w:ascii="Book Antiqua" w:hAnsi="Book Antiqua"/>
          <w:sz w:val="24"/>
          <w:szCs w:val="24"/>
        </w:rPr>
        <w:t>doubling time</w:t>
      </w:r>
      <w:r w:rsidRPr="00A02038">
        <w:rPr>
          <w:rFonts w:ascii="Book Antiqua" w:hAnsi="Book Antiqua"/>
          <w:sz w:val="24"/>
          <w:szCs w:val="24"/>
        </w:rPr>
        <w:t xml:space="preserve"> (DT) of </w:t>
      </w:r>
      <w:r w:rsidR="00A02038" w:rsidRPr="00A02038">
        <w:rPr>
          <w:rFonts w:ascii="Book Antiqua" w:hAnsi="Book Antiqua"/>
          <w:sz w:val="24"/>
          <w:szCs w:val="24"/>
        </w:rPr>
        <w:t>gastrointestinal submucosal tumors (GIST)</w:t>
      </w:r>
      <w:r w:rsidRPr="00A02038">
        <w:rPr>
          <w:rFonts w:ascii="Book Antiqua" w:hAnsi="Book Antiqua"/>
          <w:sz w:val="24"/>
          <w:szCs w:val="24"/>
        </w:rPr>
        <w:t>.</w:t>
      </w:r>
    </w:p>
    <w:p w:rsidR="002D0B97" w:rsidRPr="00A02038" w:rsidRDefault="002D0B97" w:rsidP="00971E2B">
      <w:pPr>
        <w:snapToGrid w:val="0"/>
        <w:spacing w:line="360" w:lineRule="auto"/>
        <w:rPr>
          <w:rFonts w:ascii="Book Antiqua" w:hAnsi="Book Antiqua"/>
          <w:sz w:val="24"/>
          <w:szCs w:val="24"/>
        </w:rPr>
      </w:pPr>
    </w:p>
    <w:p w:rsidR="00A02038" w:rsidRPr="00FE6742" w:rsidRDefault="00EC534A" w:rsidP="00971E2B">
      <w:pPr>
        <w:snapToGrid w:val="0"/>
        <w:spacing w:line="360" w:lineRule="auto"/>
        <w:rPr>
          <w:rFonts w:ascii="Book Antiqua" w:eastAsia="宋体" w:hAnsi="Book Antiqua"/>
          <w:b/>
          <w:i/>
          <w:sz w:val="24"/>
          <w:szCs w:val="24"/>
          <w:lang w:eastAsia="zh-CN"/>
        </w:rPr>
      </w:pPr>
      <w:r w:rsidRPr="00A02038">
        <w:rPr>
          <w:rFonts w:ascii="Book Antiqua" w:hAnsi="Book Antiqua"/>
          <w:b/>
          <w:i/>
          <w:caps/>
          <w:sz w:val="24"/>
          <w:szCs w:val="24"/>
        </w:rPr>
        <w:t>methods</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 xml:space="preserve">From April 1987 through November 2012, a total of 323 patients were given a final histopathological diagnosis of </w:t>
      </w:r>
      <w:r w:rsidR="00A02038" w:rsidRPr="00A02038">
        <w:rPr>
          <w:rFonts w:ascii="Book Antiqua" w:hAnsi="Book Antiqua"/>
          <w:sz w:val="24"/>
          <w:szCs w:val="24"/>
        </w:rPr>
        <w:t>GIST</w:t>
      </w:r>
      <w:r w:rsidR="00A02038" w:rsidRPr="00FE6742">
        <w:rPr>
          <w:rFonts w:ascii="Book Antiqua" w:eastAsia="宋体" w:hAnsi="Book Antiqua"/>
          <w:sz w:val="24"/>
          <w:szCs w:val="24"/>
          <w:lang w:eastAsia="zh-CN"/>
        </w:rPr>
        <w:t>s</w:t>
      </w:r>
      <w:r w:rsidRPr="00A02038">
        <w:rPr>
          <w:rFonts w:ascii="Book Antiqua" w:hAnsi="Book Antiqua"/>
          <w:sz w:val="24"/>
          <w:szCs w:val="24"/>
        </w:rPr>
        <w:t xml:space="preserve"> on surgical resection or </w:t>
      </w:r>
      <w:r w:rsidR="00132B48" w:rsidRPr="00132B48">
        <w:rPr>
          <w:rFonts w:ascii="Book Antiqua" w:hAnsi="Book Antiqua"/>
          <w:sz w:val="24"/>
          <w:szCs w:val="24"/>
        </w:rPr>
        <w:t>endoscopic ultrasound-guided fine-needle aspiration (EUS-FNA)</w:t>
      </w:r>
      <w:r w:rsidRPr="00A02038">
        <w:rPr>
          <w:rFonts w:ascii="Book Antiqua" w:hAnsi="Book Antiqua"/>
          <w:sz w:val="24"/>
          <w:szCs w:val="24"/>
        </w:rPr>
        <w:t xml:space="preserve"> in Kitasato University East Hospital or Kitasato University Hospital. We studied 53 of these patients (34 with resected tumors and 19 with unresected tumors) whose tumors could be measured on EUS on at least two successive occasions. The histopathological diagnosis was GIST in 34 patients, leiomyoma in 5, schwannoma in 3, ectopic pancreas in 1, hamartoma in 1, cyst in 1, Brunner’s adenoma in 1, and spindle-cell tumor in 7. We retrospectively calculated the DT of </w:t>
      </w:r>
      <w:r w:rsidR="00A02038" w:rsidRPr="00A02038">
        <w:rPr>
          <w:rFonts w:ascii="Book Antiqua" w:hAnsi="Book Antiqua"/>
          <w:sz w:val="24"/>
          <w:szCs w:val="24"/>
        </w:rPr>
        <w:t>GIST</w:t>
      </w:r>
      <w:r w:rsidRPr="00A02038">
        <w:rPr>
          <w:rFonts w:ascii="Book Antiqua" w:hAnsi="Book Antiqua"/>
          <w:sz w:val="24"/>
          <w:szCs w:val="24"/>
        </w:rPr>
        <w:t>s on the basis of the time course of EUS findings to estimate the growth rate of such tumors.</w:t>
      </w:r>
    </w:p>
    <w:p w:rsidR="002D0B97" w:rsidRPr="00A02038" w:rsidRDefault="002D0B97" w:rsidP="00971E2B">
      <w:pPr>
        <w:snapToGrid w:val="0"/>
        <w:spacing w:line="360" w:lineRule="auto"/>
        <w:rPr>
          <w:rFonts w:ascii="Book Antiqua" w:hAnsi="Book Antiqua"/>
          <w:sz w:val="24"/>
          <w:szCs w:val="24"/>
        </w:rPr>
      </w:pPr>
    </w:p>
    <w:p w:rsidR="00A02038" w:rsidRPr="00FE6742" w:rsidRDefault="00EC534A" w:rsidP="00971E2B">
      <w:pPr>
        <w:snapToGrid w:val="0"/>
        <w:spacing w:line="360" w:lineRule="auto"/>
        <w:rPr>
          <w:rFonts w:ascii="Book Antiqua" w:eastAsia="宋体" w:hAnsi="Book Antiqua"/>
          <w:b/>
          <w:i/>
          <w:sz w:val="24"/>
          <w:szCs w:val="24"/>
          <w:lang w:eastAsia="zh-CN"/>
        </w:rPr>
      </w:pPr>
      <w:r w:rsidRPr="00A02038">
        <w:rPr>
          <w:rFonts w:ascii="Book Antiqua" w:hAnsi="Book Antiqua"/>
          <w:b/>
          <w:i/>
          <w:caps/>
          <w:sz w:val="24"/>
          <w:szCs w:val="24"/>
        </w:rPr>
        <w:t>Results</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The DT was 17.2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GIST, as compared with 231.2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 xml:space="preserve">for leiomyoma, 104.7 </w:t>
      </w:r>
      <w:r w:rsidR="006A426E" w:rsidRPr="006A426E">
        <w:rPr>
          <w:rFonts w:ascii="Book Antiqua" w:eastAsia="宋体" w:hAnsi="Book Antiqua" w:hint="eastAsia"/>
          <w:sz w:val="24"/>
          <w:szCs w:val="24"/>
          <w:lang w:eastAsia="zh-CN"/>
        </w:rPr>
        <w:t>mo</w:t>
      </w:r>
      <w:r w:rsidR="006A426E" w:rsidRPr="00A02038">
        <w:rPr>
          <w:rFonts w:ascii="Book Antiqua" w:hAnsi="Book Antiqua"/>
          <w:sz w:val="24"/>
          <w:szCs w:val="24"/>
        </w:rPr>
        <w:t xml:space="preserve"> </w:t>
      </w:r>
      <w:r w:rsidRPr="00A02038">
        <w:rPr>
          <w:rFonts w:ascii="Book Antiqua" w:hAnsi="Book Antiqua"/>
          <w:sz w:val="24"/>
          <w:szCs w:val="24"/>
        </w:rPr>
        <w:t>for schwannoma,</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 xml:space="preserve">274.9 </w:t>
      </w:r>
      <w:r w:rsidR="006A426E" w:rsidRPr="006A426E">
        <w:rPr>
          <w:rFonts w:ascii="Book Antiqua" w:eastAsia="宋体" w:hAnsi="Book Antiqua" w:hint="eastAsia"/>
          <w:sz w:val="24"/>
          <w:szCs w:val="24"/>
          <w:lang w:eastAsia="zh-CN"/>
        </w:rPr>
        <w:t>mo</w:t>
      </w:r>
      <w:r w:rsidRPr="00A02038">
        <w:rPr>
          <w:rFonts w:ascii="Book Antiqua" w:hAnsi="Book Antiqua"/>
          <w:sz w:val="24"/>
          <w:szCs w:val="24"/>
        </w:rPr>
        <w:t xml:space="preserve"> for ectopic pancreas, 61.2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hamartoma, 49.0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cyst, and 134.7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Brunner</w:t>
      </w:r>
      <w:r w:rsidR="00A02038" w:rsidRPr="00FE6742">
        <w:rPr>
          <w:rFonts w:ascii="Book Antiqua" w:eastAsia="宋体" w:hAnsi="Book Antiqua"/>
          <w:sz w:val="24"/>
          <w:szCs w:val="24"/>
          <w:lang w:eastAsia="zh-CN"/>
        </w:rPr>
        <w:t>’</w:t>
      </w:r>
      <w:r w:rsidRPr="00A02038">
        <w:rPr>
          <w:rFonts w:ascii="Book Antiqua" w:hAnsi="Book Antiqua"/>
          <w:sz w:val="24"/>
          <w:szCs w:val="24"/>
        </w:rPr>
        <w:t>s adenoma. The GISTs were divided into risk classes on the basis of tumor diameters and mitotic figures (Fletcher’s classification). The classification was extremely low risk or low risk in 28 patients, intermediate risk in 3, and high risk in 3. DT of GIST according to risk was 24.0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extremely low-risk plus low-risk GIST, 17.1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intermediate-risk GIST, and 3.9 mo</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for high-risk GIST. DT of GIST was significantly shorter than that of leiomyoma plus schwannoma (</w:t>
      </w:r>
      <w:r w:rsidRPr="00A02038">
        <w:rPr>
          <w:rFonts w:ascii="Book Antiqua" w:hAnsi="Book Antiqua"/>
          <w:i/>
          <w:caps/>
          <w:sz w:val="24"/>
          <w:szCs w:val="24"/>
        </w:rPr>
        <w:t>p</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&lt;</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0.05), and DT of high-risk GIST was significantly shorter than that of extremely low-risk plus low-risk GIST (</w:t>
      </w:r>
      <w:r w:rsidR="00A02038" w:rsidRPr="00A02038">
        <w:rPr>
          <w:rFonts w:ascii="Book Antiqua" w:hAnsi="Book Antiqua"/>
          <w:i/>
          <w:caps/>
          <w:sz w:val="24"/>
          <w:szCs w:val="24"/>
        </w:rPr>
        <w:t>p</w:t>
      </w:r>
      <w:r w:rsidR="00A02038" w:rsidRPr="00A02038">
        <w:rPr>
          <w:rFonts w:ascii="Book Antiqua" w:hAnsi="Book Antiqua"/>
          <w:sz w:val="24"/>
          <w:szCs w:val="24"/>
        </w:rPr>
        <w:t xml:space="preserve"> </w:t>
      </w:r>
      <w:r w:rsidRPr="00A02038">
        <w:rPr>
          <w:rFonts w:ascii="Book Antiqua" w:hAnsi="Book Antiqua"/>
          <w:sz w:val="24"/>
          <w:szCs w:val="24"/>
        </w:rPr>
        <w:t>&lt;</w:t>
      </w:r>
      <w:r w:rsidR="00A02038" w:rsidRPr="00FE6742">
        <w:rPr>
          <w:rFonts w:ascii="Book Antiqua" w:eastAsia="宋体" w:hAnsi="Book Antiqua"/>
          <w:sz w:val="24"/>
          <w:szCs w:val="24"/>
          <w:lang w:eastAsia="zh-CN"/>
        </w:rPr>
        <w:t xml:space="preserve"> </w:t>
      </w:r>
      <w:r w:rsidRPr="00A02038">
        <w:rPr>
          <w:rFonts w:ascii="Book Antiqua" w:hAnsi="Book Antiqua"/>
          <w:sz w:val="24"/>
          <w:szCs w:val="24"/>
        </w:rPr>
        <w:t>0.05).</w:t>
      </w:r>
    </w:p>
    <w:p w:rsidR="002D0B97" w:rsidRPr="00FE6742" w:rsidRDefault="002D0B97" w:rsidP="00971E2B">
      <w:pPr>
        <w:snapToGrid w:val="0"/>
        <w:spacing w:line="360" w:lineRule="auto"/>
        <w:rPr>
          <w:rFonts w:ascii="Book Antiqua" w:eastAsia="宋体" w:hAnsi="Book Antiqua"/>
          <w:sz w:val="24"/>
          <w:szCs w:val="24"/>
          <w:lang w:eastAsia="zh-CN"/>
        </w:rPr>
      </w:pPr>
    </w:p>
    <w:p w:rsidR="00A02038" w:rsidRPr="00FE6742" w:rsidRDefault="00EC534A" w:rsidP="00971E2B">
      <w:pPr>
        <w:snapToGrid w:val="0"/>
        <w:spacing w:line="360" w:lineRule="auto"/>
        <w:rPr>
          <w:rFonts w:ascii="Book Antiqua" w:eastAsia="宋体" w:hAnsi="Book Antiqua"/>
          <w:b/>
          <w:i/>
          <w:sz w:val="24"/>
          <w:szCs w:val="24"/>
          <w:lang w:eastAsia="zh-CN"/>
        </w:rPr>
      </w:pPr>
      <w:r w:rsidRPr="00A02038">
        <w:rPr>
          <w:rFonts w:ascii="Book Antiqua" w:hAnsi="Book Antiqua"/>
          <w:b/>
          <w:i/>
          <w:caps/>
          <w:sz w:val="24"/>
          <w:szCs w:val="24"/>
        </w:rPr>
        <w:t>Conclusion</w:t>
      </w:r>
    </w:p>
    <w:p w:rsidR="002D0B97" w:rsidRPr="00FE6742" w:rsidRDefault="00EC534A" w:rsidP="00971E2B">
      <w:pPr>
        <w:snapToGrid w:val="0"/>
        <w:spacing w:line="360" w:lineRule="auto"/>
        <w:rPr>
          <w:rFonts w:ascii="Book Antiqua" w:eastAsia="宋体" w:hAnsi="Book Antiqua"/>
          <w:sz w:val="24"/>
          <w:szCs w:val="24"/>
          <w:lang w:eastAsia="zh-CN"/>
        </w:rPr>
      </w:pPr>
      <w:r w:rsidRPr="00A02038">
        <w:rPr>
          <w:rFonts w:ascii="Book Antiqua" w:hAnsi="Book Antiqua"/>
          <w:sz w:val="24"/>
          <w:szCs w:val="24"/>
        </w:rPr>
        <w:t>For GIST, a higher risk grade was associated with a significantly shorter DT. Small SMTs should initially be followed up w</w:t>
      </w:r>
      <w:r w:rsidR="00A02038" w:rsidRPr="00A02038">
        <w:rPr>
          <w:rFonts w:ascii="Book Antiqua" w:hAnsi="Book Antiqua"/>
          <w:sz w:val="24"/>
          <w:szCs w:val="24"/>
        </w:rPr>
        <w:t>ithin 6 months after detection.</w:t>
      </w:r>
    </w:p>
    <w:p w:rsidR="002D0B97" w:rsidRPr="00A02038" w:rsidRDefault="002D0B97" w:rsidP="00971E2B">
      <w:pPr>
        <w:snapToGrid w:val="0"/>
        <w:spacing w:line="360" w:lineRule="auto"/>
        <w:rPr>
          <w:rFonts w:ascii="Book Antiqua" w:hAnsi="Book Antiqua"/>
          <w:sz w:val="24"/>
          <w:szCs w:val="24"/>
        </w:rPr>
      </w:pPr>
    </w:p>
    <w:p w:rsidR="002D0B97" w:rsidRPr="00A02038" w:rsidRDefault="00EC534A" w:rsidP="00971E2B">
      <w:pPr>
        <w:snapToGrid w:val="0"/>
        <w:spacing w:line="360" w:lineRule="auto"/>
        <w:rPr>
          <w:rFonts w:ascii="Book Antiqua" w:hAnsi="Book Antiqua"/>
          <w:b/>
          <w:sz w:val="24"/>
          <w:szCs w:val="24"/>
        </w:rPr>
      </w:pPr>
      <w:r w:rsidRPr="00A02038">
        <w:rPr>
          <w:rFonts w:ascii="Book Antiqua" w:hAnsi="Book Antiqua"/>
          <w:b/>
          <w:sz w:val="24"/>
          <w:szCs w:val="24"/>
        </w:rPr>
        <w:t>Key words:</w:t>
      </w:r>
      <w:bookmarkStart w:id="54" w:name="OLE_LINK111"/>
      <w:bookmarkStart w:id="55" w:name="OLE_LINK113"/>
      <w:bookmarkStart w:id="56" w:name="OLE_LINK817"/>
      <w:r w:rsidR="00A02038" w:rsidRPr="00FE6742">
        <w:rPr>
          <w:rFonts w:ascii="Book Antiqua" w:eastAsia="宋体" w:hAnsi="Book Antiqua"/>
          <w:b/>
          <w:sz w:val="24"/>
          <w:szCs w:val="24"/>
          <w:lang w:eastAsia="zh-CN"/>
        </w:rPr>
        <w:t xml:space="preserve"> </w:t>
      </w:r>
      <w:r w:rsidRPr="00A02038">
        <w:rPr>
          <w:rFonts w:ascii="Book Antiqua" w:hAnsi="Book Antiqua"/>
          <w:bCs/>
          <w:sz w:val="24"/>
          <w:szCs w:val="24"/>
        </w:rPr>
        <w:t xml:space="preserve">Gastrointestinal Submucosal Tumor; Doubling Time; Submucosal Tumor; </w:t>
      </w:r>
      <w:r w:rsidRPr="00A02038">
        <w:rPr>
          <w:rFonts w:ascii="Book Antiqua" w:hAnsi="Book Antiqua"/>
          <w:bCs/>
          <w:caps/>
          <w:sz w:val="24"/>
          <w:szCs w:val="24"/>
        </w:rPr>
        <w:t>i</w:t>
      </w:r>
      <w:r w:rsidRPr="00A02038">
        <w:rPr>
          <w:rFonts w:ascii="Book Antiqua" w:hAnsi="Book Antiqua"/>
          <w:bCs/>
          <w:sz w:val="24"/>
          <w:szCs w:val="24"/>
        </w:rPr>
        <w:t>nitial observational duration</w:t>
      </w:r>
      <w:r w:rsidR="00A02038" w:rsidRPr="00FE6742">
        <w:rPr>
          <w:rFonts w:ascii="Book Antiqua" w:eastAsia="宋体" w:hAnsi="Book Antiqua"/>
          <w:bCs/>
          <w:sz w:val="24"/>
          <w:szCs w:val="24"/>
          <w:lang w:eastAsia="zh-CN"/>
        </w:rPr>
        <w:t xml:space="preserve">; </w:t>
      </w:r>
      <w:r w:rsidRPr="00A02038">
        <w:rPr>
          <w:rFonts w:ascii="Book Antiqua" w:hAnsi="Book Antiqua"/>
          <w:bCs/>
          <w:sz w:val="24"/>
          <w:szCs w:val="24"/>
        </w:rPr>
        <w:t xml:space="preserve">Endoscopic ultrasonography; Endoscopic ultrasonography-guided fine needle aspiration; </w:t>
      </w:r>
      <w:r w:rsidRPr="00A02038">
        <w:rPr>
          <w:rFonts w:ascii="Book Antiqua" w:hAnsi="Book Antiqua"/>
          <w:sz w:val="24"/>
          <w:szCs w:val="24"/>
        </w:rPr>
        <w:t>Fletcher’s classification</w:t>
      </w:r>
      <w:bookmarkEnd w:id="54"/>
      <w:bookmarkEnd w:id="55"/>
      <w:bookmarkEnd w:id="56"/>
    </w:p>
    <w:p w:rsidR="002D0B97" w:rsidRPr="00FE6742" w:rsidRDefault="002D0B97" w:rsidP="00971E2B">
      <w:pPr>
        <w:snapToGrid w:val="0"/>
        <w:spacing w:line="360" w:lineRule="auto"/>
        <w:rPr>
          <w:rFonts w:ascii="Book Antiqua" w:eastAsia="宋体" w:hAnsi="Book Antiqua"/>
          <w:b/>
          <w:sz w:val="24"/>
          <w:szCs w:val="24"/>
          <w:lang w:eastAsia="zh-CN"/>
        </w:rPr>
      </w:pPr>
    </w:p>
    <w:p w:rsidR="00A02038" w:rsidRPr="00FE6742" w:rsidRDefault="00A02038" w:rsidP="00971E2B">
      <w:pPr>
        <w:snapToGrid w:val="0"/>
        <w:spacing w:line="360" w:lineRule="auto"/>
        <w:rPr>
          <w:rFonts w:ascii="Book Antiqua" w:eastAsia="宋体" w:hAnsi="Book Antiqua"/>
          <w:b/>
          <w:sz w:val="24"/>
          <w:szCs w:val="24"/>
          <w:lang w:eastAsia="zh-CN"/>
        </w:rPr>
      </w:pPr>
      <w:bookmarkStart w:id="57" w:name="OLE_LINK363"/>
      <w:bookmarkStart w:id="58" w:name="OLE_LINK364"/>
      <w:bookmarkStart w:id="59" w:name="OLE_LINK359"/>
      <w:bookmarkStart w:id="60" w:name="OLE_LINK1037"/>
      <w:bookmarkStart w:id="61" w:name="OLE_LINK1195"/>
      <w:bookmarkStart w:id="62" w:name="OLE_LINK1140"/>
      <w:bookmarkStart w:id="63" w:name="OLE_LINK1062"/>
      <w:bookmarkStart w:id="64" w:name="OLE_LINK500"/>
      <w:bookmarkStart w:id="65" w:name="OLE_LINK916"/>
      <w:bookmarkStart w:id="66" w:name="OLE_LINK956"/>
      <w:r w:rsidRPr="00FE6742">
        <w:rPr>
          <w:rFonts w:ascii="Book Antiqua" w:eastAsia="宋体" w:hAnsi="Book Antiqua"/>
          <w:b/>
          <w:sz w:val="24"/>
          <w:szCs w:val="24"/>
          <w:lang w:eastAsia="zh-CN"/>
        </w:rPr>
        <w:t xml:space="preserve">© The Author(s) 2016. </w:t>
      </w:r>
      <w:r w:rsidRPr="00FE6742">
        <w:rPr>
          <w:rFonts w:ascii="Book Antiqua" w:eastAsia="宋体" w:hAnsi="Book Antiqua"/>
          <w:sz w:val="24"/>
          <w:szCs w:val="24"/>
          <w:lang w:eastAsia="zh-CN"/>
        </w:rPr>
        <w:t>Published by Baishideng Publishing Group Inc. All rights reserved.</w:t>
      </w:r>
    </w:p>
    <w:bookmarkEnd w:id="57"/>
    <w:bookmarkEnd w:id="58"/>
    <w:bookmarkEnd w:id="59"/>
    <w:bookmarkEnd w:id="60"/>
    <w:bookmarkEnd w:id="61"/>
    <w:bookmarkEnd w:id="62"/>
    <w:bookmarkEnd w:id="63"/>
    <w:bookmarkEnd w:id="64"/>
    <w:bookmarkEnd w:id="65"/>
    <w:bookmarkEnd w:id="66"/>
    <w:p w:rsidR="00A02038" w:rsidRPr="00FE6742" w:rsidRDefault="00A02038" w:rsidP="00971E2B">
      <w:pPr>
        <w:snapToGrid w:val="0"/>
        <w:spacing w:line="360" w:lineRule="auto"/>
        <w:rPr>
          <w:rFonts w:ascii="Book Antiqua" w:eastAsia="宋体" w:hAnsi="Book Antiqua"/>
          <w:b/>
          <w:sz w:val="24"/>
          <w:szCs w:val="24"/>
          <w:lang w:eastAsia="zh-CN"/>
        </w:rPr>
      </w:pPr>
    </w:p>
    <w:p w:rsidR="002D0B97" w:rsidRPr="00A02038" w:rsidRDefault="00EC534A" w:rsidP="00971E2B">
      <w:pPr>
        <w:pStyle w:val="1"/>
        <w:snapToGrid w:val="0"/>
        <w:spacing w:line="360" w:lineRule="auto"/>
        <w:jc w:val="both"/>
        <w:rPr>
          <w:rFonts w:ascii="Book Antiqua" w:hAnsi="Book Antiqua" w:cs="Times New Roman"/>
          <w:bCs/>
          <w:color w:val="auto"/>
          <w:sz w:val="24"/>
          <w:szCs w:val="24"/>
        </w:rPr>
      </w:pPr>
      <w:bookmarkStart w:id="67" w:name="OLE_LINK1196"/>
      <w:bookmarkStart w:id="68" w:name="OLE_LINK1154"/>
      <w:bookmarkStart w:id="69" w:name="OLE_LINK1155"/>
      <w:bookmarkStart w:id="70" w:name="OLE_LINK1322"/>
      <w:bookmarkStart w:id="71" w:name="OLE_LINK1044"/>
      <w:bookmarkStart w:id="72" w:name="OLE_LINK1224"/>
      <w:bookmarkStart w:id="73" w:name="OLE_LINK1225"/>
      <w:bookmarkStart w:id="74" w:name="OLE_LINK1634"/>
      <w:bookmarkStart w:id="75" w:name="OLE_LINK1635"/>
      <w:bookmarkStart w:id="76" w:name="OLE_LINK1762"/>
      <w:bookmarkStart w:id="77" w:name="OLE_LINK1763"/>
      <w:bookmarkStart w:id="78" w:name="OLE_LINK1764"/>
      <w:bookmarkStart w:id="79" w:name="OLE_LINK1939"/>
      <w:bookmarkStart w:id="80" w:name="OLE_LINK2194"/>
      <w:bookmarkStart w:id="81" w:name="OLE_LINK2878"/>
      <w:bookmarkStart w:id="82" w:name="OLE_LINK905"/>
      <w:bookmarkStart w:id="83" w:name="OLE_LINK531"/>
      <w:bookmarkStart w:id="84" w:name="OLE_LINK533"/>
      <w:bookmarkStart w:id="85" w:name="OLE_LINK711"/>
      <w:bookmarkStart w:id="86" w:name="OLE_LINK742"/>
      <w:r w:rsidRPr="00A02038">
        <w:rPr>
          <w:rFonts w:ascii="Book Antiqua" w:hAnsi="Book Antiqua" w:cs="Times New Roman"/>
          <w:b/>
          <w:color w:val="auto"/>
          <w:sz w:val="24"/>
          <w:szCs w:val="24"/>
        </w:rPr>
        <w:t>Core tip:</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02038">
        <w:rPr>
          <w:rFonts w:ascii="Book Antiqua" w:hAnsi="Book Antiqua" w:cs="Times New Roman"/>
          <w:b/>
          <w:color w:val="auto"/>
          <w:sz w:val="24"/>
          <w:szCs w:val="24"/>
        </w:rPr>
        <w:t xml:space="preserve"> </w:t>
      </w:r>
      <w:r w:rsidRPr="00A02038">
        <w:rPr>
          <w:rFonts w:ascii="Book Antiqua" w:hAnsi="Book Antiqua" w:cs="Times New Roman"/>
          <w:bCs/>
          <w:color w:val="auto"/>
          <w:sz w:val="24"/>
          <w:szCs w:val="24"/>
        </w:rPr>
        <w:t xml:space="preserve">The doubling time (DT) differed according to the type of </w:t>
      </w:r>
      <w:r w:rsidR="00A02038" w:rsidRPr="00A02038">
        <w:rPr>
          <w:rFonts w:ascii="Book Antiqua" w:hAnsi="Book Antiqua"/>
          <w:sz w:val="24"/>
          <w:szCs w:val="24"/>
        </w:rPr>
        <w:t>submucosal tumors</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SMT</w:t>
      </w:r>
      <w:r w:rsidR="00A02038" w:rsidRPr="00A02038">
        <w:rPr>
          <w:rFonts w:ascii="Book Antiqua" w:hAnsi="Book Antiqua" w:cs="Times New Roman"/>
          <w:bCs/>
          <w:color w:val="auto"/>
          <w:sz w:val="24"/>
          <w:szCs w:val="24"/>
        </w:rPr>
        <w:t>)</w:t>
      </w:r>
      <w:r w:rsidRPr="00A02038">
        <w:rPr>
          <w:rFonts w:ascii="Book Antiqua" w:hAnsi="Book Antiqua" w:cs="Times New Roman"/>
          <w:bCs/>
          <w:color w:val="auto"/>
          <w:sz w:val="24"/>
          <w:szCs w:val="24"/>
        </w:rPr>
        <w:t xml:space="preserve">, and </w:t>
      </w:r>
      <w:r w:rsidR="00A02038" w:rsidRPr="00A02038">
        <w:rPr>
          <w:rFonts w:ascii="Book Antiqua" w:hAnsi="Book Antiqua"/>
          <w:sz w:val="24"/>
          <w:szCs w:val="24"/>
        </w:rPr>
        <w:t>gastrointestinal submucosal tumors (GIST)</w:t>
      </w:r>
      <w:r w:rsidRPr="00A02038">
        <w:rPr>
          <w:rFonts w:ascii="Book Antiqua" w:hAnsi="Book Antiqua" w:cs="Times New Roman"/>
          <w:bCs/>
          <w:color w:val="auto"/>
          <w:sz w:val="24"/>
          <w:szCs w:val="24"/>
        </w:rPr>
        <w:t xml:space="preserve"> were confirmed to have a significantly shorter doubling time than the other types of tumors.</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DT was 17.2 mo</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for GIST, as compared with 231.2 for leiomyoma, 104.7 for schwannoma. DT of GIST was significantly shorter than that of leiomyoma plus schwannoma (</w:t>
      </w:r>
      <w:r w:rsidRPr="00A02038">
        <w:rPr>
          <w:rFonts w:ascii="Book Antiqua" w:hAnsi="Book Antiqua" w:cs="Times New Roman"/>
          <w:bCs/>
          <w:i/>
          <w:caps/>
          <w:color w:val="auto"/>
          <w:sz w:val="24"/>
          <w:szCs w:val="24"/>
        </w:rPr>
        <w:t>p</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&lt;</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0.05), and DT of high-risk GIST (3.9 mo) was significantly shorter than that of extremely low-risk plus low-risk GIST (24.0 mo) (</w:t>
      </w:r>
      <w:r w:rsidR="00A02038" w:rsidRPr="00A02038">
        <w:rPr>
          <w:rFonts w:ascii="Book Antiqua" w:hAnsi="Book Antiqua" w:cs="Times New Roman"/>
          <w:bCs/>
          <w:i/>
          <w:caps/>
          <w:color w:val="auto"/>
          <w:sz w:val="24"/>
          <w:szCs w:val="24"/>
        </w:rPr>
        <w:t>p</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&lt;</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0.05).</w:t>
      </w:r>
      <w:r w:rsidR="00A02038" w:rsidRPr="00A02038">
        <w:rPr>
          <w:rFonts w:ascii="Book Antiqua" w:hAnsi="Book Antiqua" w:cs="Times New Roman"/>
          <w:bCs/>
          <w:color w:val="auto"/>
          <w:sz w:val="24"/>
          <w:szCs w:val="24"/>
        </w:rPr>
        <w:t xml:space="preserve"> </w:t>
      </w:r>
      <w:r w:rsidRPr="00A02038">
        <w:rPr>
          <w:rFonts w:ascii="Book Antiqua" w:hAnsi="Book Antiqua" w:cs="Times New Roman"/>
          <w:bCs/>
          <w:color w:val="auto"/>
          <w:sz w:val="24"/>
          <w:szCs w:val="24"/>
        </w:rPr>
        <w:t>Even small SMTs less than 2 cm in diameter should initially be followed up within at least 6 months after detection.</w:t>
      </w:r>
    </w:p>
    <w:p w:rsidR="002D0B97" w:rsidRPr="00A02038" w:rsidRDefault="002D0B97" w:rsidP="00971E2B">
      <w:pPr>
        <w:snapToGrid w:val="0"/>
        <w:spacing w:line="360" w:lineRule="auto"/>
        <w:rPr>
          <w:rFonts w:ascii="Book Antiqua" w:hAnsi="Book Antiqua"/>
          <w:sz w:val="24"/>
          <w:szCs w:val="24"/>
        </w:rPr>
      </w:pPr>
      <w:bookmarkStart w:id="87" w:name="OLE_LINK286"/>
      <w:bookmarkStart w:id="88" w:name="OLE_LINK287"/>
      <w:bookmarkStart w:id="89" w:name="OLE_LINK310"/>
      <w:bookmarkStart w:id="90" w:name="OLE_LINK579"/>
      <w:bookmarkStart w:id="91" w:name="OLE_LINK712"/>
      <w:bookmarkStart w:id="92" w:name="OLE_LINK775"/>
      <w:bookmarkStart w:id="93" w:name="OLE_LINK271"/>
      <w:bookmarkStart w:id="94" w:name="OLE_LINK907"/>
      <w:bookmarkStart w:id="95" w:name="OLE_LINK452"/>
      <w:bookmarkStart w:id="96" w:name="OLE_LINK232"/>
      <w:bookmarkStart w:id="97" w:name="OLE_LINK233"/>
      <w:bookmarkStart w:id="98" w:name="OLE_LINK892"/>
      <w:bookmarkStart w:id="99" w:name="OLE_LINK311"/>
      <w:bookmarkStart w:id="100" w:name="OLE_LINK924"/>
      <w:bookmarkStart w:id="101" w:name="OLE_LINK753"/>
      <w:bookmarkEnd w:id="82"/>
      <w:bookmarkEnd w:id="83"/>
      <w:bookmarkEnd w:id="84"/>
      <w:bookmarkEnd w:id="85"/>
      <w:bookmarkEnd w:id="86"/>
    </w:p>
    <w:p w:rsidR="002D0B97" w:rsidRPr="00FE6742" w:rsidRDefault="00EC534A" w:rsidP="00971E2B">
      <w:pPr>
        <w:snapToGrid w:val="0"/>
        <w:spacing w:line="360" w:lineRule="auto"/>
        <w:rPr>
          <w:rFonts w:ascii="Book Antiqua" w:eastAsia="宋体" w:hAnsi="Book Antiqua"/>
          <w:b/>
          <w:sz w:val="24"/>
          <w:szCs w:val="24"/>
          <w:lang w:eastAsia="zh-CN"/>
        </w:rPr>
      </w:pPr>
      <w:bookmarkStart w:id="102" w:name="OLE_LINK47"/>
      <w:bookmarkStart w:id="103" w:name="OLE_LINK48"/>
      <w:bookmarkStart w:id="104" w:name="OLE_LINK3"/>
      <w:bookmarkStart w:id="105" w:name="OLE_LINK4"/>
      <w:bookmarkStart w:id="106" w:name="OLE_LINK70"/>
      <w:bookmarkStart w:id="107" w:name="OLE_LINK118"/>
      <w:bookmarkStart w:id="108" w:name="OLE_LINK145"/>
      <w:bookmarkStart w:id="109" w:name="OLE_LINK218"/>
      <w:bookmarkStart w:id="110" w:name="OLE_LINK520"/>
      <w:bookmarkStart w:id="111" w:name="OLE_LINK537"/>
      <w:bookmarkStart w:id="112" w:name="OLE_LINK598"/>
      <w:bookmarkStart w:id="113" w:name="OLE_LINK728"/>
      <w:bookmarkStart w:id="114" w:name="OLE_LINK745"/>
      <w:r w:rsidRPr="00A02038">
        <w:rPr>
          <w:rFonts w:ascii="Book Antiqua" w:hAnsi="Book Antiqua"/>
          <w:sz w:val="24"/>
          <w:szCs w:val="24"/>
        </w:rPr>
        <w:t>Koizumi S, Kida M, Yamauchi H, Okuwaki K, Iwai T, Miyazawa S, Takezawa M, Imaizumi H, Koizumi W.</w:t>
      </w:r>
      <w:bookmarkStart w:id="115" w:name="OLE_LINK200"/>
      <w:bookmarkStart w:id="116" w:name="OLE_LINK196"/>
      <w:bookmarkStart w:id="117" w:name="OLE_LINK341"/>
      <w:bookmarkStart w:id="118" w:name="OLE_LINK377"/>
      <w:bookmarkStart w:id="119" w:name="OLE_LINK366"/>
      <w:bookmarkStart w:id="120" w:name="OLE_LINK1038"/>
      <w:bookmarkStart w:id="121" w:name="OLE_LINK1166"/>
      <w:r w:rsidR="00A02038" w:rsidRPr="00FE6742">
        <w:rPr>
          <w:rFonts w:ascii="Book Antiqua" w:eastAsia="宋体" w:hAnsi="Book Antiqua"/>
          <w:sz w:val="24"/>
          <w:szCs w:val="24"/>
          <w:lang w:eastAsia="zh-CN"/>
        </w:rPr>
        <w:t xml:space="preserve"> </w:t>
      </w:r>
      <w:r w:rsidR="00A02038" w:rsidRPr="00A02038">
        <w:rPr>
          <w:rFonts w:ascii="Book Antiqua" w:hAnsi="Book Antiqua"/>
          <w:sz w:val="24"/>
          <w:szCs w:val="24"/>
        </w:rPr>
        <w:t>Clinical implications of doubling time of gastrointestinal submucosal tumors</w:t>
      </w:r>
      <w:r w:rsidR="00A02038" w:rsidRPr="00FE6742">
        <w:rPr>
          <w:rFonts w:ascii="Book Antiqua" w:eastAsia="宋体" w:hAnsi="Book Antiqua"/>
          <w:sz w:val="24"/>
          <w:szCs w:val="24"/>
          <w:lang w:eastAsia="zh-CN"/>
        </w:rPr>
        <w:t xml:space="preserve">. </w:t>
      </w:r>
      <w:r w:rsidRPr="00A02038">
        <w:rPr>
          <w:rFonts w:ascii="Book Antiqua" w:hAnsi="Book Antiqua"/>
          <w:i/>
          <w:sz w:val="24"/>
          <w:szCs w:val="24"/>
        </w:rPr>
        <w:t xml:space="preserve">World J Gastroenterol </w:t>
      </w:r>
      <w:r w:rsidRPr="00A02038">
        <w:rPr>
          <w:rFonts w:ascii="Book Antiqua" w:hAnsi="Book Antiqua"/>
          <w:sz w:val="24"/>
          <w:szCs w:val="24"/>
        </w:rPr>
        <w:t>2016; In press</w:t>
      </w:r>
      <w:bookmarkEnd w:id="87"/>
      <w:bookmarkEnd w:id="88"/>
      <w:bookmarkEnd w:id="89"/>
      <w:bookmarkEnd w:id="90"/>
      <w:bookmarkEnd w:id="91"/>
      <w:bookmarkEnd w:id="102"/>
      <w:bookmarkEnd w:id="103"/>
    </w:p>
    <w:bookmarkEnd w:id="92"/>
    <w:bookmarkEnd w:id="93"/>
    <w:bookmarkEnd w:id="94"/>
    <w:bookmarkEnd w:id="95"/>
    <w:bookmarkEnd w:id="96"/>
    <w:bookmarkEnd w:id="97"/>
    <w:bookmarkEnd w:id="98"/>
    <w:bookmarkEnd w:id="99"/>
    <w:bookmarkEnd w:id="100"/>
    <w:bookmarkEnd w:id="10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2D0B97" w:rsidRPr="00A02038" w:rsidRDefault="002D0B97" w:rsidP="00971E2B">
      <w:pPr>
        <w:snapToGrid w:val="0"/>
        <w:spacing w:line="360" w:lineRule="auto"/>
        <w:rPr>
          <w:rFonts w:ascii="Book Antiqua" w:hAnsi="Book Antiqua"/>
          <w:sz w:val="24"/>
          <w:szCs w:val="24"/>
        </w:rPr>
      </w:pPr>
    </w:p>
    <w:p w:rsidR="002D0B97" w:rsidRPr="00A02038" w:rsidRDefault="00EC534A" w:rsidP="00971E2B">
      <w:pPr>
        <w:widowControl/>
        <w:snapToGrid w:val="0"/>
        <w:spacing w:line="360" w:lineRule="auto"/>
        <w:jc w:val="left"/>
        <w:rPr>
          <w:rFonts w:ascii="Book Antiqua" w:hAnsi="Book Antiqua"/>
          <w:b/>
          <w:caps/>
          <w:sz w:val="24"/>
          <w:szCs w:val="24"/>
        </w:rPr>
      </w:pPr>
      <w:r w:rsidRPr="00A02038">
        <w:rPr>
          <w:rFonts w:ascii="Book Antiqua" w:hAnsi="Book Antiqua"/>
          <w:sz w:val="24"/>
          <w:szCs w:val="24"/>
        </w:rPr>
        <w:br w:type="page"/>
      </w:r>
      <w:r w:rsidRPr="00A02038">
        <w:rPr>
          <w:rFonts w:ascii="Book Antiqua" w:hAnsi="Book Antiqua"/>
          <w:b/>
          <w:caps/>
          <w:sz w:val="24"/>
          <w:szCs w:val="24"/>
        </w:rPr>
        <w:lastRenderedPageBreak/>
        <w:t xml:space="preserve">Introduction </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 xml:space="preserve">In Japan, gastrointestinal submucosal tumors (SMTs) are often detected on radiographic and conventional endoscopic examinations during health checkups. SMTs are covered by mucosa, and the majority of lesions are nonepithelial tumors arising from the submucosa or muscularis propria. The presence of SMTs can be detected on radiography and conventional endoscopy, but qualitative diagnosis remains difficult on these imaging techniques. However, progress in endoscopic ultrasonography (EUS) and other diagnostic techniques has facilitated the qualitative evaluation of </w:t>
      </w:r>
      <w:r w:rsidR="00A02038" w:rsidRPr="00A02038">
        <w:rPr>
          <w:rFonts w:ascii="Book Antiqua" w:hAnsi="Book Antiqua"/>
          <w:sz w:val="24"/>
          <w:szCs w:val="24"/>
        </w:rPr>
        <w:t>SMTs</w:t>
      </w:r>
      <w:r w:rsidR="00A02038" w:rsidRPr="00A02038">
        <w:rPr>
          <w:rFonts w:ascii="Book Antiqua" w:hAnsi="Book Antiqua"/>
          <w:sz w:val="24"/>
          <w:szCs w:val="24"/>
          <w:vertAlign w:val="superscript"/>
        </w:rPr>
        <w:t>[1,2]</w:t>
      </w:r>
      <w:r w:rsidR="00A02038" w:rsidRPr="00A02038">
        <w:rPr>
          <w:rFonts w:ascii="Book Antiqua" w:hAnsi="Book Antiqua"/>
          <w:sz w:val="24"/>
          <w:szCs w:val="24"/>
        </w:rPr>
        <w:t>. In the differential diagnosis of gastrointestinal stromal tumors (GISTs), considered clinically important lesions, endoscopic ultrasound-guided fine-needle aspiration (EUS-FNA) plays a major role in deciding the treatment policy and is now widely used clinically</w:t>
      </w:r>
      <w:r w:rsidR="00FE6742">
        <w:rPr>
          <w:rFonts w:ascii="Book Antiqua" w:hAnsi="Book Antiqua"/>
          <w:sz w:val="24"/>
          <w:szCs w:val="24"/>
          <w:vertAlign w:val="superscript"/>
        </w:rPr>
        <w:t>[3,</w:t>
      </w:r>
      <w:r w:rsidR="00A02038" w:rsidRPr="00A02038">
        <w:rPr>
          <w:rFonts w:ascii="Book Antiqua" w:hAnsi="Book Antiqua"/>
          <w:sz w:val="24"/>
          <w:szCs w:val="24"/>
          <w:vertAlign w:val="superscript"/>
        </w:rPr>
        <w:t>4]</w:t>
      </w:r>
      <w:r w:rsidR="00A02038" w:rsidRPr="00A02038">
        <w:rPr>
          <w:rFonts w:ascii="Book Antiqua" w:hAnsi="Book Antiqua"/>
          <w:sz w:val="24"/>
          <w:szCs w:val="24"/>
        </w:rPr>
        <w:t>. However, there remains room for improvement in the diagnostic performance of EUS-FNA for small lesions. Consequently, small SMTs yet to be definitively diagnosed are generally followed up once or twice per year</w:t>
      </w:r>
      <w:r w:rsidR="00A02038" w:rsidRPr="00A02038">
        <w:rPr>
          <w:rFonts w:ascii="Book Antiqua" w:hAnsi="Book Antiqua"/>
          <w:sz w:val="24"/>
          <w:szCs w:val="24"/>
          <w:vertAlign w:val="superscript"/>
        </w:rPr>
        <w:t>[5]</w:t>
      </w:r>
      <w:r w:rsidR="00A02038" w:rsidRPr="00A02038">
        <w:rPr>
          <w:rFonts w:ascii="Book Antiqua" w:hAnsi="Book Antiqua"/>
          <w:sz w:val="24"/>
          <w:szCs w:val="24"/>
        </w:rPr>
        <w:t>. To our knowledge, very few studies have evaluated the doubling time of SMTs, an index of the rate of tumor growth, according to diagnosis. We estimated the doubling time of different types of SMTs and report our findings.</w:t>
      </w:r>
    </w:p>
    <w:p w:rsidR="002D0B97" w:rsidRPr="00A02038" w:rsidRDefault="002D0B97" w:rsidP="00971E2B">
      <w:pPr>
        <w:snapToGrid w:val="0"/>
        <w:spacing w:line="360" w:lineRule="auto"/>
        <w:rPr>
          <w:rFonts w:ascii="Book Antiqua" w:hAnsi="Book Antiqua"/>
          <w:sz w:val="24"/>
          <w:szCs w:val="24"/>
        </w:rPr>
      </w:pPr>
    </w:p>
    <w:p w:rsidR="002D0B97" w:rsidRPr="00A02038" w:rsidRDefault="00EC534A" w:rsidP="00971E2B">
      <w:pPr>
        <w:snapToGrid w:val="0"/>
        <w:spacing w:line="360" w:lineRule="auto"/>
        <w:ind w:left="130" w:hangingChars="50" w:hanging="130"/>
        <w:rPr>
          <w:rFonts w:ascii="Book Antiqua" w:hAnsi="Book Antiqua"/>
          <w:b/>
          <w:caps/>
          <w:sz w:val="24"/>
          <w:szCs w:val="24"/>
        </w:rPr>
      </w:pPr>
      <w:bookmarkStart w:id="122" w:name="OLE_LINK478"/>
      <w:bookmarkStart w:id="123" w:name="OLE_LINK481"/>
      <w:bookmarkStart w:id="124" w:name="OLE_LINK483"/>
      <w:bookmarkStart w:id="125" w:name="OLE_LINK674"/>
      <w:r w:rsidRPr="00A02038">
        <w:rPr>
          <w:rFonts w:ascii="Book Antiqua" w:hAnsi="Book Antiqua"/>
          <w:b/>
          <w:caps/>
          <w:sz w:val="24"/>
          <w:szCs w:val="24"/>
        </w:rPr>
        <w:t>Materials and methods</w:t>
      </w:r>
      <w:bookmarkEnd w:id="122"/>
      <w:bookmarkEnd w:id="123"/>
      <w:bookmarkEnd w:id="124"/>
      <w:bookmarkEnd w:id="125"/>
    </w:p>
    <w:p w:rsidR="002D0B97" w:rsidRPr="00A02038" w:rsidRDefault="00EC534A" w:rsidP="00971E2B">
      <w:pPr>
        <w:snapToGrid w:val="0"/>
        <w:spacing w:line="360" w:lineRule="auto"/>
        <w:rPr>
          <w:rFonts w:ascii="Book Antiqua" w:hAnsi="Book Antiqua"/>
          <w:b/>
          <w:i/>
          <w:sz w:val="24"/>
          <w:szCs w:val="24"/>
        </w:rPr>
      </w:pPr>
      <w:r w:rsidRPr="00A02038">
        <w:rPr>
          <w:rFonts w:ascii="Book Antiqua" w:hAnsi="Book Antiqua"/>
          <w:b/>
          <w:i/>
          <w:sz w:val="24"/>
          <w:szCs w:val="24"/>
        </w:rPr>
        <w:t>Patients</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From April 1987 through November 2012, a total of 323 patients were given a final histopathological diagnosis of gastrointestinal SMT on surgical resection or EUS-FNA in our hospital. We studied 53 of these patients (34 with resected tumors and 19 with unresected</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 xml:space="preserve">tumors) whose tumors could be measured on EUS on at least two successive occasions. Tumor-doubling time was estimated retrospectively. All examinations were carried out by endoscopists adequately experienced in EUS. Informed consent was obtained from each patient prior to the procedure. Regardless of the result, the good clinical practice was provided </w:t>
      </w:r>
      <w:r w:rsidRPr="00A02038">
        <w:rPr>
          <w:rFonts w:ascii="Book Antiqua" w:hAnsi="Book Antiqua"/>
          <w:sz w:val="24"/>
          <w:szCs w:val="24"/>
        </w:rPr>
        <w:lastRenderedPageBreak/>
        <w:t>with consent of the patient. The longest and shortest tumor diameters were measured within the depicted range. The follow-up period was defined as the time between initial EUS and final EUS.</w:t>
      </w:r>
    </w:p>
    <w:p w:rsidR="002D0B97" w:rsidRPr="00A02038" w:rsidRDefault="002D0B97" w:rsidP="00971E2B">
      <w:pPr>
        <w:snapToGrid w:val="0"/>
        <w:spacing w:line="360" w:lineRule="auto"/>
        <w:rPr>
          <w:rFonts w:ascii="Book Antiqua" w:hAnsi="Book Antiqua"/>
          <w:sz w:val="24"/>
          <w:szCs w:val="24"/>
        </w:rPr>
      </w:pPr>
    </w:p>
    <w:p w:rsidR="002D0B97" w:rsidRPr="00132B48" w:rsidRDefault="00EC534A" w:rsidP="00971E2B">
      <w:pPr>
        <w:snapToGrid w:val="0"/>
        <w:spacing w:line="360" w:lineRule="auto"/>
        <w:rPr>
          <w:rFonts w:ascii="Book Antiqua" w:hAnsi="Book Antiqua"/>
          <w:b/>
          <w:i/>
          <w:sz w:val="24"/>
          <w:szCs w:val="24"/>
        </w:rPr>
      </w:pPr>
      <w:r w:rsidRPr="00132B48">
        <w:rPr>
          <w:rFonts w:ascii="Book Antiqua" w:hAnsi="Book Antiqua"/>
          <w:b/>
          <w:i/>
          <w:sz w:val="24"/>
          <w:szCs w:val="24"/>
        </w:rPr>
        <w:t>Endoscope</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Radial scanning echoendoscopes (GF-UM20, GF-UM240, GF-UM2000, UM-DP20, and UM-DP12; Olympus Co., Tokyo, Japan)</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were used to perform EUS. EUS-FNA was performed with the use of convex array echoendoscopes (GF-UCT260, GF-UCT240, XGF-UCT160, GF-UC2000P; Olympus Co., Ltd.). The following puncture needles were used: 19-gauge needles (Wilson-Cook, Winston Salem, NC, U</w:t>
      </w:r>
      <w:r w:rsidR="00132B48" w:rsidRPr="00FE6742">
        <w:rPr>
          <w:rFonts w:ascii="Book Antiqua" w:eastAsia="宋体" w:hAnsi="Book Antiqua" w:hint="eastAsia"/>
          <w:sz w:val="24"/>
          <w:szCs w:val="24"/>
          <w:lang w:eastAsia="zh-CN"/>
        </w:rPr>
        <w:t>nited States</w:t>
      </w:r>
      <w:r w:rsidRPr="00A02038">
        <w:rPr>
          <w:rFonts w:ascii="Book Antiqua" w:hAnsi="Book Antiqua"/>
          <w:sz w:val="24"/>
          <w:szCs w:val="24"/>
        </w:rPr>
        <w:t>), 22-gauge needles (NA-200H, Olympus Co., Ltd.), and 25-gauge needles (Echochip, Wilson-Cook). The aspiration pressure was 10 to 20 cc, and “in-and-out motion” was continued for 20 strokes (occasionally, 10 strokes). Puncture was performed 2 to 6 time (median, 3 times).</w:t>
      </w:r>
    </w:p>
    <w:p w:rsidR="002D0B97" w:rsidRPr="00A02038" w:rsidRDefault="002D0B97" w:rsidP="00971E2B">
      <w:pPr>
        <w:snapToGrid w:val="0"/>
        <w:spacing w:line="360" w:lineRule="auto"/>
        <w:rPr>
          <w:rFonts w:ascii="Book Antiqua" w:hAnsi="Book Antiqua"/>
          <w:sz w:val="24"/>
          <w:szCs w:val="24"/>
        </w:rPr>
      </w:pPr>
    </w:p>
    <w:p w:rsidR="002D0B97" w:rsidRPr="00132B48" w:rsidRDefault="00EC534A" w:rsidP="00971E2B">
      <w:pPr>
        <w:snapToGrid w:val="0"/>
        <w:spacing w:line="360" w:lineRule="auto"/>
        <w:rPr>
          <w:rFonts w:ascii="Book Antiqua" w:hAnsi="Book Antiqua"/>
          <w:b/>
          <w:i/>
          <w:sz w:val="24"/>
          <w:szCs w:val="24"/>
        </w:rPr>
      </w:pPr>
      <w:r w:rsidRPr="00132B48">
        <w:rPr>
          <w:rFonts w:ascii="Book Antiqua" w:hAnsi="Book Antiqua"/>
          <w:b/>
          <w:i/>
          <w:sz w:val="24"/>
          <w:szCs w:val="24"/>
        </w:rPr>
        <w:t>Measurement methods</w:t>
      </w:r>
    </w:p>
    <w:p w:rsidR="002D0B97" w:rsidRPr="00FE6742" w:rsidRDefault="00EC534A" w:rsidP="00971E2B">
      <w:pPr>
        <w:snapToGrid w:val="0"/>
        <w:spacing w:line="360" w:lineRule="auto"/>
        <w:rPr>
          <w:rFonts w:ascii="Book Antiqua" w:eastAsia="宋体" w:hAnsi="Book Antiqua"/>
          <w:sz w:val="24"/>
          <w:szCs w:val="24"/>
          <w:lang w:eastAsia="zh-CN"/>
        </w:rPr>
      </w:pPr>
      <w:r w:rsidRPr="00A02038">
        <w:rPr>
          <w:rFonts w:ascii="Book Antiqua" w:hAnsi="Book Antiqua"/>
          <w:sz w:val="24"/>
          <w:szCs w:val="24"/>
        </w:rPr>
        <w:t>Three-dimensional EUS is more accurate than 2-dimensional EUS for the measurement of tumor volume. However, commercially available three-dimensional echoendoscopes are probe type, making it difficult to measure large lesions. In the present study, we therefore measured the longest and shortest diameters within the range depicted on two-dimensional EUS. Few SMTs show a completely spherical growth pattern, and many grow in an oval fashion. In this study, however, we assumed that the tumors were spherical and used the mean value of the longest and shortest diameters as the tumor diameter to calculate tumor volume. The following equation was used to calculate doubling time: tumor growth rate (%) = (V1-V0)/ V0 × 100, in which V0 is the tumor volume (mm</w:t>
      </w:r>
      <w:r w:rsidRPr="00A02038">
        <w:rPr>
          <w:rFonts w:ascii="Book Antiqua" w:hAnsi="Book Antiqua"/>
          <w:sz w:val="24"/>
          <w:szCs w:val="24"/>
          <w:vertAlign w:val="superscript"/>
        </w:rPr>
        <w:t>3</w:t>
      </w:r>
      <w:r w:rsidRPr="00A02038">
        <w:rPr>
          <w:rFonts w:ascii="Book Antiqua" w:hAnsi="Book Antiqua"/>
          <w:sz w:val="24"/>
          <w:szCs w:val="24"/>
        </w:rPr>
        <w:t>) at baseline EUS (</w:t>
      </w:r>
      <w:r w:rsidR="00132B48" w:rsidRPr="00132B48">
        <w:rPr>
          <w:rFonts w:ascii="Book Antiqua" w:hAnsi="Book Antiqua"/>
          <w:sz w:val="24"/>
          <w:szCs w:val="24"/>
        </w:rPr>
        <w:sym w:font="Symbol" w:char="F070"/>
      </w:r>
      <w:r w:rsidRPr="00A02038">
        <w:rPr>
          <w:rFonts w:ascii="Book Antiqua" w:hAnsi="Book Antiqua"/>
          <w:sz w:val="24"/>
          <w:szCs w:val="24"/>
        </w:rPr>
        <w:t>d0</w:t>
      </w:r>
      <w:r w:rsidRPr="00A02038">
        <w:rPr>
          <w:rFonts w:ascii="Book Antiqua" w:hAnsi="Book Antiqua"/>
          <w:sz w:val="24"/>
          <w:szCs w:val="24"/>
          <w:vertAlign w:val="superscript"/>
        </w:rPr>
        <w:t>3</w:t>
      </w:r>
      <w:r w:rsidRPr="00A02038">
        <w:rPr>
          <w:rFonts w:ascii="Book Antiqua" w:hAnsi="Book Antiqua"/>
          <w:sz w:val="24"/>
          <w:szCs w:val="24"/>
        </w:rPr>
        <w:t>/6), V1 is the tumor volume (mm</w:t>
      </w:r>
      <w:r w:rsidRPr="00A02038">
        <w:rPr>
          <w:rFonts w:ascii="Book Antiqua" w:hAnsi="Book Antiqua"/>
          <w:sz w:val="24"/>
          <w:szCs w:val="24"/>
          <w:vertAlign w:val="superscript"/>
        </w:rPr>
        <w:t>3</w:t>
      </w:r>
      <w:r w:rsidRPr="00A02038">
        <w:rPr>
          <w:rFonts w:ascii="Book Antiqua" w:hAnsi="Book Antiqua"/>
          <w:sz w:val="24"/>
          <w:szCs w:val="24"/>
        </w:rPr>
        <w:t>) at the second or subsequent sessions of EUS (</w:t>
      </w:r>
      <w:r w:rsidR="00132B48" w:rsidRPr="00132B48">
        <w:rPr>
          <w:rFonts w:ascii="Book Antiqua" w:hAnsi="Book Antiqua"/>
          <w:sz w:val="24"/>
          <w:szCs w:val="24"/>
        </w:rPr>
        <w:sym w:font="Symbol" w:char="F070"/>
      </w:r>
      <w:r w:rsidRPr="00A02038">
        <w:rPr>
          <w:rFonts w:ascii="Book Antiqua" w:hAnsi="Book Antiqua"/>
          <w:sz w:val="24"/>
          <w:szCs w:val="24"/>
        </w:rPr>
        <w:t>d1</w:t>
      </w:r>
      <w:r w:rsidRPr="00A02038">
        <w:rPr>
          <w:rFonts w:ascii="Book Antiqua" w:hAnsi="Book Antiqua"/>
          <w:sz w:val="24"/>
          <w:szCs w:val="24"/>
          <w:vertAlign w:val="superscript"/>
        </w:rPr>
        <w:t>3</w:t>
      </w:r>
      <w:r w:rsidRPr="00A02038">
        <w:rPr>
          <w:rFonts w:ascii="Book Antiqua" w:hAnsi="Book Antiqua"/>
          <w:sz w:val="24"/>
          <w:szCs w:val="24"/>
        </w:rPr>
        <w:t xml:space="preserve">/6), d0 is the tumor diameter (mm) at baseline EUS, and d1 is the tumor diameter (mm) at the </w:t>
      </w:r>
      <w:r w:rsidRPr="00A02038">
        <w:rPr>
          <w:rFonts w:ascii="Book Antiqua" w:hAnsi="Book Antiqua"/>
          <w:sz w:val="24"/>
          <w:szCs w:val="24"/>
        </w:rPr>
        <w:lastRenderedPageBreak/>
        <w:t>second</w:t>
      </w:r>
      <w:r w:rsidR="00132B48">
        <w:rPr>
          <w:rFonts w:ascii="Book Antiqua" w:hAnsi="Book Antiqua"/>
          <w:sz w:val="24"/>
          <w:szCs w:val="24"/>
        </w:rPr>
        <w:t xml:space="preserve"> or subsequent sessions of EUS.</w:t>
      </w:r>
    </w:p>
    <w:p w:rsidR="002D0B97" w:rsidRPr="00FE6742" w:rsidRDefault="00EC534A" w:rsidP="00971E2B">
      <w:pPr>
        <w:snapToGrid w:val="0"/>
        <w:spacing w:line="360" w:lineRule="auto"/>
        <w:ind w:firstLineChars="100" w:firstLine="240"/>
        <w:rPr>
          <w:rFonts w:ascii="Book Antiqua" w:eastAsia="宋体" w:hAnsi="Book Antiqua"/>
          <w:sz w:val="24"/>
          <w:szCs w:val="24"/>
          <w:lang w:eastAsia="zh-CN"/>
        </w:rPr>
      </w:pPr>
      <w:r w:rsidRPr="00A02038">
        <w:rPr>
          <w:rFonts w:ascii="Book Antiqua" w:hAnsi="Book Antiqua"/>
          <w:sz w:val="24"/>
          <w:szCs w:val="24"/>
        </w:rPr>
        <w:t>The time courses of tumor growth rates were plotted on scattergrams with trend lines. The point at which the tumor growth rate became 100% wa</w:t>
      </w:r>
      <w:r w:rsidR="00132B48">
        <w:rPr>
          <w:rFonts w:ascii="Book Antiqua" w:hAnsi="Book Antiqua"/>
          <w:sz w:val="24"/>
          <w:szCs w:val="24"/>
        </w:rPr>
        <w:t>s defined as the doubling time.</w:t>
      </w:r>
    </w:p>
    <w:p w:rsidR="002D0B97" w:rsidRPr="00A02038" w:rsidRDefault="002D0B97" w:rsidP="00971E2B">
      <w:pPr>
        <w:snapToGrid w:val="0"/>
        <w:spacing w:line="360" w:lineRule="auto"/>
        <w:rPr>
          <w:rFonts w:ascii="Book Antiqua" w:hAnsi="Book Antiqua"/>
          <w:sz w:val="24"/>
          <w:szCs w:val="24"/>
        </w:rPr>
      </w:pPr>
    </w:p>
    <w:p w:rsidR="002D0B97" w:rsidRPr="00132B48" w:rsidRDefault="00EC534A" w:rsidP="00971E2B">
      <w:pPr>
        <w:snapToGrid w:val="0"/>
        <w:spacing w:line="360" w:lineRule="auto"/>
        <w:rPr>
          <w:rFonts w:ascii="Book Antiqua" w:hAnsi="Book Antiqua"/>
          <w:b/>
          <w:i/>
          <w:sz w:val="24"/>
          <w:szCs w:val="24"/>
        </w:rPr>
      </w:pPr>
      <w:r w:rsidRPr="00132B48">
        <w:rPr>
          <w:rFonts w:ascii="Book Antiqua" w:hAnsi="Book Antiqua"/>
          <w:b/>
          <w:i/>
          <w:sz w:val="24"/>
          <w:szCs w:val="24"/>
        </w:rPr>
        <w:t>Definition of diagnosis</w:t>
      </w:r>
    </w:p>
    <w:p w:rsidR="002D0B97" w:rsidRPr="00FE6742" w:rsidRDefault="00EC534A" w:rsidP="00971E2B">
      <w:pPr>
        <w:snapToGrid w:val="0"/>
        <w:spacing w:line="360" w:lineRule="auto"/>
        <w:rPr>
          <w:rFonts w:ascii="Book Antiqua" w:eastAsia="宋体" w:hAnsi="Book Antiqua"/>
          <w:sz w:val="24"/>
          <w:szCs w:val="24"/>
          <w:lang w:eastAsia="zh-CN"/>
        </w:rPr>
      </w:pPr>
      <w:r w:rsidRPr="00A02038">
        <w:rPr>
          <w:rFonts w:ascii="Book Antiqua" w:hAnsi="Book Antiqua"/>
          <w:sz w:val="24"/>
          <w:szCs w:val="24"/>
        </w:rPr>
        <w:t>On immunostaining of specimens obtained by surgical resection or FNA, tumors that stained positive for CD34 or KIT were diagnosed as GIST. Leiomyomas were diagnosed if immunostaining was positive for smooth-muscle antibodies (SMA) and negative for CD34 and KIT. Schwannomas were diagnosed if the tumor stained positive for S-100 and negative for CD34 and KIT. Spindle-cell tumors were diagnosed if spindle-shaped cells were confirmed on hematoxylin-eosin staining, but immunostaining was precluded by an inadequate sample size on FNA. GISTs were classified as extremely low risk, low risk, intermediate risk, and high risk on the basis of actual tumor diameters and mitotic figures in patients with resected tumors. In patients with unresected tumors, risk class was based on tumor diameter measu</w:t>
      </w:r>
      <w:r w:rsidR="00132B48">
        <w:rPr>
          <w:rFonts w:ascii="Book Antiqua" w:hAnsi="Book Antiqua"/>
          <w:sz w:val="24"/>
          <w:szCs w:val="24"/>
        </w:rPr>
        <w:t>red on EUS and mitotic figures.</w:t>
      </w:r>
    </w:p>
    <w:p w:rsidR="002D0B97" w:rsidRPr="00A02038" w:rsidRDefault="002D0B97" w:rsidP="00971E2B">
      <w:pPr>
        <w:snapToGrid w:val="0"/>
        <w:spacing w:line="360" w:lineRule="auto"/>
        <w:rPr>
          <w:rFonts w:ascii="Book Antiqua" w:hAnsi="Book Antiqua"/>
          <w:sz w:val="24"/>
          <w:szCs w:val="24"/>
        </w:rPr>
      </w:pPr>
    </w:p>
    <w:p w:rsidR="00132B48" w:rsidRPr="00FE6742" w:rsidRDefault="00132B48" w:rsidP="00971E2B">
      <w:pPr>
        <w:snapToGrid w:val="0"/>
        <w:spacing w:line="360" w:lineRule="auto"/>
        <w:rPr>
          <w:rFonts w:ascii="Book Antiqua" w:eastAsia="宋体" w:hAnsi="Book Antiqua"/>
          <w:b/>
          <w:i/>
          <w:sz w:val="24"/>
          <w:szCs w:val="24"/>
          <w:lang w:eastAsia="zh-CN"/>
        </w:rPr>
      </w:pPr>
      <w:r w:rsidRPr="00132B48">
        <w:rPr>
          <w:rFonts w:ascii="Book Antiqua" w:hAnsi="Book Antiqua"/>
          <w:b/>
          <w:i/>
          <w:caps/>
          <w:sz w:val="24"/>
          <w:szCs w:val="24"/>
        </w:rPr>
        <w:t>s</w:t>
      </w:r>
      <w:r w:rsidRPr="00132B48">
        <w:rPr>
          <w:rFonts w:ascii="Book Antiqua" w:hAnsi="Book Antiqua"/>
          <w:b/>
          <w:i/>
          <w:sz w:val="24"/>
          <w:szCs w:val="24"/>
        </w:rPr>
        <w:t>tatistical analysis</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 xml:space="preserve">For statistical analysis, the Mann-Whitney </w:t>
      </w:r>
      <w:r w:rsidRPr="00132B48">
        <w:rPr>
          <w:rFonts w:ascii="Book Antiqua" w:hAnsi="Book Antiqua"/>
          <w:i/>
          <w:sz w:val="24"/>
          <w:szCs w:val="24"/>
        </w:rPr>
        <w:t>U</w:t>
      </w:r>
      <w:r w:rsidRPr="00A02038">
        <w:rPr>
          <w:rFonts w:ascii="Book Antiqua" w:hAnsi="Book Antiqua"/>
          <w:sz w:val="24"/>
          <w:szCs w:val="24"/>
        </w:rPr>
        <w:t xml:space="preserve"> test was used to compare doubling times. </w:t>
      </w:r>
      <w:r w:rsidRPr="00132B48">
        <w:rPr>
          <w:rFonts w:ascii="Book Antiqua" w:hAnsi="Book Antiqua"/>
          <w:i/>
          <w:sz w:val="24"/>
          <w:szCs w:val="24"/>
        </w:rPr>
        <w:t>P</w:t>
      </w:r>
      <w:r w:rsidRPr="00A02038">
        <w:rPr>
          <w:rFonts w:ascii="Book Antiqua" w:hAnsi="Book Antiqua"/>
          <w:sz w:val="24"/>
          <w:szCs w:val="24"/>
        </w:rPr>
        <w:t xml:space="preserve"> values of less than 0.05 were considered to indicate statistical significance. SPSS statistical software, version 17.0 was used for statistical analysis.</w:t>
      </w:r>
    </w:p>
    <w:p w:rsidR="002D0B97" w:rsidRPr="00A02038" w:rsidRDefault="002D0B97" w:rsidP="00971E2B">
      <w:pPr>
        <w:snapToGrid w:val="0"/>
        <w:spacing w:line="360" w:lineRule="auto"/>
        <w:rPr>
          <w:rFonts w:ascii="Book Antiqua" w:hAnsi="Book Antiqua"/>
          <w:sz w:val="24"/>
          <w:szCs w:val="24"/>
        </w:rPr>
      </w:pPr>
    </w:p>
    <w:p w:rsidR="002D0B97" w:rsidRPr="00132B48" w:rsidRDefault="00EC534A" w:rsidP="00971E2B">
      <w:pPr>
        <w:snapToGrid w:val="0"/>
        <w:spacing w:line="360" w:lineRule="auto"/>
        <w:rPr>
          <w:rFonts w:ascii="Book Antiqua" w:hAnsi="Book Antiqua"/>
          <w:b/>
          <w:caps/>
          <w:sz w:val="24"/>
          <w:szCs w:val="24"/>
        </w:rPr>
      </w:pPr>
      <w:r w:rsidRPr="00132B48">
        <w:rPr>
          <w:rFonts w:ascii="Book Antiqua" w:hAnsi="Book Antiqua"/>
          <w:b/>
          <w:caps/>
          <w:sz w:val="24"/>
          <w:szCs w:val="24"/>
        </w:rPr>
        <w:t>Results</w:t>
      </w:r>
    </w:p>
    <w:p w:rsidR="002D0B97" w:rsidRPr="00FE6742" w:rsidRDefault="00EC534A" w:rsidP="00971E2B">
      <w:pPr>
        <w:snapToGrid w:val="0"/>
        <w:spacing w:line="360" w:lineRule="auto"/>
        <w:rPr>
          <w:rFonts w:ascii="Book Antiqua" w:eastAsia="宋体" w:hAnsi="Book Antiqua"/>
          <w:sz w:val="24"/>
          <w:szCs w:val="24"/>
          <w:lang w:eastAsia="zh-CN"/>
        </w:rPr>
      </w:pPr>
      <w:r w:rsidRPr="00A02038">
        <w:rPr>
          <w:rFonts w:ascii="Book Antiqua" w:hAnsi="Book Antiqua"/>
          <w:sz w:val="24"/>
          <w:szCs w:val="24"/>
        </w:rPr>
        <w:t xml:space="preserve">The study group comprised 26 men and 27 women, with a median age of 63.0 years (range, 31 to 83). The tumor was located in the esophagus in 4 patients, the stomach in 47, and the duodenum in 2 (Table 1). The histopathological diagnosis was GIST in 34 patients, leiomyoma in 5, schwannoma in 3, ectopic </w:t>
      </w:r>
      <w:r w:rsidRPr="00A02038">
        <w:rPr>
          <w:rFonts w:ascii="Book Antiqua" w:hAnsi="Book Antiqua"/>
          <w:sz w:val="24"/>
          <w:szCs w:val="24"/>
        </w:rPr>
        <w:lastRenderedPageBreak/>
        <w:t>pancreas in 1, hamartoma in 1, cyst in 1, Brunner’s adenoma in 1, and spindle-cell tumor in 7</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(Table 2). The median follow-up in the study group as a whole was 31.7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(range, 6.6 to 210). The median number of EUS procedures performed during follow-up was 3 (range, 2 to 13). The median tumor diameter (mean of the longest and shortest diameters) was 19.1 mm (range, 10 to 44.8 mm) on initial EUS and 25.3 mm (range, 13 to 52.1 mm) on EUS before tumor resection or EUS-FNA</w:t>
      </w:r>
      <w:r w:rsidR="00132B48">
        <w:rPr>
          <w:rFonts w:ascii="Book Antiqua" w:hAnsi="Book Antiqua"/>
          <w:sz w:val="24"/>
          <w:szCs w:val="24"/>
        </w:rPr>
        <w:t xml:space="preserve"> for final diagnosis (Table 3).</w:t>
      </w:r>
    </w:p>
    <w:p w:rsidR="002D0B97" w:rsidRPr="00FE6742" w:rsidRDefault="00EC534A" w:rsidP="00971E2B">
      <w:pPr>
        <w:snapToGrid w:val="0"/>
        <w:spacing w:line="360" w:lineRule="auto"/>
        <w:ind w:firstLineChars="100" w:firstLine="240"/>
        <w:rPr>
          <w:rFonts w:ascii="Book Antiqua" w:eastAsia="宋体" w:hAnsi="Book Antiqua"/>
          <w:sz w:val="24"/>
          <w:szCs w:val="24"/>
          <w:lang w:eastAsia="zh-CN"/>
        </w:rPr>
      </w:pPr>
      <w:r w:rsidRPr="00A02038">
        <w:rPr>
          <w:rFonts w:ascii="Book Antiqua" w:hAnsi="Book Antiqua"/>
          <w:sz w:val="24"/>
          <w:szCs w:val="24"/>
        </w:rPr>
        <w:t xml:space="preserve">Tumor resection was performed in 29 of the 34 patients with GIST. Among the 5 patients with unresectable tumors, surgery was precluded by poor general condition due to other diseases (neurologic diseases) in 2 patients, follow-up observation was requested by 1 patient, and 2 patients dropped out of the study. Of the 5 patients with leiomyoma, 1 underwent resection, and 4 were followed up. Of the 3 patients with schwannoma, 2 underwent resection, and 1 was followed up. The patient with ectopic pancreas and the patient with Brunner’s adenoma were followed up. Among the 7 patients with spindle-cell tumors, 5 were followed up, </w:t>
      </w:r>
      <w:r w:rsidR="00132B48">
        <w:rPr>
          <w:rFonts w:ascii="Book Antiqua" w:hAnsi="Book Antiqua"/>
          <w:sz w:val="24"/>
          <w:szCs w:val="24"/>
        </w:rPr>
        <w:t>and 2 dropped out of the study.</w:t>
      </w:r>
    </w:p>
    <w:p w:rsidR="002D0B97" w:rsidRPr="00FE6742" w:rsidRDefault="00EC534A" w:rsidP="00971E2B">
      <w:pPr>
        <w:snapToGrid w:val="0"/>
        <w:spacing w:line="360" w:lineRule="auto"/>
        <w:ind w:firstLineChars="100" w:firstLine="240"/>
        <w:rPr>
          <w:rFonts w:ascii="Book Antiqua" w:eastAsia="宋体" w:hAnsi="Book Antiqua"/>
          <w:sz w:val="24"/>
          <w:szCs w:val="24"/>
          <w:lang w:eastAsia="zh-CN"/>
        </w:rPr>
      </w:pPr>
      <w:r w:rsidRPr="00A02038">
        <w:rPr>
          <w:rFonts w:ascii="Book Antiqua" w:hAnsi="Book Antiqua"/>
          <w:sz w:val="24"/>
          <w:szCs w:val="24"/>
        </w:rPr>
        <w:t>In the patents with resected tumors and those with unresected tumors, the median follow-up was 24.9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and 36.5 mo, the median number of EUS sessions during follow-up was 3 and 4, the median tumor diameter at initial EUS was 19.5 and 19.0 mm, and the median tumor diameter on EUS before surgery or EUS-FNA was 28.0 and 22.8 mm, respectively. In patients with resected tumors, the median interval from final EUS to surgery was 3.8 mo (range, 22 d</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to 16.3 mo). The median longest tumor diameter of the resected specimens was 35 mm (range, 20 to 60 mm) (Table 3). None of the patients who underwent follow-up observation or who were observed after surgery died or had r</w:t>
      </w:r>
      <w:r w:rsidR="00132B48">
        <w:rPr>
          <w:rFonts w:ascii="Book Antiqua" w:hAnsi="Book Antiqua"/>
          <w:sz w:val="24"/>
          <w:szCs w:val="24"/>
        </w:rPr>
        <w:t>ecurrence (excluding dropouts).</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In the 34 patients with GIST, the median follow-up was 27.3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 xml:space="preserve">(range, 6.6 to 210), and the median tumor diameter at initial EUS was 19.0 mm (range, 10.9 to 44.8). The GISTs were divided into risk classes on the basis of tumor diameters and mitotic figures (Fletcher’s classification). The classification was extremely </w:t>
      </w:r>
      <w:r w:rsidRPr="00A02038">
        <w:rPr>
          <w:rFonts w:ascii="Book Antiqua" w:hAnsi="Book Antiqua"/>
          <w:sz w:val="24"/>
          <w:szCs w:val="24"/>
        </w:rPr>
        <w:lastRenderedPageBreak/>
        <w:t>low risk or low risk in 28 patients, intermediate risk in 3, and high risk in 3. The median follow-up period was 31.0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in patients with extremely low-risk and low-risk GISTs, 47.3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in those with intermediate-risk GISTs, and 12.4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in those with high-risk GISTs. The doubling time according to risk was 24.0 months for extremely low-risk plus low-risk GISTs, 17.1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intermediate-risk GISTs, and 3.9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 xml:space="preserve">for high-risk GISTs (Table 4). </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The median doubling time for GISTs as a whole was 17.2 mo. In contrast, the doubling time was 231.2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leiomyoma, 104.7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schwannoma, 274.9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ectopic pancreas, 61.2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hamartoma, 49.0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intramural developmental cyst, and 134.7 mo</w:t>
      </w:r>
      <w:r w:rsidR="00132B48" w:rsidRPr="00FE6742">
        <w:rPr>
          <w:rFonts w:ascii="Book Antiqua" w:eastAsia="宋体" w:hAnsi="Book Antiqua" w:hint="eastAsia"/>
          <w:sz w:val="24"/>
          <w:szCs w:val="24"/>
          <w:lang w:eastAsia="zh-CN"/>
        </w:rPr>
        <w:t xml:space="preserve"> </w:t>
      </w:r>
      <w:r w:rsidRPr="00A02038">
        <w:rPr>
          <w:rFonts w:ascii="Book Antiqua" w:hAnsi="Book Antiqua"/>
          <w:sz w:val="24"/>
          <w:szCs w:val="24"/>
        </w:rPr>
        <w:t>for Brunner’s adenoma (Table 5). The doubling time of GISTs was significantly shorter than the doubling times of leiomyoma plus schwannoma (</w:t>
      </w:r>
      <w:r w:rsidRPr="00132B48">
        <w:rPr>
          <w:rFonts w:ascii="Book Antiqua" w:hAnsi="Book Antiqua"/>
          <w:i/>
          <w:caps/>
          <w:sz w:val="24"/>
          <w:szCs w:val="24"/>
        </w:rPr>
        <w:t>p</w:t>
      </w:r>
      <w:r w:rsidRPr="00A02038">
        <w:rPr>
          <w:rFonts w:ascii="Book Antiqua" w:hAnsi="Book Antiqua"/>
          <w:sz w:val="24"/>
          <w:szCs w:val="24"/>
        </w:rPr>
        <w:t xml:space="preserve"> = 0.005). When the doubling times of GISTs were compared according to risk class, the doubling time of high-risk GISTs was significantly shorter than that of extremely low-risk plus low-risk GISTs (</w:t>
      </w:r>
      <w:r w:rsidR="00132B48" w:rsidRPr="00132B48">
        <w:rPr>
          <w:rFonts w:ascii="Book Antiqua" w:hAnsi="Book Antiqua"/>
          <w:i/>
          <w:caps/>
          <w:sz w:val="24"/>
          <w:szCs w:val="24"/>
        </w:rPr>
        <w:t>p</w:t>
      </w:r>
      <w:r w:rsidR="00132B48" w:rsidRPr="00A02038">
        <w:rPr>
          <w:rFonts w:ascii="Book Antiqua" w:hAnsi="Book Antiqua"/>
          <w:sz w:val="24"/>
          <w:szCs w:val="24"/>
        </w:rPr>
        <w:t xml:space="preserve"> </w:t>
      </w:r>
      <w:r w:rsidRPr="00A02038">
        <w:rPr>
          <w:rFonts w:ascii="Book Antiqua" w:hAnsi="Book Antiqua"/>
          <w:sz w:val="24"/>
          <w:szCs w:val="24"/>
        </w:rPr>
        <w:t>= 0.033). Moreover, the doubling time of high-risk plus intermediate-risk GISTs was significantly shorter than that of extremely low-risk plus low-risk GISTs (</w:t>
      </w:r>
      <w:r w:rsidR="00132B48" w:rsidRPr="00132B48">
        <w:rPr>
          <w:rFonts w:ascii="Book Antiqua" w:hAnsi="Book Antiqua"/>
          <w:i/>
          <w:caps/>
          <w:sz w:val="24"/>
          <w:szCs w:val="24"/>
        </w:rPr>
        <w:t>p</w:t>
      </w:r>
      <w:r w:rsidRPr="00A02038">
        <w:rPr>
          <w:rFonts w:ascii="Book Antiqua" w:hAnsi="Book Antiqua"/>
          <w:sz w:val="24"/>
          <w:szCs w:val="24"/>
        </w:rPr>
        <w:t xml:space="preserve"> = 0.047). Doubling times did not differ significantly between high-risk and intermediate-risk GISTs or between extremely low-risk plus low-risk GISTs and intermediate-risk GISTs (Table 6). The growth rates of individual GISTs during follow-up and annual growth rates of GISTs according to risk class are shown in Figures 1 and 2, respectively.</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We show some endoscopic and EUS findings of low grade GIST (Figure 3</w:t>
      </w:r>
      <w:r w:rsidRPr="00132B48">
        <w:rPr>
          <w:rFonts w:ascii="Book Antiqua" w:hAnsi="Book Antiqua"/>
          <w:caps/>
          <w:sz w:val="24"/>
          <w:szCs w:val="24"/>
        </w:rPr>
        <w:t>a</w:t>
      </w:r>
      <w:r w:rsidR="00132B48">
        <w:rPr>
          <w:rFonts w:ascii="Book Antiqua" w:hAnsi="Book Antiqua"/>
          <w:sz w:val="24"/>
          <w:szCs w:val="24"/>
        </w:rPr>
        <w:t>-</w:t>
      </w:r>
      <w:r w:rsidRPr="00132B48">
        <w:rPr>
          <w:rFonts w:ascii="Book Antiqua" w:hAnsi="Book Antiqua"/>
          <w:caps/>
          <w:sz w:val="24"/>
          <w:szCs w:val="24"/>
        </w:rPr>
        <w:t>d</w:t>
      </w:r>
      <w:r w:rsidRPr="00A02038">
        <w:rPr>
          <w:rFonts w:ascii="Book Antiqua" w:hAnsi="Book Antiqua"/>
          <w:sz w:val="24"/>
          <w:szCs w:val="24"/>
        </w:rPr>
        <w:t>), high grade GIST (Figure 4</w:t>
      </w:r>
      <w:r w:rsidRPr="00132B48">
        <w:rPr>
          <w:rFonts w:ascii="Book Antiqua" w:hAnsi="Book Antiqua"/>
          <w:caps/>
          <w:sz w:val="24"/>
          <w:szCs w:val="24"/>
        </w:rPr>
        <w:t>a</w:t>
      </w:r>
      <w:r w:rsidR="00132B48" w:rsidRPr="00FE6742">
        <w:rPr>
          <w:rFonts w:ascii="Book Antiqua" w:eastAsia="宋体" w:hAnsi="Book Antiqua" w:hint="eastAsia"/>
          <w:sz w:val="24"/>
          <w:szCs w:val="24"/>
          <w:lang w:eastAsia="zh-CN"/>
        </w:rPr>
        <w:t>-</w:t>
      </w:r>
      <w:r w:rsidRPr="00132B48">
        <w:rPr>
          <w:rFonts w:ascii="Book Antiqua" w:hAnsi="Book Antiqua"/>
          <w:caps/>
          <w:sz w:val="24"/>
          <w:szCs w:val="24"/>
        </w:rPr>
        <w:t>c</w:t>
      </w:r>
      <w:r w:rsidRPr="00A02038">
        <w:rPr>
          <w:rFonts w:ascii="Book Antiqua" w:hAnsi="Book Antiqua"/>
          <w:sz w:val="24"/>
          <w:szCs w:val="24"/>
        </w:rPr>
        <w:t>) and ectopic pancreas (Figure 5</w:t>
      </w:r>
      <w:r w:rsidRPr="00132B48">
        <w:rPr>
          <w:rFonts w:ascii="Book Antiqua" w:hAnsi="Book Antiqua"/>
          <w:caps/>
          <w:sz w:val="24"/>
          <w:szCs w:val="24"/>
        </w:rPr>
        <w:t>a</w:t>
      </w:r>
      <w:r w:rsidR="00132B48">
        <w:rPr>
          <w:rFonts w:ascii="Book Antiqua" w:hAnsi="Book Antiqua"/>
          <w:sz w:val="24"/>
          <w:szCs w:val="24"/>
        </w:rPr>
        <w:t>-</w:t>
      </w:r>
      <w:r w:rsidRPr="00132B48">
        <w:rPr>
          <w:rFonts w:ascii="Book Antiqua" w:hAnsi="Book Antiqua"/>
          <w:caps/>
          <w:sz w:val="24"/>
          <w:szCs w:val="24"/>
        </w:rPr>
        <w:t>c</w:t>
      </w:r>
      <w:r w:rsidRPr="00A02038">
        <w:rPr>
          <w:rFonts w:ascii="Book Antiqua" w:hAnsi="Book Antiqua"/>
          <w:sz w:val="24"/>
          <w:szCs w:val="24"/>
        </w:rPr>
        <w:t>).</w:t>
      </w:r>
    </w:p>
    <w:p w:rsidR="002D0B97" w:rsidRPr="00A02038" w:rsidRDefault="002D0B97" w:rsidP="00971E2B">
      <w:pPr>
        <w:snapToGrid w:val="0"/>
        <w:spacing w:line="360" w:lineRule="auto"/>
        <w:rPr>
          <w:rFonts w:ascii="Book Antiqua" w:hAnsi="Book Antiqua"/>
          <w:sz w:val="24"/>
          <w:szCs w:val="24"/>
        </w:rPr>
      </w:pPr>
    </w:p>
    <w:p w:rsidR="002D0B97" w:rsidRPr="00132B48" w:rsidRDefault="00EC534A" w:rsidP="00971E2B">
      <w:pPr>
        <w:snapToGrid w:val="0"/>
        <w:spacing w:line="360" w:lineRule="auto"/>
        <w:rPr>
          <w:rFonts w:ascii="Book Antiqua" w:hAnsi="Book Antiqua"/>
          <w:b/>
          <w:caps/>
          <w:sz w:val="24"/>
          <w:szCs w:val="24"/>
        </w:rPr>
      </w:pPr>
      <w:r w:rsidRPr="00132B48">
        <w:rPr>
          <w:rFonts w:ascii="Book Antiqua" w:hAnsi="Book Antiqua"/>
          <w:b/>
          <w:caps/>
          <w:sz w:val="24"/>
          <w:szCs w:val="24"/>
        </w:rPr>
        <w:t>Discussion</w:t>
      </w:r>
    </w:p>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Many gastrointestinal SMTs are asymptomatic and incidentally detected on radiographic examinations during health checkups or endoscopic or computed tomographic examinations performed to evaluate other diseases. Few studies have estimated the incidence of gastrointestinal SMTs, but most arise in the stomach, and the detection rate on endoscopy was reported to be 0.36%</w:t>
      </w:r>
      <w:r w:rsidR="00132B48">
        <w:rPr>
          <w:rFonts w:ascii="Book Antiqua" w:hAnsi="Book Antiqua"/>
          <w:sz w:val="24"/>
          <w:szCs w:val="24"/>
          <w:vertAlign w:val="superscript"/>
        </w:rPr>
        <w:t>[3,</w:t>
      </w:r>
      <w:r w:rsidRPr="00A02038">
        <w:rPr>
          <w:rFonts w:ascii="Book Antiqua" w:hAnsi="Book Antiqua"/>
          <w:sz w:val="24"/>
          <w:szCs w:val="24"/>
          <w:vertAlign w:val="superscript"/>
        </w:rPr>
        <w:t>6]</w:t>
      </w:r>
      <w:r w:rsidRPr="00A02038">
        <w:rPr>
          <w:rFonts w:ascii="Book Antiqua" w:hAnsi="Book Antiqua"/>
          <w:sz w:val="24"/>
          <w:szCs w:val="24"/>
        </w:rPr>
        <w:t xml:space="preserve">. </w:t>
      </w:r>
      <w:r w:rsidRPr="00A02038">
        <w:rPr>
          <w:rFonts w:ascii="Book Antiqua" w:hAnsi="Book Antiqua"/>
          <w:sz w:val="24"/>
          <w:szCs w:val="24"/>
        </w:rPr>
        <w:lastRenderedPageBreak/>
        <w:t>Tumorous lesions presenting with the characteristics of SMTs include mesenchymal tumors, lipomas, carcinoids, granular-cell tumors, glomus tumors, and metastatic deposits. Nontumorous lesions include cysts, ectopic pancreas, Brunner’s adenomas, and hamartomas</w:t>
      </w:r>
      <w:r w:rsidRPr="00A02038">
        <w:rPr>
          <w:rFonts w:ascii="Book Antiqua" w:hAnsi="Book Antiqua"/>
          <w:sz w:val="24"/>
          <w:szCs w:val="24"/>
          <w:vertAlign w:val="superscript"/>
        </w:rPr>
        <w:t>[1]</w:t>
      </w:r>
      <w:r w:rsidRPr="00A02038">
        <w:rPr>
          <w:rFonts w:ascii="Book Antiqua" w:hAnsi="Book Antiqua"/>
          <w:sz w:val="24"/>
          <w:szCs w:val="24"/>
        </w:rPr>
        <w:t>. Conventional endoscopy only provides information useful for the local diagnosis of SMTs, whereas EUS can depict the local structure and internal characteristics of the gastrointestinal wall, thereby facilitating qualitative diagnosis</w:t>
      </w:r>
      <w:r w:rsidRPr="00A02038">
        <w:rPr>
          <w:rFonts w:ascii="Book Antiqua" w:hAnsi="Book Antiqua"/>
          <w:sz w:val="24"/>
          <w:szCs w:val="24"/>
          <w:vertAlign w:val="superscript"/>
        </w:rPr>
        <w:t>[7]</w:t>
      </w:r>
      <w:r w:rsidRPr="00A02038">
        <w:rPr>
          <w:rFonts w:ascii="Book Antiqua" w:hAnsi="Book Antiqua"/>
          <w:sz w:val="24"/>
          <w:szCs w:val="24"/>
        </w:rPr>
        <w:t>. Although it is relatively easy to distinguish gastrointestinal mesenchymal tumors from tumors such as lipoma and cysts on EUS, it is difficult to differentially diagnose GISTs from leiomyomas and schwannomas, because all three of these lesions are depicted as hypoehoic tumors involving the fourth layer on EUS. The 2001 NIH GIST Consensus Meeting and the 2004 ESMO Consensus GIST Meeting proposed that GISTs are potentially malignant and recommended that surgical resection should be considered for all GISTs</w:t>
      </w:r>
      <w:r w:rsidRPr="00A02038">
        <w:rPr>
          <w:rFonts w:ascii="Book Antiqua" w:hAnsi="Book Antiqua"/>
          <w:sz w:val="24"/>
          <w:szCs w:val="24"/>
          <w:vertAlign w:val="superscript"/>
        </w:rPr>
        <w:t>[8</w:t>
      </w:r>
      <w:r w:rsidR="00FE6742" w:rsidRPr="00FE6742">
        <w:rPr>
          <w:rFonts w:ascii="Book Antiqua" w:eastAsia="宋体" w:hAnsi="Book Antiqua" w:hint="eastAsia"/>
          <w:sz w:val="24"/>
          <w:szCs w:val="24"/>
          <w:vertAlign w:val="superscript"/>
          <w:lang w:eastAsia="zh-CN"/>
        </w:rPr>
        <w:t>-</w:t>
      </w:r>
      <w:r w:rsidRPr="00A02038">
        <w:rPr>
          <w:rFonts w:ascii="Book Antiqua" w:hAnsi="Book Antiqua"/>
          <w:sz w:val="24"/>
          <w:szCs w:val="24"/>
          <w:vertAlign w:val="superscript"/>
        </w:rPr>
        <w:t>10]</w:t>
      </w:r>
      <w:r w:rsidRPr="00A02038">
        <w:rPr>
          <w:rFonts w:ascii="Book Antiqua" w:hAnsi="Book Antiqua"/>
          <w:sz w:val="24"/>
          <w:szCs w:val="24"/>
        </w:rPr>
        <w:t xml:space="preserve">. </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 xml:space="preserve">Miettinen </w:t>
      </w:r>
      <w:r w:rsidRPr="00132B48">
        <w:rPr>
          <w:rFonts w:ascii="Book Antiqua" w:hAnsi="Book Antiqua"/>
          <w:i/>
          <w:sz w:val="24"/>
          <w:szCs w:val="24"/>
        </w:rPr>
        <w:t>et al</w:t>
      </w:r>
      <w:r w:rsidR="00132B48" w:rsidRPr="00A02038">
        <w:rPr>
          <w:rFonts w:ascii="Book Antiqua" w:hAnsi="Book Antiqua"/>
          <w:sz w:val="24"/>
          <w:szCs w:val="24"/>
          <w:vertAlign w:val="superscript"/>
        </w:rPr>
        <w:t>[11]</w:t>
      </w:r>
      <w:r w:rsidR="00132B48">
        <w:rPr>
          <w:rFonts w:ascii="Book Antiqua" w:hAnsi="Book Antiqua"/>
          <w:sz w:val="24"/>
          <w:szCs w:val="24"/>
        </w:rPr>
        <w:t xml:space="preserve"> </w:t>
      </w:r>
      <w:r w:rsidRPr="00A02038">
        <w:rPr>
          <w:rFonts w:ascii="Book Antiqua" w:hAnsi="Book Antiqua"/>
          <w:sz w:val="24"/>
          <w:szCs w:val="24"/>
        </w:rPr>
        <w:t>proposed a risk classification for GISTs, based on tumor diameter, mitotic figures, and location. They reported that tumors 2 cm or less in diameter have no risk of postoperative metastasis. However, metastasis has been associated with even small GISTs</w:t>
      </w:r>
      <w:r w:rsidRPr="00A02038">
        <w:rPr>
          <w:rFonts w:ascii="Book Antiqua" w:hAnsi="Book Antiqua"/>
          <w:sz w:val="24"/>
          <w:szCs w:val="24"/>
          <w:vertAlign w:val="superscript"/>
        </w:rPr>
        <w:t>[12]</w:t>
      </w:r>
      <w:r w:rsidRPr="00A02038">
        <w:rPr>
          <w:rFonts w:ascii="Book Antiqua" w:hAnsi="Book Antiqua"/>
          <w:sz w:val="24"/>
          <w:szCs w:val="24"/>
        </w:rPr>
        <w:t>. It is therefore difficult to conclude that small tumors are benign. A histopathological diagnosis has an important role in formulating the treatment policy for SMTs. However, SMTs are covered by mucosa similar to that of the surrounding region, which often makes diagnosis challenging on conventional endoscopy with mucosal biopsy. EUS-FNA thus plays an important clinical role in the diagnosis of SMTs. In lesions measuring less than 2 cm, however, the rate of obtaining adequate specimens is generally low</w:t>
      </w:r>
      <w:r w:rsidRPr="00A02038">
        <w:rPr>
          <w:rFonts w:ascii="Book Antiqua" w:hAnsi="Book Antiqua"/>
          <w:sz w:val="24"/>
          <w:szCs w:val="24"/>
          <w:vertAlign w:val="superscript"/>
        </w:rPr>
        <w:t>[13]</w:t>
      </w:r>
      <w:r w:rsidRPr="00A02038">
        <w:rPr>
          <w:rFonts w:ascii="Book Antiqua" w:hAnsi="Book Antiqua"/>
          <w:sz w:val="24"/>
          <w:szCs w:val="24"/>
        </w:rPr>
        <w:t xml:space="preserve">. There is also the risk of tumor seeding caused by lesion rupture on puncture with an aspiration needle. Moreover, it is difficult to obtain adequate tissue specimens for immunostaining or other examination techniques if adequate needle strokes cannot be taken. In general, EUS-FNA is indicated for lesions at least 2 cm in diameter. On the other hand, for lesions less than 2 cm in diameter with no findings suggesting malignancy, such as ulcer </w:t>
      </w:r>
      <w:r w:rsidRPr="00A02038">
        <w:rPr>
          <w:rFonts w:ascii="Book Antiqua" w:hAnsi="Book Antiqua"/>
          <w:sz w:val="24"/>
          <w:szCs w:val="24"/>
        </w:rPr>
        <w:lastRenderedPageBreak/>
        <w:t>formation, irregular margins, or rapid growth</w:t>
      </w:r>
      <w:r w:rsidRPr="00A02038">
        <w:rPr>
          <w:rFonts w:ascii="Book Antiqua" w:hAnsi="Book Antiqua"/>
          <w:sz w:val="24"/>
          <w:szCs w:val="24"/>
          <w:vertAlign w:val="superscript"/>
        </w:rPr>
        <w:t>[14]</w:t>
      </w:r>
      <w:r w:rsidRPr="00A02038">
        <w:rPr>
          <w:rFonts w:ascii="Book Antiqua" w:hAnsi="Book Antiqua"/>
          <w:sz w:val="24"/>
          <w:szCs w:val="24"/>
        </w:rPr>
        <w:t>, follow-up observation once or twice per year has been recommended</w:t>
      </w:r>
      <w:r w:rsidRPr="00A02038">
        <w:rPr>
          <w:rFonts w:ascii="Book Antiqua" w:hAnsi="Book Antiqua"/>
          <w:sz w:val="24"/>
          <w:szCs w:val="24"/>
          <w:vertAlign w:val="superscript"/>
        </w:rPr>
        <w:t>[5]</w:t>
      </w:r>
      <w:r w:rsidRPr="00A02038">
        <w:rPr>
          <w:rFonts w:ascii="Book Antiqua" w:hAnsi="Book Antiqua"/>
          <w:sz w:val="24"/>
          <w:szCs w:val="24"/>
        </w:rPr>
        <w:t>. However, with the exception of lesions showing distinct evidence of increasing size or an intragastric growth pattern, EUS is recommended for the follow-up of GISTs, particularly lesions showing an extragastric growth pattern precluding an accurate estimation of tumor size. EUS can be used to assess even small lesions and is simpler than computed tomography for the evaluation o</w:t>
      </w:r>
      <w:r w:rsidR="00132B48">
        <w:rPr>
          <w:rFonts w:ascii="Book Antiqua" w:hAnsi="Book Antiqua"/>
          <w:sz w:val="24"/>
          <w:szCs w:val="24"/>
        </w:rPr>
        <w:t>f small lesions.</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Confirmation of differences in growth rate among specific types of SMTs during follow-up is expected to facilitate decision-making regarding the treatment policy. Similar to other types of tumors, a higher malignant potential of SMTs is generally assumed to be associated with a more rapid growth rate</w:t>
      </w:r>
      <w:r w:rsidRPr="00A02038">
        <w:rPr>
          <w:rFonts w:ascii="Book Antiqua" w:hAnsi="Book Antiqua"/>
          <w:sz w:val="24"/>
          <w:szCs w:val="24"/>
          <w:vertAlign w:val="superscript"/>
        </w:rPr>
        <w:t>[15]</w:t>
      </w:r>
      <w:r w:rsidRPr="00A02038">
        <w:rPr>
          <w:rFonts w:ascii="Book Antiqua" w:hAnsi="Book Antiqua"/>
          <w:sz w:val="24"/>
          <w:szCs w:val="24"/>
        </w:rPr>
        <w:t>. To date, however, few studies have investigated the growth rates of different types of SMTs. A previous study estimated the doubling time of SMTs on computed tomography</w:t>
      </w:r>
      <w:r w:rsidRPr="00A02038">
        <w:rPr>
          <w:rFonts w:ascii="Book Antiqua" w:hAnsi="Book Antiqua"/>
          <w:sz w:val="24"/>
          <w:szCs w:val="24"/>
          <w:vertAlign w:val="superscript"/>
        </w:rPr>
        <w:t>[16]</w:t>
      </w:r>
      <w:r w:rsidRPr="00A02038">
        <w:rPr>
          <w:rFonts w:ascii="Book Antiqua" w:hAnsi="Book Antiqua"/>
          <w:sz w:val="24"/>
          <w:szCs w:val="24"/>
        </w:rPr>
        <w:t xml:space="preserve">. To our knowledge, however, our study is the first to report the doubling time of SMTs on EUS. Because SMTs are generally oval tumors, EUS, which produces cross-sectional images, can be used to estimate the doubling time of most SMTs. However, some SMTs show a lobular growth pattern, making it difficult to accurately calculate the doubling time. In our study, we assumed that SMTs show a global growth pattern when we calculated the doubling time. The use of non-probe-type conventional three-dimensional EUS may allow tumor volumes to be more accurately estimated, but this issue must </w:t>
      </w:r>
      <w:r w:rsidR="00132B48">
        <w:rPr>
          <w:rFonts w:ascii="Book Antiqua" w:hAnsi="Book Antiqua"/>
          <w:sz w:val="24"/>
          <w:szCs w:val="24"/>
        </w:rPr>
        <w:t>be addressed in future studies.</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 xml:space="preserve">Our study confirmed that the growth rates of SMTs during follow-up differ according to the specific type of tumor. In particular, GIST had a shorter doubling time (17.2 mo) and a higher malignant potential than did the other types of SMTs. The difference in the doubling time between GISTs and mesenchymal tumors other than GIST (leiomyoma and schwannoma) may facilitate the differential diagnosis of GISTs from leiomyomas and schwannomas, all of which arise in the fourth layer of the gastrointestinal wall. Among GISTs, a higher risk class tended to have shorter doubling times. </w:t>
      </w:r>
      <w:r w:rsidRPr="00A02038">
        <w:rPr>
          <w:rFonts w:ascii="Book Antiqua" w:hAnsi="Book Antiqua"/>
          <w:sz w:val="24"/>
          <w:szCs w:val="24"/>
        </w:rPr>
        <w:lastRenderedPageBreak/>
        <w:t xml:space="preserve">Because our study group was small, further studies of larger numbers of patients are needed. In our study, the doubling times of intermediate-risk and high-risk GISTs were less than 6 mo. Initial follow-up examinations should be therefore performed within at least the first 6 mo after diagnosis, even for small SMTs less than 2 cm in diameter. </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GISTs, leiomyomas, schwannomas, and other SMTs arising in the fourth layer that have a prolonged doubling time are considered to have low malignant potential. Small SMTs can therefore undergo follow-up observation. Some extremely low-risk and low-risk GISTs have a longer doubling time than that of benign tumors, and we have encountered benign tumors with a shorter doubling time than that of GISTs. It is therefore important to obtain a histopathological diagnosis during follow-up, even for slowl</w:t>
      </w:r>
      <w:r w:rsidR="00132B48">
        <w:rPr>
          <w:rFonts w:ascii="Book Antiqua" w:hAnsi="Book Antiqua"/>
          <w:sz w:val="24"/>
          <w:szCs w:val="24"/>
        </w:rPr>
        <w:t xml:space="preserve">y growing tumors. </w:t>
      </w:r>
      <w:r w:rsidRPr="00A02038">
        <w:rPr>
          <w:rFonts w:ascii="Book Antiqua" w:hAnsi="Book Antiqua"/>
          <w:sz w:val="24"/>
          <w:szCs w:val="24"/>
        </w:rPr>
        <w:t>Although considerable progress has been made in techniques and devices for EUS-FNA, the diagnostic accuracy is not 100%</w:t>
      </w:r>
      <w:r w:rsidR="00132B48">
        <w:rPr>
          <w:rFonts w:ascii="Book Antiqua" w:hAnsi="Book Antiqua"/>
          <w:sz w:val="24"/>
          <w:szCs w:val="24"/>
          <w:vertAlign w:val="superscript"/>
        </w:rPr>
        <w:t>[4,</w:t>
      </w:r>
      <w:r w:rsidRPr="00A02038">
        <w:rPr>
          <w:rFonts w:ascii="Book Antiqua" w:hAnsi="Book Antiqua"/>
          <w:sz w:val="24"/>
          <w:szCs w:val="24"/>
          <w:vertAlign w:val="superscript"/>
        </w:rPr>
        <w:t>17]</w:t>
      </w:r>
      <w:r w:rsidRPr="00A02038">
        <w:rPr>
          <w:rFonts w:ascii="Book Antiqua" w:hAnsi="Book Antiqua"/>
          <w:sz w:val="24"/>
          <w:szCs w:val="24"/>
        </w:rPr>
        <w:t xml:space="preserve">. Patients in whom a histopathological diagnosis cannot be made should therefore be closely followed up. In our study, the median tumor diameter in patients who underwent EUS-FNA was 22.8 mm, which was adequate for EUS-FNA. For SMTs 20 mm or more in diameter that cannot be diagnosed, EUS-FNA should be repeated, and close follow-up is recommended. </w:t>
      </w:r>
    </w:p>
    <w:p w:rsidR="00132B4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t>In our study, the risk class of GIST was diagnosed on the basis of mitotic figures in specimens obtained by EUS-FNA in patients who did not undergo surgery. Histopathologically, GISTs are heterogeneous masses, making it difficult to classify GISTs solely on the basis of specimens obtained by EUS-FNA</w:t>
      </w:r>
      <w:r w:rsidRPr="00A02038">
        <w:rPr>
          <w:rFonts w:ascii="Book Antiqua" w:hAnsi="Book Antiqua"/>
          <w:sz w:val="24"/>
          <w:szCs w:val="24"/>
          <w:vertAlign w:val="superscript"/>
        </w:rPr>
        <w:t>[18]</w:t>
      </w:r>
      <w:r w:rsidRPr="00A02038">
        <w:rPr>
          <w:rFonts w:ascii="Book Antiqua" w:hAnsi="Book Antiqua"/>
          <w:sz w:val="24"/>
          <w:szCs w:val="24"/>
        </w:rPr>
        <w:t>. In our hospital, we aggressively perform EUS-FNA for lesions more than 2 cm in diameter as well as for lesions with heterogeneous contents suggestive of malignancy, even if the lesion diameter is less than 2 cm. If GIST is diagnosed, resection should be promptly performed, even if the tumor is small and shows few mitotic figures. For lesions that cannot be diagnosed and small lesions, the other techniques</w:t>
      </w:r>
      <w:r w:rsidRPr="00A02038">
        <w:rPr>
          <w:rFonts w:ascii="Book Antiqua" w:hAnsi="Book Antiqua"/>
          <w:sz w:val="24"/>
          <w:szCs w:val="24"/>
          <w:vertAlign w:val="superscript"/>
        </w:rPr>
        <w:t>[19</w:t>
      </w:r>
      <w:r w:rsidR="00132B48">
        <w:rPr>
          <w:rFonts w:ascii="Book Antiqua" w:hAnsi="Book Antiqua"/>
          <w:sz w:val="24"/>
          <w:szCs w:val="24"/>
          <w:vertAlign w:val="superscript"/>
        </w:rPr>
        <w:t>-</w:t>
      </w:r>
      <w:r w:rsidRPr="00A02038">
        <w:rPr>
          <w:rFonts w:ascii="Book Antiqua" w:hAnsi="Book Antiqua"/>
          <w:sz w:val="24"/>
          <w:szCs w:val="24"/>
          <w:vertAlign w:val="superscript"/>
        </w:rPr>
        <w:t>21]</w:t>
      </w:r>
      <w:r w:rsidRPr="00A02038">
        <w:rPr>
          <w:rFonts w:ascii="Book Antiqua" w:hAnsi="Book Antiqua"/>
          <w:sz w:val="24"/>
          <w:szCs w:val="24"/>
        </w:rPr>
        <w:t xml:space="preserve"> can be considered to obtain sufficient specimen.</w:t>
      </w:r>
    </w:p>
    <w:p w:rsidR="002D0B97" w:rsidRPr="00A02038" w:rsidRDefault="00EC534A" w:rsidP="00971E2B">
      <w:pPr>
        <w:snapToGrid w:val="0"/>
        <w:spacing w:line="360" w:lineRule="auto"/>
        <w:ind w:firstLineChars="100" w:firstLine="240"/>
        <w:rPr>
          <w:rFonts w:ascii="Book Antiqua" w:hAnsi="Book Antiqua"/>
          <w:sz w:val="24"/>
          <w:szCs w:val="24"/>
        </w:rPr>
      </w:pPr>
      <w:r w:rsidRPr="00A02038">
        <w:rPr>
          <w:rFonts w:ascii="Book Antiqua" w:hAnsi="Book Antiqua"/>
          <w:sz w:val="24"/>
          <w:szCs w:val="24"/>
        </w:rPr>
        <w:lastRenderedPageBreak/>
        <w:t>Many SMTs are detected incidentally on upper gastrointestinal endoscopy, and many patients with small SMTs 1 to 2 cm in diameter are most likely followed up. The management of small lesions measuring less than 2 cm is often perplexing. Our study showed that the doubling time differed according to the type of SMT, and GISTs were confirmed to have a significantly shorter doubling time than the other types of tumors. In addition, a higher risk class of GIST was found to be associated with a significantly shorter doubling time. Our findings suggest that even small SMTs less than 2 cm in diameter should initially be followed up within at least 6 months after detection. In a limited number of patients, surgery or EUS-FNA is indicated. High-risk GISTs that are large and symptomatic are usually surgically resected at the time of detection. Three of high-risk GISTs those were followe</w:t>
      </w:r>
      <w:r w:rsidR="00132B48">
        <w:rPr>
          <w:rFonts w:ascii="Book Antiqua" w:hAnsi="Book Antiqua"/>
          <w:sz w:val="24"/>
          <w:szCs w:val="24"/>
        </w:rPr>
        <w:t>d up are included in this study</w:t>
      </w:r>
      <w:r w:rsidRPr="00A02038">
        <w:rPr>
          <w:rFonts w:ascii="Book Antiqua" w:hAnsi="Book Antiqua"/>
          <w:sz w:val="24"/>
          <w:szCs w:val="24"/>
        </w:rPr>
        <w:t xml:space="preserve">. This is valuable information because we’re not able to follow up the high-risk GISTs after getting histopathological diagnosis recently. Our results demonstrated that SMTs showing evidence of rapid growth on follow-up EUS are likely to be high risk. The median doubling time for GISTs as a whole was 17.2 months, but further studies of larger groups of patients are </w:t>
      </w:r>
      <w:r w:rsidR="00132B48">
        <w:rPr>
          <w:rFonts w:ascii="Book Antiqua" w:hAnsi="Book Antiqua"/>
          <w:sz w:val="24"/>
          <w:szCs w:val="24"/>
        </w:rPr>
        <w:t>needed to confirm our findings.</w:t>
      </w:r>
    </w:p>
    <w:p w:rsidR="002D0B97" w:rsidRPr="00A02038" w:rsidRDefault="002D0B97" w:rsidP="00971E2B">
      <w:pPr>
        <w:snapToGrid w:val="0"/>
        <w:spacing w:line="360" w:lineRule="auto"/>
        <w:rPr>
          <w:rFonts w:ascii="Book Antiqua" w:hAnsi="Book Antiqua"/>
          <w:sz w:val="24"/>
          <w:szCs w:val="24"/>
        </w:rPr>
      </w:pPr>
    </w:p>
    <w:p w:rsidR="002D0B97" w:rsidRPr="00A02038" w:rsidRDefault="00EC534A" w:rsidP="00971E2B">
      <w:pPr>
        <w:snapToGrid w:val="0"/>
        <w:spacing w:line="360" w:lineRule="auto"/>
        <w:rPr>
          <w:rFonts w:ascii="Book Antiqua" w:hAnsi="Book Antiqua"/>
          <w:b/>
          <w:sz w:val="24"/>
          <w:szCs w:val="24"/>
        </w:rPr>
      </w:pPr>
      <w:bookmarkStart w:id="126" w:name="OLE_LINK677"/>
      <w:bookmarkStart w:id="127" w:name="OLE_LINK678"/>
      <w:bookmarkStart w:id="128" w:name="OLE_LINK733"/>
      <w:bookmarkStart w:id="129" w:name="OLE_LINK861"/>
      <w:bookmarkStart w:id="130" w:name="OLE_LINK937"/>
      <w:r w:rsidRPr="00A02038">
        <w:rPr>
          <w:rFonts w:ascii="Book Antiqua" w:hAnsi="Book Antiqua"/>
          <w:b/>
          <w:sz w:val="24"/>
          <w:szCs w:val="24"/>
        </w:rPr>
        <w:t>COMMENTS</w:t>
      </w:r>
    </w:p>
    <w:p w:rsidR="002D0B97" w:rsidRPr="00A02038" w:rsidRDefault="00EC534A" w:rsidP="00971E2B">
      <w:pPr>
        <w:autoSpaceDE w:val="0"/>
        <w:autoSpaceDN w:val="0"/>
        <w:adjustRightInd w:val="0"/>
        <w:snapToGrid w:val="0"/>
        <w:spacing w:line="360" w:lineRule="auto"/>
        <w:rPr>
          <w:rFonts w:ascii="Book Antiqua" w:hAnsi="Book Antiqua" w:cs="Book Antiqua"/>
          <w:b/>
          <w:i/>
          <w:iCs/>
          <w:sz w:val="24"/>
          <w:szCs w:val="24"/>
        </w:rPr>
      </w:pPr>
      <w:bookmarkStart w:id="131" w:name="OLE_LINK729"/>
      <w:bookmarkStart w:id="132" w:name="OLE_LINK730"/>
      <w:r w:rsidRPr="00A02038">
        <w:rPr>
          <w:rFonts w:ascii="Book Antiqua" w:hAnsi="Book Antiqua" w:cs="Book Antiqua"/>
          <w:b/>
          <w:i/>
          <w:iCs/>
          <w:sz w:val="24"/>
          <w:szCs w:val="24"/>
        </w:rPr>
        <w:t>Background</w:t>
      </w:r>
    </w:p>
    <w:p w:rsidR="002D0B97" w:rsidRPr="00A02038" w:rsidRDefault="00EC534A" w:rsidP="00971E2B">
      <w:pPr>
        <w:autoSpaceDE w:val="0"/>
        <w:autoSpaceDN w:val="0"/>
        <w:adjustRightInd w:val="0"/>
        <w:snapToGrid w:val="0"/>
        <w:spacing w:line="360" w:lineRule="auto"/>
        <w:rPr>
          <w:rFonts w:ascii="Book Antiqua" w:hAnsi="Book Antiqua" w:cs="Book Antiqua"/>
          <w:bCs/>
          <w:sz w:val="24"/>
          <w:szCs w:val="24"/>
        </w:rPr>
      </w:pPr>
      <w:r w:rsidRPr="00A02038">
        <w:rPr>
          <w:rFonts w:ascii="Book Antiqua" w:hAnsi="Book Antiqua" w:cs="Book Antiqua"/>
          <w:bCs/>
          <w:sz w:val="24"/>
          <w:szCs w:val="24"/>
        </w:rPr>
        <w:t xml:space="preserve">Many gastrointestinal submucosal tumors (SMTs) are asymptomatic and incidentally detected. Among SMTs, gastrointestinal stromal tumors (GISTs) are potentially malignant and should be resected surgically. Endoscopic ultrasound-guided fine-needle aspiration (EUS-FNA) plays an important clinical role in the diagnosis of SMTs. However, the management of small lesions is often difficult. Confirmation of differences in growth rate among specific types of SMTs is expected to facilitate decision-making regarding the treatment policy. </w:t>
      </w:r>
    </w:p>
    <w:p w:rsidR="002D0B97" w:rsidRPr="00A02038" w:rsidRDefault="002D0B97" w:rsidP="00971E2B">
      <w:pPr>
        <w:autoSpaceDE w:val="0"/>
        <w:autoSpaceDN w:val="0"/>
        <w:adjustRightInd w:val="0"/>
        <w:snapToGrid w:val="0"/>
        <w:spacing w:line="360" w:lineRule="auto"/>
        <w:rPr>
          <w:rFonts w:ascii="Book Antiqua" w:hAnsi="Book Antiqua" w:cs="Book Antiqua"/>
          <w:b/>
          <w:i/>
          <w:iCs/>
          <w:sz w:val="24"/>
          <w:szCs w:val="24"/>
        </w:rPr>
      </w:pPr>
    </w:p>
    <w:p w:rsidR="002D0B97" w:rsidRPr="00A02038" w:rsidRDefault="00EC534A" w:rsidP="00971E2B">
      <w:pPr>
        <w:autoSpaceDE w:val="0"/>
        <w:autoSpaceDN w:val="0"/>
        <w:adjustRightInd w:val="0"/>
        <w:snapToGrid w:val="0"/>
        <w:spacing w:line="360" w:lineRule="auto"/>
        <w:rPr>
          <w:rFonts w:ascii="Book Antiqua" w:hAnsi="Book Antiqua" w:cs="Book Antiqua"/>
          <w:b/>
          <w:i/>
          <w:iCs/>
          <w:sz w:val="24"/>
          <w:szCs w:val="24"/>
        </w:rPr>
      </w:pPr>
      <w:r w:rsidRPr="00A02038">
        <w:rPr>
          <w:rFonts w:ascii="Book Antiqua" w:hAnsi="Book Antiqua" w:cs="Book Antiqua"/>
          <w:b/>
          <w:i/>
          <w:iCs/>
          <w:sz w:val="24"/>
          <w:szCs w:val="24"/>
        </w:rPr>
        <w:lastRenderedPageBreak/>
        <w:t>Research frontiers</w:t>
      </w:r>
    </w:p>
    <w:p w:rsidR="002D0B97" w:rsidRPr="00A02038" w:rsidRDefault="00EC534A" w:rsidP="00971E2B">
      <w:pPr>
        <w:autoSpaceDE w:val="0"/>
        <w:autoSpaceDN w:val="0"/>
        <w:adjustRightInd w:val="0"/>
        <w:snapToGrid w:val="0"/>
        <w:spacing w:line="360" w:lineRule="auto"/>
        <w:rPr>
          <w:rFonts w:ascii="Book Antiqua" w:hAnsi="Book Antiqua" w:cs="Book Antiqua"/>
          <w:b/>
          <w:i/>
          <w:iCs/>
          <w:sz w:val="24"/>
          <w:szCs w:val="24"/>
        </w:rPr>
      </w:pPr>
      <w:r w:rsidRPr="00A02038">
        <w:rPr>
          <w:rFonts w:ascii="Book Antiqua" w:hAnsi="Book Antiqua" w:cs="Book Antiqua"/>
          <w:bCs/>
          <w:sz w:val="24"/>
          <w:szCs w:val="24"/>
        </w:rPr>
        <w:t>EUS-FNA plays a major role in deciding the treatment policy. However, there remains room for improvement in the diagnostic performance of EUS-FNA for small lesions. Consequently, small SMTs yet to be definitively diagnosed are generally fol</w:t>
      </w:r>
      <w:r w:rsidR="00132B48">
        <w:rPr>
          <w:rFonts w:ascii="Book Antiqua" w:hAnsi="Book Antiqua" w:cs="Book Antiqua"/>
          <w:bCs/>
          <w:sz w:val="24"/>
          <w:szCs w:val="24"/>
        </w:rPr>
        <w:t>lowed up once or twice per year</w:t>
      </w:r>
      <w:r w:rsidRPr="00A02038">
        <w:rPr>
          <w:rFonts w:ascii="Book Antiqua" w:hAnsi="Book Antiqua" w:cs="Book Antiqua"/>
          <w:bCs/>
          <w:sz w:val="24"/>
          <w:szCs w:val="24"/>
        </w:rPr>
        <w:t>.</w:t>
      </w:r>
    </w:p>
    <w:p w:rsidR="002D0B97" w:rsidRPr="00A02038" w:rsidRDefault="002D0B97" w:rsidP="00971E2B">
      <w:pPr>
        <w:autoSpaceDE w:val="0"/>
        <w:autoSpaceDN w:val="0"/>
        <w:adjustRightInd w:val="0"/>
        <w:snapToGrid w:val="0"/>
        <w:spacing w:line="360" w:lineRule="auto"/>
        <w:rPr>
          <w:rFonts w:ascii="Book Antiqua" w:hAnsi="Book Antiqua" w:cs="Book Antiqua"/>
          <w:b/>
          <w:sz w:val="24"/>
          <w:szCs w:val="24"/>
        </w:rPr>
      </w:pPr>
    </w:p>
    <w:p w:rsidR="002D0B97" w:rsidRPr="00A02038" w:rsidRDefault="00EC534A" w:rsidP="00971E2B">
      <w:pPr>
        <w:snapToGrid w:val="0"/>
        <w:spacing w:line="360" w:lineRule="auto"/>
        <w:rPr>
          <w:rFonts w:ascii="Book Antiqua" w:hAnsi="Book Antiqua" w:cs="Book Antiqua"/>
          <w:b/>
          <w:i/>
          <w:iCs/>
          <w:sz w:val="24"/>
          <w:szCs w:val="24"/>
        </w:rPr>
      </w:pPr>
      <w:r w:rsidRPr="00A02038">
        <w:rPr>
          <w:rFonts w:ascii="Book Antiqua" w:hAnsi="Book Antiqua" w:cs="Book Antiqua"/>
          <w:b/>
          <w:i/>
          <w:iCs/>
          <w:sz w:val="24"/>
          <w:szCs w:val="24"/>
        </w:rPr>
        <w:t>Innovations and breakthrough</w:t>
      </w:r>
    </w:p>
    <w:p w:rsidR="002D0B97" w:rsidRPr="00A02038" w:rsidRDefault="00EC534A" w:rsidP="00971E2B">
      <w:pPr>
        <w:snapToGrid w:val="0"/>
        <w:spacing w:line="360" w:lineRule="auto"/>
        <w:rPr>
          <w:rFonts w:ascii="Book Antiqua" w:hAnsi="Book Antiqua" w:cs="Book Antiqua"/>
          <w:bCs/>
          <w:sz w:val="24"/>
          <w:szCs w:val="24"/>
        </w:rPr>
      </w:pPr>
      <w:r w:rsidRPr="00A02038">
        <w:rPr>
          <w:rFonts w:ascii="Book Antiqua" w:hAnsi="Book Antiqua" w:cs="Book Antiqua"/>
          <w:bCs/>
          <w:sz w:val="24"/>
          <w:szCs w:val="24"/>
        </w:rPr>
        <w:t xml:space="preserve">To our knowledge, very few studies have evaluated the doubling time of SMTs, an index of the rate of tumor growth, according to diagnosis. </w:t>
      </w:r>
      <w:r w:rsidR="00132B48">
        <w:rPr>
          <w:rFonts w:ascii="Book Antiqua" w:hAnsi="Book Antiqua" w:cs="Book Antiqua"/>
          <w:bCs/>
          <w:sz w:val="24"/>
          <w:szCs w:val="24"/>
        </w:rPr>
        <w:t>The authors</w:t>
      </w:r>
      <w:r w:rsidRPr="00A02038">
        <w:rPr>
          <w:rFonts w:ascii="Book Antiqua" w:hAnsi="Book Antiqua" w:cs="Book Antiqua"/>
          <w:bCs/>
          <w:sz w:val="24"/>
          <w:szCs w:val="24"/>
        </w:rPr>
        <w:t xml:space="preserve"> estimated the doubling time of different types of SMTs.</w:t>
      </w:r>
    </w:p>
    <w:p w:rsidR="002D0B97" w:rsidRPr="00A02038" w:rsidRDefault="002D0B97" w:rsidP="00971E2B">
      <w:pPr>
        <w:snapToGrid w:val="0"/>
        <w:spacing w:line="360" w:lineRule="auto"/>
        <w:rPr>
          <w:rFonts w:ascii="Book Antiqua" w:hAnsi="Book Antiqua" w:cs="Book Antiqua"/>
          <w:b/>
          <w:sz w:val="24"/>
          <w:szCs w:val="24"/>
        </w:rPr>
      </w:pPr>
    </w:p>
    <w:p w:rsidR="002D0B97" w:rsidRPr="00A02038" w:rsidRDefault="00EC534A" w:rsidP="00971E2B">
      <w:pPr>
        <w:snapToGrid w:val="0"/>
        <w:spacing w:line="360" w:lineRule="auto"/>
        <w:rPr>
          <w:rFonts w:ascii="Book Antiqua" w:hAnsi="Book Antiqua" w:cs="Book Antiqua"/>
          <w:b/>
          <w:i/>
          <w:iCs/>
          <w:sz w:val="24"/>
          <w:szCs w:val="24"/>
        </w:rPr>
      </w:pPr>
      <w:r w:rsidRPr="00A02038">
        <w:rPr>
          <w:rFonts w:ascii="Book Antiqua" w:hAnsi="Book Antiqua" w:cs="Book Antiqua"/>
          <w:b/>
          <w:i/>
          <w:iCs/>
          <w:sz w:val="24"/>
          <w:szCs w:val="24"/>
        </w:rPr>
        <w:t>Applications</w:t>
      </w:r>
    </w:p>
    <w:p w:rsidR="002D0B97" w:rsidRPr="00A02038" w:rsidRDefault="00EC534A" w:rsidP="00971E2B">
      <w:pPr>
        <w:snapToGrid w:val="0"/>
        <w:spacing w:line="360" w:lineRule="auto"/>
        <w:rPr>
          <w:rFonts w:ascii="Book Antiqua" w:hAnsi="Book Antiqua" w:cs="Book Antiqua"/>
          <w:bCs/>
          <w:sz w:val="24"/>
          <w:szCs w:val="24"/>
        </w:rPr>
      </w:pPr>
      <w:r w:rsidRPr="00A02038">
        <w:rPr>
          <w:rFonts w:ascii="Book Antiqua" w:hAnsi="Book Antiqua" w:cs="Book Antiqua"/>
          <w:bCs/>
          <w:sz w:val="24"/>
          <w:szCs w:val="24"/>
        </w:rPr>
        <w:t xml:space="preserve">The doubling time of GIST was confirmed to be significantly shorter than that of other types of tumors. For GIST, a higher risk grade was associated with a significantly shorter doubling time. </w:t>
      </w:r>
      <w:r w:rsidR="00132B48">
        <w:rPr>
          <w:rFonts w:ascii="Book Antiqua" w:hAnsi="Book Antiqua" w:cs="Book Antiqua"/>
          <w:bCs/>
          <w:sz w:val="24"/>
          <w:szCs w:val="24"/>
        </w:rPr>
        <w:t xml:space="preserve">These </w:t>
      </w:r>
      <w:r w:rsidRPr="00A02038">
        <w:rPr>
          <w:rFonts w:ascii="Book Antiqua" w:hAnsi="Book Antiqua" w:cs="Book Antiqua"/>
          <w:bCs/>
          <w:sz w:val="24"/>
          <w:szCs w:val="24"/>
        </w:rPr>
        <w:t>findings suggest that small SMTs should initially be followed up within at least 6 months after detection.</w:t>
      </w:r>
    </w:p>
    <w:p w:rsidR="002D0B97" w:rsidRPr="00132B48" w:rsidRDefault="002D0B97" w:rsidP="00971E2B">
      <w:pPr>
        <w:snapToGrid w:val="0"/>
        <w:spacing w:line="360" w:lineRule="auto"/>
        <w:rPr>
          <w:rFonts w:ascii="Book Antiqua" w:hAnsi="Book Antiqua" w:cs="Book Antiqua"/>
          <w:b/>
          <w:i/>
          <w:iCs/>
          <w:sz w:val="24"/>
          <w:szCs w:val="24"/>
        </w:rPr>
      </w:pPr>
    </w:p>
    <w:p w:rsidR="002D0B97" w:rsidRPr="00A02038" w:rsidRDefault="00EC534A" w:rsidP="00971E2B">
      <w:pPr>
        <w:snapToGrid w:val="0"/>
        <w:spacing w:line="360" w:lineRule="auto"/>
        <w:rPr>
          <w:rFonts w:ascii="Book Antiqua" w:hAnsi="Book Antiqua" w:cs="Book Antiqua"/>
          <w:b/>
          <w:i/>
          <w:iCs/>
          <w:sz w:val="24"/>
          <w:szCs w:val="24"/>
        </w:rPr>
      </w:pPr>
      <w:r w:rsidRPr="00A02038">
        <w:rPr>
          <w:rFonts w:ascii="Book Antiqua" w:hAnsi="Book Antiqua" w:cs="Book Antiqua"/>
          <w:b/>
          <w:i/>
          <w:iCs/>
          <w:sz w:val="24"/>
          <w:szCs w:val="24"/>
        </w:rPr>
        <w:t>Terminology</w:t>
      </w:r>
    </w:p>
    <w:p w:rsidR="002D0B97" w:rsidRPr="00A02038" w:rsidRDefault="00EC534A" w:rsidP="00971E2B">
      <w:pPr>
        <w:snapToGrid w:val="0"/>
        <w:spacing w:line="360" w:lineRule="auto"/>
        <w:rPr>
          <w:rFonts w:ascii="Book Antiqua" w:hAnsi="Book Antiqua" w:cs="Book Antiqua"/>
          <w:b/>
          <w:i/>
          <w:iCs/>
          <w:sz w:val="24"/>
          <w:szCs w:val="24"/>
        </w:rPr>
      </w:pPr>
      <w:r w:rsidRPr="00A02038">
        <w:rPr>
          <w:rFonts w:ascii="Book Antiqua" w:hAnsi="Book Antiqua" w:cs="Book Antiqua"/>
          <w:bCs/>
          <w:sz w:val="24"/>
          <w:szCs w:val="24"/>
        </w:rPr>
        <w:t xml:space="preserve">EUS: An endoscopic procedure to obtain images of the chest and abdominal organs through the </w:t>
      </w:r>
      <w:r w:rsidR="00E13F56" w:rsidRPr="00A02038">
        <w:rPr>
          <w:rFonts w:ascii="Book Antiqua" w:hAnsi="Book Antiqua" w:cs="Book Antiqua"/>
          <w:bCs/>
          <w:sz w:val="24"/>
          <w:szCs w:val="24"/>
        </w:rPr>
        <w:t>wall</w:t>
      </w:r>
      <w:r w:rsidRPr="00A02038">
        <w:rPr>
          <w:rFonts w:ascii="Book Antiqua" w:hAnsi="Book Antiqua" w:cs="Book Antiqua"/>
          <w:bCs/>
          <w:sz w:val="24"/>
          <w:szCs w:val="24"/>
        </w:rPr>
        <w:t xml:space="preserve"> of the gastrointestinal tract. EUS-FNA: A technique to obtain </w:t>
      </w:r>
      <w:r w:rsidR="00E13F56" w:rsidRPr="00A02038">
        <w:rPr>
          <w:rFonts w:ascii="Book Antiqua" w:hAnsi="Book Antiqua" w:cs="Book Antiqua"/>
          <w:bCs/>
          <w:sz w:val="24"/>
          <w:szCs w:val="24"/>
        </w:rPr>
        <w:t>specimens</w:t>
      </w:r>
      <w:r w:rsidRPr="00A02038">
        <w:rPr>
          <w:rFonts w:ascii="Book Antiqua" w:hAnsi="Book Antiqua" w:cs="Book Antiqua"/>
          <w:bCs/>
          <w:sz w:val="24"/>
          <w:szCs w:val="24"/>
        </w:rPr>
        <w:t xml:space="preserve"> of chest and abdominal lesions by puncturing the gastrointestinal tract under real-time EUS guidance.</w:t>
      </w:r>
    </w:p>
    <w:p w:rsidR="002D0B97" w:rsidRPr="00A02038" w:rsidRDefault="002D0B97" w:rsidP="00971E2B">
      <w:pPr>
        <w:snapToGrid w:val="0"/>
        <w:spacing w:line="360" w:lineRule="auto"/>
        <w:rPr>
          <w:rFonts w:ascii="Book Antiqua" w:hAnsi="Book Antiqua" w:cs="Book Antiqua"/>
          <w:b/>
          <w:i/>
          <w:iCs/>
          <w:sz w:val="24"/>
          <w:szCs w:val="24"/>
        </w:rPr>
      </w:pPr>
    </w:p>
    <w:p w:rsidR="002D0B97" w:rsidRPr="00A02038" w:rsidRDefault="00EC534A" w:rsidP="00971E2B">
      <w:pPr>
        <w:snapToGrid w:val="0"/>
        <w:spacing w:line="360" w:lineRule="auto"/>
        <w:rPr>
          <w:rFonts w:ascii="Book Antiqua" w:hAnsi="Book Antiqua" w:cs="Book Antiqua"/>
          <w:b/>
          <w:i/>
          <w:iCs/>
          <w:sz w:val="24"/>
          <w:szCs w:val="24"/>
        </w:rPr>
      </w:pPr>
      <w:r w:rsidRPr="00A02038">
        <w:rPr>
          <w:rFonts w:ascii="Book Antiqua" w:hAnsi="Book Antiqua" w:cs="Book Antiqua"/>
          <w:b/>
          <w:i/>
          <w:iCs/>
          <w:sz w:val="24"/>
          <w:szCs w:val="24"/>
        </w:rPr>
        <w:t>Peer-review</w:t>
      </w:r>
      <w:bookmarkEnd w:id="126"/>
      <w:bookmarkEnd w:id="127"/>
      <w:bookmarkEnd w:id="128"/>
      <w:bookmarkEnd w:id="129"/>
      <w:bookmarkEnd w:id="130"/>
      <w:bookmarkEnd w:id="131"/>
      <w:bookmarkEnd w:id="132"/>
    </w:p>
    <w:p w:rsidR="002D0B97" w:rsidRPr="00A02038" w:rsidRDefault="00FA26C4" w:rsidP="00971E2B">
      <w:pPr>
        <w:snapToGrid w:val="0"/>
        <w:spacing w:line="360" w:lineRule="auto"/>
        <w:rPr>
          <w:rFonts w:ascii="Book Antiqua" w:hAnsi="Book Antiqua"/>
          <w:sz w:val="24"/>
          <w:szCs w:val="24"/>
        </w:rPr>
      </w:pPr>
      <w:r w:rsidRPr="00FA26C4">
        <w:rPr>
          <w:rFonts w:ascii="Book Antiqua" w:hAnsi="Book Antiqua" w:cs="Book Antiqua"/>
          <w:bCs/>
          <w:sz w:val="24"/>
          <w:szCs w:val="24"/>
        </w:rPr>
        <w:t>This is a very meaningful research regarding the growth rate of the SMTs, which may be a very important</w:t>
      </w:r>
      <w:r>
        <w:rPr>
          <w:rFonts w:ascii="Book Antiqua" w:hAnsi="Book Antiqua" w:cs="Book Antiqua"/>
          <w:bCs/>
          <w:sz w:val="24"/>
          <w:szCs w:val="24"/>
        </w:rPr>
        <w:t xml:space="preserve"> </w:t>
      </w:r>
      <w:r w:rsidR="00E13F56">
        <w:rPr>
          <w:rFonts w:ascii="Book Antiqua" w:hAnsi="Book Antiqua" w:cs="Book Antiqua"/>
          <w:bCs/>
          <w:sz w:val="24"/>
          <w:szCs w:val="24"/>
        </w:rPr>
        <w:t>character</w:t>
      </w:r>
      <w:r w:rsidRPr="00FA26C4">
        <w:rPr>
          <w:rFonts w:ascii="Book Antiqua" w:hAnsi="Book Antiqua" w:cs="Book Antiqua"/>
          <w:bCs/>
          <w:sz w:val="24"/>
          <w:szCs w:val="24"/>
        </w:rPr>
        <w:t xml:space="preserve"> for the evaluation. </w:t>
      </w:r>
      <w:r w:rsidR="00EC534A" w:rsidRPr="00A02038">
        <w:rPr>
          <w:rFonts w:ascii="Book Antiqua" w:hAnsi="Book Antiqua" w:cs="Book Antiqua"/>
          <w:bCs/>
          <w:sz w:val="24"/>
          <w:szCs w:val="24"/>
        </w:rPr>
        <w:t>Authors of this paper describe their strategy regarding observational duration for tumor in small size around 2</w:t>
      </w:r>
      <w:r w:rsidR="00132B48">
        <w:rPr>
          <w:rFonts w:ascii="Book Antiqua" w:hAnsi="Book Antiqua" w:cs="Book Antiqua"/>
          <w:bCs/>
          <w:sz w:val="24"/>
          <w:szCs w:val="24"/>
        </w:rPr>
        <w:t xml:space="preserve"> </w:t>
      </w:r>
      <w:r w:rsidR="00EC534A" w:rsidRPr="00A02038">
        <w:rPr>
          <w:rFonts w:ascii="Book Antiqua" w:hAnsi="Book Antiqua" w:cs="Book Antiqua"/>
          <w:bCs/>
          <w:sz w:val="24"/>
          <w:szCs w:val="24"/>
        </w:rPr>
        <w:t>cm by analyzin</w:t>
      </w:r>
      <w:r>
        <w:rPr>
          <w:rFonts w:ascii="Book Antiqua" w:hAnsi="Book Antiqua" w:cs="Book Antiqua"/>
          <w:bCs/>
          <w:sz w:val="24"/>
          <w:szCs w:val="24"/>
        </w:rPr>
        <w:t>g</w:t>
      </w:r>
      <w:r w:rsidR="00EC534A" w:rsidRPr="00A02038">
        <w:rPr>
          <w:rFonts w:ascii="Book Antiqua" w:hAnsi="Book Antiqua" w:cs="Book Antiqua"/>
          <w:bCs/>
          <w:sz w:val="24"/>
          <w:szCs w:val="24"/>
        </w:rPr>
        <w:t xml:space="preserve"> the doubling times of each </w:t>
      </w:r>
      <w:r>
        <w:rPr>
          <w:rFonts w:ascii="Book Antiqua" w:hAnsi="Book Antiqua" w:cs="Book Antiqua"/>
          <w:bCs/>
          <w:sz w:val="24"/>
          <w:szCs w:val="24"/>
        </w:rPr>
        <w:t>SMT</w:t>
      </w:r>
      <w:r w:rsidR="00EC534A" w:rsidRPr="00A02038">
        <w:rPr>
          <w:rFonts w:ascii="Book Antiqua" w:hAnsi="Book Antiqua" w:cs="Book Antiqua"/>
          <w:bCs/>
          <w:sz w:val="24"/>
          <w:szCs w:val="24"/>
        </w:rPr>
        <w:t>.</w:t>
      </w:r>
      <w:r w:rsidR="00132B48">
        <w:rPr>
          <w:rFonts w:ascii="Book Antiqua" w:hAnsi="Book Antiqua" w:cs="Book Antiqua"/>
          <w:bCs/>
          <w:sz w:val="24"/>
          <w:szCs w:val="24"/>
        </w:rPr>
        <w:t xml:space="preserve"> </w:t>
      </w:r>
      <w:r w:rsidR="00EC534A" w:rsidRPr="00A02038">
        <w:rPr>
          <w:rFonts w:ascii="Book Antiqua" w:hAnsi="Book Antiqua" w:cs="Book Antiqua"/>
          <w:bCs/>
          <w:sz w:val="24"/>
          <w:szCs w:val="24"/>
        </w:rPr>
        <w:t xml:space="preserve">Initial follow-up examinations remain unclear in major guidelines. Therefore, this result provides an important </w:t>
      </w:r>
      <w:r w:rsidR="00E13F56" w:rsidRPr="00A02038">
        <w:rPr>
          <w:rFonts w:ascii="Book Antiqua" w:hAnsi="Book Antiqua" w:cs="Book Antiqua"/>
          <w:bCs/>
          <w:sz w:val="24"/>
          <w:szCs w:val="24"/>
        </w:rPr>
        <w:t>information</w:t>
      </w:r>
      <w:r w:rsidR="00EC534A" w:rsidRPr="00A02038">
        <w:rPr>
          <w:rFonts w:ascii="Book Antiqua" w:hAnsi="Book Antiqua" w:cs="Book Antiqua"/>
          <w:bCs/>
          <w:sz w:val="24"/>
          <w:szCs w:val="24"/>
        </w:rPr>
        <w:t xml:space="preserve"> in the managemen</w:t>
      </w:r>
      <w:r w:rsidR="0086453F">
        <w:rPr>
          <w:rFonts w:ascii="Book Antiqua" w:hAnsi="Book Antiqua" w:cs="Book Antiqua"/>
          <w:bCs/>
          <w:sz w:val="24"/>
          <w:szCs w:val="24"/>
        </w:rPr>
        <w:t>t of small SMT.</w:t>
      </w:r>
    </w:p>
    <w:p w:rsidR="002D0B97" w:rsidRPr="00DE429C" w:rsidRDefault="00EC534A" w:rsidP="00971E2B">
      <w:pPr>
        <w:widowControl/>
        <w:snapToGrid w:val="0"/>
        <w:spacing w:line="360" w:lineRule="auto"/>
        <w:jc w:val="left"/>
        <w:rPr>
          <w:rFonts w:ascii="Book Antiqua" w:hAnsi="Book Antiqua"/>
          <w:b/>
          <w:caps/>
          <w:sz w:val="24"/>
          <w:szCs w:val="24"/>
        </w:rPr>
      </w:pPr>
      <w:r w:rsidRPr="00A02038">
        <w:rPr>
          <w:rFonts w:ascii="Book Antiqua" w:hAnsi="Book Antiqua"/>
          <w:sz w:val="24"/>
          <w:szCs w:val="24"/>
        </w:rPr>
        <w:br w:type="page"/>
      </w:r>
      <w:r w:rsidR="00FA26C4" w:rsidRPr="00DE429C">
        <w:rPr>
          <w:rFonts w:ascii="Book Antiqua" w:hAnsi="Book Antiqua"/>
          <w:b/>
          <w:caps/>
          <w:sz w:val="24"/>
          <w:szCs w:val="24"/>
        </w:rPr>
        <w:lastRenderedPageBreak/>
        <w:t>References</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1 </w:t>
      </w:r>
      <w:r w:rsidRPr="00B93D97">
        <w:rPr>
          <w:rFonts w:ascii="Book Antiqua" w:eastAsia="宋体" w:hAnsi="Book Antiqua" w:cs="宋体"/>
          <w:b/>
          <w:bCs/>
          <w:color w:val="000000"/>
          <w:kern w:val="0"/>
          <w:sz w:val="24"/>
          <w:szCs w:val="24"/>
          <w:lang w:eastAsia="zh-CN"/>
        </w:rPr>
        <w:t>Wiech T</w:t>
      </w:r>
      <w:r w:rsidRPr="00B93D97">
        <w:rPr>
          <w:rFonts w:ascii="Book Antiqua" w:eastAsia="宋体" w:hAnsi="Book Antiqua" w:cs="宋体"/>
          <w:color w:val="000000"/>
          <w:kern w:val="0"/>
          <w:sz w:val="24"/>
          <w:szCs w:val="24"/>
          <w:lang w:eastAsia="zh-CN"/>
        </w:rPr>
        <w:t>, Walch A, Werner M. Histopathological classification of nonneoplastic</w:t>
      </w:r>
      <w:r w:rsidR="00EF0A0C">
        <w:rPr>
          <w:rFonts w:ascii="Book Antiqua" w:eastAsia="宋体" w:hAnsi="Book Antiqua" w:cs="宋体"/>
          <w:color w:val="000000"/>
          <w:kern w:val="0"/>
          <w:sz w:val="24"/>
          <w:szCs w:val="24"/>
          <w:lang w:eastAsia="zh-CN"/>
        </w:rPr>
        <w:t xml:space="preserve"> </w:t>
      </w:r>
      <w:r w:rsidRPr="00B93D97">
        <w:rPr>
          <w:rFonts w:ascii="Book Antiqua" w:eastAsia="宋体" w:hAnsi="Book Antiqua" w:cs="宋体"/>
          <w:color w:val="000000"/>
          <w:kern w:val="0"/>
          <w:sz w:val="24"/>
          <w:szCs w:val="24"/>
          <w:lang w:eastAsia="zh-CN"/>
        </w:rPr>
        <w:t>and neoplastic gastrointestinal submucosal lesions. </w:t>
      </w:r>
      <w:r w:rsidRPr="00B93D97">
        <w:rPr>
          <w:rFonts w:ascii="Book Antiqua" w:eastAsia="宋体" w:hAnsi="Book Antiqua" w:cs="宋体"/>
          <w:i/>
          <w:iCs/>
          <w:color w:val="000000"/>
          <w:kern w:val="0"/>
          <w:sz w:val="24"/>
          <w:szCs w:val="24"/>
          <w:lang w:eastAsia="zh-CN"/>
        </w:rPr>
        <w:t>Endoscopy</w:t>
      </w:r>
      <w:r w:rsidRPr="00B93D97">
        <w:rPr>
          <w:rFonts w:ascii="Book Antiqua" w:eastAsia="宋体" w:hAnsi="Book Antiqua" w:cs="宋体"/>
          <w:color w:val="000000"/>
          <w:kern w:val="0"/>
          <w:sz w:val="24"/>
          <w:szCs w:val="24"/>
          <w:lang w:eastAsia="zh-CN"/>
        </w:rPr>
        <w:t xml:space="preserve"> 2005; </w:t>
      </w:r>
      <w:r w:rsidRPr="00B93D97">
        <w:rPr>
          <w:rFonts w:ascii="Book Antiqua" w:eastAsia="宋体" w:hAnsi="Book Antiqua" w:cs="宋体"/>
          <w:b/>
          <w:bCs/>
          <w:color w:val="000000"/>
          <w:kern w:val="0"/>
          <w:sz w:val="24"/>
          <w:szCs w:val="24"/>
          <w:lang w:eastAsia="zh-CN"/>
        </w:rPr>
        <w:t>37</w:t>
      </w:r>
      <w:r w:rsidRPr="00B93D97">
        <w:rPr>
          <w:rFonts w:ascii="Book Antiqua" w:eastAsia="宋体" w:hAnsi="Book Antiqua" w:cs="宋体"/>
          <w:color w:val="000000"/>
          <w:kern w:val="0"/>
          <w:sz w:val="24"/>
          <w:szCs w:val="24"/>
          <w:lang w:eastAsia="zh-CN"/>
        </w:rPr>
        <w:t>: 630-634 [PMID: 16010607 DOI: 10.1055/s-2005-870127]</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2 </w:t>
      </w:r>
      <w:r w:rsidRPr="00B93D97">
        <w:rPr>
          <w:rFonts w:ascii="Book Antiqua" w:eastAsia="宋体" w:hAnsi="Book Antiqua" w:cs="宋体"/>
          <w:b/>
          <w:bCs/>
          <w:color w:val="000000"/>
          <w:kern w:val="0"/>
          <w:sz w:val="24"/>
          <w:szCs w:val="24"/>
          <w:lang w:eastAsia="zh-CN"/>
        </w:rPr>
        <w:t>Akahoshi K</w:t>
      </w:r>
      <w:r w:rsidRPr="00B93D97">
        <w:rPr>
          <w:rFonts w:ascii="Book Antiqua" w:eastAsia="宋体" w:hAnsi="Book Antiqua" w:cs="宋体"/>
          <w:color w:val="000000"/>
          <w:kern w:val="0"/>
          <w:sz w:val="24"/>
          <w:szCs w:val="24"/>
          <w:lang w:eastAsia="zh-CN"/>
        </w:rPr>
        <w:t>, Sumida Y, Matsui N, Oya M, Akinaga R, Kubokawa M, Motomura Y, Honda K, Watanabe M, Nagaie T. Preoperative diagnosis of gastrointestinal stromal tumor by endoscopic ultrasound-guided fine needle aspiration. </w:t>
      </w:r>
      <w:r w:rsidRPr="00B93D97">
        <w:rPr>
          <w:rFonts w:ascii="Book Antiqua" w:eastAsia="宋体" w:hAnsi="Book Antiqua" w:cs="宋体"/>
          <w:i/>
          <w:iCs/>
          <w:color w:val="000000"/>
          <w:kern w:val="0"/>
          <w:sz w:val="24"/>
          <w:szCs w:val="24"/>
          <w:lang w:eastAsia="zh-CN"/>
        </w:rPr>
        <w:t>World J Gastroenterol</w:t>
      </w:r>
      <w:r w:rsidRPr="00B93D97">
        <w:rPr>
          <w:rFonts w:ascii="Book Antiqua" w:eastAsia="宋体" w:hAnsi="Book Antiqua" w:cs="宋体"/>
          <w:color w:val="000000"/>
          <w:kern w:val="0"/>
          <w:sz w:val="24"/>
          <w:szCs w:val="24"/>
          <w:lang w:eastAsia="zh-CN"/>
        </w:rPr>
        <w:t> 2007; </w:t>
      </w:r>
      <w:r w:rsidRPr="00B93D97">
        <w:rPr>
          <w:rFonts w:ascii="Book Antiqua" w:eastAsia="宋体" w:hAnsi="Book Antiqua" w:cs="宋体"/>
          <w:b/>
          <w:bCs/>
          <w:color w:val="000000"/>
          <w:kern w:val="0"/>
          <w:sz w:val="24"/>
          <w:szCs w:val="24"/>
          <w:lang w:eastAsia="zh-CN"/>
        </w:rPr>
        <w:t>13</w:t>
      </w:r>
      <w:r w:rsidRPr="00B93D97">
        <w:rPr>
          <w:rFonts w:ascii="Book Antiqua" w:eastAsia="宋体" w:hAnsi="Book Antiqua" w:cs="宋体"/>
          <w:color w:val="000000"/>
          <w:kern w:val="0"/>
          <w:sz w:val="24"/>
          <w:szCs w:val="24"/>
          <w:lang w:eastAsia="zh-CN"/>
        </w:rPr>
        <w:t>: 2077-2082 [PMID: 17465451]</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3 </w:t>
      </w:r>
      <w:r w:rsidRPr="00B93D97">
        <w:rPr>
          <w:rFonts w:ascii="Book Antiqua" w:eastAsia="宋体" w:hAnsi="Book Antiqua" w:cs="宋体"/>
          <w:b/>
          <w:bCs/>
          <w:color w:val="000000"/>
          <w:kern w:val="0"/>
          <w:sz w:val="24"/>
          <w:szCs w:val="24"/>
          <w:lang w:eastAsia="zh-CN"/>
        </w:rPr>
        <w:t>Polkowski M</w:t>
      </w:r>
      <w:r w:rsidRPr="00B93D97">
        <w:rPr>
          <w:rFonts w:ascii="Book Antiqua" w:eastAsia="宋体" w:hAnsi="Book Antiqua" w:cs="宋体"/>
          <w:color w:val="000000"/>
          <w:kern w:val="0"/>
          <w:sz w:val="24"/>
          <w:szCs w:val="24"/>
          <w:lang w:eastAsia="zh-CN"/>
        </w:rPr>
        <w:t xml:space="preserve">. Endoscopic ultrasound and endoscopic ultrasound-guided fine-needle biopsy for the diagnosis of malignant submucosal tumors. </w:t>
      </w:r>
      <w:r w:rsidRPr="00B93D97">
        <w:rPr>
          <w:rFonts w:ascii="Book Antiqua" w:eastAsia="宋体" w:hAnsi="Book Antiqua" w:cs="宋体"/>
          <w:i/>
          <w:iCs/>
          <w:color w:val="000000"/>
          <w:kern w:val="0"/>
          <w:sz w:val="24"/>
          <w:szCs w:val="24"/>
          <w:lang w:eastAsia="zh-CN"/>
        </w:rPr>
        <w:t>Endoscopy</w:t>
      </w:r>
      <w:r w:rsidR="00EF0A0C">
        <w:rPr>
          <w:rFonts w:ascii="Book Antiqua" w:eastAsia="宋体" w:hAnsi="Book Antiqua" w:cs="宋体"/>
          <w:color w:val="000000"/>
          <w:kern w:val="0"/>
          <w:sz w:val="24"/>
          <w:szCs w:val="24"/>
          <w:lang w:eastAsia="zh-CN"/>
        </w:rPr>
        <w:t xml:space="preserve"> </w:t>
      </w:r>
      <w:r w:rsidRPr="00B93D97">
        <w:rPr>
          <w:rFonts w:ascii="Book Antiqua" w:eastAsia="宋体" w:hAnsi="Book Antiqua" w:cs="宋体"/>
          <w:color w:val="000000"/>
          <w:kern w:val="0"/>
          <w:sz w:val="24"/>
          <w:szCs w:val="24"/>
          <w:lang w:eastAsia="zh-CN"/>
        </w:rPr>
        <w:t>2005; </w:t>
      </w:r>
      <w:r w:rsidRPr="00B93D97">
        <w:rPr>
          <w:rFonts w:ascii="Book Antiqua" w:eastAsia="宋体" w:hAnsi="Book Antiqua" w:cs="宋体"/>
          <w:b/>
          <w:bCs/>
          <w:color w:val="000000"/>
          <w:kern w:val="0"/>
          <w:sz w:val="24"/>
          <w:szCs w:val="24"/>
          <w:lang w:eastAsia="zh-CN"/>
        </w:rPr>
        <w:t>37</w:t>
      </w:r>
      <w:r w:rsidRPr="00B93D97">
        <w:rPr>
          <w:rFonts w:ascii="Book Antiqua" w:eastAsia="宋体" w:hAnsi="Book Antiqua" w:cs="宋体"/>
          <w:color w:val="000000"/>
          <w:kern w:val="0"/>
          <w:sz w:val="24"/>
          <w:szCs w:val="24"/>
          <w:lang w:eastAsia="zh-CN"/>
        </w:rPr>
        <w:t>: 635-645 [PMID: 16010608 DOI: 10.1055/s-2005-861422]</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4 </w:t>
      </w:r>
      <w:r w:rsidRPr="00B93D97">
        <w:rPr>
          <w:rFonts w:ascii="Book Antiqua" w:eastAsia="宋体" w:hAnsi="Book Antiqua" w:cs="宋体"/>
          <w:b/>
          <w:bCs/>
          <w:color w:val="000000"/>
          <w:kern w:val="0"/>
          <w:sz w:val="24"/>
          <w:szCs w:val="24"/>
          <w:lang w:eastAsia="zh-CN"/>
        </w:rPr>
        <w:t>Watson RR</w:t>
      </w:r>
      <w:r w:rsidRPr="00B93D97">
        <w:rPr>
          <w:rFonts w:ascii="Book Antiqua" w:eastAsia="宋体" w:hAnsi="Book Antiqua" w:cs="宋体"/>
          <w:color w:val="000000"/>
          <w:kern w:val="0"/>
          <w:sz w:val="24"/>
          <w:szCs w:val="24"/>
          <w:lang w:eastAsia="zh-CN"/>
        </w:rPr>
        <w:t>, Binmoeller KF, Hamerski CM, Shergill AK, Shaw RE, Jaffee IM, Stewart L, Shah JN. Yield and performance characteristics of endoscopic ultrasound-guided fine needle aspiration for diagnosing upper GI tract stromal tumors. </w:t>
      </w:r>
      <w:r w:rsidRPr="00B93D97">
        <w:rPr>
          <w:rFonts w:ascii="Book Antiqua" w:eastAsia="宋体" w:hAnsi="Book Antiqua" w:cs="宋体"/>
          <w:i/>
          <w:iCs/>
          <w:color w:val="000000"/>
          <w:kern w:val="0"/>
          <w:sz w:val="24"/>
          <w:szCs w:val="24"/>
          <w:lang w:eastAsia="zh-CN"/>
        </w:rPr>
        <w:t>Dig Dis Sci</w:t>
      </w:r>
      <w:r w:rsidRPr="00B93D97">
        <w:rPr>
          <w:rFonts w:ascii="Book Antiqua" w:eastAsia="宋体" w:hAnsi="Book Antiqua" w:cs="宋体"/>
          <w:color w:val="000000"/>
          <w:kern w:val="0"/>
          <w:sz w:val="24"/>
          <w:szCs w:val="24"/>
          <w:lang w:eastAsia="zh-CN"/>
        </w:rPr>
        <w:t> 2011; </w:t>
      </w:r>
      <w:r w:rsidRPr="00B93D97">
        <w:rPr>
          <w:rFonts w:ascii="Book Antiqua" w:eastAsia="宋体" w:hAnsi="Book Antiqua" w:cs="宋体"/>
          <w:b/>
          <w:bCs/>
          <w:color w:val="000000"/>
          <w:kern w:val="0"/>
          <w:sz w:val="24"/>
          <w:szCs w:val="24"/>
          <w:lang w:eastAsia="zh-CN"/>
        </w:rPr>
        <w:t>56</w:t>
      </w:r>
      <w:r w:rsidRPr="00B93D97">
        <w:rPr>
          <w:rFonts w:ascii="Book Antiqua" w:eastAsia="宋体" w:hAnsi="Book Antiqua" w:cs="宋体"/>
          <w:color w:val="000000"/>
          <w:kern w:val="0"/>
          <w:sz w:val="24"/>
          <w:szCs w:val="24"/>
          <w:lang w:eastAsia="zh-CN"/>
        </w:rPr>
        <w:t>: 1757-1762 [PMID: 21360279 DOI: 10.1007/s10620-011-1646-6]</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5 </w:t>
      </w:r>
      <w:r w:rsidRPr="00B93D97">
        <w:rPr>
          <w:rFonts w:ascii="Book Antiqua" w:eastAsia="宋体" w:hAnsi="Book Antiqua" w:cs="宋体"/>
          <w:b/>
          <w:bCs/>
          <w:color w:val="000000"/>
          <w:kern w:val="0"/>
          <w:sz w:val="24"/>
          <w:szCs w:val="24"/>
          <w:lang w:eastAsia="zh-CN"/>
        </w:rPr>
        <w:t>Nishida T</w:t>
      </w:r>
      <w:r w:rsidRPr="00B93D97">
        <w:rPr>
          <w:rFonts w:ascii="Book Antiqua" w:eastAsia="宋体" w:hAnsi="Book Antiqua" w:cs="宋体"/>
          <w:color w:val="000000"/>
          <w:kern w:val="0"/>
          <w:sz w:val="24"/>
          <w:szCs w:val="24"/>
          <w:lang w:eastAsia="zh-CN"/>
        </w:rPr>
        <w:t>, Hirota S, Yanagisawa A, Sugino Y, Minami M, Yamamura Y, Otani Y, Shimada Y, Takahashi F, Kubota T</w:t>
      </w:r>
      <w:r w:rsidRPr="00B93D97">
        <w:rPr>
          <w:rFonts w:ascii="Book Antiqua" w:hAnsi="Book Antiqua" w:hint="eastAsia"/>
          <w:kern w:val="0"/>
          <w:sz w:val="24"/>
          <w:szCs w:val="24"/>
          <w:lang w:eastAsia="de-DE"/>
        </w:rPr>
        <w:t>; GIST Guideline Subcommittee</w:t>
      </w:r>
      <w:r w:rsidRPr="00B93D97">
        <w:rPr>
          <w:rFonts w:ascii="Book Antiqua" w:hAnsi="Book Antiqua"/>
          <w:kern w:val="0"/>
          <w:sz w:val="24"/>
          <w:szCs w:val="24"/>
          <w:lang w:eastAsia="de-DE"/>
        </w:rPr>
        <w:t>.</w:t>
      </w:r>
      <w:r w:rsidRPr="00B93D97">
        <w:rPr>
          <w:rFonts w:ascii="Book Antiqua" w:eastAsia="宋体" w:hAnsi="Book Antiqua" w:cs="宋体"/>
          <w:color w:val="000000"/>
          <w:kern w:val="0"/>
          <w:sz w:val="24"/>
          <w:szCs w:val="24"/>
          <w:lang w:eastAsia="zh-CN"/>
        </w:rPr>
        <w:t xml:space="preserve"> Clinical practice guidelines for gastrointestinal stromal tumor (GIST) in Japan: English version.</w:t>
      </w:r>
      <w:r w:rsidR="00EF0A0C">
        <w:rPr>
          <w:rFonts w:ascii="Book Antiqua" w:eastAsia="宋体" w:hAnsi="Book Antiqua" w:cs="宋体"/>
          <w:color w:val="000000"/>
          <w:kern w:val="0"/>
          <w:sz w:val="24"/>
          <w:szCs w:val="24"/>
          <w:lang w:eastAsia="zh-CN"/>
        </w:rPr>
        <w:t xml:space="preserve"> </w:t>
      </w:r>
      <w:r w:rsidRPr="00B93D97">
        <w:rPr>
          <w:rFonts w:ascii="Book Antiqua" w:eastAsia="宋体" w:hAnsi="Book Antiqua" w:cs="宋体"/>
          <w:i/>
          <w:iCs/>
          <w:color w:val="000000"/>
          <w:kern w:val="0"/>
          <w:sz w:val="24"/>
          <w:szCs w:val="24"/>
          <w:lang w:eastAsia="zh-CN"/>
        </w:rPr>
        <w:t>Int J Clin Oncol</w:t>
      </w:r>
      <w:r w:rsidRPr="00B93D97">
        <w:rPr>
          <w:rFonts w:ascii="Book Antiqua" w:eastAsia="宋体" w:hAnsi="Book Antiqua" w:cs="宋体"/>
          <w:color w:val="000000"/>
          <w:kern w:val="0"/>
          <w:sz w:val="24"/>
          <w:szCs w:val="24"/>
          <w:lang w:eastAsia="zh-CN"/>
        </w:rPr>
        <w:t> 2008; </w:t>
      </w:r>
      <w:r w:rsidRPr="00B93D97">
        <w:rPr>
          <w:rFonts w:ascii="Book Antiqua" w:eastAsia="宋体" w:hAnsi="Book Antiqua" w:cs="宋体"/>
          <w:b/>
          <w:bCs/>
          <w:color w:val="000000"/>
          <w:kern w:val="0"/>
          <w:sz w:val="24"/>
          <w:szCs w:val="24"/>
          <w:lang w:eastAsia="zh-CN"/>
        </w:rPr>
        <w:t>13</w:t>
      </w:r>
      <w:r w:rsidRPr="00B93D97">
        <w:rPr>
          <w:rFonts w:ascii="Book Antiqua" w:eastAsia="宋体" w:hAnsi="Book Antiqua" w:cs="宋体"/>
          <w:color w:val="000000"/>
          <w:kern w:val="0"/>
          <w:sz w:val="24"/>
          <w:szCs w:val="24"/>
          <w:lang w:eastAsia="zh-CN"/>
        </w:rPr>
        <w:t>: 416-430 [PMID: 18946752 DOI: 10.1007/s10147-008-0798-7]</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6 </w:t>
      </w:r>
      <w:r w:rsidRPr="00B93D97">
        <w:rPr>
          <w:rFonts w:ascii="Book Antiqua" w:eastAsia="宋体" w:hAnsi="Book Antiqua" w:cs="宋体"/>
          <w:b/>
          <w:bCs/>
          <w:color w:val="000000"/>
          <w:kern w:val="0"/>
          <w:sz w:val="24"/>
          <w:szCs w:val="24"/>
          <w:lang w:eastAsia="zh-CN"/>
        </w:rPr>
        <w:t>Hedenbro JL</w:t>
      </w:r>
      <w:r w:rsidRPr="00B93D97">
        <w:rPr>
          <w:rFonts w:ascii="Book Antiqua" w:eastAsia="宋体" w:hAnsi="Book Antiqua" w:cs="宋体"/>
          <w:color w:val="000000"/>
          <w:kern w:val="0"/>
          <w:sz w:val="24"/>
          <w:szCs w:val="24"/>
          <w:lang w:eastAsia="zh-CN"/>
        </w:rPr>
        <w:t>, Ekelund M, Wetterberg P. Endoscopic diagnosis of submucosal gastric lesions. The results after routine endoscopy. </w:t>
      </w:r>
      <w:r w:rsidRPr="00B93D97">
        <w:rPr>
          <w:rFonts w:ascii="Book Antiqua" w:eastAsia="宋体" w:hAnsi="Book Antiqua" w:cs="宋体"/>
          <w:i/>
          <w:iCs/>
          <w:color w:val="000000"/>
          <w:kern w:val="0"/>
          <w:sz w:val="24"/>
          <w:szCs w:val="24"/>
          <w:lang w:eastAsia="zh-CN"/>
        </w:rPr>
        <w:t>Surg Endosc</w:t>
      </w:r>
      <w:r w:rsidRPr="00B93D97">
        <w:rPr>
          <w:rFonts w:ascii="Book Antiqua" w:eastAsia="宋体" w:hAnsi="Book Antiqua" w:cs="宋体"/>
          <w:color w:val="000000"/>
          <w:kern w:val="0"/>
          <w:sz w:val="24"/>
          <w:szCs w:val="24"/>
          <w:lang w:eastAsia="zh-CN"/>
        </w:rPr>
        <w:t xml:space="preserve"> 1991; </w:t>
      </w:r>
      <w:r w:rsidRPr="00B93D97">
        <w:rPr>
          <w:rFonts w:ascii="Book Antiqua" w:eastAsia="宋体" w:hAnsi="Book Antiqua" w:cs="宋体"/>
          <w:b/>
          <w:bCs/>
          <w:color w:val="000000"/>
          <w:kern w:val="0"/>
          <w:sz w:val="24"/>
          <w:szCs w:val="24"/>
          <w:lang w:eastAsia="zh-CN"/>
        </w:rPr>
        <w:t>5</w:t>
      </w:r>
      <w:r w:rsidRPr="00B93D97">
        <w:rPr>
          <w:rFonts w:ascii="Book Antiqua" w:eastAsia="宋体" w:hAnsi="Book Antiqua" w:cs="宋体"/>
          <w:color w:val="000000"/>
          <w:kern w:val="0"/>
          <w:sz w:val="24"/>
          <w:szCs w:val="24"/>
          <w:lang w:eastAsia="zh-CN"/>
        </w:rPr>
        <w:t>: 20-23 [PMID: 1871670]</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7 </w:t>
      </w:r>
      <w:r w:rsidRPr="00B93D97">
        <w:rPr>
          <w:rFonts w:ascii="Book Antiqua" w:eastAsia="宋体" w:hAnsi="Book Antiqua" w:cs="宋体"/>
          <w:b/>
          <w:bCs/>
          <w:color w:val="000000"/>
          <w:kern w:val="0"/>
          <w:sz w:val="24"/>
          <w:szCs w:val="24"/>
          <w:lang w:eastAsia="zh-CN"/>
        </w:rPr>
        <w:t>Akahoshi K</w:t>
      </w:r>
      <w:r w:rsidRPr="00B93D97">
        <w:rPr>
          <w:rFonts w:ascii="Book Antiqua" w:eastAsia="宋体" w:hAnsi="Book Antiqua" w:cs="宋体"/>
          <w:color w:val="000000"/>
          <w:kern w:val="0"/>
          <w:sz w:val="24"/>
          <w:szCs w:val="24"/>
          <w:lang w:eastAsia="zh-CN"/>
        </w:rPr>
        <w:t xml:space="preserve">, Oya M. Gastrointestinal stromal tumor of the stomach: How to manage? </w:t>
      </w:r>
      <w:r w:rsidRPr="00B93D97">
        <w:rPr>
          <w:rFonts w:ascii="Book Antiqua" w:eastAsia="宋体" w:hAnsi="Book Antiqua" w:cs="宋体"/>
          <w:i/>
          <w:iCs/>
          <w:color w:val="000000"/>
          <w:kern w:val="0"/>
          <w:sz w:val="24"/>
          <w:szCs w:val="24"/>
          <w:lang w:eastAsia="zh-CN"/>
        </w:rPr>
        <w:t>World J Gastrointest Endosc</w:t>
      </w:r>
      <w:r w:rsidRPr="00B93D97">
        <w:rPr>
          <w:rFonts w:ascii="Book Antiqua" w:eastAsia="宋体" w:hAnsi="Book Antiqua" w:cs="宋体"/>
          <w:color w:val="000000"/>
          <w:kern w:val="0"/>
          <w:sz w:val="24"/>
          <w:szCs w:val="24"/>
          <w:lang w:eastAsia="zh-CN"/>
        </w:rPr>
        <w:t> 2010; </w:t>
      </w:r>
      <w:r w:rsidRPr="00B93D97">
        <w:rPr>
          <w:rFonts w:ascii="Book Antiqua" w:eastAsia="宋体" w:hAnsi="Book Antiqua" w:cs="宋体"/>
          <w:b/>
          <w:bCs/>
          <w:color w:val="000000"/>
          <w:kern w:val="0"/>
          <w:sz w:val="24"/>
          <w:szCs w:val="24"/>
          <w:lang w:eastAsia="zh-CN"/>
        </w:rPr>
        <w:t>2</w:t>
      </w:r>
      <w:r w:rsidRPr="00B93D97">
        <w:rPr>
          <w:rFonts w:ascii="Book Antiqua" w:eastAsia="宋体" w:hAnsi="Book Antiqua" w:cs="宋体"/>
          <w:color w:val="000000"/>
          <w:kern w:val="0"/>
          <w:sz w:val="24"/>
          <w:szCs w:val="24"/>
          <w:lang w:eastAsia="zh-CN"/>
        </w:rPr>
        <w:t>: 271-277 [PMID: 21160626 DOI: 10.4253/wjge.v2.i8.271]</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8 </w:t>
      </w:r>
      <w:r w:rsidRPr="00B93D97">
        <w:rPr>
          <w:rFonts w:ascii="Book Antiqua" w:eastAsia="宋体" w:hAnsi="Book Antiqua" w:cs="宋体"/>
          <w:b/>
          <w:bCs/>
          <w:color w:val="000000"/>
          <w:kern w:val="0"/>
          <w:sz w:val="24"/>
          <w:szCs w:val="24"/>
          <w:lang w:eastAsia="zh-CN"/>
        </w:rPr>
        <w:t>Fletcher CD</w:t>
      </w:r>
      <w:r w:rsidRPr="00B93D97">
        <w:rPr>
          <w:rFonts w:ascii="Book Antiqua" w:eastAsia="宋体" w:hAnsi="Book Antiqua" w:cs="宋体"/>
          <w:color w:val="000000"/>
          <w:kern w:val="0"/>
          <w:sz w:val="24"/>
          <w:szCs w:val="24"/>
          <w:lang w:eastAsia="zh-CN"/>
        </w:rPr>
        <w:t xml:space="preserve">, Berman JJ, Corless C, Gorstein F, Lasota J, Longley BJ, Miettinen M, O'Leary TJ, Remotti H, Rubin BP, Shmookler B, Sobin LH, Weiss SW. </w:t>
      </w:r>
      <w:r w:rsidRPr="00B93D97">
        <w:rPr>
          <w:rFonts w:ascii="Book Antiqua" w:eastAsia="宋体" w:hAnsi="Book Antiqua" w:cs="宋体"/>
          <w:color w:val="000000"/>
          <w:kern w:val="0"/>
          <w:sz w:val="24"/>
          <w:szCs w:val="24"/>
          <w:lang w:eastAsia="zh-CN"/>
        </w:rPr>
        <w:lastRenderedPageBreak/>
        <w:t xml:space="preserve">Diagnosis of gastrointestinal stromal tumors: A consensus approach. </w:t>
      </w:r>
      <w:r w:rsidRPr="00B93D97">
        <w:rPr>
          <w:rFonts w:ascii="Book Antiqua" w:eastAsia="宋体" w:hAnsi="Book Antiqua" w:cs="宋体"/>
          <w:i/>
          <w:iCs/>
          <w:color w:val="000000"/>
          <w:kern w:val="0"/>
          <w:sz w:val="24"/>
          <w:szCs w:val="24"/>
          <w:lang w:eastAsia="zh-CN"/>
        </w:rPr>
        <w:t>Hum Pathol</w:t>
      </w:r>
      <w:r w:rsidR="004D0D7D">
        <w:rPr>
          <w:rFonts w:ascii="Book Antiqua" w:eastAsia="宋体" w:hAnsi="Book Antiqua" w:cs="宋体"/>
          <w:color w:val="000000"/>
          <w:kern w:val="0"/>
          <w:sz w:val="24"/>
          <w:szCs w:val="24"/>
          <w:lang w:eastAsia="zh-CN"/>
        </w:rPr>
        <w:t xml:space="preserve"> </w:t>
      </w:r>
      <w:r w:rsidRPr="00B93D97">
        <w:rPr>
          <w:rFonts w:ascii="Book Antiqua" w:eastAsia="宋体" w:hAnsi="Book Antiqua" w:cs="宋体"/>
          <w:color w:val="000000"/>
          <w:kern w:val="0"/>
          <w:sz w:val="24"/>
          <w:szCs w:val="24"/>
          <w:lang w:eastAsia="zh-CN"/>
        </w:rPr>
        <w:t>2002; </w:t>
      </w:r>
      <w:r w:rsidRPr="00B93D97">
        <w:rPr>
          <w:rFonts w:ascii="Book Antiqua" w:eastAsia="宋体" w:hAnsi="Book Antiqua" w:cs="宋体"/>
          <w:b/>
          <w:bCs/>
          <w:color w:val="000000"/>
          <w:kern w:val="0"/>
          <w:sz w:val="24"/>
          <w:szCs w:val="24"/>
          <w:lang w:eastAsia="zh-CN"/>
        </w:rPr>
        <w:t>33</w:t>
      </w:r>
      <w:r w:rsidRPr="00B93D97">
        <w:rPr>
          <w:rFonts w:ascii="Book Antiqua" w:eastAsia="宋体" w:hAnsi="Book Antiqua" w:cs="宋体"/>
          <w:color w:val="000000"/>
          <w:kern w:val="0"/>
          <w:sz w:val="24"/>
          <w:szCs w:val="24"/>
          <w:lang w:eastAsia="zh-CN"/>
        </w:rPr>
        <w:t>: 459-465 [PMID: 12094370]</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9 </w:t>
      </w:r>
      <w:r w:rsidRPr="00B93D97">
        <w:rPr>
          <w:rFonts w:ascii="Book Antiqua" w:eastAsia="宋体" w:hAnsi="Book Antiqua" w:cs="宋体"/>
          <w:b/>
          <w:bCs/>
          <w:color w:val="000000"/>
          <w:kern w:val="0"/>
          <w:sz w:val="24"/>
          <w:szCs w:val="24"/>
          <w:lang w:eastAsia="zh-CN"/>
        </w:rPr>
        <w:t>Blay JY</w:t>
      </w:r>
      <w:r w:rsidRPr="00B93D97">
        <w:rPr>
          <w:rFonts w:ascii="Book Antiqua" w:eastAsia="宋体" w:hAnsi="Book Antiqua" w:cs="宋体"/>
          <w:color w:val="000000"/>
          <w:kern w:val="0"/>
          <w:sz w:val="24"/>
          <w:szCs w:val="24"/>
          <w:lang w:eastAsia="zh-CN"/>
        </w:rPr>
        <w:t>, Bonvalot S, Casali P, Choi H, Debiec-Richter M, Dei Tos AP, Emile JF, Gronchi A, Hogendoorn PC, Joensuu H, Le Cesne A, McClure J, Maurel J, Nupponen N, Ray-Coquard I, Reichardt P, Sciot R, Stroobants S, van Glabbeke M, van Oosterom A, Demetri GD. Consensus meeting for the management of gastrointestinal stromal tumors. Report of the GIST Consensus Conference of 20-21 March 2004, under the auspices of ESMO. </w:t>
      </w:r>
      <w:r w:rsidRPr="00B93D97">
        <w:rPr>
          <w:rFonts w:ascii="Book Antiqua" w:eastAsia="宋体" w:hAnsi="Book Antiqua" w:cs="宋体"/>
          <w:i/>
          <w:iCs/>
          <w:color w:val="000000"/>
          <w:kern w:val="0"/>
          <w:sz w:val="24"/>
          <w:szCs w:val="24"/>
          <w:lang w:eastAsia="zh-CN"/>
        </w:rPr>
        <w:t>Ann Oncol</w:t>
      </w:r>
      <w:r w:rsidRPr="00B93D97">
        <w:rPr>
          <w:rFonts w:ascii="Book Antiqua" w:eastAsia="宋体" w:hAnsi="Book Antiqua" w:cs="宋体"/>
          <w:color w:val="000000"/>
          <w:kern w:val="0"/>
          <w:sz w:val="24"/>
          <w:szCs w:val="24"/>
          <w:lang w:eastAsia="zh-CN"/>
        </w:rPr>
        <w:t xml:space="preserve"> 2005; </w:t>
      </w:r>
      <w:r w:rsidRPr="00B93D97">
        <w:rPr>
          <w:rFonts w:ascii="Book Antiqua" w:eastAsia="宋体" w:hAnsi="Book Antiqua" w:cs="宋体"/>
          <w:b/>
          <w:bCs/>
          <w:color w:val="000000"/>
          <w:kern w:val="0"/>
          <w:sz w:val="24"/>
          <w:szCs w:val="24"/>
          <w:lang w:eastAsia="zh-CN"/>
        </w:rPr>
        <w:t>16</w:t>
      </w:r>
      <w:r w:rsidRPr="00B93D97">
        <w:rPr>
          <w:rFonts w:ascii="Book Antiqua" w:eastAsia="宋体" w:hAnsi="Book Antiqua" w:cs="宋体"/>
          <w:color w:val="000000"/>
          <w:kern w:val="0"/>
          <w:sz w:val="24"/>
          <w:szCs w:val="24"/>
          <w:lang w:eastAsia="zh-CN"/>
        </w:rPr>
        <w:t>: 566-578 [PMID: 15781488 DOI: 10.1093/annonc/mdi127]</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10 </w:t>
      </w:r>
      <w:r w:rsidRPr="00B93D97">
        <w:rPr>
          <w:rFonts w:ascii="Book Antiqua" w:eastAsia="宋体" w:hAnsi="Book Antiqua" w:cs="宋体"/>
          <w:b/>
          <w:bCs/>
          <w:color w:val="000000"/>
          <w:kern w:val="0"/>
          <w:sz w:val="24"/>
          <w:szCs w:val="24"/>
          <w:lang w:eastAsia="zh-CN"/>
        </w:rPr>
        <w:t>Casali PG</w:t>
      </w:r>
      <w:r w:rsidRPr="00B93D97">
        <w:rPr>
          <w:rFonts w:ascii="Book Antiqua" w:eastAsia="宋体" w:hAnsi="Book Antiqua" w:cs="宋体"/>
          <w:color w:val="000000"/>
          <w:kern w:val="0"/>
          <w:sz w:val="24"/>
          <w:szCs w:val="24"/>
          <w:lang w:eastAsia="zh-CN"/>
        </w:rPr>
        <w:t>, Jost L, Reichardt P, Schlemmer M, Blay JY</w:t>
      </w:r>
      <w:r w:rsidRPr="00B93D97">
        <w:rPr>
          <w:rFonts w:ascii="Book Antiqua" w:hAnsi="Book Antiqua"/>
          <w:kern w:val="0"/>
          <w:sz w:val="24"/>
          <w:szCs w:val="24"/>
          <w:lang w:eastAsia="de-DE"/>
        </w:rPr>
        <w:t xml:space="preserve">; </w:t>
      </w:r>
      <w:hyperlink r:id="rId8" w:history="1">
        <w:r w:rsidRPr="00B93D97">
          <w:rPr>
            <w:rFonts w:ascii="Book Antiqua" w:hAnsi="Book Antiqua"/>
            <w:kern w:val="0"/>
            <w:sz w:val="24"/>
            <w:szCs w:val="24"/>
            <w:lang w:eastAsia="de-DE"/>
          </w:rPr>
          <w:t>ESMO Guidelines Working Group</w:t>
        </w:r>
      </w:hyperlink>
      <w:r w:rsidRPr="00B93D97">
        <w:rPr>
          <w:rFonts w:ascii="Book Antiqua" w:hAnsi="Book Antiqua"/>
          <w:kern w:val="0"/>
          <w:sz w:val="24"/>
          <w:szCs w:val="24"/>
          <w:lang w:eastAsia="de-DE"/>
        </w:rPr>
        <w:t>.</w:t>
      </w:r>
      <w:r w:rsidRPr="00B93D97">
        <w:rPr>
          <w:rFonts w:ascii="Book Antiqua" w:eastAsia="宋体" w:hAnsi="Book Antiqua" w:cs="宋体"/>
          <w:color w:val="000000"/>
          <w:kern w:val="0"/>
          <w:sz w:val="24"/>
          <w:szCs w:val="24"/>
          <w:lang w:eastAsia="zh-CN"/>
        </w:rPr>
        <w:t xml:space="preserve"> Gastrointestinal stromal tumours: ESMO clinical recommendations for diagnosis, treatment and follow-up. </w:t>
      </w:r>
      <w:r w:rsidRPr="00B93D97">
        <w:rPr>
          <w:rFonts w:ascii="Book Antiqua" w:eastAsia="宋体" w:hAnsi="Book Antiqua" w:cs="宋体"/>
          <w:i/>
          <w:iCs/>
          <w:color w:val="000000"/>
          <w:kern w:val="0"/>
          <w:sz w:val="24"/>
          <w:szCs w:val="24"/>
          <w:lang w:eastAsia="zh-CN"/>
        </w:rPr>
        <w:t>Ann Oncol</w:t>
      </w:r>
      <w:r w:rsidRPr="00B93D97">
        <w:rPr>
          <w:rFonts w:ascii="Book Antiqua" w:eastAsia="宋体" w:hAnsi="Book Antiqua" w:cs="宋体"/>
          <w:color w:val="000000"/>
          <w:kern w:val="0"/>
          <w:sz w:val="24"/>
          <w:szCs w:val="24"/>
          <w:lang w:eastAsia="zh-CN"/>
        </w:rPr>
        <w:t> 2009; </w:t>
      </w:r>
      <w:r w:rsidRPr="00B93D97">
        <w:rPr>
          <w:rFonts w:ascii="Book Antiqua" w:eastAsia="宋体" w:hAnsi="Book Antiqua" w:cs="宋体"/>
          <w:b/>
          <w:bCs/>
          <w:color w:val="000000"/>
          <w:kern w:val="0"/>
          <w:sz w:val="24"/>
          <w:szCs w:val="24"/>
          <w:lang w:eastAsia="zh-CN"/>
        </w:rPr>
        <w:t>20 Suppl 4</w:t>
      </w:r>
      <w:r w:rsidRPr="00B93D97">
        <w:rPr>
          <w:rFonts w:ascii="Book Antiqua" w:eastAsia="宋体" w:hAnsi="Book Antiqua" w:cs="宋体"/>
          <w:color w:val="000000"/>
          <w:kern w:val="0"/>
          <w:sz w:val="24"/>
          <w:szCs w:val="24"/>
          <w:lang w:eastAsia="zh-CN"/>
        </w:rPr>
        <w:t>: 64-67 [PMID: 19454466 DOI: 10.1093/annonc/mdp131]</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11 </w:t>
      </w:r>
      <w:r w:rsidRPr="00B93D97">
        <w:rPr>
          <w:rFonts w:ascii="Book Antiqua" w:eastAsia="宋体" w:hAnsi="Book Antiqua" w:cs="宋体"/>
          <w:b/>
          <w:bCs/>
          <w:color w:val="000000"/>
          <w:kern w:val="0"/>
          <w:sz w:val="24"/>
          <w:szCs w:val="24"/>
          <w:lang w:eastAsia="zh-CN"/>
        </w:rPr>
        <w:t>Miettinen M</w:t>
      </w:r>
      <w:r w:rsidRPr="00B93D97">
        <w:rPr>
          <w:rFonts w:ascii="Book Antiqua" w:eastAsia="宋体" w:hAnsi="Book Antiqua" w:cs="宋体"/>
          <w:color w:val="000000"/>
          <w:kern w:val="0"/>
          <w:sz w:val="24"/>
          <w:szCs w:val="24"/>
          <w:lang w:eastAsia="zh-CN"/>
        </w:rPr>
        <w:t>, Lasota J. Gastrointestinal stromal tumors: pathology and prognosis at different sites. </w:t>
      </w:r>
      <w:r w:rsidRPr="00B93D97">
        <w:rPr>
          <w:rFonts w:ascii="Book Antiqua" w:eastAsia="宋体" w:hAnsi="Book Antiqua" w:cs="宋体"/>
          <w:i/>
          <w:iCs/>
          <w:color w:val="000000"/>
          <w:kern w:val="0"/>
          <w:sz w:val="24"/>
          <w:szCs w:val="24"/>
          <w:lang w:eastAsia="zh-CN"/>
        </w:rPr>
        <w:t>Semin Diagn Pathol</w:t>
      </w:r>
      <w:r w:rsidRPr="00B93D97">
        <w:rPr>
          <w:rFonts w:ascii="Book Antiqua" w:eastAsia="宋体" w:hAnsi="Book Antiqua" w:cs="宋体"/>
          <w:color w:val="000000"/>
          <w:kern w:val="0"/>
          <w:sz w:val="24"/>
          <w:szCs w:val="24"/>
          <w:lang w:eastAsia="zh-CN"/>
        </w:rPr>
        <w:t> 2006; </w:t>
      </w:r>
      <w:r w:rsidRPr="00B93D97">
        <w:rPr>
          <w:rFonts w:ascii="Book Antiqua" w:eastAsia="宋体" w:hAnsi="Book Antiqua" w:cs="宋体"/>
          <w:b/>
          <w:bCs/>
          <w:color w:val="000000"/>
          <w:kern w:val="0"/>
          <w:sz w:val="24"/>
          <w:szCs w:val="24"/>
          <w:lang w:eastAsia="zh-CN"/>
        </w:rPr>
        <w:t>23</w:t>
      </w:r>
      <w:r w:rsidRPr="00B93D97">
        <w:rPr>
          <w:rFonts w:ascii="Book Antiqua" w:eastAsia="宋体" w:hAnsi="Book Antiqua" w:cs="宋体"/>
          <w:color w:val="000000"/>
          <w:kern w:val="0"/>
          <w:sz w:val="24"/>
          <w:szCs w:val="24"/>
          <w:lang w:eastAsia="zh-CN"/>
        </w:rPr>
        <w:t>: 70-83 [PMID: 17193820]</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12 </w:t>
      </w:r>
      <w:r w:rsidRPr="00B93D97">
        <w:rPr>
          <w:rFonts w:ascii="Book Antiqua" w:eastAsia="宋体" w:hAnsi="Book Antiqua" w:cs="宋体"/>
          <w:b/>
          <w:bCs/>
          <w:color w:val="000000"/>
          <w:kern w:val="0"/>
          <w:sz w:val="24"/>
          <w:szCs w:val="24"/>
          <w:lang w:eastAsia="zh-CN"/>
        </w:rPr>
        <w:t>Tanaka J</w:t>
      </w:r>
      <w:r w:rsidRPr="00B93D97">
        <w:rPr>
          <w:rFonts w:ascii="Book Antiqua" w:eastAsia="宋体" w:hAnsi="Book Antiqua" w:cs="宋体"/>
          <w:color w:val="000000"/>
          <w:kern w:val="0"/>
          <w:sz w:val="24"/>
          <w:szCs w:val="24"/>
          <w:lang w:eastAsia="zh-CN"/>
        </w:rPr>
        <w:t>, Oshima T, Hori K, Tomita T, Kim Y, Watari J, Oh K, Hirota S, Matsumoto T, Miwa H. Small gastrointestinal stromal tumor of the stomach showing rapid growth and early metastasis to the liver. </w:t>
      </w:r>
      <w:r w:rsidRPr="00B93D97">
        <w:rPr>
          <w:rFonts w:ascii="Book Antiqua" w:eastAsia="宋体" w:hAnsi="Book Antiqua" w:cs="宋体"/>
          <w:i/>
          <w:iCs/>
          <w:color w:val="000000"/>
          <w:kern w:val="0"/>
          <w:sz w:val="24"/>
          <w:szCs w:val="24"/>
          <w:lang w:eastAsia="zh-CN"/>
        </w:rPr>
        <w:t>Dig Endosc</w:t>
      </w:r>
      <w:r w:rsidRPr="00B93D97">
        <w:rPr>
          <w:rFonts w:ascii="Book Antiqua" w:eastAsia="宋体" w:hAnsi="Book Antiqua" w:cs="宋体"/>
          <w:color w:val="000000"/>
          <w:kern w:val="0"/>
          <w:sz w:val="24"/>
          <w:szCs w:val="24"/>
          <w:lang w:eastAsia="zh-CN"/>
        </w:rPr>
        <w:t xml:space="preserve"> 2010; </w:t>
      </w:r>
      <w:r w:rsidRPr="00B93D97">
        <w:rPr>
          <w:rFonts w:ascii="Book Antiqua" w:eastAsia="宋体" w:hAnsi="Book Antiqua" w:cs="宋体"/>
          <w:b/>
          <w:bCs/>
          <w:color w:val="000000"/>
          <w:kern w:val="0"/>
          <w:sz w:val="24"/>
          <w:szCs w:val="24"/>
          <w:lang w:eastAsia="zh-CN"/>
        </w:rPr>
        <w:t>22</w:t>
      </w:r>
      <w:r w:rsidRPr="00B93D97">
        <w:rPr>
          <w:rFonts w:ascii="Book Antiqua" w:eastAsia="宋体" w:hAnsi="Book Antiqua" w:cs="宋体"/>
          <w:color w:val="000000"/>
          <w:kern w:val="0"/>
          <w:sz w:val="24"/>
          <w:szCs w:val="24"/>
          <w:lang w:eastAsia="zh-CN"/>
        </w:rPr>
        <w:t>: 354-356 [PMID: 21175497 DOI: 10.1111/j.1443-1661.2010.01032.x]</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13 </w:t>
      </w:r>
      <w:r w:rsidRPr="00B93D97">
        <w:rPr>
          <w:rFonts w:ascii="Book Antiqua" w:eastAsia="宋体" w:hAnsi="Book Antiqua" w:cs="宋体"/>
          <w:b/>
          <w:bCs/>
          <w:color w:val="000000"/>
          <w:kern w:val="0"/>
          <w:sz w:val="24"/>
          <w:szCs w:val="24"/>
          <w:lang w:eastAsia="zh-CN"/>
        </w:rPr>
        <w:t>Mekky MA</w:t>
      </w:r>
      <w:r w:rsidRPr="00B93D97">
        <w:rPr>
          <w:rFonts w:ascii="Book Antiqua" w:eastAsia="宋体" w:hAnsi="Book Antiqua" w:cs="宋体"/>
          <w:color w:val="000000"/>
          <w:kern w:val="0"/>
          <w:sz w:val="24"/>
          <w:szCs w:val="24"/>
          <w:lang w:eastAsia="zh-CN"/>
        </w:rPr>
        <w:t>, Yamao K, Sawaki A, Mizuno N, Hara K, Nafeh MA, Osman AM, Koshikawa T, Yatabe Y, Bhatia V. Diagnostic utility of EUS-guided FNA in patients with gastric submucosal tumors. </w:t>
      </w:r>
      <w:r w:rsidRPr="00B93D97">
        <w:rPr>
          <w:rFonts w:ascii="Book Antiqua" w:eastAsia="宋体" w:hAnsi="Book Antiqua" w:cs="宋体"/>
          <w:i/>
          <w:iCs/>
          <w:color w:val="000000"/>
          <w:kern w:val="0"/>
          <w:sz w:val="24"/>
          <w:szCs w:val="24"/>
          <w:lang w:eastAsia="zh-CN"/>
        </w:rPr>
        <w:t>Gastrointest Endosc</w:t>
      </w:r>
      <w:r w:rsidRPr="00B93D97">
        <w:rPr>
          <w:rFonts w:ascii="Book Antiqua" w:eastAsia="宋体" w:hAnsi="Book Antiqua" w:cs="宋体"/>
          <w:color w:val="000000"/>
          <w:kern w:val="0"/>
          <w:sz w:val="24"/>
          <w:szCs w:val="24"/>
          <w:lang w:eastAsia="zh-CN"/>
        </w:rPr>
        <w:t> 2010; </w:t>
      </w:r>
      <w:r w:rsidRPr="00B93D97">
        <w:rPr>
          <w:rFonts w:ascii="Book Antiqua" w:eastAsia="宋体" w:hAnsi="Book Antiqua" w:cs="宋体"/>
          <w:b/>
          <w:bCs/>
          <w:color w:val="000000"/>
          <w:kern w:val="0"/>
          <w:sz w:val="24"/>
          <w:szCs w:val="24"/>
          <w:lang w:eastAsia="zh-CN"/>
        </w:rPr>
        <w:t>71</w:t>
      </w:r>
      <w:r w:rsidRPr="00B93D97">
        <w:rPr>
          <w:rFonts w:ascii="Book Antiqua" w:eastAsia="宋体" w:hAnsi="Book Antiqua" w:cs="宋体"/>
          <w:color w:val="000000"/>
          <w:kern w:val="0"/>
          <w:sz w:val="24"/>
          <w:szCs w:val="24"/>
          <w:lang w:eastAsia="zh-CN"/>
        </w:rPr>
        <w:t>: 913-919 [PMID: 20226456 DOI: 10.1016/j.gie.2009.11.044]</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 xml:space="preserve">14 </w:t>
      </w:r>
      <w:r w:rsidRPr="00B93D97">
        <w:rPr>
          <w:rFonts w:ascii="Book Antiqua" w:eastAsia="宋体" w:hAnsi="Book Antiqua" w:cs="宋体"/>
          <w:b/>
          <w:color w:val="000000"/>
          <w:kern w:val="0"/>
          <w:sz w:val="24"/>
          <w:szCs w:val="24"/>
          <w:lang w:eastAsia="zh-CN"/>
        </w:rPr>
        <w:t>Yamada Y</w:t>
      </w:r>
      <w:r w:rsidRPr="00B93D97">
        <w:rPr>
          <w:rFonts w:ascii="Book Antiqua" w:eastAsia="宋体" w:hAnsi="Book Antiqua" w:cs="宋体"/>
          <w:color w:val="000000"/>
          <w:kern w:val="0"/>
          <w:sz w:val="24"/>
          <w:szCs w:val="24"/>
          <w:lang w:eastAsia="zh-CN"/>
        </w:rPr>
        <w:t xml:space="preserve">, Kida M, Sakaguchi T. A study on myogenic tumors of the upper gastrointestinal tract by endoscopic ultrasonography - with special reference to the differential diagnosis of benign and malignant lesions. </w:t>
      </w:r>
      <w:r w:rsidRPr="00B93D97">
        <w:rPr>
          <w:rFonts w:ascii="Book Antiqua" w:eastAsia="宋体" w:hAnsi="Book Antiqua" w:cs="宋体"/>
          <w:i/>
          <w:color w:val="000000"/>
          <w:kern w:val="0"/>
          <w:sz w:val="24"/>
          <w:szCs w:val="24"/>
          <w:lang w:eastAsia="zh-CN"/>
        </w:rPr>
        <w:t xml:space="preserve">Dig Endosc </w:t>
      </w:r>
      <w:r w:rsidRPr="00B93D97">
        <w:rPr>
          <w:rFonts w:ascii="Book Antiqua" w:eastAsia="宋体" w:hAnsi="Book Antiqua" w:cs="宋体"/>
          <w:color w:val="000000"/>
          <w:kern w:val="0"/>
          <w:sz w:val="24"/>
          <w:szCs w:val="24"/>
          <w:lang w:eastAsia="zh-CN"/>
        </w:rPr>
        <w:t xml:space="preserve">1992: </w:t>
      </w:r>
      <w:r w:rsidRPr="00B93D97">
        <w:rPr>
          <w:rFonts w:ascii="Book Antiqua" w:eastAsia="宋体" w:hAnsi="Book Antiqua" w:cs="宋体"/>
          <w:b/>
          <w:color w:val="000000"/>
          <w:kern w:val="0"/>
          <w:sz w:val="24"/>
          <w:szCs w:val="24"/>
          <w:lang w:eastAsia="zh-CN"/>
        </w:rPr>
        <w:t>4</w:t>
      </w:r>
      <w:r w:rsidRPr="00B93D97">
        <w:rPr>
          <w:rFonts w:ascii="Book Antiqua" w:eastAsia="宋体" w:hAnsi="Book Antiqua" w:cs="宋体"/>
          <w:color w:val="000000"/>
          <w:kern w:val="0"/>
          <w:sz w:val="24"/>
          <w:szCs w:val="24"/>
          <w:lang w:eastAsia="zh-CN"/>
        </w:rPr>
        <w:t>: 396-408</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 xml:space="preserve">15 </w:t>
      </w:r>
      <w:r w:rsidRPr="00B93D97">
        <w:rPr>
          <w:rFonts w:ascii="Book Antiqua" w:eastAsia="宋体" w:hAnsi="Book Antiqua" w:cs="宋体"/>
          <w:b/>
          <w:color w:val="000000"/>
          <w:kern w:val="0"/>
          <w:sz w:val="24"/>
          <w:szCs w:val="24"/>
          <w:lang w:eastAsia="zh-CN"/>
        </w:rPr>
        <w:t>Collins VP</w:t>
      </w:r>
      <w:r w:rsidRPr="00B93D97">
        <w:rPr>
          <w:rFonts w:ascii="Book Antiqua" w:eastAsia="宋体" w:hAnsi="Book Antiqua" w:cs="宋体"/>
          <w:color w:val="000000"/>
          <w:kern w:val="0"/>
          <w:sz w:val="24"/>
          <w:szCs w:val="24"/>
          <w:lang w:eastAsia="zh-CN"/>
        </w:rPr>
        <w:t xml:space="preserve">, Loeffle RK, Tivey H. Observation on growth rates of human tumors. </w:t>
      </w:r>
      <w:r w:rsidRPr="00B93D97">
        <w:rPr>
          <w:rFonts w:ascii="Book Antiqua" w:eastAsia="宋体" w:hAnsi="Book Antiqua" w:cs="宋体"/>
          <w:i/>
          <w:color w:val="000000"/>
          <w:kern w:val="0"/>
          <w:sz w:val="24"/>
          <w:szCs w:val="24"/>
          <w:lang w:eastAsia="zh-CN"/>
        </w:rPr>
        <w:t xml:space="preserve">Am J Roentgenol Radium Ther Nucl Med </w:t>
      </w:r>
      <w:r w:rsidRPr="00B93D97">
        <w:rPr>
          <w:rFonts w:ascii="Book Antiqua" w:eastAsia="宋体" w:hAnsi="Book Antiqua" w:cs="宋体"/>
          <w:color w:val="000000"/>
          <w:kern w:val="0"/>
          <w:sz w:val="24"/>
          <w:szCs w:val="24"/>
          <w:lang w:eastAsia="zh-CN"/>
        </w:rPr>
        <w:t xml:space="preserve">1956: </w:t>
      </w:r>
      <w:r w:rsidRPr="00B93D97">
        <w:rPr>
          <w:rFonts w:ascii="Book Antiqua" w:eastAsia="宋体" w:hAnsi="Book Antiqua" w:cs="宋体"/>
          <w:b/>
          <w:color w:val="000000"/>
          <w:kern w:val="0"/>
          <w:sz w:val="24"/>
          <w:szCs w:val="24"/>
          <w:lang w:eastAsia="zh-CN"/>
        </w:rPr>
        <w:t>76</w:t>
      </w:r>
      <w:r w:rsidRPr="00B93D97">
        <w:rPr>
          <w:rFonts w:ascii="Book Antiqua" w:eastAsia="宋体" w:hAnsi="Book Antiqua" w:cs="宋体"/>
          <w:color w:val="000000"/>
          <w:kern w:val="0"/>
          <w:sz w:val="24"/>
          <w:szCs w:val="24"/>
          <w:lang w:eastAsia="zh-CN"/>
        </w:rPr>
        <w:t>: 988-1000 [PMID: 13362715]</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lastRenderedPageBreak/>
        <w:t>16 </w:t>
      </w:r>
      <w:r w:rsidRPr="00B93D97">
        <w:rPr>
          <w:rFonts w:ascii="Book Antiqua" w:eastAsia="宋体" w:hAnsi="Book Antiqua" w:cs="宋体"/>
          <w:b/>
          <w:bCs/>
          <w:color w:val="000000"/>
          <w:kern w:val="0"/>
          <w:sz w:val="24"/>
          <w:szCs w:val="24"/>
          <w:lang w:eastAsia="zh-CN"/>
        </w:rPr>
        <w:t>Choi JW</w:t>
      </w:r>
      <w:r w:rsidRPr="00B93D97">
        <w:rPr>
          <w:rFonts w:ascii="Book Antiqua" w:eastAsia="宋体" w:hAnsi="Book Antiqua" w:cs="宋体"/>
          <w:color w:val="000000"/>
          <w:kern w:val="0"/>
          <w:sz w:val="24"/>
          <w:szCs w:val="24"/>
          <w:lang w:eastAsia="zh-CN"/>
        </w:rPr>
        <w:t>, Choi D, Kim KM, Sohn TS, Lee JH, Kim HJ, Lee SJ. Small submucosal tumors of the stomach: differentiation of gastric schwannoma from gastrointestinal stromal tumor with CT. </w:t>
      </w:r>
      <w:r w:rsidRPr="00B93D97">
        <w:rPr>
          <w:rFonts w:ascii="Book Antiqua" w:eastAsia="宋体" w:hAnsi="Book Antiqua" w:cs="宋体"/>
          <w:i/>
          <w:iCs/>
          <w:color w:val="000000"/>
          <w:kern w:val="0"/>
          <w:sz w:val="24"/>
          <w:szCs w:val="24"/>
          <w:lang w:eastAsia="zh-CN"/>
        </w:rPr>
        <w:t>Korean J Radiol</w:t>
      </w:r>
      <w:r w:rsidRPr="00B93D97">
        <w:rPr>
          <w:rFonts w:ascii="Book Antiqua" w:eastAsia="宋体" w:hAnsi="Book Antiqua" w:cs="宋体"/>
          <w:color w:val="000000"/>
          <w:kern w:val="0"/>
          <w:sz w:val="24"/>
          <w:szCs w:val="24"/>
          <w:lang w:eastAsia="zh-CN"/>
        </w:rPr>
        <w:t> 2012; </w:t>
      </w:r>
      <w:r w:rsidRPr="00B93D97">
        <w:rPr>
          <w:rFonts w:ascii="Book Antiqua" w:eastAsia="宋体" w:hAnsi="Book Antiqua" w:cs="宋体"/>
          <w:b/>
          <w:bCs/>
          <w:color w:val="000000"/>
          <w:kern w:val="0"/>
          <w:sz w:val="24"/>
          <w:szCs w:val="24"/>
          <w:lang w:eastAsia="zh-CN"/>
        </w:rPr>
        <w:t>13</w:t>
      </w:r>
      <w:r w:rsidRPr="00B93D97">
        <w:rPr>
          <w:rFonts w:ascii="Book Antiqua" w:eastAsia="宋体" w:hAnsi="Book Antiqua" w:cs="宋体"/>
          <w:color w:val="000000"/>
          <w:kern w:val="0"/>
          <w:sz w:val="24"/>
          <w:szCs w:val="24"/>
          <w:lang w:eastAsia="zh-CN"/>
        </w:rPr>
        <w:t>: 425-433 [PMID: 22778564 DOI: 10.3348/kjr.2012.13.4.425]</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17 </w:t>
      </w:r>
      <w:r w:rsidRPr="00B93D97">
        <w:rPr>
          <w:rFonts w:ascii="Book Antiqua" w:eastAsia="宋体" w:hAnsi="Book Antiqua" w:cs="宋体"/>
          <w:b/>
          <w:bCs/>
          <w:color w:val="000000"/>
          <w:kern w:val="0"/>
          <w:sz w:val="24"/>
          <w:szCs w:val="24"/>
          <w:lang w:eastAsia="zh-CN"/>
        </w:rPr>
        <w:t>Kida M</w:t>
      </w:r>
      <w:r w:rsidRPr="00B93D97">
        <w:rPr>
          <w:rFonts w:ascii="Book Antiqua" w:eastAsia="宋体" w:hAnsi="Book Antiqua" w:cs="宋体"/>
          <w:color w:val="000000"/>
          <w:kern w:val="0"/>
          <w:sz w:val="24"/>
          <w:szCs w:val="24"/>
          <w:lang w:eastAsia="zh-CN"/>
        </w:rPr>
        <w:t>, Araki M, Miyazawa S, Ikeda H, Takezawa M, Kikuchi H, Watanabe M, Imaizumi H, Koizumi W. Comparison of diagnostic accuracy of endoscopic ultrasound-guided fine-needle aspiration with 22- and 25-gauge needles in the same patients. </w:t>
      </w:r>
      <w:r w:rsidRPr="00B93D97">
        <w:rPr>
          <w:rFonts w:ascii="Book Antiqua" w:eastAsia="宋体" w:hAnsi="Book Antiqua" w:cs="宋体"/>
          <w:i/>
          <w:iCs/>
          <w:color w:val="000000"/>
          <w:kern w:val="0"/>
          <w:sz w:val="24"/>
          <w:szCs w:val="24"/>
          <w:lang w:eastAsia="zh-CN"/>
        </w:rPr>
        <w:t>J Interv Gastroenterol</w:t>
      </w:r>
      <w:r w:rsidRPr="00B93D97">
        <w:rPr>
          <w:rFonts w:ascii="Book Antiqua" w:eastAsia="宋体" w:hAnsi="Book Antiqua" w:cs="宋体"/>
          <w:color w:val="000000"/>
          <w:kern w:val="0"/>
          <w:sz w:val="24"/>
          <w:szCs w:val="24"/>
          <w:lang w:eastAsia="zh-CN"/>
        </w:rPr>
        <w:t> 2011; </w:t>
      </w:r>
      <w:r w:rsidRPr="00B93D97">
        <w:rPr>
          <w:rFonts w:ascii="Book Antiqua" w:eastAsia="宋体" w:hAnsi="Book Antiqua" w:cs="宋体"/>
          <w:b/>
          <w:bCs/>
          <w:color w:val="000000"/>
          <w:kern w:val="0"/>
          <w:sz w:val="24"/>
          <w:szCs w:val="24"/>
          <w:lang w:eastAsia="zh-CN"/>
        </w:rPr>
        <w:t>1</w:t>
      </w:r>
      <w:r w:rsidRPr="00B93D97">
        <w:rPr>
          <w:rFonts w:ascii="Book Antiqua" w:eastAsia="宋体" w:hAnsi="Book Antiqua" w:cs="宋体"/>
          <w:color w:val="000000"/>
          <w:kern w:val="0"/>
          <w:sz w:val="24"/>
          <w:szCs w:val="24"/>
          <w:lang w:eastAsia="zh-CN"/>
        </w:rPr>
        <w:t>: 102-107 [PMID: 22163079 DOI: 10.4161/jig.1.3.18508]</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18 </w:t>
      </w:r>
      <w:r w:rsidRPr="00B93D97">
        <w:rPr>
          <w:rFonts w:ascii="Book Antiqua" w:eastAsia="宋体" w:hAnsi="Book Antiqua" w:cs="宋体"/>
          <w:b/>
          <w:bCs/>
          <w:color w:val="000000"/>
          <w:kern w:val="0"/>
          <w:sz w:val="24"/>
          <w:szCs w:val="24"/>
          <w:lang w:eastAsia="zh-CN"/>
        </w:rPr>
        <w:t>Okubo K</w:t>
      </w:r>
      <w:r w:rsidRPr="00B93D97">
        <w:rPr>
          <w:rFonts w:ascii="Book Antiqua" w:eastAsia="宋体" w:hAnsi="Book Antiqua" w:cs="宋体"/>
          <w:color w:val="000000"/>
          <w:kern w:val="0"/>
          <w:sz w:val="24"/>
          <w:szCs w:val="24"/>
          <w:lang w:eastAsia="zh-CN"/>
        </w:rPr>
        <w:t>, Yamao K, Nakamura T, Tajika M, Sawaki A, Hara K, Kawai H, Yamamura Y, Mochizuki Y, Koshikawa T, Inada K. Endoscopic ultrasound-guided fine-needle aspiration biopsy for the diagnosis of gastrointestinal stromal tumors in the stomach. </w:t>
      </w:r>
      <w:r w:rsidRPr="00B93D97">
        <w:rPr>
          <w:rFonts w:ascii="Book Antiqua" w:eastAsia="宋体" w:hAnsi="Book Antiqua" w:cs="宋体"/>
          <w:i/>
          <w:iCs/>
          <w:color w:val="000000"/>
          <w:kern w:val="0"/>
          <w:sz w:val="24"/>
          <w:szCs w:val="24"/>
          <w:lang w:eastAsia="zh-CN"/>
        </w:rPr>
        <w:t>J Gastroenterol</w:t>
      </w:r>
      <w:r w:rsidRPr="00B93D97">
        <w:rPr>
          <w:rFonts w:ascii="Book Antiqua" w:eastAsia="宋体" w:hAnsi="Book Antiqua" w:cs="宋体"/>
          <w:color w:val="000000"/>
          <w:kern w:val="0"/>
          <w:sz w:val="24"/>
          <w:szCs w:val="24"/>
          <w:lang w:eastAsia="zh-CN"/>
        </w:rPr>
        <w:t> 2004; </w:t>
      </w:r>
      <w:r w:rsidRPr="00B93D97">
        <w:rPr>
          <w:rFonts w:ascii="Book Antiqua" w:eastAsia="宋体" w:hAnsi="Book Antiqua" w:cs="宋体"/>
          <w:b/>
          <w:bCs/>
          <w:color w:val="000000"/>
          <w:kern w:val="0"/>
          <w:sz w:val="24"/>
          <w:szCs w:val="24"/>
          <w:lang w:eastAsia="zh-CN"/>
        </w:rPr>
        <w:t>39</w:t>
      </w:r>
      <w:r w:rsidRPr="00B93D97">
        <w:rPr>
          <w:rFonts w:ascii="Book Antiqua" w:eastAsia="宋体" w:hAnsi="Book Antiqua" w:cs="宋体"/>
          <w:color w:val="000000"/>
          <w:kern w:val="0"/>
          <w:sz w:val="24"/>
          <w:szCs w:val="24"/>
          <w:lang w:eastAsia="zh-CN"/>
        </w:rPr>
        <w:t>: 747-753 [PMID: 15338368 DOI: 10.1007/s00535-004-1383-0]</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19 </w:t>
      </w:r>
      <w:r w:rsidRPr="00B93D97">
        <w:rPr>
          <w:rFonts w:ascii="Book Antiqua" w:eastAsia="宋体" w:hAnsi="Book Antiqua" w:cs="宋体"/>
          <w:b/>
          <w:bCs/>
          <w:color w:val="000000"/>
          <w:kern w:val="0"/>
          <w:sz w:val="24"/>
          <w:szCs w:val="24"/>
          <w:lang w:eastAsia="zh-CN"/>
        </w:rPr>
        <w:t>Binmoeller KF</w:t>
      </w:r>
      <w:r w:rsidRPr="00B93D97">
        <w:rPr>
          <w:rFonts w:ascii="Book Antiqua" w:eastAsia="宋体" w:hAnsi="Book Antiqua" w:cs="宋体"/>
          <w:color w:val="000000"/>
          <w:kern w:val="0"/>
          <w:sz w:val="24"/>
          <w:szCs w:val="24"/>
          <w:lang w:eastAsia="zh-CN"/>
        </w:rPr>
        <w:t>, Shah JN, Bhat YM, Kane SD. Suck-ligate-unroof-biopsy by using a detachable 20-mm loop for the diagnosis and therapy of small subepithelial tumors (with video). </w:t>
      </w:r>
      <w:r w:rsidRPr="00B93D97">
        <w:rPr>
          <w:rFonts w:ascii="Book Antiqua" w:eastAsia="宋体" w:hAnsi="Book Antiqua" w:cs="宋体"/>
          <w:i/>
          <w:iCs/>
          <w:color w:val="000000"/>
          <w:kern w:val="0"/>
          <w:sz w:val="24"/>
          <w:szCs w:val="24"/>
          <w:lang w:eastAsia="zh-CN"/>
        </w:rPr>
        <w:t>Gastrointest Endosc</w:t>
      </w:r>
      <w:r w:rsidRPr="00B93D97">
        <w:rPr>
          <w:rFonts w:ascii="Book Antiqua" w:eastAsia="宋体" w:hAnsi="Book Antiqua" w:cs="宋体"/>
          <w:color w:val="000000"/>
          <w:kern w:val="0"/>
          <w:sz w:val="24"/>
          <w:szCs w:val="24"/>
          <w:lang w:eastAsia="zh-CN"/>
        </w:rPr>
        <w:t> 2014; </w:t>
      </w:r>
      <w:r w:rsidRPr="00B93D97">
        <w:rPr>
          <w:rFonts w:ascii="Book Antiqua" w:eastAsia="宋体" w:hAnsi="Book Antiqua" w:cs="宋体"/>
          <w:b/>
          <w:bCs/>
          <w:color w:val="000000"/>
          <w:kern w:val="0"/>
          <w:sz w:val="24"/>
          <w:szCs w:val="24"/>
          <w:lang w:eastAsia="zh-CN"/>
        </w:rPr>
        <w:t>79</w:t>
      </w:r>
      <w:r w:rsidRPr="00B93D97">
        <w:rPr>
          <w:rFonts w:ascii="Book Antiqua" w:eastAsia="宋体" w:hAnsi="Book Antiqua" w:cs="宋体"/>
          <w:color w:val="000000"/>
          <w:kern w:val="0"/>
          <w:sz w:val="24"/>
          <w:szCs w:val="24"/>
          <w:lang w:eastAsia="zh-CN"/>
        </w:rPr>
        <w:t>: 750-755 [PMID: 24238309 DOI: 10.1016/j.gie.2013.09.028]</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20 </w:t>
      </w:r>
      <w:r w:rsidRPr="00B93D97">
        <w:rPr>
          <w:rFonts w:ascii="Book Antiqua" w:eastAsia="宋体" w:hAnsi="Book Antiqua" w:cs="宋体"/>
          <w:b/>
          <w:bCs/>
          <w:color w:val="000000"/>
          <w:kern w:val="0"/>
          <w:sz w:val="24"/>
          <w:szCs w:val="24"/>
          <w:lang w:eastAsia="zh-CN"/>
        </w:rPr>
        <w:t>de la Serna-Higuera C</w:t>
      </w:r>
      <w:r w:rsidRPr="00B93D97">
        <w:rPr>
          <w:rFonts w:ascii="Book Antiqua" w:eastAsia="宋体" w:hAnsi="Book Antiqua" w:cs="宋体"/>
          <w:color w:val="000000"/>
          <w:kern w:val="0"/>
          <w:sz w:val="24"/>
          <w:szCs w:val="24"/>
          <w:lang w:eastAsia="zh-CN"/>
        </w:rPr>
        <w:t>, Pérez-Miranda M, Díez-Redondo P, Gil-Simón P, Herranz T, Pérez-Martín E, Ochoa C, Caro-Patón A. EUS-guided single-incision needle-knife biopsy: description and results of a new method for tissue sampling of subepithelial GI tumors (with video). </w:t>
      </w:r>
      <w:r w:rsidRPr="00B93D97">
        <w:rPr>
          <w:rFonts w:ascii="Book Antiqua" w:eastAsia="宋体" w:hAnsi="Book Antiqua" w:cs="宋体"/>
          <w:i/>
          <w:iCs/>
          <w:color w:val="000000"/>
          <w:kern w:val="0"/>
          <w:sz w:val="24"/>
          <w:szCs w:val="24"/>
          <w:lang w:eastAsia="zh-CN"/>
        </w:rPr>
        <w:t>Gastrointest Endosc</w:t>
      </w:r>
      <w:r w:rsidRPr="00B93D97">
        <w:rPr>
          <w:rFonts w:ascii="Book Antiqua" w:eastAsia="宋体" w:hAnsi="Book Antiqua" w:cs="宋体"/>
          <w:color w:val="000000"/>
          <w:kern w:val="0"/>
          <w:sz w:val="24"/>
          <w:szCs w:val="24"/>
          <w:lang w:eastAsia="zh-CN"/>
        </w:rPr>
        <w:t xml:space="preserve"> 2011; </w:t>
      </w:r>
      <w:r w:rsidRPr="00B93D97">
        <w:rPr>
          <w:rFonts w:ascii="Book Antiqua" w:eastAsia="宋体" w:hAnsi="Book Antiqua" w:cs="宋体"/>
          <w:b/>
          <w:bCs/>
          <w:color w:val="000000"/>
          <w:kern w:val="0"/>
          <w:sz w:val="24"/>
          <w:szCs w:val="24"/>
          <w:lang w:eastAsia="zh-CN"/>
        </w:rPr>
        <w:t>74</w:t>
      </w:r>
      <w:r w:rsidRPr="00B93D97">
        <w:rPr>
          <w:rFonts w:ascii="Book Antiqua" w:eastAsia="宋体" w:hAnsi="Book Antiqua" w:cs="宋体"/>
          <w:color w:val="000000"/>
          <w:kern w:val="0"/>
          <w:sz w:val="24"/>
          <w:szCs w:val="24"/>
          <w:lang w:eastAsia="zh-CN"/>
        </w:rPr>
        <w:t>: 672-676 [PMID: 21872716 DOI: 10.1016/j.gie.2011.05.042]</w:t>
      </w:r>
    </w:p>
    <w:p w:rsidR="00B93D97" w:rsidRPr="00B93D97" w:rsidRDefault="00B93D97" w:rsidP="00971E2B">
      <w:pPr>
        <w:widowControl/>
        <w:snapToGrid w:val="0"/>
        <w:spacing w:line="360" w:lineRule="auto"/>
        <w:rPr>
          <w:rFonts w:ascii="Book Antiqua" w:eastAsia="宋体" w:hAnsi="Book Antiqua" w:cs="宋体"/>
          <w:color w:val="000000"/>
          <w:kern w:val="0"/>
          <w:sz w:val="24"/>
          <w:szCs w:val="24"/>
          <w:lang w:eastAsia="zh-CN"/>
        </w:rPr>
      </w:pPr>
      <w:r w:rsidRPr="00B93D97">
        <w:rPr>
          <w:rFonts w:ascii="Book Antiqua" w:eastAsia="宋体" w:hAnsi="Book Antiqua" w:cs="宋体"/>
          <w:color w:val="000000"/>
          <w:kern w:val="0"/>
          <w:sz w:val="24"/>
          <w:szCs w:val="24"/>
          <w:lang w:eastAsia="zh-CN"/>
        </w:rPr>
        <w:t>21 </w:t>
      </w:r>
      <w:r w:rsidRPr="00B93D97">
        <w:rPr>
          <w:rFonts w:ascii="Book Antiqua" w:eastAsia="宋体" w:hAnsi="Book Antiqua" w:cs="宋体"/>
          <w:b/>
          <w:bCs/>
          <w:color w:val="000000"/>
          <w:kern w:val="0"/>
          <w:sz w:val="24"/>
          <w:szCs w:val="24"/>
          <w:lang w:eastAsia="zh-CN"/>
        </w:rPr>
        <w:t>Kobara H</w:t>
      </w:r>
      <w:r w:rsidRPr="00B93D97">
        <w:rPr>
          <w:rFonts w:ascii="Book Antiqua" w:eastAsia="宋体" w:hAnsi="Book Antiqua" w:cs="宋体"/>
          <w:color w:val="000000"/>
          <w:kern w:val="0"/>
          <w:sz w:val="24"/>
          <w:szCs w:val="24"/>
          <w:lang w:eastAsia="zh-CN"/>
        </w:rPr>
        <w:t xml:space="preserve">, Mori H, Fujihara S, Nishiyama N, Kobayashi M, Kamata H, Masaki T. Bloc biopsy by using submucosal endoscopy with a mucosal flap method for gastric subepithelial tumor tissue sampling (with video). </w:t>
      </w:r>
      <w:r w:rsidRPr="00B93D97">
        <w:rPr>
          <w:rFonts w:ascii="Book Antiqua" w:eastAsia="宋体" w:hAnsi="Book Antiqua" w:cs="宋体"/>
          <w:i/>
          <w:iCs/>
          <w:color w:val="000000"/>
          <w:kern w:val="0"/>
          <w:sz w:val="24"/>
          <w:szCs w:val="24"/>
          <w:lang w:eastAsia="zh-CN"/>
        </w:rPr>
        <w:t>Gastrointest Endosc</w:t>
      </w:r>
      <w:r w:rsidRPr="00B93D97">
        <w:rPr>
          <w:rFonts w:ascii="Book Antiqua" w:eastAsia="宋体" w:hAnsi="Book Antiqua" w:cs="宋体"/>
          <w:color w:val="000000"/>
          <w:kern w:val="0"/>
          <w:sz w:val="24"/>
          <w:szCs w:val="24"/>
          <w:lang w:eastAsia="zh-CN"/>
        </w:rPr>
        <w:t xml:space="preserve"> 2013; </w:t>
      </w:r>
      <w:r w:rsidRPr="00B93D97">
        <w:rPr>
          <w:rFonts w:ascii="Book Antiqua" w:eastAsia="宋体" w:hAnsi="Book Antiqua" w:cs="宋体"/>
          <w:b/>
          <w:bCs/>
          <w:color w:val="000000"/>
          <w:kern w:val="0"/>
          <w:sz w:val="24"/>
          <w:szCs w:val="24"/>
          <w:lang w:eastAsia="zh-CN"/>
        </w:rPr>
        <w:t>77</w:t>
      </w:r>
      <w:r w:rsidRPr="00B93D97">
        <w:rPr>
          <w:rFonts w:ascii="Book Antiqua" w:eastAsia="宋体" w:hAnsi="Book Antiqua" w:cs="宋体"/>
          <w:color w:val="000000"/>
          <w:kern w:val="0"/>
          <w:sz w:val="24"/>
          <w:szCs w:val="24"/>
          <w:lang w:eastAsia="zh-CN"/>
        </w:rPr>
        <w:t>: 141-145 [PMID: 23021164 DOI: 10.1016/j.gie.2012.08.008]</w:t>
      </w:r>
    </w:p>
    <w:p w:rsidR="00B93D97" w:rsidRPr="00B93D97" w:rsidRDefault="00B93D97" w:rsidP="00971E2B">
      <w:pPr>
        <w:widowControl/>
        <w:snapToGrid w:val="0"/>
        <w:spacing w:line="360" w:lineRule="auto"/>
        <w:jc w:val="right"/>
        <w:rPr>
          <w:rFonts w:ascii="Book Antiqua" w:eastAsia="宋体" w:hAnsi="Book Antiqua"/>
          <w:kern w:val="0"/>
          <w:sz w:val="24"/>
          <w:szCs w:val="24"/>
          <w:lang w:eastAsia="zh-CN"/>
        </w:rPr>
      </w:pPr>
      <w:bookmarkStart w:id="133" w:name="OLE_LINK51"/>
      <w:bookmarkStart w:id="134" w:name="OLE_LINK52"/>
      <w:bookmarkStart w:id="135" w:name="OLE_LINK120"/>
      <w:bookmarkStart w:id="136" w:name="OLE_LINK148"/>
      <w:bookmarkStart w:id="137" w:name="OLE_LINK72"/>
      <w:bookmarkStart w:id="138" w:name="OLE_LINK112"/>
      <w:bookmarkStart w:id="139" w:name="OLE_LINK320"/>
      <w:bookmarkStart w:id="140" w:name="OLE_LINK387"/>
      <w:bookmarkStart w:id="141" w:name="OLE_LINK183"/>
      <w:bookmarkStart w:id="142" w:name="OLE_LINK254"/>
      <w:bookmarkStart w:id="143" w:name="OLE_LINK149"/>
      <w:bookmarkStart w:id="144" w:name="OLE_LINK225"/>
      <w:bookmarkStart w:id="145" w:name="OLE_LINK207"/>
      <w:bookmarkStart w:id="146" w:name="OLE_LINK226"/>
      <w:bookmarkStart w:id="147" w:name="OLE_LINK212"/>
      <w:bookmarkStart w:id="148" w:name="OLE_LINK250"/>
      <w:bookmarkStart w:id="149" w:name="OLE_LINK281"/>
      <w:bookmarkStart w:id="150" w:name="OLE_LINK282"/>
      <w:bookmarkStart w:id="151" w:name="OLE_LINK313"/>
      <w:bookmarkStart w:id="152" w:name="OLE_LINK304"/>
      <w:bookmarkStart w:id="153" w:name="OLE_LINK321"/>
      <w:bookmarkStart w:id="154" w:name="OLE_LINK385"/>
      <w:bookmarkStart w:id="155" w:name="OLE_LINK400"/>
      <w:bookmarkStart w:id="156" w:name="OLE_LINK346"/>
      <w:bookmarkStart w:id="157" w:name="OLE_LINK371"/>
      <w:bookmarkStart w:id="158" w:name="OLE_LINK334"/>
      <w:bookmarkStart w:id="159" w:name="OLE_LINK1830"/>
      <w:bookmarkStart w:id="160" w:name="OLE_LINK457"/>
      <w:bookmarkStart w:id="161" w:name="OLE_LINK288"/>
      <w:bookmarkStart w:id="162" w:name="OLE_LINK384"/>
      <w:bookmarkStart w:id="163" w:name="OLE_LINK379"/>
      <w:bookmarkStart w:id="164" w:name="OLE_LINK303"/>
      <w:bookmarkStart w:id="165" w:name="OLE_LINK450"/>
      <w:bookmarkStart w:id="166" w:name="OLE_LINK489"/>
      <w:bookmarkStart w:id="167" w:name="OLE_LINK535"/>
      <w:bookmarkStart w:id="168" w:name="OLE_LINK648"/>
      <w:bookmarkStart w:id="169" w:name="OLE_LINK686"/>
      <w:bookmarkStart w:id="170" w:name="OLE_LINK471"/>
      <w:bookmarkStart w:id="171" w:name="OLE_LINK462"/>
      <w:bookmarkStart w:id="172" w:name="OLE_LINK519"/>
      <w:bookmarkStart w:id="173" w:name="OLE_LINK575"/>
      <w:bookmarkStart w:id="174" w:name="OLE_LINK491"/>
      <w:bookmarkStart w:id="175" w:name="OLE_LINK532"/>
      <w:bookmarkStart w:id="176" w:name="OLE_LINK572"/>
      <w:bookmarkStart w:id="177" w:name="OLE_LINK574"/>
      <w:bookmarkStart w:id="178" w:name="OLE_LINK480"/>
      <w:bookmarkStart w:id="179" w:name="OLE_LINK567"/>
      <w:bookmarkStart w:id="180" w:name="OLE_LINK2700"/>
      <w:bookmarkStart w:id="181" w:name="OLE_LINK581"/>
      <w:bookmarkStart w:id="182" w:name="OLE_LINK639"/>
      <w:bookmarkStart w:id="183" w:name="OLE_LINK688"/>
      <w:bookmarkStart w:id="184" w:name="OLE_LINK722"/>
      <w:bookmarkStart w:id="185" w:name="OLE_LINK542"/>
      <w:bookmarkStart w:id="186" w:name="OLE_LINK589"/>
      <w:bookmarkStart w:id="187" w:name="OLE_LINK582"/>
      <w:bookmarkStart w:id="188" w:name="OLE_LINK640"/>
      <w:bookmarkStart w:id="189" w:name="OLE_LINK714"/>
      <w:bookmarkStart w:id="190" w:name="OLE_LINK593"/>
      <w:bookmarkStart w:id="191" w:name="OLE_LINK716"/>
      <w:bookmarkStart w:id="192" w:name="OLE_LINK770"/>
      <w:bookmarkStart w:id="193" w:name="OLE_LINK801"/>
      <w:bookmarkStart w:id="194" w:name="OLE_LINK660"/>
      <w:bookmarkStart w:id="195" w:name="OLE_LINK781"/>
      <w:bookmarkStart w:id="196" w:name="OLE_LINK833"/>
      <w:bookmarkStart w:id="197" w:name="OLE_LINK642"/>
      <w:bookmarkStart w:id="198" w:name="OLE_LINK700"/>
      <w:bookmarkStart w:id="199" w:name="OLE_LINK792"/>
      <w:bookmarkStart w:id="200" w:name="OLE_LINK2882"/>
      <w:bookmarkStart w:id="201" w:name="OLE_LINK836"/>
      <w:bookmarkStart w:id="202" w:name="OLE_LINK889"/>
      <w:bookmarkStart w:id="203" w:name="OLE_LINK782"/>
      <w:bookmarkStart w:id="204" w:name="OLE_LINK826"/>
      <w:bookmarkStart w:id="205" w:name="OLE_LINK865"/>
      <w:bookmarkStart w:id="206" w:name="OLE_LINK856"/>
      <w:bookmarkStart w:id="207" w:name="OLE_LINK908"/>
      <w:bookmarkStart w:id="208" w:name="OLE_LINK980"/>
      <w:bookmarkStart w:id="209" w:name="OLE_LINK1018"/>
      <w:bookmarkStart w:id="210" w:name="OLE_LINK1049"/>
      <w:bookmarkStart w:id="211" w:name="OLE_LINK1076"/>
      <w:bookmarkStart w:id="212" w:name="OLE_LINK1106"/>
      <w:bookmarkStart w:id="213" w:name="OLE_LINK891"/>
      <w:bookmarkStart w:id="214" w:name="OLE_LINK943"/>
      <w:bookmarkStart w:id="215" w:name="OLE_LINK981"/>
      <w:bookmarkStart w:id="216" w:name="OLE_LINK1030"/>
      <w:bookmarkStart w:id="217" w:name="OLE_LINK847"/>
      <w:bookmarkStart w:id="218" w:name="OLE_LINK909"/>
      <w:bookmarkStart w:id="219" w:name="OLE_LINK906"/>
      <w:bookmarkStart w:id="220" w:name="OLE_LINK992"/>
      <w:bookmarkStart w:id="221" w:name="OLE_LINK993"/>
      <w:bookmarkStart w:id="222" w:name="OLE_LINK1052"/>
      <w:bookmarkStart w:id="223" w:name="OLE_LINK946"/>
      <w:bookmarkStart w:id="224" w:name="OLE_LINK911"/>
      <w:bookmarkStart w:id="225" w:name="OLE_LINK930"/>
      <w:bookmarkStart w:id="226" w:name="OLE_LINK1059"/>
      <w:bookmarkStart w:id="227" w:name="OLE_LINK1174"/>
      <w:bookmarkStart w:id="228" w:name="OLE_LINK1137"/>
      <w:bookmarkStart w:id="229" w:name="OLE_LINK1167"/>
      <w:bookmarkStart w:id="230" w:name="OLE_LINK1200"/>
      <w:bookmarkStart w:id="231" w:name="OLE_LINK1241"/>
      <w:bookmarkStart w:id="232" w:name="OLE_LINK1288"/>
      <w:bookmarkStart w:id="233" w:name="OLE_LINK1056"/>
      <w:bookmarkStart w:id="234" w:name="OLE_LINK1158"/>
      <w:bookmarkStart w:id="235" w:name="OLE_LINK1175"/>
      <w:bookmarkStart w:id="236" w:name="OLE_LINK1074"/>
      <w:bookmarkStart w:id="237" w:name="OLE_LINK1169"/>
      <w:r w:rsidRPr="00B93D97">
        <w:rPr>
          <w:rFonts w:ascii="Book Antiqua" w:eastAsia="宋体" w:hAnsi="Book Antiqua"/>
          <w:b/>
          <w:bCs/>
          <w:kern w:val="0"/>
          <w:sz w:val="24"/>
          <w:szCs w:val="24"/>
          <w:lang w:eastAsia="zh-CN"/>
        </w:rPr>
        <w:t>P-Reviewer:</w:t>
      </w:r>
      <w:r w:rsidRPr="00B93D97">
        <w:rPr>
          <w:rFonts w:ascii="Verdana" w:hAnsi="Verdana"/>
          <w:color w:val="000000"/>
          <w:kern w:val="0"/>
          <w:sz w:val="18"/>
          <w:szCs w:val="18"/>
          <w:shd w:val="clear" w:color="auto" w:fill="FFFFFF"/>
          <w:lang w:eastAsia="de-DE"/>
        </w:rPr>
        <w:t xml:space="preserve"> </w:t>
      </w:r>
      <w:r w:rsidRPr="00B93D97">
        <w:rPr>
          <w:rFonts w:ascii="Book Antiqua" w:eastAsia="宋体" w:hAnsi="Book Antiqua"/>
          <w:bCs/>
          <w:kern w:val="0"/>
          <w:sz w:val="24"/>
          <w:szCs w:val="24"/>
          <w:lang w:eastAsia="zh-CN"/>
        </w:rPr>
        <w:t>Kobara H, Sun SY</w:t>
      </w:r>
      <w:r w:rsidRPr="00B93D97">
        <w:rPr>
          <w:rFonts w:ascii="Book Antiqua" w:eastAsia="宋体" w:hAnsi="Book Antiqua"/>
          <w:b/>
          <w:bCs/>
          <w:kern w:val="0"/>
          <w:sz w:val="24"/>
          <w:szCs w:val="24"/>
          <w:lang w:eastAsia="zh-CN"/>
        </w:rPr>
        <w:t xml:space="preserve"> S-Editor:</w:t>
      </w:r>
      <w:r w:rsidRPr="00B93D97">
        <w:rPr>
          <w:rFonts w:ascii="Book Antiqua" w:eastAsia="宋体" w:hAnsi="Book Antiqua" w:hint="eastAsia"/>
          <w:kern w:val="0"/>
          <w:sz w:val="24"/>
          <w:szCs w:val="24"/>
          <w:lang w:eastAsia="zh-CN"/>
        </w:rPr>
        <w:t xml:space="preserve"> Gong ZM</w:t>
      </w:r>
    </w:p>
    <w:p w:rsidR="00B93D97" w:rsidRPr="00B93D97" w:rsidRDefault="00B93D97" w:rsidP="00971E2B">
      <w:pPr>
        <w:widowControl/>
        <w:snapToGrid w:val="0"/>
        <w:spacing w:line="360" w:lineRule="auto"/>
        <w:jc w:val="right"/>
        <w:rPr>
          <w:rFonts w:ascii="Book Antiqua" w:eastAsia="宋体" w:hAnsi="Book Antiqua"/>
          <w:b/>
          <w:bCs/>
          <w:kern w:val="0"/>
          <w:sz w:val="24"/>
          <w:szCs w:val="24"/>
          <w:lang w:eastAsia="zh-CN"/>
        </w:rPr>
      </w:pPr>
      <w:r w:rsidRPr="00B93D97">
        <w:rPr>
          <w:rFonts w:ascii="Book Antiqua" w:eastAsia="宋体" w:hAnsi="Book Antiqua"/>
          <w:b/>
          <w:bCs/>
          <w:kern w:val="0"/>
          <w:sz w:val="24"/>
          <w:szCs w:val="24"/>
          <w:lang w:eastAsia="zh-CN"/>
        </w:rPr>
        <w:t>L-Editor:</w:t>
      </w:r>
      <w:r w:rsidRPr="00B93D97">
        <w:rPr>
          <w:rFonts w:ascii="Book Antiqua" w:eastAsia="宋体" w:hAnsi="Book Antiqua"/>
          <w:kern w:val="0"/>
          <w:sz w:val="24"/>
          <w:szCs w:val="24"/>
          <w:lang w:eastAsia="zh-CN"/>
        </w:rPr>
        <w:t xml:space="preserve"> </w:t>
      </w:r>
      <w:r w:rsidRPr="00B93D97">
        <w:rPr>
          <w:rFonts w:ascii="Book Antiqua" w:eastAsia="宋体" w:hAnsi="Book Antiqua"/>
          <w:b/>
          <w:bCs/>
          <w:kern w:val="0"/>
          <w:sz w:val="24"/>
          <w:szCs w:val="24"/>
          <w:lang w:eastAsia="zh-CN"/>
        </w:rPr>
        <w:t>E-Editor:</w:t>
      </w:r>
    </w:p>
    <w:p w:rsidR="00B93D97" w:rsidRPr="00B93D97" w:rsidRDefault="00B93D97" w:rsidP="00971E2B">
      <w:pPr>
        <w:widowControl/>
        <w:shd w:val="clear" w:color="auto" w:fill="FFFFFF"/>
        <w:snapToGrid w:val="0"/>
        <w:spacing w:line="360" w:lineRule="auto"/>
        <w:rPr>
          <w:rFonts w:ascii="Book Antiqua" w:eastAsia="宋体" w:hAnsi="Book Antiqua" w:cs="Helvetica"/>
          <w:b/>
          <w:kern w:val="0"/>
          <w:sz w:val="24"/>
          <w:szCs w:val="24"/>
          <w:lang w:eastAsia="zh-CN"/>
        </w:rPr>
      </w:pPr>
      <w:bookmarkStart w:id="238" w:name="OLE_LINK880"/>
      <w:bookmarkStart w:id="239" w:name="OLE_LINK881"/>
      <w:bookmarkStart w:id="240" w:name="OLE_LINK497"/>
      <w:bookmarkStart w:id="241" w:name="OLE_LINK81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B93D97">
        <w:rPr>
          <w:rFonts w:ascii="Book Antiqua" w:eastAsia="宋体" w:hAnsi="Book Antiqua" w:cs="Helvetica"/>
          <w:b/>
          <w:kern w:val="0"/>
          <w:sz w:val="24"/>
          <w:szCs w:val="24"/>
          <w:lang w:eastAsia="zh-CN"/>
        </w:rPr>
        <w:lastRenderedPageBreak/>
        <w:t xml:space="preserve">Specialty type: </w:t>
      </w:r>
      <w:r w:rsidRPr="00B93D97">
        <w:rPr>
          <w:rFonts w:ascii="Book Antiqua" w:eastAsia="宋体" w:hAnsi="Book Antiqua" w:cs="Helvetica"/>
          <w:kern w:val="0"/>
          <w:sz w:val="24"/>
          <w:szCs w:val="24"/>
          <w:lang w:eastAsia="zh-CN"/>
        </w:rPr>
        <w:t>Gastroenterology and</w:t>
      </w:r>
      <w:r w:rsidRPr="00B93D97">
        <w:rPr>
          <w:rFonts w:ascii="Book Antiqua" w:eastAsia="宋体" w:hAnsi="Book Antiqua" w:cs="Helvetica" w:hint="eastAsia"/>
          <w:kern w:val="0"/>
          <w:sz w:val="24"/>
          <w:szCs w:val="24"/>
          <w:lang w:eastAsia="zh-CN"/>
        </w:rPr>
        <w:t xml:space="preserve"> </w:t>
      </w:r>
      <w:r w:rsidRPr="00B93D97">
        <w:rPr>
          <w:rFonts w:ascii="Book Antiqua" w:eastAsia="宋体" w:hAnsi="Book Antiqua" w:cs="Helvetica"/>
          <w:kern w:val="0"/>
          <w:sz w:val="24"/>
          <w:szCs w:val="24"/>
          <w:lang w:eastAsia="zh-CN"/>
        </w:rPr>
        <w:t>hepatology</w:t>
      </w:r>
    </w:p>
    <w:p w:rsidR="00B93D97" w:rsidRPr="00B93D97" w:rsidRDefault="00B93D97" w:rsidP="00971E2B">
      <w:pPr>
        <w:widowControl/>
        <w:shd w:val="clear" w:color="auto" w:fill="FFFFFF"/>
        <w:snapToGrid w:val="0"/>
        <w:spacing w:line="360" w:lineRule="auto"/>
        <w:rPr>
          <w:rFonts w:ascii="Book Antiqua" w:eastAsia="宋体" w:hAnsi="Book Antiqua" w:cs="Helvetica"/>
          <w:b/>
          <w:kern w:val="0"/>
          <w:sz w:val="24"/>
          <w:szCs w:val="24"/>
          <w:lang w:eastAsia="zh-CN"/>
        </w:rPr>
      </w:pPr>
      <w:r w:rsidRPr="00B93D97">
        <w:rPr>
          <w:rFonts w:ascii="Book Antiqua" w:eastAsia="宋体" w:hAnsi="Book Antiqua" w:cs="Helvetica"/>
          <w:b/>
          <w:kern w:val="0"/>
          <w:sz w:val="24"/>
          <w:szCs w:val="24"/>
          <w:lang w:eastAsia="zh-CN"/>
        </w:rPr>
        <w:t xml:space="preserve">Country of origin: </w:t>
      </w:r>
      <w:r w:rsidRPr="00B93D97">
        <w:rPr>
          <w:rFonts w:ascii="Book Antiqua" w:eastAsia="宋体" w:hAnsi="Book Antiqua" w:cs="Helvetica"/>
          <w:kern w:val="0"/>
          <w:sz w:val="24"/>
          <w:szCs w:val="24"/>
          <w:lang w:val="en-CA" w:eastAsia="zh-CN"/>
        </w:rPr>
        <w:t>Japan</w:t>
      </w:r>
    </w:p>
    <w:p w:rsidR="00B93D97" w:rsidRPr="00B93D97" w:rsidRDefault="00B93D97" w:rsidP="00971E2B">
      <w:pPr>
        <w:widowControl/>
        <w:shd w:val="clear" w:color="auto" w:fill="FFFFFF"/>
        <w:snapToGrid w:val="0"/>
        <w:spacing w:line="360" w:lineRule="auto"/>
        <w:rPr>
          <w:rFonts w:ascii="Book Antiqua" w:eastAsia="宋体" w:hAnsi="Book Antiqua" w:cs="Helvetica"/>
          <w:b/>
          <w:kern w:val="0"/>
          <w:sz w:val="24"/>
          <w:szCs w:val="24"/>
          <w:lang w:eastAsia="zh-CN"/>
        </w:rPr>
      </w:pPr>
      <w:r w:rsidRPr="00B93D97">
        <w:rPr>
          <w:rFonts w:ascii="Book Antiqua" w:eastAsia="宋体" w:hAnsi="Book Antiqua" w:cs="Helvetica"/>
          <w:b/>
          <w:kern w:val="0"/>
          <w:sz w:val="24"/>
          <w:szCs w:val="24"/>
          <w:lang w:eastAsia="zh-CN"/>
        </w:rPr>
        <w:t>Peer-review report classification</w:t>
      </w:r>
    </w:p>
    <w:p w:rsidR="00B93D97" w:rsidRPr="00B93D97" w:rsidRDefault="00B93D97" w:rsidP="00971E2B">
      <w:pPr>
        <w:widowControl/>
        <w:shd w:val="clear" w:color="auto" w:fill="FFFFFF"/>
        <w:snapToGrid w:val="0"/>
        <w:spacing w:line="360" w:lineRule="auto"/>
        <w:rPr>
          <w:rFonts w:ascii="Book Antiqua" w:eastAsia="宋体" w:hAnsi="Book Antiqua" w:cs="Helvetica"/>
          <w:kern w:val="0"/>
          <w:sz w:val="24"/>
          <w:szCs w:val="24"/>
          <w:lang w:eastAsia="zh-CN"/>
        </w:rPr>
      </w:pPr>
      <w:r w:rsidRPr="00B93D97">
        <w:rPr>
          <w:rFonts w:ascii="Book Antiqua" w:eastAsia="宋体" w:hAnsi="Book Antiqua" w:cs="Helvetica"/>
          <w:kern w:val="0"/>
          <w:sz w:val="24"/>
          <w:szCs w:val="24"/>
          <w:lang w:eastAsia="zh-CN"/>
        </w:rPr>
        <w:t>Grade A (Excellent): A</w:t>
      </w:r>
    </w:p>
    <w:p w:rsidR="00B93D97" w:rsidRPr="00B93D97" w:rsidRDefault="00B93D97" w:rsidP="00971E2B">
      <w:pPr>
        <w:widowControl/>
        <w:shd w:val="clear" w:color="auto" w:fill="FFFFFF"/>
        <w:snapToGrid w:val="0"/>
        <w:spacing w:line="360" w:lineRule="auto"/>
        <w:rPr>
          <w:rFonts w:ascii="Book Antiqua" w:eastAsia="宋体" w:hAnsi="Book Antiqua" w:cs="Helvetica"/>
          <w:kern w:val="0"/>
          <w:sz w:val="24"/>
          <w:szCs w:val="24"/>
          <w:lang w:eastAsia="zh-CN"/>
        </w:rPr>
      </w:pPr>
      <w:r w:rsidRPr="00B93D97">
        <w:rPr>
          <w:rFonts w:ascii="Book Antiqua" w:eastAsia="宋体" w:hAnsi="Book Antiqua" w:cs="Helvetica"/>
          <w:kern w:val="0"/>
          <w:sz w:val="24"/>
          <w:szCs w:val="24"/>
          <w:lang w:eastAsia="zh-CN"/>
        </w:rPr>
        <w:t>Grade B (Very good): B</w:t>
      </w:r>
    </w:p>
    <w:p w:rsidR="00B93D97" w:rsidRPr="00B93D97" w:rsidRDefault="00B93D97" w:rsidP="00971E2B">
      <w:pPr>
        <w:widowControl/>
        <w:shd w:val="clear" w:color="auto" w:fill="FFFFFF"/>
        <w:snapToGrid w:val="0"/>
        <w:spacing w:line="360" w:lineRule="auto"/>
        <w:rPr>
          <w:rFonts w:ascii="Book Antiqua" w:eastAsia="宋体" w:hAnsi="Book Antiqua" w:cs="Helvetica"/>
          <w:kern w:val="0"/>
          <w:sz w:val="24"/>
          <w:szCs w:val="24"/>
          <w:lang w:eastAsia="zh-CN"/>
        </w:rPr>
      </w:pPr>
      <w:r w:rsidRPr="00B93D97">
        <w:rPr>
          <w:rFonts w:ascii="Book Antiqua" w:eastAsia="宋体" w:hAnsi="Book Antiqua" w:cs="Helvetica"/>
          <w:kern w:val="0"/>
          <w:sz w:val="24"/>
          <w:szCs w:val="24"/>
          <w:lang w:eastAsia="zh-CN"/>
        </w:rPr>
        <w:t xml:space="preserve">Grade C (Good): </w:t>
      </w:r>
      <w:r w:rsidRPr="00B93D97">
        <w:rPr>
          <w:rFonts w:ascii="Book Antiqua" w:eastAsia="宋体" w:hAnsi="Book Antiqua" w:cs="Helvetica" w:hint="eastAsia"/>
          <w:kern w:val="0"/>
          <w:sz w:val="24"/>
          <w:szCs w:val="24"/>
          <w:lang w:eastAsia="zh-CN"/>
        </w:rPr>
        <w:t>0</w:t>
      </w:r>
    </w:p>
    <w:p w:rsidR="00B93D97" w:rsidRPr="00B93D97" w:rsidRDefault="00B93D97" w:rsidP="00971E2B">
      <w:pPr>
        <w:widowControl/>
        <w:shd w:val="clear" w:color="auto" w:fill="FFFFFF"/>
        <w:snapToGrid w:val="0"/>
        <w:spacing w:line="360" w:lineRule="auto"/>
        <w:rPr>
          <w:rFonts w:ascii="Book Antiqua" w:eastAsia="宋体" w:hAnsi="Book Antiqua" w:cs="Helvetica"/>
          <w:kern w:val="0"/>
          <w:sz w:val="24"/>
          <w:szCs w:val="24"/>
          <w:lang w:eastAsia="zh-CN"/>
        </w:rPr>
      </w:pPr>
      <w:r w:rsidRPr="00B93D97">
        <w:rPr>
          <w:rFonts w:ascii="Book Antiqua" w:eastAsia="宋体" w:hAnsi="Book Antiqua" w:cs="Helvetica"/>
          <w:kern w:val="0"/>
          <w:sz w:val="24"/>
          <w:szCs w:val="24"/>
          <w:lang w:eastAsia="zh-CN"/>
        </w:rPr>
        <w:t xml:space="preserve">Grade D (Fair): </w:t>
      </w:r>
      <w:r w:rsidRPr="00B93D97">
        <w:rPr>
          <w:rFonts w:ascii="Book Antiqua" w:eastAsia="宋体" w:hAnsi="Book Antiqua" w:cs="Helvetica" w:hint="eastAsia"/>
          <w:kern w:val="0"/>
          <w:sz w:val="24"/>
          <w:szCs w:val="24"/>
          <w:lang w:eastAsia="zh-CN"/>
        </w:rPr>
        <w:t>0</w:t>
      </w:r>
    </w:p>
    <w:p w:rsidR="002D0B97" w:rsidRDefault="00B93D97" w:rsidP="00971E2B">
      <w:pPr>
        <w:widowControl/>
        <w:shd w:val="clear" w:color="auto" w:fill="FFFFFF"/>
        <w:snapToGrid w:val="0"/>
        <w:spacing w:line="360" w:lineRule="auto"/>
        <w:rPr>
          <w:rFonts w:ascii="Book Antiqua" w:eastAsia="宋体" w:hAnsi="Book Antiqua" w:cs="Helvetica"/>
          <w:kern w:val="0"/>
          <w:sz w:val="24"/>
          <w:szCs w:val="24"/>
          <w:lang w:eastAsia="zh-CN"/>
        </w:rPr>
      </w:pPr>
      <w:r w:rsidRPr="00B93D97">
        <w:rPr>
          <w:rFonts w:ascii="Book Antiqua" w:eastAsia="宋体" w:hAnsi="Book Antiqua" w:cs="Helvetica"/>
          <w:kern w:val="0"/>
          <w:sz w:val="24"/>
          <w:szCs w:val="24"/>
          <w:lang w:eastAsia="zh-CN"/>
        </w:rPr>
        <w:t xml:space="preserve">Grade E (Poor): </w:t>
      </w:r>
      <w:r w:rsidRPr="00B93D97">
        <w:rPr>
          <w:rFonts w:ascii="Book Antiqua" w:eastAsia="宋体" w:hAnsi="Book Antiqua" w:cs="Helvetica" w:hint="eastAsia"/>
          <w:kern w:val="0"/>
          <w:sz w:val="24"/>
          <w:szCs w:val="24"/>
          <w:lang w:eastAsia="zh-CN"/>
        </w:rPr>
        <w:t>0</w:t>
      </w:r>
      <w:bookmarkEnd w:id="238"/>
      <w:bookmarkEnd w:id="239"/>
      <w:bookmarkEnd w:id="240"/>
      <w:bookmarkEnd w:id="241"/>
    </w:p>
    <w:p w:rsidR="002D0B97" w:rsidRDefault="00EC534A" w:rsidP="00971E2B">
      <w:pPr>
        <w:snapToGrid w:val="0"/>
        <w:spacing w:line="360" w:lineRule="auto"/>
        <w:rPr>
          <w:rFonts w:ascii="Book Antiqua" w:hAnsi="Book Antiqua"/>
          <w:sz w:val="24"/>
          <w:szCs w:val="24"/>
        </w:rPr>
      </w:pPr>
      <w:r w:rsidRPr="00A02038">
        <w:rPr>
          <w:rFonts w:ascii="Book Antiqua" w:hAnsi="Book Antiqua" w:cs="Helvetica"/>
          <w:sz w:val="24"/>
          <w:szCs w:val="24"/>
        </w:rPr>
        <w:br w:type="page"/>
      </w:r>
      <w:r w:rsidR="00E13F56">
        <w:rPr>
          <w:rFonts w:ascii="Book Antiqua" w:hAnsi="Book Antiqua"/>
          <w:noProof/>
          <w:sz w:val="24"/>
          <w:szCs w:val="24"/>
          <w:lang w:eastAsia="en-US"/>
        </w:rPr>
        <w:lastRenderedPageBreak/>
        <w:drawing>
          <wp:inline distT="0" distB="0" distL="0" distR="0">
            <wp:extent cx="4791710" cy="3588385"/>
            <wp:effectExtent l="0" t="0" r="8890" b="0"/>
            <wp:docPr id="1" name="図の枠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 descr="Fig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710" cy="3588385"/>
                    </a:xfrm>
                    <a:prstGeom prst="rect">
                      <a:avLst/>
                    </a:prstGeom>
                    <a:noFill/>
                    <a:ln>
                      <a:noFill/>
                    </a:ln>
                  </pic:spPr>
                </pic:pic>
              </a:graphicData>
            </a:graphic>
          </wp:inline>
        </w:drawing>
      </w:r>
    </w:p>
    <w:p w:rsidR="00E446C7" w:rsidRPr="00E446C7" w:rsidRDefault="00E446C7" w:rsidP="00971E2B">
      <w:pPr>
        <w:snapToGrid w:val="0"/>
        <w:spacing w:line="360" w:lineRule="auto"/>
        <w:rPr>
          <w:rFonts w:ascii="Book Antiqua" w:hAnsi="Book Antiqua"/>
          <w:b/>
          <w:sz w:val="24"/>
          <w:szCs w:val="24"/>
        </w:rPr>
      </w:pPr>
      <w:r w:rsidRPr="00E446C7">
        <w:rPr>
          <w:rFonts w:ascii="Book Antiqua" w:hAnsi="Book Antiqua"/>
          <w:b/>
          <w:sz w:val="24"/>
          <w:szCs w:val="24"/>
        </w:rPr>
        <w:t>Figure 1 Growth rates</w:t>
      </w:r>
      <w:r>
        <w:rPr>
          <w:rFonts w:ascii="Book Antiqua" w:hAnsi="Book Antiqua"/>
          <w:b/>
          <w:sz w:val="24"/>
          <w:szCs w:val="24"/>
        </w:rPr>
        <w:t xml:space="preserve"> </w:t>
      </w:r>
      <w:r w:rsidRPr="00E446C7">
        <w:rPr>
          <w:rFonts w:ascii="Book Antiqua" w:hAnsi="Book Antiqua"/>
          <w:b/>
          <w:sz w:val="24"/>
          <w:szCs w:val="24"/>
        </w:rPr>
        <w:t>of individual gastrointestinal submucosal tumors during follow-up.</w:t>
      </w:r>
    </w:p>
    <w:p w:rsidR="002D0B97" w:rsidRDefault="00EC534A" w:rsidP="00971E2B">
      <w:pPr>
        <w:snapToGrid w:val="0"/>
        <w:spacing w:line="360" w:lineRule="auto"/>
        <w:rPr>
          <w:rFonts w:ascii="Book Antiqua" w:hAnsi="Book Antiqua"/>
          <w:sz w:val="24"/>
          <w:szCs w:val="24"/>
        </w:rPr>
      </w:pPr>
      <w:r w:rsidRPr="00A02038">
        <w:rPr>
          <w:rFonts w:ascii="Book Antiqua" w:hAnsi="Book Antiqua"/>
          <w:sz w:val="24"/>
          <w:szCs w:val="24"/>
        </w:rPr>
        <w:br w:type="page"/>
      </w:r>
      <w:r w:rsidR="00E13F56">
        <w:rPr>
          <w:rFonts w:ascii="Book Antiqua" w:hAnsi="Book Antiqua"/>
          <w:noProof/>
          <w:sz w:val="24"/>
          <w:szCs w:val="24"/>
          <w:lang w:eastAsia="en-US"/>
        </w:rPr>
        <w:lastRenderedPageBreak/>
        <w:drawing>
          <wp:inline distT="0" distB="0" distL="0" distR="0">
            <wp:extent cx="4363720" cy="3275330"/>
            <wp:effectExtent l="0" t="0" r="5080" b="1270"/>
            <wp:docPr id="2" name="図の枠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2" descr="Fig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720" cy="3275330"/>
                    </a:xfrm>
                    <a:prstGeom prst="rect">
                      <a:avLst/>
                    </a:prstGeom>
                    <a:noFill/>
                    <a:ln>
                      <a:noFill/>
                    </a:ln>
                  </pic:spPr>
                </pic:pic>
              </a:graphicData>
            </a:graphic>
          </wp:inline>
        </w:drawing>
      </w:r>
    </w:p>
    <w:p w:rsidR="00E446C7" w:rsidRPr="00E446C7" w:rsidRDefault="00E446C7" w:rsidP="00971E2B">
      <w:pPr>
        <w:snapToGrid w:val="0"/>
        <w:spacing w:line="360" w:lineRule="auto"/>
        <w:rPr>
          <w:rFonts w:ascii="Book Antiqua" w:hAnsi="Book Antiqua"/>
          <w:b/>
          <w:sz w:val="24"/>
          <w:szCs w:val="24"/>
        </w:rPr>
      </w:pPr>
      <w:r w:rsidRPr="00E446C7">
        <w:rPr>
          <w:rFonts w:ascii="Book Antiqua" w:hAnsi="Book Antiqua"/>
          <w:b/>
          <w:sz w:val="24"/>
          <w:szCs w:val="24"/>
        </w:rPr>
        <w:t>Figure 2 Annual growth rates of gastrointestinal submucosal tumors.</w:t>
      </w:r>
    </w:p>
    <w:p w:rsidR="002D0B97" w:rsidRDefault="00EC534A" w:rsidP="00971E2B">
      <w:pPr>
        <w:snapToGrid w:val="0"/>
        <w:spacing w:line="360" w:lineRule="auto"/>
        <w:rPr>
          <w:rFonts w:ascii="Book Antiqua" w:hAnsi="Book Antiqua"/>
          <w:sz w:val="24"/>
          <w:szCs w:val="24"/>
        </w:rPr>
      </w:pPr>
      <w:r w:rsidRPr="00A02038">
        <w:rPr>
          <w:rFonts w:ascii="Book Antiqua" w:hAnsi="Book Antiqua"/>
          <w:sz w:val="24"/>
          <w:szCs w:val="24"/>
        </w:rPr>
        <w:br w:type="page"/>
      </w:r>
      <w:r w:rsidR="00E446C7">
        <w:rPr>
          <w:rFonts w:ascii="Book Antiqua" w:hAnsi="Book Antiqua"/>
          <w:sz w:val="24"/>
          <w:szCs w:val="24"/>
        </w:rPr>
        <w:lastRenderedPageBreak/>
        <w:t>A                                  B</w:t>
      </w:r>
    </w:p>
    <w:p w:rsidR="00E446C7" w:rsidRDefault="00E13F56" w:rsidP="00971E2B">
      <w:pPr>
        <w:snapToGrid w:val="0"/>
        <w:spacing w:line="360" w:lineRule="auto"/>
        <w:rPr>
          <w:rFonts w:ascii="Book Antiqua" w:hAnsi="Book Antiqua"/>
          <w:sz w:val="24"/>
          <w:szCs w:val="24"/>
        </w:rPr>
      </w:pPr>
      <w:r>
        <w:rPr>
          <w:rFonts w:ascii="Book Antiqua" w:hAnsi="Book Antiqua"/>
          <w:noProof/>
          <w:sz w:val="24"/>
          <w:szCs w:val="24"/>
          <w:lang w:eastAsia="en-US"/>
        </w:rPr>
        <w:drawing>
          <wp:inline distT="0" distB="0" distL="0" distR="0">
            <wp:extent cx="2523490" cy="2419350"/>
            <wp:effectExtent l="0" t="0" r="0" b="0"/>
            <wp:docPr id="3" name="図の枠 3" descr="Figure 3a GIST low grade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3" descr="Figure 3a GIST low grade E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490" cy="2419350"/>
                    </a:xfrm>
                    <a:prstGeom prst="rect">
                      <a:avLst/>
                    </a:prstGeom>
                    <a:noFill/>
                    <a:ln>
                      <a:noFill/>
                    </a:ln>
                  </pic:spPr>
                </pic:pic>
              </a:graphicData>
            </a:graphic>
          </wp:inline>
        </w:drawing>
      </w:r>
      <w:r w:rsidR="00E446C7">
        <w:rPr>
          <w:rFonts w:ascii="Book Antiqua" w:hAnsi="Book Antiqua"/>
          <w:sz w:val="24"/>
          <w:szCs w:val="24"/>
        </w:rPr>
        <w:t xml:space="preserve">  </w:t>
      </w:r>
      <w:r>
        <w:rPr>
          <w:rFonts w:ascii="Book Antiqua" w:hAnsi="Book Antiqua"/>
          <w:noProof/>
          <w:sz w:val="24"/>
          <w:szCs w:val="24"/>
          <w:lang w:eastAsia="en-US"/>
        </w:rPr>
        <w:drawing>
          <wp:inline distT="0" distB="0" distL="0" distR="0">
            <wp:extent cx="2604135" cy="2395855"/>
            <wp:effectExtent l="0" t="0" r="12065" b="0"/>
            <wp:docPr id="4" name="図の枠 5" descr="Figure 3b GIST low grade 4Y later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5" descr="Figure 3b GIST low grade 4Y later E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135" cy="2395855"/>
                    </a:xfrm>
                    <a:prstGeom prst="rect">
                      <a:avLst/>
                    </a:prstGeom>
                    <a:noFill/>
                    <a:ln>
                      <a:noFill/>
                    </a:ln>
                  </pic:spPr>
                </pic:pic>
              </a:graphicData>
            </a:graphic>
          </wp:inline>
        </w:drawing>
      </w:r>
    </w:p>
    <w:p w:rsidR="00E446C7" w:rsidRDefault="00E446C7" w:rsidP="00971E2B">
      <w:pPr>
        <w:snapToGrid w:val="0"/>
        <w:spacing w:line="360" w:lineRule="auto"/>
        <w:rPr>
          <w:rFonts w:ascii="Book Antiqua" w:hAnsi="Book Antiqua"/>
          <w:sz w:val="24"/>
          <w:szCs w:val="24"/>
        </w:rPr>
      </w:pPr>
      <w:r>
        <w:rPr>
          <w:rFonts w:ascii="Book Antiqua" w:hAnsi="Book Antiqua"/>
          <w:sz w:val="24"/>
          <w:szCs w:val="24"/>
        </w:rPr>
        <w:t>C                                D</w:t>
      </w:r>
    </w:p>
    <w:p w:rsidR="00E446C7" w:rsidRPr="00A02038" w:rsidRDefault="00E13F56" w:rsidP="00971E2B">
      <w:pPr>
        <w:snapToGrid w:val="0"/>
        <w:spacing w:line="360" w:lineRule="auto"/>
        <w:rPr>
          <w:rFonts w:ascii="Book Antiqua" w:hAnsi="Book Antiqua"/>
          <w:sz w:val="24"/>
          <w:szCs w:val="24"/>
        </w:rPr>
      </w:pPr>
      <w:r>
        <w:rPr>
          <w:rFonts w:ascii="Book Antiqua" w:hAnsi="Book Antiqua"/>
          <w:noProof/>
          <w:sz w:val="24"/>
          <w:szCs w:val="24"/>
          <w:lang w:eastAsia="en-US"/>
        </w:rPr>
        <w:drawing>
          <wp:inline distT="0" distB="0" distL="0" distR="0">
            <wp:extent cx="2384425" cy="2349500"/>
            <wp:effectExtent l="0" t="0" r="3175" b="12700"/>
            <wp:docPr id="5" name="図の枠 6" descr="Figure 3c GIST low grad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6" descr="Figure 3c GIST low grade 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4425" cy="2349500"/>
                    </a:xfrm>
                    <a:prstGeom prst="rect">
                      <a:avLst/>
                    </a:prstGeom>
                    <a:noFill/>
                    <a:ln>
                      <a:noFill/>
                    </a:ln>
                  </pic:spPr>
                </pic:pic>
              </a:graphicData>
            </a:graphic>
          </wp:inline>
        </w:drawing>
      </w:r>
      <w:r w:rsidR="00E446C7">
        <w:rPr>
          <w:rFonts w:ascii="Book Antiqua" w:hAnsi="Book Antiqua"/>
          <w:sz w:val="24"/>
          <w:szCs w:val="24"/>
        </w:rPr>
        <w:t xml:space="preserve">  </w:t>
      </w:r>
      <w:r>
        <w:rPr>
          <w:rFonts w:ascii="Book Antiqua" w:hAnsi="Book Antiqua"/>
          <w:noProof/>
          <w:sz w:val="24"/>
          <w:szCs w:val="24"/>
          <w:lang w:eastAsia="en-US"/>
        </w:rPr>
        <w:drawing>
          <wp:inline distT="0" distB="0" distL="0" distR="0">
            <wp:extent cx="2778125" cy="2360930"/>
            <wp:effectExtent l="0" t="0" r="0" b="1270"/>
            <wp:docPr id="6" name="図の枠 7" descr="Figure 3d GIST low grade GF 4Y lat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7" descr="Figure 3d GIST low grade GF 4Y later 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8125" cy="2360930"/>
                    </a:xfrm>
                    <a:prstGeom prst="rect">
                      <a:avLst/>
                    </a:prstGeom>
                    <a:noFill/>
                    <a:ln>
                      <a:noFill/>
                    </a:ln>
                  </pic:spPr>
                </pic:pic>
              </a:graphicData>
            </a:graphic>
          </wp:inline>
        </w:drawing>
      </w:r>
    </w:p>
    <w:p w:rsidR="00E446C7" w:rsidRPr="00E446C7" w:rsidRDefault="00E446C7" w:rsidP="00971E2B">
      <w:pPr>
        <w:snapToGrid w:val="0"/>
        <w:spacing w:line="360" w:lineRule="auto"/>
        <w:rPr>
          <w:rFonts w:ascii="Book Antiqua" w:hAnsi="Book Antiqua"/>
          <w:b/>
          <w:sz w:val="24"/>
          <w:szCs w:val="24"/>
        </w:rPr>
      </w:pPr>
      <w:r w:rsidRPr="00E446C7">
        <w:rPr>
          <w:rFonts w:ascii="Book Antiqua" w:hAnsi="Book Antiqua"/>
          <w:b/>
          <w:sz w:val="24"/>
          <w:szCs w:val="24"/>
        </w:rPr>
        <w:t xml:space="preserve">Figure 3 </w:t>
      </w:r>
      <w:r w:rsidRPr="00E446C7">
        <w:rPr>
          <w:rFonts w:ascii="Book Antiqua" w:hAnsi="Book Antiqua"/>
          <w:b/>
          <w:caps/>
          <w:sz w:val="24"/>
          <w:szCs w:val="24"/>
        </w:rPr>
        <w:t>g</w:t>
      </w:r>
      <w:r w:rsidRPr="00E446C7">
        <w:rPr>
          <w:rFonts w:ascii="Book Antiqua" w:hAnsi="Book Antiqua"/>
          <w:b/>
          <w:sz w:val="24"/>
          <w:szCs w:val="24"/>
        </w:rPr>
        <w:t>astrointestinal submucosal tumors low grade: Doubling time is 17.2 mo.</w:t>
      </w:r>
      <w:r>
        <w:rPr>
          <w:rFonts w:ascii="Book Antiqua" w:hAnsi="Book Antiqua"/>
          <w:b/>
          <w:sz w:val="24"/>
          <w:szCs w:val="24"/>
        </w:rPr>
        <w:t xml:space="preserve"> </w:t>
      </w:r>
      <w:r w:rsidR="00EC534A" w:rsidRPr="00E446C7">
        <w:rPr>
          <w:rFonts w:ascii="Book Antiqua" w:hAnsi="Book Antiqua"/>
          <w:caps/>
          <w:sz w:val="24"/>
          <w:szCs w:val="24"/>
        </w:rPr>
        <w:t>a</w:t>
      </w:r>
      <w:r>
        <w:rPr>
          <w:rFonts w:ascii="Book Antiqua" w:hAnsi="Book Antiqua"/>
          <w:sz w:val="24"/>
          <w:szCs w:val="24"/>
        </w:rPr>
        <w:t xml:space="preserve">: </w:t>
      </w:r>
      <w:r w:rsidR="00EC534A" w:rsidRPr="00A02038">
        <w:rPr>
          <w:rFonts w:ascii="Book Antiqua" w:hAnsi="Book Antiqua"/>
          <w:sz w:val="24"/>
          <w:szCs w:val="24"/>
        </w:rPr>
        <w:t>EUS finding at baseline</w:t>
      </w:r>
      <w:r w:rsidR="008B19CF">
        <w:rPr>
          <w:rFonts w:ascii="Book Antiqua" w:hAnsi="Book Antiqua"/>
          <w:sz w:val="24"/>
          <w:szCs w:val="24"/>
        </w:rPr>
        <w:t>,</w:t>
      </w:r>
      <w:r w:rsidR="00EC534A" w:rsidRPr="00A02038">
        <w:rPr>
          <w:rFonts w:ascii="Book Antiqua" w:hAnsi="Book Antiqua"/>
          <w:sz w:val="24"/>
          <w:szCs w:val="24"/>
        </w:rPr>
        <w:t xml:space="preserve"> </w:t>
      </w:r>
      <w:r w:rsidR="008B19CF" w:rsidRPr="00A02038">
        <w:rPr>
          <w:rFonts w:ascii="Book Antiqua" w:hAnsi="Book Antiqua"/>
          <w:sz w:val="24"/>
          <w:szCs w:val="24"/>
        </w:rPr>
        <w:t>t</w:t>
      </w:r>
      <w:r w:rsidR="00EC534A" w:rsidRPr="00A02038">
        <w:rPr>
          <w:rFonts w:ascii="Book Antiqua" w:hAnsi="Book Antiqua"/>
          <w:sz w:val="24"/>
          <w:szCs w:val="24"/>
        </w:rPr>
        <w:t>umor diameter is 22.0 mm</w:t>
      </w:r>
      <w:r w:rsidR="008B19CF">
        <w:rPr>
          <w:rFonts w:ascii="Book Antiqua" w:hAnsi="Book Antiqua"/>
          <w:sz w:val="24"/>
          <w:szCs w:val="24"/>
        </w:rPr>
        <w:t>;</w:t>
      </w:r>
      <w:r>
        <w:rPr>
          <w:rFonts w:ascii="Book Antiqua" w:hAnsi="Book Antiqua"/>
          <w:b/>
          <w:sz w:val="24"/>
          <w:szCs w:val="24"/>
        </w:rPr>
        <w:t xml:space="preserve"> </w:t>
      </w:r>
      <w:r w:rsidRPr="00A02038">
        <w:rPr>
          <w:rFonts w:ascii="Book Antiqua" w:hAnsi="Book Antiqua"/>
          <w:sz w:val="24"/>
          <w:szCs w:val="24"/>
        </w:rPr>
        <w:t>B</w:t>
      </w:r>
      <w:r>
        <w:rPr>
          <w:rFonts w:ascii="Book Antiqua" w:hAnsi="Book Antiqua"/>
          <w:sz w:val="24"/>
          <w:szCs w:val="24"/>
        </w:rPr>
        <w:t xml:space="preserve">: </w:t>
      </w:r>
      <w:r w:rsidR="00EC534A" w:rsidRPr="00A02038">
        <w:rPr>
          <w:rFonts w:ascii="Book Antiqua" w:hAnsi="Book Antiqua"/>
          <w:sz w:val="24"/>
          <w:szCs w:val="24"/>
        </w:rPr>
        <w:t>EUS finding at four years later</w:t>
      </w:r>
      <w:r w:rsidR="008B19CF">
        <w:rPr>
          <w:rFonts w:ascii="Book Antiqua" w:hAnsi="Book Antiqua"/>
          <w:sz w:val="24"/>
          <w:szCs w:val="24"/>
        </w:rPr>
        <w:t>,</w:t>
      </w:r>
      <w:r w:rsidR="00EC534A" w:rsidRPr="00A02038">
        <w:rPr>
          <w:rFonts w:ascii="Book Antiqua" w:hAnsi="Book Antiqua"/>
          <w:sz w:val="24"/>
          <w:szCs w:val="24"/>
        </w:rPr>
        <w:t xml:space="preserve"> </w:t>
      </w:r>
      <w:r w:rsidR="008B19CF" w:rsidRPr="00A02038">
        <w:rPr>
          <w:rFonts w:ascii="Book Antiqua" w:hAnsi="Book Antiqua"/>
          <w:sz w:val="24"/>
          <w:szCs w:val="24"/>
        </w:rPr>
        <w:t>t</w:t>
      </w:r>
      <w:r w:rsidR="00EC534A" w:rsidRPr="00A02038">
        <w:rPr>
          <w:rFonts w:ascii="Book Antiqua" w:hAnsi="Book Antiqua"/>
          <w:sz w:val="24"/>
          <w:szCs w:val="24"/>
        </w:rPr>
        <w:t>umor diameter is 34.0 mm</w:t>
      </w:r>
      <w:r w:rsidR="008B19CF">
        <w:rPr>
          <w:rFonts w:ascii="Book Antiqua" w:hAnsi="Book Antiqua"/>
          <w:sz w:val="24"/>
          <w:szCs w:val="24"/>
        </w:rPr>
        <w:t xml:space="preserve">; </w:t>
      </w:r>
      <w:r w:rsidR="00EC534A" w:rsidRPr="00E446C7">
        <w:rPr>
          <w:rFonts w:ascii="Book Antiqua" w:hAnsi="Book Antiqua"/>
          <w:caps/>
          <w:sz w:val="24"/>
          <w:szCs w:val="24"/>
        </w:rPr>
        <w:t>c</w:t>
      </w:r>
      <w:r w:rsidRPr="00E446C7">
        <w:rPr>
          <w:rFonts w:ascii="Book Antiqua" w:hAnsi="Book Antiqua"/>
          <w:caps/>
          <w:sz w:val="24"/>
          <w:szCs w:val="24"/>
        </w:rPr>
        <w:t>:</w:t>
      </w:r>
      <w:r>
        <w:rPr>
          <w:rFonts w:ascii="Book Antiqua" w:hAnsi="Book Antiqua"/>
          <w:sz w:val="24"/>
          <w:szCs w:val="24"/>
        </w:rPr>
        <w:t xml:space="preserve"> </w:t>
      </w:r>
      <w:r w:rsidR="00EC534A" w:rsidRPr="00A02038">
        <w:rPr>
          <w:rFonts w:ascii="Book Antiqua" w:hAnsi="Book Antiqua"/>
          <w:sz w:val="24"/>
          <w:szCs w:val="24"/>
        </w:rPr>
        <w:t>Endoscopic finding at baseline</w:t>
      </w:r>
      <w:r w:rsidR="008B19CF">
        <w:rPr>
          <w:rFonts w:ascii="Book Antiqua" w:hAnsi="Book Antiqua"/>
          <w:sz w:val="24"/>
          <w:szCs w:val="24"/>
        </w:rPr>
        <w:t>;</w:t>
      </w:r>
      <w:r>
        <w:rPr>
          <w:rFonts w:ascii="Book Antiqua" w:hAnsi="Book Antiqua"/>
          <w:sz w:val="24"/>
          <w:szCs w:val="24"/>
        </w:rPr>
        <w:t xml:space="preserve"> </w:t>
      </w:r>
      <w:r w:rsidRPr="00A02038">
        <w:rPr>
          <w:rFonts w:ascii="Book Antiqua" w:hAnsi="Book Antiqua"/>
          <w:sz w:val="24"/>
          <w:szCs w:val="24"/>
        </w:rPr>
        <w:t>D</w:t>
      </w:r>
      <w:r>
        <w:rPr>
          <w:rFonts w:ascii="Book Antiqua" w:hAnsi="Book Antiqua"/>
          <w:sz w:val="24"/>
          <w:szCs w:val="24"/>
        </w:rPr>
        <w:t xml:space="preserve">: </w:t>
      </w:r>
      <w:r w:rsidR="00EC534A" w:rsidRPr="00A02038">
        <w:rPr>
          <w:rFonts w:ascii="Book Antiqua" w:hAnsi="Book Antiqua"/>
          <w:sz w:val="24"/>
          <w:szCs w:val="24"/>
        </w:rPr>
        <w:t>Endoscopic finding at four years later</w:t>
      </w:r>
      <w:r>
        <w:rPr>
          <w:rFonts w:ascii="Book Antiqua" w:hAnsi="Book Antiqua"/>
          <w:sz w:val="24"/>
          <w:szCs w:val="24"/>
        </w:rPr>
        <w:t xml:space="preserve">. </w:t>
      </w:r>
      <w:r w:rsidR="00EC534A" w:rsidRPr="00A02038">
        <w:rPr>
          <w:rFonts w:ascii="Book Antiqua" w:hAnsi="Book Antiqua"/>
          <w:sz w:val="24"/>
          <w:szCs w:val="24"/>
        </w:rPr>
        <w:t>There is almost no change in endoscopic findings in four years.</w:t>
      </w:r>
      <w:r>
        <w:rPr>
          <w:rFonts w:ascii="Book Antiqua" w:hAnsi="Book Antiqua"/>
          <w:b/>
          <w:sz w:val="24"/>
          <w:szCs w:val="24"/>
        </w:rPr>
        <w:t xml:space="preserve"> </w:t>
      </w:r>
      <w:r w:rsidRPr="00A02038">
        <w:rPr>
          <w:rFonts w:ascii="Book Antiqua" w:hAnsi="Book Antiqua"/>
          <w:sz w:val="24"/>
          <w:szCs w:val="24"/>
        </w:rPr>
        <w:t>EUS</w:t>
      </w:r>
      <w:r>
        <w:rPr>
          <w:rFonts w:ascii="Book Antiqua" w:hAnsi="Book Antiqua"/>
          <w:sz w:val="24"/>
          <w:szCs w:val="24"/>
        </w:rPr>
        <w:t xml:space="preserve">: </w:t>
      </w:r>
      <w:r w:rsidRPr="00E446C7">
        <w:rPr>
          <w:rFonts w:ascii="Book Antiqua" w:hAnsi="Book Antiqua"/>
          <w:caps/>
          <w:sz w:val="24"/>
          <w:szCs w:val="24"/>
        </w:rPr>
        <w:t>e</w:t>
      </w:r>
      <w:r w:rsidRPr="00E446C7">
        <w:rPr>
          <w:rFonts w:ascii="Book Antiqua" w:hAnsi="Book Antiqua"/>
          <w:sz w:val="24"/>
          <w:szCs w:val="24"/>
        </w:rPr>
        <w:t>ndoscopic ultrasound</w:t>
      </w:r>
      <w:r>
        <w:rPr>
          <w:rFonts w:ascii="Book Antiqua" w:hAnsi="Book Antiqua"/>
          <w:sz w:val="24"/>
          <w:szCs w:val="24"/>
        </w:rPr>
        <w:t>.</w:t>
      </w:r>
    </w:p>
    <w:p w:rsidR="002D0B97" w:rsidRDefault="00EC534A" w:rsidP="00971E2B">
      <w:pPr>
        <w:snapToGrid w:val="0"/>
        <w:spacing w:line="360" w:lineRule="auto"/>
        <w:rPr>
          <w:rFonts w:ascii="Book Antiqua" w:hAnsi="Book Antiqua"/>
          <w:sz w:val="24"/>
          <w:szCs w:val="24"/>
        </w:rPr>
      </w:pPr>
      <w:r w:rsidRPr="00A02038">
        <w:rPr>
          <w:rFonts w:ascii="Book Antiqua" w:hAnsi="Book Antiqua"/>
          <w:sz w:val="24"/>
          <w:szCs w:val="24"/>
        </w:rPr>
        <w:br w:type="page"/>
      </w:r>
      <w:r w:rsidR="00E446C7">
        <w:rPr>
          <w:rFonts w:ascii="Book Antiqua" w:hAnsi="Book Antiqua"/>
          <w:sz w:val="24"/>
          <w:szCs w:val="24"/>
        </w:rPr>
        <w:lastRenderedPageBreak/>
        <w:t>A</w:t>
      </w:r>
      <w:r w:rsidR="00053820">
        <w:rPr>
          <w:rFonts w:ascii="Book Antiqua" w:hAnsi="Book Antiqua"/>
          <w:sz w:val="24"/>
          <w:szCs w:val="24"/>
        </w:rPr>
        <w:t xml:space="preserve">                      </w:t>
      </w:r>
      <w:r w:rsidR="00E446C7">
        <w:rPr>
          <w:rFonts w:ascii="Book Antiqua" w:hAnsi="Book Antiqua"/>
          <w:sz w:val="24"/>
          <w:szCs w:val="24"/>
        </w:rPr>
        <w:t xml:space="preserve">B       </w:t>
      </w:r>
      <w:r w:rsidR="00053820">
        <w:rPr>
          <w:rFonts w:ascii="Book Antiqua" w:hAnsi="Book Antiqua"/>
          <w:sz w:val="24"/>
          <w:szCs w:val="24"/>
        </w:rPr>
        <w:t xml:space="preserve">               </w:t>
      </w:r>
      <w:r w:rsidR="00E446C7">
        <w:rPr>
          <w:rFonts w:ascii="Book Antiqua" w:hAnsi="Book Antiqua"/>
          <w:sz w:val="24"/>
          <w:szCs w:val="24"/>
        </w:rPr>
        <w:t>C</w:t>
      </w:r>
    </w:p>
    <w:p w:rsidR="00053820" w:rsidRPr="00A02038" w:rsidRDefault="00E13F56" w:rsidP="00971E2B">
      <w:pPr>
        <w:snapToGrid w:val="0"/>
        <w:spacing w:line="360" w:lineRule="auto"/>
        <w:rPr>
          <w:rFonts w:ascii="Book Antiqua" w:hAnsi="Book Antiqua"/>
          <w:sz w:val="24"/>
          <w:szCs w:val="24"/>
        </w:rPr>
      </w:pPr>
      <w:r>
        <w:rPr>
          <w:rFonts w:ascii="Book Antiqua" w:hAnsi="Book Antiqua"/>
          <w:noProof/>
          <w:sz w:val="24"/>
          <w:szCs w:val="24"/>
          <w:lang w:eastAsia="en-US"/>
        </w:rPr>
        <w:drawing>
          <wp:inline distT="0" distB="0" distL="0" distR="0">
            <wp:extent cx="1747520" cy="1655445"/>
            <wp:effectExtent l="0" t="0" r="5080" b="0"/>
            <wp:docPr id="7" name="図の枠 8" descr="Figure 4a GIST high grade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8" descr="Figure 4a GIST high grade E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520" cy="1655445"/>
                    </a:xfrm>
                    <a:prstGeom prst="rect">
                      <a:avLst/>
                    </a:prstGeom>
                    <a:noFill/>
                    <a:ln>
                      <a:noFill/>
                    </a:ln>
                  </pic:spPr>
                </pic:pic>
              </a:graphicData>
            </a:graphic>
          </wp:inline>
        </w:drawing>
      </w:r>
      <w:r>
        <w:rPr>
          <w:rFonts w:ascii="Book Antiqua" w:hAnsi="Book Antiqua"/>
          <w:noProof/>
          <w:sz w:val="24"/>
          <w:szCs w:val="24"/>
          <w:lang w:eastAsia="en-US"/>
        </w:rPr>
        <w:drawing>
          <wp:inline distT="0" distB="0" distL="0" distR="0">
            <wp:extent cx="1782445" cy="1666875"/>
            <wp:effectExtent l="0" t="0" r="0" b="9525"/>
            <wp:docPr id="8" name="図の枠 9" descr="Figure 4b GIST high grade 6M later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9" descr="Figure 4b GIST high grade 6M later E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2445" cy="1666875"/>
                    </a:xfrm>
                    <a:prstGeom prst="rect">
                      <a:avLst/>
                    </a:prstGeom>
                    <a:noFill/>
                    <a:ln>
                      <a:noFill/>
                    </a:ln>
                  </pic:spPr>
                </pic:pic>
              </a:graphicData>
            </a:graphic>
          </wp:inline>
        </w:drawing>
      </w:r>
      <w:r>
        <w:rPr>
          <w:rFonts w:ascii="Book Antiqua" w:hAnsi="Book Antiqua"/>
          <w:noProof/>
          <w:sz w:val="24"/>
          <w:szCs w:val="24"/>
          <w:lang w:eastAsia="en-US"/>
        </w:rPr>
        <w:drawing>
          <wp:inline distT="0" distB="0" distL="0" distR="0">
            <wp:extent cx="1724660" cy="1678305"/>
            <wp:effectExtent l="0" t="0" r="2540" b="0"/>
            <wp:docPr id="9" name="図の枠 10" descr="Figure 4c GIST high grade 12M later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0" descr="Figure 4c GIST high grade 12M later E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660" cy="1678305"/>
                    </a:xfrm>
                    <a:prstGeom prst="rect">
                      <a:avLst/>
                    </a:prstGeom>
                    <a:noFill/>
                    <a:ln>
                      <a:noFill/>
                    </a:ln>
                  </pic:spPr>
                </pic:pic>
              </a:graphicData>
            </a:graphic>
          </wp:inline>
        </w:drawing>
      </w:r>
    </w:p>
    <w:p w:rsidR="002D0B97" w:rsidRPr="00053820" w:rsidRDefault="00EC534A" w:rsidP="00971E2B">
      <w:pPr>
        <w:snapToGrid w:val="0"/>
        <w:spacing w:line="360" w:lineRule="auto"/>
        <w:rPr>
          <w:rFonts w:ascii="Book Antiqua" w:hAnsi="Book Antiqua"/>
          <w:b/>
          <w:sz w:val="24"/>
          <w:szCs w:val="24"/>
        </w:rPr>
      </w:pPr>
      <w:r w:rsidRPr="00053820">
        <w:rPr>
          <w:rFonts w:ascii="Book Antiqua" w:hAnsi="Book Antiqua"/>
          <w:b/>
          <w:sz w:val="24"/>
          <w:szCs w:val="24"/>
        </w:rPr>
        <w:t>Figure 4</w:t>
      </w:r>
      <w:r w:rsidR="00053820" w:rsidRPr="00053820">
        <w:rPr>
          <w:rFonts w:ascii="Book Antiqua" w:hAnsi="Book Antiqua"/>
          <w:b/>
          <w:sz w:val="24"/>
          <w:szCs w:val="24"/>
        </w:rPr>
        <w:t xml:space="preserve"> </w:t>
      </w:r>
      <w:r w:rsidR="00053820" w:rsidRPr="00053820">
        <w:rPr>
          <w:rFonts w:ascii="Book Antiqua" w:hAnsi="Book Antiqua"/>
          <w:b/>
          <w:caps/>
          <w:sz w:val="24"/>
          <w:szCs w:val="24"/>
        </w:rPr>
        <w:t>g</w:t>
      </w:r>
      <w:r w:rsidR="00053820" w:rsidRPr="00053820">
        <w:rPr>
          <w:rFonts w:ascii="Book Antiqua" w:hAnsi="Book Antiqua"/>
          <w:b/>
          <w:sz w:val="24"/>
          <w:szCs w:val="24"/>
        </w:rPr>
        <w:t>astrointestinal submucosal tumors high grade</w:t>
      </w:r>
      <w:r w:rsidRPr="00053820">
        <w:rPr>
          <w:rFonts w:ascii="Book Antiqua" w:hAnsi="Book Antiqua"/>
          <w:b/>
          <w:sz w:val="24"/>
          <w:szCs w:val="24"/>
        </w:rPr>
        <w:t xml:space="preserve">: Doubling </w:t>
      </w:r>
      <w:r w:rsidR="00053820" w:rsidRPr="00053820">
        <w:rPr>
          <w:rFonts w:ascii="Book Antiqua" w:hAnsi="Book Antiqua"/>
          <w:b/>
          <w:sz w:val="24"/>
          <w:szCs w:val="24"/>
        </w:rPr>
        <w:t>t</w:t>
      </w:r>
      <w:r w:rsidRPr="00053820">
        <w:rPr>
          <w:rFonts w:ascii="Book Antiqua" w:hAnsi="Book Antiqua"/>
          <w:b/>
          <w:sz w:val="24"/>
          <w:szCs w:val="24"/>
        </w:rPr>
        <w:t>ime is 3.0 mo.</w:t>
      </w:r>
      <w:r w:rsidR="00053820">
        <w:rPr>
          <w:rFonts w:ascii="Book Antiqua" w:hAnsi="Book Antiqua"/>
          <w:b/>
          <w:sz w:val="24"/>
          <w:szCs w:val="24"/>
        </w:rPr>
        <w:t xml:space="preserve"> </w:t>
      </w:r>
      <w:r w:rsidR="00053820" w:rsidRPr="00A02038">
        <w:rPr>
          <w:rFonts w:ascii="Book Antiqua" w:hAnsi="Book Antiqua"/>
          <w:sz w:val="24"/>
          <w:szCs w:val="24"/>
        </w:rPr>
        <w:t>A</w:t>
      </w:r>
      <w:r w:rsidR="00053820">
        <w:rPr>
          <w:rFonts w:ascii="Book Antiqua" w:hAnsi="Book Antiqua"/>
          <w:sz w:val="24"/>
          <w:szCs w:val="24"/>
        </w:rPr>
        <w:t xml:space="preserve">: </w:t>
      </w:r>
      <w:r w:rsidRPr="00A02038">
        <w:rPr>
          <w:rFonts w:ascii="Book Antiqua" w:hAnsi="Book Antiqua"/>
          <w:sz w:val="24"/>
          <w:szCs w:val="24"/>
        </w:rPr>
        <w:t>EUS finding at baseline</w:t>
      </w:r>
      <w:r w:rsidR="008B19CF">
        <w:rPr>
          <w:rFonts w:ascii="Book Antiqua" w:hAnsi="Book Antiqua"/>
          <w:sz w:val="24"/>
          <w:szCs w:val="24"/>
        </w:rPr>
        <w:t>,</w:t>
      </w:r>
      <w:r w:rsidRPr="00A02038">
        <w:rPr>
          <w:rFonts w:ascii="Book Antiqua" w:hAnsi="Book Antiqua"/>
          <w:sz w:val="24"/>
          <w:szCs w:val="24"/>
        </w:rPr>
        <w:t xml:space="preserve"> </w:t>
      </w:r>
      <w:r w:rsidR="008B19CF" w:rsidRPr="00A02038">
        <w:rPr>
          <w:rFonts w:ascii="Book Antiqua" w:hAnsi="Book Antiqua"/>
          <w:sz w:val="24"/>
          <w:szCs w:val="24"/>
        </w:rPr>
        <w:t>t</w:t>
      </w:r>
      <w:r w:rsidRPr="00A02038">
        <w:rPr>
          <w:rFonts w:ascii="Book Antiqua" w:hAnsi="Book Antiqua"/>
          <w:sz w:val="24"/>
          <w:szCs w:val="24"/>
        </w:rPr>
        <w:t>umor diameter is 25.5 mm</w:t>
      </w:r>
      <w:r w:rsidR="008B19CF">
        <w:rPr>
          <w:rFonts w:ascii="Book Antiqua" w:hAnsi="Book Antiqua"/>
          <w:sz w:val="24"/>
          <w:szCs w:val="24"/>
        </w:rPr>
        <w:t>;</w:t>
      </w:r>
      <w:r w:rsidR="00053820">
        <w:rPr>
          <w:rFonts w:ascii="Book Antiqua" w:hAnsi="Book Antiqua"/>
          <w:sz w:val="24"/>
          <w:szCs w:val="24"/>
        </w:rPr>
        <w:t xml:space="preserve"> </w:t>
      </w:r>
      <w:r w:rsidR="00053820" w:rsidRPr="00A02038">
        <w:rPr>
          <w:rFonts w:ascii="Book Antiqua" w:hAnsi="Book Antiqua"/>
          <w:sz w:val="24"/>
          <w:szCs w:val="24"/>
        </w:rPr>
        <w:t>B</w:t>
      </w:r>
      <w:r w:rsidR="00053820">
        <w:rPr>
          <w:rFonts w:ascii="Book Antiqua" w:hAnsi="Book Antiqua"/>
          <w:sz w:val="24"/>
          <w:szCs w:val="24"/>
        </w:rPr>
        <w:t xml:space="preserve">: </w:t>
      </w:r>
      <w:r w:rsidRPr="00A02038">
        <w:rPr>
          <w:rFonts w:ascii="Book Antiqua" w:hAnsi="Book Antiqua"/>
          <w:sz w:val="24"/>
          <w:szCs w:val="24"/>
        </w:rPr>
        <w:t>EUS finding at 6 months later</w:t>
      </w:r>
      <w:r w:rsidR="008B19CF">
        <w:rPr>
          <w:rFonts w:ascii="Book Antiqua" w:hAnsi="Book Antiqua"/>
          <w:sz w:val="24"/>
          <w:szCs w:val="24"/>
        </w:rPr>
        <w:t>,</w:t>
      </w:r>
      <w:r w:rsidRPr="00A02038">
        <w:rPr>
          <w:rFonts w:ascii="Book Antiqua" w:hAnsi="Book Antiqua"/>
          <w:sz w:val="24"/>
          <w:szCs w:val="24"/>
        </w:rPr>
        <w:t xml:space="preserve"> </w:t>
      </w:r>
      <w:r w:rsidR="008B19CF" w:rsidRPr="00A02038">
        <w:rPr>
          <w:rFonts w:ascii="Book Antiqua" w:hAnsi="Book Antiqua"/>
          <w:sz w:val="24"/>
          <w:szCs w:val="24"/>
        </w:rPr>
        <w:t>t</w:t>
      </w:r>
      <w:r w:rsidRPr="00A02038">
        <w:rPr>
          <w:rFonts w:ascii="Book Antiqua" w:hAnsi="Book Antiqua"/>
          <w:sz w:val="24"/>
          <w:szCs w:val="24"/>
        </w:rPr>
        <w:t>umor diameter is 28 mm</w:t>
      </w:r>
      <w:r w:rsidR="008B19CF">
        <w:rPr>
          <w:rFonts w:ascii="Book Antiqua" w:hAnsi="Book Antiqua"/>
          <w:sz w:val="24"/>
          <w:szCs w:val="24"/>
        </w:rPr>
        <w:t xml:space="preserve">; </w:t>
      </w:r>
      <w:r w:rsidR="00053820" w:rsidRPr="00A02038">
        <w:rPr>
          <w:rFonts w:ascii="Book Antiqua" w:hAnsi="Book Antiqua"/>
          <w:sz w:val="24"/>
          <w:szCs w:val="24"/>
        </w:rPr>
        <w:t>C</w:t>
      </w:r>
      <w:r w:rsidR="00053820">
        <w:rPr>
          <w:rFonts w:ascii="Book Antiqua" w:hAnsi="Book Antiqua"/>
          <w:sz w:val="24"/>
          <w:szCs w:val="24"/>
        </w:rPr>
        <w:t xml:space="preserve">: </w:t>
      </w:r>
      <w:r w:rsidRPr="00A02038">
        <w:rPr>
          <w:rFonts w:ascii="Book Antiqua" w:hAnsi="Book Antiqua"/>
          <w:sz w:val="24"/>
          <w:szCs w:val="24"/>
        </w:rPr>
        <w:t>EUS finding at 12 mo</w:t>
      </w:r>
      <w:r w:rsidR="00053820">
        <w:rPr>
          <w:rFonts w:ascii="Book Antiqua" w:hAnsi="Book Antiqua"/>
          <w:sz w:val="24"/>
          <w:szCs w:val="24"/>
        </w:rPr>
        <w:t xml:space="preserve"> </w:t>
      </w:r>
      <w:r w:rsidRPr="00A02038">
        <w:rPr>
          <w:rFonts w:ascii="Book Antiqua" w:hAnsi="Book Antiqua"/>
          <w:sz w:val="24"/>
          <w:szCs w:val="24"/>
        </w:rPr>
        <w:t>later</w:t>
      </w:r>
      <w:r w:rsidR="008B19CF">
        <w:rPr>
          <w:rFonts w:ascii="Book Antiqua" w:hAnsi="Book Antiqua"/>
          <w:sz w:val="24"/>
          <w:szCs w:val="24"/>
        </w:rPr>
        <w:t xml:space="preserve">, </w:t>
      </w:r>
      <w:r w:rsidR="008B19CF" w:rsidRPr="00A02038">
        <w:rPr>
          <w:rFonts w:ascii="Book Antiqua" w:hAnsi="Book Antiqua"/>
          <w:sz w:val="24"/>
          <w:szCs w:val="24"/>
        </w:rPr>
        <w:t>t</w:t>
      </w:r>
      <w:r w:rsidRPr="00A02038">
        <w:rPr>
          <w:rFonts w:ascii="Book Antiqua" w:hAnsi="Book Antiqua"/>
          <w:sz w:val="24"/>
          <w:szCs w:val="24"/>
        </w:rPr>
        <w:t>umor diameter is 38.5 mm.</w:t>
      </w:r>
      <w:r w:rsidR="008B19CF">
        <w:rPr>
          <w:rFonts w:ascii="Book Antiqua" w:hAnsi="Book Antiqua"/>
          <w:b/>
          <w:sz w:val="24"/>
          <w:szCs w:val="24"/>
        </w:rPr>
        <w:t xml:space="preserve"> </w:t>
      </w:r>
      <w:r w:rsidRPr="00A02038">
        <w:rPr>
          <w:rFonts w:ascii="Book Antiqua" w:hAnsi="Book Antiqua"/>
          <w:sz w:val="24"/>
          <w:szCs w:val="24"/>
        </w:rPr>
        <w:t>There are remarkable changes in one year.</w:t>
      </w:r>
      <w:r w:rsidR="00053820">
        <w:rPr>
          <w:rFonts w:ascii="Book Antiqua" w:hAnsi="Book Antiqua"/>
          <w:sz w:val="24"/>
          <w:szCs w:val="24"/>
        </w:rPr>
        <w:t xml:space="preserve"> </w:t>
      </w:r>
      <w:r w:rsidR="00053820" w:rsidRPr="00A02038">
        <w:rPr>
          <w:rFonts w:ascii="Book Antiqua" w:hAnsi="Book Antiqua"/>
          <w:sz w:val="24"/>
          <w:szCs w:val="24"/>
        </w:rPr>
        <w:t>EUS</w:t>
      </w:r>
      <w:r w:rsidR="00053820">
        <w:rPr>
          <w:rFonts w:ascii="Book Antiqua" w:hAnsi="Book Antiqua"/>
          <w:sz w:val="24"/>
          <w:szCs w:val="24"/>
        </w:rPr>
        <w:t xml:space="preserve">: </w:t>
      </w:r>
      <w:r w:rsidR="00053820" w:rsidRPr="00E446C7">
        <w:rPr>
          <w:rFonts w:ascii="Book Antiqua" w:hAnsi="Book Antiqua"/>
          <w:caps/>
          <w:sz w:val="24"/>
          <w:szCs w:val="24"/>
        </w:rPr>
        <w:t>e</w:t>
      </w:r>
      <w:r w:rsidR="00053820" w:rsidRPr="00E446C7">
        <w:rPr>
          <w:rFonts w:ascii="Book Antiqua" w:hAnsi="Book Antiqua"/>
          <w:sz w:val="24"/>
          <w:szCs w:val="24"/>
        </w:rPr>
        <w:t>ndoscopic ultrasound</w:t>
      </w:r>
      <w:r w:rsidR="00053820">
        <w:rPr>
          <w:rFonts w:ascii="Book Antiqua" w:hAnsi="Book Antiqua"/>
          <w:sz w:val="24"/>
          <w:szCs w:val="24"/>
        </w:rPr>
        <w:t>.</w:t>
      </w:r>
    </w:p>
    <w:p w:rsidR="002D0B97" w:rsidRPr="008B19CF" w:rsidRDefault="00EC534A" w:rsidP="00971E2B">
      <w:pPr>
        <w:snapToGrid w:val="0"/>
        <w:spacing w:line="360" w:lineRule="auto"/>
        <w:rPr>
          <w:rFonts w:ascii="Book Antiqua" w:hAnsi="Book Antiqua"/>
          <w:b/>
          <w:sz w:val="24"/>
          <w:szCs w:val="24"/>
        </w:rPr>
      </w:pPr>
      <w:r w:rsidRPr="00A02038">
        <w:rPr>
          <w:rFonts w:ascii="Book Antiqua" w:hAnsi="Book Antiqua"/>
          <w:sz w:val="24"/>
          <w:szCs w:val="24"/>
        </w:rPr>
        <w:br w:type="page"/>
      </w:r>
      <w:r w:rsidR="008B19CF">
        <w:rPr>
          <w:rFonts w:ascii="Book Antiqua" w:hAnsi="Book Antiqua"/>
          <w:sz w:val="24"/>
          <w:szCs w:val="24"/>
        </w:rPr>
        <w:lastRenderedPageBreak/>
        <w:t xml:space="preserve">A                                </w:t>
      </w:r>
      <w:r w:rsidR="008B19CF" w:rsidRPr="008B19CF">
        <w:rPr>
          <w:rFonts w:ascii="Book Antiqua" w:hAnsi="Book Antiqua"/>
          <w:sz w:val="24"/>
          <w:szCs w:val="24"/>
        </w:rPr>
        <w:t>B</w:t>
      </w:r>
    </w:p>
    <w:p w:rsidR="008B19CF" w:rsidRPr="00A02038" w:rsidRDefault="00E13F56" w:rsidP="00971E2B">
      <w:pPr>
        <w:snapToGrid w:val="0"/>
        <w:spacing w:line="360" w:lineRule="auto"/>
        <w:rPr>
          <w:rFonts w:ascii="Book Antiqua" w:hAnsi="Book Antiqua"/>
          <w:sz w:val="24"/>
          <w:szCs w:val="24"/>
        </w:rPr>
      </w:pPr>
      <w:r>
        <w:rPr>
          <w:rFonts w:ascii="Book Antiqua" w:hAnsi="Book Antiqua"/>
          <w:noProof/>
          <w:sz w:val="24"/>
          <w:szCs w:val="24"/>
          <w:lang w:eastAsia="en-US"/>
        </w:rPr>
        <w:drawing>
          <wp:inline distT="0" distB="0" distL="0" distR="0">
            <wp:extent cx="2488565" cy="2372995"/>
            <wp:effectExtent l="0" t="0" r="635" b="0"/>
            <wp:docPr id="10" name="図の枠 12" descr="Figure 5a ectopic pancreas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2" descr="Figure 5a ectopic pancreas E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8565" cy="2372995"/>
                    </a:xfrm>
                    <a:prstGeom prst="rect">
                      <a:avLst/>
                    </a:prstGeom>
                    <a:noFill/>
                    <a:ln>
                      <a:noFill/>
                    </a:ln>
                  </pic:spPr>
                </pic:pic>
              </a:graphicData>
            </a:graphic>
          </wp:inline>
        </w:drawing>
      </w:r>
      <w:r w:rsidR="008B19CF">
        <w:rPr>
          <w:rFonts w:ascii="Book Antiqua" w:hAnsi="Book Antiqua"/>
          <w:sz w:val="24"/>
          <w:szCs w:val="24"/>
        </w:rPr>
        <w:t xml:space="preserve"> </w:t>
      </w:r>
      <w:r>
        <w:rPr>
          <w:rFonts w:ascii="Book Antiqua" w:hAnsi="Book Antiqua"/>
          <w:noProof/>
          <w:sz w:val="24"/>
          <w:szCs w:val="24"/>
          <w:lang w:eastAsia="en-US"/>
        </w:rPr>
        <w:drawing>
          <wp:inline distT="0" distB="0" distL="0" distR="0">
            <wp:extent cx="2581275" cy="2384425"/>
            <wp:effectExtent l="0" t="0" r="9525" b="3175"/>
            <wp:docPr id="11" name="図の枠 13" descr="Figure 5b Ectopic pancreas 5Y later 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3" descr="Figure 5b Ectopic pancreas 5Y later E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2384425"/>
                    </a:xfrm>
                    <a:prstGeom prst="rect">
                      <a:avLst/>
                    </a:prstGeom>
                    <a:noFill/>
                    <a:ln>
                      <a:noFill/>
                    </a:ln>
                  </pic:spPr>
                </pic:pic>
              </a:graphicData>
            </a:graphic>
          </wp:inline>
        </w:drawing>
      </w:r>
    </w:p>
    <w:p w:rsidR="008B19CF" w:rsidRDefault="008B19CF" w:rsidP="00971E2B">
      <w:pPr>
        <w:snapToGrid w:val="0"/>
        <w:spacing w:line="360" w:lineRule="auto"/>
        <w:rPr>
          <w:rFonts w:ascii="Book Antiqua" w:hAnsi="Book Antiqua"/>
          <w:sz w:val="24"/>
          <w:szCs w:val="24"/>
        </w:rPr>
      </w:pPr>
      <w:r>
        <w:rPr>
          <w:rFonts w:ascii="Book Antiqua" w:hAnsi="Book Antiqua"/>
          <w:sz w:val="24"/>
          <w:szCs w:val="24"/>
        </w:rPr>
        <w:t>C</w:t>
      </w:r>
    </w:p>
    <w:p w:rsidR="008B19CF" w:rsidRDefault="00E13F56" w:rsidP="00971E2B">
      <w:pPr>
        <w:snapToGrid w:val="0"/>
        <w:spacing w:line="360" w:lineRule="auto"/>
        <w:rPr>
          <w:rFonts w:ascii="Book Antiqua" w:hAnsi="Book Antiqua"/>
          <w:sz w:val="24"/>
          <w:szCs w:val="24"/>
        </w:rPr>
      </w:pPr>
      <w:r>
        <w:rPr>
          <w:rFonts w:ascii="Book Antiqua" w:hAnsi="Book Antiqua"/>
          <w:noProof/>
          <w:sz w:val="24"/>
          <w:szCs w:val="24"/>
          <w:lang w:eastAsia="en-US"/>
        </w:rPr>
        <w:drawing>
          <wp:inline distT="0" distB="0" distL="0" distR="0">
            <wp:extent cx="2488565" cy="2488565"/>
            <wp:effectExtent l="0" t="0" r="635" b="635"/>
            <wp:docPr id="12" name="図の枠 14" descr="Figure 5c Ectopic pancre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4" descr="Figure 5c Ectopic pancreas 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8565" cy="2488565"/>
                    </a:xfrm>
                    <a:prstGeom prst="rect">
                      <a:avLst/>
                    </a:prstGeom>
                    <a:noFill/>
                    <a:ln>
                      <a:noFill/>
                    </a:ln>
                  </pic:spPr>
                </pic:pic>
              </a:graphicData>
            </a:graphic>
          </wp:inline>
        </w:drawing>
      </w:r>
    </w:p>
    <w:p w:rsidR="002D0B97" w:rsidRPr="008B19CF" w:rsidRDefault="00EC534A" w:rsidP="00971E2B">
      <w:pPr>
        <w:snapToGrid w:val="0"/>
        <w:spacing w:line="360" w:lineRule="auto"/>
        <w:rPr>
          <w:rFonts w:ascii="Book Antiqua" w:hAnsi="Book Antiqua"/>
          <w:b/>
          <w:sz w:val="24"/>
          <w:szCs w:val="24"/>
        </w:rPr>
      </w:pPr>
      <w:r w:rsidRPr="008B19CF">
        <w:rPr>
          <w:rFonts w:ascii="Book Antiqua" w:hAnsi="Book Antiqua"/>
          <w:b/>
          <w:sz w:val="24"/>
          <w:szCs w:val="24"/>
        </w:rPr>
        <w:t>Figure 5</w:t>
      </w:r>
      <w:r w:rsidR="008B19CF" w:rsidRPr="008B19CF">
        <w:rPr>
          <w:rFonts w:ascii="Book Antiqua" w:hAnsi="Book Antiqua"/>
          <w:b/>
          <w:sz w:val="24"/>
          <w:szCs w:val="24"/>
        </w:rPr>
        <w:t xml:space="preserve"> </w:t>
      </w:r>
      <w:r w:rsidRPr="008B19CF">
        <w:rPr>
          <w:rFonts w:ascii="Book Antiqua" w:hAnsi="Book Antiqua"/>
          <w:b/>
          <w:sz w:val="24"/>
          <w:szCs w:val="24"/>
        </w:rPr>
        <w:t>Ectopic pancreas</w:t>
      </w:r>
      <w:r w:rsidR="008B19CF" w:rsidRPr="008B19CF">
        <w:rPr>
          <w:rFonts w:ascii="Book Antiqua" w:hAnsi="Book Antiqua"/>
          <w:b/>
          <w:sz w:val="24"/>
          <w:szCs w:val="24"/>
        </w:rPr>
        <w:t>.</w:t>
      </w:r>
      <w:r w:rsidR="00E45596">
        <w:rPr>
          <w:rFonts w:ascii="Book Antiqua" w:hAnsi="Book Antiqua"/>
          <w:b/>
          <w:sz w:val="24"/>
          <w:szCs w:val="24"/>
        </w:rPr>
        <w:t xml:space="preserve"> </w:t>
      </w:r>
      <w:r w:rsidR="008B19CF" w:rsidRPr="00A02038">
        <w:rPr>
          <w:rFonts w:ascii="Book Antiqua" w:hAnsi="Book Antiqua"/>
          <w:sz w:val="24"/>
          <w:szCs w:val="24"/>
        </w:rPr>
        <w:t>A</w:t>
      </w:r>
      <w:r w:rsidR="008B19CF">
        <w:rPr>
          <w:rFonts w:ascii="Book Antiqua" w:hAnsi="Book Antiqua"/>
          <w:sz w:val="24"/>
          <w:szCs w:val="24"/>
        </w:rPr>
        <w:t xml:space="preserve">: </w:t>
      </w:r>
      <w:r w:rsidRPr="00A02038">
        <w:rPr>
          <w:rFonts w:ascii="Book Antiqua" w:hAnsi="Book Antiqua"/>
          <w:sz w:val="24"/>
          <w:szCs w:val="24"/>
        </w:rPr>
        <w:t>EUS finding at baseline</w:t>
      </w:r>
      <w:r w:rsidR="008B19CF">
        <w:rPr>
          <w:rFonts w:ascii="Book Antiqua" w:hAnsi="Book Antiqua"/>
          <w:sz w:val="24"/>
          <w:szCs w:val="24"/>
        </w:rPr>
        <w:t>,</w:t>
      </w:r>
      <w:r w:rsidRPr="00A02038">
        <w:rPr>
          <w:rFonts w:ascii="Book Antiqua" w:hAnsi="Book Antiqua"/>
          <w:sz w:val="24"/>
          <w:szCs w:val="24"/>
        </w:rPr>
        <w:t xml:space="preserve"> </w:t>
      </w:r>
      <w:r w:rsidR="008B19CF" w:rsidRPr="00A02038">
        <w:rPr>
          <w:rFonts w:ascii="Book Antiqua" w:hAnsi="Book Antiqua"/>
          <w:sz w:val="24"/>
          <w:szCs w:val="24"/>
        </w:rPr>
        <w:t>t</w:t>
      </w:r>
      <w:r w:rsidRPr="00A02038">
        <w:rPr>
          <w:rFonts w:ascii="Book Antiqua" w:hAnsi="Book Antiqua"/>
          <w:sz w:val="24"/>
          <w:szCs w:val="24"/>
        </w:rPr>
        <w:t>umor diameter is 15.5 mm</w:t>
      </w:r>
      <w:r w:rsidR="008B19CF">
        <w:rPr>
          <w:rFonts w:ascii="Book Antiqua" w:hAnsi="Book Antiqua"/>
          <w:sz w:val="24"/>
          <w:szCs w:val="24"/>
        </w:rPr>
        <w:t xml:space="preserve">; </w:t>
      </w:r>
      <w:r w:rsidR="008B19CF" w:rsidRPr="00A02038">
        <w:rPr>
          <w:rFonts w:ascii="Book Antiqua" w:hAnsi="Book Antiqua"/>
          <w:sz w:val="24"/>
          <w:szCs w:val="24"/>
        </w:rPr>
        <w:t>B</w:t>
      </w:r>
      <w:r w:rsidR="008B19CF">
        <w:rPr>
          <w:rFonts w:ascii="Book Antiqua" w:hAnsi="Book Antiqua"/>
          <w:sz w:val="24"/>
          <w:szCs w:val="24"/>
        </w:rPr>
        <w:t xml:space="preserve">: </w:t>
      </w:r>
      <w:r w:rsidRPr="00A02038">
        <w:rPr>
          <w:rFonts w:ascii="Book Antiqua" w:hAnsi="Book Antiqua"/>
          <w:sz w:val="24"/>
          <w:szCs w:val="24"/>
        </w:rPr>
        <w:t>EUS finding at five years later</w:t>
      </w:r>
      <w:r w:rsidR="008B19CF">
        <w:rPr>
          <w:rFonts w:ascii="Book Antiqua" w:hAnsi="Book Antiqua"/>
          <w:sz w:val="24"/>
          <w:szCs w:val="24"/>
        </w:rPr>
        <w:t>;</w:t>
      </w:r>
      <w:r w:rsidR="008B19CF">
        <w:rPr>
          <w:rFonts w:ascii="Book Antiqua" w:hAnsi="Book Antiqua"/>
          <w:b/>
          <w:sz w:val="24"/>
          <w:szCs w:val="24"/>
        </w:rPr>
        <w:t xml:space="preserve"> </w:t>
      </w:r>
      <w:r w:rsidR="008B19CF" w:rsidRPr="00A02038">
        <w:rPr>
          <w:rFonts w:ascii="Book Antiqua" w:hAnsi="Book Antiqua"/>
          <w:sz w:val="24"/>
          <w:szCs w:val="24"/>
        </w:rPr>
        <w:t>C</w:t>
      </w:r>
      <w:r w:rsidR="008B19CF">
        <w:rPr>
          <w:rFonts w:ascii="Book Antiqua" w:hAnsi="Book Antiqua"/>
          <w:sz w:val="24"/>
          <w:szCs w:val="24"/>
        </w:rPr>
        <w:t xml:space="preserve">: </w:t>
      </w:r>
      <w:r w:rsidRPr="00A02038">
        <w:rPr>
          <w:rFonts w:ascii="Book Antiqua" w:hAnsi="Book Antiqua"/>
          <w:sz w:val="24"/>
          <w:szCs w:val="24"/>
        </w:rPr>
        <w:t>Endoscopic finding</w:t>
      </w:r>
      <w:r w:rsidR="008B19CF">
        <w:rPr>
          <w:rFonts w:ascii="Book Antiqua" w:hAnsi="Book Antiqua"/>
          <w:b/>
          <w:sz w:val="24"/>
          <w:szCs w:val="24"/>
        </w:rPr>
        <w:t xml:space="preserve">. </w:t>
      </w:r>
      <w:r w:rsidRPr="00A02038">
        <w:rPr>
          <w:rFonts w:ascii="Book Antiqua" w:hAnsi="Book Antiqua"/>
          <w:sz w:val="24"/>
          <w:szCs w:val="24"/>
        </w:rPr>
        <w:t>Ectopic pancreas has no change in five years.</w:t>
      </w:r>
      <w:r w:rsidR="006F11B3">
        <w:rPr>
          <w:rFonts w:ascii="Book Antiqua" w:hAnsi="Book Antiqua"/>
          <w:sz w:val="24"/>
          <w:szCs w:val="24"/>
        </w:rPr>
        <w:t xml:space="preserve"> </w:t>
      </w:r>
      <w:r w:rsidR="006F11B3" w:rsidRPr="00A02038">
        <w:rPr>
          <w:rFonts w:ascii="Book Antiqua" w:hAnsi="Book Antiqua"/>
          <w:sz w:val="24"/>
          <w:szCs w:val="24"/>
        </w:rPr>
        <w:t>EUS</w:t>
      </w:r>
      <w:r w:rsidR="006F11B3">
        <w:rPr>
          <w:rFonts w:ascii="Book Antiqua" w:hAnsi="Book Antiqua"/>
          <w:sz w:val="24"/>
          <w:szCs w:val="24"/>
        </w:rPr>
        <w:t xml:space="preserve">: </w:t>
      </w:r>
      <w:r w:rsidR="006F11B3" w:rsidRPr="00E446C7">
        <w:rPr>
          <w:rFonts w:ascii="Book Antiqua" w:hAnsi="Book Antiqua"/>
          <w:caps/>
          <w:sz w:val="24"/>
          <w:szCs w:val="24"/>
        </w:rPr>
        <w:t>e</w:t>
      </w:r>
      <w:r w:rsidR="006F11B3" w:rsidRPr="00E446C7">
        <w:rPr>
          <w:rFonts w:ascii="Book Antiqua" w:hAnsi="Book Antiqua"/>
          <w:sz w:val="24"/>
          <w:szCs w:val="24"/>
        </w:rPr>
        <w:t>ndoscopic ultrasound</w:t>
      </w:r>
      <w:r w:rsidR="006F11B3">
        <w:rPr>
          <w:rFonts w:ascii="Book Antiqua" w:hAnsi="Book Antiqua"/>
          <w:sz w:val="24"/>
          <w:szCs w:val="24"/>
        </w:rPr>
        <w:t>.</w:t>
      </w:r>
    </w:p>
    <w:p w:rsidR="00E45596" w:rsidRDefault="00E45596">
      <w:r>
        <w:br w:type="page"/>
      </w:r>
      <w:r w:rsidRPr="00A02038">
        <w:rPr>
          <w:rFonts w:ascii="Book Antiqua" w:hAnsi="Book Antiqua"/>
          <w:b/>
          <w:bCs/>
          <w:sz w:val="24"/>
          <w:szCs w:val="24"/>
        </w:rPr>
        <w:lastRenderedPageBreak/>
        <w:t>Table 1</w:t>
      </w:r>
      <w:r>
        <w:rPr>
          <w:rFonts w:ascii="Book Antiqua" w:hAnsi="Book Antiqua"/>
          <w:b/>
          <w:bCs/>
          <w:sz w:val="24"/>
          <w:szCs w:val="24"/>
        </w:rPr>
        <w:t xml:space="preserve"> </w:t>
      </w:r>
      <w:r w:rsidRPr="00A02038">
        <w:rPr>
          <w:rFonts w:ascii="Book Antiqua" w:hAnsi="Book Antiqua"/>
          <w:b/>
          <w:bCs/>
          <w:sz w:val="24"/>
          <w:szCs w:val="24"/>
        </w:rPr>
        <w:t>Demographic characteristics of all 53 patients</w:t>
      </w:r>
    </w:p>
    <w:tbl>
      <w:tblPr>
        <w:tblpPr w:leftFromText="180" w:rightFromText="180" w:horzAnchor="margin" w:tblpY="462"/>
        <w:tblW w:w="8237" w:type="dxa"/>
        <w:tblBorders>
          <w:top w:val="single" w:sz="4" w:space="0" w:color="000000"/>
          <w:bottom w:val="single" w:sz="4" w:space="0" w:color="000000"/>
        </w:tblBorders>
        <w:tblLayout w:type="fixed"/>
        <w:tblCellMar>
          <w:left w:w="15" w:type="dxa"/>
          <w:right w:w="15" w:type="dxa"/>
        </w:tblCellMar>
        <w:tblLook w:val="04A0" w:firstRow="1" w:lastRow="0" w:firstColumn="1" w:lastColumn="0" w:noHBand="0" w:noVBand="1"/>
      </w:tblPr>
      <w:tblGrid>
        <w:gridCol w:w="3090"/>
        <w:gridCol w:w="5147"/>
      </w:tblGrid>
      <w:tr w:rsidR="00EC534A" w:rsidRPr="00A02038" w:rsidTr="00915FB8">
        <w:trPr>
          <w:trHeight w:val="285"/>
        </w:trPr>
        <w:tc>
          <w:tcPr>
            <w:tcW w:w="3090" w:type="dxa"/>
            <w:tcBorders>
              <w:top w:val="single" w:sz="4" w:space="0" w:color="000000"/>
              <w:bottom w:val="single" w:sz="4" w:space="0" w:color="000000"/>
            </w:tcBorders>
            <w:vAlign w:val="center"/>
          </w:tcPr>
          <w:p w:rsidR="002D0B97" w:rsidRPr="00E45596" w:rsidRDefault="00E45596" w:rsidP="00E45596">
            <w:pPr>
              <w:snapToGrid w:val="0"/>
              <w:spacing w:line="360" w:lineRule="auto"/>
              <w:jc w:val="left"/>
              <w:rPr>
                <w:rFonts w:ascii="Book Antiqua" w:hAnsi="Book Antiqua"/>
                <w:b/>
                <w:sz w:val="24"/>
                <w:szCs w:val="24"/>
              </w:rPr>
            </w:pPr>
            <w:r w:rsidRPr="00E45596">
              <w:rPr>
                <w:rFonts w:ascii="Book Antiqua" w:hAnsi="Book Antiqua"/>
                <w:b/>
                <w:bCs/>
                <w:caps/>
                <w:sz w:val="24"/>
                <w:szCs w:val="24"/>
              </w:rPr>
              <w:t>c</w:t>
            </w:r>
            <w:r w:rsidRPr="00E45596">
              <w:rPr>
                <w:rFonts w:ascii="Book Antiqua" w:hAnsi="Book Antiqua"/>
                <w:b/>
                <w:bCs/>
                <w:sz w:val="24"/>
                <w:szCs w:val="24"/>
              </w:rPr>
              <w:t>haracteristic</w:t>
            </w:r>
          </w:p>
        </w:tc>
        <w:tc>
          <w:tcPr>
            <w:tcW w:w="5147" w:type="dxa"/>
            <w:tcBorders>
              <w:top w:val="single" w:sz="4" w:space="0" w:color="000000"/>
              <w:bottom w:val="single" w:sz="4" w:space="0" w:color="000000"/>
            </w:tcBorders>
            <w:vAlign w:val="center"/>
          </w:tcPr>
          <w:p w:rsidR="002D0B97" w:rsidRPr="00E45596" w:rsidRDefault="00E45596" w:rsidP="00E45596">
            <w:pPr>
              <w:snapToGrid w:val="0"/>
              <w:spacing w:line="360" w:lineRule="auto"/>
              <w:jc w:val="center"/>
              <w:rPr>
                <w:rFonts w:ascii="Book Antiqua" w:hAnsi="Book Antiqua"/>
                <w:b/>
                <w:sz w:val="24"/>
                <w:szCs w:val="24"/>
              </w:rPr>
            </w:pPr>
            <w:r w:rsidRPr="00E45596">
              <w:rPr>
                <w:rFonts w:ascii="Book Antiqua" w:hAnsi="Book Antiqua"/>
                <w:b/>
                <w:sz w:val="24"/>
                <w:szCs w:val="24"/>
              </w:rPr>
              <w:t>Value</w:t>
            </w:r>
          </w:p>
        </w:tc>
      </w:tr>
      <w:tr w:rsidR="00EC534A" w:rsidRPr="00A02038" w:rsidTr="00915FB8">
        <w:trPr>
          <w:trHeight w:val="270"/>
        </w:trPr>
        <w:tc>
          <w:tcPr>
            <w:tcW w:w="3090" w:type="dxa"/>
            <w:tcBorders>
              <w:top w:val="single" w:sz="4" w:space="0" w:color="000000"/>
            </w:tcBorders>
            <w:vAlign w:val="center"/>
          </w:tcPr>
          <w:p w:rsidR="002D0B97" w:rsidRPr="00A02038" w:rsidRDefault="00E45596" w:rsidP="00E45596">
            <w:pPr>
              <w:snapToGrid w:val="0"/>
              <w:spacing w:line="360" w:lineRule="auto"/>
              <w:jc w:val="left"/>
              <w:rPr>
                <w:rFonts w:ascii="Book Antiqua" w:hAnsi="Book Antiqua"/>
                <w:sz w:val="24"/>
                <w:szCs w:val="24"/>
              </w:rPr>
            </w:pPr>
            <w:r>
              <w:rPr>
                <w:rFonts w:ascii="Book Antiqua" w:hAnsi="Book Antiqua"/>
                <w:sz w:val="24"/>
                <w:szCs w:val="24"/>
              </w:rPr>
              <w:t>Sex, No.</w:t>
            </w:r>
          </w:p>
        </w:tc>
        <w:tc>
          <w:tcPr>
            <w:tcW w:w="5147" w:type="dxa"/>
            <w:tcBorders>
              <w:top w:val="single" w:sz="4" w:space="0" w:color="000000"/>
            </w:tcBorders>
            <w:vAlign w:val="center"/>
          </w:tcPr>
          <w:p w:rsidR="002D0B97" w:rsidRPr="00A02038" w:rsidRDefault="00E45596" w:rsidP="00E45596">
            <w:pPr>
              <w:snapToGrid w:val="0"/>
              <w:spacing w:line="360" w:lineRule="auto"/>
              <w:jc w:val="center"/>
              <w:rPr>
                <w:rFonts w:ascii="Book Antiqua" w:hAnsi="Book Antiqua"/>
                <w:sz w:val="24"/>
                <w:szCs w:val="24"/>
              </w:rPr>
            </w:pPr>
            <w:r w:rsidRPr="00E45596">
              <w:rPr>
                <w:rFonts w:ascii="Book Antiqua" w:hAnsi="Book Antiqua"/>
                <w:caps/>
                <w:sz w:val="24"/>
                <w:szCs w:val="24"/>
              </w:rPr>
              <w:t>m</w:t>
            </w:r>
            <w:r>
              <w:rPr>
                <w:rFonts w:ascii="Book Antiqua" w:hAnsi="Book Antiqua"/>
                <w:sz w:val="24"/>
                <w:szCs w:val="24"/>
              </w:rPr>
              <w:t>ale/</w:t>
            </w:r>
            <w:r w:rsidRPr="00E45596">
              <w:rPr>
                <w:rFonts w:ascii="Book Antiqua" w:hAnsi="Book Antiqua"/>
                <w:sz w:val="24"/>
                <w:szCs w:val="24"/>
              </w:rPr>
              <w:t>f</w:t>
            </w:r>
            <w:r w:rsidR="00915FB8">
              <w:rPr>
                <w:rFonts w:ascii="Book Antiqua" w:hAnsi="Book Antiqua"/>
                <w:sz w:val="24"/>
                <w:szCs w:val="24"/>
              </w:rPr>
              <w:t>emale</w:t>
            </w:r>
            <w:r>
              <w:rPr>
                <w:rFonts w:ascii="Book Antiqua" w:hAnsi="Book Antiqua"/>
                <w:sz w:val="24"/>
                <w:szCs w:val="24"/>
              </w:rPr>
              <w:t>: 26/</w:t>
            </w:r>
            <w:r w:rsidR="00EC534A" w:rsidRPr="00A02038">
              <w:rPr>
                <w:rFonts w:ascii="Book Antiqua" w:hAnsi="Book Antiqua"/>
                <w:sz w:val="24"/>
                <w:szCs w:val="24"/>
              </w:rPr>
              <w:t>27</w:t>
            </w:r>
          </w:p>
        </w:tc>
      </w:tr>
      <w:tr w:rsidR="00EC534A" w:rsidRPr="00A02038" w:rsidTr="00915FB8">
        <w:trPr>
          <w:trHeight w:val="270"/>
        </w:trPr>
        <w:tc>
          <w:tcPr>
            <w:tcW w:w="3090" w:type="dxa"/>
            <w:vAlign w:val="center"/>
          </w:tcPr>
          <w:p w:rsidR="002D0B97" w:rsidRPr="00A02038" w:rsidRDefault="00E45596" w:rsidP="00E45596">
            <w:pPr>
              <w:snapToGrid w:val="0"/>
              <w:spacing w:line="360" w:lineRule="auto"/>
              <w:jc w:val="left"/>
              <w:rPr>
                <w:rFonts w:ascii="Book Antiqua" w:hAnsi="Book Antiqua"/>
                <w:sz w:val="24"/>
                <w:szCs w:val="24"/>
              </w:rPr>
            </w:pPr>
            <w:r>
              <w:rPr>
                <w:rFonts w:ascii="Book Antiqua" w:hAnsi="Book Antiqua"/>
                <w:sz w:val="24"/>
                <w:szCs w:val="24"/>
              </w:rPr>
              <w:t>Age, median (range), yr</w:t>
            </w:r>
          </w:p>
        </w:tc>
        <w:tc>
          <w:tcPr>
            <w:tcW w:w="5147"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63.0 (31-83)</w:t>
            </w:r>
          </w:p>
        </w:tc>
      </w:tr>
      <w:tr w:rsidR="00EC534A" w:rsidRPr="00A02038" w:rsidTr="00915FB8">
        <w:trPr>
          <w:trHeight w:val="270"/>
        </w:trPr>
        <w:tc>
          <w:tcPr>
            <w:tcW w:w="3090" w:type="dxa"/>
            <w:vAlign w:val="center"/>
          </w:tcPr>
          <w:p w:rsidR="002D0B97" w:rsidRPr="00A02038" w:rsidRDefault="00EC534A" w:rsidP="00E45596">
            <w:pPr>
              <w:snapToGrid w:val="0"/>
              <w:spacing w:line="360" w:lineRule="auto"/>
              <w:jc w:val="left"/>
              <w:rPr>
                <w:rFonts w:ascii="Book Antiqua" w:hAnsi="Book Antiqua"/>
                <w:sz w:val="24"/>
                <w:szCs w:val="24"/>
              </w:rPr>
            </w:pPr>
            <w:r w:rsidRPr="00A02038">
              <w:rPr>
                <w:rFonts w:ascii="Book Antiqua" w:hAnsi="Book Antiqua"/>
                <w:sz w:val="24"/>
                <w:szCs w:val="24"/>
              </w:rPr>
              <w:t>Tumor location, No.</w:t>
            </w:r>
          </w:p>
        </w:tc>
        <w:tc>
          <w:tcPr>
            <w:tcW w:w="5147" w:type="dxa"/>
            <w:vAlign w:val="center"/>
          </w:tcPr>
          <w:p w:rsidR="002D0B97" w:rsidRPr="00A02038" w:rsidRDefault="00E45596" w:rsidP="00E45596">
            <w:pPr>
              <w:snapToGrid w:val="0"/>
              <w:spacing w:line="360" w:lineRule="auto"/>
              <w:jc w:val="center"/>
              <w:rPr>
                <w:rFonts w:ascii="Book Antiqua" w:hAnsi="Book Antiqua"/>
                <w:sz w:val="24"/>
                <w:szCs w:val="24"/>
              </w:rPr>
            </w:pPr>
            <w:r>
              <w:rPr>
                <w:rFonts w:ascii="Book Antiqua" w:hAnsi="Book Antiqua"/>
                <w:sz w:val="24"/>
                <w:szCs w:val="24"/>
              </w:rPr>
              <w:t>Esophagus/stomach/</w:t>
            </w:r>
            <w:r w:rsidRPr="00A02038">
              <w:rPr>
                <w:rFonts w:ascii="Book Antiqua" w:hAnsi="Book Antiqua"/>
                <w:sz w:val="24"/>
                <w:szCs w:val="24"/>
              </w:rPr>
              <w:t>d</w:t>
            </w:r>
            <w:r>
              <w:rPr>
                <w:rFonts w:ascii="Book Antiqua" w:hAnsi="Book Antiqua"/>
                <w:sz w:val="24"/>
                <w:szCs w:val="24"/>
              </w:rPr>
              <w:t>uodenum: 4/47/</w:t>
            </w:r>
            <w:r w:rsidR="00EC534A" w:rsidRPr="00A02038">
              <w:rPr>
                <w:rFonts w:ascii="Book Antiqua" w:hAnsi="Book Antiqua"/>
                <w:sz w:val="24"/>
                <w:szCs w:val="24"/>
              </w:rPr>
              <w:t>2</w:t>
            </w:r>
          </w:p>
        </w:tc>
      </w:tr>
    </w:tbl>
    <w:p w:rsidR="002D0B97" w:rsidRPr="00A02038" w:rsidRDefault="002D0B97" w:rsidP="00971E2B">
      <w:pPr>
        <w:snapToGrid w:val="0"/>
        <w:spacing w:line="360" w:lineRule="auto"/>
        <w:rPr>
          <w:rFonts w:ascii="Book Antiqua" w:hAnsi="Book Antiqua"/>
          <w:sz w:val="24"/>
          <w:szCs w:val="24"/>
        </w:rPr>
      </w:pPr>
    </w:p>
    <w:p w:rsidR="002D0B97" w:rsidRPr="00A02038" w:rsidRDefault="00EC534A" w:rsidP="00971E2B">
      <w:pPr>
        <w:widowControl/>
        <w:snapToGrid w:val="0"/>
        <w:spacing w:line="360" w:lineRule="auto"/>
        <w:rPr>
          <w:rFonts w:ascii="Book Antiqua" w:hAnsi="Book Antiqua"/>
          <w:sz w:val="24"/>
          <w:szCs w:val="24"/>
        </w:rPr>
      </w:pPr>
      <w:r w:rsidRPr="00A02038">
        <w:rPr>
          <w:rFonts w:ascii="Book Antiqua" w:hAnsi="Book Antiqua"/>
          <w:sz w:val="24"/>
          <w:szCs w:val="24"/>
        </w:rPr>
        <w:br w:type="page"/>
      </w:r>
      <w:r w:rsidR="00E45596" w:rsidRPr="00A02038">
        <w:rPr>
          <w:rFonts w:ascii="Book Antiqua" w:hAnsi="Book Antiqua"/>
          <w:b/>
          <w:bCs/>
          <w:sz w:val="24"/>
          <w:szCs w:val="24"/>
        </w:rPr>
        <w:lastRenderedPageBreak/>
        <w:t>Table 2</w:t>
      </w:r>
      <w:r w:rsidR="00FC1F4A">
        <w:rPr>
          <w:rFonts w:ascii="Book Antiqua" w:hAnsi="Book Antiqua"/>
          <w:b/>
          <w:bCs/>
          <w:sz w:val="24"/>
          <w:szCs w:val="24"/>
        </w:rPr>
        <w:t xml:space="preserve"> </w:t>
      </w:r>
      <w:r w:rsidR="00E45596" w:rsidRPr="00A02038">
        <w:rPr>
          <w:rFonts w:ascii="Book Antiqua" w:hAnsi="Book Antiqua"/>
          <w:b/>
          <w:bCs/>
          <w:sz w:val="24"/>
          <w:szCs w:val="24"/>
        </w:rPr>
        <w:t>Histopathological diagnosis</w:t>
      </w:r>
    </w:p>
    <w:tbl>
      <w:tblPr>
        <w:tblW w:w="9647" w:type="dxa"/>
        <w:tblInd w:w="-701" w:type="dxa"/>
        <w:tblBorders>
          <w:top w:val="single" w:sz="4" w:space="0" w:color="000000"/>
          <w:bottom w:val="single" w:sz="4" w:space="0" w:color="000000"/>
        </w:tblBorders>
        <w:tblLayout w:type="fixed"/>
        <w:tblCellMar>
          <w:left w:w="15" w:type="dxa"/>
          <w:right w:w="15" w:type="dxa"/>
        </w:tblCellMar>
        <w:tblLook w:val="04A0" w:firstRow="1" w:lastRow="0" w:firstColumn="1" w:lastColumn="0" w:noHBand="0" w:noVBand="1"/>
      </w:tblPr>
      <w:tblGrid>
        <w:gridCol w:w="3551"/>
        <w:gridCol w:w="1560"/>
        <w:gridCol w:w="1417"/>
        <w:gridCol w:w="1701"/>
        <w:gridCol w:w="1418"/>
      </w:tblGrid>
      <w:tr w:rsidR="00EC534A" w:rsidRPr="00A02038" w:rsidTr="00FC1F4A">
        <w:trPr>
          <w:trHeight w:val="570"/>
        </w:trPr>
        <w:tc>
          <w:tcPr>
            <w:tcW w:w="3551" w:type="dxa"/>
            <w:tcBorders>
              <w:top w:val="single" w:sz="4" w:space="0" w:color="000000"/>
              <w:bottom w:val="single" w:sz="4" w:space="0" w:color="000000"/>
            </w:tcBorders>
            <w:vAlign w:val="center"/>
          </w:tcPr>
          <w:p w:rsidR="002D0B97" w:rsidRPr="00A02038" w:rsidRDefault="002D0B97" w:rsidP="00971E2B">
            <w:pPr>
              <w:snapToGrid w:val="0"/>
              <w:spacing w:line="360" w:lineRule="auto"/>
              <w:rPr>
                <w:rFonts w:ascii="Book Antiqua" w:hAnsi="Book Antiqua"/>
                <w:sz w:val="24"/>
                <w:szCs w:val="24"/>
              </w:rPr>
            </w:pPr>
          </w:p>
        </w:tc>
        <w:tc>
          <w:tcPr>
            <w:tcW w:w="1560" w:type="dxa"/>
            <w:tcBorders>
              <w:top w:val="single" w:sz="4" w:space="0" w:color="000000"/>
              <w:bottom w:val="single" w:sz="4" w:space="0" w:color="000000"/>
            </w:tcBorders>
            <w:vAlign w:val="center"/>
          </w:tcPr>
          <w:p w:rsidR="002D0B97" w:rsidRPr="00FC1F4A" w:rsidRDefault="00EC534A" w:rsidP="00E45596">
            <w:pPr>
              <w:snapToGrid w:val="0"/>
              <w:spacing w:line="360" w:lineRule="auto"/>
              <w:jc w:val="center"/>
              <w:rPr>
                <w:rFonts w:ascii="Book Antiqua" w:hAnsi="Book Antiqua"/>
                <w:b/>
                <w:sz w:val="24"/>
                <w:szCs w:val="24"/>
              </w:rPr>
            </w:pPr>
            <w:r w:rsidRPr="00FC1F4A">
              <w:rPr>
                <w:rFonts w:ascii="Book Antiqua" w:hAnsi="Book Antiqua"/>
                <w:b/>
                <w:sz w:val="24"/>
                <w:szCs w:val="24"/>
              </w:rPr>
              <w:t>Esophagus</w:t>
            </w:r>
            <w:r w:rsidR="00FC1F4A" w:rsidRPr="00FC1F4A">
              <w:rPr>
                <w:rFonts w:ascii="Book Antiqua" w:hAnsi="Book Antiqua"/>
                <w:b/>
                <w:sz w:val="24"/>
                <w:szCs w:val="24"/>
              </w:rPr>
              <w:t xml:space="preserve"> (</w:t>
            </w:r>
            <w:r w:rsidR="00FC1F4A" w:rsidRPr="00FC1F4A">
              <w:rPr>
                <w:rFonts w:ascii="Book Antiqua" w:hAnsi="Book Antiqua"/>
                <w:b/>
                <w:i/>
                <w:sz w:val="24"/>
                <w:szCs w:val="24"/>
              </w:rPr>
              <w:t xml:space="preserve">n </w:t>
            </w:r>
            <w:r w:rsidR="00FC1F4A" w:rsidRPr="00FC1F4A">
              <w:rPr>
                <w:rFonts w:ascii="Book Antiqua" w:hAnsi="Book Antiqua"/>
                <w:b/>
                <w:sz w:val="24"/>
                <w:szCs w:val="24"/>
              </w:rPr>
              <w:t>= 4)</w:t>
            </w:r>
          </w:p>
        </w:tc>
        <w:tc>
          <w:tcPr>
            <w:tcW w:w="1417" w:type="dxa"/>
            <w:tcBorders>
              <w:top w:val="single" w:sz="4" w:space="0" w:color="000000"/>
              <w:bottom w:val="single" w:sz="4" w:space="0" w:color="000000"/>
            </w:tcBorders>
            <w:vAlign w:val="center"/>
          </w:tcPr>
          <w:p w:rsidR="002D0B97" w:rsidRPr="00FC1F4A" w:rsidRDefault="00EC534A" w:rsidP="00E45596">
            <w:pPr>
              <w:snapToGrid w:val="0"/>
              <w:spacing w:line="360" w:lineRule="auto"/>
              <w:jc w:val="center"/>
              <w:rPr>
                <w:rFonts w:ascii="Book Antiqua" w:hAnsi="Book Antiqua"/>
                <w:b/>
                <w:sz w:val="24"/>
                <w:szCs w:val="24"/>
              </w:rPr>
            </w:pPr>
            <w:r w:rsidRPr="00FC1F4A">
              <w:rPr>
                <w:rFonts w:ascii="Book Antiqua" w:hAnsi="Book Antiqua"/>
                <w:b/>
                <w:sz w:val="24"/>
                <w:szCs w:val="24"/>
              </w:rPr>
              <w:t>Stomach</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47)</w:t>
            </w:r>
          </w:p>
        </w:tc>
        <w:tc>
          <w:tcPr>
            <w:tcW w:w="1701" w:type="dxa"/>
            <w:tcBorders>
              <w:top w:val="single" w:sz="4" w:space="0" w:color="000000"/>
              <w:bottom w:val="single" w:sz="4" w:space="0" w:color="000000"/>
            </w:tcBorders>
            <w:vAlign w:val="center"/>
          </w:tcPr>
          <w:p w:rsidR="002D0B97" w:rsidRPr="00FC1F4A" w:rsidRDefault="00EC534A" w:rsidP="00E45596">
            <w:pPr>
              <w:snapToGrid w:val="0"/>
              <w:spacing w:line="360" w:lineRule="auto"/>
              <w:jc w:val="center"/>
              <w:rPr>
                <w:rFonts w:ascii="Book Antiqua" w:hAnsi="Book Antiqua"/>
                <w:b/>
                <w:sz w:val="24"/>
                <w:szCs w:val="24"/>
              </w:rPr>
            </w:pPr>
            <w:r w:rsidRPr="00FC1F4A">
              <w:rPr>
                <w:rFonts w:ascii="Book Antiqua" w:hAnsi="Book Antiqua"/>
                <w:b/>
                <w:sz w:val="24"/>
                <w:szCs w:val="24"/>
              </w:rPr>
              <w:t>Duodenum</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2)</w:t>
            </w:r>
          </w:p>
        </w:tc>
        <w:tc>
          <w:tcPr>
            <w:tcW w:w="1418" w:type="dxa"/>
            <w:tcBorders>
              <w:top w:val="single" w:sz="4" w:space="0" w:color="000000"/>
              <w:bottom w:val="single" w:sz="4" w:space="0" w:color="000000"/>
            </w:tcBorders>
            <w:vAlign w:val="center"/>
          </w:tcPr>
          <w:p w:rsidR="002D0B97" w:rsidRPr="00FC1F4A" w:rsidRDefault="00EC534A" w:rsidP="00E45596">
            <w:pPr>
              <w:snapToGrid w:val="0"/>
              <w:spacing w:line="360" w:lineRule="auto"/>
              <w:jc w:val="center"/>
              <w:rPr>
                <w:rFonts w:ascii="Book Antiqua" w:hAnsi="Book Antiqua"/>
                <w:b/>
                <w:sz w:val="24"/>
                <w:szCs w:val="24"/>
              </w:rPr>
            </w:pPr>
            <w:r w:rsidRPr="00FC1F4A">
              <w:rPr>
                <w:rFonts w:ascii="Book Antiqua" w:hAnsi="Book Antiqua"/>
                <w:b/>
                <w:sz w:val="24"/>
                <w:szCs w:val="24"/>
              </w:rPr>
              <w:t>Total</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53)</w:t>
            </w:r>
          </w:p>
        </w:tc>
      </w:tr>
      <w:tr w:rsidR="00EC534A" w:rsidRPr="00A02038" w:rsidTr="00FC1F4A">
        <w:trPr>
          <w:trHeight w:val="285"/>
        </w:trPr>
        <w:tc>
          <w:tcPr>
            <w:tcW w:w="3551" w:type="dxa"/>
            <w:tcBorders>
              <w:top w:val="single" w:sz="4" w:space="0" w:color="000000"/>
            </w:tcBorders>
            <w:vAlign w:val="center"/>
          </w:tcPr>
          <w:p w:rsidR="002D0B97" w:rsidRPr="00A02038" w:rsidRDefault="00FC1F4A" w:rsidP="00E45596">
            <w:pPr>
              <w:snapToGrid w:val="0"/>
              <w:spacing w:line="360" w:lineRule="auto"/>
              <w:jc w:val="left"/>
              <w:rPr>
                <w:rFonts w:ascii="Book Antiqua" w:hAnsi="Book Antiqua"/>
                <w:sz w:val="24"/>
                <w:szCs w:val="24"/>
              </w:rPr>
            </w:pPr>
            <w:r>
              <w:rPr>
                <w:rFonts w:ascii="Book Antiqua" w:hAnsi="Book Antiqua"/>
                <w:sz w:val="24"/>
                <w:szCs w:val="24"/>
              </w:rPr>
              <w:t>GIMT</w:t>
            </w:r>
          </w:p>
        </w:tc>
        <w:tc>
          <w:tcPr>
            <w:tcW w:w="1560" w:type="dxa"/>
            <w:tcBorders>
              <w:top w:val="single" w:sz="4" w:space="0" w:color="000000"/>
            </w:tcBorders>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4</w:t>
            </w:r>
          </w:p>
        </w:tc>
        <w:tc>
          <w:tcPr>
            <w:tcW w:w="1417" w:type="dxa"/>
            <w:tcBorders>
              <w:top w:val="single" w:sz="4" w:space="0" w:color="000000"/>
            </w:tcBorders>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45</w:t>
            </w:r>
          </w:p>
        </w:tc>
        <w:tc>
          <w:tcPr>
            <w:tcW w:w="1701" w:type="dxa"/>
            <w:tcBorders>
              <w:top w:val="single" w:sz="4" w:space="0" w:color="000000"/>
            </w:tcBorders>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tcBorders>
              <w:top w:val="single" w:sz="4" w:space="0" w:color="000000"/>
            </w:tcBorders>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49</w:t>
            </w:r>
          </w:p>
        </w:tc>
      </w:tr>
      <w:tr w:rsidR="00FC1F4A" w:rsidRPr="00A02038" w:rsidTr="00FC1F4A">
        <w:trPr>
          <w:trHeight w:val="285"/>
        </w:trPr>
        <w:tc>
          <w:tcPr>
            <w:tcW w:w="3551" w:type="dxa"/>
            <w:vAlign w:val="center"/>
          </w:tcPr>
          <w:p w:rsidR="00FC1F4A" w:rsidRPr="00A02038" w:rsidRDefault="00FC1F4A" w:rsidP="00FC1F4A">
            <w:pPr>
              <w:snapToGrid w:val="0"/>
              <w:spacing w:line="360" w:lineRule="auto"/>
              <w:ind w:firstLineChars="100" w:firstLine="240"/>
              <w:jc w:val="left"/>
              <w:rPr>
                <w:rFonts w:ascii="Book Antiqua" w:hAnsi="Book Antiqua"/>
                <w:sz w:val="24"/>
                <w:szCs w:val="24"/>
              </w:rPr>
            </w:pPr>
            <w:r w:rsidRPr="00A02038">
              <w:rPr>
                <w:rFonts w:ascii="Book Antiqua" w:hAnsi="Book Antiqua"/>
                <w:sz w:val="24"/>
                <w:szCs w:val="24"/>
              </w:rPr>
              <w:t>GIST</w:t>
            </w:r>
          </w:p>
        </w:tc>
        <w:tc>
          <w:tcPr>
            <w:tcW w:w="1560"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7"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34</w:t>
            </w:r>
          </w:p>
        </w:tc>
        <w:tc>
          <w:tcPr>
            <w:tcW w:w="1701"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34</w:t>
            </w:r>
          </w:p>
        </w:tc>
      </w:tr>
      <w:tr w:rsidR="00FC1F4A" w:rsidRPr="00A02038" w:rsidTr="00FC1F4A">
        <w:trPr>
          <w:trHeight w:val="285"/>
        </w:trPr>
        <w:tc>
          <w:tcPr>
            <w:tcW w:w="3551" w:type="dxa"/>
            <w:vAlign w:val="center"/>
          </w:tcPr>
          <w:p w:rsidR="00FC1F4A" w:rsidRPr="00A02038" w:rsidRDefault="00FC1F4A" w:rsidP="00FC1F4A">
            <w:pPr>
              <w:snapToGrid w:val="0"/>
              <w:spacing w:line="360" w:lineRule="auto"/>
              <w:ind w:firstLineChars="100" w:firstLine="240"/>
              <w:jc w:val="left"/>
              <w:rPr>
                <w:rFonts w:ascii="Book Antiqua" w:hAnsi="Book Antiqua"/>
                <w:sz w:val="24"/>
                <w:szCs w:val="24"/>
              </w:rPr>
            </w:pPr>
            <w:r w:rsidRPr="00A02038">
              <w:rPr>
                <w:rFonts w:ascii="Book Antiqua" w:hAnsi="Book Antiqua"/>
                <w:sz w:val="24"/>
                <w:szCs w:val="24"/>
              </w:rPr>
              <w:t>Leiomyoma</w:t>
            </w:r>
          </w:p>
        </w:tc>
        <w:tc>
          <w:tcPr>
            <w:tcW w:w="1560"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2</w:t>
            </w:r>
          </w:p>
        </w:tc>
        <w:tc>
          <w:tcPr>
            <w:tcW w:w="1417"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3</w:t>
            </w:r>
          </w:p>
        </w:tc>
        <w:tc>
          <w:tcPr>
            <w:tcW w:w="1701"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5</w:t>
            </w:r>
          </w:p>
        </w:tc>
      </w:tr>
      <w:tr w:rsidR="00FC1F4A" w:rsidRPr="00A02038" w:rsidTr="00FC1F4A">
        <w:trPr>
          <w:trHeight w:val="285"/>
        </w:trPr>
        <w:tc>
          <w:tcPr>
            <w:tcW w:w="3551" w:type="dxa"/>
            <w:vAlign w:val="center"/>
          </w:tcPr>
          <w:p w:rsidR="00FC1F4A" w:rsidRPr="00A02038" w:rsidRDefault="00FC1F4A" w:rsidP="00FC1F4A">
            <w:pPr>
              <w:snapToGrid w:val="0"/>
              <w:spacing w:line="360" w:lineRule="auto"/>
              <w:ind w:firstLineChars="100" w:firstLine="240"/>
              <w:jc w:val="left"/>
              <w:rPr>
                <w:rFonts w:ascii="Book Antiqua" w:hAnsi="Book Antiqua"/>
                <w:sz w:val="24"/>
                <w:szCs w:val="24"/>
              </w:rPr>
            </w:pPr>
            <w:r w:rsidRPr="00A02038">
              <w:rPr>
                <w:rFonts w:ascii="Book Antiqua" w:hAnsi="Book Antiqua"/>
                <w:sz w:val="24"/>
                <w:szCs w:val="24"/>
              </w:rPr>
              <w:t>Schwannoma</w:t>
            </w:r>
          </w:p>
        </w:tc>
        <w:tc>
          <w:tcPr>
            <w:tcW w:w="1560"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1417"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2</w:t>
            </w:r>
          </w:p>
        </w:tc>
        <w:tc>
          <w:tcPr>
            <w:tcW w:w="1701"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3</w:t>
            </w:r>
          </w:p>
        </w:tc>
      </w:tr>
      <w:tr w:rsidR="00FC1F4A" w:rsidRPr="00A02038" w:rsidTr="00FC1F4A">
        <w:trPr>
          <w:trHeight w:val="570"/>
        </w:trPr>
        <w:tc>
          <w:tcPr>
            <w:tcW w:w="3551" w:type="dxa"/>
            <w:vAlign w:val="center"/>
          </w:tcPr>
          <w:p w:rsidR="00FC1F4A" w:rsidRPr="00A02038" w:rsidRDefault="00FC1F4A" w:rsidP="00FC1F4A">
            <w:pPr>
              <w:snapToGrid w:val="0"/>
              <w:spacing w:line="360" w:lineRule="auto"/>
              <w:ind w:firstLineChars="100" w:firstLine="240"/>
              <w:jc w:val="left"/>
              <w:rPr>
                <w:rFonts w:ascii="Book Antiqua" w:hAnsi="Book Antiqua"/>
                <w:sz w:val="24"/>
                <w:szCs w:val="24"/>
              </w:rPr>
            </w:pPr>
            <w:r w:rsidRPr="00A02038">
              <w:rPr>
                <w:rFonts w:ascii="Book Antiqua" w:hAnsi="Book Antiqua"/>
                <w:sz w:val="24"/>
                <w:szCs w:val="24"/>
              </w:rPr>
              <w:t>Spindle-cell tumor</w:t>
            </w:r>
          </w:p>
        </w:tc>
        <w:tc>
          <w:tcPr>
            <w:tcW w:w="1560"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1417"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6</w:t>
            </w:r>
          </w:p>
        </w:tc>
        <w:tc>
          <w:tcPr>
            <w:tcW w:w="1701"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vAlign w:val="center"/>
          </w:tcPr>
          <w:p w:rsidR="00FC1F4A" w:rsidRPr="00A02038" w:rsidRDefault="00FC1F4A" w:rsidP="00E45596">
            <w:pPr>
              <w:snapToGrid w:val="0"/>
              <w:spacing w:line="360" w:lineRule="auto"/>
              <w:jc w:val="center"/>
              <w:rPr>
                <w:rFonts w:ascii="Book Antiqua" w:hAnsi="Book Antiqua"/>
                <w:sz w:val="24"/>
                <w:szCs w:val="24"/>
              </w:rPr>
            </w:pPr>
            <w:r w:rsidRPr="00A02038">
              <w:rPr>
                <w:rFonts w:ascii="Book Antiqua" w:hAnsi="Book Antiqua"/>
                <w:sz w:val="24"/>
                <w:szCs w:val="24"/>
              </w:rPr>
              <w:t>7</w:t>
            </w:r>
          </w:p>
        </w:tc>
      </w:tr>
      <w:tr w:rsidR="00EC534A" w:rsidRPr="00A02038" w:rsidTr="00FC1F4A">
        <w:trPr>
          <w:trHeight w:val="285"/>
        </w:trPr>
        <w:tc>
          <w:tcPr>
            <w:tcW w:w="3551" w:type="dxa"/>
            <w:vAlign w:val="center"/>
          </w:tcPr>
          <w:p w:rsidR="002D0B97" w:rsidRPr="00A02038" w:rsidRDefault="00FC1F4A" w:rsidP="00E45596">
            <w:pPr>
              <w:snapToGrid w:val="0"/>
              <w:spacing w:line="360" w:lineRule="auto"/>
              <w:jc w:val="left"/>
              <w:rPr>
                <w:rFonts w:ascii="Book Antiqua" w:hAnsi="Book Antiqua"/>
                <w:sz w:val="24"/>
                <w:szCs w:val="24"/>
              </w:rPr>
            </w:pPr>
            <w:r>
              <w:rPr>
                <w:rFonts w:ascii="Book Antiqua" w:hAnsi="Book Antiqua"/>
                <w:sz w:val="24"/>
                <w:szCs w:val="24"/>
              </w:rPr>
              <w:t>Ectopic pancreas</w:t>
            </w:r>
          </w:p>
        </w:tc>
        <w:tc>
          <w:tcPr>
            <w:tcW w:w="1560"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7"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1701"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r>
      <w:tr w:rsidR="00EC534A" w:rsidRPr="00A02038" w:rsidTr="00FC1F4A">
        <w:trPr>
          <w:trHeight w:val="285"/>
        </w:trPr>
        <w:tc>
          <w:tcPr>
            <w:tcW w:w="3551" w:type="dxa"/>
            <w:vAlign w:val="center"/>
          </w:tcPr>
          <w:p w:rsidR="002D0B97" w:rsidRPr="00A02038" w:rsidRDefault="00FC1F4A" w:rsidP="00E45596">
            <w:pPr>
              <w:snapToGrid w:val="0"/>
              <w:spacing w:line="360" w:lineRule="auto"/>
              <w:jc w:val="left"/>
              <w:rPr>
                <w:rFonts w:ascii="Book Antiqua" w:hAnsi="Book Antiqua"/>
                <w:sz w:val="24"/>
                <w:szCs w:val="24"/>
              </w:rPr>
            </w:pPr>
            <w:r>
              <w:rPr>
                <w:rFonts w:ascii="Book Antiqua" w:hAnsi="Book Antiqua"/>
                <w:sz w:val="24"/>
                <w:szCs w:val="24"/>
              </w:rPr>
              <w:t>Hamartoma</w:t>
            </w:r>
          </w:p>
        </w:tc>
        <w:tc>
          <w:tcPr>
            <w:tcW w:w="1560"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7"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701"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1418"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r>
      <w:tr w:rsidR="00EC534A" w:rsidRPr="00A02038" w:rsidTr="00FC1F4A">
        <w:trPr>
          <w:trHeight w:val="285"/>
        </w:trPr>
        <w:tc>
          <w:tcPr>
            <w:tcW w:w="3551" w:type="dxa"/>
            <w:vAlign w:val="center"/>
          </w:tcPr>
          <w:p w:rsidR="002D0B97" w:rsidRPr="00A02038" w:rsidRDefault="00EC534A" w:rsidP="00E45596">
            <w:pPr>
              <w:snapToGrid w:val="0"/>
              <w:spacing w:line="360" w:lineRule="auto"/>
              <w:jc w:val="left"/>
              <w:rPr>
                <w:rFonts w:ascii="Book Antiqua" w:hAnsi="Book Antiqua"/>
                <w:sz w:val="24"/>
                <w:szCs w:val="24"/>
              </w:rPr>
            </w:pPr>
            <w:r w:rsidRPr="00A02038">
              <w:rPr>
                <w:rFonts w:ascii="Book Antiqua" w:hAnsi="Book Antiqua"/>
                <w:sz w:val="24"/>
                <w:szCs w:val="24"/>
              </w:rPr>
              <w:t>Intramura</w:t>
            </w:r>
            <w:r w:rsidR="00FC1F4A">
              <w:rPr>
                <w:rFonts w:ascii="Book Antiqua" w:hAnsi="Book Antiqua"/>
                <w:sz w:val="24"/>
                <w:szCs w:val="24"/>
              </w:rPr>
              <w:t>l developmental cyst</w:t>
            </w:r>
          </w:p>
        </w:tc>
        <w:tc>
          <w:tcPr>
            <w:tcW w:w="1560"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7"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1701"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8"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r>
      <w:tr w:rsidR="00EC534A" w:rsidRPr="00A02038" w:rsidTr="00FC1F4A">
        <w:trPr>
          <w:trHeight w:val="285"/>
        </w:trPr>
        <w:tc>
          <w:tcPr>
            <w:tcW w:w="3551" w:type="dxa"/>
            <w:vAlign w:val="center"/>
          </w:tcPr>
          <w:p w:rsidR="002D0B97" w:rsidRPr="00A02038" w:rsidRDefault="00EC534A" w:rsidP="00E45596">
            <w:pPr>
              <w:snapToGrid w:val="0"/>
              <w:spacing w:line="360" w:lineRule="auto"/>
              <w:jc w:val="left"/>
              <w:rPr>
                <w:rFonts w:ascii="Book Antiqua" w:hAnsi="Book Antiqua"/>
                <w:sz w:val="24"/>
                <w:szCs w:val="24"/>
              </w:rPr>
            </w:pPr>
            <w:r w:rsidRPr="00A02038">
              <w:rPr>
                <w:rFonts w:ascii="Book Antiqua" w:hAnsi="Book Antiqua"/>
                <w:sz w:val="24"/>
                <w:szCs w:val="24"/>
              </w:rPr>
              <w:t>Brunner’s adenoma</w:t>
            </w:r>
          </w:p>
        </w:tc>
        <w:tc>
          <w:tcPr>
            <w:tcW w:w="1560"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417"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0</w:t>
            </w:r>
          </w:p>
        </w:tc>
        <w:tc>
          <w:tcPr>
            <w:tcW w:w="1701"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1418" w:type="dxa"/>
            <w:vAlign w:val="center"/>
          </w:tcPr>
          <w:p w:rsidR="002D0B97" w:rsidRPr="00A02038" w:rsidRDefault="00EC534A" w:rsidP="00E45596">
            <w:pPr>
              <w:snapToGrid w:val="0"/>
              <w:spacing w:line="360" w:lineRule="auto"/>
              <w:jc w:val="center"/>
              <w:rPr>
                <w:rFonts w:ascii="Book Antiqua" w:hAnsi="Book Antiqua"/>
                <w:sz w:val="24"/>
                <w:szCs w:val="24"/>
              </w:rPr>
            </w:pPr>
            <w:r w:rsidRPr="00A02038">
              <w:rPr>
                <w:rFonts w:ascii="Book Antiqua" w:hAnsi="Book Antiqua"/>
                <w:sz w:val="24"/>
                <w:szCs w:val="24"/>
              </w:rPr>
              <w:t>1</w:t>
            </w:r>
          </w:p>
        </w:tc>
      </w:tr>
    </w:tbl>
    <w:p w:rsidR="002D0B97" w:rsidRPr="00A02038" w:rsidRDefault="00A144C1" w:rsidP="00971E2B">
      <w:pPr>
        <w:snapToGrid w:val="0"/>
        <w:spacing w:line="360" w:lineRule="auto"/>
        <w:rPr>
          <w:rFonts w:ascii="Book Antiqua" w:hAnsi="Book Antiqua"/>
          <w:sz w:val="24"/>
          <w:szCs w:val="24"/>
        </w:rPr>
      </w:pPr>
      <w:r w:rsidRPr="00A144C1">
        <w:rPr>
          <w:rFonts w:ascii="Book Antiqua" w:hAnsi="Book Antiqua"/>
          <w:sz w:val="24"/>
          <w:szCs w:val="24"/>
        </w:rPr>
        <w:t>GIST:</w:t>
      </w:r>
      <w:r w:rsidRPr="00A144C1">
        <w:rPr>
          <w:rFonts w:ascii="Book Antiqua" w:hAnsi="Book Antiqua"/>
          <w:caps/>
          <w:sz w:val="24"/>
          <w:szCs w:val="24"/>
        </w:rPr>
        <w:t xml:space="preserve"> g</w:t>
      </w:r>
      <w:r w:rsidRPr="00A144C1">
        <w:rPr>
          <w:rFonts w:ascii="Book Antiqua" w:hAnsi="Book Antiqua"/>
          <w:sz w:val="24"/>
          <w:szCs w:val="24"/>
        </w:rPr>
        <w:t>astrointestinal submucosal tumors</w:t>
      </w:r>
      <w:r>
        <w:rPr>
          <w:rFonts w:ascii="Book Antiqua" w:hAnsi="Book Antiqua"/>
          <w:sz w:val="24"/>
          <w:szCs w:val="24"/>
        </w:rPr>
        <w:t>.</w:t>
      </w:r>
    </w:p>
    <w:p w:rsidR="002D0B97" w:rsidRPr="00A02038" w:rsidRDefault="00EC534A" w:rsidP="00971E2B">
      <w:pPr>
        <w:widowControl/>
        <w:snapToGrid w:val="0"/>
        <w:spacing w:line="360" w:lineRule="auto"/>
        <w:rPr>
          <w:rFonts w:ascii="Book Antiqua" w:hAnsi="Book Antiqua"/>
          <w:sz w:val="24"/>
          <w:szCs w:val="24"/>
        </w:rPr>
      </w:pPr>
      <w:r w:rsidRPr="00A02038">
        <w:rPr>
          <w:rFonts w:ascii="Book Antiqua" w:hAnsi="Book Antiqua"/>
          <w:sz w:val="24"/>
          <w:szCs w:val="24"/>
        </w:rPr>
        <w:br w:type="page"/>
      </w:r>
      <w:r w:rsidR="00FC1F4A" w:rsidRPr="00A02038">
        <w:rPr>
          <w:rFonts w:ascii="Book Antiqua" w:hAnsi="Book Antiqua"/>
          <w:b/>
          <w:bCs/>
          <w:sz w:val="24"/>
          <w:szCs w:val="24"/>
        </w:rPr>
        <w:lastRenderedPageBreak/>
        <w:t>Table 3</w:t>
      </w:r>
      <w:r w:rsidR="00FC1F4A">
        <w:rPr>
          <w:rFonts w:ascii="Book Antiqua" w:hAnsi="Book Antiqua"/>
          <w:b/>
          <w:bCs/>
          <w:sz w:val="24"/>
          <w:szCs w:val="24"/>
        </w:rPr>
        <w:t xml:space="preserve"> </w:t>
      </w:r>
      <w:r w:rsidR="00FC1F4A" w:rsidRPr="00A02038">
        <w:rPr>
          <w:rFonts w:ascii="Book Antiqua" w:hAnsi="Book Antiqua"/>
          <w:b/>
          <w:bCs/>
          <w:sz w:val="24"/>
          <w:szCs w:val="24"/>
        </w:rPr>
        <w:t>Details of 53 patients</w:t>
      </w:r>
    </w:p>
    <w:tbl>
      <w:tblPr>
        <w:tblW w:w="10590" w:type="dxa"/>
        <w:tblInd w:w="-1406" w:type="dxa"/>
        <w:tblBorders>
          <w:top w:val="single" w:sz="4" w:space="0" w:color="000000"/>
          <w:bottom w:val="single" w:sz="4" w:space="0" w:color="000000"/>
        </w:tblBorders>
        <w:tblLayout w:type="fixed"/>
        <w:tblCellMar>
          <w:left w:w="15" w:type="dxa"/>
          <w:right w:w="15" w:type="dxa"/>
        </w:tblCellMar>
        <w:tblLook w:val="04A0" w:firstRow="1" w:lastRow="0" w:firstColumn="1" w:lastColumn="0" w:noHBand="0" w:noVBand="1"/>
      </w:tblPr>
      <w:tblGrid>
        <w:gridCol w:w="4500"/>
        <w:gridCol w:w="1522"/>
        <w:gridCol w:w="1522"/>
        <w:gridCol w:w="1522"/>
        <w:gridCol w:w="1524"/>
      </w:tblGrid>
      <w:tr w:rsidR="00EC534A" w:rsidRPr="00A02038" w:rsidTr="00A144C1">
        <w:trPr>
          <w:trHeight w:val="1117"/>
        </w:trPr>
        <w:tc>
          <w:tcPr>
            <w:tcW w:w="4500" w:type="dxa"/>
            <w:tcBorders>
              <w:top w:val="single" w:sz="4" w:space="0" w:color="000000"/>
              <w:bottom w:val="single" w:sz="4" w:space="0" w:color="000000"/>
            </w:tcBorders>
            <w:vAlign w:val="center"/>
          </w:tcPr>
          <w:p w:rsidR="002D0B97" w:rsidRPr="00A02038" w:rsidRDefault="002D0B97" w:rsidP="00971E2B">
            <w:pPr>
              <w:snapToGrid w:val="0"/>
              <w:spacing w:line="360" w:lineRule="auto"/>
              <w:rPr>
                <w:rFonts w:ascii="Book Antiqua" w:hAnsi="Book Antiqua"/>
                <w:sz w:val="24"/>
                <w:szCs w:val="24"/>
              </w:rPr>
            </w:pPr>
          </w:p>
        </w:tc>
        <w:tc>
          <w:tcPr>
            <w:tcW w:w="1522" w:type="dxa"/>
            <w:tcBorders>
              <w:top w:val="single" w:sz="4" w:space="0" w:color="000000"/>
              <w:bottom w:val="single" w:sz="4" w:space="0" w:color="000000"/>
            </w:tcBorders>
            <w:vAlign w:val="center"/>
          </w:tcPr>
          <w:p w:rsidR="002D0B97" w:rsidRPr="00FC1F4A" w:rsidRDefault="00EC534A" w:rsidP="00971E2B">
            <w:pPr>
              <w:snapToGrid w:val="0"/>
              <w:spacing w:line="360" w:lineRule="auto"/>
              <w:jc w:val="center"/>
              <w:rPr>
                <w:rFonts w:ascii="Book Antiqua" w:hAnsi="Book Antiqua"/>
                <w:b/>
                <w:sz w:val="24"/>
                <w:szCs w:val="24"/>
              </w:rPr>
            </w:pPr>
            <w:r w:rsidRPr="00FC1F4A">
              <w:rPr>
                <w:rFonts w:ascii="Book Antiqua" w:hAnsi="Book Antiqua"/>
                <w:b/>
                <w:sz w:val="24"/>
                <w:szCs w:val="24"/>
              </w:rPr>
              <w:t>Resected tumors</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34)</w:t>
            </w:r>
          </w:p>
        </w:tc>
        <w:tc>
          <w:tcPr>
            <w:tcW w:w="1522" w:type="dxa"/>
            <w:tcBorders>
              <w:top w:val="single" w:sz="4" w:space="0" w:color="000000"/>
              <w:bottom w:val="single" w:sz="4" w:space="0" w:color="000000"/>
            </w:tcBorders>
            <w:vAlign w:val="center"/>
          </w:tcPr>
          <w:p w:rsidR="002D0B97" w:rsidRPr="00FC1F4A" w:rsidRDefault="00EC534A" w:rsidP="00971E2B">
            <w:pPr>
              <w:snapToGrid w:val="0"/>
              <w:spacing w:line="360" w:lineRule="auto"/>
              <w:jc w:val="center"/>
              <w:rPr>
                <w:rFonts w:ascii="Book Antiqua" w:hAnsi="Book Antiqua"/>
                <w:b/>
                <w:sz w:val="24"/>
                <w:szCs w:val="24"/>
              </w:rPr>
            </w:pPr>
            <w:r w:rsidRPr="00FC1F4A">
              <w:rPr>
                <w:rFonts w:ascii="Book Antiqua" w:hAnsi="Book Antiqua"/>
                <w:b/>
                <w:sz w:val="24"/>
                <w:szCs w:val="24"/>
              </w:rPr>
              <w:t>Unr</w:t>
            </w:r>
            <w:bookmarkStart w:id="242" w:name="_GoBack"/>
            <w:bookmarkEnd w:id="242"/>
            <w:r w:rsidRPr="00FC1F4A">
              <w:rPr>
                <w:rFonts w:ascii="Book Antiqua" w:hAnsi="Book Antiqua"/>
                <w:b/>
                <w:sz w:val="24"/>
                <w:szCs w:val="24"/>
              </w:rPr>
              <w:t>esected tumors</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19)</w:t>
            </w:r>
          </w:p>
        </w:tc>
        <w:tc>
          <w:tcPr>
            <w:tcW w:w="1522" w:type="dxa"/>
            <w:tcBorders>
              <w:top w:val="single" w:sz="4" w:space="0" w:color="000000"/>
              <w:bottom w:val="single" w:sz="4" w:space="0" w:color="000000"/>
            </w:tcBorders>
            <w:vAlign w:val="center"/>
          </w:tcPr>
          <w:p w:rsidR="002D0B97" w:rsidRPr="00FC1F4A" w:rsidRDefault="00EC534A" w:rsidP="00971E2B">
            <w:pPr>
              <w:snapToGrid w:val="0"/>
              <w:spacing w:line="360" w:lineRule="auto"/>
              <w:jc w:val="center"/>
              <w:rPr>
                <w:rFonts w:ascii="Book Antiqua" w:hAnsi="Book Antiqua"/>
                <w:b/>
                <w:sz w:val="24"/>
                <w:szCs w:val="24"/>
              </w:rPr>
            </w:pPr>
            <w:r w:rsidRPr="00FC1F4A">
              <w:rPr>
                <w:rFonts w:ascii="Book Antiqua" w:hAnsi="Book Antiqua"/>
                <w:b/>
                <w:sz w:val="24"/>
                <w:szCs w:val="24"/>
              </w:rPr>
              <w:t>Total</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53)</w:t>
            </w:r>
          </w:p>
        </w:tc>
        <w:tc>
          <w:tcPr>
            <w:tcW w:w="1524" w:type="dxa"/>
            <w:tcBorders>
              <w:top w:val="single" w:sz="4" w:space="0" w:color="000000"/>
              <w:bottom w:val="single" w:sz="4" w:space="0" w:color="000000"/>
            </w:tcBorders>
            <w:vAlign w:val="center"/>
          </w:tcPr>
          <w:p w:rsidR="002D0B97" w:rsidRPr="00FC1F4A" w:rsidRDefault="00EC534A" w:rsidP="00971E2B">
            <w:pPr>
              <w:snapToGrid w:val="0"/>
              <w:spacing w:line="360" w:lineRule="auto"/>
              <w:jc w:val="center"/>
              <w:rPr>
                <w:rFonts w:ascii="Book Antiqua" w:hAnsi="Book Antiqua"/>
                <w:b/>
                <w:sz w:val="24"/>
                <w:szCs w:val="24"/>
              </w:rPr>
            </w:pPr>
            <w:r w:rsidRPr="00FC1F4A">
              <w:rPr>
                <w:rFonts w:ascii="Book Antiqua" w:hAnsi="Book Antiqua"/>
                <w:b/>
                <w:sz w:val="24"/>
                <w:szCs w:val="24"/>
              </w:rPr>
              <w:t>GIST</w:t>
            </w:r>
            <w:r w:rsidR="00FC1F4A" w:rsidRPr="00FC1F4A">
              <w:rPr>
                <w:rFonts w:ascii="Book Antiqua" w:hAnsi="Book Antiqua"/>
                <w:b/>
                <w:sz w:val="24"/>
                <w:szCs w:val="24"/>
              </w:rPr>
              <w:t xml:space="preserve"> (</w:t>
            </w:r>
            <w:r w:rsidR="00FC1F4A" w:rsidRPr="00FC1F4A">
              <w:rPr>
                <w:rFonts w:ascii="Book Antiqua" w:hAnsi="Book Antiqua"/>
                <w:b/>
                <w:i/>
                <w:sz w:val="24"/>
                <w:szCs w:val="24"/>
              </w:rPr>
              <w:t>n</w:t>
            </w:r>
            <w:r w:rsidR="00FC1F4A" w:rsidRPr="00FC1F4A">
              <w:rPr>
                <w:rFonts w:ascii="Book Antiqua" w:hAnsi="Book Antiqua"/>
                <w:b/>
                <w:sz w:val="24"/>
                <w:szCs w:val="24"/>
              </w:rPr>
              <w:t xml:space="preserve"> = 34)</w:t>
            </w:r>
          </w:p>
        </w:tc>
      </w:tr>
      <w:tr w:rsidR="00EC534A" w:rsidRPr="00A02038" w:rsidTr="00A144C1">
        <w:trPr>
          <w:trHeight w:val="653"/>
        </w:trPr>
        <w:tc>
          <w:tcPr>
            <w:tcW w:w="4500" w:type="dxa"/>
            <w:tcBorders>
              <w:top w:val="single" w:sz="4" w:space="0" w:color="000000"/>
            </w:tcBorders>
            <w:vAlign w:val="center"/>
          </w:tcPr>
          <w:p w:rsidR="002D0B97" w:rsidRPr="00A02038" w:rsidRDefault="00EC534A" w:rsidP="00FC1F4A">
            <w:pPr>
              <w:snapToGrid w:val="0"/>
              <w:spacing w:line="360" w:lineRule="auto"/>
              <w:jc w:val="left"/>
              <w:rPr>
                <w:rFonts w:ascii="Book Antiqua" w:hAnsi="Book Antiqua"/>
                <w:sz w:val="24"/>
                <w:szCs w:val="24"/>
              </w:rPr>
            </w:pPr>
            <w:r w:rsidRPr="00A02038">
              <w:rPr>
                <w:rFonts w:ascii="Book Antiqua" w:hAnsi="Book Antiqua"/>
                <w:sz w:val="24"/>
                <w:szCs w:val="24"/>
              </w:rPr>
              <w:t>Follow-up period,</w:t>
            </w:r>
            <w:r w:rsidR="00FC1F4A">
              <w:rPr>
                <w:rFonts w:ascii="Book Antiqua" w:hAnsi="Book Antiqua"/>
                <w:sz w:val="24"/>
                <w:szCs w:val="24"/>
              </w:rPr>
              <w:t xml:space="preserve"> </w:t>
            </w:r>
            <w:r w:rsidRPr="00A02038">
              <w:rPr>
                <w:rFonts w:ascii="Book Antiqua" w:hAnsi="Book Antiqua"/>
                <w:sz w:val="24"/>
                <w:szCs w:val="24"/>
              </w:rPr>
              <w:t>median</w:t>
            </w:r>
            <w:r w:rsidR="00FC1F4A">
              <w:rPr>
                <w:rFonts w:ascii="Book Antiqua" w:hAnsi="Book Antiqua"/>
                <w:sz w:val="24"/>
                <w:szCs w:val="24"/>
              </w:rPr>
              <w:t xml:space="preserve"> </w:t>
            </w:r>
            <w:r w:rsidRPr="00A02038">
              <w:rPr>
                <w:rFonts w:ascii="Book Antiqua" w:hAnsi="Book Antiqua"/>
                <w:sz w:val="24"/>
                <w:szCs w:val="24"/>
              </w:rPr>
              <w:t>(range), mo</w:t>
            </w:r>
          </w:p>
        </w:tc>
        <w:tc>
          <w:tcPr>
            <w:tcW w:w="1522"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24.9</w:t>
            </w:r>
            <w:r w:rsidR="00FC1F4A">
              <w:rPr>
                <w:rFonts w:ascii="Book Antiqua" w:hAnsi="Book Antiqua"/>
                <w:sz w:val="24"/>
                <w:szCs w:val="24"/>
              </w:rPr>
              <w:t xml:space="preserve"> </w:t>
            </w:r>
            <w:r w:rsidRPr="00A02038">
              <w:rPr>
                <w:rFonts w:ascii="Book Antiqua" w:hAnsi="Book Antiqua"/>
                <w:sz w:val="24"/>
                <w:szCs w:val="24"/>
              </w:rPr>
              <w:t>(6.6-210)</w:t>
            </w:r>
          </w:p>
        </w:tc>
        <w:tc>
          <w:tcPr>
            <w:tcW w:w="1522"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36.5</w:t>
            </w:r>
            <w:r w:rsidR="00FC1F4A">
              <w:rPr>
                <w:rFonts w:ascii="Book Antiqua" w:hAnsi="Book Antiqua"/>
                <w:sz w:val="24"/>
                <w:szCs w:val="24"/>
              </w:rPr>
              <w:t xml:space="preserve"> </w:t>
            </w:r>
            <w:r w:rsidRPr="00A02038">
              <w:rPr>
                <w:rFonts w:ascii="Book Antiqua" w:hAnsi="Book Antiqua"/>
                <w:sz w:val="24"/>
                <w:szCs w:val="24"/>
              </w:rPr>
              <w:t>(11.2-183.6)</w:t>
            </w:r>
          </w:p>
        </w:tc>
        <w:tc>
          <w:tcPr>
            <w:tcW w:w="1522"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31.7</w:t>
            </w:r>
            <w:r w:rsidR="00FC1F4A">
              <w:rPr>
                <w:rFonts w:ascii="Book Antiqua" w:hAnsi="Book Antiqua"/>
                <w:sz w:val="24"/>
                <w:szCs w:val="24"/>
              </w:rPr>
              <w:t xml:space="preserve"> </w:t>
            </w:r>
            <w:r w:rsidRPr="00A02038">
              <w:rPr>
                <w:rFonts w:ascii="Book Antiqua" w:hAnsi="Book Antiqua"/>
                <w:sz w:val="24"/>
                <w:szCs w:val="24"/>
              </w:rPr>
              <w:t>(6.6-210)</w:t>
            </w:r>
          </w:p>
        </w:tc>
        <w:tc>
          <w:tcPr>
            <w:tcW w:w="1524"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27.3</w:t>
            </w:r>
            <w:r w:rsidR="00FC1F4A">
              <w:rPr>
                <w:rFonts w:ascii="Book Antiqua" w:hAnsi="Book Antiqua"/>
                <w:sz w:val="24"/>
                <w:szCs w:val="24"/>
              </w:rPr>
              <w:t xml:space="preserve"> </w:t>
            </w:r>
            <w:r w:rsidRPr="00A02038">
              <w:rPr>
                <w:rFonts w:ascii="Book Antiqua" w:hAnsi="Book Antiqua"/>
                <w:sz w:val="24"/>
                <w:szCs w:val="24"/>
              </w:rPr>
              <w:t>(6.6-210)</w:t>
            </w:r>
          </w:p>
        </w:tc>
      </w:tr>
      <w:tr w:rsidR="00EC534A" w:rsidRPr="00A02038" w:rsidTr="00A144C1">
        <w:trPr>
          <w:trHeight w:val="453"/>
        </w:trPr>
        <w:tc>
          <w:tcPr>
            <w:tcW w:w="4500" w:type="dxa"/>
            <w:vAlign w:val="center"/>
          </w:tcPr>
          <w:p w:rsidR="002D0B97" w:rsidRPr="00A02038" w:rsidRDefault="00EC534A" w:rsidP="00FC1F4A">
            <w:pPr>
              <w:snapToGrid w:val="0"/>
              <w:spacing w:line="360" w:lineRule="auto"/>
              <w:jc w:val="left"/>
              <w:rPr>
                <w:rFonts w:ascii="Book Antiqua" w:hAnsi="Book Antiqua"/>
                <w:sz w:val="24"/>
                <w:szCs w:val="24"/>
              </w:rPr>
            </w:pPr>
            <w:r w:rsidRPr="00A02038">
              <w:rPr>
                <w:rFonts w:ascii="Book Antiqua" w:hAnsi="Book Antiqua"/>
                <w:sz w:val="24"/>
                <w:szCs w:val="24"/>
              </w:rPr>
              <w:t>EUS sessions, median</w:t>
            </w:r>
            <w:r w:rsidR="00FC1F4A">
              <w:rPr>
                <w:rFonts w:ascii="Book Antiqua" w:hAnsi="Book Antiqua"/>
                <w:sz w:val="24"/>
                <w:szCs w:val="24"/>
              </w:rPr>
              <w:t xml:space="preserve"> </w:t>
            </w:r>
            <w:r w:rsidRPr="00A02038">
              <w:rPr>
                <w:rFonts w:ascii="Book Antiqua" w:hAnsi="Book Antiqua"/>
                <w:sz w:val="24"/>
                <w:szCs w:val="24"/>
              </w:rPr>
              <w:t>(range)</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w:t>
            </w:r>
            <w:r w:rsidR="00FC1F4A">
              <w:rPr>
                <w:rFonts w:ascii="Book Antiqua" w:hAnsi="Book Antiqua"/>
                <w:sz w:val="24"/>
                <w:szCs w:val="24"/>
              </w:rPr>
              <w:t xml:space="preserve"> </w:t>
            </w:r>
            <w:r w:rsidRPr="00A02038">
              <w:rPr>
                <w:rFonts w:ascii="Book Antiqua" w:hAnsi="Book Antiqua"/>
                <w:sz w:val="24"/>
                <w:szCs w:val="24"/>
              </w:rPr>
              <w:t>(2-8)</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4</w:t>
            </w:r>
            <w:r w:rsidR="00FC1F4A">
              <w:rPr>
                <w:rFonts w:ascii="Book Antiqua" w:hAnsi="Book Antiqua"/>
                <w:sz w:val="24"/>
                <w:szCs w:val="24"/>
              </w:rPr>
              <w:t xml:space="preserve"> </w:t>
            </w:r>
            <w:r w:rsidRPr="00A02038">
              <w:rPr>
                <w:rFonts w:ascii="Book Antiqua" w:hAnsi="Book Antiqua"/>
                <w:sz w:val="24"/>
                <w:szCs w:val="24"/>
              </w:rPr>
              <w:t>(2-13)</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w:t>
            </w:r>
            <w:r w:rsidR="00FC1F4A">
              <w:rPr>
                <w:rFonts w:ascii="Book Antiqua" w:hAnsi="Book Antiqua"/>
                <w:sz w:val="24"/>
                <w:szCs w:val="24"/>
              </w:rPr>
              <w:t xml:space="preserve"> </w:t>
            </w:r>
            <w:r w:rsidRPr="00A02038">
              <w:rPr>
                <w:rFonts w:ascii="Book Antiqua" w:hAnsi="Book Antiqua"/>
                <w:sz w:val="24"/>
                <w:szCs w:val="24"/>
              </w:rPr>
              <w:t>(2-13)</w:t>
            </w:r>
          </w:p>
        </w:tc>
        <w:tc>
          <w:tcPr>
            <w:tcW w:w="1524"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w:t>
            </w:r>
            <w:r w:rsidR="00FC1F4A">
              <w:rPr>
                <w:rFonts w:ascii="Book Antiqua" w:hAnsi="Book Antiqua"/>
                <w:sz w:val="24"/>
                <w:szCs w:val="24"/>
              </w:rPr>
              <w:t xml:space="preserve"> </w:t>
            </w:r>
            <w:r w:rsidRPr="00A02038">
              <w:rPr>
                <w:rFonts w:ascii="Book Antiqua" w:hAnsi="Book Antiqua"/>
                <w:sz w:val="24"/>
                <w:szCs w:val="24"/>
              </w:rPr>
              <w:t>(2-11)</w:t>
            </w:r>
          </w:p>
        </w:tc>
      </w:tr>
      <w:tr w:rsidR="00EC534A" w:rsidRPr="00A02038" w:rsidTr="00A144C1">
        <w:trPr>
          <w:trHeight w:val="701"/>
        </w:trPr>
        <w:tc>
          <w:tcPr>
            <w:tcW w:w="4500" w:type="dxa"/>
            <w:vAlign w:val="center"/>
          </w:tcPr>
          <w:p w:rsidR="002D0B97" w:rsidRPr="00A02038" w:rsidRDefault="00EC534A" w:rsidP="00971E2B">
            <w:pPr>
              <w:snapToGrid w:val="0"/>
              <w:spacing w:line="360" w:lineRule="auto"/>
              <w:jc w:val="left"/>
              <w:rPr>
                <w:rFonts w:ascii="Book Antiqua" w:hAnsi="Book Antiqua"/>
                <w:sz w:val="24"/>
                <w:szCs w:val="24"/>
              </w:rPr>
            </w:pPr>
            <w:r w:rsidRPr="00A02038">
              <w:rPr>
                <w:rFonts w:ascii="Book Antiqua" w:hAnsi="Book Antiqua"/>
                <w:sz w:val="24"/>
                <w:szCs w:val="24"/>
              </w:rPr>
              <w:t>Tumor diameter at</w:t>
            </w:r>
            <w:r w:rsidR="00FC1F4A">
              <w:rPr>
                <w:rFonts w:ascii="Book Antiqua" w:hAnsi="Book Antiqua"/>
                <w:sz w:val="24"/>
                <w:szCs w:val="24"/>
              </w:rPr>
              <w:t xml:space="preserve"> initial EUS, median (range), mm</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19.5</w:t>
            </w:r>
            <w:r w:rsidR="00FC1F4A">
              <w:rPr>
                <w:rFonts w:ascii="Book Antiqua" w:hAnsi="Book Antiqua"/>
                <w:sz w:val="24"/>
                <w:szCs w:val="24"/>
              </w:rPr>
              <w:t xml:space="preserve"> </w:t>
            </w:r>
            <w:r w:rsidRPr="00A02038">
              <w:rPr>
                <w:rFonts w:ascii="Book Antiqua" w:hAnsi="Book Antiqua"/>
                <w:sz w:val="24"/>
                <w:szCs w:val="24"/>
              </w:rPr>
              <w:t>(10-30)</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19.0</w:t>
            </w:r>
            <w:r w:rsidR="00FC1F4A">
              <w:rPr>
                <w:rFonts w:ascii="Book Antiqua" w:hAnsi="Book Antiqua"/>
                <w:sz w:val="24"/>
                <w:szCs w:val="24"/>
              </w:rPr>
              <w:t xml:space="preserve"> </w:t>
            </w:r>
            <w:r w:rsidRPr="00A02038">
              <w:rPr>
                <w:rFonts w:ascii="Book Antiqua" w:hAnsi="Book Antiqua"/>
                <w:sz w:val="24"/>
                <w:szCs w:val="24"/>
              </w:rPr>
              <w:t>(11.5-44.8)</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19.1</w:t>
            </w:r>
            <w:r w:rsidR="00FC1F4A">
              <w:rPr>
                <w:rFonts w:ascii="Book Antiqua" w:hAnsi="Book Antiqua"/>
                <w:sz w:val="24"/>
                <w:szCs w:val="24"/>
              </w:rPr>
              <w:t xml:space="preserve"> </w:t>
            </w:r>
            <w:r w:rsidRPr="00A02038">
              <w:rPr>
                <w:rFonts w:ascii="Book Antiqua" w:hAnsi="Book Antiqua"/>
                <w:sz w:val="24"/>
                <w:szCs w:val="24"/>
              </w:rPr>
              <w:t>(10-44.8)</w:t>
            </w:r>
          </w:p>
        </w:tc>
        <w:tc>
          <w:tcPr>
            <w:tcW w:w="1524"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19.0</w:t>
            </w:r>
            <w:r w:rsidR="00FC1F4A">
              <w:rPr>
                <w:rFonts w:ascii="Book Antiqua" w:hAnsi="Book Antiqua"/>
                <w:sz w:val="24"/>
                <w:szCs w:val="24"/>
              </w:rPr>
              <w:t xml:space="preserve"> </w:t>
            </w:r>
            <w:r w:rsidRPr="00A02038">
              <w:rPr>
                <w:rFonts w:ascii="Book Antiqua" w:hAnsi="Book Antiqua"/>
                <w:sz w:val="24"/>
                <w:szCs w:val="24"/>
              </w:rPr>
              <w:t>(10.9-44.8)</w:t>
            </w:r>
          </w:p>
        </w:tc>
      </w:tr>
      <w:tr w:rsidR="00EC534A" w:rsidRPr="00A02038" w:rsidTr="00A144C1">
        <w:trPr>
          <w:trHeight w:val="888"/>
        </w:trPr>
        <w:tc>
          <w:tcPr>
            <w:tcW w:w="4500" w:type="dxa"/>
            <w:vAlign w:val="center"/>
          </w:tcPr>
          <w:p w:rsidR="002D0B97" w:rsidRPr="00A02038" w:rsidRDefault="00EC534A" w:rsidP="00971E2B">
            <w:pPr>
              <w:snapToGrid w:val="0"/>
              <w:spacing w:line="360" w:lineRule="auto"/>
              <w:jc w:val="left"/>
              <w:rPr>
                <w:rFonts w:ascii="Book Antiqua" w:hAnsi="Book Antiqua"/>
                <w:sz w:val="24"/>
                <w:szCs w:val="24"/>
              </w:rPr>
            </w:pPr>
            <w:r w:rsidRPr="00A02038">
              <w:rPr>
                <w:rFonts w:ascii="Book Antiqua" w:hAnsi="Book Antiqua"/>
                <w:sz w:val="24"/>
                <w:szCs w:val="24"/>
              </w:rPr>
              <w:t>Tumor diameter before surgery or FNA, median</w:t>
            </w:r>
            <w:r w:rsidR="00FC1F4A">
              <w:rPr>
                <w:rFonts w:ascii="Book Antiqua" w:hAnsi="Book Antiqua"/>
                <w:sz w:val="24"/>
                <w:szCs w:val="24"/>
              </w:rPr>
              <w:t xml:space="preserve"> </w:t>
            </w:r>
            <w:r w:rsidRPr="00A02038">
              <w:rPr>
                <w:rFonts w:ascii="Book Antiqua" w:hAnsi="Book Antiqua"/>
                <w:sz w:val="24"/>
                <w:szCs w:val="24"/>
              </w:rPr>
              <w:t>(range), mm</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28.0</w:t>
            </w:r>
            <w:r w:rsidR="00FC1F4A">
              <w:rPr>
                <w:rFonts w:ascii="Book Antiqua" w:hAnsi="Book Antiqua"/>
                <w:sz w:val="24"/>
                <w:szCs w:val="24"/>
              </w:rPr>
              <w:t xml:space="preserve"> </w:t>
            </w:r>
            <w:r w:rsidRPr="00A02038">
              <w:rPr>
                <w:rFonts w:ascii="Book Antiqua" w:hAnsi="Book Antiqua"/>
                <w:sz w:val="24"/>
                <w:szCs w:val="24"/>
              </w:rPr>
              <w:t>(20-43.1)</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22.8</w:t>
            </w:r>
            <w:r w:rsidR="00FC1F4A">
              <w:rPr>
                <w:rFonts w:ascii="Book Antiqua" w:hAnsi="Book Antiqua"/>
                <w:sz w:val="24"/>
                <w:szCs w:val="24"/>
              </w:rPr>
              <w:t xml:space="preserve"> </w:t>
            </w:r>
            <w:r w:rsidRPr="00A02038">
              <w:rPr>
                <w:rFonts w:ascii="Book Antiqua" w:hAnsi="Book Antiqua"/>
                <w:sz w:val="24"/>
                <w:szCs w:val="24"/>
              </w:rPr>
              <w:t>(15.2-52.1)</w:t>
            </w:r>
          </w:p>
        </w:tc>
        <w:tc>
          <w:tcPr>
            <w:tcW w:w="1522"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25.3</w:t>
            </w:r>
            <w:r w:rsidR="00FC1F4A">
              <w:rPr>
                <w:rFonts w:ascii="Book Antiqua" w:hAnsi="Book Antiqua"/>
                <w:sz w:val="24"/>
                <w:szCs w:val="24"/>
              </w:rPr>
              <w:t xml:space="preserve"> </w:t>
            </w:r>
            <w:r w:rsidRPr="00A02038">
              <w:rPr>
                <w:rFonts w:ascii="Book Antiqua" w:hAnsi="Book Antiqua"/>
                <w:sz w:val="24"/>
                <w:szCs w:val="24"/>
              </w:rPr>
              <w:t>(13.7-52.1)</w:t>
            </w:r>
          </w:p>
        </w:tc>
        <w:tc>
          <w:tcPr>
            <w:tcW w:w="1524"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26.7</w:t>
            </w:r>
            <w:r w:rsidR="00FC1F4A">
              <w:rPr>
                <w:rFonts w:ascii="Book Antiqua" w:hAnsi="Book Antiqua"/>
                <w:sz w:val="24"/>
                <w:szCs w:val="24"/>
              </w:rPr>
              <w:t xml:space="preserve"> </w:t>
            </w:r>
            <w:r w:rsidRPr="00A02038">
              <w:rPr>
                <w:rFonts w:ascii="Book Antiqua" w:hAnsi="Book Antiqua"/>
                <w:sz w:val="24"/>
                <w:szCs w:val="24"/>
              </w:rPr>
              <w:t>(13.7-52.1)</w:t>
            </w:r>
          </w:p>
        </w:tc>
      </w:tr>
      <w:tr w:rsidR="00EC534A" w:rsidRPr="00A02038" w:rsidTr="00A144C1">
        <w:trPr>
          <w:trHeight w:val="830"/>
        </w:trPr>
        <w:tc>
          <w:tcPr>
            <w:tcW w:w="4500" w:type="dxa"/>
            <w:vAlign w:val="center"/>
          </w:tcPr>
          <w:p w:rsidR="002D0B97" w:rsidRPr="00A02038" w:rsidRDefault="00EC534A" w:rsidP="00971E2B">
            <w:pPr>
              <w:snapToGrid w:val="0"/>
              <w:spacing w:line="360" w:lineRule="auto"/>
              <w:jc w:val="left"/>
              <w:rPr>
                <w:rFonts w:ascii="Book Antiqua" w:hAnsi="Book Antiqua"/>
                <w:sz w:val="24"/>
                <w:szCs w:val="24"/>
              </w:rPr>
            </w:pPr>
            <w:r w:rsidRPr="00A02038">
              <w:rPr>
                <w:rFonts w:ascii="Book Antiqua" w:hAnsi="Book Antiqua"/>
                <w:sz w:val="24"/>
                <w:szCs w:val="24"/>
              </w:rPr>
              <w:t>Time from the final EUS to surgery, median</w:t>
            </w:r>
            <w:r w:rsidR="00FC1F4A">
              <w:rPr>
                <w:rFonts w:ascii="Book Antiqua" w:hAnsi="Book Antiqua"/>
                <w:sz w:val="24"/>
                <w:szCs w:val="24"/>
              </w:rPr>
              <w:t xml:space="preserve"> </w:t>
            </w:r>
            <w:r w:rsidRPr="00A02038">
              <w:rPr>
                <w:rFonts w:ascii="Book Antiqua" w:hAnsi="Book Antiqua"/>
                <w:sz w:val="24"/>
                <w:szCs w:val="24"/>
              </w:rPr>
              <w:t>(range)</w:t>
            </w:r>
          </w:p>
        </w:tc>
        <w:tc>
          <w:tcPr>
            <w:tcW w:w="1522" w:type="dxa"/>
            <w:vAlign w:val="center"/>
          </w:tcPr>
          <w:p w:rsidR="002D0B97" w:rsidRPr="00A02038" w:rsidRDefault="00EC534A" w:rsidP="00FC1F4A">
            <w:pPr>
              <w:snapToGrid w:val="0"/>
              <w:spacing w:line="360" w:lineRule="auto"/>
              <w:jc w:val="center"/>
              <w:rPr>
                <w:rFonts w:ascii="Book Antiqua" w:hAnsi="Book Antiqua"/>
                <w:sz w:val="24"/>
                <w:szCs w:val="24"/>
              </w:rPr>
            </w:pPr>
            <w:r w:rsidRPr="00A02038">
              <w:rPr>
                <w:rFonts w:ascii="Book Antiqua" w:hAnsi="Book Antiqua"/>
                <w:sz w:val="24"/>
                <w:szCs w:val="24"/>
              </w:rPr>
              <w:t>3.8</w:t>
            </w:r>
            <w:r w:rsidR="00FC1F4A">
              <w:rPr>
                <w:rFonts w:ascii="Book Antiqua" w:hAnsi="Book Antiqua"/>
                <w:sz w:val="24"/>
                <w:szCs w:val="24"/>
              </w:rPr>
              <w:t xml:space="preserve"> </w:t>
            </w:r>
            <w:r w:rsidRPr="00A02038">
              <w:rPr>
                <w:rFonts w:ascii="Book Antiqua" w:hAnsi="Book Antiqua"/>
                <w:sz w:val="24"/>
                <w:szCs w:val="24"/>
              </w:rPr>
              <w:t>mo</w:t>
            </w:r>
            <w:r w:rsidR="00FC1F4A">
              <w:rPr>
                <w:rFonts w:ascii="Book Antiqua" w:hAnsi="Book Antiqua"/>
                <w:sz w:val="24"/>
                <w:szCs w:val="24"/>
              </w:rPr>
              <w:t xml:space="preserve"> </w:t>
            </w:r>
            <w:r w:rsidRPr="00A02038">
              <w:rPr>
                <w:rFonts w:ascii="Book Antiqua" w:hAnsi="Book Antiqua"/>
                <w:sz w:val="24"/>
                <w:szCs w:val="24"/>
              </w:rPr>
              <w:t>(22d-16.3</w:t>
            </w:r>
            <w:r w:rsidR="00FC1F4A">
              <w:rPr>
                <w:rFonts w:ascii="Book Antiqua" w:hAnsi="Book Antiqua"/>
                <w:sz w:val="24"/>
                <w:szCs w:val="24"/>
              </w:rPr>
              <w:t xml:space="preserve"> </w:t>
            </w:r>
            <w:r w:rsidRPr="00A02038">
              <w:rPr>
                <w:rFonts w:ascii="Book Antiqua" w:hAnsi="Book Antiqua"/>
                <w:sz w:val="24"/>
                <w:szCs w:val="24"/>
              </w:rPr>
              <w:t>mo)</w:t>
            </w:r>
          </w:p>
        </w:tc>
        <w:tc>
          <w:tcPr>
            <w:tcW w:w="1522" w:type="dxa"/>
            <w:vAlign w:val="center"/>
          </w:tcPr>
          <w:p w:rsidR="002D0B97" w:rsidRPr="00A02038" w:rsidRDefault="00A144C1" w:rsidP="00971E2B">
            <w:pPr>
              <w:snapToGrid w:val="0"/>
              <w:spacing w:line="360" w:lineRule="auto"/>
              <w:jc w:val="center"/>
              <w:rPr>
                <w:rFonts w:ascii="Book Antiqua" w:hAnsi="Book Antiqua"/>
                <w:sz w:val="24"/>
                <w:szCs w:val="24"/>
              </w:rPr>
            </w:pPr>
            <w:r>
              <w:rPr>
                <w:rFonts w:ascii="Book Antiqua" w:hAnsi="Book Antiqua"/>
                <w:sz w:val="24"/>
                <w:szCs w:val="24"/>
              </w:rPr>
              <w:t>-</w:t>
            </w:r>
          </w:p>
        </w:tc>
        <w:tc>
          <w:tcPr>
            <w:tcW w:w="1522" w:type="dxa"/>
            <w:vAlign w:val="center"/>
          </w:tcPr>
          <w:p w:rsidR="002D0B97" w:rsidRPr="00A02038" w:rsidRDefault="00A144C1" w:rsidP="00971E2B">
            <w:pPr>
              <w:snapToGrid w:val="0"/>
              <w:spacing w:line="360" w:lineRule="auto"/>
              <w:jc w:val="center"/>
              <w:rPr>
                <w:rFonts w:ascii="Book Antiqua" w:hAnsi="Book Antiqua"/>
                <w:sz w:val="24"/>
                <w:szCs w:val="24"/>
              </w:rPr>
            </w:pPr>
            <w:r>
              <w:rPr>
                <w:rFonts w:ascii="Book Antiqua" w:hAnsi="Book Antiqua"/>
                <w:sz w:val="24"/>
                <w:szCs w:val="24"/>
              </w:rPr>
              <w:t>-</w:t>
            </w:r>
          </w:p>
        </w:tc>
        <w:tc>
          <w:tcPr>
            <w:tcW w:w="1524" w:type="dxa"/>
            <w:vAlign w:val="center"/>
          </w:tcPr>
          <w:p w:rsidR="002D0B97" w:rsidRPr="00A02038" w:rsidRDefault="00A144C1" w:rsidP="00971E2B">
            <w:pPr>
              <w:snapToGrid w:val="0"/>
              <w:spacing w:line="360" w:lineRule="auto"/>
              <w:jc w:val="center"/>
              <w:rPr>
                <w:rFonts w:ascii="Book Antiqua" w:hAnsi="Book Antiqua"/>
                <w:sz w:val="24"/>
                <w:szCs w:val="24"/>
              </w:rPr>
            </w:pPr>
            <w:r>
              <w:rPr>
                <w:rFonts w:ascii="Book Antiqua" w:hAnsi="Book Antiqua"/>
                <w:sz w:val="24"/>
                <w:szCs w:val="24"/>
              </w:rPr>
              <w:t>-</w:t>
            </w:r>
          </w:p>
        </w:tc>
      </w:tr>
    </w:tbl>
    <w:p w:rsidR="002D0B97" w:rsidRPr="00A144C1" w:rsidRDefault="00A144C1" w:rsidP="00971E2B">
      <w:pPr>
        <w:snapToGrid w:val="0"/>
        <w:spacing w:line="360" w:lineRule="auto"/>
        <w:rPr>
          <w:rFonts w:ascii="Book Antiqua" w:hAnsi="Book Antiqua"/>
          <w:sz w:val="24"/>
          <w:szCs w:val="24"/>
        </w:rPr>
      </w:pPr>
      <w:r w:rsidRPr="00A144C1">
        <w:rPr>
          <w:rFonts w:ascii="Book Antiqua" w:hAnsi="Book Antiqua"/>
          <w:sz w:val="24"/>
          <w:szCs w:val="24"/>
        </w:rPr>
        <w:t>GIST:</w:t>
      </w:r>
      <w:r w:rsidRPr="00A144C1">
        <w:rPr>
          <w:rFonts w:ascii="Book Antiqua" w:hAnsi="Book Antiqua"/>
          <w:caps/>
          <w:sz w:val="24"/>
          <w:szCs w:val="24"/>
        </w:rPr>
        <w:t xml:space="preserve"> g</w:t>
      </w:r>
      <w:r w:rsidRPr="00A144C1">
        <w:rPr>
          <w:rFonts w:ascii="Book Antiqua" w:hAnsi="Book Antiqua"/>
          <w:sz w:val="24"/>
          <w:szCs w:val="24"/>
        </w:rPr>
        <w:t xml:space="preserve">astrointestinal submucosal tumors; EUS: </w:t>
      </w:r>
      <w:r w:rsidRPr="00A144C1">
        <w:rPr>
          <w:rFonts w:ascii="Book Antiqua" w:hAnsi="Book Antiqua"/>
          <w:caps/>
          <w:sz w:val="24"/>
          <w:szCs w:val="24"/>
        </w:rPr>
        <w:t>e</w:t>
      </w:r>
      <w:r w:rsidRPr="00A144C1">
        <w:rPr>
          <w:rFonts w:ascii="Book Antiqua" w:hAnsi="Book Antiqua"/>
          <w:sz w:val="24"/>
          <w:szCs w:val="24"/>
        </w:rPr>
        <w:t>ndoscopic ultrasound.</w:t>
      </w:r>
    </w:p>
    <w:p w:rsidR="002D0B97" w:rsidRPr="00A02038" w:rsidRDefault="00EC534A" w:rsidP="00971E2B">
      <w:pPr>
        <w:widowControl/>
        <w:snapToGrid w:val="0"/>
        <w:spacing w:line="360" w:lineRule="auto"/>
        <w:rPr>
          <w:rFonts w:ascii="Book Antiqua" w:hAnsi="Book Antiqua"/>
          <w:sz w:val="24"/>
          <w:szCs w:val="24"/>
        </w:rPr>
      </w:pPr>
      <w:r w:rsidRPr="00A02038">
        <w:rPr>
          <w:rFonts w:ascii="Book Antiqua" w:hAnsi="Book Antiqua"/>
          <w:sz w:val="24"/>
          <w:szCs w:val="24"/>
        </w:rPr>
        <w:br w:type="page"/>
      </w:r>
      <w:r w:rsidR="00A144C1" w:rsidRPr="00A02038">
        <w:rPr>
          <w:rFonts w:ascii="Book Antiqua" w:hAnsi="Book Antiqua"/>
          <w:b/>
          <w:bCs/>
          <w:sz w:val="24"/>
          <w:szCs w:val="24"/>
        </w:rPr>
        <w:lastRenderedPageBreak/>
        <w:t>Table</w:t>
      </w:r>
      <w:r w:rsidR="00A144C1">
        <w:rPr>
          <w:rFonts w:ascii="Book Antiqua" w:hAnsi="Book Antiqua"/>
          <w:b/>
          <w:bCs/>
          <w:sz w:val="24"/>
          <w:szCs w:val="24"/>
        </w:rPr>
        <w:t xml:space="preserve"> </w:t>
      </w:r>
      <w:r w:rsidR="00A144C1" w:rsidRPr="00A02038">
        <w:rPr>
          <w:rFonts w:ascii="Book Antiqua" w:hAnsi="Book Antiqua"/>
          <w:b/>
          <w:bCs/>
          <w:sz w:val="24"/>
          <w:szCs w:val="24"/>
        </w:rPr>
        <w:t>4</w:t>
      </w:r>
      <w:r w:rsidR="00A144C1">
        <w:rPr>
          <w:rFonts w:ascii="Book Antiqua" w:hAnsi="Book Antiqua"/>
          <w:b/>
          <w:bCs/>
          <w:sz w:val="24"/>
          <w:szCs w:val="24"/>
        </w:rPr>
        <w:t xml:space="preserve"> </w:t>
      </w:r>
      <w:r w:rsidR="00A144C1" w:rsidRPr="00A02038">
        <w:rPr>
          <w:rFonts w:ascii="Book Antiqua" w:hAnsi="Book Antiqua"/>
          <w:b/>
          <w:bCs/>
          <w:sz w:val="24"/>
          <w:szCs w:val="24"/>
        </w:rPr>
        <w:t>Details of 34 patients with</w:t>
      </w:r>
      <w:r w:rsidR="00A144C1" w:rsidRPr="00A144C1">
        <w:rPr>
          <w:rFonts w:ascii="Book Antiqua" w:hAnsi="Book Antiqua"/>
          <w:b/>
          <w:caps/>
          <w:sz w:val="24"/>
          <w:szCs w:val="24"/>
        </w:rPr>
        <w:t xml:space="preserve"> </w:t>
      </w:r>
      <w:r w:rsidR="00A144C1" w:rsidRPr="00053820">
        <w:rPr>
          <w:rFonts w:ascii="Book Antiqua" w:hAnsi="Book Antiqua"/>
          <w:b/>
          <w:sz w:val="24"/>
          <w:szCs w:val="24"/>
        </w:rPr>
        <w:t>gastrointestinal submucosal tumors</w:t>
      </w:r>
    </w:p>
    <w:tbl>
      <w:tblPr>
        <w:tblW w:w="10110" w:type="dxa"/>
        <w:tblInd w:w="-1061" w:type="dxa"/>
        <w:tblBorders>
          <w:top w:val="single" w:sz="4" w:space="0" w:color="000000"/>
          <w:bottom w:val="single" w:sz="4" w:space="0" w:color="000000"/>
        </w:tblBorders>
        <w:tblLayout w:type="fixed"/>
        <w:tblCellMar>
          <w:left w:w="15" w:type="dxa"/>
          <w:right w:w="15" w:type="dxa"/>
        </w:tblCellMar>
        <w:tblLook w:val="04A0" w:firstRow="1" w:lastRow="0" w:firstColumn="1" w:lastColumn="0" w:noHBand="0" w:noVBand="1"/>
      </w:tblPr>
      <w:tblGrid>
        <w:gridCol w:w="3061"/>
        <w:gridCol w:w="2039"/>
        <w:gridCol w:w="1725"/>
        <w:gridCol w:w="1680"/>
        <w:gridCol w:w="1605"/>
      </w:tblGrid>
      <w:tr w:rsidR="00EC534A" w:rsidRPr="00452E04" w:rsidTr="00452E04">
        <w:trPr>
          <w:trHeight w:val="975"/>
        </w:trPr>
        <w:tc>
          <w:tcPr>
            <w:tcW w:w="3061" w:type="dxa"/>
            <w:tcBorders>
              <w:top w:val="single" w:sz="4" w:space="0" w:color="000000"/>
              <w:bottom w:val="single" w:sz="4" w:space="0" w:color="000000"/>
            </w:tcBorders>
            <w:vAlign w:val="center"/>
          </w:tcPr>
          <w:p w:rsidR="002D0B97" w:rsidRPr="00452E04" w:rsidRDefault="002D0B97" w:rsidP="00971E2B">
            <w:pPr>
              <w:snapToGrid w:val="0"/>
              <w:spacing w:line="360" w:lineRule="auto"/>
              <w:rPr>
                <w:rFonts w:ascii="Book Antiqua" w:hAnsi="Book Antiqua"/>
                <w:b/>
                <w:sz w:val="24"/>
                <w:szCs w:val="24"/>
              </w:rPr>
            </w:pPr>
          </w:p>
        </w:tc>
        <w:tc>
          <w:tcPr>
            <w:tcW w:w="2039" w:type="dxa"/>
            <w:tcBorders>
              <w:top w:val="single" w:sz="4" w:space="0" w:color="000000"/>
              <w:bottom w:val="single" w:sz="4" w:space="0" w:color="000000"/>
            </w:tcBorders>
            <w:vAlign w:val="center"/>
          </w:tcPr>
          <w:p w:rsidR="002D0B97" w:rsidRPr="00452E04" w:rsidRDefault="00EC534A" w:rsidP="00971E2B">
            <w:pPr>
              <w:snapToGrid w:val="0"/>
              <w:spacing w:line="360" w:lineRule="auto"/>
              <w:jc w:val="center"/>
              <w:rPr>
                <w:rFonts w:ascii="Book Antiqua" w:hAnsi="Book Antiqua"/>
                <w:b/>
                <w:sz w:val="24"/>
                <w:szCs w:val="24"/>
              </w:rPr>
            </w:pPr>
            <w:r w:rsidRPr="00452E04">
              <w:rPr>
                <w:rFonts w:ascii="Book Antiqua" w:hAnsi="Book Antiqua"/>
                <w:b/>
                <w:sz w:val="24"/>
                <w:szCs w:val="24"/>
              </w:rPr>
              <w:t>Extremely low plus low risk</w:t>
            </w:r>
            <w:r w:rsidR="00A144C1" w:rsidRPr="00452E04">
              <w:rPr>
                <w:rFonts w:ascii="Book Antiqua" w:hAnsi="Book Antiqua"/>
                <w:b/>
                <w:sz w:val="24"/>
                <w:szCs w:val="24"/>
              </w:rPr>
              <w:t xml:space="preserve"> (</w:t>
            </w:r>
            <w:r w:rsidR="00A144C1" w:rsidRPr="00452E04">
              <w:rPr>
                <w:rFonts w:ascii="Book Antiqua" w:hAnsi="Book Antiqua"/>
                <w:b/>
                <w:i/>
                <w:sz w:val="24"/>
                <w:szCs w:val="24"/>
              </w:rPr>
              <w:t>n</w:t>
            </w:r>
            <w:r w:rsidR="00A144C1" w:rsidRPr="00452E04">
              <w:rPr>
                <w:rFonts w:ascii="Book Antiqua" w:hAnsi="Book Antiqua"/>
                <w:b/>
                <w:sz w:val="24"/>
                <w:szCs w:val="24"/>
              </w:rPr>
              <w:t xml:space="preserve"> = 28)</w:t>
            </w:r>
          </w:p>
        </w:tc>
        <w:tc>
          <w:tcPr>
            <w:tcW w:w="1725" w:type="dxa"/>
            <w:tcBorders>
              <w:top w:val="single" w:sz="4" w:space="0" w:color="000000"/>
              <w:bottom w:val="single" w:sz="4" w:space="0" w:color="000000"/>
            </w:tcBorders>
            <w:vAlign w:val="center"/>
          </w:tcPr>
          <w:p w:rsidR="002D0B97" w:rsidRPr="00452E04" w:rsidRDefault="00EC534A" w:rsidP="00971E2B">
            <w:pPr>
              <w:snapToGrid w:val="0"/>
              <w:spacing w:line="360" w:lineRule="auto"/>
              <w:jc w:val="center"/>
              <w:rPr>
                <w:rFonts w:ascii="Book Antiqua" w:hAnsi="Book Antiqua"/>
                <w:b/>
                <w:sz w:val="24"/>
                <w:szCs w:val="24"/>
              </w:rPr>
            </w:pPr>
            <w:r w:rsidRPr="00452E04">
              <w:rPr>
                <w:rFonts w:ascii="Book Antiqua" w:hAnsi="Book Antiqua"/>
                <w:b/>
                <w:sz w:val="24"/>
                <w:szCs w:val="24"/>
              </w:rPr>
              <w:t>Intermediate risk</w:t>
            </w:r>
            <w:r w:rsidR="00A144C1" w:rsidRPr="00452E04">
              <w:rPr>
                <w:rFonts w:ascii="Book Antiqua" w:hAnsi="Book Antiqua"/>
                <w:b/>
                <w:sz w:val="24"/>
                <w:szCs w:val="24"/>
              </w:rPr>
              <w:t xml:space="preserve"> (</w:t>
            </w:r>
            <w:r w:rsidR="00A144C1" w:rsidRPr="00452E04">
              <w:rPr>
                <w:rFonts w:ascii="Book Antiqua" w:hAnsi="Book Antiqua"/>
                <w:b/>
                <w:i/>
                <w:sz w:val="24"/>
                <w:szCs w:val="24"/>
              </w:rPr>
              <w:t>n</w:t>
            </w:r>
            <w:r w:rsidR="00A144C1" w:rsidRPr="00452E04">
              <w:rPr>
                <w:rFonts w:ascii="Book Antiqua" w:hAnsi="Book Antiqua"/>
                <w:b/>
                <w:sz w:val="24"/>
                <w:szCs w:val="24"/>
              </w:rPr>
              <w:t xml:space="preserve"> = 3)</w:t>
            </w:r>
          </w:p>
        </w:tc>
        <w:tc>
          <w:tcPr>
            <w:tcW w:w="1680" w:type="dxa"/>
            <w:tcBorders>
              <w:top w:val="single" w:sz="4" w:space="0" w:color="000000"/>
              <w:bottom w:val="single" w:sz="4" w:space="0" w:color="000000"/>
            </w:tcBorders>
            <w:vAlign w:val="center"/>
          </w:tcPr>
          <w:p w:rsidR="002D0B97" w:rsidRPr="00452E04" w:rsidRDefault="00EC534A" w:rsidP="00971E2B">
            <w:pPr>
              <w:snapToGrid w:val="0"/>
              <w:spacing w:line="360" w:lineRule="auto"/>
              <w:jc w:val="center"/>
              <w:rPr>
                <w:rFonts w:ascii="Book Antiqua" w:hAnsi="Book Antiqua"/>
                <w:b/>
                <w:sz w:val="24"/>
                <w:szCs w:val="24"/>
              </w:rPr>
            </w:pPr>
            <w:r w:rsidRPr="00452E04">
              <w:rPr>
                <w:rFonts w:ascii="Book Antiqua" w:hAnsi="Book Antiqua"/>
                <w:b/>
                <w:sz w:val="24"/>
                <w:szCs w:val="24"/>
              </w:rPr>
              <w:t>High risk</w:t>
            </w:r>
            <w:r w:rsidR="00A144C1" w:rsidRPr="00452E04">
              <w:rPr>
                <w:rFonts w:ascii="Book Antiqua" w:hAnsi="Book Antiqua"/>
                <w:b/>
                <w:sz w:val="24"/>
                <w:szCs w:val="24"/>
              </w:rPr>
              <w:t xml:space="preserve"> (</w:t>
            </w:r>
            <w:r w:rsidR="00A144C1" w:rsidRPr="00452E04">
              <w:rPr>
                <w:rFonts w:ascii="Book Antiqua" w:hAnsi="Book Antiqua"/>
                <w:b/>
                <w:i/>
                <w:sz w:val="24"/>
                <w:szCs w:val="24"/>
              </w:rPr>
              <w:t>n</w:t>
            </w:r>
            <w:r w:rsidR="00A144C1" w:rsidRPr="00452E04">
              <w:rPr>
                <w:rFonts w:ascii="Book Antiqua" w:hAnsi="Book Antiqua"/>
                <w:b/>
                <w:sz w:val="24"/>
                <w:szCs w:val="24"/>
              </w:rPr>
              <w:t xml:space="preserve"> = 3)</w:t>
            </w:r>
          </w:p>
        </w:tc>
        <w:tc>
          <w:tcPr>
            <w:tcW w:w="1605" w:type="dxa"/>
            <w:tcBorders>
              <w:top w:val="single" w:sz="4" w:space="0" w:color="000000"/>
              <w:bottom w:val="single" w:sz="4" w:space="0" w:color="000000"/>
            </w:tcBorders>
            <w:vAlign w:val="center"/>
          </w:tcPr>
          <w:p w:rsidR="002D0B97" w:rsidRPr="00452E04" w:rsidRDefault="00EC534A" w:rsidP="00971E2B">
            <w:pPr>
              <w:snapToGrid w:val="0"/>
              <w:spacing w:line="360" w:lineRule="auto"/>
              <w:jc w:val="center"/>
              <w:rPr>
                <w:rFonts w:ascii="Book Antiqua" w:hAnsi="Book Antiqua"/>
                <w:b/>
                <w:sz w:val="24"/>
                <w:szCs w:val="24"/>
              </w:rPr>
            </w:pPr>
            <w:r w:rsidRPr="00452E04">
              <w:rPr>
                <w:rFonts w:ascii="Book Antiqua" w:hAnsi="Book Antiqua"/>
                <w:b/>
                <w:sz w:val="24"/>
                <w:szCs w:val="24"/>
              </w:rPr>
              <w:t>Total</w:t>
            </w:r>
            <w:r w:rsidR="00A144C1" w:rsidRPr="00452E04">
              <w:rPr>
                <w:rFonts w:ascii="Book Antiqua" w:hAnsi="Book Antiqua"/>
                <w:b/>
                <w:sz w:val="24"/>
                <w:szCs w:val="24"/>
              </w:rPr>
              <w:t xml:space="preserve"> (</w:t>
            </w:r>
            <w:r w:rsidR="00A144C1" w:rsidRPr="00452E04">
              <w:rPr>
                <w:rFonts w:ascii="Book Antiqua" w:hAnsi="Book Antiqua"/>
                <w:b/>
                <w:i/>
                <w:sz w:val="24"/>
                <w:szCs w:val="24"/>
              </w:rPr>
              <w:t>n</w:t>
            </w:r>
            <w:r w:rsidR="00A144C1" w:rsidRPr="00452E04">
              <w:rPr>
                <w:rFonts w:ascii="Book Antiqua" w:hAnsi="Book Antiqua"/>
                <w:b/>
                <w:sz w:val="24"/>
                <w:szCs w:val="24"/>
              </w:rPr>
              <w:t xml:space="preserve"> = 34)</w:t>
            </w:r>
          </w:p>
        </w:tc>
      </w:tr>
      <w:tr w:rsidR="00EC534A" w:rsidRPr="00A02038" w:rsidTr="00452E04">
        <w:trPr>
          <w:trHeight w:val="753"/>
        </w:trPr>
        <w:tc>
          <w:tcPr>
            <w:tcW w:w="3061" w:type="dxa"/>
            <w:tcBorders>
              <w:top w:val="single" w:sz="4" w:space="0" w:color="000000"/>
            </w:tcBorders>
            <w:vAlign w:val="center"/>
          </w:tcPr>
          <w:p w:rsidR="002D0B97" w:rsidRPr="00A02038" w:rsidRDefault="00EC534A" w:rsidP="00A144C1">
            <w:pPr>
              <w:snapToGrid w:val="0"/>
              <w:spacing w:line="360" w:lineRule="auto"/>
              <w:jc w:val="left"/>
              <w:rPr>
                <w:rFonts w:ascii="Book Antiqua" w:hAnsi="Book Antiqua"/>
                <w:sz w:val="24"/>
                <w:szCs w:val="24"/>
              </w:rPr>
            </w:pPr>
            <w:r w:rsidRPr="00A02038">
              <w:rPr>
                <w:rFonts w:ascii="Book Antiqua" w:hAnsi="Book Antiqua"/>
                <w:sz w:val="24"/>
                <w:szCs w:val="24"/>
              </w:rPr>
              <w:t>Follow-up period, median</w:t>
            </w:r>
            <w:r w:rsidR="00A144C1">
              <w:rPr>
                <w:rFonts w:ascii="Book Antiqua" w:hAnsi="Book Antiqua"/>
                <w:sz w:val="24"/>
                <w:szCs w:val="24"/>
              </w:rPr>
              <w:t xml:space="preserve"> </w:t>
            </w:r>
            <w:r w:rsidRPr="00A02038">
              <w:rPr>
                <w:rFonts w:ascii="Book Antiqua" w:hAnsi="Book Antiqua"/>
                <w:sz w:val="24"/>
                <w:szCs w:val="24"/>
              </w:rPr>
              <w:t>(range), mo</w:t>
            </w:r>
          </w:p>
        </w:tc>
        <w:tc>
          <w:tcPr>
            <w:tcW w:w="2039"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31.0</w:t>
            </w:r>
            <w:r w:rsidR="00A144C1">
              <w:rPr>
                <w:rFonts w:ascii="Book Antiqua" w:hAnsi="Book Antiqua"/>
                <w:sz w:val="24"/>
                <w:szCs w:val="24"/>
              </w:rPr>
              <w:t xml:space="preserve"> </w:t>
            </w:r>
            <w:r w:rsidRPr="00A02038">
              <w:rPr>
                <w:rFonts w:ascii="Book Antiqua" w:hAnsi="Book Antiqua"/>
                <w:sz w:val="24"/>
                <w:szCs w:val="24"/>
              </w:rPr>
              <w:t>(6.6-210)</w:t>
            </w:r>
          </w:p>
        </w:tc>
        <w:tc>
          <w:tcPr>
            <w:tcW w:w="1725"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47.3</w:t>
            </w:r>
            <w:r w:rsidR="00A144C1">
              <w:rPr>
                <w:rFonts w:ascii="Book Antiqua" w:hAnsi="Book Antiqua"/>
                <w:sz w:val="24"/>
                <w:szCs w:val="24"/>
              </w:rPr>
              <w:t xml:space="preserve"> </w:t>
            </w:r>
            <w:r w:rsidRPr="00A02038">
              <w:rPr>
                <w:rFonts w:ascii="Book Antiqua" w:hAnsi="Book Antiqua"/>
                <w:sz w:val="24"/>
                <w:szCs w:val="24"/>
              </w:rPr>
              <w:t>(11.2-49.9)</w:t>
            </w:r>
          </w:p>
        </w:tc>
        <w:tc>
          <w:tcPr>
            <w:tcW w:w="1680"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12.4</w:t>
            </w:r>
            <w:r w:rsidR="00A144C1">
              <w:rPr>
                <w:rFonts w:ascii="Book Antiqua" w:hAnsi="Book Antiqua"/>
                <w:sz w:val="24"/>
                <w:szCs w:val="24"/>
              </w:rPr>
              <w:t xml:space="preserve"> </w:t>
            </w:r>
            <w:r w:rsidRPr="00A02038">
              <w:rPr>
                <w:rFonts w:ascii="Book Antiqua" w:hAnsi="Book Antiqua"/>
                <w:sz w:val="24"/>
                <w:szCs w:val="24"/>
              </w:rPr>
              <w:t>(7.4-16.7)</w:t>
            </w:r>
          </w:p>
        </w:tc>
        <w:tc>
          <w:tcPr>
            <w:tcW w:w="1605"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27.3</w:t>
            </w:r>
            <w:r w:rsidR="00A144C1">
              <w:rPr>
                <w:rFonts w:ascii="Book Antiqua" w:hAnsi="Book Antiqua"/>
                <w:sz w:val="24"/>
                <w:szCs w:val="24"/>
              </w:rPr>
              <w:t xml:space="preserve"> </w:t>
            </w:r>
            <w:r w:rsidRPr="00A02038">
              <w:rPr>
                <w:rFonts w:ascii="Book Antiqua" w:hAnsi="Book Antiqua"/>
                <w:sz w:val="24"/>
                <w:szCs w:val="24"/>
              </w:rPr>
              <w:t>(6.6-210)</w:t>
            </w:r>
          </w:p>
        </w:tc>
      </w:tr>
      <w:tr w:rsidR="00EC534A" w:rsidRPr="00A02038" w:rsidTr="00452E04">
        <w:trPr>
          <w:trHeight w:val="850"/>
        </w:trPr>
        <w:tc>
          <w:tcPr>
            <w:tcW w:w="3061" w:type="dxa"/>
            <w:vAlign w:val="center"/>
          </w:tcPr>
          <w:p w:rsidR="002D0B97" w:rsidRPr="00A02038" w:rsidRDefault="00EC534A" w:rsidP="00971E2B">
            <w:pPr>
              <w:snapToGrid w:val="0"/>
              <w:spacing w:line="360" w:lineRule="auto"/>
              <w:jc w:val="left"/>
              <w:rPr>
                <w:rFonts w:ascii="Book Antiqua" w:hAnsi="Book Antiqua"/>
                <w:sz w:val="24"/>
                <w:szCs w:val="24"/>
              </w:rPr>
            </w:pPr>
            <w:r w:rsidRPr="00A02038">
              <w:rPr>
                <w:rFonts w:ascii="Book Antiqua" w:hAnsi="Book Antiqua"/>
                <w:sz w:val="24"/>
                <w:szCs w:val="24"/>
              </w:rPr>
              <w:t>Initial tumor diameter, median</w:t>
            </w:r>
            <w:r w:rsidR="00A144C1">
              <w:rPr>
                <w:rFonts w:ascii="Book Antiqua" w:hAnsi="Book Antiqua"/>
                <w:sz w:val="24"/>
                <w:szCs w:val="24"/>
              </w:rPr>
              <w:t xml:space="preserve"> </w:t>
            </w:r>
            <w:r w:rsidRPr="00A02038">
              <w:rPr>
                <w:rFonts w:ascii="Book Antiqua" w:hAnsi="Book Antiqua"/>
                <w:sz w:val="24"/>
                <w:szCs w:val="24"/>
              </w:rPr>
              <w:t>(range), mm</w:t>
            </w:r>
          </w:p>
        </w:tc>
        <w:tc>
          <w:tcPr>
            <w:tcW w:w="2039"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18.6</w:t>
            </w:r>
            <w:r w:rsidR="00A144C1">
              <w:rPr>
                <w:rFonts w:ascii="Book Antiqua" w:hAnsi="Book Antiqua"/>
                <w:sz w:val="24"/>
                <w:szCs w:val="24"/>
              </w:rPr>
              <w:t xml:space="preserve"> </w:t>
            </w:r>
            <w:r w:rsidRPr="00A02038">
              <w:rPr>
                <w:rFonts w:ascii="Book Antiqua" w:hAnsi="Book Antiqua"/>
                <w:sz w:val="24"/>
                <w:szCs w:val="24"/>
              </w:rPr>
              <w:t>(10.9-30.0)</w:t>
            </w:r>
          </w:p>
        </w:tc>
        <w:tc>
          <w:tcPr>
            <w:tcW w:w="1725"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28.5</w:t>
            </w:r>
            <w:r w:rsidR="00A144C1">
              <w:rPr>
                <w:rFonts w:ascii="Book Antiqua" w:hAnsi="Book Antiqua"/>
                <w:sz w:val="24"/>
                <w:szCs w:val="24"/>
              </w:rPr>
              <w:t xml:space="preserve"> </w:t>
            </w:r>
            <w:r w:rsidRPr="00A02038">
              <w:rPr>
                <w:rFonts w:ascii="Book Antiqua" w:hAnsi="Book Antiqua"/>
                <w:sz w:val="24"/>
                <w:szCs w:val="24"/>
              </w:rPr>
              <w:t>(20.0-44.8)</w:t>
            </w:r>
          </w:p>
        </w:tc>
        <w:tc>
          <w:tcPr>
            <w:tcW w:w="1680"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25.5</w:t>
            </w:r>
            <w:r w:rsidR="00A144C1">
              <w:rPr>
                <w:rFonts w:ascii="Book Antiqua" w:hAnsi="Book Antiqua"/>
                <w:sz w:val="24"/>
                <w:szCs w:val="24"/>
              </w:rPr>
              <w:t xml:space="preserve"> </w:t>
            </w:r>
            <w:r w:rsidRPr="00A02038">
              <w:rPr>
                <w:rFonts w:ascii="Book Antiqua" w:hAnsi="Book Antiqua"/>
                <w:sz w:val="24"/>
                <w:szCs w:val="24"/>
              </w:rPr>
              <w:t>(14.0-27.3)</w:t>
            </w:r>
          </w:p>
        </w:tc>
        <w:tc>
          <w:tcPr>
            <w:tcW w:w="1605"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19.0</w:t>
            </w:r>
            <w:r w:rsidR="00A144C1">
              <w:rPr>
                <w:rFonts w:ascii="Book Antiqua" w:hAnsi="Book Antiqua"/>
                <w:sz w:val="24"/>
                <w:szCs w:val="24"/>
              </w:rPr>
              <w:t xml:space="preserve"> </w:t>
            </w:r>
            <w:r w:rsidRPr="00A02038">
              <w:rPr>
                <w:rFonts w:ascii="Book Antiqua" w:hAnsi="Book Antiqua"/>
                <w:sz w:val="24"/>
                <w:szCs w:val="24"/>
              </w:rPr>
              <w:t>(10.9-44.8)</w:t>
            </w:r>
          </w:p>
        </w:tc>
      </w:tr>
      <w:tr w:rsidR="00EC534A" w:rsidRPr="00A02038" w:rsidTr="006A426E">
        <w:trPr>
          <w:trHeight w:val="985"/>
        </w:trPr>
        <w:tc>
          <w:tcPr>
            <w:tcW w:w="3061" w:type="dxa"/>
            <w:vAlign w:val="center"/>
          </w:tcPr>
          <w:p w:rsidR="002D0B97" w:rsidRPr="00A02038" w:rsidRDefault="00EC534A" w:rsidP="00A144C1">
            <w:pPr>
              <w:snapToGrid w:val="0"/>
              <w:spacing w:line="360" w:lineRule="auto"/>
              <w:jc w:val="left"/>
              <w:rPr>
                <w:rFonts w:ascii="Book Antiqua" w:hAnsi="Book Antiqua"/>
                <w:sz w:val="24"/>
                <w:szCs w:val="24"/>
              </w:rPr>
            </w:pPr>
            <w:r w:rsidRPr="00A02038">
              <w:rPr>
                <w:rFonts w:ascii="Book Antiqua" w:hAnsi="Book Antiqua"/>
                <w:sz w:val="24"/>
                <w:szCs w:val="24"/>
              </w:rPr>
              <w:t>Doubling time, median</w:t>
            </w:r>
            <w:r w:rsidR="00A144C1">
              <w:rPr>
                <w:rFonts w:ascii="Book Antiqua" w:hAnsi="Book Antiqua"/>
                <w:sz w:val="24"/>
                <w:szCs w:val="24"/>
              </w:rPr>
              <w:t xml:space="preserve"> </w:t>
            </w:r>
            <w:r w:rsidRPr="00A02038">
              <w:rPr>
                <w:rFonts w:ascii="Book Antiqua" w:hAnsi="Book Antiqua"/>
                <w:sz w:val="24"/>
                <w:szCs w:val="24"/>
              </w:rPr>
              <w:t>(range), mo</w:t>
            </w:r>
          </w:p>
        </w:tc>
        <w:tc>
          <w:tcPr>
            <w:tcW w:w="2039"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24.0</w:t>
            </w:r>
            <w:r w:rsidR="00A144C1">
              <w:rPr>
                <w:rFonts w:ascii="Book Antiqua" w:hAnsi="Book Antiqua"/>
                <w:sz w:val="24"/>
                <w:szCs w:val="24"/>
              </w:rPr>
              <w:t xml:space="preserve"> </w:t>
            </w:r>
            <w:r w:rsidRPr="00A02038">
              <w:rPr>
                <w:rFonts w:ascii="Book Antiqua" w:hAnsi="Book Antiqua"/>
                <w:sz w:val="24"/>
                <w:szCs w:val="24"/>
              </w:rPr>
              <w:t>(2.0-183.6)</w:t>
            </w:r>
          </w:p>
        </w:tc>
        <w:tc>
          <w:tcPr>
            <w:tcW w:w="1725"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17.1</w:t>
            </w:r>
            <w:r w:rsidR="00A144C1">
              <w:rPr>
                <w:rFonts w:ascii="Book Antiqua" w:hAnsi="Book Antiqua"/>
                <w:sz w:val="24"/>
                <w:szCs w:val="24"/>
              </w:rPr>
              <w:t xml:space="preserve"> </w:t>
            </w:r>
            <w:r w:rsidRPr="00A02038">
              <w:rPr>
                <w:rFonts w:ascii="Book Antiqua" w:hAnsi="Book Antiqua"/>
                <w:sz w:val="24"/>
                <w:szCs w:val="24"/>
              </w:rPr>
              <w:t>(6.1-19.4)</w:t>
            </w:r>
          </w:p>
        </w:tc>
        <w:tc>
          <w:tcPr>
            <w:tcW w:w="1680"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3.9</w:t>
            </w:r>
            <w:r w:rsidR="00A144C1">
              <w:rPr>
                <w:rFonts w:ascii="Book Antiqua" w:hAnsi="Book Antiqua"/>
                <w:sz w:val="24"/>
                <w:szCs w:val="24"/>
              </w:rPr>
              <w:t xml:space="preserve"> </w:t>
            </w:r>
            <w:r w:rsidRPr="00A02038">
              <w:rPr>
                <w:rFonts w:ascii="Book Antiqua" w:hAnsi="Book Antiqua"/>
                <w:sz w:val="24"/>
                <w:szCs w:val="24"/>
              </w:rPr>
              <w:t>(0.8-10.4)</w:t>
            </w:r>
          </w:p>
        </w:tc>
        <w:tc>
          <w:tcPr>
            <w:tcW w:w="1605"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17.2</w:t>
            </w:r>
            <w:r w:rsidR="00A144C1">
              <w:rPr>
                <w:rFonts w:ascii="Book Antiqua" w:hAnsi="Book Antiqua"/>
                <w:sz w:val="24"/>
                <w:szCs w:val="24"/>
              </w:rPr>
              <w:t xml:space="preserve"> </w:t>
            </w:r>
            <w:r w:rsidRPr="00A02038">
              <w:rPr>
                <w:rFonts w:ascii="Book Antiqua" w:hAnsi="Book Antiqua"/>
                <w:sz w:val="24"/>
                <w:szCs w:val="24"/>
              </w:rPr>
              <w:t>(0.8-183.6)</w:t>
            </w:r>
          </w:p>
        </w:tc>
      </w:tr>
    </w:tbl>
    <w:p w:rsidR="002D0B97" w:rsidRPr="00FE6742" w:rsidRDefault="006A426E" w:rsidP="00971E2B">
      <w:pPr>
        <w:widowControl/>
        <w:snapToGrid w:val="0"/>
        <w:spacing w:line="360" w:lineRule="auto"/>
        <w:rPr>
          <w:rFonts w:ascii="Book Antiqua" w:eastAsia="宋体" w:hAnsi="Book Antiqua"/>
          <w:b/>
          <w:bCs/>
          <w:sz w:val="24"/>
          <w:szCs w:val="24"/>
          <w:lang w:eastAsia="zh-CN"/>
        </w:rPr>
      </w:pPr>
      <w:r w:rsidRPr="00A144C1">
        <w:rPr>
          <w:rFonts w:ascii="Book Antiqua" w:hAnsi="Book Antiqua"/>
          <w:bCs/>
          <w:sz w:val="24"/>
          <w:szCs w:val="24"/>
        </w:rPr>
        <w:t>Risk classification: Based on tumor diameter and mitotic figures.</w:t>
      </w:r>
      <w:r w:rsidR="00EC534A" w:rsidRPr="00A02038">
        <w:rPr>
          <w:rFonts w:ascii="Book Antiqua" w:hAnsi="Book Antiqua"/>
          <w:b/>
          <w:bCs/>
          <w:sz w:val="24"/>
          <w:szCs w:val="24"/>
        </w:rPr>
        <w:br w:type="page"/>
      </w:r>
      <w:r w:rsidR="00452E04" w:rsidRPr="00A02038">
        <w:rPr>
          <w:rFonts w:ascii="Book Antiqua" w:hAnsi="Book Antiqua"/>
          <w:b/>
          <w:bCs/>
          <w:sz w:val="24"/>
          <w:szCs w:val="24"/>
        </w:rPr>
        <w:lastRenderedPageBreak/>
        <w:t>Table 5</w:t>
      </w:r>
      <w:r w:rsidR="00452E04">
        <w:rPr>
          <w:rFonts w:ascii="Book Antiqua" w:hAnsi="Book Antiqua"/>
          <w:b/>
          <w:bCs/>
          <w:sz w:val="24"/>
          <w:szCs w:val="24"/>
        </w:rPr>
        <w:t xml:space="preserve"> </w:t>
      </w:r>
      <w:r w:rsidR="00452E04" w:rsidRPr="00A02038">
        <w:rPr>
          <w:rFonts w:ascii="Book Antiqua" w:hAnsi="Book Antiqua"/>
          <w:b/>
          <w:bCs/>
          <w:sz w:val="24"/>
          <w:szCs w:val="24"/>
        </w:rPr>
        <w:t xml:space="preserve">Tumors other than </w:t>
      </w:r>
      <w:r w:rsidR="00452E04" w:rsidRPr="00053820">
        <w:rPr>
          <w:rFonts w:ascii="Book Antiqua" w:hAnsi="Book Antiqua"/>
          <w:b/>
          <w:sz w:val="24"/>
          <w:szCs w:val="24"/>
        </w:rPr>
        <w:t>gastrointestinal submucosal tumors</w:t>
      </w:r>
    </w:p>
    <w:tbl>
      <w:tblPr>
        <w:tblW w:w="9705" w:type="dxa"/>
        <w:tblInd w:w="-671" w:type="dxa"/>
        <w:tblBorders>
          <w:top w:val="single" w:sz="4" w:space="0" w:color="000000"/>
          <w:bottom w:val="single" w:sz="4" w:space="0" w:color="000000"/>
        </w:tblBorders>
        <w:tblLayout w:type="fixed"/>
        <w:tblCellMar>
          <w:left w:w="15" w:type="dxa"/>
          <w:right w:w="15" w:type="dxa"/>
        </w:tblCellMar>
        <w:tblLook w:val="04A0" w:firstRow="1" w:lastRow="0" w:firstColumn="1" w:lastColumn="0" w:noHBand="0" w:noVBand="1"/>
      </w:tblPr>
      <w:tblGrid>
        <w:gridCol w:w="3521"/>
        <w:gridCol w:w="1276"/>
        <w:gridCol w:w="2410"/>
        <w:gridCol w:w="2498"/>
      </w:tblGrid>
      <w:tr w:rsidR="00EC534A" w:rsidRPr="00A02038" w:rsidTr="00452E04">
        <w:trPr>
          <w:trHeight w:val="833"/>
        </w:trPr>
        <w:tc>
          <w:tcPr>
            <w:tcW w:w="3521" w:type="dxa"/>
            <w:tcBorders>
              <w:top w:val="single" w:sz="4" w:space="0" w:color="000000"/>
              <w:bottom w:val="single" w:sz="4" w:space="0" w:color="000000"/>
              <w:right w:val="nil"/>
            </w:tcBorders>
            <w:vAlign w:val="center"/>
          </w:tcPr>
          <w:p w:rsidR="002D0B97" w:rsidRPr="00A02038" w:rsidRDefault="002D0B97" w:rsidP="00971E2B">
            <w:pPr>
              <w:snapToGrid w:val="0"/>
              <w:spacing w:line="360" w:lineRule="auto"/>
              <w:rPr>
                <w:rFonts w:ascii="Book Antiqua" w:hAnsi="Book Antiqua"/>
                <w:sz w:val="24"/>
                <w:szCs w:val="24"/>
              </w:rPr>
            </w:pPr>
          </w:p>
        </w:tc>
        <w:tc>
          <w:tcPr>
            <w:tcW w:w="1276" w:type="dxa"/>
            <w:tcBorders>
              <w:top w:val="single" w:sz="4" w:space="0" w:color="000000"/>
              <w:left w:val="nil"/>
              <w:bottom w:val="single" w:sz="4" w:space="0" w:color="000000"/>
              <w:right w:val="nil"/>
            </w:tcBorders>
            <w:vAlign w:val="center"/>
          </w:tcPr>
          <w:p w:rsidR="002D0B97" w:rsidRPr="00452E04" w:rsidRDefault="00EC534A" w:rsidP="00971E2B">
            <w:pPr>
              <w:snapToGrid w:val="0"/>
              <w:spacing w:line="360" w:lineRule="auto"/>
              <w:jc w:val="center"/>
              <w:rPr>
                <w:rFonts w:ascii="Book Antiqua" w:hAnsi="Book Antiqua"/>
                <w:b/>
                <w:sz w:val="24"/>
                <w:szCs w:val="24"/>
              </w:rPr>
            </w:pPr>
            <w:r w:rsidRPr="00452E04">
              <w:rPr>
                <w:rFonts w:ascii="Book Antiqua" w:hAnsi="Book Antiqua"/>
                <w:b/>
                <w:sz w:val="24"/>
                <w:szCs w:val="24"/>
              </w:rPr>
              <w:t>No. of patient</w:t>
            </w:r>
          </w:p>
        </w:tc>
        <w:tc>
          <w:tcPr>
            <w:tcW w:w="2410" w:type="dxa"/>
            <w:tcBorders>
              <w:top w:val="single" w:sz="4" w:space="0" w:color="000000"/>
              <w:left w:val="nil"/>
              <w:bottom w:val="single" w:sz="4" w:space="0" w:color="000000"/>
              <w:right w:val="nil"/>
            </w:tcBorders>
            <w:vAlign w:val="center"/>
          </w:tcPr>
          <w:p w:rsidR="002D0B97" w:rsidRPr="00452E04" w:rsidRDefault="00EC534A" w:rsidP="00452E04">
            <w:pPr>
              <w:snapToGrid w:val="0"/>
              <w:spacing w:line="360" w:lineRule="auto"/>
              <w:jc w:val="center"/>
              <w:rPr>
                <w:rFonts w:ascii="Book Antiqua" w:hAnsi="Book Antiqua"/>
                <w:b/>
                <w:sz w:val="24"/>
                <w:szCs w:val="24"/>
              </w:rPr>
            </w:pPr>
            <w:r w:rsidRPr="00452E04">
              <w:rPr>
                <w:rFonts w:ascii="Book Antiqua" w:hAnsi="Book Antiqua"/>
                <w:b/>
                <w:sz w:val="24"/>
                <w:szCs w:val="24"/>
              </w:rPr>
              <w:t>Follow-up period, median</w:t>
            </w:r>
            <w:r w:rsidR="00452E04" w:rsidRPr="00FE6742">
              <w:rPr>
                <w:rFonts w:ascii="Book Antiqua" w:eastAsia="宋体" w:hAnsi="Book Antiqua" w:hint="eastAsia"/>
                <w:b/>
                <w:sz w:val="24"/>
                <w:szCs w:val="24"/>
                <w:lang w:eastAsia="zh-CN"/>
              </w:rPr>
              <w:t xml:space="preserve"> </w:t>
            </w:r>
            <w:r w:rsidRPr="00452E04">
              <w:rPr>
                <w:rFonts w:ascii="Book Antiqua" w:hAnsi="Book Antiqua"/>
                <w:b/>
                <w:sz w:val="24"/>
                <w:szCs w:val="24"/>
              </w:rPr>
              <w:t>(range), mo</w:t>
            </w:r>
          </w:p>
        </w:tc>
        <w:tc>
          <w:tcPr>
            <w:tcW w:w="2498" w:type="dxa"/>
            <w:tcBorders>
              <w:top w:val="single" w:sz="4" w:space="0" w:color="000000"/>
              <w:left w:val="nil"/>
              <w:bottom w:val="single" w:sz="4" w:space="0" w:color="000000"/>
            </w:tcBorders>
            <w:vAlign w:val="center"/>
          </w:tcPr>
          <w:p w:rsidR="002D0B97" w:rsidRPr="00452E04" w:rsidRDefault="00EC534A" w:rsidP="00452E04">
            <w:pPr>
              <w:snapToGrid w:val="0"/>
              <w:spacing w:line="360" w:lineRule="auto"/>
              <w:jc w:val="center"/>
              <w:rPr>
                <w:rFonts w:ascii="Book Antiqua" w:hAnsi="Book Antiqua"/>
                <w:b/>
                <w:sz w:val="24"/>
                <w:szCs w:val="24"/>
              </w:rPr>
            </w:pPr>
            <w:r w:rsidRPr="00452E04">
              <w:rPr>
                <w:rFonts w:ascii="Book Antiqua" w:hAnsi="Book Antiqua"/>
                <w:b/>
                <w:sz w:val="24"/>
                <w:szCs w:val="24"/>
              </w:rPr>
              <w:t>Doubling time, median</w:t>
            </w:r>
            <w:r w:rsidR="00452E04" w:rsidRPr="00FE6742">
              <w:rPr>
                <w:rFonts w:ascii="Book Antiqua" w:eastAsia="宋体" w:hAnsi="Book Antiqua" w:hint="eastAsia"/>
                <w:b/>
                <w:sz w:val="24"/>
                <w:szCs w:val="24"/>
                <w:lang w:eastAsia="zh-CN"/>
              </w:rPr>
              <w:t xml:space="preserve"> </w:t>
            </w:r>
            <w:r w:rsidRPr="00452E04">
              <w:rPr>
                <w:rFonts w:ascii="Book Antiqua" w:hAnsi="Book Antiqua"/>
                <w:b/>
                <w:sz w:val="24"/>
                <w:szCs w:val="24"/>
              </w:rPr>
              <w:t>(range), mo</w:t>
            </w:r>
          </w:p>
        </w:tc>
      </w:tr>
      <w:tr w:rsidR="00EC534A" w:rsidRPr="00A02038" w:rsidTr="00452E04">
        <w:trPr>
          <w:trHeight w:val="410"/>
        </w:trPr>
        <w:tc>
          <w:tcPr>
            <w:tcW w:w="3521" w:type="dxa"/>
            <w:tcBorders>
              <w:top w:val="single" w:sz="4" w:space="0" w:color="000000"/>
              <w:right w:val="nil"/>
            </w:tcBorders>
            <w:vAlign w:val="center"/>
          </w:tcPr>
          <w:p w:rsidR="002D0B97" w:rsidRPr="00A02038" w:rsidRDefault="00EC534A" w:rsidP="00452E04">
            <w:pPr>
              <w:snapToGrid w:val="0"/>
              <w:spacing w:line="360" w:lineRule="auto"/>
              <w:jc w:val="left"/>
              <w:rPr>
                <w:rFonts w:ascii="Book Antiqua" w:hAnsi="Book Antiqua"/>
                <w:sz w:val="24"/>
                <w:szCs w:val="24"/>
              </w:rPr>
            </w:pPr>
            <w:r w:rsidRPr="00A02038">
              <w:rPr>
                <w:rFonts w:ascii="Book Antiqua" w:hAnsi="Book Antiqua"/>
                <w:sz w:val="24"/>
                <w:szCs w:val="24"/>
              </w:rPr>
              <w:t>Leiomyoma</w:t>
            </w:r>
          </w:p>
        </w:tc>
        <w:tc>
          <w:tcPr>
            <w:tcW w:w="1276" w:type="dxa"/>
            <w:tcBorders>
              <w:top w:val="single" w:sz="4" w:space="0" w:color="000000"/>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5</w:t>
            </w:r>
          </w:p>
        </w:tc>
        <w:tc>
          <w:tcPr>
            <w:tcW w:w="2410" w:type="dxa"/>
            <w:tcBorders>
              <w:top w:val="single" w:sz="4" w:space="0" w:color="000000"/>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47.1</w:t>
            </w:r>
            <w:r w:rsidR="00452E04" w:rsidRPr="00FE6742">
              <w:rPr>
                <w:rFonts w:ascii="Book Antiqua" w:eastAsia="宋体" w:hAnsi="Book Antiqua" w:hint="eastAsia"/>
                <w:sz w:val="24"/>
                <w:szCs w:val="24"/>
                <w:lang w:eastAsia="zh-CN"/>
              </w:rPr>
              <w:t xml:space="preserve"> </w:t>
            </w:r>
            <w:r w:rsidRPr="00A02038">
              <w:rPr>
                <w:rFonts w:ascii="Book Antiqua" w:hAnsi="Book Antiqua"/>
                <w:sz w:val="24"/>
                <w:szCs w:val="24"/>
              </w:rPr>
              <w:t>(10.7-137.2)</w:t>
            </w:r>
          </w:p>
        </w:tc>
        <w:tc>
          <w:tcPr>
            <w:tcW w:w="2498" w:type="dxa"/>
            <w:tcBorders>
              <w:top w:val="single" w:sz="4" w:space="0" w:color="000000"/>
              <w:lef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231.2</w:t>
            </w:r>
            <w:r w:rsidR="00452E04" w:rsidRPr="00FE6742">
              <w:rPr>
                <w:rFonts w:ascii="Book Antiqua" w:eastAsia="宋体" w:hAnsi="Book Antiqua" w:hint="eastAsia"/>
                <w:sz w:val="24"/>
                <w:szCs w:val="24"/>
                <w:lang w:eastAsia="zh-CN"/>
              </w:rPr>
              <w:t xml:space="preserve"> </w:t>
            </w:r>
            <w:r w:rsidRPr="00A02038">
              <w:rPr>
                <w:rFonts w:ascii="Book Antiqua" w:hAnsi="Book Antiqua"/>
                <w:sz w:val="24"/>
                <w:szCs w:val="24"/>
              </w:rPr>
              <w:t>(21.3-1303.8)</w:t>
            </w:r>
          </w:p>
        </w:tc>
      </w:tr>
      <w:tr w:rsidR="00EC534A" w:rsidRPr="00A02038" w:rsidTr="00452E04">
        <w:trPr>
          <w:trHeight w:val="417"/>
        </w:trPr>
        <w:tc>
          <w:tcPr>
            <w:tcW w:w="3521" w:type="dxa"/>
            <w:tcBorders>
              <w:right w:val="nil"/>
            </w:tcBorders>
            <w:vAlign w:val="center"/>
          </w:tcPr>
          <w:p w:rsidR="002D0B97" w:rsidRPr="00A02038" w:rsidRDefault="00EC534A" w:rsidP="00452E04">
            <w:pPr>
              <w:snapToGrid w:val="0"/>
              <w:spacing w:line="360" w:lineRule="auto"/>
              <w:jc w:val="left"/>
              <w:rPr>
                <w:rFonts w:ascii="Book Antiqua" w:hAnsi="Book Antiqua"/>
                <w:sz w:val="24"/>
                <w:szCs w:val="24"/>
              </w:rPr>
            </w:pPr>
            <w:r w:rsidRPr="00A02038">
              <w:rPr>
                <w:rFonts w:ascii="Book Antiqua" w:hAnsi="Book Antiqua"/>
                <w:sz w:val="24"/>
                <w:szCs w:val="24"/>
              </w:rPr>
              <w:t>Schwannoma</w:t>
            </w:r>
          </w:p>
        </w:tc>
        <w:tc>
          <w:tcPr>
            <w:tcW w:w="1276"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w:t>
            </w:r>
          </w:p>
        </w:tc>
        <w:tc>
          <w:tcPr>
            <w:tcW w:w="2410"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50.1</w:t>
            </w:r>
            <w:r w:rsidR="00452E04" w:rsidRPr="00FE6742">
              <w:rPr>
                <w:rFonts w:ascii="Book Antiqua" w:eastAsia="宋体" w:hAnsi="Book Antiqua" w:hint="eastAsia"/>
                <w:sz w:val="24"/>
                <w:szCs w:val="24"/>
                <w:lang w:eastAsia="zh-CN"/>
              </w:rPr>
              <w:t xml:space="preserve"> </w:t>
            </w:r>
            <w:r w:rsidRPr="00A02038">
              <w:rPr>
                <w:rFonts w:ascii="Book Antiqua" w:hAnsi="Book Antiqua"/>
                <w:sz w:val="24"/>
                <w:szCs w:val="24"/>
              </w:rPr>
              <w:t>(24.3-71.7)</w:t>
            </w:r>
          </w:p>
        </w:tc>
        <w:tc>
          <w:tcPr>
            <w:tcW w:w="2498" w:type="dxa"/>
            <w:tcBorders>
              <w:lef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104.7</w:t>
            </w:r>
            <w:r w:rsidR="00452E04" w:rsidRPr="00FE6742">
              <w:rPr>
                <w:rFonts w:ascii="Book Antiqua" w:eastAsia="宋体" w:hAnsi="Book Antiqua" w:hint="eastAsia"/>
                <w:sz w:val="24"/>
                <w:szCs w:val="24"/>
                <w:lang w:eastAsia="zh-CN"/>
              </w:rPr>
              <w:t xml:space="preserve"> </w:t>
            </w:r>
            <w:r w:rsidRPr="00A02038">
              <w:rPr>
                <w:rFonts w:ascii="Book Antiqua" w:hAnsi="Book Antiqua"/>
                <w:sz w:val="24"/>
                <w:szCs w:val="24"/>
              </w:rPr>
              <w:t>(3.9-305.4)</w:t>
            </w:r>
          </w:p>
        </w:tc>
      </w:tr>
      <w:tr w:rsidR="00EC534A" w:rsidRPr="00A02038" w:rsidTr="00452E04">
        <w:trPr>
          <w:trHeight w:val="350"/>
        </w:trPr>
        <w:tc>
          <w:tcPr>
            <w:tcW w:w="3521" w:type="dxa"/>
            <w:tcBorders>
              <w:right w:val="nil"/>
            </w:tcBorders>
            <w:vAlign w:val="center"/>
          </w:tcPr>
          <w:p w:rsidR="002D0B97" w:rsidRPr="00A02038" w:rsidRDefault="00EC534A" w:rsidP="00452E04">
            <w:pPr>
              <w:snapToGrid w:val="0"/>
              <w:spacing w:line="360" w:lineRule="auto"/>
              <w:jc w:val="left"/>
              <w:rPr>
                <w:rFonts w:ascii="Book Antiqua" w:hAnsi="Book Antiqua"/>
                <w:sz w:val="24"/>
                <w:szCs w:val="24"/>
              </w:rPr>
            </w:pPr>
            <w:r w:rsidRPr="00A02038">
              <w:rPr>
                <w:rFonts w:ascii="Book Antiqua" w:hAnsi="Book Antiqua"/>
                <w:sz w:val="24"/>
                <w:szCs w:val="24"/>
              </w:rPr>
              <w:t>Ectopic pancreas</w:t>
            </w:r>
          </w:p>
        </w:tc>
        <w:tc>
          <w:tcPr>
            <w:tcW w:w="1276"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2410"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66.5</w:t>
            </w:r>
          </w:p>
        </w:tc>
        <w:tc>
          <w:tcPr>
            <w:tcW w:w="2498" w:type="dxa"/>
            <w:tcBorders>
              <w:lef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274.9</w:t>
            </w:r>
          </w:p>
        </w:tc>
      </w:tr>
      <w:tr w:rsidR="00EC534A" w:rsidRPr="00A02038" w:rsidTr="00452E04">
        <w:trPr>
          <w:trHeight w:val="315"/>
        </w:trPr>
        <w:tc>
          <w:tcPr>
            <w:tcW w:w="3521" w:type="dxa"/>
            <w:tcBorders>
              <w:right w:val="nil"/>
            </w:tcBorders>
            <w:vAlign w:val="center"/>
          </w:tcPr>
          <w:p w:rsidR="002D0B97" w:rsidRPr="00A02038" w:rsidRDefault="00EC534A" w:rsidP="00452E04">
            <w:pPr>
              <w:snapToGrid w:val="0"/>
              <w:spacing w:line="360" w:lineRule="auto"/>
              <w:jc w:val="left"/>
              <w:rPr>
                <w:rFonts w:ascii="Book Antiqua" w:hAnsi="Book Antiqua"/>
                <w:sz w:val="24"/>
                <w:szCs w:val="24"/>
              </w:rPr>
            </w:pPr>
            <w:r w:rsidRPr="00A02038">
              <w:rPr>
                <w:rFonts w:ascii="Book Antiqua" w:hAnsi="Book Antiqua"/>
                <w:sz w:val="24"/>
                <w:szCs w:val="24"/>
              </w:rPr>
              <w:t>Hamartoma</w:t>
            </w:r>
          </w:p>
        </w:tc>
        <w:tc>
          <w:tcPr>
            <w:tcW w:w="1276"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2410"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99.6</w:t>
            </w:r>
          </w:p>
        </w:tc>
        <w:tc>
          <w:tcPr>
            <w:tcW w:w="2498" w:type="dxa"/>
            <w:tcBorders>
              <w:lef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61.2</w:t>
            </w:r>
          </w:p>
        </w:tc>
      </w:tr>
      <w:tr w:rsidR="00EC534A" w:rsidRPr="00A02038" w:rsidTr="00452E04">
        <w:trPr>
          <w:trHeight w:val="440"/>
        </w:trPr>
        <w:tc>
          <w:tcPr>
            <w:tcW w:w="3521" w:type="dxa"/>
            <w:tcBorders>
              <w:right w:val="nil"/>
            </w:tcBorders>
            <w:vAlign w:val="center"/>
          </w:tcPr>
          <w:p w:rsidR="002D0B97" w:rsidRPr="00A02038" w:rsidRDefault="00EC534A" w:rsidP="00452E04">
            <w:pPr>
              <w:snapToGrid w:val="0"/>
              <w:spacing w:line="360" w:lineRule="auto"/>
              <w:jc w:val="left"/>
              <w:rPr>
                <w:rFonts w:ascii="Book Antiqua" w:hAnsi="Book Antiqua"/>
                <w:sz w:val="24"/>
                <w:szCs w:val="24"/>
              </w:rPr>
            </w:pPr>
            <w:r w:rsidRPr="00A02038">
              <w:rPr>
                <w:rFonts w:ascii="Book Antiqua" w:hAnsi="Book Antiqua"/>
                <w:sz w:val="24"/>
                <w:szCs w:val="24"/>
              </w:rPr>
              <w:t>Intramural developmental cyst</w:t>
            </w:r>
          </w:p>
        </w:tc>
        <w:tc>
          <w:tcPr>
            <w:tcW w:w="1276"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2410" w:type="dxa"/>
            <w:tcBorders>
              <w:left w:val="nil"/>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29.5</w:t>
            </w:r>
          </w:p>
        </w:tc>
        <w:tc>
          <w:tcPr>
            <w:tcW w:w="2498" w:type="dxa"/>
            <w:tcBorders>
              <w:lef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49</w:t>
            </w:r>
          </w:p>
        </w:tc>
      </w:tr>
      <w:tr w:rsidR="00EC534A" w:rsidRPr="00A02038" w:rsidTr="00452E04">
        <w:trPr>
          <w:trHeight w:val="377"/>
        </w:trPr>
        <w:tc>
          <w:tcPr>
            <w:tcW w:w="3521" w:type="dxa"/>
            <w:tcBorders>
              <w:bottom w:val="single" w:sz="4" w:space="0" w:color="000000"/>
              <w:right w:val="nil"/>
            </w:tcBorders>
            <w:vAlign w:val="center"/>
          </w:tcPr>
          <w:p w:rsidR="002D0B97" w:rsidRPr="00A02038" w:rsidRDefault="00EC534A" w:rsidP="00452E04">
            <w:pPr>
              <w:snapToGrid w:val="0"/>
              <w:spacing w:line="360" w:lineRule="auto"/>
              <w:jc w:val="left"/>
              <w:rPr>
                <w:rFonts w:ascii="Book Antiqua" w:hAnsi="Book Antiqua"/>
                <w:sz w:val="24"/>
                <w:szCs w:val="24"/>
              </w:rPr>
            </w:pPr>
            <w:r w:rsidRPr="00A02038">
              <w:rPr>
                <w:rFonts w:ascii="Book Antiqua" w:hAnsi="Book Antiqua"/>
                <w:sz w:val="24"/>
                <w:szCs w:val="24"/>
              </w:rPr>
              <w:t>Brunner’s adenoma</w:t>
            </w:r>
          </w:p>
        </w:tc>
        <w:tc>
          <w:tcPr>
            <w:tcW w:w="1276" w:type="dxa"/>
            <w:tcBorders>
              <w:left w:val="nil"/>
              <w:bottom w:val="single" w:sz="4" w:space="0" w:color="000000"/>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w:t>
            </w:r>
          </w:p>
        </w:tc>
        <w:tc>
          <w:tcPr>
            <w:tcW w:w="2410" w:type="dxa"/>
            <w:tcBorders>
              <w:left w:val="nil"/>
              <w:bottom w:val="single" w:sz="4" w:space="0" w:color="000000"/>
              <w:right w:val="nil"/>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30.6</w:t>
            </w:r>
          </w:p>
        </w:tc>
        <w:tc>
          <w:tcPr>
            <w:tcW w:w="2498" w:type="dxa"/>
            <w:tcBorders>
              <w:left w:val="nil"/>
              <w:bottom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134.7</w:t>
            </w:r>
          </w:p>
        </w:tc>
      </w:tr>
    </w:tbl>
    <w:p w:rsidR="002D0B97" w:rsidRPr="00A02038" w:rsidRDefault="00EC534A" w:rsidP="00971E2B">
      <w:pPr>
        <w:widowControl/>
        <w:snapToGrid w:val="0"/>
        <w:spacing w:line="360" w:lineRule="auto"/>
        <w:rPr>
          <w:rFonts w:ascii="Book Antiqua" w:hAnsi="Book Antiqua"/>
          <w:sz w:val="24"/>
          <w:szCs w:val="24"/>
        </w:rPr>
      </w:pPr>
      <w:r w:rsidRPr="00A02038">
        <w:rPr>
          <w:rFonts w:ascii="Book Antiqua" w:hAnsi="Book Antiqua"/>
          <w:sz w:val="24"/>
          <w:szCs w:val="24"/>
        </w:rPr>
        <w:br w:type="page"/>
      </w:r>
      <w:r w:rsidR="008A3DBF" w:rsidRPr="00A02038">
        <w:rPr>
          <w:rFonts w:ascii="Book Antiqua" w:hAnsi="Book Antiqua"/>
          <w:b/>
          <w:bCs/>
          <w:sz w:val="24"/>
          <w:szCs w:val="24"/>
        </w:rPr>
        <w:lastRenderedPageBreak/>
        <w:t>Table 6</w:t>
      </w:r>
      <w:r w:rsidR="008A3DBF" w:rsidRPr="00FE6742">
        <w:rPr>
          <w:rFonts w:ascii="Book Antiqua" w:eastAsia="宋体" w:hAnsi="Book Antiqua" w:hint="eastAsia"/>
          <w:b/>
          <w:bCs/>
          <w:sz w:val="24"/>
          <w:szCs w:val="24"/>
          <w:lang w:eastAsia="zh-CN"/>
        </w:rPr>
        <w:t xml:space="preserve"> </w:t>
      </w:r>
      <w:r w:rsidR="008A3DBF" w:rsidRPr="00A02038">
        <w:rPr>
          <w:rFonts w:ascii="Book Antiqua" w:hAnsi="Book Antiqua"/>
          <w:b/>
          <w:bCs/>
          <w:sz w:val="24"/>
          <w:szCs w:val="24"/>
        </w:rPr>
        <w:t>Comparison according to diagnosis</w:t>
      </w:r>
    </w:p>
    <w:tbl>
      <w:tblPr>
        <w:tblW w:w="10230" w:type="dxa"/>
        <w:tblInd w:w="-856" w:type="dxa"/>
        <w:tblBorders>
          <w:top w:val="single" w:sz="4" w:space="0" w:color="000000"/>
          <w:bottom w:val="single" w:sz="4" w:space="0" w:color="000000"/>
        </w:tblBorders>
        <w:tblLayout w:type="fixed"/>
        <w:tblCellMar>
          <w:left w:w="15" w:type="dxa"/>
          <w:right w:w="15" w:type="dxa"/>
        </w:tblCellMar>
        <w:tblLook w:val="04A0" w:firstRow="1" w:lastRow="0" w:firstColumn="1" w:lastColumn="0" w:noHBand="0" w:noVBand="1"/>
      </w:tblPr>
      <w:tblGrid>
        <w:gridCol w:w="5732"/>
        <w:gridCol w:w="3361"/>
        <w:gridCol w:w="1137"/>
      </w:tblGrid>
      <w:tr w:rsidR="00EC534A" w:rsidRPr="00A02038" w:rsidTr="008A3DBF">
        <w:trPr>
          <w:trHeight w:val="408"/>
        </w:trPr>
        <w:tc>
          <w:tcPr>
            <w:tcW w:w="5732" w:type="dxa"/>
            <w:tcBorders>
              <w:top w:val="single" w:sz="4" w:space="0" w:color="000000"/>
              <w:bottom w:val="single" w:sz="4" w:space="0" w:color="000000"/>
            </w:tcBorders>
            <w:vAlign w:val="center"/>
          </w:tcPr>
          <w:p w:rsidR="002D0B97" w:rsidRPr="00A02038" w:rsidRDefault="002D0B97" w:rsidP="00971E2B">
            <w:pPr>
              <w:snapToGrid w:val="0"/>
              <w:spacing w:line="360" w:lineRule="auto"/>
              <w:rPr>
                <w:rFonts w:ascii="Book Antiqua" w:hAnsi="Book Antiqua"/>
                <w:sz w:val="24"/>
                <w:szCs w:val="24"/>
              </w:rPr>
            </w:pPr>
          </w:p>
        </w:tc>
        <w:tc>
          <w:tcPr>
            <w:tcW w:w="3361" w:type="dxa"/>
            <w:tcBorders>
              <w:top w:val="single" w:sz="4" w:space="0" w:color="000000"/>
              <w:bottom w:val="single" w:sz="4" w:space="0" w:color="000000"/>
            </w:tcBorders>
            <w:vAlign w:val="center"/>
          </w:tcPr>
          <w:p w:rsidR="002D0B97" w:rsidRPr="00FE6742" w:rsidRDefault="00EC534A" w:rsidP="008A3DBF">
            <w:pPr>
              <w:snapToGrid w:val="0"/>
              <w:spacing w:line="360" w:lineRule="auto"/>
              <w:jc w:val="center"/>
              <w:rPr>
                <w:rFonts w:ascii="Book Antiqua" w:eastAsia="宋体" w:hAnsi="Book Antiqua"/>
                <w:b/>
                <w:sz w:val="24"/>
                <w:szCs w:val="24"/>
                <w:lang w:eastAsia="zh-CN"/>
              </w:rPr>
            </w:pPr>
            <w:r w:rsidRPr="008A3DBF">
              <w:rPr>
                <w:rFonts w:ascii="Book Antiqua" w:hAnsi="Book Antiqua"/>
                <w:b/>
                <w:sz w:val="24"/>
                <w:szCs w:val="24"/>
              </w:rPr>
              <w:t>Doubling time</w:t>
            </w:r>
            <w:r w:rsidR="008A3DBF" w:rsidRPr="00FE6742">
              <w:rPr>
                <w:rFonts w:ascii="Book Antiqua" w:eastAsia="宋体" w:hAnsi="Book Antiqua" w:hint="eastAsia"/>
                <w:b/>
                <w:sz w:val="24"/>
                <w:szCs w:val="24"/>
                <w:lang w:eastAsia="zh-CN"/>
              </w:rPr>
              <w:t xml:space="preserve"> (</w:t>
            </w:r>
            <w:r w:rsidR="008A3DBF" w:rsidRPr="008A3DBF">
              <w:rPr>
                <w:rFonts w:ascii="Book Antiqua" w:hAnsi="Book Antiqua"/>
                <w:b/>
                <w:sz w:val="24"/>
                <w:szCs w:val="24"/>
              </w:rPr>
              <w:t>mo</w:t>
            </w:r>
            <w:r w:rsidR="008A3DBF" w:rsidRPr="00FE6742">
              <w:rPr>
                <w:rFonts w:ascii="Book Antiqua" w:eastAsia="宋体" w:hAnsi="Book Antiqua" w:hint="eastAsia"/>
                <w:b/>
                <w:sz w:val="24"/>
                <w:szCs w:val="24"/>
                <w:lang w:eastAsia="zh-CN"/>
              </w:rPr>
              <w:t>)</w:t>
            </w:r>
            <w:r w:rsidR="008A3DBF">
              <w:rPr>
                <w:rFonts w:ascii="Book Antiqua" w:hAnsi="Book Antiqua"/>
                <w:b/>
                <w:sz w:val="24"/>
                <w:szCs w:val="24"/>
              </w:rPr>
              <w:t>, median</w:t>
            </w:r>
          </w:p>
        </w:tc>
        <w:tc>
          <w:tcPr>
            <w:tcW w:w="1137" w:type="dxa"/>
            <w:tcBorders>
              <w:top w:val="single" w:sz="4" w:space="0" w:color="000000"/>
              <w:bottom w:val="single" w:sz="4" w:space="0" w:color="000000"/>
            </w:tcBorders>
            <w:vAlign w:val="center"/>
          </w:tcPr>
          <w:p w:rsidR="002D0B97" w:rsidRPr="008A3DBF" w:rsidRDefault="00EC534A" w:rsidP="00971E2B">
            <w:pPr>
              <w:snapToGrid w:val="0"/>
              <w:spacing w:line="360" w:lineRule="auto"/>
              <w:jc w:val="center"/>
              <w:rPr>
                <w:rFonts w:ascii="Book Antiqua" w:hAnsi="Book Antiqua"/>
                <w:b/>
                <w:sz w:val="24"/>
                <w:szCs w:val="24"/>
              </w:rPr>
            </w:pPr>
            <w:r w:rsidRPr="008A3DBF">
              <w:rPr>
                <w:rFonts w:ascii="Book Antiqua" w:hAnsi="Book Antiqua"/>
                <w:b/>
                <w:i/>
                <w:sz w:val="24"/>
                <w:szCs w:val="24"/>
              </w:rPr>
              <w:t>P</w:t>
            </w:r>
            <w:r w:rsidRPr="008A3DBF">
              <w:rPr>
                <w:rFonts w:ascii="Book Antiqua" w:hAnsi="Book Antiqua"/>
                <w:b/>
                <w:sz w:val="24"/>
                <w:szCs w:val="24"/>
              </w:rPr>
              <w:t xml:space="preserve"> value</w:t>
            </w:r>
          </w:p>
        </w:tc>
      </w:tr>
      <w:tr w:rsidR="00EC534A" w:rsidRPr="00A02038" w:rsidTr="008A3DBF">
        <w:trPr>
          <w:trHeight w:val="524"/>
        </w:trPr>
        <w:tc>
          <w:tcPr>
            <w:tcW w:w="5732" w:type="dxa"/>
            <w:tcBorders>
              <w:top w:val="single" w:sz="4" w:space="0" w:color="000000"/>
            </w:tcBorders>
            <w:vAlign w:val="center"/>
          </w:tcPr>
          <w:p w:rsidR="002D0B97" w:rsidRPr="00A02038" w:rsidRDefault="00EC534A" w:rsidP="008A3DBF">
            <w:pPr>
              <w:snapToGrid w:val="0"/>
              <w:spacing w:line="360" w:lineRule="auto"/>
              <w:rPr>
                <w:rFonts w:ascii="Book Antiqua" w:hAnsi="Book Antiqua"/>
                <w:sz w:val="24"/>
                <w:szCs w:val="24"/>
              </w:rPr>
            </w:pPr>
            <w:r w:rsidRPr="00A02038">
              <w:rPr>
                <w:rFonts w:ascii="Book Antiqua" w:hAnsi="Book Antiqua"/>
                <w:sz w:val="24"/>
                <w:szCs w:val="24"/>
              </w:rPr>
              <w:t xml:space="preserve">GIST </w:t>
            </w:r>
            <w:r w:rsidRPr="008A3DBF">
              <w:rPr>
                <w:rFonts w:ascii="Book Antiqua" w:hAnsi="Book Antiqua"/>
                <w:i/>
                <w:sz w:val="24"/>
                <w:szCs w:val="24"/>
              </w:rPr>
              <w:t>vs</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Leiomyoma</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w:t>
            </w:r>
            <w:r w:rsidR="008A3DBF" w:rsidRPr="00FE6742">
              <w:rPr>
                <w:rFonts w:ascii="Book Antiqua" w:eastAsia="宋体" w:hAnsi="Book Antiqua" w:hint="eastAsia"/>
                <w:sz w:val="24"/>
                <w:szCs w:val="24"/>
                <w:lang w:eastAsia="zh-CN"/>
              </w:rPr>
              <w:t xml:space="preserve"> </w:t>
            </w:r>
            <w:r w:rsidR="008A3DBF" w:rsidRPr="00A02038">
              <w:rPr>
                <w:rFonts w:ascii="Book Antiqua" w:hAnsi="Book Antiqua"/>
                <w:sz w:val="24"/>
                <w:szCs w:val="24"/>
              </w:rPr>
              <w:t>s</w:t>
            </w:r>
            <w:r w:rsidRPr="00A02038">
              <w:rPr>
                <w:rFonts w:ascii="Book Antiqua" w:hAnsi="Book Antiqua"/>
                <w:sz w:val="24"/>
                <w:szCs w:val="24"/>
              </w:rPr>
              <w:t>chwannoma</w:t>
            </w:r>
          </w:p>
        </w:tc>
        <w:tc>
          <w:tcPr>
            <w:tcW w:w="3361" w:type="dxa"/>
            <w:tcBorders>
              <w:top w:val="single" w:sz="4" w:space="0" w:color="000000"/>
            </w:tcBorders>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 xml:space="preserve">17.2 </w:t>
            </w:r>
            <w:r w:rsidR="008A3DBF" w:rsidRPr="008A3DBF">
              <w:rPr>
                <w:rFonts w:ascii="Book Antiqua" w:hAnsi="Book Antiqua"/>
                <w:i/>
                <w:sz w:val="24"/>
                <w:szCs w:val="24"/>
              </w:rPr>
              <w:t>vs</w:t>
            </w:r>
            <w:r w:rsidRPr="00A02038">
              <w:rPr>
                <w:rFonts w:ascii="Book Antiqua" w:hAnsi="Book Antiqua"/>
                <w:sz w:val="24"/>
                <w:szCs w:val="24"/>
              </w:rPr>
              <w:t xml:space="preserve"> 204.2</w:t>
            </w:r>
          </w:p>
        </w:tc>
        <w:tc>
          <w:tcPr>
            <w:tcW w:w="1137" w:type="dxa"/>
            <w:tcBorders>
              <w:top w:val="single" w:sz="4" w:space="0" w:color="000000"/>
            </w:tcBorders>
            <w:vAlign w:val="center"/>
          </w:tcPr>
          <w:p w:rsidR="002D0B97" w:rsidRPr="00FE6742" w:rsidRDefault="008A3DBF" w:rsidP="00971E2B">
            <w:pPr>
              <w:snapToGrid w:val="0"/>
              <w:spacing w:line="360" w:lineRule="auto"/>
              <w:jc w:val="center"/>
              <w:rPr>
                <w:rFonts w:ascii="Book Antiqua" w:eastAsia="宋体" w:hAnsi="Book Antiqua"/>
                <w:sz w:val="24"/>
                <w:szCs w:val="24"/>
                <w:lang w:eastAsia="zh-CN"/>
              </w:rPr>
            </w:pPr>
            <w:r>
              <w:rPr>
                <w:rFonts w:ascii="Book Antiqua" w:hAnsi="Book Antiqua"/>
                <w:sz w:val="24"/>
                <w:szCs w:val="24"/>
              </w:rPr>
              <w:t>0.005</w:t>
            </w:r>
          </w:p>
        </w:tc>
      </w:tr>
      <w:tr w:rsidR="00EC534A" w:rsidRPr="00A02038" w:rsidTr="008A3DBF">
        <w:trPr>
          <w:trHeight w:val="559"/>
        </w:trPr>
        <w:tc>
          <w:tcPr>
            <w:tcW w:w="5732" w:type="dxa"/>
            <w:vAlign w:val="center"/>
          </w:tcPr>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 xml:space="preserve">High risk </w:t>
            </w:r>
            <w:r w:rsidR="008A3DBF" w:rsidRPr="008A3DBF">
              <w:rPr>
                <w:rFonts w:ascii="Book Antiqua" w:hAnsi="Book Antiqua"/>
                <w:i/>
                <w:sz w:val="24"/>
                <w:szCs w:val="24"/>
              </w:rPr>
              <w:t>vs</w:t>
            </w:r>
            <w:r w:rsidRPr="00A02038">
              <w:rPr>
                <w:rFonts w:ascii="Book Antiqua" w:hAnsi="Book Antiqua"/>
                <w:sz w:val="24"/>
                <w:szCs w:val="24"/>
              </w:rPr>
              <w:t xml:space="preserve"> Intermediate risk</w:t>
            </w:r>
          </w:p>
        </w:tc>
        <w:tc>
          <w:tcPr>
            <w:tcW w:w="3361" w:type="dxa"/>
            <w:vAlign w:val="center"/>
          </w:tcPr>
          <w:p w:rsidR="002D0B97" w:rsidRPr="00A02038" w:rsidRDefault="00EC534A" w:rsidP="008A3DBF">
            <w:pPr>
              <w:snapToGrid w:val="0"/>
              <w:spacing w:line="360" w:lineRule="auto"/>
              <w:jc w:val="center"/>
              <w:rPr>
                <w:rFonts w:ascii="Book Antiqua" w:hAnsi="Book Antiqua"/>
                <w:sz w:val="24"/>
                <w:szCs w:val="24"/>
              </w:rPr>
            </w:pPr>
            <w:r w:rsidRPr="00A02038">
              <w:rPr>
                <w:rFonts w:ascii="Book Antiqua" w:hAnsi="Book Antiqua"/>
                <w:sz w:val="24"/>
                <w:szCs w:val="24"/>
              </w:rPr>
              <w:t xml:space="preserve">3.9 </w:t>
            </w:r>
            <w:r w:rsidR="008A3DBF" w:rsidRPr="008A3DBF">
              <w:rPr>
                <w:rFonts w:ascii="Book Antiqua" w:hAnsi="Book Antiqua"/>
                <w:i/>
                <w:sz w:val="24"/>
                <w:szCs w:val="24"/>
              </w:rPr>
              <w:t>vs</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17.1</w:t>
            </w:r>
          </w:p>
        </w:tc>
        <w:tc>
          <w:tcPr>
            <w:tcW w:w="1137"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0.127</w:t>
            </w:r>
          </w:p>
        </w:tc>
      </w:tr>
      <w:tr w:rsidR="00EC534A" w:rsidRPr="00A02038" w:rsidTr="008A3DBF">
        <w:trPr>
          <w:trHeight w:val="425"/>
        </w:trPr>
        <w:tc>
          <w:tcPr>
            <w:tcW w:w="5732" w:type="dxa"/>
            <w:vAlign w:val="center"/>
          </w:tcPr>
          <w:p w:rsidR="002D0B97" w:rsidRPr="00A02038" w:rsidRDefault="00EC534A" w:rsidP="008A3DBF">
            <w:pPr>
              <w:snapToGrid w:val="0"/>
              <w:spacing w:line="360" w:lineRule="auto"/>
              <w:rPr>
                <w:rFonts w:ascii="Book Antiqua" w:hAnsi="Book Antiqua"/>
                <w:sz w:val="24"/>
                <w:szCs w:val="24"/>
              </w:rPr>
            </w:pPr>
            <w:r w:rsidRPr="00A02038">
              <w:rPr>
                <w:rFonts w:ascii="Book Antiqua" w:hAnsi="Book Antiqua"/>
                <w:sz w:val="24"/>
                <w:szCs w:val="24"/>
              </w:rPr>
              <w:t xml:space="preserve">Intermediate risk </w:t>
            </w:r>
            <w:r w:rsidR="008A3DBF" w:rsidRPr="008A3DBF">
              <w:rPr>
                <w:rFonts w:ascii="Book Antiqua" w:hAnsi="Book Antiqua"/>
                <w:i/>
                <w:sz w:val="24"/>
                <w:szCs w:val="24"/>
              </w:rPr>
              <w:t>vs</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Extremely low</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low risk</w:t>
            </w:r>
          </w:p>
        </w:tc>
        <w:tc>
          <w:tcPr>
            <w:tcW w:w="3361"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 xml:space="preserve">17.1 </w:t>
            </w:r>
            <w:r w:rsidR="008A3DBF" w:rsidRPr="008A3DBF">
              <w:rPr>
                <w:rFonts w:ascii="Book Antiqua" w:hAnsi="Book Antiqua"/>
                <w:i/>
                <w:sz w:val="24"/>
                <w:szCs w:val="24"/>
              </w:rPr>
              <w:t>vs</w:t>
            </w:r>
            <w:r w:rsidRPr="00A02038">
              <w:rPr>
                <w:rFonts w:ascii="Book Antiqua" w:hAnsi="Book Antiqua"/>
                <w:sz w:val="24"/>
                <w:szCs w:val="24"/>
              </w:rPr>
              <w:t xml:space="preserve"> 24.0</w:t>
            </w:r>
          </w:p>
        </w:tc>
        <w:tc>
          <w:tcPr>
            <w:tcW w:w="1137"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0.423</w:t>
            </w:r>
          </w:p>
        </w:tc>
      </w:tr>
      <w:tr w:rsidR="00EC534A" w:rsidRPr="00A02038" w:rsidTr="008A3DBF">
        <w:trPr>
          <w:trHeight w:val="561"/>
        </w:trPr>
        <w:tc>
          <w:tcPr>
            <w:tcW w:w="5732" w:type="dxa"/>
            <w:vAlign w:val="center"/>
          </w:tcPr>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 xml:space="preserve">High risk </w:t>
            </w:r>
            <w:r w:rsidR="008A3DBF" w:rsidRPr="008A3DBF">
              <w:rPr>
                <w:rFonts w:ascii="Book Antiqua" w:hAnsi="Book Antiqua"/>
                <w:i/>
                <w:sz w:val="24"/>
                <w:szCs w:val="24"/>
              </w:rPr>
              <w:t>vs</w:t>
            </w:r>
            <w:r w:rsidRPr="00A02038">
              <w:rPr>
                <w:rFonts w:ascii="Book Antiqua" w:hAnsi="Book Antiqua"/>
                <w:sz w:val="24"/>
                <w:szCs w:val="24"/>
              </w:rPr>
              <w:t xml:space="preserve"> Extremely low</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low risk</w:t>
            </w:r>
          </w:p>
        </w:tc>
        <w:tc>
          <w:tcPr>
            <w:tcW w:w="3361"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 xml:space="preserve">3.9 </w:t>
            </w:r>
            <w:r w:rsidR="008A3DBF" w:rsidRPr="008A3DBF">
              <w:rPr>
                <w:rFonts w:ascii="Book Antiqua" w:hAnsi="Book Antiqua"/>
                <w:i/>
                <w:sz w:val="24"/>
                <w:szCs w:val="24"/>
              </w:rPr>
              <w:t>vs</w:t>
            </w:r>
            <w:r w:rsidRPr="00A02038">
              <w:rPr>
                <w:rFonts w:ascii="Book Antiqua" w:hAnsi="Book Antiqua"/>
                <w:sz w:val="24"/>
                <w:szCs w:val="24"/>
              </w:rPr>
              <w:t xml:space="preserve"> 24.0</w:t>
            </w:r>
          </w:p>
        </w:tc>
        <w:tc>
          <w:tcPr>
            <w:tcW w:w="1137" w:type="dxa"/>
            <w:vAlign w:val="center"/>
          </w:tcPr>
          <w:p w:rsidR="002D0B97" w:rsidRPr="00FE6742" w:rsidRDefault="008A3DBF" w:rsidP="00971E2B">
            <w:pPr>
              <w:snapToGrid w:val="0"/>
              <w:spacing w:line="360" w:lineRule="auto"/>
              <w:jc w:val="center"/>
              <w:rPr>
                <w:rFonts w:ascii="Book Antiqua" w:eastAsia="宋体" w:hAnsi="Book Antiqua"/>
                <w:sz w:val="24"/>
                <w:szCs w:val="24"/>
                <w:lang w:eastAsia="zh-CN"/>
              </w:rPr>
            </w:pPr>
            <w:r>
              <w:rPr>
                <w:rFonts w:ascii="Book Antiqua" w:hAnsi="Book Antiqua"/>
                <w:sz w:val="24"/>
                <w:szCs w:val="24"/>
              </w:rPr>
              <w:t>0.033</w:t>
            </w:r>
          </w:p>
        </w:tc>
      </w:tr>
      <w:tr w:rsidR="00EC534A" w:rsidRPr="00A02038" w:rsidTr="008A3DBF">
        <w:trPr>
          <w:trHeight w:val="413"/>
        </w:trPr>
        <w:tc>
          <w:tcPr>
            <w:tcW w:w="5732" w:type="dxa"/>
            <w:vAlign w:val="center"/>
          </w:tcPr>
          <w:p w:rsidR="002D0B97" w:rsidRPr="00A02038" w:rsidRDefault="00EC534A" w:rsidP="00971E2B">
            <w:pPr>
              <w:snapToGrid w:val="0"/>
              <w:spacing w:line="360" w:lineRule="auto"/>
              <w:rPr>
                <w:rFonts w:ascii="Book Antiqua" w:hAnsi="Book Antiqua"/>
                <w:sz w:val="24"/>
                <w:szCs w:val="24"/>
              </w:rPr>
            </w:pPr>
            <w:r w:rsidRPr="00A02038">
              <w:rPr>
                <w:rFonts w:ascii="Book Antiqua" w:hAnsi="Book Antiqua"/>
                <w:sz w:val="24"/>
                <w:szCs w:val="24"/>
              </w:rPr>
              <w:t>High</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w:t>
            </w:r>
            <w:r w:rsidR="008A3DBF" w:rsidRPr="00FE6742">
              <w:rPr>
                <w:rFonts w:ascii="Book Antiqua" w:eastAsia="宋体" w:hAnsi="Book Antiqua" w:hint="eastAsia"/>
                <w:sz w:val="24"/>
                <w:szCs w:val="24"/>
                <w:lang w:eastAsia="zh-CN"/>
              </w:rPr>
              <w:t xml:space="preserve"> </w:t>
            </w:r>
            <w:r w:rsidR="008A3DBF" w:rsidRPr="00A02038">
              <w:rPr>
                <w:rFonts w:ascii="Book Antiqua" w:hAnsi="Book Antiqua"/>
                <w:sz w:val="24"/>
                <w:szCs w:val="24"/>
              </w:rPr>
              <w:t>i</w:t>
            </w:r>
            <w:r w:rsidRPr="00A02038">
              <w:rPr>
                <w:rFonts w:ascii="Book Antiqua" w:hAnsi="Book Antiqua"/>
                <w:sz w:val="24"/>
                <w:szCs w:val="24"/>
              </w:rPr>
              <w:t xml:space="preserve">ntermediate risk </w:t>
            </w:r>
            <w:r w:rsidR="008A3DBF" w:rsidRPr="008A3DBF">
              <w:rPr>
                <w:rFonts w:ascii="Book Antiqua" w:hAnsi="Book Antiqua"/>
                <w:i/>
                <w:sz w:val="24"/>
                <w:szCs w:val="24"/>
              </w:rPr>
              <w:t>vs</w:t>
            </w:r>
            <w:r w:rsidRPr="00A02038">
              <w:rPr>
                <w:rFonts w:ascii="Book Antiqua" w:hAnsi="Book Antiqua"/>
                <w:sz w:val="24"/>
                <w:szCs w:val="24"/>
              </w:rPr>
              <w:t xml:space="preserve"> Extremely low</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w:t>
            </w:r>
            <w:r w:rsidR="008A3DBF" w:rsidRPr="00FE6742">
              <w:rPr>
                <w:rFonts w:ascii="Book Antiqua" w:eastAsia="宋体" w:hAnsi="Book Antiqua" w:hint="eastAsia"/>
                <w:sz w:val="24"/>
                <w:szCs w:val="24"/>
                <w:lang w:eastAsia="zh-CN"/>
              </w:rPr>
              <w:t xml:space="preserve"> </w:t>
            </w:r>
            <w:r w:rsidRPr="00A02038">
              <w:rPr>
                <w:rFonts w:ascii="Book Antiqua" w:hAnsi="Book Antiqua"/>
                <w:sz w:val="24"/>
                <w:szCs w:val="24"/>
              </w:rPr>
              <w:t>low risk</w:t>
            </w:r>
          </w:p>
        </w:tc>
        <w:tc>
          <w:tcPr>
            <w:tcW w:w="3361" w:type="dxa"/>
            <w:vAlign w:val="center"/>
          </w:tcPr>
          <w:p w:rsidR="002D0B97" w:rsidRPr="00A02038" w:rsidRDefault="00EC534A" w:rsidP="00971E2B">
            <w:pPr>
              <w:snapToGrid w:val="0"/>
              <w:spacing w:line="360" w:lineRule="auto"/>
              <w:jc w:val="center"/>
              <w:rPr>
                <w:rFonts w:ascii="Book Antiqua" w:hAnsi="Book Antiqua"/>
                <w:sz w:val="24"/>
                <w:szCs w:val="24"/>
              </w:rPr>
            </w:pPr>
            <w:r w:rsidRPr="00A02038">
              <w:rPr>
                <w:rFonts w:ascii="Book Antiqua" w:hAnsi="Book Antiqua"/>
                <w:sz w:val="24"/>
                <w:szCs w:val="24"/>
              </w:rPr>
              <w:t xml:space="preserve">8.2 </w:t>
            </w:r>
            <w:r w:rsidR="008A3DBF" w:rsidRPr="008A3DBF">
              <w:rPr>
                <w:rFonts w:ascii="Book Antiqua" w:hAnsi="Book Antiqua"/>
                <w:i/>
                <w:sz w:val="24"/>
                <w:szCs w:val="24"/>
              </w:rPr>
              <w:t>vs</w:t>
            </w:r>
            <w:r w:rsidRPr="00A02038">
              <w:rPr>
                <w:rFonts w:ascii="Book Antiqua" w:hAnsi="Book Antiqua"/>
                <w:sz w:val="24"/>
                <w:szCs w:val="24"/>
              </w:rPr>
              <w:t xml:space="preserve"> 24.0</w:t>
            </w:r>
          </w:p>
        </w:tc>
        <w:tc>
          <w:tcPr>
            <w:tcW w:w="1137" w:type="dxa"/>
            <w:vAlign w:val="center"/>
          </w:tcPr>
          <w:p w:rsidR="002D0B97" w:rsidRPr="00FE6742" w:rsidRDefault="008A3DBF" w:rsidP="008A3DBF">
            <w:pPr>
              <w:snapToGrid w:val="0"/>
              <w:spacing w:line="360" w:lineRule="auto"/>
              <w:jc w:val="center"/>
              <w:rPr>
                <w:rFonts w:ascii="Book Antiqua" w:eastAsia="宋体" w:hAnsi="Book Antiqua"/>
                <w:sz w:val="24"/>
                <w:szCs w:val="24"/>
                <w:lang w:eastAsia="zh-CN"/>
              </w:rPr>
            </w:pPr>
            <w:r>
              <w:rPr>
                <w:rFonts w:ascii="Book Antiqua" w:hAnsi="Book Antiqua"/>
                <w:sz w:val="24"/>
                <w:szCs w:val="24"/>
              </w:rPr>
              <w:t>0.047</w:t>
            </w:r>
          </w:p>
        </w:tc>
      </w:tr>
    </w:tbl>
    <w:p w:rsidR="002D0B97" w:rsidRPr="00FE6742" w:rsidRDefault="008A3DBF" w:rsidP="00971E2B">
      <w:pPr>
        <w:snapToGrid w:val="0"/>
        <w:spacing w:line="360" w:lineRule="auto"/>
        <w:rPr>
          <w:rFonts w:ascii="Book Antiqua" w:eastAsia="宋体" w:hAnsi="Book Antiqua"/>
          <w:sz w:val="24"/>
          <w:szCs w:val="24"/>
          <w:lang w:eastAsia="zh-CN"/>
        </w:rPr>
      </w:pPr>
      <w:r w:rsidRPr="00A144C1">
        <w:rPr>
          <w:rFonts w:ascii="Book Antiqua" w:hAnsi="Book Antiqua"/>
          <w:sz w:val="24"/>
          <w:szCs w:val="24"/>
        </w:rPr>
        <w:t>GIST:</w:t>
      </w:r>
      <w:r w:rsidRPr="00A144C1">
        <w:rPr>
          <w:rFonts w:ascii="Book Antiqua" w:hAnsi="Book Antiqua"/>
          <w:caps/>
          <w:sz w:val="24"/>
          <w:szCs w:val="24"/>
        </w:rPr>
        <w:t xml:space="preserve"> g</w:t>
      </w:r>
      <w:r w:rsidRPr="00A144C1">
        <w:rPr>
          <w:rFonts w:ascii="Book Antiqua" w:hAnsi="Book Antiqua"/>
          <w:sz w:val="24"/>
          <w:szCs w:val="24"/>
        </w:rPr>
        <w:t>astrointestinal submucosal tumors</w:t>
      </w:r>
      <w:r w:rsidRPr="00FE6742">
        <w:rPr>
          <w:rFonts w:ascii="Book Antiqua" w:eastAsia="宋体" w:hAnsi="Book Antiqua" w:hint="eastAsia"/>
          <w:sz w:val="24"/>
          <w:szCs w:val="24"/>
          <w:lang w:eastAsia="zh-CN"/>
        </w:rPr>
        <w:t>.</w:t>
      </w:r>
    </w:p>
    <w:sectPr w:rsidR="002D0B97" w:rsidRPr="00FE6742">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97"/>
    <w:rsid w:val="000061A5"/>
    <w:rsid w:val="00053820"/>
    <w:rsid w:val="00132B48"/>
    <w:rsid w:val="001676F1"/>
    <w:rsid w:val="0025496F"/>
    <w:rsid w:val="00285443"/>
    <w:rsid w:val="002D0B97"/>
    <w:rsid w:val="00452E04"/>
    <w:rsid w:val="004D0D7D"/>
    <w:rsid w:val="005E1F78"/>
    <w:rsid w:val="005E3283"/>
    <w:rsid w:val="006A426E"/>
    <w:rsid w:val="006F11B3"/>
    <w:rsid w:val="00712F3E"/>
    <w:rsid w:val="00790998"/>
    <w:rsid w:val="0086453F"/>
    <w:rsid w:val="00876BFF"/>
    <w:rsid w:val="008A3DBF"/>
    <w:rsid w:val="008B19CF"/>
    <w:rsid w:val="00915FB8"/>
    <w:rsid w:val="00971E2B"/>
    <w:rsid w:val="00A02038"/>
    <w:rsid w:val="00A144C1"/>
    <w:rsid w:val="00AB0308"/>
    <w:rsid w:val="00B6133B"/>
    <w:rsid w:val="00B93D97"/>
    <w:rsid w:val="00DE429C"/>
    <w:rsid w:val="00E13F56"/>
    <w:rsid w:val="00E446C7"/>
    <w:rsid w:val="00E45596"/>
    <w:rsid w:val="00EC534A"/>
    <w:rsid w:val="00EF0A0C"/>
    <w:rsid w:val="00F8085F"/>
    <w:rsid w:val="00FA26C4"/>
    <w:rsid w:val="00FA6C84"/>
    <w:rsid w:val="00FC1F4A"/>
    <w:rsid w:val="00FC7C4C"/>
    <w:rsid w:val="00FE6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MS Mincho" w:hAnsi="Century"/>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unhideWhenUsed/>
    <w:pPr>
      <w:tabs>
        <w:tab w:val="center" w:pos="4252"/>
        <w:tab w:val="right" w:pos="8504"/>
      </w:tabs>
      <w:snapToGrid w:val="0"/>
    </w:pPr>
  </w:style>
  <w:style w:type="paragraph" w:styleId="CommentText">
    <w:name w:val="annotation text"/>
    <w:basedOn w:val="Normal"/>
    <w:link w:val="CommentTextChar"/>
    <w:uiPriority w:val="99"/>
    <w:unhideWhenUsed/>
    <w:pPr>
      <w:widowControl/>
      <w:spacing w:line="276" w:lineRule="auto"/>
      <w:jc w:val="left"/>
    </w:pPr>
    <w:rPr>
      <w:rFonts w:ascii="Arial" w:eastAsia="宋体" w:hAnsi="Arial" w:cs="Arial"/>
      <w:color w:val="000000"/>
      <w:kern w:val="0"/>
      <w:sz w:val="22"/>
      <w:szCs w:val="20"/>
    </w:rPr>
  </w:style>
  <w:style w:type="paragraph" w:styleId="CommentSubject">
    <w:name w:val="annotation subject"/>
    <w:basedOn w:val="CommentText"/>
    <w:next w:val="CommentText"/>
    <w:link w:val="CommentSubjectChar"/>
    <w:semiHidden/>
    <w:unhideWhenUsed/>
    <w:pPr>
      <w:widowControl w:val="0"/>
      <w:spacing w:line="240" w:lineRule="auto"/>
    </w:pPr>
    <w:rPr>
      <w:rFonts w:ascii="Century" w:eastAsia="MS Mincho" w:hAnsi="Century" w:cs="Times New Roman"/>
      <w:b/>
      <w:bCs/>
      <w:color w:val="auto"/>
      <w:kern w:val="2"/>
      <w:sz w:val="21"/>
      <w:szCs w:val="22"/>
    </w:rPr>
  </w:style>
  <w:style w:type="paragraph" w:styleId="BalloonText">
    <w:name w:val="Balloon Text"/>
    <w:basedOn w:val="Normal"/>
    <w:link w:val="BalloonTextChar"/>
    <w:semiHidden/>
    <w:unhideWhenUsed/>
    <w:rPr>
      <w:sz w:val="18"/>
      <w:szCs w:val="18"/>
    </w:rPr>
  </w:style>
  <w:style w:type="character" w:styleId="PageNumber">
    <w:name w:val="page number"/>
    <w:basedOn w:val="DefaultParagraphFont"/>
    <w:semiHidden/>
    <w:unhideWhenUsed/>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21"/>
      <w:szCs w:val="21"/>
    </w:rPr>
  </w:style>
  <w:style w:type="paragraph" w:customStyle="1" w:styleId="1">
    <w:name w:val="正文1"/>
    <w:uiPriority w:val="99"/>
    <w:pPr>
      <w:spacing w:line="276" w:lineRule="auto"/>
    </w:pPr>
    <w:rPr>
      <w:rFonts w:ascii="Arial" w:hAnsi="Arial" w:cs="Arial"/>
      <w:color w:val="000000"/>
      <w:sz w:val="22"/>
    </w:rPr>
  </w:style>
  <w:style w:type="paragraph" w:customStyle="1" w:styleId="10">
    <w:name w:val="修订1"/>
    <w:hidden/>
    <w:uiPriority w:val="99"/>
    <w:semiHidden/>
    <w:rPr>
      <w:rFonts w:ascii="Century" w:eastAsia="MS Mincho" w:hAnsi="Century"/>
      <w:kern w:val="2"/>
      <w:sz w:val="21"/>
      <w:szCs w:val="22"/>
      <w:lang w:eastAsia="ja-JP"/>
    </w:rPr>
  </w:style>
  <w:style w:type="character" w:customStyle="1" w:styleId="BalloonTextChar">
    <w:name w:val="Balloon Text Char"/>
    <w:link w:val="BalloonText"/>
    <w:semiHidden/>
    <w:rPr>
      <w:rFonts w:ascii="Century" w:eastAsia="MS Mincho" w:hAnsi="Century"/>
      <w:kern w:val="2"/>
      <w:sz w:val="18"/>
      <w:szCs w:val="18"/>
      <w:lang w:eastAsia="ja-JP"/>
    </w:rPr>
  </w:style>
  <w:style w:type="character" w:customStyle="1" w:styleId="CommentTextChar">
    <w:name w:val="Comment Text Char"/>
    <w:link w:val="CommentText"/>
    <w:uiPriority w:val="99"/>
    <w:rPr>
      <w:rFonts w:ascii="Arial" w:hAnsi="Arial" w:cs="Arial"/>
      <w:color w:val="000000"/>
      <w:sz w:val="22"/>
    </w:rPr>
  </w:style>
  <w:style w:type="character" w:customStyle="1" w:styleId="CommentSubjectChar">
    <w:name w:val="Comment Subject Char"/>
    <w:link w:val="CommentSubject"/>
    <w:semiHidden/>
    <w:rPr>
      <w:rFonts w:ascii="Century" w:eastAsia="MS Mincho" w:hAnsi="Century" w:cs="Arial"/>
      <w:b/>
      <w:bCs/>
      <w:color w:val="000000"/>
      <w:kern w:val="2"/>
      <w:sz w:val="21"/>
      <w:szCs w:val="22"/>
      <w:lang w:eastAsia="ja-JP"/>
    </w:rPr>
  </w:style>
  <w:style w:type="character" w:styleId="Emphasis">
    <w:name w:val="Emphasis"/>
    <w:qFormat/>
    <w:rsid w:val="00E13F5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MS Mincho" w:hAnsi="Century"/>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unhideWhenUsed/>
    <w:pPr>
      <w:tabs>
        <w:tab w:val="center" w:pos="4252"/>
        <w:tab w:val="right" w:pos="8504"/>
      </w:tabs>
      <w:snapToGrid w:val="0"/>
    </w:pPr>
  </w:style>
  <w:style w:type="paragraph" w:styleId="CommentText">
    <w:name w:val="annotation text"/>
    <w:basedOn w:val="Normal"/>
    <w:link w:val="CommentTextChar"/>
    <w:uiPriority w:val="99"/>
    <w:unhideWhenUsed/>
    <w:pPr>
      <w:widowControl/>
      <w:spacing w:line="276" w:lineRule="auto"/>
      <w:jc w:val="left"/>
    </w:pPr>
    <w:rPr>
      <w:rFonts w:ascii="Arial" w:eastAsia="宋体" w:hAnsi="Arial" w:cs="Arial"/>
      <w:color w:val="000000"/>
      <w:kern w:val="0"/>
      <w:sz w:val="22"/>
      <w:szCs w:val="20"/>
    </w:rPr>
  </w:style>
  <w:style w:type="paragraph" w:styleId="CommentSubject">
    <w:name w:val="annotation subject"/>
    <w:basedOn w:val="CommentText"/>
    <w:next w:val="CommentText"/>
    <w:link w:val="CommentSubjectChar"/>
    <w:semiHidden/>
    <w:unhideWhenUsed/>
    <w:pPr>
      <w:widowControl w:val="0"/>
      <w:spacing w:line="240" w:lineRule="auto"/>
    </w:pPr>
    <w:rPr>
      <w:rFonts w:ascii="Century" w:eastAsia="MS Mincho" w:hAnsi="Century" w:cs="Times New Roman"/>
      <w:b/>
      <w:bCs/>
      <w:color w:val="auto"/>
      <w:kern w:val="2"/>
      <w:sz w:val="21"/>
      <w:szCs w:val="22"/>
    </w:rPr>
  </w:style>
  <w:style w:type="paragraph" w:styleId="BalloonText">
    <w:name w:val="Balloon Text"/>
    <w:basedOn w:val="Normal"/>
    <w:link w:val="BalloonTextChar"/>
    <w:semiHidden/>
    <w:unhideWhenUsed/>
    <w:rPr>
      <w:sz w:val="18"/>
      <w:szCs w:val="18"/>
    </w:rPr>
  </w:style>
  <w:style w:type="character" w:styleId="PageNumber">
    <w:name w:val="page number"/>
    <w:basedOn w:val="DefaultParagraphFont"/>
    <w:semiHidden/>
    <w:unhideWhenUsed/>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21"/>
      <w:szCs w:val="21"/>
    </w:rPr>
  </w:style>
  <w:style w:type="paragraph" w:customStyle="1" w:styleId="1">
    <w:name w:val="正文1"/>
    <w:uiPriority w:val="99"/>
    <w:pPr>
      <w:spacing w:line="276" w:lineRule="auto"/>
    </w:pPr>
    <w:rPr>
      <w:rFonts w:ascii="Arial" w:hAnsi="Arial" w:cs="Arial"/>
      <w:color w:val="000000"/>
      <w:sz w:val="22"/>
    </w:rPr>
  </w:style>
  <w:style w:type="paragraph" w:customStyle="1" w:styleId="10">
    <w:name w:val="修订1"/>
    <w:hidden/>
    <w:uiPriority w:val="99"/>
    <w:semiHidden/>
    <w:rPr>
      <w:rFonts w:ascii="Century" w:eastAsia="MS Mincho" w:hAnsi="Century"/>
      <w:kern w:val="2"/>
      <w:sz w:val="21"/>
      <w:szCs w:val="22"/>
      <w:lang w:eastAsia="ja-JP"/>
    </w:rPr>
  </w:style>
  <w:style w:type="character" w:customStyle="1" w:styleId="BalloonTextChar">
    <w:name w:val="Balloon Text Char"/>
    <w:link w:val="BalloonText"/>
    <w:semiHidden/>
    <w:rPr>
      <w:rFonts w:ascii="Century" w:eastAsia="MS Mincho" w:hAnsi="Century"/>
      <w:kern w:val="2"/>
      <w:sz w:val="18"/>
      <w:szCs w:val="18"/>
      <w:lang w:eastAsia="ja-JP"/>
    </w:rPr>
  </w:style>
  <w:style w:type="character" w:customStyle="1" w:styleId="CommentTextChar">
    <w:name w:val="Comment Text Char"/>
    <w:link w:val="CommentText"/>
    <w:uiPriority w:val="99"/>
    <w:rPr>
      <w:rFonts w:ascii="Arial" w:hAnsi="Arial" w:cs="Arial"/>
      <w:color w:val="000000"/>
      <w:sz w:val="22"/>
    </w:rPr>
  </w:style>
  <w:style w:type="character" w:customStyle="1" w:styleId="CommentSubjectChar">
    <w:name w:val="Comment Subject Char"/>
    <w:link w:val="CommentSubject"/>
    <w:semiHidden/>
    <w:rPr>
      <w:rFonts w:ascii="Century" w:eastAsia="MS Mincho" w:hAnsi="Century" w:cs="Arial"/>
      <w:b/>
      <w:bCs/>
      <w:color w:val="000000"/>
      <w:kern w:val="2"/>
      <w:sz w:val="21"/>
      <w:szCs w:val="22"/>
      <w:lang w:eastAsia="ja-JP"/>
    </w:rPr>
  </w:style>
  <w:style w:type="character" w:styleId="Emphasis">
    <w:name w:val="Emphasis"/>
    <w:qFormat/>
    <w:rsid w:val="00E13F5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m-kida@kitasato-u.ac.jp" TargetMode="External"/><Relationship Id="rId8" Type="http://schemas.openxmlformats.org/officeDocument/2006/relationships/hyperlink" Target="https://www.ncbi.nlm.nih.gov/pubmed/?term=ESMO%20Guidelines%20Working%20Group%5bCorporate%20Author%5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5269</Words>
  <Characters>30038</Characters>
  <Application>Microsoft Macintosh Word</Application>
  <DocSecurity>0</DocSecurity>
  <Lines>250</Lines>
  <Paragraphs>70</Paragraphs>
  <ScaleCrop>false</ScaleCrop>
  <Company>微软中国</Company>
  <LinksUpToDate>false</LinksUpToDate>
  <CharactersWithSpaces>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Doubling Time of Gastrointestinal Submucosal Tumors</dc:title>
  <dc:creator>小林清典</dc:creator>
  <cp:lastModifiedBy>Na Ma</cp:lastModifiedBy>
  <cp:revision>2</cp:revision>
  <dcterms:created xsi:type="dcterms:W3CDTF">2016-11-15T00:14:00Z</dcterms:created>
  <dcterms:modified xsi:type="dcterms:W3CDTF">2016-11-15T00:14:00Z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