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39A52" w14:textId="77777777" w:rsidR="00966C91" w:rsidRPr="007345D5" w:rsidRDefault="00966C91" w:rsidP="00570508">
      <w:pPr>
        <w:widowControl w:val="0"/>
        <w:adjustRightInd w:val="0"/>
        <w:snapToGrid w:val="0"/>
        <w:spacing w:line="360" w:lineRule="auto"/>
        <w:jc w:val="both"/>
        <w:rPr>
          <w:rFonts w:ascii="Book Antiqua" w:hAnsi="Book Antiqua" w:cs="SimSun"/>
          <w:i/>
          <w:kern w:val="2"/>
          <w:lang w:eastAsia="zh-CN"/>
        </w:rPr>
      </w:pPr>
      <w:bookmarkStart w:id="0" w:name="OLE_LINK2088"/>
      <w:bookmarkStart w:id="1" w:name="OLE_LINK3171"/>
      <w:bookmarkStart w:id="2" w:name="OLE_LINK3301"/>
      <w:bookmarkStart w:id="3" w:name="OLE_LINK3302"/>
      <w:bookmarkStart w:id="4" w:name="OLE_LINK2410"/>
      <w:bookmarkStart w:id="5" w:name="OLE_LINK2411"/>
      <w:bookmarkStart w:id="6" w:name="OLE_LINK3234"/>
      <w:bookmarkStart w:id="7" w:name="OLE_LINK40"/>
      <w:bookmarkStart w:id="8" w:name="OLE_LINK41"/>
      <w:bookmarkStart w:id="9" w:name="OLE_LINK2445"/>
      <w:bookmarkStart w:id="10" w:name="OLE_LINK3563"/>
      <w:bookmarkStart w:id="11" w:name="OLE_LINK437"/>
      <w:bookmarkStart w:id="12" w:name="OLE_LINK438"/>
      <w:bookmarkStart w:id="13" w:name="OLE_LINK1043"/>
      <w:bookmarkStart w:id="14" w:name="OLE_LINK1420"/>
      <w:bookmarkStart w:id="15" w:name="OLE_LINK1540"/>
      <w:bookmarkStart w:id="16" w:name="OLE_LINK1602"/>
      <w:bookmarkStart w:id="17" w:name="OLE_LINK2188"/>
      <w:bookmarkStart w:id="18" w:name="OLE_LINK2180"/>
      <w:bookmarkStart w:id="19" w:name="OLE_LINK2646"/>
      <w:bookmarkStart w:id="20" w:name="OLE_LINK2650"/>
      <w:bookmarkStart w:id="21" w:name="OLE_LINK2656"/>
      <w:bookmarkStart w:id="22" w:name="OLE_LINK45"/>
      <w:bookmarkStart w:id="23" w:name="OLE_LINK3003"/>
      <w:bookmarkStart w:id="24" w:name="OLE_LINK3029"/>
      <w:bookmarkStart w:id="25" w:name="OLE_LINK3072"/>
      <w:bookmarkStart w:id="26" w:name="OLE_LINK3222"/>
      <w:bookmarkStart w:id="27" w:name="OLE_LINK3247"/>
      <w:bookmarkStart w:id="28" w:name="OLE_LINK3655"/>
      <w:bookmarkStart w:id="29" w:name="OLE_LINK99"/>
      <w:r w:rsidRPr="007345D5">
        <w:rPr>
          <w:rFonts w:ascii="Book Antiqua" w:hAnsi="Book Antiqua" w:cs="SimSun"/>
          <w:b/>
          <w:kern w:val="2"/>
          <w:lang w:eastAsia="zh-CN"/>
        </w:rPr>
        <w:t xml:space="preserve">Name of journal: </w:t>
      </w:r>
      <w:bookmarkStart w:id="30" w:name="OLE_LINK718"/>
      <w:bookmarkStart w:id="31" w:name="OLE_LINK719"/>
      <w:bookmarkStart w:id="32" w:name="OLE_LINK645"/>
      <w:bookmarkStart w:id="33" w:name="OLE_LINK661"/>
      <w:bookmarkStart w:id="34" w:name="OLE_LINK696"/>
      <w:bookmarkStart w:id="35" w:name="OLE_LINK1068"/>
      <w:bookmarkStart w:id="36" w:name="OLE_LINK335"/>
      <w:r w:rsidRPr="007345D5">
        <w:rPr>
          <w:rFonts w:ascii="Book Antiqua" w:hAnsi="Book Antiqua" w:cs="SimSun"/>
          <w:i/>
          <w:lang w:eastAsia="zh-CN"/>
        </w:rPr>
        <w:t>World Journal of Gastroenterology</w:t>
      </w:r>
      <w:bookmarkEnd w:id="30"/>
      <w:bookmarkEnd w:id="31"/>
      <w:bookmarkEnd w:id="32"/>
      <w:bookmarkEnd w:id="33"/>
      <w:bookmarkEnd w:id="34"/>
      <w:bookmarkEnd w:id="35"/>
      <w:bookmarkEnd w:id="36"/>
    </w:p>
    <w:p w14:paraId="25543433" w14:textId="412928AD" w:rsidR="00966C91" w:rsidRPr="007345D5" w:rsidRDefault="00966C91" w:rsidP="00570508">
      <w:pPr>
        <w:widowControl w:val="0"/>
        <w:adjustRightInd w:val="0"/>
        <w:snapToGrid w:val="0"/>
        <w:spacing w:line="360" w:lineRule="auto"/>
        <w:jc w:val="both"/>
        <w:rPr>
          <w:rFonts w:ascii="Book Antiqua" w:hAnsi="Book Antiqua" w:cs="SimSun"/>
          <w:b/>
          <w:i/>
          <w:kern w:val="2"/>
          <w:lang w:eastAsia="zh-CN"/>
        </w:rPr>
      </w:pPr>
      <w:bookmarkStart w:id="37" w:name="OLE_LINK19"/>
      <w:bookmarkStart w:id="38" w:name="OLE_LINK21"/>
      <w:bookmarkStart w:id="39" w:name="OLE_LINK2694"/>
      <w:r w:rsidRPr="007345D5">
        <w:rPr>
          <w:rFonts w:ascii="Book Antiqua" w:eastAsia="SimSun" w:hAnsi="Book Antiqua" w:cs="Arial"/>
          <w:b/>
          <w:kern w:val="2"/>
          <w:lang w:eastAsia="zh-CN"/>
        </w:rPr>
        <w:t>ESPS Manuscript NO: 29563</w:t>
      </w:r>
    </w:p>
    <w:p w14:paraId="2A635E66" w14:textId="77777777" w:rsidR="00966C91" w:rsidRPr="007345D5" w:rsidRDefault="00966C91" w:rsidP="00570508">
      <w:pPr>
        <w:widowControl w:val="0"/>
        <w:adjustRightInd w:val="0"/>
        <w:snapToGrid w:val="0"/>
        <w:spacing w:line="360" w:lineRule="auto"/>
        <w:jc w:val="both"/>
        <w:rPr>
          <w:rFonts w:ascii="Book Antiqua" w:eastAsia="SimSun" w:hAnsi="Book Antiqua"/>
          <w:b/>
          <w:kern w:val="2"/>
          <w:lang w:eastAsia="zh-CN"/>
        </w:rPr>
      </w:pPr>
      <w:bookmarkStart w:id="40" w:name="OLE_LINK886"/>
      <w:bookmarkStart w:id="41" w:name="OLE_LINK887"/>
      <w:bookmarkStart w:id="42" w:name="OLE_LINK888"/>
      <w:bookmarkStart w:id="43" w:name="OLE_LINK1072"/>
      <w:bookmarkStart w:id="44" w:name="OLE_LINK863"/>
      <w:bookmarkStart w:id="45" w:name="OLE_LINK965"/>
      <w:bookmarkStart w:id="46" w:name="OLE_LINK897"/>
      <w:bookmarkStart w:id="47" w:name="OLE_LINK1021"/>
      <w:bookmarkStart w:id="48" w:name="OLE_LINK870"/>
      <w:bookmarkStart w:id="49" w:name="OLE_LINK1029"/>
      <w:bookmarkStart w:id="50" w:name="OLE_LINK1154"/>
      <w:bookmarkStart w:id="51" w:name="OLE_LINK950"/>
      <w:bookmarkStart w:id="52" w:name="OLE_LINK1191"/>
      <w:bookmarkStart w:id="53" w:name="OLE_LINK1225"/>
      <w:bookmarkStart w:id="54" w:name="OLE_LINK1131"/>
      <w:bookmarkStart w:id="55" w:name="OLE_LINK1064"/>
      <w:bookmarkStart w:id="56" w:name="OLE_LINK1165"/>
      <w:bookmarkStart w:id="57" w:name="OLE_LINK1333"/>
      <w:bookmarkStart w:id="58" w:name="OLE_LINK1367"/>
      <w:bookmarkStart w:id="59" w:name="OLE_LINK1400"/>
      <w:bookmarkStart w:id="60" w:name="OLE_LINK1616"/>
      <w:bookmarkStart w:id="61" w:name="OLE_LINK1378"/>
      <w:bookmarkStart w:id="62" w:name="OLE_LINK1489"/>
      <w:bookmarkStart w:id="63" w:name="OLE_LINK1379"/>
      <w:bookmarkStart w:id="64" w:name="OLE_LINK1638"/>
      <w:bookmarkStart w:id="65" w:name="OLE_LINK1764"/>
      <w:bookmarkStart w:id="66" w:name="OLE_LINK1715"/>
      <w:bookmarkStart w:id="67" w:name="OLE_LINK1893"/>
      <w:bookmarkStart w:id="68" w:name="OLE_LINK1929"/>
      <w:bookmarkStart w:id="69" w:name="OLE_LINK1972"/>
      <w:bookmarkStart w:id="70" w:name="OLE_LINK1717"/>
      <w:bookmarkStart w:id="71" w:name="OLE_LINK1908"/>
      <w:bookmarkStart w:id="72" w:name="OLE_LINK1933"/>
      <w:bookmarkStart w:id="73" w:name="OLE_LINK1867"/>
      <w:bookmarkStart w:id="74" w:name="OLE_LINK1904"/>
      <w:bookmarkStart w:id="75" w:name="OLE_LINK1937"/>
      <w:bookmarkStart w:id="76" w:name="OLE_LINK2022"/>
      <w:bookmarkStart w:id="77" w:name="OLE_LINK2062"/>
      <w:bookmarkStart w:id="78" w:name="OLE_LINK2119"/>
      <w:bookmarkStart w:id="79" w:name="OLE_LINK2067"/>
      <w:bookmarkStart w:id="80" w:name="OLE_LINK2244"/>
      <w:bookmarkStart w:id="81" w:name="OLE_LINK3"/>
      <w:bookmarkStart w:id="82" w:name="OLE_LINK4"/>
      <w:bookmarkStart w:id="83" w:name="OLE_LINK5"/>
      <w:bookmarkStart w:id="84" w:name="OLE_LINK3045"/>
      <w:bookmarkEnd w:id="0"/>
      <w:bookmarkEnd w:id="1"/>
      <w:bookmarkEnd w:id="37"/>
      <w:bookmarkEnd w:id="38"/>
      <w:bookmarkEnd w:id="39"/>
      <w:r w:rsidRPr="007345D5">
        <w:rPr>
          <w:rFonts w:ascii="Book Antiqua" w:eastAsia="SimSun" w:hAnsi="Book Antiqua"/>
          <w:b/>
          <w:kern w:val="2"/>
          <w:lang w:eastAsia="zh-CN"/>
        </w:rPr>
        <w:t>Manuscript Type</w:t>
      </w:r>
      <w:bookmarkEnd w:id="2"/>
      <w:bookmarkEnd w:id="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7345D5">
        <w:rPr>
          <w:rFonts w:ascii="Book Antiqua" w:eastAsia="SimSun" w:hAnsi="Book Antiqua"/>
          <w:b/>
          <w:lang w:eastAsia="zh-CN"/>
        </w:rPr>
        <w:t>:</w:t>
      </w:r>
      <w:bookmarkStart w:id="85" w:name="OLE_LINK74"/>
      <w:bookmarkStart w:id="86" w:name="OLE_LINK75"/>
      <w:bookmarkEnd w:id="4"/>
      <w:bookmarkEnd w:id="5"/>
      <w:bookmarkEnd w:id="6"/>
      <w:r w:rsidRPr="007345D5">
        <w:rPr>
          <w:rFonts w:ascii="Book Antiqua" w:eastAsia="SimSun" w:hAnsi="Book Antiqua"/>
          <w:b/>
          <w:lang w:eastAsia="zh-CN"/>
        </w:rPr>
        <w:t xml:space="preserve"> </w:t>
      </w:r>
      <w:bookmarkStart w:id="87" w:name="OLE_LINK3164"/>
      <w:bookmarkStart w:id="88" w:name="OLE_LINK3165"/>
      <w:bookmarkStart w:id="89" w:name="OLE_LINK70"/>
      <w:bookmarkStart w:id="90" w:name="OLE_LINK3525"/>
      <w:bookmarkStart w:id="91" w:name="OLE_LINK7"/>
      <w:bookmarkStart w:id="92" w:name="OLE_LINK8"/>
      <w:bookmarkStart w:id="93" w:name="OLE_LINK1386"/>
      <w:bookmarkStart w:id="94" w:name="OLE_LINK37"/>
      <w:bookmarkStart w:id="95" w:name="OLE_LINK79"/>
      <w:bookmarkEnd w:id="7"/>
      <w:bookmarkEnd w:id="8"/>
      <w:bookmarkEnd w:id="9"/>
      <w:bookmarkEnd w:id="10"/>
      <w:bookmarkEnd w:id="81"/>
      <w:bookmarkEnd w:id="82"/>
      <w:r w:rsidRPr="007345D5">
        <w:rPr>
          <w:rFonts w:ascii="Book Antiqua" w:eastAsia="SimSun" w:hAnsi="Book Antiqua"/>
          <w:b/>
          <w:lang w:eastAsia="zh-CN"/>
        </w:rPr>
        <w:t>ORIGINAL ARTICLE</w:t>
      </w:r>
      <w:bookmarkEnd w:id="85"/>
      <w:bookmarkEnd w:id="86"/>
      <w:bookmarkEnd w:id="87"/>
      <w:bookmarkEnd w:id="88"/>
      <w:bookmarkEnd w:id="89"/>
      <w:bookmarkEnd w:id="90"/>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83"/>
    <w:bookmarkEnd w:id="84"/>
    <w:bookmarkEnd w:id="91"/>
    <w:bookmarkEnd w:id="92"/>
    <w:bookmarkEnd w:id="93"/>
    <w:bookmarkEnd w:id="94"/>
    <w:bookmarkEnd w:id="95"/>
    <w:p w14:paraId="517CC6D4" w14:textId="77777777" w:rsidR="00966C91" w:rsidRPr="007345D5" w:rsidRDefault="00966C91" w:rsidP="00570508">
      <w:pPr>
        <w:pStyle w:val="CommentTextChar"/>
        <w:adjustRightInd w:val="0"/>
        <w:snapToGrid w:val="0"/>
        <w:spacing w:line="360" w:lineRule="auto"/>
        <w:rPr>
          <w:rFonts w:ascii="Book Antiqua" w:eastAsia="SimSun" w:hAnsi="Book Antiqua" w:cs="Arial"/>
          <w:b/>
          <w:sz w:val="24"/>
          <w:szCs w:val="24"/>
          <w:lang w:val="en-GB" w:eastAsia="zh-CN"/>
        </w:rPr>
      </w:pPr>
    </w:p>
    <w:p w14:paraId="21E4D04B" w14:textId="25FF62C4"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Prospective Study</w:t>
      </w:r>
    </w:p>
    <w:p w14:paraId="3BD73DB0" w14:textId="77777777"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bookmarkStart w:id="96" w:name="OLE_LINK3741"/>
      <w:bookmarkStart w:id="97" w:name="OLE_LINK3742"/>
      <w:r w:rsidRPr="007345D5">
        <w:rPr>
          <w:rFonts w:ascii="Book Antiqua" w:eastAsia="MS PGothic" w:hAnsi="Book Antiqua" w:cs="Arial"/>
          <w:b/>
          <w:sz w:val="24"/>
          <w:szCs w:val="24"/>
          <w:lang w:val="en-GB"/>
        </w:rPr>
        <w:t>Long-term prognostic impact of circulating tumour cells in gastric cancer patients</w:t>
      </w:r>
    </w:p>
    <w:bookmarkEnd w:id="96"/>
    <w:bookmarkEnd w:id="97"/>
    <w:p w14:paraId="4B6663FA"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32163BE6"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Hiroaki I </w:t>
      </w:r>
      <w:r w:rsidRPr="007345D5">
        <w:rPr>
          <w:rFonts w:ascii="Book Antiqua" w:eastAsia="MS PGothic" w:hAnsi="Book Antiqua" w:cs="Arial"/>
          <w:i/>
          <w:sz w:val="24"/>
          <w:szCs w:val="24"/>
          <w:lang w:val="en-GB"/>
        </w:rPr>
        <w:t>et al.</w:t>
      </w:r>
      <w:r w:rsidRPr="007345D5">
        <w:rPr>
          <w:rFonts w:ascii="Book Antiqua" w:eastAsia="MS PGothic" w:hAnsi="Book Antiqua" w:cs="Arial"/>
          <w:sz w:val="24"/>
          <w:szCs w:val="24"/>
          <w:lang w:val="en-GB"/>
        </w:rPr>
        <w:t xml:space="preserve"> Circulating tumour cells in gastric cancer</w:t>
      </w:r>
    </w:p>
    <w:p w14:paraId="1A04A460"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3F22A4BB" w14:textId="3145A8A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bookmarkStart w:id="98" w:name="OLE_LINK3740"/>
      <w:bookmarkStart w:id="99" w:name="OLE_LINK3734"/>
      <w:bookmarkStart w:id="100" w:name="OLE_LINK3735"/>
      <w:r w:rsidRPr="007345D5">
        <w:rPr>
          <w:rFonts w:ascii="Book Antiqua" w:eastAsia="MS PGothic" w:hAnsi="Book Antiqua" w:cs="Arial"/>
          <w:sz w:val="24"/>
          <w:szCs w:val="24"/>
          <w:lang w:val="en-GB"/>
        </w:rPr>
        <w:t>Hiroaki Ito</w:t>
      </w:r>
      <w:bookmarkEnd w:id="98"/>
      <w:r w:rsidRPr="007345D5">
        <w:rPr>
          <w:rFonts w:ascii="Book Antiqua" w:eastAsia="MS PGothic" w:hAnsi="Book Antiqua" w:cs="Arial"/>
          <w:sz w:val="24"/>
          <w:szCs w:val="24"/>
          <w:lang w:val="en-GB"/>
        </w:rPr>
        <w:t xml:space="preserve">, Jun Sato, Yukio Tsujino, Noriko Yamaguchi, Satoshi Kimura, Keigo Gohda, </w:t>
      </w:r>
      <w:r w:rsidR="001B4E84" w:rsidRPr="007345D5">
        <w:rPr>
          <w:rFonts w:ascii="Book Antiqua" w:eastAsia="MS PGothic" w:hAnsi="Book Antiqua" w:cs="Arial"/>
          <w:sz w:val="24"/>
          <w:szCs w:val="24"/>
          <w:lang w:val="en-GB"/>
        </w:rPr>
        <w:t xml:space="preserve">Katsuhiro Murakami, </w:t>
      </w:r>
      <w:r w:rsidRPr="007345D5">
        <w:rPr>
          <w:rFonts w:ascii="Book Antiqua" w:eastAsia="MS PGothic" w:hAnsi="Book Antiqua" w:cs="Arial"/>
          <w:sz w:val="24"/>
          <w:szCs w:val="24"/>
          <w:lang w:val="en-GB"/>
        </w:rPr>
        <w:t>Manabu Onimaru, Tohru Ohmori, Fumihiro Ishikawa, Haruhiro Inoue</w:t>
      </w:r>
    </w:p>
    <w:bookmarkEnd w:id="99"/>
    <w:bookmarkEnd w:id="100"/>
    <w:p w14:paraId="2F167A11"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0C55B9BE" w14:textId="630A4279"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t>Hiroaki Ito, Manabu Onimaru, Haruhiro Inoue</w:t>
      </w:r>
      <w:r w:rsidRPr="007345D5">
        <w:rPr>
          <w:rFonts w:ascii="Book Antiqua" w:eastAsia="MS PGothic" w:hAnsi="Book Antiqua" w:cs="Arial"/>
          <w:sz w:val="24"/>
          <w:szCs w:val="24"/>
          <w:lang w:val="en-GB"/>
        </w:rPr>
        <w:t xml:space="preserve">, </w:t>
      </w:r>
      <w:r w:rsidR="0016381E" w:rsidRPr="007345D5">
        <w:rPr>
          <w:rFonts w:ascii="Book Antiqua" w:eastAsia="MS PGothic" w:hAnsi="Book Antiqua" w:cs="Arial"/>
          <w:sz w:val="24"/>
          <w:szCs w:val="24"/>
          <w:lang w:val="en-GB"/>
        </w:rPr>
        <w:t xml:space="preserve">Department of Surgery, </w:t>
      </w:r>
      <w:r w:rsidRPr="007345D5">
        <w:rPr>
          <w:rFonts w:ascii="Book Antiqua" w:eastAsia="MS PGothic" w:hAnsi="Book Antiqua" w:cs="Arial"/>
          <w:sz w:val="24"/>
          <w:szCs w:val="24"/>
          <w:lang w:val="en-GB"/>
        </w:rPr>
        <w:t>Digestive Disease Center, Showa University Koto Toyosu Hospital, Tokyo 135-8577, Japan</w:t>
      </w:r>
    </w:p>
    <w:p w14:paraId="4FC36026"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154C7F81" w14:textId="1BA4FCB1"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t>Jun Sat</w:t>
      </w:r>
      <w:r w:rsidR="00AD0D2D" w:rsidRPr="007345D5">
        <w:rPr>
          <w:rFonts w:ascii="Book Antiqua" w:eastAsia="MS PGothic" w:hAnsi="Book Antiqua" w:cs="Arial"/>
          <w:b/>
          <w:sz w:val="24"/>
          <w:szCs w:val="24"/>
          <w:lang w:val="en-GB"/>
        </w:rPr>
        <w:t>o, Yukio Tsujino, Keigo Gohda,</w:t>
      </w:r>
      <w:r w:rsidR="001B4E84" w:rsidRPr="007345D5">
        <w:rPr>
          <w:rFonts w:ascii="Book Antiqua" w:eastAsia="MS PGothic" w:hAnsi="Book Antiqua" w:cs="Arial"/>
          <w:b/>
          <w:sz w:val="24"/>
          <w:szCs w:val="24"/>
          <w:lang w:val="en-GB"/>
        </w:rPr>
        <w:t xml:space="preserve"> Katsuhiro Murakami</w:t>
      </w:r>
      <w:r w:rsidRPr="007345D5">
        <w:rPr>
          <w:rFonts w:ascii="Book Antiqua" w:eastAsia="MS PGothic" w:hAnsi="Book Antiqua" w:cs="Arial"/>
          <w:sz w:val="24"/>
          <w:szCs w:val="24"/>
          <w:lang w:val="en-GB"/>
        </w:rPr>
        <w:t>, Central Research Laboratories, Sysmex Corporation, Kobe 651-2271, Japan</w:t>
      </w:r>
    </w:p>
    <w:p w14:paraId="32C42858"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2A4C7F74" w14:textId="237ED8E3"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t>Noriko Yamaguchi</w:t>
      </w:r>
      <w:r w:rsidRPr="007345D5">
        <w:rPr>
          <w:rFonts w:ascii="Book Antiqua" w:eastAsia="MS PGothic" w:hAnsi="Book Antiqua" w:cs="Arial"/>
          <w:sz w:val="24"/>
          <w:szCs w:val="24"/>
          <w:lang w:val="en-GB"/>
        </w:rPr>
        <w:t xml:space="preserve">, </w:t>
      </w:r>
      <w:r w:rsidR="007B590C" w:rsidRPr="007345D5">
        <w:rPr>
          <w:rFonts w:ascii="Book Antiqua" w:eastAsia="MS PGothic" w:hAnsi="Book Antiqua" w:cs="Arial"/>
          <w:sz w:val="24"/>
          <w:szCs w:val="24"/>
          <w:lang w:val="en-GB"/>
        </w:rPr>
        <w:t xml:space="preserve">Department of Surgery, </w:t>
      </w:r>
      <w:r w:rsidRPr="007345D5">
        <w:rPr>
          <w:rFonts w:ascii="Book Antiqua" w:eastAsia="MS PGothic" w:hAnsi="Book Antiqua" w:cs="Arial"/>
          <w:sz w:val="24"/>
          <w:szCs w:val="24"/>
          <w:lang w:val="en-GB"/>
        </w:rPr>
        <w:t>Digestive Disease Center, Showa University Northern Yokohama Hospital, Yokohama 224-8503, Japan</w:t>
      </w:r>
    </w:p>
    <w:p w14:paraId="53C2438E"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5EA68430" w14:textId="545333FC"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t>Satoshi Kimura</w:t>
      </w:r>
      <w:r w:rsidRPr="007345D5">
        <w:rPr>
          <w:rFonts w:ascii="Book Antiqua" w:eastAsia="MS PGothic" w:hAnsi="Book Antiqua" w:cs="Arial"/>
          <w:sz w:val="24"/>
          <w:szCs w:val="24"/>
          <w:lang w:val="en-GB"/>
        </w:rPr>
        <w:t>, Department of Laboratory Medicine and Central Clinical Laboratory, Showa University Northern Yokohama Hospital, Yokohama 224-8503, Japan</w:t>
      </w:r>
    </w:p>
    <w:p w14:paraId="352A0AF7"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28F3844B" w14:textId="16FE3B3E"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lastRenderedPageBreak/>
        <w:t>Tohru Ohmori</w:t>
      </w:r>
      <w:r w:rsidRPr="007345D5">
        <w:rPr>
          <w:rFonts w:ascii="Book Antiqua" w:eastAsia="MS PGothic" w:hAnsi="Book Antiqua" w:cs="Arial"/>
          <w:sz w:val="24"/>
          <w:szCs w:val="24"/>
          <w:lang w:val="en-GB"/>
        </w:rPr>
        <w:t>, Institute of Molecular Oncology, Showa University School of Medicine, Tokyo 142-8555, Japan</w:t>
      </w:r>
    </w:p>
    <w:p w14:paraId="2126ED91"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6D748F9E" w14:textId="32337432"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t>Fumihiro Ishikawa</w:t>
      </w:r>
      <w:r w:rsidRPr="007345D5">
        <w:rPr>
          <w:rFonts w:ascii="Book Antiqua" w:eastAsia="MS PGothic" w:hAnsi="Book Antiqua" w:cs="Arial"/>
          <w:sz w:val="24"/>
          <w:szCs w:val="24"/>
          <w:lang w:val="en-GB"/>
        </w:rPr>
        <w:t>, Department of Cancer Cell Biology, Showa University School of Pharmacy, Tokyo 142-8555, Japan</w:t>
      </w:r>
    </w:p>
    <w:p w14:paraId="2BB6863A"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30E19E25" w14:textId="119FB7A6" w:rsidR="00C1732C" w:rsidRPr="007345D5" w:rsidRDefault="00C1732C" w:rsidP="00570508">
      <w:pPr>
        <w:pStyle w:val="CommentTextChar"/>
        <w:adjustRightInd w:val="0"/>
        <w:snapToGrid w:val="0"/>
        <w:spacing w:line="360" w:lineRule="auto"/>
        <w:rPr>
          <w:rFonts w:ascii="Book Antiqua" w:hAnsi="Book Antiqua" w:cs="Arial"/>
          <w:b/>
          <w:sz w:val="24"/>
          <w:szCs w:val="24"/>
          <w:lang w:val="en-GB"/>
        </w:rPr>
      </w:pPr>
      <w:r w:rsidRPr="007345D5">
        <w:rPr>
          <w:rFonts w:ascii="Book Antiqua" w:hAnsi="Book Antiqua" w:cs="Arial"/>
          <w:b/>
          <w:sz w:val="24"/>
          <w:szCs w:val="24"/>
          <w:lang w:val="en-GB"/>
        </w:rPr>
        <w:t xml:space="preserve">Author contributions: </w:t>
      </w:r>
      <w:r w:rsidRPr="007345D5">
        <w:rPr>
          <w:rFonts w:ascii="Book Antiqua" w:hAnsi="Book Antiqua" w:cs="Arial"/>
          <w:sz w:val="24"/>
          <w:szCs w:val="24"/>
          <w:lang w:val="en-GB"/>
        </w:rPr>
        <w:t>Hiroaki I conceived and designed the experiments, collected blood samples, performed the experiments, managed clinical examination, performed treatment of individual patients, delivered clinical data, and performed the statistical analysis and data interpretation</w:t>
      </w:r>
      <w:r w:rsidR="00E90FA7"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Jun S, Yukio T, Keigo G, and </w:t>
      </w:r>
      <w:r w:rsidR="001B4E84" w:rsidRPr="007345D5">
        <w:rPr>
          <w:rFonts w:ascii="Book Antiqua" w:hAnsi="Book Antiqua" w:cs="Arial"/>
          <w:sz w:val="24"/>
          <w:szCs w:val="24"/>
          <w:lang w:val="en-GB"/>
        </w:rPr>
        <w:t xml:space="preserve">Katsuhiro M </w:t>
      </w:r>
      <w:r w:rsidRPr="007345D5">
        <w:rPr>
          <w:rFonts w:ascii="Book Antiqua" w:hAnsi="Book Antiqua" w:cs="Arial"/>
          <w:sz w:val="24"/>
          <w:szCs w:val="24"/>
          <w:lang w:val="en-GB"/>
        </w:rPr>
        <w:t>analysed the blood cells in the peripheral blood samples from the patients</w:t>
      </w:r>
      <w:r w:rsidR="00E90FA7"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Noriko Y and Manabu O managed clinical examination, performed treatment of individual patients, and delivered clinical data</w:t>
      </w:r>
      <w:r w:rsidR="00E90FA7"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Satoshi K participated in the study design, maintained the equipment, including the test tubes, and performed data interpretation</w:t>
      </w:r>
      <w:r w:rsidR="00E90FA7"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Tohru O and Fumihiro I participated in the study design and performed data interpretation</w:t>
      </w:r>
      <w:r w:rsidR="00E90FA7"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Haruhiro I participated in the study design, performed treatment of individual patients, and performed data interpretation</w:t>
      </w:r>
      <w:r w:rsidR="00E90FA7"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w:t>
      </w:r>
      <w:r w:rsidR="00E90FA7" w:rsidRPr="007345D5">
        <w:rPr>
          <w:rFonts w:ascii="Book Antiqua" w:hAnsi="Book Antiqua" w:cs="Arial"/>
          <w:sz w:val="24"/>
          <w:szCs w:val="24"/>
          <w:lang w:val="en-GB"/>
        </w:rPr>
        <w:t xml:space="preserve">all </w:t>
      </w:r>
      <w:r w:rsidRPr="007345D5">
        <w:rPr>
          <w:rFonts w:ascii="Book Antiqua" w:hAnsi="Book Antiqua" w:cs="Arial"/>
          <w:sz w:val="24"/>
          <w:szCs w:val="24"/>
          <w:lang w:val="en-GB"/>
        </w:rPr>
        <w:t>authors have read and approved the final manuscript.</w:t>
      </w:r>
    </w:p>
    <w:p w14:paraId="5A7CD120" w14:textId="77777777" w:rsidR="00C1732C" w:rsidRPr="007345D5" w:rsidRDefault="00C1732C" w:rsidP="00570508">
      <w:pPr>
        <w:pStyle w:val="CommentTextChar"/>
        <w:adjustRightInd w:val="0"/>
        <w:snapToGrid w:val="0"/>
        <w:spacing w:line="360" w:lineRule="auto"/>
        <w:rPr>
          <w:rFonts w:ascii="Book Antiqua" w:hAnsi="Book Antiqua" w:cs="Arial"/>
          <w:sz w:val="24"/>
          <w:szCs w:val="24"/>
          <w:lang w:val="en-GB"/>
        </w:rPr>
      </w:pPr>
    </w:p>
    <w:p w14:paraId="301093E1" w14:textId="4369C090" w:rsidR="00C1732C" w:rsidRPr="007345D5" w:rsidRDefault="003237B6"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t xml:space="preserve">Supported </w:t>
      </w:r>
      <w:r w:rsidRPr="007345D5">
        <w:rPr>
          <w:rFonts w:ascii="Book Antiqua" w:eastAsia="SimSun" w:hAnsi="Book Antiqua" w:cs="Arial"/>
          <w:b/>
          <w:sz w:val="24"/>
          <w:szCs w:val="24"/>
          <w:lang w:val="en-GB" w:eastAsia="zh-CN"/>
        </w:rPr>
        <w:t>by</w:t>
      </w:r>
      <w:r w:rsidRPr="007345D5">
        <w:rPr>
          <w:rFonts w:ascii="Book Antiqua" w:eastAsia="SimSun" w:hAnsi="Book Antiqua" w:cs="Arial"/>
          <w:sz w:val="24"/>
          <w:szCs w:val="24"/>
          <w:lang w:val="en-GB" w:eastAsia="zh-CN"/>
        </w:rPr>
        <w:t xml:space="preserve"> </w:t>
      </w:r>
      <w:r w:rsidR="00C1732C" w:rsidRPr="007345D5">
        <w:rPr>
          <w:rFonts w:ascii="Book Antiqua" w:eastAsia="MS PGothic" w:hAnsi="Book Antiqua" w:cs="Arial"/>
          <w:sz w:val="24"/>
          <w:szCs w:val="24"/>
          <w:lang w:val="en-GB"/>
        </w:rPr>
        <w:t>a J</w:t>
      </w:r>
      <w:r w:rsidR="006051E9" w:rsidRPr="007345D5">
        <w:rPr>
          <w:rFonts w:ascii="Book Antiqua" w:eastAsia="MS PGothic" w:hAnsi="Book Antiqua" w:cs="Arial"/>
          <w:sz w:val="24"/>
          <w:szCs w:val="24"/>
          <w:lang w:val="en-GB"/>
        </w:rPr>
        <w:t>apan Society for the Promotion of Science (JSPS)</w:t>
      </w:r>
      <w:r w:rsidR="00C1732C" w:rsidRPr="007345D5">
        <w:rPr>
          <w:rFonts w:ascii="Book Antiqua" w:eastAsia="MS PGothic" w:hAnsi="Book Antiqua" w:cs="Arial"/>
          <w:sz w:val="24"/>
          <w:szCs w:val="24"/>
          <w:lang w:val="en-GB"/>
        </w:rPr>
        <w:t xml:space="preserve"> KAKENHI Grant-in-Aid for Challenging Exploratory Research (</w:t>
      </w:r>
      <w:r w:rsidRPr="007345D5">
        <w:rPr>
          <w:rFonts w:ascii="Book Antiqua" w:eastAsia="MS PGothic" w:hAnsi="Book Antiqua" w:cs="Arial"/>
          <w:sz w:val="24"/>
          <w:szCs w:val="24"/>
          <w:lang w:val="en-GB"/>
        </w:rPr>
        <w:t>in part</w:t>
      </w:r>
      <w:r w:rsidR="004E7020">
        <w:rPr>
          <w:rFonts w:ascii="Book Antiqua" w:eastAsia="DengXian" w:hAnsi="Book Antiqua" w:cs="Arial" w:hint="eastAsia"/>
          <w:sz w:val="24"/>
          <w:szCs w:val="24"/>
          <w:lang w:val="en-GB" w:eastAsia="zh-CN"/>
        </w:rPr>
        <w:t>)</w:t>
      </w:r>
      <w:r w:rsidRPr="007345D5">
        <w:rPr>
          <w:rFonts w:ascii="Book Antiqua" w:eastAsia="SimSun" w:hAnsi="Book Antiqua" w:cs="Arial"/>
          <w:sz w:val="24"/>
          <w:szCs w:val="24"/>
          <w:lang w:val="en-GB" w:eastAsia="zh-CN"/>
        </w:rPr>
        <w:t>,</w:t>
      </w:r>
      <w:r w:rsidRPr="007345D5">
        <w:rPr>
          <w:rFonts w:ascii="Book Antiqua" w:eastAsia="MS PGothic" w:hAnsi="Book Antiqua" w:cs="Arial"/>
          <w:sz w:val="24"/>
          <w:szCs w:val="24"/>
          <w:lang w:val="en-GB"/>
        </w:rPr>
        <w:t xml:space="preserve"> </w:t>
      </w:r>
      <w:r w:rsidRPr="007345D5">
        <w:rPr>
          <w:rFonts w:ascii="Book Antiqua" w:eastAsia="SimSun" w:hAnsi="Book Antiqua" w:cs="Arial"/>
          <w:sz w:val="24"/>
          <w:szCs w:val="24"/>
          <w:lang w:val="en-GB" w:eastAsia="zh-CN"/>
        </w:rPr>
        <w:t>No.</w:t>
      </w:r>
      <w:r w:rsidR="00C1732C" w:rsidRPr="007345D5">
        <w:rPr>
          <w:rFonts w:ascii="Book Antiqua" w:eastAsia="MS PGothic" w:hAnsi="Book Antiqua" w:cs="Arial"/>
          <w:sz w:val="24"/>
          <w:szCs w:val="24"/>
          <w:lang w:val="en-GB"/>
        </w:rPr>
        <w:t xml:space="preserve"> 23659308</w:t>
      </w:r>
      <w:r w:rsidRPr="007345D5">
        <w:rPr>
          <w:rFonts w:ascii="Book Antiqua" w:eastAsia="SimSun" w:hAnsi="Book Antiqua" w:cs="Arial"/>
          <w:sz w:val="24"/>
          <w:szCs w:val="24"/>
          <w:lang w:val="en-GB" w:eastAsia="zh-CN"/>
        </w:rPr>
        <w:t>;</w:t>
      </w:r>
      <w:r w:rsidR="00C1732C" w:rsidRPr="007345D5">
        <w:rPr>
          <w:rFonts w:ascii="Book Antiqua" w:eastAsia="MS PGothic" w:hAnsi="Book Antiqua" w:cs="Arial"/>
          <w:sz w:val="24"/>
          <w:szCs w:val="24"/>
          <w:lang w:val="en-GB"/>
        </w:rPr>
        <w:t xml:space="preserve"> and JSPS KAKENHI Grant-</w:t>
      </w:r>
      <w:r w:rsidR="004E7020">
        <w:rPr>
          <w:rFonts w:ascii="Book Antiqua" w:eastAsia="MS PGothic" w:hAnsi="Book Antiqua" w:cs="Arial"/>
          <w:sz w:val="24"/>
          <w:szCs w:val="24"/>
          <w:lang w:val="en-GB"/>
        </w:rPr>
        <w:t>in-Aid for Scientific Research</w:t>
      </w:r>
      <w:r w:rsidR="004E7020">
        <w:rPr>
          <w:rFonts w:ascii="Book Antiqua" w:eastAsia="DengXian" w:hAnsi="Book Antiqua" w:cs="Arial" w:hint="eastAsia"/>
          <w:sz w:val="24"/>
          <w:szCs w:val="24"/>
          <w:lang w:val="en-GB" w:eastAsia="zh-CN"/>
        </w:rPr>
        <w:t>,</w:t>
      </w:r>
      <w:r w:rsidR="004E7020">
        <w:rPr>
          <w:rFonts w:ascii="Book Antiqua" w:eastAsia="MS PGothic" w:hAnsi="Book Antiqua" w:cs="Arial"/>
          <w:sz w:val="24"/>
          <w:szCs w:val="24"/>
          <w:lang w:val="en-GB"/>
        </w:rPr>
        <w:t xml:space="preserve"> </w:t>
      </w:r>
      <w:r w:rsidRPr="007345D5">
        <w:rPr>
          <w:rFonts w:ascii="Book Antiqua" w:eastAsia="SimSun" w:hAnsi="Book Antiqua" w:cs="Arial"/>
          <w:sz w:val="24"/>
          <w:szCs w:val="24"/>
          <w:lang w:val="en-GB" w:eastAsia="zh-CN"/>
        </w:rPr>
        <w:t>No.</w:t>
      </w:r>
      <w:r w:rsidR="00C1732C" w:rsidRPr="007345D5">
        <w:rPr>
          <w:rFonts w:ascii="Book Antiqua" w:eastAsia="MS PGothic" w:hAnsi="Book Antiqua" w:cs="Arial"/>
          <w:sz w:val="24"/>
          <w:szCs w:val="24"/>
          <w:lang w:val="en-GB"/>
        </w:rPr>
        <w:t xml:space="preserve"> 26460688. The funding body played no role in the study design, in the collection, analysis, or interpretation of the data, in the writing of the manuscript, or in the decision to submit the manuscript for publication.</w:t>
      </w:r>
    </w:p>
    <w:p w14:paraId="0705E3D4"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4BFEA583" w14:textId="0328F1DA"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MS PGothic" w:hAnsi="Book Antiqua" w:cs="Arial"/>
          <w:b/>
          <w:sz w:val="24"/>
          <w:szCs w:val="24"/>
          <w:lang w:val="en-GB"/>
        </w:rPr>
        <w:lastRenderedPageBreak/>
        <w:t xml:space="preserve">Institutional review board statement: </w:t>
      </w:r>
      <w:r w:rsidRPr="007345D5">
        <w:rPr>
          <w:rFonts w:ascii="Book Antiqua" w:eastAsia="MS PGothic" w:hAnsi="Book Antiqua" w:cs="Arial"/>
          <w:sz w:val="24"/>
          <w:szCs w:val="24"/>
          <w:lang w:val="en-GB"/>
        </w:rPr>
        <w:t>The study was approved by the Institutional Review Board of the Showa University, Northern Yokohama Hospital (</w:t>
      </w:r>
      <w:r w:rsidR="003237B6" w:rsidRPr="007345D5">
        <w:rPr>
          <w:rFonts w:ascii="Book Antiqua" w:eastAsia="SimSun" w:hAnsi="Book Antiqua" w:cs="Arial"/>
          <w:sz w:val="24"/>
          <w:szCs w:val="24"/>
          <w:lang w:val="en-GB" w:eastAsia="zh-CN"/>
        </w:rPr>
        <w:t>No.</w:t>
      </w:r>
      <w:r w:rsidRPr="007345D5">
        <w:rPr>
          <w:rFonts w:ascii="Book Antiqua" w:eastAsia="MS PGothic" w:hAnsi="Book Antiqua" w:cs="Arial"/>
          <w:sz w:val="24"/>
          <w:szCs w:val="24"/>
          <w:lang w:val="en-GB"/>
        </w:rPr>
        <w:t xml:space="preserve"> 0903-03). </w:t>
      </w:r>
    </w:p>
    <w:p w14:paraId="03206C8C"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6BD3F403" w14:textId="7E32A2C5"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t>Clinical trial registration</w:t>
      </w:r>
      <w:r w:rsidR="003237B6" w:rsidRPr="007345D5">
        <w:rPr>
          <w:rFonts w:ascii="Book Antiqua" w:eastAsia="MS PGothic" w:hAnsi="Book Antiqua" w:cs="Arial"/>
          <w:b/>
          <w:sz w:val="24"/>
          <w:szCs w:val="24"/>
          <w:lang w:val="en-GB" w:eastAsia="en-US"/>
        </w:rPr>
        <w:t xml:space="preserve"> </w:t>
      </w:r>
      <w:r w:rsidR="003237B6" w:rsidRPr="007345D5">
        <w:rPr>
          <w:rFonts w:ascii="Book Antiqua" w:eastAsia="MS PGothic" w:hAnsi="Book Antiqua" w:cs="Arial"/>
          <w:b/>
          <w:sz w:val="24"/>
          <w:szCs w:val="24"/>
          <w:lang w:val="en-GB"/>
        </w:rPr>
        <w:t>statement</w:t>
      </w:r>
      <w:r w:rsidRPr="007345D5">
        <w:rPr>
          <w:rFonts w:ascii="Book Antiqua" w:eastAsia="MS PGothic" w:hAnsi="Book Antiqua" w:cs="Arial"/>
          <w:b/>
          <w:sz w:val="24"/>
          <w:szCs w:val="24"/>
          <w:lang w:val="en-GB"/>
        </w:rPr>
        <w:t>:</w:t>
      </w:r>
      <w:r w:rsidRPr="007345D5">
        <w:rPr>
          <w:rFonts w:ascii="Book Antiqua" w:eastAsia="MS PGothic" w:hAnsi="Book Antiqua" w:cs="Arial"/>
          <w:sz w:val="24"/>
          <w:szCs w:val="24"/>
          <w:lang w:val="en-GB"/>
        </w:rPr>
        <w:t xml:space="preserve"> This study was registered with the University Hospital Medical Information Network in Japan, UMIN000004026.</w:t>
      </w:r>
    </w:p>
    <w:p w14:paraId="3D450E00"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6122CB30" w14:textId="389CCEB2"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MS PGothic" w:hAnsi="Book Antiqua" w:cs="Arial"/>
          <w:b/>
          <w:sz w:val="24"/>
          <w:szCs w:val="24"/>
          <w:lang w:val="en-GB"/>
        </w:rPr>
        <w:t>Informed consent statement:</w:t>
      </w:r>
      <w:r w:rsidR="003237B6" w:rsidRPr="007345D5">
        <w:rPr>
          <w:rFonts w:ascii="Book Antiqua" w:eastAsia="SimSun" w:hAnsi="Book Antiqua" w:cs="Arial"/>
          <w:b/>
          <w:sz w:val="24"/>
          <w:szCs w:val="24"/>
          <w:lang w:val="en-GB" w:eastAsia="zh-CN"/>
        </w:rPr>
        <w:t xml:space="preserve"> </w:t>
      </w:r>
      <w:r w:rsidRPr="007345D5">
        <w:rPr>
          <w:rFonts w:ascii="Book Antiqua" w:eastAsia="MS PGothic" w:hAnsi="Book Antiqua" w:cs="Arial"/>
          <w:sz w:val="24"/>
          <w:szCs w:val="24"/>
          <w:lang w:val="en-GB"/>
        </w:rPr>
        <w:t>The study protocol was explained to the patients and volunteers before written informed consent was obtained.</w:t>
      </w:r>
    </w:p>
    <w:p w14:paraId="0ED9D8D1"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28800869" w14:textId="405FA95A"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Yu Mincho" w:hAnsi="Book Antiqua" w:cs="Book Antiqua"/>
          <w:b/>
          <w:sz w:val="24"/>
          <w:szCs w:val="24"/>
          <w:lang w:val="en-GB"/>
        </w:rPr>
        <w:t>Conflict-of-interest statement:</w:t>
      </w:r>
      <w:r w:rsidR="003237B6" w:rsidRPr="007345D5">
        <w:rPr>
          <w:rFonts w:ascii="Book Antiqua" w:eastAsia="SimSun" w:hAnsi="Book Antiqua" w:cs="Arial"/>
          <w:b/>
          <w:sz w:val="24"/>
          <w:szCs w:val="24"/>
          <w:lang w:val="en-GB" w:eastAsia="zh-CN"/>
        </w:rPr>
        <w:t xml:space="preserve"> </w:t>
      </w:r>
      <w:r w:rsidRPr="007345D5">
        <w:rPr>
          <w:rFonts w:ascii="Book Antiqua" w:hAnsi="Book Antiqua" w:cs="Arial"/>
          <w:sz w:val="24"/>
          <w:szCs w:val="24"/>
          <w:lang w:val="en-GB"/>
        </w:rPr>
        <w:t>The authors declare that they have no competing interests.</w:t>
      </w:r>
    </w:p>
    <w:p w14:paraId="52CF6E53"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6E491095" w14:textId="30F0C979"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t>Data sharing statement:</w:t>
      </w:r>
      <w:r w:rsidRPr="007345D5">
        <w:rPr>
          <w:rFonts w:ascii="Book Antiqua" w:eastAsia="MS PGothic" w:hAnsi="Book Antiqua" w:cs="Arial"/>
          <w:sz w:val="24"/>
          <w:szCs w:val="24"/>
          <w:lang w:val="en-GB"/>
        </w:rPr>
        <w:t xml:space="preserve"> No additional data are available. </w:t>
      </w:r>
    </w:p>
    <w:p w14:paraId="040E1726" w14:textId="77777777" w:rsidR="00C1732C" w:rsidRPr="007345D5" w:rsidRDefault="00C1732C" w:rsidP="00570508">
      <w:pPr>
        <w:pStyle w:val="CommentTextChar"/>
        <w:adjustRightInd w:val="0"/>
        <w:snapToGrid w:val="0"/>
        <w:spacing w:line="360" w:lineRule="auto"/>
        <w:rPr>
          <w:rFonts w:ascii="Book Antiqua" w:eastAsia="SimSun" w:hAnsi="Book Antiqua" w:cs="Arial"/>
          <w:sz w:val="24"/>
          <w:szCs w:val="24"/>
          <w:lang w:val="en-GB" w:eastAsia="zh-CN"/>
        </w:rPr>
      </w:pPr>
    </w:p>
    <w:p w14:paraId="320C109F" w14:textId="77777777" w:rsidR="003237B6" w:rsidRPr="007345D5" w:rsidRDefault="003237B6" w:rsidP="00570508">
      <w:pPr>
        <w:adjustRightInd w:val="0"/>
        <w:snapToGrid w:val="0"/>
        <w:spacing w:line="360" w:lineRule="auto"/>
        <w:jc w:val="both"/>
        <w:rPr>
          <w:rFonts w:ascii="Book Antiqua" w:eastAsia="SimSun" w:hAnsi="Book Antiqua" w:cs="SimSun"/>
          <w:lang w:eastAsia="zh-CN"/>
        </w:rPr>
      </w:pPr>
      <w:bookmarkStart w:id="101" w:name="OLE_LINK441"/>
      <w:bookmarkStart w:id="102" w:name="OLE_LINK442"/>
      <w:bookmarkStart w:id="103" w:name="OLE_LINK1032"/>
      <w:bookmarkStart w:id="104" w:name="OLE_LINK1232"/>
      <w:bookmarkStart w:id="105" w:name="OLE_LINK1460"/>
      <w:bookmarkStart w:id="106" w:name="OLE_LINK1568"/>
      <w:bookmarkStart w:id="107" w:name="OLE_LINK1708"/>
      <w:bookmarkStart w:id="108" w:name="OLE_LINK1435"/>
      <w:bookmarkStart w:id="109" w:name="OLE_LINK1478"/>
      <w:bookmarkStart w:id="110" w:name="OLE_LINK1428"/>
      <w:bookmarkStart w:id="111" w:name="OLE_LINK1355"/>
      <w:bookmarkStart w:id="112" w:name="OLE_LINK1425"/>
      <w:bookmarkStart w:id="113" w:name="OLE_LINK1504"/>
      <w:bookmarkStart w:id="114" w:name="OLE_LINK1544"/>
      <w:bookmarkStart w:id="115" w:name="OLE_LINK1680"/>
      <w:bookmarkStart w:id="116" w:name="OLE_LINK1710"/>
      <w:bookmarkStart w:id="117" w:name="OLE_LINK3317"/>
      <w:bookmarkStart w:id="118" w:name="OLE_LINK22"/>
      <w:bookmarkStart w:id="119" w:name="OLE_LINK1818"/>
      <w:bookmarkStart w:id="120" w:name="OLE_LINK1684"/>
      <w:bookmarkStart w:id="121" w:name="OLE_LINK1885"/>
      <w:bookmarkStart w:id="122" w:name="OLE_LINK1799"/>
      <w:bookmarkStart w:id="123" w:name="OLE_LINK27"/>
      <w:bookmarkStart w:id="124" w:name="OLE_LINK732"/>
      <w:bookmarkStart w:id="125" w:name="OLE_LINK2053"/>
      <w:bookmarkStart w:id="126" w:name="OLE_LINK2096"/>
      <w:bookmarkStart w:id="127" w:name="OLE_LINK2174"/>
      <w:bookmarkStart w:id="128" w:name="OLE_LINK2108"/>
      <w:bookmarkStart w:id="129" w:name="OLE_LINK2183"/>
      <w:bookmarkStart w:id="130" w:name="OLE_LINK2328"/>
      <w:bookmarkStart w:id="131" w:name="OLE_LINK766"/>
      <w:bookmarkStart w:id="132" w:name="OLE_LINK2256"/>
      <w:bookmarkStart w:id="133" w:name="OLE_LINK38"/>
      <w:bookmarkStart w:id="134" w:name="OLE_LINK2368"/>
      <w:bookmarkStart w:id="135" w:name="OLE_LINK2446"/>
      <w:bookmarkStart w:id="136" w:name="OLE_LINK2509"/>
      <w:bookmarkStart w:id="137" w:name="OLE_LINK2651"/>
      <w:bookmarkStart w:id="138" w:name="OLE_LINK2842"/>
      <w:bookmarkStart w:id="139" w:name="OLE_LINK2909"/>
      <w:bookmarkStart w:id="140" w:name="OLE_LINK3004"/>
      <w:bookmarkStart w:id="141" w:name="OLE_LINK3170"/>
      <w:bookmarkStart w:id="142" w:name="OLE_LINK3181"/>
      <w:bookmarkStart w:id="143" w:name="OLE_LINK3182"/>
      <w:bookmarkStart w:id="144" w:name="OLE_LINK3293"/>
      <w:bookmarkStart w:id="145" w:name="OLE_LINK71"/>
      <w:bookmarkStart w:id="146" w:name="OLE_LINK3789"/>
      <w:bookmarkStart w:id="147" w:name="OLE_LINK76"/>
      <w:bookmarkStart w:id="148" w:name="OLE_LINK102"/>
      <w:bookmarkStart w:id="149" w:name="OLE_LINK3695"/>
      <w:r w:rsidRPr="007345D5">
        <w:rPr>
          <w:rFonts w:ascii="Book Antiqua" w:eastAsia="SimSun" w:hAnsi="Book Antiqua"/>
          <w:b/>
          <w:lang w:eastAsia="zh-CN"/>
        </w:rPr>
        <w:t xml:space="preserve">Open-Access: </w:t>
      </w:r>
      <w:bookmarkStart w:id="150" w:name="OLE_LINK479"/>
      <w:bookmarkStart w:id="151" w:name="OLE_LINK496"/>
      <w:bookmarkStart w:id="152" w:name="OLE_LINK506"/>
      <w:bookmarkStart w:id="153" w:name="OLE_LINK507"/>
      <w:r w:rsidRPr="007345D5">
        <w:rPr>
          <w:rFonts w:ascii="Book Antiqua" w:eastAsia="SimSun" w:hAnsi="Book Antiqua"/>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345D5">
          <w:rPr>
            <w:rFonts w:ascii="Book Antiqua" w:eastAsia="SimSun" w:hAnsi="Book Antiqua"/>
            <w:kern w:val="2"/>
            <w:u w:val="single"/>
            <w:lang w:eastAsia="zh-CN"/>
          </w:rPr>
          <w:t>http://creativecommons.org/licenses/by-nc/4.0/</w:t>
        </w:r>
      </w:hyperlink>
      <w:bookmarkEnd w:id="150"/>
      <w:bookmarkEnd w:id="151"/>
      <w:bookmarkEnd w:id="152"/>
      <w:bookmarkEnd w:id="153"/>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14:paraId="13E67882" w14:textId="77777777" w:rsidR="003237B6" w:rsidRPr="007345D5" w:rsidRDefault="003237B6" w:rsidP="00570508">
      <w:pPr>
        <w:widowControl w:val="0"/>
        <w:adjustRightInd w:val="0"/>
        <w:snapToGrid w:val="0"/>
        <w:spacing w:line="360" w:lineRule="auto"/>
        <w:jc w:val="both"/>
        <w:rPr>
          <w:rFonts w:ascii="Book Antiqua" w:eastAsia="SimSun" w:hAnsi="Book Antiqua"/>
          <w:b/>
          <w:kern w:val="2"/>
          <w:lang w:eastAsia="zh-CN"/>
        </w:rPr>
      </w:pPr>
    </w:p>
    <w:p w14:paraId="0BA9D76A" w14:textId="77777777" w:rsidR="003237B6" w:rsidRPr="007345D5" w:rsidRDefault="003237B6" w:rsidP="00570508">
      <w:pPr>
        <w:widowControl w:val="0"/>
        <w:adjustRightInd w:val="0"/>
        <w:snapToGrid w:val="0"/>
        <w:spacing w:line="360" w:lineRule="auto"/>
        <w:jc w:val="both"/>
        <w:rPr>
          <w:rFonts w:ascii="Book Antiqua" w:eastAsia="SimSun" w:hAnsi="Book Antiqua"/>
          <w:kern w:val="2"/>
          <w:lang w:eastAsia="zh-CN"/>
        </w:rPr>
      </w:pPr>
      <w:bookmarkStart w:id="154" w:name="OLE_LINK3166"/>
      <w:bookmarkStart w:id="155" w:name="OLE_LINK3167"/>
      <w:bookmarkStart w:id="156" w:name="OLE_LINK3173"/>
      <w:bookmarkStart w:id="157" w:name="OLE_LINK3235"/>
      <w:r w:rsidRPr="007345D5">
        <w:rPr>
          <w:rFonts w:ascii="Book Antiqua" w:eastAsia="SimSun" w:hAnsi="Book Antiqua"/>
          <w:b/>
          <w:kern w:val="2"/>
          <w:lang w:eastAsia="zh-CN"/>
        </w:rPr>
        <w:t xml:space="preserve">Manuscript source: </w:t>
      </w:r>
      <w:r w:rsidRPr="007345D5">
        <w:rPr>
          <w:rFonts w:ascii="Book Antiqua" w:eastAsia="SimSun" w:hAnsi="Book Antiqua"/>
          <w:kern w:val="2"/>
          <w:lang w:eastAsia="zh-CN"/>
        </w:rPr>
        <w:t>Invited manuscript</w:t>
      </w:r>
    </w:p>
    <w:bookmarkEnd w:id="142"/>
    <w:bookmarkEnd w:id="143"/>
    <w:bookmarkEnd w:id="144"/>
    <w:bookmarkEnd w:id="145"/>
    <w:bookmarkEnd w:id="146"/>
    <w:bookmarkEnd w:id="147"/>
    <w:bookmarkEnd w:id="148"/>
    <w:bookmarkEnd w:id="149"/>
    <w:bookmarkEnd w:id="154"/>
    <w:bookmarkEnd w:id="155"/>
    <w:bookmarkEnd w:id="156"/>
    <w:bookmarkEnd w:id="157"/>
    <w:p w14:paraId="505CCB6F" w14:textId="77777777" w:rsidR="003237B6" w:rsidRPr="007345D5" w:rsidRDefault="003237B6" w:rsidP="00570508">
      <w:pPr>
        <w:pStyle w:val="CommentTextChar"/>
        <w:adjustRightInd w:val="0"/>
        <w:snapToGrid w:val="0"/>
        <w:spacing w:line="360" w:lineRule="auto"/>
        <w:rPr>
          <w:rFonts w:ascii="Book Antiqua" w:eastAsia="SimSun" w:hAnsi="Book Antiqua" w:cs="Arial"/>
          <w:sz w:val="24"/>
          <w:szCs w:val="24"/>
          <w:lang w:val="en-GB" w:eastAsia="zh-CN"/>
        </w:rPr>
      </w:pPr>
    </w:p>
    <w:p w14:paraId="42566A5A" w14:textId="1B506DF1"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MS PGothic" w:hAnsi="Book Antiqua" w:cs="Arial"/>
          <w:b/>
          <w:sz w:val="24"/>
          <w:szCs w:val="24"/>
          <w:lang w:val="en-GB"/>
        </w:rPr>
        <w:t>Correspondence to:</w:t>
      </w:r>
      <w:r w:rsidR="003237B6" w:rsidRPr="007345D5">
        <w:rPr>
          <w:rFonts w:ascii="Book Antiqua" w:eastAsia="SimSun" w:hAnsi="Book Antiqua" w:cs="Arial"/>
          <w:b/>
          <w:sz w:val="24"/>
          <w:szCs w:val="24"/>
          <w:lang w:val="en-GB" w:eastAsia="zh-CN"/>
        </w:rPr>
        <w:t xml:space="preserve"> </w:t>
      </w:r>
      <w:r w:rsidRPr="007345D5">
        <w:rPr>
          <w:rFonts w:ascii="Book Antiqua" w:eastAsia="MS PGothic" w:hAnsi="Book Antiqua" w:cs="Arial"/>
          <w:b/>
          <w:sz w:val="24"/>
          <w:szCs w:val="24"/>
          <w:lang w:val="en-GB"/>
        </w:rPr>
        <w:t xml:space="preserve">Hiroaki Ito, MD, </w:t>
      </w:r>
      <w:r w:rsidR="0016381E" w:rsidRPr="007345D5">
        <w:rPr>
          <w:rFonts w:ascii="Book Antiqua" w:eastAsia="MS PGothic" w:hAnsi="Book Antiqua" w:cs="Arial"/>
          <w:sz w:val="24"/>
          <w:szCs w:val="24"/>
          <w:lang w:val="en-GB"/>
        </w:rPr>
        <w:t xml:space="preserve">Department of Surgery, </w:t>
      </w:r>
      <w:r w:rsidRPr="007345D5">
        <w:rPr>
          <w:rFonts w:ascii="Book Antiqua" w:eastAsia="MS PGothic" w:hAnsi="Book Antiqua" w:cs="Arial"/>
          <w:sz w:val="24"/>
          <w:szCs w:val="24"/>
          <w:lang w:val="en-GB"/>
        </w:rPr>
        <w:t>Digestive Disease Center, Showa University Koto Toyosu Hospital, 5-1-38 Toyosu, Koto-ku, Tokyo 135-8577, Japan</w:t>
      </w:r>
      <w:r w:rsidR="003237B6" w:rsidRPr="007345D5">
        <w:rPr>
          <w:rFonts w:ascii="Book Antiqua" w:eastAsia="SimSun" w:hAnsi="Book Antiqua" w:cs="Arial"/>
          <w:b/>
          <w:sz w:val="24"/>
          <w:szCs w:val="24"/>
          <w:lang w:val="en-GB" w:eastAsia="zh-CN"/>
        </w:rPr>
        <w:t xml:space="preserve">. </w:t>
      </w:r>
      <w:r w:rsidRPr="007345D5">
        <w:rPr>
          <w:rFonts w:ascii="Book Antiqua" w:eastAsia="MS PGothic" w:hAnsi="Book Antiqua" w:cs="Arial"/>
          <w:sz w:val="24"/>
          <w:szCs w:val="24"/>
          <w:lang w:val="en-GB"/>
        </w:rPr>
        <w:t>h.ito@med.showa-u.ac.jp</w:t>
      </w:r>
    </w:p>
    <w:p w14:paraId="083ADB89" w14:textId="7337ECE8"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t>Tel</w:t>
      </w:r>
      <w:r w:rsidR="003237B6" w:rsidRPr="007345D5">
        <w:rPr>
          <w:rFonts w:ascii="Book Antiqua" w:eastAsia="SimSun" w:hAnsi="Book Antiqua" w:cs="Arial"/>
          <w:b/>
          <w:sz w:val="24"/>
          <w:szCs w:val="24"/>
          <w:lang w:val="en-GB" w:eastAsia="zh-CN"/>
        </w:rPr>
        <w:t>ephone</w:t>
      </w:r>
      <w:r w:rsidRPr="007345D5">
        <w:rPr>
          <w:rFonts w:ascii="Book Antiqua" w:eastAsia="MS PGothic" w:hAnsi="Book Antiqua" w:cs="Arial"/>
          <w:b/>
          <w:sz w:val="24"/>
          <w:szCs w:val="24"/>
          <w:lang w:val="en-GB"/>
        </w:rPr>
        <w:t xml:space="preserve">: </w:t>
      </w:r>
      <w:r w:rsidR="003237B6" w:rsidRPr="007345D5">
        <w:rPr>
          <w:rFonts w:ascii="Book Antiqua" w:eastAsia="MS PGothic" w:hAnsi="Book Antiqua" w:cs="Arial"/>
          <w:sz w:val="24"/>
          <w:szCs w:val="24"/>
          <w:lang w:val="en-GB"/>
        </w:rPr>
        <w:t>+81-3-6204</w:t>
      </w:r>
      <w:r w:rsidRPr="007345D5">
        <w:rPr>
          <w:rFonts w:ascii="Book Antiqua" w:eastAsia="MS PGothic" w:hAnsi="Book Antiqua" w:cs="Arial"/>
          <w:sz w:val="24"/>
          <w:szCs w:val="24"/>
          <w:lang w:val="en-GB"/>
        </w:rPr>
        <w:t>6000</w:t>
      </w:r>
    </w:p>
    <w:p w14:paraId="5504CC44" w14:textId="636BAC9C" w:rsidR="00C1732C" w:rsidRPr="007345D5" w:rsidRDefault="00C1732C"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MS PGothic" w:hAnsi="Book Antiqua" w:cs="Arial"/>
          <w:b/>
          <w:sz w:val="24"/>
          <w:szCs w:val="24"/>
          <w:lang w:val="en-GB"/>
        </w:rPr>
        <w:lastRenderedPageBreak/>
        <w:t>Fax:</w:t>
      </w:r>
      <w:r w:rsidR="003237B6" w:rsidRPr="007345D5">
        <w:rPr>
          <w:rFonts w:ascii="Book Antiqua" w:eastAsia="MS PGothic" w:hAnsi="Book Antiqua" w:cs="Arial"/>
          <w:sz w:val="24"/>
          <w:szCs w:val="24"/>
          <w:lang w:val="en-GB"/>
        </w:rPr>
        <w:t xml:space="preserve"> +81-3-6204</w:t>
      </w:r>
      <w:r w:rsidRPr="007345D5">
        <w:rPr>
          <w:rFonts w:ascii="Book Antiqua" w:eastAsia="MS PGothic" w:hAnsi="Book Antiqua" w:cs="Arial"/>
          <w:sz w:val="24"/>
          <w:szCs w:val="24"/>
          <w:lang w:val="en-GB"/>
        </w:rPr>
        <w:t>6396</w:t>
      </w:r>
    </w:p>
    <w:p w14:paraId="34C9C845" w14:textId="77777777" w:rsidR="003237B6" w:rsidRPr="007345D5" w:rsidRDefault="003237B6" w:rsidP="00570508">
      <w:pPr>
        <w:pStyle w:val="CommentTextChar"/>
        <w:adjustRightInd w:val="0"/>
        <w:snapToGrid w:val="0"/>
        <w:spacing w:line="360" w:lineRule="auto"/>
        <w:rPr>
          <w:rFonts w:ascii="Book Antiqua" w:eastAsia="SimSun" w:hAnsi="Book Antiqua" w:cs="Arial"/>
          <w:sz w:val="24"/>
          <w:szCs w:val="24"/>
          <w:lang w:val="en-GB" w:eastAsia="zh-CN"/>
        </w:rPr>
      </w:pPr>
    </w:p>
    <w:p w14:paraId="50578750" w14:textId="0281C95C" w:rsidR="003237B6" w:rsidRPr="007345D5" w:rsidRDefault="003237B6" w:rsidP="00570508">
      <w:pPr>
        <w:adjustRightInd w:val="0"/>
        <w:snapToGrid w:val="0"/>
        <w:spacing w:line="360" w:lineRule="auto"/>
        <w:jc w:val="both"/>
        <w:rPr>
          <w:rFonts w:ascii="Book Antiqua" w:hAnsi="Book Antiqua"/>
          <w:b/>
          <w:bCs/>
        </w:rPr>
      </w:pPr>
      <w:bookmarkStart w:id="158" w:name="OLE_LINK1346"/>
      <w:bookmarkStart w:id="159" w:name="OLE_LINK1347"/>
      <w:bookmarkStart w:id="160" w:name="OLE_LINK1461"/>
      <w:bookmarkStart w:id="161" w:name="OLE_LINK1437"/>
      <w:bookmarkStart w:id="162" w:name="OLE_LINK1493"/>
      <w:bookmarkStart w:id="163" w:name="OLE_LINK1436"/>
      <w:bookmarkStart w:id="164" w:name="OLE_LINK1584"/>
      <w:bookmarkStart w:id="165" w:name="OLE_LINK1426"/>
      <w:bookmarkStart w:id="166" w:name="OLE_LINK1470"/>
      <w:bookmarkStart w:id="167" w:name="OLE_LINK1726"/>
      <w:bookmarkStart w:id="168" w:name="OLE_LINK1773"/>
      <w:bookmarkStart w:id="169" w:name="OLE_LINK1819"/>
      <w:bookmarkStart w:id="170" w:name="OLE_LINK1886"/>
      <w:bookmarkStart w:id="171" w:name="OLE_LINK1800"/>
      <w:bookmarkStart w:id="172" w:name="OLE_LINK1718"/>
      <w:bookmarkStart w:id="173" w:name="OLE_LINK1895"/>
      <w:bookmarkStart w:id="174" w:name="OLE_LINK1973"/>
      <w:bookmarkStart w:id="175" w:name="OLE_LINK25"/>
      <w:bookmarkStart w:id="176" w:name="OLE_LINK29"/>
      <w:bookmarkStart w:id="177" w:name="OLE_LINK733"/>
      <w:bookmarkStart w:id="178" w:name="OLE_LINK2054"/>
      <w:bookmarkStart w:id="179" w:name="OLE_LINK2100"/>
      <w:bookmarkStart w:id="180" w:name="OLE_LINK767"/>
      <w:bookmarkStart w:id="181" w:name="OLE_LINK39"/>
      <w:bookmarkStart w:id="182" w:name="OLE_LINK42"/>
      <w:bookmarkStart w:id="183" w:name="OLE_LINK2412"/>
      <w:bookmarkStart w:id="184" w:name="OLE_LINK2447"/>
      <w:bookmarkStart w:id="185" w:name="OLE_LINK2378"/>
      <w:bookmarkStart w:id="186" w:name="OLE_LINK2510"/>
      <w:bookmarkStart w:id="187" w:name="OLE_LINK2774"/>
      <w:bookmarkStart w:id="188" w:name="OLE_LINK54"/>
      <w:bookmarkStart w:id="189" w:name="OLE_LINK59"/>
      <w:bookmarkStart w:id="190" w:name="OLE_LINK60"/>
      <w:bookmarkStart w:id="191" w:name="OLE_LINK3168"/>
      <w:bookmarkStart w:id="192" w:name="OLE_LINK3243"/>
      <w:bookmarkStart w:id="193" w:name="OLE_LINK3331"/>
      <w:bookmarkStart w:id="194" w:name="OLE_LINK67"/>
      <w:bookmarkStart w:id="195" w:name="OLE_LINK3303"/>
      <w:bookmarkStart w:id="196" w:name="OLE_LINK72"/>
      <w:bookmarkStart w:id="197" w:name="OLE_LINK3751"/>
      <w:bookmarkStart w:id="198" w:name="OLE_LINK3531"/>
      <w:bookmarkStart w:id="199" w:name="OLE_LINK77"/>
      <w:bookmarkStart w:id="200" w:name="OLE_LINK84"/>
      <w:bookmarkStart w:id="201" w:name="OLE_LINK207"/>
      <w:r w:rsidRPr="007345D5">
        <w:rPr>
          <w:rFonts w:ascii="Book Antiqua" w:hAnsi="Book Antiqua"/>
          <w:b/>
          <w:bCs/>
        </w:rPr>
        <w:t xml:space="preserve">Received: </w:t>
      </w:r>
      <w:r w:rsidR="00A92830" w:rsidRPr="007345D5">
        <w:rPr>
          <w:rFonts w:ascii="Book Antiqua" w:eastAsia="SimSun" w:hAnsi="Book Antiqua"/>
          <w:bCs/>
          <w:lang w:eastAsia="zh-CN"/>
        </w:rPr>
        <w:t>August</w:t>
      </w:r>
      <w:r w:rsidRPr="007345D5">
        <w:rPr>
          <w:rFonts w:ascii="Book Antiqua" w:hAnsi="Book Antiqua"/>
          <w:bCs/>
        </w:rPr>
        <w:t xml:space="preserve"> </w:t>
      </w:r>
      <w:r w:rsidR="00A92830" w:rsidRPr="007345D5">
        <w:rPr>
          <w:rFonts w:ascii="Book Antiqua" w:eastAsia="SimSun" w:hAnsi="Book Antiqua"/>
          <w:bCs/>
          <w:lang w:eastAsia="zh-CN"/>
        </w:rPr>
        <w:t>19</w:t>
      </w:r>
      <w:r w:rsidRPr="007345D5">
        <w:rPr>
          <w:rFonts w:ascii="Book Antiqua" w:hAnsi="Book Antiqua"/>
          <w:bCs/>
        </w:rPr>
        <w:t>, 2016</w:t>
      </w:r>
    </w:p>
    <w:p w14:paraId="48EEE606" w14:textId="13245DF5" w:rsidR="003237B6" w:rsidRPr="007345D5" w:rsidRDefault="003237B6" w:rsidP="00570508">
      <w:pPr>
        <w:adjustRightInd w:val="0"/>
        <w:snapToGrid w:val="0"/>
        <w:spacing w:line="360" w:lineRule="auto"/>
        <w:jc w:val="both"/>
        <w:rPr>
          <w:rFonts w:ascii="Book Antiqua" w:hAnsi="Book Antiqua"/>
          <w:bCs/>
        </w:rPr>
      </w:pPr>
      <w:r w:rsidRPr="007345D5">
        <w:rPr>
          <w:rFonts w:ascii="Book Antiqua" w:hAnsi="Book Antiqua"/>
          <w:b/>
          <w:bCs/>
        </w:rPr>
        <w:t>Peer-review started:</w:t>
      </w:r>
      <w:r w:rsidRPr="007345D5">
        <w:rPr>
          <w:rFonts w:ascii="Book Antiqua" w:hAnsi="Book Antiqua"/>
          <w:bCs/>
        </w:rPr>
        <w:t xml:space="preserve"> </w:t>
      </w:r>
      <w:r w:rsidR="00A92830" w:rsidRPr="007345D5">
        <w:rPr>
          <w:rFonts w:ascii="Book Antiqua" w:eastAsia="SimSun" w:hAnsi="Book Antiqua"/>
          <w:bCs/>
          <w:lang w:eastAsia="zh-CN"/>
        </w:rPr>
        <w:t>August</w:t>
      </w:r>
      <w:r w:rsidRPr="007345D5">
        <w:rPr>
          <w:rFonts w:ascii="Book Antiqua" w:hAnsi="Book Antiqua"/>
          <w:bCs/>
        </w:rPr>
        <w:t xml:space="preserve"> </w:t>
      </w:r>
      <w:r w:rsidR="00A92830" w:rsidRPr="007345D5">
        <w:rPr>
          <w:rFonts w:ascii="Book Antiqua" w:eastAsia="SimSun" w:hAnsi="Book Antiqua"/>
          <w:bCs/>
          <w:lang w:eastAsia="zh-CN"/>
        </w:rPr>
        <w:t>22</w:t>
      </w:r>
      <w:r w:rsidRPr="007345D5">
        <w:rPr>
          <w:rFonts w:ascii="Book Antiqua" w:hAnsi="Book Antiqua"/>
          <w:bCs/>
        </w:rPr>
        <w:t>, 2016</w:t>
      </w:r>
    </w:p>
    <w:p w14:paraId="0FFB457B" w14:textId="14517E25" w:rsidR="003237B6" w:rsidRPr="007345D5" w:rsidRDefault="003237B6" w:rsidP="00570508">
      <w:pPr>
        <w:adjustRightInd w:val="0"/>
        <w:snapToGrid w:val="0"/>
        <w:spacing w:line="360" w:lineRule="auto"/>
        <w:jc w:val="both"/>
        <w:rPr>
          <w:rFonts w:ascii="Book Antiqua" w:hAnsi="Book Antiqua"/>
          <w:bCs/>
        </w:rPr>
      </w:pPr>
      <w:bookmarkStart w:id="202" w:name="OLE_LINK23"/>
      <w:bookmarkStart w:id="203" w:name="OLE_LINK24"/>
      <w:r w:rsidRPr="007345D5">
        <w:rPr>
          <w:rFonts w:ascii="Book Antiqua" w:hAnsi="Book Antiqua"/>
          <w:b/>
          <w:bCs/>
        </w:rPr>
        <w:t>First decision:</w:t>
      </w:r>
      <w:r w:rsidRPr="007345D5">
        <w:rPr>
          <w:rFonts w:ascii="Book Antiqua" w:hAnsi="Book Antiqua"/>
          <w:bCs/>
        </w:rPr>
        <w:t xml:space="preserve"> </w:t>
      </w:r>
      <w:r w:rsidR="00A92830" w:rsidRPr="007345D5">
        <w:rPr>
          <w:rFonts w:ascii="Book Antiqua" w:eastAsia="SimSun" w:hAnsi="Book Antiqua"/>
          <w:bCs/>
          <w:lang w:eastAsia="zh-CN"/>
        </w:rPr>
        <w:t>September</w:t>
      </w:r>
      <w:r w:rsidRPr="007345D5">
        <w:rPr>
          <w:rFonts w:ascii="Book Antiqua" w:hAnsi="Book Antiqua"/>
          <w:bCs/>
        </w:rPr>
        <w:t xml:space="preserve"> 12, 2016</w:t>
      </w:r>
    </w:p>
    <w:p w14:paraId="35A5363B" w14:textId="00CB861F" w:rsidR="003237B6" w:rsidRPr="007345D5" w:rsidRDefault="003237B6" w:rsidP="00570508">
      <w:pPr>
        <w:adjustRightInd w:val="0"/>
        <w:snapToGrid w:val="0"/>
        <w:spacing w:line="360" w:lineRule="auto"/>
        <w:jc w:val="both"/>
        <w:rPr>
          <w:rFonts w:ascii="Book Antiqua" w:hAnsi="Book Antiqua"/>
          <w:bCs/>
        </w:rPr>
      </w:pPr>
      <w:r w:rsidRPr="007345D5">
        <w:rPr>
          <w:rFonts w:ascii="Book Antiqua" w:hAnsi="Book Antiqua"/>
          <w:b/>
          <w:bCs/>
        </w:rPr>
        <w:t>Revised:</w:t>
      </w:r>
      <w:r w:rsidRPr="007345D5">
        <w:rPr>
          <w:rFonts w:ascii="Book Antiqua" w:hAnsi="Book Antiqua"/>
          <w:bCs/>
        </w:rPr>
        <w:t xml:space="preserve"> </w:t>
      </w:r>
      <w:r w:rsidR="00A92830" w:rsidRPr="007345D5">
        <w:rPr>
          <w:rFonts w:ascii="Book Antiqua" w:hAnsi="Book Antiqua"/>
          <w:bCs/>
        </w:rPr>
        <w:t xml:space="preserve">September </w:t>
      </w:r>
      <w:r w:rsidR="00A92830" w:rsidRPr="007345D5">
        <w:rPr>
          <w:rFonts w:ascii="Book Antiqua" w:eastAsia="SimSun" w:hAnsi="Book Antiqua"/>
          <w:bCs/>
          <w:lang w:eastAsia="zh-CN"/>
        </w:rPr>
        <w:t>27</w:t>
      </w:r>
      <w:r w:rsidRPr="007345D5">
        <w:rPr>
          <w:rFonts w:ascii="Book Antiqua" w:hAnsi="Book Antiqua"/>
          <w:bCs/>
        </w:rPr>
        <w:t>, 2016</w:t>
      </w:r>
    </w:p>
    <w:p w14:paraId="1E1E5844" w14:textId="151F30C3" w:rsidR="003237B6" w:rsidRPr="00E1193D" w:rsidRDefault="003237B6" w:rsidP="00E1193D">
      <w:pPr>
        <w:spacing w:line="360" w:lineRule="auto"/>
        <w:rPr>
          <w:rFonts w:ascii="Book Antiqua" w:hAnsi="Book Antiqua"/>
          <w:color w:val="000000"/>
        </w:rPr>
      </w:pPr>
      <w:r w:rsidRPr="007345D5">
        <w:rPr>
          <w:rFonts w:ascii="Book Antiqua" w:hAnsi="Book Antiqua"/>
          <w:b/>
          <w:bCs/>
        </w:rPr>
        <w:t>Accepted:</w:t>
      </w:r>
      <w:r w:rsidR="00E1193D" w:rsidRPr="00E1193D">
        <w:rPr>
          <w:rFonts w:ascii="Book Antiqua" w:hAnsi="Book Antiqua"/>
          <w:color w:val="000000"/>
        </w:rPr>
        <w:t xml:space="preserve"> </w:t>
      </w:r>
      <w:r w:rsidR="00E1193D">
        <w:rPr>
          <w:rFonts w:ascii="Book Antiqua" w:hAnsi="Book Antiqua"/>
          <w:color w:val="000000"/>
        </w:rPr>
        <w:t>October 27, 2016</w:t>
      </w:r>
      <w:r w:rsidRPr="007345D5">
        <w:rPr>
          <w:rFonts w:ascii="Book Antiqua" w:hAnsi="Book Antiqua"/>
          <w:b/>
          <w:bCs/>
        </w:rPr>
        <w:t xml:space="preserve">  </w:t>
      </w:r>
    </w:p>
    <w:p w14:paraId="0D2CF296" w14:textId="77777777" w:rsidR="003237B6" w:rsidRPr="007345D5" w:rsidRDefault="003237B6" w:rsidP="00570508">
      <w:pPr>
        <w:adjustRightInd w:val="0"/>
        <w:snapToGrid w:val="0"/>
        <w:spacing w:line="360" w:lineRule="auto"/>
        <w:jc w:val="both"/>
        <w:rPr>
          <w:rFonts w:ascii="Book Antiqua" w:hAnsi="Book Antiqua"/>
          <w:b/>
          <w:bCs/>
        </w:rPr>
      </w:pPr>
      <w:r w:rsidRPr="007345D5">
        <w:rPr>
          <w:rFonts w:ascii="Book Antiqua" w:hAnsi="Book Antiqua"/>
          <w:b/>
          <w:bCs/>
        </w:rPr>
        <w:t>Article in press:</w:t>
      </w:r>
    </w:p>
    <w:p w14:paraId="10631BB8" w14:textId="77777777" w:rsidR="003237B6" w:rsidRPr="007345D5" w:rsidRDefault="003237B6" w:rsidP="00570508">
      <w:pPr>
        <w:adjustRightInd w:val="0"/>
        <w:snapToGrid w:val="0"/>
        <w:spacing w:line="360" w:lineRule="auto"/>
        <w:jc w:val="both"/>
        <w:rPr>
          <w:rFonts w:ascii="Book Antiqua" w:hAnsi="Book Antiqua"/>
          <w:b/>
          <w:bCs/>
        </w:rPr>
      </w:pPr>
      <w:r w:rsidRPr="007345D5">
        <w:rPr>
          <w:rFonts w:ascii="Book Antiqua" w:hAnsi="Book Antiqua"/>
          <w:b/>
          <w:bCs/>
        </w:rPr>
        <w:t xml:space="preserve">Published online: </w:t>
      </w:r>
    </w:p>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14:paraId="3C14D29D" w14:textId="77777777" w:rsidR="003237B6" w:rsidRPr="007345D5" w:rsidRDefault="003237B6" w:rsidP="00570508">
      <w:pPr>
        <w:pStyle w:val="CommentTextChar"/>
        <w:adjustRightInd w:val="0"/>
        <w:snapToGrid w:val="0"/>
        <w:spacing w:line="360" w:lineRule="auto"/>
        <w:rPr>
          <w:rFonts w:ascii="Book Antiqua" w:eastAsia="SimSun" w:hAnsi="Book Antiqua" w:cs="Arial"/>
          <w:sz w:val="24"/>
          <w:szCs w:val="24"/>
          <w:lang w:val="en-GB" w:eastAsia="zh-CN"/>
        </w:rPr>
      </w:pPr>
    </w:p>
    <w:p w14:paraId="341D4111" w14:textId="77777777"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MS PGothic" w:hAnsi="Book Antiqua" w:cs="Arial"/>
          <w:b/>
          <w:sz w:val="24"/>
          <w:szCs w:val="24"/>
          <w:lang w:val="en-GB"/>
        </w:rPr>
        <w:br w:type="page"/>
      </w:r>
      <w:r w:rsidRPr="007345D5">
        <w:rPr>
          <w:rFonts w:ascii="Book Antiqua" w:eastAsia="MS PGothic" w:hAnsi="Book Antiqua" w:cs="Arial"/>
          <w:b/>
          <w:sz w:val="24"/>
          <w:szCs w:val="24"/>
          <w:lang w:val="en-GB"/>
        </w:rPr>
        <w:lastRenderedPageBreak/>
        <w:t>Abstract</w:t>
      </w:r>
    </w:p>
    <w:p w14:paraId="7CA3F765" w14:textId="7430921F" w:rsidR="00A92830" w:rsidRPr="007345D5" w:rsidRDefault="00A92830" w:rsidP="00570508">
      <w:pPr>
        <w:pStyle w:val="CommentTextChar"/>
        <w:adjustRightInd w:val="0"/>
        <w:snapToGrid w:val="0"/>
        <w:spacing w:line="360" w:lineRule="auto"/>
        <w:rPr>
          <w:rFonts w:ascii="Book Antiqua" w:eastAsia="SimSun" w:hAnsi="Book Antiqua" w:cs="Arial"/>
          <w:i/>
          <w:sz w:val="24"/>
          <w:szCs w:val="24"/>
          <w:lang w:val="en-GB" w:eastAsia="zh-CN"/>
        </w:rPr>
      </w:pPr>
      <w:r w:rsidRPr="007345D5">
        <w:rPr>
          <w:rFonts w:ascii="Book Antiqua" w:eastAsia="MS PGothic" w:hAnsi="Book Antiqua" w:cs="Arial"/>
          <w:b/>
          <w:i/>
          <w:sz w:val="24"/>
          <w:szCs w:val="24"/>
          <w:lang w:val="en-GB"/>
        </w:rPr>
        <w:t>AIM</w:t>
      </w:r>
    </w:p>
    <w:p w14:paraId="61560663" w14:textId="5E2B463B" w:rsidR="00C1732C" w:rsidRPr="007345D5" w:rsidRDefault="00A92830"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SimSun" w:hAnsi="Book Antiqua" w:cs="Arial"/>
          <w:sz w:val="24"/>
          <w:szCs w:val="24"/>
          <w:lang w:val="en-GB" w:eastAsia="zh-CN"/>
        </w:rPr>
        <w:t>To</w:t>
      </w:r>
      <w:r w:rsidRPr="007345D5">
        <w:rPr>
          <w:rFonts w:ascii="Book Antiqua" w:eastAsia="MS PGothic" w:hAnsi="Book Antiqua" w:cs="Arial"/>
          <w:sz w:val="24"/>
          <w:szCs w:val="24"/>
          <w:lang w:val="en-GB"/>
        </w:rPr>
        <w:t xml:space="preserve"> analyse</w:t>
      </w:r>
      <w:r w:rsidR="00C1732C" w:rsidRPr="007345D5">
        <w:rPr>
          <w:rFonts w:ascii="Book Antiqua" w:eastAsia="MS PGothic" w:hAnsi="Book Antiqua" w:cs="Arial"/>
          <w:sz w:val="24"/>
          <w:szCs w:val="24"/>
          <w:lang w:val="en-GB"/>
        </w:rPr>
        <w:t xml:space="preserve"> </w:t>
      </w:r>
      <w:r w:rsidR="006051E9" w:rsidRPr="007345D5">
        <w:rPr>
          <w:rFonts w:ascii="Book Antiqua" w:eastAsia="MS PGothic" w:hAnsi="Book Antiqua" w:cs="Arial"/>
          <w:sz w:val="24"/>
          <w:szCs w:val="24"/>
          <w:lang w:val="en-GB"/>
        </w:rPr>
        <w:t xml:space="preserve">the </w:t>
      </w:r>
      <w:r w:rsidR="00C1732C" w:rsidRPr="007345D5">
        <w:rPr>
          <w:rFonts w:ascii="Book Antiqua" w:eastAsia="MS PGothic" w:hAnsi="Book Antiqua" w:cs="Arial"/>
          <w:sz w:val="24"/>
          <w:szCs w:val="24"/>
          <w:lang w:val="en-GB"/>
        </w:rPr>
        <w:t xml:space="preserve">long-term prognostic impact of circulating tumour cells in gastric cancer patients </w:t>
      </w:r>
      <w:r w:rsidR="006051E9" w:rsidRPr="007345D5">
        <w:rPr>
          <w:rFonts w:ascii="Book Antiqua" w:eastAsia="MS PGothic" w:hAnsi="Book Antiqua" w:cs="Arial"/>
          <w:sz w:val="24"/>
          <w:szCs w:val="24"/>
          <w:lang w:val="en-GB"/>
        </w:rPr>
        <w:t xml:space="preserve">who </w:t>
      </w:r>
      <w:r w:rsidR="00C1732C" w:rsidRPr="007345D5">
        <w:rPr>
          <w:rFonts w:ascii="Book Antiqua" w:eastAsia="MS PGothic" w:hAnsi="Book Antiqua" w:cs="Arial"/>
          <w:sz w:val="24"/>
          <w:szCs w:val="24"/>
          <w:lang w:val="en-GB"/>
        </w:rPr>
        <w:t xml:space="preserve">underwent surgery. </w:t>
      </w:r>
    </w:p>
    <w:p w14:paraId="5FB34D29" w14:textId="77777777" w:rsidR="00A92830" w:rsidRPr="007345D5" w:rsidRDefault="00A92830" w:rsidP="00570508">
      <w:pPr>
        <w:pStyle w:val="CommentTextChar"/>
        <w:adjustRightInd w:val="0"/>
        <w:snapToGrid w:val="0"/>
        <w:spacing w:line="360" w:lineRule="auto"/>
        <w:rPr>
          <w:rFonts w:ascii="Book Antiqua" w:eastAsia="SimSun" w:hAnsi="Book Antiqua" w:cs="Arial"/>
          <w:sz w:val="24"/>
          <w:szCs w:val="24"/>
          <w:lang w:val="en-GB" w:eastAsia="zh-CN"/>
        </w:rPr>
      </w:pPr>
    </w:p>
    <w:p w14:paraId="3D3230A8" w14:textId="5E582E74" w:rsidR="00A92830" w:rsidRPr="007345D5" w:rsidRDefault="00A92830" w:rsidP="00570508">
      <w:pPr>
        <w:pStyle w:val="CommentTextChar"/>
        <w:adjustRightInd w:val="0"/>
        <w:snapToGrid w:val="0"/>
        <w:spacing w:line="360" w:lineRule="auto"/>
        <w:rPr>
          <w:rFonts w:ascii="Book Antiqua" w:eastAsia="SimSun" w:hAnsi="Book Antiqua" w:cs="Arial"/>
          <w:i/>
          <w:sz w:val="24"/>
          <w:szCs w:val="24"/>
          <w:lang w:val="en-GB" w:eastAsia="zh-CN"/>
        </w:rPr>
      </w:pPr>
      <w:r w:rsidRPr="007345D5">
        <w:rPr>
          <w:rFonts w:ascii="Book Antiqua" w:eastAsia="MS PGothic" w:hAnsi="Book Antiqua" w:cs="Arial"/>
          <w:b/>
          <w:i/>
          <w:sz w:val="24"/>
          <w:szCs w:val="24"/>
          <w:lang w:val="en-GB"/>
        </w:rPr>
        <w:t>METHODS</w:t>
      </w:r>
    </w:p>
    <w:p w14:paraId="3C3FDC4E" w14:textId="13610B65" w:rsidR="00C1732C" w:rsidRPr="007345D5" w:rsidRDefault="0098686B"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MS PGothic" w:hAnsi="Book Antiqua" w:cs="Arial"/>
          <w:sz w:val="24"/>
          <w:szCs w:val="24"/>
          <w:lang w:val="en-GB"/>
        </w:rPr>
        <w:t>A 7.5</w:t>
      </w:r>
      <w:r w:rsidR="006051E9" w:rsidRPr="007345D5">
        <w:rPr>
          <w:rFonts w:ascii="Book Antiqua" w:eastAsia="MS PGothic" w:hAnsi="Book Antiqua" w:cs="Arial"/>
          <w:sz w:val="24"/>
          <w:szCs w:val="24"/>
          <w:lang w:val="en-GB"/>
        </w:rPr>
        <w:t>-</w:t>
      </w:r>
      <w:r w:rsidR="00C1732C" w:rsidRPr="007345D5">
        <w:rPr>
          <w:rFonts w:ascii="Book Antiqua" w:eastAsia="MS PGothic" w:hAnsi="Book Antiqua" w:cs="Arial"/>
          <w:sz w:val="24"/>
          <w:szCs w:val="24"/>
          <w:lang w:val="en-GB"/>
        </w:rPr>
        <w:t>m</w:t>
      </w:r>
      <w:r w:rsidR="00586DBC" w:rsidRPr="007345D5">
        <w:rPr>
          <w:rFonts w:ascii="Book Antiqua" w:eastAsia="SimSun" w:hAnsi="Book Antiqua" w:cs="Arial"/>
          <w:sz w:val="24"/>
          <w:szCs w:val="24"/>
          <w:lang w:val="en-GB" w:eastAsia="zh-CN"/>
        </w:rPr>
        <w:t>L</w:t>
      </w:r>
      <w:r w:rsidR="00C1732C" w:rsidRPr="007345D5">
        <w:rPr>
          <w:rFonts w:ascii="Book Antiqua" w:eastAsia="MS PGothic" w:hAnsi="Book Antiqua" w:cs="Arial"/>
          <w:sz w:val="24"/>
          <w:szCs w:val="24"/>
          <w:lang w:val="en-GB"/>
        </w:rPr>
        <w:t xml:space="preserve"> peripheral vein blood sample was obtained from each patient with treatment-negative gastric adenocarcinoma before surgery. OBP-401, a telomerase-specific, replication-selective, oncolytic adenoviral agent carrying the green fluorescent protein (</w:t>
      </w:r>
      <w:r w:rsidR="00C1732C" w:rsidRPr="007345D5">
        <w:rPr>
          <w:rFonts w:ascii="Book Antiqua" w:eastAsia="MS PGothic" w:hAnsi="Book Antiqua" w:cs="Arial"/>
          <w:i/>
          <w:sz w:val="24"/>
          <w:szCs w:val="24"/>
          <w:lang w:val="en-GB"/>
        </w:rPr>
        <w:t>GFP</w:t>
      </w:r>
      <w:r w:rsidR="00C1732C" w:rsidRPr="007345D5">
        <w:rPr>
          <w:rFonts w:ascii="Book Antiqua" w:eastAsia="MS PGothic" w:hAnsi="Book Antiqua" w:cs="Arial"/>
          <w:sz w:val="24"/>
          <w:szCs w:val="24"/>
          <w:lang w:val="en-GB"/>
        </w:rPr>
        <w:t xml:space="preserve">) gene, was used to label </w:t>
      </w:r>
      <w:r w:rsidR="00A07C26" w:rsidRPr="007345D5">
        <w:rPr>
          <w:rFonts w:ascii="Book Antiqua" w:eastAsia="SimSun" w:hAnsi="Book Antiqua" w:cs="Arial"/>
          <w:sz w:val="24"/>
          <w:szCs w:val="24"/>
          <w:lang w:val="en-GB" w:eastAsia="zh-CN"/>
        </w:rPr>
        <w:t>c</w:t>
      </w:r>
      <w:r w:rsidR="00A07C26" w:rsidRPr="007345D5">
        <w:rPr>
          <w:rFonts w:ascii="Book Antiqua" w:eastAsia="MS PGothic" w:hAnsi="Book Antiqua" w:cs="Arial"/>
          <w:sz w:val="24"/>
          <w:szCs w:val="24"/>
          <w:lang w:val="en-GB"/>
        </w:rPr>
        <w:t xml:space="preserve">irculating tumour cells </w:t>
      </w:r>
      <w:r w:rsidR="00A07C26" w:rsidRPr="007345D5">
        <w:rPr>
          <w:rFonts w:ascii="Book Antiqua" w:eastAsia="SimSun" w:hAnsi="Book Antiqua" w:cs="Arial"/>
          <w:sz w:val="24"/>
          <w:szCs w:val="24"/>
          <w:lang w:val="en-GB" w:eastAsia="zh-CN"/>
        </w:rPr>
        <w:t>(</w:t>
      </w:r>
      <w:r w:rsidR="00C1732C" w:rsidRPr="007345D5">
        <w:rPr>
          <w:rFonts w:ascii="Book Antiqua" w:eastAsia="MS PGothic" w:hAnsi="Book Antiqua" w:cs="Arial"/>
          <w:sz w:val="24"/>
          <w:szCs w:val="24"/>
          <w:lang w:val="en-GB"/>
        </w:rPr>
        <w:t>CTCs</w:t>
      </w:r>
      <w:r w:rsidR="00A07C26" w:rsidRPr="007345D5">
        <w:rPr>
          <w:rFonts w:ascii="Book Antiqua" w:eastAsia="SimSun" w:hAnsi="Book Antiqua" w:cs="Arial"/>
          <w:sz w:val="24"/>
          <w:szCs w:val="24"/>
          <w:lang w:val="en-GB" w:eastAsia="zh-CN"/>
        </w:rPr>
        <w:t>)</w:t>
      </w:r>
      <w:r w:rsidR="00C1732C" w:rsidRPr="007345D5">
        <w:rPr>
          <w:rFonts w:ascii="Book Antiqua" w:eastAsia="MS PGothic" w:hAnsi="Book Antiqua" w:cs="Arial"/>
          <w:sz w:val="24"/>
          <w:szCs w:val="24"/>
          <w:lang w:val="en-GB"/>
        </w:rPr>
        <w:t xml:space="preserve">. Correlations between the number of CTCs and clinical end points were evaluated. </w:t>
      </w:r>
    </w:p>
    <w:p w14:paraId="0966E4BC" w14:textId="77777777" w:rsidR="00586DBC" w:rsidRPr="007345D5" w:rsidRDefault="00586DBC" w:rsidP="00570508">
      <w:pPr>
        <w:pStyle w:val="CommentTextChar"/>
        <w:adjustRightInd w:val="0"/>
        <w:snapToGrid w:val="0"/>
        <w:spacing w:line="360" w:lineRule="auto"/>
        <w:rPr>
          <w:rFonts w:ascii="Book Antiqua" w:eastAsia="SimSun" w:hAnsi="Book Antiqua" w:cs="Arial"/>
          <w:sz w:val="24"/>
          <w:szCs w:val="24"/>
          <w:lang w:val="en-GB" w:eastAsia="zh-CN"/>
        </w:rPr>
      </w:pPr>
    </w:p>
    <w:p w14:paraId="123E4A0F" w14:textId="08074B6C" w:rsidR="00586DBC" w:rsidRPr="007345D5" w:rsidRDefault="00586DBC" w:rsidP="00570508">
      <w:pPr>
        <w:pStyle w:val="CommentTextChar"/>
        <w:adjustRightInd w:val="0"/>
        <w:snapToGrid w:val="0"/>
        <w:spacing w:line="360" w:lineRule="auto"/>
        <w:rPr>
          <w:rFonts w:ascii="Book Antiqua" w:eastAsia="SimSun" w:hAnsi="Book Antiqua" w:cs="Arial"/>
          <w:i/>
          <w:sz w:val="24"/>
          <w:szCs w:val="24"/>
          <w:lang w:val="en-GB" w:eastAsia="zh-CN"/>
        </w:rPr>
      </w:pPr>
      <w:r w:rsidRPr="007345D5">
        <w:rPr>
          <w:rFonts w:ascii="Book Antiqua" w:eastAsia="MS PGothic" w:hAnsi="Book Antiqua" w:cs="Arial"/>
          <w:b/>
          <w:i/>
          <w:sz w:val="24"/>
          <w:szCs w:val="24"/>
          <w:lang w:val="en-GB"/>
        </w:rPr>
        <w:t>RESULTS</w:t>
      </w:r>
    </w:p>
    <w:p w14:paraId="78F37C17" w14:textId="4A7AD170" w:rsidR="00C1732C" w:rsidRPr="007345D5" w:rsidRDefault="006051E9"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MS PGothic" w:hAnsi="Book Antiqua" w:cs="Arial"/>
          <w:sz w:val="24"/>
          <w:szCs w:val="24"/>
          <w:lang w:val="en-GB"/>
        </w:rPr>
        <w:t>The m</w:t>
      </w:r>
      <w:r w:rsidR="00C1732C" w:rsidRPr="007345D5">
        <w:rPr>
          <w:rFonts w:ascii="Book Antiqua" w:eastAsia="MS PGothic" w:hAnsi="Book Antiqua" w:cs="Arial"/>
          <w:sz w:val="24"/>
          <w:szCs w:val="24"/>
          <w:lang w:val="en-GB"/>
        </w:rPr>
        <w:t xml:space="preserve">edian follow-up period of the surviving patients with gastric cancer was 60 </w:t>
      </w:r>
      <w:r w:rsidR="00A07C26" w:rsidRPr="007345D5">
        <w:rPr>
          <w:rFonts w:ascii="Book Antiqua" w:eastAsia="SimSun" w:hAnsi="Book Antiqua" w:cs="Arial"/>
          <w:sz w:val="24"/>
          <w:szCs w:val="24"/>
          <w:lang w:val="en-GB" w:eastAsia="zh-CN"/>
        </w:rPr>
        <w:t>mo</w:t>
      </w:r>
      <w:r w:rsidR="00C1732C" w:rsidRPr="007345D5">
        <w:rPr>
          <w:rFonts w:ascii="Book Antiqua" w:eastAsia="MS PGothic" w:hAnsi="Book Antiqua" w:cs="Arial"/>
          <w:sz w:val="24"/>
          <w:szCs w:val="24"/>
          <w:lang w:val="en-GB"/>
        </w:rPr>
        <w:t xml:space="preserve">. </w:t>
      </w:r>
      <w:r w:rsidRPr="007345D5">
        <w:rPr>
          <w:rFonts w:ascii="Book Antiqua" w:eastAsia="MS PGothic" w:hAnsi="Book Antiqua" w:cs="Arial"/>
          <w:sz w:val="24"/>
          <w:szCs w:val="24"/>
          <w:lang w:val="en-GB"/>
        </w:rPr>
        <w:t xml:space="preserve">The </w:t>
      </w:r>
      <w:r w:rsidR="00C1732C" w:rsidRPr="007345D5">
        <w:rPr>
          <w:rFonts w:ascii="Book Antiqua" w:eastAsia="MS PGothic" w:hAnsi="Book Antiqua" w:cs="Arial"/>
          <w:sz w:val="24"/>
          <w:szCs w:val="24"/>
          <w:lang w:val="en-GB"/>
        </w:rPr>
        <w:t>CTC number tended to increase concomitantly with disease progression. The overall survival of patients with more than five CTCs in 7.5</w:t>
      </w:r>
      <w:r w:rsidR="00150550" w:rsidRPr="007345D5">
        <w:rPr>
          <w:rFonts w:ascii="Book Antiqua" w:eastAsia="MS PGothic" w:hAnsi="Book Antiqua" w:cs="Arial"/>
          <w:sz w:val="24"/>
          <w:szCs w:val="24"/>
          <w:lang w:val="en-GB"/>
        </w:rPr>
        <w:t>-</w:t>
      </w:r>
      <w:r w:rsidR="00C1732C" w:rsidRPr="007345D5">
        <w:rPr>
          <w:rFonts w:ascii="Book Antiqua" w:eastAsia="MS PGothic" w:hAnsi="Book Antiqua" w:cs="Arial"/>
          <w:sz w:val="24"/>
          <w:szCs w:val="24"/>
          <w:lang w:val="en-GB"/>
        </w:rPr>
        <w:t>m</w:t>
      </w:r>
      <w:r w:rsidR="00A07C26" w:rsidRPr="007345D5">
        <w:rPr>
          <w:rFonts w:ascii="Book Antiqua" w:eastAsia="SimSun" w:hAnsi="Book Antiqua" w:cs="Arial"/>
          <w:sz w:val="24"/>
          <w:szCs w:val="24"/>
          <w:lang w:val="en-GB" w:eastAsia="zh-CN"/>
        </w:rPr>
        <w:t>L</w:t>
      </w:r>
      <w:r w:rsidR="00C1732C" w:rsidRPr="007345D5">
        <w:rPr>
          <w:rFonts w:ascii="Book Antiqua" w:eastAsia="MS PGothic" w:hAnsi="Book Antiqua" w:cs="Arial"/>
          <w:sz w:val="24"/>
          <w:szCs w:val="24"/>
          <w:lang w:val="en-GB"/>
        </w:rPr>
        <w:t xml:space="preserve"> of peripheral blood was lower than that of patients with five or less CTCs, although the difference was not significant (</w:t>
      </w:r>
      <w:r w:rsidR="00A07C26" w:rsidRPr="007345D5">
        <w:rPr>
          <w:rFonts w:ascii="Book Antiqua" w:eastAsia="MS PGothic" w:hAnsi="Book Antiqua" w:cs="Arial"/>
          <w:i/>
          <w:sz w:val="24"/>
          <w:szCs w:val="24"/>
          <w:lang w:val="en-GB"/>
        </w:rPr>
        <w:t>P =</w:t>
      </w:r>
      <w:r w:rsidR="00C1732C" w:rsidRPr="007345D5">
        <w:rPr>
          <w:rFonts w:ascii="Book Antiqua" w:eastAsia="MS PGothic" w:hAnsi="Book Antiqua" w:cs="Arial"/>
          <w:sz w:val="24"/>
          <w:szCs w:val="24"/>
          <w:lang w:val="en-GB"/>
        </w:rPr>
        <w:t xml:space="preserve"> 0.183). A significant difference in relapse-free survival was found between patients with more than five and those with five or less CTCs (</w:t>
      </w:r>
      <w:r w:rsidR="00A07C26" w:rsidRPr="007345D5">
        <w:rPr>
          <w:rFonts w:ascii="Book Antiqua" w:eastAsia="MS PGothic" w:hAnsi="Book Antiqua" w:cs="Arial"/>
          <w:i/>
          <w:sz w:val="24"/>
          <w:szCs w:val="24"/>
          <w:lang w:val="en-GB"/>
        </w:rPr>
        <w:t>P =</w:t>
      </w:r>
      <w:r w:rsidR="00C1732C" w:rsidRPr="007345D5">
        <w:rPr>
          <w:rFonts w:ascii="Book Antiqua" w:eastAsia="MS PGothic" w:hAnsi="Book Antiqua" w:cs="Arial"/>
          <w:sz w:val="24"/>
          <w:szCs w:val="24"/>
          <w:lang w:val="en-GB"/>
        </w:rPr>
        <w:t xml:space="preserve"> 0.034).</w:t>
      </w:r>
    </w:p>
    <w:p w14:paraId="1AE521B6" w14:textId="77777777" w:rsidR="00586DBC" w:rsidRPr="007345D5" w:rsidRDefault="00586DBC" w:rsidP="00570508">
      <w:pPr>
        <w:pStyle w:val="CommentTextChar"/>
        <w:adjustRightInd w:val="0"/>
        <w:snapToGrid w:val="0"/>
        <w:spacing w:line="360" w:lineRule="auto"/>
        <w:rPr>
          <w:rFonts w:ascii="Book Antiqua" w:eastAsia="SimSun" w:hAnsi="Book Antiqua" w:cs="Arial"/>
          <w:sz w:val="24"/>
          <w:szCs w:val="24"/>
          <w:lang w:val="en-GB" w:eastAsia="zh-CN"/>
        </w:rPr>
      </w:pPr>
    </w:p>
    <w:p w14:paraId="634B14CA" w14:textId="03253306" w:rsidR="00586DBC" w:rsidRPr="007345D5" w:rsidRDefault="00C1732C"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MS PGothic" w:hAnsi="Book Antiqua" w:cs="Arial"/>
          <w:b/>
          <w:sz w:val="24"/>
          <w:szCs w:val="24"/>
          <w:lang w:val="en-GB"/>
        </w:rPr>
        <w:t>CONCLUSION</w:t>
      </w:r>
    </w:p>
    <w:p w14:paraId="2FEC83CE" w14:textId="526962C5"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A lower number of CTCs </w:t>
      </w:r>
      <w:r w:rsidR="006051E9" w:rsidRPr="007345D5">
        <w:rPr>
          <w:rFonts w:ascii="Book Antiqua" w:eastAsia="MS PGothic" w:hAnsi="Book Antiqua" w:cs="Arial"/>
          <w:sz w:val="24"/>
          <w:szCs w:val="24"/>
          <w:lang w:val="en-GB"/>
        </w:rPr>
        <w:t xml:space="preserve">was </w:t>
      </w:r>
      <w:r w:rsidRPr="007345D5">
        <w:rPr>
          <w:rFonts w:ascii="Book Antiqua" w:eastAsia="MS PGothic" w:hAnsi="Book Antiqua" w:cs="Arial"/>
          <w:sz w:val="24"/>
          <w:szCs w:val="24"/>
          <w:lang w:val="en-GB"/>
        </w:rPr>
        <w:t xml:space="preserve">correlated with higher relapse-free survival rates in patients. Detection of CTCs using OBP-401 may be useful for </w:t>
      </w:r>
      <w:r w:rsidR="006051E9" w:rsidRPr="007345D5">
        <w:rPr>
          <w:rFonts w:ascii="Book Antiqua" w:eastAsia="MS PGothic" w:hAnsi="Book Antiqua" w:cs="Arial"/>
          <w:sz w:val="24"/>
          <w:szCs w:val="24"/>
          <w:lang w:val="en-GB"/>
        </w:rPr>
        <w:t xml:space="preserve">predicting </w:t>
      </w:r>
      <w:r w:rsidRPr="007345D5">
        <w:rPr>
          <w:rFonts w:ascii="Book Antiqua" w:eastAsia="MS PGothic" w:hAnsi="Book Antiqua" w:cs="Arial"/>
          <w:sz w:val="24"/>
          <w:szCs w:val="24"/>
          <w:lang w:val="en-GB"/>
        </w:rPr>
        <w:t xml:space="preserve">prognosis in gastric cancer. </w:t>
      </w:r>
    </w:p>
    <w:p w14:paraId="1F893CA5" w14:textId="77777777" w:rsidR="00C1732C" w:rsidRPr="007345D5" w:rsidRDefault="00C1732C" w:rsidP="00570508">
      <w:pPr>
        <w:pStyle w:val="CommentTextChar"/>
        <w:adjustRightInd w:val="0"/>
        <w:snapToGrid w:val="0"/>
        <w:spacing w:line="360" w:lineRule="auto"/>
        <w:rPr>
          <w:rFonts w:ascii="Book Antiqua" w:hAnsi="Book Antiqua"/>
          <w:b/>
          <w:sz w:val="24"/>
          <w:szCs w:val="24"/>
          <w:lang w:val="en-GB"/>
        </w:rPr>
      </w:pPr>
    </w:p>
    <w:p w14:paraId="6EE8525E" w14:textId="5DD13E3F"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b/>
          <w:sz w:val="24"/>
          <w:szCs w:val="24"/>
          <w:lang w:val="en-GB"/>
        </w:rPr>
        <w:t>Key</w:t>
      </w:r>
      <w:r w:rsidR="00A07C26" w:rsidRPr="007345D5">
        <w:rPr>
          <w:rFonts w:ascii="Book Antiqua" w:eastAsia="SimSun" w:hAnsi="Book Antiqua" w:cs="Arial"/>
          <w:b/>
          <w:sz w:val="24"/>
          <w:szCs w:val="24"/>
          <w:lang w:val="en-GB" w:eastAsia="zh-CN"/>
        </w:rPr>
        <w:t xml:space="preserve"> </w:t>
      </w:r>
      <w:r w:rsidRPr="007345D5">
        <w:rPr>
          <w:rFonts w:ascii="Book Antiqua" w:eastAsia="MS PGothic" w:hAnsi="Book Antiqua" w:cs="Arial"/>
          <w:b/>
          <w:sz w:val="24"/>
          <w:szCs w:val="24"/>
          <w:lang w:val="en-GB"/>
        </w:rPr>
        <w:t>words:</w:t>
      </w:r>
      <w:r w:rsidRPr="007345D5">
        <w:rPr>
          <w:rFonts w:ascii="Book Antiqua" w:eastAsia="MS PGothic" w:hAnsi="Book Antiqua" w:cs="Arial"/>
          <w:sz w:val="24"/>
          <w:szCs w:val="24"/>
          <w:lang w:val="en-GB"/>
        </w:rPr>
        <w:t xml:space="preserve"> Circulating tumour cells; Gastric cancer; </w:t>
      </w:r>
      <w:r w:rsidR="00DA6FB6" w:rsidRPr="007345D5">
        <w:rPr>
          <w:rFonts w:ascii="Book Antiqua" w:eastAsia="MS PGothic" w:hAnsi="Book Antiqua" w:cs="Arial"/>
          <w:sz w:val="24"/>
          <w:szCs w:val="24"/>
          <w:lang w:val="en-GB"/>
        </w:rPr>
        <w:t>S</w:t>
      </w:r>
      <w:r w:rsidRPr="007345D5">
        <w:rPr>
          <w:rFonts w:ascii="Book Antiqua" w:eastAsia="MS PGothic" w:hAnsi="Book Antiqua" w:cs="Arial"/>
          <w:sz w:val="24"/>
          <w:szCs w:val="24"/>
          <w:lang w:val="en-GB"/>
        </w:rPr>
        <w:t xml:space="preserve">urgery; Telomerase; </w:t>
      </w:r>
      <w:r w:rsidR="00DA6FB6" w:rsidRPr="007345D5">
        <w:rPr>
          <w:rFonts w:ascii="Book Antiqua" w:eastAsia="MS PGothic" w:hAnsi="Book Antiqua" w:cs="Arial"/>
          <w:sz w:val="24"/>
          <w:szCs w:val="24"/>
          <w:lang w:val="en-GB"/>
        </w:rPr>
        <w:t>P</w:t>
      </w:r>
      <w:r w:rsidRPr="007345D5">
        <w:rPr>
          <w:rFonts w:ascii="Book Antiqua" w:eastAsia="MS PGothic" w:hAnsi="Book Antiqua" w:cs="Arial"/>
          <w:sz w:val="24"/>
          <w:szCs w:val="24"/>
          <w:lang w:val="en-GB"/>
        </w:rPr>
        <w:t xml:space="preserve">rognosis </w:t>
      </w:r>
    </w:p>
    <w:p w14:paraId="61ACC47A" w14:textId="77777777" w:rsidR="00C1732C" w:rsidRPr="007345D5" w:rsidRDefault="00C1732C" w:rsidP="00570508">
      <w:pPr>
        <w:pStyle w:val="CommentTextChar"/>
        <w:adjustRightInd w:val="0"/>
        <w:snapToGrid w:val="0"/>
        <w:spacing w:line="360" w:lineRule="auto"/>
        <w:rPr>
          <w:rFonts w:ascii="Book Antiqua" w:eastAsia="SimSun" w:hAnsi="Book Antiqua" w:cs="Arial"/>
          <w:sz w:val="24"/>
          <w:szCs w:val="24"/>
          <w:lang w:val="en-GB" w:eastAsia="zh-CN"/>
        </w:rPr>
      </w:pPr>
    </w:p>
    <w:p w14:paraId="1B6FDD1C" w14:textId="77777777" w:rsidR="00A07C26" w:rsidRPr="007345D5" w:rsidRDefault="00A07C26" w:rsidP="00570508">
      <w:pPr>
        <w:widowControl w:val="0"/>
        <w:adjustRightInd w:val="0"/>
        <w:snapToGrid w:val="0"/>
        <w:spacing w:line="360" w:lineRule="auto"/>
        <w:jc w:val="both"/>
        <w:rPr>
          <w:rFonts w:ascii="Book Antiqua" w:eastAsia="SimSun" w:hAnsi="Book Antiqua"/>
          <w:kern w:val="2"/>
          <w:lang w:eastAsia="zh-CN"/>
        </w:rPr>
      </w:pPr>
      <w:bookmarkStart w:id="204" w:name="OLE_LINK363"/>
      <w:bookmarkStart w:id="205" w:name="OLE_LINK364"/>
      <w:bookmarkStart w:id="206" w:name="OLE_LINK359"/>
      <w:bookmarkStart w:id="207" w:name="OLE_LINK2"/>
      <w:bookmarkStart w:id="208" w:name="OLE_LINK1037"/>
      <w:bookmarkStart w:id="209" w:name="OLE_LINK1195"/>
      <w:bookmarkStart w:id="210" w:name="OLE_LINK1140"/>
      <w:bookmarkStart w:id="211" w:name="OLE_LINK1062"/>
      <w:bookmarkStart w:id="212" w:name="OLE_LINK1327"/>
      <w:bookmarkStart w:id="213" w:name="OLE_LINK1174"/>
      <w:bookmarkStart w:id="214" w:name="OLE_LINK1348"/>
      <w:bookmarkStart w:id="215" w:name="OLE_LINK1519"/>
      <w:bookmarkStart w:id="216" w:name="OLE_LINK1571"/>
      <w:bookmarkStart w:id="217" w:name="OLE_LINK1666"/>
      <w:bookmarkStart w:id="218" w:name="OLE_LINK11"/>
      <w:bookmarkStart w:id="219" w:name="OLE_LINK1438"/>
      <w:bookmarkStart w:id="220" w:name="OLE_LINK1375"/>
      <w:bookmarkStart w:id="221" w:name="OLE_LINK1429"/>
      <w:bookmarkStart w:id="222" w:name="OLE_LINK1497"/>
      <w:bookmarkStart w:id="223" w:name="OLE_LINK1581"/>
      <w:bookmarkStart w:id="224" w:name="OLE_LINK1356"/>
      <w:bookmarkStart w:id="225" w:name="OLE_LINK1469"/>
      <w:bookmarkStart w:id="226" w:name="OLE_LINK1546"/>
      <w:bookmarkStart w:id="227" w:name="OLE_LINK1727"/>
      <w:bookmarkStart w:id="228" w:name="OLE_LINK1797"/>
      <w:bookmarkStart w:id="229" w:name="OLE_LINK1887"/>
      <w:bookmarkStart w:id="230" w:name="OLE_LINK1975"/>
      <w:bookmarkStart w:id="231" w:name="OLE_LINK2186"/>
      <w:bookmarkStart w:id="232" w:name="OLE_LINK768"/>
      <w:bookmarkStart w:id="233" w:name="OLE_LINK2332"/>
      <w:bookmarkStart w:id="234" w:name="OLE_LINK2448"/>
      <w:bookmarkStart w:id="235" w:name="OLE_LINK2467"/>
      <w:bookmarkStart w:id="236" w:name="OLE_LINK2563"/>
      <w:bookmarkStart w:id="237" w:name="OLE_LINK2608"/>
      <w:bookmarkStart w:id="238" w:name="OLE_LINK2695"/>
      <w:bookmarkStart w:id="239" w:name="OLE_LINK2732"/>
      <w:bookmarkStart w:id="240" w:name="OLE_LINK2658"/>
      <w:bookmarkStart w:id="241" w:name="OLE_LINK2775"/>
      <w:bookmarkStart w:id="242" w:name="OLE_LINK52"/>
      <w:bookmarkStart w:id="243" w:name="OLE_LINK2910"/>
      <w:bookmarkStart w:id="244" w:name="OLE_LINK2933"/>
      <w:bookmarkStart w:id="245" w:name="OLE_LINK3527"/>
      <w:bookmarkStart w:id="246" w:name="OLE_LINK3497"/>
      <w:bookmarkStart w:id="247" w:name="OLE_LINK3130"/>
      <w:bookmarkStart w:id="248" w:name="OLE_LINK3036"/>
      <w:bookmarkStart w:id="249" w:name="OLE_LINK3172"/>
      <w:bookmarkStart w:id="250" w:name="OLE_LINK3212"/>
      <w:bookmarkStart w:id="251" w:name="OLE_LINK3236"/>
      <w:bookmarkStart w:id="252" w:name="OLE_LINK66"/>
      <w:bookmarkStart w:id="253" w:name="OLE_LINK3632"/>
      <w:bookmarkStart w:id="254" w:name="OLE_LINK68"/>
      <w:bookmarkStart w:id="255" w:name="OLE_LINK73"/>
      <w:bookmarkStart w:id="256" w:name="OLE_LINK3790"/>
      <w:bookmarkStart w:id="257" w:name="OLE_LINK109"/>
      <w:bookmarkStart w:id="258" w:name="OLE_LINK3700"/>
      <w:r w:rsidRPr="007345D5">
        <w:rPr>
          <w:rFonts w:ascii="Book Antiqua" w:eastAsia="SimSun" w:hAnsi="Book Antiqua"/>
          <w:b/>
          <w:kern w:val="2"/>
          <w:lang w:eastAsia="zh-CN"/>
        </w:rPr>
        <w:t>© The Author(s) 2016.</w:t>
      </w:r>
      <w:r w:rsidRPr="007345D5">
        <w:rPr>
          <w:rFonts w:ascii="Book Antiqua" w:eastAsia="SimSun" w:hAnsi="Book Antiqua"/>
          <w:kern w:val="2"/>
          <w:lang w:eastAsia="zh-CN"/>
        </w:rPr>
        <w:t xml:space="preserve"> Published by Baishideng Publishing Group Inc. All rights reserved.</w:t>
      </w:r>
    </w:p>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14:paraId="7240D7E6" w14:textId="77777777" w:rsidR="00A07C26" w:rsidRPr="007345D5" w:rsidRDefault="00A07C26" w:rsidP="00570508">
      <w:pPr>
        <w:pStyle w:val="CommentTextChar"/>
        <w:adjustRightInd w:val="0"/>
        <w:snapToGrid w:val="0"/>
        <w:spacing w:line="360" w:lineRule="auto"/>
        <w:rPr>
          <w:rFonts w:ascii="Book Antiqua" w:eastAsia="SimSun" w:hAnsi="Book Antiqua" w:cs="Arial"/>
          <w:sz w:val="24"/>
          <w:szCs w:val="24"/>
          <w:lang w:val="en-GB" w:eastAsia="zh-CN"/>
        </w:rPr>
      </w:pPr>
    </w:p>
    <w:p w14:paraId="3BFA5E8D" w14:textId="77708508"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MS PGothic" w:hAnsi="Book Antiqua" w:cs="Arial"/>
          <w:b/>
          <w:sz w:val="24"/>
          <w:szCs w:val="24"/>
          <w:lang w:val="en-GB"/>
        </w:rPr>
        <w:t>Core tip:</w:t>
      </w:r>
      <w:r w:rsidRPr="007345D5">
        <w:rPr>
          <w:rFonts w:ascii="Book Antiqua" w:eastAsia="MS PGothic" w:hAnsi="Book Antiqua" w:cs="Arial"/>
          <w:sz w:val="24"/>
          <w:szCs w:val="24"/>
          <w:lang w:val="en-GB"/>
        </w:rPr>
        <w:t xml:space="preserve"> We show </w:t>
      </w:r>
      <w:r w:rsidR="006051E9" w:rsidRPr="007345D5">
        <w:rPr>
          <w:rFonts w:ascii="Book Antiqua" w:eastAsia="MS PGothic" w:hAnsi="Book Antiqua" w:cs="Arial"/>
          <w:sz w:val="24"/>
          <w:szCs w:val="24"/>
          <w:lang w:val="en-GB"/>
        </w:rPr>
        <w:t xml:space="preserve">the </w:t>
      </w:r>
      <w:r w:rsidRPr="007345D5">
        <w:rPr>
          <w:rFonts w:ascii="Book Antiqua" w:eastAsia="MS PGothic" w:hAnsi="Book Antiqua" w:cs="Arial"/>
          <w:sz w:val="24"/>
          <w:szCs w:val="24"/>
          <w:lang w:val="en-GB"/>
        </w:rPr>
        <w:t>long-term prognostic impact of circulating tumour cells in 65 patients with gastric cancer in this report. OBP-401, a telomerase-specific, replication-selective, oncolytic adenoviral agent carrying the green fluorescent protein (</w:t>
      </w:r>
      <w:r w:rsidRPr="007345D5">
        <w:rPr>
          <w:rFonts w:ascii="Book Antiqua" w:eastAsia="MS PGothic" w:hAnsi="Book Antiqua" w:cs="Arial"/>
          <w:i/>
          <w:sz w:val="24"/>
          <w:szCs w:val="24"/>
          <w:lang w:val="en-GB"/>
        </w:rPr>
        <w:t>GFP</w:t>
      </w:r>
      <w:r w:rsidRPr="007345D5">
        <w:rPr>
          <w:rFonts w:ascii="Book Antiqua" w:eastAsia="MS PGothic" w:hAnsi="Book Antiqua" w:cs="Arial"/>
          <w:sz w:val="24"/>
          <w:szCs w:val="24"/>
          <w:lang w:val="en-GB"/>
        </w:rPr>
        <w:t xml:space="preserve">) gene, was used to label </w:t>
      </w:r>
      <w:r w:rsidR="00A07C26" w:rsidRPr="007345D5">
        <w:rPr>
          <w:rFonts w:ascii="Book Antiqua" w:eastAsia="MS PGothic" w:hAnsi="Book Antiqua" w:cs="Arial"/>
          <w:sz w:val="24"/>
          <w:szCs w:val="24"/>
          <w:lang w:val="en-GB"/>
        </w:rPr>
        <w:t>circulating tumour cells (CTCs)</w:t>
      </w:r>
      <w:r w:rsidRPr="007345D5">
        <w:rPr>
          <w:rFonts w:ascii="Book Antiqua" w:eastAsia="MS PGothic" w:hAnsi="Book Antiqua" w:cs="Arial"/>
          <w:sz w:val="24"/>
          <w:szCs w:val="24"/>
          <w:lang w:val="en-GB"/>
        </w:rPr>
        <w:t xml:space="preserve">. A lower number of CTCs </w:t>
      </w:r>
      <w:r w:rsidR="006051E9" w:rsidRPr="007345D5">
        <w:rPr>
          <w:rFonts w:ascii="Book Antiqua" w:eastAsia="MS PGothic" w:hAnsi="Book Antiqua" w:cs="Arial"/>
          <w:sz w:val="24"/>
          <w:szCs w:val="24"/>
          <w:lang w:val="en-GB"/>
        </w:rPr>
        <w:t xml:space="preserve">was </w:t>
      </w:r>
      <w:r w:rsidRPr="007345D5">
        <w:rPr>
          <w:rFonts w:ascii="Book Antiqua" w:eastAsia="MS PGothic" w:hAnsi="Book Antiqua" w:cs="Arial"/>
          <w:sz w:val="24"/>
          <w:szCs w:val="24"/>
          <w:lang w:val="en-GB"/>
        </w:rPr>
        <w:t xml:space="preserve">correlated with higher relapse-free survival rates in patients with gastric cancer. </w:t>
      </w:r>
    </w:p>
    <w:p w14:paraId="0F0A2616"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553383BD" w14:textId="78BE5BA7" w:rsidR="002A7957" w:rsidRPr="007345D5" w:rsidRDefault="00C521A4" w:rsidP="00570508">
      <w:pPr>
        <w:adjustRightInd w:val="0"/>
        <w:snapToGrid w:val="0"/>
        <w:spacing w:line="360" w:lineRule="auto"/>
        <w:jc w:val="both"/>
        <w:rPr>
          <w:rFonts w:ascii="Book Antiqua" w:eastAsia="MS PGothic" w:hAnsi="Book Antiqua" w:cs="Arial"/>
        </w:rPr>
      </w:pPr>
      <w:r w:rsidRPr="007345D5">
        <w:rPr>
          <w:rFonts w:ascii="Book Antiqua" w:eastAsia="MS PGothic" w:hAnsi="Book Antiqua" w:cs="Arial"/>
        </w:rPr>
        <w:t>Ito H, Sato J, Tsujino Y, Yamaguchi N, Kimura S, Gohda K, Murakami K, Onimaru M, Ohmori T, Ishikawa F, Inoue H</w:t>
      </w:r>
      <w:r w:rsidR="00C1732C" w:rsidRPr="007345D5">
        <w:rPr>
          <w:rFonts w:ascii="Book Antiqua" w:eastAsia="MS PGothic" w:hAnsi="Book Antiqua" w:cs="Arial"/>
        </w:rPr>
        <w:t xml:space="preserve">. Long-term prognostic impact of circulating tumour cells in gastric cancer patients. </w:t>
      </w:r>
      <w:bookmarkStart w:id="259" w:name="OLE_LINK2756"/>
      <w:bookmarkStart w:id="260" w:name="OLE_LINK2349"/>
      <w:bookmarkStart w:id="261" w:name="OLE_LINK2413"/>
      <w:bookmarkStart w:id="262" w:name="OLE_LINK2287"/>
      <w:bookmarkStart w:id="263" w:name="OLE_LINK2309"/>
      <w:bookmarkStart w:id="264" w:name="OLE_LINK2329"/>
      <w:bookmarkStart w:id="265" w:name="OLE_LINK2285"/>
      <w:bookmarkStart w:id="266" w:name="OLE_LINK2245"/>
      <w:bookmarkStart w:id="267" w:name="OLE_LINK2212"/>
      <w:bookmarkStart w:id="268" w:name="OLE_LINK2178"/>
      <w:bookmarkStart w:id="269" w:name="OLE_LINK2039"/>
      <w:bookmarkStart w:id="270" w:name="OLE_LINK3369"/>
      <w:bookmarkStart w:id="271" w:name="OLE_LINK3314"/>
      <w:bookmarkStart w:id="272" w:name="OLE_LINK2028"/>
      <w:bookmarkStart w:id="273" w:name="OLE_LINK2206"/>
      <w:bookmarkStart w:id="274" w:name="OLE_LINK2158"/>
      <w:bookmarkStart w:id="275" w:name="OLE_LINK2074"/>
      <w:bookmarkStart w:id="276" w:name="OLE_LINK2176"/>
      <w:bookmarkStart w:id="277" w:name="OLE_LINK1942"/>
      <w:bookmarkStart w:id="278" w:name="OLE_LINK1917"/>
      <w:bookmarkStart w:id="279" w:name="OLE_LINK1875"/>
      <w:bookmarkStart w:id="280" w:name="OLE_LINK1869"/>
      <w:bookmarkStart w:id="281" w:name="OLE_LINK1796"/>
      <w:bookmarkStart w:id="282" w:name="OLE_LINK1719"/>
      <w:bookmarkStart w:id="283" w:name="OLE_LINK1802"/>
      <w:bookmarkStart w:id="284" w:name="OLE_LINK1369"/>
      <w:bookmarkStart w:id="285" w:name="OLE_LINK1236"/>
      <w:bookmarkStart w:id="286" w:name="OLE_LINK658"/>
      <w:bookmarkStart w:id="287" w:name="OLE_LINK699"/>
      <w:bookmarkStart w:id="288" w:name="OLE_LINK140"/>
      <w:bookmarkStart w:id="289" w:name="OLE_LINK111"/>
      <w:bookmarkStart w:id="290" w:name="OLE_LINK110"/>
      <w:bookmarkStart w:id="291" w:name="OLE_LINK47"/>
      <w:bookmarkStart w:id="292" w:name="OLE_LINK48"/>
      <w:bookmarkStart w:id="293" w:name="OLE_LINK2951"/>
      <w:bookmarkStart w:id="294" w:name="OLE_LINK3500"/>
      <w:bookmarkStart w:id="295" w:name="OLE_LINK58"/>
      <w:bookmarkStart w:id="296" w:name="OLE_LINK3037"/>
      <w:bookmarkStart w:id="297" w:name="OLE_LINK61"/>
      <w:bookmarkStart w:id="298" w:name="OLE_LINK3055"/>
      <w:bookmarkStart w:id="299" w:name="OLE_LINK3169"/>
      <w:bookmarkStart w:id="300" w:name="OLE_LINK3178"/>
      <w:bookmarkStart w:id="301" w:name="OLE_LINK3179"/>
      <w:bookmarkStart w:id="302" w:name="OLE_LINK69"/>
      <w:bookmarkStart w:id="303" w:name="OLE_LINK3294"/>
      <w:bookmarkStart w:id="304" w:name="OLE_LINK3752"/>
      <w:bookmarkStart w:id="305" w:name="OLE_LINK3534"/>
      <w:bookmarkStart w:id="306" w:name="OLE_LINK3566"/>
      <w:bookmarkStart w:id="307" w:name="OLE_LINK82"/>
      <w:bookmarkStart w:id="308" w:name="OLE_LINK105"/>
      <w:bookmarkStart w:id="309" w:name="OLE_LINK106"/>
      <w:bookmarkStart w:id="310" w:name="OLE_LINK87"/>
      <w:r w:rsidR="002A7957" w:rsidRPr="007345D5">
        <w:rPr>
          <w:rFonts w:ascii="Book Antiqua" w:hAnsi="Book Antiqua"/>
          <w:i/>
        </w:rPr>
        <w:t xml:space="preserve">World J Gastroenterol </w:t>
      </w:r>
      <w:r w:rsidR="002A7957" w:rsidRPr="007345D5">
        <w:rPr>
          <w:rFonts w:ascii="Book Antiqua" w:hAnsi="Book Antiqua"/>
        </w:rPr>
        <w:t>2016; In press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14:paraId="1363CBD3" w14:textId="700437CE"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768F091C" w14:textId="77777777" w:rsidR="00D86850" w:rsidRPr="007345D5" w:rsidRDefault="00D86850" w:rsidP="00570508">
      <w:pPr>
        <w:adjustRightInd w:val="0"/>
        <w:snapToGrid w:val="0"/>
        <w:spacing w:line="360" w:lineRule="auto"/>
        <w:jc w:val="both"/>
        <w:rPr>
          <w:rFonts w:ascii="Book Antiqua" w:hAnsi="Book Antiqua" w:cs="SimSun"/>
        </w:rPr>
      </w:pPr>
      <w:bookmarkStart w:id="311" w:name="OLE_LINK3619"/>
      <w:bookmarkStart w:id="312" w:name="OLE_LINK3550"/>
      <w:bookmarkStart w:id="313" w:name="OLE_LINK3507"/>
      <w:bookmarkStart w:id="314" w:name="OLE_LINK3506"/>
      <w:bookmarkStart w:id="315" w:name="OLE_LINK3455"/>
      <w:bookmarkStart w:id="316" w:name="OLE_LINK3454"/>
    </w:p>
    <w:bookmarkEnd w:id="311"/>
    <w:bookmarkEnd w:id="312"/>
    <w:bookmarkEnd w:id="313"/>
    <w:bookmarkEnd w:id="314"/>
    <w:bookmarkEnd w:id="315"/>
    <w:bookmarkEnd w:id="316"/>
    <w:p w14:paraId="35AAB36C" w14:textId="1FC3654B"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MS PGothic" w:hAnsi="Book Antiqua" w:cs="Arial"/>
          <w:b/>
          <w:sz w:val="24"/>
          <w:szCs w:val="24"/>
          <w:lang w:val="en-GB"/>
        </w:rPr>
        <w:br w:type="page"/>
      </w:r>
      <w:r w:rsidRPr="007345D5">
        <w:rPr>
          <w:rFonts w:ascii="Book Antiqua" w:eastAsia="MS PGothic" w:hAnsi="Book Antiqua" w:cs="Arial"/>
          <w:b/>
          <w:sz w:val="24"/>
          <w:szCs w:val="24"/>
          <w:lang w:val="en-GB"/>
        </w:rPr>
        <w:lastRenderedPageBreak/>
        <w:t>INTRODUCTION</w:t>
      </w:r>
    </w:p>
    <w:p w14:paraId="70B1F70B" w14:textId="08254951"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The presence of circulating tumour cells (CTCs) in peripheral blood indicates a systemic disease stage </w:t>
      </w:r>
      <w:r w:rsidR="006051E9" w:rsidRPr="007345D5">
        <w:rPr>
          <w:rFonts w:ascii="Book Antiqua" w:eastAsia="MS PGothic" w:hAnsi="Book Antiqua" w:cs="Arial"/>
          <w:sz w:val="24"/>
          <w:szCs w:val="24"/>
          <w:lang w:val="en-GB"/>
        </w:rPr>
        <w:t>in</w:t>
      </w:r>
      <w:r w:rsidRPr="007345D5">
        <w:rPr>
          <w:rFonts w:ascii="Book Antiqua" w:eastAsia="MS PGothic" w:hAnsi="Book Antiqua" w:cs="Arial"/>
          <w:sz w:val="24"/>
          <w:szCs w:val="24"/>
          <w:lang w:val="en-GB"/>
        </w:rPr>
        <w:t xml:space="preserve"> various malignancies, </w:t>
      </w:r>
      <w:r w:rsidR="006051E9" w:rsidRPr="007345D5">
        <w:rPr>
          <w:rFonts w:ascii="Book Antiqua" w:eastAsia="MS PGothic" w:hAnsi="Book Antiqua" w:cs="Arial"/>
          <w:sz w:val="24"/>
          <w:szCs w:val="24"/>
          <w:lang w:val="en-GB"/>
        </w:rPr>
        <w:t>as</w:t>
      </w:r>
      <w:r w:rsidRPr="007345D5">
        <w:rPr>
          <w:rFonts w:ascii="Book Antiqua" w:eastAsia="MS PGothic" w:hAnsi="Book Antiqua" w:cs="Arial"/>
          <w:sz w:val="24"/>
          <w:szCs w:val="24"/>
          <w:lang w:val="en-GB"/>
        </w:rPr>
        <w:t xml:space="preserve"> CTCs are thought to be the source of haematogenous metastasis</w:t>
      </w:r>
      <w:r w:rsidRPr="007345D5">
        <w:rPr>
          <w:rFonts w:ascii="Book Antiqua" w:eastAsia="MS PGothic" w:hAnsi="Book Antiqua" w:cs="Arial"/>
          <w:sz w:val="24"/>
          <w:szCs w:val="24"/>
          <w:vertAlign w:val="superscript"/>
          <w:lang w:val="en-GB"/>
        </w:rPr>
        <w:t>[1]</w:t>
      </w:r>
      <w:r w:rsidRPr="007345D5">
        <w:rPr>
          <w:rFonts w:ascii="Book Antiqua" w:eastAsia="MS PGothic" w:hAnsi="Book Antiqua" w:cs="Arial"/>
          <w:sz w:val="24"/>
          <w:szCs w:val="24"/>
          <w:lang w:val="en-GB"/>
        </w:rPr>
        <w:t xml:space="preserve">. Detection of CTCs in peripheral blood is useful for prognosis, monitoring </w:t>
      </w:r>
      <w:r w:rsidR="006051E9" w:rsidRPr="007345D5">
        <w:rPr>
          <w:rFonts w:ascii="Book Antiqua" w:eastAsia="MS PGothic" w:hAnsi="Book Antiqua" w:cs="Arial"/>
          <w:sz w:val="24"/>
          <w:szCs w:val="24"/>
          <w:lang w:val="en-GB"/>
        </w:rPr>
        <w:t xml:space="preserve">of </w:t>
      </w:r>
      <w:r w:rsidRPr="007345D5">
        <w:rPr>
          <w:rFonts w:ascii="Book Antiqua" w:eastAsia="MS PGothic" w:hAnsi="Book Antiqua" w:cs="Arial"/>
          <w:sz w:val="24"/>
          <w:szCs w:val="24"/>
          <w:lang w:val="en-GB"/>
        </w:rPr>
        <w:t>disease progression, and evaluation of treatment efficacy in breast</w:t>
      </w:r>
      <w:r w:rsidRPr="007345D5">
        <w:rPr>
          <w:rFonts w:ascii="Book Antiqua" w:eastAsia="MS PGothic" w:hAnsi="Book Antiqua" w:cs="Arial"/>
          <w:sz w:val="24"/>
          <w:szCs w:val="24"/>
          <w:vertAlign w:val="superscript"/>
          <w:lang w:val="en-GB"/>
        </w:rPr>
        <w:t>[2]</w:t>
      </w:r>
      <w:r w:rsidRPr="007345D5">
        <w:rPr>
          <w:rFonts w:ascii="Book Antiqua" w:eastAsia="MS PGothic" w:hAnsi="Book Antiqua" w:cs="Arial"/>
          <w:sz w:val="24"/>
          <w:szCs w:val="24"/>
          <w:lang w:val="en-GB"/>
        </w:rPr>
        <w:t>, lung</w:t>
      </w:r>
      <w:r w:rsidRPr="007345D5">
        <w:rPr>
          <w:rFonts w:ascii="Book Antiqua" w:eastAsia="MS PGothic" w:hAnsi="Book Antiqua" w:cs="Arial"/>
          <w:sz w:val="24"/>
          <w:szCs w:val="24"/>
          <w:vertAlign w:val="superscript"/>
          <w:lang w:val="en-GB"/>
        </w:rPr>
        <w:t>[3]</w:t>
      </w:r>
      <w:r w:rsidRPr="007345D5">
        <w:rPr>
          <w:rFonts w:ascii="Book Antiqua" w:eastAsia="MS PGothic" w:hAnsi="Book Antiqua" w:cs="Arial"/>
          <w:sz w:val="24"/>
          <w:szCs w:val="24"/>
          <w:lang w:val="en-GB"/>
        </w:rPr>
        <w:t>, prostate</w:t>
      </w:r>
      <w:r w:rsidRPr="007345D5">
        <w:rPr>
          <w:rFonts w:ascii="Book Antiqua" w:eastAsia="MS PGothic" w:hAnsi="Book Antiqua" w:cs="Arial"/>
          <w:sz w:val="24"/>
          <w:szCs w:val="24"/>
          <w:vertAlign w:val="superscript"/>
          <w:lang w:val="en-GB"/>
        </w:rPr>
        <w:t>[4]</w:t>
      </w:r>
      <w:r w:rsidRPr="007345D5">
        <w:rPr>
          <w:rFonts w:ascii="Book Antiqua" w:eastAsia="MS PGothic" w:hAnsi="Book Antiqua" w:cs="Arial"/>
          <w:sz w:val="24"/>
          <w:szCs w:val="24"/>
          <w:lang w:val="en-GB"/>
        </w:rPr>
        <w:t>, skin</w:t>
      </w:r>
      <w:r w:rsidRPr="007345D5">
        <w:rPr>
          <w:rFonts w:ascii="Book Antiqua" w:eastAsia="MS PGothic" w:hAnsi="Book Antiqua" w:cs="Arial"/>
          <w:sz w:val="24"/>
          <w:szCs w:val="24"/>
          <w:vertAlign w:val="superscript"/>
          <w:lang w:val="en-GB"/>
        </w:rPr>
        <w:t>[5]</w:t>
      </w:r>
      <w:r w:rsidRPr="007345D5">
        <w:rPr>
          <w:rFonts w:ascii="Book Antiqua" w:eastAsia="MS PGothic" w:hAnsi="Book Antiqua" w:cs="Arial"/>
          <w:sz w:val="24"/>
          <w:szCs w:val="24"/>
          <w:lang w:val="en-GB"/>
        </w:rPr>
        <w:t>, colon</w:t>
      </w:r>
      <w:r w:rsidRPr="007345D5">
        <w:rPr>
          <w:rFonts w:ascii="Book Antiqua" w:eastAsia="MS PGothic" w:hAnsi="Book Antiqua" w:cs="Arial"/>
          <w:sz w:val="24"/>
          <w:szCs w:val="24"/>
          <w:vertAlign w:val="superscript"/>
          <w:lang w:val="en-GB"/>
        </w:rPr>
        <w:t>[6]</w:t>
      </w:r>
      <w:r w:rsidRPr="007345D5">
        <w:rPr>
          <w:rFonts w:ascii="Book Antiqua" w:eastAsia="MS PGothic" w:hAnsi="Book Antiqua" w:cs="Arial"/>
          <w:sz w:val="24"/>
          <w:szCs w:val="24"/>
          <w:lang w:val="en-GB"/>
        </w:rPr>
        <w:t xml:space="preserve">, </w:t>
      </w:r>
      <w:r w:rsidR="00890DC8" w:rsidRPr="007345D5">
        <w:rPr>
          <w:rFonts w:ascii="Book Antiqua" w:eastAsia="MS PGothic" w:hAnsi="Book Antiqua" w:cs="Arial"/>
          <w:sz w:val="24"/>
          <w:szCs w:val="24"/>
          <w:lang w:val="en-GB"/>
        </w:rPr>
        <w:t>gastric</w:t>
      </w:r>
      <w:r w:rsidR="00890DC8" w:rsidRPr="007345D5">
        <w:rPr>
          <w:rFonts w:ascii="Book Antiqua" w:eastAsia="MS PGothic" w:hAnsi="Book Antiqua" w:cs="Arial"/>
          <w:sz w:val="24"/>
          <w:szCs w:val="24"/>
          <w:vertAlign w:val="superscript"/>
          <w:lang w:val="en-GB"/>
        </w:rPr>
        <w:t>[</w:t>
      </w:r>
      <w:r w:rsidR="006B5193" w:rsidRPr="007345D5">
        <w:rPr>
          <w:rFonts w:ascii="Book Antiqua" w:eastAsia="MS PGothic" w:hAnsi="Book Antiqua" w:cs="Arial"/>
          <w:sz w:val="24"/>
          <w:szCs w:val="24"/>
          <w:vertAlign w:val="superscript"/>
          <w:lang w:val="en-GB"/>
        </w:rPr>
        <w:t>7</w:t>
      </w:r>
      <w:r w:rsidR="00890DC8" w:rsidRPr="007345D5">
        <w:rPr>
          <w:rFonts w:ascii="Book Antiqua" w:eastAsia="MS PGothic" w:hAnsi="Book Antiqua" w:cs="Arial"/>
          <w:sz w:val="24"/>
          <w:szCs w:val="24"/>
          <w:vertAlign w:val="superscript"/>
          <w:lang w:val="en-GB"/>
        </w:rPr>
        <w:t>]</w:t>
      </w:r>
      <w:r w:rsidR="00890DC8" w:rsidRPr="007345D5">
        <w:rPr>
          <w:rFonts w:ascii="Book Antiqua" w:eastAsia="MS PGothic" w:hAnsi="Book Antiqua" w:cs="Arial"/>
          <w:sz w:val="24"/>
          <w:szCs w:val="24"/>
          <w:lang w:val="en-GB"/>
        </w:rPr>
        <w:t>, and esophageal cancer</w:t>
      </w:r>
      <w:r w:rsidR="00E4687D" w:rsidRPr="007345D5">
        <w:rPr>
          <w:rFonts w:ascii="Book Antiqua" w:eastAsia="MS PGothic" w:hAnsi="Book Antiqua" w:cs="Arial"/>
          <w:sz w:val="24"/>
          <w:szCs w:val="24"/>
          <w:vertAlign w:val="superscript"/>
          <w:lang w:val="en-GB"/>
        </w:rPr>
        <w:t>[</w:t>
      </w:r>
      <w:r w:rsidR="006B5193" w:rsidRPr="007345D5">
        <w:rPr>
          <w:rFonts w:ascii="Book Antiqua" w:eastAsia="MS PGothic" w:hAnsi="Book Antiqua" w:cs="Arial"/>
          <w:sz w:val="24"/>
          <w:szCs w:val="24"/>
          <w:vertAlign w:val="superscript"/>
          <w:lang w:val="en-GB"/>
        </w:rPr>
        <w:t>8,9</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Although various methods have been developed to detect CTCs, the most commonly used techniques for their enrichment and characterisation are density gradient separation</w:t>
      </w:r>
      <w:r w:rsidRPr="007345D5">
        <w:rPr>
          <w:rFonts w:ascii="Book Antiqua" w:eastAsia="MS PGothic" w:hAnsi="Book Antiqua" w:cs="Arial"/>
          <w:sz w:val="24"/>
          <w:szCs w:val="24"/>
          <w:vertAlign w:val="superscript"/>
          <w:lang w:val="en-GB"/>
        </w:rPr>
        <w:t>[</w:t>
      </w:r>
      <w:r w:rsidR="006B5193" w:rsidRPr="007345D5">
        <w:rPr>
          <w:rFonts w:ascii="Book Antiqua" w:eastAsia="MS PGothic" w:hAnsi="Book Antiqua" w:cs="Arial"/>
          <w:sz w:val="24"/>
          <w:szCs w:val="24"/>
          <w:vertAlign w:val="superscript"/>
          <w:lang w:val="en-GB"/>
        </w:rPr>
        <w:t>10</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immunomagnetic separation</w:t>
      </w:r>
      <w:r w:rsidRPr="007345D5">
        <w:rPr>
          <w:rFonts w:ascii="Book Antiqua" w:eastAsia="MS PGothic" w:hAnsi="Book Antiqua" w:cs="Arial"/>
          <w:sz w:val="24"/>
          <w:szCs w:val="24"/>
          <w:vertAlign w:val="superscript"/>
          <w:lang w:val="en-GB"/>
        </w:rPr>
        <w:t>[</w:t>
      </w:r>
      <w:r w:rsidR="006B5193" w:rsidRPr="007345D5">
        <w:rPr>
          <w:rFonts w:ascii="Book Antiqua" w:eastAsia="MS PGothic" w:hAnsi="Book Antiqua" w:cs="Arial"/>
          <w:sz w:val="24"/>
          <w:szCs w:val="24"/>
          <w:vertAlign w:val="superscript"/>
          <w:lang w:val="en-GB"/>
        </w:rPr>
        <w:t>11</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flow cytometry</w:t>
      </w:r>
      <w:r w:rsidRPr="007345D5">
        <w:rPr>
          <w:rFonts w:ascii="Book Antiqua" w:eastAsia="MS PGothic" w:hAnsi="Book Antiqua" w:cs="Arial"/>
          <w:sz w:val="24"/>
          <w:szCs w:val="24"/>
          <w:vertAlign w:val="superscript"/>
          <w:lang w:val="en-GB"/>
        </w:rPr>
        <w:t>[1</w:t>
      </w:r>
      <w:r w:rsidR="006B5193" w:rsidRPr="007345D5">
        <w:rPr>
          <w:rFonts w:ascii="Book Antiqua" w:eastAsia="MS PGothic" w:hAnsi="Book Antiqua" w:cs="Arial"/>
          <w:sz w:val="24"/>
          <w:szCs w:val="24"/>
          <w:vertAlign w:val="superscript"/>
          <w:lang w:val="en-GB"/>
        </w:rPr>
        <w:t>2</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direct enrichment by filtration</w:t>
      </w:r>
      <w:r w:rsidRPr="007345D5">
        <w:rPr>
          <w:rFonts w:ascii="Book Antiqua" w:eastAsia="MS PGothic" w:hAnsi="Book Antiqua" w:cs="Arial"/>
          <w:sz w:val="24"/>
          <w:szCs w:val="24"/>
          <w:vertAlign w:val="superscript"/>
          <w:lang w:val="en-GB"/>
        </w:rPr>
        <w:t>[1</w:t>
      </w:r>
      <w:r w:rsidR="006B5193" w:rsidRPr="007345D5">
        <w:rPr>
          <w:rFonts w:ascii="Book Antiqua" w:eastAsia="MS PGothic" w:hAnsi="Book Antiqua" w:cs="Arial"/>
          <w:sz w:val="24"/>
          <w:szCs w:val="24"/>
          <w:vertAlign w:val="superscript"/>
          <w:lang w:val="en-GB"/>
        </w:rPr>
        <w:t>3</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and microchip technology</w:t>
      </w:r>
      <w:r w:rsidRPr="007345D5">
        <w:rPr>
          <w:rFonts w:ascii="Book Antiqua" w:eastAsia="MS PGothic" w:hAnsi="Book Antiqua" w:cs="Arial"/>
          <w:sz w:val="24"/>
          <w:szCs w:val="24"/>
          <w:vertAlign w:val="superscript"/>
          <w:lang w:val="en-GB"/>
        </w:rPr>
        <w:t>[1</w:t>
      </w:r>
      <w:r w:rsidR="006B5193" w:rsidRPr="007345D5">
        <w:rPr>
          <w:rFonts w:ascii="Book Antiqua" w:eastAsia="MS PGothic" w:hAnsi="Book Antiqua" w:cs="Arial"/>
          <w:sz w:val="24"/>
          <w:szCs w:val="24"/>
          <w:vertAlign w:val="superscript"/>
          <w:lang w:val="en-GB"/>
        </w:rPr>
        <w:t>4</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The CellSearch System (Veridex, LLC, Raritan, NJ, USA), which is based on immunomagnetic cell enrichment, is one of the most widely used techniques for automated</w:t>
      </w:r>
      <w:r w:rsidRPr="007345D5" w:rsidDel="003548C7">
        <w:rPr>
          <w:rFonts w:ascii="Book Antiqua" w:eastAsia="MS PGothic" w:hAnsi="Book Antiqua" w:cs="Arial"/>
          <w:sz w:val="24"/>
          <w:szCs w:val="24"/>
          <w:lang w:val="en-GB"/>
        </w:rPr>
        <w:t xml:space="preserve"> </w:t>
      </w:r>
      <w:r w:rsidRPr="007345D5">
        <w:rPr>
          <w:rFonts w:ascii="Book Antiqua" w:eastAsia="MS PGothic" w:hAnsi="Book Antiqua" w:cs="Arial"/>
          <w:sz w:val="24"/>
          <w:szCs w:val="24"/>
          <w:lang w:val="en-GB"/>
        </w:rPr>
        <w:t>enrichment and detection of CTCs</w:t>
      </w:r>
      <w:r w:rsidR="00E4687D" w:rsidRPr="007345D5">
        <w:rPr>
          <w:rFonts w:ascii="Book Antiqua" w:eastAsia="MS PGothic" w:hAnsi="Book Antiqua" w:cs="Arial"/>
          <w:sz w:val="24"/>
          <w:szCs w:val="24"/>
          <w:vertAlign w:val="superscript"/>
          <w:lang w:val="en-GB"/>
        </w:rPr>
        <w:t>[1</w:t>
      </w:r>
      <w:r w:rsidR="006B5193" w:rsidRPr="007345D5">
        <w:rPr>
          <w:rFonts w:ascii="Book Antiqua" w:eastAsia="MS PGothic" w:hAnsi="Book Antiqua" w:cs="Arial"/>
          <w:sz w:val="24"/>
          <w:szCs w:val="24"/>
          <w:vertAlign w:val="superscript"/>
          <w:lang w:val="en-GB"/>
        </w:rPr>
        <w:t>5,16</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The advantage of immunomagnetic cell separation is that CTCs can be directly visualised under a microscope. In the CellSearch assay, cells detected with antibodies against epithelial markers (</w:t>
      </w:r>
      <w:r w:rsidRPr="007345D5">
        <w:rPr>
          <w:rFonts w:ascii="Book Antiqua" w:eastAsia="MS PGothic" w:hAnsi="Book Antiqua" w:cs="Arial"/>
          <w:i/>
          <w:sz w:val="24"/>
          <w:szCs w:val="24"/>
          <w:lang w:val="en-GB"/>
        </w:rPr>
        <w:t>e.g.</w:t>
      </w:r>
      <w:r w:rsidR="00E4687D" w:rsidRPr="007345D5">
        <w:rPr>
          <w:rFonts w:ascii="Book Antiqua" w:eastAsia="SimSun" w:hAnsi="Book Antiqua" w:cs="Arial"/>
          <w:sz w:val="24"/>
          <w:szCs w:val="24"/>
          <w:lang w:val="en-GB" w:eastAsia="zh-CN"/>
        </w:rPr>
        <w:t>,</w:t>
      </w:r>
      <w:r w:rsidRPr="007345D5">
        <w:rPr>
          <w:rFonts w:ascii="Book Antiqua" w:eastAsia="MS PGothic" w:hAnsi="Book Antiqua" w:cs="Arial"/>
          <w:sz w:val="24"/>
          <w:szCs w:val="24"/>
          <w:lang w:val="en-GB"/>
        </w:rPr>
        <w:t xml:space="preserve"> epithelial cell adhesion molecules, or EpCAMs) are classified as CTCs. During </w:t>
      </w:r>
      <w:r w:rsidR="006051E9" w:rsidRPr="007345D5">
        <w:rPr>
          <w:rFonts w:ascii="Book Antiqua" w:eastAsia="MS PGothic" w:hAnsi="Book Antiqua" w:cs="Arial"/>
          <w:sz w:val="24"/>
          <w:szCs w:val="24"/>
          <w:lang w:val="en-GB"/>
        </w:rPr>
        <w:t xml:space="preserve">the </w:t>
      </w:r>
      <w:r w:rsidRPr="007345D5">
        <w:rPr>
          <w:rFonts w:ascii="Book Antiqua" w:eastAsia="MS PGothic" w:hAnsi="Book Antiqua" w:cs="Arial"/>
          <w:sz w:val="24"/>
          <w:szCs w:val="24"/>
          <w:lang w:val="en-GB"/>
        </w:rPr>
        <w:t>epithelial-mesenchymal transition (EMT), an important process that occurs in CTCs</w:t>
      </w:r>
      <w:r w:rsidRPr="007345D5">
        <w:rPr>
          <w:rFonts w:ascii="Book Antiqua" w:eastAsia="MS PGothic" w:hAnsi="Book Antiqua" w:cs="Arial"/>
          <w:sz w:val="24"/>
          <w:szCs w:val="24"/>
          <w:vertAlign w:val="superscript"/>
          <w:lang w:val="en-GB"/>
        </w:rPr>
        <w:t>[</w:t>
      </w:r>
      <w:r w:rsidR="006B5193" w:rsidRPr="007345D5">
        <w:rPr>
          <w:rFonts w:ascii="Book Antiqua" w:eastAsia="MS PGothic" w:hAnsi="Book Antiqua" w:cs="Arial"/>
          <w:sz w:val="24"/>
          <w:szCs w:val="24"/>
          <w:vertAlign w:val="superscript"/>
          <w:lang w:val="en-GB"/>
        </w:rPr>
        <w:t>17</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expression of epithelial surface markers is reduced. Thus, systems that rely on epithelial markers may fail to detect CTCs undergoing EMT</w:t>
      </w:r>
      <w:r w:rsidRPr="007345D5">
        <w:rPr>
          <w:rFonts w:ascii="Book Antiqua" w:eastAsia="MS PGothic" w:hAnsi="Book Antiqua" w:cs="Arial"/>
          <w:sz w:val="24"/>
          <w:szCs w:val="24"/>
          <w:vertAlign w:val="superscript"/>
          <w:lang w:val="en-GB"/>
        </w:rPr>
        <w:t>[1</w:t>
      </w:r>
      <w:r w:rsidR="006B5193" w:rsidRPr="007345D5">
        <w:rPr>
          <w:rFonts w:ascii="Book Antiqua" w:eastAsia="MS PGothic" w:hAnsi="Book Antiqua" w:cs="Arial"/>
          <w:sz w:val="24"/>
          <w:szCs w:val="24"/>
          <w:vertAlign w:val="superscript"/>
          <w:lang w:val="en-GB"/>
        </w:rPr>
        <w:t>8</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xml:space="preserve">. Methodologies based on direct enrichment by filtration may circumvent this issue to some extent, although cells detected in this </w:t>
      </w:r>
      <w:r w:rsidR="006051E9" w:rsidRPr="007345D5">
        <w:rPr>
          <w:rFonts w:ascii="Book Antiqua" w:eastAsia="MS PGothic" w:hAnsi="Book Antiqua" w:cs="Arial"/>
          <w:sz w:val="24"/>
          <w:szCs w:val="24"/>
          <w:lang w:val="en-GB"/>
        </w:rPr>
        <w:t>manner</w:t>
      </w:r>
      <w:r w:rsidRPr="007345D5">
        <w:rPr>
          <w:rFonts w:ascii="Book Antiqua" w:eastAsia="MS PGothic" w:hAnsi="Book Antiqua" w:cs="Arial"/>
          <w:sz w:val="24"/>
          <w:szCs w:val="24"/>
          <w:lang w:val="en-GB"/>
        </w:rPr>
        <w:t xml:space="preserve"> often lack tumo</w:t>
      </w:r>
      <w:r w:rsidR="00065A3C" w:rsidRPr="007345D5">
        <w:rPr>
          <w:rFonts w:ascii="Book Antiqua" w:eastAsia="MS PGothic" w:hAnsi="Book Antiqua" w:cs="Arial"/>
          <w:sz w:val="24"/>
          <w:szCs w:val="24"/>
          <w:lang w:val="en-GB"/>
        </w:rPr>
        <w:t>u</w:t>
      </w:r>
      <w:r w:rsidRPr="007345D5">
        <w:rPr>
          <w:rFonts w:ascii="Book Antiqua" w:eastAsia="MS PGothic" w:hAnsi="Book Antiqua" w:cs="Arial"/>
          <w:sz w:val="24"/>
          <w:szCs w:val="24"/>
          <w:lang w:val="en-GB"/>
        </w:rPr>
        <w:t xml:space="preserve">rigenicity. </w:t>
      </w:r>
    </w:p>
    <w:p w14:paraId="765F65C4" w14:textId="1DE1461D" w:rsidR="00C1732C" w:rsidRPr="007345D5" w:rsidRDefault="00C1732C" w:rsidP="00570508">
      <w:pPr>
        <w:pStyle w:val="CommentTextChar"/>
        <w:adjustRightInd w:val="0"/>
        <w:snapToGrid w:val="0"/>
        <w:spacing w:line="360" w:lineRule="auto"/>
        <w:ind w:firstLineChars="100" w:firstLine="240"/>
        <w:rPr>
          <w:rFonts w:ascii="Book Antiqua" w:eastAsia="MS PGothic" w:hAnsi="Book Antiqua" w:cs="Arial"/>
          <w:sz w:val="24"/>
          <w:szCs w:val="24"/>
          <w:lang w:val="en-GB"/>
        </w:rPr>
      </w:pPr>
      <w:r w:rsidRPr="007345D5">
        <w:rPr>
          <w:rFonts w:ascii="Book Antiqua" w:eastAsia="MS PGothic" w:hAnsi="Book Antiqua" w:cs="Arial"/>
          <w:sz w:val="24"/>
          <w:szCs w:val="24"/>
          <w:lang w:val="en-GB"/>
        </w:rPr>
        <w:t>Increased telomerase activity is a common characteristic of malignant tumours, and telomerase plays important roles in carcinogenesis and disease progression</w:t>
      </w:r>
      <w:r w:rsidRPr="007345D5">
        <w:rPr>
          <w:rFonts w:ascii="Book Antiqua" w:eastAsia="MS PGothic" w:hAnsi="Book Antiqua" w:cs="Arial"/>
          <w:sz w:val="24"/>
          <w:szCs w:val="24"/>
          <w:vertAlign w:val="superscript"/>
          <w:lang w:val="en-GB"/>
        </w:rPr>
        <w:t>[1</w:t>
      </w:r>
      <w:r w:rsidR="006B5193" w:rsidRPr="007345D5">
        <w:rPr>
          <w:rFonts w:ascii="Book Antiqua" w:eastAsia="MS PGothic" w:hAnsi="Book Antiqua" w:cs="Arial"/>
          <w:sz w:val="24"/>
          <w:szCs w:val="24"/>
          <w:vertAlign w:val="superscript"/>
          <w:lang w:val="en-GB"/>
        </w:rPr>
        <w:t>9</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OBP-401 (TelomeScan, Oncolys BioPharma, Tokyo, Japan) is a telomerase-specific, replication-selective modified viral agent in which the human telomerase reverse transcriptase (</w:t>
      </w:r>
      <w:r w:rsidRPr="007345D5">
        <w:rPr>
          <w:rFonts w:ascii="Book Antiqua" w:eastAsia="MS PGothic" w:hAnsi="Book Antiqua" w:cs="Arial"/>
          <w:i/>
          <w:sz w:val="24"/>
          <w:szCs w:val="24"/>
          <w:lang w:val="en-GB"/>
        </w:rPr>
        <w:t>TERT</w:t>
      </w:r>
      <w:r w:rsidRPr="007345D5">
        <w:rPr>
          <w:rFonts w:ascii="Book Antiqua" w:eastAsia="MS PGothic" w:hAnsi="Book Antiqua" w:cs="Arial"/>
          <w:sz w:val="24"/>
          <w:szCs w:val="24"/>
          <w:lang w:val="en-GB"/>
        </w:rPr>
        <w:t>) gene promoter is inserted into the E1 region, and the green fluorescent protein (</w:t>
      </w:r>
      <w:r w:rsidRPr="007345D5">
        <w:rPr>
          <w:rFonts w:ascii="Book Antiqua" w:eastAsia="MS PGothic" w:hAnsi="Book Antiqua" w:cs="Arial"/>
          <w:i/>
          <w:sz w:val="24"/>
          <w:szCs w:val="24"/>
          <w:lang w:val="en-GB"/>
        </w:rPr>
        <w:t>GFP</w:t>
      </w:r>
      <w:r w:rsidRPr="007345D5">
        <w:rPr>
          <w:rFonts w:ascii="Book Antiqua" w:eastAsia="MS PGothic" w:hAnsi="Book Antiqua" w:cs="Arial"/>
          <w:sz w:val="24"/>
          <w:szCs w:val="24"/>
          <w:lang w:val="en-GB"/>
        </w:rPr>
        <w:t xml:space="preserve">) gene is placed under the control of the cytomegalovirus promoter in the E3 region as a marker of viral </w:t>
      </w:r>
      <w:r w:rsidRPr="007345D5">
        <w:rPr>
          <w:rFonts w:ascii="Book Antiqua" w:eastAsia="MS PGothic" w:hAnsi="Book Antiqua" w:cs="Arial"/>
          <w:sz w:val="24"/>
          <w:szCs w:val="24"/>
          <w:lang w:val="en-GB"/>
        </w:rPr>
        <w:lastRenderedPageBreak/>
        <w:t>replication</w:t>
      </w:r>
      <w:r w:rsidRPr="007345D5">
        <w:rPr>
          <w:rFonts w:ascii="Book Antiqua" w:eastAsia="MS PGothic" w:hAnsi="Book Antiqua" w:cs="Arial"/>
          <w:sz w:val="24"/>
          <w:szCs w:val="24"/>
          <w:vertAlign w:val="superscript"/>
          <w:lang w:val="en-GB"/>
        </w:rPr>
        <w:t>[</w:t>
      </w:r>
      <w:r w:rsidR="006B5193" w:rsidRPr="007345D5">
        <w:rPr>
          <w:rFonts w:ascii="Book Antiqua" w:eastAsia="MS PGothic" w:hAnsi="Book Antiqua" w:cs="Arial"/>
          <w:sz w:val="24"/>
          <w:szCs w:val="24"/>
          <w:vertAlign w:val="superscript"/>
          <w:lang w:val="en-GB"/>
        </w:rPr>
        <w:t>20</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xml:space="preserve">. Thus, OBP-401 only proliferates in viable cells with high telomerase activity and provides a fluorescent label that allows tumour cells to be labelled, regardless of their epithelial marker expression profiles. We previously used OBP-401 to detect cells with high telomerase activity in blood samples of healthy and treatment-negative gastric cancer patients before surgery. </w:t>
      </w:r>
      <w:r w:rsidR="001A64F7" w:rsidRPr="007345D5">
        <w:rPr>
          <w:rFonts w:ascii="Book Antiqua" w:eastAsia="MS PGothic" w:hAnsi="Book Antiqua" w:cs="Arial"/>
          <w:sz w:val="24"/>
          <w:szCs w:val="24"/>
          <w:lang w:val="en-GB"/>
        </w:rPr>
        <w:t>We took 7.5</w:t>
      </w:r>
      <w:r w:rsidR="006051E9" w:rsidRPr="007345D5">
        <w:rPr>
          <w:rFonts w:ascii="Book Antiqua" w:eastAsia="MS PGothic" w:hAnsi="Book Antiqua" w:cs="Arial"/>
          <w:sz w:val="24"/>
          <w:szCs w:val="24"/>
          <w:lang w:val="en-GB"/>
        </w:rPr>
        <w:t>-</w:t>
      </w:r>
      <w:r w:rsidR="001A64F7" w:rsidRPr="007345D5">
        <w:rPr>
          <w:rFonts w:ascii="Book Antiqua" w:eastAsia="MS PGothic" w:hAnsi="Book Antiqua" w:cs="Arial"/>
          <w:sz w:val="24"/>
          <w:szCs w:val="24"/>
          <w:lang w:val="en-GB"/>
        </w:rPr>
        <w:t>m</w:t>
      </w:r>
      <w:r w:rsidR="00E4687D" w:rsidRPr="007345D5">
        <w:rPr>
          <w:rFonts w:ascii="Book Antiqua" w:eastAsia="SimSun" w:hAnsi="Book Antiqua" w:cs="Arial"/>
          <w:sz w:val="24"/>
          <w:szCs w:val="24"/>
          <w:lang w:val="en-GB" w:eastAsia="zh-CN"/>
        </w:rPr>
        <w:t>L</w:t>
      </w:r>
      <w:r w:rsidR="001A64F7" w:rsidRPr="007345D5">
        <w:rPr>
          <w:rFonts w:ascii="Book Antiqua" w:eastAsia="MS PGothic" w:hAnsi="Book Antiqua" w:cs="Arial"/>
          <w:sz w:val="24"/>
          <w:szCs w:val="24"/>
          <w:lang w:val="en-GB"/>
        </w:rPr>
        <w:t xml:space="preserve"> peripheral blood samples from cancer patients before surgery and healthy volunteers. We </w:t>
      </w:r>
      <w:r w:rsidR="00953DAF" w:rsidRPr="007345D5">
        <w:rPr>
          <w:rFonts w:ascii="Book Antiqua" w:eastAsia="MS PGothic" w:hAnsi="Book Antiqua" w:cs="Arial"/>
          <w:sz w:val="24"/>
          <w:szCs w:val="24"/>
          <w:lang w:val="en-GB"/>
        </w:rPr>
        <w:t>detect</w:t>
      </w:r>
      <w:r w:rsidR="006051E9" w:rsidRPr="007345D5">
        <w:rPr>
          <w:rFonts w:ascii="Book Antiqua" w:eastAsia="MS PGothic" w:hAnsi="Book Antiqua" w:cs="Arial"/>
          <w:sz w:val="24"/>
          <w:szCs w:val="24"/>
          <w:lang w:val="en-GB"/>
        </w:rPr>
        <w:t>ed</w:t>
      </w:r>
      <w:r w:rsidR="001A64F7" w:rsidRPr="007345D5">
        <w:rPr>
          <w:rFonts w:ascii="Book Antiqua" w:eastAsia="MS PGothic" w:hAnsi="Book Antiqua" w:cs="Arial"/>
          <w:sz w:val="24"/>
          <w:szCs w:val="24"/>
          <w:lang w:val="en-GB"/>
        </w:rPr>
        <w:t xml:space="preserve"> viable </w:t>
      </w:r>
      <w:r w:rsidR="00953DAF" w:rsidRPr="007345D5">
        <w:rPr>
          <w:rFonts w:ascii="Book Antiqua" w:eastAsia="MS PGothic" w:hAnsi="Book Antiqua" w:cs="Arial"/>
          <w:sz w:val="24"/>
          <w:szCs w:val="24"/>
          <w:lang w:val="en-GB"/>
        </w:rPr>
        <w:t xml:space="preserve">GFP-positive </w:t>
      </w:r>
      <w:r w:rsidR="001A64F7" w:rsidRPr="007345D5">
        <w:rPr>
          <w:rFonts w:ascii="Book Antiqua" w:eastAsia="MS PGothic" w:hAnsi="Book Antiqua" w:cs="Arial"/>
          <w:sz w:val="24"/>
          <w:szCs w:val="24"/>
          <w:lang w:val="en-GB"/>
        </w:rPr>
        <w:t>CTCs in the blood samples after incubati</w:t>
      </w:r>
      <w:r w:rsidR="006051E9" w:rsidRPr="007345D5">
        <w:rPr>
          <w:rFonts w:ascii="Book Antiqua" w:eastAsia="MS PGothic" w:hAnsi="Book Antiqua" w:cs="Arial"/>
          <w:sz w:val="24"/>
          <w:szCs w:val="24"/>
          <w:lang w:val="en-GB"/>
        </w:rPr>
        <w:t>on</w:t>
      </w:r>
      <w:r w:rsidR="001A64F7" w:rsidRPr="007345D5">
        <w:rPr>
          <w:rFonts w:ascii="Book Antiqua" w:eastAsia="MS PGothic" w:hAnsi="Book Antiqua" w:cs="Arial"/>
          <w:sz w:val="24"/>
          <w:szCs w:val="24"/>
          <w:lang w:val="en-GB"/>
        </w:rPr>
        <w:t xml:space="preserve"> with OBP-401. </w:t>
      </w:r>
      <w:r w:rsidRPr="007345D5">
        <w:rPr>
          <w:rFonts w:ascii="Book Antiqua" w:eastAsia="MS PGothic" w:hAnsi="Book Antiqua" w:cs="Arial"/>
          <w:sz w:val="24"/>
          <w:szCs w:val="24"/>
          <w:lang w:val="en-GB"/>
        </w:rPr>
        <w:t xml:space="preserve">This revealed that </w:t>
      </w:r>
      <w:r w:rsidR="006051E9" w:rsidRPr="007345D5">
        <w:rPr>
          <w:rFonts w:ascii="Book Antiqua" w:eastAsia="MS PGothic" w:hAnsi="Book Antiqua" w:cs="Arial"/>
          <w:sz w:val="24"/>
          <w:szCs w:val="24"/>
          <w:lang w:val="en-GB"/>
        </w:rPr>
        <w:t xml:space="preserve">in </w:t>
      </w:r>
      <w:r w:rsidRPr="007345D5">
        <w:rPr>
          <w:rFonts w:ascii="Book Antiqua" w:eastAsia="MS PGothic" w:hAnsi="Book Antiqua" w:cs="Arial"/>
          <w:sz w:val="24"/>
          <w:szCs w:val="24"/>
          <w:lang w:val="en-GB"/>
        </w:rPr>
        <w:t>patients with gastric cancer</w:t>
      </w:r>
      <w:r w:rsidR="006051E9" w:rsidRPr="007345D5">
        <w:rPr>
          <w:rFonts w:ascii="Book Antiqua" w:eastAsia="MS PGothic" w:hAnsi="Book Antiqua" w:cs="Arial"/>
          <w:sz w:val="24"/>
          <w:szCs w:val="24"/>
          <w:lang w:val="en-GB"/>
        </w:rPr>
        <w:t>,</w:t>
      </w:r>
      <w:r w:rsidRPr="007345D5">
        <w:rPr>
          <w:rFonts w:ascii="Book Antiqua" w:eastAsia="MS PGothic" w:hAnsi="Book Antiqua" w:cs="Arial"/>
          <w:sz w:val="24"/>
          <w:szCs w:val="24"/>
          <w:lang w:val="en-GB"/>
        </w:rPr>
        <w:t xml:space="preserve"> a greater proportion of ‘high telomerase activity’ cells </w:t>
      </w:r>
      <w:r w:rsidR="006051E9" w:rsidRPr="007345D5">
        <w:rPr>
          <w:rFonts w:ascii="Book Antiqua" w:eastAsia="MS PGothic" w:hAnsi="Book Antiqua" w:cs="Arial"/>
          <w:sz w:val="24"/>
          <w:szCs w:val="24"/>
          <w:lang w:val="en-GB"/>
        </w:rPr>
        <w:t>was associated with</w:t>
      </w:r>
      <w:r w:rsidRPr="007345D5">
        <w:rPr>
          <w:rFonts w:ascii="Book Antiqua" w:eastAsia="MS PGothic" w:hAnsi="Book Antiqua" w:cs="Arial"/>
          <w:sz w:val="24"/>
          <w:szCs w:val="24"/>
          <w:lang w:val="en-GB"/>
        </w:rPr>
        <w:t xml:space="preserve"> a significantly poorer prognosis</w:t>
      </w:r>
      <w:r w:rsidRPr="007345D5">
        <w:rPr>
          <w:rFonts w:ascii="Book Antiqua" w:eastAsia="MS PGothic" w:hAnsi="Book Antiqua" w:cs="Arial"/>
          <w:sz w:val="24"/>
          <w:szCs w:val="24"/>
          <w:vertAlign w:val="superscript"/>
          <w:lang w:val="en-GB"/>
        </w:rPr>
        <w:t>[</w:t>
      </w:r>
      <w:r w:rsidR="006B5193" w:rsidRPr="007345D5">
        <w:rPr>
          <w:rFonts w:ascii="Book Antiqua" w:eastAsia="MS PGothic" w:hAnsi="Book Antiqua" w:cs="Arial"/>
          <w:sz w:val="24"/>
          <w:szCs w:val="24"/>
          <w:vertAlign w:val="superscript"/>
          <w:lang w:val="en-GB"/>
        </w:rPr>
        <w:t>21</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In this report, we describe the final long-term results (median follow-up time of five years) of this initial study, which demonstrate that the OBP-401-dependent CTC assay has clinical utility in patients with gastric cancer.</w:t>
      </w:r>
    </w:p>
    <w:p w14:paraId="44D00B4F" w14:textId="77777777"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p>
    <w:p w14:paraId="7C4EC052" w14:textId="77777777"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MS PGothic" w:hAnsi="Book Antiqua" w:cs="Arial"/>
          <w:b/>
          <w:sz w:val="24"/>
          <w:szCs w:val="24"/>
          <w:lang w:val="en-GB"/>
        </w:rPr>
        <w:t>MATERIALS AND METHODS</w:t>
      </w:r>
    </w:p>
    <w:p w14:paraId="7434F5D5" w14:textId="77777777"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Patients and healthy volunteers</w:t>
      </w:r>
    </w:p>
    <w:p w14:paraId="2EC7E9E3" w14:textId="226DB80B"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This report was the final analysis of our prospective preliminary study on CTCs from 65 patients with treatment-negative gastric adenocarcinoma who underwent surgery at the Digestive Disease Center of the Showa University Northern Yokohama Hospital between April 2010 and May 2011, and from whom we extracted peripheral blood samples before treatment. The inclusion criteria were: (</w:t>
      </w:r>
      <w:r w:rsidR="00E4687D" w:rsidRPr="007345D5">
        <w:rPr>
          <w:rFonts w:ascii="Book Antiqua" w:eastAsia="SimSun" w:hAnsi="Book Antiqua" w:cs="Arial"/>
          <w:sz w:val="24"/>
          <w:szCs w:val="24"/>
          <w:lang w:val="en-GB" w:eastAsia="zh-CN"/>
        </w:rPr>
        <w:t>1</w:t>
      </w:r>
      <w:r w:rsidRPr="007345D5">
        <w:rPr>
          <w:rFonts w:ascii="Book Antiqua" w:eastAsia="MS PGothic" w:hAnsi="Book Antiqua" w:cs="Arial"/>
          <w:sz w:val="24"/>
          <w:szCs w:val="24"/>
          <w:lang w:val="en-GB"/>
        </w:rPr>
        <w:t>) histologically proven adenocarcinoma of the stomach by endoscopic biopsy; (</w:t>
      </w:r>
      <w:r w:rsidR="00E4687D" w:rsidRPr="007345D5">
        <w:rPr>
          <w:rFonts w:ascii="Book Antiqua" w:eastAsia="SimSun" w:hAnsi="Book Antiqua" w:cs="Arial"/>
          <w:sz w:val="24"/>
          <w:szCs w:val="24"/>
          <w:lang w:val="en-GB" w:eastAsia="zh-CN"/>
        </w:rPr>
        <w:t>2</w:t>
      </w:r>
      <w:r w:rsidRPr="007345D5">
        <w:rPr>
          <w:rFonts w:ascii="Book Antiqua" w:eastAsia="MS PGothic" w:hAnsi="Book Antiqua" w:cs="Arial"/>
          <w:sz w:val="24"/>
          <w:szCs w:val="24"/>
          <w:lang w:val="en-GB"/>
        </w:rPr>
        <w:t>) clinical solitary tumour; (</w:t>
      </w:r>
      <w:r w:rsidR="00E4687D" w:rsidRPr="007345D5">
        <w:rPr>
          <w:rFonts w:ascii="Book Antiqua" w:eastAsia="SimSun" w:hAnsi="Book Antiqua" w:cs="Arial"/>
          <w:sz w:val="24"/>
          <w:szCs w:val="24"/>
          <w:lang w:val="en-GB" w:eastAsia="zh-CN"/>
        </w:rPr>
        <w:t>3</w:t>
      </w:r>
      <w:r w:rsidRPr="007345D5">
        <w:rPr>
          <w:rFonts w:ascii="Book Antiqua" w:eastAsia="MS PGothic" w:hAnsi="Book Antiqua" w:cs="Arial"/>
          <w:sz w:val="24"/>
          <w:szCs w:val="24"/>
          <w:lang w:val="en-GB"/>
        </w:rPr>
        <w:t>) no prior endoscopic resection, chemotherapy, or radiotherapy; (</w:t>
      </w:r>
      <w:r w:rsidR="00E4687D" w:rsidRPr="007345D5">
        <w:rPr>
          <w:rFonts w:ascii="Book Antiqua" w:eastAsia="SimSun" w:hAnsi="Book Antiqua" w:cs="Arial"/>
          <w:sz w:val="24"/>
          <w:szCs w:val="24"/>
          <w:lang w:val="en-GB" w:eastAsia="zh-CN"/>
        </w:rPr>
        <w:t>4</w:t>
      </w:r>
      <w:r w:rsidRPr="007345D5">
        <w:rPr>
          <w:rFonts w:ascii="Book Antiqua" w:eastAsia="MS PGothic" w:hAnsi="Book Antiqua" w:cs="Arial"/>
          <w:sz w:val="24"/>
          <w:szCs w:val="24"/>
          <w:lang w:val="en-GB"/>
        </w:rPr>
        <w:t>) aged 20–80 years; (</w:t>
      </w:r>
      <w:r w:rsidR="00E4687D" w:rsidRPr="007345D5">
        <w:rPr>
          <w:rFonts w:ascii="Book Antiqua" w:eastAsia="SimSun" w:hAnsi="Book Antiqua" w:cs="Arial"/>
          <w:sz w:val="24"/>
          <w:szCs w:val="24"/>
          <w:lang w:val="en-GB" w:eastAsia="zh-CN"/>
        </w:rPr>
        <w:t>5</w:t>
      </w:r>
      <w:r w:rsidRPr="007345D5">
        <w:rPr>
          <w:rFonts w:ascii="Book Antiqua" w:eastAsia="MS PGothic" w:hAnsi="Book Antiqua" w:cs="Arial"/>
          <w:sz w:val="24"/>
          <w:szCs w:val="24"/>
          <w:lang w:val="en-GB"/>
        </w:rPr>
        <w:t>) Eastern Cooperative Oncology Group performance status (Oken</w:t>
      </w:r>
      <w:r w:rsidRPr="007345D5">
        <w:rPr>
          <w:rFonts w:ascii="Book Antiqua" w:eastAsia="MS PGothic" w:hAnsi="Book Antiqua" w:cs="Arial"/>
          <w:i/>
          <w:sz w:val="24"/>
          <w:szCs w:val="24"/>
          <w:lang w:val="en-GB"/>
        </w:rPr>
        <w:t xml:space="preserve"> et al</w:t>
      </w:r>
      <w:r w:rsidRPr="007345D5">
        <w:rPr>
          <w:rFonts w:ascii="Book Antiqua" w:eastAsia="MS PGothic" w:hAnsi="Book Antiqua" w:cs="Arial"/>
          <w:sz w:val="24"/>
          <w:szCs w:val="24"/>
          <w:lang w:val="en-GB"/>
        </w:rPr>
        <w:t>, 1982) of 0 or 1; (</w:t>
      </w:r>
      <w:r w:rsidR="00E4687D" w:rsidRPr="007345D5">
        <w:rPr>
          <w:rFonts w:ascii="Book Antiqua" w:eastAsia="SimSun" w:hAnsi="Book Antiqua" w:cs="Arial"/>
          <w:sz w:val="24"/>
          <w:szCs w:val="24"/>
          <w:lang w:val="en-GB" w:eastAsia="zh-CN"/>
        </w:rPr>
        <w:t>6</w:t>
      </w:r>
      <w:r w:rsidRPr="007345D5">
        <w:rPr>
          <w:rFonts w:ascii="Book Antiqua" w:eastAsia="MS PGothic" w:hAnsi="Book Antiqua" w:cs="Arial"/>
          <w:sz w:val="24"/>
          <w:szCs w:val="24"/>
          <w:lang w:val="en-GB"/>
        </w:rPr>
        <w:t>) sufficient organ function; and (</w:t>
      </w:r>
      <w:r w:rsidR="00E4687D" w:rsidRPr="007345D5">
        <w:rPr>
          <w:rFonts w:ascii="Book Antiqua" w:eastAsia="SimSun" w:hAnsi="Book Antiqua" w:cs="Arial"/>
          <w:sz w:val="24"/>
          <w:szCs w:val="24"/>
          <w:lang w:val="en-GB" w:eastAsia="zh-CN"/>
        </w:rPr>
        <w:t>7</w:t>
      </w:r>
      <w:r w:rsidRPr="007345D5">
        <w:rPr>
          <w:rFonts w:ascii="Book Antiqua" w:eastAsia="MS PGothic" w:hAnsi="Book Antiqua" w:cs="Arial"/>
          <w:sz w:val="24"/>
          <w:szCs w:val="24"/>
          <w:lang w:val="en-GB"/>
        </w:rPr>
        <w:t>) written informed consent. The exclusion criteria were: (</w:t>
      </w:r>
      <w:r w:rsidR="00E4687D" w:rsidRPr="007345D5">
        <w:rPr>
          <w:rFonts w:ascii="Book Antiqua" w:eastAsia="SimSun" w:hAnsi="Book Antiqua" w:cs="Arial"/>
          <w:sz w:val="24"/>
          <w:szCs w:val="24"/>
          <w:lang w:val="en-GB" w:eastAsia="zh-CN"/>
        </w:rPr>
        <w:t>1</w:t>
      </w:r>
      <w:r w:rsidRPr="007345D5">
        <w:rPr>
          <w:rFonts w:ascii="Book Antiqua" w:eastAsia="MS PGothic" w:hAnsi="Book Antiqua" w:cs="Arial"/>
          <w:sz w:val="24"/>
          <w:szCs w:val="24"/>
          <w:lang w:val="en-GB"/>
        </w:rPr>
        <w:t>) synchronous or metachronous malignancy; (</w:t>
      </w:r>
      <w:r w:rsidR="00E4687D" w:rsidRPr="007345D5">
        <w:rPr>
          <w:rFonts w:ascii="Book Antiqua" w:eastAsia="SimSun" w:hAnsi="Book Antiqua" w:cs="Arial"/>
          <w:sz w:val="24"/>
          <w:szCs w:val="24"/>
          <w:lang w:val="en-GB" w:eastAsia="zh-CN"/>
        </w:rPr>
        <w:t>2</w:t>
      </w:r>
      <w:r w:rsidRPr="007345D5">
        <w:rPr>
          <w:rFonts w:ascii="Book Antiqua" w:eastAsia="MS PGothic" w:hAnsi="Book Antiqua" w:cs="Arial"/>
          <w:sz w:val="24"/>
          <w:szCs w:val="24"/>
          <w:lang w:val="en-GB"/>
        </w:rPr>
        <w:t>) pregnant or breast-feeding women; (</w:t>
      </w:r>
      <w:r w:rsidR="00E4687D" w:rsidRPr="007345D5">
        <w:rPr>
          <w:rFonts w:ascii="Book Antiqua" w:eastAsia="SimSun" w:hAnsi="Book Antiqua" w:cs="Arial"/>
          <w:sz w:val="24"/>
          <w:szCs w:val="24"/>
          <w:lang w:val="en-GB" w:eastAsia="zh-CN"/>
        </w:rPr>
        <w:t>3</w:t>
      </w:r>
      <w:r w:rsidRPr="007345D5">
        <w:rPr>
          <w:rFonts w:ascii="Book Antiqua" w:eastAsia="MS PGothic" w:hAnsi="Book Antiqua" w:cs="Arial"/>
          <w:sz w:val="24"/>
          <w:szCs w:val="24"/>
          <w:lang w:val="en-GB"/>
        </w:rPr>
        <w:t>) active or chronic viral hepatitis; (</w:t>
      </w:r>
      <w:r w:rsidR="00E4687D" w:rsidRPr="007345D5">
        <w:rPr>
          <w:rFonts w:ascii="Book Antiqua" w:eastAsia="SimSun" w:hAnsi="Book Antiqua" w:cs="Arial"/>
          <w:sz w:val="24"/>
          <w:szCs w:val="24"/>
          <w:lang w:val="en-GB" w:eastAsia="zh-CN"/>
        </w:rPr>
        <w:t>4</w:t>
      </w:r>
      <w:r w:rsidRPr="007345D5">
        <w:rPr>
          <w:rFonts w:ascii="Book Antiqua" w:eastAsia="MS PGothic" w:hAnsi="Book Antiqua" w:cs="Arial"/>
          <w:sz w:val="24"/>
          <w:szCs w:val="24"/>
          <w:lang w:val="en-GB"/>
        </w:rPr>
        <w:t>) active bacterial or fungal infection; (</w:t>
      </w:r>
      <w:r w:rsidR="00E4687D" w:rsidRPr="007345D5">
        <w:rPr>
          <w:rFonts w:ascii="Book Antiqua" w:eastAsia="SimSun" w:hAnsi="Book Antiqua" w:cs="Arial"/>
          <w:sz w:val="24"/>
          <w:szCs w:val="24"/>
          <w:lang w:val="en-GB" w:eastAsia="zh-CN"/>
        </w:rPr>
        <w:t>5</w:t>
      </w:r>
      <w:r w:rsidRPr="007345D5">
        <w:rPr>
          <w:rFonts w:ascii="Book Antiqua" w:eastAsia="MS PGothic" w:hAnsi="Book Antiqua" w:cs="Arial"/>
          <w:sz w:val="24"/>
          <w:szCs w:val="24"/>
          <w:lang w:val="en-GB"/>
        </w:rPr>
        <w:t>) diabetes mellitus; (</w:t>
      </w:r>
      <w:r w:rsidR="00E4687D" w:rsidRPr="007345D5">
        <w:rPr>
          <w:rFonts w:ascii="Book Antiqua" w:eastAsia="SimSun" w:hAnsi="Book Antiqua" w:cs="Arial"/>
          <w:sz w:val="24"/>
          <w:szCs w:val="24"/>
          <w:lang w:val="en-GB" w:eastAsia="zh-CN"/>
        </w:rPr>
        <w:t>6</w:t>
      </w:r>
      <w:r w:rsidRPr="007345D5">
        <w:rPr>
          <w:rFonts w:ascii="Book Antiqua" w:eastAsia="MS PGothic" w:hAnsi="Book Antiqua" w:cs="Arial"/>
          <w:sz w:val="24"/>
          <w:szCs w:val="24"/>
          <w:lang w:val="en-GB"/>
        </w:rPr>
        <w:t xml:space="preserve">) systemic administration of corticosteroids; </w:t>
      </w:r>
      <w:r w:rsidRPr="007345D5">
        <w:rPr>
          <w:rFonts w:ascii="Book Antiqua" w:eastAsia="MS PGothic" w:hAnsi="Book Antiqua" w:cs="Arial"/>
          <w:sz w:val="24"/>
          <w:szCs w:val="24"/>
          <w:lang w:val="en-GB"/>
        </w:rPr>
        <w:lastRenderedPageBreak/>
        <w:t>and (</w:t>
      </w:r>
      <w:r w:rsidR="00E4687D" w:rsidRPr="007345D5">
        <w:rPr>
          <w:rFonts w:ascii="Book Antiqua" w:eastAsia="SimSun" w:hAnsi="Book Antiqua" w:cs="Arial"/>
          <w:sz w:val="24"/>
          <w:szCs w:val="24"/>
          <w:lang w:val="en-GB" w:eastAsia="zh-CN"/>
        </w:rPr>
        <w:t>7</w:t>
      </w:r>
      <w:r w:rsidRPr="007345D5">
        <w:rPr>
          <w:rFonts w:ascii="Book Antiqua" w:eastAsia="MS PGothic" w:hAnsi="Book Antiqua" w:cs="Arial"/>
          <w:sz w:val="24"/>
          <w:szCs w:val="24"/>
          <w:lang w:val="en-GB"/>
        </w:rPr>
        <w:t xml:space="preserve">) unstable hypertension. The pathologic stage of the disease was determined according to the seventh edition </w:t>
      </w:r>
      <w:r w:rsidR="006051E9" w:rsidRPr="007345D5">
        <w:rPr>
          <w:rFonts w:ascii="Book Antiqua" w:eastAsia="MS PGothic" w:hAnsi="Book Antiqua" w:cs="Arial"/>
          <w:sz w:val="24"/>
          <w:szCs w:val="24"/>
          <w:lang w:val="en-GB"/>
        </w:rPr>
        <w:t xml:space="preserve">of the </w:t>
      </w:r>
      <w:r w:rsidRPr="007345D5">
        <w:rPr>
          <w:rFonts w:ascii="Book Antiqua" w:eastAsia="MS PGothic" w:hAnsi="Book Antiqua" w:cs="Arial"/>
          <w:sz w:val="24"/>
          <w:szCs w:val="24"/>
          <w:lang w:val="en-GB"/>
        </w:rPr>
        <w:t>American Joint Committee on Cancer (AJCC)/International Union Against Cancer (UICC) TNM classification system</w:t>
      </w:r>
      <w:r w:rsidRPr="007345D5">
        <w:rPr>
          <w:rFonts w:ascii="Book Antiqua" w:eastAsia="MS PGothic" w:hAnsi="Book Antiqua" w:cs="Arial"/>
          <w:sz w:val="24"/>
          <w:szCs w:val="24"/>
          <w:vertAlign w:val="superscript"/>
          <w:lang w:val="en-GB"/>
        </w:rPr>
        <w:t>[</w:t>
      </w:r>
      <w:r w:rsidR="006B5193" w:rsidRPr="007345D5">
        <w:rPr>
          <w:rFonts w:ascii="Book Antiqua" w:eastAsia="MS PGothic" w:hAnsi="Book Antiqua" w:cs="Arial"/>
          <w:sz w:val="24"/>
          <w:szCs w:val="24"/>
          <w:vertAlign w:val="superscript"/>
          <w:lang w:val="en-GB"/>
        </w:rPr>
        <w:t>22</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The depth of the tumour invasion in four patients without gastrectomy and the regional lymph node status of seven patients without sufficient lymphadenectomy were surgically diagnosed.</w:t>
      </w:r>
    </w:p>
    <w:p w14:paraId="46646688" w14:textId="66728EA9" w:rsidR="00C1732C" w:rsidRPr="007345D5" w:rsidRDefault="00C1732C" w:rsidP="00570508">
      <w:pPr>
        <w:pStyle w:val="CommentTextChar"/>
        <w:adjustRightInd w:val="0"/>
        <w:snapToGrid w:val="0"/>
        <w:spacing w:line="360" w:lineRule="auto"/>
        <w:ind w:firstLineChars="50" w:firstLine="120"/>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All </w:t>
      </w:r>
      <w:r w:rsidR="006051E9" w:rsidRPr="007345D5">
        <w:rPr>
          <w:rFonts w:ascii="Book Antiqua" w:eastAsia="MS PGothic" w:hAnsi="Book Antiqua" w:cs="Arial"/>
          <w:sz w:val="24"/>
          <w:szCs w:val="24"/>
          <w:lang w:val="en-GB"/>
        </w:rPr>
        <w:t xml:space="preserve">of </w:t>
      </w:r>
      <w:r w:rsidRPr="007345D5">
        <w:rPr>
          <w:rFonts w:ascii="Book Antiqua" w:eastAsia="MS PGothic" w:hAnsi="Book Antiqua" w:cs="Arial"/>
          <w:sz w:val="24"/>
          <w:szCs w:val="24"/>
          <w:lang w:val="en-GB"/>
        </w:rPr>
        <w:t xml:space="preserve">the patients were checked regularly in our hospital every 3 </w:t>
      </w:r>
      <w:r w:rsidR="00E4687D" w:rsidRPr="007345D5">
        <w:rPr>
          <w:rFonts w:ascii="Book Antiqua" w:eastAsia="SimSun" w:hAnsi="Book Antiqua" w:cs="Arial"/>
          <w:sz w:val="24"/>
          <w:szCs w:val="24"/>
          <w:lang w:val="en-GB" w:eastAsia="zh-CN"/>
        </w:rPr>
        <w:t>mo</w:t>
      </w:r>
      <w:r w:rsidRPr="007345D5">
        <w:rPr>
          <w:rFonts w:ascii="Book Antiqua" w:eastAsia="MS PGothic" w:hAnsi="Book Antiqua" w:cs="Arial"/>
          <w:sz w:val="24"/>
          <w:szCs w:val="24"/>
          <w:lang w:val="en-GB"/>
        </w:rPr>
        <w:t xml:space="preserve"> for the first 3 years post-operation, and every 6 months for the following two post-operative years. The patients also underwent endoscopy and computed tomography at least once a year, according to their disease stage and course. Healthy volunteers were also recruited as controls. All healthy volunteers were employees of Sysmex Corporation, which included seven men (mean age, 31.4 years; range, 24–39 years) and three women (mean age, 33.7 years; range, 26–48 years). All volunteers underwent medical check-ups upon employment and annually; check-ups included medical interviews, auscultation, chest radiography, and blood and urine analyses. In addition, individual interviews were conducted before sample collection; any volunteer who was currently receiving medical treatment, pregnant, or breast-feeding or who had donated blood within the past month was excluded.</w:t>
      </w:r>
    </w:p>
    <w:p w14:paraId="14BE4AAC"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63436519" w14:textId="77777777"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Telomerase-specific viral agent</w:t>
      </w:r>
    </w:p>
    <w:p w14:paraId="2B8A6E43" w14:textId="686337E9"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OBP-401, a telomerase-specific, replication-selective adenoviral agent in which the </w:t>
      </w:r>
      <w:r w:rsidRPr="007345D5">
        <w:rPr>
          <w:rFonts w:ascii="Book Antiqua" w:eastAsia="MS PGothic" w:hAnsi="Book Antiqua" w:cs="Arial"/>
          <w:i/>
          <w:sz w:val="24"/>
          <w:szCs w:val="24"/>
          <w:lang w:val="en-GB"/>
        </w:rPr>
        <w:t>TERT</w:t>
      </w:r>
      <w:r w:rsidRPr="007345D5">
        <w:rPr>
          <w:rFonts w:ascii="Book Antiqua" w:eastAsia="MS PGothic" w:hAnsi="Book Antiqua" w:cs="Arial"/>
          <w:sz w:val="24"/>
          <w:szCs w:val="24"/>
          <w:lang w:val="en-GB"/>
        </w:rPr>
        <w:t xml:space="preserve"> promoter element drives the expression of the </w:t>
      </w:r>
      <w:r w:rsidRPr="007345D5">
        <w:rPr>
          <w:rFonts w:ascii="Book Antiqua" w:eastAsia="MS PGothic" w:hAnsi="Book Antiqua" w:cs="Arial"/>
          <w:i/>
          <w:sz w:val="24"/>
          <w:szCs w:val="24"/>
          <w:lang w:val="en-GB"/>
        </w:rPr>
        <w:t>EIA</w:t>
      </w:r>
      <w:r w:rsidRPr="007345D5">
        <w:rPr>
          <w:rFonts w:ascii="Book Antiqua" w:eastAsia="MS PGothic" w:hAnsi="Book Antiqua" w:cs="Arial"/>
          <w:sz w:val="24"/>
          <w:szCs w:val="24"/>
          <w:lang w:val="en-GB"/>
        </w:rPr>
        <w:t xml:space="preserve"> and </w:t>
      </w:r>
      <w:r w:rsidRPr="007345D5">
        <w:rPr>
          <w:rFonts w:ascii="Book Antiqua" w:eastAsia="MS PGothic" w:hAnsi="Book Antiqua" w:cs="Arial"/>
          <w:i/>
          <w:sz w:val="24"/>
          <w:szCs w:val="24"/>
          <w:lang w:val="en-GB"/>
        </w:rPr>
        <w:t>EIB</w:t>
      </w:r>
      <w:r w:rsidRPr="007345D5">
        <w:rPr>
          <w:rFonts w:ascii="Book Antiqua" w:eastAsia="MS PGothic" w:hAnsi="Book Antiqua" w:cs="Arial"/>
          <w:sz w:val="24"/>
          <w:szCs w:val="24"/>
          <w:lang w:val="en-GB"/>
        </w:rPr>
        <w:t xml:space="preserve"> genes and into which the </w:t>
      </w:r>
      <w:r w:rsidRPr="007345D5">
        <w:rPr>
          <w:rFonts w:ascii="Book Antiqua" w:eastAsia="MS PGothic" w:hAnsi="Book Antiqua" w:cs="Arial"/>
          <w:i/>
          <w:sz w:val="24"/>
          <w:szCs w:val="24"/>
          <w:lang w:val="en-GB"/>
        </w:rPr>
        <w:t>GFP</w:t>
      </w:r>
      <w:r w:rsidRPr="007345D5">
        <w:rPr>
          <w:rFonts w:ascii="Book Antiqua" w:eastAsia="MS PGothic" w:hAnsi="Book Antiqua" w:cs="Arial"/>
          <w:sz w:val="24"/>
          <w:szCs w:val="24"/>
          <w:lang w:val="en-GB"/>
        </w:rPr>
        <w:t xml:space="preserve"> gene is integrated, was used. The sensitivity and specificity of the assay using OBP-401 have been reported previously</w:t>
      </w:r>
      <w:r w:rsidRPr="007345D5">
        <w:rPr>
          <w:rFonts w:ascii="Book Antiqua" w:eastAsia="MS PGothic" w:hAnsi="Book Antiqua" w:cs="Arial"/>
          <w:sz w:val="24"/>
          <w:szCs w:val="24"/>
          <w:vertAlign w:val="superscript"/>
          <w:lang w:val="en-GB"/>
        </w:rPr>
        <w:t>[2</w:t>
      </w:r>
      <w:r w:rsidR="00B86DE8" w:rsidRPr="007345D5">
        <w:rPr>
          <w:rFonts w:ascii="Book Antiqua" w:eastAsia="MS PGothic" w:hAnsi="Book Antiqua" w:cs="Arial"/>
          <w:sz w:val="24"/>
          <w:szCs w:val="24"/>
          <w:vertAlign w:val="superscript"/>
          <w:lang w:val="en-GB"/>
        </w:rPr>
        <w:t>3</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Viral samples were stored at −80</w:t>
      </w:r>
      <w:r w:rsidR="00E4687D" w:rsidRPr="007345D5">
        <w:rPr>
          <w:rFonts w:ascii="Book Antiqua" w:eastAsia="SimSun" w:hAnsi="Book Antiqua" w:cs="Arial"/>
          <w:sz w:val="24"/>
          <w:szCs w:val="24"/>
          <w:lang w:val="en-GB" w:eastAsia="zh-CN"/>
        </w:rPr>
        <w:t xml:space="preserve"> </w:t>
      </w:r>
      <w:r w:rsidRPr="007345D5">
        <w:rPr>
          <w:rFonts w:ascii="Book Antiqua" w:eastAsia="MS PGothic" w:hAnsi="Book Antiqua" w:cs="Arial"/>
          <w:sz w:val="24"/>
          <w:szCs w:val="24"/>
          <w:lang w:val="en-GB"/>
        </w:rPr>
        <w:t>°C.</w:t>
      </w:r>
    </w:p>
    <w:p w14:paraId="78B4D5AE"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4C767024" w14:textId="77777777"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Sample preparation and immunostaining</w:t>
      </w:r>
    </w:p>
    <w:p w14:paraId="76B8FFB3" w14:textId="6490A29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lastRenderedPageBreak/>
        <w:t>Details of sample preparation and assay were described in our previous report</w:t>
      </w:r>
      <w:r w:rsidRPr="007345D5">
        <w:rPr>
          <w:rFonts w:ascii="Book Antiqua" w:eastAsia="MS PGothic" w:hAnsi="Book Antiqua" w:cs="Arial"/>
          <w:sz w:val="24"/>
          <w:szCs w:val="24"/>
          <w:vertAlign w:val="superscript"/>
          <w:lang w:val="en-GB"/>
        </w:rPr>
        <w:t>[2</w:t>
      </w:r>
      <w:r w:rsidR="006B5193" w:rsidRPr="007345D5">
        <w:rPr>
          <w:rFonts w:ascii="Book Antiqua" w:eastAsia="MS PGothic" w:hAnsi="Book Antiqua" w:cs="Arial"/>
          <w:sz w:val="24"/>
          <w:szCs w:val="24"/>
          <w:vertAlign w:val="superscript"/>
          <w:lang w:val="en-GB"/>
        </w:rPr>
        <w:t>1</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A 7</w:t>
      </w:r>
      <w:r w:rsidRPr="007345D5">
        <w:rPr>
          <w:rFonts w:ascii="Book Antiqua" w:hAnsi="Book Antiqua" w:cs="Arial"/>
          <w:sz w:val="24"/>
          <w:szCs w:val="24"/>
          <w:lang w:val="en-GB"/>
        </w:rPr>
        <w:t>.</w:t>
      </w:r>
      <w:r w:rsidRPr="007345D5">
        <w:rPr>
          <w:rFonts w:ascii="Book Antiqua" w:eastAsia="MS PGothic" w:hAnsi="Book Antiqua" w:cs="Arial"/>
          <w:sz w:val="24"/>
          <w:szCs w:val="24"/>
          <w:lang w:val="en-GB"/>
        </w:rPr>
        <w:t>5-m</w:t>
      </w:r>
      <w:r w:rsidR="00A33AE5" w:rsidRPr="007345D5">
        <w:rPr>
          <w:rFonts w:ascii="Book Antiqua" w:eastAsia="SimSun" w:hAnsi="Book Antiqua" w:cs="Arial"/>
          <w:sz w:val="24"/>
          <w:szCs w:val="24"/>
          <w:lang w:val="en-GB" w:eastAsia="zh-CN"/>
        </w:rPr>
        <w:t>L</w:t>
      </w:r>
      <w:r w:rsidRPr="007345D5">
        <w:rPr>
          <w:rFonts w:ascii="Book Antiqua" w:eastAsia="MS PGothic" w:hAnsi="Book Antiqua" w:cs="Arial"/>
          <w:sz w:val="24"/>
          <w:szCs w:val="24"/>
          <w:lang w:val="en-GB"/>
        </w:rPr>
        <w:t xml:space="preserve"> peripheral vein blood sample was obtained from each patient before surgery and from each healthy volunteer. The samples were drawn into tubes containing citric acid, phosphoric acid, and dextrose, and stored at 4</w:t>
      </w:r>
      <w:r w:rsidR="00A33AE5" w:rsidRPr="007345D5">
        <w:rPr>
          <w:rFonts w:ascii="Book Antiqua" w:eastAsia="SimSun" w:hAnsi="Book Antiqua" w:cs="Arial"/>
          <w:sz w:val="24"/>
          <w:szCs w:val="24"/>
          <w:lang w:val="en-GB" w:eastAsia="zh-CN"/>
        </w:rPr>
        <w:t xml:space="preserve"> </w:t>
      </w:r>
      <w:r w:rsidRPr="007345D5">
        <w:rPr>
          <w:rFonts w:ascii="Book Antiqua" w:eastAsia="MS PGothic" w:hAnsi="Book Antiqua" w:cs="Arial"/>
          <w:sz w:val="24"/>
          <w:szCs w:val="24"/>
          <w:lang w:val="en-GB"/>
        </w:rPr>
        <w:t xml:space="preserve">°C. The assay was started within 48 h of sample collection. The samples were centrifuged for 5 min at 540 × </w:t>
      </w:r>
      <w:r w:rsidRPr="007345D5">
        <w:rPr>
          <w:rFonts w:ascii="Book Antiqua" w:eastAsia="MS PGothic" w:hAnsi="Book Antiqua" w:cs="Arial"/>
          <w:i/>
          <w:sz w:val="24"/>
          <w:szCs w:val="24"/>
          <w:lang w:val="en-GB"/>
        </w:rPr>
        <w:t>g</w:t>
      </w:r>
      <w:r w:rsidRPr="007345D5">
        <w:rPr>
          <w:rFonts w:ascii="Book Antiqua" w:eastAsia="MS PGothic" w:hAnsi="Book Antiqua" w:cs="Arial"/>
          <w:sz w:val="24"/>
          <w:szCs w:val="24"/>
          <w:lang w:val="en-GB"/>
        </w:rPr>
        <w:t>, and the plasma phase was removed. The cells were then washed four times with phosphate-buffered saline (PBS) and twice with Roswell Park Memorial Institute medium. The samples were infected with 4 × 10</w:t>
      </w:r>
      <w:r w:rsidRPr="007345D5">
        <w:rPr>
          <w:rFonts w:ascii="Book Antiqua" w:eastAsia="MS PGothic" w:hAnsi="Book Antiqua" w:cs="Arial"/>
          <w:sz w:val="24"/>
          <w:szCs w:val="24"/>
          <w:vertAlign w:val="superscript"/>
          <w:lang w:val="en-GB"/>
        </w:rPr>
        <w:t>8</w:t>
      </w:r>
      <w:r w:rsidRPr="007345D5">
        <w:rPr>
          <w:rFonts w:ascii="Book Antiqua" w:eastAsia="MS PGothic" w:hAnsi="Book Antiqua" w:cs="Arial"/>
          <w:sz w:val="24"/>
          <w:szCs w:val="24"/>
          <w:lang w:val="en-GB"/>
        </w:rPr>
        <w:t xml:space="preserve"> plaque-forming units (PFU) of OBP-401 virus by incubation in the medium for 24 h at 37</w:t>
      </w:r>
      <w:r w:rsidR="00A33AE5" w:rsidRPr="007345D5">
        <w:rPr>
          <w:rFonts w:ascii="Book Antiqua" w:eastAsia="SimSun" w:hAnsi="Book Antiqua" w:cs="Arial"/>
          <w:sz w:val="24"/>
          <w:szCs w:val="24"/>
          <w:lang w:val="en-GB" w:eastAsia="zh-CN"/>
        </w:rPr>
        <w:t xml:space="preserve"> </w:t>
      </w:r>
      <w:r w:rsidRPr="007345D5">
        <w:rPr>
          <w:rFonts w:ascii="Book Antiqua" w:eastAsia="MS PGothic" w:hAnsi="Book Antiqua" w:cs="Arial"/>
          <w:sz w:val="24"/>
          <w:szCs w:val="24"/>
          <w:lang w:val="en-GB"/>
        </w:rPr>
        <w:t>°C. Dead cells were stained with the red-fluorescent reactive dye L23102 (Life Technologies</w:t>
      </w:r>
      <w:r w:rsidRPr="007345D5">
        <w:rPr>
          <w:rFonts w:ascii="Book Antiqua" w:hAnsi="Book Antiqua" w:cs="Arial"/>
          <w:sz w:val="24"/>
          <w:szCs w:val="24"/>
          <w:lang w:val="en-GB"/>
        </w:rPr>
        <w:t>,</w:t>
      </w:r>
      <w:r w:rsidRPr="007345D5">
        <w:rPr>
          <w:rFonts w:ascii="Book Antiqua" w:eastAsia="MS PGothic" w:hAnsi="Book Antiqua" w:cs="Arial"/>
          <w:sz w:val="24"/>
          <w:szCs w:val="24"/>
          <w:lang w:val="en-GB"/>
        </w:rPr>
        <w:t xml:space="preserve"> Carlsbad, CA, USA), OBP-401 was inactivated, and </w:t>
      </w:r>
      <w:r w:rsidR="00974645" w:rsidRPr="007345D5">
        <w:rPr>
          <w:rFonts w:ascii="Book Antiqua" w:eastAsia="MS PGothic" w:hAnsi="Book Antiqua" w:cs="Arial"/>
          <w:sz w:val="24"/>
          <w:szCs w:val="24"/>
          <w:lang w:val="en-GB"/>
        </w:rPr>
        <w:t xml:space="preserve">the </w:t>
      </w:r>
      <w:r w:rsidRPr="007345D5">
        <w:rPr>
          <w:rFonts w:ascii="Book Antiqua" w:eastAsia="MS PGothic" w:hAnsi="Book Antiqua" w:cs="Arial"/>
          <w:sz w:val="24"/>
          <w:szCs w:val="24"/>
          <w:lang w:val="en-GB"/>
        </w:rPr>
        <w:t>cells were fixed with 2% paraformaldehyde for 20 min at room temperature. The samples were treated with a surface-active agent (Emalgen 2025G; Kao Chemicals, Tokyo, Japan) for 10 min at 40</w:t>
      </w:r>
      <w:r w:rsidR="0036572C" w:rsidRPr="007345D5">
        <w:rPr>
          <w:rFonts w:ascii="Book Antiqua" w:eastAsia="SimSun" w:hAnsi="Book Antiqua" w:cs="Arial"/>
          <w:sz w:val="24"/>
          <w:szCs w:val="24"/>
          <w:lang w:val="en-GB" w:eastAsia="zh-CN"/>
        </w:rPr>
        <w:t xml:space="preserve"> </w:t>
      </w:r>
      <w:r w:rsidRPr="007345D5">
        <w:rPr>
          <w:rFonts w:ascii="Book Antiqua" w:eastAsia="MS PGothic" w:hAnsi="Book Antiqua" w:cs="Arial"/>
          <w:sz w:val="24"/>
          <w:szCs w:val="24"/>
          <w:lang w:val="en-GB"/>
        </w:rPr>
        <w:t>°C to degrade red blood cells. Phycoerythrin-labelled anti-human CD45 antibody (BioLegend, San Diego, CA, USA) was diluted 1:5, and Pacific Blue-labelled anti-human CD326 (EpCAM) antibody (BioLegend) was diluted 1:10 in PBS containing 2% foetal bovine serum. Cells were incubated with the diluted antibodies for 30 min at 25</w:t>
      </w:r>
      <w:r w:rsidR="0036572C" w:rsidRPr="007345D5">
        <w:rPr>
          <w:rFonts w:ascii="Book Antiqua" w:eastAsia="SimSun" w:hAnsi="Book Antiqua" w:cs="Arial"/>
          <w:sz w:val="24"/>
          <w:szCs w:val="24"/>
          <w:lang w:val="en-GB" w:eastAsia="zh-CN"/>
        </w:rPr>
        <w:t xml:space="preserve"> </w:t>
      </w:r>
      <w:r w:rsidRPr="007345D5">
        <w:rPr>
          <w:rFonts w:ascii="Book Antiqua" w:eastAsia="MS PGothic" w:hAnsi="Book Antiqua" w:cs="Arial"/>
          <w:sz w:val="24"/>
          <w:szCs w:val="24"/>
          <w:lang w:val="en-GB"/>
        </w:rPr>
        <w:t xml:space="preserve">°C. After being washed with PBS containing 2% foetal bovine serum, the cells were mounted on two glass slides for microscopic analysis. </w:t>
      </w:r>
    </w:p>
    <w:p w14:paraId="32366213"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6B5D4A0B" w14:textId="77777777" w:rsidR="00C1732C" w:rsidRPr="007345D5" w:rsidRDefault="00C1732C" w:rsidP="00570508">
      <w:pPr>
        <w:pStyle w:val="CommentTextChar"/>
        <w:adjustRightInd w:val="0"/>
        <w:snapToGrid w:val="0"/>
        <w:spacing w:line="360" w:lineRule="auto"/>
        <w:rPr>
          <w:rFonts w:ascii="Book Antiqua" w:eastAsia="MS PGothic" w:hAnsi="Book Antiqua" w:cs="Arial"/>
          <w:i/>
          <w:sz w:val="24"/>
          <w:szCs w:val="24"/>
          <w:lang w:val="en-GB"/>
        </w:rPr>
      </w:pPr>
      <w:r w:rsidRPr="007345D5">
        <w:rPr>
          <w:rFonts w:ascii="Book Antiqua" w:eastAsia="MS PGothic" w:hAnsi="Book Antiqua" w:cs="Arial"/>
          <w:b/>
          <w:i/>
          <w:sz w:val="24"/>
          <w:szCs w:val="24"/>
          <w:lang w:val="en-GB"/>
        </w:rPr>
        <w:t>GFP fluorescence intensity of cultured cancer cell lines</w:t>
      </w:r>
    </w:p>
    <w:p w14:paraId="74EE6B59" w14:textId="481A4463" w:rsidR="00C1732C" w:rsidRPr="007345D5" w:rsidRDefault="003657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Approximately 30</w:t>
      </w:r>
      <w:r w:rsidR="00C1732C" w:rsidRPr="007345D5">
        <w:rPr>
          <w:rFonts w:ascii="Book Antiqua" w:eastAsia="MS PGothic" w:hAnsi="Book Antiqua" w:cs="Arial"/>
          <w:sz w:val="24"/>
          <w:szCs w:val="24"/>
          <w:lang w:val="en-GB"/>
        </w:rPr>
        <w:t>000 cultured cells were added into 7.5-m</w:t>
      </w:r>
      <w:r w:rsidRPr="007345D5">
        <w:rPr>
          <w:rFonts w:ascii="Book Antiqua" w:eastAsia="SimSun" w:hAnsi="Book Antiqua" w:cs="Arial"/>
          <w:sz w:val="24"/>
          <w:szCs w:val="24"/>
          <w:lang w:val="en-GB" w:eastAsia="zh-CN"/>
        </w:rPr>
        <w:t>L</w:t>
      </w:r>
      <w:r w:rsidR="00C1732C" w:rsidRPr="007345D5">
        <w:rPr>
          <w:rFonts w:ascii="Book Antiqua" w:eastAsia="MS PGothic" w:hAnsi="Book Antiqua" w:cs="Arial"/>
          <w:sz w:val="24"/>
          <w:szCs w:val="24"/>
          <w:lang w:val="en-GB"/>
        </w:rPr>
        <w:t xml:space="preserve"> blood samples from healthy volunteers, which were mixed with various cancer cell lines: A549 (lung carcinoma), HepG2 (hepatocellular carcinoma), HEC-1 (endometrial carcinoma), KATO-III (gastric carcinoma), SBC-3 (small cell lung carcinoma), LNCaP (prostate adenocarcinoma), MDA-MB-468 (breast carcinoma), and </w:t>
      </w:r>
      <w:r w:rsidR="00C1732C" w:rsidRPr="007345D5">
        <w:rPr>
          <w:rFonts w:ascii="Book Antiqua" w:eastAsia="MS PGothic" w:hAnsi="Book Antiqua" w:cs="Arial"/>
          <w:sz w:val="24"/>
          <w:szCs w:val="24"/>
          <w:lang w:val="en-GB"/>
        </w:rPr>
        <w:lastRenderedPageBreak/>
        <w:t>OVCAR-3 (ovarian carcinoma)</w:t>
      </w:r>
      <w:r w:rsidR="00974645" w:rsidRPr="007345D5">
        <w:rPr>
          <w:rFonts w:ascii="Book Antiqua" w:eastAsia="MS PGothic" w:hAnsi="Book Antiqua" w:cs="Arial"/>
          <w:sz w:val="24"/>
          <w:szCs w:val="24"/>
          <w:lang w:val="en-GB"/>
        </w:rPr>
        <w:t>. T</w:t>
      </w:r>
      <w:r w:rsidR="00C1732C" w:rsidRPr="007345D5">
        <w:rPr>
          <w:rFonts w:ascii="Book Antiqua" w:eastAsia="MS PGothic" w:hAnsi="Book Antiqua" w:cs="Arial"/>
          <w:sz w:val="24"/>
          <w:szCs w:val="24"/>
          <w:lang w:val="en-GB"/>
        </w:rPr>
        <w:t>he cell lines were cultured according to the vendor’s specifications.</w:t>
      </w:r>
    </w:p>
    <w:p w14:paraId="79993023"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04D8A3D5" w14:textId="77777777"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Determination of GFP fluorescence intensity and cell size threshold</w:t>
      </w:r>
    </w:p>
    <w:p w14:paraId="0611D243" w14:textId="4A75E06B"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The threshold for GFP fluorescence intensity and cell size </w:t>
      </w:r>
      <w:r w:rsidR="00974645" w:rsidRPr="007345D5">
        <w:rPr>
          <w:rFonts w:ascii="Book Antiqua" w:eastAsia="MS PGothic" w:hAnsi="Book Antiqua" w:cs="Arial"/>
          <w:sz w:val="24"/>
          <w:szCs w:val="24"/>
          <w:lang w:val="en-GB"/>
        </w:rPr>
        <w:t>(</w:t>
      </w:r>
      <w:r w:rsidRPr="007345D5">
        <w:rPr>
          <w:rFonts w:ascii="Book Antiqua" w:eastAsia="MS PGothic" w:hAnsi="Book Antiqua" w:cs="Arial"/>
          <w:sz w:val="24"/>
          <w:szCs w:val="24"/>
          <w:lang w:val="en-GB"/>
        </w:rPr>
        <w:t>diameter</w:t>
      </w:r>
      <w:r w:rsidR="00974645" w:rsidRPr="007345D5">
        <w:rPr>
          <w:rFonts w:ascii="Book Antiqua" w:eastAsia="MS PGothic" w:hAnsi="Book Antiqua" w:cs="Arial"/>
          <w:sz w:val="24"/>
          <w:szCs w:val="24"/>
          <w:lang w:val="en-GB"/>
        </w:rPr>
        <w:t>)</w:t>
      </w:r>
      <w:r w:rsidRPr="007345D5">
        <w:rPr>
          <w:rFonts w:ascii="Book Antiqua" w:eastAsia="MS PGothic" w:hAnsi="Book Antiqua" w:cs="Arial"/>
          <w:sz w:val="24"/>
          <w:szCs w:val="24"/>
          <w:lang w:val="en-GB"/>
        </w:rPr>
        <w:t xml:space="preserve"> were set based on the values from samples of healthy volunteers and the patients with gastric cancer by using receiver operating characteristic (ROC) analysis. The blood samples were subjected to the CTC detection assay, and GFP-positive cells were scored by fluorescence microscopy. </w:t>
      </w:r>
    </w:p>
    <w:p w14:paraId="74BC0A6F"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6CE94A12" w14:textId="77777777" w:rsidR="00C1732C" w:rsidRPr="007345D5" w:rsidRDefault="00C1732C" w:rsidP="00570508">
      <w:pPr>
        <w:pStyle w:val="CommentTextChar"/>
        <w:adjustRightInd w:val="0"/>
        <w:snapToGrid w:val="0"/>
        <w:spacing w:line="360" w:lineRule="auto"/>
        <w:rPr>
          <w:rFonts w:ascii="Book Antiqua" w:eastAsia="MS PGothic" w:hAnsi="Book Antiqua" w:cs="Arial"/>
          <w:i/>
          <w:sz w:val="24"/>
          <w:szCs w:val="24"/>
          <w:lang w:val="en-GB"/>
        </w:rPr>
      </w:pPr>
      <w:r w:rsidRPr="007345D5">
        <w:rPr>
          <w:rFonts w:ascii="Book Antiqua" w:eastAsia="MS PGothic" w:hAnsi="Book Antiqua" w:cs="Arial"/>
          <w:b/>
          <w:i/>
          <w:sz w:val="24"/>
          <w:szCs w:val="24"/>
          <w:lang w:val="en-GB"/>
        </w:rPr>
        <w:t>Cell counting and analysis</w:t>
      </w:r>
    </w:p>
    <w:p w14:paraId="4CCB7738" w14:textId="380991A6"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All detectable GFP-positive cells on the two slides were analysed under a computer-controlled fluorescence microscope (IX71, Olympus, Tokyo, Japan); the observer was blinded to the sample details. Cells with fluorescen</w:t>
      </w:r>
      <w:r w:rsidR="00974645" w:rsidRPr="007345D5">
        <w:rPr>
          <w:rFonts w:ascii="Book Antiqua" w:eastAsia="MS PGothic" w:hAnsi="Book Antiqua" w:cs="Arial"/>
          <w:sz w:val="24"/>
          <w:szCs w:val="24"/>
          <w:lang w:val="en-GB"/>
        </w:rPr>
        <w:t>ce</w:t>
      </w:r>
      <w:r w:rsidRPr="007345D5">
        <w:rPr>
          <w:rFonts w:ascii="Book Antiqua" w:eastAsia="MS PGothic" w:hAnsi="Book Antiqua" w:cs="Arial"/>
          <w:sz w:val="24"/>
          <w:szCs w:val="24"/>
          <w:lang w:val="en-GB"/>
        </w:rPr>
        <w:t xml:space="preserve"> intensities and diameters exceeding the threshold </w:t>
      </w:r>
      <w:r w:rsidR="00974645" w:rsidRPr="007345D5">
        <w:rPr>
          <w:rFonts w:ascii="Book Antiqua" w:eastAsia="MS PGothic" w:hAnsi="Book Antiqua" w:cs="Arial"/>
          <w:sz w:val="24"/>
          <w:szCs w:val="24"/>
          <w:lang w:val="en-GB"/>
        </w:rPr>
        <w:t xml:space="preserve">were </w:t>
      </w:r>
      <w:r w:rsidRPr="007345D5">
        <w:rPr>
          <w:rFonts w:ascii="Book Antiqua" w:eastAsia="MS PGothic" w:hAnsi="Book Antiqua" w:cs="Arial"/>
          <w:sz w:val="24"/>
          <w:szCs w:val="24"/>
          <w:lang w:val="en-GB"/>
        </w:rPr>
        <w:t xml:space="preserve">scored as GFP-positive. Both EpCAM-positive and </w:t>
      </w:r>
      <w:r w:rsidR="00065A3C" w:rsidRPr="007345D5">
        <w:rPr>
          <w:rFonts w:ascii="Book Antiqua" w:eastAsia="MS PGothic" w:hAnsi="Book Antiqua" w:cs="Arial"/>
          <w:sz w:val="24"/>
          <w:szCs w:val="24"/>
          <w:lang w:val="en-GB"/>
        </w:rPr>
        <w:t>EpCAM</w:t>
      </w:r>
      <w:r w:rsidRPr="007345D5">
        <w:rPr>
          <w:rFonts w:ascii="Book Antiqua" w:eastAsia="MS PGothic" w:hAnsi="Book Antiqua" w:cs="Arial"/>
          <w:sz w:val="24"/>
          <w:szCs w:val="24"/>
          <w:lang w:val="en-GB"/>
        </w:rPr>
        <w:t>-negative subpopulations were found in these cells, consistent with the finding that tumour cells undergoing EMT can be EpCAM-negative</w:t>
      </w:r>
      <w:r w:rsidRPr="007345D5">
        <w:rPr>
          <w:rFonts w:ascii="Book Antiqua" w:eastAsia="MS PGothic" w:hAnsi="Book Antiqua" w:cs="Arial"/>
          <w:sz w:val="24"/>
          <w:szCs w:val="24"/>
          <w:vertAlign w:val="superscript"/>
          <w:lang w:val="en-GB"/>
        </w:rPr>
        <w:t>[</w:t>
      </w:r>
      <w:r w:rsidR="006B5193" w:rsidRPr="007345D5">
        <w:rPr>
          <w:rFonts w:ascii="Book Antiqua" w:eastAsia="MS PGothic" w:hAnsi="Book Antiqua" w:cs="Arial"/>
          <w:sz w:val="24"/>
          <w:szCs w:val="24"/>
          <w:vertAlign w:val="superscript"/>
          <w:lang w:val="en-GB"/>
        </w:rPr>
        <w:t>18</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xml:space="preserve">. </w:t>
      </w:r>
    </w:p>
    <w:p w14:paraId="34A981BA" w14:textId="77777777" w:rsidR="00327443" w:rsidRPr="007345D5" w:rsidRDefault="00327443" w:rsidP="00570508">
      <w:pPr>
        <w:pStyle w:val="CommentTextChar"/>
        <w:adjustRightInd w:val="0"/>
        <w:snapToGrid w:val="0"/>
        <w:spacing w:line="360" w:lineRule="auto"/>
        <w:rPr>
          <w:rFonts w:ascii="Book Antiqua" w:eastAsia="MS PGothic" w:hAnsi="Book Antiqua" w:cs="Arial"/>
          <w:sz w:val="24"/>
          <w:szCs w:val="24"/>
          <w:lang w:val="en-GB"/>
        </w:rPr>
      </w:pPr>
    </w:p>
    <w:p w14:paraId="65E28300" w14:textId="77777777" w:rsidR="00327443" w:rsidRPr="007345D5" w:rsidRDefault="00327443"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 xml:space="preserve">Institutional review board statement and clinical trial registration </w:t>
      </w:r>
    </w:p>
    <w:p w14:paraId="3DC88D50" w14:textId="0CBC5F15" w:rsidR="00327443" w:rsidRPr="007345D5" w:rsidRDefault="00327443"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The study was approved by the Institutional Review Board of the Showa University, Northern Yokohama Hospital (</w:t>
      </w:r>
      <w:r w:rsidR="0036572C" w:rsidRPr="007345D5">
        <w:rPr>
          <w:rFonts w:ascii="Book Antiqua" w:eastAsia="SimSun" w:hAnsi="Book Antiqua" w:cs="Arial"/>
          <w:sz w:val="24"/>
          <w:szCs w:val="24"/>
          <w:lang w:val="en-GB" w:eastAsia="zh-CN"/>
        </w:rPr>
        <w:t>No.</w:t>
      </w:r>
      <w:r w:rsidRPr="007345D5">
        <w:rPr>
          <w:rFonts w:ascii="Book Antiqua" w:eastAsia="MS PGothic" w:hAnsi="Book Antiqua" w:cs="Arial"/>
          <w:sz w:val="24"/>
          <w:szCs w:val="24"/>
          <w:lang w:val="en-GB"/>
        </w:rPr>
        <w:t xml:space="preserve"> 0903-03). This study was registered with the University Hospital Medical Information Network in Japan, UMIN000004026.</w:t>
      </w:r>
    </w:p>
    <w:p w14:paraId="51E208A2" w14:textId="77777777" w:rsidR="00327443" w:rsidRPr="007345D5" w:rsidRDefault="00327443" w:rsidP="00570508">
      <w:pPr>
        <w:pStyle w:val="CommentTextChar"/>
        <w:adjustRightInd w:val="0"/>
        <w:snapToGrid w:val="0"/>
        <w:spacing w:line="360" w:lineRule="auto"/>
        <w:rPr>
          <w:rFonts w:ascii="Book Antiqua" w:eastAsia="MS PGothic" w:hAnsi="Book Antiqua" w:cs="Arial"/>
          <w:sz w:val="24"/>
          <w:szCs w:val="24"/>
          <w:lang w:val="en-GB"/>
        </w:rPr>
      </w:pPr>
    </w:p>
    <w:p w14:paraId="67720F22" w14:textId="77777777" w:rsidR="00327443" w:rsidRPr="007345D5" w:rsidRDefault="00417700"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Informed consent statement</w:t>
      </w:r>
    </w:p>
    <w:p w14:paraId="1DBB74DA" w14:textId="77777777" w:rsidR="00327443" w:rsidRPr="007345D5" w:rsidRDefault="00327443"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The study protocol was explained to the patients and volunteers before written informed consent was obtained.</w:t>
      </w:r>
    </w:p>
    <w:p w14:paraId="3B7E9F72"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03B7A080" w14:textId="77777777"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lastRenderedPageBreak/>
        <w:t>Statistical analysis</w:t>
      </w:r>
    </w:p>
    <w:p w14:paraId="3694F7F0" w14:textId="5CFF1C31"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All statistical analysis was performed using JMP Pro 12.2.0 (SAS Institute, Cary, NC, USA). Non-parametric comparisons were performed </w:t>
      </w:r>
      <w:r w:rsidR="008F38EC" w:rsidRPr="007345D5">
        <w:rPr>
          <w:rFonts w:ascii="Book Antiqua" w:eastAsia="MS PGothic" w:hAnsi="Book Antiqua" w:cs="Arial"/>
          <w:sz w:val="24"/>
          <w:szCs w:val="24"/>
          <w:lang w:val="en-GB"/>
        </w:rPr>
        <w:t>using</w:t>
      </w:r>
      <w:r w:rsidRPr="007345D5">
        <w:rPr>
          <w:rFonts w:ascii="Book Antiqua" w:eastAsia="MS PGothic" w:hAnsi="Book Antiqua" w:cs="Arial"/>
          <w:sz w:val="24"/>
          <w:szCs w:val="24"/>
          <w:lang w:val="en-GB"/>
        </w:rPr>
        <w:t xml:space="preserve"> the Wilcoxon signed-rank test, with a normal approximation. ROC analysis was performed to examine the difference between </w:t>
      </w:r>
      <w:r w:rsidRPr="007345D5">
        <w:rPr>
          <w:rFonts w:ascii="Book Antiqua" w:eastAsia="MS PGothic" w:hAnsi="Book Antiqua" w:cs="Arial"/>
          <w:i/>
          <w:sz w:val="24"/>
          <w:szCs w:val="24"/>
          <w:lang w:val="en-GB"/>
        </w:rPr>
        <w:t>GFP</w:t>
      </w:r>
      <w:r w:rsidRPr="007345D5">
        <w:rPr>
          <w:rFonts w:ascii="Book Antiqua" w:eastAsia="MS PGothic" w:hAnsi="Book Antiqua" w:cs="Arial"/>
          <w:sz w:val="24"/>
          <w:szCs w:val="24"/>
          <w:lang w:val="en-GB"/>
        </w:rPr>
        <w:t xml:space="preserve"> fluorescence intensity and cell size in the blood samples of patients versus those in healthy volunteers. Cox proportional hazards analysis was used to investigate risk factors for survival, and to calculate overall and relapse-free survival rates.</w:t>
      </w:r>
      <w:r w:rsidRPr="007345D5">
        <w:rPr>
          <w:rFonts w:ascii="Book Antiqua" w:eastAsia="MS PGothic" w:hAnsi="Book Antiqua" w:cs="Arial"/>
          <w:i/>
          <w:sz w:val="24"/>
          <w:szCs w:val="24"/>
          <w:lang w:val="en-GB"/>
        </w:rPr>
        <w:t xml:space="preserve"> P</w:t>
      </w:r>
      <w:r w:rsidRPr="007345D5">
        <w:rPr>
          <w:rFonts w:ascii="Book Antiqua" w:eastAsia="MS PGothic" w:hAnsi="Book Antiqua" w:cs="Arial"/>
          <w:sz w:val="24"/>
          <w:szCs w:val="24"/>
          <w:lang w:val="en-GB"/>
        </w:rPr>
        <w:t xml:space="preserve"> ≤ 0</w:t>
      </w:r>
      <w:r w:rsidRPr="007345D5">
        <w:rPr>
          <w:rFonts w:ascii="Book Antiqua" w:hAnsi="Book Antiqua" w:cs="Arial"/>
          <w:sz w:val="24"/>
          <w:szCs w:val="24"/>
          <w:lang w:val="en-GB"/>
        </w:rPr>
        <w:t>.</w:t>
      </w:r>
      <w:r w:rsidRPr="007345D5">
        <w:rPr>
          <w:rFonts w:ascii="Book Antiqua" w:eastAsia="MS PGothic" w:hAnsi="Book Antiqua" w:cs="Arial"/>
          <w:sz w:val="24"/>
          <w:szCs w:val="24"/>
          <w:lang w:val="en-GB"/>
        </w:rPr>
        <w:t xml:space="preserve">05 was considered statistically significant. </w:t>
      </w:r>
    </w:p>
    <w:p w14:paraId="0BF876D3"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55F33ED0" w14:textId="77777777"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MS PGothic" w:hAnsi="Book Antiqua" w:cs="Arial"/>
          <w:b/>
          <w:sz w:val="24"/>
          <w:szCs w:val="24"/>
          <w:lang w:val="en-GB"/>
        </w:rPr>
        <w:t>RESULTS</w:t>
      </w:r>
    </w:p>
    <w:p w14:paraId="6FBD9A4F" w14:textId="77777777"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Patient characteristics and pathological findings</w:t>
      </w:r>
    </w:p>
    <w:p w14:paraId="57D5C65A" w14:textId="31020B05"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The clinic</w:t>
      </w:r>
      <w:r w:rsidR="001B517F" w:rsidRPr="007345D5">
        <w:rPr>
          <w:rFonts w:ascii="Book Antiqua" w:eastAsia="MS PGothic" w:hAnsi="Book Antiqua" w:cs="Arial"/>
          <w:sz w:val="24"/>
          <w:szCs w:val="24"/>
          <w:lang w:val="en-GB"/>
        </w:rPr>
        <w:t>o</w:t>
      </w:r>
      <w:r w:rsidRPr="007345D5">
        <w:rPr>
          <w:rFonts w:ascii="Book Antiqua" w:eastAsia="MS PGothic" w:hAnsi="Book Antiqua" w:cs="Arial"/>
          <w:sz w:val="24"/>
          <w:szCs w:val="24"/>
          <w:lang w:val="en-GB"/>
        </w:rPr>
        <w:t xml:space="preserve">pathological characteristics of 65 patients (46 men and 19 women; mean age 60.7 years; range 33–76 years) are summarised in Table 1. The median follow-up period </w:t>
      </w:r>
      <w:r w:rsidR="001B517F" w:rsidRPr="007345D5">
        <w:rPr>
          <w:rFonts w:ascii="Book Antiqua" w:eastAsia="MS PGothic" w:hAnsi="Book Antiqua" w:cs="Arial"/>
          <w:sz w:val="24"/>
          <w:szCs w:val="24"/>
          <w:lang w:val="en-GB"/>
        </w:rPr>
        <w:t>for the</w:t>
      </w:r>
      <w:r w:rsidRPr="007345D5">
        <w:rPr>
          <w:rFonts w:ascii="Book Antiqua" w:eastAsia="MS PGothic" w:hAnsi="Book Antiqua" w:cs="Arial"/>
          <w:sz w:val="24"/>
          <w:szCs w:val="24"/>
          <w:lang w:val="en-GB"/>
        </w:rPr>
        <w:t xml:space="preserve"> surviving patients was 60 months. Fifty-seven of the 65 patients underwent pathological curative surgery, and of these patients, 10 experienced disease recurrence. Fifteen patients died. Twenty-nine patients had distal gastrectomy, 32 had total gastrectomy, and four had exploratory laparotomy. Twenty of the 57 patients that underwent curative surgery also received adjuvant chemotherapy, and nine of these 20 patients received therapeutic chemotherapy after disease recurrence. </w:t>
      </w:r>
    </w:p>
    <w:p w14:paraId="3F275C10"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6403A4D5" w14:textId="60BBC5D0" w:rsidR="009B3DAE" w:rsidRPr="007345D5" w:rsidRDefault="009B3DAE"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Gallery of GFP-positive cancer cell</w:t>
      </w:r>
      <w:r w:rsidR="001B517F" w:rsidRPr="007345D5">
        <w:rPr>
          <w:rFonts w:ascii="Book Antiqua" w:eastAsia="MS PGothic" w:hAnsi="Book Antiqua" w:cs="Arial"/>
          <w:b/>
          <w:i/>
          <w:sz w:val="24"/>
          <w:szCs w:val="24"/>
          <w:lang w:val="en-GB"/>
        </w:rPr>
        <w:t xml:space="preserve"> lines</w:t>
      </w:r>
      <w:r w:rsidRPr="007345D5">
        <w:rPr>
          <w:rFonts w:ascii="Book Antiqua" w:eastAsia="MS PGothic" w:hAnsi="Book Antiqua" w:cs="Arial"/>
          <w:b/>
          <w:i/>
          <w:sz w:val="24"/>
          <w:szCs w:val="24"/>
          <w:lang w:val="en-GB"/>
        </w:rPr>
        <w:t xml:space="preserve"> after OBP-401 infection </w:t>
      </w:r>
    </w:p>
    <w:p w14:paraId="7AD7631B" w14:textId="7B92EE70" w:rsidR="009B3DAE" w:rsidRPr="007345D5" w:rsidRDefault="009B3DAE"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After OBP-401 infection, </w:t>
      </w:r>
      <w:r w:rsidR="004464D5" w:rsidRPr="007345D5">
        <w:rPr>
          <w:rFonts w:ascii="Book Antiqua" w:eastAsia="MS PGothic" w:hAnsi="Book Antiqua" w:cs="Arial"/>
          <w:sz w:val="24"/>
          <w:szCs w:val="24"/>
          <w:lang w:val="en-GB"/>
        </w:rPr>
        <w:t xml:space="preserve">GFP-positive </w:t>
      </w:r>
      <w:r w:rsidRPr="007345D5">
        <w:rPr>
          <w:rFonts w:ascii="Book Antiqua" w:eastAsia="MS PGothic" w:hAnsi="Book Antiqua" w:cs="Arial"/>
          <w:sz w:val="24"/>
          <w:szCs w:val="24"/>
          <w:lang w:val="en-GB"/>
        </w:rPr>
        <w:t>cancer cell</w:t>
      </w:r>
      <w:r w:rsidR="001B517F" w:rsidRPr="007345D5">
        <w:rPr>
          <w:rFonts w:ascii="Book Antiqua" w:eastAsia="MS PGothic" w:hAnsi="Book Antiqua" w:cs="Arial"/>
          <w:sz w:val="24"/>
          <w:szCs w:val="24"/>
          <w:lang w:val="en-GB"/>
        </w:rPr>
        <w:t xml:space="preserve"> lines</w:t>
      </w:r>
      <w:r w:rsidRPr="007345D5">
        <w:rPr>
          <w:rFonts w:ascii="Book Antiqua" w:eastAsia="MS PGothic" w:hAnsi="Book Antiqua" w:cs="Arial"/>
          <w:sz w:val="24"/>
          <w:szCs w:val="24"/>
          <w:lang w:val="en-GB"/>
        </w:rPr>
        <w:t xml:space="preserve"> </w:t>
      </w:r>
      <w:r w:rsidR="004464D5" w:rsidRPr="007345D5">
        <w:rPr>
          <w:rFonts w:ascii="Book Antiqua" w:eastAsia="MS PGothic" w:hAnsi="Book Antiqua" w:cs="Arial"/>
          <w:sz w:val="24"/>
          <w:szCs w:val="24"/>
          <w:lang w:val="en-GB"/>
        </w:rPr>
        <w:t>were detected (</w:t>
      </w:r>
      <w:r w:rsidR="00A3677B" w:rsidRPr="007345D5">
        <w:rPr>
          <w:rFonts w:ascii="Book Antiqua" w:eastAsia="MS PGothic" w:hAnsi="Book Antiqua" w:cs="Arial"/>
          <w:sz w:val="24"/>
          <w:szCs w:val="24"/>
          <w:lang w:val="en-GB"/>
        </w:rPr>
        <w:t>Figure</w:t>
      </w:r>
      <w:r w:rsidR="004464D5" w:rsidRPr="007345D5">
        <w:rPr>
          <w:rFonts w:ascii="Book Antiqua" w:eastAsia="MS PGothic" w:hAnsi="Book Antiqua" w:cs="Arial"/>
          <w:sz w:val="24"/>
          <w:szCs w:val="24"/>
          <w:lang w:val="en-GB"/>
        </w:rPr>
        <w:t xml:space="preserve"> 1A).</w:t>
      </w:r>
    </w:p>
    <w:p w14:paraId="3401F9F2" w14:textId="77777777" w:rsidR="009B3DAE" w:rsidRPr="007345D5" w:rsidRDefault="009B3DAE" w:rsidP="00570508">
      <w:pPr>
        <w:pStyle w:val="CommentTextChar"/>
        <w:adjustRightInd w:val="0"/>
        <w:snapToGrid w:val="0"/>
        <w:spacing w:line="360" w:lineRule="auto"/>
        <w:rPr>
          <w:rFonts w:ascii="Book Antiqua" w:eastAsia="MS PGothic" w:hAnsi="Book Antiqua" w:cs="Arial"/>
          <w:sz w:val="24"/>
          <w:szCs w:val="24"/>
          <w:lang w:val="en-GB"/>
        </w:rPr>
      </w:pPr>
    </w:p>
    <w:p w14:paraId="4ADE8B8F" w14:textId="30825AF0"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Comparison of GFP fluorescence intensity between cell lines and blood cells</w:t>
      </w:r>
    </w:p>
    <w:p w14:paraId="569CD433" w14:textId="1E5484A5"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The </w:t>
      </w:r>
      <w:r w:rsidRPr="007345D5">
        <w:rPr>
          <w:rFonts w:ascii="Book Antiqua" w:eastAsia="MS PGothic" w:hAnsi="Book Antiqua" w:cs="Arial"/>
          <w:i/>
          <w:sz w:val="24"/>
          <w:szCs w:val="24"/>
          <w:lang w:val="en-GB"/>
        </w:rPr>
        <w:t>GFP</w:t>
      </w:r>
      <w:r w:rsidRPr="007345D5">
        <w:rPr>
          <w:rFonts w:ascii="Book Antiqua" w:eastAsia="MS PGothic" w:hAnsi="Book Antiqua" w:cs="Arial"/>
          <w:sz w:val="24"/>
          <w:szCs w:val="24"/>
          <w:lang w:val="en-GB"/>
        </w:rPr>
        <w:t xml:space="preserve"> fluorescence intensity </w:t>
      </w:r>
      <w:r w:rsidR="00A3677B" w:rsidRPr="007345D5">
        <w:rPr>
          <w:rFonts w:ascii="Book Antiqua" w:eastAsia="SimSun" w:hAnsi="Book Antiqua" w:cs="Arial"/>
          <w:sz w:val="24"/>
          <w:szCs w:val="24"/>
          <w:lang w:val="en-GB" w:eastAsia="zh-CN"/>
        </w:rPr>
        <w:t>[</w:t>
      </w:r>
      <w:r w:rsidR="00A3677B" w:rsidRPr="007345D5">
        <w:rPr>
          <w:rFonts w:ascii="Book Antiqua" w:eastAsia="MS PGothic" w:hAnsi="Book Antiqua" w:cs="Arial"/>
          <w:sz w:val="24"/>
          <w:szCs w:val="24"/>
          <w:lang w:val="en-GB"/>
        </w:rPr>
        <w:t>mean equivalent fluorochrome</w:t>
      </w:r>
      <w:r w:rsidRPr="007345D5">
        <w:rPr>
          <w:rFonts w:ascii="Book Antiqua" w:eastAsia="MS PGothic" w:hAnsi="Book Antiqua" w:cs="Arial"/>
          <w:sz w:val="24"/>
          <w:szCs w:val="24"/>
          <w:lang w:val="en-GB"/>
        </w:rPr>
        <w:t xml:space="preserve"> </w:t>
      </w:r>
      <w:r w:rsidR="00A3677B" w:rsidRPr="007345D5">
        <w:rPr>
          <w:rFonts w:ascii="Book Antiqua" w:eastAsia="SimSun" w:hAnsi="Book Antiqua" w:cs="Arial"/>
          <w:sz w:val="24"/>
          <w:szCs w:val="24"/>
          <w:lang w:val="en-GB" w:eastAsia="zh-CN"/>
        </w:rPr>
        <w:t>(</w:t>
      </w:r>
      <w:r w:rsidRPr="007345D5">
        <w:rPr>
          <w:rFonts w:ascii="Book Antiqua" w:eastAsia="MS PGothic" w:hAnsi="Book Antiqua" w:cs="Arial"/>
          <w:sz w:val="24"/>
          <w:szCs w:val="24"/>
          <w:lang w:val="en-GB"/>
        </w:rPr>
        <w:t>MEFL)</w:t>
      </w:r>
      <w:r w:rsidR="00A3677B" w:rsidRPr="007345D5">
        <w:rPr>
          <w:rFonts w:ascii="Book Antiqua" w:eastAsia="SimSun" w:hAnsi="Book Antiqua" w:cs="Arial"/>
          <w:sz w:val="24"/>
          <w:szCs w:val="24"/>
          <w:lang w:val="en-GB" w:eastAsia="zh-CN"/>
        </w:rPr>
        <w:t>]</w:t>
      </w:r>
      <w:r w:rsidRPr="007345D5">
        <w:rPr>
          <w:rFonts w:ascii="Book Antiqua" w:eastAsia="MS PGothic" w:hAnsi="Book Antiqua" w:cs="Arial"/>
          <w:sz w:val="24"/>
          <w:szCs w:val="24"/>
          <w:lang w:val="en-GB"/>
        </w:rPr>
        <w:t xml:space="preserve"> of the cell lines and the GFP-positive cells detected in the peripheral blood samples </w:t>
      </w:r>
      <w:r w:rsidRPr="007345D5">
        <w:rPr>
          <w:rFonts w:ascii="Book Antiqua" w:eastAsia="MS PGothic" w:hAnsi="Book Antiqua" w:cs="Arial"/>
          <w:sz w:val="24"/>
          <w:szCs w:val="24"/>
          <w:lang w:val="en-GB"/>
        </w:rPr>
        <w:lastRenderedPageBreak/>
        <w:t xml:space="preserve">are shown in </w:t>
      </w:r>
      <w:r w:rsidR="00A3677B" w:rsidRPr="007345D5">
        <w:rPr>
          <w:rFonts w:ascii="Book Antiqua" w:eastAsia="MS PGothic" w:hAnsi="Book Antiqua" w:cs="Arial"/>
          <w:sz w:val="24"/>
          <w:szCs w:val="24"/>
          <w:lang w:val="en-GB"/>
        </w:rPr>
        <w:t>Figure</w:t>
      </w:r>
      <w:r w:rsidRPr="007345D5">
        <w:rPr>
          <w:rFonts w:ascii="Book Antiqua" w:eastAsia="MS PGothic" w:hAnsi="Book Antiqua" w:cs="Arial"/>
          <w:sz w:val="24"/>
          <w:szCs w:val="24"/>
          <w:lang w:val="en-GB"/>
        </w:rPr>
        <w:t xml:space="preserve"> 1</w:t>
      </w:r>
      <w:r w:rsidR="009B3DAE" w:rsidRPr="007345D5">
        <w:rPr>
          <w:rFonts w:ascii="Book Antiqua" w:eastAsia="MS PGothic" w:hAnsi="Book Antiqua" w:cs="Arial"/>
          <w:sz w:val="24"/>
          <w:szCs w:val="24"/>
          <w:lang w:val="en-GB"/>
        </w:rPr>
        <w:t>B</w:t>
      </w:r>
      <w:r w:rsidRPr="007345D5">
        <w:rPr>
          <w:rFonts w:ascii="Book Antiqua" w:eastAsia="MS PGothic" w:hAnsi="Book Antiqua" w:cs="Arial"/>
          <w:sz w:val="24"/>
          <w:szCs w:val="24"/>
          <w:lang w:val="en-GB"/>
        </w:rPr>
        <w:t xml:space="preserve">. MEFL was higher in cell lines than in the GFP-positive cells in the peripheral blood samples from either healthy volunteers or patients with gastric cancer. In turn, MEFL was higher in GFP-positive cells </w:t>
      </w:r>
      <w:r w:rsidR="001B517F" w:rsidRPr="007345D5">
        <w:rPr>
          <w:rFonts w:ascii="Book Antiqua" w:eastAsia="MS PGothic" w:hAnsi="Book Antiqua" w:cs="Arial"/>
          <w:sz w:val="24"/>
          <w:szCs w:val="24"/>
          <w:lang w:val="en-GB"/>
        </w:rPr>
        <w:t xml:space="preserve">from </w:t>
      </w:r>
      <w:r w:rsidRPr="007345D5">
        <w:rPr>
          <w:rFonts w:ascii="Book Antiqua" w:eastAsia="MS PGothic" w:hAnsi="Book Antiqua" w:cs="Arial"/>
          <w:sz w:val="24"/>
          <w:szCs w:val="24"/>
          <w:lang w:val="en-GB"/>
        </w:rPr>
        <w:t xml:space="preserve">patients with gastric cancer than in the corresponding cells from healthy volunteers. </w:t>
      </w:r>
    </w:p>
    <w:p w14:paraId="59858DE7"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73A1CDE7" w14:textId="77777777"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Comparison of GFP fluorescence intensity and cell diameter between patients and volunteers</w:t>
      </w:r>
    </w:p>
    <w:p w14:paraId="216501D8" w14:textId="4EEBFC4F"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The</w:t>
      </w:r>
      <w:r w:rsidRPr="007345D5">
        <w:rPr>
          <w:rFonts w:ascii="Book Antiqua" w:hAnsi="Book Antiqua"/>
          <w:sz w:val="24"/>
          <w:szCs w:val="24"/>
          <w:lang w:val="en-GB"/>
        </w:rPr>
        <w:t xml:space="preserve"> </w:t>
      </w:r>
      <w:r w:rsidRPr="007345D5">
        <w:rPr>
          <w:rFonts w:ascii="Book Antiqua" w:eastAsia="MS PGothic" w:hAnsi="Book Antiqua" w:cs="Arial"/>
          <w:i/>
          <w:sz w:val="24"/>
          <w:szCs w:val="24"/>
          <w:lang w:val="en-GB"/>
        </w:rPr>
        <w:t>GFP</w:t>
      </w:r>
      <w:r w:rsidRPr="007345D5">
        <w:rPr>
          <w:rFonts w:ascii="Book Antiqua" w:eastAsia="MS PGothic" w:hAnsi="Book Antiqua" w:cs="Arial"/>
          <w:sz w:val="24"/>
          <w:szCs w:val="24"/>
          <w:lang w:val="en-GB"/>
        </w:rPr>
        <w:t xml:space="preserve"> fluorescence intensity and diameter of cells isolated from the peripheral blood samples are shown in Fig</w:t>
      </w:r>
      <w:r w:rsidR="00A3677B" w:rsidRPr="007345D5">
        <w:rPr>
          <w:rFonts w:ascii="Book Antiqua" w:eastAsia="SimSun" w:hAnsi="Book Antiqua" w:cs="Arial"/>
          <w:sz w:val="24"/>
          <w:szCs w:val="24"/>
          <w:lang w:val="en-GB" w:eastAsia="zh-CN"/>
        </w:rPr>
        <w:t>ure</w:t>
      </w:r>
      <w:r w:rsidRPr="007345D5">
        <w:rPr>
          <w:rFonts w:ascii="Book Antiqua" w:eastAsia="MS PGothic" w:hAnsi="Book Antiqua" w:cs="Arial"/>
          <w:sz w:val="24"/>
          <w:szCs w:val="24"/>
          <w:lang w:val="en-GB"/>
        </w:rPr>
        <w:t xml:space="preserve"> 1</w:t>
      </w:r>
      <w:r w:rsidR="009B3DAE" w:rsidRPr="007345D5">
        <w:rPr>
          <w:rFonts w:ascii="Book Antiqua" w:eastAsia="MS PGothic" w:hAnsi="Book Antiqua" w:cs="Arial"/>
          <w:sz w:val="24"/>
          <w:szCs w:val="24"/>
          <w:lang w:val="en-GB"/>
        </w:rPr>
        <w:t>C</w:t>
      </w:r>
      <w:r w:rsidR="00A3677B" w:rsidRPr="007345D5">
        <w:rPr>
          <w:rFonts w:ascii="Book Antiqua" w:eastAsia="MS PGothic" w:hAnsi="Book Antiqua" w:cs="Arial"/>
          <w:sz w:val="24"/>
          <w:szCs w:val="24"/>
          <w:lang w:val="en-GB"/>
        </w:rPr>
        <w:t xml:space="preserve"> and </w:t>
      </w:r>
      <w:r w:rsidR="009B3DAE" w:rsidRPr="007345D5">
        <w:rPr>
          <w:rFonts w:ascii="Book Antiqua" w:eastAsia="MS PGothic" w:hAnsi="Book Antiqua" w:cs="Arial"/>
          <w:sz w:val="24"/>
          <w:szCs w:val="24"/>
          <w:lang w:val="en-GB"/>
        </w:rPr>
        <w:t>D</w:t>
      </w:r>
      <w:r w:rsidRPr="007345D5">
        <w:rPr>
          <w:rFonts w:ascii="Book Antiqua" w:eastAsia="MS PGothic" w:hAnsi="Book Antiqua" w:cs="Arial"/>
          <w:sz w:val="24"/>
          <w:szCs w:val="24"/>
          <w:lang w:val="en-GB"/>
        </w:rPr>
        <w:t>. Based on ROC analyses, we d</w:t>
      </w:r>
      <w:r w:rsidR="001B517F" w:rsidRPr="007345D5">
        <w:rPr>
          <w:rFonts w:ascii="Book Antiqua" w:eastAsia="MS PGothic" w:hAnsi="Book Antiqua" w:cs="Arial"/>
          <w:sz w:val="24"/>
          <w:szCs w:val="24"/>
          <w:lang w:val="en-GB"/>
        </w:rPr>
        <w:t>efined</w:t>
      </w:r>
      <w:r w:rsidRPr="007345D5">
        <w:rPr>
          <w:rFonts w:ascii="Book Antiqua" w:eastAsia="MS PGothic" w:hAnsi="Book Antiqua" w:cs="Arial"/>
          <w:sz w:val="24"/>
          <w:szCs w:val="24"/>
          <w:lang w:val="en-GB"/>
        </w:rPr>
        <w:t xml:space="preserve"> cells with 78600927 MEFL or higher GFP fluorescence intensity and 7.7418 µm or larger diameter as the CTCs.</w:t>
      </w:r>
    </w:p>
    <w:p w14:paraId="3B0476BD"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354BFE23" w14:textId="77777777"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Association of CTCs with pathological findings</w:t>
      </w:r>
    </w:p>
    <w:p w14:paraId="3F615783" w14:textId="493749E7" w:rsidR="00C1732C" w:rsidRPr="007345D5" w:rsidRDefault="00C1732C" w:rsidP="00570508">
      <w:pPr>
        <w:pStyle w:val="NormalWeb"/>
        <w:adjustRightInd w:val="0"/>
        <w:snapToGrid w:val="0"/>
        <w:spacing w:before="0" w:beforeAutospacing="0" w:after="0" w:afterAutospacing="0" w:line="360" w:lineRule="auto"/>
        <w:jc w:val="both"/>
        <w:rPr>
          <w:rFonts w:ascii="Book Antiqua" w:hAnsi="Book Antiqua" w:cs="Arial"/>
        </w:rPr>
      </w:pPr>
      <w:r w:rsidRPr="007345D5">
        <w:rPr>
          <w:rFonts w:ascii="Book Antiqua" w:hAnsi="Book Antiqua" w:cs="Arial"/>
        </w:rPr>
        <w:t xml:space="preserve">An increased number of CTCs was associated with disease progression. </w:t>
      </w:r>
      <w:r w:rsidR="00441E8D" w:rsidRPr="007345D5">
        <w:rPr>
          <w:rFonts w:ascii="Book Antiqua" w:hAnsi="Book Antiqua" w:cs="Arial"/>
        </w:rPr>
        <w:t>T</w:t>
      </w:r>
      <w:r w:rsidRPr="007345D5">
        <w:rPr>
          <w:rFonts w:ascii="Book Antiqua" w:hAnsi="Book Antiqua" w:cs="Arial"/>
        </w:rPr>
        <w:t>here was statistically significant difference</w:t>
      </w:r>
      <w:r w:rsidR="00441E8D" w:rsidRPr="007345D5">
        <w:rPr>
          <w:rFonts w:ascii="Book Antiqua" w:hAnsi="Book Antiqua" w:cs="Arial"/>
        </w:rPr>
        <w:t xml:space="preserve"> in</w:t>
      </w:r>
      <w:r w:rsidRPr="007345D5">
        <w:rPr>
          <w:rFonts w:ascii="Book Antiqua" w:hAnsi="Book Antiqua" w:cs="Arial"/>
        </w:rPr>
        <w:t xml:space="preserve"> the number of CTCs </w:t>
      </w:r>
      <w:r w:rsidR="00441E8D" w:rsidRPr="007345D5">
        <w:rPr>
          <w:rFonts w:ascii="Book Antiqua" w:hAnsi="Book Antiqua" w:cs="Arial"/>
        </w:rPr>
        <w:t>between</w:t>
      </w:r>
      <w:r w:rsidRPr="007345D5">
        <w:rPr>
          <w:rFonts w:ascii="Book Antiqua" w:hAnsi="Book Antiqua" w:cs="Arial"/>
        </w:rPr>
        <w:t xml:space="preserve"> samples from patients with Stage I </w:t>
      </w:r>
      <w:r w:rsidR="00441E8D" w:rsidRPr="007345D5">
        <w:rPr>
          <w:rFonts w:ascii="Book Antiqua" w:hAnsi="Book Antiqua" w:cs="Arial"/>
        </w:rPr>
        <w:t xml:space="preserve">and </w:t>
      </w:r>
      <w:r w:rsidRPr="007345D5">
        <w:rPr>
          <w:rFonts w:ascii="Book Antiqua" w:hAnsi="Book Antiqua" w:cs="Arial"/>
        </w:rPr>
        <w:t>th</w:t>
      </w:r>
      <w:r w:rsidR="00441E8D" w:rsidRPr="007345D5">
        <w:rPr>
          <w:rFonts w:ascii="Book Antiqua" w:hAnsi="Book Antiqua" w:cs="Arial"/>
        </w:rPr>
        <w:t>ose</w:t>
      </w:r>
      <w:r w:rsidRPr="007345D5">
        <w:rPr>
          <w:rFonts w:ascii="Book Antiqua" w:hAnsi="Book Antiqua" w:cs="Arial"/>
        </w:rPr>
        <w:t xml:space="preserve"> </w:t>
      </w:r>
      <w:r w:rsidR="00441E8D" w:rsidRPr="007345D5">
        <w:rPr>
          <w:rFonts w:ascii="Book Antiqua" w:hAnsi="Book Antiqua" w:cs="Arial"/>
        </w:rPr>
        <w:t xml:space="preserve">from patients </w:t>
      </w:r>
      <w:r w:rsidRPr="007345D5">
        <w:rPr>
          <w:rFonts w:ascii="Book Antiqua" w:hAnsi="Book Antiqua" w:cs="Arial"/>
        </w:rPr>
        <w:t>with Stage III disease (</w:t>
      </w:r>
      <w:r w:rsidR="00A07C26" w:rsidRPr="007345D5">
        <w:rPr>
          <w:rFonts w:ascii="Book Antiqua" w:hAnsi="Book Antiqua" w:cs="Arial"/>
          <w:i/>
        </w:rPr>
        <w:t>P =</w:t>
      </w:r>
      <w:r w:rsidRPr="007345D5">
        <w:rPr>
          <w:rFonts w:ascii="Book Antiqua" w:hAnsi="Book Antiqua" w:cs="Arial"/>
        </w:rPr>
        <w:t xml:space="preserve"> 0.0460, </w:t>
      </w:r>
      <w:r w:rsidR="00A3677B" w:rsidRPr="007345D5">
        <w:rPr>
          <w:rFonts w:ascii="Book Antiqua" w:hAnsi="Book Antiqua" w:cs="Arial"/>
        </w:rPr>
        <w:t>Figure</w:t>
      </w:r>
      <w:r w:rsidRPr="007345D5">
        <w:rPr>
          <w:rFonts w:ascii="Book Antiqua" w:hAnsi="Book Antiqua" w:cs="Arial"/>
        </w:rPr>
        <w:t xml:space="preserve"> 2A). The number of CTCs also tended to increase concomitantly with progression of the primary tumour, as there was a statistically significant difference </w:t>
      </w:r>
      <w:r w:rsidR="00441E8D" w:rsidRPr="007345D5">
        <w:rPr>
          <w:rFonts w:ascii="Book Antiqua" w:hAnsi="Book Antiqua" w:cs="Arial"/>
        </w:rPr>
        <w:t>in</w:t>
      </w:r>
      <w:r w:rsidRPr="007345D5">
        <w:rPr>
          <w:rFonts w:ascii="Book Antiqua" w:hAnsi="Book Antiqua" w:cs="Arial"/>
        </w:rPr>
        <w:t xml:space="preserve"> the number of CTCs </w:t>
      </w:r>
      <w:r w:rsidR="00441E8D" w:rsidRPr="007345D5">
        <w:rPr>
          <w:rFonts w:ascii="Book Antiqua" w:hAnsi="Book Antiqua" w:cs="Arial"/>
        </w:rPr>
        <w:t>between</w:t>
      </w:r>
      <w:r w:rsidRPr="007345D5">
        <w:rPr>
          <w:rFonts w:ascii="Book Antiqua" w:hAnsi="Book Antiqua" w:cs="Arial"/>
        </w:rPr>
        <w:t xml:space="preserve"> samples from patients with T1 </w:t>
      </w:r>
      <w:r w:rsidR="00441E8D" w:rsidRPr="007345D5">
        <w:rPr>
          <w:rFonts w:ascii="Book Antiqua" w:hAnsi="Book Antiqua" w:cs="Arial"/>
        </w:rPr>
        <w:t>and those from patients</w:t>
      </w:r>
      <w:r w:rsidRPr="007345D5">
        <w:rPr>
          <w:rFonts w:ascii="Book Antiqua" w:hAnsi="Book Antiqua" w:cs="Arial"/>
        </w:rPr>
        <w:t xml:space="preserve"> with T4 tumours (</w:t>
      </w:r>
      <w:r w:rsidR="00A07C26" w:rsidRPr="007345D5">
        <w:rPr>
          <w:rFonts w:ascii="Book Antiqua" w:hAnsi="Book Antiqua" w:cs="Arial"/>
          <w:i/>
        </w:rPr>
        <w:t>P =</w:t>
      </w:r>
      <w:r w:rsidRPr="007345D5">
        <w:rPr>
          <w:rFonts w:ascii="Book Antiqua" w:hAnsi="Book Antiqua" w:cs="Arial"/>
        </w:rPr>
        <w:t xml:space="preserve"> 0.0335, </w:t>
      </w:r>
      <w:r w:rsidR="00A3677B" w:rsidRPr="007345D5">
        <w:rPr>
          <w:rFonts w:ascii="Book Antiqua" w:hAnsi="Book Antiqua" w:cs="Arial"/>
        </w:rPr>
        <w:t>Figure</w:t>
      </w:r>
      <w:r w:rsidRPr="007345D5">
        <w:rPr>
          <w:rFonts w:ascii="Book Antiqua" w:hAnsi="Book Antiqua" w:cs="Arial"/>
        </w:rPr>
        <w:t xml:space="preserve"> 2B). There was also a statistically significant difference </w:t>
      </w:r>
      <w:r w:rsidR="00441E8D" w:rsidRPr="007345D5">
        <w:rPr>
          <w:rFonts w:ascii="Book Antiqua" w:hAnsi="Book Antiqua" w:cs="Arial"/>
        </w:rPr>
        <w:t>in</w:t>
      </w:r>
      <w:r w:rsidRPr="007345D5">
        <w:rPr>
          <w:rFonts w:ascii="Book Antiqua" w:hAnsi="Book Antiqua" w:cs="Arial"/>
        </w:rPr>
        <w:t xml:space="preserve"> the number of CTCs </w:t>
      </w:r>
      <w:r w:rsidR="00441E8D" w:rsidRPr="007345D5">
        <w:rPr>
          <w:rFonts w:ascii="Book Antiqua" w:hAnsi="Book Antiqua" w:cs="Arial"/>
        </w:rPr>
        <w:t>between</w:t>
      </w:r>
      <w:r w:rsidRPr="007345D5">
        <w:rPr>
          <w:rFonts w:ascii="Book Antiqua" w:hAnsi="Book Antiqua" w:cs="Arial"/>
        </w:rPr>
        <w:t xml:space="preserve"> samples from patients with N0 </w:t>
      </w:r>
      <w:r w:rsidR="00441E8D" w:rsidRPr="007345D5">
        <w:rPr>
          <w:rFonts w:ascii="Book Antiqua" w:hAnsi="Book Antiqua" w:cs="Arial"/>
        </w:rPr>
        <w:t>and</w:t>
      </w:r>
      <w:r w:rsidRPr="007345D5">
        <w:rPr>
          <w:rFonts w:ascii="Book Antiqua" w:hAnsi="Book Antiqua" w:cs="Arial"/>
        </w:rPr>
        <w:t xml:space="preserve"> those with N2 lymph node spread status (</w:t>
      </w:r>
      <w:r w:rsidR="00A07C26" w:rsidRPr="007345D5">
        <w:rPr>
          <w:rFonts w:ascii="Book Antiqua" w:hAnsi="Book Antiqua" w:cs="Arial"/>
          <w:i/>
        </w:rPr>
        <w:t>P =</w:t>
      </w:r>
      <w:r w:rsidRPr="007345D5">
        <w:rPr>
          <w:rFonts w:ascii="Book Antiqua" w:hAnsi="Book Antiqua" w:cs="Arial"/>
        </w:rPr>
        <w:t xml:space="preserve"> 0.0381, </w:t>
      </w:r>
      <w:r w:rsidR="00A3677B" w:rsidRPr="007345D5">
        <w:rPr>
          <w:rFonts w:ascii="Book Antiqua" w:hAnsi="Book Antiqua" w:cs="Arial"/>
        </w:rPr>
        <w:t>Figure</w:t>
      </w:r>
      <w:r w:rsidRPr="007345D5">
        <w:rPr>
          <w:rFonts w:ascii="Book Antiqua" w:hAnsi="Book Antiqua" w:cs="Arial"/>
        </w:rPr>
        <w:t xml:space="preserve"> 2C). However, there was no significant difference </w:t>
      </w:r>
      <w:r w:rsidR="00441E8D" w:rsidRPr="007345D5">
        <w:rPr>
          <w:rFonts w:ascii="Book Antiqua" w:hAnsi="Book Antiqua" w:cs="Arial"/>
        </w:rPr>
        <w:t>in</w:t>
      </w:r>
      <w:r w:rsidRPr="007345D5">
        <w:rPr>
          <w:rFonts w:ascii="Book Antiqua" w:hAnsi="Book Antiqua" w:cs="Arial"/>
        </w:rPr>
        <w:t xml:space="preserve"> the number of CTCs </w:t>
      </w:r>
      <w:r w:rsidR="00441E8D" w:rsidRPr="007345D5">
        <w:rPr>
          <w:rFonts w:ascii="Book Antiqua" w:hAnsi="Book Antiqua" w:cs="Arial"/>
        </w:rPr>
        <w:t>between</w:t>
      </w:r>
      <w:r w:rsidRPr="007345D5">
        <w:rPr>
          <w:rFonts w:ascii="Book Antiqua" w:hAnsi="Book Antiqua" w:cs="Arial"/>
        </w:rPr>
        <w:t xml:space="preserve"> samples from patients with distant metastases </w:t>
      </w:r>
      <w:r w:rsidR="00441E8D" w:rsidRPr="007345D5">
        <w:rPr>
          <w:rFonts w:ascii="Book Antiqua" w:hAnsi="Book Antiqua" w:cs="Arial"/>
        </w:rPr>
        <w:t>and</w:t>
      </w:r>
      <w:r w:rsidRPr="007345D5">
        <w:rPr>
          <w:rFonts w:ascii="Book Antiqua" w:hAnsi="Book Antiqua" w:cs="Arial"/>
        </w:rPr>
        <w:t xml:space="preserve"> those in which distant metastasis was absent (</w:t>
      </w:r>
      <w:r w:rsidR="00A07C26" w:rsidRPr="007345D5">
        <w:rPr>
          <w:rFonts w:ascii="Book Antiqua" w:hAnsi="Book Antiqua" w:cs="Arial"/>
          <w:i/>
        </w:rPr>
        <w:t>P =</w:t>
      </w:r>
      <w:r w:rsidRPr="007345D5">
        <w:rPr>
          <w:rFonts w:ascii="Book Antiqua" w:hAnsi="Book Antiqua" w:cs="Arial"/>
        </w:rPr>
        <w:t xml:space="preserve"> 0.4667, </w:t>
      </w:r>
      <w:r w:rsidR="00A3677B" w:rsidRPr="007345D5">
        <w:rPr>
          <w:rFonts w:ascii="Book Antiqua" w:hAnsi="Book Antiqua" w:cs="Arial"/>
        </w:rPr>
        <w:t>Figure</w:t>
      </w:r>
      <w:r w:rsidRPr="007345D5">
        <w:rPr>
          <w:rFonts w:ascii="Book Antiqua" w:hAnsi="Book Antiqua" w:cs="Arial"/>
        </w:rPr>
        <w:t xml:space="preserve"> 2D). The number of CTCs was also higher in samples from patients with lymphatic invasion, although there was no significant difference compared to patients without this clinical feature (</w:t>
      </w:r>
      <w:r w:rsidR="00A07C26" w:rsidRPr="007345D5">
        <w:rPr>
          <w:rFonts w:ascii="Book Antiqua" w:hAnsi="Book Antiqua" w:cs="Arial"/>
          <w:i/>
        </w:rPr>
        <w:t>P =</w:t>
      </w:r>
      <w:r w:rsidRPr="007345D5">
        <w:rPr>
          <w:rFonts w:ascii="Book Antiqua" w:hAnsi="Book Antiqua" w:cs="Arial"/>
        </w:rPr>
        <w:t xml:space="preserve"> 0.1297, </w:t>
      </w:r>
      <w:r w:rsidR="00A3677B" w:rsidRPr="007345D5">
        <w:rPr>
          <w:rFonts w:ascii="Book Antiqua" w:hAnsi="Book Antiqua" w:cs="Arial"/>
        </w:rPr>
        <w:t>Figure</w:t>
      </w:r>
      <w:r w:rsidRPr="007345D5">
        <w:rPr>
          <w:rFonts w:ascii="Book Antiqua" w:hAnsi="Book Antiqua" w:cs="Arial"/>
        </w:rPr>
        <w:t xml:space="preserve"> 2E). Similarly, </w:t>
      </w:r>
      <w:r w:rsidR="00441E8D" w:rsidRPr="007345D5">
        <w:rPr>
          <w:rFonts w:ascii="Book Antiqua" w:hAnsi="Book Antiqua" w:cs="Arial"/>
        </w:rPr>
        <w:t>although</w:t>
      </w:r>
      <w:r w:rsidRPr="007345D5">
        <w:rPr>
          <w:rFonts w:ascii="Book Antiqua" w:hAnsi="Book Antiqua" w:cs="Arial"/>
        </w:rPr>
        <w:t xml:space="preserve"> the number of CTCs in samples </w:t>
      </w:r>
      <w:r w:rsidRPr="007345D5">
        <w:rPr>
          <w:rFonts w:ascii="Book Antiqua" w:hAnsi="Book Antiqua" w:cs="Arial"/>
        </w:rPr>
        <w:lastRenderedPageBreak/>
        <w:t>from the patients with venous invasion w</w:t>
      </w:r>
      <w:r w:rsidR="00441E8D" w:rsidRPr="007345D5">
        <w:rPr>
          <w:rFonts w:ascii="Book Antiqua" w:hAnsi="Book Antiqua" w:cs="Arial"/>
        </w:rPr>
        <w:t>as</w:t>
      </w:r>
      <w:r w:rsidRPr="007345D5">
        <w:rPr>
          <w:rFonts w:ascii="Book Antiqua" w:hAnsi="Book Antiqua" w:cs="Arial"/>
        </w:rPr>
        <w:t xml:space="preserve"> higher than those in samples without this complication, the difference was not significant (</w:t>
      </w:r>
      <w:r w:rsidR="00A07C26" w:rsidRPr="007345D5">
        <w:rPr>
          <w:rFonts w:ascii="Book Antiqua" w:hAnsi="Book Antiqua" w:cs="Arial"/>
          <w:i/>
        </w:rPr>
        <w:t>P =</w:t>
      </w:r>
      <w:r w:rsidRPr="007345D5">
        <w:rPr>
          <w:rFonts w:ascii="Book Antiqua" w:hAnsi="Book Antiqua" w:cs="Arial"/>
        </w:rPr>
        <w:t xml:space="preserve"> 0.0558, </w:t>
      </w:r>
      <w:r w:rsidR="00A3677B" w:rsidRPr="007345D5">
        <w:rPr>
          <w:rFonts w:ascii="Book Antiqua" w:hAnsi="Book Antiqua" w:cs="Arial"/>
        </w:rPr>
        <w:t>Figure</w:t>
      </w:r>
      <w:r w:rsidRPr="007345D5">
        <w:rPr>
          <w:rFonts w:ascii="Book Antiqua" w:hAnsi="Book Antiqua" w:cs="Arial"/>
        </w:rPr>
        <w:t xml:space="preserve"> 2F). Finally, we observed no significant difference </w:t>
      </w:r>
      <w:r w:rsidR="00441E8D" w:rsidRPr="007345D5">
        <w:rPr>
          <w:rFonts w:ascii="Book Antiqua" w:hAnsi="Book Antiqua" w:cs="Arial"/>
        </w:rPr>
        <w:t>in</w:t>
      </w:r>
      <w:r w:rsidRPr="007345D5">
        <w:rPr>
          <w:rFonts w:ascii="Book Antiqua" w:hAnsi="Book Antiqua" w:cs="Arial"/>
        </w:rPr>
        <w:t xml:space="preserve"> the number of CTCs in samples from patients with differentiated tumours when compared to those with undifferentiated malignancies (</w:t>
      </w:r>
      <w:r w:rsidR="00A07C26" w:rsidRPr="007345D5">
        <w:rPr>
          <w:rFonts w:ascii="Book Antiqua" w:hAnsi="Book Antiqua" w:cs="Arial"/>
          <w:i/>
        </w:rPr>
        <w:t>P =</w:t>
      </w:r>
      <w:r w:rsidRPr="007345D5">
        <w:rPr>
          <w:rFonts w:ascii="Book Antiqua" w:hAnsi="Book Antiqua" w:cs="Arial"/>
        </w:rPr>
        <w:t xml:space="preserve"> 0.7752, </w:t>
      </w:r>
      <w:r w:rsidR="00A3677B" w:rsidRPr="007345D5">
        <w:rPr>
          <w:rFonts w:ascii="Book Antiqua" w:hAnsi="Book Antiqua" w:cs="Arial"/>
        </w:rPr>
        <w:t>Figure</w:t>
      </w:r>
      <w:r w:rsidRPr="007345D5">
        <w:rPr>
          <w:rFonts w:ascii="Book Antiqua" w:hAnsi="Book Antiqua" w:cs="Arial"/>
        </w:rPr>
        <w:t xml:space="preserve"> 2G).</w:t>
      </w:r>
    </w:p>
    <w:p w14:paraId="14670B6B"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502DBEA5" w14:textId="77777777"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Overall and relapse-free survival</w:t>
      </w:r>
    </w:p>
    <w:p w14:paraId="05F79151" w14:textId="7CC824B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The overall survival rate of patients who had more than five CTCs (66.2%) was lower than that of patients who had five or less CTCs (80.5%); however, this difference was not significant (</w:t>
      </w:r>
      <w:r w:rsidR="00A07C26" w:rsidRPr="007345D5">
        <w:rPr>
          <w:rFonts w:ascii="Book Antiqua" w:hAnsi="Book Antiqua"/>
          <w:i/>
          <w:sz w:val="24"/>
          <w:szCs w:val="24"/>
          <w:lang w:val="en-GB"/>
        </w:rPr>
        <w:t>P =</w:t>
      </w:r>
      <w:r w:rsidRPr="007345D5">
        <w:rPr>
          <w:rFonts w:ascii="Book Antiqua" w:eastAsia="MS PGothic" w:hAnsi="Book Antiqua" w:cs="Arial"/>
          <w:sz w:val="24"/>
          <w:szCs w:val="24"/>
          <w:lang w:val="en-GB"/>
        </w:rPr>
        <w:t xml:space="preserve"> 0.183, </w:t>
      </w:r>
      <w:r w:rsidR="00A3677B" w:rsidRPr="007345D5">
        <w:rPr>
          <w:rFonts w:ascii="Book Antiqua" w:eastAsia="MS PGothic" w:hAnsi="Book Antiqua" w:cs="Arial"/>
          <w:sz w:val="24"/>
          <w:szCs w:val="24"/>
          <w:lang w:val="en-GB"/>
        </w:rPr>
        <w:t>Figure</w:t>
      </w:r>
      <w:r w:rsidRPr="007345D5">
        <w:rPr>
          <w:rFonts w:ascii="Book Antiqua" w:eastAsia="MS PGothic" w:hAnsi="Book Antiqua" w:cs="Arial"/>
          <w:sz w:val="24"/>
          <w:szCs w:val="24"/>
          <w:lang w:val="en-GB"/>
        </w:rPr>
        <w:t xml:space="preserve"> 3A). The relapse-free survival rate of patients who had more than five CTCs (64.3%) was significantly lower than that of patients who had five or less CTCs (88.3%)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0.034, </w:t>
      </w:r>
      <w:r w:rsidR="00A3677B" w:rsidRPr="007345D5">
        <w:rPr>
          <w:rFonts w:ascii="Book Antiqua" w:eastAsia="MS PGothic" w:hAnsi="Book Antiqua" w:cs="Arial"/>
          <w:sz w:val="24"/>
          <w:szCs w:val="24"/>
          <w:lang w:val="en-GB"/>
        </w:rPr>
        <w:t>Figure</w:t>
      </w:r>
      <w:r w:rsidRPr="007345D5">
        <w:rPr>
          <w:rFonts w:ascii="Book Antiqua" w:eastAsia="MS PGothic" w:hAnsi="Book Antiqua" w:cs="Arial"/>
          <w:sz w:val="24"/>
          <w:szCs w:val="24"/>
          <w:lang w:val="en-GB"/>
        </w:rPr>
        <w:t xml:space="preserve"> 3B). </w:t>
      </w:r>
    </w:p>
    <w:p w14:paraId="058E8DF2"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48E83543" w14:textId="77777777" w:rsidR="00C1732C" w:rsidRPr="007345D5" w:rsidRDefault="00C1732C" w:rsidP="00570508">
      <w:pPr>
        <w:pStyle w:val="CommentTextChar"/>
        <w:adjustRightInd w:val="0"/>
        <w:snapToGrid w:val="0"/>
        <w:spacing w:line="360" w:lineRule="auto"/>
        <w:rPr>
          <w:rFonts w:ascii="Book Antiqua" w:eastAsia="MS PGothic" w:hAnsi="Book Antiqua" w:cs="Arial"/>
          <w:i/>
          <w:sz w:val="24"/>
          <w:szCs w:val="24"/>
          <w:lang w:val="en-GB"/>
        </w:rPr>
      </w:pPr>
      <w:r w:rsidRPr="007345D5">
        <w:rPr>
          <w:rFonts w:ascii="Book Antiqua" w:eastAsia="MS PGothic" w:hAnsi="Book Antiqua" w:cs="Arial"/>
          <w:b/>
          <w:bCs/>
          <w:i/>
          <w:sz w:val="24"/>
          <w:szCs w:val="24"/>
          <w:lang w:val="en-GB"/>
        </w:rPr>
        <w:t>Prognostic factor for survival</w:t>
      </w:r>
    </w:p>
    <w:p w14:paraId="0F501599" w14:textId="69DD6065"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We investigated prognostic factors related to patient survival by using Cox proportional hazards analysis. Univariate analysis showed that fStage was, in some cases, a significant factor (fStage II, </w:t>
      </w:r>
      <w:r w:rsidR="00A07C26" w:rsidRPr="007345D5">
        <w:rPr>
          <w:rFonts w:ascii="Book Antiqua" w:eastAsia="MS PGothic" w:hAnsi="Book Antiqua" w:cs="Arial"/>
          <w:i/>
          <w:sz w:val="24"/>
          <w:szCs w:val="24"/>
          <w:lang w:val="en-GB"/>
        </w:rPr>
        <w:t>P =</w:t>
      </w:r>
      <w:r w:rsidRPr="007345D5">
        <w:rPr>
          <w:rFonts w:ascii="Book Antiqua" w:eastAsia="MS PGothic" w:hAnsi="Book Antiqua" w:cs="Arial"/>
          <w:sz w:val="24"/>
          <w:szCs w:val="24"/>
          <w:lang w:val="en-GB"/>
        </w:rPr>
        <w:t xml:space="preserve"> 0.196; fStage III,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0.0003; fStage IV, </w:t>
      </w:r>
      <w:r w:rsidR="00A3677B" w:rsidRPr="007345D5">
        <w:rPr>
          <w:rFonts w:ascii="Book Antiqua" w:hAnsi="Book Antiqua" w:cs="Arial"/>
          <w:i/>
          <w:sz w:val="24"/>
          <w:szCs w:val="24"/>
          <w:lang w:val="en-GB"/>
        </w:rPr>
        <w:t>P</w:t>
      </w:r>
      <w:r w:rsidRPr="007345D5">
        <w:rPr>
          <w:rFonts w:ascii="Book Antiqua" w:eastAsia="MS PGothic" w:hAnsi="Book Antiqua" w:cs="Arial"/>
          <w:sz w:val="24"/>
          <w:szCs w:val="24"/>
          <w:lang w:val="en-GB"/>
        </w:rPr>
        <w:t xml:space="preserve"> </w:t>
      </w:r>
      <w:r w:rsidRPr="007345D5">
        <w:rPr>
          <w:rFonts w:ascii="Book Antiqua" w:hAnsi="Book Antiqua"/>
          <w:sz w:val="24"/>
          <w:szCs w:val="24"/>
          <w:lang w:val="en-GB"/>
        </w:rPr>
        <w:t>&lt; 0.0001</w:t>
      </w:r>
      <w:r w:rsidRPr="007345D5">
        <w:rPr>
          <w:rFonts w:ascii="Book Antiqua" w:eastAsia="MS PGothic" w:hAnsi="Book Antiqua" w:cs="Arial"/>
          <w:sz w:val="24"/>
          <w:szCs w:val="24"/>
          <w:lang w:val="en-GB"/>
        </w:rPr>
        <w:t>). In contrast, the presence of more than five CTCs was not a significant factor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0.183). Multivariate analysis including these two factors showed fStage to be the only significant factor (fStage II,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0.182; fStage III,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0.0004; fStage IV, </w:t>
      </w:r>
      <w:r w:rsidR="00A3677B" w:rsidRPr="007345D5">
        <w:rPr>
          <w:rFonts w:ascii="Book Antiqua" w:hAnsi="Book Antiqua" w:cs="Arial"/>
          <w:i/>
          <w:sz w:val="24"/>
          <w:szCs w:val="24"/>
          <w:lang w:val="en-GB"/>
        </w:rPr>
        <w:t>P</w:t>
      </w:r>
      <w:r w:rsidRPr="007345D5">
        <w:rPr>
          <w:rFonts w:ascii="Book Antiqua" w:eastAsia="MS PGothic" w:hAnsi="Book Antiqua" w:cs="Arial"/>
          <w:sz w:val="24"/>
          <w:szCs w:val="24"/>
          <w:lang w:val="en-GB"/>
        </w:rPr>
        <w:t xml:space="preserve"> </w:t>
      </w:r>
      <w:r w:rsidRPr="007345D5">
        <w:rPr>
          <w:rFonts w:ascii="Book Antiqua" w:hAnsi="Book Antiqua"/>
          <w:sz w:val="24"/>
          <w:szCs w:val="24"/>
          <w:lang w:val="en-GB"/>
        </w:rPr>
        <w:t>&lt; 0.0001</w:t>
      </w:r>
      <w:r w:rsidRPr="007345D5">
        <w:rPr>
          <w:rFonts w:ascii="Book Antiqua" w:eastAsia="MS PGothic" w:hAnsi="Book Antiqua" w:cs="Arial"/>
          <w:sz w:val="24"/>
          <w:szCs w:val="24"/>
          <w:lang w:val="en-GB"/>
        </w:rPr>
        <w:t>), and the number of CTCs (more than five) to be non-significant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0.847) (Table 2). </w:t>
      </w:r>
    </w:p>
    <w:p w14:paraId="0E594249"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1150AABC" w14:textId="77777777" w:rsidR="00C1732C" w:rsidRPr="007345D5" w:rsidRDefault="00C1732C" w:rsidP="00570508">
      <w:pPr>
        <w:pStyle w:val="CommentTextChar"/>
        <w:adjustRightInd w:val="0"/>
        <w:snapToGrid w:val="0"/>
        <w:spacing w:line="360" w:lineRule="auto"/>
        <w:rPr>
          <w:rFonts w:ascii="Book Antiqua" w:eastAsia="MS PGothic" w:hAnsi="Book Antiqua" w:cs="Arial"/>
          <w:b/>
          <w:i/>
          <w:sz w:val="24"/>
          <w:szCs w:val="24"/>
          <w:lang w:val="en-GB"/>
        </w:rPr>
      </w:pPr>
      <w:r w:rsidRPr="007345D5">
        <w:rPr>
          <w:rFonts w:ascii="Book Antiqua" w:eastAsia="MS PGothic" w:hAnsi="Book Antiqua" w:cs="Arial"/>
          <w:b/>
          <w:i/>
          <w:sz w:val="24"/>
          <w:szCs w:val="24"/>
          <w:lang w:val="en-GB"/>
        </w:rPr>
        <w:t>Risk factor for relapse after curative surgery</w:t>
      </w:r>
    </w:p>
    <w:p w14:paraId="5EB2BB52" w14:textId="02697DC1"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We also investigated factors for increased risk of relapse by Cox proportional hazards analysis. Univariate analysis showed </w:t>
      </w:r>
      <w:r w:rsidR="00441E8D" w:rsidRPr="007345D5">
        <w:rPr>
          <w:rFonts w:ascii="Book Antiqua" w:eastAsia="MS PGothic" w:hAnsi="Book Antiqua" w:cs="Arial"/>
          <w:sz w:val="24"/>
          <w:szCs w:val="24"/>
          <w:lang w:val="en-GB"/>
        </w:rPr>
        <w:t xml:space="preserve">that </w:t>
      </w:r>
      <w:r w:rsidRPr="007345D5">
        <w:rPr>
          <w:rFonts w:ascii="Book Antiqua" w:eastAsia="MS PGothic" w:hAnsi="Book Antiqua" w:cs="Arial"/>
          <w:sz w:val="24"/>
          <w:szCs w:val="24"/>
          <w:lang w:val="en-GB"/>
        </w:rPr>
        <w:t xml:space="preserve">certain fStages were significant risk factors (fStage II,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0.337; fStage III,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0.0001; fStage IV,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0.005). However, the presence of more than 5 CTCs had no significant influence on relapse rates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0.052). Multivariate analysis including these two factors </w:t>
      </w:r>
      <w:r w:rsidRPr="007345D5">
        <w:rPr>
          <w:rFonts w:ascii="Book Antiqua" w:eastAsia="MS PGothic" w:hAnsi="Book Antiqua" w:cs="Arial"/>
          <w:sz w:val="24"/>
          <w:szCs w:val="24"/>
          <w:lang w:val="en-GB"/>
        </w:rPr>
        <w:lastRenderedPageBreak/>
        <w:t xml:space="preserve">showed fStage to be the only significant factor (fStage II, </w:t>
      </w:r>
      <w:r w:rsidR="00A07C26" w:rsidRPr="007345D5">
        <w:rPr>
          <w:rFonts w:ascii="Book Antiqua" w:eastAsia="MS PGothic" w:hAnsi="Book Antiqua" w:cs="Arial"/>
          <w:i/>
          <w:sz w:val="24"/>
          <w:szCs w:val="24"/>
          <w:lang w:val="en-GB"/>
        </w:rPr>
        <w:t>P =</w:t>
      </w:r>
      <w:r w:rsidRPr="007345D5">
        <w:rPr>
          <w:rFonts w:ascii="Book Antiqua" w:eastAsia="MS PGothic" w:hAnsi="Book Antiqua" w:cs="Arial"/>
          <w:sz w:val="24"/>
          <w:szCs w:val="24"/>
          <w:lang w:val="en-GB"/>
        </w:rPr>
        <w:t xml:space="preserve"> 0.343; fStage III,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0.001; fStage IV, </w:t>
      </w:r>
      <w:r w:rsidR="00A07C26" w:rsidRPr="007345D5">
        <w:rPr>
          <w:rFonts w:ascii="Book Antiqua" w:hAnsi="Book Antiqua" w:cs="Arial"/>
          <w:i/>
          <w:sz w:val="24"/>
          <w:szCs w:val="24"/>
          <w:lang w:val="en-GB"/>
        </w:rPr>
        <w:t>P =</w:t>
      </w:r>
      <w:r w:rsidRPr="007345D5">
        <w:rPr>
          <w:rFonts w:ascii="Book Antiqua" w:hAnsi="Book Antiqua"/>
          <w:sz w:val="24"/>
          <w:szCs w:val="24"/>
          <w:lang w:val="en-GB"/>
        </w:rPr>
        <w:t xml:space="preserve"> 0.004</w:t>
      </w:r>
      <w:r w:rsidRPr="007345D5">
        <w:rPr>
          <w:rFonts w:ascii="Book Antiqua" w:eastAsia="MS PGothic" w:hAnsi="Book Antiqua" w:cs="Arial"/>
          <w:sz w:val="24"/>
          <w:szCs w:val="24"/>
          <w:lang w:val="en-GB"/>
        </w:rPr>
        <w:t>), whereas the number of CTCs was non-significant (</w:t>
      </w:r>
      <w:r w:rsidR="00A07C26" w:rsidRPr="007345D5">
        <w:rPr>
          <w:rFonts w:ascii="Book Antiqua" w:hAnsi="Book Antiqua" w:cs="Arial"/>
          <w:i/>
          <w:sz w:val="24"/>
          <w:szCs w:val="24"/>
          <w:lang w:val="en-GB"/>
        </w:rPr>
        <w:t>P =</w:t>
      </w:r>
      <w:r w:rsidRPr="007345D5">
        <w:rPr>
          <w:rFonts w:ascii="Book Antiqua" w:eastAsia="MS PGothic" w:hAnsi="Book Antiqua" w:cs="Arial"/>
          <w:sz w:val="24"/>
          <w:szCs w:val="24"/>
          <w:lang w:val="en-GB"/>
        </w:rPr>
        <w:t xml:space="preserve"> 0.350, Table 3). </w:t>
      </w:r>
    </w:p>
    <w:p w14:paraId="09C92E81" w14:textId="77777777"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lang w:val="en-GB"/>
        </w:rPr>
      </w:pPr>
    </w:p>
    <w:p w14:paraId="0609CC0E" w14:textId="77777777" w:rsidR="00C1732C" w:rsidRPr="007345D5" w:rsidRDefault="00C1732C"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MS PGothic" w:hAnsi="Book Antiqua" w:cs="Arial"/>
          <w:b/>
          <w:sz w:val="24"/>
          <w:szCs w:val="24"/>
          <w:lang w:val="en-GB"/>
        </w:rPr>
        <w:t>DISCUSSION</w:t>
      </w:r>
    </w:p>
    <w:p w14:paraId="40E5E99C" w14:textId="7B65A3B2" w:rsidR="00C1732C" w:rsidRPr="007345D5" w:rsidRDefault="00C1732C" w:rsidP="00570508">
      <w:pPr>
        <w:pStyle w:val="CommentTextChar"/>
        <w:adjustRightInd w:val="0"/>
        <w:snapToGrid w:val="0"/>
        <w:spacing w:line="360" w:lineRule="auto"/>
        <w:rPr>
          <w:rFonts w:ascii="Book Antiqua" w:eastAsia="MS PGothic" w:hAnsi="Book Antiqua" w:cs="Arial"/>
          <w:sz w:val="24"/>
          <w:szCs w:val="24"/>
          <w:shd w:val="pct15" w:color="auto" w:fill="FFFFFF"/>
          <w:lang w:val="en-GB"/>
        </w:rPr>
      </w:pPr>
      <w:r w:rsidRPr="007345D5">
        <w:rPr>
          <w:rFonts w:ascii="Book Antiqua" w:eastAsia="MS PGothic" w:hAnsi="Book Antiqua" w:cs="Arial"/>
          <w:sz w:val="24"/>
          <w:szCs w:val="24"/>
          <w:lang w:val="en-GB"/>
        </w:rPr>
        <w:t>Here, we used a telomerase-specific adenoviral agent to detect CTCs to avoid relying on the heterogeneous expression of epithelial markers in CTCs undergoing EMT. The enumeration of CTCs is particularly important in gastric cancer, which is the second leading cause of cancer-related death worldwide. Our current data indicate that detection of CTCs may indeed be a useful prognostic indicator for use in patients with gastric cancer</w:t>
      </w:r>
      <w:r w:rsidR="005B34A3" w:rsidRPr="007345D5">
        <w:rPr>
          <w:rFonts w:ascii="Book Antiqua" w:eastAsia="MS PGothic" w:hAnsi="Book Antiqua" w:cs="Arial"/>
          <w:sz w:val="24"/>
          <w:szCs w:val="24"/>
          <w:lang w:val="en-GB"/>
        </w:rPr>
        <w:t xml:space="preserve">, and </w:t>
      </w:r>
      <w:r w:rsidR="00197918" w:rsidRPr="007345D5">
        <w:rPr>
          <w:rFonts w:ascii="Book Antiqua" w:eastAsia="MS PGothic" w:hAnsi="Book Antiqua" w:cs="Arial"/>
          <w:sz w:val="24"/>
          <w:szCs w:val="24"/>
          <w:lang w:val="en-GB"/>
        </w:rPr>
        <w:t>are consistent with</w:t>
      </w:r>
      <w:r w:rsidR="005B34A3" w:rsidRPr="007345D5">
        <w:rPr>
          <w:rFonts w:ascii="Book Antiqua" w:eastAsia="MS PGothic" w:hAnsi="Book Antiqua" w:cs="Arial"/>
          <w:sz w:val="24"/>
          <w:szCs w:val="24"/>
          <w:lang w:val="en-GB"/>
        </w:rPr>
        <w:t xml:space="preserve"> </w:t>
      </w:r>
      <w:r w:rsidR="00197918" w:rsidRPr="007345D5">
        <w:rPr>
          <w:rFonts w:ascii="Book Antiqua" w:eastAsia="MS PGothic" w:hAnsi="Book Antiqua" w:cs="Arial"/>
          <w:sz w:val="24"/>
          <w:szCs w:val="24"/>
          <w:lang w:val="en-GB"/>
        </w:rPr>
        <w:t>previous reports</w:t>
      </w:r>
      <w:r w:rsidR="005B34A3" w:rsidRPr="007345D5">
        <w:rPr>
          <w:rFonts w:ascii="Book Antiqua" w:eastAsia="MS PGothic" w:hAnsi="Book Antiqua" w:cs="Arial"/>
          <w:sz w:val="24"/>
          <w:szCs w:val="24"/>
          <w:vertAlign w:val="superscript"/>
          <w:lang w:val="en-GB"/>
        </w:rPr>
        <w:t>[</w:t>
      </w:r>
      <w:r w:rsidR="006B5193" w:rsidRPr="007345D5">
        <w:rPr>
          <w:rFonts w:ascii="Book Antiqua" w:eastAsia="MS PGothic" w:hAnsi="Book Antiqua" w:cs="Arial"/>
          <w:sz w:val="24"/>
          <w:szCs w:val="24"/>
          <w:vertAlign w:val="superscript"/>
          <w:lang w:val="en-GB"/>
        </w:rPr>
        <w:t>2</w:t>
      </w:r>
      <w:r w:rsidR="00B86DE8" w:rsidRPr="007345D5">
        <w:rPr>
          <w:rFonts w:ascii="Book Antiqua" w:eastAsia="MS PGothic" w:hAnsi="Book Antiqua" w:cs="Arial"/>
          <w:sz w:val="24"/>
          <w:szCs w:val="24"/>
          <w:vertAlign w:val="superscript"/>
          <w:lang w:val="en-GB"/>
        </w:rPr>
        <w:t>4,25</w:t>
      </w:r>
      <w:r w:rsidR="005B34A3"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w:t>
      </w:r>
    </w:p>
    <w:p w14:paraId="4F3FEC2C" w14:textId="58FF3208" w:rsidR="00C1732C" w:rsidRPr="007345D5" w:rsidRDefault="00C1732C" w:rsidP="00570508">
      <w:pPr>
        <w:pStyle w:val="CommentTextChar"/>
        <w:adjustRightInd w:val="0"/>
        <w:snapToGrid w:val="0"/>
        <w:spacing w:line="360" w:lineRule="auto"/>
        <w:ind w:firstLineChars="100" w:firstLine="240"/>
        <w:rPr>
          <w:rFonts w:ascii="Book Antiqua" w:eastAsia="MS PGothic" w:hAnsi="Book Antiqua" w:cs="Arial"/>
          <w:sz w:val="24"/>
          <w:szCs w:val="24"/>
          <w:lang w:val="en-GB"/>
        </w:rPr>
      </w:pPr>
      <w:r w:rsidRPr="007345D5">
        <w:rPr>
          <w:rFonts w:ascii="Book Antiqua" w:eastAsia="MS PGothic" w:hAnsi="Book Antiqua" w:cs="Arial"/>
          <w:sz w:val="24"/>
          <w:szCs w:val="24"/>
          <w:lang w:val="en-GB"/>
        </w:rPr>
        <w:t xml:space="preserve">Our previous preliminary study showed that the number of CTCs isolated from cancer patients was related to surgical and pathological disease progression. Specifically, there were more CTCs in samples from patients with Stage III than in those with Stage I disease. The CTC count was also higher in patients with tumour depth T4 than in those with T1, and in individuals with lymph node metastasis status N2 versus those with N0. In addition, we found that the number of CTCs was associated with disease stage and relapse after curative surgery in gastric cancer patients. In the current study, the relapse-free survival rate of patients who had more than five CTCs was significantly lower than that of patients who had five or less. The overall survival rate of patients with more than five CTCs tended to be lower than that of the patients with five or less; in this case, however, the difference was not statistically significant. The number of CTCs was not an independent risk factor for either overall or relapse-free survival. However, we suggest this may be due to the relatively small sample size we studied, and that examination of larger cohorts might reveal a more significant impact of CTC number on these clinical parameters. Cancer stem cells (CSCs) in the blood of cancer patients are increasingly viewed </w:t>
      </w:r>
      <w:r w:rsidRPr="007345D5">
        <w:rPr>
          <w:rFonts w:ascii="Book Antiqua" w:eastAsia="MS PGothic" w:hAnsi="Book Antiqua" w:cs="Arial"/>
          <w:sz w:val="24"/>
          <w:szCs w:val="24"/>
          <w:lang w:val="en-GB"/>
        </w:rPr>
        <w:lastRenderedPageBreak/>
        <w:t>as important determinants of cancer metastasis</w:t>
      </w:r>
      <w:r w:rsidRPr="007345D5">
        <w:rPr>
          <w:rFonts w:ascii="Book Antiqua" w:eastAsia="MS PGothic" w:hAnsi="Book Antiqua" w:cs="Arial"/>
          <w:sz w:val="24"/>
          <w:szCs w:val="24"/>
          <w:vertAlign w:val="superscript"/>
          <w:lang w:val="en-GB"/>
        </w:rPr>
        <w:t>[2</w:t>
      </w:r>
      <w:r w:rsidR="00B86DE8" w:rsidRPr="007345D5">
        <w:rPr>
          <w:rFonts w:ascii="Book Antiqua" w:eastAsia="MS PGothic" w:hAnsi="Book Antiqua" w:cs="Arial"/>
          <w:sz w:val="24"/>
          <w:szCs w:val="24"/>
          <w:vertAlign w:val="superscript"/>
          <w:lang w:val="en-GB"/>
        </w:rPr>
        <w:t>6,27</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xml:space="preserve"> and prognosis</w:t>
      </w:r>
      <w:r w:rsidRPr="007345D5">
        <w:rPr>
          <w:rFonts w:ascii="Book Antiqua" w:eastAsia="MS PGothic" w:hAnsi="Book Antiqua" w:cs="Arial"/>
          <w:sz w:val="24"/>
          <w:szCs w:val="24"/>
          <w:vertAlign w:val="superscript"/>
          <w:lang w:val="en-GB"/>
        </w:rPr>
        <w:t>[</w:t>
      </w:r>
      <w:r w:rsidR="00CE61F1" w:rsidRPr="007345D5">
        <w:rPr>
          <w:rFonts w:ascii="Book Antiqua" w:eastAsia="MS PGothic" w:hAnsi="Book Antiqua" w:cs="Arial"/>
          <w:sz w:val="24"/>
          <w:szCs w:val="24"/>
          <w:vertAlign w:val="superscript"/>
          <w:lang w:val="en-GB"/>
        </w:rPr>
        <w:t>2</w:t>
      </w:r>
      <w:r w:rsidR="00B86DE8" w:rsidRPr="007345D5">
        <w:rPr>
          <w:rFonts w:ascii="Book Antiqua" w:eastAsia="MS PGothic" w:hAnsi="Book Antiqua" w:cs="Arial"/>
          <w:sz w:val="24"/>
          <w:szCs w:val="24"/>
          <w:vertAlign w:val="superscript"/>
          <w:lang w:val="en-GB"/>
        </w:rPr>
        <w:t>8</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Given that CSCs have high telomerase activity, and share many of the molecular hallmarks of EMT</w:t>
      </w:r>
      <w:r w:rsidRPr="007345D5">
        <w:rPr>
          <w:rFonts w:ascii="Book Antiqua" w:eastAsia="MS PGothic" w:hAnsi="Book Antiqua" w:cs="Arial"/>
          <w:sz w:val="24"/>
          <w:szCs w:val="24"/>
          <w:vertAlign w:val="superscript"/>
          <w:lang w:val="en-GB"/>
        </w:rPr>
        <w:t>[</w:t>
      </w:r>
      <w:r w:rsidR="00CE61F1" w:rsidRPr="007345D5">
        <w:rPr>
          <w:rFonts w:ascii="Book Antiqua" w:eastAsia="MS PGothic" w:hAnsi="Book Antiqua" w:cs="Arial"/>
          <w:sz w:val="24"/>
          <w:szCs w:val="24"/>
          <w:vertAlign w:val="superscript"/>
          <w:lang w:val="en-GB"/>
        </w:rPr>
        <w:t>2</w:t>
      </w:r>
      <w:r w:rsidR="00B86DE8" w:rsidRPr="007345D5">
        <w:rPr>
          <w:rFonts w:ascii="Book Antiqua" w:eastAsia="MS PGothic" w:hAnsi="Book Antiqua" w:cs="Arial"/>
          <w:sz w:val="24"/>
          <w:szCs w:val="24"/>
          <w:vertAlign w:val="superscript"/>
          <w:lang w:val="en-GB"/>
        </w:rPr>
        <w:t>9</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we suggest that ou</w:t>
      </w:r>
      <w:r w:rsidR="00C7312D" w:rsidRPr="007345D5">
        <w:rPr>
          <w:rFonts w:ascii="Book Antiqua" w:eastAsia="MS PGothic" w:hAnsi="Book Antiqua" w:cs="Arial"/>
          <w:sz w:val="24"/>
          <w:szCs w:val="24"/>
          <w:lang w:val="en-GB"/>
        </w:rPr>
        <w:t>r</w:t>
      </w:r>
      <w:r w:rsidRPr="007345D5">
        <w:rPr>
          <w:rFonts w:ascii="Book Antiqua" w:eastAsia="MS PGothic" w:hAnsi="Book Antiqua" w:cs="Arial"/>
          <w:sz w:val="24"/>
          <w:szCs w:val="24"/>
          <w:lang w:val="en-GB"/>
        </w:rPr>
        <w:t xml:space="preserve"> CTC assay could be used to detect both CSCs and CTCs during EMT.</w:t>
      </w:r>
    </w:p>
    <w:p w14:paraId="62544067" w14:textId="7D369FCA" w:rsidR="00C1732C" w:rsidRPr="007345D5" w:rsidRDefault="00C1732C" w:rsidP="00570508">
      <w:pPr>
        <w:pStyle w:val="CommentTextChar"/>
        <w:adjustRightInd w:val="0"/>
        <w:snapToGrid w:val="0"/>
        <w:spacing w:line="360" w:lineRule="auto"/>
        <w:ind w:firstLineChars="100" w:firstLine="240"/>
        <w:rPr>
          <w:rFonts w:ascii="Book Antiqua" w:eastAsia="MS PGothic" w:hAnsi="Book Antiqua" w:cs="Arial"/>
          <w:sz w:val="24"/>
          <w:szCs w:val="24"/>
          <w:lang w:val="en-GB"/>
        </w:rPr>
      </w:pPr>
      <w:r w:rsidRPr="007345D5">
        <w:rPr>
          <w:rFonts w:ascii="Book Antiqua" w:eastAsia="MS PGothic" w:hAnsi="Book Antiqua" w:cs="Arial"/>
          <w:sz w:val="24"/>
          <w:szCs w:val="24"/>
          <w:lang w:val="en-GB"/>
        </w:rPr>
        <w:t>One limitation of our study is that we could not achieve maximal sensitivity and specificity with regard to CTC detection. The definition of CTCs in this study was based on the threshold of GFP fluorescence intensity and cell diameter. However, these criteria resulted in a significant overlap between the</w:t>
      </w:r>
      <w:r w:rsidR="00C7312D" w:rsidRPr="007345D5">
        <w:rPr>
          <w:rFonts w:ascii="Book Antiqua" w:eastAsia="MS PGothic" w:hAnsi="Book Antiqua" w:cs="Arial"/>
          <w:sz w:val="24"/>
          <w:szCs w:val="24"/>
          <w:lang w:val="en-GB"/>
        </w:rPr>
        <w:t xml:space="preserve"> data</w:t>
      </w:r>
      <w:r w:rsidRPr="007345D5">
        <w:rPr>
          <w:rFonts w:ascii="Book Antiqua" w:eastAsia="MS PGothic" w:hAnsi="Book Antiqua" w:cs="Arial"/>
          <w:sz w:val="24"/>
          <w:szCs w:val="24"/>
          <w:lang w:val="en-GB"/>
        </w:rPr>
        <w:t xml:space="preserve"> of healthy volunteers and </w:t>
      </w:r>
      <w:r w:rsidR="00C7312D" w:rsidRPr="007345D5">
        <w:rPr>
          <w:rFonts w:ascii="Book Antiqua" w:eastAsia="MS PGothic" w:hAnsi="Book Antiqua" w:cs="Arial"/>
          <w:sz w:val="24"/>
          <w:szCs w:val="24"/>
          <w:lang w:val="en-GB"/>
        </w:rPr>
        <w:t xml:space="preserve">those </w:t>
      </w:r>
      <w:r w:rsidRPr="007345D5">
        <w:rPr>
          <w:rFonts w:ascii="Book Antiqua" w:eastAsia="MS PGothic" w:hAnsi="Book Antiqua" w:cs="Arial"/>
          <w:sz w:val="24"/>
          <w:szCs w:val="24"/>
          <w:lang w:val="en-GB"/>
        </w:rPr>
        <w:t>of cancer patients. More studies that compare healthy individuals with a larger population of patients with different cancer types are needed</w:t>
      </w:r>
      <w:r w:rsidR="00C7312D" w:rsidRPr="007345D5">
        <w:rPr>
          <w:rFonts w:ascii="Book Antiqua" w:eastAsia="MS PGothic" w:hAnsi="Book Antiqua" w:cs="Arial"/>
          <w:sz w:val="24"/>
          <w:szCs w:val="24"/>
          <w:lang w:val="en-GB"/>
        </w:rPr>
        <w:t xml:space="preserve"> </w:t>
      </w:r>
      <w:r w:rsidRPr="007345D5">
        <w:rPr>
          <w:rFonts w:ascii="Book Antiqua" w:eastAsia="MS PGothic" w:hAnsi="Book Antiqua" w:cs="Arial"/>
          <w:sz w:val="24"/>
          <w:szCs w:val="24"/>
          <w:lang w:val="en-GB"/>
        </w:rPr>
        <w:t xml:space="preserve">to clarify the suitability of CTC detection for clinical use. Another limitation of our study was that we did not determine the metastatic potential of </w:t>
      </w:r>
      <w:r w:rsidR="00C7312D" w:rsidRPr="007345D5">
        <w:rPr>
          <w:rFonts w:ascii="Book Antiqua" w:eastAsia="MS PGothic" w:hAnsi="Book Antiqua" w:cs="Arial"/>
          <w:sz w:val="24"/>
          <w:szCs w:val="24"/>
          <w:lang w:val="en-GB"/>
        </w:rPr>
        <w:t xml:space="preserve">the </w:t>
      </w:r>
      <w:r w:rsidRPr="007345D5">
        <w:rPr>
          <w:rFonts w:ascii="Book Antiqua" w:eastAsia="MS PGothic" w:hAnsi="Book Antiqua" w:cs="Arial"/>
          <w:sz w:val="24"/>
          <w:szCs w:val="24"/>
          <w:lang w:val="en-GB"/>
        </w:rPr>
        <w:t>CTCs that we detected. Ideally, the functions of CTCs should be analysed after cell sorting, and CTCs with metastatic potential could be identified using additional tools such as DNA ploidy analysis</w:t>
      </w:r>
      <w:r w:rsidRPr="007345D5">
        <w:rPr>
          <w:rFonts w:ascii="Book Antiqua" w:eastAsia="MS PGothic" w:hAnsi="Book Antiqua" w:cs="Arial"/>
          <w:sz w:val="24"/>
          <w:szCs w:val="24"/>
          <w:vertAlign w:val="superscript"/>
          <w:lang w:val="en-GB"/>
        </w:rPr>
        <w:t>[</w:t>
      </w:r>
      <w:r w:rsidR="00B86DE8" w:rsidRPr="007345D5">
        <w:rPr>
          <w:rFonts w:ascii="Book Antiqua" w:eastAsia="MS PGothic" w:hAnsi="Book Antiqua" w:cs="Arial"/>
          <w:sz w:val="24"/>
          <w:szCs w:val="24"/>
          <w:vertAlign w:val="superscript"/>
          <w:lang w:val="en-GB"/>
        </w:rPr>
        <w:t>30,31</w:t>
      </w:r>
      <w:r w:rsidRPr="007345D5">
        <w:rPr>
          <w:rFonts w:ascii="Book Antiqua" w:eastAsia="MS PGothic" w:hAnsi="Book Antiqua" w:cs="Arial"/>
          <w:sz w:val="24"/>
          <w:szCs w:val="24"/>
          <w:vertAlign w:val="superscript"/>
          <w:lang w:val="en-GB"/>
        </w:rPr>
        <w:t>]</w:t>
      </w:r>
      <w:r w:rsidRPr="007345D5">
        <w:rPr>
          <w:rFonts w:ascii="Book Antiqua" w:eastAsia="MS PGothic" w:hAnsi="Book Antiqua" w:cs="Arial"/>
          <w:sz w:val="24"/>
          <w:szCs w:val="24"/>
          <w:lang w:val="en-GB"/>
        </w:rPr>
        <w:t>. Furthermore, gene expression profiling of CTCs, primary tumours, and metastatic tumours will also provide important insight into the mechanisms responsible for cancer metastasis. In summary, CTCs are useful predictors of disease progression in gastric cancer patients, but they do not constitute an independent prognostic factor.</w:t>
      </w:r>
    </w:p>
    <w:p w14:paraId="6075AB01" w14:textId="104D3416" w:rsidR="00C1732C" w:rsidRPr="007345D5" w:rsidRDefault="00A3677B" w:rsidP="00570508">
      <w:pPr>
        <w:pStyle w:val="CommentTextChar"/>
        <w:adjustRightInd w:val="0"/>
        <w:snapToGrid w:val="0"/>
        <w:spacing w:line="360" w:lineRule="auto"/>
        <w:ind w:firstLineChars="100" w:firstLine="240"/>
        <w:rPr>
          <w:rFonts w:ascii="Book Antiqua" w:eastAsia="MS PGothic" w:hAnsi="Book Antiqua" w:cs="Arial"/>
          <w:sz w:val="24"/>
          <w:szCs w:val="24"/>
          <w:lang w:val="en-GB"/>
        </w:rPr>
      </w:pPr>
      <w:r w:rsidRPr="007345D5">
        <w:rPr>
          <w:rFonts w:ascii="Book Antiqua" w:eastAsia="SimSun" w:hAnsi="Book Antiqua" w:cs="Arial"/>
          <w:sz w:val="24"/>
          <w:szCs w:val="24"/>
          <w:lang w:val="en-GB" w:eastAsia="zh-CN"/>
        </w:rPr>
        <w:t>In c</w:t>
      </w:r>
      <w:r w:rsidR="00C1732C" w:rsidRPr="007345D5">
        <w:rPr>
          <w:rFonts w:ascii="Book Antiqua" w:eastAsia="MS PGothic" w:hAnsi="Book Antiqua" w:cs="Arial"/>
          <w:sz w:val="24"/>
          <w:szCs w:val="24"/>
          <w:lang w:val="en-GB"/>
        </w:rPr>
        <w:t>onclusions</w:t>
      </w:r>
      <w:r w:rsidRPr="007345D5">
        <w:rPr>
          <w:rFonts w:ascii="Book Antiqua" w:eastAsia="SimSun" w:hAnsi="Book Antiqua" w:cs="Arial"/>
          <w:sz w:val="24"/>
          <w:szCs w:val="24"/>
          <w:lang w:val="en-GB" w:eastAsia="zh-CN"/>
        </w:rPr>
        <w:t xml:space="preserve">, </w:t>
      </w:r>
      <w:r w:rsidR="00C1732C" w:rsidRPr="007345D5">
        <w:rPr>
          <w:rFonts w:ascii="Book Antiqua" w:eastAsia="MS PGothic" w:hAnsi="Book Antiqua" w:cs="Arial"/>
          <w:sz w:val="24"/>
          <w:szCs w:val="24"/>
          <w:lang w:val="en-GB"/>
        </w:rPr>
        <w:t xml:space="preserve">CTC number tended to increase with surgical and pathological disease progression. Although not an independent risk factor, a higher number of CTCs was significantly correlated with disease relapse in gastric cancer after curative surgery. However, our study analysed only a small number of participants, and whether all the CTCs we detected have true metastatic potential was not determined. Further studies with a larger number of participants are therefore required to confirm the findings of this study. </w:t>
      </w:r>
    </w:p>
    <w:p w14:paraId="1D2E4079" w14:textId="77777777" w:rsidR="00C1732C" w:rsidRPr="007345D5" w:rsidRDefault="00C1732C" w:rsidP="00570508">
      <w:pPr>
        <w:pStyle w:val="CommentTextChar"/>
        <w:adjustRightInd w:val="0"/>
        <w:snapToGrid w:val="0"/>
        <w:spacing w:line="360" w:lineRule="auto"/>
        <w:rPr>
          <w:rFonts w:ascii="Book Antiqua" w:hAnsi="Book Antiqua" w:cs="Arial"/>
          <w:b/>
          <w:sz w:val="24"/>
          <w:szCs w:val="24"/>
          <w:lang w:val="en-GB"/>
        </w:rPr>
      </w:pPr>
    </w:p>
    <w:p w14:paraId="126C2625" w14:textId="6028D49C" w:rsidR="00C1732C" w:rsidRPr="007345D5" w:rsidRDefault="00A3677B" w:rsidP="00570508">
      <w:pPr>
        <w:pStyle w:val="CommentTextChar"/>
        <w:adjustRightInd w:val="0"/>
        <w:snapToGrid w:val="0"/>
        <w:spacing w:line="360" w:lineRule="auto"/>
        <w:rPr>
          <w:rFonts w:ascii="Book Antiqua" w:eastAsia="MS PGothic" w:hAnsi="Book Antiqua" w:cs="Arial"/>
          <w:b/>
          <w:sz w:val="24"/>
          <w:szCs w:val="24"/>
          <w:lang w:val="en-GB"/>
        </w:rPr>
      </w:pPr>
      <w:r w:rsidRPr="007345D5">
        <w:rPr>
          <w:rFonts w:ascii="Book Antiqua" w:eastAsia="MS PGothic" w:hAnsi="Book Antiqua" w:cs="Arial"/>
          <w:b/>
          <w:sz w:val="24"/>
          <w:szCs w:val="24"/>
          <w:lang w:val="en-GB"/>
        </w:rPr>
        <w:t>ACKNOWLEDGMENTS</w:t>
      </w:r>
    </w:p>
    <w:p w14:paraId="5A001828" w14:textId="76A0B319" w:rsidR="00C1732C" w:rsidRPr="007345D5" w:rsidRDefault="00327443"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MS PGothic" w:hAnsi="Book Antiqua" w:cs="Arial"/>
          <w:sz w:val="24"/>
          <w:szCs w:val="24"/>
          <w:lang w:val="en-GB"/>
        </w:rPr>
        <w:lastRenderedPageBreak/>
        <w:t>This research was supported in part by a J</w:t>
      </w:r>
      <w:r w:rsidR="00C7312D" w:rsidRPr="007345D5">
        <w:rPr>
          <w:rFonts w:ascii="Book Antiqua" w:eastAsia="MS PGothic" w:hAnsi="Book Antiqua" w:cs="Arial"/>
          <w:sz w:val="24"/>
          <w:szCs w:val="24"/>
          <w:lang w:val="en-GB"/>
        </w:rPr>
        <w:t>apan Society for the</w:t>
      </w:r>
      <w:r w:rsidRPr="007345D5">
        <w:rPr>
          <w:rFonts w:ascii="Book Antiqua" w:eastAsia="MS PGothic" w:hAnsi="Book Antiqua" w:cs="Arial"/>
          <w:sz w:val="24"/>
          <w:szCs w:val="24"/>
          <w:lang w:val="en-GB"/>
        </w:rPr>
        <w:t xml:space="preserve"> </w:t>
      </w:r>
      <w:r w:rsidR="00C7312D" w:rsidRPr="007345D5">
        <w:rPr>
          <w:rFonts w:ascii="Book Antiqua" w:eastAsia="MS PGothic" w:hAnsi="Book Antiqua" w:cs="Arial"/>
          <w:sz w:val="24"/>
          <w:szCs w:val="24"/>
          <w:lang w:val="en-GB"/>
        </w:rPr>
        <w:t xml:space="preserve">Promotion of Science (JSPS) </w:t>
      </w:r>
      <w:r w:rsidRPr="007345D5">
        <w:rPr>
          <w:rFonts w:ascii="Book Antiqua" w:eastAsia="MS PGothic" w:hAnsi="Book Antiqua" w:cs="Arial"/>
          <w:sz w:val="24"/>
          <w:szCs w:val="24"/>
          <w:lang w:val="en-GB"/>
        </w:rPr>
        <w:t>KAKENHI Grant-in-Aid for Challenging Exploratory Research (Grant Number 23659308) and JSPS KAKENHI Grant-in-Aid for Scientific Research (Grant Number 26460688). The funding body played no role in the study design, in the collection, analysis, or interpretation of the data, in the writing of the manuscript, or in the decision to submit the manuscript for publication. We</w:t>
      </w:r>
      <w:r w:rsidR="00C1732C" w:rsidRPr="007345D5">
        <w:rPr>
          <w:rFonts w:ascii="Book Antiqua" w:eastAsia="MS PGothic" w:hAnsi="Book Antiqua" w:cs="Arial"/>
          <w:sz w:val="24"/>
          <w:szCs w:val="24"/>
          <w:lang w:val="en-GB"/>
        </w:rPr>
        <w:t xml:space="preserve"> are grateful to all </w:t>
      </w:r>
      <w:r w:rsidR="00C7312D" w:rsidRPr="007345D5">
        <w:rPr>
          <w:rFonts w:ascii="Book Antiqua" w:eastAsia="MS PGothic" w:hAnsi="Book Antiqua" w:cs="Arial"/>
          <w:sz w:val="24"/>
          <w:szCs w:val="24"/>
          <w:lang w:val="en-GB"/>
        </w:rPr>
        <w:t xml:space="preserve">of </w:t>
      </w:r>
      <w:r w:rsidR="00C1732C" w:rsidRPr="007345D5">
        <w:rPr>
          <w:rFonts w:ascii="Book Antiqua" w:eastAsia="MS PGothic" w:hAnsi="Book Antiqua" w:cs="Arial"/>
          <w:sz w:val="24"/>
          <w:szCs w:val="24"/>
          <w:lang w:val="en-GB"/>
        </w:rPr>
        <w:t xml:space="preserve">the patients and volunteers who donated blood for this study. We would like to thank Professor Toshiyoshi Fujiwara (Okayama University Graduate School of Medicine, Okayama, Japan) for helpful comments and suggestions, Dr. Yasuo Urata (Oncolys BioPharma, Tokyo, Japan) for supplying OBP-401, Dr. Toshiyuki Ozawa and Dr. Akinori Masago (Sysmex Corporation, Kobe, Japan) for their valuable support, and the clinical staff involved in this project. </w:t>
      </w:r>
    </w:p>
    <w:p w14:paraId="19715764" w14:textId="77777777" w:rsidR="00A3677B" w:rsidRPr="007345D5" w:rsidRDefault="00A3677B" w:rsidP="00570508">
      <w:pPr>
        <w:pStyle w:val="CommentTextChar"/>
        <w:adjustRightInd w:val="0"/>
        <w:snapToGrid w:val="0"/>
        <w:spacing w:line="360" w:lineRule="auto"/>
        <w:rPr>
          <w:rFonts w:ascii="Book Antiqua" w:eastAsia="SimSun" w:hAnsi="Book Antiqua" w:cs="Arial"/>
          <w:sz w:val="24"/>
          <w:szCs w:val="24"/>
          <w:lang w:val="en-GB" w:eastAsia="zh-CN"/>
        </w:rPr>
      </w:pPr>
    </w:p>
    <w:p w14:paraId="04120221" w14:textId="77777777" w:rsidR="00A3677B" w:rsidRPr="007345D5" w:rsidRDefault="00A3677B" w:rsidP="00570508">
      <w:pPr>
        <w:pStyle w:val="CommentTextChar"/>
        <w:adjustRightInd w:val="0"/>
        <w:snapToGrid w:val="0"/>
        <w:spacing w:line="360" w:lineRule="auto"/>
        <w:rPr>
          <w:rFonts w:ascii="Book Antiqua" w:eastAsia="SimSun" w:hAnsi="Book Antiqua" w:cs="Arial"/>
          <w:b/>
          <w:bCs/>
          <w:sz w:val="24"/>
          <w:szCs w:val="24"/>
          <w:lang w:val="en-GB" w:eastAsia="zh-CN"/>
        </w:rPr>
      </w:pPr>
      <w:bookmarkStart w:id="317" w:name="OLE_LINK685"/>
      <w:bookmarkStart w:id="318" w:name="OLE_LINK849"/>
      <w:bookmarkStart w:id="319" w:name="OLE_LINK936"/>
      <w:bookmarkStart w:id="320" w:name="OLE_LINK937"/>
      <w:bookmarkStart w:id="321" w:name="OLE_LINK938"/>
      <w:bookmarkStart w:id="322" w:name="OLE_LINK939"/>
      <w:bookmarkStart w:id="323" w:name="OLE_LINK940"/>
      <w:bookmarkStart w:id="324" w:name="OLE_LINK941"/>
      <w:bookmarkStart w:id="325" w:name="OLE_LINK1153"/>
      <w:bookmarkStart w:id="326" w:name="OLE_LINK1001"/>
      <w:bookmarkStart w:id="327" w:name="OLE_LINK1166"/>
      <w:bookmarkStart w:id="328" w:name="OLE_LINK1167"/>
      <w:bookmarkStart w:id="329" w:name="OLE_LINK1233"/>
      <w:bookmarkStart w:id="330" w:name="OLE_LINK1234"/>
      <w:bookmarkStart w:id="331" w:name="OLE_LINK1253"/>
      <w:bookmarkStart w:id="332" w:name="OLE_LINK1275"/>
      <w:bookmarkStart w:id="333" w:name="OLE_LINK1345"/>
      <w:bookmarkStart w:id="334" w:name="OLE_LINK1067"/>
      <w:bookmarkStart w:id="335" w:name="OLE_LINK1069"/>
      <w:bookmarkStart w:id="336" w:name="OLE_LINK1557"/>
      <w:bookmarkStart w:id="337" w:name="OLE_LINK1591"/>
      <w:bookmarkStart w:id="338" w:name="OLE_LINK1592"/>
      <w:bookmarkStart w:id="339" w:name="OLE_LINK1605"/>
      <w:bookmarkStart w:id="340" w:name="OLE_LINK1645"/>
      <w:bookmarkStart w:id="341" w:name="OLE_LINK1659"/>
      <w:bookmarkStart w:id="342" w:name="OLE_LINK1692"/>
      <w:bookmarkStart w:id="343" w:name="OLE_LINK1693"/>
      <w:bookmarkStart w:id="344" w:name="OLE_LINK1702"/>
      <w:bookmarkStart w:id="345" w:name="OLE_LINK1703"/>
      <w:bookmarkStart w:id="346" w:name="OLE_LINK1785"/>
      <w:bookmarkStart w:id="347" w:name="OLE_LINK1806"/>
      <w:bookmarkStart w:id="348" w:name="OLE_LINK1932"/>
      <w:bookmarkStart w:id="349" w:name="OLE_LINK1934"/>
      <w:bookmarkStart w:id="350" w:name="OLE_LINK2037"/>
      <w:bookmarkStart w:id="351" w:name="OLE_LINK2073"/>
      <w:bookmarkStart w:id="352" w:name="OLE_LINK2089"/>
      <w:bookmarkStart w:id="353" w:name="OLE_LINK2172"/>
      <w:bookmarkStart w:id="354" w:name="OLE_LINK2173"/>
      <w:bookmarkStart w:id="355" w:name="OLE_LINK2257"/>
      <w:bookmarkStart w:id="356" w:name="OLE_LINK2534"/>
      <w:bookmarkStart w:id="357" w:name="OLE_LINK2480"/>
      <w:bookmarkStart w:id="358" w:name="OLE_LINK2498"/>
      <w:bookmarkStart w:id="359" w:name="OLE_LINK2500"/>
      <w:bookmarkStart w:id="360" w:name="OLE_LINK2501"/>
      <w:bookmarkStart w:id="361" w:name="OLE_LINK2561"/>
      <w:bookmarkStart w:id="362" w:name="OLE_LINK902"/>
      <w:bookmarkStart w:id="363" w:name="OLE_LINK903"/>
      <w:bookmarkStart w:id="364" w:name="OLE_LINK904"/>
      <w:bookmarkStart w:id="365" w:name="OLE_LINK905"/>
      <w:bookmarkStart w:id="366" w:name="OLE_LINK1827"/>
      <w:bookmarkStart w:id="367" w:name="OLE_LINK1828"/>
      <w:bookmarkStart w:id="368" w:name="OLE_LINK1829"/>
      <w:bookmarkStart w:id="369" w:name="OLE_LINK2351"/>
      <w:bookmarkStart w:id="370" w:name="OLE_LINK2353"/>
      <w:bookmarkStart w:id="371" w:name="OLE_LINK2354"/>
      <w:bookmarkStart w:id="372" w:name="OLE_LINK2355"/>
      <w:r w:rsidRPr="007345D5">
        <w:rPr>
          <w:rFonts w:ascii="Book Antiqua" w:eastAsia="SimSun" w:hAnsi="Book Antiqua" w:cs="Arial"/>
          <w:b/>
          <w:bCs/>
          <w:sz w:val="24"/>
          <w:szCs w:val="24"/>
          <w:lang w:val="en-GB" w:eastAsia="zh-CN"/>
        </w:rPr>
        <w:t>COMMENTS</w:t>
      </w:r>
    </w:p>
    <w:p w14:paraId="41E85CEB" w14:textId="77777777" w:rsidR="00A3677B" w:rsidRPr="007345D5" w:rsidRDefault="00A3677B" w:rsidP="00570508">
      <w:pPr>
        <w:pStyle w:val="CommentTextChar"/>
        <w:adjustRightInd w:val="0"/>
        <w:snapToGrid w:val="0"/>
        <w:spacing w:line="360" w:lineRule="auto"/>
        <w:rPr>
          <w:rFonts w:ascii="Book Antiqua" w:eastAsia="SimSun" w:hAnsi="Book Antiqua" w:cs="Arial"/>
          <w:b/>
          <w:bCs/>
          <w:i/>
          <w:sz w:val="24"/>
          <w:szCs w:val="24"/>
          <w:lang w:val="en-GB" w:eastAsia="zh-CN"/>
        </w:rPr>
      </w:pPr>
      <w:bookmarkStart w:id="373" w:name="OLE_LINK614"/>
      <w:bookmarkStart w:id="374" w:name="OLE_LINK615"/>
      <w:bookmarkStart w:id="375" w:name="OLE_LINK843"/>
      <w:bookmarkStart w:id="376" w:name="OLE_LINK844"/>
      <w:r w:rsidRPr="007345D5">
        <w:rPr>
          <w:rFonts w:ascii="Book Antiqua" w:eastAsia="SimSun" w:hAnsi="Book Antiqua" w:cs="Arial"/>
          <w:b/>
          <w:bCs/>
          <w:i/>
          <w:sz w:val="24"/>
          <w:szCs w:val="24"/>
          <w:lang w:val="en-GB" w:eastAsia="zh-CN"/>
        </w:rPr>
        <w:t>Background</w:t>
      </w:r>
      <w:bookmarkEnd w:id="373"/>
      <w:bookmarkEnd w:id="374"/>
    </w:p>
    <w:p w14:paraId="0A416E4E" w14:textId="7EB4E1C2" w:rsidR="00A3677B" w:rsidRPr="007345D5" w:rsidRDefault="00A3677B"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SimSun" w:hAnsi="Book Antiqua" w:cs="Arial"/>
          <w:sz w:val="24"/>
          <w:szCs w:val="24"/>
          <w:lang w:val="en-GB" w:eastAsia="zh-CN"/>
        </w:rPr>
        <w:t xml:space="preserve">Detection of </w:t>
      </w:r>
      <w:r w:rsidR="00EA51ED" w:rsidRPr="007345D5">
        <w:rPr>
          <w:rFonts w:ascii="Book Antiqua" w:eastAsia="SimSun" w:hAnsi="Book Antiqua" w:cs="Arial"/>
          <w:sz w:val="24"/>
          <w:szCs w:val="24"/>
          <w:lang w:val="en-GB" w:eastAsia="zh-CN"/>
        </w:rPr>
        <w:t xml:space="preserve">circulating tumour cells (CTCs) </w:t>
      </w:r>
      <w:r w:rsidRPr="007345D5">
        <w:rPr>
          <w:rFonts w:ascii="Book Antiqua" w:eastAsia="SimSun" w:hAnsi="Book Antiqua" w:cs="Arial"/>
          <w:sz w:val="24"/>
          <w:szCs w:val="24"/>
          <w:lang w:val="en-GB" w:eastAsia="zh-CN"/>
        </w:rPr>
        <w:t xml:space="preserve">in peripheral blood is useful for prognosis, monitoring disease progression, and evaluation of treatment efficacy in malignancies, and various methods have been developed to detect CTCs. </w:t>
      </w:r>
    </w:p>
    <w:p w14:paraId="6B0F40FB" w14:textId="77777777" w:rsidR="00A3677B" w:rsidRPr="007345D5" w:rsidRDefault="00A3677B" w:rsidP="00570508">
      <w:pPr>
        <w:pStyle w:val="CommentTextChar"/>
        <w:adjustRightInd w:val="0"/>
        <w:snapToGrid w:val="0"/>
        <w:spacing w:line="360" w:lineRule="auto"/>
        <w:rPr>
          <w:rFonts w:ascii="Book Antiqua" w:eastAsia="SimSun" w:hAnsi="Book Antiqua" w:cs="Arial"/>
          <w:sz w:val="24"/>
          <w:szCs w:val="24"/>
          <w:lang w:val="en-GB" w:eastAsia="zh-CN"/>
        </w:rPr>
      </w:pPr>
    </w:p>
    <w:p w14:paraId="0B314C07" w14:textId="77777777" w:rsidR="00A3677B" w:rsidRPr="007345D5" w:rsidRDefault="00A3677B" w:rsidP="00570508">
      <w:pPr>
        <w:pStyle w:val="CommentTextChar"/>
        <w:adjustRightInd w:val="0"/>
        <w:snapToGrid w:val="0"/>
        <w:spacing w:line="360" w:lineRule="auto"/>
        <w:rPr>
          <w:rFonts w:ascii="Book Antiqua" w:eastAsia="SimSun" w:hAnsi="Book Antiqua" w:cs="Arial"/>
          <w:b/>
          <w:bCs/>
          <w:i/>
          <w:sz w:val="24"/>
          <w:szCs w:val="24"/>
          <w:lang w:val="en-GB" w:eastAsia="zh-CN"/>
        </w:rPr>
      </w:pPr>
      <w:r w:rsidRPr="007345D5">
        <w:rPr>
          <w:rFonts w:ascii="Book Antiqua" w:eastAsia="SimSun" w:hAnsi="Book Antiqua" w:cs="Arial"/>
          <w:b/>
          <w:bCs/>
          <w:i/>
          <w:sz w:val="24"/>
          <w:szCs w:val="24"/>
          <w:lang w:val="en-GB" w:eastAsia="zh-CN"/>
        </w:rPr>
        <w:t>Research frontiers</w:t>
      </w:r>
    </w:p>
    <w:p w14:paraId="7D3E6A07" w14:textId="41E48E2E" w:rsidR="00A3677B" w:rsidRPr="007345D5" w:rsidRDefault="00692684"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SimSun" w:hAnsi="Book Antiqua" w:cs="Arial"/>
          <w:sz w:val="24"/>
          <w:szCs w:val="24"/>
          <w:lang w:val="en-GB" w:eastAsia="zh-CN"/>
        </w:rPr>
        <w:t>Most CTC</w:t>
      </w:r>
      <w:r w:rsidR="00A3677B" w:rsidRPr="007345D5">
        <w:rPr>
          <w:rFonts w:ascii="Book Antiqua" w:eastAsia="SimSun" w:hAnsi="Book Antiqua" w:cs="Arial"/>
          <w:sz w:val="24"/>
          <w:szCs w:val="24"/>
          <w:lang w:val="en-GB" w:eastAsia="zh-CN"/>
        </w:rPr>
        <w:t xml:space="preserve"> detection systems that rely on epithelial markers may fail to detect CTCs undergoing </w:t>
      </w:r>
      <w:r w:rsidRPr="007345D5">
        <w:rPr>
          <w:rFonts w:ascii="Book Antiqua" w:eastAsia="SimSun" w:hAnsi="Book Antiqua" w:cs="Arial"/>
          <w:sz w:val="24"/>
          <w:szCs w:val="24"/>
          <w:lang w:val="en-GB" w:eastAsia="zh-CN"/>
        </w:rPr>
        <w:t xml:space="preserve">the </w:t>
      </w:r>
      <w:r w:rsidR="00A3677B" w:rsidRPr="007345D5">
        <w:rPr>
          <w:rFonts w:ascii="Book Antiqua" w:eastAsia="SimSun" w:hAnsi="Book Antiqua" w:cs="Arial"/>
          <w:sz w:val="24"/>
          <w:szCs w:val="24"/>
          <w:lang w:val="en-GB" w:eastAsia="zh-CN"/>
        </w:rPr>
        <w:t xml:space="preserve">epithelial-mesenchymal transition. </w:t>
      </w:r>
    </w:p>
    <w:p w14:paraId="7F4263AE" w14:textId="77777777" w:rsidR="00EA51ED" w:rsidRPr="007345D5" w:rsidRDefault="00EA51ED" w:rsidP="00570508">
      <w:pPr>
        <w:pStyle w:val="CommentTextChar"/>
        <w:adjustRightInd w:val="0"/>
        <w:snapToGrid w:val="0"/>
        <w:spacing w:line="360" w:lineRule="auto"/>
        <w:rPr>
          <w:rFonts w:ascii="Book Antiqua" w:eastAsia="SimSun" w:hAnsi="Book Antiqua" w:cs="Arial"/>
          <w:sz w:val="24"/>
          <w:szCs w:val="24"/>
          <w:lang w:val="en-GB" w:eastAsia="zh-CN"/>
        </w:rPr>
      </w:pPr>
    </w:p>
    <w:p w14:paraId="5E76854E" w14:textId="77777777" w:rsidR="00A3677B" w:rsidRPr="007345D5" w:rsidRDefault="00A3677B" w:rsidP="00570508">
      <w:pPr>
        <w:pStyle w:val="CommentTextChar"/>
        <w:adjustRightInd w:val="0"/>
        <w:snapToGrid w:val="0"/>
        <w:spacing w:line="360" w:lineRule="auto"/>
        <w:rPr>
          <w:rFonts w:ascii="Book Antiqua" w:eastAsia="SimSun" w:hAnsi="Book Antiqua" w:cs="Arial"/>
          <w:i/>
          <w:sz w:val="24"/>
          <w:szCs w:val="24"/>
          <w:lang w:val="en-GB" w:eastAsia="zh-CN"/>
        </w:rPr>
      </w:pPr>
      <w:r w:rsidRPr="007345D5">
        <w:rPr>
          <w:rFonts w:ascii="Book Antiqua" w:eastAsia="SimSun" w:hAnsi="Book Antiqua" w:cs="Arial"/>
          <w:b/>
          <w:bCs/>
          <w:i/>
          <w:sz w:val="24"/>
          <w:szCs w:val="24"/>
          <w:lang w:val="en-GB" w:eastAsia="zh-CN"/>
        </w:rPr>
        <w:t>Innovations and breakthroughs</w:t>
      </w:r>
    </w:p>
    <w:p w14:paraId="03E4D76F" w14:textId="782F4D47" w:rsidR="00A3677B" w:rsidRPr="007345D5" w:rsidRDefault="00692684"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SimSun" w:hAnsi="Book Antiqua" w:cs="Arial"/>
          <w:sz w:val="24"/>
          <w:szCs w:val="24"/>
          <w:lang w:val="en-GB" w:eastAsia="zh-CN"/>
        </w:rPr>
        <w:t>Because</w:t>
      </w:r>
      <w:r w:rsidR="00A3677B" w:rsidRPr="007345D5">
        <w:rPr>
          <w:rFonts w:ascii="Book Antiqua" w:eastAsia="SimSun" w:hAnsi="Book Antiqua" w:cs="Arial"/>
          <w:sz w:val="24"/>
          <w:szCs w:val="24"/>
          <w:lang w:val="en-GB" w:eastAsia="zh-CN"/>
        </w:rPr>
        <w:t xml:space="preserve"> OBP-401 is a telomerase-specific adenoviral agent, </w:t>
      </w:r>
      <w:r w:rsidRPr="007345D5">
        <w:rPr>
          <w:rFonts w:ascii="Book Antiqua" w:eastAsia="SimSun" w:hAnsi="Book Antiqua" w:cs="Arial"/>
          <w:sz w:val="24"/>
          <w:szCs w:val="24"/>
          <w:lang w:val="en-GB" w:eastAsia="zh-CN"/>
        </w:rPr>
        <w:t xml:space="preserve">the </w:t>
      </w:r>
      <w:r w:rsidR="00A3677B" w:rsidRPr="007345D5">
        <w:rPr>
          <w:rFonts w:ascii="Book Antiqua" w:eastAsia="SimSun" w:hAnsi="Book Antiqua" w:cs="Arial"/>
          <w:sz w:val="24"/>
          <w:szCs w:val="24"/>
          <w:lang w:val="en-GB" w:eastAsia="zh-CN"/>
        </w:rPr>
        <w:t xml:space="preserve">OBP-401 assay does not depend on the expression of surface epithelial markers. </w:t>
      </w:r>
      <w:bookmarkStart w:id="377" w:name="OLE_LINK1860"/>
      <w:bookmarkStart w:id="378" w:name="OLE_LINK1861"/>
    </w:p>
    <w:p w14:paraId="7C45C290" w14:textId="77777777" w:rsidR="00EA51ED" w:rsidRPr="007345D5" w:rsidRDefault="00EA51ED" w:rsidP="00570508">
      <w:pPr>
        <w:pStyle w:val="CommentTextChar"/>
        <w:adjustRightInd w:val="0"/>
        <w:snapToGrid w:val="0"/>
        <w:spacing w:line="360" w:lineRule="auto"/>
        <w:rPr>
          <w:rFonts w:ascii="Book Antiqua" w:eastAsia="SimSun" w:hAnsi="Book Antiqua" w:cs="Arial"/>
          <w:sz w:val="24"/>
          <w:szCs w:val="24"/>
          <w:lang w:val="en-GB" w:eastAsia="zh-CN"/>
        </w:rPr>
      </w:pPr>
    </w:p>
    <w:p w14:paraId="7D29657B" w14:textId="77777777" w:rsidR="00A3677B" w:rsidRPr="007345D5" w:rsidRDefault="00A3677B" w:rsidP="00570508">
      <w:pPr>
        <w:pStyle w:val="CommentTextChar"/>
        <w:adjustRightInd w:val="0"/>
        <w:snapToGrid w:val="0"/>
        <w:spacing w:line="360" w:lineRule="auto"/>
        <w:rPr>
          <w:rFonts w:ascii="Book Antiqua" w:eastAsia="SimSun" w:hAnsi="Book Antiqua" w:cs="Arial"/>
          <w:b/>
          <w:bCs/>
          <w:i/>
          <w:sz w:val="24"/>
          <w:szCs w:val="24"/>
          <w:lang w:val="en-GB" w:eastAsia="zh-CN"/>
        </w:rPr>
      </w:pPr>
      <w:r w:rsidRPr="007345D5">
        <w:rPr>
          <w:rFonts w:ascii="Book Antiqua" w:eastAsia="SimSun" w:hAnsi="Book Antiqua" w:cs="Arial"/>
          <w:b/>
          <w:bCs/>
          <w:i/>
          <w:sz w:val="24"/>
          <w:szCs w:val="24"/>
          <w:lang w:val="en-GB" w:eastAsia="zh-CN"/>
        </w:rPr>
        <w:t xml:space="preserve">Applications </w:t>
      </w:r>
      <w:bookmarkEnd w:id="377"/>
      <w:bookmarkEnd w:id="378"/>
    </w:p>
    <w:p w14:paraId="38272DAC" w14:textId="3CA7BDD1" w:rsidR="00A3677B" w:rsidRPr="007345D5" w:rsidRDefault="00A3677B"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SimSun" w:hAnsi="Book Antiqua" w:cs="Arial"/>
          <w:sz w:val="24"/>
          <w:szCs w:val="24"/>
          <w:lang w:val="en-GB" w:eastAsia="zh-CN"/>
        </w:rPr>
        <w:lastRenderedPageBreak/>
        <w:t>In this study, viable CTCs with high telomerase activity were detected using OBP-401 in blood samples from pa</w:t>
      </w:r>
      <w:r w:rsidR="00555D90" w:rsidRPr="007345D5">
        <w:rPr>
          <w:rFonts w:ascii="Book Antiqua" w:eastAsia="SimSun" w:hAnsi="Book Antiqua" w:cs="Arial"/>
          <w:sz w:val="24"/>
          <w:szCs w:val="24"/>
          <w:lang w:val="en-GB" w:eastAsia="zh-CN"/>
        </w:rPr>
        <w:t xml:space="preserve">tients with gastric carcinoma. </w:t>
      </w:r>
      <w:r w:rsidR="00692684" w:rsidRPr="007345D5">
        <w:rPr>
          <w:rFonts w:ascii="Book Antiqua" w:eastAsia="SimSun" w:hAnsi="Book Antiqua" w:cs="Arial"/>
          <w:sz w:val="24"/>
          <w:szCs w:val="24"/>
          <w:lang w:val="en-GB" w:eastAsia="zh-CN"/>
        </w:rPr>
        <w:t>T</w:t>
      </w:r>
      <w:r w:rsidR="00EA51ED" w:rsidRPr="007345D5">
        <w:rPr>
          <w:rFonts w:ascii="Book Antiqua" w:eastAsia="SimSun" w:hAnsi="Book Antiqua" w:cs="Arial"/>
          <w:sz w:val="24"/>
          <w:szCs w:val="24"/>
          <w:lang w:val="en-GB" w:eastAsia="zh-CN"/>
        </w:rPr>
        <w:t>he authors</w:t>
      </w:r>
      <w:r w:rsidRPr="007345D5">
        <w:rPr>
          <w:rFonts w:ascii="Book Antiqua" w:eastAsia="SimSun" w:hAnsi="Book Antiqua" w:cs="Arial"/>
          <w:sz w:val="24"/>
          <w:szCs w:val="24"/>
          <w:lang w:val="en-GB" w:eastAsia="zh-CN"/>
        </w:rPr>
        <w:t xml:space="preserve"> showed that a lower number of CTCs correlated with higher relapse-free survival rates in patients with gastric cancer. </w:t>
      </w:r>
    </w:p>
    <w:p w14:paraId="78392C93" w14:textId="77777777" w:rsidR="00EA51ED" w:rsidRPr="007345D5" w:rsidRDefault="00EA51ED" w:rsidP="00570508">
      <w:pPr>
        <w:pStyle w:val="CommentTextChar"/>
        <w:adjustRightInd w:val="0"/>
        <w:snapToGrid w:val="0"/>
        <w:spacing w:line="360" w:lineRule="auto"/>
        <w:rPr>
          <w:rFonts w:ascii="Book Antiqua" w:eastAsia="SimSun" w:hAnsi="Book Antiqua" w:cs="Arial"/>
          <w:sz w:val="24"/>
          <w:szCs w:val="24"/>
          <w:lang w:val="en-GB" w:eastAsia="zh-CN"/>
        </w:rPr>
      </w:pPr>
    </w:p>
    <w:p w14:paraId="5210016A" w14:textId="77777777" w:rsidR="00A3677B" w:rsidRPr="007345D5" w:rsidRDefault="00A3677B" w:rsidP="00570508">
      <w:pPr>
        <w:pStyle w:val="CommentTextChar"/>
        <w:adjustRightInd w:val="0"/>
        <w:snapToGrid w:val="0"/>
        <w:spacing w:line="360" w:lineRule="auto"/>
        <w:rPr>
          <w:rFonts w:ascii="Book Antiqua" w:eastAsia="SimSun" w:hAnsi="Book Antiqua" w:cs="Arial"/>
          <w:b/>
          <w:bCs/>
          <w:i/>
          <w:sz w:val="24"/>
          <w:szCs w:val="24"/>
          <w:lang w:val="en-GB" w:eastAsia="zh-CN"/>
        </w:rPr>
      </w:pPr>
      <w:r w:rsidRPr="007345D5">
        <w:rPr>
          <w:rFonts w:ascii="Book Antiqua" w:eastAsia="SimSun" w:hAnsi="Book Antiqua" w:cs="Arial"/>
          <w:b/>
          <w:bCs/>
          <w:i/>
          <w:sz w:val="24"/>
          <w:szCs w:val="24"/>
          <w:lang w:val="en-GB" w:eastAsia="zh-CN"/>
        </w:rPr>
        <w:t>Terminology</w:t>
      </w:r>
    </w:p>
    <w:p w14:paraId="4B1328DB" w14:textId="0A29E268" w:rsidR="00A3677B" w:rsidRPr="007345D5" w:rsidRDefault="00EA51ED"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SimSun" w:hAnsi="Book Antiqua" w:cs="Arial"/>
          <w:sz w:val="24"/>
          <w:szCs w:val="24"/>
          <w:lang w:val="en-GB" w:eastAsia="zh-CN"/>
        </w:rPr>
        <w:t>The authors</w:t>
      </w:r>
      <w:r w:rsidR="00A3677B" w:rsidRPr="007345D5">
        <w:rPr>
          <w:rFonts w:ascii="Book Antiqua" w:eastAsia="SimSun" w:hAnsi="Book Antiqua" w:cs="Arial"/>
          <w:sz w:val="24"/>
          <w:szCs w:val="24"/>
          <w:lang w:val="en-GB" w:eastAsia="zh-CN"/>
        </w:rPr>
        <w:t xml:space="preserve"> believe that </w:t>
      </w:r>
      <w:r w:rsidR="00692684" w:rsidRPr="007345D5">
        <w:rPr>
          <w:rFonts w:ascii="Book Antiqua" w:eastAsia="SimSun" w:hAnsi="Book Antiqua" w:cs="Arial"/>
          <w:sz w:val="24"/>
          <w:szCs w:val="24"/>
          <w:lang w:val="en-GB" w:eastAsia="zh-CN"/>
        </w:rPr>
        <w:t xml:space="preserve">the </w:t>
      </w:r>
      <w:r w:rsidR="00A3677B" w:rsidRPr="007345D5">
        <w:rPr>
          <w:rFonts w:ascii="Book Antiqua" w:eastAsia="SimSun" w:hAnsi="Book Antiqua" w:cs="Arial"/>
          <w:sz w:val="24"/>
          <w:szCs w:val="24"/>
          <w:lang w:val="en-GB" w:eastAsia="zh-CN"/>
        </w:rPr>
        <w:t>OBP-401 assay for detection of C</w:t>
      </w:r>
      <w:r w:rsidR="00692684" w:rsidRPr="007345D5">
        <w:rPr>
          <w:rFonts w:ascii="Book Antiqua" w:eastAsia="SimSun" w:hAnsi="Book Antiqua" w:cs="Arial"/>
          <w:sz w:val="24"/>
          <w:szCs w:val="24"/>
          <w:lang w:val="en-GB" w:eastAsia="zh-CN"/>
        </w:rPr>
        <w:t>TCs is clinically useful for</w:t>
      </w:r>
      <w:r w:rsidR="00A3677B" w:rsidRPr="007345D5">
        <w:rPr>
          <w:rFonts w:ascii="Book Antiqua" w:eastAsia="SimSun" w:hAnsi="Book Antiqua" w:cs="Arial"/>
          <w:sz w:val="24"/>
          <w:szCs w:val="24"/>
          <w:lang w:val="en-GB" w:eastAsia="zh-CN"/>
        </w:rPr>
        <w:t xml:space="preserve"> patients with gastric carcinoma. </w:t>
      </w:r>
    </w:p>
    <w:p w14:paraId="16FAB0EE" w14:textId="77777777" w:rsidR="00EA51ED" w:rsidRPr="007345D5" w:rsidRDefault="00EA51ED" w:rsidP="00570508">
      <w:pPr>
        <w:pStyle w:val="CommentTextChar"/>
        <w:adjustRightInd w:val="0"/>
        <w:snapToGrid w:val="0"/>
        <w:spacing w:line="360" w:lineRule="auto"/>
        <w:rPr>
          <w:rFonts w:ascii="Book Antiqua" w:eastAsia="SimSun" w:hAnsi="Book Antiqua" w:cs="Arial"/>
          <w:sz w:val="24"/>
          <w:szCs w:val="24"/>
          <w:lang w:val="en-GB" w:eastAsia="zh-CN"/>
        </w:rPr>
      </w:pPr>
    </w:p>
    <w:p w14:paraId="3913423C" w14:textId="1E81DE83" w:rsidR="00A3677B" w:rsidRPr="007345D5" w:rsidRDefault="00A3677B" w:rsidP="00570508">
      <w:pPr>
        <w:pStyle w:val="CommentTextChar"/>
        <w:adjustRightInd w:val="0"/>
        <w:snapToGrid w:val="0"/>
        <w:spacing w:line="360" w:lineRule="auto"/>
        <w:rPr>
          <w:rFonts w:ascii="Book Antiqua" w:eastAsia="SimSun" w:hAnsi="Book Antiqua" w:cs="Arial"/>
          <w:b/>
          <w:bCs/>
          <w:i/>
          <w:sz w:val="24"/>
          <w:szCs w:val="24"/>
          <w:lang w:val="en-GB" w:eastAsia="zh-CN"/>
        </w:rPr>
      </w:pPr>
      <w:bookmarkStart w:id="379" w:name="OLE_LINK2204"/>
      <w:bookmarkStart w:id="380" w:name="OLE_LINK2135"/>
      <w:bookmarkStart w:id="381" w:name="OLE_LINK2585"/>
      <w:bookmarkStart w:id="382" w:name="OLE_LINK2586"/>
      <w:bookmarkStart w:id="383" w:name="OLE_LINK2709"/>
      <w:bookmarkStart w:id="384" w:name="OLE_LINK2926"/>
      <w:bookmarkStart w:id="385" w:name="OLE_LINK678"/>
      <w:bookmarkStart w:id="386" w:name="OLE_LINK679"/>
      <w:r w:rsidRPr="007345D5">
        <w:rPr>
          <w:rFonts w:ascii="Book Antiqua" w:eastAsia="SimSun" w:hAnsi="Book Antiqua" w:cs="Arial"/>
          <w:b/>
          <w:bCs/>
          <w:i/>
          <w:sz w:val="24"/>
          <w:szCs w:val="24"/>
          <w:lang w:val="en-GB" w:eastAsia="zh-CN"/>
        </w:rPr>
        <w:t>Peer</w:t>
      </w:r>
      <w:r w:rsidR="00E1193D">
        <w:rPr>
          <w:rFonts w:ascii="Book Antiqua" w:eastAsia="SimSun" w:hAnsi="Book Antiqua" w:cs="Arial"/>
          <w:b/>
          <w:bCs/>
          <w:i/>
          <w:sz w:val="24"/>
          <w:szCs w:val="24"/>
          <w:lang w:val="en-GB" w:eastAsia="zh-CN"/>
        </w:rPr>
        <w:t>-</w:t>
      </w:r>
      <w:r w:rsidRPr="007345D5">
        <w:rPr>
          <w:rFonts w:ascii="Book Antiqua" w:eastAsia="SimSun" w:hAnsi="Book Antiqua" w:cs="Arial"/>
          <w:b/>
          <w:bCs/>
          <w:i/>
          <w:sz w:val="24"/>
          <w:szCs w:val="24"/>
          <w:lang w:val="en-GB" w:eastAsia="zh-CN"/>
        </w:rPr>
        <w:t>review</w:t>
      </w:r>
      <w:bookmarkEnd w:id="379"/>
      <w:bookmarkEnd w:id="380"/>
      <w:bookmarkEnd w:id="381"/>
      <w:bookmarkEnd w:id="382"/>
      <w:bookmarkEnd w:id="383"/>
      <w:bookmarkEnd w:id="384"/>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5"/>
    <w:bookmarkEnd w:id="376"/>
    <w:bookmarkEnd w:id="385"/>
    <w:bookmarkEnd w:id="386"/>
    <w:p w14:paraId="68B0BAD8" w14:textId="547219D3" w:rsidR="00A3677B" w:rsidRPr="007345D5" w:rsidRDefault="00692684" w:rsidP="00570508">
      <w:pPr>
        <w:pStyle w:val="CommentTextChar"/>
        <w:adjustRightInd w:val="0"/>
        <w:snapToGrid w:val="0"/>
        <w:spacing w:line="360" w:lineRule="auto"/>
        <w:rPr>
          <w:rFonts w:ascii="Book Antiqua" w:eastAsia="SimSun" w:hAnsi="Book Antiqua" w:cs="Arial"/>
          <w:sz w:val="24"/>
          <w:szCs w:val="24"/>
          <w:lang w:val="en-GB" w:eastAsia="zh-CN"/>
        </w:rPr>
      </w:pPr>
      <w:r w:rsidRPr="007345D5">
        <w:rPr>
          <w:rFonts w:ascii="Book Antiqua" w:eastAsia="SimSun" w:hAnsi="Book Antiqua" w:cs="Arial"/>
          <w:sz w:val="24"/>
          <w:szCs w:val="24"/>
          <w:lang w:val="en-GB" w:eastAsia="zh-CN"/>
        </w:rPr>
        <w:t>The a</w:t>
      </w:r>
      <w:r w:rsidR="00A3677B" w:rsidRPr="007345D5">
        <w:rPr>
          <w:rFonts w:ascii="Book Antiqua" w:eastAsia="SimSun" w:hAnsi="Book Antiqua" w:cs="Arial"/>
          <w:sz w:val="24"/>
          <w:szCs w:val="24"/>
          <w:lang w:val="en-GB" w:eastAsia="zh-CN"/>
        </w:rPr>
        <w:t>uthors pre</w:t>
      </w:r>
      <w:r w:rsidRPr="007345D5">
        <w:rPr>
          <w:rFonts w:ascii="Book Antiqua" w:eastAsia="SimSun" w:hAnsi="Book Antiqua" w:cs="Arial"/>
          <w:sz w:val="24"/>
          <w:szCs w:val="24"/>
          <w:lang w:val="en-GB" w:eastAsia="zh-CN"/>
        </w:rPr>
        <w:t>sented a novel technique for detection of CTCs that does not depend</w:t>
      </w:r>
      <w:r w:rsidR="00A3677B" w:rsidRPr="007345D5">
        <w:rPr>
          <w:rFonts w:ascii="Book Antiqua" w:eastAsia="SimSun" w:hAnsi="Book Antiqua" w:cs="Arial"/>
          <w:sz w:val="24"/>
          <w:szCs w:val="24"/>
          <w:lang w:val="en-GB" w:eastAsia="zh-CN"/>
        </w:rPr>
        <w:t xml:space="preserve"> on surface epithelial markers. </w:t>
      </w:r>
      <w:r w:rsidRPr="007345D5">
        <w:rPr>
          <w:rFonts w:ascii="Book Antiqua" w:eastAsia="SimSun" w:hAnsi="Book Antiqua" w:cs="Arial"/>
          <w:sz w:val="24"/>
          <w:szCs w:val="24"/>
          <w:lang w:val="en-GB" w:eastAsia="zh-CN"/>
        </w:rPr>
        <w:t>The</w:t>
      </w:r>
      <w:r w:rsidR="00A3677B" w:rsidRPr="007345D5">
        <w:rPr>
          <w:rFonts w:ascii="Book Antiqua" w:eastAsia="SimSun" w:hAnsi="Book Antiqua" w:cs="Arial"/>
          <w:sz w:val="24"/>
          <w:szCs w:val="24"/>
          <w:lang w:val="en-GB" w:eastAsia="zh-CN"/>
        </w:rPr>
        <w:t xml:space="preserve"> authors showed that a lower number of CTCs was correlated with higher relapse-free survival rates in patients wi</w:t>
      </w:r>
      <w:r w:rsidRPr="007345D5">
        <w:rPr>
          <w:rFonts w:ascii="Book Antiqua" w:eastAsia="SimSun" w:hAnsi="Book Antiqua" w:cs="Arial"/>
          <w:sz w:val="24"/>
          <w:szCs w:val="24"/>
          <w:lang w:val="en-GB" w:eastAsia="zh-CN"/>
        </w:rPr>
        <w:t>th gastric cancer</w:t>
      </w:r>
      <w:r w:rsidR="00EA51ED" w:rsidRPr="007345D5">
        <w:rPr>
          <w:rFonts w:ascii="Book Antiqua" w:eastAsia="SimSun" w:hAnsi="Book Antiqua" w:cs="Arial"/>
          <w:sz w:val="24"/>
          <w:szCs w:val="24"/>
          <w:lang w:val="en-GB" w:eastAsia="zh-CN"/>
        </w:rPr>
        <w:t>.</w:t>
      </w:r>
    </w:p>
    <w:p w14:paraId="72833E0A" w14:textId="77777777" w:rsidR="00A3677B" w:rsidRPr="007345D5" w:rsidRDefault="00A3677B" w:rsidP="00570508">
      <w:pPr>
        <w:adjustRightInd w:val="0"/>
        <w:snapToGrid w:val="0"/>
        <w:spacing w:line="360" w:lineRule="auto"/>
        <w:jc w:val="both"/>
        <w:rPr>
          <w:rFonts w:ascii="Book Antiqua" w:eastAsia="MS PGothic" w:hAnsi="Book Antiqua" w:cs="Arial"/>
          <w:lang w:eastAsia="ja-JP"/>
        </w:rPr>
      </w:pPr>
      <w:r w:rsidRPr="007345D5">
        <w:rPr>
          <w:rFonts w:ascii="Book Antiqua" w:eastAsia="MS PGothic" w:hAnsi="Book Antiqua" w:cs="Arial"/>
        </w:rPr>
        <w:br w:type="page"/>
      </w:r>
    </w:p>
    <w:p w14:paraId="6BE52C64" w14:textId="429F40BC" w:rsidR="00C1732C" w:rsidRPr="007345D5" w:rsidRDefault="00C1732C" w:rsidP="00570508">
      <w:pPr>
        <w:pStyle w:val="CommentTextChar"/>
        <w:adjustRightInd w:val="0"/>
        <w:snapToGrid w:val="0"/>
        <w:spacing w:line="360" w:lineRule="auto"/>
        <w:rPr>
          <w:rFonts w:ascii="Book Antiqua" w:eastAsia="SimSun" w:hAnsi="Book Antiqua" w:cs="Arial"/>
          <w:b/>
          <w:sz w:val="24"/>
          <w:szCs w:val="24"/>
          <w:lang w:val="es-ES_tradnl" w:eastAsia="zh-CN"/>
        </w:rPr>
      </w:pPr>
      <w:r w:rsidRPr="007345D5">
        <w:rPr>
          <w:rFonts w:ascii="Book Antiqua" w:hAnsi="Book Antiqua" w:cs="Arial"/>
          <w:b/>
          <w:sz w:val="24"/>
          <w:szCs w:val="24"/>
          <w:lang w:val="es-ES_tradnl"/>
        </w:rPr>
        <w:lastRenderedPageBreak/>
        <w:t>REFERENCES</w:t>
      </w:r>
    </w:p>
    <w:p w14:paraId="3B14B292" w14:textId="77777777"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val="es-ES_tradnl" w:eastAsia="zh-CN"/>
        </w:rPr>
        <w:t>1 </w:t>
      </w:r>
      <w:r w:rsidRPr="007345D5">
        <w:rPr>
          <w:rFonts w:ascii="Book Antiqua" w:eastAsia="SimSun" w:hAnsi="Book Antiqua" w:cs="SimSun"/>
          <w:b/>
          <w:bCs/>
          <w:lang w:val="es-ES_tradnl" w:eastAsia="zh-CN"/>
        </w:rPr>
        <w:t>Liotta LA</w:t>
      </w:r>
      <w:r w:rsidRPr="007345D5">
        <w:rPr>
          <w:rFonts w:ascii="Book Antiqua" w:eastAsia="SimSun" w:hAnsi="Book Antiqua" w:cs="SimSun"/>
          <w:lang w:val="es-ES_tradnl" w:eastAsia="zh-CN"/>
        </w:rPr>
        <w:t xml:space="preserve">, Kleinerman J, Saidel GM. </w:t>
      </w:r>
      <w:r w:rsidRPr="007345D5">
        <w:rPr>
          <w:rFonts w:ascii="Book Antiqua" w:eastAsia="SimSun" w:hAnsi="Book Antiqua" w:cs="SimSun"/>
          <w:lang w:eastAsia="zh-CN"/>
        </w:rPr>
        <w:t>Quantitative relationships of intravascular tumor cells, tumor vessels, and pulmonary metastases following tumor implantation. </w:t>
      </w:r>
      <w:r w:rsidRPr="007345D5">
        <w:rPr>
          <w:rFonts w:ascii="Book Antiqua" w:eastAsia="SimSun" w:hAnsi="Book Antiqua" w:cs="SimSun"/>
          <w:i/>
          <w:iCs/>
          <w:lang w:eastAsia="zh-CN"/>
        </w:rPr>
        <w:t>Cancer Res</w:t>
      </w:r>
      <w:r w:rsidRPr="007345D5">
        <w:rPr>
          <w:rFonts w:ascii="Book Antiqua" w:eastAsia="SimSun" w:hAnsi="Book Antiqua" w:cs="SimSun"/>
          <w:lang w:eastAsia="zh-CN"/>
        </w:rPr>
        <w:t> 1974; </w:t>
      </w:r>
      <w:r w:rsidRPr="007345D5">
        <w:rPr>
          <w:rFonts w:ascii="Book Antiqua" w:eastAsia="SimSun" w:hAnsi="Book Antiqua" w:cs="SimSun"/>
          <w:b/>
          <w:bCs/>
          <w:lang w:eastAsia="zh-CN"/>
        </w:rPr>
        <w:t>34</w:t>
      </w:r>
      <w:r w:rsidRPr="007345D5">
        <w:rPr>
          <w:rFonts w:ascii="Book Antiqua" w:eastAsia="SimSun" w:hAnsi="Book Antiqua" w:cs="SimSun"/>
          <w:lang w:eastAsia="zh-CN"/>
        </w:rPr>
        <w:t>: 997-1004 [PMID: 4841969]</w:t>
      </w:r>
    </w:p>
    <w:p w14:paraId="2413542C" w14:textId="77777777"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2 </w:t>
      </w:r>
      <w:r w:rsidRPr="007345D5">
        <w:rPr>
          <w:rFonts w:ascii="Book Antiqua" w:eastAsia="SimSun" w:hAnsi="Book Antiqua" w:cs="SimSun"/>
          <w:b/>
          <w:bCs/>
          <w:lang w:eastAsia="zh-CN"/>
        </w:rPr>
        <w:t>Cristofanilli M</w:t>
      </w:r>
      <w:r w:rsidRPr="007345D5">
        <w:rPr>
          <w:rFonts w:ascii="Book Antiqua" w:eastAsia="SimSun" w:hAnsi="Book Antiqua" w:cs="SimSun"/>
          <w:lang w:eastAsia="zh-CN"/>
        </w:rPr>
        <w:t>, Budd GT, Ellis MJ, Stopeck A, Matera J, Miller MC, Reuben JM, Doyle GV, Allard WJ, Terstappen LW, Hayes DF. Circulating tumor cells, disease progression, and survival in metastatic breast cancer. </w:t>
      </w:r>
      <w:r w:rsidRPr="007345D5">
        <w:rPr>
          <w:rFonts w:ascii="Book Antiqua" w:eastAsia="SimSun" w:hAnsi="Book Antiqua" w:cs="SimSun"/>
          <w:i/>
          <w:iCs/>
          <w:lang w:eastAsia="zh-CN"/>
        </w:rPr>
        <w:t>N Engl J Med</w:t>
      </w:r>
      <w:r w:rsidRPr="007345D5">
        <w:rPr>
          <w:rFonts w:ascii="Book Antiqua" w:eastAsia="SimSun" w:hAnsi="Book Antiqua" w:cs="SimSun"/>
          <w:lang w:eastAsia="zh-CN"/>
        </w:rPr>
        <w:t> 2004; </w:t>
      </w:r>
      <w:r w:rsidRPr="007345D5">
        <w:rPr>
          <w:rFonts w:ascii="Book Antiqua" w:eastAsia="SimSun" w:hAnsi="Book Antiqua" w:cs="SimSun"/>
          <w:b/>
          <w:bCs/>
          <w:lang w:eastAsia="zh-CN"/>
        </w:rPr>
        <w:t>351</w:t>
      </w:r>
      <w:r w:rsidRPr="007345D5">
        <w:rPr>
          <w:rFonts w:ascii="Book Antiqua" w:eastAsia="SimSun" w:hAnsi="Book Antiqua" w:cs="SimSun"/>
          <w:lang w:eastAsia="zh-CN"/>
        </w:rPr>
        <w:t>: 781-791 [PMID: 15317891 DOI: 10.1056/NEJMoa040766]</w:t>
      </w:r>
    </w:p>
    <w:p w14:paraId="1490DA41" w14:textId="77777777"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3 </w:t>
      </w:r>
      <w:r w:rsidRPr="007345D5">
        <w:rPr>
          <w:rFonts w:ascii="Book Antiqua" w:eastAsia="SimSun" w:hAnsi="Book Antiqua" w:cs="SimSun"/>
          <w:b/>
          <w:bCs/>
          <w:lang w:eastAsia="zh-CN"/>
        </w:rPr>
        <w:t>Krebs MG</w:t>
      </w:r>
      <w:r w:rsidRPr="007345D5">
        <w:rPr>
          <w:rFonts w:ascii="Book Antiqua" w:eastAsia="SimSun" w:hAnsi="Book Antiqua" w:cs="SimSun"/>
          <w:lang w:eastAsia="zh-CN"/>
        </w:rPr>
        <w:t>, Sloane R, Priest L, Lancashire L, Hou JM, Greystoke A, Ward TH, Ferraldeschi R, Hughes A, Clack G, Ranson M, Dive C, Blackhall FH. Evaluation and prognostic significance of circulating tumor cells in patients with non-small-cell lung cancer. </w:t>
      </w:r>
      <w:r w:rsidRPr="007345D5">
        <w:rPr>
          <w:rFonts w:ascii="Book Antiqua" w:eastAsia="SimSun" w:hAnsi="Book Antiqua" w:cs="SimSun"/>
          <w:i/>
          <w:iCs/>
          <w:lang w:eastAsia="zh-CN"/>
        </w:rPr>
        <w:t>J Clin Oncol</w:t>
      </w:r>
      <w:r w:rsidRPr="007345D5">
        <w:rPr>
          <w:rFonts w:ascii="Book Antiqua" w:eastAsia="SimSun" w:hAnsi="Book Antiqua" w:cs="SimSun"/>
          <w:lang w:eastAsia="zh-CN"/>
        </w:rPr>
        <w:t> 2011; </w:t>
      </w:r>
      <w:r w:rsidRPr="007345D5">
        <w:rPr>
          <w:rFonts w:ascii="Book Antiqua" w:eastAsia="SimSun" w:hAnsi="Book Antiqua" w:cs="SimSun"/>
          <w:b/>
          <w:bCs/>
          <w:lang w:eastAsia="zh-CN"/>
        </w:rPr>
        <w:t>29</w:t>
      </w:r>
      <w:r w:rsidRPr="007345D5">
        <w:rPr>
          <w:rFonts w:ascii="Book Antiqua" w:eastAsia="SimSun" w:hAnsi="Book Antiqua" w:cs="SimSun"/>
          <w:lang w:eastAsia="zh-CN"/>
        </w:rPr>
        <w:t>: 1556-1563 [PMID: 21422424 DOI: 10.1200/JCO.2010.28.7045]</w:t>
      </w:r>
    </w:p>
    <w:p w14:paraId="1411A0EB" w14:textId="77777777"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4 </w:t>
      </w:r>
      <w:r w:rsidRPr="007345D5">
        <w:rPr>
          <w:rFonts w:ascii="Book Antiqua" w:eastAsia="SimSun" w:hAnsi="Book Antiqua" w:cs="SimSun"/>
          <w:b/>
          <w:bCs/>
          <w:lang w:eastAsia="zh-CN"/>
        </w:rPr>
        <w:t>Moreno JG</w:t>
      </w:r>
      <w:r w:rsidRPr="007345D5">
        <w:rPr>
          <w:rFonts w:ascii="Book Antiqua" w:eastAsia="SimSun" w:hAnsi="Book Antiqua" w:cs="SimSun"/>
          <w:lang w:eastAsia="zh-CN"/>
        </w:rPr>
        <w:t>, Miller MC, Gross S, Allard WJ, Gomella LG, Terstappen LW. Circulating tumor cells predict survival in patients with metastatic prostate cancer. </w:t>
      </w:r>
      <w:r w:rsidRPr="007345D5">
        <w:rPr>
          <w:rFonts w:ascii="Book Antiqua" w:eastAsia="SimSun" w:hAnsi="Book Antiqua" w:cs="SimSun"/>
          <w:i/>
          <w:iCs/>
          <w:lang w:eastAsia="zh-CN"/>
        </w:rPr>
        <w:t>Urology</w:t>
      </w:r>
      <w:r w:rsidRPr="007345D5">
        <w:rPr>
          <w:rFonts w:ascii="Book Antiqua" w:eastAsia="SimSun" w:hAnsi="Book Antiqua" w:cs="SimSun"/>
          <w:lang w:eastAsia="zh-CN"/>
        </w:rPr>
        <w:t> 2005; </w:t>
      </w:r>
      <w:r w:rsidRPr="007345D5">
        <w:rPr>
          <w:rFonts w:ascii="Book Antiqua" w:eastAsia="SimSun" w:hAnsi="Book Antiqua" w:cs="SimSun"/>
          <w:b/>
          <w:bCs/>
          <w:lang w:eastAsia="zh-CN"/>
        </w:rPr>
        <w:t>65</w:t>
      </w:r>
      <w:r w:rsidRPr="007345D5">
        <w:rPr>
          <w:rFonts w:ascii="Book Antiqua" w:eastAsia="SimSun" w:hAnsi="Book Antiqua" w:cs="SimSun"/>
          <w:lang w:eastAsia="zh-CN"/>
        </w:rPr>
        <w:t>: 713-718 [PMID: 15833514 DOI: 10.1016/j.urology.2004.11.006]</w:t>
      </w:r>
    </w:p>
    <w:p w14:paraId="03571EC8" w14:textId="77777777"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5 </w:t>
      </w:r>
      <w:r w:rsidRPr="007345D5">
        <w:rPr>
          <w:rFonts w:ascii="Book Antiqua" w:eastAsia="SimSun" w:hAnsi="Book Antiqua" w:cs="SimSun"/>
          <w:b/>
          <w:bCs/>
          <w:lang w:eastAsia="zh-CN"/>
        </w:rPr>
        <w:t>Mocellin S</w:t>
      </w:r>
      <w:r w:rsidRPr="007345D5">
        <w:rPr>
          <w:rFonts w:ascii="Book Antiqua" w:eastAsia="SimSun" w:hAnsi="Book Antiqua" w:cs="SimSun"/>
          <w:lang w:eastAsia="zh-CN"/>
        </w:rPr>
        <w:t>, Del Fiore P, Guarnieri L, Scalerta R, Foletto M, Chiarion V, Pilati P, Nitti D, Lise M, Rossi CR. Molecular detection of circulating tumor cells is an independent prognostic factor in patients with high-risk cutaneous melanoma. </w:t>
      </w:r>
      <w:r w:rsidRPr="007345D5">
        <w:rPr>
          <w:rFonts w:ascii="Book Antiqua" w:eastAsia="SimSun" w:hAnsi="Book Antiqua" w:cs="SimSun"/>
          <w:i/>
          <w:iCs/>
          <w:lang w:eastAsia="zh-CN"/>
        </w:rPr>
        <w:t>Int J Cancer</w:t>
      </w:r>
      <w:r w:rsidRPr="007345D5">
        <w:rPr>
          <w:rFonts w:ascii="Book Antiqua" w:eastAsia="SimSun" w:hAnsi="Book Antiqua" w:cs="SimSun"/>
          <w:lang w:eastAsia="zh-CN"/>
        </w:rPr>
        <w:t> 2004; </w:t>
      </w:r>
      <w:r w:rsidRPr="007345D5">
        <w:rPr>
          <w:rFonts w:ascii="Book Antiqua" w:eastAsia="SimSun" w:hAnsi="Book Antiqua" w:cs="SimSun"/>
          <w:b/>
          <w:bCs/>
          <w:lang w:eastAsia="zh-CN"/>
        </w:rPr>
        <w:t>111</w:t>
      </w:r>
      <w:r w:rsidRPr="007345D5">
        <w:rPr>
          <w:rFonts w:ascii="Book Antiqua" w:eastAsia="SimSun" w:hAnsi="Book Antiqua" w:cs="SimSun"/>
          <w:lang w:eastAsia="zh-CN"/>
        </w:rPr>
        <w:t>: 741-745 [PMID: 15252844 DOI: 10.1002/ijc.20347]</w:t>
      </w:r>
    </w:p>
    <w:p w14:paraId="4044961A" w14:textId="4508F85D" w:rsidR="003939E4" w:rsidRPr="007345D5" w:rsidRDefault="003939E4" w:rsidP="003939E4">
      <w:pPr>
        <w:adjustRightInd w:val="0"/>
        <w:snapToGrid w:val="0"/>
        <w:spacing w:line="360" w:lineRule="auto"/>
        <w:jc w:val="both"/>
        <w:rPr>
          <w:rFonts w:ascii="Book Antiqua" w:eastAsia="MS Mincho" w:hAnsi="Book Antiqua" w:cs="Arial"/>
          <w:lang w:eastAsia="ja-JP"/>
        </w:rPr>
      </w:pPr>
      <w:r w:rsidRPr="007345D5">
        <w:rPr>
          <w:rFonts w:ascii="Book Antiqua" w:eastAsia="SimSun" w:hAnsi="Book Antiqua" w:cs="SimSun"/>
          <w:lang w:eastAsia="ja-JP"/>
        </w:rPr>
        <w:t xml:space="preserve">6 </w:t>
      </w:r>
      <w:r w:rsidRPr="007345D5">
        <w:rPr>
          <w:rFonts w:ascii="Book Antiqua" w:eastAsia="MS Mincho" w:hAnsi="Book Antiqua" w:cs="Arial"/>
          <w:b/>
          <w:lang w:eastAsia="ja-JP"/>
        </w:rPr>
        <w:t>Cohen SJ</w:t>
      </w:r>
      <w:r w:rsidRPr="007345D5">
        <w:rPr>
          <w:rFonts w:ascii="Book Antiqua" w:eastAsia="MS Mincho" w:hAnsi="Book Antiqua" w:cs="Arial"/>
          <w:lang w:eastAsia="ja-JP"/>
        </w:rPr>
        <w:t xml:space="preserve">, Punt CJ, Iannotti N, Saidman BH, Sabbath KD, Gabrail NY, Picus J, Morse M, Mitchell E, Miller MC, Doyle GV, Tissing H, Terstappen LW, Meropol NJ. Relationship of circulating tumor cells to tumor response, progression-free survival, and overall survival in patients with metastatic colorectal cancer. </w:t>
      </w:r>
      <w:r w:rsidRPr="007345D5">
        <w:rPr>
          <w:rFonts w:ascii="Book Antiqua" w:eastAsia="MS Mincho" w:hAnsi="Book Antiqua" w:cs="Arial"/>
          <w:i/>
          <w:lang w:eastAsia="ja-JP"/>
        </w:rPr>
        <w:t>J Clin Oncol</w:t>
      </w:r>
      <w:r w:rsidRPr="007345D5">
        <w:rPr>
          <w:rFonts w:ascii="Book Antiqua" w:eastAsia="MS Mincho" w:hAnsi="Book Antiqua" w:cs="Arial"/>
          <w:lang w:eastAsia="ja-JP"/>
        </w:rPr>
        <w:t xml:space="preserve"> 2008; </w:t>
      </w:r>
      <w:r w:rsidRPr="007345D5">
        <w:rPr>
          <w:rFonts w:ascii="Book Antiqua" w:eastAsia="MS Mincho" w:hAnsi="Book Antiqua" w:cs="Arial"/>
          <w:b/>
          <w:lang w:eastAsia="ja-JP"/>
        </w:rPr>
        <w:t>26</w:t>
      </w:r>
      <w:r w:rsidRPr="007345D5">
        <w:rPr>
          <w:rFonts w:ascii="Book Antiqua" w:eastAsia="MS Mincho" w:hAnsi="Book Antiqua" w:cs="Arial"/>
          <w:lang w:eastAsia="ja-JP"/>
        </w:rPr>
        <w:t>: 3213-3221 [PMID: 18591556 DOI: 10.1200/JCO.2007.15.8923]</w:t>
      </w:r>
    </w:p>
    <w:p w14:paraId="042CD245" w14:textId="1CBC96AA" w:rsidR="00197918" w:rsidRPr="007345D5" w:rsidRDefault="006B5193" w:rsidP="003939E4">
      <w:pPr>
        <w:adjustRightInd w:val="0"/>
        <w:snapToGrid w:val="0"/>
        <w:spacing w:line="360" w:lineRule="auto"/>
        <w:jc w:val="both"/>
        <w:rPr>
          <w:rFonts w:ascii="Book Antiqua" w:eastAsia="MS Mincho" w:hAnsi="Book Antiqua" w:cs="Arial"/>
          <w:lang w:eastAsia="ja-JP"/>
        </w:rPr>
      </w:pPr>
      <w:r w:rsidRPr="007345D5">
        <w:rPr>
          <w:rFonts w:ascii="Book Antiqua" w:eastAsia="MS Mincho" w:hAnsi="Book Antiqua" w:cs="Arial"/>
          <w:lang w:eastAsia="ja-JP"/>
        </w:rPr>
        <w:t>7</w:t>
      </w:r>
      <w:r w:rsidR="00197918" w:rsidRPr="007345D5">
        <w:rPr>
          <w:rFonts w:ascii="Book Antiqua" w:eastAsia="MS Mincho" w:hAnsi="Book Antiqua" w:cs="Arial"/>
          <w:lang w:eastAsia="ja-JP"/>
        </w:rPr>
        <w:t xml:space="preserve"> </w:t>
      </w:r>
      <w:r w:rsidR="00197918" w:rsidRPr="007345D5">
        <w:rPr>
          <w:rFonts w:ascii="Book Antiqua" w:eastAsia="MS Mincho" w:hAnsi="Book Antiqua" w:cs="Arial"/>
          <w:b/>
          <w:lang w:eastAsia="ja-JP"/>
        </w:rPr>
        <w:t>Inoue M</w:t>
      </w:r>
      <w:r w:rsidR="00197918" w:rsidRPr="007345D5">
        <w:rPr>
          <w:rFonts w:ascii="Book Antiqua" w:eastAsia="MS Mincho" w:hAnsi="Book Antiqua" w:cs="Arial"/>
          <w:lang w:eastAsia="ja-JP"/>
        </w:rPr>
        <w:t xml:space="preserve">, Otsuka K, Shibata H. Circulating tumor cell count as a biomarker of a specific gastric cancer subgroup characterized by bone metastasis and/or </w:t>
      </w:r>
      <w:r w:rsidR="00197918" w:rsidRPr="007345D5">
        <w:rPr>
          <w:rFonts w:ascii="Book Antiqua" w:eastAsia="MS Mincho" w:hAnsi="Book Antiqua" w:cs="Arial"/>
          <w:lang w:eastAsia="ja-JP"/>
        </w:rPr>
        <w:lastRenderedPageBreak/>
        <w:t xml:space="preserve">disseminated intravascular coagulation - an early indicator of chemotherapeutic response. </w:t>
      </w:r>
      <w:r w:rsidR="00197918" w:rsidRPr="007345D5">
        <w:rPr>
          <w:rFonts w:ascii="Book Antiqua" w:eastAsia="MS Mincho" w:hAnsi="Book Antiqua" w:cs="Arial"/>
          <w:i/>
          <w:lang w:eastAsia="ja-JP"/>
        </w:rPr>
        <w:t>Oncol Lett</w:t>
      </w:r>
      <w:r w:rsidR="00197918" w:rsidRPr="007345D5">
        <w:rPr>
          <w:rFonts w:ascii="Book Antiqua" w:eastAsia="MS Mincho" w:hAnsi="Book Antiqua" w:cs="Arial"/>
          <w:lang w:eastAsia="ja-JP"/>
        </w:rPr>
        <w:t xml:space="preserve"> 2016;</w:t>
      </w:r>
      <w:r w:rsidR="00554B23" w:rsidRPr="007345D5">
        <w:rPr>
          <w:rFonts w:ascii="Book Antiqua" w:eastAsia="MS Mincho" w:hAnsi="Book Antiqua" w:cs="Arial"/>
          <w:lang w:eastAsia="ja-JP"/>
        </w:rPr>
        <w:t xml:space="preserve"> </w:t>
      </w:r>
      <w:r w:rsidR="00197918" w:rsidRPr="007345D5">
        <w:rPr>
          <w:rFonts w:ascii="Book Antiqua" w:eastAsia="MS Mincho" w:hAnsi="Book Antiqua" w:cs="Arial"/>
          <w:b/>
          <w:lang w:eastAsia="ja-JP"/>
        </w:rPr>
        <w:t>11</w:t>
      </w:r>
      <w:r w:rsidR="00197918" w:rsidRPr="007345D5">
        <w:rPr>
          <w:rFonts w:ascii="Book Antiqua" w:eastAsia="MS Mincho" w:hAnsi="Book Antiqua" w:cs="Arial"/>
          <w:lang w:eastAsia="ja-JP"/>
        </w:rPr>
        <w:t>:</w:t>
      </w:r>
      <w:r w:rsidR="00554B23" w:rsidRPr="007345D5">
        <w:rPr>
          <w:rFonts w:ascii="Book Antiqua" w:eastAsia="MS Mincho" w:hAnsi="Book Antiqua" w:cs="Arial"/>
          <w:lang w:eastAsia="ja-JP"/>
        </w:rPr>
        <w:t xml:space="preserve"> </w:t>
      </w:r>
      <w:r w:rsidR="00197918" w:rsidRPr="007345D5">
        <w:rPr>
          <w:rFonts w:ascii="Book Antiqua" w:eastAsia="MS Mincho" w:hAnsi="Book Antiqua" w:cs="Arial"/>
          <w:lang w:eastAsia="ja-JP"/>
        </w:rPr>
        <w:t>1294-1298 [</w:t>
      </w:r>
      <w:r w:rsidR="00554B23" w:rsidRPr="007345D5">
        <w:rPr>
          <w:rFonts w:ascii="Book Antiqua" w:eastAsia="MS Mincho" w:hAnsi="Book Antiqua" w:cs="Arial"/>
          <w:lang w:eastAsia="ja-JP"/>
        </w:rPr>
        <w:t>PMID: 26893733 DOI: 10.3892/ol.2015.4056</w:t>
      </w:r>
      <w:r w:rsidR="00197918" w:rsidRPr="007345D5">
        <w:rPr>
          <w:rFonts w:ascii="Book Antiqua" w:eastAsia="MS Mincho" w:hAnsi="Book Antiqua" w:cs="Arial"/>
          <w:lang w:eastAsia="ja-JP"/>
        </w:rPr>
        <w:t>]</w:t>
      </w:r>
    </w:p>
    <w:p w14:paraId="223F4D2C" w14:textId="1A74A32B" w:rsidR="003939E4" w:rsidRPr="007345D5" w:rsidRDefault="006B5193"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8</w:t>
      </w:r>
      <w:r w:rsidR="003939E4" w:rsidRPr="007345D5">
        <w:rPr>
          <w:rFonts w:ascii="Book Antiqua" w:eastAsia="SimSun" w:hAnsi="Book Antiqua" w:cs="SimSun"/>
          <w:lang w:eastAsia="zh-CN"/>
        </w:rPr>
        <w:t> </w:t>
      </w:r>
      <w:r w:rsidR="003939E4" w:rsidRPr="007345D5">
        <w:rPr>
          <w:rFonts w:ascii="Book Antiqua" w:eastAsia="SimSun" w:hAnsi="Book Antiqua" w:cs="SimSun"/>
          <w:b/>
          <w:bCs/>
          <w:lang w:eastAsia="zh-CN"/>
        </w:rPr>
        <w:t>Ito H</w:t>
      </w:r>
      <w:r w:rsidR="003939E4" w:rsidRPr="007345D5">
        <w:rPr>
          <w:rFonts w:ascii="Book Antiqua" w:eastAsia="SimSun" w:hAnsi="Book Antiqua" w:cs="SimSun"/>
          <w:lang w:eastAsia="zh-CN"/>
        </w:rPr>
        <w:t>, Kanda T, Nishimaki T, Sato H, Nakagawa S, Hatakeyama K. Detection and quantification of circulating tumor cells in patients with esophageal cancer by real-time polymerase chain reaction. </w:t>
      </w:r>
      <w:r w:rsidR="003939E4" w:rsidRPr="007345D5">
        <w:rPr>
          <w:rFonts w:ascii="Book Antiqua" w:eastAsia="SimSun" w:hAnsi="Book Antiqua" w:cs="SimSun"/>
          <w:i/>
          <w:iCs/>
          <w:lang w:eastAsia="zh-CN"/>
        </w:rPr>
        <w:t>J Exp Clin Cancer Res</w:t>
      </w:r>
      <w:r w:rsidR="003939E4" w:rsidRPr="007345D5">
        <w:rPr>
          <w:rFonts w:ascii="Book Antiqua" w:eastAsia="SimSun" w:hAnsi="Book Antiqua" w:cs="SimSun"/>
          <w:lang w:eastAsia="zh-CN"/>
        </w:rPr>
        <w:t> 2004; </w:t>
      </w:r>
      <w:r w:rsidR="003939E4" w:rsidRPr="007345D5">
        <w:rPr>
          <w:rFonts w:ascii="Book Antiqua" w:eastAsia="SimSun" w:hAnsi="Book Antiqua" w:cs="SimSun"/>
          <w:b/>
          <w:bCs/>
          <w:lang w:eastAsia="zh-CN"/>
        </w:rPr>
        <w:t>23</w:t>
      </w:r>
      <w:r w:rsidR="003939E4" w:rsidRPr="007345D5">
        <w:rPr>
          <w:rFonts w:ascii="Book Antiqua" w:eastAsia="SimSun" w:hAnsi="Book Antiqua" w:cs="SimSun"/>
          <w:lang w:eastAsia="zh-CN"/>
        </w:rPr>
        <w:t>: 455-464 [PMID: 15595636]</w:t>
      </w:r>
    </w:p>
    <w:p w14:paraId="71804FC6" w14:textId="6AE9163C" w:rsidR="003939E4" w:rsidRPr="007345D5" w:rsidRDefault="006B5193"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9</w:t>
      </w:r>
      <w:r w:rsidR="003939E4" w:rsidRPr="007345D5">
        <w:rPr>
          <w:rFonts w:ascii="Book Antiqua" w:eastAsia="SimSun" w:hAnsi="Book Antiqua" w:cs="SimSun"/>
          <w:lang w:eastAsia="zh-CN"/>
        </w:rPr>
        <w:t> </w:t>
      </w:r>
      <w:r w:rsidR="003939E4" w:rsidRPr="007345D5">
        <w:rPr>
          <w:rFonts w:ascii="Book Antiqua" w:eastAsia="SimSun" w:hAnsi="Book Antiqua" w:cs="SimSun"/>
          <w:b/>
          <w:bCs/>
          <w:lang w:eastAsia="zh-CN"/>
        </w:rPr>
        <w:t>Honma H</w:t>
      </w:r>
      <w:r w:rsidR="003939E4" w:rsidRPr="007345D5">
        <w:rPr>
          <w:rFonts w:ascii="Book Antiqua" w:eastAsia="SimSun" w:hAnsi="Book Antiqua" w:cs="SimSun"/>
          <w:lang w:eastAsia="zh-CN"/>
        </w:rPr>
        <w:t>, Kanda T, Ito H, Wakai T, Nakagawa S, Ohashi M, Koyama Y, Valera VA, Akazawa K, Hatakeyama K. Squamous cell carcinoma-antigen messenger RNA level in peripheral blood predicts recurrence after resection in patients with esophageal squamous cell carcinoma. </w:t>
      </w:r>
      <w:r w:rsidR="003939E4" w:rsidRPr="007345D5">
        <w:rPr>
          <w:rFonts w:ascii="Book Antiqua" w:eastAsia="SimSun" w:hAnsi="Book Antiqua" w:cs="SimSun"/>
          <w:i/>
          <w:iCs/>
          <w:lang w:eastAsia="zh-CN"/>
        </w:rPr>
        <w:t>Surgery</w:t>
      </w:r>
      <w:r w:rsidR="003939E4" w:rsidRPr="007345D5">
        <w:rPr>
          <w:rFonts w:ascii="Book Antiqua" w:eastAsia="SimSun" w:hAnsi="Book Antiqua" w:cs="SimSun"/>
          <w:lang w:eastAsia="zh-CN"/>
        </w:rPr>
        <w:t> 2006; </w:t>
      </w:r>
      <w:r w:rsidR="003939E4" w:rsidRPr="007345D5">
        <w:rPr>
          <w:rFonts w:ascii="Book Antiqua" w:eastAsia="SimSun" w:hAnsi="Book Antiqua" w:cs="SimSun"/>
          <w:b/>
          <w:bCs/>
          <w:lang w:eastAsia="zh-CN"/>
        </w:rPr>
        <w:t>139</w:t>
      </w:r>
      <w:r w:rsidR="003939E4" w:rsidRPr="007345D5">
        <w:rPr>
          <w:rFonts w:ascii="Book Antiqua" w:eastAsia="SimSun" w:hAnsi="Book Antiqua" w:cs="SimSun"/>
          <w:lang w:eastAsia="zh-CN"/>
        </w:rPr>
        <w:t>: 678-685 [PMID: 16701102 DOI: 10.1016/j.surg.2005.09.022]</w:t>
      </w:r>
    </w:p>
    <w:p w14:paraId="62814102" w14:textId="35B881D9" w:rsidR="003939E4" w:rsidRPr="007345D5" w:rsidRDefault="006B5193"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10</w:t>
      </w:r>
      <w:r w:rsidR="003939E4" w:rsidRPr="007345D5">
        <w:rPr>
          <w:rFonts w:ascii="Book Antiqua" w:eastAsia="SimSun" w:hAnsi="Book Antiqua" w:cs="SimSun"/>
          <w:lang w:eastAsia="zh-CN"/>
        </w:rPr>
        <w:t> </w:t>
      </w:r>
      <w:r w:rsidR="003939E4" w:rsidRPr="007345D5">
        <w:rPr>
          <w:rFonts w:ascii="Book Antiqua" w:eastAsia="SimSun" w:hAnsi="Book Antiqua" w:cs="SimSun"/>
          <w:b/>
          <w:bCs/>
          <w:lang w:eastAsia="zh-CN"/>
        </w:rPr>
        <w:t>Gertler R</w:t>
      </w:r>
      <w:r w:rsidR="003939E4" w:rsidRPr="007345D5">
        <w:rPr>
          <w:rFonts w:ascii="Book Antiqua" w:eastAsia="SimSun" w:hAnsi="Book Antiqua" w:cs="SimSun"/>
          <w:lang w:eastAsia="zh-CN"/>
        </w:rPr>
        <w:t>, Rosenberg R, Fuehrer K, Dahm M, Nekarda H, Siewert JR. Detection of circulating tumor cells in blood using an optimized density gradient centrifugation. </w:t>
      </w:r>
      <w:r w:rsidR="003939E4" w:rsidRPr="007345D5">
        <w:rPr>
          <w:rFonts w:ascii="Book Antiqua" w:eastAsia="SimSun" w:hAnsi="Book Antiqua" w:cs="SimSun"/>
          <w:i/>
          <w:iCs/>
          <w:lang w:eastAsia="zh-CN"/>
        </w:rPr>
        <w:t>Recent Results Cancer Res</w:t>
      </w:r>
      <w:r w:rsidR="003939E4" w:rsidRPr="007345D5">
        <w:rPr>
          <w:rFonts w:ascii="Book Antiqua" w:eastAsia="SimSun" w:hAnsi="Book Antiqua" w:cs="SimSun"/>
          <w:lang w:eastAsia="zh-CN"/>
        </w:rPr>
        <w:t> 2003; </w:t>
      </w:r>
      <w:r w:rsidR="003939E4" w:rsidRPr="007345D5">
        <w:rPr>
          <w:rFonts w:ascii="Book Antiqua" w:eastAsia="SimSun" w:hAnsi="Book Antiqua" w:cs="SimSun"/>
          <w:b/>
          <w:bCs/>
          <w:lang w:eastAsia="zh-CN"/>
        </w:rPr>
        <w:t>162</w:t>
      </w:r>
      <w:r w:rsidR="003939E4" w:rsidRPr="007345D5">
        <w:rPr>
          <w:rFonts w:ascii="Book Antiqua" w:eastAsia="SimSun" w:hAnsi="Book Antiqua" w:cs="SimSun"/>
          <w:lang w:eastAsia="zh-CN"/>
        </w:rPr>
        <w:t>: 149-155 [PMID: 12790329]</w:t>
      </w:r>
    </w:p>
    <w:p w14:paraId="13A7E117" w14:textId="0A15B5C5"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1</w:t>
      </w:r>
      <w:r w:rsidR="006B5193" w:rsidRPr="007345D5">
        <w:rPr>
          <w:rFonts w:ascii="Book Antiqua" w:eastAsia="SimSun" w:hAnsi="Book Antiqua" w:cs="SimSun"/>
          <w:lang w:eastAsia="zh-CN"/>
        </w:rPr>
        <w:t>1</w:t>
      </w:r>
      <w:r w:rsidRPr="007345D5">
        <w:rPr>
          <w:rFonts w:ascii="Book Antiqua" w:eastAsia="SimSun" w:hAnsi="Book Antiqua" w:cs="SimSun"/>
          <w:lang w:eastAsia="zh-CN"/>
        </w:rPr>
        <w:t> </w:t>
      </w:r>
      <w:r w:rsidRPr="007345D5">
        <w:rPr>
          <w:rFonts w:ascii="Book Antiqua" w:eastAsia="SimSun" w:hAnsi="Book Antiqua" w:cs="SimSun"/>
          <w:b/>
          <w:bCs/>
          <w:lang w:eastAsia="zh-CN"/>
        </w:rPr>
        <w:t>Talasaz AH</w:t>
      </w:r>
      <w:r w:rsidRPr="007345D5">
        <w:rPr>
          <w:rFonts w:ascii="Book Antiqua" w:eastAsia="SimSun" w:hAnsi="Book Antiqua" w:cs="SimSun"/>
          <w:lang w:eastAsia="zh-CN"/>
        </w:rPr>
        <w:t>, Powell AA, Huber DE, Berbee JG, Roh KH, Yu W, Xiao W, Davis MM, Pease RF, Mindrinos MN, Jeffrey SS, Davis RW. Isolating highly enriched populations of circulating epithelial cells and other rare cells from blood using a magnetic sweeper device. </w:t>
      </w:r>
      <w:r w:rsidRPr="007345D5">
        <w:rPr>
          <w:rFonts w:ascii="Book Antiqua" w:eastAsia="SimSun" w:hAnsi="Book Antiqua" w:cs="SimSun"/>
          <w:i/>
          <w:iCs/>
          <w:lang w:eastAsia="zh-CN"/>
        </w:rPr>
        <w:t>Proc Natl Acad Sci U S A</w:t>
      </w:r>
      <w:r w:rsidRPr="007345D5">
        <w:rPr>
          <w:rFonts w:ascii="Book Antiqua" w:eastAsia="SimSun" w:hAnsi="Book Antiqua" w:cs="SimSun"/>
          <w:lang w:eastAsia="zh-CN"/>
        </w:rPr>
        <w:t> 2009; </w:t>
      </w:r>
      <w:r w:rsidRPr="007345D5">
        <w:rPr>
          <w:rFonts w:ascii="Book Antiqua" w:eastAsia="SimSun" w:hAnsi="Book Antiqua" w:cs="SimSun"/>
          <w:b/>
          <w:bCs/>
          <w:lang w:eastAsia="zh-CN"/>
        </w:rPr>
        <w:t>106</w:t>
      </w:r>
      <w:r w:rsidRPr="007345D5">
        <w:rPr>
          <w:rFonts w:ascii="Book Antiqua" w:eastAsia="SimSun" w:hAnsi="Book Antiqua" w:cs="SimSun"/>
          <w:lang w:eastAsia="zh-CN"/>
        </w:rPr>
        <w:t>: 3970-3975 [PMID: 19234122 DOI: 10.1073/pnas.0813188106]</w:t>
      </w:r>
    </w:p>
    <w:p w14:paraId="2A72F065" w14:textId="04440841"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1</w:t>
      </w:r>
      <w:r w:rsidR="006B5193" w:rsidRPr="007345D5">
        <w:rPr>
          <w:rFonts w:ascii="Book Antiqua" w:eastAsia="SimSun" w:hAnsi="Book Antiqua" w:cs="SimSun"/>
          <w:lang w:eastAsia="zh-CN"/>
        </w:rPr>
        <w:t>2</w:t>
      </w:r>
      <w:r w:rsidRPr="007345D5">
        <w:rPr>
          <w:rFonts w:ascii="Book Antiqua" w:eastAsia="SimSun" w:hAnsi="Book Antiqua" w:cs="SimSun"/>
          <w:lang w:eastAsia="zh-CN"/>
        </w:rPr>
        <w:t> </w:t>
      </w:r>
      <w:r w:rsidRPr="007345D5">
        <w:rPr>
          <w:rFonts w:ascii="Book Antiqua" w:eastAsia="SimSun" w:hAnsi="Book Antiqua" w:cs="SimSun"/>
          <w:b/>
          <w:bCs/>
          <w:lang w:eastAsia="zh-CN"/>
        </w:rPr>
        <w:t>He W</w:t>
      </w:r>
      <w:r w:rsidRPr="007345D5">
        <w:rPr>
          <w:rFonts w:ascii="Book Antiqua" w:eastAsia="SimSun" w:hAnsi="Book Antiqua" w:cs="SimSun"/>
          <w:lang w:eastAsia="zh-CN"/>
        </w:rPr>
        <w:t>, Wang H, Hartmann LC, Cheng JX, Low PS. In vivo quantitation of rare circulating tumor cells by multiphoton intravital flow cytometry. </w:t>
      </w:r>
      <w:r w:rsidRPr="007345D5">
        <w:rPr>
          <w:rFonts w:ascii="Book Antiqua" w:eastAsia="SimSun" w:hAnsi="Book Antiqua" w:cs="SimSun"/>
          <w:i/>
          <w:iCs/>
          <w:lang w:eastAsia="zh-CN"/>
        </w:rPr>
        <w:t>Proc Natl Acad Sci U S A</w:t>
      </w:r>
      <w:r w:rsidRPr="007345D5">
        <w:rPr>
          <w:rFonts w:ascii="Book Antiqua" w:eastAsia="SimSun" w:hAnsi="Book Antiqua" w:cs="SimSun"/>
          <w:lang w:eastAsia="zh-CN"/>
        </w:rPr>
        <w:t> 2007; </w:t>
      </w:r>
      <w:r w:rsidRPr="007345D5">
        <w:rPr>
          <w:rFonts w:ascii="Book Antiqua" w:eastAsia="SimSun" w:hAnsi="Book Antiqua" w:cs="SimSun"/>
          <w:b/>
          <w:bCs/>
          <w:lang w:eastAsia="zh-CN"/>
        </w:rPr>
        <w:t>104</w:t>
      </w:r>
      <w:r w:rsidRPr="007345D5">
        <w:rPr>
          <w:rFonts w:ascii="Book Antiqua" w:eastAsia="SimSun" w:hAnsi="Book Antiqua" w:cs="SimSun"/>
          <w:lang w:eastAsia="zh-CN"/>
        </w:rPr>
        <w:t>: 11760-11765 [PMID: 17601776 DOI: 10.1073/pnas.0703875104]</w:t>
      </w:r>
    </w:p>
    <w:p w14:paraId="167D1FA5" w14:textId="4E33AE9B"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1</w:t>
      </w:r>
      <w:r w:rsidR="006B5193" w:rsidRPr="007345D5">
        <w:rPr>
          <w:rFonts w:ascii="Book Antiqua" w:eastAsia="SimSun" w:hAnsi="Book Antiqua" w:cs="SimSun"/>
          <w:lang w:eastAsia="zh-CN"/>
        </w:rPr>
        <w:t>3</w:t>
      </w:r>
      <w:r w:rsidRPr="007345D5">
        <w:rPr>
          <w:rFonts w:ascii="Book Antiqua" w:eastAsia="SimSun" w:hAnsi="Book Antiqua" w:cs="SimSun"/>
          <w:lang w:eastAsia="zh-CN"/>
        </w:rPr>
        <w:t> </w:t>
      </w:r>
      <w:r w:rsidRPr="007345D5">
        <w:rPr>
          <w:rFonts w:ascii="Book Antiqua" w:eastAsia="SimSun" w:hAnsi="Book Antiqua" w:cs="SimSun"/>
          <w:b/>
          <w:bCs/>
          <w:lang w:eastAsia="zh-CN"/>
        </w:rPr>
        <w:t>Vona G</w:t>
      </w:r>
      <w:r w:rsidRPr="007345D5">
        <w:rPr>
          <w:rFonts w:ascii="Book Antiqua" w:eastAsia="SimSun" w:hAnsi="Book Antiqua" w:cs="SimSun"/>
          <w:lang w:eastAsia="zh-CN"/>
        </w:rPr>
        <w:t>, Sabile A, Louha M, Sitruk V, Romana S, Schütze K, Capron F, Franco D, Pazzagli M, Vekemans M, Lacour B, Bréchot C, Paterlini-Bréchot P. Isolation by size of epithelial tumor cells : a new method for the immunomorphological and molecular characterization of circulating</w:t>
      </w:r>
      <w:r w:rsidR="00AD4D39" w:rsidRPr="007345D5">
        <w:rPr>
          <w:rFonts w:ascii="Book Antiqua" w:eastAsia="SimSun" w:hAnsi="Book Antiqua" w:cs="SimSun"/>
          <w:lang w:eastAsia="zh-CN"/>
        </w:rPr>
        <w:t xml:space="preserve"> </w:t>
      </w:r>
      <w:r w:rsidRPr="007345D5">
        <w:rPr>
          <w:rFonts w:ascii="Book Antiqua" w:eastAsia="SimSun" w:hAnsi="Book Antiqua" w:cs="SimSun"/>
          <w:lang w:eastAsia="zh-CN"/>
        </w:rPr>
        <w:t xml:space="preserve">tumor </w:t>
      </w:r>
      <w:r w:rsidRPr="007345D5">
        <w:rPr>
          <w:rFonts w:ascii="Book Antiqua" w:eastAsia="SimSun" w:hAnsi="Book Antiqua" w:cs="SimSun"/>
          <w:lang w:eastAsia="zh-CN"/>
        </w:rPr>
        <w:lastRenderedPageBreak/>
        <w:t>cells. </w:t>
      </w:r>
      <w:r w:rsidRPr="007345D5">
        <w:rPr>
          <w:rFonts w:ascii="Book Antiqua" w:eastAsia="SimSun" w:hAnsi="Book Antiqua" w:cs="SimSun"/>
          <w:i/>
          <w:iCs/>
          <w:lang w:eastAsia="zh-CN"/>
        </w:rPr>
        <w:t>Am J Pathol</w:t>
      </w:r>
      <w:r w:rsidRPr="007345D5">
        <w:rPr>
          <w:rFonts w:ascii="Book Antiqua" w:eastAsia="SimSun" w:hAnsi="Book Antiqua" w:cs="SimSun"/>
          <w:lang w:eastAsia="zh-CN"/>
        </w:rPr>
        <w:t> 2000; </w:t>
      </w:r>
      <w:r w:rsidRPr="007345D5">
        <w:rPr>
          <w:rFonts w:ascii="Book Antiqua" w:eastAsia="SimSun" w:hAnsi="Book Antiqua" w:cs="SimSun"/>
          <w:b/>
          <w:bCs/>
          <w:lang w:eastAsia="zh-CN"/>
        </w:rPr>
        <w:t>156</w:t>
      </w:r>
      <w:r w:rsidRPr="007345D5">
        <w:rPr>
          <w:rFonts w:ascii="Book Antiqua" w:eastAsia="SimSun" w:hAnsi="Book Antiqua" w:cs="SimSun"/>
          <w:lang w:eastAsia="zh-CN"/>
        </w:rPr>
        <w:t>: 57-63 [PMID: 10623654 DOI: 10.1016/S0002-9440(10)64706-2]</w:t>
      </w:r>
    </w:p>
    <w:p w14:paraId="5933C552" w14:textId="572BC442"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1</w:t>
      </w:r>
      <w:r w:rsidR="006B5193" w:rsidRPr="007345D5">
        <w:rPr>
          <w:rFonts w:ascii="Book Antiqua" w:eastAsia="SimSun" w:hAnsi="Book Antiqua" w:cs="SimSun"/>
          <w:lang w:eastAsia="zh-CN"/>
        </w:rPr>
        <w:t>4</w:t>
      </w:r>
      <w:r w:rsidRPr="007345D5">
        <w:rPr>
          <w:rFonts w:ascii="Book Antiqua" w:eastAsia="SimSun" w:hAnsi="Book Antiqua" w:cs="SimSun"/>
          <w:lang w:eastAsia="zh-CN"/>
        </w:rPr>
        <w:t> </w:t>
      </w:r>
      <w:r w:rsidRPr="007345D5">
        <w:rPr>
          <w:rFonts w:ascii="Book Antiqua" w:eastAsia="SimSun" w:hAnsi="Book Antiqua" w:cs="SimSun"/>
          <w:b/>
          <w:bCs/>
          <w:lang w:eastAsia="zh-CN"/>
        </w:rPr>
        <w:t>Nagrath S</w:t>
      </w:r>
      <w:r w:rsidRPr="007345D5">
        <w:rPr>
          <w:rFonts w:ascii="Book Antiqua" w:eastAsia="SimSun" w:hAnsi="Book Antiqua" w:cs="SimSun"/>
          <w:lang w:eastAsia="zh-CN"/>
        </w:rPr>
        <w:t>, Sequist LV, Maheswaran S, Bell DW, Irimia D, Ulkus L, Smith MR, Kwak EL, Digumarthy S, Muzikansky A, Ryan P, Balis UJ, Tompkins RG, Haber DA, Toner M. Isolation of rare circulating tumour cells in cancer patients by microchip technology. </w:t>
      </w:r>
      <w:r w:rsidRPr="007345D5">
        <w:rPr>
          <w:rFonts w:ascii="Book Antiqua" w:eastAsia="SimSun" w:hAnsi="Book Antiqua" w:cs="SimSun"/>
          <w:i/>
          <w:iCs/>
          <w:lang w:eastAsia="zh-CN"/>
        </w:rPr>
        <w:t>Nature</w:t>
      </w:r>
      <w:r w:rsidRPr="007345D5">
        <w:rPr>
          <w:rFonts w:ascii="Book Antiqua" w:eastAsia="SimSun" w:hAnsi="Book Antiqua" w:cs="SimSun"/>
          <w:lang w:eastAsia="zh-CN"/>
        </w:rPr>
        <w:t> 2007; </w:t>
      </w:r>
      <w:r w:rsidRPr="007345D5">
        <w:rPr>
          <w:rFonts w:ascii="Book Antiqua" w:eastAsia="SimSun" w:hAnsi="Book Antiqua" w:cs="SimSun"/>
          <w:b/>
          <w:bCs/>
          <w:lang w:eastAsia="zh-CN"/>
        </w:rPr>
        <w:t>450</w:t>
      </w:r>
      <w:r w:rsidRPr="007345D5">
        <w:rPr>
          <w:rFonts w:ascii="Book Antiqua" w:eastAsia="SimSun" w:hAnsi="Book Antiqua" w:cs="SimSun"/>
          <w:lang w:eastAsia="zh-CN"/>
        </w:rPr>
        <w:t>: 1235-1239 [PMID: 18097410 DOI: 10.1038/nature06385]</w:t>
      </w:r>
    </w:p>
    <w:p w14:paraId="3225C676" w14:textId="5072CDB4" w:rsidR="003939E4" w:rsidRPr="007345D5" w:rsidRDefault="00E43233"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1</w:t>
      </w:r>
      <w:r w:rsidR="006B5193" w:rsidRPr="007345D5">
        <w:rPr>
          <w:rFonts w:ascii="Book Antiqua" w:eastAsia="SimSun" w:hAnsi="Book Antiqua" w:cs="SimSun"/>
          <w:lang w:eastAsia="zh-CN"/>
        </w:rPr>
        <w:t>5</w:t>
      </w:r>
      <w:r w:rsidRPr="007345D5">
        <w:rPr>
          <w:rFonts w:ascii="Book Antiqua" w:eastAsia="SimSun" w:hAnsi="Book Antiqua" w:cs="SimSun"/>
          <w:lang w:eastAsia="zh-CN"/>
        </w:rPr>
        <w:t xml:space="preserve"> </w:t>
      </w:r>
      <w:r w:rsidR="00197918" w:rsidRPr="007345D5">
        <w:rPr>
          <w:rFonts w:ascii="Book Antiqua" w:eastAsia="SimSun" w:hAnsi="Book Antiqua" w:cs="SimSun"/>
          <w:b/>
          <w:bCs/>
          <w:lang w:eastAsia="zh-CN"/>
        </w:rPr>
        <w:t>Okabe H</w:t>
      </w:r>
      <w:r w:rsidR="00197918" w:rsidRPr="007345D5">
        <w:rPr>
          <w:rFonts w:ascii="Book Antiqua" w:eastAsia="SimSun" w:hAnsi="Book Antiqua" w:cs="SimSun"/>
          <w:bCs/>
          <w:lang w:eastAsia="zh-CN"/>
        </w:rPr>
        <w:t xml:space="preserve">, Tsunoda S, Hosogi H, Hisamori S, Tanaka E, Tanaka S, Sakai Y. Circulating </w:t>
      </w:r>
      <w:r w:rsidR="00AD4D39" w:rsidRPr="007345D5">
        <w:rPr>
          <w:rFonts w:ascii="Book Antiqua" w:eastAsia="SimSun" w:hAnsi="Book Antiqua" w:cs="SimSun"/>
          <w:bCs/>
          <w:lang w:eastAsia="zh-CN"/>
        </w:rPr>
        <w:t>tumor cells as an independent predictor of survival in advanced gastric cancer</w:t>
      </w:r>
      <w:r w:rsidR="00E63A6B" w:rsidRPr="007345D5">
        <w:rPr>
          <w:rFonts w:ascii="Book Antiqua" w:eastAsia="SimSun" w:hAnsi="Book Antiqua" w:cs="SimSun"/>
          <w:bCs/>
          <w:lang w:eastAsia="zh-CN"/>
        </w:rPr>
        <w:t xml:space="preserve">. </w:t>
      </w:r>
      <w:r w:rsidR="00E63A6B" w:rsidRPr="007345D5">
        <w:rPr>
          <w:rFonts w:ascii="Book Antiqua" w:eastAsia="SimSun" w:hAnsi="Book Antiqua" w:cs="SimSun"/>
          <w:bCs/>
          <w:i/>
          <w:lang w:eastAsia="zh-CN"/>
        </w:rPr>
        <w:t>Ann Surg Oncol</w:t>
      </w:r>
      <w:r w:rsidR="00197918" w:rsidRPr="007345D5">
        <w:rPr>
          <w:rFonts w:ascii="Book Antiqua" w:eastAsia="SimSun" w:hAnsi="Book Antiqua" w:cs="SimSun"/>
          <w:bCs/>
          <w:lang w:eastAsia="zh-CN"/>
        </w:rPr>
        <w:t xml:space="preserve"> 2015;</w:t>
      </w:r>
      <w:r w:rsidR="00E63A6B" w:rsidRPr="007345D5">
        <w:rPr>
          <w:rFonts w:ascii="Book Antiqua" w:eastAsia="SimSun" w:hAnsi="Book Antiqua" w:cs="SimSun"/>
          <w:bCs/>
          <w:lang w:eastAsia="zh-CN"/>
        </w:rPr>
        <w:t xml:space="preserve"> </w:t>
      </w:r>
      <w:r w:rsidR="00197918" w:rsidRPr="007345D5">
        <w:rPr>
          <w:rFonts w:ascii="Book Antiqua" w:eastAsia="SimSun" w:hAnsi="Book Antiqua" w:cs="SimSun"/>
          <w:b/>
          <w:bCs/>
          <w:lang w:eastAsia="zh-CN"/>
        </w:rPr>
        <w:t>22</w:t>
      </w:r>
      <w:r w:rsidR="00197918" w:rsidRPr="007345D5">
        <w:rPr>
          <w:rFonts w:ascii="Book Antiqua" w:eastAsia="SimSun" w:hAnsi="Book Antiqua" w:cs="SimSun"/>
          <w:bCs/>
          <w:lang w:eastAsia="zh-CN"/>
        </w:rPr>
        <w:t>:</w:t>
      </w:r>
      <w:r w:rsidR="00E63A6B" w:rsidRPr="007345D5">
        <w:rPr>
          <w:rFonts w:ascii="Book Antiqua" w:eastAsia="SimSun" w:hAnsi="Book Antiqua" w:cs="SimSun"/>
          <w:bCs/>
          <w:lang w:eastAsia="zh-CN"/>
        </w:rPr>
        <w:t xml:space="preserve"> </w:t>
      </w:r>
      <w:r w:rsidR="00197918" w:rsidRPr="007345D5">
        <w:rPr>
          <w:rFonts w:ascii="Book Antiqua" w:eastAsia="SimSun" w:hAnsi="Book Antiqua" w:cs="SimSun"/>
          <w:bCs/>
          <w:lang w:eastAsia="zh-CN"/>
        </w:rPr>
        <w:t xml:space="preserve">3954-3961 [PMID: 257 DOI: 10.1245/s10434-015-4483-6] </w:t>
      </w:r>
    </w:p>
    <w:p w14:paraId="6E3B7761" w14:textId="321D11C7" w:rsidR="003939E4" w:rsidRPr="007345D5" w:rsidRDefault="00E43233"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1</w:t>
      </w:r>
      <w:r w:rsidR="006B5193" w:rsidRPr="007345D5">
        <w:rPr>
          <w:rFonts w:ascii="Book Antiqua" w:eastAsia="SimSun" w:hAnsi="Book Antiqua" w:cs="SimSun"/>
          <w:lang w:eastAsia="zh-CN"/>
        </w:rPr>
        <w:t>6</w:t>
      </w:r>
      <w:r w:rsidRPr="007345D5">
        <w:rPr>
          <w:rFonts w:ascii="Book Antiqua" w:eastAsia="SimSun" w:hAnsi="Book Antiqua" w:cs="SimSun"/>
          <w:lang w:eastAsia="zh-CN"/>
        </w:rPr>
        <w:t xml:space="preserve"> </w:t>
      </w:r>
      <w:r w:rsidRPr="007345D5">
        <w:rPr>
          <w:rFonts w:ascii="Book Antiqua" w:eastAsia="SimSun" w:hAnsi="Book Antiqua" w:cs="SimSun"/>
          <w:b/>
          <w:bCs/>
          <w:lang w:eastAsia="zh-CN"/>
        </w:rPr>
        <w:t>Shimazu K</w:t>
      </w:r>
      <w:r w:rsidRPr="007345D5">
        <w:rPr>
          <w:rFonts w:ascii="Book Antiqua" w:eastAsia="SimSun" w:hAnsi="Book Antiqua" w:cs="SimSun"/>
          <w:bCs/>
          <w:lang w:eastAsia="zh-CN"/>
        </w:rPr>
        <w:t>, Fukuda K, Yoshida T, Inoue M, Shibata H. High circulating tumor cell concentrations in a specific subtype of gastric cancer with diffuse bone metastasis at d</w:t>
      </w:r>
      <w:r w:rsidR="00554B23" w:rsidRPr="007345D5">
        <w:rPr>
          <w:rFonts w:ascii="Book Antiqua" w:eastAsia="SimSun" w:hAnsi="Book Antiqua" w:cs="SimSun"/>
          <w:bCs/>
          <w:lang w:eastAsia="zh-CN"/>
        </w:rPr>
        <w:t xml:space="preserve">iagnosis. </w:t>
      </w:r>
      <w:r w:rsidR="00554B23" w:rsidRPr="007345D5">
        <w:rPr>
          <w:rFonts w:ascii="Book Antiqua" w:eastAsia="SimSun" w:hAnsi="Book Antiqua" w:cs="SimSun"/>
          <w:bCs/>
          <w:i/>
          <w:lang w:eastAsia="zh-CN"/>
        </w:rPr>
        <w:t>World J Gastroenterol</w:t>
      </w:r>
      <w:r w:rsidRPr="007345D5">
        <w:rPr>
          <w:rFonts w:ascii="Book Antiqua" w:eastAsia="SimSun" w:hAnsi="Book Antiqua" w:cs="SimSun"/>
          <w:bCs/>
          <w:lang w:eastAsia="zh-CN"/>
        </w:rPr>
        <w:t xml:space="preserve"> 2016;</w:t>
      </w:r>
      <w:r w:rsidR="00554B23" w:rsidRPr="007345D5">
        <w:rPr>
          <w:rFonts w:ascii="Book Antiqua" w:eastAsia="SimSun" w:hAnsi="Book Antiqua" w:cs="SimSun"/>
          <w:bCs/>
          <w:lang w:eastAsia="zh-CN"/>
        </w:rPr>
        <w:t xml:space="preserve"> </w:t>
      </w:r>
      <w:r w:rsidRPr="007345D5">
        <w:rPr>
          <w:rFonts w:ascii="Book Antiqua" w:eastAsia="SimSun" w:hAnsi="Book Antiqua" w:cs="SimSun"/>
          <w:b/>
          <w:bCs/>
          <w:lang w:eastAsia="zh-CN"/>
        </w:rPr>
        <w:t>22</w:t>
      </w:r>
      <w:r w:rsidRPr="007345D5">
        <w:rPr>
          <w:rFonts w:ascii="Book Antiqua" w:eastAsia="SimSun" w:hAnsi="Book Antiqua" w:cs="SimSun"/>
          <w:bCs/>
          <w:lang w:eastAsia="zh-CN"/>
        </w:rPr>
        <w:t>:</w:t>
      </w:r>
      <w:r w:rsidR="00554B23" w:rsidRPr="007345D5">
        <w:rPr>
          <w:rFonts w:ascii="Book Antiqua" w:eastAsia="SimSun" w:hAnsi="Book Antiqua" w:cs="SimSun"/>
          <w:bCs/>
          <w:lang w:eastAsia="zh-CN"/>
        </w:rPr>
        <w:t xml:space="preserve"> </w:t>
      </w:r>
      <w:r w:rsidRPr="007345D5">
        <w:rPr>
          <w:rFonts w:ascii="Book Antiqua" w:eastAsia="SimSun" w:hAnsi="Book Antiqua" w:cs="SimSun"/>
          <w:bCs/>
          <w:lang w:eastAsia="zh-CN"/>
        </w:rPr>
        <w:t>6083-6088 [PMID: 27468200 DOI: 10.3748/wjg.v22.i26.6083]</w:t>
      </w:r>
    </w:p>
    <w:p w14:paraId="7A5FAE42" w14:textId="6B64FA89"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1</w:t>
      </w:r>
      <w:r w:rsidR="006B5193" w:rsidRPr="007345D5">
        <w:rPr>
          <w:rFonts w:ascii="Book Antiqua" w:eastAsia="SimSun" w:hAnsi="Book Antiqua" w:cs="SimSun"/>
          <w:lang w:eastAsia="zh-CN"/>
        </w:rPr>
        <w:t>7</w:t>
      </w:r>
      <w:r w:rsidRPr="007345D5">
        <w:rPr>
          <w:rFonts w:ascii="Book Antiqua" w:eastAsia="SimSun" w:hAnsi="Book Antiqua" w:cs="SimSun"/>
          <w:lang w:eastAsia="zh-CN"/>
        </w:rPr>
        <w:t> </w:t>
      </w:r>
      <w:r w:rsidRPr="007345D5">
        <w:rPr>
          <w:rFonts w:ascii="Book Antiqua" w:eastAsia="SimSun" w:hAnsi="Book Antiqua" w:cs="SimSun"/>
          <w:b/>
          <w:bCs/>
          <w:lang w:eastAsia="zh-CN"/>
        </w:rPr>
        <w:t>Ksi</w:t>
      </w:r>
      <w:r w:rsidRPr="007345D5">
        <w:rPr>
          <w:rFonts w:ascii="Book Antiqua" w:eastAsia="MS Mincho" w:hAnsi="Book Antiqua" w:cs="MS Mincho"/>
          <w:b/>
          <w:bCs/>
          <w:lang w:eastAsia="zh-CN"/>
        </w:rPr>
        <w:t>ąż</w:t>
      </w:r>
      <w:r w:rsidRPr="007345D5">
        <w:rPr>
          <w:rFonts w:ascii="Book Antiqua" w:eastAsia="SimSun" w:hAnsi="Book Antiqua" w:cs="SimSun"/>
          <w:b/>
          <w:bCs/>
          <w:lang w:eastAsia="zh-CN"/>
        </w:rPr>
        <w:t>kiewicz M</w:t>
      </w:r>
      <w:r w:rsidRPr="007345D5">
        <w:rPr>
          <w:rFonts w:ascii="Book Antiqua" w:eastAsia="SimSun" w:hAnsi="Book Antiqua" w:cs="SimSun"/>
          <w:lang w:eastAsia="zh-CN"/>
        </w:rPr>
        <w:t>, Markiewicz A, Zaczek AJ. Epithelial-mesenchymal transition: a hallmark in metastasis formation linking circulating tumor cells and cancer stem cells. </w:t>
      </w:r>
      <w:r w:rsidRPr="007345D5">
        <w:rPr>
          <w:rFonts w:ascii="Book Antiqua" w:eastAsia="SimSun" w:hAnsi="Book Antiqua" w:cs="SimSun"/>
          <w:i/>
          <w:iCs/>
          <w:lang w:eastAsia="zh-CN"/>
        </w:rPr>
        <w:t>Pathobiology</w:t>
      </w:r>
      <w:r w:rsidRPr="007345D5">
        <w:rPr>
          <w:rFonts w:ascii="Book Antiqua" w:eastAsia="SimSun" w:hAnsi="Book Antiqua" w:cs="SimSun"/>
          <w:lang w:eastAsia="zh-CN"/>
        </w:rPr>
        <w:t> 2012; </w:t>
      </w:r>
      <w:r w:rsidRPr="007345D5">
        <w:rPr>
          <w:rFonts w:ascii="Book Antiqua" w:eastAsia="SimSun" w:hAnsi="Book Antiqua" w:cs="SimSun"/>
          <w:b/>
          <w:bCs/>
          <w:lang w:eastAsia="zh-CN"/>
        </w:rPr>
        <w:t>79</w:t>
      </w:r>
      <w:r w:rsidRPr="007345D5">
        <w:rPr>
          <w:rFonts w:ascii="Book Antiqua" w:eastAsia="SimSun" w:hAnsi="Book Antiqua" w:cs="SimSun"/>
          <w:lang w:eastAsia="zh-CN"/>
        </w:rPr>
        <w:t>: 195-208 [PMID: 22488297 DOI: 10.1159/000337106]</w:t>
      </w:r>
    </w:p>
    <w:p w14:paraId="43AD1B14" w14:textId="788C5EA0"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1</w:t>
      </w:r>
      <w:r w:rsidR="006B5193" w:rsidRPr="007345D5">
        <w:rPr>
          <w:rFonts w:ascii="Book Antiqua" w:eastAsia="SimSun" w:hAnsi="Book Antiqua" w:cs="SimSun"/>
          <w:lang w:eastAsia="zh-CN"/>
        </w:rPr>
        <w:t>8</w:t>
      </w:r>
      <w:r w:rsidRPr="007345D5">
        <w:rPr>
          <w:rFonts w:ascii="Book Antiqua" w:eastAsia="SimSun" w:hAnsi="Book Antiqua" w:cs="SimSun"/>
          <w:lang w:eastAsia="zh-CN"/>
        </w:rPr>
        <w:t> </w:t>
      </w:r>
      <w:r w:rsidRPr="007345D5">
        <w:rPr>
          <w:rFonts w:ascii="Book Antiqua" w:eastAsia="SimSun" w:hAnsi="Book Antiqua" w:cs="SimSun"/>
          <w:b/>
          <w:bCs/>
          <w:lang w:eastAsia="zh-CN"/>
        </w:rPr>
        <w:t>Gorges TM</w:t>
      </w:r>
      <w:r w:rsidRPr="007345D5">
        <w:rPr>
          <w:rFonts w:ascii="Book Antiqua" w:eastAsia="SimSun" w:hAnsi="Book Antiqua" w:cs="SimSun"/>
          <w:lang w:eastAsia="zh-CN"/>
        </w:rPr>
        <w:t>, Tinhofer I, Drosch M, Röse L, Zollner TM, Krahn T, von Ahsen O. Circulating tumour cells escape from EpCAM-based detection due to epithelial-to-mesenchymal transition. </w:t>
      </w:r>
      <w:r w:rsidRPr="007345D5">
        <w:rPr>
          <w:rFonts w:ascii="Book Antiqua" w:eastAsia="SimSun" w:hAnsi="Book Antiqua" w:cs="SimSun"/>
          <w:i/>
          <w:iCs/>
          <w:lang w:eastAsia="zh-CN"/>
        </w:rPr>
        <w:t>BMC Cancer</w:t>
      </w:r>
      <w:r w:rsidRPr="007345D5">
        <w:rPr>
          <w:rFonts w:ascii="Book Antiqua" w:eastAsia="SimSun" w:hAnsi="Book Antiqua" w:cs="SimSun"/>
          <w:lang w:eastAsia="zh-CN"/>
        </w:rPr>
        <w:t> 2012; </w:t>
      </w:r>
      <w:r w:rsidRPr="007345D5">
        <w:rPr>
          <w:rFonts w:ascii="Book Antiqua" w:eastAsia="SimSun" w:hAnsi="Book Antiqua" w:cs="SimSun"/>
          <w:b/>
          <w:bCs/>
          <w:lang w:eastAsia="zh-CN"/>
        </w:rPr>
        <w:t>12</w:t>
      </w:r>
      <w:r w:rsidRPr="007345D5">
        <w:rPr>
          <w:rFonts w:ascii="Book Antiqua" w:eastAsia="SimSun" w:hAnsi="Book Antiqua" w:cs="SimSun"/>
          <w:lang w:eastAsia="zh-CN"/>
        </w:rPr>
        <w:t>: 178 [PMID: 22591372 DOI: 10.1186/1471-2407-12-178]</w:t>
      </w:r>
    </w:p>
    <w:p w14:paraId="62F4A6E7" w14:textId="39F644F8"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1</w:t>
      </w:r>
      <w:r w:rsidR="006B5193" w:rsidRPr="007345D5">
        <w:rPr>
          <w:rFonts w:ascii="Book Antiqua" w:eastAsia="SimSun" w:hAnsi="Book Antiqua" w:cs="SimSun"/>
          <w:lang w:eastAsia="zh-CN"/>
        </w:rPr>
        <w:t>9</w:t>
      </w:r>
      <w:r w:rsidRPr="007345D5">
        <w:rPr>
          <w:rFonts w:ascii="Book Antiqua" w:eastAsia="SimSun" w:hAnsi="Book Antiqua" w:cs="SimSun"/>
          <w:lang w:eastAsia="zh-CN"/>
        </w:rPr>
        <w:t> </w:t>
      </w:r>
      <w:r w:rsidRPr="007345D5">
        <w:rPr>
          <w:rFonts w:ascii="Book Antiqua" w:eastAsia="SimSun" w:hAnsi="Book Antiqua" w:cs="SimSun"/>
          <w:b/>
          <w:bCs/>
          <w:lang w:eastAsia="zh-CN"/>
        </w:rPr>
        <w:t>Blackburn EH</w:t>
      </w:r>
      <w:r w:rsidRPr="007345D5">
        <w:rPr>
          <w:rFonts w:ascii="Book Antiqua" w:eastAsia="SimSun" w:hAnsi="Book Antiqua" w:cs="SimSun"/>
          <w:lang w:eastAsia="zh-CN"/>
        </w:rPr>
        <w:t>. Telomere states and cell fates. </w:t>
      </w:r>
      <w:r w:rsidRPr="007345D5">
        <w:rPr>
          <w:rFonts w:ascii="Book Antiqua" w:eastAsia="SimSun" w:hAnsi="Book Antiqua" w:cs="SimSun"/>
          <w:i/>
          <w:iCs/>
          <w:lang w:eastAsia="zh-CN"/>
        </w:rPr>
        <w:t>Nature</w:t>
      </w:r>
      <w:r w:rsidRPr="007345D5">
        <w:rPr>
          <w:rFonts w:ascii="Book Antiqua" w:eastAsia="SimSun" w:hAnsi="Book Antiqua" w:cs="SimSun"/>
          <w:lang w:eastAsia="zh-CN"/>
        </w:rPr>
        <w:t> 2000; </w:t>
      </w:r>
      <w:r w:rsidRPr="007345D5">
        <w:rPr>
          <w:rFonts w:ascii="Book Antiqua" w:eastAsia="SimSun" w:hAnsi="Book Antiqua" w:cs="SimSun"/>
          <w:b/>
          <w:bCs/>
          <w:lang w:eastAsia="zh-CN"/>
        </w:rPr>
        <w:t>408</w:t>
      </w:r>
      <w:r w:rsidRPr="007345D5">
        <w:rPr>
          <w:rFonts w:ascii="Book Antiqua" w:eastAsia="SimSun" w:hAnsi="Book Antiqua" w:cs="SimSun"/>
          <w:lang w:eastAsia="zh-CN"/>
        </w:rPr>
        <w:t>: 53-56 [PMID: 11081503 DOI: 10.1038/35040500]</w:t>
      </w:r>
    </w:p>
    <w:p w14:paraId="5EB3E78C" w14:textId="5D48C277" w:rsidR="003939E4" w:rsidRPr="007345D5" w:rsidRDefault="006B5193"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20</w:t>
      </w:r>
      <w:r w:rsidR="003939E4" w:rsidRPr="007345D5">
        <w:rPr>
          <w:rFonts w:ascii="Book Antiqua" w:eastAsia="SimSun" w:hAnsi="Book Antiqua" w:cs="SimSun"/>
          <w:lang w:eastAsia="zh-CN"/>
        </w:rPr>
        <w:t> </w:t>
      </w:r>
      <w:r w:rsidR="003939E4" w:rsidRPr="007345D5">
        <w:rPr>
          <w:rFonts w:ascii="Book Antiqua" w:eastAsia="SimSun" w:hAnsi="Book Antiqua" w:cs="SimSun"/>
          <w:b/>
          <w:bCs/>
          <w:lang w:eastAsia="zh-CN"/>
        </w:rPr>
        <w:t>Fujiwara T</w:t>
      </w:r>
      <w:r w:rsidR="003939E4" w:rsidRPr="007345D5">
        <w:rPr>
          <w:rFonts w:ascii="Book Antiqua" w:eastAsia="SimSun" w:hAnsi="Book Antiqua" w:cs="SimSun"/>
          <w:lang w:eastAsia="zh-CN"/>
        </w:rPr>
        <w:t xml:space="preserve">, Kagawa S, Kishimoto H, Endo Y, Hioki M, Ikeda Y, Sakai R, Urata Y, Tanaka N, Fujiwara T. Enhanced antitumor efficacy of telomerase-selective oncolytic adenoviral agent OBP-401 with docetaxel: </w:t>
      </w:r>
      <w:r w:rsidR="003939E4" w:rsidRPr="007345D5">
        <w:rPr>
          <w:rFonts w:ascii="Book Antiqua" w:eastAsia="SimSun" w:hAnsi="Book Antiqua" w:cs="SimSun"/>
          <w:lang w:eastAsia="zh-CN"/>
        </w:rPr>
        <w:lastRenderedPageBreak/>
        <w:t>preclinical evaluation of chemovirotherapy. </w:t>
      </w:r>
      <w:r w:rsidR="003939E4" w:rsidRPr="007345D5">
        <w:rPr>
          <w:rFonts w:ascii="Book Antiqua" w:eastAsia="SimSun" w:hAnsi="Book Antiqua" w:cs="SimSun"/>
          <w:i/>
          <w:iCs/>
          <w:lang w:eastAsia="zh-CN"/>
        </w:rPr>
        <w:t>Int J Cancer</w:t>
      </w:r>
      <w:r w:rsidR="003939E4" w:rsidRPr="007345D5">
        <w:rPr>
          <w:rFonts w:ascii="Book Antiqua" w:eastAsia="SimSun" w:hAnsi="Book Antiqua" w:cs="SimSun"/>
          <w:lang w:eastAsia="zh-CN"/>
        </w:rPr>
        <w:t> 2006; </w:t>
      </w:r>
      <w:r w:rsidR="003939E4" w:rsidRPr="007345D5">
        <w:rPr>
          <w:rFonts w:ascii="Book Antiqua" w:eastAsia="SimSun" w:hAnsi="Book Antiqua" w:cs="SimSun"/>
          <w:b/>
          <w:bCs/>
          <w:lang w:eastAsia="zh-CN"/>
        </w:rPr>
        <w:t>119</w:t>
      </w:r>
      <w:r w:rsidR="003939E4" w:rsidRPr="007345D5">
        <w:rPr>
          <w:rFonts w:ascii="Book Antiqua" w:eastAsia="SimSun" w:hAnsi="Book Antiqua" w:cs="SimSun"/>
          <w:lang w:eastAsia="zh-CN"/>
        </w:rPr>
        <w:t>: 432-440 [PMID: 16477640 DOI: 10.1002/ijc.21846]</w:t>
      </w:r>
    </w:p>
    <w:p w14:paraId="36C6DAD3" w14:textId="1E470E69"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2</w:t>
      </w:r>
      <w:r w:rsidR="00B86DE8" w:rsidRPr="007345D5">
        <w:rPr>
          <w:rFonts w:ascii="Book Antiqua" w:eastAsia="SimSun" w:hAnsi="Book Antiqua" w:cs="SimSun"/>
          <w:lang w:eastAsia="zh-CN"/>
        </w:rPr>
        <w:t>1</w:t>
      </w:r>
      <w:r w:rsidRPr="007345D5">
        <w:rPr>
          <w:rFonts w:ascii="Book Antiqua" w:eastAsia="SimSun" w:hAnsi="Book Antiqua" w:cs="SimSun"/>
          <w:lang w:eastAsia="zh-CN"/>
        </w:rPr>
        <w:t> </w:t>
      </w:r>
      <w:r w:rsidRPr="007345D5">
        <w:rPr>
          <w:rFonts w:ascii="Book Antiqua" w:eastAsia="SimSun" w:hAnsi="Book Antiqua" w:cs="SimSun"/>
          <w:b/>
          <w:bCs/>
          <w:lang w:eastAsia="zh-CN"/>
        </w:rPr>
        <w:t>Ito H</w:t>
      </w:r>
      <w:r w:rsidRPr="007345D5">
        <w:rPr>
          <w:rFonts w:ascii="Book Antiqua" w:eastAsia="SimSun" w:hAnsi="Book Antiqua" w:cs="SimSun"/>
          <w:lang w:eastAsia="zh-CN"/>
        </w:rPr>
        <w:t>, Inoue H, Sando N, Kimura S, Gohda K, Sato J, Murakami K, Ito S, Odaka N, Satodate H, Kudo SE. Prognostic impact of detecting viable circulating tumour cells in gastric cancer patients using a telomerase-specific viral agent: a prospective study. </w:t>
      </w:r>
      <w:r w:rsidRPr="007345D5">
        <w:rPr>
          <w:rFonts w:ascii="Book Antiqua" w:eastAsia="SimSun" w:hAnsi="Book Antiqua" w:cs="SimSun"/>
          <w:i/>
          <w:iCs/>
          <w:lang w:eastAsia="zh-CN"/>
        </w:rPr>
        <w:t>BMC Cancer</w:t>
      </w:r>
      <w:r w:rsidRPr="007345D5">
        <w:rPr>
          <w:rFonts w:ascii="Book Antiqua" w:eastAsia="SimSun" w:hAnsi="Book Antiqua" w:cs="SimSun"/>
          <w:lang w:eastAsia="zh-CN"/>
        </w:rPr>
        <w:t> 2012; </w:t>
      </w:r>
      <w:r w:rsidRPr="007345D5">
        <w:rPr>
          <w:rFonts w:ascii="Book Antiqua" w:eastAsia="SimSun" w:hAnsi="Book Antiqua" w:cs="SimSun"/>
          <w:b/>
          <w:bCs/>
          <w:lang w:eastAsia="zh-CN"/>
        </w:rPr>
        <w:t>12</w:t>
      </w:r>
      <w:r w:rsidRPr="007345D5">
        <w:rPr>
          <w:rFonts w:ascii="Book Antiqua" w:eastAsia="SimSun" w:hAnsi="Book Antiqua" w:cs="SimSun"/>
          <w:lang w:eastAsia="zh-CN"/>
        </w:rPr>
        <w:t>: 346 [PMID: 22873704 DOI: 10.1186/1471-2407-12-346]</w:t>
      </w:r>
    </w:p>
    <w:p w14:paraId="05C598E3" w14:textId="6FE4C7F3"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2</w:t>
      </w:r>
      <w:r w:rsidR="00B86DE8" w:rsidRPr="007345D5">
        <w:rPr>
          <w:rFonts w:ascii="Book Antiqua" w:eastAsia="SimSun" w:hAnsi="Book Antiqua" w:cs="SimSun"/>
          <w:lang w:eastAsia="zh-CN"/>
        </w:rPr>
        <w:t>2</w:t>
      </w:r>
      <w:r w:rsidRPr="007345D5">
        <w:rPr>
          <w:rFonts w:ascii="Book Antiqua" w:eastAsia="SimSun" w:hAnsi="Book Antiqua" w:cs="SimSun"/>
          <w:b/>
          <w:lang w:eastAsia="zh-CN"/>
        </w:rPr>
        <w:t xml:space="preserve"> Sobin LH</w:t>
      </w:r>
      <w:r w:rsidRPr="007345D5">
        <w:rPr>
          <w:rFonts w:ascii="Book Antiqua" w:eastAsia="SimSun" w:hAnsi="Book Antiqua" w:cs="SimSun"/>
          <w:lang w:eastAsia="zh-CN"/>
        </w:rPr>
        <w:t>, Gospodarowicz MK, Wittekind C, International Union Against Cancer: TNM classification of malignant tumours. 7th ed. Chichester, West Sussex, UK; Hoboken, NJ: Wiley-Blackwell, 2010</w:t>
      </w:r>
    </w:p>
    <w:p w14:paraId="0886F3D7" w14:textId="377625F6" w:rsidR="003939E4" w:rsidRPr="007345D5" w:rsidRDefault="003939E4"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2</w:t>
      </w:r>
      <w:r w:rsidR="00B86DE8" w:rsidRPr="007345D5">
        <w:rPr>
          <w:rFonts w:ascii="Book Antiqua" w:eastAsia="SimSun" w:hAnsi="Book Antiqua" w:cs="SimSun"/>
          <w:lang w:eastAsia="zh-CN"/>
        </w:rPr>
        <w:t>3</w:t>
      </w:r>
      <w:r w:rsidRPr="007345D5">
        <w:rPr>
          <w:rFonts w:ascii="Book Antiqua" w:eastAsia="SimSun" w:hAnsi="Book Antiqua" w:cs="SimSun"/>
          <w:lang w:eastAsia="zh-CN"/>
        </w:rPr>
        <w:t> </w:t>
      </w:r>
      <w:r w:rsidRPr="007345D5">
        <w:rPr>
          <w:rFonts w:ascii="Book Antiqua" w:eastAsia="SimSun" w:hAnsi="Book Antiqua" w:cs="SimSun"/>
          <w:b/>
          <w:bCs/>
          <w:lang w:eastAsia="zh-CN"/>
        </w:rPr>
        <w:t>Kim SJ</w:t>
      </w:r>
      <w:r w:rsidRPr="007345D5">
        <w:rPr>
          <w:rFonts w:ascii="Book Antiqua" w:eastAsia="SimSun" w:hAnsi="Book Antiqua" w:cs="SimSun"/>
          <w:lang w:eastAsia="zh-CN"/>
        </w:rPr>
        <w:t>, Masago A, Tamaki Y, Akazawa K, Tsukamoto F, Sato J, Ozawa T, Tsujino Y, Noguchi S. A novel approach using telomerase-specific replication-selective adenovirus for detection of circulating tumor cells in breast cancer patients. </w:t>
      </w:r>
      <w:r w:rsidRPr="007345D5">
        <w:rPr>
          <w:rFonts w:ascii="Book Antiqua" w:eastAsia="SimSun" w:hAnsi="Book Antiqua" w:cs="SimSun"/>
          <w:i/>
          <w:iCs/>
          <w:lang w:eastAsia="zh-CN"/>
        </w:rPr>
        <w:t>Breast Cancer Res Treat</w:t>
      </w:r>
      <w:r w:rsidRPr="007345D5">
        <w:rPr>
          <w:rFonts w:ascii="Book Antiqua" w:eastAsia="SimSun" w:hAnsi="Book Antiqua" w:cs="SimSun"/>
          <w:lang w:eastAsia="zh-CN"/>
        </w:rPr>
        <w:t> 2011; </w:t>
      </w:r>
      <w:r w:rsidRPr="007345D5">
        <w:rPr>
          <w:rFonts w:ascii="Book Antiqua" w:eastAsia="SimSun" w:hAnsi="Book Antiqua" w:cs="SimSun"/>
          <w:b/>
          <w:bCs/>
          <w:lang w:eastAsia="zh-CN"/>
        </w:rPr>
        <w:t>128</w:t>
      </w:r>
      <w:r w:rsidRPr="007345D5">
        <w:rPr>
          <w:rFonts w:ascii="Book Antiqua" w:eastAsia="SimSun" w:hAnsi="Book Antiqua" w:cs="SimSun"/>
          <w:lang w:eastAsia="zh-CN"/>
        </w:rPr>
        <w:t>: 765-773 [PMID: 21630023 DOI: 10.1007/s10549-011-1603-2]</w:t>
      </w:r>
    </w:p>
    <w:p w14:paraId="12B09F77" w14:textId="7233CD13" w:rsidR="00E43233" w:rsidRPr="007345D5" w:rsidRDefault="00B86DE8" w:rsidP="003939E4">
      <w:pPr>
        <w:adjustRightInd w:val="0"/>
        <w:snapToGrid w:val="0"/>
        <w:spacing w:line="360" w:lineRule="auto"/>
        <w:jc w:val="both"/>
        <w:rPr>
          <w:rFonts w:ascii="Book Antiqua" w:eastAsiaTheme="minorEastAsia" w:hAnsi="Book Antiqua" w:cs="SimSun"/>
          <w:lang w:eastAsia="ja-JP"/>
        </w:rPr>
      </w:pPr>
      <w:r w:rsidRPr="007345D5">
        <w:rPr>
          <w:rFonts w:ascii="Book Antiqua" w:eastAsiaTheme="minorEastAsia" w:hAnsi="Book Antiqua" w:cs="SimSun"/>
          <w:lang w:eastAsia="ja-JP"/>
        </w:rPr>
        <w:t>24</w:t>
      </w:r>
      <w:r w:rsidR="00E43233" w:rsidRPr="007345D5">
        <w:rPr>
          <w:rFonts w:ascii="Book Antiqua" w:eastAsiaTheme="minorEastAsia" w:hAnsi="Book Antiqua" w:cs="SimSun"/>
          <w:lang w:eastAsia="ja-JP"/>
        </w:rPr>
        <w:t xml:space="preserve"> </w:t>
      </w:r>
      <w:r w:rsidR="00E63A6B" w:rsidRPr="007345D5">
        <w:rPr>
          <w:rFonts w:ascii="Book Antiqua" w:eastAsiaTheme="minorEastAsia" w:hAnsi="Book Antiqua" w:cs="SimSun"/>
          <w:b/>
          <w:lang w:eastAsia="ja-JP"/>
        </w:rPr>
        <w:t>Beeharry MK</w:t>
      </w:r>
      <w:r w:rsidR="00E63A6B" w:rsidRPr="007345D5">
        <w:rPr>
          <w:rFonts w:ascii="Book Antiqua" w:eastAsiaTheme="minorEastAsia" w:hAnsi="Book Antiqua" w:cs="SimSun"/>
          <w:lang w:eastAsia="ja-JP"/>
        </w:rPr>
        <w:t xml:space="preserve">, Liu WT, Yan M, Zhu ZG. New blood markers detection technology: A leap in the diagnosis of gastric cancer. </w:t>
      </w:r>
      <w:r w:rsidR="00E63A6B" w:rsidRPr="007345D5">
        <w:rPr>
          <w:rFonts w:ascii="Book Antiqua" w:eastAsiaTheme="minorEastAsia" w:hAnsi="Book Antiqua" w:cs="SimSun"/>
          <w:i/>
          <w:lang w:eastAsia="ja-JP"/>
        </w:rPr>
        <w:t>World J Gastroenterol</w:t>
      </w:r>
      <w:r w:rsidR="00E63A6B" w:rsidRPr="007345D5">
        <w:rPr>
          <w:rFonts w:ascii="Book Antiqua" w:eastAsiaTheme="minorEastAsia" w:hAnsi="Book Antiqua" w:cs="SimSun"/>
          <w:lang w:eastAsia="ja-JP"/>
        </w:rPr>
        <w:t xml:space="preserve"> 2016; </w:t>
      </w:r>
      <w:r w:rsidR="00E63A6B" w:rsidRPr="007345D5">
        <w:rPr>
          <w:rFonts w:ascii="Book Antiqua" w:eastAsiaTheme="minorEastAsia" w:hAnsi="Book Antiqua" w:cs="SimSun"/>
          <w:b/>
          <w:lang w:eastAsia="ja-JP"/>
        </w:rPr>
        <w:t>22</w:t>
      </w:r>
      <w:r w:rsidR="00E63A6B" w:rsidRPr="007345D5">
        <w:rPr>
          <w:rFonts w:ascii="Book Antiqua" w:eastAsiaTheme="minorEastAsia" w:hAnsi="Book Antiqua" w:cs="SimSun"/>
          <w:lang w:eastAsia="ja-JP"/>
        </w:rPr>
        <w:t>: 1202-1212 [PMID: 26811658 DOI: 10.3748/wjg.v22.i3.1202]</w:t>
      </w:r>
    </w:p>
    <w:p w14:paraId="02B7371A" w14:textId="465C9287" w:rsidR="00E43233" w:rsidRPr="007345D5" w:rsidRDefault="00B86DE8" w:rsidP="003939E4">
      <w:pPr>
        <w:adjustRightInd w:val="0"/>
        <w:snapToGrid w:val="0"/>
        <w:spacing w:line="360" w:lineRule="auto"/>
        <w:jc w:val="both"/>
        <w:rPr>
          <w:rFonts w:ascii="Book Antiqua" w:eastAsiaTheme="minorEastAsia" w:hAnsi="Book Antiqua" w:cs="SimSun"/>
          <w:lang w:eastAsia="ja-JP"/>
        </w:rPr>
      </w:pPr>
      <w:r w:rsidRPr="007345D5">
        <w:rPr>
          <w:rFonts w:ascii="Book Antiqua" w:eastAsiaTheme="minorEastAsia" w:hAnsi="Book Antiqua" w:cs="SimSun"/>
          <w:lang w:eastAsia="ja-JP"/>
        </w:rPr>
        <w:t>25</w:t>
      </w:r>
      <w:r w:rsidR="00E43233" w:rsidRPr="007345D5">
        <w:rPr>
          <w:rFonts w:ascii="Book Antiqua" w:eastAsiaTheme="minorEastAsia" w:hAnsi="Book Antiqua" w:cs="SimSun"/>
          <w:lang w:eastAsia="ja-JP"/>
        </w:rPr>
        <w:t xml:space="preserve"> </w:t>
      </w:r>
      <w:r w:rsidR="00E63A6B" w:rsidRPr="007345D5">
        <w:rPr>
          <w:rFonts w:ascii="Book Antiqua" w:eastAsiaTheme="minorEastAsia" w:hAnsi="Book Antiqua" w:cs="SimSun"/>
          <w:b/>
          <w:lang w:eastAsia="ja-JP"/>
        </w:rPr>
        <w:t>Wang HY</w:t>
      </w:r>
      <w:r w:rsidR="00E63A6B" w:rsidRPr="007345D5">
        <w:rPr>
          <w:rFonts w:ascii="Book Antiqua" w:eastAsiaTheme="minorEastAsia" w:hAnsi="Book Antiqua" w:cs="SimSun"/>
          <w:lang w:eastAsia="ja-JP"/>
        </w:rPr>
        <w:t xml:space="preserve">, Wei J, Zou ZY, Qian XP, Liu BR. Circulating tumour cells predict survival in gastric cancer patients: a meta-analysis. </w:t>
      </w:r>
      <w:r w:rsidR="00E63A6B" w:rsidRPr="007345D5">
        <w:rPr>
          <w:rFonts w:ascii="Book Antiqua" w:eastAsiaTheme="minorEastAsia" w:hAnsi="Book Antiqua" w:cs="SimSun"/>
          <w:i/>
          <w:lang w:eastAsia="ja-JP"/>
        </w:rPr>
        <w:t>Contemp Oncol</w:t>
      </w:r>
      <w:r w:rsidR="00E63A6B" w:rsidRPr="007345D5">
        <w:rPr>
          <w:rFonts w:ascii="Book Antiqua" w:eastAsiaTheme="minorEastAsia" w:hAnsi="Book Antiqua" w:cs="SimSun"/>
          <w:lang w:eastAsia="ja-JP"/>
        </w:rPr>
        <w:t xml:space="preserve"> (Pozn) 2015; </w:t>
      </w:r>
      <w:r w:rsidR="00E63A6B" w:rsidRPr="007345D5">
        <w:rPr>
          <w:rFonts w:ascii="Book Antiqua" w:eastAsiaTheme="minorEastAsia" w:hAnsi="Book Antiqua" w:cs="SimSun"/>
          <w:b/>
          <w:lang w:eastAsia="ja-JP"/>
        </w:rPr>
        <w:t>19</w:t>
      </w:r>
      <w:r w:rsidR="00E63A6B" w:rsidRPr="007345D5">
        <w:rPr>
          <w:rFonts w:ascii="Book Antiqua" w:eastAsiaTheme="minorEastAsia" w:hAnsi="Book Antiqua" w:cs="SimSun"/>
          <w:lang w:eastAsia="ja-JP"/>
        </w:rPr>
        <w:t>: 451-457 [PMID: 26843841 DOI: 10.5114/wo.2015.56651]</w:t>
      </w:r>
    </w:p>
    <w:p w14:paraId="3C453B80" w14:textId="7AA0C2FE" w:rsidR="003939E4" w:rsidRPr="007345D5" w:rsidRDefault="00B86DE8"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26</w:t>
      </w:r>
      <w:r w:rsidR="003939E4" w:rsidRPr="007345D5">
        <w:rPr>
          <w:rFonts w:ascii="Book Antiqua" w:eastAsia="SimSun" w:hAnsi="Book Antiqua" w:cs="SimSun"/>
          <w:lang w:eastAsia="zh-CN"/>
        </w:rPr>
        <w:t> </w:t>
      </w:r>
      <w:r w:rsidR="003939E4" w:rsidRPr="007345D5">
        <w:rPr>
          <w:rFonts w:ascii="Book Antiqua" w:eastAsia="SimSun" w:hAnsi="Book Antiqua" w:cs="SimSun"/>
          <w:b/>
          <w:bCs/>
          <w:lang w:eastAsia="zh-CN"/>
        </w:rPr>
        <w:t>Wicha MS</w:t>
      </w:r>
      <w:r w:rsidR="003939E4" w:rsidRPr="007345D5">
        <w:rPr>
          <w:rFonts w:ascii="Book Antiqua" w:eastAsia="SimSun" w:hAnsi="Book Antiqua" w:cs="SimSun"/>
          <w:lang w:eastAsia="zh-CN"/>
        </w:rPr>
        <w:t>. Cancer stem cells and metastasis: lethal seeds. </w:t>
      </w:r>
      <w:r w:rsidR="003939E4" w:rsidRPr="007345D5">
        <w:rPr>
          <w:rFonts w:ascii="Book Antiqua" w:eastAsia="SimSun" w:hAnsi="Book Antiqua" w:cs="SimSun"/>
          <w:i/>
          <w:iCs/>
          <w:lang w:eastAsia="zh-CN"/>
        </w:rPr>
        <w:t>Clin Cancer Res</w:t>
      </w:r>
      <w:r w:rsidR="003939E4" w:rsidRPr="007345D5">
        <w:rPr>
          <w:rFonts w:ascii="Book Antiqua" w:eastAsia="SimSun" w:hAnsi="Book Antiqua" w:cs="SimSun"/>
          <w:lang w:eastAsia="zh-CN"/>
        </w:rPr>
        <w:t> 2006; </w:t>
      </w:r>
      <w:r w:rsidR="003939E4" w:rsidRPr="007345D5">
        <w:rPr>
          <w:rFonts w:ascii="Book Antiqua" w:eastAsia="SimSun" w:hAnsi="Book Antiqua" w:cs="SimSun"/>
          <w:b/>
          <w:bCs/>
          <w:lang w:eastAsia="zh-CN"/>
        </w:rPr>
        <w:t>12</w:t>
      </w:r>
      <w:r w:rsidR="003939E4" w:rsidRPr="007345D5">
        <w:rPr>
          <w:rFonts w:ascii="Book Antiqua" w:eastAsia="SimSun" w:hAnsi="Book Antiqua" w:cs="SimSun"/>
          <w:lang w:eastAsia="zh-CN"/>
        </w:rPr>
        <w:t>: 5606-5607 [PMID: 17020960 DOI: 10.1158/1078-0432.CCR-06-1537]</w:t>
      </w:r>
    </w:p>
    <w:p w14:paraId="29CC9460" w14:textId="26C07CEF" w:rsidR="00E63A6B" w:rsidRPr="007345D5" w:rsidRDefault="00B86DE8"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27</w:t>
      </w:r>
      <w:r w:rsidR="00E63A6B" w:rsidRPr="007345D5">
        <w:rPr>
          <w:rFonts w:ascii="Book Antiqua" w:eastAsia="SimSun" w:hAnsi="Book Antiqua" w:cs="SimSun"/>
          <w:lang w:eastAsia="zh-CN"/>
        </w:rPr>
        <w:t xml:space="preserve"> Zhong J1, Chen Y1, Wang LJ. Emerging molecular basis of hematogenous metastasis in gastric cancer. </w:t>
      </w:r>
      <w:r w:rsidR="00E63A6B" w:rsidRPr="007345D5">
        <w:rPr>
          <w:rFonts w:ascii="Book Antiqua" w:eastAsia="SimSun" w:hAnsi="Book Antiqua" w:cs="SimSun"/>
          <w:i/>
          <w:lang w:eastAsia="zh-CN"/>
        </w:rPr>
        <w:t>World J Gastroenterol</w:t>
      </w:r>
      <w:r w:rsidR="00E63A6B" w:rsidRPr="007345D5">
        <w:rPr>
          <w:rFonts w:ascii="Book Antiqua" w:eastAsia="SimSun" w:hAnsi="Book Antiqua" w:cs="SimSun"/>
          <w:lang w:eastAsia="zh-CN"/>
        </w:rPr>
        <w:t xml:space="preserve"> 2016; </w:t>
      </w:r>
      <w:r w:rsidR="00E63A6B" w:rsidRPr="007345D5">
        <w:rPr>
          <w:rFonts w:ascii="Book Antiqua" w:eastAsia="SimSun" w:hAnsi="Book Antiqua" w:cs="SimSun"/>
          <w:b/>
          <w:lang w:eastAsia="zh-CN"/>
        </w:rPr>
        <w:t>22</w:t>
      </w:r>
      <w:r w:rsidR="00E63A6B" w:rsidRPr="007345D5">
        <w:rPr>
          <w:rFonts w:ascii="Book Antiqua" w:eastAsia="SimSun" w:hAnsi="Book Antiqua" w:cs="SimSun"/>
          <w:lang w:eastAsia="zh-CN"/>
        </w:rPr>
        <w:t>: 2434-2440. [PMID: 26937132 DOI: 10.3748/wjg.v22.i8.2434]</w:t>
      </w:r>
    </w:p>
    <w:p w14:paraId="47086069" w14:textId="79BB69CB" w:rsidR="003939E4" w:rsidRPr="007345D5" w:rsidRDefault="00B86DE8"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28</w:t>
      </w:r>
      <w:r w:rsidR="003939E4" w:rsidRPr="007345D5">
        <w:rPr>
          <w:rFonts w:ascii="Book Antiqua" w:eastAsia="SimSun" w:hAnsi="Book Antiqua" w:cs="SimSun"/>
          <w:lang w:eastAsia="zh-CN"/>
        </w:rPr>
        <w:t> </w:t>
      </w:r>
      <w:r w:rsidR="003939E4" w:rsidRPr="007345D5">
        <w:rPr>
          <w:rFonts w:ascii="Book Antiqua" w:eastAsia="SimSun" w:hAnsi="Book Antiqua" w:cs="SimSun"/>
          <w:b/>
          <w:bCs/>
          <w:lang w:eastAsia="zh-CN"/>
        </w:rPr>
        <w:t>Pilati P</w:t>
      </w:r>
      <w:r w:rsidR="003939E4" w:rsidRPr="007345D5">
        <w:rPr>
          <w:rFonts w:ascii="Book Antiqua" w:eastAsia="SimSun" w:hAnsi="Book Antiqua" w:cs="SimSun"/>
          <w:lang w:eastAsia="zh-CN"/>
        </w:rPr>
        <w:t xml:space="preserve">, Mocellin S, Bertazza L, Galdi F, Briarava M, Mammano E, Tessari E, Zavagno G, Nitti D. Prognostic value of putative circulating cancer stem cells in </w:t>
      </w:r>
      <w:r w:rsidR="003939E4" w:rsidRPr="007345D5">
        <w:rPr>
          <w:rFonts w:ascii="Book Antiqua" w:eastAsia="SimSun" w:hAnsi="Book Antiqua" w:cs="SimSun"/>
          <w:lang w:eastAsia="zh-CN"/>
        </w:rPr>
        <w:lastRenderedPageBreak/>
        <w:t>patients undergoing hepatic resection for colorectal liver metastasis. </w:t>
      </w:r>
      <w:r w:rsidR="003939E4" w:rsidRPr="007345D5">
        <w:rPr>
          <w:rFonts w:ascii="Book Antiqua" w:eastAsia="SimSun" w:hAnsi="Book Antiqua" w:cs="SimSun"/>
          <w:i/>
          <w:iCs/>
          <w:lang w:eastAsia="zh-CN"/>
        </w:rPr>
        <w:t>Ann Surg Oncol</w:t>
      </w:r>
      <w:r w:rsidR="003939E4" w:rsidRPr="007345D5">
        <w:rPr>
          <w:rFonts w:ascii="Book Antiqua" w:eastAsia="SimSun" w:hAnsi="Book Antiqua" w:cs="SimSun"/>
          <w:lang w:eastAsia="zh-CN"/>
        </w:rPr>
        <w:t> 2012; </w:t>
      </w:r>
      <w:r w:rsidR="003939E4" w:rsidRPr="007345D5">
        <w:rPr>
          <w:rFonts w:ascii="Book Antiqua" w:eastAsia="SimSun" w:hAnsi="Book Antiqua" w:cs="SimSun"/>
          <w:b/>
          <w:bCs/>
          <w:lang w:eastAsia="zh-CN"/>
        </w:rPr>
        <w:t>19</w:t>
      </w:r>
      <w:r w:rsidR="003939E4" w:rsidRPr="007345D5">
        <w:rPr>
          <w:rFonts w:ascii="Book Antiqua" w:eastAsia="SimSun" w:hAnsi="Book Antiqua" w:cs="SimSun"/>
          <w:lang w:eastAsia="zh-CN"/>
        </w:rPr>
        <w:t>: 402-408 [PMID: 22071867 DOI: 10.1245/s10434-011-2132-2]</w:t>
      </w:r>
    </w:p>
    <w:p w14:paraId="27677DDA" w14:textId="6A7B4023" w:rsidR="003939E4" w:rsidRPr="007345D5" w:rsidRDefault="00B86DE8"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29</w:t>
      </w:r>
      <w:r w:rsidR="003939E4" w:rsidRPr="007345D5">
        <w:rPr>
          <w:rFonts w:ascii="Book Antiqua" w:eastAsia="SimSun" w:hAnsi="Book Antiqua" w:cs="SimSun"/>
          <w:lang w:eastAsia="zh-CN"/>
        </w:rPr>
        <w:t> </w:t>
      </w:r>
      <w:r w:rsidR="003939E4" w:rsidRPr="007345D5">
        <w:rPr>
          <w:rFonts w:ascii="Book Antiqua" w:eastAsia="SimSun" w:hAnsi="Book Antiqua" w:cs="SimSun"/>
          <w:b/>
          <w:bCs/>
          <w:lang w:eastAsia="zh-CN"/>
        </w:rPr>
        <w:t>Karnoub AE</w:t>
      </w:r>
      <w:r w:rsidR="003939E4" w:rsidRPr="007345D5">
        <w:rPr>
          <w:rFonts w:ascii="Book Antiqua" w:eastAsia="SimSun" w:hAnsi="Book Antiqua" w:cs="SimSun"/>
          <w:lang w:eastAsia="zh-CN"/>
        </w:rPr>
        <w:t>, Dash AB, Vo AP, Sullivan A, Brooks MW, Bell GW, Richardson AL, Polyak K, Tubo R, Weinberg RA. Mesenchymal stem cells within tumour stroma promote breast cancer metastasis. </w:t>
      </w:r>
      <w:r w:rsidR="003939E4" w:rsidRPr="007345D5">
        <w:rPr>
          <w:rFonts w:ascii="Book Antiqua" w:eastAsia="SimSun" w:hAnsi="Book Antiqua" w:cs="SimSun"/>
          <w:i/>
          <w:iCs/>
          <w:lang w:eastAsia="zh-CN"/>
        </w:rPr>
        <w:t>Nature</w:t>
      </w:r>
      <w:r w:rsidR="003939E4" w:rsidRPr="007345D5">
        <w:rPr>
          <w:rFonts w:ascii="Book Antiqua" w:eastAsia="SimSun" w:hAnsi="Book Antiqua" w:cs="SimSun"/>
          <w:lang w:eastAsia="zh-CN"/>
        </w:rPr>
        <w:t> 2007; </w:t>
      </w:r>
      <w:r w:rsidR="003939E4" w:rsidRPr="007345D5">
        <w:rPr>
          <w:rFonts w:ascii="Book Antiqua" w:eastAsia="SimSun" w:hAnsi="Book Antiqua" w:cs="SimSun"/>
          <w:b/>
          <w:bCs/>
          <w:lang w:eastAsia="zh-CN"/>
        </w:rPr>
        <w:t>449</w:t>
      </w:r>
      <w:r w:rsidR="003939E4" w:rsidRPr="007345D5">
        <w:rPr>
          <w:rFonts w:ascii="Book Antiqua" w:eastAsia="SimSun" w:hAnsi="Book Antiqua" w:cs="SimSun"/>
          <w:lang w:eastAsia="zh-CN"/>
        </w:rPr>
        <w:t>: 557-563 [PMID: 17914389 DOI: 10.1038/nature06188]</w:t>
      </w:r>
    </w:p>
    <w:p w14:paraId="4853E8A4" w14:textId="494DEE88" w:rsidR="003939E4" w:rsidRPr="007345D5" w:rsidRDefault="00B86DE8"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30</w:t>
      </w:r>
      <w:r w:rsidR="003939E4" w:rsidRPr="007345D5">
        <w:rPr>
          <w:rFonts w:ascii="Book Antiqua" w:eastAsia="SimSun" w:hAnsi="Book Antiqua" w:cs="SimSun"/>
          <w:lang w:eastAsia="zh-CN"/>
        </w:rPr>
        <w:t> </w:t>
      </w:r>
      <w:r w:rsidR="003939E4" w:rsidRPr="007345D5">
        <w:rPr>
          <w:rFonts w:ascii="Book Antiqua" w:eastAsia="SimSun" w:hAnsi="Book Antiqua" w:cs="SimSun"/>
          <w:b/>
          <w:bCs/>
          <w:lang w:eastAsia="zh-CN"/>
        </w:rPr>
        <w:t>Bonsing BA</w:t>
      </w:r>
      <w:r w:rsidR="003939E4" w:rsidRPr="007345D5">
        <w:rPr>
          <w:rFonts w:ascii="Book Antiqua" w:eastAsia="SimSun" w:hAnsi="Book Antiqua" w:cs="SimSun"/>
          <w:lang w:eastAsia="zh-CN"/>
        </w:rPr>
        <w:t>, Beerman H, Kuipers-Dijkshoorn N, Fleuren GJ, Cornelisse CJ. High levels of DNA index heterogeneity in advanced breast carcinomas. Evidence for DNA ploidy differences between lymphatic and hematogenous metastases. </w:t>
      </w:r>
      <w:r w:rsidR="003939E4" w:rsidRPr="007345D5">
        <w:rPr>
          <w:rFonts w:ascii="Book Antiqua" w:eastAsia="SimSun" w:hAnsi="Book Antiqua" w:cs="SimSun"/>
          <w:i/>
          <w:iCs/>
          <w:lang w:eastAsia="zh-CN"/>
        </w:rPr>
        <w:t>Cancer</w:t>
      </w:r>
      <w:r w:rsidR="003939E4" w:rsidRPr="007345D5">
        <w:rPr>
          <w:rFonts w:ascii="Book Antiqua" w:eastAsia="SimSun" w:hAnsi="Book Antiqua" w:cs="SimSun"/>
          <w:lang w:eastAsia="zh-CN"/>
        </w:rPr>
        <w:t> 1993; </w:t>
      </w:r>
      <w:r w:rsidR="003939E4" w:rsidRPr="007345D5">
        <w:rPr>
          <w:rFonts w:ascii="Book Antiqua" w:eastAsia="SimSun" w:hAnsi="Book Antiqua" w:cs="SimSun"/>
          <w:b/>
          <w:bCs/>
          <w:lang w:eastAsia="zh-CN"/>
        </w:rPr>
        <w:t>71</w:t>
      </w:r>
      <w:r w:rsidR="003939E4" w:rsidRPr="007345D5">
        <w:rPr>
          <w:rFonts w:ascii="Book Antiqua" w:eastAsia="SimSun" w:hAnsi="Book Antiqua" w:cs="SimSun"/>
          <w:lang w:eastAsia="zh-CN"/>
        </w:rPr>
        <w:t>: 382-391 [PMID: 8422632]</w:t>
      </w:r>
    </w:p>
    <w:p w14:paraId="2649A6DD" w14:textId="07608931" w:rsidR="00E63A6B" w:rsidRPr="007345D5" w:rsidRDefault="00B86DE8" w:rsidP="003939E4">
      <w:pPr>
        <w:adjustRightInd w:val="0"/>
        <w:snapToGrid w:val="0"/>
        <w:spacing w:line="360" w:lineRule="auto"/>
        <w:jc w:val="both"/>
        <w:rPr>
          <w:rFonts w:ascii="Book Antiqua" w:eastAsia="SimSun" w:hAnsi="Book Antiqua" w:cs="SimSun"/>
          <w:lang w:eastAsia="zh-CN"/>
        </w:rPr>
      </w:pPr>
      <w:r w:rsidRPr="007345D5">
        <w:rPr>
          <w:rFonts w:ascii="Book Antiqua" w:eastAsia="SimSun" w:hAnsi="Book Antiqua" w:cs="SimSun"/>
          <w:lang w:eastAsia="zh-CN"/>
        </w:rPr>
        <w:t>31</w:t>
      </w:r>
      <w:r w:rsidR="00E63A6B" w:rsidRPr="007345D5">
        <w:rPr>
          <w:rFonts w:ascii="Book Antiqua" w:eastAsia="SimSun" w:hAnsi="Book Antiqua" w:cs="SimSun"/>
          <w:lang w:eastAsia="zh-CN"/>
        </w:rPr>
        <w:t xml:space="preserve"> </w:t>
      </w:r>
      <w:r w:rsidR="00E63A6B" w:rsidRPr="007345D5">
        <w:rPr>
          <w:rFonts w:ascii="Book Antiqua" w:eastAsia="SimSun" w:hAnsi="Book Antiqua" w:cs="SimSun"/>
          <w:b/>
          <w:lang w:eastAsia="zh-CN"/>
        </w:rPr>
        <w:t>Kolostova K</w:t>
      </w:r>
      <w:r w:rsidR="00E63A6B" w:rsidRPr="007345D5">
        <w:rPr>
          <w:rFonts w:ascii="Book Antiqua" w:eastAsia="SimSun" w:hAnsi="Book Antiqua" w:cs="SimSun"/>
          <w:lang w:eastAsia="zh-CN"/>
        </w:rPr>
        <w:t xml:space="preserve">, Matkowski R, Gürlich R, Grabowski K, Soter K, Lischke R, Schützner J, Bobek V. Detection and cultivation of circulating tumor cells in gastric cancer. </w:t>
      </w:r>
      <w:r w:rsidR="00E63A6B" w:rsidRPr="007345D5">
        <w:rPr>
          <w:rFonts w:ascii="Book Antiqua" w:eastAsia="SimSun" w:hAnsi="Book Antiqua" w:cs="SimSun"/>
          <w:i/>
          <w:lang w:eastAsia="zh-CN"/>
        </w:rPr>
        <w:t>Cytotechnology</w:t>
      </w:r>
      <w:r w:rsidR="00E63A6B" w:rsidRPr="007345D5">
        <w:rPr>
          <w:rFonts w:ascii="Book Antiqua" w:eastAsia="SimSun" w:hAnsi="Book Antiqua" w:cs="SimSun"/>
          <w:lang w:eastAsia="zh-CN"/>
        </w:rPr>
        <w:t xml:space="preserve"> 2016; </w:t>
      </w:r>
      <w:r w:rsidR="00E63A6B" w:rsidRPr="007345D5">
        <w:rPr>
          <w:rFonts w:ascii="Book Antiqua" w:eastAsia="SimSun" w:hAnsi="Book Antiqua" w:cs="SimSun"/>
          <w:b/>
          <w:lang w:eastAsia="zh-CN"/>
        </w:rPr>
        <w:t>68</w:t>
      </w:r>
      <w:r w:rsidR="00E63A6B" w:rsidRPr="007345D5">
        <w:rPr>
          <w:rFonts w:ascii="Book Antiqua" w:eastAsia="SimSun" w:hAnsi="Book Antiqua" w:cs="SimSun"/>
          <w:lang w:eastAsia="zh-CN"/>
        </w:rPr>
        <w:t>: 1095-1102 [PMID: 25862542 DOI: 10.1007/s10616-015-9866-9]</w:t>
      </w:r>
    </w:p>
    <w:p w14:paraId="69DDAB09" w14:textId="77777777" w:rsidR="001B7648" w:rsidRDefault="00EA51ED" w:rsidP="003939E4">
      <w:pPr>
        <w:adjustRightInd w:val="0"/>
        <w:snapToGrid w:val="0"/>
        <w:spacing w:line="360" w:lineRule="auto"/>
        <w:ind w:left="361" w:hangingChars="150" w:hanging="361"/>
        <w:jc w:val="right"/>
        <w:rPr>
          <w:rFonts w:ascii="Book Antiqua" w:eastAsia="DengXian" w:hAnsi="Book Antiqua"/>
          <w:b/>
          <w:bCs/>
          <w:lang w:eastAsia="zh-CN"/>
        </w:rPr>
      </w:pPr>
      <w:bookmarkStart w:id="387" w:name="OLE_LINK51"/>
      <w:bookmarkStart w:id="388" w:name="OLE_LINK120"/>
      <w:bookmarkStart w:id="389" w:name="OLE_LINK148"/>
      <w:bookmarkStart w:id="390" w:name="OLE_LINK112"/>
      <w:bookmarkStart w:id="391" w:name="OLE_LINK320"/>
      <w:bookmarkStart w:id="392" w:name="OLE_LINK387"/>
      <w:bookmarkStart w:id="393" w:name="OLE_LINK183"/>
      <w:bookmarkStart w:id="394" w:name="OLE_LINK254"/>
      <w:bookmarkStart w:id="395" w:name="OLE_LINK149"/>
      <w:bookmarkStart w:id="396" w:name="OLE_LINK225"/>
      <w:bookmarkStart w:id="397" w:name="OLE_LINK226"/>
      <w:bookmarkStart w:id="398" w:name="OLE_LINK212"/>
      <w:bookmarkStart w:id="399" w:name="OLE_LINK250"/>
      <w:bookmarkStart w:id="400" w:name="OLE_LINK281"/>
      <w:bookmarkStart w:id="401" w:name="OLE_LINK240"/>
      <w:bookmarkStart w:id="402" w:name="OLE_LINK282"/>
      <w:bookmarkStart w:id="403" w:name="OLE_LINK313"/>
      <w:bookmarkStart w:id="404" w:name="OLE_LINK304"/>
      <w:bookmarkStart w:id="405" w:name="OLE_LINK321"/>
      <w:bookmarkStart w:id="406" w:name="OLE_LINK385"/>
      <w:bookmarkStart w:id="407" w:name="OLE_LINK400"/>
      <w:bookmarkStart w:id="408" w:name="OLE_LINK346"/>
      <w:bookmarkStart w:id="409" w:name="OLE_LINK371"/>
      <w:bookmarkStart w:id="410" w:name="OLE_LINK334"/>
      <w:bookmarkStart w:id="411" w:name="OLE_LINK1830"/>
      <w:bookmarkStart w:id="412" w:name="OLE_LINK457"/>
      <w:bookmarkStart w:id="413" w:name="OLE_LINK288"/>
      <w:bookmarkStart w:id="414" w:name="OLE_LINK384"/>
      <w:bookmarkStart w:id="415" w:name="OLE_LINK379"/>
      <w:bookmarkStart w:id="416" w:name="OLE_LINK303"/>
      <w:bookmarkStart w:id="417" w:name="OLE_LINK450"/>
      <w:bookmarkStart w:id="418" w:name="OLE_LINK489"/>
      <w:bookmarkStart w:id="419" w:name="OLE_LINK535"/>
      <w:bookmarkStart w:id="420" w:name="OLE_LINK648"/>
      <w:bookmarkStart w:id="421" w:name="OLE_LINK686"/>
      <w:bookmarkStart w:id="422" w:name="OLE_LINK430"/>
      <w:bookmarkStart w:id="423" w:name="OLE_LINK471"/>
      <w:bookmarkStart w:id="424" w:name="OLE_LINK462"/>
      <w:bookmarkStart w:id="425" w:name="OLE_LINK519"/>
      <w:bookmarkStart w:id="426" w:name="OLE_LINK575"/>
      <w:bookmarkStart w:id="427" w:name="OLE_LINK491"/>
      <w:bookmarkStart w:id="428" w:name="OLE_LINK532"/>
      <w:bookmarkStart w:id="429" w:name="OLE_LINK572"/>
      <w:bookmarkStart w:id="430" w:name="OLE_LINK574"/>
      <w:bookmarkStart w:id="431" w:name="OLE_LINK480"/>
      <w:bookmarkStart w:id="432" w:name="OLE_LINK567"/>
      <w:bookmarkStart w:id="433" w:name="OLE_LINK2700"/>
      <w:bookmarkStart w:id="434" w:name="OLE_LINK581"/>
      <w:bookmarkStart w:id="435" w:name="OLE_LINK639"/>
      <w:bookmarkStart w:id="436" w:name="OLE_LINK688"/>
      <w:bookmarkStart w:id="437" w:name="OLE_LINK722"/>
      <w:bookmarkStart w:id="438" w:name="OLE_LINK542"/>
      <w:bookmarkStart w:id="439" w:name="OLE_LINK589"/>
      <w:bookmarkStart w:id="440" w:name="OLE_LINK582"/>
      <w:bookmarkStart w:id="441" w:name="OLE_LINK640"/>
      <w:bookmarkStart w:id="442" w:name="OLE_LINK714"/>
      <w:bookmarkStart w:id="443" w:name="OLE_LINK593"/>
      <w:bookmarkStart w:id="444" w:name="OLE_LINK716"/>
      <w:bookmarkStart w:id="445" w:name="OLE_LINK770"/>
      <w:bookmarkStart w:id="446" w:name="OLE_LINK801"/>
      <w:bookmarkStart w:id="447" w:name="OLE_LINK660"/>
      <w:bookmarkStart w:id="448" w:name="OLE_LINK739"/>
      <w:bookmarkStart w:id="449" w:name="OLE_LINK781"/>
      <w:bookmarkStart w:id="450" w:name="OLE_LINK833"/>
      <w:bookmarkStart w:id="451" w:name="OLE_LINK642"/>
      <w:bookmarkStart w:id="452" w:name="OLE_LINK700"/>
      <w:bookmarkStart w:id="453" w:name="OLE_LINK792"/>
      <w:bookmarkStart w:id="454" w:name="OLE_LINK2882"/>
      <w:bookmarkStart w:id="455" w:name="OLE_LINK836"/>
      <w:bookmarkStart w:id="456" w:name="OLE_LINK889"/>
      <w:bookmarkStart w:id="457" w:name="OLE_LINK782"/>
      <w:bookmarkStart w:id="458" w:name="OLE_LINK826"/>
      <w:bookmarkStart w:id="459" w:name="OLE_LINK865"/>
      <w:bookmarkStart w:id="460" w:name="OLE_LINK2898"/>
      <w:bookmarkStart w:id="461" w:name="OLE_LINK856"/>
      <w:bookmarkStart w:id="462" w:name="OLE_LINK908"/>
      <w:bookmarkStart w:id="463" w:name="OLE_LINK980"/>
      <w:bookmarkStart w:id="464" w:name="OLE_LINK1018"/>
      <w:bookmarkStart w:id="465" w:name="OLE_LINK1049"/>
      <w:bookmarkStart w:id="466" w:name="OLE_LINK1076"/>
      <w:bookmarkStart w:id="467" w:name="OLE_LINK1106"/>
      <w:bookmarkStart w:id="468" w:name="OLE_LINK891"/>
      <w:bookmarkStart w:id="469" w:name="OLE_LINK943"/>
      <w:bookmarkStart w:id="470" w:name="OLE_LINK981"/>
      <w:bookmarkStart w:id="471" w:name="OLE_LINK1030"/>
      <w:bookmarkStart w:id="472" w:name="OLE_LINK847"/>
      <w:bookmarkStart w:id="473" w:name="OLE_LINK909"/>
      <w:bookmarkStart w:id="474" w:name="OLE_LINK898"/>
      <w:bookmarkStart w:id="475" w:name="OLE_LINK906"/>
      <w:bookmarkStart w:id="476" w:name="OLE_LINK992"/>
      <w:bookmarkStart w:id="477" w:name="OLE_LINK993"/>
      <w:bookmarkStart w:id="478" w:name="OLE_LINK1052"/>
      <w:bookmarkStart w:id="479" w:name="OLE_LINK946"/>
      <w:bookmarkStart w:id="480" w:name="OLE_LINK911"/>
      <w:bookmarkStart w:id="481" w:name="OLE_LINK930"/>
      <w:bookmarkStart w:id="482" w:name="OLE_LINK1059"/>
      <w:bookmarkStart w:id="483" w:name="OLE_LINK1137"/>
      <w:bookmarkStart w:id="484" w:name="OLE_LINK1200"/>
      <w:bookmarkStart w:id="485" w:name="OLE_LINK1241"/>
      <w:bookmarkStart w:id="486" w:name="OLE_LINK1288"/>
      <w:bookmarkStart w:id="487" w:name="OLE_LINK1056"/>
      <w:bookmarkStart w:id="488" w:name="OLE_LINK1158"/>
      <w:bookmarkStart w:id="489" w:name="OLE_LINK1175"/>
      <w:bookmarkStart w:id="490" w:name="OLE_LINK1074"/>
      <w:bookmarkStart w:id="491" w:name="OLE_LINK1169"/>
      <w:bookmarkStart w:id="492" w:name="OLE_LINK1060"/>
      <w:bookmarkStart w:id="493" w:name="OLE_LINK1185"/>
      <w:bookmarkStart w:id="494" w:name="OLE_LINK1172"/>
      <w:bookmarkStart w:id="495" w:name="OLE_LINK1176"/>
      <w:bookmarkStart w:id="496" w:name="OLE_LINK1373"/>
      <w:bookmarkStart w:id="497" w:name="OLE_LINK1410"/>
      <w:bookmarkStart w:id="498" w:name="OLE_LINK1448"/>
      <w:bookmarkStart w:id="499" w:name="OLE_LINK1492"/>
      <w:bookmarkStart w:id="500" w:name="OLE_LINK1530"/>
      <w:bookmarkStart w:id="501" w:name="OLE_LINK1585"/>
      <w:bookmarkStart w:id="502" w:name="OLE_LINK1622"/>
      <w:bookmarkStart w:id="503" w:name="OLE_LINK1661"/>
      <w:bookmarkStart w:id="504" w:name="OLE_LINK1691"/>
      <w:bookmarkStart w:id="505" w:name="OLE_LINK1349"/>
      <w:bookmarkStart w:id="506" w:name="OLE_LINK1343"/>
      <w:bookmarkStart w:id="507" w:name="OLE_LINK1462"/>
      <w:bookmarkStart w:id="508" w:name="OLE_LINK1531"/>
      <w:bookmarkStart w:id="509" w:name="OLE_LINK1344"/>
      <w:bookmarkStart w:id="510" w:name="OLE_LINK1384"/>
      <w:bookmarkStart w:id="511" w:name="OLE_LINK1457"/>
      <w:bookmarkStart w:id="512" w:name="OLE_LINK1500"/>
      <w:bookmarkStart w:id="513" w:name="OLE_LINK1370"/>
      <w:bookmarkStart w:id="514" w:name="OLE_LINK1443"/>
      <w:bookmarkStart w:id="515" w:name="OLE_LINK1472"/>
      <w:bookmarkStart w:id="516" w:name="OLE_LINK1503"/>
      <w:bookmarkStart w:id="517" w:name="OLE_LINK1390"/>
      <w:bookmarkStart w:id="518" w:name="OLE_LINK1490"/>
      <w:bookmarkStart w:id="519" w:name="OLE_LINK1576"/>
      <w:bookmarkStart w:id="520" w:name="OLE_LINK1618"/>
      <w:bookmarkStart w:id="521" w:name="OLE_LINK1650"/>
      <w:bookmarkStart w:id="522" w:name="OLE_LINK1721"/>
      <w:bookmarkStart w:id="523" w:name="OLE_LINK1565"/>
      <w:bookmarkStart w:id="524" w:name="OLE_LINK1619"/>
      <w:bookmarkStart w:id="525" w:name="OLE_LINK1671"/>
      <w:bookmarkStart w:id="526" w:name="OLE_LINK1716"/>
      <w:bookmarkStart w:id="527" w:name="OLE_LINK1761"/>
      <w:bookmarkStart w:id="528" w:name="OLE_LINK1586"/>
      <w:bookmarkStart w:id="529" w:name="OLE_LINK1593"/>
      <w:bookmarkStart w:id="530" w:name="OLE_LINK1630"/>
      <w:bookmarkStart w:id="531" w:name="OLE_LINK1699"/>
      <w:bookmarkStart w:id="532" w:name="OLE_LINK1736"/>
      <w:bookmarkStart w:id="533" w:name="OLE_LINK1792"/>
      <w:bookmarkStart w:id="534" w:name="OLE_LINK1825"/>
      <w:bookmarkStart w:id="535" w:name="OLE_LINK1865"/>
      <w:bookmarkStart w:id="536" w:name="OLE_LINK1808"/>
      <w:bookmarkStart w:id="537" w:name="OLE_LINK1862"/>
      <w:bookmarkStart w:id="538" w:name="OLE_LINK1859"/>
      <w:bookmarkStart w:id="539" w:name="OLE_LINK1901"/>
      <w:bookmarkStart w:id="540" w:name="OLE_LINK1939"/>
      <w:bookmarkStart w:id="541" w:name="OLE_LINK1977"/>
      <w:bookmarkStart w:id="542" w:name="OLE_LINK1841"/>
      <w:bookmarkStart w:id="543" w:name="OLE_LINK1879"/>
      <w:bookmarkStart w:id="544" w:name="OLE_LINK1916"/>
      <w:bookmarkStart w:id="545" w:name="OLE_LINK1960"/>
      <w:bookmarkStart w:id="546" w:name="OLE_LINK1834"/>
      <w:bookmarkStart w:id="547" w:name="OLE_LINK2027"/>
      <w:bookmarkStart w:id="548" w:name="OLE_LINK2056"/>
      <w:bookmarkStart w:id="549" w:name="OLE_LINK1870"/>
      <w:bookmarkStart w:id="550" w:name="OLE_LINK1883"/>
      <w:bookmarkStart w:id="551" w:name="OLE_LINK1890"/>
      <w:bookmarkStart w:id="552" w:name="OLE_LINK1922"/>
      <w:bookmarkStart w:id="553" w:name="OLE_LINK1943"/>
      <w:bookmarkStart w:id="554" w:name="OLE_LINK1970"/>
      <w:bookmarkStart w:id="555" w:name="OLE_LINK1983"/>
      <w:bookmarkStart w:id="556" w:name="OLE_LINK2031"/>
      <w:bookmarkStart w:id="557" w:name="OLE_LINK2066"/>
      <w:bookmarkStart w:id="558" w:name="OLE_LINK2094"/>
      <w:bookmarkStart w:id="559" w:name="OLE_LINK2136"/>
      <w:bookmarkStart w:id="560" w:name="OLE_LINK2192"/>
      <w:bookmarkStart w:id="561" w:name="OLE_LINK1984"/>
      <w:bookmarkStart w:id="562" w:name="OLE_LINK2040"/>
      <w:bookmarkStart w:id="563" w:name="OLE_LINK2087"/>
      <w:bookmarkStart w:id="564" w:name="OLE_LINK2131"/>
      <w:bookmarkStart w:id="565" w:name="OLE_LINK2167"/>
      <w:bookmarkStart w:id="566" w:name="OLE_LINK2211"/>
      <w:bookmarkStart w:id="567" w:name="OLE_LINK2265"/>
      <w:bookmarkStart w:id="568" w:name="OLE_LINK2274"/>
      <w:bookmarkStart w:id="569" w:name="OLE_LINK2071"/>
      <w:bookmarkStart w:id="570" w:name="OLE_LINK3320"/>
      <w:bookmarkStart w:id="571" w:name="OLE_LINK3374"/>
      <w:bookmarkStart w:id="572" w:name="OLE_LINK3410"/>
      <w:bookmarkStart w:id="573" w:name="OLE_LINK1997"/>
      <w:bookmarkStart w:id="574" w:name="OLE_LINK2043"/>
      <w:bookmarkStart w:id="575" w:name="OLE_LINK2041"/>
      <w:bookmarkStart w:id="576" w:name="OLE_LINK2133"/>
      <w:bookmarkStart w:id="577" w:name="OLE_LINK2181"/>
      <w:bookmarkStart w:id="578" w:name="OLE_LINK2101"/>
      <w:bookmarkStart w:id="579" w:name="OLE_LINK2128"/>
      <w:bookmarkStart w:id="580" w:name="OLE_LINK3357"/>
      <w:bookmarkStart w:id="581" w:name="OLE_LINK2139"/>
      <w:bookmarkStart w:id="582" w:name="OLE_LINK2219"/>
      <w:bookmarkStart w:id="583" w:name="OLE_LINK2248"/>
      <w:bookmarkStart w:id="584" w:name="OLE_LINK2281"/>
      <w:bookmarkStart w:id="585" w:name="OLE_LINK2294"/>
      <w:bookmarkStart w:id="586" w:name="OLE_LINK2395"/>
      <w:bookmarkStart w:id="587" w:name="OLE_LINK2148"/>
      <w:bookmarkStart w:id="588" w:name="OLE_LINK2236"/>
      <w:bookmarkStart w:id="589" w:name="OLE_LINK2273"/>
      <w:bookmarkStart w:id="590" w:name="OLE_LINK2314"/>
      <w:bookmarkStart w:id="591" w:name="OLE_LINK2240"/>
      <w:bookmarkStart w:id="592" w:name="OLE_LINK2290"/>
      <w:bookmarkStart w:id="593" w:name="OLE_LINK2330"/>
      <w:bookmarkStart w:id="594" w:name="OLE_LINK2402"/>
      <w:bookmarkStart w:id="595" w:name="OLE_LINK2432"/>
      <w:bookmarkStart w:id="596" w:name="OLE_LINK2336"/>
      <w:bookmarkStart w:id="597" w:name="OLE_LINK2369"/>
      <w:bookmarkStart w:id="598" w:name="OLE_LINK2427"/>
      <w:bookmarkStart w:id="599" w:name="OLE_LINK2370"/>
      <w:bookmarkStart w:id="600" w:name="OLE_LINK2474"/>
      <w:bookmarkStart w:id="601" w:name="OLE_LINK2382"/>
      <w:bookmarkStart w:id="602" w:name="OLE_LINK2476"/>
      <w:bookmarkStart w:id="603" w:name="OLE_LINK2532"/>
      <w:bookmarkStart w:id="604" w:name="OLE_LINK2471"/>
      <w:bookmarkStart w:id="605" w:name="OLE_LINK2483"/>
      <w:bookmarkStart w:id="606" w:name="OLE_LINK2511"/>
      <w:bookmarkStart w:id="607" w:name="OLE_LINK2583"/>
      <w:bookmarkStart w:id="608" w:name="OLE_LINK2615"/>
      <w:bookmarkStart w:id="609" w:name="OLE_LINK2554"/>
      <w:bookmarkStart w:id="610" w:name="OLE_LINK2528"/>
      <w:bookmarkStart w:id="611" w:name="OLE_LINK2555"/>
      <w:bookmarkStart w:id="612" w:name="OLE_LINK2537"/>
      <w:bookmarkStart w:id="613" w:name="OLE_LINK2550"/>
      <w:bookmarkStart w:id="614" w:name="OLE_LINK2594"/>
      <w:bookmarkStart w:id="615" w:name="OLE_LINK2589"/>
      <w:bookmarkStart w:id="616" w:name="OLE_LINK2648"/>
      <w:bookmarkStart w:id="617" w:name="OLE_LINK2669"/>
      <w:bookmarkStart w:id="618" w:name="OLE_LINK2567"/>
      <w:bookmarkStart w:id="619" w:name="OLE_LINK2593"/>
      <w:bookmarkStart w:id="620" w:name="OLE_LINK2629"/>
      <w:bookmarkStart w:id="621" w:name="OLE_LINK2678"/>
      <w:bookmarkStart w:id="622" w:name="OLE_LINK2703"/>
      <w:bookmarkStart w:id="623" w:name="OLE_LINK2739"/>
      <w:bookmarkStart w:id="624" w:name="OLE_LINK2757"/>
      <w:bookmarkStart w:id="625" w:name="OLE_LINK3464"/>
      <w:bookmarkStart w:id="626" w:name="OLE_LINK3508"/>
      <w:bookmarkStart w:id="627" w:name="OLE_LINK2779"/>
      <w:bookmarkStart w:id="628" w:name="OLE_LINK2724"/>
      <w:bookmarkStart w:id="629" w:name="OLE_LINK2733"/>
      <w:bookmarkStart w:id="630" w:name="OLE_LINK2744"/>
      <w:bookmarkStart w:id="631" w:name="OLE_LINK2777"/>
      <w:bookmarkStart w:id="632" w:name="OLE_LINK2858"/>
      <w:bookmarkStart w:id="633" w:name="OLE_LINK2834"/>
      <w:bookmarkStart w:id="634" w:name="OLE_LINK2864"/>
      <w:bookmarkStart w:id="635" w:name="OLE_LINK3467"/>
      <w:bookmarkStart w:id="636" w:name="OLE_LINK2846"/>
      <w:bookmarkStart w:id="637" w:name="OLE_LINK2893"/>
      <w:bookmarkStart w:id="638" w:name="OLE_LINK2837"/>
      <w:bookmarkStart w:id="639" w:name="OLE_LINK2853"/>
      <w:bookmarkStart w:id="640" w:name="OLE_LINK2889"/>
      <w:bookmarkStart w:id="641" w:name="OLE_LINK2915"/>
      <w:bookmarkStart w:id="642" w:name="OLE_LINK2938"/>
      <w:bookmarkStart w:id="643" w:name="OLE_LINK2920"/>
      <w:bookmarkStart w:id="644" w:name="OLE_LINK2954"/>
      <w:bookmarkStart w:id="645" w:name="OLE_LINK2986"/>
      <w:bookmarkStart w:id="646" w:name="OLE_LINK3031"/>
      <w:bookmarkStart w:id="647" w:name="OLE_LINK2953"/>
      <w:bookmarkStart w:id="648" w:name="OLE_LINK2972"/>
      <w:bookmarkStart w:id="649" w:name="OLE_LINK3020"/>
      <w:bookmarkStart w:id="650" w:name="OLE_LINK3067"/>
      <w:bookmarkStart w:id="651" w:name="OLE_LINK3108"/>
      <w:bookmarkStart w:id="652" w:name="OLE_LINK3135"/>
      <w:bookmarkStart w:id="653" w:name="OLE_LINK3015"/>
      <w:bookmarkStart w:id="654" w:name="OLE_LINK3032"/>
      <w:bookmarkStart w:id="655" w:name="OLE_LINK3039"/>
      <w:bookmarkStart w:id="656" w:name="OLE_LINK3059"/>
      <w:bookmarkStart w:id="657" w:name="OLE_LINK3065"/>
      <w:bookmarkStart w:id="658" w:name="OLE_LINK3071"/>
      <w:bookmarkStart w:id="659" w:name="OLE_LINK3089"/>
      <w:bookmarkStart w:id="660" w:name="OLE_LINK3114"/>
      <w:bookmarkStart w:id="661" w:name="OLE_LINK3142"/>
      <w:bookmarkStart w:id="662" w:name="OLE_LINK3118"/>
      <w:bookmarkStart w:id="663" w:name="OLE_LINK3160"/>
      <w:bookmarkStart w:id="664" w:name="OLE_LINK3192"/>
      <w:bookmarkStart w:id="665" w:name="OLE_LINK3186"/>
      <w:bookmarkStart w:id="666" w:name="OLE_LINK3184"/>
      <w:bookmarkStart w:id="667" w:name="OLE_LINK3218"/>
      <w:bookmarkStart w:id="668" w:name="OLE_LINK3219"/>
      <w:bookmarkStart w:id="669" w:name="OLE_LINK3248"/>
      <w:bookmarkStart w:id="670" w:name="OLE_LINK3380"/>
      <w:bookmarkStart w:id="671" w:name="OLE_LINK3187"/>
      <w:bookmarkStart w:id="672" w:name="OLE_LINK3245"/>
      <w:bookmarkStart w:id="673" w:name="OLE_LINK3254"/>
      <w:bookmarkStart w:id="674" w:name="OLE_LINK3249"/>
      <w:bookmarkStart w:id="675" w:name="OLE_LINK3263"/>
      <w:bookmarkStart w:id="676" w:name="OLE_LINK3281"/>
      <w:bookmarkStart w:id="677" w:name="OLE_LINK3318"/>
      <w:bookmarkStart w:id="678" w:name="OLE_LINK3378"/>
      <w:bookmarkStart w:id="679" w:name="OLE_LINK3412"/>
      <w:bookmarkStart w:id="680" w:name="OLE_LINK3324"/>
      <w:bookmarkStart w:id="681" w:name="OLE_LINK3372"/>
      <w:bookmarkStart w:id="682" w:name="OLE_LINK3435"/>
      <w:bookmarkStart w:id="683" w:name="OLE_LINK3640"/>
      <w:bookmarkStart w:id="684" w:name="OLE_LINK3755"/>
      <w:bookmarkStart w:id="685" w:name="OLE_LINK3796"/>
      <w:bookmarkStart w:id="686" w:name="OLE_LINK3549"/>
      <w:bookmarkStart w:id="687" w:name="OLE_LINK3554"/>
      <w:bookmarkStart w:id="688" w:name="OLE_LINK3565"/>
      <w:bookmarkStart w:id="689" w:name="OLE_LINK3573"/>
      <w:bookmarkStart w:id="690" w:name="OLE_LINK3705"/>
      <w:r w:rsidRPr="007345D5">
        <w:rPr>
          <w:rFonts w:ascii="Book Antiqua" w:hAnsi="Book Antiqua"/>
          <w:b/>
          <w:bCs/>
        </w:rPr>
        <w:t xml:space="preserve">P-Reviewer: </w:t>
      </w:r>
      <w:r w:rsidRPr="007345D5">
        <w:rPr>
          <w:rFonts w:ascii="Book Antiqua" w:hAnsi="Book Antiqua"/>
          <w:bCs/>
        </w:rPr>
        <w:t>Fiorentini</w:t>
      </w:r>
      <w:r w:rsidRPr="007345D5">
        <w:rPr>
          <w:rFonts w:ascii="Book Antiqua" w:eastAsia="SimSun" w:hAnsi="Book Antiqua"/>
          <w:bCs/>
          <w:lang w:eastAsia="zh-CN"/>
        </w:rPr>
        <w:t xml:space="preserve"> G, Fiorentini HX</w:t>
      </w:r>
      <w:r w:rsidR="00FD6F54">
        <w:rPr>
          <w:rFonts w:ascii="Book Antiqua" w:eastAsia="SimSun" w:hAnsi="Book Antiqua" w:hint="eastAsia"/>
          <w:bCs/>
          <w:lang w:eastAsia="zh-CN"/>
        </w:rPr>
        <w:t>,</w:t>
      </w:r>
      <w:r w:rsidRPr="007345D5">
        <w:rPr>
          <w:rFonts w:ascii="Book Antiqua" w:hAnsi="Book Antiqua"/>
          <w:b/>
          <w:bCs/>
        </w:rPr>
        <w:t xml:space="preserve"> </w:t>
      </w:r>
      <w:r w:rsidR="00FD6F54" w:rsidRPr="00FD6F54">
        <w:rPr>
          <w:rFonts w:ascii="Book Antiqua" w:hAnsi="Book Antiqua"/>
          <w:bCs/>
        </w:rPr>
        <w:t>Tarnawski</w:t>
      </w:r>
      <w:r w:rsidR="00FD6F54" w:rsidRPr="00FD6F54">
        <w:rPr>
          <w:rFonts w:ascii="Book Antiqua" w:eastAsia="DengXian" w:hAnsi="Book Antiqua" w:hint="eastAsia"/>
          <w:bCs/>
          <w:lang w:eastAsia="zh-CN"/>
        </w:rPr>
        <w:t xml:space="preserve"> AS</w:t>
      </w:r>
      <w:r w:rsidR="00FD6F54">
        <w:rPr>
          <w:rFonts w:ascii="Book Antiqua" w:eastAsia="DengXian" w:hAnsi="Book Antiqua" w:hint="eastAsia"/>
          <w:b/>
          <w:bCs/>
          <w:lang w:eastAsia="zh-CN"/>
        </w:rPr>
        <w:t xml:space="preserve"> </w:t>
      </w:r>
    </w:p>
    <w:p w14:paraId="30122764" w14:textId="77F76297" w:rsidR="00EA51ED" w:rsidRDefault="00EA51ED" w:rsidP="001B7648">
      <w:pPr>
        <w:adjustRightInd w:val="0"/>
        <w:snapToGrid w:val="0"/>
        <w:spacing w:line="360" w:lineRule="auto"/>
        <w:ind w:left="361" w:hangingChars="150" w:hanging="361"/>
        <w:jc w:val="right"/>
        <w:rPr>
          <w:rFonts w:ascii="Book Antiqua" w:eastAsia="SimSun" w:hAnsi="Book Antiqua"/>
          <w:b/>
          <w:bCs/>
          <w:lang w:eastAsia="zh-CN"/>
        </w:rPr>
      </w:pPr>
      <w:r w:rsidRPr="007345D5">
        <w:rPr>
          <w:rFonts w:ascii="Book Antiqua" w:hAnsi="Book Antiqua"/>
          <w:b/>
          <w:bCs/>
        </w:rPr>
        <w:t>S-Editor:</w:t>
      </w:r>
      <w:r w:rsidRPr="007345D5">
        <w:rPr>
          <w:rFonts w:ascii="Book Antiqua" w:hAnsi="Book Antiqua"/>
        </w:rPr>
        <w:t xml:space="preserve"> Yu J </w:t>
      </w:r>
      <w:r w:rsidRPr="007345D5">
        <w:rPr>
          <w:rFonts w:ascii="Book Antiqua" w:hAnsi="Book Antiqua"/>
          <w:b/>
          <w:bCs/>
        </w:rPr>
        <w:t>L-Editor:</w:t>
      </w:r>
      <w:r w:rsidRPr="007345D5">
        <w:rPr>
          <w:rFonts w:ascii="Book Antiqua" w:hAnsi="Book Antiqua"/>
        </w:rPr>
        <w:t xml:space="preserve"> </w:t>
      </w:r>
      <w:r w:rsidRPr="007345D5">
        <w:rPr>
          <w:rFonts w:ascii="Book Antiqua" w:hAnsi="Book Antiqua"/>
          <w:b/>
          <w:bCs/>
        </w:rPr>
        <w:t>E-Editor:</w:t>
      </w:r>
    </w:p>
    <w:p w14:paraId="44F14429" w14:textId="77777777" w:rsidR="004E7020" w:rsidRDefault="004E7020" w:rsidP="00754E8B">
      <w:pPr>
        <w:adjustRightInd w:val="0"/>
        <w:snapToGrid w:val="0"/>
        <w:spacing w:line="360" w:lineRule="auto"/>
        <w:rPr>
          <w:rFonts w:ascii="Book Antiqua" w:eastAsia="DengXian" w:hAnsi="Book Antiqua"/>
          <w:b/>
          <w:color w:val="000000"/>
          <w:lang w:eastAsia="zh-CN"/>
        </w:rPr>
      </w:pPr>
      <w:bookmarkStart w:id="691" w:name="OLE_LINK3503"/>
      <w:bookmarkStart w:id="692" w:name="OLE_LINK3504"/>
      <w:bookmarkStart w:id="693" w:name="OLE_LINK3509"/>
      <w:bookmarkStart w:id="694" w:name="OLE_LINK3510"/>
      <w:bookmarkStart w:id="695" w:name="OLE_LINK3388"/>
      <w:bookmarkStart w:id="696" w:name="OLE_LINK3389"/>
      <w:bookmarkStart w:id="697" w:name="OLE_LINK3420"/>
      <w:bookmarkStart w:id="698" w:name="OLE_LINK3381"/>
      <w:bookmarkStart w:id="699" w:name="OLE_LINK3382"/>
      <w:bookmarkStart w:id="700" w:name="OLE_LINK3383"/>
      <w:bookmarkStart w:id="701" w:name="OLE_LINK3440"/>
      <w:bookmarkStart w:id="702" w:name="OLE_LINK3441"/>
      <w:bookmarkStart w:id="703" w:name="OLE_LINK3444"/>
      <w:bookmarkStart w:id="704" w:name="OLE_LINK3450"/>
      <w:bookmarkStart w:id="705" w:name="OLE_LINK3465"/>
      <w:bookmarkStart w:id="706" w:name="OLE_LINK3762"/>
      <w:bookmarkStart w:id="707" w:name="OLE_LINK3809"/>
      <w:bookmarkStart w:id="708" w:name="OLE_LINK3541"/>
      <w:bookmarkStart w:id="709" w:name="OLE_LINK3542"/>
      <w:bookmarkStart w:id="710" w:name="OLE_LINK3551"/>
      <w:bookmarkStart w:id="711" w:name="OLE_LINK3569"/>
      <w:bookmarkStart w:id="712" w:name="OLE_LINK3574"/>
      <w:bookmarkStart w:id="713" w:name="OLE_LINK3582"/>
      <w:bookmarkStart w:id="714" w:name="OLE_LINK3598"/>
      <w:bookmarkStart w:id="715" w:name="OLE_LINK3601"/>
      <w:bookmarkStart w:id="716" w:name="OLE_LINK3602"/>
      <w:bookmarkStart w:id="717" w:name="OLE_LINK3603"/>
    </w:p>
    <w:p w14:paraId="604F2439" w14:textId="77777777" w:rsidR="00754E8B" w:rsidRPr="008E0DB1" w:rsidRDefault="00754E8B" w:rsidP="00754E8B">
      <w:pPr>
        <w:adjustRightInd w:val="0"/>
        <w:snapToGrid w:val="0"/>
        <w:spacing w:line="360" w:lineRule="auto"/>
        <w:rPr>
          <w:rFonts w:ascii="Book Antiqua" w:hAnsi="Book Antiqua"/>
          <w:color w:val="000000"/>
        </w:rPr>
      </w:pPr>
      <w:r w:rsidRPr="008E0DB1">
        <w:rPr>
          <w:rFonts w:ascii="Book Antiqua" w:hAnsi="Book Antiqua"/>
          <w:b/>
          <w:color w:val="000000"/>
        </w:rPr>
        <w:t xml:space="preserve">Specialty type: </w:t>
      </w:r>
      <w:r w:rsidRPr="008E0DB1">
        <w:rPr>
          <w:rFonts w:ascii="Book Antiqua" w:hAnsi="Book Antiqua"/>
          <w:color w:val="000000"/>
        </w:rPr>
        <w:t>Gastroenterology and hepatology</w:t>
      </w:r>
    </w:p>
    <w:p w14:paraId="3FAAA4DE" w14:textId="77777777" w:rsidR="004E7020" w:rsidRDefault="00754E8B" w:rsidP="004E7020">
      <w:pPr>
        <w:adjustRightInd w:val="0"/>
        <w:snapToGrid w:val="0"/>
        <w:spacing w:line="360" w:lineRule="auto"/>
        <w:rPr>
          <w:rFonts w:ascii="Book Antiqua" w:eastAsia="SimSun" w:hAnsi="Book Antiqua"/>
          <w:color w:val="000000"/>
          <w:lang w:eastAsia="zh-CN"/>
        </w:rPr>
      </w:pPr>
      <w:r w:rsidRPr="008E0DB1">
        <w:rPr>
          <w:rFonts w:ascii="Book Antiqua" w:hAnsi="Book Antiqua"/>
          <w:b/>
          <w:color w:val="000000"/>
        </w:rPr>
        <w:t xml:space="preserve">Country of origin: </w:t>
      </w:r>
      <w:r>
        <w:rPr>
          <w:rFonts w:ascii="Book Antiqua" w:eastAsia="SimSun" w:hAnsi="Book Antiqua" w:hint="eastAsia"/>
          <w:color w:val="000000"/>
          <w:lang w:eastAsia="zh-CN"/>
        </w:rPr>
        <w:t>Japan</w:t>
      </w:r>
      <w:bookmarkEnd w:id="691"/>
      <w:bookmarkEnd w:id="692"/>
      <w:bookmarkEnd w:id="693"/>
      <w:bookmarkEnd w:id="694"/>
    </w:p>
    <w:p w14:paraId="07313C21" w14:textId="10839BDD" w:rsidR="00754E8B" w:rsidRPr="004E7020" w:rsidRDefault="00754E8B" w:rsidP="004E7020">
      <w:pPr>
        <w:adjustRightInd w:val="0"/>
        <w:snapToGrid w:val="0"/>
        <w:spacing w:line="360" w:lineRule="auto"/>
        <w:rPr>
          <w:rFonts w:ascii="Book Antiqua" w:eastAsia="SimSun" w:hAnsi="Book Antiqua"/>
          <w:color w:val="000000"/>
          <w:lang w:eastAsia="zh-CN"/>
        </w:rPr>
      </w:pPr>
      <w:r w:rsidRPr="001153D1">
        <w:rPr>
          <w:rFonts w:ascii="Book Antiqua" w:hAnsi="Book Antiqua" w:cs="Helvetica"/>
          <w:b/>
          <w:color w:val="000000"/>
        </w:rPr>
        <w:t>Peer-review report classification</w:t>
      </w:r>
    </w:p>
    <w:p w14:paraId="06DC71B1" w14:textId="5203D4AA" w:rsidR="00754E8B" w:rsidRPr="00754E8B" w:rsidRDefault="00754E8B" w:rsidP="00754E8B">
      <w:pPr>
        <w:shd w:val="clear" w:color="auto" w:fill="FFFFFF"/>
        <w:spacing w:line="360" w:lineRule="auto"/>
        <w:rPr>
          <w:rFonts w:ascii="Book Antiqua" w:eastAsia="SimSun" w:hAnsi="Book Antiqua" w:cs="Helvetica"/>
          <w:color w:val="000000"/>
          <w:lang w:eastAsia="zh-CN"/>
        </w:rPr>
      </w:pPr>
      <w:r>
        <w:rPr>
          <w:rFonts w:ascii="Book Antiqua" w:hAnsi="Book Antiqua" w:cs="Helvetica"/>
          <w:color w:val="000000"/>
        </w:rPr>
        <w:t xml:space="preserve">Grade A (Excellent): </w:t>
      </w:r>
      <w:r>
        <w:rPr>
          <w:rFonts w:ascii="Book Antiqua" w:eastAsia="SimSun" w:hAnsi="Book Antiqua" w:cs="Helvetica" w:hint="eastAsia"/>
          <w:color w:val="000000"/>
          <w:lang w:eastAsia="zh-CN"/>
        </w:rPr>
        <w:t>0</w:t>
      </w:r>
    </w:p>
    <w:p w14:paraId="52025383" w14:textId="49098B65" w:rsidR="00754E8B" w:rsidRPr="00754E8B" w:rsidRDefault="00754E8B" w:rsidP="00754E8B">
      <w:pPr>
        <w:shd w:val="clear" w:color="auto" w:fill="FFFFFF"/>
        <w:spacing w:line="360" w:lineRule="auto"/>
        <w:rPr>
          <w:rFonts w:ascii="Book Antiqua" w:eastAsia="SimSun" w:hAnsi="Book Antiqua" w:cs="Helvetica"/>
          <w:color w:val="000000"/>
          <w:lang w:eastAsia="zh-CN"/>
        </w:rPr>
      </w:pPr>
      <w:r>
        <w:rPr>
          <w:rFonts w:ascii="Book Antiqua" w:hAnsi="Book Antiqua" w:cs="Helvetica"/>
          <w:color w:val="000000"/>
        </w:rPr>
        <w:t xml:space="preserve">Grade B (Very good): </w:t>
      </w:r>
      <w:r>
        <w:rPr>
          <w:rFonts w:ascii="Book Antiqua" w:eastAsia="SimSun" w:hAnsi="Book Antiqua" w:cs="Helvetica" w:hint="eastAsia"/>
          <w:color w:val="000000"/>
          <w:lang w:eastAsia="zh-CN"/>
        </w:rPr>
        <w:t>B,</w:t>
      </w:r>
      <w:r w:rsidR="006713FB">
        <w:rPr>
          <w:rFonts w:ascii="Book Antiqua" w:eastAsia="SimSun" w:hAnsi="Book Antiqua" w:cs="Helvetica" w:hint="eastAsia"/>
          <w:color w:val="000000"/>
          <w:lang w:eastAsia="zh-CN"/>
        </w:rPr>
        <w:t xml:space="preserve"> </w:t>
      </w:r>
      <w:r>
        <w:rPr>
          <w:rFonts w:ascii="Book Antiqua" w:eastAsia="SimSun" w:hAnsi="Book Antiqua" w:cs="Helvetica" w:hint="eastAsia"/>
          <w:color w:val="000000"/>
          <w:lang w:eastAsia="zh-CN"/>
        </w:rPr>
        <w:t>B</w:t>
      </w:r>
    </w:p>
    <w:p w14:paraId="3E4ABBFB" w14:textId="60632C84" w:rsidR="00754E8B" w:rsidRPr="00754E8B" w:rsidRDefault="00754E8B" w:rsidP="00754E8B">
      <w:pPr>
        <w:shd w:val="clear" w:color="auto" w:fill="FFFFFF"/>
        <w:spacing w:line="360" w:lineRule="auto"/>
        <w:rPr>
          <w:rFonts w:ascii="Book Antiqua" w:eastAsia="SimSun" w:hAnsi="Book Antiqua" w:cs="Helvetica"/>
          <w:color w:val="000000"/>
          <w:lang w:eastAsia="zh-CN"/>
        </w:rPr>
      </w:pPr>
      <w:r>
        <w:rPr>
          <w:rFonts w:ascii="Book Antiqua" w:hAnsi="Book Antiqua" w:cs="Helvetica"/>
          <w:color w:val="000000"/>
        </w:rPr>
        <w:t xml:space="preserve">Grade C (Good): </w:t>
      </w:r>
      <w:r>
        <w:rPr>
          <w:rFonts w:ascii="Book Antiqua" w:eastAsia="SimSun" w:hAnsi="Book Antiqua" w:cs="Helvetica" w:hint="eastAsia"/>
          <w:color w:val="000000"/>
          <w:lang w:eastAsia="zh-CN"/>
        </w:rPr>
        <w:t>C</w:t>
      </w:r>
    </w:p>
    <w:p w14:paraId="541A5B88" w14:textId="77777777" w:rsidR="00754E8B" w:rsidRDefault="00754E8B" w:rsidP="00754E8B">
      <w:pPr>
        <w:shd w:val="clear" w:color="auto" w:fill="FFFFFF"/>
        <w:spacing w:line="360" w:lineRule="auto"/>
        <w:rPr>
          <w:rFonts w:ascii="Book Antiqua" w:hAnsi="Book Antiqua" w:cs="Helvetica"/>
          <w:color w:val="000000"/>
        </w:rPr>
      </w:pPr>
      <w:r>
        <w:rPr>
          <w:rFonts w:ascii="Book Antiqua" w:hAnsi="Book Antiqua" w:cs="Helvetica"/>
          <w:color w:val="000000"/>
        </w:rPr>
        <w:t>Grade D (Fair): 0</w:t>
      </w:r>
    </w:p>
    <w:p w14:paraId="0F4B8C39" w14:textId="4A88DE31" w:rsidR="00754E8B" w:rsidRPr="00754E8B" w:rsidRDefault="00754E8B" w:rsidP="004D4A22">
      <w:pPr>
        <w:shd w:val="clear" w:color="auto" w:fill="FFFFFF"/>
        <w:spacing w:line="360" w:lineRule="auto"/>
        <w:rPr>
          <w:rFonts w:ascii="Book Antiqua" w:eastAsia="SimSun" w:hAnsi="Book Antiqua"/>
          <w:b/>
          <w:bCs/>
          <w:lang w:eastAsia="zh-CN"/>
        </w:rPr>
      </w:pPr>
      <w:r>
        <w:rPr>
          <w:rFonts w:ascii="Book Antiqua" w:hAnsi="Book Antiqua" w:cs="Helvetica"/>
          <w:color w:val="000000"/>
        </w:rPr>
        <w:t>Grade E (Poor): 0</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5EBD85AD" w14:textId="77777777" w:rsidR="00754E8B" w:rsidRDefault="00754E8B" w:rsidP="00754E8B">
      <w:pPr>
        <w:adjustRightInd w:val="0"/>
        <w:snapToGrid w:val="0"/>
        <w:spacing w:line="360" w:lineRule="auto"/>
        <w:ind w:left="360" w:hangingChars="150" w:hanging="360"/>
        <w:jc w:val="right"/>
        <w:rPr>
          <w:rFonts w:ascii="Book Antiqua" w:eastAsia="SimSun" w:hAnsi="Book Antiqua"/>
          <w:lang w:eastAsia="zh-CN"/>
        </w:rPr>
      </w:pPr>
    </w:p>
    <w:p w14:paraId="7578F25B" w14:textId="77777777" w:rsidR="00754E8B" w:rsidRPr="00754E8B" w:rsidRDefault="00754E8B" w:rsidP="00754E8B">
      <w:pPr>
        <w:adjustRightInd w:val="0"/>
        <w:snapToGrid w:val="0"/>
        <w:spacing w:line="360" w:lineRule="auto"/>
        <w:ind w:left="360" w:hangingChars="150" w:hanging="360"/>
        <w:jc w:val="right"/>
        <w:rPr>
          <w:rFonts w:ascii="Book Antiqua" w:eastAsia="SimSun" w:hAnsi="Book Antiqua"/>
          <w:lang w:eastAsia="zh-CN"/>
        </w:rPr>
      </w:pPr>
    </w:p>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14:paraId="043E0941" w14:textId="61273E00" w:rsidR="00A47BB5" w:rsidRPr="007345D5" w:rsidRDefault="00C1732C" w:rsidP="00570508">
      <w:pPr>
        <w:pStyle w:val="CommentTextChar"/>
        <w:adjustRightInd w:val="0"/>
        <w:snapToGrid w:val="0"/>
        <w:spacing w:line="360" w:lineRule="auto"/>
        <w:rPr>
          <w:rFonts w:ascii="Book Antiqua" w:hAnsi="Book Antiqua" w:cs="Arial"/>
          <w:sz w:val="24"/>
          <w:szCs w:val="24"/>
          <w:lang w:val="en-GB"/>
        </w:rPr>
      </w:pPr>
      <w:r w:rsidRPr="007345D5">
        <w:rPr>
          <w:rFonts w:ascii="Book Antiqua" w:hAnsi="Book Antiqua" w:cs="Arial"/>
          <w:sz w:val="24"/>
          <w:szCs w:val="24"/>
          <w:lang w:val="en-GB"/>
        </w:rPr>
        <w:br w:type="page"/>
      </w:r>
    </w:p>
    <w:p w14:paraId="1BC5734D" w14:textId="77777777" w:rsidR="00570508" w:rsidRPr="007345D5" w:rsidRDefault="00570508" w:rsidP="00570508">
      <w:pPr>
        <w:adjustRightInd w:val="0"/>
        <w:snapToGrid w:val="0"/>
        <w:spacing w:line="360" w:lineRule="auto"/>
        <w:jc w:val="both"/>
        <w:rPr>
          <w:rFonts w:ascii="Book Antiqua" w:eastAsiaTheme="minorEastAsia" w:hAnsi="Book Antiqua" w:cs="Arial"/>
          <w:b/>
          <w:lang w:eastAsia="ja-JP"/>
        </w:rPr>
      </w:pPr>
      <w:r w:rsidRPr="007345D5">
        <w:rPr>
          <w:rFonts w:ascii="Book Antiqua" w:hAnsi="Book Antiqua"/>
          <w:noProof/>
          <w:lang w:val="en-US" w:eastAsia="zh-CN"/>
        </w:rPr>
        <w:lastRenderedPageBreak/>
        <w:drawing>
          <wp:inline distT="0" distB="0" distL="0" distR="0" wp14:anchorId="00E50AD3" wp14:editId="6DDCED75">
            <wp:extent cx="5400040" cy="4727345"/>
            <wp:effectExtent l="0" t="0" r="0" b="0"/>
            <wp:docPr id="1" name="図 5" descr="C:\Users\Hiroaki\AppData\Local\Microsoft\Windows\INetCacheContent.Word\Figure 1_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roaki\AppData\Local\Microsoft\Windows\INetCacheContent.Word\Figure 1_Rev.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727345"/>
                    </a:xfrm>
                    <a:prstGeom prst="rect">
                      <a:avLst/>
                    </a:prstGeom>
                    <a:noFill/>
                    <a:ln>
                      <a:noFill/>
                    </a:ln>
                  </pic:spPr>
                </pic:pic>
              </a:graphicData>
            </a:graphic>
          </wp:inline>
        </w:drawing>
      </w:r>
    </w:p>
    <w:p w14:paraId="1CAF03FC" w14:textId="77777777" w:rsidR="00570508" w:rsidRPr="007345D5" w:rsidRDefault="00570508" w:rsidP="00570508">
      <w:pPr>
        <w:pStyle w:val="CommentTextChar"/>
        <w:adjustRightInd w:val="0"/>
        <w:snapToGrid w:val="0"/>
        <w:spacing w:line="360" w:lineRule="auto"/>
        <w:rPr>
          <w:rFonts w:ascii="Book Antiqua" w:eastAsia="SimSun" w:hAnsi="Book Antiqua" w:cs="Arial"/>
          <w:b/>
          <w:sz w:val="24"/>
          <w:szCs w:val="24"/>
          <w:lang w:val="en-GB" w:eastAsia="zh-CN"/>
        </w:rPr>
      </w:pPr>
      <w:r w:rsidRPr="007345D5">
        <w:rPr>
          <w:rFonts w:ascii="Book Antiqua" w:hAnsi="Book Antiqua" w:cs="Arial"/>
          <w:b/>
          <w:sz w:val="24"/>
          <w:szCs w:val="24"/>
          <w:lang w:val="en-GB"/>
        </w:rPr>
        <w:t xml:space="preserve">Figure 1 Comparison of GFP fluorescence intensity and cell diameter. </w:t>
      </w:r>
      <w:r w:rsidRPr="007345D5">
        <w:rPr>
          <w:rFonts w:ascii="Book Antiqua" w:hAnsi="Book Antiqua" w:cs="Arial"/>
          <w:sz w:val="24"/>
          <w:szCs w:val="24"/>
          <w:lang w:val="en-GB"/>
        </w:rPr>
        <w:t>A</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Gallery of GFP-positive cell lines. The cell lines used were A549, HepG2, HEC-1, KATO-III, SBC-3, LNCaP, MDA-MB-468, and OVCAR-3</w:t>
      </w:r>
      <w:r w:rsidRPr="007345D5">
        <w:rPr>
          <w:rFonts w:ascii="Book Antiqua" w:eastAsia="SimSun" w:hAnsi="Book Antiqua" w:cs="Arial"/>
          <w:sz w:val="24"/>
          <w:szCs w:val="24"/>
          <w:lang w:val="en-GB" w:eastAsia="zh-CN"/>
        </w:rPr>
        <w:t xml:space="preserve">; </w:t>
      </w:r>
      <w:r w:rsidRPr="007345D5">
        <w:rPr>
          <w:rFonts w:ascii="Book Antiqua" w:hAnsi="Book Antiqua" w:cs="Arial"/>
          <w:sz w:val="24"/>
          <w:szCs w:val="24"/>
          <w:lang w:val="en-GB"/>
        </w:rPr>
        <w:t>B</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Comparison of GFP fluorescence intensity of cultured cell lines and blood cells from healthy volunteers and gastric cancer patients. The bottom and top of the box represent the lower and upper quartiles, and the band across the box shows the median. The lower and upper bars at the ends of the whiskers show the lowest data point and the highest data point, respectively. The cell lines used were A549, HepG2, HEC-1, KATO-III, SBC-3, LNCaP, MDA-MB-468 and OVCAR-3</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C</w:t>
      </w:r>
      <w:r w:rsidRPr="007345D5">
        <w:rPr>
          <w:rFonts w:ascii="Book Antiqua" w:eastAsia="SimSun" w:hAnsi="Book Antiqua" w:cs="Arial"/>
          <w:sz w:val="24"/>
          <w:szCs w:val="24"/>
          <w:lang w:val="en-GB" w:eastAsia="zh-CN"/>
        </w:rPr>
        <w:t xml:space="preserve">: </w:t>
      </w:r>
      <w:r w:rsidRPr="007345D5">
        <w:rPr>
          <w:rFonts w:ascii="Book Antiqua" w:hAnsi="Book Antiqua" w:cs="Arial"/>
          <w:sz w:val="24"/>
          <w:szCs w:val="24"/>
          <w:lang w:val="en-GB"/>
        </w:rPr>
        <w:t>Comparison of GFP fluorescence intensity between patients and healthy volunteers</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D</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Comparison of cell diameter between patients and healthy volunteers. To determine the cut-off line, we used ROC analysis to compare the </w:t>
      </w:r>
      <w:r w:rsidRPr="007345D5">
        <w:rPr>
          <w:rFonts w:ascii="Book Antiqua" w:hAnsi="Book Antiqua" w:cs="Arial"/>
          <w:sz w:val="24"/>
          <w:szCs w:val="24"/>
          <w:lang w:val="en-GB"/>
        </w:rPr>
        <w:lastRenderedPageBreak/>
        <w:t xml:space="preserve">GFP fluorescence intensity and diameter of cells from gastric cancer patients with those of healthy volunteers. </w:t>
      </w:r>
      <w:r w:rsidRPr="007345D5">
        <w:rPr>
          <w:rFonts w:ascii="Book Antiqua" w:eastAsia="MS PGothic" w:hAnsi="Book Antiqua" w:cs="Arial"/>
          <w:sz w:val="24"/>
          <w:szCs w:val="24"/>
          <w:lang w:val="en-GB"/>
        </w:rPr>
        <w:t>Cells from the patients with gastric cancer had higher GFP intensities than those from the healthy volunteers (cut-off 78600927 MEFL</w:t>
      </w:r>
      <w:r w:rsidRPr="007345D5">
        <w:rPr>
          <w:rFonts w:ascii="Book Antiqua" w:hAnsi="Book Antiqua"/>
          <w:sz w:val="24"/>
          <w:szCs w:val="24"/>
          <w:lang w:val="en-GB"/>
        </w:rPr>
        <w:t xml:space="preserve"> sensitivity 82.5 %, specificity 39.7 %</w:t>
      </w:r>
      <w:r w:rsidRPr="007345D5">
        <w:rPr>
          <w:rFonts w:ascii="Book Antiqua" w:eastAsia="MS PGothic" w:hAnsi="Book Antiqua" w:cs="Arial"/>
          <w:sz w:val="24"/>
          <w:szCs w:val="24"/>
          <w:lang w:val="en-GB"/>
        </w:rPr>
        <w:t>, and AUC 0.602). The</w:t>
      </w:r>
      <w:r w:rsidRPr="007345D5">
        <w:rPr>
          <w:rFonts w:ascii="Book Antiqua" w:hAnsi="Book Antiqua"/>
          <w:sz w:val="24"/>
          <w:szCs w:val="24"/>
          <w:lang w:val="en-GB"/>
        </w:rPr>
        <w:t xml:space="preserve"> </w:t>
      </w:r>
      <w:r w:rsidRPr="007345D5">
        <w:rPr>
          <w:rFonts w:ascii="Book Antiqua" w:eastAsia="MS PGothic" w:hAnsi="Book Antiqua" w:cs="Arial"/>
          <w:sz w:val="24"/>
          <w:szCs w:val="24"/>
          <w:lang w:val="en-GB"/>
        </w:rPr>
        <w:t xml:space="preserve">diameters of GFP-positive cells in samples from patients with gastric cancer were higher than those in samples from healthy volunteers (cut-off 7.7418 µm, </w:t>
      </w:r>
      <w:r w:rsidRPr="007345D5">
        <w:rPr>
          <w:rFonts w:ascii="Book Antiqua" w:hAnsi="Book Antiqua"/>
          <w:sz w:val="24"/>
          <w:szCs w:val="24"/>
          <w:lang w:val="en-GB"/>
        </w:rPr>
        <w:t>sensitivity 33.8 %, specificity 80.2 %</w:t>
      </w:r>
      <w:r w:rsidRPr="007345D5">
        <w:rPr>
          <w:rFonts w:ascii="Book Antiqua" w:eastAsia="MS PGothic" w:hAnsi="Book Antiqua" w:cs="Arial"/>
          <w:sz w:val="24"/>
          <w:szCs w:val="24"/>
          <w:lang w:val="en-GB"/>
        </w:rPr>
        <w:t xml:space="preserve">, and AUC 0.578). </w:t>
      </w:r>
    </w:p>
    <w:p w14:paraId="013888DB" w14:textId="72AEDFE7" w:rsidR="00570508" w:rsidRPr="007345D5" w:rsidRDefault="00570508" w:rsidP="00570508">
      <w:pPr>
        <w:adjustRightInd w:val="0"/>
        <w:snapToGrid w:val="0"/>
        <w:spacing w:line="360" w:lineRule="auto"/>
        <w:jc w:val="both"/>
        <w:rPr>
          <w:rFonts w:ascii="Book Antiqua" w:eastAsia="MS Mincho" w:hAnsi="Book Antiqua" w:cs="Arial"/>
          <w:lang w:eastAsia="ja-JP"/>
        </w:rPr>
      </w:pPr>
      <w:r w:rsidRPr="007345D5">
        <w:rPr>
          <w:rFonts w:ascii="Book Antiqua" w:hAnsi="Book Antiqua" w:cs="Arial"/>
        </w:rPr>
        <w:br w:type="page"/>
      </w:r>
    </w:p>
    <w:p w14:paraId="39D0992E" w14:textId="129141B8" w:rsidR="00570508" w:rsidRPr="007345D5" w:rsidRDefault="00570508" w:rsidP="00570508">
      <w:pPr>
        <w:pStyle w:val="CommentTextChar"/>
        <w:adjustRightInd w:val="0"/>
        <w:snapToGrid w:val="0"/>
        <w:spacing w:line="360" w:lineRule="auto"/>
        <w:rPr>
          <w:rFonts w:ascii="Book Antiqua" w:hAnsi="Book Antiqua" w:cs="Arial"/>
          <w:sz w:val="24"/>
          <w:szCs w:val="24"/>
          <w:lang w:val="en-GB"/>
        </w:rPr>
      </w:pPr>
      <w:r w:rsidRPr="007345D5">
        <w:rPr>
          <w:rFonts w:ascii="Book Antiqua" w:hAnsi="Book Antiqua"/>
          <w:noProof/>
          <w:sz w:val="24"/>
          <w:szCs w:val="24"/>
          <w:lang w:eastAsia="zh-CN"/>
        </w:rPr>
        <w:lastRenderedPageBreak/>
        <w:drawing>
          <wp:inline distT="0" distB="0" distL="0" distR="0" wp14:anchorId="6992F8AC" wp14:editId="0F05A6CF">
            <wp:extent cx="5400040" cy="3949065"/>
            <wp:effectExtent l="0" t="0" r="0" b="0"/>
            <wp:docPr id="2" name="図 2" descr="C:\Users\Hiroaki\AppData\Local\Microsoft\Windows\INetCacheContent.Word\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roaki\AppData\Local\Microsoft\Windows\INetCacheContent.Word\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949065"/>
                    </a:xfrm>
                    <a:prstGeom prst="rect">
                      <a:avLst/>
                    </a:prstGeom>
                    <a:noFill/>
                    <a:ln>
                      <a:noFill/>
                    </a:ln>
                  </pic:spPr>
                </pic:pic>
              </a:graphicData>
            </a:graphic>
          </wp:inline>
        </w:drawing>
      </w:r>
    </w:p>
    <w:p w14:paraId="70E6F6C6" w14:textId="77777777" w:rsidR="00570508" w:rsidRPr="007345D5" w:rsidRDefault="00570508" w:rsidP="00570508">
      <w:pPr>
        <w:pStyle w:val="CommentTextChar"/>
        <w:adjustRightInd w:val="0"/>
        <w:snapToGrid w:val="0"/>
        <w:spacing w:line="360" w:lineRule="auto"/>
        <w:rPr>
          <w:rFonts w:ascii="Book Antiqua" w:eastAsia="SimSun" w:hAnsi="Book Antiqua" w:cs="Arial"/>
          <w:b/>
          <w:sz w:val="24"/>
          <w:szCs w:val="24"/>
          <w:lang w:val="en-GB" w:eastAsia="zh-CN"/>
        </w:rPr>
      </w:pPr>
      <w:r w:rsidRPr="007345D5">
        <w:rPr>
          <w:rFonts w:ascii="Book Antiqua" w:hAnsi="Book Antiqua" w:cs="Arial"/>
          <w:b/>
          <w:sz w:val="24"/>
          <w:szCs w:val="24"/>
          <w:lang w:val="en-GB"/>
        </w:rPr>
        <w:t>Figure 2 Relationship between CTC number and pathological findings.</w:t>
      </w:r>
      <w:r w:rsidRPr="007345D5">
        <w:rPr>
          <w:rFonts w:ascii="Book Antiqua" w:eastAsia="SimSun" w:hAnsi="Book Antiqua" w:cs="Arial"/>
          <w:b/>
          <w:sz w:val="24"/>
          <w:szCs w:val="24"/>
          <w:lang w:val="en-GB" w:eastAsia="zh-CN"/>
        </w:rPr>
        <w:t xml:space="preserve"> </w:t>
      </w:r>
      <w:r w:rsidRPr="007345D5">
        <w:rPr>
          <w:rFonts w:ascii="Book Antiqua" w:hAnsi="Book Antiqua" w:cs="Arial"/>
          <w:sz w:val="24"/>
          <w:szCs w:val="24"/>
          <w:lang w:val="en-GB"/>
        </w:rPr>
        <w:t>Dots indicate the numbers of CTCs in each patient blood sample. The bottom and top of the box represent the lower and upper quartiles, and the band across the box shows the median. The lower and upper bars at the ends of the whiskers show the lowest data point within 1.5 interquartile ranges of the lower quartile, and the highest data point within 1.5 interquartile ranges of the upper quartile, respectively. The green bar shows the average. A</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Disease stage (Stages 1–4 indicate disease progression)</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B</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Depth of tumour invasion (T1–T4 indicate increasing depth)</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C</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Lymphatic metastasis (N0–3 indicate number of metastatic lymph nodes)</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D</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Distant metastasis (M0 = negative, M1 = positive)</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E</w:t>
      </w:r>
      <w:r w:rsidRPr="007345D5">
        <w:rPr>
          <w:rFonts w:ascii="Book Antiqua" w:eastAsia="SimSun" w:hAnsi="Book Antiqua" w:cs="Arial"/>
          <w:sz w:val="24"/>
          <w:szCs w:val="24"/>
          <w:lang w:val="en-GB" w:eastAsia="zh-CN"/>
        </w:rPr>
        <w:t xml:space="preserve">: </w:t>
      </w:r>
      <w:r w:rsidRPr="007345D5">
        <w:rPr>
          <w:rFonts w:ascii="Book Antiqua" w:hAnsi="Book Antiqua" w:cs="Arial"/>
          <w:sz w:val="24"/>
          <w:szCs w:val="24"/>
          <w:lang w:val="en-GB"/>
        </w:rPr>
        <w:t>Lymphatic invasion (L0 = negative, L1 = positive)</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F</w:t>
      </w:r>
      <w:r w:rsidRPr="007345D5">
        <w:rPr>
          <w:rFonts w:ascii="Book Antiqua" w:eastAsia="SimSun" w:hAnsi="Book Antiqua" w:cs="Arial"/>
          <w:sz w:val="24"/>
          <w:szCs w:val="24"/>
          <w:lang w:val="en-GB" w:eastAsia="zh-CN"/>
        </w:rPr>
        <w:t xml:space="preserve">: </w:t>
      </w:r>
      <w:r w:rsidRPr="007345D5">
        <w:rPr>
          <w:rFonts w:ascii="Book Antiqua" w:hAnsi="Book Antiqua" w:cs="Arial"/>
          <w:sz w:val="24"/>
          <w:szCs w:val="24"/>
          <w:lang w:val="en-GB"/>
        </w:rPr>
        <w:t>Venous invasion (V0 = negative, V1–V2 = positive)</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G</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Histological type (differentiated and undifferentiated types). A</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Relationship between CTC number and disease stage</w:t>
      </w:r>
      <w:r w:rsidRPr="007345D5">
        <w:rPr>
          <w:rFonts w:ascii="Book Antiqua" w:eastAsia="SimSun" w:hAnsi="Book Antiqua" w:cs="Arial"/>
          <w:sz w:val="24"/>
          <w:szCs w:val="24"/>
          <w:lang w:val="en-GB" w:eastAsia="zh-CN"/>
        </w:rPr>
        <w:t>;</w:t>
      </w:r>
      <w:r w:rsidRPr="007345D5">
        <w:rPr>
          <w:rFonts w:ascii="Book Antiqua" w:eastAsia="SimSun" w:hAnsi="Book Antiqua" w:cs="Arial"/>
          <w:b/>
          <w:sz w:val="24"/>
          <w:szCs w:val="24"/>
          <w:lang w:val="en-GB" w:eastAsia="zh-CN"/>
        </w:rPr>
        <w:t xml:space="preserve"> </w:t>
      </w:r>
      <w:r w:rsidRPr="007345D5">
        <w:rPr>
          <w:rFonts w:ascii="Book Antiqua" w:hAnsi="Book Antiqua" w:cs="Arial"/>
          <w:sz w:val="24"/>
          <w:szCs w:val="24"/>
          <w:lang w:val="en-GB"/>
        </w:rPr>
        <w:t>B</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Relationship between CTC number and T category. The number of CTCs tended to increase with progression of primary tumour. There was a </w:t>
      </w:r>
      <w:r w:rsidRPr="007345D5">
        <w:rPr>
          <w:rFonts w:ascii="Book Antiqua" w:hAnsi="Book Antiqua" w:cs="Arial"/>
          <w:sz w:val="24"/>
          <w:szCs w:val="24"/>
          <w:lang w:val="en-GB"/>
        </w:rPr>
        <w:lastRenderedPageBreak/>
        <w:t>statistically significant difference in the number of CTCs between samples from patients with T1 and those from patients with T4 status (</w:t>
      </w:r>
      <w:r w:rsidRPr="007345D5">
        <w:rPr>
          <w:rFonts w:ascii="Book Antiqua" w:hAnsi="Book Antiqua" w:cs="Arial"/>
          <w:i/>
          <w:sz w:val="24"/>
          <w:szCs w:val="24"/>
          <w:lang w:val="en-GB"/>
        </w:rPr>
        <w:t>P =</w:t>
      </w:r>
      <w:r w:rsidRPr="007345D5">
        <w:rPr>
          <w:rFonts w:ascii="Book Antiqua" w:hAnsi="Book Antiqua" w:cs="Arial"/>
          <w:sz w:val="24"/>
          <w:szCs w:val="24"/>
          <w:lang w:val="en-GB"/>
        </w:rPr>
        <w:t xml:space="preserve"> 0.0335)</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C</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The relationship between CTC number and N category. There was a statistically significant difference in the number of CTCs between samples from patients with N0 and those from patients with N2 classification (</w:t>
      </w:r>
      <w:r w:rsidRPr="007345D5">
        <w:rPr>
          <w:rFonts w:ascii="Book Antiqua" w:hAnsi="Book Antiqua" w:cs="Arial"/>
          <w:i/>
          <w:sz w:val="24"/>
          <w:szCs w:val="24"/>
          <w:lang w:val="en-GB"/>
        </w:rPr>
        <w:t>P =</w:t>
      </w:r>
      <w:r w:rsidRPr="007345D5">
        <w:rPr>
          <w:rFonts w:ascii="Book Antiqua" w:hAnsi="Book Antiqua" w:cs="Arial"/>
          <w:sz w:val="24"/>
          <w:szCs w:val="24"/>
          <w:lang w:val="en-GB"/>
        </w:rPr>
        <w:t xml:space="preserve"> 0.0381)</w:t>
      </w:r>
      <w:r w:rsidRPr="007345D5">
        <w:rPr>
          <w:rFonts w:ascii="Book Antiqua" w:eastAsia="SimSun" w:hAnsi="Book Antiqua" w:cs="Arial"/>
          <w:sz w:val="24"/>
          <w:szCs w:val="24"/>
          <w:lang w:val="en-GB" w:eastAsia="zh-CN"/>
        </w:rPr>
        <w:t>;</w:t>
      </w:r>
      <w:r w:rsidRPr="007345D5">
        <w:rPr>
          <w:rFonts w:ascii="Book Antiqua" w:eastAsia="SimSun" w:hAnsi="Book Antiqua" w:cs="Arial"/>
          <w:b/>
          <w:sz w:val="24"/>
          <w:szCs w:val="24"/>
          <w:lang w:val="en-GB" w:eastAsia="zh-CN"/>
        </w:rPr>
        <w:t xml:space="preserve"> </w:t>
      </w:r>
      <w:r w:rsidRPr="007345D5">
        <w:rPr>
          <w:rFonts w:ascii="Book Antiqua" w:hAnsi="Book Antiqua" w:cs="Arial"/>
          <w:sz w:val="24"/>
          <w:szCs w:val="24"/>
          <w:lang w:val="en-GB"/>
        </w:rPr>
        <w:t>D</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Relationship between CTC number and M category. There was no significant difference in the number of CTCs between samples from patients with distant metastases and those from patients without distant metastasis (</w:t>
      </w:r>
      <w:r w:rsidRPr="007345D5">
        <w:rPr>
          <w:rFonts w:ascii="Book Antiqua" w:hAnsi="Book Antiqua" w:cs="Arial"/>
          <w:i/>
          <w:sz w:val="24"/>
          <w:szCs w:val="24"/>
          <w:lang w:val="en-GB"/>
        </w:rPr>
        <w:t>P =</w:t>
      </w:r>
      <w:r w:rsidRPr="007345D5">
        <w:rPr>
          <w:rFonts w:ascii="Book Antiqua" w:hAnsi="Book Antiqua" w:cs="Arial"/>
          <w:sz w:val="24"/>
          <w:szCs w:val="24"/>
          <w:lang w:val="en-GB"/>
        </w:rPr>
        <w:t xml:space="preserve"> 0.4667)</w:t>
      </w:r>
      <w:r w:rsidRPr="007345D5">
        <w:rPr>
          <w:rFonts w:ascii="Book Antiqua" w:eastAsia="SimSun" w:hAnsi="Book Antiqua" w:cs="Arial"/>
          <w:sz w:val="24"/>
          <w:szCs w:val="24"/>
          <w:lang w:val="en-GB" w:eastAsia="zh-CN"/>
        </w:rPr>
        <w:t>;</w:t>
      </w:r>
      <w:r w:rsidRPr="007345D5">
        <w:rPr>
          <w:rFonts w:ascii="Book Antiqua" w:eastAsia="SimSun" w:hAnsi="Book Antiqua" w:cs="Arial"/>
          <w:b/>
          <w:sz w:val="24"/>
          <w:szCs w:val="24"/>
          <w:lang w:val="en-GB" w:eastAsia="zh-CN"/>
        </w:rPr>
        <w:t xml:space="preserve"> </w:t>
      </w:r>
      <w:r w:rsidRPr="007345D5">
        <w:rPr>
          <w:rFonts w:ascii="Book Antiqua" w:hAnsi="Book Antiqua" w:cs="Arial"/>
          <w:sz w:val="24"/>
          <w:szCs w:val="24"/>
          <w:lang w:val="en-GB"/>
        </w:rPr>
        <w:t>E</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Relationship between CTC number and lymphatic invasion. The number of CTCs in samples from patients with lymphatic invasion was higher than that in patients without invasion. However, this result did not reach the level of significance (</w:t>
      </w:r>
      <w:r w:rsidRPr="007345D5">
        <w:rPr>
          <w:rFonts w:ascii="Book Antiqua" w:hAnsi="Book Antiqua" w:cs="Arial"/>
          <w:i/>
          <w:sz w:val="24"/>
          <w:szCs w:val="24"/>
          <w:lang w:val="en-GB"/>
        </w:rPr>
        <w:t>P =</w:t>
      </w:r>
      <w:r w:rsidRPr="007345D5">
        <w:rPr>
          <w:rFonts w:ascii="Book Antiqua" w:hAnsi="Book Antiqua" w:cs="Arial"/>
          <w:sz w:val="24"/>
          <w:szCs w:val="24"/>
          <w:lang w:val="en-GB"/>
        </w:rPr>
        <w:t xml:space="preserve"> 0.1297)</w:t>
      </w:r>
      <w:r w:rsidRPr="007345D5">
        <w:rPr>
          <w:rFonts w:ascii="Book Antiqua" w:eastAsia="SimSun" w:hAnsi="Book Antiqua" w:cs="Arial"/>
          <w:sz w:val="24"/>
          <w:szCs w:val="24"/>
          <w:lang w:val="en-GB" w:eastAsia="zh-CN"/>
        </w:rPr>
        <w:t>;</w:t>
      </w:r>
      <w:r w:rsidRPr="007345D5">
        <w:rPr>
          <w:rFonts w:ascii="Book Antiqua" w:eastAsia="SimSun" w:hAnsi="Book Antiqua" w:cs="Arial"/>
          <w:b/>
          <w:sz w:val="24"/>
          <w:szCs w:val="24"/>
          <w:lang w:val="en-GB" w:eastAsia="zh-CN"/>
        </w:rPr>
        <w:t xml:space="preserve"> </w:t>
      </w:r>
      <w:r w:rsidRPr="007345D5">
        <w:rPr>
          <w:rFonts w:ascii="Book Antiqua" w:hAnsi="Book Antiqua" w:cs="Arial"/>
          <w:sz w:val="24"/>
          <w:szCs w:val="24"/>
          <w:lang w:val="en-GB"/>
        </w:rPr>
        <w:t>F</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Relationship between CTC number and venous invasion. The number of CTCs in samples from patients with venous invasion was higher than that in samples from patients without this pathology. However, this result did reach the level of significance (</w:t>
      </w:r>
      <w:r w:rsidRPr="007345D5">
        <w:rPr>
          <w:rFonts w:ascii="Book Antiqua" w:hAnsi="Book Antiqua" w:cs="Arial"/>
          <w:i/>
          <w:sz w:val="24"/>
          <w:szCs w:val="24"/>
          <w:lang w:val="en-GB"/>
        </w:rPr>
        <w:t>P =</w:t>
      </w:r>
      <w:r w:rsidRPr="007345D5">
        <w:rPr>
          <w:rFonts w:ascii="Book Antiqua" w:hAnsi="Book Antiqua" w:cs="Arial"/>
          <w:sz w:val="24"/>
          <w:szCs w:val="24"/>
          <w:lang w:val="en-GB"/>
        </w:rPr>
        <w:t xml:space="preserve"> 0.0558)</w:t>
      </w:r>
      <w:r w:rsidRPr="007345D5">
        <w:rPr>
          <w:rFonts w:ascii="Book Antiqua" w:eastAsia="SimSun" w:hAnsi="Book Antiqua" w:cs="Arial"/>
          <w:sz w:val="24"/>
          <w:szCs w:val="24"/>
          <w:lang w:val="en-GB" w:eastAsia="zh-CN"/>
        </w:rPr>
        <w:t>;</w:t>
      </w:r>
      <w:r w:rsidRPr="007345D5">
        <w:rPr>
          <w:rFonts w:ascii="Book Antiqua" w:eastAsia="SimSun" w:hAnsi="Book Antiqua" w:cs="Arial"/>
          <w:b/>
          <w:sz w:val="24"/>
          <w:szCs w:val="24"/>
          <w:lang w:val="en-GB" w:eastAsia="zh-CN"/>
        </w:rPr>
        <w:t xml:space="preserve"> </w:t>
      </w:r>
      <w:r w:rsidRPr="007345D5">
        <w:rPr>
          <w:rFonts w:ascii="Book Antiqua" w:hAnsi="Book Antiqua" w:cs="Arial"/>
          <w:sz w:val="24"/>
          <w:szCs w:val="24"/>
          <w:lang w:val="en-GB"/>
        </w:rPr>
        <w:t>G</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Relationship between CTC number and histological type. There was no significant difference in the number of CTCs between samples from patients with differentiated tumours and those from patients with undifferentiated tumours (</w:t>
      </w:r>
      <w:r w:rsidRPr="007345D5">
        <w:rPr>
          <w:rFonts w:ascii="Book Antiqua" w:hAnsi="Book Antiqua" w:cs="Arial"/>
          <w:i/>
          <w:sz w:val="24"/>
          <w:szCs w:val="24"/>
          <w:lang w:val="en-GB"/>
        </w:rPr>
        <w:t>P =</w:t>
      </w:r>
      <w:r w:rsidRPr="007345D5">
        <w:rPr>
          <w:rFonts w:ascii="Book Antiqua" w:hAnsi="Book Antiqua" w:cs="Arial"/>
          <w:sz w:val="24"/>
          <w:szCs w:val="24"/>
          <w:lang w:val="en-GB"/>
        </w:rPr>
        <w:t xml:space="preserve"> 0.7752).</w:t>
      </w:r>
    </w:p>
    <w:p w14:paraId="6795F321" w14:textId="6188A735" w:rsidR="00570508" w:rsidRPr="007345D5" w:rsidRDefault="00570508" w:rsidP="00570508">
      <w:pPr>
        <w:adjustRightInd w:val="0"/>
        <w:snapToGrid w:val="0"/>
        <w:spacing w:line="360" w:lineRule="auto"/>
        <w:jc w:val="both"/>
        <w:rPr>
          <w:rFonts w:ascii="Book Antiqua" w:eastAsia="MS Mincho" w:hAnsi="Book Antiqua" w:cs="Arial"/>
          <w:lang w:eastAsia="ja-JP"/>
        </w:rPr>
      </w:pPr>
      <w:r w:rsidRPr="007345D5">
        <w:rPr>
          <w:rFonts w:ascii="Book Antiqua" w:hAnsi="Book Antiqua" w:cs="Arial"/>
        </w:rPr>
        <w:br w:type="page"/>
      </w:r>
    </w:p>
    <w:p w14:paraId="6E54B69E" w14:textId="77777777" w:rsidR="00570508" w:rsidRPr="007345D5" w:rsidRDefault="00570508" w:rsidP="00570508">
      <w:pPr>
        <w:pStyle w:val="CommentTextChar"/>
        <w:adjustRightInd w:val="0"/>
        <w:snapToGrid w:val="0"/>
        <w:spacing w:line="360" w:lineRule="auto"/>
        <w:rPr>
          <w:rFonts w:ascii="Book Antiqua" w:hAnsi="Book Antiqua" w:cs="Arial"/>
          <w:b/>
          <w:sz w:val="24"/>
          <w:szCs w:val="24"/>
          <w:lang w:val="en-GB"/>
        </w:rPr>
      </w:pPr>
      <w:r w:rsidRPr="007345D5">
        <w:rPr>
          <w:rFonts w:ascii="Book Antiqua" w:hAnsi="Book Antiqua" w:cs="Arial"/>
          <w:noProof/>
          <w:sz w:val="24"/>
          <w:szCs w:val="24"/>
          <w:lang w:eastAsia="zh-CN"/>
        </w:rPr>
        <w:lastRenderedPageBreak/>
        <w:drawing>
          <wp:inline distT="0" distB="0" distL="0" distR="0" wp14:anchorId="42EEB280" wp14:editId="5A42AFF1">
            <wp:extent cx="5400040" cy="1974390"/>
            <wp:effectExtent l="0" t="0" r="0" b="6985"/>
            <wp:docPr id="3" name="図 3" descr="C:\Users\Hiroaki\AppData\Local\Microsoft\Windows\INetCacheContent.Word\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roaki\AppData\Local\Microsoft\Windows\INetCacheContent.Word\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1974390"/>
                    </a:xfrm>
                    <a:prstGeom prst="rect">
                      <a:avLst/>
                    </a:prstGeom>
                    <a:noFill/>
                    <a:ln>
                      <a:noFill/>
                    </a:ln>
                  </pic:spPr>
                </pic:pic>
              </a:graphicData>
            </a:graphic>
          </wp:inline>
        </w:drawing>
      </w:r>
    </w:p>
    <w:p w14:paraId="7E9D1F43" w14:textId="77777777" w:rsidR="00570508" w:rsidRPr="007345D5" w:rsidRDefault="00570508" w:rsidP="00570508">
      <w:pPr>
        <w:pStyle w:val="CommentTextChar"/>
        <w:adjustRightInd w:val="0"/>
        <w:snapToGrid w:val="0"/>
        <w:spacing w:line="360" w:lineRule="auto"/>
        <w:rPr>
          <w:rFonts w:ascii="Book Antiqua" w:eastAsia="SimSun" w:hAnsi="Book Antiqua" w:cs="Arial"/>
          <w:b/>
          <w:sz w:val="24"/>
          <w:szCs w:val="24"/>
          <w:lang w:val="en-GB" w:eastAsia="zh-CN"/>
        </w:rPr>
      </w:pPr>
      <w:r w:rsidRPr="007345D5">
        <w:rPr>
          <w:rFonts w:ascii="Book Antiqua" w:hAnsi="Book Antiqua" w:cs="Arial"/>
          <w:b/>
          <w:sz w:val="24"/>
          <w:szCs w:val="24"/>
          <w:lang w:val="en-GB"/>
        </w:rPr>
        <w:t>Figure 3 Overall and relapse-free survival</w:t>
      </w:r>
      <w:r w:rsidRPr="007345D5">
        <w:rPr>
          <w:rFonts w:ascii="Book Antiqua" w:eastAsia="SimSun" w:hAnsi="Book Antiqua" w:cs="Arial"/>
          <w:b/>
          <w:sz w:val="24"/>
          <w:szCs w:val="24"/>
          <w:lang w:val="en-GB" w:eastAsia="zh-CN"/>
        </w:rPr>
        <w:t xml:space="preserve">. </w:t>
      </w:r>
      <w:r w:rsidRPr="007345D5">
        <w:rPr>
          <w:rFonts w:ascii="Book Antiqua" w:hAnsi="Book Antiqua" w:cs="Arial"/>
          <w:sz w:val="24"/>
          <w:szCs w:val="24"/>
          <w:lang w:val="en-GB"/>
        </w:rPr>
        <w:t>A</w:t>
      </w:r>
      <w:r w:rsidRPr="007345D5">
        <w:rPr>
          <w:rFonts w:ascii="Book Antiqua" w:eastAsia="SimSun" w:hAnsi="Book Antiqua" w:cs="Arial"/>
          <w:sz w:val="24"/>
          <w:szCs w:val="24"/>
          <w:lang w:val="en-GB" w:eastAsia="zh-CN"/>
        </w:rPr>
        <w:t>:</w:t>
      </w:r>
      <w:r w:rsidRPr="007345D5">
        <w:rPr>
          <w:rFonts w:ascii="Book Antiqua" w:hAnsi="Book Antiqua" w:cs="Arial"/>
          <w:sz w:val="24"/>
          <w:szCs w:val="24"/>
          <w:lang w:val="en-GB"/>
        </w:rPr>
        <w:t xml:space="preserve"> The overall survival rate of 65 patients was compared using </w:t>
      </w:r>
      <w:r w:rsidRPr="007345D5">
        <w:rPr>
          <w:rFonts w:ascii="Book Antiqua" w:eastAsia="MS PGothic" w:hAnsi="Book Antiqua" w:cs="Arial"/>
          <w:sz w:val="24"/>
          <w:szCs w:val="24"/>
          <w:lang w:val="en-GB"/>
        </w:rPr>
        <w:t>Cox proportional hazards analysis. Although there was no significant difference, the overall survival rate of the patients with more than 5 CTCs was lower than that of patients with 5 or less CTCs (hazard ratio, 2.07; 95%</w:t>
      </w:r>
      <w:r w:rsidRPr="007345D5">
        <w:rPr>
          <w:rFonts w:ascii="Book Antiqua" w:eastAsia="SimSun" w:hAnsi="Book Antiqua" w:cs="Arial"/>
          <w:sz w:val="24"/>
          <w:szCs w:val="24"/>
          <w:lang w:val="en-GB" w:eastAsia="zh-CN"/>
        </w:rPr>
        <w:t>CI:</w:t>
      </w:r>
      <w:r w:rsidRPr="007345D5">
        <w:rPr>
          <w:rFonts w:ascii="Book Antiqua" w:eastAsia="MS PGothic" w:hAnsi="Book Antiqua" w:cs="Arial"/>
          <w:sz w:val="24"/>
          <w:szCs w:val="24"/>
          <w:lang w:val="en-GB"/>
        </w:rPr>
        <w:t xml:space="preserve"> 0.693</w:t>
      </w:r>
      <w:r w:rsidRPr="007345D5">
        <w:rPr>
          <w:rFonts w:ascii="Book Antiqua" w:hAnsi="Book Antiqua" w:cs="Arial"/>
          <w:sz w:val="24"/>
          <w:szCs w:val="24"/>
          <w:lang w:val="en-GB"/>
        </w:rPr>
        <w:t xml:space="preserve">–5.744; </w:t>
      </w:r>
      <w:r w:rsidRPr="007345D5">
        <w:rPr>
          <w:rFonts w:ascii="Book Antiqua" w:hAnsi="Book Antiqua" w:cs="Arial"/>
          <w:i/>
          <w:sz w:val="24"/>
          <w:szCs w:val="24"/>
          <w:lang w:val="en-GB"/>
        </w:rPr>
        <w:t>P =</w:t>
      </w:r>
      <w:r w:rsidRPr="007345D5">
        <w:rPr>
          <w:rFonts w:ascii="Book Antiqua" w:hAnsi="Book Antiqua" w:cs="Arial"/>
          <w:sz w:val="24"/>
          <w:szCs w:val="24"/>
          <w:lang w:val="en-GB"/>
        </w:rPr>
        <w:t xml:space="preserve"> 0.183</w:t>
      </w:r>
      <w:r w:rsidRPr="007345D5">
        <w:rPr>
          <w:rFonts w:ascii="Book Antiqua" w:eastAsia="MS PGothic" w:hAnsi="Book Antiqua" w:cs="Arial"/>
          <w:sz w:val="24"/>
          <w:szCs w:val="24"/>
          <w:lang w:val="en-GB"/>
        </w:rPr>
        <w:t>)</w:t>
      </w:r>
      <w:r w:rsidRPr="007345D5">
        <w:rPr>
          <w:rFonts w:ascii="Book Antiqua" w:eastAsia="SimSun" w:hAnsi="Book Antiqua" w:cs="Arial"/>
          <w:sz w:val="24"/>
          <w:szCs w:val="24"/>
          <w:lang w:val="en-GB" w:eastAsia="zh-CN"/>
        </w:rPr>
        <w:t>;</w:t>
      </w:r>
      <w:r w:rsidRPr="007345D5">
        <w:rPr>
          <w:rFonts w:ascii="Book Antiqua" w:eastAsia="SimSun" w:hAnsi="Book Antiqua" w:cs="Arial"/>
          <w:b/>
          <w:sz w:val="24"/>
          <w:szCs w:val="24"/>
          <w:lang w:val="en-GB" w:eastAsia="zh-CN"/>
        </w:rPr>
        <w:t xml:space="preserve"> </w:t>
      </w:r>
      <w:r w:rsidRPr="007345D5">
        <w:rPr>
          <w:rFonts w:ascii="Book Antiqua" w:eastAsia="MS PGothic" w:hAnsi="Book Antiqua" w:cs="Arial"/>
          <w:sz w:val="24"/>
          <w:szCs w:val="24"/>
          <w:lang w:val="en-GB"/>
        </w:rPr>
        <w:t>B</w:t>
      </w:r>
      <w:r w:rsidRPr="007345D5">
        <w:rPr>
          <w:rFonts w:ascii="Book Antiqua" w:eastAsia="SimSun" w:hAnsi="Book Antiqua" w:cs="Arial"/>
          <w:sz w:val="24"/>
          <w:szCs w:val="24"/>
          <w:lang w:val="en-GB" w:eastAsia="zh-CN"/>
        </w:rPr>
        <w:t xml:space="preserve">: </w:t>
      </w:r>
      <w:r w:rsidRPr="007345D5">
        <w:rPr>
          <w:rFonts w:ascii="Book Antiqua" w:eastAsia="MS PGothic" w:hAnsi="Book Antiqua" w:cs="Arial"/>
          <w:sz w:val="24"/>
          <w:szCs w:val="24"/>
          <w:lang w:val="en-GB"/>
        </w:rPr>
        <w:t xml:space="preserve">The </w:t>
      </w:r>
      <w:r w:rsidRPr="007345D5">
        <w:rPr>
          <w:rFonts w:ascii="Book Antiqua" w:hAnsi="Book Antiqua" w:cs="Arial"/>
          <w:sz w:val="24"/>
          <w:szCs w:val="24"/>
          <w:lang w:val="en-GB"/>
        </w:rPr>
        <w:t xml:space="preserve">relapse-free survival rates of 57 patients with different CTC levels who underwent curative surgery were compared using </w:t>
      </w:r>
      <w:r w:rsidRPr="007345D5">
        <w:rPr>
          <w:rFonts w:ascii="Book Antiqua" w:eastAsia="MS PGothic" w:hAnsi="Book Antiqua" w:cs="Arial"/>
          <w:sz w:val="24"/>
          <w:szCs w:val="24"/>
          <w:lang w:val="en-GB"/>
        </w:rPr>
        <w:t>Cox proportional hazards analysis. Relapse-free survival was significantly lower in patients with more than 5 CTCs (</w:t>
      </w:r>
      <w:r w:rsidRPr="007345D5">
        <w:rPr>
          <w:rFonts w:ascii="Book Antiqua" w:eastAsia="SimSun" w:hAnsi="Book Antiqua" w:cs="Arial"/>
          <w:sz w:val="24"/>
          <w:szCs w:val="24"/>
          <w:lang w:val="en-GB" w:eastAsia="zh-CN"/>
        </w:rPr>
        <w:t>h</w:t>
      </w:r>
      <w:r w:rsidRPr="007345D5">
        <w:rPr>
          <w:rFonts w:ascii="Book Antiqua" w:eastAsia="MS PGothic" w:hAnsi="Book Antiqua" w:cs="Arial"/>
          <w:sz w:val="24"/>
          <w:szCs w:val="24"/>
          <w:lang w:val="en-GB"/>
        </w:rPr>
        <w:t xml:space="preserve">azard ratio, 2.28; 95% </w:t>
      </w:r>
      <w:r w:rsidRPr="007345D5">
        <w:rPr>
          <w:rFonts w:ascii="Book Antiqua" w:eastAsia="SimSun" w:hAnsi="Book Antiqua" w:cs="Arial"/>
          <w:sz w:val="24"/>
          <w:szCs w:val="24"/>
          <w:lang w:val="en-GB" w:eastAsia="zh-CN"/>
        </w:rPr>
        <w:t>CI:</w:t>
      </w:r>
      <w:r w:rsidRPr="007345D5">
        <w:rPr>
          <w:rFonts w:ascii="Book Antiqua" w:eastAsia="MS PGothic" w:hAnsi="Book Antiqua" w:cs="Arial"/>
          <w:sz w:val="24"/>
          <w:szCs w:val="24"/>
          <w:lang w:val="en-GB"/>
        </w:rPr>
        <w:t xml:space="preserve"> 0.068</w:t>
      </w:r>
      <w:r w:rsidRPr="007345D5">
        <w:rPr>
          <w:rFonts w:ascii="Book Antiqua" w:hAnsi="Book Antiqua" w:cs="Arial"/>
          <w:sz w:val="24"/>
          <w:szCs w:val="24"/>
          <w:lang w:val="en-GB"/>
        </w:rPr>
        <w:t xml:space="preserve">–4.698; </w:t>
      </w:r>
      <w:r w:rsidRPr="007345D5">
        <w:rPr>
          <w:rFonts w:ascii="Book Antiqua" w:hAnsi="Book Antiqua" w:cs="Arial"/>
          <w:i/>
          <w:sz w:val="24"/>
          <w:szCs w:val="24"/>
          <w:lang w:val="en-GB"/>
        </w:rPr>
        <w:t>P =</w:t>
      </w:r>
      <w:r w:rsidRPr="007345D5">
        <w:rPr>
          <w:rFonts w:ascii="Book Antiqua" w:hAnsi="Book Antiqua" w:cs="Arial"/>
          <w:sz w:val="24"/>
          <w:szCs w:val="24"/>
          <w:lang w:val="en-GB"/>
        </w:rPr>
        <w:t xml:space="preserve"> 0.034</w:t>
      </w:r>
      <w:r w:rsidRPr="007345D5">
        <w:rPr>
          <w:rFonts w:ascii="Book Antiqua" w:eastAsia="MS PGothic" w:hAnsi="Book Antiqua" w:cs="Arial"/>
          <w:sz w:val="24"/>
          <w:szCs w:val="24"/>
          <w:lang w:val="en-GB"/>
        </w:rPr>
        <w:t>).</w:t>
      </w:r>
    </w:p>
    <w:p w14:paraId="5ADAFF8E" w14:textId="77777777" w:rsidR="00381491" w:rsidRPr="007345D5" w:rsidRDefault="00381491" w:rsidP="00570508">
      <w:pPr>
        <w:adjustRightInd w:val="0"/>
        <w:snapToGrid w:val="0"/>
        <w:spacing w:line="360" w:lineRule="auto"/>
        <w:jc w:val="both"/>
        <w:rPr>
          <w:rFonts w:ascii="Book Antiqua" w:hAnsi="Book Antiqua" w:cs="Arial"/>
          <w:b/>
        </w:rPr>
      </w:pPr>
      <w:r w:rsidRPr="007345D5">
        <w:rPr>
          <w:rFonts w:ascii="Book Antiqua" w:hAnsi="Book Antiqua" w:cs="Arial"/>
          <w:b/>
        </w:rPr>
        <w:br w:type="page"/>
      </w:r>
    </w:p>
    <w:p w14:paraId="1E8AC28E" w14:textId="77777777" w:rsidR="00C87BBA" w:rsidRPr="007345D5" w:rsidRDefault="00C87BBA" w:rsidP="00570508">
      <w:pPr>
        <w:adjustRightInd w:val="0"/>
        <w:snapToGrid w:val="0"/>
        <w:spacing w:line="360" w:lineRule="auto"/>
        <w:jc w:val="both"/>
        <w:rPr>
          <w:rFonts w:ascii="Book Antiqua" w:hAnsi="Book Antiqua" w:cs="Arial"/>
          <w:b/>
        </w:rPr>
      </w:pPr>
      <w:r w:rsidRPr="007345D5">
        <w:rPr>
          <w:rFonts w:ascii="Book Antiqua" w:hAnsi="Book Antiqua" w:cs="Arial"/>
          <w:b/>
        </w:rPr>
        <w:lastRenderedPageBreak/>
        <w:t xml:space="preserve">Table 1 </w:t>
      </w:r>
      <w:r w:rsidRPr="007345D5">
        <w:rPr>
          <w:rFonts w:ascii="Book Antiqua" w:hAnsi="Book Antiqua" w:cs="Arial"/>
          <w:b/>
          <w:iCs/>
        </w:rPr>
        <w:t>Patient characteristics and clinical findings</w:t>
      </w:r>
    </w:p>
    <w:tbl>
      <w:tblPr>
        <w:tblW w:w="0" w:type="auto"/>
        <w:tblInd w:w="108" w:type="dxa"/>
        <w:tblLook w:val="04A0" w:firstRow="1" w:lastRow="0" w:firstColumn="1" w:lastColumn="0" w:noHBand="0" w:noVBand="1"/>
      </w:tblPr>
      <w:tblGrid>
        <w:gridCol w:w="3119"/>
        <w:gridCol w:w="2693"/>
        <w:gridCol w:w="2410"/>
      </w:tblGrid>
      <w:tr w:rsidR="00C87BBA" w:rsidRPr="007345D5" w14:paraId="07BB64AA" w14:textId="77777777" w:rsidTr="001A64F7">
        <w:trPr>
          <w:trHeight w:val="340"/>
        </w:trPr>
        <w:tc>
          <w:tcPr>
            <w:tcW w:w="5812" w:type="dxa"/>
            <w:gridSpan w:val="2"/>
            <w:tcBorders>
              <w:top w:val="single" w:sz="8" w:space="0" w:color="000000"/>
              <w:bottom w:val="single" w:sz="8" w:space="0" w:color="000000"/>
            </w:tcBorders>
            <w:shd w:val="clear" w:color="auto" w:fill="auto"/>
            <w:vAlign w:val="center"/>
          </w:tcPr>
          <w:p w14:paraId="4C567E81" w14:textId="77777777" w:rsidR="00C87BBA" w:rsidRPr="007345D5" w:rsidRDefault="00C87BBA" w:rsidP="00C63ABD">
            <w:pPr>
              <w:adjustRightInd w:val="0"/>
              <w:snapToGrid w:val="0"/>
              <w:spacing w:line="360" w:lineRule="auto"/>
              <w:rPr>
                <w:rFonts w:ascii="Book Antiqua" w:hAnsi="Book Antiqua" w:cs="Arial"/>
                <w:b/>
              </w:rPr>
            </w:pPr>
            <w:r w:rsidRPr="007345D5">
              <w:rPr>
                <w:rFonts w:ascii="Book Antiqua" w:hAnsi="Book Antiqua" w:cs="Arial"/>
                <w:b/>
              </w:rPr>
              <w:t>Variable</w:t>
            </w:r>
          </w:p>
        </w:tc>
        <w:tc>
          <w:tcPr>
            <w:tcW w:w="2410" w:type="dxa"/>
            <w:tcBorders>
              <w:top w:val="single" w:sz="8" w:space="0" w:color="000000"/>
              <w:bottom w:val="single" w:sz="8" w:space="0" w:color="000000"/>
            </w:tcBorders>
            <w:shd w:val="clear" w:color="auto" w:fill="auto"/>
            <w:vAlign w:val="center"/>
          </w:tcPr>
          <w:p w14:paraId="2D3FE831" w14:textId="77777777" w:rsidR="00C87BBA" w:rsidRPr="007345D5" w:rsidRDefault="00C87BBA" w:rsidP="00C63ABD">
            <w:pPr>
              <w:adjustRightInd w:val="0"/>
              <w:snapToGrid w:val="0"/>
              <w:spacing w:line="360" w:lineRule="auto"/>
              <w:jc w:val="center"/>
              <w:rPr>
                <w:rFonts w:ascii="Book Antiqua" w:hAnsi="Book Antiqua" w:cs="Arial"/>
                <w:b/>
              </w:rPr>
            </w:pPr>
            <w:r w:rsidRPr="007345D5">
              <w:rPr>
                <w:rFonts w:ascii="Book Antiqua" w:hAnsi="Book Antiqua" w:cs="Arial"/>
                <w:b/>
              </w:rPr>
              <w:t>Number of patients</w:t>
            </w:r>
          </w:p>
        </w:tc>
      </w:tr>
      <w:tr w:rsidR="00C87BBA" w:rsidRPr="007345D5" w14:paraId="04E80A46" w14:textId="77777777" w:rsidTr="001A64F7">
        <w:trPr>
          <w:trHeight w:val="340"/>
        </w:trPr>
        <w:tc>
          <w:tcPr>
            <w:tcW w:w="3119" w:type="dxa"/>
            <w:tcBorders>
              <w:top w:val="single" w:sz="8" w:space="0" w:color="000000"/>
            </w:tcBorders>
            <w:shd w:val="clear" w:color="auto" w:fill="auto"/>
            <w:vAlign w:val="center"/>
          </w:tcPr>
          <w:p w14:paraId="3B117E76"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Sex</w:t>
            </w:r>
          </w:p>
        </w:tc>
        <w:tc>
          <w:tcPr>
            <w:tcW w:w="2693" w:type="dxa"/>
            <w:tcBorders>
              <w:top w:val="single" w:sz="8" w:space="0" w:color="000000"/>
            </w:tcBorders>
          </w:tcPr>
          <w:p w14:paraId="292D5141"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Male</w:t>
            </w:r>
          </w:p>
        </w:tc>
        <w:tc>
          <w:tcPr>
            <w:tcW w:w="2410" w:type="dxa"/>
            <w:tcBorders>
              <w:top w:val="single" w:sz="8" w:space="0" w:color="000000"/>
            </w:tcBorders>
            <w:shd w:val="clear" w:color="auto" w:fill="auto"/>
          </w:tcPr>
          <w:p w14:paraId="4A930307"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46</w:t>
            </w:r>
          </w:p>
        </w:tc>
      </w:tr>
      <w:tr w:rsidR="00C87BBA" w:rsidRPr="007345D5" w14:paraId="79FD4D2B" w14:textId="77777777" w:rsidTr="001A64F7">
        <w:trPr>
          <w:trHeight w:val="340"/>
        </w:trPr>
        <w:tc>
          <w:tcPr>
            <w:tcW w:w="3119" w:type="dxa"/>
            <w:shd w:val="clear" w:color="auto" w:fill="auto"/>
            <w:vAlign w:val="center"/>
          </w:tcPr>
          <w:p w14:paraId="54DED407" w14:textId="77777777" w:rsidR="00C87BBA" w:rsidRPr="007345D5" w:rsidRDefault="00C87BBA" w:rsidP="00C63ABD">
            <w:pPr>
              <w:adjustRightInd w:val="0"/>
              <w:snapToGrid w:val="0"/>
              <w:spacing w:line="360" w:lineRule="auto"/>
              <w:rPr>
                <w:rFonts w:ascii="Book Antiqua" w:hAnsi="Book Antiqua" w:cs="Arial"/>
              </w:rPr>
            </w:pPr>
          </w:p>
        </w:tc>
        <w:tc>
          <w:tcPr>
            <w:tcW w:w="2693" w:type="dxa"/>
          </w:tcPr>
          <w:p w14:paraId="0378FE04"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Female</w:t>
            </w:r>
          </w:p>
        </w:tc>
        <w:tc>
          <w:tcPr>
            <w:tcW w:w="2410" w:type="dxa"/>
            <w:shd w:val="clear" w:color="auto" w:fill="auto"/>
          </w:tcPr>
          <w:p w14:paraId="53B5A164"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19</w:t>
            </w:r>
          </w:p>
        </w:tc>
      </w:tr>
      <w:tr w:rsidR="00C87BBA" w:rsidRPr="007345D5" w14:paraId="71C50810" w14:textId="77777777" w:rsidTr="001A64F7">
        <w:trPr>
          <w:trHeight w:val="340"/>
        </w:trPr>
        <w:tc>
          <w:tcPr>
            <w:tcW w:w="3119" w:type="dxa"/>
            <w:shd w:val="clear" w:color="auto" w:fill="F2F2F2"/>
            <w:vAlign w:val="center"/>
          </w:tcPr>
          <w:p w14:paraId="058674A5" w14:textId="19578FE3"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Age (</w:t>
            </w:r>
            <w:r w:rsidR="00570508" w:rsidRPr="007345D5">
              <w:rPr>
                <w:rFonts w:ascii="Book Antiqua" w:eastAsia="SimSun" w:hAnsi="Book Antiqua" w:cs="Arial"/>
                <w:lang w:eastAsia="zh-CN"/>
              </w:rPr>
              <w:t>yr</w:t>
            </w:r>
            <w:r w:rsidRPr="007345D5">
              <w:rPr>
                <w:rFonts w:ascii="Book Antiqua" w:hAnsi="Book Antiqua" w:cs="Arial"/>
              </w:rPr>
              <w:t>; mean, range)</w:t>
            </w:r>
          </w:p>
        </w:tc>
        <w:tc>
          <w:tcPr>
            <w:tcW w:w="2693" w:type="dxa"/>
            <w:shd w:val="clear" w:color="auto" w:fill="F2F2F2"/>
          </w:tcPr>
          <w:p w14:paraId="12358189" w14:textId="77777777" w:rsidR="00C87BBA" w:rsidRPr="007345D5" w:rsidRDefault="00C87BBA" w:rsidP="00C63ABD">
            <w:pPr>
              <w:adjustRightInd w:val="0"/>
              <w:snapToGrid w:val="0"/>
              <w:spacing w:line="360" w:lineRule="auto"/>
              <w:jc w:val="center"/>
              <w:rPr>
                <w:rFonts w:ascii="Book Antiqua" w:hAnsi="Book Antiqua" w:cs="Arial"/>
              </w:rPr>
            </w:pPr>
          </w:p>
        </w:tc>
        <w:tc>
          <w:tcPr>
            <w:tcW w:w="2410" w:type="dxa"/>
            <w:shd w:val="clear" w:color="auto" w:fill="F2F2F2"/>
          </w:tcPr>
          <w:p w14:paraId="29B722F6"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58.8; 33–76</w:t>
            </w:r>
          </w:p>
        </w:tc>
      </w:tr>
      <w:tr w:rsidR="00C87BBA" w:rsidRPr="007345D5" w14:paraId="5C9D0B19" w14:textId="77777777" w:rsidTr="001A64F7">
        <w:trPr>
          <w:trHeight w:val="340"/>
        </w:trPr>
        <w:tc>
          <w:tcPr>
            <w:tcW w:w="3119" w:type="dxa"/>
            <w:shd w:val="clear" w:color="auto" w:fill="auto"/>
            <w:vAlign w:val="center"/>
          </w:tcPr>
          <w:p w14:paraId="2ED33FB4"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Gastrectomy</w:t>
            </w:r>
          </w:p>
        </w:tc>
        <w:tc>
          <w:tcPr>
            <w:tcW w:w="2693" w:type="dxa"/>
          </w:tcPr>
          <w:p w14:paraId="793FB9D3"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Distal</w:t>
            </w:r>
          </w:p>
        </w:tc>
        <w:tc>
          <w:tcPr>
            <w:tcW w:w="2410" w:type="dxa"/>
            <w:shd w:val="clear" w:color="auto" w:fill="auto"/>
          </w:tcPr>
          <w:p w14:paraId="1CC8C0E6"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29</w:t>
            </w:r>
          </w:p>
        </w:tc>
      </w:tr>
      <w:tr w:rsidR="00C87BBA" w:rsidRPr="007345D5" w14:paraId="18E87A29" w14:textId="77777777" w:rsidTr="001A64F7">
        <w:trPr>
          <w:trHeight w:val="340"/>
        </w:trPr>
        <w:tc>
          <w:tcPr>
            <w:tcW w:w="3119" w:type="dxa"/>
            <w:shd w:val="clear" w:color="auto" w:fill="auto"/>
            <w:vAlign w:val="center"/>
          </w:tcPr>
          <w:p w14:paraId="0FBFAC3B" w14:textId="77777777" w:rsidR="00C87BBA" w:rsidRPr="007345D5" w:rsidRDefault="00C87BBA" w:rsidP="00C63ABD">
            <w:pPr>
              <w:adjustRightInd w:val="0"/>
              <w:snapToGrid w:val="0"/>
              <w:spacing w:line="360" w:lineRule="auto"/>
              <w:rPr>
                <w:rFonts w:ascii="Book Antiqua" w:hAnsi="Book Antiqua" w:cs="Arial"/>
              </w:rPr>
            </w:pPr>
          </w:p>
        </w:tc>
        <w:tc>
          <w:tcPr>
            <w:tcW w:w="2693" w:type="dxa"/>
          </w:tcPr>
          <w:p w14:paraId="473F075C"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Total</w:t>
            </w:r>
          </w:p>
        </w:tc>
        <w:tc>
          <w:tcPr>
            <w:tcW w:w="2410" w:type="dxa"/>
            <w:shd w:val="clear" w:color="auto" w:fill="auto"/>
          </w:tcPr>
          <w:p w14:paraId="580A298A"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32</w:t>
            </w:r>
          </w:p>
        </w:tc>
      </w:tr>
      <w:tr w:rsidR="00C87BBA" w:rsidRPr="007345D5" w14:paraId="7C2185EC" w14:textId="77777777" w:rsidTr="001A64F7">
        <w:trPr>
          <w:trHeight w:val="340"/>
        </w:trPr>
        <w:tc>
          <w:tcPr>
            <w:tcW w:w="3119" w:type="dxa"/>
            <w:shd w:val="clear" w:color="auto" w:fill="auto"/>
            <w:vAlign w:val="center"/>
          </w:tcPr>
          <w:p w14:paraId="29A3475F" w14:textId="77777777" w:rsidR="00C87BBA" w:rsidRPr="007345D5" w:rsidRDefault="00C87BBA" w:rsidP="00C63ABD">
            <w:pPr>
              <w:adjustRightInd w:val="0"/>
              <w:snapToGrid w:val="0"/>
              <w:spacing w:line="360" w:lineRule="auto"/>
              <w:rPr>
                <w:rFonts w:ascii="Book Antiqua" w:hAnsi="Book Antiqua" w:cs="Arial"/>
              </w:rPr>
            </w:pPr>
          </w:p>
        </w:tc>
        <w:tc>
          <w:tcPr>
            <w:tcW w:w="2693" w:type="dxa"/>
          </w:tcPr>
          <w:p w14:paraId="77F5BE22"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None</w:t>
            </w:r>
          </w:p>
        </w:tc>
        <w:tc>
          <w:tcPr>
            <w:tcW w:w="2410" w:type="dxa"/>
            <w:shd w:val="clear" w:color="auto" w:fill="auto"/>
          </w:tcPr>
          <w:p w14:paraId="298C0827"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4</w:t>
            </w:r>
          </w:p>
        </w:tc>
      </w:tr>
      <w:tr w:rsidR="00C87BBA" w:rsidRPr="007345D5" w14:paraId="5A253538" w14:textId="77777777" w:rsidTr="001A64F7">
        <w:trPr>
          <w:trHeight w:val="340"/>
        </w:trPr>
        <w:tc>
          <w:tcPr>
            <w:tcW w:w="3119" w:type="dxa"/>
            <w:shd w:val="clear" w:color="auto" w:fill="F2F2F2"/>
            <w:vAlign w:val="center"/>
          </w:tcPr>
          <w:p w14:paraId="2D1BB30F"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Surgical curability</w:t>
            </w:r>
          </w:p>
        </w:tc>
        <w:tc>
          <w:tcPr>
            <w:tcW w:w="2693" w:type="dxa"/>
            <w:shd w:val="clear" w:color="auto" w:fill="F2F2F2"/>
          </w:tcPr>
          <w:p w14:paraId="1AB117E6"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R0</w:t>
            </w:r>
          </w:p>
        </w:tc>
        <w:tc>
          <w:tcPr>
            <w:tcW w:w="2410" w:type="dxa"/>
            <w:shd w:val="clear" w:color="auto" w:fill="F2F2F2"/>
          </w:tcPr>
          <w:p w14:paraId="16EE970B"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57</w:t>
            </w:r>
          </w:p>
        </w:tc>
      </w:tr>
      <w:tr w:rsidR="00C87BBA" w:rsidRPr="007345D5" w14:paraId="16B93E2D" w14:textId="77777777" w:rsidTr="001A64F7">
        <w:trPr>
          <w:trHeight w:val="340"/>
        </w:trPr>
        <w:tc>
          <w:tcPr>
            <w:tcW w:w="3119" w:type="dxa"/>
            <w:shd w:val="clear" w:color="auto" w:fill="F2F2F2"/>
            <w:vAlign w:val="center"/>
          </w:tcPr>
          <w:p w14:paraId="60779655"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tcPr>
          <w:p w14:paraId="66CF37C8"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R1</w:t>
            </w:r>
          </w:p>
        </w:tc>
        <w:tc>
          <w:tcPr>
            <w:tcW w:w="2410" w:type="dxa"/>
            <w:shd w:val="clear" w:color="auto" w:fill="F2F2F2"/>
          </w:tcPr>
          <w:p w14:paraId="369BEBFE"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0</w:t>
            </w:r>
          </w:p>
        </w:tc>
      </w:tr>
      <w:tr w:rsidR="00C87BBA" w:rsidRPr="007345D5" w14:paraId="5C68D680" w14:textId="77777777" w:rsidTr="001A64F7">
        <w:trPr>
          <w:trHeight w:val="340"/>
        </w:trPr>
        <w:tc>
          <w:tcPr>
            <w:tcW w:w="3119" w:type="dxa"/>
            <w:shd w:val="clear" w:color="auto" w:fill="F2F2F2"/>
            <w:vAlign w:val="center"/>
          </w:tcPr>
          <w:p w14:paraId="5B930216"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tcPr>
          <w:p w14:paraId="31C3F99C"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R2</w:t>
            </w:r>
          </w:p>
        </w:tc>
        <w:tc>
          <w:tcPr>
            <w:tcW w:w="2410" w:type="dxa"/>
            <w:shd w:val="clear" w:color="auto" w:fill="F2F2F2"/>
          </w:tcPr>
          <w:p w14:paraId="464B9390"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8</w:t>
            </w:r>
          </w:p>
        </w:tc>
      </w:tr>
      <w:tr w:rsidR="00C87BBA" w:rsidRPr="007345D5" w14:paraId="175C292F" w14:textId="77777777" w:rsidTr="001A64F7">
        <w:tblPrEx>
          <w:tblCellMar>
            <w:top w:w="85" w:type="dxa"/>
          </w:tblCellMar>
        </w:tblPrEx>
        <w:trPr>
          <w:trHeight w:val="340"/>
        </w:trPr>
        <w:tc>
          <w:tcPr>
            <w:tcW w:w="3119" w:type="dxa"/>
            <w:shd w:val="clear" w:color="auto" w:fill="F2F2F2"/>
            <w:vAlign w:val="center"/>
          </w:tcPr>
          <w:p w14:paraId="3CF9C883" w14:textId="77777777" w:rsidR="00C87BBA" w:rsidRPr="007345D5" w:rsidRDefault="00C87BBA" w:rsidP="00C63ABD">
            <w:pPr>
              <w:adjustRightInd w:val="0"/>
              <w:snapToGrid w:val="0"/>
              <w:spacing w:line="360" w:lineRule="auto"/>
              <w:rPr>
                <w:rFonts w:ascii="Book Antiqua" w:eastAsia="Yu Mincho" w:hAnsi="Book Antiqua" w:cs="Arial"/>
                <w:lang w:eastAsia="ja-JP"/>
              </w:rPr>
            </w:pPr>
            <w:r w:rsidRPr="007345D5">
              <w:rPr>
                <w:rFonts w:ascii="Book Antiqua" w:eastAsia="Yu Mincho" w:hAnsi="Book Antiqua" w:cs="Arial"/>
                <w:lang w:eastAsia="ja-JP"/>
              </w:rPr>
              <w:t>Clinical course</w:t>
            </w:r>
          </w:p>
        </w:tc>
        <w:tc>
          <w:tcPr>
            <w:tcW w:w="2693" w:type="dxa"/>
            <w:shd w:val="clear" w:color="auto" w:fill="F2F2F2"/>
          </w:tcPr>
          <w:p w14:paraId="558E2587"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Survival without relapse</w:t>
            </w:r>
          </w:p>
        </w:tc>
        <w:tc>
          <w:tcPr>
            <w:tcW w:w="2410" w:type="dxa"/>
            <w:shd w:val="clear" w:color="auto" w:fill="F2F2F2"/>
          </w:tcPr>
          <w:p w14:paraId="49428103"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47</w:t>
            </w:r>
          </w:p>
        </w:tc>
      </w:tr>
      <w:tr w:rsidR="00C87BBA" w:rsidRPr="007345D5" w14:paraId="09E8E251" w14:textId="77777777" w:rsidTr="001A64F7">
        <w:tblPrEx>
          <w:tblCellMar>
            <w:top w:w="85" w:type="dxa"/>
          </w:tblCellMar>
        </w:tblPrEx>
        <w:trPr>
          <w:trHeight w:val="340"/>
        </w:trPr>
        <w:tc>
          <w:tcPr>
            <w:tcW w:w="3119" w:type="dxa"/>
            <w:shd w:val="clear" w:color="auto" w:fill="F2F2F2"/>
            <w:vAlign w:val="center"/>
          </w:tcPr>
          <w:p w14:paraId="45A4A26D"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tcPr>
          <w:p w14:paraId="57F80BD5"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Survival after relapse</w:t>
            </w:r>
          </w:p>
        </w:tc>
        <w:tc>
          <w:tcPr>
            <w:tcW w:w="2410" w:type="dxa"/>
            <w:shd w:val="clear" w:color="auto" w:fill="F2F2F2"/>
          </w:tcPr>
          <w:p w14:paraId="61EADB38"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2</w:t>
            </w:r>
          </w:p>
        </w:tc>
      </w:tr>
      <w:tr w:rsidR="00C87BBA" w:rsidRPr="007345D5" w14:paraId="547EF946" w14:textId="77777777" w:rsidTr="001A64F7">
        <w:tblPrEx>
          <w:tblCellMar>
            <w:top w:w="85" w:type="dxa"/>
          </w:tblCellMar>
        </w:tblPrEx>
        <w:trPr>
          <w:trHeight w:val="340"/>
        </w:trPr>
        <w:tc>
          <w:tcPr>
            <w:tcW w:w="3119" w:type="dxa"/>
            <w:shd w:val="clear" w:color="auto" w:fill="F2F2F2"/>
            <w:vAlign w:val="center"/>
          </w:tcPr>
          <w:p w14:paraId="463EF147"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tcPr>
          <w:p w14:paraId="77BAFEF1"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Survival after non-curative surgery</w:t>
            </w:r>
          </w:p>
        </w:tc>
        <w:tc>
          <w:tcPr>
            <w:tcW w:w="2410" w:type="dxa"/>
            <w:shd w:val="clear" w:color="auto" w:fill="F2F2F2"/>
          </w:tcPr>
          <w:p w14:paraId="5BD34EB2"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1</w:t>
            </w:r>
          </w:p>
        </w:tc>
      </w:tr>
      <w:tr w:rsidR="00C87BBA" w:rsidRPr="007345D5" w14:paraId="008148B6" w14:textId="77777777" w:rsidTr="001A64F7">
        <w:tblPrEx>
          <w:tblCellMar>
            <w:top w:w="85" w:type="dxa"/>
          </w:tblCellMar>
        </w:tblPrEx>
        <w:trPr>
          <w:trHeight w:val="340"/>
        </w:trPr>
        <w:tc>
          <w:tcPr>
            <w:tcW w:w="3119" w:type="dxa"/>
            <w:shd w:val="clear" w:color="auto" w:fill="F2F2F2"/>
            <w:vAlign w:val="center"/>
          </w:tcPr>
          <w:p w14:paraId="262DE0E0"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tcPr>
          <w:p w14:paraId="4918C12C"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Decease</w:t>
            </w:r>
          </w:p>
        </w:tc>
        <w:tc>
          <w:tcPr>
            <w:tcW w:w="2410" w:type="dxa"/>
            <w:shd w:val="clear" w:color="auto" w:fill="F2F2F2"/>
          </w:tcPr>
          <w:p w14:paraId="55B79FFB"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15</w:t>
            </w:r>
          </w:p>
        </w:tc>
      </w:tr>
      <w:tr w:rsidR="00C87BBA" w:rsidRPr="007345D5" w14:paraId="70CF87F2" w14:textId="77777777" w:rsidTr="001A64F7">
        <w:tblPrEx>
          <w:tblCellMar>
            <w:top w:w="85" w:type="dxa"/>
          </w:tblCellMar>
        </w:tblPrEx>
        <w:trPr>
          <w:trHeight w:val="340"/>
        </w:trPr>
        <w:tc>
          <w:tcPr>
            <w:tcW w:w="3119" w:type="dxa"/>
            <w:shd w:val="clear" w:color="auto" w:fill="FFFFFF"/>
            <w:vAlign w:val="center"/>
          </w:tcPr>
          <w:p w14:paraId="7ACF3080" w14:textId="77777777" w:rsidR="00C87BBA" w:rsidRPr="007345D5" w:rsidRDefault="00C87BBA" w:rsidP="00C63ABD">
            <w:pPr>
              <w:adjustRightInd w:val="0"/>
              <w:snapToGrid w:val="0"/>
              <w:spacing w:line="360" w:lineRule="auto"/>
              <w:rPr>
                <w:rFonts w:ascii="Book Antiqua" w:eastAsia="Yu Mincho" w:hAnsi="Book Antiqua" w:cs="Arial"/>
                <w:lang w:eastAsia="ja-JP"/>
              </w:rPr>
            </w:pPr>
            <w:r w:rsidRPr="007345D5">
              <w:rPr>
                <w:rFonts w:ascii="Book Antiqua" w:eastAsia="Yu Mincho" w:hAnsi="Book Antiqua" w:cs="Arial"/>
                <w:lang w:eastAsia="ja-JP"/>
              </w:rPr>
              <w:t>Recurrence site (including overlap)</w:t>
            </w:r>
          </w:p>
        </w:tc>
        <w:tc>
          <w:tcPr>
            <w:tcW w:w="2693" w:type="dxa"/>
            <w:shd w:val="clear" w:color="auto" w:fill="FFFFFF"/>
          </w:tcPr>
          <w:p w14:paraId="79849C27"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eastAsia="Yu Mincho" w:hAnsi="Book Antiqua" w:cs="Arial"/>
                <w:lang w:eastAsia="ja-JP"/>
              </w:rPr>
              <w:t>None</w:t>
            </w:r>
          </w:p>
        </w:tc>
        <w:tc>
          <w:tcPr>
            <w:tcW w:w="2410" w:type="dxa"/>
            <w:shd w:val="clear" w:color="auto" w:fill="FFFFFF"/>
          </w:tcPr>
          <w:p w14:paraId="6F678112"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47</w:t>
            </w:r>
          </w:p>
        </w:tc>
      </w:tr>
      <w:tr w:rsidR="00C87BBA" w:rsidRPr="007345D5" w14:paraId="23995689" w14:textId="77777777" w:rsidTr="001A64F7">
        <w:tblPrEx>
          <w:tblCellMar>
            <w:top w:w="85" w:type="dxa"/>
          </w:tblCellMar>
        </w:tblPrEx>
        <w:trPr>
          <w:trHeight w:val="340"/>
        </w:trPr>
        <w:tc>
          <w:tcPr>
            <w:tcW w:w="3119" w:type="dxa"/>
            <w:shd w:val="clear" w:color="auto" w:fill="FFFFFF"/>
            <w:vAlign w:val="center"/>
          </w:tcPr>
          <w:p w14:paraId="649F4B38"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FFFFF"/>
          </w:tcPr>
          <w:p w14:paraId="4E158A5F"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Remnant stomach</w:t>
            </w:r>
          </w:p>
        </w:tc>
        <w:tc>
          <w:tcPr>
            <w:tcW w:w="2410" w:type="dxa"/>
            <w:shd w:val="clear" w:color="auto" w:fill="FFFFFF"/>
          </w:tcPr>
          <w:p w14:paraId="2B6A2EFC"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1</w:t>
            </w:r>
          </w:p>
        </w:tc>
      </w:tr>
      <w:tr w:rsidR="00C87BBA" w:rsidRPr="007345D5" w14:paraId="5D518D05" w14:textId="77777777" w:rsidTr="001A64F7">
        <w:tblPrEx>
          <w:tblCellMar>
            <w:top w:w="85" w:type="dxa"/>
          </w:tblCellMar>
        </w:tblPrEx>
        <w:trPr>
          <w:trHeight w:val="340"/>
        </w:trPr>
        <w:tc>
          <w:tcPr>
            <w:tcW w:w="3119" w:type="dxa"/>
            <w:shd w:val="clear" w:color="auto" w:fill="FFFFFF"/>
            <w:vAlign w:val="center"/>
          </w:tcPr>
          <w:p w14:paraId="4C998934"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FFFFF"/>
          </w:tcPr>
          <w:p w14:paraId="39317C03"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Hematogenous</w:t>
            </w:r>
          </w:p>
        </w:tc>
        <w:tc>
          <w:tcPr>
            <w:tcW w:w="2410" w:type="dxa"/>
            <w:shd w:val="clear" w:color="auto" w:fill="FFFFFF"/>
          </w:tcPr>
          <w:p w14:paraId="3A6F5D0D"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5</w:t>
            </w:r>
          </w:p>
        </w:tc>
      </w:tr>
      <w:tr w:rsidR="00C87BBA" w:rsidRPr="007345D5" w14:paraId="297C7132" w14:textId="77777777" w:rsidTr="001A64F7">
        <w:tblPrEx>
          <w:tblCellMar>
            <w:top w:w="85" w:type="dxa"/>
          </w:tblCellMar>
        </w:tblPrEx>
        <w:trPr>
          <w:trHeight w:val="340"/>
        </w:trPr>
        <w:tc>
          <w:tcPr>
            <w:tcW w:w="3119" w:type="dxa"/>
            <w:shd w:val="clear" w:color="auto" w:fill="FFFFFF"/>
            <w:vAlign w:val="center"/>
          </w:tcPr>
          <w:p w14:paraId="1C9BD5BB"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FFFFF"/>
          </w:tcPr>
          <w:p w14:paraId="21632367"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Lymphatic</w:t>
            </w:r>
          </w:p>
        </w:tc>
        <w:tc>
          <w:tcPr>
            <w:tcW w:w="2410" w:type="dxa"/>
            <w:shd w:val="clear" w:color="auto" w:fill="FFFFFF"/>
          </w:tcPr>
          <w:p w14:paraId="7351F04B"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4</w:t>
            </w:r>
          </w:p>
        </w:tc>
      </w:tr>
      <w:tr w:rsidR="00C87BBA" w:rsidRPr="007345D5" w14:paraId="0D894F3E" w14:textId="77777777" w:rsidTr="001A64F7">
        <w:tblPrEx>
          <w:tblCellMar>
            <w:top w:w="85" w:type="dxa"/>
          </w:tblCellMar>
        </w:tblPrEx>
        <w:trPr>
          <w:trHeight w:val="340"/>
        </w:trPr>
        <w:tc>
          <w:tcPr>
            <w:tcW w:w="3119" w:type="dxa"/>
            <w:shd w:val="clear" w:color="auto" w:fill="FFFFFF"/>
            <w:vAlign w:val="center"/>
          </w:tcPr>
          <w:p w14:paraId="260F600F"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FFFFF"/>
          </w:tcPr>
          <w:p w14:paraId="36E4F192"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Peritoneal dissemination</w:t>
            </w:r>
          </w:p>
        </w:tc>
        <w:tc>
          <w:tcPr>
            <w:tcW w:w="2410" w:type="dxa"/>
            <w:shd w:val="clear" w:color="auto" w:fill="FFFFFF"/>
          </w:tcPr>
          <w:p w14:paraId="08144AE1"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5</w:t>
            </w:r>
          </w:p>
        </w:tc>
      </w:tr>
      <w:tr w:rsidR="00C87BBA" w:rsidRPr="007345D5" w14:paraId="08D43091" w14:textId="77777777" w:rsidTr="001A64F7">
        <w:tblPrEx>
          <w:tblCellMar>
            <w:top w:w="85" w:type="dxa"/>
          </w:tblCellMar>
        </w:tblPrEx>
        <w:trPr>
          <w:trHeight w:val="340"/>
        </w:trPr>
        <w:tc>
          <w:tcPr>
            <w:tcW w:w="3119" w:type="dxa"/>
            <w:shd w:val="clear" w:color="auto" w:fill="FFFFFF"/>
            <w:vAlign w:val="center"/>
          </w:tcPr>
          <w:p w14:paraId="67B1A529"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FFFFF"/>
          </w:tcPr>
          <w:p w14:paraId="2519F31B"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Non-curative surgery</w:t>
            </w:r>
          </w:p>
        </w:tc>
        <w:tc>
          <w:tcPr>
            <w:tcW w:w="2410" w:type="dxa"/>
            <w:shd w:val="clear" w:color="auto" w:fill="FFFFFF"/>
          </w:tcPr>
          <w:p w14:paraId="6F902B25"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eastAsia="Yu Mincho" w:hAnsi="Book Antiqua" w:cs="Arial"/>
                <w:lang w:eastAsia="ja-JP"/>
              </w:rPr>
              <w:t>8</w:t>
            </w:r>
          </w:p>
        </w:tc>
      </w:tr>
      <w:tr w:rsidR="00C87BBA" w:rsidRPr="007345D5" w14:paraId="640E9909" w14:textId="77777777" w:rsidTr="001A64F7">
        <w:tblPrEx>
          <w:tblCellMar>
            <w:top w:w="85" w:type="dxa"/>
          </w:tblCellMar>
        </w:tblPrEx>
        <w:trPr>
          <w:trHeight w:val="340"/>
        </w:trPr>
        <w:tc>
          <w:tcPr>
            <w:tcW w:w="3119" w:type="dxa"/>
            <w:shd w:val="clear" w:color="auto" w:fill="F2F2F2"/>
            <w:vAlign w:val="center"/>
          </w:tcPr>
          <w:p w14:paraId="4F57E38C"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Postoperative chemotherapy</w:t>
            </w:r>
          </w:p>
        </w:tc>
        <w:tc>
          <w:tcPr>
            <w:tcW w:w="2693" w:type="dxa"/>
            <w:shd w:val="clear" w:color="auto" w:fill="F2F2F2"/>
          </w:tcPr>
          <w:p w14:paraId="79C14686"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None</w:t>
            </w:r>
          </w:p>
        </w:tc>
        <w:tc>
          <w:tcPr>
            <w:tcW w:w="2410" w:type="dxa"/>
            <w:shd w:val="clear" w:color="auto" w:fill="F2F2F2"/>
          </w:tcPr>
          <w:p w14:paraId="06BB8CA0"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37</w:t>
            </w:r>
          </w:p>
        </w:tc>
      </w:tr>
      <w:tr w:rsidR="00C87BBA" w:rsidRPr="007345D5" w14:paraId="6F3CE96F" w14:textId="77777777" w:rsidTr="001A64F7">
        <w:tblPrEx>
          <w:tblCellMar>
            <w:top w:w="85" w:type="dxa"/>
          </w:tblCellMar>
        </w:tblPrEx>
        <w:trPr>
          <w:trHeight w:val="340"/>
        </w:trPr>
        <w:tc>
          <w:tcPr>
            <w:tcW w:w="3119" w:type="dxa"/>
            <w:shd w:val="clear" w:color="auto" w:fill="F2F2F2"/>
            <w:vAlign w:val="center"/>
          </w:tcPr>
          <w:p w14:paraId="1F11CFFA"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tcPr>
          <w:p w14:paraId="09647E45"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Adjuvant chemotherapy</w:t>
            </w:r>
          </w:p>
        </w:tc>
        <w:tc>
          <w:tcPr>
            <w:tcW w:w="2410" w:type="dxa"/>
            <w:shd w:val="clear" w:color="auto" w:fill="F2F2F2"/>
          </w:tcPr>
          <w:p w14:paraId="6F4CC560"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11</w:t>
            </w:r>
          </w:p>
        </w:tc>
      </w:tr>
      <w:tr w:rsidR="00C87BBA" w:rsidRPr="007345D5" w14:paraId="2826E2BA" w14:textId="77777777" w:rsidTr="001A64F7">
        <w:tblPrEx>
          <w:tblCellMar>
            <w:top w:w="85" w:type="dxa"/>
          </w:tblCellMar>
        </w:tblPrEx>
        <w:trPr>
          <w:trHeight w:val="340"/>
        </w:trPr>
        <w:tc>
          <w:tcPr>
            <w:tcW w:w="3119" w:type="dxa"/>
            <w:shd w:val="clear" w:color="auto" w:fill="F2F2F2"/>
            <w:vAlign w:val="center"/>
          </w:tcPr>
          <w:p w14:paraId="0ED44761"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tcPr>
          <w:p w14:paraId="00C3180D"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Adjuvant and therapeutic chemotherapy</w:t>
            </w:r>
          </w:p>
        </w:tc>
        <w:tc>
          <w:tcPr>
            <w:tcW w:w="2410" w:type="dxa"/>
            <w:shd w:val="clear" w:color="auto" w:fill="F2F2F2"/>
          </w:tcPr>
          <w:p w14:paraId="577E6CF5"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9</w:t>
            </w:r>
          </w:p>
        </w:tc>
      </w:tr>
      <w:tr w:rsidR="00C87BBA" w:rsidRPr="007345D5" w14:paraId="5383C98D" w14:textId="77777777" w:rsidTr="001A64F7">
        <w:tblPrEx>
          <w:tblCellMar>
            <w:top w:w="85" w:type="dxa"/>
          </w:tblCellMar>
        </w:tblPrEx>
        <w:trPr>
          <w:trHeight w:val="340"/>
        </w:trPr>
        <w:tc>
          <w:tcPr>
            <w:tcW w:w="3119" w:type="dxa"/>
            <w:shd w:val="clear" w:color="auto" w:fill="F2F2F2"/>
            <w:vAlign w:val="center"/>
          </w:tcPr>
          <w:p w14:paraId="76D4B1D7"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tcPr>
          <w:p w14:paraId="58B76EC1"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eastAsia="Yu Mincho" w:hAnsi="Book Antiqua" w:cs="Arial"/>
                <w:lang w:eastAsia="ja-JP"/>
              </w:rPr>
              <w:t>Therapeutic chemotherapy after non-curative surgery</w:t>
            </w:r>
          </w:p>
        </w:tc>
        <w:tc>
          <w:tcPr>
            <w:tcW w:w="2410" w:type="dxa"/>
            <w:shd w:val="clear" w:color="auto" w:fill="F2F2F2"/>
          </w:tcPr>
          <w:p w14:paraId="1020C074"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eastAsia="Yu Mincho" w:hAnsi="Book Antiqua" w:cs="Arial"/>
                <w:lang w:eastAsia="ja-JP"/>
              </w:rPr>
              <w:t>8</w:t>
            </w:r>
          </w:p>
        </w:tc>
      </w:tr>
      <w:tr w:rsidR="00C87BBA" w:rsidRPr="007345D5" w14:paraId="0180EB4A" w14:textId="77777777" w:rsidTr="001A64F7">
        <w:tblPrEx>
          <w:tblCellMar>
            <w:top w:w="85" w:type="dxa"/>
          </w:tblCellMar>
        </w:tblPrEx>
        <w:trPr>
          <w:trHeight w:val="340"/>
        </w:trPr>
        <w:tc>
          <w:tcPr>
            <w:tcW w:w="3119" w:type="dxa"/>
            <w:shd w:val="clear" w:color="auto" w:fill="auto"/>
            <w:vAlign w:val="center"/>
          </w:tcPr>
          <w:p w14:paraId="01D814E5"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TNM stage</w:t>
            </w:r>
          </w:p>
        </w:tc>
        <w:tc>
          <w:tcPr>
            <w:tcW w:w="2693" w:type="dxa"/>
            <w:shd w:val="clear" w:color="auto" w:fill="auto"/>
            <w:vAlign w:val="center"/>
          </w:tcPr>
          <w:p w14:paraId="59A65388"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hAnsi="Book Antiqua" w:cs="Arial"/>
              </w:rPr>
              <w:t>I</w:t>
            </w:r>
          </w:p>
        </w:tc>
        <w:tc>
          <w:tcPr>
            <w:tcW w:w="2410" w:type="dxa"/>
            <w:shd w:val="clear" w:color="auto" w:fill="auto"/>
            <w:vAlign w:val="center"/>
          </w:tcPr>
          <w:p w14:paraId="5CDF670B" w14:textId="77777777" w:rsidR="00C87BBA" w:rsidRPr="007345D5" w:rsidRDefault="00C87BBA" w:rsidP="00C63ABD">
            <w:pPr>
              <w:adjustRightInd w:val="0"/>
              <w:snapToGrid w:val="0"/>
              <w:spacing w:line="360" w:lineRule="auto"/>
              <w:jc w:val="center"/>
              <w:rPr>
                <w:rFonts w:ascii="Book Antiqua" w:eastAsia="Yu Mincho" w:hAnsi="Book Antiqua" w:cs="Arial"/>
                <w:lang w:eastAsia="ja-JP"/>
              </w:rPr>
            </w:pPr>
            <w:r w:rsidRPr="007345D5">
              <w:rPr>
                <w:rFonts w:ascii="Book Antiqua" w:hAnsi="Book Antiqua" w:cs="Arial"/>
              </w:rPr>
              <w:t>40</w:t>
            </w:r>
          </w:p>
        </w:tc>
      </w:tr>
      <w:tr w:rsidR="00C87BBA" w:rsidRPr="007345D5" w14:paraId="384CF9D6" w14:textId="77777777" w:rsidTr="001A64F7">
        <w:tblPrEx>
          <w:tblCellMar>
            <w:top w:w="85" w:type="dxa"/>
          </w:tblCellMar>
        </w:tblPrEx>
        <w:trPr>
          <w:trHeight w:val="340"/>
        </w:trPr>
        <w:tc>
          <w:tcPr>
            <w:tcW w:w="3119" w:type="dxa"/>
            <w:shd w:val="clear" w:color="auto" w:fill="auto"/>
            <w:vAlign w:val="center"/>
          </w:tcPr>
          <w:p w14:paraId="49CF24A3"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auto"/>
            <w:vAlign w:val="center"/>
          </w:tcPr>
          <w:p w14:paraId="2ABD683E"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II</w:t>
            </w:r>
          </w:p>
        </w:tc>
        <w:tc>
          <w:tcPr>
            <w:tcW w:w="2410" w:type="dxa"/>
            <w:shd w:val="clear" w:color="auto" w:fill="auto"/>
            <w:vAlign w:val="center"/>
          </w:tcPr>
          <w:p w14:paraId="3F54EE76"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6</w:t>
            </w:r>
          </w:p>
        </w:tc>
      </w:tr>
      <w:tr w:rsidR="00C87BBA" w:rsidRPr="007345D5" w14:paraId="0BF46490" w14:textId="77777777" w:rsidTr="001A64F7">
        <w:tblPrEx>
          <w:tblCellMar>
            <w:top w:w="85" w:type="dxa"/>
          </w:tblCellMar>
        </w:tblPrEx>
        <w:trPr>
          <w:trHeight w:val="340"/>
        </w:trPr>
        <w:tc>
          <w:tcPr>
            <w:tcW w:w="3119" w:type="dxa"/>
            <w:shd w:val="clear" w:color="auto" w:fill="auto"/>
            <w:vAlign w:val="center"/>
          </w:tcPr>
          <w:p w14:paraId="7C195FD4"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auto"/>
            <w:vAlign w:val="center"/>
          </w:tcPr>
          <w:p w14:paraId="747E4717"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III</w:t>
            </w:r>
          </w:p>
        </w:tc>
        <w:tc>
          <w:tcPr>
            <w:tcW w:w="2410" w:type="dxa"/>
            <w:shd w:val="clear" w:color="auto" w:fill="auto"/>
            <w:vAlign w:val="center"/>
          </w:tcPr>
          <w:p w14:paraId="2B7A3FF5"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10</w:t>
            </w:r>
          </w:p>
        </w:tc>
      </w:tr>
      <w:tr w:rsidR="00C87BBA" w:rsidRPr="007345D5" w14:paraId="1C572AC5" w14:textId="77777777" w:rsidTr="001A64F7">
        <w:tblPrEx>
          <w:tblCellMar>
            <w:top w:w="85" w:type="dxa"/>
          </w:tblCellMar>
        </w:tblPrEx>
        <w:trPr>
          <w:trHeight w:val="340"/>
        </w:trPr>
        <w:tc>
          <w:tcPr>
            <w:tcW w:w="3119" w:type="dxa"/>
            <w:shd w:val="clear" w:color="auto" w:fill="auto"/>
            <w:vAlign w:val="center"/>
          </w:tcPr>
          <w:p w14:paraId="39C29186"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auto"/>
            <w:vAlign w:val="center"/>
          </w:tcPr>
          <w:p w14:paraId="785597C5"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IV</w:t>
            </w:r>
          </w:p>
        </w:tc>
        <w:tc>
          <w:tcPr>
            <w:tcW w:w="2410" w:type="dxa"/>
            <w:shd w:val="clear" w:color="auto" w:fill="auto"/>
            <w:vAlign w:val="center"/>
          </w:tcPr>
          <w:p w14:paraId="06AC5575"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9</w:t>
            </w:r>
          </w:p>
        </w:tc>
      </w:tr>
      <w:tr w:rsidR="00C87BBA" w:rsidRPr="007345D5" w14:paraId="3896C083" w14:textId="77777777" w:rsidTr="001A64F7">
        <w:tblPrEx>
          <w:tblCellMar>
            <w:top w:w="85" w:type="dxa"/>
          </w:tblCellMar>
        </w:tblPrEx>
        <w:trPr>
          <w:trHeight w:val="340"/>
        </w:trPr>
        <w:tc>
          <w:tcPr>
            <w:tcW w:w="3119" w:type="dxa"/>
            <w:shd w:val="clear" w:color="auto" w:fill="F2F2F2"/>
            <w:vAlign w:val="center"/>
          </w:tcPr>
          <w:p w14:paraId="5710830F"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Depth of tumour invasion</w:t>
            </w:r>
          </w:p>
        </w:tc>
        <w:tc>
          <w:tcPr>
            <w:tcW w:w="2693" w:type="dxa"/>
            <w:shd w:val="clear" w:color="auto" w:fill="F2F2F2"/>
            <w:vAlign w:val="center"/>
          </w:tcPr>
          <w:p w14:paraId="2F80B8D5"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T1</w:t>
            </w:r>
          </w:p>
        </w:tc>
        <w:tc>
          <w:tcPr>
            <w:tcW w:w="2410" w:type="dxa"/>
            <w:shd w:val="clear" w:color="auto" w:fill="F2F2F2"/>
            <w:vAlign w:val="center"/>
          </w:tcPr>
          <w:p w14:paraId="783F89CF"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36</w:t>
            </w:r>
          </w:p>
        </w:tc>
      </w:tr>
      <w:tr w:rsidR="00C87BBA" w:rsidRPr="007345D5" w14:paraId="3F9C4149" w14:textId="77777777" w:rsidTr="001A64F7">
        <w:tblPrEx>
          <w:tblCellMar>
            <w:top w:w="85" w:type="dxa"/>
          </w:tblCellMar>
        </w:tblPrEx>
        <w:trPr>
          <w:trHeight w:val="340"/>
        </w:trPr>
        <w:tc>
          <w:tcPr>
            <w:tcW w:w="3119" w:type="dxa"/>
            <w:shd w:val="clear" w:color="auto" w:fill="F2F2F2"/>
            <w:vAlign w:val="center"/>
          </w:tcPr>
          <w:p w14:paraId="0A64343D"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vAlign w:val="center"/>
          </w:tcPr>
          <w:p w14:paraId="4134C90C"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T2</w:t>
            </w:r>
          </w:p>
        </w:tc>
        <w:tc>
          <w:tcPr>
            <w:tcW w:w="2410" w:type="dxa"/>
            <w:shd w:val="clear" w:color="auto" w:fill="F2F2F2"/>
            <w:vAlign w:val="center"/>
          </w:tcPr>
          <w:p w14:paraId="2111B6BD"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8</w:t>
            </w:r>
          </w:p>
        </w:tc>
      </w:tr>
      <w:tr w:rsidR="00C87BBA" w:rsidRPr="007345D5" w14:paraId="519F26D0" w14:textId="77777777" w:rsidTr="001A64F7">
        <w:tblPrEx>
          <w:tblCellMar>
            <w:top w:w="85" w:type="dxa"/>
          </w:tblCellMar>
        </w:tblPrEx>
        <w:trPr>
          <w:trHeight w:val="340"/>
        </w:trPr>
        <w:tc>
          <w:tcPr>
            <w:tcW w:w="3119" w:type="dxa"/>
            <w:shd w:val="clear" w:color="auto" w:fill="F2F2F2"/>
            <w:vAlign w:val="center"/>
          </w:tcPr>
          <w:p w14:paraId="68815214"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vAlign w:val="center"/>
          </w:tcPr>
          <w:p w14:paraId="4436AAD3"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T3</w:t>
            </w:r>
          </w:p>
        </w:tc>
        <w:tc>
          <w:tcPr>
            <w:tcW w:w="2410" w:type="dxa"/>
            <w:shd w:val="clear" w:color="auto" w:fill="F2F2F2"/>
            <w:vAlign w:val="center"/>
          </w:tcPr>
          <w:p w14:paraId="0044272A"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9</w:t>
            </w:r>
          </w:p>
        </w:tc>
      </w:tr>
      <w:tr w:rsidR="00C87BBA" w:rsidRPr="007345D5" w14:paraId="34DEA0E0" w14:textId="77777777" w:rsidTr="001A64F7">
        <w:tblPrEx>
          <w:tblCellMar>
            <w:top w:w="85" w:type="dxa"/>
          </w:tblCellMar>
        </w:tblPrEx>
        <w:trPr>
          <w:trHeight w:val="340"/>
        </w:trPr>
        <w:tc>
          <w:tcPr>
            <w:tcW w:w="3119" w:type="dxa"/>
            <w:shd w:val="clear" w:color="auto" w:fill="F2F2F2"/>
            <w:vAlign w:val="center"/>
          </w:tcPr>
          <w:p w14:paraId="61A0C803"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vAlign w:val="center"/>
          </w:tcPr>
          <w:p w14:paraId="70260A22"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T4</w:t>
            </w:r>
          </w:p>
        </w:tc>
        <w:tc>
          <w:tcPr>
            <w:tcW w:w="2410" w:type="dxa"/>
            <w:shd w:val="clear" w:color="auto" w:fill="F2F2F2"/>
            <w:vAlign w:val="center"/>
          </w:tcPr>
          <w:p w14:paraId="7E5F9B88"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12</w:t>
            </w:r>
          </w:p>
        </w:tc>
      </w:tr>
      <w:tr w:rsidR="00C87BBA" w:rsidRPr="007345D5" w14:paraId="780CE6C5" w14:textId="77777777" w:rsidTr="001A64F7">
        <w:tblPrEx>
          <w:tblCellMar>
            <w:top w:w="85" w:type="dxa"/>
          </w:tblCellMar>
        </w:tblPrEx>
        <w:trPr>
          <w:trHeight w:val="340"/>
        </w:trPr>
        <w:tc>
          <w:tcPr>
            <w:tcW w:w="3119" w:type="dxa"/>
            <w:shd w:val="clear" w:color="auto" w:fill="auto"/>
            <w:vAlign w:val="center"/>
          </w:tcPr>
          <w:p w14:paraId="5BCE7D93"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Lymph node metastasis</w:t>
            </w:r>
          </w:p>
        </w:tc>
        <w:tc>
          <w:tcPr>
            <w:tcW w:w="2693" w:type="dxa"/>
            <w:shd w:val="clear" w:color="auto" w:fill="auto"/>
            <w:vAlign w:val="center"/>
          </w:tcPr>
          <w:p w14:paraId="1BB46631"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N0</w:t>
            </w:r>
          </w:p>
        </w:tc>
        <w:tc>
          <w:tcPr>
            <w:tcW w:w="2410" w:type="dxa"/>
            <w:shd w:val="clear" w:color="auto" w:fill="auto"/>
            <w:vAlign w:val="center"/>
          </w:tcPr>
          <w:p w14:paraId="72C12DF4"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39</w:t>
            </w:r>
          </w:p>
        </w:tc>
      </w:tr>
      <w:tr w:rsidR="00C87BBA" w:rsidRPr="007345D5" w14:paraId="2111AC36" w14:textId="77777777" w:rsidTr="001A64F7">
        <w:tblPrEx>
          <w:tblCellMar>
            <w:top w:w="85" w:type="dxa"/>
          </w:tblCellMar>
        </w:tblPrEx>
        <w:trPr>
          <w:trHeight w:val="340"/>
        </w:trPr>
        <w:tc>
          <w:tcPr>
            <w:tcW w:w="3119" w:type="dxa"/>
            <w:shd w:val="clear" w:color="auto" w:fill="auto"/>
            <w:vAlign w:val="center"/>
          </w:tcPr>
          <w:p w14:paraId="21FDFA98"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auto"/>
            <w:vAlign w:val="center"/>
          </w:tcPr>
          <w:p w14:paraId="278369C5"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N1</w:t>
            </w:r>
          </w:p>
        </w:tc>
        <w:tc>
          <w:tcPr>
            <w:tcW w:w="2410" w:type="dxa"/>
            <w:shd w:val="clear" w:color="auto" w:fill="auto"/>
            <w:vAlign w:val="center"/>
          </w:tcPr>
          <w:p w14:paraId="777D6828"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5</w:t>
            </w:r>
          </w:p>
        </w:tc>
      </w:tr>
      <w:tr w:rsidR="00C87BBA" w:rsidRPr="007345D5" w14:paraId="752FB1C2" w14:textId="77777777" w:rsidTr="001A64F7">
        <w:tblPrEx>
          <w:tblCellMar>
            <w:top w:w="85" w:type="dxa"/>
          </w:tblCellMar>
        </w:tblPrEx>
        <w:trPr>
          <w:trHeight w:val="340"/>
        </w:trPr>
        <w:tc>
          <w:tcPr>
            <w:tcW w:w="3119" w:type="dxa"/>
            <w:shd w:val="clear" w:color="auto" w:fill="auto"/>
            <w:vAlign w:val="center"/>
          </w:tcPr>
          <w:p w14:paraId="3E0859D3"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auto"/>
            <w:vAlign w:val="center"/>
          </w:tcPr>
          <w:p w14:paraId="616AD50F"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N2</w:t>
            </w:r>
          </w:p>
        </w:tc>
        <w:tc>
          <w:tcPr>
            <w:tcW w:w="2410" w:type="dxa"/>
            <w:shd w:val="clear" w:color="auto" w:fill="auto"/>
            <w:vAlign w:val="center"/>
          </w:tcPr>
          <w:p w14:paraId="5A7C7F62"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6</w:t>
            </w:r>
          </w:p>
        </w:tc>
      </w:tr>
      <w:tr w:rsidR="00C87BBA" w:rsidRPr="007345D5" w14:paraId="1E23B30B" w14:textId="77777777" w:rsidTr="001A64F7">
        <w:tblPrEx>
          <w:tblCellMar>
            <w:top w:w="85" w:type="dxa"/>
          </w:tblCellMar>
        </w:tblPrEx>
        <w:trPr>
          <w:trHeight w:val="340"/>
        </w:trPr>
        <w:tc>
          <w:tcPr>
            <w:tcW w:w="3119" w:type="dxa"/>
            <w:shd w:val="clear" w:color="auto" w:fill="auto"/>
            <w:vAlign w:val="center"/>
          </w:tcPr>
          <w:p w14:paraId="41C3538A"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auto"/>
            <w:vAlign w:val="center"/>
          </w:tcPr>
          <w:p w14:paraId="7D68BCE8"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N3</w:t>
            </w:r>
          </w:p>
        </w:tc>
        <w:tc>
          <w:tcPr>
            <w:tcW w:w="2410" w:type="dxa"/>
            <w:shd w:val="clear" w:color="auto" w:fill="auto"/>
            <w:vAlign w:val="center"/>
          </w:tcPr>
          <w:p w14:paraId="36240013"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15</w:t>
            </w:r>
          </w:p>
        </w:tc>
      </w:tr>
      <w:tr w:rsidR="00C87BBA" w:rsidRPr="007345D5" w14:paraId="39A70B4B" w14:textId="77777777" w:rsidTr="001A64F7">
        <w:tblPrEx>
          <w:tblCellMar>
            <w:top w:w="85" w:type="dxa"/>
          </w:tblCellMar>
        </w:tblPrEx>
        <w:trPr>
          <w:trHeight w:val="340"/>
        </w:trPr>
        <w:tc>
          <w:tcPr>
            <w:tcW w:w="3119" w:type="dxa"/>
            <w:shd w:val="clear" w:color="auto" w:fill="F2F2F2"/>
            <w:vAlign w:val="center"/>
          </w:tcPr>
          <w:p w14:paraId="5A98742D"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Distant metastasis</w:t>
            </w:r>
          </w:p>
        </w:tc>
        <w:tc>
          <w:tcPr>
            <w:tcW w:w="2693" w:type="dxa"/>
            <w:shd w:val="clear" w:color="auto" w:fill="F2F2F2"/>
            <w:vAlign w:val="center"/>
          </w:tcPr>
          <w:p w14:paraId="25ADD19E"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M0</w:t>
            </w:r>
          </w:p>
        </w:tc>
        <w:tc>
          <w:tcPr>
            <w:tcW w:w="2410" w:type="dxa"/>
            <w:shd w:val="clear" w:color="auto" w:fill="F2F2F2"/>
            <w:vAlign w:val="center"/>
          </w:tcPr>
          <w:p w14:paraId="184F6A20"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56</w:t>
            </w:r>
          </w:p>
        </w:tc>
      </w:tr>
      <w:tr w:rsidR="00C87BBA" w:rsidRPr="007345D5" w14:paraId="08D0151D" w14:textId="77777777" w:rsidTr="001A64F7">
        <w:tblPrEx>
          <w:tblCellMar>
            <w:top w:w="85" w:type="dxa"/>
          </w:tblCellMar>
        </w:tblPrEx>
        <w:trPr>
          <w:trHeight w:val="340"/>
        </w:trPr>
        <w:tc>
          <w:tcPr>
            <w:tcW w:w="3119" w:type="dxa"/>
            <w:shd w:val="clear" w:color="auto" w:fill="F2F2F2"/>
            <w:vAlign w:val="center"/>
          </w:tcPr>
          <w:p w14:paraId="58690287"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vAlign w:val="center"/>
          </w:tcPr>
          <w:p w14:paraId="4F92DD6B"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M1</w:t>
            </w:r>
          </w:p>
        </w:tc>
        <w:tc>
          <w:tcPr>
            <w:tcW w:w="2410" w:type="dxa"/>
            <w:shd w:val="clear" w:color="auto" w:fill="F2F2F2"/>
            <w:vAlign w:val="center"/>
          </w:tcPr>
          <w:p w14:paraId="50452CAF"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9</w:t>
            </w:r>
          </w:p>
        </w:tc>
      </w:tr>
      <w:tr w:rsidR="00C87BBA" w:rsidRPr="007345D5" w14:paraId="12647A49" w14:textId="77777777" w:rsidTr="001A64F7">
        <w:tblPrEx>
          <w:tblCellMar>
            <w:top w:w="85" w:type="dxa"/>
          </w:tblCellMar>
        </w:tblPrEx>
        <w:trPr>
          <w:trHeight w:val="340"/>
        </w:trPr>
        <w:tc>
          <w:tcPr>
            <w:tcW w:w="3119" w:type="dxa"/>
            <w:shd w:val="clear" w:color="auto" w:fill="auto"/>
            <w:vAlign w:val="center"/>
          </w:tcPr>
          <w:p w14:paraId="31C69D5A"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Main histological type</w:t>
            </w:r>
          </w:p>
        </w:tc>
        <w:tc>
          <w:tcPr>
            <w:tcW w:w="2693" w:type="dxa"/>
            <w:shd w:val="clear" w:color="auto" w:fill="auto"/>
            <w:vAlign w:val="center"/>
          </w:tcPr>
          <w:p w14:paraId="2B8F58CB"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Differentiated</w:t>
            </w:r>
          </w:p>
        </w:tc>
        <w:tc>
          <w:tcPr>
            <w:tcW w:w="2410" w:type="dxa"/>
            <w:shd w:val="clear" w:color="auto" w:fill="auto"/>
            <w:vAlign w:val="center"/>
          </w:tcPr>
          <w:p w14:paraId="354E2815"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25</w:t>
            </w:r>
          </w:p>
        </w:tc>
      </w:tr>
      <w:tr w:rsidR="00C87BBA" w:rsidRPr="007345D5" w14:paraId="73541EB8" w14:textId="77777777" w:rsidTr="001A64F7">
        <w:tblPrEx>
          <w:tblCellMar>
            <w:top w:w="85" w:type="dxa"/>
          </w:tblCellMar>
        </w:tblPrEx>
        <w:trPr>
          <w:trHeight w:val="340"/>
        </w:trPr>
        <w:tc>
          <w:tcPr>
            <w:tcW w:w="3119" w:type="dxa"/>
            <w:shd w:val="clear" w:color="auto" w:fill="auto"/>
            <w:vAlign w:val="center"/>
          </w:tcPr>
          <w:p w14:paraId="33B3EF07"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auto"/>
            <w:vAlign w:val="center"/>
          </w:tcPr>
          <w:p w14:paraId="18E5B557"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Undifferentiated</w:t>
            </w:r>
          </w:p>
        </w:tc>
        <w:tc>
          <w:tcPr>
            <w:tcW w:w="2410" w:type="dxa"/>
            <w:shd w:val="clear" w:color="auto" w:fill="auto"/>
            <w:vAlign w:val="center"/>
          </w:tcPr>
          <w:p w14:paraId="3F6A7D42"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40</w:t>
            </w:r>
          </w:p>
        </w:tc>
      </w:tr>
      <w:tr w:rsidR="00C87BBA" w:rsidRPr="007345D5" w14:paraId="0EFAEE21" w14:textId="77777777" w:rsidTr="001A64F7">
        <w:tblPrEx>
          <w:tblCellMar>
            <w:top w:w="85" w:type="dxa"/>
          </w:tblCellMar>
        </w:tblPrEx>
        <w:trPr>
          <w:trHeight w:val="340"/>
        </w:trPr>
        <w:tc>
          <w:tcPr>
            <w:tcW w:w="3119" w:type="dxa"/>
            <w:shd w:val="clear" w:color="auto" w:fill="F2F2F2"/>
            <w:vAlign w:val="center"/>
          </w:tcPr>
          <w:p w14:paraId="7D2B7F90"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Lymphatic invasion</w:t>
            </w:r>
          </w:p>
        </w:tc>
        <w:tc>
          <w:tcPr>
            <w:tcW w:w="2693" w:type="dxa"/>
            <w:shd w:val="clear" w:color="auto" w:fill="F2F2F2"/>
            <w:vAlign w:val="center"/>
          </w:tcPr>
          <w:p w14:paraId="08C9A7EF"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L0</w:t>
            </w:r>
          </w:p>
        </w:tc>
        <w:tc>
          <w:tcPr>
            <w:tcW w:w="2410" w:type="dxa"/>
            <w:shd w:val="clear" w:color="auto" w:fill="F2F2F2"/>
            <w:vAlign w:val="center"/>
          </w:tcPr>
          <w:p w14:paraId="3B3C2F9A"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35</w:t>
            </w:r>
          </w:p>
        </w:tc>
      </w:tr>
      <w:tr w:rsidR="00C87BBA" w:rsidRPr="007345D5" w14:paraId="3BBF56EB" w14:textId="77777777" w:rsidTr="001A64F7">
        <w:tblPrEx>
          <w:tblCellMar>
            <w:top w:w="85" w:type="dxa"/>
          </w:tblCellMar>
        </w:tblPrEx>
        <w:trPr>
          <w:trHeight w:val="340"/>
        </w:trPr>
        <w:tc>
          <w:tcPr>
            <w:tcW w:w="3119" w:type="dxa"/>
            <w:shd w:val="clear" w:color="auto" w:fill="F2F2F2"/>
            <w:vAlign w:val="center"/>
          </w:tcPr>
          <w:p w14:paraId="4B8E30E5"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vAlign w:val="center"/>
          </w:tcPr>
          <w:p w14:paraId="28F690EB"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L1</w:t>
            </w:r>
          </w:p>
        </w:tc>
        <w:tc>
          <w:tcPr>
            <w:tcW w:w="2410" w:type="dxa"/>
            <w:shd w:val="clear" w:color="auto" w:fill="F2F2F2"/>
            <w:vAlign w:val="center"/>
          </w:tcPr>
          <w:p w14:paraId="1622450A"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26</w:t>
            </w:r>
          </w:p>
        </w:tc>
      </w:tr>
      <w:tr w:rsidR="00C87BBA" w:rsidRPr="007345D5" w14:paraId="0D155741" w14:textId="77777777" w:rsidTr="001A64F7">
        <w:tblPrEx>
          <w:tblCellMar>
            <w:top w:w="85" w:type="dxa"/>
          </w:tblCellMar>
        </w:tblPrEx>
        <w:trPr>
          <w:trHeight w:val="340"/>
        </w:trPr>
        <w:tc>
          <w:tcPr>
            <w:tcW w:w="3119" w:type="dxa"/>
            <w:shd w:val="clear" w:color="auto" w:fill="F2F2F2"/>
            <w:vAlign w:val="center"/>
          </w:tcPr>
          <w:p w14:paraId="36763762" w14:textId="77777777" w:rsidR="00C87BBA" w:rsidRPr="007345D5" w:rsidRDefault="00C87BBA" w:rsidP="00C63ABD">
            <w:pPr>
              <w:adjustRightInd w:val="0"/>
              <w:snapToGrid w:val="0"/>
              <w:spacing w:line="360" w:lineRule="auto"/>
              <w:rPr>
                <w:rFonts w:ascii="Book Antiqua" w:hAnsi="Book Antiqua" w:cs="Arial"/>
              </w:rPr>
            </w:pPr>
          </w:p>
        </w:tc>
        <w:tc>
          <w:tcPr>
            <w:tcW w:w="2693" w:type="dxa"/>
            <w:shd w:val="clear" w:color="auto" w:fill="F2F2F2"/>
            <w:vAlign w:val="center"/>
          </w:tcPr>
          <w:p w14:paraId="70378569"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LX</w:t>
            </w:r>
          </w:p>
        </w:tc>
        <w:tc>
          <w:tcPr>
            <w:tcW w:w="2410" w:type="dxa"/>
            <w:shd w:val="clear" w:color="auto" w:fill="F2F2F2"/>
            <w:vAlign w:val="center"/>
          </w:tcPr>
          <w:p w14:paraId="1D06130B"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4</w:t>
            </w:r>
          </w:p>
        </w:tc>
      </w:tr>
      <w:tr w:rsidR="00C87BBA" w:rsidRPr="007345D5" w14:paraId="5E3E60A8" w14:textId="77777777" w:rsidTr="001A64F7">
        <w:tblPrEx>
          <w:tblCellMar>
            <w:top w:w="85" w:type="dxa"/>
          </w:tblCellMar>
        </w:tblPrEx>
        <w:trPr>
          <w:trHeight w:val="340"/>
        </w:trPr>
        <w:tc>
          <w:tcPr>
            <w:tcW w:w="3119" w:type="dxa"/>
            <w:shd w:val="clear" w:color="auto" w:fill="auto"/>
            <w:vAlign w:val="center"/>
          </w:tcPr>
          <w:p w14:paraId="06C10C51" w14:textId="77777777" w:rsidR="00C87BBA" w:rsidRPr="007345D5" w:rsidRDefault="00C87BBA" w:rsidP="00C63ABD">
            <w:pPr>
              <w:adjustRightInd w:val="0"/>
              <w:snapToGrid w:val="0"/>
              <w:spacing w:line="360" w:lineRule="auto"/>
              <w:rPr>
                <w:rFonts w:ascii="Book Antiqua" w:hAnsi="Book Antiqua" w:cs="Arial"/>
              </w:rPr>
            </w:pPr>
            <w:r w:rsidRPr="007345D5">
              <w:rPr>
                <w:rFonts w:ascii="Book Antiqua" w:hAnsi="Book Antiqua" w:cs="Arial"/>
              </w:rPr>
              <w:t>Venous invasion</w:t>
            </w:r>
          </w:p>
        </w:tc>
        <w:tc>
          <w:tcPr>
            <w:tcW w:w="2693" w:type="dxa"/>
            <w:shd w:val="clear" w:color="auto" w:fill="auto"/>
            <w:vAlign w:val="center"/>
          </w:tcPr>
          <w:p w14:paraId="37023FA4"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V0</w:t>
            </w:r>
          </w:p>
        </w:tc>
        <w:tc>
          <w:tcPr>
            <w:tcW w:w="2410" w:type="dxa"/>
            <w:shd w:val="clear" w:color="auto" w:fill="auto"/>
            <w:vAlign w:val="center"/>
          </w:tcPr>
          <w:p w14:paraId="6C50439A"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35</w:t>
            </w:r>
          </w:p>
        </w:tc>
      </w:tr>
      <w:tr w:rsidR="00C87BBA" w:rsidRPr="007345D5" w14:paraId="197C9B44" w14:textId="77777777" w:rsidTr="001A64F7">
        <w:tblPrEx>
          <w:tblCellMar>
            <w:top w:w="85" w:type="dxa"/>
          </w:tblCellMar>
        </w:tblPrEx>
        <w:trPr>
          <w:trHeight w:val="340"/>
        </w:trPr>
        <w:tc>
          <w:tcPr>
            <w:tcW w:w="3119" w:type="dxa"/>
            <w:shd w:val="clear" w:color="auto" w:fill="auto"/>
            <w:vAlign w:val="center"/>
          </w:tcPr>
          <w:p w14:paraId="1A0EF4A9" w14:textId="77777777" w:rsidR="00C87BBA" w:rsidRPr="007345D5" w:rsidRDefault="00C87BBA" w:rsidP="00C63ABD">
            <w:pPr>
              <w:adjustRightInd w:val="0"/>
              <w:snapToGrid w:val="0"/>
              <w:spacing w:line="360" w:lineRule="auto"/>
              <w:jc w:val="center"/>
              <w:rPr>
                <w:rFonts w:ascii="Book Antiqua" w:hAnsi="Book Antiqua" w:cs="Arial"/>
              </w:rPr>
            </w:pPr>
          </w:p>
        </w:tc>
        <w:tc>
          <w:tcPr>
            <w:tcW w:w="2693" w:type="dxa"/>
            <w:shd w:val="clear" w:color="auto" w:fill="auto"/>
            <w:vAlign w:val="center"/>
          </w:tcPr>
          <w:p w14:paraId="4ACCB2E3"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V1–2</w:t>
            </w:r>
          </w:p>
        </w:tc>
        <w:tc>
          <w:tcPr>
            <w:tcW w:w="2410" w:type="dxa"/>
            <w:shd w:val="clear" w:color="auto" w:fill="auto"/>
            <w:vAlign w:val="center"/>
          </w:tcPr>
          <w:p w14:paraId="29F790D9"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26</w:t>
            </w:r>
          </w:p>
        </w:tc>
      </w:tr>
      <w:tr w:rsidR="00C87BBA" w:rsidRPr="007345D5" w14:paraId="302C388E" w14:textId="77777777" w:rsidTr="001A64F7">
        <w:tblPrEx>
          <w:tblCellMar>
            <w:top w:w="85" w:type="dxa"/>
          </w:tblCellMar>
        </w:tblPrEx>
        <w:trPr>
          <w:trHeight w:val="340"/>
        </w:trPr>
        <w:tc>
          <w:tcPr>
            <w:tcW w:w="3119" w:type="dxa"/>
            <w:tcBorders>
              <w:bottom w:val="single" w:sz="4" w:space="0" w:color="auto"/>
            </w:tcBorders>
            <w:shd w:val="clear" w:color="auto" w:fill="auto"/>
            <w:vAlign w:val="center"/>
          </w:tcPr>
          <w:p w14:paraId="5C5D4FA6" w14:textId="77777777" w:rsidR="00C87BBA" w:rsidRPr="007345D5" w:rsidRDefault="00C87BBA" w:rsidP="00C63ABD">
            <w:pPr>
              <w:adjustRightInd w:val="0"/>
              <w:snapToGrid w:val="0"/>
              <w:spacing w:line="360" w:lineRule="auto"/>
              <w:jc w:val="center"/>
              <w:rPr>
                <w:rFonts w:ascii="Book Antiqua" w:hAnsi="Book Antiqua" w:cs="Arial"/>
              </w:rPr>
            </w:pPr>
          </w:p>
        </w:tc>
        <w:tc>
          <w:tcPr>
            <w:tcW w:w="2693" w:type="dxa"/>
            <w:tcBorders>
              <w:bottom w:val="single" w:sz="4" w:space="0" w:color="auto"/>
            </w:tcBorders>
            <w:shd w:val="clear" w:color="auto" w:fill="auto"/>
            <w:vAlign w:val="center"/>
          </w:tcPr>
          <w:p w14:paraId="02C58C3E"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VX</w:t>
            </w:r>
          </w:p>
        </w:tc>
        <w:tc>
          <w:tcPr>
            <w:tcW w:w="2410" w:type="dxa"/>
            <w:tcBorders>
              <w:bottom w:val="single" w:sz="4" w:space="0" w:color="auto"/>
            </w:tcBorders>
            <w:shd w:val="clear" w:color="auto" w:fill="auto"/>
            <w:vAlign w:val="center"/>
          </w:tcPr>
          <w:p w14:paraId="6FA1E071" w14:textId="77777777" w:rsidR="00C87BBA" w:rsidRPr="007345D5" w:rsidRDefault="00C87BBA" w:rsidP="00C63ABD">
            <w:pPr>
              <w:adjustRightInd w:val="0"/>
              <w:snapToGrid w:val="0"/>
              <w:spacing w:line="360" w:lineRule="auto"/>
              <w:jc w:val="center"/>
              <w:rPr>
                <w:rFonts w:ascii="Book Antiqua" w:hAnsi="Book Antiqua" w:cs="Arial"/>
              </w:rPr>
            </w:pPr>
            <w:r w:rsidRPr="007345D5">
              <w:rPr>
                <w:rFonts w:ascii="Book Antiqua" w:hAnsi="Book Antiqua" w:cs="Arial"/>
              </w:rPr>
              <w:t>4</w:t>
            </w:r>
          </w:p>
        </w:tc>
      </w:tr>
    </w:tbl>
    <w:p w14:paraId="2B82608D" w14:textId="77777777" w:rsidR="00C87BBA" w:rsidRPr="007345D5" w:rsidRDefault="00C87BBA" w:rsidP="00570508">
      <w:pPr>
        <w:adjustRightInd w:val="0"/>
        <w:snapToGrid w:val="0"/>
        <w:spacing w:line="360" w:lineRule="auto"/>
        <w:jc w:val="both"/>
        <w:rPr>
          <w:rFonts w:ascii="Book Antiqua" w:hAnsi="Book Antiqua" w:cs="Arial"/>
        </w:rPr>
      </w:pPr>
    </w:p>
    <w:p w14:paraId="43BEC735" w14:textId="77777777" w:rsidR="00EF44C8" w:rsidRPr="007345D5" w:rsidRDefault="00EF44C8" w:rsidP="00570508">
      <w:pPr>
        <w:adjustRightInd w:val="0"/>
        <w:snapToGrid w:val="0"/>
        <w:spacing w:line="360" w:lineRule="auto"/>
        <w:jc w:val="both"/>
        <w:rPr>
          <w:rFonts w:ascii="Book Antiqua" w:hAnsi="Book Antiqua" w:cs="Arial"/>
          <w:b/>
        </w:rPr>
        <w:sectPr w:rsidR="00EF44C8" w:rsidRPr="007345D5" w:rsidSect="00C87BBA">
          <w:footerReference w:type="even" r:id="rId12"/>
          <w:footerReference w:type="default" r:id="rId13"/>
          <w:pgSz w:w="11906" w:h="16838"/>
          <w:pgMar w:top="1985" w:right="1701" w:bottom="1701" w:left="1701" w:header="851" w:footer="992" w:gutter="0"/>
          <w:cols w:space="425"/>
          <w:docGrid w:type="lines" w:linePitch="360"/>
        </w:sectPr>
      </w:pPr>
    </w:p>
    <w:p w14:paraId="08ED08C2" w14:textId="64D535E7" w:rsidR="00C87BBA" w:rsidRPr="007345D5" w:rsidRDefault="00C87BBA" w:rsidP="00570508">
      <w:pPr>
        <w:adjustRightInd w:val="0"/>
        <w:snapToGrid w:val="0"/>
        <w:spacing w:line="360" w:lineRule="auto"/>
        <w:jc w:val="both"/>
        <w:rPr>
          <w:rFonts w:ascii="Book Antiqua" w:hAnsi="Book Antiqua" w:cs="Arial"/>
          <w:b/>
        </w:rPr>
      </w:pPr>
      <w:r w:rsidRPr="007345D5">
        <w:rPr>
          <w:rFonts w:ascii="Book Antiqua" w:hAnsi="Book Antiqua" w:cs="Arial"/>
          <w:b/>
        </w:rPr>
        <w:lastRenderedPageBreak/>
        <w:t>Table 2 Risk factors for prognosis of patients (</w:t>
      </w:r>
      <w:r w:rsidR="008563D6" w:rsidRPr="007345D5">
        <w:rPr>
          <w:rFonts w:ascii="Book Antiqua" w:eastAsia="SimSun" w:hAnsi="Book Antiqua" w:cs="Arial"/>
          <w:b/>
          <w:i/>
          <w:lang w:eastAsia="zh-CN"/>
        </w:rPr>
        <w:t>n</w:t>
      </w:r>
      <w:r w:rsidRPr="007345D5">
        <w:rPr>
          <w:rFonts w:ascii="Book Antiqua" w:hAnsi="Book Antiqua" w:cs="Arial"/>
          <w:b/>
        </w:rPr>
        <w:t xml:space="preserve"> = 65)</w:t>
      </w:r>
    </w:p>
    <w:tbl>
      <w:tblPr>
        <w:tblW w:w="4939" w:type="pct"/>
        <w:tblLayout w:type="fixed"/>
        <w:tblLook w:val="04A0" w:firstRow="1" w:lastRow="0" w:firstColumn="1" w:lastColumn="0" w:noHBand="0" w:noVBand="1"/>
      </w:tblPr>
      <w:tblGrid>
        <w:gridCol w:w="3981"/>
        <w:gridCol w:w="1469"/>
        <w:gridCol w:w="1872"/>
        <w:gridCol w:w="1336"/>
        <w:gridCol w:w="1471"/>
        <w:gridCol w:w="1872"/>
        <w:gridCol w:w="1204"/>
      </w:tblGrid>
      <w:tr w:rsidR="00C87BBA" w:rsidRPr="007345D5" w14:paraId="40F1409C" w14:textId="77777777" w:rsidTr="001A64F7">
        <w:trPr>
          <w:trHeight w:val="425"/>
        </w:trPr>
        <w:tc>
          <w:tcPr>
            <w:tcW w:w="1507" w:type="pct"/>
            <w:vMerge w:val="restart"/>
            <w:tcBorders>
              <w:top w:val="single" w:sz="4" w:space="0" w:color="auto"/>
              <w:bottom w:val="single" w:sz="4" w:space="0" w:color="auto"/>
            </w:tcBorders>
            <w:vAlign w:val="center"/>
          </w:tcPr>
          <w:p w14:paraId="0875BF6A" w14:textId="77777777" w:rsidR="00C87BBA" w:rsidRPr="007345D5" w:rsidRDefault="00C87BBA" w:rsidP="00570508">
            <w:pPr>
              <w:pStyle w:val="Table1"/>
              <w:adjustRightInd w:val="0"/>
              <w:snapToGrid w:val="0"/>
              <w:spacing w:line="360" w:lineRule="auto"/>
              <w:jc w:val="both"/>
              <w:rPr>
                <w:rFonts w:ascii="Book Antiqua" w:hAnsi="Book Antiqua"/>
                <w:b/>
                <w:sz w:val="24"/>
                <w:szCs w:val="24"/>
                <w:lang w:val="en-GB"/>
              </w:rPr>
            </w:pPr>
            <w:r w:rsidRPr="007345D5">
              <w:rPr>
                <w:rFonts w:ascii="Book Antiqua" w:hAnsi="Book Antiqua"/>
                <w:b/>
                <w:sz w:val="24"/>
                <w:szCs w:val="24"/>
                <w:lang w:val="en-GB"/>
              </w:rPr>
              <w:t>Variable</w:t>
            </w:r>
          </w:p>
        </w:tc>
        <w:tc>
          <w:tcPr>
            <w:tcW w:w="1771" w:type="pct"/>
            <w:gridSpan w:val="3"/>
            <w:tcBorders>
              <w:top w:val="single" w:sz="4" w:space="0" w:color="auto"/>
            </w:tcBorders>
            <w:vAlign w:val="center"/>
          </w:tcPr>
          <w:p w14:paraId="283CFD2E" w14:textId="77777777" w:rsidR="00C87BBA" w:rsidRPr="007345D5" w:rsidRDefault="00C87BBA" w:rsidP="006C369D">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sz w:val="24"/>
                <w:szCs w:val="24"/>
                <w:lang w:val="en-GB"/>
              </w:rPr>
              <w:t>Univariate analysis</w:t>
            </w:r>
          </w:p>
        </w:tc>
        <w:tc>
          <w:tcPr>
            <w:tcW w:w="1722" w:type="pct"/>
            <w:gridSpan w:val="3"/>
            <w:tcBorders>
              <w:top w:val="single" w:sz="4" w:space="0" w:color="auto"/>
            </w:tcBorders>
            <w:vAlign w:val="center"/>
          </w:tcPr>
          <w:p w14:paraId="46C9A5FA" w14:textId="77777777" w:rsidR="00C87BBA" w:rsidRPr="007345D5" w:rsidRDefault="00C87BBA" w:rsidP="006C369D">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sz w:val="24"/>
                <w:szCs w:val="24"/>
                <w:lang w:val="en-GB"/>
              </w:rPr>
              <w:t>Multivariate analysis</w:t>
            </w:r>
          </w:p>
        </w:tc>
      </w:tr>
      <w:tr w:rsidR="00C87BBA" w:rsidRPr="007345D5" w14:paraId="3DBA5CD2" w14:textId="77777777" w:rsidTr="001A64F7">
        <w:trPr>
          <w:trHeight w:val="425"/>
        </w:trPr>
        <w:tc>
          <w:tcPr>
            <w:tcW w:w="1507" w:type="pct"/>
            <w:vMerge/>
            <w:tcBorders>
              <w:bottom w:val="single" w:sz="4" w:space="0" w:color="auto"/>
            </w:tcBorders>
          </w:tcPr>
          <w:p w14:paraId="024883E2"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p>
        </w:tc>
        <w:tc>
          <w:tcPr>
            <w:tcW w:w="556" w:type="pct"/>
            <w:tcBorders>
              <w:bottom w:val="single" w:sz="4" w:space="0" w:color="auto"/>
            </w:tcBorders>
          </w:tcPr>
          <w:p w14:paraId="32F81519" w14:textId="77777777" w:rsidR="00C87BBA" w:rsidRPr="007345D5" w:rsidRDefault="00C87BBA" w:rsidP="006C369D">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sz w:val="24"/>
                <w:szCs w:val="24"/>
                <w:lang w:val="en-GB"/>
              </w:rPr>
              <w:t>Hazard ratio</w:t>
            </w:r>
          </w:p>
        </w:tc>
        <w:tc>
          <w:tcPr>
            <w:tcW w:w="709" w:type="pct"/>
            <w:tcBorders>
              <w:bottom w:val="single" w:sz="4" w:space="0" w:color="auto"/>
            </w:tcBorders>
          </w:tcPr>
          <w:p w14:paraId="724E2910" w14:textId="0BB1581D" w:rsidR="00C87BBA" w:rsidRPr="007345D5" w:rsidRDefault="008563D6" w:rsidP="006C369D">
            <w:pPr>
              <w:pStyle w:val="Table1"/>
              <w:adjustRightInd w:val="0"/>
              <w:snapToGrid w:val="0"/>
              <w:spacing w:line="360" w:lineRule="auto"/>
              <w:jc w:val="center"/>
              <w:rPr>
                <w:rFonts w:ascii="Book Antiqua" w:eastAsia="SimSun" w:hAnsi="Book Antiqua"/>
                <w:b/>
                <w:sz w:val="24"/>
                <w:szCs w:val="24"/>
                <w:lang w:val="en-GB" w:eastAsia="zh-CN"/>
              </w:rPr>
            </w:pPr>
            <w:r w:rsidRPr="007345D5">
              <w:rPr>
                <w:rFonts w:ascii="Book Antiqua" w:hAnsi="Book Antiqua"/>
                <w:b/>
                <w:sz w:val="24"/>
                <w:szCs w:val="24"/>
                <w:lang w:val="en-GB"/>
              </w:rPr>
              <w:t>95%</w:t>
            </w:r>
            <w:r w:rsidRPr="007345D5">
              <w:rPr>
                <w:rFonts w:ascii="Book Antiqua" w:eastAsia="SimSun" w:hAnsi="Book Antiqua"/>
                <w:b/>
                <w:sz w:val="24"/>
                <w:szCs w:val="24"/>
                <w:lang w:val="en-GB" w:eastAsia="zh-CN"/>
              </w:rPr>
              <w:t>CI</w:t>
            </w:r>
          </w:p>
        </w:tc>
        <w:tc>
          <w:tcPr>
            <w:tcW w:w="506" w:type="pct"/>
            <w:tcBorders>
              <w:bottom w:val="single" w:sz="4" w:space="0" w:color="auto"/>
            </w:tcBorders>
          </w:tcPr>
          <w:p w14:paraId="3B8A3882" w14:textId="69EA3C8E" w:rsidR="00C87BBA" w:rsidRPr="007345D5" w:rsidRDefault="00C87BBA" w:rsidP="006C369D">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i/>
                <w:sz w:val="24"/>
                <w:szCs w:val="24"/>
                <w:lang w:val="en-GB"/>
              </w:rPr>
              <w:t>P</w:t>
            </w:r>
            <w:r w:rsidR="008563D6" w:rsidRPr="007345D5">
              <w:rPr>
                <w:rFonts w:ascii="Book Antiqua" w:eastAsia="SimSun" w:hAnsi="Book Antiqua"/>
                <w:b/>
                <w:sz w:val="24"/>
                <w:szCs w:val="24"/>
                <w:lang w:val="en-GB" w:eastAsia="zh-CN"/>
              </w:rPr>
              <w:t xml:space="preserve"> </w:t>
            </w:r>
            <w:r w:rsidRPr="007345D5">
              <w:rPr>
                <w:rFonts w:ascii="Book Antiqua" w:hAnsi="Book Antiqua"/>
                <w:b/>
                <w:sz w:val="24"/>
                <w:szCs w:val="24"/>
                <w:lang w:val="en-GB"/>
              </w:rPr>
              <w:t>value</w:t>
            </w:r>
          </w:p>
        </w:tc>
        <w:tc>
          <w:tcPr>
            <w:tcW w:w="557" w:type="pct"/>
            <w:tcBorders>
              <w:bottom w:val="single" w:sz="4" w:space="0" w:color="auto"/>
            </w:tcBorders>
          </w:tcPr>
          <w:p w14:paraId="40A6AA12" w14:textId="77777777" w:rsidR="00C87BBA" w:rsidRPr="007345D5" w:rsidRDefault="00C87BBA" w:rsidP="006C369D">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sz w:val="24"/>
                <w:szCs w:val="24"/>
                <w:lang w:val="en-GB"/>
              </w:rPr>
              <w:t>Hazard ratio</w:t>
            </w:r>
          </w:p>
        </w:tc>
        <w:tc>
          <w:tcPr>
            <w:tcW w:w="709" w:type="pct"/>
            <w:tcBorders>
              <w:bottom w:val="single" w:sz="4" w:space="0" w:color="auto"/>
            </w:tcBorders>
          </w:tcPr>
          <w:p w14:paraId="54D73C05" w14:textId="5AD182A0" w:rsidR="00C87BBA" w:rsidRPr="007345D5" w:rsidRDefault="00C87BBA" w:rsidP="006C369D">
            <w:pPr>
              <w:pStyle w:val="Table1"/>
              <w:adjustRightInd w:val="0"/>
              <w:snapToGrid w:val="0"/>
              <w:spacing w:line="360" w:lineRule="auto"/>
              <w:jc w:val="center"/>
              <w:rPr>
                <w:rFonts w:ascii="Book Antiqua" w:eastAsia="SimSun" w:hAnsi="Book Antiqua"/>
                <w:b/>
                <w:sz w:val="24"/>
                <w:szCs w:val="24"/>
                <w:lang w:val="en-GB" w:eastAsia="zh-CN"/>
              </w:rPr>
            </w:pPr>
            <w:r w:rsidRPr="007345D5">
              <w:rPr>
                <w:rFonts w:ascii="Book Antiqua" w:hAnsi="Book Antiqua"/>
                <w:b/>
                <w:sz w:val="24"/>
                <w:szCs w:val="24"/>
                <w:lang w:val="en-GB"/>
              </w:rPr>
              <w:t>95%</w:t>
            </w:r>
            <w:r w:rsidR="008563D6" w:rsidRPr="007345D5">
              <w:rPr>
                <w:rFonts w:ascii="Book Antiqua" w:eastAsia="SimSun" w:hAnsi="Book Antiqua"/>
                <w:b/>
                <w:sz w:val="24"/>
                <w:szCs w:val="24"/>
                <w:lang w:val="en-GB" w:eastAsia="zh-CN"/>
              </w:rPr>
              <w:t>CI</w:t>
            </w:r>
          </w:p>
        </w:tc>
        <w:tc>
          <w:tcPr>
            <w:tcW w:w="456" w:type="pct"/>
            <w:tcBorders>
              <w:bottom w:val="single" w:sz="4" w:space="0" w:color="auto"/>
            </w:tcBorders>
          </w:tcPr>
          <w:p w14:paraId="60267098" w14:textId="27B343F7" w:rsidR="00C87BBA" w:rsidRPr="007345D5" w:rsidRDefault="00C87BBA" w:rsidP="006C369D">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i/>
                <w:sz w:val="24"/>
                <w:szCs w:val="24"/>
                <w:lang w:val="en-GB"/>
              </w:rPr>
              <w:t>P</w:t>
            </w:r>
            <w:r w:rsidR="008563D6" w:rsidRPr="007345D5">
              <w:rPr>
                <w:rFonts w:ascii="Book Antiqua" w:eastAsia="SimSun" w:hAnsi="Book Antiqua"/>
                <w:b/>
                <w:sz w:val="24"/>
                <w:szCs w:val="24"/>
                <w:lang w:val="en-GB" w:eastAsia="zh-CN"/>
              </w:rPr>
              <w:t xml:space="preserve"> </w:t>
            </w:r>
            <w:r w:rsidRPr="007345D5">
              <w:rPr>
                <w:rFonts w:ascii="Book Antiqua" w:hAnsi="Book Antiqua"/>
                <w:b/>
                <w:sz w:val="24"/>
                <w:szCs w:val="24"/>
                <w:lang w:val="en-GB"/>
              </w:rPr>
              <w:t>value</w:t>
            </w:r>
          </w:p>
        </w:tc>
      </w:tr>
      <w:tr w:rsidR="00C87BBA" w:rsidRPr="007345D5" w14:paraId="64CC551D" w14:textId="77777777" w:rsidTr="001A64F7">
        <w:tc>
          <w:tcPr>
            <w:tcW w:w="1507" w:type="pct"/>
            <w:tcBorders>
              <w:top w:val="single" w:sz="4" w:space="0" w:color="auto"/>
            </w:tcBorders>
            <w:shd w:val="clear" w:color="auto" w:fill="auto"/>
          </w:tcPr>
          <w:p w14:paraId="3187C9D1" w14:textId="77777777" w:rsidR="00C87BBA" w:rsidRPr="007345D5" w:rsidRDefault="00C87BBA" w:rsidP="00570508">
            <w:pPr>
              <w:adjustRightInd w:val="0"/>
              <w:snapToGrid w:val="0"/>
              <w:spacing w:line="360" w:lineRule="auto"/>
              <w:jc w:val="both"/>
              <w:rPr>
                <w:rFonts w:ascii="Book Antiqua" w:hAnsi="Book Antiqua" w:cs="Arial"/>
              </w:rPr>
            </w:pPr>
            <w:r w:rsidRPr="007345D5">
              <w:rPr>
                <w:rFonts w:ascii="Book Antiqua" w:hAnsi="Book Antiqua" w:cs="Arial"/>
              </w:rPr>
              <w:t>Number of high telomerase activity cells</w:t>
            </w:r>
          </w:p>
        </w:tc>
        <w:tc>
          <w:tcPr>
            <w:tcW w:w="556" w:type="pct"/>
            <w:tcBorders>
              <w:top w:val="single" w:sz="4" w:space="0" w:color="auto"/>
            </w:tcBorders>
            <w:shd w:val="clear" w:color="auto" w:fill="auto"/>
          </w:tcPr>
          <w:p w14:paraId="4156357C"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709" w:type="pct"/>
            <w:tcBorders>
              <w:top w:val="single" w:sz="4" w:space="0" w:color="auto"/>
            </w:tcBorders>
            <w:shd w:val="clear" w:color="auto" w:fill="auto"/>
          </w:tcPr>
          <w:p w14:paraId="234EB8BB"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506" w:type="pct"/>
            <w:tcBorders>
              <w:top w:val="single" w:sz="4" w:space="0" w:color="auto"/>
            </w:tcBorders>
            <w:shd w:val="clear" w:color="auto" w:fill="auto"/>
          </w:tcPr>
          <w:p w14:paraId="1E1199E1" w14:textId="77777777" w:rsidR="00C87BBA" w:rsidRPr="007345D5" w:rsidRDefault="00C87BBA" w:rsidP="006C369D">
            <w:pPr>
              <w:pStyle w:val="Table1"/>
              <w:adjustRightInd w:val="0"/>
              <w:snapToGrid w:val="0"/>
              <w:spacing w:line="360" w:lineRule="auto"/>
              <w:ind w:firstLineChars="19" w:firstLine="46"/>
              <w:jc w:val="center"/>
              <w:rPr>
                <w:rFonts w:ascii="Book Antiqua" w:hAnsi="Book Antiqua"/>
                <w:sz w:val="24"/>
                <w:szCs w:val="24"/>
                <w:lang w:val="en-GB"/>
              </w:rPr>
            </w:pPr>
          </w:p>
        </w:tc>
        <w:tc>
          <w:tcPr>
            <w:tcW w:w="557" w:type="pct"/>
            <w:tcBorders>
              <w:top w:val="single" w:sz="4" w:space="0" w:color="auto"/>
            </w:tcBorders>
            <w:shd w:val="clear" w:color="auto" w:fill="auto"/>
          </w:tcPr>
          <w:p w14:paraId="24490C34"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709" w:type="pct"/>
            <w:tcBorders>
              <w:top w:val="single" w:sz="4" w:space="0" w:color="auto"/>
            </w:tcBorders>
            <w:shd w:val="clear" w:color="auto" w:fill="auto"/>
          </w:tcPr>
          <w:p w14:paraId="2165FAF6"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456" w:type="pct"/>
            <w:tcBorders>
              <w:top w:val="single" w:sz="4" w:space="0" w:color="auto"/>
            </w:tcBorders>
            <w:shd w:val="clear" w:color="auto" w:fill="auto"/>
          </w:tcPr>
          <w:p w14:paraId="60598190" w14:textId="77777777" w:rsidR="00C87BBA" w:rsidRPr="007345D5" w:rsidRDefault="00C87BBA" w:rsidP="006C369D">
            <w:pPr>
              <w:pStyle w:val="Table1"/>
              <w:adjustRightInd w:val="0"/>
              <w:snapToGrid w:val="0"/>
              <w:spacing w:line="360" w:lineRule="auto"/>
              <w:ind w:firstLineChars="17" w:firstLine="41"/>
              <w:jc w:val="center"/>
              <w:rPr>
                <w:rFonts w:ascii="Book Antiqua" w:hAnsi="Book Antiqua"/>
                <w:sz w:val="24"/>
                <w:szCs w:val="24"/>
                <w:lang w:val="en-GB"/>
              </w:rPr>
            </w:pPr>
          </w:p>
        </w:tc>
      </w:tr>
      <w:tr w:rsidR="00C87BBA" w:rsidRPr="007345D5" w14:paraId="3A622A6F" w14:textId="77777777" w:rsidTr="001A64F7">
        <w:tc>
          <w:tcPr>
            <w:tcW w:w="1507" w:type="pct"/>
            <w:shd w:val="clear" w:color="auto" w:fill="auto"/>
          </w:tcPr>
          <w:p w14:paraId="0DEA37A5" w14:textId="0FABCA78" w:rsidR="00C87BBA" w:rsidRPr="007345D5" w:rsidRDefault="00C87BBA" w:rsidP="00570508">
            <w:pPr>
              <w:adjustRightInd w:val="0"/>
              <w:snapToGrid w:val="0"/>
              <w:spacing w:line="360" w:lineRule="auto"/>
              <w:jc w:val="both"/>
              <w:rPr>
                <w:rFonts w:ascii="Book Antiqua" w:hAnsi="Book Antiqua" w:cs="Arial"/>
              </w:rPr>
            </w:pPr>
            <w:r w:rsidRPr="007345D5">
              <w:rPr>
                <w:rFonts w:ascii="Book Antiqua" w:hAnsi="Book Antiqua" w:cs="Arial"/>
              </w:rPr>
              <w:t>≤</w:t>
            </w:r>
            <w:r w:rsidR="00570508" w:rsidRPr="007345D5">
              <w:rPr>
                <w:rFonts w:ascii="Book Antiqua" w:eastAsia="SimSun" w:hAnsi="Book Antiqua" w:cs="Arial"/>
                <w:lang w:eastAsia="zh-CN"/>
              </w:rPr>
              <w:t xml:space="preserve"> </w:t>
            </w:r>
            <w:r w:rsidRPr="007345D5">
              <w:rPr>
                <w:rFonts w:ascii="Book Antiqua" w:hAnsi="Book Antiqua" w:cs="Arial"/>
              </w:rPr>
              <w:t>5</w:t>
            </w:r>
          </w:p>
        </w:tc>
        <w:tc>
          <w:tcPr>
            <w:tcW w:w="556" w:type="pct"/>
            <w:shd w:val="clear" w:color="auto" w:fill="auto"/>
          </w:tcPr>
          <w:p w14:paraId="6D655CF3"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1.0</w:t>
            </w:r>
          </w:p>
        </w:tc>
        <w:tc>
          <w:tcPr>
            <w:tcW w:w="709" w:type="pct"/>
            <w:shd w:val="clear" w:color="auto" w:fill="auto"/>
          </w:tcPr>
          <w:p w14:paraId="64ABD654"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506" w:type="pct"/>
            <w:shd w:val="clear" w:color="auto" w:fill="auto"/>
          </w:tcPr>
          <w:p w14:paraId="2F4A3EB1" w14:textId="77777777" w:rsidR="00C87BBA" w:rsidRPr="007345D5" w:rsidRDefault="00C87BBA" w:rsidP="006C369D">
            <w:pPr>
              <w:pStyle w:val="Table1"/>
              <w:adjustRightInd w:val="0"/>
              <w:snapToGrid w:val="0"/>
              <w:spacing w:line="360" w:lineRule="auto"/>
              <w:ind w:firstLineChars="19" w:firstLine="46"/>
              <w:jc w:val="center"/>
              <w:rPr>
                <w:rFonts w:ascii="Book Antiqua" w:hAnsi="Book Antiqua"/>
                <w:sz w:val="24"/>
                <w:szCs w:val="24"/>
                <w:lang w:val="en-GB"/>
              </w:rPr>
            </w:pPr>
          </w:p>
        </w:tc>
        <w:tc>
          <w:tcPr>
            <w:tcW w:w="557" w:type="pct"/>
            <w:shd w:val="clear" w:color="auto" w:fill="auto"/>
          </w:tcPr>
          <w:p w14:paraId="4E53CE89"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1.0</w:t>
            </w:r>
          </w:p>
        </w:tc>
        <w:tc>
          <w:tcPr>
            <w:tcW w:w="709" w:type="pct"/>
            <w:shd w:val="clear" w:color="auto" w:fill="auto"/>
          </w:tcPr>
          <w:p w14:paraId="00274D7E"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456" w:type="pct"/>
            <w:shd w:val="clear" w:color="auto" w:fill="auto"/>
          </w:tcPr>
          <w:p w14:paraId="7ED48794" w14:textId="77777777" w:rsidR="00C87BBA" w:rsidRPr="007345D5" w:rsidRDefault="00C87BBA" w:rsidP="006C369D">
            <w:pPr>
              <w:pStyle w:val="Table1"/>
              <w:adjustRightInd w:val="0"/>
              <w:snapToGrid w:val="0"/>
              <w:spacing w:line="360" w:lineRule="auto"/>
              <w:ind w:firstLineChars="17" w:firstLine="41"/>
              <w:jc w:val="center"/>
              <w:rPr>
                <w:rFonts w:ascii="Book Antiqua" w:hAnsi="Book Antiqua"/>
                <w:sz w:val="24"/>
                <w:szCs w:val="24"/>
                <w:lang w:val="en-GB"/>
              </w:rPr>
            </w:pPr>
          </w:p>
        </w:tc>
      </w:tr>
      <w:tr w:rsidR="00C87BBA" w:rsidRPr="007345D5" w14:paraId="06723959" w14:textId="77777777" w:rsidTr="001A64F7">
        <w:tc>
          <w:tcPr>
            <w:tcW w:w="1507" w:type="pct"/>
            <w:shd w:val="clear" w:color="auto" w:fill="auto"/>
          </w:tcPr>
          <w:p w14:paraId="6302BB50" w14:textId="3B445FBB" w:rsidR="00C87BBA" w:rsidRPr="007345D5" w:rsidRDefault="00570508" w:rsidP="00570508">
            <w:pPr>
              <w:adjustRightInd w:val="0"/>
              <w:snapToGrid w:val="0"/>
              <w:spacing w:line="360" w:lineRule="auto"/>
              <w:jc w:val="both"/>
              <w:rPr>
                <w:rFonts w:ascii="Book Antiqua" w:eastAsia="SimSun" w:hAnsi="Book Antiqua" w:cs="Arial"/>
                <w:lang w:eastAsia="zh-CN"/>
              </w:rPr>
            </w:pPr>
            <w:r w:rsidRPr="007345D5">
              <w:rPr>
                <w:rFonts w:ascii="Book Antiqua" w:eastAsia="SimSun" w:hAnsi="Book Antiqua" w:cs="Arial"/>
                <w:lang w:eastAsia="zh-CN"/>
              </w:rPr>
              <w:t>&gt; 5</w:t>
            </w:r>
          </w:p>
        </w:tc>
        <w:tc>
          <w:tcPr>
            <w:tcW w:w="556" w:type="pct"/>
            <w:shd w:val="clear" w:color="auto" w:fill="auto"/>
          </w:tcPr>
          <w:p w14:paraId="7AD8E7D7"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2.069</w:t>
            </w:r>
          </w:p>
        </w:tc>
        <w:tc>
          <w:tcPr>
            <w:tcW w:w="709" w:type="pct"/>
            <w:shd w:val="clear" w:color="auto" w:fill="auto"/>
          </w:tcPr>
          <w:p w14:paraId="6E432601"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0.693–5.744</w:t>
            </w:r>
          </w:p>
        </w:tc>
        <w:tc>
          <w:tcPr>
            <w:tcW w:w="506" w:type="pct"/>
            <w:shd w:val="clear" w:color="auto" w:fill="auto"/>
          </w:tcPr>
          <w:p w14:paraId="2115DACB" w14:textId="77777777" w:rsidR="00C87BBA" w:rsidRPr="007345D5" w:rsidRDefault="00C87BBA" w:rsidP="006C369D">
            <w:pPr>
              <w:pStyle w:val="Table1"/>
              <w:adjustRightInd w:val="0"/>
              <w:snapToGrid w:val="0"/>
              <w:spacing w:line="360" w:lineRule="auto"/>
              <w:ind w:firstLineChars="19" w:firstLine="46"/>
              <w:jc w:val="center"/>
              <w:rPr>
                <w:rFonts w:ascii="Book Antiqua" w:hAnsi="Book Antiqua"/>
                <w:sz w:val="24"/>
                <w:szCs w:val="24"/>
                <w:lang w:val="en-GB"/>
              </w:rPr>
            </w:pPr>
            <w:r w:rsidRPr="007345D5">
              <w:rPr>
                <w:rFonts w:ascii="Book Antiqua" w:hAnsi="Book Antiqua"/>
                <w:sz w:val="24"/>
                <w:szCs w:val="24"/>
                <w:lang w:val="en-GB"/>
              </w:rPr>
              <w:t>0.183</w:t>
            </w:r>
          </w:p>
        </w:tc>
        <w:tc>
          <w:tcPr>
            <w:tcW w:w="557" w:type="pct"/>
            <w:shd w:val="clear" w:color="auto" w:fill="auto"/>
          </w:tcPr>
          <w:p w14:paraId="5E775CE9"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0.900</w:t>
            </w:r>
          </w:p>
        </w:tc>
        <w:tc>
          <w:tcPr>
            <w:tcW w:w="709" w:type="pct"/>
            <w:shd w:val="clear" w:color="auto" w:fill="auto"/>
          </w:tcPr>
          <w:p w14:paraId="24343535"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0.294–2.591</w:t>
            </w:r>
          </w:p>
        </w:tc>
        <w:tc>
          <w:tcPr>
            <w:tcW w:w="456" w:type="pct"/>
            <w:shd w:val="clear" w:color="auto" w:fill="auto"/>
          </w:tcPr>
          <w:p w14:paraId="01E9EE93" w14:textId="77777777" w:rsidR="00C87BBA" w:rsidRPr="007345D5" w:rsidRDefault="00C87BBA" w:rsidP="006C369D">
            <w:pPr>
              <w:pStyle w:val="Table1"/>
              <w:adjustRightInd w:val="0"/>
              <w:snapToGrid w:val="0"/>
              <w:spacing w:line="360" w:lineRule="auto"/>
              <w:ind w:firstLineChars="17" w:firstLine="41"/>
              <w:jc w:val="center"/>
              <w:rPr>
                <w:rFonts w:ascii="Book Antiqua" w:hAnsi="Book Antiqua"/>
                <w:sz w:val="24"/>
                <w:szCs w:val="24"/>
                <w:lang w:val="en-GB"/>
              </w:rPr>
            </w:pPr>
            <w:r w:rsidRPr="007345D5">
              <w:rPr>
                <w:rFonts w:ascii="Book Antiqua" w:hAnsi="Book Antiqua"/>
                <w:sz w:val="24"/>
                <w:szCs w:val="24"/>
                <w:lang w:val="en-GB"/>
              </w:rPr>
              <w:t>0.847</w:t>
            </w:r>
          </w:p>
        </w:tc>
      </w:tr>
      <w:tr w:rsidR="00C87BBA" w:rsidRPr="007345D5" w14:paraId="25FF5757" w14:textId="77777777" w:rsidTr="001A64F7">
        <w:tc>
          <w:tcPr>
            <w:tcW w:w="1507" w:type="pct"/>
            <w:shd w:val="clear" w:color="auto" w:fill="F2F2F2"/>
          </w:tcPr>
          <w:p w14:paraId="670ECACC"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r w:rsidRPr="007345D5">
              <w:rPr>
                <w:rFonts w:ascii="Book Antiqua" w:hAnsi="Book Antiqua"/>
                <w:sz w:val="24"/>
                <w:szCs w:val="24"/>
                <w:lang w:val="en-GB"/>
              </w:rPr>
              <w:t>fStage</w:t>
            </w:r>
          </w:p>
        </w:tc>
        <w:tc>
          <w:tcPr>
            <w:tcW w:w="556" w:type="pct"/>
            <w:shd w:val="clear" w:color="auto" w:fill="F2F2F2"/>
          </w:tcPr>
          <w:p w14:paraId="3D86DF2C"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709" w:type="pct"/>
            <w:shd w:val="clear" w:color="auto" w:fill="F2F2F2"/>
          </w:tcPr>
          <w:p w14:paraId="7A2C7B30"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506" w:type="pct"/>
            <w:shd w:val="clear" w:color="auto" w:fill="F2F2F2"/>
          </w:tcPr>
          <w:p w14:paraId="177EE956" w14:textId="77777777" w:rsidR="00C87BBA" w:rsidRPr="007345D5" w:rsidRDefault="00C87BBA" w:rsidP="006C369D">
            <w:pPr>
              <w:pStyle w:val="Table1"/>
              <w:adjustRightInd w:val="0"/>
              <w:snapToGrid w:val="0"/>
              <w:spacing w:line="360" w:lineRule="auto"/>
              <w:ind w:firstLineChars="19" w:firstLine="46"/>
              <w:jc w:val="center"/>
              <w:rPr>
                <w:rFonts w:ascii="Book Antiqua" w:hAnsi="Book Antiqua"/>
                <w:sz w:val="24"/>
                <w:szCs w:val="24"/>
                <w:lang w:val="en-GB"/>
              </w:rPr>
            </w:pPr>
          </w:p>
        </w:tc>
        <w:tc>
          <w:tcPr>
            <w:tcW w:w="557" w:type="pct"/>
            <w:shd w:val="clear" w:color="auto" w:fill="F2F2F2"/>
          </w:tcPr>
          <w:p w14:paraId="7ACA3652"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709" w:type="pct"/>
            <w:shd w:val="clear" w:color="auto" w:fill="F2F2F2"/>
          </w:tcPr>
          <w:p w14:paraId="3A92DCD4"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456" w:type="pct"/>
            <w:shd w:val="clear" w:color="auto" w:fill="F2F2F2"/>
          </w:tcPr>
          <w:p w14:paraId="2F2E805E" w14:textId="77777777" w:rsidR="00C87BBA" w:rsidRPr="007345D5" w:rsidRDefault="00C87BBA" w:rsidP="006C369D">
            <w:pPr>
              <w:pStyle w:val="Table1"/>
              <w:adjustRightInd w:val="0"/>
              <w:snapToGrid w:val="0"/>
              <w:spacing w:line="360" w:lineRule="auto"/>
              <w:ind w:firstLineChars="17" w:firstLine="41"/>
              <w:jc w:val="center"/>
              <w:rPr>
                <w:rFonts w:ascii="Book Antiqua" w:hAnsi="Book Antiqua"/>
                <w:sz w:val="24"/>
                <w:szCs w:val="24"/>
                <w:lang w:val="en-GB"/>
              </w:rPr>
            </w:pPr>
          </w:p>
        </w:tc>
      </w:tr>
      <w:tr w:rsidR="00C87BBA" w:rsidRPr="007345D5" w14:paraId="1CBF570E" w14:textId="77777777" w:rsidTr="001A64F7">
        <w:tc>
          <w:tcPr>
            <w:tcW w:w="1507" w:type="pct"/>
            <w:shd w:val="clear" w:color="auto" w:fill="F2F2F2"/>
          </w:tcPr>
          <w:p w14:paraId="4FC65921"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r w:rsidRPr="007345D5">
              <w:rPr>
                <w:rFonts w:ascii="Book Antiqua" w:hAnsi="Book Antiqua"/>
                <w:sz w:val="24"/>
                <w:szCs w:val="24"/>
                <w:lang w:val="en-GB"/>
              </w:rPr>
              <w:t>fStage I</w:t>
            </w:r>
          </w:p>
        </w:tc>
        <w:tc>
          <w:tcPr>
            <w:tcW w:w="556" w:type="pct"/>
            <w:shd w:val="clear" w:color="auto" w:fill="F2F2F2"/>
          </w:tcPr>
          <w:p w14:paraId="07562D7E"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1.0</w:t>
            </w:r>
          </w:p>
        </w:tc>
        <w:tc>
          <w:tcPr>
            <w:tcW w:w="709" w:type="pct"/>
            <w:shd w:val="clear" w:color="auto" w:fill="F2F2F2"/>
          </w:tcPr>
          <w:p w14:paraId="101C00D6"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506" w:type="pct"/>
            <w:shd w:val="clear" w:color="auto" w:fill="F2F2F2"/>
          </w:tcPr>
          <w:p w14:paraId="1D58BEDA" w14:textId="77777777" w:rsidR="00C87BBA" w:rsidRPr="007345D5" w:rsidRDefault="00C87BBA" w:rsidP="006C369D">
            <w:pPr>
              <w:pStyle w:val="Table1"/>
              <w:adjustRightInd w:val="0"/>
              <w:snapToGrid w:val="0"/>
              <w:spacing w:line="360" w:lineRule="auto"/>
              <w:ind w:firstLineChars="19" w:firstLine="46"/>
              <w:jc w:val="center"/>
              <w:rPr>
                <w:rFonts w:ascii="Book Antiqua" w:hAnsi="Book Antiqua"/>
                <w:sz w:val="24"/>
                <w:szCs w:val="24"/>
                <w:lang w:val="en-GB"/>
              </w:rPr>
            </w:pPr>
          </w:p>
        </w:tc>
        <w:tc>
          <w:tcPr>
            <w:tcW w:w="557" w:type="pct"/>
            <w:shd w:val="clear" w:color="auto" w:fill="F2F2F2"/>
          </w:tcPr>
          <w:p w14:paraId="709E7201"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1.0</w:t>
            </w:r>
          </w:p>
        </w:tc>
        <w:tc>
          <w:tcPr>
            <w:tcW w:w="709" w:type="pct"/>
            <w:shd w:val="clear" w:color="auto" w:fill="F2F2F2"/>
          </w:tcPr>
          <w:p w14:paraId="09889524"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p>
        </w:tc>
        <w:tc>
          <w:tcPr>
            <w:tcW w:w="456" w:type="pct"/>
            <w:shd w:val="clear" w:color="auto" w:fill="F2F2F2"/>
          </w:tcPr>
          <w:p w14:paraId="57CE3475" w14:textId="77777777" w:rsidR="00C87BBA" w:rsidRPr="007345D5" w:rsidRDefault="00C87BBA" w:rsidP="006C369D">
            <w:pPr>
              <w:pStyle w:val="Table1"/>
              <w:adjustRightInd w:val="0"/>
              <w:snapToGrid w:val="0"/>
              <w:spacing w:line="360" w:lineRule="auto"/>
              <w:ind w:firstLineChars="17" w:firstLine="41"/>
              <w:jc w:val="center"/>
              <w:rPr>
                <w:rFonts w:ascii="Book Antiqua" w:hAnsi="Book Antiqua"/>
                <w:sz w:val="24"/>
                <w:szCs w:val="24"/>
                <w:lang w:val="en-GB"/>
              </w:rPr>
            </w:pPr>
          </w:p>
        </w:tc>
      </w:tr>
      <w:tr w:rsidR="00C87BBA" w:rsidRPr="007345D5" w14:paraId="3B346EAF" w14:textId="77777777" w:rsidTr="001A64F7">
        <w:tc>
          <w:tcPr>
            <w:tcW w:w="1507" w:type="pct"/>
            <w:shd w:val="clear" w:color="auto" w:fill="F2F2F2"/>
          </w:tcPr>
          <w:p w14:paraId="737B72CC"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r w:rsidRPr="007345D5">
              <w:rPr>
                <w:rFonts w:ascii="Book Antiqua" w:hAnsi="Book Antiqua"/>
                <w:sz w:val="24"/>
                <w:szCs w:val="24"/>
                <w:lang w:val="en-GB"/>
              </w:rPr>
              <w:t>fStage II</w:t>
            </w:r>
          </w:p>
        </w:tc>
        <w:tc>
          <w:tcPr>
            <w:tcW w:w="556" w:type="pct"/>
            <w:shd w:val="clear" w:color="auto" w:fill="F2F2F2"/>
          </w:tcPr>
          <w:p w14:paraId="61EFFD95"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7.097</w:t>
            </w:r>
          </w:p>
        </w:tc>
        <w:tc>
          <w:tcPr>
            <w:tcW w:w="709" w:type="pct"/>
            <w:shd w:val="clear" w:color="auto" w:fill="F2F2F2"/>
          </w:tcPr>
          <w:p w14:paraId="4EE03889"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0.281–179.3</w:t>
            </w:r>
          </w:p>
        </w:tc>
        <w:tc>
          <w:tcPr>
            <w:tcW w:w="506" w:type="pct"/>
            <w:shd w:val="clear" w:color="auto" w:fill="F2F2F2"/>
          </w:tcPr>
          <w:p w14:paraId="0AE5BFD5" w14:textId="77777777" w:rsidR="00C87BBA" w:rsidRPr="007345D5" w:rsidRDefault="00C87BBA" w:rsidP="006C369D">
            <w:pPr>
              <w:pStyle w:val="Table1"/>
              <w:adjustRightInd w:val="0"/>
              <w:snapToGrid w:val="0"/>
              <w:spacing w:line="360" w:lineRule="auto"/>
              <w:ind w:firstLineChars="19" w:firstLine="46"/>
              <w:jc w:val="center"/>
              <w:rPr>
                <w:rFonts w:ascii="Book Antiqua" w:hAnsi="Book Antiqua"/>
                <w:sz w:val="24"/>
                <w:szCs w:val="24"/>
                <w:lang w:val="en-GB"/>
              </w:rPr>
            </w:pPr>
            <w:r w:rsidRPr="007345D5">
              <w:rPr>
                <w:rFonts w:ascii="Book Antiqua" w:hAnsi="Book Antiqua"/>
                <w:sz w:val="24"/>
                <w:szCs w:val="24"/>
                <w:lang w:val="en-GB"/>
              </w:rPr>
              <w:t>0.196</w:t>
            </w:r>
          </w:p>
        </w:tc>
        <w:tc>
          <w:tcPr>
            <w:tcW w:w="557" w:type="pct"/>
            <w:shd w:val="clear" w:color="auto" w:fill="F2F2F2"/>
          </w:tcPr>
          <w:p w14:paraId="2AFCFC9C"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7.106</w:t>
            </w:r>
          </w:p>
        </w:tc>
        <w:tc>
          <w:tcPr>
            <w:tcW w:w="709" w:type="pct"/>
            <w:shd w:val="clear" w:color="auto" w:fill="F2F2F2"/>
          </w:tcPr>
          <w:p w14:paraId="4673C948"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0.281–179.6</w:t>
            </w:r>
          </w:p>
        </w:tc>
        <w:tc>
          <w:tcPr>
            <w:tcW w:w="456" w:type="pct"/>
            <w:shd w:val="clear" w:color="auto" w:fill="F2F2F2"/>
          </w:tcPr>
          <w:p w14:paraId="62FDBC7A" w14:textId="77777777" w:rsidR="00C87BBA" w:rsidRPr="007345D5" w:rsidRDefault="00C87BBA" w:rsidP="006C369D">
            <w:pPr>
              <w:pStyle w:val="Table1"/>
              <w:adjustRightInd w:val="0"/>
              <w:snapToGrid w:val="0"/>
              <w:spacing w:line="360" w:lineRule="auto"/>
              <w:ind w:firstLineChars="17" w:firstLine="41"/>
              <w:jc w:val="center"/>
              <w:rPr>
                <w:rFonts w:ascii="Book Antiqua" w:hAnsi="Book Antiqua"/>
                <w:sz w:val="24"/>
                <w:szCs w:val="24"/>
                <w:lang w:val="en-GB"/>
              </w:rPr>
            </w:pPr>
            <w:r w:rsidRPr="007345D5">
              <w:rPr>
                <w:rFonts w:ascii="Book Antiqua" w:hAnsi="Book Antiqua"/>
                <w:sz w:val="24"/>
                <w:szCs w:val="24"/>
                <w:lang w:val="en-GB"/>
              </w:rPr>
              <w:t>0.182</w:t>
            </w:r>
          </w:p>
        </w:tc>
      </w:tr>
      <w:tr w:rsidR="00C87BBA" w:rsidRPr="007345D5" w14:paraId="430B368E" w14:textId="77777777" w:rsidTr="001A64F7">
        <w:tc>
          <w:tcPr>
            <w:tcW w:w="1507" w:type="pct"/>
            <w:shd w:val="clear" w:color="auto" w:fill="F2F2F2"/>
          </w:tcPr>
          <w:p w14:paraId="65870BA9"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r w:rsidRPr="007345D5">
              <w:rPr>
                <w:rFonts w:ascii="Book Antiqua" w:hAnsi="Book Antiqua"/>
                <w:sz w:val="24"/>
                <w:szCs w:val="24"/>
                <w:lang w:val="en-GB"/>
              </w:rPr>
              <w:t>fStage III</w:t>
            </w:r>
          </w:p>
        </w:tc>
        <w:tc>
          <w:tcPr>
            <w:tcW w:w="556" w:type="pct"/>
            <w:shd w:val="clear" w:color="auto" w:fill="F2F2F2"/>
          </w:tcPr>
          <w:p w14:paraId="08D7354E"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25.18</w:t>
            </w:r>
          </w:p>
        </w:tc>
        <w:tc>
          <w:tcPr>
            <w:tcW w:w="709" w:type="pct"/>
            <w:shd w:val="clear" w:color="auto" w:fill="F2F2F2"/>
          </w:tcPr>
          <w:p w14:paraId="43249BD2"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4.053–482.6</w:t>
            </w:r>
          </w:p>
        </w:tc>
        <w:tc>
          <w:tcPr>
            <w:tcW w:w="506" w:type="pct"/>
            <w:shd w:val="clear" w:color="auto" w:fill="F2F2F2"/>
          </w:tcPr>
          <w:p w14:paraId="6E7AA0C0" w14:textId="536D4305" w:rsidR="00C87BBA" w:rsidRPr="007345D5" w:rsidRDefault="00C87BBA" w:rsidP="006C369D">
            <w:pPr>
              <w:pStyle w:val="Table1"/>
              <w:adjustRightInd w:val="0"/>
              <w:snapToGrid w:val="0"/>
              <w:spacing w:line="360" w:lineRule="auto"/>
              <w:ind w:firstLineChars="19" w:firstLine="46"/>
              <w:jc w:val="center"/>
              <w:rPr>
                <w:rFonts w:ascii="Book Antiqua" w:hAnsi="Book Antiqua"/>
                <w:sz w:val="24"/>
                <w:szCs w:val="24"/>
                <w:lang w:val="en-GB"/>
              </w:rPr>
            </w:pPr>
            <w:r w:rsidRPr="007345D5">
              <w:rPr>
                <w:rFonts w:ascii="Book Antiqua" w:hAnsi="Book Antiqua"/>
                <w:sz w:val="24"/>
                <w:szCs w:val="24"/>
                <w:lang w:val="en-GB"/>
              </w:rPr>
              <w:t>0.0003</w:t>
            </w:r>
            <w:r w:rsidR="00570508" w:rsidRPr="007345D5">
              <w:rPr>
                <w:rFonts w:ascii="Book Antiqua" w:hAnsi="Book Antiqua"/>
                <w:sz w:val="24"/>
                <w:szCs w:val="24"/>
                <w:vertAlign w:val="superscript"/>
                <w:lang w:val="en-GB"/>
              </w:rPr>
              <w:t>a</w:t>
            </w:r>
          </w:p>
        </w:tc>
        <w:tc>
          <w:tcPr>
            <w:tcW w:w="557" w:type="pct"/>
            <w:shd w:val="clear" w:color="auto" w:fill="F2F2F2"/>
          </w:tcPr>
          <w:p w14:paraId="7175E14E"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26.17</w:t>
            </w:r>
          </w:p>
        </w:tc>
        <w:tc>
          <w:tcPr>
            <w:tcW w:w="709" w:type="pct"/>
            <w:shd w:val="clear" w:color="auto" w:fill="F2F2F2"/>
          </w:tcPr>
          <w:p w14:paraId="52515B68"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4.017–510.6</w:t>
            </w:r>
          </w:p>
        </w:tc>
        <w:tc>
          <w:tcPr>
            <w:tcW w:w="456" w:type="pct"/>
            <w:shd w:val="clear" w:color="auto" w:fill="F2F2F2"/>
          </w:tcPr>
          <w:p w14:paraId="162C782E" w14:textId="1F9985D7" w:rsidR="00C87BBA" w:rsidRPr="007345D5" w:rsidRDefault="00C87BBA" w:rsidP="006C369D">
            <w:pPr>
              <w:pStyle w:val="Table1"/>
              <w:adjustRightInd w:val="0"/>
              <w:snapToGrid w:val="0"/>
              <w:spacing w:line="360" w:lineRule="auto"/>
              <w:ind w:firstLineChars="17" w:firstLine="41"/>
              <w:jc w:val="center"/>
              <w:rPr>
                <w:rFonts w:ascii="Book Antiqua" w:hAnsi="Book Antiqua"/>
                <w:sz w:val="24"/>
                <w:szCs w:val="24"/>
                <w:lang w:val="en-GB"/>
              </w:rPr>
            </w:pPr>
            <w:r w:rsidRPr="007345D5">
              <w:rPr>
                <w:rFonts w:ascii="Book Antiqua" w:hAnsi="Book Antiqua"/>
                <w:sz w:val="24"/>
                <w:szCs w:val="24"/>
                <w:lang w:val="en-GB"/>
              </w:rPr>
              <w:t>0.0004</w:t>
            </w:r>
            <w:r w:rsidR="00570508" w:rsidRPr="007345D5">
              <w:rPr>
                <w:rFonts w:ascii="Book Antiqua" w:hAnsi="Book Antiqua"/>
                <w:sz w:val="24"/>
                <w:szCs w:val="24"/>
                <w:vertAlign w:val="superscript"/>
                <w:lang w:val="en-GB"/>
              </w:rPr>
              <w:t>a</w:t>
            </w:r>
          </w:p>
        </w:tc>
      </w:tr>
      <w:tr w:rsidR="00C87BBA" w:rsidRPr="007345D5" w14:paraId="3044DF81" w14:textId="77777777" w:rsidTr="001A64F7">
        <w:tc>
          <w:tcPr>
            <w:tcW w:w="1507" w:type="pct"/>
            <w:tcBorders>
              <w:bottom w:val="single" w:sz="4" w:space="0" w:color="auto"/>
            </w:tcBorders>
            <w:shd w:val="clear" w:color="auto" w:fill="F2F2F2"/>
          </w:tcPr>
          <w:p w14:paraId="2038C81E"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r w:rsidRPr="007345D5">
              <w:rPr>
                <w:rFonts w:ascii="Book Antiqua" w:hAnsi="Book Antiqua"/>
                <w:sz w:val="24"/>
                <w:szCs w:val="24"/>
                <w:lang w:val="en-GB"/>
              </w:rPr>
              <w:t>fStage IV</w:t>
            </w:r>
          </w:p>
        </w:tc>
        <w:tc>
          <w:tcPr>
            <w:tcW w:w="556" w:type="pct"/>
            <w:tcBorders>
              <w:bottom w:val="single" w:sz="4" w:space="0" w:color="auto"/>
            </w:tcBorders>
            <w:shd w:val="clear" w:color="auto" w:fill="F2F2F2"/>
          </w:tcPr>
          <w:p w14:paraId="3D61FB45"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83.57</w:t>
            </w:r>
          </w:p>
        </w:tc>
        <w:tc>
          <w:tcPr>
            <w:tcW w:w="709" w:type="pct"/>
            <w:tcBorders>
              <w:bottom w:val="single" w:sz="4" w:space="0" w:color="auto"/>
            </w:tcBorders>
            <w:shd w:val="clear" w:color="auto" w:fill="F2F2F2"/>
          </w:tcPr>
          <w:p w14:paraId="72F14DC5"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14.86–1567</w:t>
            </w:r>
          </w:p>
        </w:tc>
        <w:tc>
          <w:tcPr>
            <w:tcW w:w="506" w:type="pct"/>
            <w:tcBorders>
              <w:bottom w:val="single" w:sz="4" w:space="0" w:color="auto"/>
            </w:tcBorders>
            <w:shd w:val="clear" w:color="auto" w:fill="F2F2F2"/>
          </w:tcPr>
          <w:p w14:paraId="2E417840" w14:textId="07502EF6" w:rsidR="00C87BBA" w:rsidRPr="007345D5" w:rsidRDefault="00C87BBA" w:rsidP="006C369D">
            <w:pPr>
              <w:pStyle w:val="Table1"/>
              <w:adjustRightInd w:val="0"/>
              <w:snapToGrid w:val="0"/>
              <w:spacing w:line="360" w:lineRule="auto"/>
              <w:ind w:firstLineChars="19" w:firstLine="46"/>
              <w:jc w:val="center"/>
              <w:rPr>
                <w:rFonts w:ascii="Book Antiqua" w:hAnsi="Book Antiqua"/>
                <w:sz w:val="24"/>
                <w:szCs w:val="24"/>
                <w:lang w:val="en-GB"/>
              </w:rPr>
            </w:pPr>
            <w:r w:rsidRPr="007345D5">
              <w:rPr>
                <w:rFonts w:ascii="Book Antiqua" w:hAnsi="Book Antiqua"/>
                <w:sz w:val="24"/>
                <w:szCs w:val="24"/>
                <w:lang w:val="en-GB"/>
              </w:rPr>
              <w:t>&lt;</w:t>
            </w:r>
            <w:r w:rsidR="00570508" w:rsidRPr="007345D5">
              <w:rPr>
                <w:rFonts w:ascii="Book Antiqua" w:eastAsia="SimSun" w:hAnsi="Book Antiqua"/>
                <w:sz w:val="24"/>
                <w:szCs w:val="24"/>
                <w:lang w:val="en-GB" w:eastAsia="zh-CN"/>
              </w:rPr>
              <w:t xml:space="preserve"> </w:t>
            </w:r>
            <w:r w:rsidRPr="007345D5">
              <w:rPr>
                <w:rFonts w:ascii="Book Antiqua" w:hAnsi="Book Antiqua"/>
                <w:sz w:val="24"/>
                <w:szCs w:val="24"/>
                <w:lang w:val="en-GB"/>
              </w:rPr>
              <w:t>0.0001</w:t>
            </w:r>
            <w:r w:rsidR="00570508" w:rsidRPr="007345D5">
              <w:rPr>
                <w:rFonts w:ascii="Book Antiqua" w:hAnsi="Book Antiqua"/>
                <w:sz w:val="24"/>
                <w:szCs w:val="24"/>
                <w:vertAlign w:val="superscript"/>
                <w:lang w:val="en-GB"/>
              </w:rPr>
              <w:t>a</w:t>
            </w:r>
          </w:p>
        </w:tc>
        <w:tc>
          <w:tcPr>
            <w:tcW w:w="557" w:type="pct"/>
            <w:tcBorders>
              <w:bottom w:val="single" w:sz="4" w:space="0" w:color="auto"/>
            </w:tcBorders>
            <w:shd w:val="clear" w:color="auto" w:fill="F2F2F2"/>
          </w:tcPr>
          <w:p w14:paraId="20AF087E"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85.76</w:t>
            </w:r>
          </w:p>
        </w:tc>
        <w:tc>
          <w:tcPr>
            <w:tcW w:w="709" w:type="pct"/>
            <w:tcBorders>
              <w:bottom w:val="single" w:sz="4" w:space="0" w:color="auto"/>
            </w:tcBorders>
            <w:shd w:val="clear" w:color="auto" w:fill="F2F2F2"/>
          </w:tcPr>
          <w:p w14:paraId="75E58A0F" w14:textId="77777777" w:rsidR="00C87BBA" w:rsidRPr="007345D5" w:rsidRDefault="00C87BBA" w:rsidP="006C369D">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14.91–1623</w:t>
            </w:r>
          </w:p>
        </w:tc>
        <w:tc>
          <w:tcPr>
            <w:tcW w:w="456" w:type="pct"/>
            <w:tcBorders>
              <w:bottom w:val="single" w:sz="4" w:space="0" w:color="auto"/>
            </w:tcBorders>
            <w:shd w:val="clear" w:color="auto" w:fill="F2F2F2"/>
          </w:tcPr>
          <w:p w14:paraId="01EE5BD0" w14:textId="1750B6F9" w:rsidR="00C87BBA" w:rsidRPr="007345D5" w:rsidRDefault="00C87BBA" w:rsidP="006C369D">
            <w:pPr>
              <w:pStyle w:val="Table1"/>
              <w:adjustRightInd w:val="0"/>
              <w:snapToGrid w:val="0"/>
              <w:spacing w:line="360" w:lineRule="auto"/>
              <w:ind w:firstLineChars="17" w:firstLine="41"/>
              <w:jc w:val="center"/>
              <w:rPr>
                <w:rFonts w:ascii="Book Antiqua" w:hAnsi="Book Antiqua"/>
                <w:sz w:val="24"/>
                <w:szCs w:val="24"/>
                <w:lang w:val="en-GB"/>
              </w:rPr>
            </w:pPr>
            <w:r w:rsidRPr="007345D5">
              <w:rPr>
                <w:rFonts w:ascii="Book Antiqua" w:hAnsi="Book Antiqua"/>
                <w:sz w:val="24"/>
                <w:szCs w:val="24"/>
                <w:lang w:val="en-GB"/>
              </w:rPr>
              <w:t>&lt;</w:t>
            </w:r>
            <w:r w:rsidR="00570508" w:rsidRPr="007345D5">
              <w:rPr>
                <w:rFonts w:ascii="Book Antiqua" w:eastAsia="SimSun" w:hAnsi="Book Antiqua"/>
                <w:sz w:val="24"/>
                <w:szCs w:val="24"/>
                <w:lang w:val="en-GB" w:eastAsia="zh-CN"/>
              </w:rPr>
              <w:t xml:space="preserve"> </w:t>
            </w:r>
            <w:r w:rsidRPr="007345D5">
              <w:rPr>
                <w:rFonts w:ascii="Book Antiqua" w:hAnsi="Book Antiqua"/>
                <w:sz w:val="24"/>
                <w:szCs w:val="24"/>
                <w:lang w:val="en-GB"/>
              </w:rPr>
              <w:t>0.0001</w:t>
            </w:r>
            <w:r w:rsidR="00570508" w:rsidRPr="007345D5">
              <w:rPr>
                <w:rFonts w:ascii="Book Antiqua" w:hAnsi="Book Antiqua"/>
                <w:sz w:val="24"/>
                <w:szCs w:val="24"/>
                <w:vertAlign w:val="superscript"/>
                <w:lang w:val="en-GB"/>
              </w:rPr>
              <w:t>a</w:t>
            </w:r>
          </w:p>
        </w:tc>
      </w:tr>
    </w:tbl>
    <w:p w14:paraId="5D3F2065" w14:textId="77421B48" w:rsidR="00C87BBA" w:rsidRPr="007345D5" w:rsidRDefault="00570508" w:rsidP="00570508">
      <w:pPr>
        <w:adjustRightInd w:val="0"/>
        <w:snapToGrid w:val="0"/>
        <w:spacing w:line="360" w:lineRule="auto"/>
        <w:jc w:val="both"/>
        <w:rPr>
          <w:rFonts w:ascii="Book Antiqua" w:hAnsi="Book Antiqua" w:cs="Arial"/>
        </w:rPr>
      </w:pPr>
      <w:r w:rsidRPr="007345D5">
        <w:rPr>
          <w:rFonts w:ascii="Book Antiqua" w:hAnsi="Book Antiqua" w:cs="Arial"/>
          <w:vertAlign w:val="superscript"/>
        </w:rPr>
        <w:t>a</w:t>
      </w:r>
      <w:r w:rsidR="00C87BBA" w:rsidRPr="007345D5">
        <w:rPr>
          <w:rFonts w:ascii="Book Antiqua" w:hAnsi="Book Antiqua"/>
          <w:i/>
        </w:rPr>
        <w:t>P</w:t>
      </w:r>
      <w:r w:rsidR="00C87BBA" w:rsidRPr="007345D5">
        <w:rPr>
          <w:rFonts w:ascii="Book Antiqua" w:hAnsi="Book Antiqua" w:cs="Arial"/>
        </w:rPr>
        <w:t xml:space="preserve"> &lt; 0.01</w:t>
      </w:r>
      <w:r w:rsidR="00E1193D">
        <w:rPr>
          <w:rFonts w:ascii="Book Antiqua" w:hAnsi="Book Antiqua" w:cs="Arial"/>
        </w:rPr>
        <w:t>.</w:t>
      </w:r>
      <w:bookmarkStart w:id="718" w:name="_GoBack"/>
      <w:bookmarkEnd w:id="718"/>
    </w:p>
    <w:p w14:paraId="59CAACF0" w14:textId="77777777" w:rsidR="00C87BBA" w:rsidRPr="007345D5" w:rsidRDefault="00C87BBA" w:rsidP="00570508">
      <w:pPr>
        <w:pStyle w:val="CommentTextChar"/>
        <w:adjustRightInd w:val="0"/>
        <w:snapToGrid w:val="0"/>
        <w:spacing w:line="360" w:lineRule="auto"/>
        <w:rPr>
          <w:rFonts w:ascii="Book Antiqua" w:hAnsi="Book Antiqua" w:cs="Arial"/>
          <w:sz w:val="24"/>
          <w:szCs w:val="24"/>
          <w:lang w:val="en-GB"/>
        </w:rPr>
      </w:pPr>
    </w:p>
    <w:p w14:paraId="4F5962C1" w14:textId="726B71EA" w:rsidR="00C87BBA" w:rsidRPr="007345D5" w:rsidRDefault="00C87BBA" w:rsidP="00570508">
      <w:pPr>
        <w:adjustRightInd w:val="0"/>
        <w:snapToGrid w:val="0"/>
        <w:spacing w:line="360" w:lineRule="auto"/>
        <w:jc w:val="both"/>
        <w:rPr>
          <w:rFonts w:ascii="Book Antiqua" w:hAnsi="Book Antiqua" w:cs="Arial"/>
          <w:b/>
        </w:rPr>
      </w:pPr>
      <w:r w:rsidRPr="007345D5">
        <w:rPr>
          <w:rFonts w:ascii="Book Antiqua" w:hAnsi="Book Antiqua" w:cs="Arial"/>
        </w:rPr>
        <w:br w:type="page"/>
      </w:r>
      <w:r w:rsidRPr="007345D5">
        <w:rPr>
          <w:rFonts w:ascii="Book Antiqua" w:hAnsi="Book Antiqua" w:cs="Arial"/>
          <w:b/>
        </w:rPr>
        <w:lastRenderedPageBreak/>
        <w:t>Table 3 Risk factors for relapse of patients</w:t>
      </w:r>
      <w:r w:rsidR="00C7312D" w:rsidRPr="007345D5">
        <w:rPr>
          <w:rFonts w:ascii="Book Antiqua" w:hAnsi="Book Antiqua" w:cs="Arial"/>
          <w:b/>
        </w:rPr>
        <w:t xml:space="preserve"> who </w:t>
      </w:r>
      <w:r w:rsidRPr="007345D5">
        <w:rPr>
          <w:rFonts w:ascii="Book Antiqua" w:hAnsi="Book Antiqua" w:cs="Arial"/>
          <w:b/>
        </w:rPr>
        <w:t>underwent curative surgery (</w:t>
      </w:r>
      <w:r w:rsidR="00570508" w:rsidRPr="007345D5">
        <w:rPr>
          <w:rFonts w:ascii="Book Antiqua" w:eastAsia="SimSun" w:hAnsi="Book Antiqua" w:cs="Arial"/>
          <w:b/>
          <w:i/>
          <w:lang w:eastAsia="zh-CN"/>
        </w:rPr>
        <w:t>n</w:t>
      </w:r>
      <w:r w:rsidRPr="007345D5">
        <w:rPr>
          <w:rFonts w:ascii="Book Antiqua" w:hAnsi="Book Antiqua" w:cs="Arial"/>
          <w:b/>
        </w:rPr>
        <w:t xml:space="preserve"> = 57)</w:t>
      </w:r>
    </w:p>
    <w:tbl>
      <w:tblPr>
        <w:tblW w:w="4939" w:type="pct"/>
        <w:tblLayout w:type="fixed"/>
        <w:tblLook w:val="04A0" w:firstRow="1" w:lastRow="0" w:firstColumn="1" w:lastColumn="0" w:noHBand="0" w:noVBand="1"/>
      </w:tblPr>
      <w:tblGrid>
        <w:gridCol w:w="3981"/>
        <w:gridCol w:w="1469"/>
        <w:gridCol w:w="1872"/>
        <w:gridCol w:w="1339"/>
        <w:gridCol w:w="1468"/>
        <w:gridCol w:w="1872"/>
        <w:gridCol w:w="1204"/>
      </w:tblGrid>
      <w:tr w:rsidR="00C87BBA" w:rsidRPr="007345D5" w14:paraId="24CDFB6C" w14:textId="77777777" w:rsidTr="001A64F7">
        <w:trPr>
          <w:trHeight w:val="425"/>
        </w:trPr>
        <w:tc>
          <w:tcPr>
            <w:tcW w:w="1507" w:type="pct"/>
            <w:vMerge w:val="restart"/>
            <w:tcBorders>
              <w:top w:val="single" w:sz="4" w:space="0" w:color="auto"/>
              <w:bottom w:val="single" w:sz="4" w:space="0" w:color="auto"/>
            </w:tcBorders>
            <w:vAlign w:val="center"/>
          </w:tcPr>
          <w:p w14:paraId="332E71B6" w14:textId="77777777" w:rsidR="00C87BBA" w:rsidRPr="007345D5" w:rsidRDefault="00C87BBA" w:rsidP="00570508">
            <w:pPr>
              <w:pStyle w:val="Table1"/>
              <w:adjustRightInd w:val="0"/>
              <w:snapToGrid w:val="0"/>
              <w:spacing w:line="360" w:lineRule="auto"/>
              <w:jc w:val="both"/>
              <w:rPr>
                <w:rFonts w:ascii="Book Antiqua" w:hAnsi="Book Antiqua"/>
                <w:b/>
                <w:sz w:val="24"/>
                <w:szCs w:val="24"/>
                <w:lang w:val="en-GB"/>
              </w:rPr>
            </w:pPr>
            <w:r w:rsidRPr="007345D5">
              <w:rPr>
                <w:rFonts w:ascii="Book Antiqua" w:hAnsi="Book Antiqua"/>
                <w:b/>
                <w:sz w:val="24"/>
                <w:szCs w:val="24"/>
                <w:lang w:val="en-GB"/>
              </w:rPr>
              <w:t>Variable</w:t>
            </w:r>
          </w:p>
        </w:tc>
        <w:tc>
          <w:tcPr>
            <w:tcW w:w="1772" w:type="pct"/>
            <w:gridSpan w:val="3"/>
            <w:tcBorders>
              <w:top w:val="single" w:sz="4" w:space="0" w:color="auto"/>
            </w:tcBorders>
            <w:vAlign w:val="center"/>
          </w:tcPr>
          <w:p w14:paraId="17CD26AA" w14:textId="77777777" w:rsidR="00C87BBA" w:rsidRPr="007345D5" w:rsidRDefault="00C87BBA" w:rsidP="008C3296">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sz w:val="24"/>
                <w:szCs w:val="24"/>
                <w:lang w:val="en-GB"/>
              </w:rPr>
              <w:t>Univariate analysis</w:t>
            </w:r>
          </w:p>
        </w:tc>
        <w:tc>
          <w:tcPr>
            <w:tcW w:w="1721" w:type="pct"/>
            <w:gridSpan w:val="3"/>
            <w:tcBorders>
              <w:top w:val="single" w:sz="4" w:space="0" w:color="auto"/>
            </w:tcBorders>
            <w:vAlign w:val="center"/>
          </w:tcPr>
          <w:p w14:paraId="34510F8A" w14:textId="77777777" w:rsidR="00C87BBA" w:rsidRPr="007345D5" w:rsidRDefault="00C87BBA" w:rsidP="008C3296">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sz w:val="24"/>
                <w:szCs w:val="24"/>
                <w:lang w:val="en-GB"/>
              </w:rPr>
              <w:t>Multivariate analysis</w:t>
            </w:r>
          </w:p>
        </w:tc>
      </w:tr>
      <w:tr w:rsidR="00C87BBA" w:rsidRPr="007345D5" w14:paraId="4D10C329" w14:textId="77777777" w:rsidTr="001A64F7">
        <w:trPr>
          <w:trHeight w:val="425"/>
        </w:trPr>
        <w:tc>
          <w:tcPr>
            <w:tcW w:w="1507" w:type="pct"/>
            <w:vMerge/>
            <w:tcBorders>
              <w:bottom w:val="single" w:sz="4" w:space="0" w:color="auto"/>
            </w:tcBorders>
          </w:tcPr>
          <w:p w14:paraId="0D33335B" w14:textId="77777777" w:rsidR="00C87BBA" w:rsidRPr="007345D5" w:rsidRDefault="00C87BBA" w:rsidP="00570508">
            <w:pPr>
              <w:pStyle w:val="Table1"/>
              <w:adjustRightInd w:val="0"/>
              <w:snapToGrid w:val="0"/>
              <w:spacing w:line="360" w:lineRule="auto"/>
              <w:jc w:val="both"/>
              <w:rPr>
                <w:rFonts w:ascii="Book Antiqua" w:hAnsi="Book Antiqua"/>
                <w:b/>
                <w:sz w:val="24"/>
                <w:szCs w:val="24"/>
                <w:lang w:val="en-GB"/>
              </w:rPr>
            </w:pPr>
          </w:p>
        </w:tc>
        <w:tc>
          <w:tcPr>
            <w:tcW w:w="556" w:type="pct"/>
            <w:tcBorders>
              <w:bottom w:val="single" w:sz="4" w:space="0" w:color="auto"/>
            </w:tcBorders>
          </w:tcPr>
          <w:p w14:paraId="0045EABA" w14:textId="77777777" w:rsidR="00C87BBA" w:rsidRPr="007345D5" w:rsidRDefault="00C87BBA" w:rsidP="008C3296">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sz w:val="24"/>
                <w:szCs w:val="24"/>
                <w:lang w:val="en-GB"/>
              </w:rPr>
              <w:t>Hazard ratio</w:t>
            </w:r>
          </w:p>
        </w:tc>
        <w:tc>
          <w:tcPr>
            <w:tcW w:w="709" w:type="pct"/>
            <w:tcBorders>
              <w:bottom w:val="single" w:sz="4" w:space="0" w:color="auto"/>
            </w:tcBorders>
          </w:tcPr>
          <w:p w14:paraId="154A8BAF" w14:textId="61F50A78" w:rsidR="00C87BBA" w:rsidRPr="007345D5" w:rsidRDefault="00C87BBA" w:rsidP="008C3296">
            <w:pPr>
              <w:pStyle w:val="Table1"/>
              <w:adjustRightInd w:val="0"/>
              <w:snapToGrid w:val="0"/>
              <w:spacing w:line="360" w:lineRule="auto"/>
              <w:jc w:val="center"/>
              <w:rPr>
                <w:rFonts w:ascii="Book Antiqua" w:eastAsia="SimSun" w:hAnsi="Book Antiqua"/>
                <w:b/>
                <w:sz w:val="24"/>
                <w:szCs w:val="24"/>
                <w:lang w:val="en-GB" w:eastAsia="zh-CN"/>
              </w:rPr>
            </w:pPr>
            <w:r w:rsidRPr="007345D5">
              <w:rPr>
                <w:rFonts w:ascii="Book Antiqua" w:hAnsi="Book Antiqua"/>
                <w:b/>
                <w:sz w:val="24"/>
                <w:szCs w:val="24"/>
                <w:lang w:val="en-GB"/>
              </w:rPr>
              <w:t>95%</w:t>
            </w:r>
            <w:r w:rsidR="00570508" w:rsidRPr="007345D5">
              <w:rPr>
                <w:rFonts w:ascii="Book Antiqua" w:eastAsia="SimSun" w:hAnsi="Book Antiqua"/>
                <w:b/>
                <w:sz w:val="24"/>
                <w:szCs w:val="24"/>
                <w:lang w:val="en-GB" w:eastAsia="zh-CN"/>
              </w:rPr>
              <w:t>CI</w:t>
            </w:r>
          </w:p>
        </w:tc>
        <w:tc>
          <w:tcPr>
            <w:tcW w:w="507" w:type="pct"/>
            <w:tcBorders>
              <w:bottom w:val="single" w:sz="4" w:space="0" w:color="auto"/>
            </w:tcBorders>
          </w:tcPr>
          <w:p w14:paraId="67DD6F32" w14:textId="5D4DE7DE" w:rsidR="00C87BBA" w:rsidRPr="007345D5" w:rsidRDefault="00C87BBA" w:rsidP="008C3296">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i/>
                <w:sz w:val="24"/>
                <w:szCs w:val="24"/>
                <w:lang w:val="en-GB"/>
              </w:rPr>
              <w:t>P</w:t>
            </w:r>
            <w:r w:rsidR="00570508" w:rsidRPr="007345D5">
              <w:rPr>
                <w:rFonts w:ascii="Book Antiqua" w:eastAsia="SimSun" w:hAnsi="Book Antiqua"/>
                <w:b/>
                <w:sz w:val="24"/>
                <w:szCs w:val="24"/>
                <w:lang w:val="en-GB" w:eastAsia="zh-CN"/>
              </w:rPr>
              <w:t xml:space="preserve"> </w:t>
            </w:r>
            <w:r w:rsidRPr="007345D5">
              <w:rPr>
                <w:rFonts w:ascii="Book Antiqua" w:hAnsi="Book Antiqua"/>
                <w:b/>
                <w:sz w:val="24"/>
                <w:szCs w:val="24"/>
                <w:lang w:val="en-GB"/>
              </w:rPr>
              <w:t>value</w:t>
            </w:r>
          </w:p>
        </w:tc>
        <w:tc>
          <w:tcPr>
            <w:tcW w:w="556" w:type="pct"/>
            <w:tcBorders>
              <w:bottom w:val="single" w:sz="4" w:space="0" w:color="auto"/>
            </w:tcBorders>
          </w:tcPr>
          <w:p w14:paraId="34FFC955" w14:textId="77777777" w:rsidR="00C87BBA" w:rsidRPr="007345D5" w:rsidRDefault="00C87BBA" w:rsidP="008C3296">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sz w:val="24"/>
                <w:szCs w:val="24"/>
                <w:lang w:val="en-GB"/>
              </w:rPr>
              <w:t>Hazard ratio</w:t>
            </w:r>
          </w:p>
        </w:tc>
        <w:tc>
          <w:tcPr>
            <w:tcW w:w="709" w:type="pct"/>
            <w:tcBorders>
              <w:bottom w:val="single" w:sz="4" w:space="0" w:color="auto"/>
            </w:tcBorders>
          </w:tcPr>
          <w:p w14:paraId="53DB8AB5" w14:textId="76254A99" w:rsidR="00C87BBA" w:rsidRPr="007345D5" w:rsidRDefault="00C87BBA" w:rsidP="008C3296">
            <w:pPr>
              <w:pStyle w:val="Table1"/>
              <w:adjustRightInd w:val="0"/>
              <w:snapToGrid w:val="0"/>
              <w:spacing w:line="360" w:lineRule="auto"/>
              <w:jc w:val="center"/>
              <w:rPr>
                <w:rFonts w:ascii="Book Antiqua" w:eastAsia="SimSun" w:hAnsi="Book Antiqua"/>
                <w:b/>
                <w:sz w:val="24"/>
                <w:szCs w:val="24"/>
                <w:lang w:val="en-GB" w:eastAsia="zh-CN"/>
              </w:rPr>
            </w:pPr>
            <w:r w:rsidRPr="007345D5">
              <w:rPr>
                <w:rFonts w:ascii="Book Antiqua" w:hAnsi="Book Antiqua"/>
                <w:b/>
                <w:sz w:val="24"/>
                <w:szCs w:val="24"/>
                <w:lang w:val="en-GB"/>
              </w:rPr>
              <w:t>95%</w:t>
            </w:r>
            <w:r w:rsidR="00570508" w:rsidRPr="007345D5">
              <w:rPr>
                <w:rFonts w:ascii="Book Antiqua" w:eastAsia="SimSun" w:hAnsi="Book Antiqua"/>
                <w:b/>
                <w:sz w:val="24"/>
                <w:szCs w:val="24"/>
                <w:lang w:val="en-GB" w:eastAsia="zh-CN"/>
              </w:rPr>
              <w:t>CI</w:t>
            </w:r>
          </w:p>
        </w:tc>
        <w:tc>
          <w:tcPr>
            <w:tcW w:w="456" w:type="pct"/>
            <w:tcBorders>
              <w:bottom w:val="single" w:sz="4" w:space="0" w:color="auto"/>
            </w:tcBorders>
          </w:tcPr>
          <w:p w14:paraId="286530E0" w14:textId="14026494" w:rsidR="00C87BBA" w:rsidRPr="007345D5" w:rsidRDefault="00C87BBA" w:rsidP="008C3296">
            <w:pPr>
              <w:pStyle w:val="Table1"/>
              <w:adjustRightInd w:val="0"/>
              <w:snapToGrid w:val="0"/>
              <w:spacing w:line="360" w:lineRule="auto"/>
              <w:jc w:val="center"/>
              <w:rPr>
                <w:rFonts w:ascii="Book Antiqua" w:hAnsi="Book Antiqua"/>
                <w:b/>
                <w:sz w:val="24"/>
                <w:szCs w:val="24"/>
                <w:lang w:val="en-GB"/>
              </w:rPr>
            </w:pPr>
            <w:r w:rsidRPr="007345D5">
              <w:rPr>
                <w:rFonts w:ascii="Book Antiqua" w:hAnsi="Book Antiqua"/>
                <w:b/>
                <w:i/>
                <w:sz w:val="24"/>
                <w:szCs w:val="24"/>
                <w:lang w:val="en-GB"/>
              </w:rPr>
              <w:t>P</w:t>
            </w:r>
            <w:r w:rsidR="00570508" w:rsidRPr="007345D5">
              <w:rPr>
                <w:rFonts w:ascii="Book Antiqua" w:eastAsia="SimSun" w:hAnsi="Book Antiqua"/>
                <w:b/>
                <w:sz w:val="24"/>
                <w:szCs w:val="24"/>
                <w:lang w:val="en-GB" w:eastAsia="zh-CN"/>
              </w:rPr>
              <w:t xml:space="preserve"> </w:t>
            </w:r>
            <w:r w:rsidRPr="007345D5">
              <w:rPr>
                <w:rFonts w:ascii="Book Antiqua" w:hAnsi="Book Antiqua"/>
                <w:b/>
                <w:sz w:val="24"/>
                <w:szCs w:val="24"/>
                <w:lang w:val="en-GB"/>
              </w:rPr>
              <w:t>value</w:t>
            </w:r>
          </w:p>
        </w:tc>
      </w:tr>
      <w:tr w:rsidR="00C87BBA" w:rsidRPr="007345D5" w14:paraId="713DE4E9" w14:textId="77777777" w:rsidTr="001A64F7">
        <w:tc>
          <w:tcPr>
            <w:tcW w:w="1507" w:type="pct"/>
            <w:tcBorders>
              <w:top w:val="single" w:sz="4" w:space="0" w:color="auto"/>
            </w:tcBorders>
            <w:shd w:val="clear" w:color="auto" w:fill="auto"/>
          </w:tcPr>
          <w:p w14:paraId="171BE82B" w14:textId="77777777" w:rsidR="00C87BBA" w:rsidRPr="007345D5" w:rsidRDefault="00C87BBA" w:rsidP="00570508">
            <w:pPr>
              <w:adjustRightInd w:val="0"/>
              <w:snapToGrid w:val="0"/>
              <w:spacing w:line="360" w:lineRule="auto"/>
              <w:jc w:val="both"/>
              <w:rPr>
                <w:rFonts w:ascii="Book Antiqua" w:hAnsi="Book Antiqua" w:cs="Arial"/>
              </w:rPr>
            </w:pPr>
            <w:r w:rsidRPr="007345D5">
              <w:rPr>
                <w:rFonts w:ascii="Book Antiqua" w:hAnsi="Book Antiqua" w:cs="Arial"/>
              </w:rPr>
              <w:t>Number of high telomerase activity cells</w:t>
            </w:r>
          </w:p>
        </w:tc>
        <w:tc>
          <w:tcPr>
            <w:tcW w:w="556" w:type="pct"/>
            <w:tcBorders>
              <w:top w:val="single" w:sz="4" w:space="0" w:color="auto"/>
            </w:tcBorders>
            <w:shd w:val="clear" w:color="auto" w:fill="auto"/>
          </w:tcPr>
          <w:p w14:paraId="24A67F28"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709" w:type="pct"/>
            <w:tcBorders>
              <w:top w:val="single" w:sz="4" w:space="0" w:color="auto"/>
            </w:tcBorders>
            <w:shd w:val="clear" w:color="auto" w:fill="auto"/>
          </w:tcPr>
          <w:p w14:paraId="2268EA97"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507" w:type="pct"/>
            <w:tcBorders>
              <w:top w:val="single" w:sz="4" w:space="0" w:color="auto"/>
            </w:tcBorders>
            <w:shd w:val="clear" w:color="auto" w:fill="auto"/>
          </w:tcPr>
          <w:p w14:paraId="2DFC5A27" w14:textId="77777777" w:rsidR="00C87BBA" w:rsidRPr="007345D5" w:rsidRDefault="00C87BBA" w:rsidP="008C3296">
            <w:pPr>
              <w:pStyle w:val="Table1"/>
              <w:adjustRightInd w:val="0"/>
              <w:snapToGrid w:val="0"/>
              <w:spacing w:line="360" w:lineRule="auto"/>
              <w:ind w:firstLineChars="19" w:firstLine="46"/>
              <w:jc w:val="center"/>
              <w:rPr>
                <w:rFonts w:ascii="Book Antiqua" w:hAnsi="Book Antiqua"/>
                <w:sz w:val="24"/>
                <w:szCs w:val="24"/>
                <w:lang w:val="en-GB"/>
              </w:rPr>
            </w:pPr>
          </w:p>
        </w:tc>
        <w:tc>
          <w:tcPr>
            <w:tcW w:w="556" w:type="pct"/>
            <w:tcBorders>
              <w:top w:val="single" w:sz="4" w:space="0" w:color="auto"/>
            </w:tcBorders>
            <w:shd w:val="clear" w:color="auto" w:fill="auto"/>
          </w:tcPr>
          <w:p w14:paraId="451B65F5"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709" w:type="pct"/>
            <w:tcBorders>
              <w:top w:val="single" w:sz="4" w:space="0" w:color="auto"/>
            </w:tcBorders>
            <w:shd w:val="clear" w:color="auto" w:fill="auto"/>
          </w:tcPr>
          <w:p w14:paraId="47232F09"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456" w:type="pct"/>
            <w:tcBorders>
              <w:top w:val="single" w:sz="4" w:space="0" w:color="auto"/>
            </w:tcBorders>
            <w:shd w:val="clear" w:color="auto" w:fill="auto"/>
          </w:tcPr>
          <w:p w14:paraId="2BD04D9A" w14:textId="77777777" w:rsidR="00C87BBA" w:rsidRPr="007345D5" w:rsidRDefault="00C87BBA" w:rsidP="008C3296">
            <w:pPr>
              <w:pStyle w:val="Table1"/>
              <w:adjustRightInd w:val="0"/>
              <w:snapToGrid w:val="0"/>
              <w:spacing w:line="360" w:lineRule="auto"/>
              <w:ind w:firstLineChars="17" w:firstLine="41"/>
              <w:jc w:val="center"/>
              <w:rPr>
                <w:rFonts w:ascii="Book Antiqua" w:hAnsi="Book Antiqua"/>
                <w:sz w:val="24"/>
                <w:szCs w:val="24"/>
                <w:lang w:val="en-GB"/>
              </w:rPr>
            </w:pPr>
          </w:p>
        </w:tc>
      </w:tr>
      <w:tr w:rsidR="00C87BBA" w:rsidRPr="007345D5" w14:paraId="5601D2B1" w14:textId="77777777" w:rsidTr="001A64F7">
        <w:tc>
          <w:tcPr>
            <w:tcW w:w="1507" w:type="pct"/>
            <w:shd w:val="clear" w:color="auto" w:fill="auto"/>
          </w:tcPr>
          <w:p w14:paraId="6E83A1EC" w14:textId="7E738631" w:rsidR="00C87BBA" w:rsidRPr="007345D5" w:rsidRDefault="00C87BBA" w:rsidP="00570508">
            <w:pPr>
              <w:adjustRightInd w:val="0"/>
              <w:snapToGrid w:val="0"/>
              <w:spacing w:line="360" w:lineRule="auto"/>
              <w:jc w:val="both"/>
              <w:rPr>
                <w:rFonts w:ascii="Book Antiqua" w:hAnsi="Book Antiqua" w:cs="Arial"/>
              </w:rPr>
            </w:pPr>
            <w:r w:rsidRPr="007345D5">
              <w:rPr>
                <w:rFonts w:ascii="Book Antiqua" w:hAnsi="Book Antiqua" w:cs="Arial"/>
              </w:rPr>
              <w:t>≤</w:t>
            </w:r>
            <w:r w:rsidR="00570508" w:rsidRPr="007345D5">
              <w:rPr>
                <w:rFonts w:ascii="Book Antiqua" w:eastAsia="SimSun" w:hAnsi="Book Antiqua" w:cs="Arial"/>
                <w:lang w:eastAsia="zh-CN"/>
              </w:rPr>
              <w:t xml:space="preserve"> </w:t>
            </w:r>
            <w:r w:rsidRPr="007345D5">
              <w:rPr>
                <w:rFonts w:ascii="Book Antiqua" w:hAnsi="Book Antiqua" w:cs="Arial"/>
              </w:rPr>
              <w:t>5</w:t>
            </w:r>
          </w:p>
        </w:tc>
        <w:tc>
          <w:tcPr>
            <w:tcW w:w="556" w:type="pct"/>
            <w:shd w:val="clear" w:color="auto" w:fill="auto"/>
          </w:tcPr>
          <w:p w14:paraId="4AE7CE80"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1.0</w:t>
            </w:r>
          </w:p>
        </w:tc>
        <w:tc>
          <w:tcPr>
            <w:tcW w:w="709" w:type="pct"/>
            <w:shd w:val="clear" w:color="auto" w:fill="auto"/>
          </w:tcPr>
          <w:p w14:paraId="39E9D067"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507" w:type="pct"/>
            <w:shd w:val="clear" w:color="auto" w:fill="auto"/>
          </w:tcPr>
          <w:p w14:paraId="59ECD955" w14:textId="77777777" w:rsidR="00C87BBA" w:rsidRPr="007345D5" w:rsidRDefault="00C87BBA" w:rsidP="008C3296">
            <w:pPr>
              <w:pStyle w:val="Table1"/>
              <w:adjustRightInd w:val="0"/>
              <w:snapToGrid w:val="0"/>
              <w:spacing w:line="360" w:lineRule="auto"/>
              <w:ind w:firstLineChars="19" w:firstLine="46"/>
              <w:jc w:val="center"/>
              <w:rPr>
                <w:rFonts w:ascii="Book Antiqua" w:hAnsi="Book Antiqua"/>
                <w:sz w:val="24"/>
                <w:szCs w:val="24"/>
                <w:lang w:val="en-GB"/>
              </w:rPr>
            </w:pPr>
          </w:p>
        </w:tc>
        <w:tc>
          <w:tcPr>
            <w:tcW w:w="556" w:type="pct"/>
            <w:shd w:val="clear" w:color="auto" w:fill="auto"/>
          </w:tcPr>
          <w:p w14:paraId="6E5A6A84"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1.0</w:t>
            </w:r>
          </w:p>
        </w:tc>
        <w:tc>
          <w:tcPr>
            <w:tcW w:w="709" w:type="pct"/>
            <w:shd w:val="clear" w:color="auto" w:fill="auto"/>
          </w:tcPr>
          <w:p w14:paraId="1DB54596"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456" w:type="pct"/>
            <w:shd w:val="clear" w:color="auto" w:fill="auto"/>
          </w:tcPr>
          <w:p w14:paraId="4E3B5A3E" w14:textId="77777777" w:rsidR="00C87BBA" w:rsidRPr="007345D5" w:rsidRDefault="00C87BBA" w:rsidP="008C3296">
            <w:pPr>
              <w:pStyle w:val="Table1"/>
              <w:adjustRightInd w:val="0"/>
              <w:snapToGrid w:val="0"/>
              <w:spacing w:line="360" w:lineRule="auto"/>
              <w:ind w:firstLineChars="17" w:firstLine="41"/>
              <w:jc w:val="center"/>
              <w:rPr>
                <w:rFonts w:ascii="Book Antiqua" w:hAnsi="Book Antiqua"/>
                <w:sz w:val="24"/>
                <w:szCs w:val="24"/>
                <w:lang w:val="en-GB"/>
              </w:rPr>
            </w:pPr>
          </w:p>
        </w:tc>
      </w:tr>
      <w:tr w:rsidR="00C87BBA" w:rsidRPr="007345D5" w14:paraId="35108944" w14:textId="77777777" w:rsidTr="001A64F7">
        <w:tc>
          <w:tcPr>
            <w:tcW w:w="1507" w:type="pct"/>
            <w:shd w:val="clear" w:color="auto" w:fill="auto"/>
          </w:tcPr>
          <w:p w14:paraId="1EFCA5CC" w14:textId="572EF3E3" w:rsidR="00C87BBA" w:rsidRPr="007345D5" w:rsidRDefault="00570508" w:rsidP="00570508">
            <w:pPr>
              <w:adjustRightInd w:val="0"/>
              <w:snapToGrid w:val="0"/>
              <w:spacing w:line="360" w:lineRule="auto"/>
              <w:jc w:val="both"/>
              <w:rPr>
                <w:rFonts w:ascii="Book Antiqua" w:eastAsia="SimSun" w:hAnsi="Book Antiqua" w:cs="Arial"/>
                <w:lang w:eastAsia="zh-CN"/>
              </w:rPr>
            </w:pPr>
            <w:r w:rsidRPr="007345D5">
              <w:rPr>
                <w:rFonts w:ascii="Book Antiqua" w:eastAsia="SimSun" w:hAnsi="Book Antiqua" w:cs="Arial"/>
                <w:lang w:eastAsia="zh-CN"/>
              </w:rPr>
              <w:t>&gt; 5</w:t>
            </w:r>
          </w:p>
        </w:tc>
        <w:tc>
          <w:tcPr>
            <w:tcW w:w="556" w:type="pct"/>
            <w:shd w:val="clear" w:color="auto" w:fill="auto"/>
          </w:tcPr>
          <w:p w14:paraId="5D714040"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3.566</w:t>
            </w:r>
          </w:p>
        </w:tc>
        <w:tc>
          <w:tcPr>
            <w:tcW w:w="709" w:type="pct"/>
            <w:shd w:val="clear" w:color="auto" w:fill="auto"/>
          </w:tcPr>
          <w:p w14:paraId="5CBAB97B"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0.988–12.88</w:t>
            </w:r>
          </w:p>
        </w:tc>
        <w:tc>
          <w:tcPr>
            <w:tcW w:w="507" w:type="pct"/>
            <w:shd w:val="clear" w:color="auto" w:fill="auto"/>
          </w:tcPr>
          <w:p w14:paraId="026A828C" w14:textId="77777777" w:rsidR="00C87BBA" w:rsidRPr="007345D5" w:rsidRDefault="00C87BBA" w:rsidP="008C3296">
            <w:pPr>
              <w:pStyle w:val="Table1"/>
              <w:adjustRightInd w:val="0"/>
              <w:snapToGrid w:val="0"/>
              <w:spacing w:line="360" w:lineRule="auto"/>
              <w:ind w:firstLineChars="19" w:firstLine="46"/>
              <w:jc w:val="center"/>
              <w:rPr>
                <w:rFonts w:ascii="Book Antiqua" w:hAnsi="Book Antiqua"/>
                <w:sz w:val="24"/>
                <w:szCs w:val="24"/>
                <w:lang w:val="en-GB"/>
              </w:rPr>
            </w:pPr>
            <w:r w:rsidRPr="007345D5">
              <w:rPr>
                <w:rFonts w:ascii="Book Antiqua" w:hAnsi="Book Antiqua"/>
                <w:sz w:val="24"/>
                <w:szCs w:val="24"/>
                <w:lang w:val="en-GB"/>
              </w:rPr>
              <w:t>0.052</w:t>
            </w:r>
          </w:p>
        </w:tc>
        <w:tc>
          <w:tcPr>
            <w:tcW w:w="556" w:type="pct"/>
            <w:shd w:val="clear" w:color="auto" w:fill="auto"/>
          </w:tcPr>
          <w:p w14:paraId="4B1EE6B0"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1.971</w:t>
            </w:r>
          </w:p>
        </w:tc>
        <w:tc>
          <w:tcPr>
            <w:tcW w:w="709" w:type="pct"/>
            <w:shd w:val="clear" w:color="auto" w:fill="auto"/>
          </w:tcPr>
          <w:p w14:paraId="7B84BFC2"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0.471–8.861</w:t>
            </w:r>
          </w:p>
        </w:tc>
        <w:tc>
          <w:tcPr>
            <w:tcW w:w="456" w:type="pct"/>
            <w:shd w:val="clear" w:color="auto" w:fill="auto"/>
          </w:tcPr>
          <w:p w14:paraId="2EBD73CF" w14:textId="77777777" w:rsidR="00C87BBA" w:rsidRPr="007345D5" w:rsidRDefault="00C87BBA" w:rsidP="008C3296">
            <w:pPr>
              <w:pStyle w:val="Table1"/>
              <w:adjustRightInd w:val="0"/>
              <w:snapToGrid w:val="0"/>
              <w:spacing w:line="360" w:lineRule="auto"/>
              <w:ind w:firstLineChars="17" w:firstLine="41"/>
              <w:jc w:val="center"/>
              <w:rPr>
                <w:rFonts w:ascii="Book Antiqua" w:hAnsi="Book Antiqua"/>
                <w:sz w:val="24"/>
                <w:szCs w:val="24"/>
                <w:lang w:val="en-GB"/>
              </w:rPr>
            </w:pPr>
            <w:r w:rsidRPr="007345D5">
              <w:rPr>
                <w:rFonts w:ascii="Book Antiqua" w:hAnsi="Book Antiqua"/>
                <w:sz w:val="24"/>
                <w:szCs w:val="24"/>
                <w:lang w:val="en-GB"/>
              </w:rPr>
              <w:t>0.350</w:t>
            </w:r>
          </w:p>
        </w:tc>
      </w:tr>
      <w:tr w:rsidR="00C87BBA" w:rsidRPr="007345D5" w14:paraId="3DBD056D" w14:textId="77777777" w:rsidTr="001A64F7">
        <w:tc>
          <w:tcPr>
            <w:tcW w:w="1507" w:type="pct"/>
            <w:shd w:val="clear" w:color="auto" w:fill="F2F2F2"/>
          </w:tcPr>
          <w:p w14:paraId="566ED0F7"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r w:rsidRPr="007345D5">
              <w:rPr>
                <w:rFonts w:ascii="Book Antiqua" w:hAnsi="Book Antiqua"/>
                <w:sz w:val="24"/>
                <w:szCs w:val="24"/>
                <w:lang w:val="en-GB"/>
              </w:rPr>
              <w:t>fStage</w:t>
            </w:r>
          </w:p>
        </w:tc>
        <w:tc>
          <w:tcPr>
            <w:tcW w:w="556" w:type="pct"/>
            <w:shd w:val="clear" w:color="auto" w:fill="F2F2F2"/>
          </w:tcPr>
          <w:p w14:paraId="745376B5"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709" w:type="pct"/>
            <w:shd w:val="clear" w:color="auto" w:fill="F2F2F2"/>
          </w:tcPr>
          <w:p w14:paraId="40FDFBEF"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507" w:type="pct"/>
            <w:shd w:val="clear" w:color="auto" w:fill="F2F2F2"/>
          </w:tcPr>
          <w:p w14:paraId="6AB6D52A" w14:textId="77777777" w:rsidR="00C87BBA" w:rsidRPr="007345D5" w:rsidRDefault="00C87BBA" w:rsidP="008C3296">
            <w:pPr>
              <w:pStyle w:val="Table1"/>
              <w:adjustRightInd w:val="0"/>
              <w:snapToGrid w:val="0"/>
              <w:spacing w:line="360" w:lineRule="auto"/>
              <w:ind w:firstLineChars="19" w:firstLine="46"/>
              <w:jc w:val="center"/>
              <w:rPr>
                <w:rFonts w:ascii="Book Antiqua" w:hAnsi="Book Antiqua"/>
                <w:sz w:val="24"/>
                <w:szCs w:val="24"/>
                <w:lang w:val="en-GB"/>
              </w:rPr>
            </w:pPr>
          </w:p>
        </w:tc>
        <w:tc>
          <w:tcPr>
            <w:tcW w:w="556" w:type="pct"/>
            <w:shd w:val="clear" w:color="auto" w:fill="F2F2F2"/>
          </w:tcPr>
          <w:p w14:paraId="031CA831"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709" w:type="pct"/>
            <w:shd w:val="clear" w:color="auto" w:fill="F2F2F2"/>
          </w:tcPr>
          <w:p w14:paraId="7D6D23E8"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456" w:type="pct"/>
            <w:shd w:val="clear" w:color="auto" w:fill="F2F2F2"/>
          </w:tcPr>
          <w:p w14:paraId="5F077FC1" w14:textId="77777777" w:rsidR="00C87BBA" w:rsidRPr="007345D5" w:rsidRDefault="00C87BBA" w:rsidP="008C3296">
            <w:pPr>
              <w:pStyle w:val="Table1"/>
              <w:adjustRightInd w:val="0"/>
              <w:snapToGrid w:val="0"/>
              <w:spacing w:line="360" w:lineRule="auto"/>
              <w:ind w:firstLineChars="17" w:firstLine="41"/>
              <w:jc w:val="center"/>
              <w:rPr>
                <w:rFonts w:ascii="Book Antiqua" w:hAnsi="Book Antiqua"/>
                <w:sz w:val="24"/>
                <w:szCs w:val="24"/>
                <w:lang w:val="en-GB"/>
              </w:rPr>
            </w:pPr>
          </w:p>
        </w:tc>
      </w:tr>
      <w:tr w:rsidR="00C87BBA" w:rsidRPr="007345D5" w14:paraId="5C6CA842" w14:textId="77777777" w:rsidTr="001A64F7">
        <w:tc>
          <w:tcPr>
            <w:tcW w:w="1507" w:type="pct"/>
            <w:shd w:val="clear" w:color="auto" w:fill="F2F2F2"/>
          </w:tcPr>
          <w:p w14:paraId="1785F92C"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r w:rsidRPr="007345D5">
              <w:rPr>
                <w:rFonts w:ascii="Book Antiqua" w:hAnsi="Book Antiqua"/>
                <w:sz w:val="24"/>
                <w:szCs w:val="24"/>
                <w:lang w:val="en-GB"/>
              </w:rPr>
              <w:t>fStage I</w:t>
            </w:r>
          </w:p>
        </w:tc>
        <w:tc>
          <w:tcPr>
            <w:tcW w:w="556" w:type="pct"/>
            <w:shd w:val="clear" w:color="auto" w:fill="F2F2F2"/>
          </w:tcPr>
          <w:p w14:paraId="09B4C6E8"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1.0</w:t>
            </w:r>
          </w:p>
        </w:tc>
        <w:tc>
          <w:tcPr>
            <w:tcW w:w="709" w:type="pct"/>
            <w:shd w:val="clear" w:color="auto" w:fill="F2F2F2"/>
          </w:tcPr>
          <w:p w14:paraId="773F756A"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507" w:type="pct"/>
            <w:shd w:val="clear" w:color="auto" w:fill="F2F2F2"/>
          </w:tcPr>
          <w:p w14:paraId="58885A1E" w14:textId="77777777" w:rsidR="00C87BBA" w:rsidRPr="007345D5" w:rsidRDefault="00C87BBA" w:rsidP="008C3296">
            <w:pPr>
              <w:pStyle w:val="Table1"/>
              <w:adjustRightInd w:val="0"/>
              <w:snapToGrid w:val="0"/>
              <w:spacing w:line="360" w:lineRule="auto"/>
              <w:ind w:firstLineChars="19" w:firstLine="46"/>
              <w:jc w:val="center"/>
              <w:rPr>
                <w:rFonts w:ascii="Book Antiqua" w:hAnsi="Book Antiqua"/>
                <w:sz w:val="24"/>
                <w:szCs w:val="24"/>
                <w:lang w:val="en-GB"/>
              </w:rPr>
            </w:pPr>
          </w:p>
        </w:tc>
        <w:tc>
          <w:tcPr>
            <w:tcW w:w="556" w:type="pct"/>
            <w:shd w:val="clear" w:color="auto" w:fill="F2F2F2"/>
          </w:tcPr>
          <w:p w14:paraId="01F61F6C"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1.0</w:t>
            </w:r>
          </w:p>
        </w:tc>
        <w:tc>
          <w:tcPr>
            <w:tcW w:w="709" w:type="pct"/>
            <w:shd w:val="clear" w:color="auto" w:fill="F2F2F2"/>
          </w:tcPr>
          <w:p w14:paraId="5A2022A3"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p>
        </w:tc>
        <w:tc>
          <w:tcPr>
            <w:tcW w:w="456" w:type="pct"/>
            <w:shd w:val="clear" w:color="auto" w:fill="F2F2F2"/>
          </w:tcPr>
          <w:p w14:paraId="1DDDAE19" w14:textId="77777777" w:rsidR="00C87BBA" w:rsidRPr="007345D5" w:rsidRDefault="00C87BBA" w:rsidP="008C3296">
            <w:pPr>
              <w:pStyle w:val="Table1"/>
              <w:adjustRightInd w:val="0"/>
              <w:snapToGrid w:val="0"/>
              <w:spacing w:line="360" w:lineRule="auto"/>
              <w:ind w:firstLineChars="17" w:firstLine="41"/>
              <w:jc w:val="center"/>
              <w:rPr>
                <w:rFonts w:ascii="Book Antiqua" w:hAnsi="Book Antiqua"/>
                <w:sz w:val="24"/>
                <w:szCs w:val="24"/>
                <w:lang w:val="en-GB"/>
              </w:rPr>
            </w:pPr>
          </w:p>
        </w:tc>
      </w:tr>
      <w:tr w:rsidR="00C87BBA" w:rsidRPr="007345D5" w14:paraId="226C8AD2" w14:textId="77777777" w:rsidTr="001A64F7">
        <w:tc>
          <w:tcPr>
            <w:tcW w:w="1507" w:type="pct"/>
            <w:shd w:val="clear" w:color="auto" w:fill="F2F2F2"/>
          </w:tcPr>
          <w:p w14:paraId="4F7FC823"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r w:rsidRPr="007345D5">
              <w:rPr>
                <w:rFonts w:ascii="Book Antiqua" w:hAnsi="Book Antiqua"/>
                <w:sz w:val="24"/>
                <w:szCs w:val="24"/>
                <w:lang w:val="en-GB"/>
              </w:rPr>
              <w:t>fStage II</w:t>
            </w:r>
          </w:p>
        </w:tc>
        <w:tc>
          <w:tcPr>
            <w:tcW w:w="556" w:type="pct"/>
            <w:shd w:val="clear" w:color="auto" w:fill="F2F2F2"/>
          </w:tcPr>
          <w:p w14:paraId="742DD096"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3.635</w:t>
            </w:r>
          </w:p>
        </w:tc>
        <w:tc>
          <w:tcPr>
            <w:tcW w:w="709" w:type="pct"/>
            <w:shd w:val="clear" w:color="auto" w:fill="F2F2F2"/>
          </w:tcPr>
          <w:p w14:paraId="1CA7FD96"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0.169–37.96</w:t>
            </w:r>
          </w:p>
        </w:tc>
        <w:tc>
          <w:tcPr>
            <w:tcW w:w="507" w:type="pct"/>
            <w:shd w:val="clear" w:color="auto" w:fill="F2F2F2"/>
          </w:tcPr>
          <w:p w14:paraId="73B816F7" w14:textId="77777777" w:rsidR="00C87BBA" w:rsidRPr="007345D5" w:rsidRDefault="00C87BBA" w:rsidP="008C3296">
            <w:pPr>
              <w:pStyle w:val="Table1"/>
              <w:adjustRightInd w:val="0"/>
              <w:snapToGrid w:val="0"/>
              <w:spacing w:line="360" w:lineRule="auto"/>
              <w:ind w:firstLineChars="19" w:firstLine="46"/>
              <w:jc w:val="center"/>
              <w:rPr>
                <w:rFonts w:ascii="Book Antiqua" w:hAnsi="Book Antiqua"/>
                <w:sz w:val="24"/>
                <w:szCs w:val="24"/>
                <w:lang w:val="en-GB"/>
              </w:rPr>
            </w:pPr>
            <w:r w:rsidRPr="007345D5">
              <w:rPr>
                <w:rFonts w:ascii="Book Antiqua" w:hAnsi="Book Antiqua"/>
                <w:sz w:val="24"/>
                <w:szCs w:val="24"/>
                <w:lang w:val="en-GB"/>
              </w:rPr>
              <w:t>0.337</w:t>
            </w:r>
          </w:p>
        </w:tc>
        <w:tc>
          <w:tcPr>
            <w:tcW w:w="556" w:type="pct"/>
            <w:shd w:val="clear" w:color="auto" w:fill="F2F2F2"/>
          </w:tcPr>
          <w:p w14:paraId="7855F9C3"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3.576</w:t>
            </w:r>
          </w:p>
        </w:tc>
        <w:tc>
          <w:tcPr>
            <w:tcW w:w="709" w:type="pct"/>
            <w:shd w:val="clear" w:color="auto" w:fill="F2F2F2"/>
          </w:tcPr>
          <w:p w14:paraId="155BADBF"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0.166–37.35</w:t>
            </w:r>
          </w:p>
        </w:tc>
        <w:tc>
          <w:tcPr>
            <w:tcW w:w="456" w:type="pct"/>
            <w:shd w:val="clear" w:color="auto" w:fill="F2F2F2"/>
          </w:tcPr>
          <w:p w14:paraId="79252E42" w14:textId="77777777" w:rsidR="00C87BBA" w:rsidRPr="007345D5" w:rsidRDefault="00C87BBA" w:rsidP="008C3296">
            <w:pPr>
              <w:pStyle w:val="Table1"/>
              <w:adjustRightInd w:val="0"/>
              <w:snapToGrid w:val="0"/>
              <w:spacing w:line="360" w:lineRule="auto"/>
              <w:ind w:firstLineChars="17" w:firstLine="41"/>
              <w:jc w:val="center"/>
              <w:rPr>
                <w:rFonts w:ascii="Book Antiqua" w:hAnsi="Book Antiqua"/>
                <w:sz w:val="24"/>
                <w:szCs w:val="24"/>
                <w:lang w:val="en-GB"/>
              </w:rPr>
            </w:pPr>
            <w:r w:rsidRPr="007345D5">
              <w:rPr>
                <w:rFonts w:ascii="Book Antiqua" w:hAnsi="Book Antiqua"/>
                <w:sz w:val="24"/>
                <w:szCs w:val="24"/>
                <w:lang w:val="en-GB"/>
              </w:rPr>
              <w:t>0.343</w:t>
            </w:r>
          </w:p>
        </w:tc>
      </w:tr>
      <w:tr w:rsidR="00C87BBA" w:rsidRPr="007345D5" w14:paraId="7627E0A4" w14:textId="77777777" w:rsidTr="001A64F7">
        <w:tc>
          <w:tcPr>
            <w:tcW w:w="1507" w:type="pct"/>
            <w:shd w:val="clear" w:color="auto" w:fill="F2F2F2"/>
          </w:tcPr>
          <w:p w14:paraId="3916630C"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r w:rsidRPr="007345D5">
              <w:rPr>
                <w:rFonts w:ascii="Book Antiqua" w:hAnsi="Book Antiqua"/>
                <w:sz w:val="24"/>
                <w:szCs w:val="24"/>
                <w:lang w:val="en-GB"/>
              </w:rPr>
              <w:t>fStage III</w:t>
            </w:r>
          </w:p>
        </w:tc>
        <w:tc>
          <w:tcPr>
            <w:tcW w:w="556" w:type="pct"/>
            <w:shd w:val="clear" w:color="auto" w:fill="F2F2F2"/>
          </w:tcPr>
          <w:p w14:paraId="2AE28526"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17.78</w:t>
            </w:r>
          </w:p>
        </w:tc>
        <w:tc>
          <w:tcPr>
            <w:tcW w:w="709" w:type="pct"/>
            <w:shd w:val="clear" w:color="auto" w:fill="F2F2F2"/>
          </w:tcPr>
          <w:p w14:paraId="4F1AC8B6"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4.065–121.8</w:t>
            </w:r>
          </w:p>
        </w:tc>
        <w:tc>
          <w:tcPr>
            <w:tcW w:w="507" w:type="pct"/>
            <w:shd w:val="clear" w:color="auto" w:fill="F2F2F2"/>
          </w:tcPr>
          <w:p w14:paraId="5192DA03" w14:textId="279F9A77" w:rsidR="00C87BBA" w:rsidRPr="007345D5" w:rsidRDefault="00C87BBA" w:rsidP="008C3296">
            <w:pPr>
              <w:pStyle w:val="Table1"/>
              <w:adjustRightInd w:val="0"/>
              <w:snapToGrid w:val="0"/>
              <w:spacing w:line="360" w:lineRule="auto"/>
              <w:ind w:firstLineChars="19" w:firstLine="46"/>
              <w:jc w:val="center"/>
              <w:rPr>
                <w:rFonts w:ascii="Book Antiqua" w:hAnsi="Book Antiqua"/>
                <w:sz w:val="24"/>
                <w:szCs w:val="24"/>
                <w:lang w:val="en-GB"/>
              </w:rPr>
            </w:pPr>
            <w:r w:rsidRPr="007345D5">
              <w:rPr>
                <w:rFonts w:ascii="Book Antiqua" w:hAnsi="Book Antiqua"/>
                <w:sz w:val="24"/>
                <w:szCs w:val="24"/>
                <w:lang w:val="en-GB"/>
              </w:rPr>
              <w:t>0.0001</w:t>
            </w:r>
            <w:r w:rsidR="00570508" w:rsidRPr="007345D5">
              <w:rPr>
                <w:rFonts w:ascii="Book Antiqua" w:hAnsi="Book Antiqua"/>
                <w:sz w:val="24"/>
                <w:szCs w:val="24"/>
                <w:vertAlign w:val="superscript"/>
                <w:lang w:val="en-GB"/>
              </w:rPr>
              <w:t>a</w:t>
            </w:r>
          </w:p>
        </w:tc>
        <w:tc>
          <w:tcPr>
            <w:tcW w:w="556" w:type="pct"/>
            <w:shd w:val="clear" w:color="auto" w:fill="F2F2F2"/>
          </w:tcPr>
          <w:p w14:paraId="09C29483"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13.75</w:t>
            </w:r>
          </w:p>
        </w:tc>
        <w:tc>
          <w:tcPr>
            <w:tcW w:w="709" w:type="pct"/>
            <w:shd w:val="clear" w:color="auto" w:fill="F2F2F2"/>
          </w:tcPr>
          <w:p w14:paraId="08C81CE4"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2.806–100.7</w:t>
            </w:r>
          </w:p>
        </w:tc>
        <w:tc>
          <w:tcPr>
            <w:tcW w:w="456" w:type="pct"/>
            <w:shd w:val="clear" w:color="auto" w:fill="F2F2F2"/>
          </w:tcPr>
          <w:p w14:paraId="00090C42" w14:textId="54E9FDFE" w:rsidR="00C87BBA" w:rsidRPr="007345D5" w:rsidRDefault="00C87BBA" w:rsidP="008C3296">
            <w:pPr>
              <w:pStyle w:val="Table1"/>
              <w:adjustRightInd w:val="0"/>
              <w:snapToGrid w:val="0"/>
              <w:spacing w:line="360" w:lineRule="auto"/>
              <w:ind w:firstLineChars="17" w:firstLine="41"/>
              <w:jc w:val="center"/>
              <w:rPr>
                <w:rFonts w:ascii="Book Antiqua" w:hAnsi="Book Antiqua"/>
                <w:sz w:val="24"/>
                <w:szCs w:val="24"/>
                <w:lang w:val="en-GB"/>
              </w:rPr>
            </w:pPr>
            <w:r w:rsidRPr="007345D5">
              <w:rPr>
                <w:rFonts w:ascii="Book Antiqua" w:hAnsi="Book Antiqua"/>
                <w:sz w:val="24"/>
                <w:szCs w:val="24"/>
                <w:lang w:val="en-GB"/>
              </w:rPr>
              <w:t>0.001</w:t>
            </w:r>
            <w:r w:rsidR="00570508" w:rsidRPr="007345D5">
              <w:rPr>
                <w:rFonts w:ascii="Book Antiqua" w:hAnsi="Book Antiqua"/>
                <w:sz w:val="24"/>
                <w:szCs w:val="24"/>
                <w:vertAlign w:val="superscript"/>
                <w:lang w:val="en-GB"/>
              </w:rPr>
              <w:t>a</w:t>
            </w:r>
          </w:p>
        </w:tc>
      </w:tr>
      <w:tr w:rsidR="00C87BBA" w:rsidRPr="007345D5" w14:paraId="030F104C" w14:textId="77777777" w:rsidTr="001A64F7">
        <w:tc>
          <w:tcPr>
            <w:tcW w:w="1507" w:type="pct"/>
            <w:tcBorders>
              <w:bottom w:val="single" w:sz="4" w:space="0" w:color="auto"/>
            </w:tcBorders>
            <w:shd w:val="clear" w:color="auto" w:fill="F2F2F2"/>
          </w:tcPr>
          <w:p w14:paraId="72E1FB46" w14:textId="77777777" w:rsidR="00C87BBA" w:rsidRPr="007345D5" w:rsidRDefault="00C87BBA" w:rsidP="00570508">
            <w:pPr>
              <w:pStyle w:val="Table1"/>
              <w:adjustRightInd w:val="0"/>
              <w:snapToGrid w:val="0"/>
              <w:spacing w:line="360" w:lineRule="auto"/>
              <w:jc w:val="both"/>
              <w:rPr>
                <w:rFonts w:ascii="Book Antiqua" w:hAnsi="Book Antiqua"/>
                <w:sz w:val="24"/>
                <w:szCs w:val="24"/>
                <w:lang w:val="en-GB"/>
              </w:rPr>
            </w:pPr>
            <w:r w:rsidRPr="007345D5">
              <w:rPr>
                <w:rFonts w:ascii="Book Antiqua" w:hAnsi="Book Antiqua"/>
                <w:sz w:val="24"/>
                <w:szCs w:val="24"/>
                <w:lang w:val="en-GB"/>
              </w:rPr>
              <w:t>fStage IV</w:t>
            </w:r>
          </w:p>
        </w:tc>
        <w:tc>
          <w:tcPr>
            <w:tcW w:w="556" w:type="pct"/>
            <w:tcBorders>
              <w:bottom w:val="single" w:sz="4" w:space="0" w:color="auto"/>
            </w:tcBorders>
            <w:shd w:val="clear" w:color="auto" w:fill="F2F2F2"/>
          </w:tcPr>
          <w:p w14:paraId="6271921B"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239.6</w:t>
            </w:r>
          </w:p>
        </w:tc>
        <w:tc>
          <w:tcPr>
            <w:tcW w:w="709" w:type="pct"/>
            <w:tcBorders>
              <w:bottom w:val="single" w:sz="4" w:space="0" w:color="auto"/>
            </w:tcBorders>
            <w:shd w:val="clear" w:color="auto" w:fill="F2F2F2"/>
          </w:tcPr>
          <w:p w14:paraId="39FF0261"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7.943–7785</w:t>
            </w:r>
          </w:p>
        </w:tc>
        <w:tc>
          <w:tcPr>
            <w:tcW w:w="507" w:type="pct"/>
            <w:tcBorders>
              <w:bottom w:val="single" w:sz="4" w:space="0" w:color="auto"/>
            </w:tcBorders>
            <w:shd w:val="clear" w:color="auto" w:fill="F2F2F2"/>
          </w:tcPr>
          <w:p w14:paraId="070B24A6" w14:textId="3C8A31A7" w:rsidR="00C87BBA" w:rsidRPr="007345D5" w:rsidRDefault="00C87BBA" w:rsidP="008C3296">
            <w:pPr>
              <w:pStyle w:val="Table1"/>
              <w:adjustRightInd w:val="0"/>
              <w:snapToGrid w:val="0"/>
              <w:spacing w:line="360" w:lineRule="auto"/>
              <w:ind w:firstLineChars="19" w:firstLine="46"/>
              <w:jc w:val="center"/>
              <w:rPr>
                <w:rFonts w:ascii="Book Antiqua" w:hAnsi="Book Antiqua"/>
                <w:sz w:val="24"/>
                <w:szCs w:val="24"/>
                <w:lang w:val="en-GB"/>
              </w:rPr>
            </w:pPr>
            <w:r w:rsidRPr="007345D5">
              <w:rPr>
                <w:rFonts w:ascii="Book Antiqua" w:hAnsi="Book Antiqua"/>
                <w:sz w:val="24"/>
                <w:szCs w:val="24"/>
                <w:lang w:val="en-GB"/>
              </w:rPr>
              <w:t>0.005</w:t>
            </w:r>
            <w:r w:rsidR="00570508" w:rsidRPr="007345D5">
              <w:rPr>
                <w:rFonts w:ascii="Book Antiqua" w:hAnsi="Book Antiqua"/>
                <w:sz w:val="24"/>
                <w:szCs w:val="24"/>
                <w:vertAlign w:val="superscript"/>
                <w:lang w:val="en-GB"/>
              </w:rPr>
              <w:t>a</w:t>
            </w:r>
          </w:p>
        </w:tc>
        <w:tc>
          <w:tcPr>
            <w:tcW w:w="556" w:type="pct"/>
            <w:tcBorders>
              <w:bottom w:val="single" w:sz="4" w:space="0" w:color="auto"/>
            </w:tcBorders>
            <w:shd w:val="clear" w:color="auto" w:fill="F2F2F2"/>
          </w:tcPr>
          <w:p w14:paraId="5189ACE0"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289.4</w:t>
            </w:r>
          </w:p>
        </w:tc>
        <w:tc>
          <w:tcPr>
            <w:tcW w:w="709" w:type="pct"/>
            <w:tcBorders>
              <w:bottom w:val="single" w:sz="4" w:space="0" w:color="auto"/>
            </w:tcBorders>
            <w:shd w:val="clear" w:color="auto" w:fill="F2F2F2"/>
          </w:tcPr>
          <w:p w14:paraId="29B9EC89" w14:textId="77777777" w:rsidR="00C87BBA" w:rsidRPr="007345D5" w:rsidRDefault="00C87BBA" w:rsidP="008C3296">
            <w:pPr>
              <w:pStyle w:val="Table1"/>
              <w:adjustRightInd w:val="0"/>
              <w:snapToGrid w:val="0"/>
              <w:spacing w:line="360" w:lineRule="auto"/>
              <w:jc w:val="center"/>
              <w:rPr>
                <w:rFonts w:ascii="Book Antiqua" w:hAnsi="Book Antiqua"/>
                <w:sz w:val="24"/>
                <w:szCs w:val="24"/>
                <w:lang w:val="en-GB"/>
              </w:rPr>
            </w:pPr>
            <w:r w:rsidRPr="007345D5">
              <w:rPr>
                <w:rFonts w:ascii="Book Antiqua" w:hAnsi="Book Antiqua"/>
                <w:sz w:val="24"/>
                <w:szCs w:val="24"/>
                <w:lang w:val="en-GB"/>
              </w:rPr>
              <w:t>9.331–9733</w:t>
            </w:r>
          </w:p>
        </w:tc>
        <w:tc>
          <w:tcPr>
            <w:tcW w:w="456" w:type="pct"/>
            <w:tcBorders>
              <w:bottom w:val="single" w:sz="4" w:space="0" w:color="auto"/>
            </w:tcBorders>
            <w:shd w:val="clear" w:color="auto" w:fill="F2F2F2"/>
          </w:tcPr>
          <w:p w14:paraId="5CB41178" w14:textId="338874A5" w:rsidR="00C87BBA" w:rsidRPr="007345D5" w:rsidRDefault="00C87BBA" w:rsidP="008C3296">
            <w:pPr>
              <w:pStyle w:val="Table1"/>
              <w:adjustRightInd w:val="0"/>
              <w:snapToGrid w:val="0"/>
              <w:spacing w:line="360" w:lineRule="auto"/>
              <w:ind w:firstLineChars="17" w:firstLine="41"/>
              <w:jc w:val="center"/>
              <w:rPr>
                <w:rFonts w:ascii="Book Antiqua" w:hAnsi="Book Antiqua"/>
                <w:sz w:val="24"/>
                <w:szCs w:val="24"/>
                <w:lang w:val="en-GB"/>
              </w:rPr>
            </w:pPr>
            <w:r w:rsidRPr="007345D5">
              <w:rPr>
                <w:rFonts w:ascii="Book Antiqua" w:hAnsi="Book Antiqua"/>
                <w:sz w:val="24"/>
                <w:szCs w:val="24"/>
                <w:lang w:val="en-GB"/>
              </w:rPr>
              <w:t>0.004</w:t>
            </w:r>
            <w:r w:rsidR="00570508" w:rsidRPr="007345D5">
              <w:rPr>
                <w:rFonts w:ascii="Book Antiqua" w:hAnsi="Book Antiqua"/>
                <w:sz w:val="24"/>
                <w:szCs w:val="24"/>
                <w:vertAlign w:val="superscript"/>
                <w:lang w:val="en-GB"/>
              </w:rPr>
              <w:t>a</w:t>
            </w:r>
          </w:p>
        </w:tc>
      </w:tr>
    </w:tbl>
    <w:p w14:paraId="73F0F611" w14:textId="491957FC" w:rsidR="00C87BBA" w:rsidRPr="00D9114D" w:rsidRDefault="00570508" w:rsidP="00570508">
      <w:pPr>
        <w:adjustRightInd w:val="0"/>
        <w:snapToGrid w:val="0"/>
        <w:spacing w:line="360" w:lineRule="auto"/>
        <w:jc w:val="both"/>
        <w:rPr>
          <w:rFonts w:ascii="Book Antiqua" w:eastAsia="SimSun" w:hAnsi="Book Antiqua" w:cs="Arial"/>
          <w:lang w:eastAsia="zh-CN"/>
        </w:rPr>
      </w:pPr>
      <w:r w:rsidRPr="007345D5">
        <w:rPr>
          <w:rFonts w:ascii="Book Antiqua" w:hAnsi="Book Antiqua" w:cs="Arial"/>
          <w:vertAlign w:val="superscript"/>
        </w:rPr>
        <w:t>a</w:t>
      </w:r>
      <w:r w:rsidR="00C87BBA" w:rsidRPr="007345D5">
        <w:rPr>
          <w:rFonts w:ascii="Book Antiqua" w:hAnsi="Book Antiqua"/>
          <w:i/>
        </w:rPr>
        <w:t>P</w:t>
      </w:r>
      <w:r w:rsidR="00C87BBA" w:rsidRPr="007345D5">
        <w:rPr>
          <w:rFonts w:ascii="Book Antiqua" w:hAnsi="Book Antiqua" w:cs="Arial"/>
        </w:rPr>
        <w:t xml:space="preserve"> &lt; 0.01</w:t>
      </w:r>
      <w:r w:rsidRPr="007345D5">
        <w:rPr>
          <w:rFonts w:ascii="Book Antiqua" w:eastAsia="SimSun" w:hAnsi="Book Antiqua" w:cs="Arial"/>
          <w:lang w:eastAsia="zh-CN"/>
        </w:rPr>
        <w:t>.</w:t>
      </w:r>
    </w:p>
    <w:p w14:paraId="7E1CEECC" w14:textId="77777777" w:rsidR="00EF44C8" w:rsidRPr="00D9114D" w:rsidRDefault="00A47BB5" w:rsidP="00570508">
      <w:pPr>
        <w:adjustRightInd w:val="0"/>
        <w:snapToGrid w:val="0"/>
        <w:spacing w:line="360" w:lineRule="auto"/>
        <w:jc w:val="both"/>
        <w:rPr>
          <w:rFonts w:ascii="Book Antiqua" w:hAnsi="Book Antiqua" w:cs="Arial"/>
        </w:rPr>
        <w:sectPr w:rsidR="00EF44C8" w:rsidRPr="00D9114D" w:rsidSect="00EF44C8">
          <w:pgSz w:w="16838" w:h="11906" w:orient="landscape"/>
          <w:pgMar w:top="1701" w:right="1985" w:bottom="1701" w:left="1701" w:header="851" w:footer="992" w:gutter="0"/>
          <w:cols w:space="425"/>
          <w:docGrid w:type="lines" w:linePitch="360"/>
        </w:sectPr>
      </w:pPr>
      <w:r w:rsidRPr="00D9114D">
        <w:rPr>
          <w:rFonts w:ascii="Book Antiqua" w:hAnsi="Book Antiqua" w:cs="Arial"/>
        </w:rPr>
        <w:br w:type="page"/>
      </w:r>
    </w:p>
    <w:p w14:paraId="444490B5" w14:textId="05958294" w:rsidR="00F5170D" w:rsidRPr="00D9114D" w:rsidRDefault="00F5170D" w:rsidP="00570508">
      <w:pPr>
        <w:pStyle w:val="CommentTextChar"/>
        <w:adjustRightInd w:val="0"/>
        <w:snapToGrid w:val="0"/>
        <w:spacing w:line="360" w:lineRule="auto"/>
        <w:rPr>
          <w:rFonts w:ascii="Book Antiqua" w:eastAsia="SimSun" w:hAnsi="Book Antiqua" w:cs="Arial"/>
          <w:b/>
          <w:sz w:val="24"/>
          <w:szCs w:val="24"/>
          <w:lang w:val="en-GB" w:eastAsia="zh-CN"/>
        </w:rPr>
      </w:pPr>
    </w:p>
    <w:sectPr w:rsidR="00F5170D" w:rsidRPr="00D9114D" w:rsidSect="00EF44C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F47BF" w14:textId="77777777" w:rsidR="00E35F65" w:rsidRDefault="00E35F65">
      <w:pPr>
        <w:spacing w:line="240" w:lineRule="auto"/>
      </w:pPr>
      <w:r>
        <w:separator/>
      </w:r>
    </w:p>
  </w:endnote>
  <w:endnote w:type="continuationSeparator" w:id="0">
    <w:p w14:paraId="70E0A6C2" w14:textId="77777777" w:rsidR="00E35F65" w:rsidRDefault="00E35F65">
      <w:pPr>
        <w:spacing w:line="240" w:lineRule="auto"/>
      </w:pPr>
      <w:r>
        <w:continuationSeparator/>
      </w:r>
    </w:p>
  </w:endnote>
  <w:endnote w:type="continuationNotice" w:id="1">
    <w:p w14:paraId="0DD21BF6" w14:textId="77777777" w:rsidR="00E35F65" w:rsidRDefault="00E35F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Yu Gothic Light">
    <w:altName w:val="MS Gothic"/>
    <w:charset w:val="80"/>
    <w:family w:val="modern"/>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C93DE" w14:textId="77777777" w:rsidR="00E43233" w:rsidRDefault="00E43233" w:rsidP="001A64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A1A1E2" w14:textId="77777777" w:rsidR="00E43233" w:rsidRDefault="00E43233" w:rsidP="001A64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569A8" w14:textId="76EF453D" w:rsidR="00E43233" w:rsidRDefault="00E43233" w:rsidP="001A64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193D">
      <w:rPr>
        <w:rStyle w:val="PageNumber"/>
        <w:noProof/>
      </w:rPr>
      <w:t>34</w:t>
    </w:r>
    <w:r>
      <w:rPr>
        <w:rStyle w:val="PageNumber"/>
      </w:rPr>
      <w:fldChar w:fldCharType="end"/>
    </w:r>
  </w:p>
  <w:p w14:paraId="39A31BC3" w14:textId="77777777" w:rsidR="00E43233" w:rsidRDefault="00E43233" w:rsidP="001A64F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FCDFE" w14:textId="77777777" w:rsidR="00E35F65" w:rsidRDefault="00E35F65">
      <w:pPr>
        <w:spacing w:line="240" w:lineRule="auto"/>
      </w:pPr>
      <w:r>
        <w:separator/>
      </w:r>
    </w:p>
  </w:footnote>
  <w:footnote w:type="continuationSeparator" w:id="0">
    <w:p w14:paraId="3A95F095" w14:textId="77777777" w:rsidR="00E35F65" w:rsidRDefault="00E35F65">
      <w:pPr>
        <w:spacing w:line="240" w:lineRule="auto"/>
      </w:pPr>
      <w:r>
        <w:continuationSeparator/>
      </w:r>
    </w:p>
  </w:footnote>
  <w:footnote w:type="continuationNotice" w:id="1">
    <w:p w14:paraId="6F409F67" w14:textId="77777777" w:rsidR="00E35F65" w:rsidRDefault="00E35F65">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51814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numFmt w:val="bullet"/>
      <w:lvlText w:val=""/>
      <w:lvlJc w:val="left"/>
      <w:pPr>
        <w:ind w:left="360" w:hanging="360"/>
      </w:pPr>
      <w:rPr>
        <w:rFonts w:ascii="Wingdings" w:eastAsia="MS Mincho" w:hAnsi="Wingdings" w:cs="Arial"/>
      </w:rPr>
    </w:lvl>
    <w:lvl w:ilvl="1">
      <w:start w:val="1"/>
      <w:numFmt w:val="bullet"/>
      <w:lvlText w:val=""/>
      <w:lvlJc w:val="left"/>
      <w:pPr>
        <w:ind w:left="840" w:hanging="420"/>
      </w:pPr>
      <w:rPr>
        <w:rFonts w:ascii="Wingdings" w:hAnsi="Wingdings"/>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2" w15:restartNumberingAfterBreak="0">
    <w:nsid w:val="00000002"/>
    <w:multiLevelType w:val="multilevel"/>
    <w:tmpl w:val="00000002"/>
    <w:lvl w:ilvl="0">
      <w:start w:val="1"/>
      <w:numFmt w:val="upperLetter"/>
      <w:lvlText w:val="%1."/>
      <w:lvlJc w:val="left"/>
      <w:pPr>
        <w:ind w:left="360" w:hanging="36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 w15:restartNumberingAfterBreak="0">
    <w:nsid w:val="00000003"/>
    <w:multiLevelType w:val="multilevel"/>
    <w:tmpl w:val="00000003"/>
    <w:lvl w:ilvl="0">
      <w:start w:val="1"/>
      <w:numFmt w:val="upperLetter"/>
      <w:lvlText w:val="%1."/>
      <w:lvlJc w:val="left"/>
      <w:pPr>
        <w:ind w:left="360" w:hanging="36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00000004"/>
    <w:multiLevelType w:val="multilevel"/>
    <w:tmpl w:val="00000004"/>
    <w:lvl w:ilvl="0">
      <w:start w:val="2"/>
      <w:numFmt w:val="bullet"/>
      <w:lvlText w:val=""/>
      <w:lvlJc w:val="left"/>
      <w:pPr>
        <w:ind w:left="360" w:hanging="360"/>
      </w:pPr>
      <w:rPr>
        <w:rFonts w:ascii="Wingdings" w:eastAsia="MS Mincho" w:hAnsi="Wingdings" w:cs="Arial"/>
      </w:rPr>
    </w:lvl>
    <w:lvl w:ilvl="1">
      <w:start w:val="1"/>
      <w:numFmt w:val="bullet"/>
      <w:lvlText w:val=""/>
      <w:lvlJc w:val="left"/>
      <w:pPr>
        <w:ind w:left="840" w:hanging="420"/>
      </w:pPr>
      <w:rPr>
        <w:rFonts w:ascii="Wingdings" w:hAnsi="Wingdings"/>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5" w15:restartNumberingAfterBreak="0">
    <w:nsid w:val="00000005"/>
    <w:multiLevelType w:val="multilevel"/>
    <w:tmpl w:val="00000005"/>
    <w:lvl w:ilvl="0">
      <w:start w:val="1"/>
      <w:numFmt w:val="upperLetter"/>
      <w:lvlText w:val="(%1)"/>
      <w:lvlJc w:val="left"/>
      <w:pPr>
        <w:ind w:left="360" w:hanging="36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33E21725"/>
    <w:multiLevelType w:val="hybridMultilevel"/>
    <w:tmpl w:val="43FED2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EAD0C03"/>
    <w:multiLevelType w:val="multilevel"/>
    <w:tmpl w:val="00000000"/>
    <w:lvl w:ilvl="0">
      <w:start w:val="4"/>
      <w:numFmt w:val="upperLetter"/>
      <w:lvlText w:val="%1."/>
      <w:lvlJc w:val="left"/>
      <w:pPr>
        <w:ind w:left="360" w:hanging="36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2"/>
  </w:num>
  <w:num w:numId="2">
    <w:abstractNumId w:val="3"/>
  </w:num>
  <w:num w:numId="3">
    <w:abstractNumId w:val="7"/>
  </w:num>
  <w:num w:numId="4">
    <w:abstractNumId w:val="5"/>
  </w:num>
  <w:num w:numId="5">
    <w:abstractNumId w:val="1"/>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ctiveWritingStyle w:appName="MSWord" w:lang="en-GB" w:vendorID="64" w:dllVersion="131078" w:nlCheck="1" w:checkStyle="0"/>
  <w:activeWritingStyle w:appName="MSWord" w:lang="en-US" w:vendorID="64" w:dllVersion="131078" w:nlCheck="1" w:checkStyle="0"/>
  <w:activeWritingStyle w:appName="MSWord" w:lang="es-ES_tradnl" w:vendorID="64" w:dllVersion="131078" w:nlCheck="1" w:checkStyle="1"/>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1732C"/>
    <w:rsid w:val="0001257D"/>
    <w:rsid w:val="0003366A"/>
    <w:rsid w:val="00065A3C"/>
    <w:rsid w:val="001200A8"/>
    <w:rsid w:val="00150550"/>
    <w:rsid w:val="001515F0"/>
    <w:rsid w:val="001545A9"/>
    <w:rsid w:val="0016381E"/>
    <w:rsid w:val="00197918"/>
    <w:rsid w:val="001A64F7"/>
    <w:rsid w:val="001B4E84"/>
    <w:rsid w:val="001B517F"/>
    <w:rsid w:val="001B7648"/>
    <w:rsid w:val="0021439A"/>
    <w:rsid w:val="00230B5B"/>
    <w:rsid w:val="00243CEF"/>
    <w:rsid w:val="002449D0"/>
    <w:rsid w:val="0026758F"/>
    <w:rsid w:val="002A7957"/>
    <w:rsid w:val="002F3756"/>
    <w:rsid w:val="003237B6"/>
    <w:rsid w:val="00327443"/>
    <w:rsid w:val="003414A2"/>
    <w:rsid w:val="0036572C"/>
    <w:rsid w:val="00381491"/>
    <w:rsid w:val="003939E4"/>
    <w:rsid w:val="003E6404"/>
    <w:rsid w:val="003F29D9"/>
    <w:rsid w:val="003F3295"/>
    <w:rsid w:val="00402539"/>
    <w:rsid w:val="00417700"/>
    <w:rsid w:val="00422B3B"/>
    <w:rsid w:val="00425359"/>
    <w:rsid w:val="00441E8D"/>
    <w:rsid w:val="004464D5"/>
    <w:rsid w:val="004B5FFE"/>
    <w:rsid w:val="004D4A22"/>
    <w:rsid w:val="004E11D9"/>
    <w:rsid w:val="004E7020"/>
    <w:rsid w:val="004E77C4"/>
    <w:rsid w:val="00554B23"/>
    <w:rsid w:val="00555D90"/>
    <w:rsid w:val="00570508"/>
    <w:rsid w:val="00586DBC"/>
    <w:rsid w:val="005A3F56"/>
    <w:rsid w:val="005B34A3"/>
    <w:rsid w:val="005C16F3"/>
    <w:rsid w:val="006051E9"/>
    <w:rsid w:val="00613231"/>
    <w:rsid w:val="006713FB"/>
    <w:rsid w:val="00681C01"/>
    <w:rsid w:val="00684C70"/>
    <w:rsid w:val="00692684"/>
    <w:rsid w:val="006B13EE"/>
    <w:rsid w:val="006B5193"/>
    <w:rsid w:val="006C369D"/>
    <w:rsid w:val="006F1A2A"/>
    <w:rsid w:val="007345D5"/>
    <w:rsid w:val="0074246F"/>
    <w:rsid w:val="00754600"/>
    <w:rsid w:val="00754E8B"/>
    <w:rsid w:val="007552C6"/>
    <w:rsid w:val="007904FC"/>
    <w:rsid w:val="007B590C"/>
    <w:rsid w:val="008039D3"/>
    <w:rsid w:val="0081316A"/>
    <w:rsid w:val="008563D6"/>
    <w:rsid w:val="00890DC8"/>
    <w:rsid w:val="00894B46"/>
    <w:rsid w:val="008C3296"/>
    <w:rsid w:val="008F38EC"/>
    <w:rsid w:val="00953DAF"/>
    <w:rsid w:val="00966C91"/>
    <w:rsid w:val="0097280B"/>
    <w:rsid w:val="00974645"/>
    <w:rsid w:val="0098686B"/>
    <w:rsid w:val="009919C7"/>
    <w:rsid w:val="009B3DAE"/>
    <w:rsid w:val="009C0C8D"/>
    <w:rsid w:val="00A07C26"/>
    <w:rsid w:val="00A33AE5"/>
    <w:rsid w:val="00A3677B"/>
    <w:rsid w:val="00A47BB5"/>
    <w:rsid w:val="00A92830"/>
    <w:rsid w:val="00AA3376"/>
    <w:rsid w:val="00AA7F24"/>
    <w:rsid w:val="00AD01FE"/>
    <w:rsid w:val="00AD0D2D"/>
    <w:rsid w:val="00AD4D39"/>
    <w:rsid w:val="00B12DD9"/>
    <w:rsid w:val="00B22058"/>
    <w:rsid w:val="00B86DE8"/>
    <w:rsid w:val="00BE1BE2"/>
    <w:rsid w:val="00C03B0D"/>
    <w:rsid w:val="00C1732C"/>
    <w:rsid w:val="00C521A4"/>
    <w:rsid w:val="00C63ABD"/>
    <w:rsid w:val="00C7312D"/>
    <w:rsid w:val="00C87BBA"/>
    <w:rsid w:val="00CE61F1"/>
    <w:rsid w:val="00D83BF7"/>
    <w:rsid w:val="00D84A72"/>
    <w:rsid w:val="00D86850"/>
    <w:rsid w:val="00D9114D"/>
    <w:rsid w:val="00DA6FB6"/>
    <w:rsid w:val="00DB497D"/>
    <w:rsid w:val="00E1193D"/>
    <w:rsid w:val="00E3129A"/>
    <w:rsid w:val="00E35F65"/>
    <w:rsid w:val="00E43233"/>
    <w:rsid w:val="00E4687D"/>
    <w:rsid w:val="00E63A6B"/>
    <w:rsid w:val="00E90FA7"/>
    <w:rsid w:val="00EA51ED"/>
    <w:rsid w:val="00ED71F8"/>
    <w:rsid w:val="00ED7E71"/>
    <w:rsid w:val="00EF44C8"/>
    <w:rsid w:val="00F03CAE"/>
    <w:rsid w:val="00F218A6"/>
    <w:rsid w:val="00F234A9"/>
    <w:rsid w:val="00F43A3B"/>
    <w:rsid w:val="00F5170D"/>
    <w:rsid w:val="00FD6F54"/>
    <w:rsid w:val="00FE1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7C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32C"/>
    <w:pPr>
      <w:spacing w:line="480" w:lineRule="auto"/>
    </w:pPr>
    <w:rPr>
      <w:rFonts w:ascii="Times New Roman" w:eastAsia="Times New Roman" w:hAnsi="Times New Roman" w:cs="Times New Roman"/>
      <w:kern w:val="0"/>
      <w:sz w:val="24"/>
      <w:szCs w:val="24"/>
      <w:lang w:val="en-GB" w:eastAsia="en-US"/>
    </w:rPr>
  </w:style>
  <w:style w:type="paragraph" w:styleId="Heading1">
    <w:name w:val="heading 1"/>
    <w:basedOn w:val="Normal"/>
    <w:next w:val="Normal"/>
    <w:link w:val="Heading1Char"/>
    <w:qFormat/>
    <w:rsid w:val="00C1732C"/>
    <w:pPr>
      <w:keepNext/>
      <w:spacing w:before="240" w:after="60" w:line="240" w:lineRule="auto"/>
      <w:outlineLvl w:val="0"/>
    </w:pPr>
    <w:rPr>
      <w:rFonts w:ascii="Arial" w:hAnsi="Arial" w:cs="Arial"/>
      <w:b/>
      <w:bCs/>
      <w:kern w:val="32"/>
      <w:sz w:val="32"/>
      <w:szCs w:val="32"/>
    </w:rPr>
  </w:style>
  <w:style w:type="paragraph" w:styleId="Heading2">
    <w:name w:val="heading 2"/>
    <w:basedOn w:val="Normal"/>
    <w:next w:val="Normal"/>
    <w:link w:val="Heading2Char"/>
    <w:qFormat/>
    <w:rsid w:val="00C1732C"/>
    <w:pPr>
      <w:keepNext/>
      <w:spacing w:before="240" w:after="60" w:line="240" w:lineRule="auto"/>
      <w:outlineLvl w:val="1"/>
    </w:pPr>
    <w:rPr>
      <w:rFonts w:ascii="Arial" w:hAnsi="Arial" w:cs="Arial"/>
      <w:b/>
      <w:bCs/>
      <w:sz w:val="22"/>
      <w:szCs w:val="28"/>
    </w:rPr>
  </w:style>
  <w:style w:type="paragraph" w:styleId="Heading3">
    <w:name w:val="heading 3"/>
    <w:basedOn w:val="Normal"/>
    <w:next w:val="Normal"/>
    <w:link w:val="Heading3Char"/>
    <w:qFormat/>
    <w:rsid w:val="00C1732C"/>
    <w:pPr>
      <w:keepNext/>
      <w:spacing w:line="240" w:lineRule="auto"/>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1732C"/>
    <w:rPr>
      <w:rFonts w:ascii="Arial" w:eastAsia="Times New Roman" w:hAnsi="Arial" w:cs="Arial"/>
      <w:b/>
      <w:bCs/>
      <w:kern w:val="32"/>
      <w:sz w:val="32"/>
      <w:szCs w:val="32"/>
      <w:lang w:val="en-GB" w:eastAsia="en-US"/>
    </w:rPr>
  </w:style>
  <w:style w:type="character" w:customStyle="1" w:styleId="Heading2Char">
    <w:name w:val="Heading 2 Char"/>
    <w:link w:val="Heading2"/>
    <w:rsid w:val="00C1732C"/>
    <w:rPr>
      <w:rFonts w:ascii="Arial" w:eastAsia="Times New Roman" w:hAnsi="Arial" w:cs="Arial"/>
      <w:b/>
      <w:bCs/>
      <w:kern w:val="0"/>
      <w:sz w:val="22"/>
      <w:szCs w:val="28"/>
      <w:lang w:val="en-GB" w:eastAsia="en-US"/>
    </w:rPr>
  </w:style>
  <w:style w:type="character" w:customStyle="1" w:styleId="Heading3Char">
    <w:name w:val="Heading 3 Char"/>
    <w:link w:val="Heading3"/>
    <w:rsid w:val="00C1732C"/>
    <w:rPr>
      <w:rFonts w:ascii="Times New Roman" w:eastAsia="Times New Roman" w:hAnsi="Times New Roman" w:cs="Times New Roman"/>
      <w:b/>
      <w:bCs/>
      <w:kern w:val="0"/>
      <w:sz w:val="24"/>
      <w:szCs w:val="24"/>
      <w:lang w:val="en-GB" w:eastAsia="en-US"/>
    </w:rPr>
  </w:style>
  <w:style w:type="paragraph" w:customStyle="1" w:styleId="CommentTextChar">
    <w:name w:val="Comment Text Char"/>
    <w:link w:val="CommentTextChar0"/>
    <w:qFormat/>
    <w:rsid w:val="00C1732C"/>
    <w:pPr>
      <w:jc w:val="both"/>
    </w:pPr>
    <w:rPr>
      <w:rFonts w:ascii="Times New Roman" w:eastAsia="MS Mincho" w:hAnsi="Times New Roman" w:cs="Times New Roman"/>
      <w:kern w:val="0"/>
      <w:szCs w:val="20"/>
    </w:rPr>
  </w:style>
  <w:style w:type="character" w:customStyle="1" w:styleId="1">
    <w:name w:val="段落フォント1"/>
    <w:uiPriority w:val="1"/>
    <w:rsid w:val="00C1732C"/>
  </w:style>
  <w:style w:type="table" w:customStyle="1" w:styleId="10">
    <w:name w:val="標準の表1"/>
    <w:uiPriority w:val="99"/>
    <w:semiHidden/>
    <w:rsid w:val="00C1732C"/>
    <w:rPr>
      <w:rFonts w:ascii="Times New Roman" w:eastAsia="MS Mincho" w:hAnsi="Times New Roman" w:cs="Times New Roman"/>
      <w:kern w:val="0"/>
      <w:sz w:val="20"/>
      <w:szCs w:val="20"/>
    </w:rPr>
    <w:tblPr>
      <w:tblCellMar>
        <w:top w:w="0" w:type="dxa"/>
        <w:left w:w="108" w:type="dxa"/>
        <w:bottom w:w="0" w:type="dxa"/>
        <w:right w:w="108" w:type="dxa"/>
      </w:tblCellMar>
    </w:tblPr>
  </w:style>
  <w:style w:type="numbering" w:customStyle="1" w:styleId="11">
    <w:name w:val="リストなし1"/>
    <w:uiPriority w:val="99"/>
    <w:semiHidden/>
    <w:rsid w:val="00C1732C"/>
  </w:style>
  <w:style w:type="character" w:customStyle="1" w:styleId="12">
    <w:name w:val="ハイパーリンク1"/>
    <w:uiPriority w:val="99"/>
    <w:rsid w:val="00C1732C"/>
    <w:rPr>
      <w:color w:val="0000FF"/>
      <w:u w:val="single"/>
    </w:rPr>
  </w:style>
  <w:style w:type="paragraph" w:customStyle="1" w:styleId="13">
    <w:name w:val="吹き出し1"/>
    <w:basedOn w:val="CommentTextChar"/>
    <w:link w:val="a"/>
    <w:uiPriority w:val="99"/>
    <w:semiHidden/>
    <w:rsid w:val="00C1732C"/>
    <w:rPr>
      <w:rFonts w:ascii="Arial" w:eastAsia="MS Gothic" w:hAnsi="Arial"/>
      <w:sz w:val="18"/>
      <w:lang w:val="x-none" w:eastAsia="x-none"/>
    </w:rPr>
  </w:style>
  <w:style w:type="character" w:customStyle="1" w:styleId="a">
    <w:name w:val="吹き出し (文字)"/>
    <w:link w:val="13"/>
    <w:uiPriority w:val="99"/>
    <w:semiHidden/>
    <w:rsid w:val="00C1732C"/>
    <w:rPr>
      <w:rFonts w:ascii="Arial" w:eastAsia="MS Gothic" w:hAnsi="Arial" w:cs="Times New Roman"/>
      <w:kern w:val="0"/>
      <w:sz w:val="18"/>
      <w:szCs w:val="20"/>
      <w:lang w:val="x-none" w:eastAsia="x-none"/>
    </w:rPr>
  </w:style>
  <w:style w:type="paragraph" w:customStyle="1" w:styleId="14">
    <w:name w:val="ヘッダー1"/>
    <w:basedOn w:val="CommentTextChar"/>
    <w:link w:val="a0"/>
    <w:uiPriority w:val="99"/>
    <w:rsid w:val="00C1732C"/>
    <w:pPr>
      <w:tabs>
        <w:tab w:val="center" w:pos="4252"/>
        <w:tab w:val="right" w:pos="8504"/>
      </w:tabs>
    </w:pPr>
    <w:rPr>
      <w:rFonts w:ascii="Century" w:hAnsi="Century"/>
      <w:sz w:val="20"/>
      <w:lang w:val="x-none" w:eastAsia="x-none"/>
    </w:rPr>
  </w:style>
  <w:style w:type="character" w:customStyle="1" w:styleId="a0">
    <w:name w:val="ヘッダー (文字)"/>
    <w:link w:val="14"/>
    <w:uiPriority w:val="99"/>
    <w:rsid w:val="00C1732C"/>
    <w:rPr>
      <w:rFonts w:ascii="Century" w:eastAsia="MS Mincho" w:hAnsi="Century" w:cs="Times New Roman"/>
      <w:kern w:val="0"/>
      <w:sz w:val="20"/>
      <w:szCs w:val="20"/>
      <w:lang w:val="x-none" w:eastAsia="x-none"/>
    </w:rPr>
  </w:style>
  <w:style w:type="paragraph" w:customStyle="1" w:styleId="15">
    <w:name w:val="フッター1"/>
    <w:basedOn w:val="CommentTextChar"/>
    <w:link w:val="a1"/>
    <w:uiPriority w:val="99"/>
    <w:rsid w:val="00C1732C"/>
    <w:pPr>
      <w:tabs>
        <w:tab w:val="center" w:pos="4252"/>
        <w:tab w:val="right" w:pos="8504"/>
      </w:tabs>
    </w:pPr>
    <w:rPr>
      <w:rFonts w:ascii="Century" w:hAnsi="Century"/>
      <w:sz w:val="20"/>
      <w:lang w:val="x-none" w:eastAsia="x-none"/>
    </w:rPr>
  </w:style>
  <w:style w:type="character" w:customStyle="1" w:styleId="a1">
    <w:name w:val="フッター (文字)"/>
    <w:link w:val="15"/>
    <w:uiPriority w:val="99"/>
    <w:rsid w:val="00C1732C"/>
    <w:rPr>
      <w:rFonts w:ascii="Century" w:eastAsia="MS Mincho" w:hAnsi="Century" w:cs="Times New Roman"/>
      <w:kern w:val="0"/>
      <w:sz w:val="20"/>
      <w:szCs w:val="20"/>
      <w:lang w:val="x-none" w:eastAsia="x-none"/>
    </w:rPr>
  </w:style>
  <w:style w:type="paragraph" w:customStyle="1" w:styleId="16">
    <w:name w:val="リスト段落1"/>
    <w:basedOn w:val="CommentTextChar"/>
    <w:uiPriority w:val="34"/>
    <w:qFormat/>
    <w:rsid w:val="00C1732C"/>
    <w:pPr>
      <w:ind w:left="840"/>
    </w:pPr>
  </w:style>
  <w:style w:type="table" w:customStyle="1" w:styleId="17">
    <w:name w:val="表 (格子)1"/>
    <w:basedOn w:val="10"/>
    <w:uiPriority w:val="59"/>
    <w:rsid w:val="00C1732C"/>
    <w:tblPr/>
  </w:style>
  <w:style w:type="character" w:customStyle="1" w:styleId="18">
    <w:name w:val="コメント参照1"/>
    <w:semiHidden/>
    <w:rsid w:val="00C1732C"/>
    <w:rPr>
      <w:sz w:val="16"/>
    </w:rPr>
  </w:style>
  <w:style w:type="paragraph" w:customStyle="1" w:styleId="19">
    <w:name w:val="コメント文字列1"/>
    <w:next w:val="CommentTextChar"/>
    <w:uiPriority w:val="99"/>
    <w:rsid w:val="00C1732C"/>
    <w:rPr>
      <w:rFonts w:ascii="Times New Roman" w:eastAsia="MS Mincho" w:hAnsi="Times New Roman" w:cs="Times New Roman"/>
      <w:kern w:val="0"/>
      <w:sz w:val="20"/>
      <w:szCs w:val="20"/>
    </w:rPr>
  </w:style>
  <w:style w:type="character" w:customStyle="1" w:styleId="a2">
    <w:name w:val="コメント文字列 (文字)"/>
    <w:semiHidden/>
    <w:rsid w:val="00C1732C"/>
    <w:rPr>
      <w:rFonts w:ascii="Century" w:eastAsia="MS Mincho" w:hAnsi="Century" w:cs="Times New Roman"/>
      <w:sz w:val="20"/>
    </w:rPr>
  </w:style>
  <w:style w:type="paragraph" w:customStyle="1" w:styleId="1a">
    <w:name w:val="コメント内容1"/>
    <w:basedOn w:val="19"/>
    <w:next w:val="19"/>
    <w:link w:val="a3"/>
    <w:semiHidden/>
    <w:rsid w:val="00C1732C"/>
    <w:rPr>
      <w:rFonts w:ascii="Century" w:hAnsi="Century"/>
      <w:b/>
      <w:lang w:val="x-none" w:eastAsia="x-none"/>
    </w:rPr>
  </w:style>
  <w:style w:type="character" w:customStyle="1" w:styleId="a3">
    <w:name w:val="コメント内容 (文字)"/>
    <w:link w:val="1a"/>
    <w:semiHidden/>
    <w:rsid w:val="00C1732C"/>
    <w:rPr>
      <w:rFonts w:ascii="Century" w:eastAsia="MS Mincho" w:hAnsi="Century" w:cs="Times New Roman"/>
      <w:b/>
      <w:kern w:val="0"/>
      <w:sz w:val="20"/>
      <w:szCs w:val="20"/>
      <w:lang w:val="x-none" w:eastAsia="x-none"/>
    </w:rPr>
  </w:style>
  <w:style w:type="character" w:customStyle="1" w:styleId="1b">
    <w:name w:val="ページ番号1"/>
    <w:rsid w:val="00C1732C"/>
  </w:style>
  <w:style w:type="paragraph" w:styleId="CommentText">
    <w:name w:val="annotation text"/>
    <w:link w:val="CommentTextChar1"/>
    <w:uiPriority w:val="99"/>
    <w:semiHidden/>
    <w:rsid w:val="00C1732C"/>
    <w:pPr>
      <w:adjustRightInd w:val="0"/>
      <w:snapToGrid w:val="0"/>
    </w:pPr>
    <w:rPr>
      <w:rFonts w:ascii="Verdana" w:eastAsia="MS Mincho" w:hAnsi="Verdana" w:cs="Times New Roman"/>
      <w:snapToGrid w:val="0"/>
      <w:kern w:val="0"/>
      <w:sz w:val="24"/>
      <w:szCs w:val="20"/>
    </w:rPr>
  </w:style>
  <w:style w:type="character" w:customStyle="1" w:styleId="CommentTextChar1">
    <w:name w:val="Comment Text Char1"/>
    <w:link w:val="CommentText"/>
    <w:uiPriority w:val="99"/>
    <w:semiHidden/>
    <w:rsid w:val="00C1732C"/>
    <w:rPr>
      <w:rFonts w:ascii="Verdana" w:eastAsia="MS Mincho" w:hAnsi="Verdana" w:cs="Times New Roman"/>
      <w:snapToGrid w:val="0"/>
      <w:kern w:val="0"/>
      <w:sz w:val="24"/>
      <w:szCs w:val="20"/>
    </w:rPr>
  </w:style>
  <w:style w:type="paragraph" w:customStyle="1" w:styleId="Table1">
    <w:name w:val="Table1"/>
    <w:basedOn w:val="CommentTextChar"/>
    <w:qFormat/>
    <w:rsid w:val="00C1732C"/>
    <w:pPr>
      <w:jc w:val="left"/>
    </w:pPr>
    <w:rPr>
      <w:rFonts w:ascii="Arial Narrow" w:hAnsi="Arial Narrow" w:cs="Arial"/>
      <w:sz w:val="18"/>
    </w:rPr>
  </w:style>
  <w:style w:type="character" w:styleId="Hyperlink">
    <w:name w:val="Hyperlink"/>
    <w:rsid w:val="00C1732C"/>
    <w:rPr>
      <w:color w:val="0000FF"/>
      <w:u w:val="single"/>
    </w:rPr>
  </w:style>
  <w:style w:type="paragraph" w:styleId="BalloonText">
    <w:name w:val="Balloon Text"/>
    <w:basedOn w:val="Normal"/>
    <w:link w:val="BalloonTextChar"/>
    <w:semiHidden/>
    <w:rsid w:val="00C1732C"/>
    <w:rPr>
      <w:rFonts w:ascii="Tahoma" w:hAnsi="Tahoma" w:cs="Tahoma"/>
      <w:sz w:val="16"/>
      <w:szCs w:val="16"/>
    </w:rPr>
  </w:style>
  <w:style w:type="character" w:customStyle="1" w:styleId="BalloonTextChar">
    <w:name w:val="Balloon Text Char"/>
    <w:link w:val="BalloonText"/>
    <w:semiHidden/>
    <w:rsid w:val="00C1732C"/>
    <w:rPr>
      <w:rFonts w:ascii="Tahoma" w:eastAsia="Times New Roman" w:hAnsi="Tahoma" w:cs="Tahoma"/>
      <w:kern w:val="0"/>
      <w:sz w:val="16"/>
      <w:szCs w:val="16"/>
      <w:lang w:val="en-GB" w:eastAsia="en-US"/>
    </w:rPr>
  </w:style>
  <w:style w:type="character" w:styleId="CommentReference">
    <w:name w:val="annotation reference"/>
    <w:semiHidden/>
    <w:rsid w:val="00C1732C"/>
    <w:rPr>
      <w:sz w:val="16"/>
      <w:szCs w:val="16"/>
    </w:rPr>
  </w:style>
  <w:style w:type="paragraph" w:styleId="CommentSubject">
    <w:name w:val="annotation subject"/>
    <w:basedOn w:val="CommentText"/>
    <w:next w:val="CommentText"/>
    <w:link w:val="CommentSubjectChar"/>
    <w:semiHidden/>
    <w:rsid w:val="00C1732C"/>
    <w:rPr>
      <w:b/>
      <w:bCs/>
    </w:rPr>
  </w:style>
  <w:style w:type="character" w:customStyle="1" w:styleId="CommentSubjectChar">
    <w:name w:val="Comment Subject Char"/>
    <w:link w:val="CommentSubject"/>
    <w:semiHidden/>
    <w:rsid w:val="00C1732C"/>
    <w:rPr>
      <w:rFonts w:ascii="Verdana" w:eastAsia="MS Mincho" w:hAnsi="Verdana" w:cs="Times New Roman"/>
      <w:b/>
      <w:bCs/>
      <w:snapToGrid w:val="0"/>
      <w:kern w:val="0"/>
      <w:sz w:val="24"/>
      <w:szCs w:val="20"/>
    </w:rPr>
  </w:style>
  <w:style w:type="paragraph" w:styleId="Header">
    <w:name w:val="header"/>
    <w:basedOn w:val="Normal"/>
    <w:link w:val="HeaderChar"/>
    <w:rsid w:val="00C1732C"/>
    <w:pPr>
      <w:tabs>
        <w:tab w:val="center" w:pos="4153"/>
        <w:tab w:val="right" w:pos="8306"/>
      </w:tabs>
    </w:pPr>
  </w:style>
  <w:style w:type="character" w:customStyle="1" w:styleId="HeaderChar">
    <w:name w:val="Header Char"/>
    <w:link w:val="Header"/>
    <w:rsid w:val="00C1732C"/>
    <w:rPr>
      <w:rFonts w:ascii="Times New Roman" w:eastAsia="Times New Roman" w:hAnsi="Times New Roman" w:cs="Times New Roman"/>
      <w:kern w:val="0"/>
      <w:sz w:val="24"/>
      <w:szCs w:val="24"/>
      <w:lang w:val="en-GB" w:eastAsia="en-US"/>
    </w:rPr>
  </w:style>
  <w:style w:type="paragraph" w:styleId="Footer">
    <w:name w:val="footer"/>
    <w:basedOn w:val="Normal"/>
    <w:link w:val="FooterChar"/>
    <w:rsid w:val="00C1732C"/>
    <w:pPr>
      <w:tabs>
        <w:tab w:val="center" w:pos="4153"/>
        <w:tab w:val="right" w:pos="8306"/>
      </w:tabs>
    </w:pPr>
  </w:style>
  <w:style w:type="character" w:customStyle="1" w:styleId="FooterChar">
    <w:name w:val="Footer Char"/>
    <w:link w:val="Footer"/>
    <w:rsid w:val="00C1732C"/>
    <w:rPr>
      <w:rFonts w:ascii="Times New Roman" w:eastAsia="Times New Roman" w:hAnsi="Times New Roman" w:cs="Times New Roman"/>
      <w:kern w:val="0"/>
      <w:sz w:val="24"/>
      <w:szCs w:val="24"/>
      <w:lang w:val="en-GB" w:eastAsia="en-US"/>
    </w:rPr>
  </w:style>
  <w:style w:type="paragraph" w:styleId="BodyTextIndent">
    <w:name w:val="Body Text Indent"/>
    <w:basedOn w:val="Normal"/>
    <w:link w:val="BodyTextIndentChar"/>
    <w:rsid w:val="00C1732C"/>
    <w:pPr>
      <w:ind w:left="720"/>
    </w:pPr>
  </w:style>
  <w:style w:type="character" w:customStyle="1" w:styleId="BodyTextIndentChar">
    <w:name w:val="Body Text Indent Char"/>
    <w:link w:val="BodyTextIndent"/>
    <w:rsid w:val="00C1732C"/>
    <w:rPr>
      <w:rFonts w:ascii="Times New Roman" w:eastAsia="Times New Roman" w:hAnsi="Times New Roman" w:cs="Times New Roman"/>
      <w:kern w:val="0"/>
      <w:sz w:val="24"/>
      <w:szCs w:val="24"/>
      <w:lang w:val="en-GB" w:eastAsia="en-US"/>
    </w:rPr>
  </w:style>
  <w:style w:type="character" w:customStyle="1" w:styleId="entity1">
    <w:name w:val="entity1"/>
    <w:rsid w:val="00C1732C"/>
    <w:rPr>
      <w:rFonts w:ascii="Times New Roman" w:hAnsi="Times New Roman" w:cs="Times New Roman" w:hint="default"/>
    </w:rPr>
  </w:style>
  <w:style w:type="paragraph" w:customStyle="1" w:styleId="justify">
    <w:name w:val="justify"/>
    <w:basedOn w:val="Normal"/>
    <w:rsid w:val="00C1732C"/>
    <w:pPr>
      <w:spacing w:before="100" w:beforeAutospacing="1" w:after="100" w:afterAutospacing="1"/>
      <w:jc w:val="both"/>
    </w:pPr>
    <w:rPr>
      <w:rFonts w:ascii="Verdana" w:eastAsia="Arial Unicode MS" w:hAnsi="Verdana" w:cs="Arial Unicode MS"/>
      <w:sz w:val="20"/>
      <w:szCs w:val="20"/>
    </w:rPr>
  </w:style>
  <w:style w:type="paragraph" w:styleId="NormalWeb">
    <w:name w:val="Normal (Web)"/>
    <w:basedOn w:val="Normal"/>
    <w:uiPriority w:val="99"/>
    <w:rsid w:val="00C1732C"/>
    <w:pPr>
      <w:spacing w:before="100" w:beforeAutospacing="1" w:after="100" w:afterAutospacing="1"/>
    </w:pPr>
    <w:rPr>
      <w:rFonts w:ascii="Arial Unicode MS" w:eastAsia="Arial Unicode MS" w:hAnsi="Arial Unicode MS" w:cs="Arial Unicode MS"/>
    </w:rPr>
  </w:style>
  <w:style w:type="character" w:customStyle="1" w:styleId="smallhead">
    <w:name w:val="smallhead"/>
    <w:rsid w:val="00C1732C"/>
  </w:style>
  <w:style w:type="paragraph" w:customStyle="1" w:styleId="EndNoteBibliographyTitle">
    <w:name w:val="EndNote Bibliography Title"/>
    <w:basedOn w:val="Normal"/>
    <w:link w:val="EndNoteBibliographyTitle0"/>
    <w:rsid w:val="00C1732C"/>
    <w:pPr>
      <w:jc w:val="center"/>
    </w:pPr>
    <w:rPr>
      <w:noProof/>
      <w:lang w:val="en-US"/>
    </w:rPr>
  </w:style>
  <w:style w:type="character" w:customStyle="1" w:styleId="CommentTextChar0">
    <w:name w:val="Comment Text Char (文字)"/>
    <w:link w:val="CommentTextChar"/>
    <w:rsid w:val="00C1732C"/>
    <w:rPr>
      <w:rFonts w:ascii="Times New Roman" w:eastAsia="MS Mincho" w:hAnsi="Times New Roman" w:cs="Times New Roman"/>
      <w:kern w:val="0"/>
      <w:szCs w:val="20"/>
    </w:rPr>
  </w:style>
  <w:style w:type="character" w:customStyle="1" w:styleId="EndNoteBibliographyTitle0">
    <w:name w:val="EndNote Bibliography Title (文字)"/>
    <w:link w:val="EndNoteBibliographyTitle"/>
    <w:rsid w:val="00C1732C"/>
    <w:rPr>
      <w:rFonts w:ascii="Times New Roman" w:eastAsia="Times New Roman" w:hAnsi="Times New Roman" w:cs="Times New Roman"/>
      <w:noProof/>
      <w:kern w:val="0"/>
      <w:sz w:val="24"/>
      <w:szCs w:val="24"/>
      <w:lang w:eastAsia="en-US"/>
    </w:rPr>
  </w:style>
  <w:style w:type="paragraph" w:customStyle="1" w:styleId="EndNoteBibliography">
    <w:name w:val="EndNote Bibliography"/>
    <w:basedOn w:val="Normal"/>
    <w:link w:val="EndNoteBibliography0"/>
    <w:rsid w:val="00C1732C"/>
    <w:pPr>
      <w:spacing w:line="240" w:lineRule="auto"/>
      <w:jc w:val="both"/>
    </w:pPr>
    <w:rPr>
      <w:noProof/>
      <w:lang w:val="en-US"/>
    </w:rPr>
  </w:style>
  <w:style w:type="character" w:customStyle="1" w:styleId="EndNoteBibliography0">
    <w:name w:val="EndNote Bibliography (文字)"/>
    <w:link w:val="EndNoteBibliography"/>
    <w:rsid w:val="00C1732C"/>
    <w:rPr>
      <w:rFonts w:ascii="Times New Roman" w:eastAsia="Times New Roman" w:hAnsi="Times New Roman" w:cs="Times New Roman"/>
      <w:noProof/>
      <w:kern w:val="0"/>
      <w:sz w:val="24"/>
      <w:szCs w:val="24"/>
      <w:lang w:eastAsia="en-US"/>
    </w:rPr>
  </w:style>
  <w:style w:type="character" w:styleId="PageNumber">
    <w:name w:val="page number"/>
    <w:uiPriority w:val="99"/>
    <w:semiHidden/>
    <w:unhideWhenUsed/>
    <w:rsid w:val="00C1732C"/>
  </w:style>
  <w:style w:type="paragraph" w:styleId="Revision">
    <w:name w:val="Revision"/>
    <w:hidden/>
    <w:uiPriority w:val="99"/>
    <w:semiHidden/>
    <w:rsid w:val="00C1732C"/>
    <w:rPr>
      <w:rFonts w:ascii="Times New Roman" w:eastAsia="Times New Roman" w:hAnsi="Times New Roman" w:cs="Times New Roman"/>
      <w:kern w:val="0"/>
      <w:sz w:val="24"/>
      <w:szCs w:val="24"/>
      <w:lang w:val="en-GB" w:eastAsia="en-US"/>
    </w:rPr>
  </w:style>
  <w:style w:type="character" w:customStyle="1" w:styleId="Char1">
    <w:name w:val="批注文字 Char1"/>
    <w:uiPriority w:val="99"/>
    <w:semiHidden/>
    <w:locked/>
    <w:rsid w:val="00D86850"/>
    <w:rPr>
      <w:rFonts w:ascii="Times New Roman" w:eastAsia="SimSun" w:hAnsi="Times New Roman" w:cs="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367693">
      <w:bodyDiv w:val="1"/>
      <w:marLeft w:val="0"/>
      <w:marRight w:val="0"/>
      <w:marTop w:val="0"/>
      <w:marBottom w:val="0"/>
      <w:divBdr>
        <w:top w:val="none" w:sz="0" w:space="0" w:color="auto"/>
        <w:left w:val="none" w:sz="0" w:space="0" w:color="auto"/>
        <w:bottom w:val="none" w:sz="0" w:space="0" w:color="auto"/>
        <w:right w:val="none" w:sz="0" w:space="0" w:color="auto"/>
      </w:divBdr>
    </w:div>
    <w:div w:id="852766124">
      <w:bodyDiv w:val="1"/>
      <w:marLeft w:val="0"/>
      <w:marRight w:val="0"/>
      <w:marTop w:val="0"/>
      <w:marBottom w:val="0"/>
      <w:divBdr>
        <w:top w:val="none" w:sz="0" w:space="0" w:color="auto"/>
        <w:left w:val="none" w:sz="0" w:space="0" w:color="auto"/>
        <w:bottom w:val="none" w:sz="0" w:space="0" w:color="auto"/>
        <w:right w:val="none" w:sz="0" w:space="0" w:color="auto"/>
      </w:divBdr>
    </w:div>
    <w:div w:id="1090391044">
      <w:bodyDiv w:val="1"/>
      <w:marLeft w:val="0"/>
      <w:marRight w:val="0"/>
      <w:marTop w:val="0"/>
      <w:marBottom w:val="0"/>
      <w:divBdr>
        <w:top w:val="none" w:sz="0" w:space="0" w:color="auto"/>
        <w:left w:val="none" w:sz="0" w:space="0" w:color="auto"/>
        <w:bottom w:val="none" w:sz="0" w:space="0" w:color="auto"/>
        <w:right w:val="none" w:sz="0" w:space="0" w:color="auto"/>
      </w:divBdr>
    </w:div>
    <w:div w:id="120300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43746-8C10-4205-868F-3EC6E78C3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6357</Words>
  <Characters>36238</Characters>
  <Application>Microsoft Office Word</Application>
  <DocSecurity>0</DocSecurity>
  <Lines>301</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42510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2016-10-26T17:50:00Z</dcterms:created>
  <dcterms:modified xsi:type="dcterms:W3CDTF">2016-10-26T17:50:00Z</dcterms:modified>
</cp:coreProperties>
</file>