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AE" w:rsidRPr="00230CBF" w:rsidRDefault="00C42CAE" w:rsidP="00230CBF">
      <w:pPr>
        <w:spacing w:line="360" w:lineRule="auto"/>
        <w:jc w:val="both"/>
        <w:rPr>
          <w:rFonts w:ascii="Book Antiqua" w:hAnsi="Book Antiqua"/>
          <w:b/>
          <w:lang w:val="en-US"/>
        </w:rPr>
      </w:pPr>
      <w:r w:rsidRPr="00230CBF">
        <w:rPr>
          <w:rFonts w:ascii="Book Antiqua" w:hAnsi="Book Antiqua"/>
          <w:b/>
          <w:lang w:val="en-US"/>
        </w:rPr>
        <w:t xml:space="preserve">Name of Journal: </w:t>
      </w:r>
      <w:r w:rsidRPr="00230CBF">
        <w:rPr>
          <w:rFonts w:ascii="Book Antiqua" w:hAnsi="Book Antiqua"/>
          <w:b/>
          <w:i/>
          <w:iCs/>
          <w:lang w:val="en-US"/>
        </w:rPr>
        <w:t>World Journal of Radiology</w:t>
      </w:r>
    </w:p>
    <w:p w:rsidR="00C42CAE" w:rsidRPr="00230CBF" w:rsidRDefault="00C42CAE" w:rsidP="00230CBF">
      <w:pPr>
        <w:spacing w:line="360" w:lineRule="auto"/>
        <w:jc w:val="both"/>
        <w:rPr>
          <w:rFonts w:ascii="Book Antiqua" w:eastAsiaTheme="minorEastAsia" w:hAnsi="Book Antiqua"/>
          <w:b/>
          <w:lang w:val="en-US" w:eastAsia="zh-CN"/>
        </w:rPr>
      </w:pPr>
      <w:r w:rsidRPr="00230CBF">
        <w:rPr>
          <w:rFonts w:ascii="Book Antiqua" w:hAnsi="Book Antiqua"/>
          <w:b/>
          <w:lang w:val="en-US"/>
        </w:rPr>
        <w:t xml:space="preserve">ESPS Manuscript NO: </w:t>
      </w:r>
      <w:r w:rsidRPr="00230CBF">
        <w:rPr>
          <w:rFonts w:ascii="Book Antiqua" w:eastAsiaTheme="minorEastAsia" w:hAnsi="Book Antiqua"/>
          <w:b/>
          <w:lang w:val="en-US" w:eastAsia="zh-CN"/>
        </w:rPr>
        <w:t>29571</w:t>
      </w:r>
    </w:p>
    <w:p w:rsidR="00C42CAE" w:rsidRPr="00230CBF" w:rsidRDefault="00C42CAE" w:rsidP="00230CBF">
      <w:pPr>
        <w:spacing w:line="360" w:lineRule="auto"/>
        <w:jc w:val="both"/>
        <w:rPr>
          <w:rFonts w:ascii="Book Antiqua" w:hAnsi="Book Antiqua"/>
          <w:b/>
          <w:lang w:val="en-US"/>
        </w:rPr>
      </w:pPr>
      <w:r w:rsidRPr="00230CBF">
        <w:rPr>
          <w:rFonts w:ascii="Book Antiqua" w:hAnsi="Book Antiqua"/>
          <w:b/>
          <w:lang w:val="en-US"/>
        </w:rPr>
        <w:t>Manuscript Type: Editorial</w:t>
      </w:r>
    </w:p>
    <w:p w:rsidR="00C42CAE" w:rsidRPr="00230CBF" w:rsidRDefault="00C42CAE" w:rsidP="00230CBF">
      <w:pPr>
        <w:spacing w:line="360" w:lineRule="auto"/>
        <w:jc w:val="both"/>
        <w:rPr>
          <w:rFonts w:ascii="Book Antiqua" w:eastAsiaTheme="minorEastAsia" w:hAnsi="Book Antiqua"/>
          <w:b/>
          <w:lang w:val="en-US" w:eastAsia="zh-CN"/>
        </w:rPr>
      </w:pPr>
    </w:p>
    <w:p w:rsidR="00522498" w:rsidRPr="00230CBF" w:rsidRDefault="00522498" w:rsidP="00230CBF">
      <w:pPr>
        <w:spacing w:line="360" w:lineRule="auto"/>
        <w:jc w:val="both"/>
        <w:rPr>
          <w:rFonts w:ascii="Book Antiqua" w:eastAsiaTheme="minorEastAsia" w:hAnsi="Book Antiqua"/>
          <w:b/>
          <w:lang w:val="en-US" w:eastAsia="zh-CN"/>
        </w:rPr>
      </w:pPr>
      <w:r w:rsidRPr="00230CBF">
        <w:rPr>
          <w:rFonts w:ascii="Book Antiqua" w:hAnsi="Book Antiqua"/>
          <w:b/>
          <w:lang w:val="en-US"/>
        </w:rPr>
        <w:t xml:space="preserve">Evaluation of response to immune checkpoints inhibitors: </w:t>
      </w:r>
      <w:r w:rsidR="002602D4" w:rsidRPr="00230CBF">
        <w:rPr>
          <w:rFonts w:ascii="Book Antiqua" w:hAnsi="Book Antiqua"/>
          <w:b/>
          <w:lang w:val="en-US"/>
        </w:rPr>
        <w:t>I</w:t>
      </w:r>
      <w:r w:rsidRPr="00230CBF">
        <w:rPr>
          <w:rFonts w:ascii="Book Antiqua" w:hAnsi="Book Antiqua"/>
          <w:b/>
          <w:lang w:val="en-US"/>
        </w:rPr>
        <w:t>s there a role for positron emission tomography?</w:t>
      </w:r>
    </w:p>
    <w:p w:rsidR="002602D4" w:rsidRPr="00230CBF" w:rsidRDefault="002602D4" w:rsidP="00230CBF">
      <w:pPr>
        <w:spacing w:line="360" w:lineRule="auto"/>
        <w:jc w:val="both"/>
        <w:rPr>
          <w:rFonts w:ascii="Book Antiqua" w:eastAsiaTheme="minorEastAsia" w:hAnsi="Book Antiqua"/>
          <w:b/>
          <w:lang w:val="en-US" w:eastAsia="zh-CN"/>
        </w:rPr>
      </w:pPr>
    </w:p>
    <w:p w:rsidR="00522498" w:rsidRPr="00230CBF" w:rsidRDefault="00522498" w:rsidP="00230CBF">
      <w:pPr>
        <w:spacing w:line="360" w:lineRule="auto"/>
        <w:jc w:val="both"/>
        <w:rPr>
          <w:rFonts w:ascii="Book Antiqua" w:eastAsiaTheme="minorEastAsia" w:hAnsi="Book Antiqua"/>
          <w:lang w:val="en-US" w:eastAsia="zh-CN"/>
        </w:rPr>
      </w:pPr>
      <w:proofErr w:type="spellStart"/>
      <w:r w:rsidRPr="00230CBF">
        <w:rPr>
          <w:rFonts w:ascii="Book Antiqua" w:hAnsi="Book Antiqua"/>
          <w:lang w:val="en-US"/>
        </w:rPr>
        <w:t>Bauckneht</w:t>
      </w:r>
      <w:proofErr w:type="spellEnd"/>
      <w:r w:rsidRPr="00230CBF">
        <w:rPr>
          <w:rFonts w:ascii="Book Antiqua" w:hAnsi="Book Antiqua"/>
          <w:lang w:val="en-US"/>
        </w:rPr>
        <w:t xml:space="preserve"> </w:t>
      </w:r>
      <w:r w:rsidR="001D4A7D" w:rsidRPr="00230CBF">
        <w:rPr>
          <w:rFonts w:ascii="Book Antiqua" w:hAnsi="Book Antiqua"/>
          <w:lang w:val="en-US"/>
        </w:rPr>
        <w:t xml:space="preserve">M </w:t>
      </w:r>
      <w:r w:rsidRPr="00230CBF">
        <w:rPr>
          <w:rFonts w:ascii="Book Antiqua" w:hAnsi="Book Antiqua"/>
          <w:i/>
          <w:lang w:val="en-US"/>
        </w:rPr>
        <w:t>et al</w:t>
      </w:r>
      <w:r w:rsidRPr="00230CBF">
        <w:rPr>
          <w:rFonts w:ascii="Book Antiqua" w:hAnsi="Book Antiqua"/>
          <w:lang w:val="en-US"/>
        </w:rPr>
        <w:t xml:space="preserve">. Immune </w:t>
      </w:r>
      <w:r w:rsidR="008916DF" w:rsidRPr="00230CBF">
        <w:rPr>
          <w:rFonts w:ascii="Book Antiqua" w:hAnsi="Book Antiqua"/>
          <w:lang w:val="en-US"/>
        </w:rPr>
        <w:t>checkpoints inhibitors and PET</w:t>
      </w:r>
    </w:p>
    <w:p w:rsidR="002602D4" w:rsidRPr="00230CBF" w:rsidRDefault="002602D4" w:rsidP="00230CBF">
      <w:pPr>
        <w:spacing w:line="360" w:lineRule="auto"/>
        <w:jc w:val="both"/>
        <w:rPr>
          <w:rFonts w:ascii="Book Antiqua" w:eastAsiaTheme="minorEastAsia" w:hAnsi="Book Antiqua"/>
          <w:lang w:val="en-US" w:eastAsia="zh-CN"/>
        </w:rPr>
      </w:pPr>
    </w:p>
    <w:p w:rsidR="002602D4" w:rsidRPr="00230CBF" w:rsidRDefault="002602D4" w:rsidP="00230CBF">
      <w:pPr>
        <w:spacing w:line="360" w:lineRule="auto"/>
        <w:jc w:val="both"/>
        <w:rPr>
          <w:rFonts w:ascii="Book Antiqua" w:eastAsiaTheme="minorEastAsia" w:hAnsi="Book Antiqua"/>
          <w:b/>
          <w:vertAlign w:val="superscript"/>
          <w:lang w:eastAsia="zh-CN"/>
        </w:rPr>
      </w:pPr>
      <w:r w:rsidRPr="00230CBF">
        <w:rPr>
          <w:rFonts w:ascii="Book Antiqua" w:hAnsi="Book Antiqua"/>
          <w:b/>
        </w:rPr>
        <w:t>Matteo Bauckneht, Roberta Piva, Gianmario Sambuceti, Francesco Grossi</w:t>
      </w:r>
      <w:r w:rsidRPr="00230CBF">
        <w:rPr>
          <w:rFonts w:ascii="Book Antiqua" w:eastAsiaTheme="minorEastAsia" w:hAnsi="Book Antiqua"/>
          <w:b/>
          <w:lang w:eastAsia="zh-CN"/>
        </w:rPr>
        <w:t>,</w:t>
      </w:r>
      <w:r w:rsidRPr="00230CBF">
        <w:rPr>
          <w:rFonts w:ascii="Book Antiqua" w:hAnsi="Book Antiqua"/>
          <w:b/>
        </w:rPr>
        <w:t xml:space="preserve"> Silvia Morbelli </w:t>
      </w:r>
    </w:p>
    <w:p w:rsidR="002602D4" w:rsidRPr="00230CBF" w:rsidRDefault="002602D4" w:rsidP="00230CBF">
      <w:pPr>
        <w:spacing w:line="360" w:lineRule="auto"/>
        <w:jc w:val="both"/>
        <w:rPr>
          <w:rFonts w:ascii="Book Antiqua" w:eastAsiaTheme="minorEastAsia" w:hAnsi="Book Antiqua"/>
          <w:b/>
          <w:lang w:val="en-US" w:eastAsia="zh-CN"/>
        </w:rPr>
      </w:pPr>
    </w:p>
    <w:p w:rsidR="008916DF" w:rsidRPr="00230CBF" w:rsidRDefault="008916DF" w:rsidP="00230CBF">
      <w:pPr>
        <w:spacing w:line="360" w:lineRule="auto"/>
        <w:jc w:val="both"/>
        <w:rPr>
          <w:rFonts w:ascii="Book Antiqua" w:eastAsiaTheme="minorEastAsia" w:hAnsi="Book Antiqua"/>
          <w:lang w:val="en-US" w:eastAsia="zh-CN"/>
        </w:rPr>
      </w:pPr>
      <w:r w:rsidRPr="00230CBF">
        <w:rPr>
          <w:rFonts w:ascii="Book Antiqua" w:hAnsi="Book Antiqua"/>
          <w:b/>
        </w:rPr>
        <w:t>Matteo Bauckneht, Roberta Piva, Gianmario Sambuceti, Silvia Morbelli</w:t>
      </w:r>
      <w:r w:rsidRPr="00230CBF">
        <w:rPr>
          <w:rFonts w:ascii="Book Antiqua" w:eastAsiaTheme="minorEastAsia" w:hAnsi="Book Antiqua"/>
          <w:b/>
          <w:lang w:eastAsia="zh-CN"/>
        </w:rPr>
        <w:t>,</w:t>
      </w:r>
      <w:r w:rsidRPr="00230CBF">
        <w:rPr>
          <w:rFonts w:ascii="Book Antiqua" w:hAnsi="Book Antiqua"/>
          <w:b/>
        </w:rPr>
        <w:t xml:space="preserve"> </w:t>
      </w:r>
      <w:r w:rsidR="00522498" w:rsidRPr="00230CBF">
        <w:rPr>
          <w:rFonts w:ascii="Book Antiqua" w:hAnsi="Book Antiqua"/>
          <w:lang w:val="en-US"/>
        </w:rPr>
        <w:t>Nuclear Medicine Unit</w:t>
      </w:r>
      <w:r w:rsidRPr="00230CBF">
        <w:rPr>
          <w:rFonts w:ascii="Book Antiqua" w:eastAsiaTheme="minorEastAsia" w:hAnsi="Book Antiqua"/>
          <w:lang w:val="en-US" w:eastAsia="zh-CN"/>
        </w:rPr>
        <w:t>,</w:t>
      </w:r>
      <w:r w:rsidR="00522498" w:rsidRPr="00230CBF">
        <w:rPr>
          <w:rFonts w:ascii="Book Antiqua" w:hAnsi="Book Antiqua"/>
          <w:lang w:val="en-US"/>
        </w:rPr>
        <w:t xml:space="preserve"> </w:t>
      </w:r>
      <w:r w:rsidRPr="00230CBF">
        <w:rPr>
          <w:rFonts w:ascii="Book Antiqua" w:hAnsi="Book Antiqua"/>
          <w:lang w:val="en-US"/>
        </w:rPr>
        <w:t>IRCCS San Martino–IST, University of Genoa, 16132 Genoa, Italy</w:t>
      </w:r>
    </w:p>
    <w:p w:rsidR="008916DF" w:rsidRPr="00230CBF" w:rsidRDefault="008916DF" w:rsidP="00230CBF">
      <w:pPr>
        <w:spacing w:line="360" w:lineRule="auto"/>
        <w:jc w:val="both"/>
        <w:rPr>
          <w:rFonts w:ascii="Book Antiqua" w:eastAsiaTheme="minorEastAsia" w:hAnsi="Book Antiqua"/>
          <w:b/>
          <w:vertAlign w:val="superscript"/>
          <w:lang w:eastAsia="zh-CN"/>
        </w:rPr>
      </w:pPr>
    </w:p>
    <w:p w:rsidR="00522498" w:rsidRPr="00230CBF" w:rsidRDefault="008916DF" w:rsidP="00230CBF">
      <w:pPr>
        <w:spacing w:line="360" w:lineRule="auto"/>
        <w:jc w:val="both"/>
        <w:rPr>
          <w:rFonts w:ascii="Book Antiqua" w:eastAsiaTheme="minorEastAsia" w:hAnsi="Book Antiqua"/>
          <w:lang w:val="en-US" w:eastAsia="zh-CN"/>
        </w:rPr>
      </w:pPr>
      <w:r w:rsidRPr="00230CBF">
        <w:rPr>
          <w:rFonts w:ascii="Book Antiqua" w:hAnsi="Book Antiqua"/>
          <w:b/>
        </w:rPr>
        <w:t>Francesco Grossi</w:t>
      </w:r>
      <w:r w:rsidRPr="00230CBF">
        <w:rPr>
          <w:rFonts w:ascii="Book Antiqua" w:eastAsiaTheme="minorEastAsia" w:hAnsi="Book Antiqua"/>
          <w:b/>
          <w:lang w:eastAsia="zh-CN"/>
        </w:rPr>
        <w:t xml:space="preserve">, </w:t>
      </w:r>
      <w:r w:rsidR="00522498" w:rsidRPr="00230CBF">
        <w:rPr>
          <w:rFonts w:ascii="Book Antiqua" w:hAnsi="Book Antiqua"/>
          <w:lang w:val="en-US"/>
        </w:rPr>
        <w:t>Lung Cancer Unit</w:t>
      </w:r>
      <w:r w:rsidRPr="00230CBF">
        <w:rPr>
          <w:rFonts w:ascii="Book Antiqua" w:eastAsiaTheme="minorEastAsia" w:hAnsi="Book Antiqua"/>
          <w:lang w:val="en-US" w:eastAsia="zh-CN"/>
        </w:rPr>
        <w:t>,</w:t>
      </w:r>
      <w:r w:rsidR="00522498" w:rsidRPr="00230CBF">
        <w:rPr>
          <w:rFonts w:ascii="Book Antiqua" w:hAnsi="Book Antiqua"/>
          <w:lang w:val="en-US"/>
        </w:rPr>
        <w:t xml:space="preserve"> IRCCS San Martino–IST, University of Genoa</w:t>
      </w:r>
      <w:r w:rsidR="00A8723F" w:rsidRPr="00230CBF">
        <w:rPr>
          <w:rFonts w:ascii="Book Antiqua" w:hAnsi="Book Antiqua"/>
          <w:lang w:val="en-US"/>
        </w:rPr>
        <w:t xml:space="preserve">, </w:t>
      </w:r>
      <w:r w:rsidRPr="00230CBF">
        <w:rPr>
          <w:rFonts w:ascii="Book Antiqua" w:hAnsi="Book Antiqua"/>
          <w:lang w:val="en-US"/>
        </w:rPr>
        <w:t>16132</w:t>
      </w:r>
      <w:r w:rsidR="00A8723F" w:rsidRPr="00230CBF">
        <w:rPr>
          <w:rFonts w:ascii="Book Antiqua" w:hAnsi="Book Antiqua"/>
          <w:lang w:val="en-US"/>
        </w:rPr>
        <w:t xml:space="preserve"> Genoa, Italy</w:t>
      </w:r>
    </w:p>
    <w:p w:rsidR="008916DF" w:rsidRPr="00230CBF" w:rsidRDefault="008916DF" w:rsidP="00230CBF">
      <w:pPr>
        <w:spacing w:line="360" w:lineRule="auto"/>
        <w:jc w:val="both"/>
        <w:rPr>
          <w:rFonts w:ascii="Book Antiqua" w:eastAsiaTheme="minorEastAsia" w:hAnsi="Book Antiqua"/>
          <w:lang w:val="en-US" w:eastAsia="zh-CN"/>
        </w:rPr>
      </w:pPr>
    </w:p>
    <w:p w:rsidR="00522498" w:rsidRPr="00230CBF" w:rsidRDefault="008916DF" w:rsidP="00230CBF">
      <w:pPr>
        <w:spacing w:line="360" w:lineRule="auto"/>
        <w:jc w:val="both"/>
        <w:rPr>
          <w:rFonts w:ascii="Book Antiqua" w:hAnsi="Book Antiqua"/>
          <w:lang w:val="en-US"/>
        </w:rPr>
      </w:pPr>
      <w:r w:rsidRPr="00230CBF">
        <w:rPr>
          <w:rFonts w:ascii="Book Antiqua" w:hAnsi="Book Antiqua"/>
          <w:b/>
        </w:rPr>
        <w:t>Author contributions:</w:t>
      </w:r>
      <w:r w:rsidRPr="00230CBF">
        <w:rPr>
          <w:rFonts w:ascii="Book Antiqua" w:hAnsi="Book Antiqua"/>
        </w:rPr>
        <w:t xml:space="preserve"> Morbelli S</w:t>
      </w:r>
      <w:r w:rsidR="00522498" w:rsidRPr="00230CBF">
        <w:rPr>
          <w:rFonts w:ascii="Book Antiqua" w:hAnsi="Book Antiqua"/>
          <w:lang w:val="en-US"/>
        </w:rPr>
        <w:t xml:space="preserve"> </w:t>
      </w:r>
      <w:r w:rsidR="00D036C4" w:rsidRPr="00230CBF">
        <w:rPr>
          <w:rFonts w:ascii="Book Antiqua" w:hAnsi="Book Antiqua"/>
          <w:lang w:val="en-US"/>
        </w:rPr>
        <w:t>conception and design of the study</w:t>
      </w:r>
      <w:r w:rsidR="00522498" w:rsidRPr="00230CBF">
        <w:rPr>
          <w:rFonts w:ascii="Book Antiqua" w:hAnsi="Book Antiqua"/>
          <w:lang w:val="en-US"/>
        </w:rPr>
        <w:t xml:space="preserve">; </w:t>
      </w:r>
      <w:r w:rsidRPr="00230CBF">
        <w:rPr>
          <w:rFonts w:ascii="Book Antiqua" w:hAnsi="Book Antiqua"/>
        </w:rPr>
        <w:t>Bauckneht</w:t>
      </w:r>
      <w:r w:rsidRPr="00230CBF">
        <w:rPr>
          <w:rFonts w:ascii="Book Antiqua" w:hAnsi="Book Antiqua"/>
          <w:lang w:val="en-US"/>
        </w:rPr>
        <w:t xml:space="preserve"> M</w:t>
      </w:r>
      <w:r w:rsidR="00522498" w:rsidRPr="00230CBF">
        <w:rPr>
          <w:rFonts w:ascii="Book Antiqua" w:hAnsi="Book Antiqua"/>
          <w:lang w:val="en-US"/>
        </w:rPr>
        <w:t xml:space="preserve"> and </w:t>
      </w:r>
      <w:r w:rsidRPr="00230CBF">
        <w:rPr>
          <w:rFonts w:ascii="Book Antiqua" w:hAnsi="Book Antiqua"/>
        </w:rPr>
        <w:t xml:space="preserve">Morbelli </w:t>
      </w:r>
      <w:r w:rsidRPr="00230CBF">
        <w:rPr>
          <w:rFonts w:ascii="Book Antiqua" w:hAnsi="Book Antiqua"/>
          <w:lang w:val="en-US"/>
        </w:rPr>
        <w:t>S</w:t>
      </w:r>
      <w:r w:rsidR="00522498" w:rsidRPr="00230CBF">
        <w:rPr>
          <w:rFonts w:ascii="Book Antiqua" w:hAnsi="Book Antiqua"/>
          <w:lang w:val="en-US"/>
        </w:rPr>
        <w:t xml:space="preserve"> </w:t>
      </w:r>
      <w:r w:rsidR="00D036C4" w:rsidRPr="00230CBF">
        <w:rPr>
          <w:rFonts w:ascii="Book Antiqua" w:hAnsi="Book Antiqua"/>
          <w:lang w:val="en-US"/>
        </w:rPr>
        <w:t>draft of the manuscript;</w:t>
      </w:r>
      <w:r w:rsidR="00C2693C" w:rsidRPr="00230CBF">
        <w:rPr>
          <w:rFonts w:ascii="Book Antiqua" w:hAnsi="Book Antiqua"/>
          <w:lang w:val="en-US"/>
        </w:rPr>
        <w:t xml:space="preserve"> </w:t>
      </w:r>
      <w:r w:rsidRPr="00230CBF">
        <w:rPr>
          <w:rFonts w:ascii="Book Antiqua" w:hAnsi="Book Antiqua"/>
        </w:rPr>
        <w:t>Piva</w:t>
      </w:r>
      <w:r w:rsidRPr="00230CBF">
        <w:rPr>
          <w:rFonts w:ascii="Book Antiqua" w:hAnsi="Book Antiqua"/>
          <w:lang w:val="en-US"/>
        </w:rPr>
        <w:t xml:space="preserve"> R</w:t>
      </w:r>
      <w:r w:rsidR="00BE6457" w:rsidRPr="00230CBF">
        <w:rPr>
          <w:rFonts w:ascii="Book Antiqua" w:hAnsi="Book Antiqua"/>
          <w:lang w:val="en-US"/>
        </w:rPr>
        <w:t xml:space="preserve"> and </w:t>
      </w:r>
      <w:r w:rsidRPr="00230CBF">
        <w:rPr>
          <w:rFonts w:ascii="Book Antiqua" w:hAnsi="Book Antiqua"/>
        </w:rPr>
        <w:t>Bauckneht</w:t>
      </w:r>
      <w:r w:rsidRPr="00230CBF">
        <w:rPr>
          <w:rFonts w:ascii="Book Antiqua" w:hAnsi="Book Antiqua"/>
          <w:lang w:val="en-US"/>
        </w:rPr>
        <w:t xml:space="preserve"> M</w:t>
      </w:r>
      <w:r w:rsidR="00BE6457" w:rsidRPr="00230CBF">
        <w:rPr>
          <w:rFonts w:ascii="Book Antiqua" w:hAnsi="Book Antiqua"/>
          <w:lang w:val="en-US"/>
        </w:rPr>
        <w:t xml:space="preserve"> drat of</w:t>
      </w:r>
      <w:r w:rsidR="00C2693C" w:rsidRPr="00230CBF">
        <w:rPr>
          <w:rFonts w:ascii="Book Antiqua" w:hAnsi="Book Antiqua"/>
          <w:lang w:val="en-US"/>
        </w:rPr>
        <w:t xml:space="preserve"> </w:t>
      </w:r>
      <w:r w:rsidR="00D036C4" w:rsidRPr="00230CBF">
        <w:rPr>
          <w:rFonts w:ascii="Book Antiqua" w:hAnsi="Book Antiqua"/>
          <w:lang w:val="en-US"/>
        </w:rPr>
        <w:t>table and figure</w:t>
      </w:r>
      <w:r w:rsidR="00C2693C" w:rsidRPr="00230CBF">
        <w:rPr>
          <w:rFonts w:ascii="Book Antiqua" w:hAnsi="Book Antiqua"/>
          <w:lang w:val="en-US"/>
        </w:rPr>
        <w:t>;</w:t>
      </w:r>
      <w:r w:rsidRPr="00230CBF">
        <w:rPr>
          <w:rFonts w:ascii="Book Antiqua" w:hAnsi="Book Antiqua"/>
        </w:rPr>
        <w:t xml:space="preserve"> Grossi</w:t>
      </w:r>
      <w:r w:rsidRPr="00230CBF">
        <w:rPr>
          <w:rFonts w:ascii="Book Antiqua" w:hAnsi="Book Antiqua"/>
          <w:lang w:val="en-US"/>
        </w:rPr>
        <w:t xml:space="preserve"> F</w:t>
      </w:r>
      <w:r w:rsidR="00A8723F" w:rsidRPr="00230CBF">
        <w:rPr>
          <w:rFonts w:ascii="Book Antiqua" w:hAnsi="Book Antiqua"/>
          <w:lang w:val="en-US"/>
        </w:rPr>
        <w:t xml:space="preserve"> and </w:t>
      </w:r>
      <w:r w:rsidRPr="00230CBF">
        <w:rPr>
          <w:rFonts w:ascii="Book Antiqua" w:hAnsi="Book Antiqua"/>
        </w:rPr>
        <w:t>Sambuceti</w:t>
      </w:r>
      <w:r w:rsidRPr="00230CBF">
        <w:rPr>
          <w:rFonts w:ascii="Book Antiqua" w:hAnsi="Book Antiqua"/>
          <w:lang w:val="en-US"/>
        </w:rPr>
        <w:t xml:space="preserve"> G</w:t>
      </w:r>
      <w:r w:rsidR="00C2693C" w:rsidRPr="00230CBF">
        <w:rPr>
          <w:rFonts w:ascii="Book Antiqua" w:hAnsi="Book Antiqua"/>
          <w:lang w:val="en-US"/>
        </w:rPr>
        <w:t xml:space="preserve"> </w:t>
      </w:r>
      <w:r w:rsidR="00D036C4" w:rsidRPr="00230CBF">
        <w:rPr>
          <w:rFonts w:ascii="Book Antiqua" w:hAnsi="Book Antiqua"/>
          <w:lang w:val="en-US"/>
        </w:rPr>
        <w:t>critical revision of the manuscript</w:t>
      </w:r>
      <w:r w:rsidR="00C2693C" w:rsidRPr="00230CBF">
        <w:rPr>
          <w:rFonts w:ascii="Book Antiqua" w:hAnsi="Book Antiqua"/>
          <w:lang w:val="en-US"/>
        </w:rPr>
        <w:t xml:space="preserve">; </w:t>
      </w:r>
      <w:r w:rsidRPr="00230CBF">
        <w:rPr>
          <w:rFonts w:ascii="Book Antiqua" w:hAnsi="Book Antiqua"/>
          <w:lang w:val="en-US"/>
        </w:rPr>
        <w:t>a</w:t>
      </w:r>
      <w:r w:rsidR="00C2693C" w:rsidRPr="00230CBF">
        <w:rPr>
          <w:rFonts w:ascii="Book Antiqua" w:hAnsi="Book Antiqua"/>
          <w:lang w:val="en-US"/>
        </w:rPr>
        <w:t xml:space="preserve">ll the authors approved the final version of the </w:t>
      </w:r>
      <w:r w:rsidR="00672B1A" w:rsidRPr="00230CBF">
        <w:rPr>
          <w:rFonts w:ascii="Book Antiqua" w:hAnsi="Book Antiqua"/>
          <w:lang w:val="en-US"/>
        </w:rPr>
        <w:t>paper.</w:t>
      </w:r>
    </w:p>
    <w:p w:rsidR="008916DF" w:rsidRPr="00230CBF" w:rsidRDefault="008916DF" w:rsidP="00230CBF">
      <w:pPr>
        <w:spacing w:line="360" w:lineRule="auto"/>
        <w:jc w:val="both"/>
        <w:rPr>
          <w:rFonts w:ascii="Book Antiqua" w:eastAsiaTheme="minorEastAsia" w:hAnsi="Book Antiqua"/>
          <w:b/>
          <w:lang w:val="en-US" w:eastAsia="zh-CN"/>
        </w:rPr>
      </w:pPr>
    </w:p>
    <w:p w:rsidR="008916DF" w:rsidRPr="00230CBF" w:rsidRDefault="008916DF" w:rsidP="00230CBF">
      <w:pPr>
        <w:spacing w:line="360" w:lineRule="auto"/>
        <w:jc w:val="both"/>
        <w:rPr>
          <w:rFonts w:ascii="Book Antiqua" w:hAnsi="Book Antiqua"/>
          <w:b/>
        </w:rPr>
      </w:pPr>
      <w:r w:rsidRPr="00230CBF">
        <w:rPr>
          <w:rFonts w:ascii="Book Antiqua" w:hAnsi="Book Antiqua"/>
          <w:b/>
        </w:rPr>
        <w:t>Conflict-of-interest statement</w:t>
      </w:r>
      <w:r w:rsidRPr="00230CBF">
        <w:rPr>
          <w:rFonts w:ascii="Book Antiqua" w:hAnsi="Book Antiqua" w:cs="TimesNewRomanPS-BoldItalicMT"/>
          <w:b/>
          <w:iCs/>
        </w:rPr>
        <w:t xml:space="preserve">: </w:t>
      </w:r>
      <w:r w:rsidRPr="00230CBF">
        <w:rPr>
          <w:rFonts w:ascii="Book Antiqua" w:hAnsi="Book Antiqua"/>
          <w:lang w:val="en-US"/>
        </w:rPr>
        <w:t>No conflict of interest to disclose</w:t>
      </w:r>
      <w:r w:rsidRPr="00230CBF">
        <w:rPr>
          <w:rFonts w:ascii="Book Antiqua" w:hAnsi="Book Antiqua"/>
          <w:b/>
          <w:lang w:val="en-US"/>
        </w:rPr>
        <w:t xml:space="preserve"> </w:t>
      </w:r>
      <w:r w:rsidRPr="00230CBF">
        <w:rPr>
          <w:rFonts w:ascii="Book Antiqua" w:hAnsi="Book Antiqua"/>
          <w:lang w:val="en-US"/>
        </w:rPr>
        <w:t>related to this publication.</w:t>
      </w:r>
    </w:p>
    <w:p w:rsidR="008916DF" w:rsidRPr="00230CBF" w:rsidRDefault="008916DF" w:rsidP="00230CBF">
      <w:pPr>
        <w:adjustRightInd w:val="0"/>
        <w:snapToGrid w:val="0"/>
        <w:spacing w:line="360" w:lineRule="auto"/>
        <w:jc w:val="both"/>
        <w:rPr>
          <w:rFonts w:ascii="Book Antiqua" w:hAnsi="Book Antiqua"/>
        </w:rPr>
      </w:pPr>
    </w:p>
    <w:p w:rsidR="008916DF" w:rsidRPr="00230CBF" w:rsidRDefault="008916DF" w:rsidP="00230CBF">
      <w:pPr>
        <w:adjustRightInd w:val="0"/>
        <w:snapToGrid w:val="0"/>
        <w:spacing w:line="360" w:lineRule="auto"/>
        <w:jc w:val="both"/>
        <w:rPr>
          <w:rFonts w:ascii="Book Antiqua" w:hAnsi="Book Antiqua" w:cs="宋体"/>
        </w:rPr>
      </w:pPr>
      <w:r w:rsidRPr="00230CBF">
        <w:rPr>
          <w:rFonts w:ascii="Book Antiqua" w:hAnsi="Book Antiqua"/>
          <w:b/>
        </w:rPr>
        <w:t xml:space="preserve">Open-Access: </w:t>
      </w:r>
      <w:r w:rsidRPr="00230CBF">
        <w:rPr>
          <w:rFonts w:ascii="Book Antiqua" w:hAnsi="Book Antiqua"/>
        </w:rPr>
        <w:t xml:space="preserve">This is an </w:t>
      </w:r>
      <w:r w:rsidRPr="00230CBF">
        <w:rPr>
          <w:rFonts w:ascii="Book Antiqua" w:hAnsi="Book Antiqua" w:cs="宋体"/>
        </w:rPr>
        <w:t xml:space="preserve">open-access article that was </w:t>
      </w:r>
      <w:r w:rsidRPr="00230CBF">
        <w:rPr>
          <w:rFonts w:ascii="Book Antiqua" w:hAnsi="Book Antiqua"/>
        </w:rPr>
        <w:t xml:space="preserve">selected by an in-house editor and fully peer-reviewed by external reviewers. It is </w:t>
      </w:r>
      <w:r w:rsidRPr="00230CBF">
        <w:rPr>
          <w:rFonts w:ascii="Book Antiqua" w:hAnsi="Book Antiqua" w:cs="宋体"/>
        </w:rPr>
        <w:t xml:space="preserve">distributed in accordance with </w:t>
      </w:r>
      <w:r w:rsidRPr="00230CBF">
        <w:rPr>
          <w:rFonts w:ascii="Book Antiqua" w:hAnsi="Book Antiqua"/>
        </w:rPr>
        <w:t xml:space="preserve">the Creative Commons Attribution Non Commercial (CC BY-NC 4.0) license, which permits others to distribute, remix, adapt, build upon this work non-commercially, and </w:t>
      </w:r>
      <w:r w:rsidRPr="00230CBF">
        <w:rPr>
          <w:rFonts w:ascii="Book Antiqua" w:hAnsi="Book Antiqua"/>
        </w:rPr>
        <w:lastRenderedPageBreak/>
        <w:t>license their derivative works on different terms, provided the original work is properly cited and the use is non-commercial. See: http://creativecommons.org/licenses/by-nc/4.0/</w:t>
      </w:r>
    </w:p>
    <w:p w:rsidR="008916DF" w:rsidRPr="00230CBF" w:rsidRDefault="008916DF" w:rsidP="00230CBF">
      <w:pPr>
        <w:spacing w:line="360" w:lineRule="auto"/>
        <w:jc w:val="both"/>
        <w:rPr>
          <w:rFonts w:ascii="Book Antiqua" w:eastAsiaTheme="minorEastAsia" w:hAnsi="Book Antiqua"/>
          <w:b/>
          <w:lang w:val="en-US" w:eastAsia="zh-CN"/>
        </w:rPr>
      </w:pPr>
    </w:p>
    <w:p w:rsidR="008916DF" w:rsidRPr="00230CBF" w:rsidRDefault="008916DF" w:rsidP="00230CBF">
      <w:pPr>
        <w:spacing w:line="360" w:lineRule="auto"/>
        <w:jc w:val="both"/>
        <w:rPr>
          <w:rFonts w:ascii="Book Antiqua" w:eastAsia="宋体" w:hAnsi="Book Antiqua" w:cs="宋体"/>
          <w:lang w:eastAsia="zh-CN"/>
        </w:rPr>
      </w:pPr>
      <w:r w:rsidRPr="00230CBF">
        <w:rPr>
          <w:rFonts w:ascii="Book Antiqua" w:eastAsia="宋体" w:hAnsi="Book Antiqua" w:cs="宋体"/>
          <w:b/>
        </w:rPr>
        <w:t>Manuscript source:</w:t>
      </w:r>
      <w:r w:rsidRPr="00230CBF">
        <w:rPr>
          <w:rFonts w:ascii="Book Antiqua" w:eastAsia="宋体" w:hAnsi="Book Antiqua" w:cs="宋体"/>
        </w:rPr>
        <w:t> Invited manuscript</w:t>
      </w:r>
    </w:p>
    <w:p w:rsidR="008916DF" w:rsidRPr="00230CBF" w:rsidRDefault="008916DF" w:rsidP="00230CBF">
      <w:pPr>
        <w:spacing w:line="360" w:lineRule="auto"/>
        <w:jc w:val="both"/>
        <w:rPr>
          <w:rFonts w:ascii="Book Antiqua" w:eastAsiaTheme="minorEastAsia" w:hAnsi="Book Antiqua"/>
          <w:b/>
          <w:lang w:val="en-US" w:eastAsia="zh-CN"/>
        </w:rPr>
      </w:pPr>
    </w:p>
    <w:p w:rsidR="00522498" w:rsidRPr="00230CBF" w:rsidRDefault="008916DF" w:rsidP="00230CBF">
      <w:pPr>
        <w:spacing w:line="360" w:lineRule="auto"/>
        <w:jc w:val="both"/>
        <w:rPr>
          <w:rFonts w:ascii="Book Antiqua" w:eastAsiaTheme="minorEastAsia" w:hAnsi="Book Antiqua"/>
          <w:lang w:eastAsia="zh-CN"/>
        </w:rPr>
      </w:pPr>
      <w:r w:rsidRPr="00230CBF">
        <w:rPr>
          <w:rFonts w:ascii="Book Antiqua" w:hAnsi="Book Antiqua"/>
          <w:b/>
        </w:rPr>
        <w:t>Correspondence to:</w:t>
      </w:r>
      <w:r w:rsidR="00522498" w:rsidRPr="00230CBF">
        <w:rPr>
          <w:rFonts w:ascii="Book Antiqua" w:hAnsi="Book Antiqua"/>
          <w:b/>
          <w:lang w:val="en-US"/>
        </w:rPr>
        <w:t xml:space="preserve"> Silvia </w:t>
      </w:r>
      <w:proofErr w:type="spellStart"/>
      <w:r w:rsidR="00522498" w:rsidRPr="00230CBF">
        <w:rPr>
          <w:rFonts w:ascii="Book Antiqua" w:hAnsi="Book Antiqua"/>
          <w:b/>
          <w:lang w:val="en-US"/>
        </w:rPr>
        <w:t>Morbelli</w:t>
      </w:r>
      <w:proofErr w:type="spellEnd"/>
      <w:r w:rsidR="00522498" w:rsidRPr="00230CBF">
        <w:rPr>
          <w:rFonts w:ascii="Book Antiqua" w:hAnsi="Book Antiqua"/>
          <w:b/>
          <w:lang w:val="en-US"/>
        </w:rPr>
        <w:t>, MD, PhD,</w:t>
      </w:r>
      <w:r w:rsidR="00522498" w:rsidRPr="00230CBF">
        <w:rPr>
          <w:rFonts w:ascii="Book Antiqua" w:hAnsi="Book Antiqua"/>
          <w:lang w:val="en-US"/>
        </w:rPr>
        <w:t xml:space="preserve"> Nuclear Medicine Unit, IRCCS San Martino–IST, University of Genoa</w:t>
      </w:r>
      <w:r w:rsidRPr="00230CBF">
        <w:rPr>
          <w:rFonts w:ascii="Book Antiqua" w:eastAsiaTheme="minorEastAsia" w:hAnsi="Book Antiqua"/>
          <w:lang w:val="en-US" w:eastAsia="zh-CN"/>
        </w:rPr>
        <w:t>,</w:t>
      </w:r>
      <w:r w:rsidR="001D2807" w:rsidRPr="00230CBF">
        <w:rPr>
          <w:rFonts w:ascii="Book Antiqua" w:hAnsi="Book Antiqua"/>
          <w:lang w:val="en-US"/>
        </w:rPr>
        <w:t xml:space="preserve"> </w:t>
      </w:r>
      <w:r w:rsidR="001D2807" w:rsidRPr="00230CBF">
        <w:rPr>
          <w:rFonts w:ascii="Book Antiqua" w:hAnsi="Book Antiqua"/>
        </w:rPr>
        <w:t>Largo R. Benzi 10</w:t>
      </w:r>
      <w:r w:rsidRPr="00230CBF">
        <w:rPr>
          <w:rFonts w:ascii="Book Antiqua" w:eastAsiaTheme="minorEastAsia" w:hAnsi="Book Antiqua"/>
          <w:lang w:eastAsia="zh-CN"/>
        </w:rPr>
        <w:t>,</w:t>
      </w:r>
      <w:r w:rsidR="001D2807" w:rsidRPr="00230CBF">
        <w:rPr>
          <w:rFonts w:ascii="Book Antiqua" w:hAnsi="Book Antiqua"/>
        </w:rPr>
        <w:t xml:space="preserve"> 16132 Genova</w:t>
      </w:r>
      <w:r w:rsidRPr="00230CBF">
        <w:rPr>
          <w:rFonts w:ascii="Book Antiqua" w:eastAsiaTheme="minorEastAsia" w:hAnsi="Book Antiqua"/>
          <w:lang w:eastAsia="zh-CN"/>
        </w:rPr>
        <w:t>,</w:t>
      </w:r>
      <w:r w:rsidR="001D2807" w:rsidRPr="00230CBF">
        <w:rPr>
          <w:rFonts w:ascii="Book Antiqua" w:hAnsi="Book Antiqua"/>
        </w:rPr>
        <w:t xml:space="preserve"> </w:t>
      </w:r>
      <w:r w:rsidRPr="00230CBF">
        <w:rPr>
          <w:rFonts w:ascii="Book Antiqua" w:hAnsi="Book Antiqua"/>
          <w:lang w:val="en-US"/>
        </w:rPr>
        <w:t>Italy</w:t>
      </w:r>
      <w:r w:rsidRPr="00230CBF">
        <w:rPr>
          <w:rFonts w:ascii="Book Antiqua" w:eastAsiaTheme="minorEastAsia" w:hAnsi="Book Antiqua"/>
          <w:lang w:val="en-US" w:eastAsia="zh-CN"/>
        </w:rPr>
        <w:t xml:space="preserve">. </w:t>
      </w:r>
      <w:hyperlink r:id="rId9" w:history="1">
        <w:r w:rsidR="001D2807" w:rsidRPr="00230CBF">
          <w:rPr>
            <w:rStyle w:val="Hyperlink"/>
            <w:rFonts w:ascii="Book Antiqua" w:hAnsi="Book Antiqua"/>
            <w:color w:val="auto"/>
            <w:u w:val="none"/>
          </w:rPr>
          <w:t>silviadaniela.morbelli@hsanmartino.it</w:t>
        </w:r>
      </w:hyperlink>
      <w:r w:rsidR="001D2807" w:rsidRPr="00230CBF">
        <w:rPr>
          <w:rFonts w:ascii="Book Antiqua" w:hAnsi="Book Antiqua"/>
        </w:rPr>
        <w:t xml:space="preserve"> </w:t>
      </w:r>
    </w:p>
    <w:p w:rsidR="001D2807" w:rsidRPr="00230CBF" w:rsidRDefault="00543FF6" w:rsidP="00230CBF">
      <w:pPr>
        <w:spacing w:line="360" w:lineRule="auto"/>
        <w:jc w:val="both"/>
        <w:rPr>
          <w:rFonts w:ascii="Book Antiqua" w:hAnsi="Book Antiqua"/>
        </w:rPr>
      </w:pPr>
      <w:r w:rsidRPr="00230CBF">
        <w:rPr>
          <w:rFonts w:ascii="Book Antiqua" w:hAnsi="Book Antiqua"/>
          <w:b/>
        </w:rPr>
        <w:t>Tele</w:t>
      </w:r>
      <w:r w:rsidR="001D2807" w:rsidRPr="00230CBF">
        <w:rPr>
          <w:rFonts w:ascii="Book Antiqua" w:hAnsi="Book Antiqua"/>
          <w:b/>
        </w:rPr>
        <w:t>phone:</w:t>
      </w:r>
      <w:r w:rsidR="001D2807" w:rsidRPr="00230CBF">
        <w:rPr>
          <w:rFonts w:ascii="Book Antiqua" w:hAnsi="Book Antiqua"/>
        </w:rPr>
        <w:t xml:space="preserve"> +39</w:t>
      </w:r>
      <w:r w:rsidR="008916DF" w:rsidRPr="00230CBF">
        <w:rPr>
          <w:rFonts w:ascii="Book Antiqua" w:eastAsiaTheme="minorEastAsia" w:hAnsi="Book Antiqua"/>
          <w:lang w:eastAsia="zh-CN"/>
        </w:rPr>
        <w:t>-</w:t>
      </w:r>
      <w:r w:rsidR="001D2807" w:rsidRPr="00230CBF">
        <w:rPr>
          <w:rFonts w:ascii="Book Antiqua" w:hAnsi="Book Antiqua"/>
        </w:rPr>
        <w:t>010</w:t>
      </w:r>
      <w:r w:rsidR="008916DF" w:rsidRPr="00230CBF">
        <w:rPr>
          <w:rFonts w:ascii="Book Antiqua" w:eastAsiaTheme="minorEastAsia" w:hAnsi="Book Antiqua"/>
          <w:lang w:eastAsia="zh-CN"/>
        </w:rPr>
        <w:t>-</w:t>
      </w:r>
      <w:r w:rsidR="001D2807" w:rsidRPr="00230CBF">
        <w:rPr>
          <w:rFonts w:ascii="Book Antiqua" w:hAnsi="Book Antiqua"/>
        </w:rPr>
        <w:t>5552026</w:t>
      </w:r>
    </w:p>
    <w:p w:rsidR="008916DF" w:rsidRPr="00230CBF" w:rsidRDefault="00543FF6" w:rsidP="00230CBF">
      <w:pPr>
        <w:spacing w:line="360" w:lineRule="auto"/>
        <w:jc w:val="both"/>
        <w:rPr>
          <w:rFonts w:ascii="Book Antiqua" w:eastAsiaTheme="minorEastAsia" w:hAnsi="Book Antiqua"/>
          <w:lang w:val="en-US" w:eastAsia="zh-CN"/>
        </w:rPr>
      </w:pPr>
      <w:r w:rsidRPr="00230CBF">
        <w:rPr>
          <w:rFonts w:ascii="Book Antiqua" w:hAnsi="Book Antiqua"/>
          <w:b/>
          <w:lang w:val="en-US"/>
        </w:rPr>
        <w:t>F</w:t>
      </w:r>
      <w:r w:rsidR="001D2807" w:rsidRPr="00230CBF">
        <w:rPr>
          <w:rFonts w:ascii="Book Antiqua" w:hAnsi="Book Antiqua"/>
          <w:b/>
          <w:lang w:val="en-US"/>
        </w:rPr>
        <w:t>ax:</w:t>
      </w:r>
      <w:r w:rsidR="001D2807" w:rsidRPr="00230CBF">
        <w:rPr>
          <w:rFonts w:ascii="Book Antiqua" w:hAnsi="Book Antiqua"/>
          <w:lang w:val="en-US"/>
        </w:rPr>
        <w:t xml:space="preserve"> +39</w:t>
      </w:r>
      <w:r w:rsidR="008916DF" w:rsidRPr="00230CBF">
        <w:rPr>
          <w:rFonts w:ascii="Book Antiqua" w:eastAsiaTheme="minorEastAsia" w:hAnsi="Book Antiqua"/>
          <w:lang w:val="en-US" w:eastAsia="zh-CN"/>
        </w:rPr>
        <w:t>-</w:t>
      </w:r>
      <w:r w:rsidR="001D2807" w:rsidRPr="00230CBF">
        <w:rPr>
          <w:rFonts w:ascii="Book Antiqua" w:hAnsi="Book Antiqua"/>
          <w:lang w:val="en-US"/>
        </w:rPr>
        <w:t>010</w:t>
      </w:r>
      <w:r w:rsidR="008916DF" w:rsidRPr="00230CBF">
        <w:rPr>
          <w:rFonts w:ascii="Book Antiqua" w:eastAsiaTheme="minorEastAsia" w:hAnsi="Book Antiqua"/>
          <w:lang w:val="en-US" w:eastAsia="zh-CN"/>
        </w:rPr>
        <w:t>-</w:t>
      </w:r>
      <w:r w:rsidR="001D2807" w:rsidRPr="00230CBF">
        <w:rPr>
          <w:rFonts w:ascii="Book Antiqua" w:hAnsi="Book Antiqua"/>
          <w:lang w:val="en-US"/>
        </w:rPr>
        <w:t>5556911</w:t>
      </w:r>
    </w:p>
    <w:p w:rsidR="008916DF" w:rsidRPr="00230CBF" w:rsidRDefault="008916DF" w:rsidP="00230CBF">
      <w:pPr>
        <w:spacing w:line="360" w:lineRule="auto"/>
        <w:jc w:val="both"/>
        <w:rPr>
          <w:rFonts w:ascii="Book Antiqua" w:eastAsiaTheme="minorEastAsia" w:hAnsi="Book Antiqua"/>
          <w:lang w:val="en-US" w:eastAsia="zh-CN"/>
        </w:rPr>
      </w:pPr>
    </w:p>
    <w:p w:rsidR="008916DF" w:rsidRPr="00230CBF" w:rsidRDefault="008916DF" w:rsidP="00230CBF">
      <w:pPr>
        <w:spacing w:line="360" w:lineRule="auto"/>
        <w:jc w:val="both"/>
        <w:rPr>
          <w:rFonts w:ascii="Book Antiqua" w:hAnsi="Book Antiqua"/>
          <w:b/>
        </w:rPr>
      </w:pPr>
      <w:r w:rsidRPr="00230CBF">
        <w:rPr>
          <w:rFonts w:ascii="Book Antiqua" w:hAnsi="Book Antiqua"/>
          <w:b/>
        </w:rPr>
        <w:t>Received:</w:t>
      </w:r>
      <w:r w:rsidRPr="00230CBF">
        <w:rPr>
          <w:rFonts w:ascii="Book Antiqua" w:eastAsiaTheme="minorEastAsia" w:hAnsi="Book Antiqua"/>
          <w:lang w:eastAsia="zh-CN"/>
        </w:rPr>
        <w:t xml:space="preserve"> August 20, 2016</w:t>
      </w:r>
      <w:r w:rsidR="00230CBF" w:rsidRPr="00230CBF">
        <w:rPr>
          <w:rFonts w:ascii="Book Antiqua" w:hAnsi="Book Antiqua"/>
        </w:rPr>
        <w:t xml:space="preserve"> </w:t>
      </w:r>
    </w:p>
    <w:p w:rsidR="008916DF" w:rsidRPr="00230CBF" w:rsidRDefault="008916DF" w:rsidP="00230CBF">
      <w:pPr>
        <w:spacing w:line="360" w:lineRule="auto"/>
        <w:jc w:val="both"/>
        <w:rPr>
          <w:rFonts w:ascii="Book Antiqua" w:hAnsi="Book Antiqua"/>
          <w:b/>
        </w:rPr>
      </w:pPr>
      <w:r w:rsidRPr="00230CBF">
        <w:rPr>
          <w:rFonts w:ascii="Book Antiqua" w:hAnsi="Book Antiqua"/>
          <w:b/>
        </w:rPr>
        <w:t>Peer-review started:</w:t>
      </w:r>
      <w:r w:rsidRPr="00230CBF">
        <w:rPr>
          <w:rFonts w:ascii="Book Antiqua" w:eastAsiaTheme="minorEastAsia" w:hAnsi="Book Antiqua"/>
          <w:lang w:eastAsia="zh-CN"/>
        </w:rPr>
        <w:t xml:space="preserve"> August 23, 2016</w:t>
      </w:r>
      <w:r w:rsidR="00230CBF" w:rsidRPr="00230CBF">
        <w:rPr>
          <w:rFonts w:ascii="Book Antiqua" w:hAnsi="Book Antiqua"/>
        </w:rPr>
        <w:t xml:space="preserve"> </w:t>
      </w:r>
    </w:p>
    <w:p w:rsidR="008916DF" w:rsidRPr="00230CBF" w:rsidRDefault="008916DF" w:rsidP="00230CBF">
      <w:pPr>
        <w:spacing w:line="360" w:lineRule="auto"/>
        <w:jc w:val="both"/>
        <w:rPr>
          <w:rFonts w:ascii="Book Antiqua" w:eastAsiaTheme="minorEastAsia" w:hAnsi="Book Antiqua"/>
          <w:b/>
          <w:lang w:eastAsia="zh-CN"/>
        </w:rPr>
      </w:pPr>
      <w:r w:rsidRPr="00230CBF">
        <w:rPr>
          <w:rFonts w:ascii="Book Antiqua" w:hAnsi="Book Antiqua"/>
          <w:b/>
        </w:rPr>
        <w:t>First decision:</w:t>
      </w:r>
      <w:r w:rsidRPr="00230CBF">
        <w:rPr>
          <w:rFonts w:ascii="Book Antiqua" w:eastAsiaTheme="minorEastAsia" w:hAnsi="Book Antiqua"/>
          <w:lang w:eastAsia="zh-CN"/>
        </w:rPr>
        <w:t xml:space="preserve"> October 21, 2016</w:t>
      </w:r>
    </w:p>
    <w:p w:rsidR="008916DF" w:rsidRPr="00230CBF" w:rsidRDefault="008916DF" w:rsidP="00230CBF">
      <w:pPr>
        <w:spacing w:line="360" w:lineRule="auto"/>
        <w:jc w:val="both"/>
        <w:rPr>
          <w:rFonts w:ascii="Book Antiqua" w:hAnsi="Book Antiqua"/>
          <w:b/>
        </w:rPr>
      </w:pPr>
      <w:r w:rsidRPr="00230CBF">
        <w:rPr>
          <w:rFonts w:ascii="Book Antiqua" w:hAnsi="Book Antiqua"/>
          <w:b/>
        </w:rPr>
        <w:t xml:space="preserve">Revised: </w:t>
      </w:r>
      <w:r w:rsidRPr="00230CBF">
        <w:rPr>
          <w:rFonts w:ascii="Book Antiqua" w:eastAsiaTheme="minorEastAsia" w:hAnsi="Book Antiqua"/>
          <w:lang w:eastAsia="zh-CN"/>
        </w:rPr>
        <w:t>November 2, 2016</w:t>
      </w:r>
      <w:r w:rsidRPr="00230CBF">
        <w:rPr>
          <w:rFonts w:ascii="Book Antiqua" w:hAnsi="Book Antiqua"/>
        </w:rPr>
        <w:t xml:space="preserve"> </w:t>
      </w:r>
    </w:p>
    <w:p w:rsidR="008916DF" w:rsidRPr="00707FAB" w:rsidRDefault="008916DF" w:rsidP="00707FAB">
      <w:pPr>
        <w:rPr>
          <w:rFonts w:ascii="Book Antiqua" w:hAnsi="Book Antiqua"/>
          <w:iCs/>
        </w:rPr>
      </w:pPr>
      <w:r w:rsidRPr="00230CBF">
        <w:rPr>
          <w:rFonts w:ascii="Book Antiqua" w:hAnsi="Book Antiqua"/>
          <w:b/>
        </w:rPr>
        <w:t>Accepted:</w:t>
      </w:r>
      <w:r w:rsidR="00230CBF" w:rsidRPr="00230CBF">
        <w:rPr>
          <w:rFonts w:ascii="Book Antiqua" w:hAnsi="Book Antiqua"/>
          <w:b/>
        </w:rPr>
        <w:t xml:space="preserve"> </w:t>
      </w:r>
      <w:proofErr w:type="spellStart"/>
      <w:r w:rsidR="00707FAB">
        <w:rPr>
          <w:rStyle w:val="Emphasis"/>
        </w:rPr>
        <w:t>November</w:t>
      </w:r>
      <w:proofErr w:type="spellEnd"/>
      <w:r w:rsidR="00707FAB">
        <w:rPr>
          <w:rStyle w:val="Emphasis"/>
          <w:rFonts w:ascii="宋体" w:hAnsi="宋体" w:cs="宋体" w:hint="eastAsia"/>
        </w:rPr>
        <w:t xml:space="preserve"> 27</w:t>
      </w:r>
      <w:r w:rsidR="00707FAB">
        <w:rPr>
          <w:rStyle w:val="Emphasis"/>
          <w:rFonts w:cs="宋体"/>
        </w:rPr>
        <w:t>,</w:t>
      </w:r>
      <w:r w:rsidR="00707FAB">
        <w:rPr>
          <w:rStyle w:val="Emphasis"/>
        </w:rPr>
        <w:t xml:space="preserve"> 2016</w:t>
      </w:r>
    </w:p>
    <w:p w:rsidR="008916DF" w:rsidRPr="00230CBF" w:rsidRDefault="008916DF" w:rsidP="00230CBF">
      <w:pPr>
        <w:spacing w:line="360" w:lineRule="auto"/>
        <w:jc w:val="both"/>
        <w:rPr>
          <w:rFonts w:ascii="Book Antiqua" w:hAnsi="Book Antiqua"/>
        </w:rPr>
      </w:pPr>
      <w:r w:rsidRPr="00230CBF">
        <w:rPr>
          <w:rFonts w:ascii="Book Antiqua" w:hAnsi="Book Antiqua"/>
          <w:b/>
        </w:rPr>
        <w:t>Article in press:</w:t>
      </w:r>
      <w:r w:rsidR="00230CBF" w:rsidRPr="00230CBF">
        <w:rPr>
          <w:rFonts w:ascii="Book Antiqua" w:hAnsi="Book Antiqua"/>
        </w:rPr>
        <w:t xml:space="preserve"> </w:t>
      </w:r>
    </w:p>
    <w:p w:rsidR="008916DF" w:rsidRPr="00230CBF" w:rsidRDefault="008916DF" w:rsidP="00230CBF">
      <w:pPr>
        <w:spacing w:line="360" w:lineRule="auto"/>
        <w:jc w:val="both"/>
        <w:rPr>
          <w:rFonts w:ascii="Book Antiqua" w:hAnsi="Book Antiqua"/>
          <w:b/>
        </w:rPr>
      </w:pPr>
      <w:r w:rsidRPr="00230CBF">
        <w:rPr>
          <w:rFonts w:ascii="Book Antiqua" w:hAnsi="Book Antiqua"/>
          <w:b/>
        </w:rPr>
        <w:t xml:space="preserve">Published online: </w:t>
      </w:r>
    </w:p>
    <w:p w:rsidR="00951218" w:rsidRPr="00230CBF" w:rsidRDefault="00951218" w:rsidP="00230CBF">
      <w:pPr>
        <w:spacing w:line="360" w:lineRule="auto"/>
        <w:jc w:val="both"/>
        <w:rPr>
          <w:rFonts w:ascii="Book Antiqua" w:hAnsi="Book Antiqua"/>
          <w:lang w:val="en-US"/>
        </w:rPr>
      </w:pPr>
      <w:r w:rsidRPr="00230CBF">
        <w:rPr>
          <w:rFonts w:ascii="Book Antiqua" w:hAnsi="Book Antiqua"/>
          <w:lang w:val="en-US"/>
        </w:rPr>
        <w:br w:type="page"/>
      </w:r>
    </w:p>
    <w:p w:rsidR="00AD4353" w:rsidRPr="00230CBF" w:rsidRDefault="00951218" w:rsidP="00230CBF">
      <w:pPr>
        <w:spacing w:line="360" w:lineRule="auto"/>
        <w:jc w:val="both"/>
        <w:rPr>
          <w:rFonts w:ascii="Book Antiqua" w:eastAsiaTheme="minorEastAsia" w:hAnsi="Book Antiqua"/>
          <w:b/>
          <w:lang w:val="en-US" w:eastAsia="zh-CN"/>
        </w:rPr>
      </w:pPr>
      <w:r w:rsidRPr="00230CBF">
        <w:rPr>
          <w:rFonts w:ascii="Book Antiqua" w:hAnsi="Book Antiqua"/>
          <w:b/>
          <w:lang w:val="en-US"/>
        </w:rPr>
        <w:lastRenderedPageBreak/>
        <w:t>Abstract</w:t>
      </w:r>
    </w:p>
    <w:p w:rsidR="00696861" w:rsidRPr="00230CBF" w:rsidRDefault="000A259A" w:rsidP="00230CBF">
      <w:pPr>
        <w:spacing w:line="360" w:lineRule="auto"/>
        <w:jc w:val="both"/>
        <w:rPr>
          <w:rFonts w:ascii="Book Antiqua" w:hAnsi="Book Antiqua"/>
          <w:lang w:val="en-US"/>
        </w:rPr>
      </w:pPr>
      <w:r w:rsidRPr="00230CBF">
        <w:rPr>
          <w:rFonts w:ascii="Book Antiqua" w:hAnsi="Book Antiqua"/>
          <w:lang w:val="en-US"/>
        </w:rPr>
        <w:t>Strategies targeting</w:t>
      </w:r>
      <w:r w:rsidR="005C4C2F" w:rsidRPr="00230CBF">
        <w:rPr>
          <w:rFonts w:ascii="Book Antiqua" w:hAnsi="Book Antiqua"/>
          <w:lang w:val="en-US"/>
        </w:rPr>
        <w:t xml:space="preserve"> intracellular negative regulators such as</w:t>
      </w:r>
      <w:r w:rsidRPr="00230CBF">
        <w:rPr>
          <w:rFonts w:ascii="Book Antiqua" w:hAnsi="Book Antiqua"/>
          <w:lang w:val="en-US"/>
        </w:rPr>
        <w:t xml:space="preserve"> immune checkpoints inhibitors (ICPIs) have demonstrated significant antitumor activity across a wide range of solid tumors. </w:t>
      </w:r>
      <w:r w:rsidR="00A4046C" w:rsidRPr="00230CBF">
        <w:rPr>
          <w:rFonts w:ascii="Book Antiqua" w:hAnsi="Book Antiqua"/>
          <w:lang w:val="en-US"/>
        </w:rPr>
        <w:t xml:space="preserve">In </w:t>
      </w:r>
      <w:r w:rsidR="00C46F8D" w:rsidRPr="00230CBF">
        <w:rPr>
          <w:rFonts w:ascii="Book Antiqua" w:hAnsi="Book Antiqua"/>
          <w:lang w:val="en-US"/>
        </w:rPr>
        <w:t xml:space="preserve">the </w:t>
      </w:r>
      <w:r w:rsidR="00A4046C" w:rsidRPr="00230CBF">
        <w:rPr>
          <w:rFonts w:ascii="Book Antiqua" w:hAnsi="Book Antiqua"/>
          <w:lang w:val="en-US"/>
        </w:rPr>
        <w:t>clinical practice, the radiologi</w:t>
      </w:r>
      <w:r w:rsidR="00C46F8D" w:rsidRPr="00230CBF">
        <w:rPr>
          <w:rFonts w:ascii="Book Antiqua" w:hAnsi="Book Antiqua"/>
          <w:lang w:val="en-US"/>
        </w:rPr>
        <w:t>cal effect of immunotherapeutic</w:t>
      </w:r>
      <w:r w:rsidR="00A4046C" w:rsidRPr="00230CBF">
        <w:rPr>
          <w:rFonts w:ascii="Book Antiqua" w:hAnsi="Book Antiqua"/>
          <w:lang w:val="en-US"/>
        </w:rPr>
        <w:t xml:space="preserve"> agent</w:t>
      </w:r>
      <w:r w:rsidR="00C46F8D" w:rsidRPr="00230CBF">
        <w:rPr>
          <w:rFonts w:ascii="Book Antiqua" w:hAnsi="Book Antiqua"/>
          <w:lang w:val="en-US"/>
        </w:rPr>
        <w:t>s</w:t>
      </w:r>
      <w:r w:rsidR="00A4046C" w:rsidRPr="00230CBF">
        <w:rPr>
          <w:rFonts w:ascii="Book Antiqua" w:hAnsi="Book Antiqua"/>
          <w:lang w:val="en-US"/>
        </w:rPr>
        <w:t xml:space="preserve"> </w:t>
      </w:r>
      <w:r w:rsidR="00F21038" w:rsidRPr="00230CBF">
        <w:rPr>
          <w:rFonts w:ascii="Book Antiqua" w:hAnsi="Book Antiqua"/>
          <w:lang w:val="en-US"/>
        </w:rPr>
        <w:t>has</w:t>
      </w:r>
      <w:r w:rsidR="00A4046C" w:rsidRPr="00230CBF">
        <w:rPr>
          <w:rFonts w:ascii="Book Antiqua" w:hAnsi="Book Antiqua"/>
          <w:lang w:val="en-US"/>
        </w:rPr>
        <w:t xml:space="preserve"> raised several more relevant and complex challenges for the determination of their imaging-based response at single patient level</w:t>
      </w:r>
      <w:r w:rsidR="00563210" w:rsidRPr="00230CBF">
        <w:rPr>
          <w:rFonts w:ascii="Book Antiqua" w:hAnsi="Book Antiqua"/>
          <w:lang w:val="en-US"/>
        </w:rPr>
        <w:t>. Accordingly,</w:t>
      </w:r>
      <w:r w:rsidR="008E1308" w:rsidRPr="00230CBF">
        <w:rPr>
          <w:rFonts w:ascii="Book Antiqua" w:hAnsi="Book Antiqua"/>
          <w:lang w:val="en-US"/>
        </w:rPr>
        <w:t xml:space="preserve"> it has been suggested that</w:t>
      </w:r>
      <w:r w:rsidR="00563210" w:rsidRPr="00230CBF">
        <w:rPr>
          <w:rFonts w:ascii="Book Antiqua" w:hAnsi="Book Antiqua"/>
          <w:lang w:val="en-US"/>
        </w:rPr>
        <w:t xml:space="preserve"> the conventional</w:t>
      </w:r>
      <w:r w:rsidR="00711412" w:rsidRPr="00230CBF">
        <w:rPr>
          <w:rFonts w:ascii="Book Antiqua" w:hAnsi="Book Antiqua"/>
          <w:lang w:val="en-US"/>
        </w:rPr>
        <w:t xml:space="preserve"> Response Evaluation Criteria in Solid Tumors</w:t>
      </w:r>
      <w:r w:rsidR="00563210" w:rsidRPr="00230CBF">
        <w:rPr>
          <w:rFonts w:ascii="Book Antiqua" w:hAnsi="Book Antiqua"/>
          <w:lang w:val="en-US"/>
        </w:rPr>
        <w:t xml:space="preserve"> assessment alone</w:t>
      </w:r>
      <w:r w:rsidR="008E1308" w:rsidRPr="00230CBF">
        <w:rPr>
          <w:rFonts w:ascii="Book Antiqua" w:hAnsi="Book Antiqua"/>
          <w:lang w:val="en-US"/>
        </w:rPr>
        <w:t>, based on dimensional evaluation</w:t>
      </w:r>
      <w:r w:rsidR="00AF0BB2" w:rsidRPr="00230CBF">
        <w:rPr>
          <w:rFonts w:ascii="Book Antiqua" w:hAnsi="Book Antiqua"/>
          <w:lang w:val="en-US"/>
        </w:rPr>
        <w:t xml:space="preserve"> provided by </w:t>
      </w:r>
      <w:r w:rsidR="008916DF" w:rsidRPr="00230CBF">
        <w:rPr>
          <w:rFonts w:ascii="Book Antiqua" w:hAnsi="Book Antiqua"/>
          <w:lang w:val="en-US"/>
        </w:rPr>
        <w:t>computed tomography</w:t>
      </w:r>
      <w:r w:rsidR="00AF0BB2" w:rsidRPr="00230CBF">
        <w:rPr>
          <w:rFonts w:ascii="Book Antiqua" w:hAnsi="Book Antiqua"/>
          <w:lang w:val="en-US"/>
        </w:rPr>
        <w:t xml:space="preserve"> (CT)</w:t>
      </w:r>
      <w:r w:rsidR="008E1308" w:rsidRPr="00230CBF">
        <w:rPr>
          <w:rFonts w:ascii="Book Antiqua" w:hAnsi="Book Antiqua"/>
          <w:lang w:val="en-US"/>
        </w:rPr>
        <w:t>,</w:t>
      </w:r>
      <w:r w:rsidR="00B60E01" w:rsidRPr="00230CBF">
        <w:rPr>
          <w:rFonts w:ascii="Book Antiqua" w:hAnsi="Book Antiqua"/>
          <w:lang w:val="en-US"/>
        </w:rPr>
        <w:t xml:space="preserve"> tend</w:t>
      </w:r>
      <w:r w:rsidR="00563210" w:rsidRPr="00230CBF">
        <w:rPr>
          <w:rFonts w:ascii="Book Antiqua" w:hAnsi="Book Antiqua"/>
          <w:lang w:val="en-US"/>
        </w:rPr>
        <w:t xml:space="preserve"> to u</w:t>
      </w:r>
      <w:r w:rsidR="008E1308" w:rsidRPr="00230CBF">
        <w:rPr>
          <w:rFonts w:ascii="Book Antiqua" w:hAnsi="Book Antiqua"/>
          <w:lang w:val="en-US"/>
        </w:rPr>
        <w:t>nderestimate the benefit of ICPIs at least</w:t>
      </w:r>
      <w:r w:rsidR="00563210" w:rsidRPr="00230CBF">
        <w:rPr>
          <w:rFonts w:ascii="Book Antiqua" w:hAnsi="Book Antiqua"/>
          <w:lang w:val="en-US"/>
        </w:rPr>
        <w:t xml:space="preserve"> in a </w:t>
      </w:r>
      <w:r w:rsidR="00B60E01" w:rsidRPr="00230CBF">
        <w:rPr>
          <w:rFonts w:ascii="Book Antiqua" w:hAnsi="Book Antiqua"/>
          <w:lang w:val="en-US"/>
        </w:rPr>
        <w:t>subset of patients, supporting the</w:t>
      </w:r>
      <w:r w:rsidR="00563210" w:rsidRPr="00230CBF">
        <w:rPr>
          <w:rFonts w:ascii="Book Antiqua" w:hAnsi="Book Antiqua"/>
          <w:lang w:val="en-US"/>
        </w:rPr>
        <w:t xml:space="preserve"> need of immune-related </w:t>
      </w:r>
      <w:r w:rsidR="00035FF8" w:rsidRPr="00230CBF">
        <w:rPr>
          <w:rFonts w:ascii="Book Antiqua" w:hAnsi="Book Antiqua"/>
          <w:lang w:val="en-US"/>
        </w:rPr>
        <w:t xml:space="preserve">response </w:t>
      </w:r>
      <w:r w:rsidR="001960C8" w:rsidRPr="00230CBF">
        <w:rPr>
          <w:rFonts w:ascii="Book Antiqua" w:hAnsi="Book Antiqua"/>
          <w:lang w:val="en-US"/>
        </w:rPr>
        <w:t>criteria</w:t>
      </w:r>
      <w:r w:rsidR="008C3791" w:rsidRPr="00230CBF">
        <w:rPr>
          <w:rFonts w:ascii="Book Antiqua" w:hAnsi="Book Antiqua"/>
          <w:lang w:val="en-US"/>
        </w:rPr>
        <w:t xml:space="preserve">. </w:t>
      </w:r>
      <w:r w:rsidR="00DE408E" w:rsidRPr="00230CBF">
        <w:rPr>
          <w:rFonts w:ascii="Book Antiqua" w:hAnsi="Book Antiqua"/>
          <w:lang w:val="en-US"/>
        </w:rPr>
        <w:t xml:space="preserve">Differently from CT, very few data are available for the evaluation of immunotherapy by means of </w:t>
      </w:r>
      <w:r w:rsidR="00DE408E" w:rsidRPr="00230CBF">
        <w:rPr>
          <w:rFonts w:ascii="Book Antiqua" w:hAnsi="Book Antiqua"/>
          <w:vertAlign w:val="superscript"/>
          <w:lang w:val="en-US"/>
        </w:rPr>
        <w:t>18</w:t>
      </w:r>
      <w:r w:rsidR="00DE408E" w:rsidRPr="00230CBF">
        <w:rPr>
          <w:rFonts w:ascii="Book Antiqua" w:hAnsi="Book Antiqua"/>
          <w:lang w:val="en-US"/>
        </w:rPr>
        <w:t>F-</w:t>
      </w:r>
      <w:r w:rsidR="009D3301" w:rsidRPr="00230CBF">
        <w:rPr>
          <w:rFonts w:ascii="Book Antiqua" w:hAnsi="Book Antiqua"/>
          <w:lang w:val="en-US"/>
        </w:rPr>
        <w:t>Fluoro-2-Deoxy-D-G</w:t>
      </w:r>
      <w:r w:rsidR="004277EE" w:rsidRPr="00230CBF">
        <w:rPr>
          <w:rFonts w:ascii="Book Antiqua" w:hAnsi="Book Antiqua"/>
          <w:lang w:val="en-US"/>
        </w:rPr>
        <w:t>lucose</w:t>
      </w:r>
      <w:r w:rsidR="00DE408E" w:rsidRPr="00230CBF">
        <w:rPr>
          <w:rFonts w:ascii="Book Antiqua" w:hAnsi="Book Antiqua"/>
          <w:lang w:val="en-US"/>
        </w:rPr>
        <w:t xml:space="preserve"> </w:t>
      </w:r>
      <w:r w:rsidR="008916DF" w:rsidRPr="00230CBF">
        <w:rPr>
          <w:rFonts w:ascii="Book Antiqua" w:hAnsi="Book Antiqua"/>
          <w:lang w:val="en-US"/>
        </w:rPr>
        <w:t>positron emission tomography (</w:t>
      </w:r>
      <w:r w:rsidR="00B2263A" w:rsidRPr="00230CBF">
        <w:rPr>
          <w:rFonts w:ascii="Book Antiqua" w:hAnsi="Book Antiqua"/>
          <w:lang w:val="en-US"/>
        </w:rPr>
        <w:t>FDG-</w:t>
      </w:r>
      <w:r w:rsidR="00DE408E" w:rsidRPr="00230CBF">
        <w:rPr>
          <w:rFonts w:ascii="Book Antiqua" w:hAnsi="Book Antiqua"/>
          <w:lang w:val="en-US"/>
        </w:rPr>
        <w:t xml:space="preserve">PET). </w:t>
      </w:r>
      <w:r w:rsidR="00060C33" w:rsidRPr="00230CBF">
        <w:rPr>
          <w:rFonts w:ascii="Book Antiqua" w:hAnsi="Book Antiqua"/>
          <w:lang w:val="en-US"/>
        </w:rPr>
        <w:t>Moreover, being the antineoplastic activity of ICPIs highly related to the activation of T cells against cancer cells, FDG accumulation might cause false positive findings. Yet, discrimination between benign and malignant processes represents a huge challenge for FDG PET in this clinical setting. Consequently</w:t>
      </w:r>
      <w:r w:rsidR="00B401FF" w:rsidRPr="00230CBF">
        <w:rPr>
          <w:rFonts w:ascii="Book Antiqua" w:hAnsi="Book Antiqua"/>
          <w:lang w:val="en-US"/>
        </w:rPr>
        <w:t xml:space="preserve">, it might be of </w:t>
      </w:r>
      <w:r w:rsidR="00696861" w:rsidRPr="00230CBF">
        <w:rPr>
          <w:rFonts w:ascii="Book Antiqua" w:hAnsi="Book Antiqua"/>
          <w:lang w:val="en-US"/>
        </w:rPr>
        <w:t xml:space="preserve">high </w:t>
      </w:r>
      <w:r w:rsidR="00B401FF" w:rsidRPr="00230CBF">
        <w:rPr>
          <w:rFonts w:ascii="Book Antiqua" w:hAnsi="Book Antiqua"/>
          <w:lang w:val="en-US"/>
        </w:rPr>
        <w:t>interest to test the complex and variegate respons</w:t>
      </w:r>
      <w:r w:rsidR="00906495" w:rsidRPr="00230CBF">
        <w:rPr>
          <w:rFonts w:ascii="Book Antiqua" w:hAnsi="Book Antiqua"/>
          <w:lang w:val="en-US"/>
        </w:rPr>
        <w:t>e to ICPIs by means of PET</w:t>
      </w:r>
      <w:r w:rsidR="000F7623" w:rsidRPr="00230CBF">
        <w:rPr>
          <w:rFonts w:ascii="Book Antiqua" w:hAnsi="Book Antiqua"/>
          <w:lang w:val="en-US"/>
        </w:rPr>
        <w:t xml:space="preserve"> and thus </w:t>
      </w:r>
      <w:r w:rsidR="00A8462F" w:rsidRPr="00230CBF">
        <w:rPr>
          <w:rFonts w:ascii="Book Antiqua" w:hAnsi="Book Antiqua"/>
          <w:lang w:val="en-US"/>
        </w:rPr>
        <w:t xml:space="preserve">it is worthwhile to ask if a similar </w:t>
      </w:r>
      <w:r w:rsidR="00567413" w:rsidRPr="00230CBF">
        <w:rPr>
          <w:rFonts w:ascii="Book Antiqua" w:hAnsi="Book Antiqua"/>
          <w:lang w:val="en-US"/>
        </w:rPr>
        <w:t>introduction</w:t>
      </w:r>
      <w:r w:rsidR="00A8462F" w:rsidRPr="00230CBF">
        <w:rPr>
          <w:rFonts w:ascii="Book Antiqua" w:hAnsi="Book Antiqua"/>
          <w:lang w:val="en-US"/>
        </w:rPr>
        <w:t xml:space="preserve"> of</w:t>
      </w:r>
      <w:r w:rsidR="00567413" w:rsidRPr="00230CBF">
        <w:rPr>
          <w:rFonts w:ascii="Book Antiqua" w:hAnsi="Book Antiqua"/>
          <w:lang w:val="en-US"/>
        </w:rPr>
        <w:t xml:space="preserve"> immune-related</w:t>
      </w:r>
      <w:r w:rsidR="00A8462F" w:rsidRPr="00230CBF">
        <w:rPr>
          <w:rFonts w:ascii="Book Antiqua" w:hAnsi="Book Antiqua"/>
          <w:lang w:val="en-US"/>
        </w:rPr>
        <w:t xml:space="preserve"> PET-based criteria could be proposed in the future.</w:t>
      </w:r>
      <w:r w:rsidR="00596153" w:rsidRPr="00230CBF">
        <w:rPr>
          <w:rFonts w:ascii="Book Antiqua" w:hAnsi="Book Antiqua"/>
          <w:lang w:val="en-US"/>
        </w:rPr>
        <w:t xml:space="preserve"> </w:t>
      </w:r>
      <w:r w:rsidR="00A90155" w:rsidRPr="00230CBF">
        <w:rPr>
          <w:rFonts w:ascii="Book Antiqua" w:hAnsi="Book Antiqua"/>
          <w:lang w:val="en-US"/>
        </w:rPr>
        <w:t xml:space="preserve">Finally, </w:t>
      </w:r>
      <w:r w:rsidR="00C11159" w:rsidRPr="00230CBF">
        <w:rPr>
          <w:rFonts w:ascii="Book Antiqua" w:hAnsi="Book Antiqua"/>
          <w:lang w:val="en-US"/>
        </w:rPr>
        <w:t>PET</w:t>
      </w:r>
      <w:r w:rsidR="00A90155" w:rsidRPr="00230CBF">
        <w:rPr>
          <w:rFonts w:ascii="Book Antiqua" w:hAnsi="Book Antiqua"/>
          <w:lang w:val="en-US"/>
        </w:rPr>
        <w:t xml:space="preserve"> might offer new insight </w:t>
      </w:r>
      <w:r w:rsidR="004C5974" w:rsidRPr="00230CBF">
        <w:rPr>
          <w:rFonts w:ascii="Book Antiqua" w:hAnsi="Book Antiqua"/>
          <w:lang w:val="en-US"/>
        </w:rPr>
        <w:t xml:space="preserve">into the biology and pathophysiology </w:t>
      </w:r>
      <w:r w:rsidR="00C11159" w:rsidRPr="00230CBF">
        <w:rPr>
          <w:rFonts w:ascii="Book Antiqua" w:hAnsi="Book Antiqua"/>
          <w:lang w:val="en-US"/>
        </w:rPr>
        <w:t>of ICPIs thank</w:t>
      </w:r>
      <w:r w:rsidR="00336020" w:rsidRPr="00230CBF">
        <w:rPr>
          <w:rFonts w:ascii="Book Antiqua" w:hAnsi="Book Antiqua"/>
          <w:lang w:val="en-US"/>
        </w:rPr>
        <w:t>s</w:t>
      </w:r>
      <w:r w:rsidR="00C11159" w:rsidRPr="00230CBF">
        <w:rPr>
          <w:rFonts w:ascii="Book Antiqua" w:hAnsi="Book Antiqua"/>
          <w:lang w:val="en-US"/>
        </w:rPr>
        <w:t xml:space="preserve"> to a growing number of </w:t>
      </w:r>
      <w:r w:rsidR="004C5974" w:rsidRPr="00230CBF">
        <w:rPr>
          <w:rFonts w:ascii="Book Antiqua" w:hAnsi="Book Antiqua"/>
          <w:lang w:val="en-US"/>
        </w:rPr>
        <w:t xml:space="preserve">non-invasive immune-diagnostic approaches </w:t>
      </w:r>
      <w:r w:rsidR="008D4363" w:rsidRPr="00230CBF">
        <w:rPr>
          <w:rFonts w:ascii="Book Antiqua" w:hAnsi="Book Antiqua"/>
          <w:lang w:val="en-US"/>
        </w:rPr>
        <w:t>based on non-FDG trac</w:t>
      </w:r>
      <w:r w:rsidR="00C11159" w:rsidRPr="00230CBF">
        <w:rPr>
          <w:rFonts w:ascii="Book Antiqua" w:hAnsi="Book Antiqua"/>
          <w:lang w:val="en-US"/>
        </w:rPr>
        <w:t>e</w:t>
      </w:r>
      <w:r w:rsidR="008D4363" w:rsidRPr="00230CBF">
        <w:rPr>
          <w:rFonts w:ascii="Book Antiqua" w:hAnsi="Book Antiqua"/>
          <w:lang w:val="en-US"/>
        </w:rPr>
        <w:t>r</w:t>
      </w:r>
      <w:r w:rsidR="00C11159" w:rsidRPr="00230CBF">
        <w:rPr>
          <w:rFonts w:ascii="Book Antiqua" w:hAnsi="Book Antiqua"/>
          <w:lang w:val="en-US"/>
        </w:rPr>
        <w:t>s</w:t>
      </w:r>
      <w:r w:rsidR="004C5974" w:rsidRPr="00230CBF">
        <w:rPr>
          <w:rFonts w:ascii="Book Antiqua" w:hAnsi="Book Antiqua"/>
          <w:lang w:val="en-US"/>
        </w:rPr>
        <w:t>.</w:t>
      </w:r>
    </w:p>
    <w:p w:rsidR="00824898" w:rsidRPr="00230CBF" w:rsidRDefault="00824898" w:rsidP="00230CBF">
      <w:pPr>
        <w:spacing w:line="360" w:lineRule="auto"/>
        <w:jc w:val="both"/>
        <w:rPr>
          <w:rFonts w:ascii="Book Antiqua" w:hAnsi="Book Antiqua"/>
          <w:b/>
          <w:lang w:val="en-US"/>
        </w:rPr>
      </w:pPr>
    </w:p>
    <w:p w:rsidR="00951218" w:rsidRPr="00230CBF" w:rsidRDefault="00951218" w:rsidP="00230CBF">
      <w:pPr>
        <w:spacing w:line="360" w:lineRule="auto"/>
        <w:jc w:val="both"/>
        <w:rPr>
          <w:rFonts w:ascii="Book Antiqua" w:hAnsi="Book Antiqua"/>
          <w:lang w:val="en-US"/>
        </w:rPr>
      </w:pPr>
      <w:r w:rsidRPr="00230CBF">
        <w:rPr>
          <w:rFonts w:ascii="Book Antiqua" w:hAnsi="Book Antiqua"/>
          <w:b/>
          <w:lang w:val="en-US"/>
        </w:rPr>
        <w:t xml:space="preserve">Key words: </w:t>
      </w:r>
      <w:r w:rsidR="00643213" w:rsidRPr="00230CBF">
        <w:rPr>
          <w:rFonts w:ascii="Book Antiqua" w:hAnsi="Book Antiqua"/>
          <w:lang w:val="en-US"/>
        </w:rPr>
        <w:t xml:space="preserve">Immune </w:t>
      </w:r>
      <w:r w:rsidR="008916DF" w:rsidRPr="00230CBF">
        <w:rPr>
          <w:rFonts w:ascii="Book Antiqua" w:hAnsi="Book Antiqua"/>
          <w:lang w:val="en-US"/>
        </w:rPr>
        <w:t>checkpoints inhi</w:t>
      </w:r>
      <w:r w:rsidR="00643213" w:rsidRPr="00230CBF">
        <w:rPr>
          <w:rFonts w:ascii="Book Antiqua" w:hAnsi="Book Antiqua"/>
          <w:lang w:val="en-US"/>
        </w:rPr>
        <w:t>bitors</w:t>
      </w:r>
      <w:r w:rsidR="008916DF" w:rsidRPr="00230CBF">
        <w:rPr>
          <w:rFonts w:ascii="Book Antiqua" w:eastAsiaTheme="minorEastAsia" w:hAnsi="Book Antiqua"/>
          <w:lang w:val="en-US" w:eastAsia="zh-CN"/>
        </w:rPr>
        <w:t>;</w:t>
      </w:r>
      <w:r w:rsidR="00643213" w:rsidRPr="00230CBF">
        <w:rPr>
          <w:rFonts w:ascii="Book Antiqua" w:hAnsi="Book Antiqua"/>
          <w:lang w:val="en-US"/>
        </w:rPr>
        <w:t xml:space="preserve"> Positron </w:t>
      </w:r>
      <w:r w:rsidR="008916DF" w:rsidRPr="00230CBF">
        <w:rPr>
          <w:rFonts w:ascii="Book Antiqua" w:hAnsi="Book Antiqua"/>
          <w:lang w:val="en-US"/>
        </w:rPr>
        <w:t>emission tom</w:t>
      </w:r>
      <w:r w:rsidRPr="00230CBF">
        <w:rPr>
          <w:rFonts w:ascii="Book Antiqua" w:hAnsi="Book Antiqua"/>
          <w:lang w:val="en-US"/>
        </w:rPr>
        <w:t>ography</w:t>
      </w:r>
      <w:r w:rsidR="008916DF" w:rsidRPr="00230CBF">
        <w:rPr>
          <w:rFonts w:ascii="Book Antiqua" w:eastAsiaTheme="minorEastAsia" w:hAnsi="Book Antiqua"/>
          <w:lang w:val="en-US" w:eastAsia="zh-CN"/>
        </w:rPr>
        <w:t>;</w:t>
      </w:r>
      <w:r w:rsidR="00793AF4" w:rsidRPr="00230CBF">
        <w:rPr>
          <w:rFonts w:ascii="Book Antiqua" w:hAnsi="Book Antiqua"/>
          <w:lang w:val="en-US"/>
        </w:rPr>
        <w:t xml:space="preserve"> Computed </w:t>
      </w:r>
      <w:r w:rsidR="008916DF" w:rsidRPr="00230CBF">
        <w:rPr>
          <w:rFonts w:ascii="Book Antiqua" w:hAnsi="Book Antiqua"/>
          <w:lang w:val="en-US"/>
        </w:rPr>
        <w:t>t</w:t>
      </w:r>
      <w:r w:rsidR="00793AF4" w:rsidRPr="00230CBF">
        <w:rPr>
          <w:rFonts w:ascii="Book Antiqua" w:hAnsi="Book Antiqua"/>
          <w:lang w:val="en-US"/>
        </w:rPr>
        <w:t>omography</w:t>
      </w:r>
      <w:r w:rsidR="008916DF" w:rsidRPr="00230CBF">
        <w:rPr>
          <w:rFonts w:ascii="Book Antiqua" w:eastAsiaTheme="minorEastAsia" w:hAnsi="Book Antiqua"/>
          <w:lang w:val="en-US" w:eastAsia="zh-CN"/>
        </w:rPr>
        <w:t>;</w:t>
      </w:r>
      <w:r w:rsidR="00793AF4" w:rsidRPr="00230CBF">
        <w:rPr>
          <w:rFonts w:ascii="Book Antiqua" w:hAnsi="Book Antiqua"/>
          <w:lang w:val="en-US"/>
        </w:rPr>
        <w:t xml:space="preserve"> </w:t>
      </w:r>
      <w:r w:rsidR="008916DF" w:rsidRPr="00230CBF">
        <w:rPr>
          <w:rFonts w:ascii="Book Antiqua" w:hAnsi="Book Antiqua"/>
          <w:vertAlign w:val="superscript"/>
          <w:lang w:val="en-US"/>
        </w:rPr>
        <w:t>18</w:t>
      </w:r>
      <w:r w:rsidR="008916DF" w:rsidRPr="00230CBF">
        <w:rPr>
          <w:rFonts w:ascii="Book Antiqua" w:hAnsi="Book Antiqua"/>
          <w:lang w:val="en-US"/>
        </w:rPr>
        <w:t>F-Fluoro-2-Deoxy-D-Glucose</w:t>
      </w:r>
      <w:r w:rsidR="008916DF" w:rsidRPr="00230CBF">
        <w:rPr>
          <w:rFonts w:ascii="Book Antiqua" w:eastAsiaTheme="minorEastAsia" w:hAnsi="Book Antiqua"/>
          <w:lang w:val="en-US" w:eastAsia="zh-CN"/>
        </w:rPr>
        <w:t>;</w:t>
      </w:r>
      <w:r w:rsidR="00D63DBB" w:rsidRPr="00230CBF">
        <w:rPr>
          <w:rFonts w:ascii="Book Antiqua" w:hAnsi="Book Antiqua"/>
          <w:lang w:val="en-US"/>
        </w:rPr>
        <w:t xml:space="preserve"> </w:t>
      </w:r>
      <w:r w:rsidR="008916DF" w:rsidRPr="00230CBF">
        <w:rPr>
          <w:rFonts w:ascii="Book Antiqua" w:hAnsi="Book Antiqua"/>
          <w:lang w:val="en-US"/>
        </w:rPr>
        <w:t>N</w:t>
      </w:r>
      <w:r w:rsidR="00D63DBB" w:rsidRPr="00230CBF">
        <w:rPr>
          <w:rFonts w:ascii="Book Antiqua" w:hAnsi="Book Antiqua"/>
          <w:lang w:val="en-US"/>
        </w:rPr>
        <w:t>on-</w:t>
      </w:r>
      <w:r w:rsidR="008916DF" w:rsidRPr="00230CBF">
        <w:rPr>
          <w:rFonts w:ascii="Book Antiqua" w:hAnsi="Book Antiqua"/>
          <w:vertAlign w:val="superscript"/>
          <w:lang w:val="en-US"/>
        </w:rPr>
        <w:t>18</w:t>
      </w:r>
      <w:r w:rsidR="008916DF" w:rsidRPr="00230CBF">
        <w:rPr>
          <w:rFonts w:ascii="Book Antiqua" w:hAnsi="Book Antiqua"/>
          <w:lang w:val="en-US"/>
        </w:rPr>
        <w:t>F-Fluoro-2-Deoxy-D-Glucose</w:t>
      </w:r>
      <w:r w:rsidR="00D63DBB" w:rsidRPr="00230CBF">
        <w:rPr>
          <w:rFonts w:ascii="Book Antiqua" w:hAnsi="Book Antiqua"/>
          <w:lang w:val="en-US"/>
        </w:rPr>
        <w:t xml:space="preserve"> tracers</w:t>
      </w:r>
    </w:p>
    <w:p w:rsidR="00824898" w:rsidRPr="00230CBF" w:rsidRDefault="00824898" w:rsidP="00230CBF">
      <w:pPr>
        <w:spacing w:line="360" w:lineRule="auto"/>
        <w:jc w:val="both"/>
        <w:rPr>
          <w:rFonts w:ascii="Book Antiqua" w:eastAsiaTheme="minorEastAsia" w:hAnsi="Book Antiqua"/>
          <w:b/>
          <w:lang w:val="en-US" w:eastAsia="zh-CN"/>
        </w:rPr>
      </w:pPr>
    </w:p>
    <w:p w:rsidR="008916DF" w:rsidRPr="00230CBF" w:rsidRDefault="008916DF" w:rsidP="00230CBF">
      <w:pPr>
        <w:spacing w:line="360" w:lineRule="auto"/>
        <w:jc w:val="both"/>
        <w:rPr>
          <w:rFonts w:ascii="Book Antiqua" w:hAnsi="Book Antiqua" w:cs="Arial"/>
        </w:rPr>
      </w:pPr>
      <w:r w:rsidRPr="00230CBF">
        <w:rPr>
          <w:rFonts w:ascii="Book Antiqua" w:hAnsi="Book Antiqua"/>
          <w:b/>
        </w:rPr>
        <w:t xml:space="preserve">© </w:t>
      </w:r>
      <w:r w:rsidRPr="00230CBF">
        <w:rPr>
          <w:rFonts w:ascii="Book Antiqua" w:hAnsi="Book Antiqua" w:cs="Arial"/>
          <w:b/>
        </w:rPr>
        <w:t>The Author(s) 2016.</w:t>
      </w:r>
      <w:r w:rsidRPr="00230CBF">
        <w:rPr>
          <w:rFonts w:ascii="Book Antiqua" w:hAnsi="Book Antiqua" w:cs="Arial"/>
        </w:rPr>
        <w:t xml:space="preserve"> Published by Baishideng Publishing Group Inc. All rights reserved.</w:t>
      </w:r>
    </w:p>
    <w:p w:rsidR="008916DF" w:rsidRPr="00230CBF" w:rsidRDefault="008916DF" w:rsidP="00230CBF">
      <w:pPr>
        <w:spacing w:line="360" w:lineRule="auto"/>
        <w:jc w:val="both"/>
        <w:rPr>
          <w:rFonts w:ascii="Book Antiqua" w:eastAsiaTheme="minorEastAsia" w:hAnsi="Book Antiqua"/>
          <w:b/>
          <w:lang w:val="en-US" w:eastAsia="zh-CN"/>
        </w:rPr>
      </w:pPr>
    </w:p>
    <w:p w:rsidR="0028781D" w:rsidRPr="00230CBF" w:rsidRDefault="00951218" w:rsidP="00230CBF">
      <w:pPr>
        <w:spacing w:line="360" w:lineRule="auto"/>
        <w:jc w:val="both"/>
        <w:rPr>
          <w:rFonts w:ascii="Book Antiqua" w:hAnsi="Book Antiqua"/>
          <w:lang w:val="en-US"/>
        </w:rPr>
      </w:pPr>
      <w:r w:rsidRPr="00230CBF">
        <w:rPr>
          <w:rFonts w:ascii="Book Antiqua" w:hAnsi="Book Antiqua"/>
          <w:b/>
          <w:lang w:val="en-US"/>
        </w:rPr>
        <w:lastRenderedPageBreak/>
        <w:t xml:space="preserve">Core </w:t>
      </w:r>
      <w:r w:rsidR="008916DF" w:rsidRPr="00230CBF">
        <w:rPr>
          <w:rFonts w:ascii="Book Antiqua" w:hAnsi="Book Antiqua"/>
          <w:b/>
          <w:lang w:val="en-US"/>
        </w:rPr>
        <w:t>t</w:t>
      </w:r>
      <w:r w:rsidRPr="00230CBF">
        <w:rPr>
          <w:rFonts w:ascii="Book Antiqua" w:hAnsi="Book Antiqua"/>
          <w:b/>
          <w:lang w:val="en-US"/>
        </w:rPr>
        <w:t>ip</w:t>
      </w:r>
      <w:r w:rsidR="00597664" w:rsidRPr="00230CBF">
        <w:rPr>
          <w:rFonts w:ascii="Book Antiqua" w:hAnsi="Book Antiqua"/>
          <w:b/>
          <w:lang w:val="en-US"/>
        </w:rPr>
        <w:t xml:space="preserve">: </w:t>
      </w:r>
      <w:r w:rsidR="00627C4A" w:rsidRPr="00230CBF">
        <w:rPr>
          <w:rFonts w:ascii="Book Antiqua" w:hAnsi="Book Antiqua"/>
          <w:lang w:val="en-US"/>
        </w:rPr>
        <w:t>I</w:t>
      </w:r>
      <w:r w:rsidR="00F21038" w:rsidRPr="00230CBF">
        <w:rPr>
          <w:rFonts w:ascii="Book Antiqua" w:hAnsi="Book Antiqua"/>
          <w:lang w:val="en-US"/>
        </w:rPr>
        <w:t>n the clinical practice</w:t>
      </w:r>
      <w:r w:rsidR="00833341" w:rsidRPr="00230CBF">
        <w:rPr>
          <w:rFonts w:ascii="Book Antiqua" w:hAnsi="Book Antiqua"/>
          <w:lang w:val="en-US"/>
        </w:rPr>
        <w:t>,</w:t>
      </w:r>
      <w:r w:rsidR="00F21038" w:rsidRPr="00230CBF">
        <w:rPr>
          <w:rFonts w:ascii="Book Antiqua" w:hAnsi="Book Antiqua"/>
          <w:lang w:val="en-US"/>
        </w:rPr>
        <w:t xml:space="preserve"> the radiological </w:t>
      </w:r>
      <w:r w:rsidR="00833341" w:rsidRPr="00230CBF">
        <w:rPr>
          <w:rFonts w:ascii="Book Antiqua" w:hAnsi="Book Antiqua"/>
          <w:lang w:val="en-US"/>
        </w:rPr>
        <w:t xml:space="preserve">interpretation of </w:t>
      </w:r>
      <w:r w:rsidR="00B7558E" w:rsidRPr="00230CBF">
        <w:rPr>
          <w:rFonts w:ascii="Book Antiqua" w:hAnsi="Book Antiqua"/>
          <w:lang w:val="en-US"/>
        </w:rPr>
        <w:t>immunotherapy effe</w:t>
      </w:r>
      <w:r w:rsidR="00627C4A" w:rsidRPr="00230CBF">
        <w:rPr>
          <w:rFonts w:ascii="Book Antiqua" w:hAnsi="Book Antiqua"/>
          <w:lang w:val="en-US"/>
        </w:rPr>
        <w:t>cts</w:t>
      </w:r>
      <w:r w:rsidR="00F21038" w:rsidRPr="00230CBF">
        <w:rPr>
          <w:rFonts w:ascii="Book Antiqua" w:hAnsi="Book Antiqua"/>
          <w:lang w:val="en-US"/>
        </w:rPr>
        <w:t xml:space="preserve"> </w:t>
      </w:r>
      <w:r w:rsidR="00833341" w:rsidRPr="00230CBF">
        <w:rPr>
          <w:rFonts w:ascii="Book Antiqua" w:hAnsi="Book Antiqua"/>
          <w:lang w:val="en-US"/>
        </w:rPr>
        <w:t>represents a huge</w:t>
      </w:r>
      <w:r w:rsidR="00F21038" w:rsidRPr="00230CBF">
        <w:rPr>
          <w:rFonts w:ascii="Book Antiqua" w:hAnsi="Book Antiqua"/>
          <w:lang w:val="en-US"/>
        </w:rPr>
        <w:t xml:space="preserve"> challenge at single patient level. </w:t>
      </w:r>
      <w:r w:rsidR="00F57757" w:rsidRPr="00230CBF">
        <w:rPr>
          <w:rFonts w:ascii="Book Antiqua" w:hAnsi="Book Antiqua"/>
          <w:lang w:val="en-US"/>
        </w:rPr>
        <w:t>However, i</w:t>
      </w:r>
      <w:r w:rsidR="009A1EBF" w:rsidRPr="00230CBF">
        <w:rPr>
          <w:rFonts w:ascii="Book Antiqua" w:hAnsi="Book Antiqua"/>
          <w:lang w:val="en-US"/>
        </w:rPr>
        <w:t>f the</w:t>
      </w:r>
      <w:r w:rsidR="00CF39B5" w:rsidRPr="00230CBF">
        <w:rPr>
          <w:rFonts w:ascii="Book Antiqua" w:hAnsi="Book Antiqua"/>
          <w:lang w:val="en-US"/>
        </w:rPr>
        <w:t xml:space="preserve"> </w:t>
      </w:r>
      <w:r w:rsidR="008916DF" w:rsidRPr="00230CBF">
        <w:rPr>
          <w:rFonts w:ascii="Book Antiqua" w:hAnsi="Book Antiqua"/>
          <w:lang w:val="en-US"/>
        </w:rPr>
        <w:t>computed tomography</w:t>
      </w:r>
      <w:r w:rsidR="009A1EBF" w:rsidRPr="00230CBF">
        <w:rPr>
          <w:rFonts w:ascii="Book Antiqua" w:hAnsi="Book Antiqua"/>
          <w:lang w:val="en-US"/>
        </w:rPr>
        <w:t xml:space="preserve">-based </w:t>
      </w:r>
      <w:r w:rsidR="00F57757" w:rsidRPr="00230CBF">
        <w:rPr>
          <w:rFonts w:ascii="Book Antiqua" w:hAnsi="Book Antiqua"/>
          <w:lang w:val="en-US"/>
        </w:rPr>
        <w:t>response evaluation for immune checkpoints inhibitors</w:t>
      </w:r>
      <w:r w:rsidR="009A1EBF" w:rsidRPr="00230CBF">
        <w:rPr>
          <w:rFonts w:ascii="Book Antiqua" w:hAnsi="Book Antiqua"/>
          <w:lang w:val="en-US"/>
        </w:rPr>
        <w:t xml:space="preserve"> </w:t>
      </w:r>
      <w:r w:rsidR="00F57757" w:rsidRPr="00230CBF">
        <w:rPr>
          <w:rFonts w:ascii="Book Antiqua" w:hAnsi="Book Antiqua"/>
          <w:lang w:val="en-US"/>
        </w:rPr>
        <w:t>(</w:t>
      </w:r>
      <w:r w:rsidR="009A1EBF" w:rsidRPr="00230CBF">
        <w:rPr>
          <w:rFonts w:ascii="Book Antiqua" w:hAnsi="Book Antiqua"/>
          <w:lang w:val="en-US"/>
        </w:rPr>
        <w:t>ICPIs</w:t>
      </w:r>
      <w:r w:rsidR="00F57757" w:rsidRPr="00230CBF">
        <w:rPr>
          <w:rFonts w:ascii="Book Antiqua" w:hAnsi="Book Antiqua"/>
          <w:lang w:val="en-US"/>
        </w:rPr>
        <w:t>)</w:t>
      </w:r>
      <w:r w:rsidR="009A1EBF" w:rsidRPr="00230CBF">
        <w:rPr>
          <w:rFonts w:ascii="Book Antiqua" w:hAnsi="Book Antiqua"/>
          <w:lang w:val="en-US"/>
        </w:rPr>
        <w:t xml:space="preserve"> is feasible thanks to</w:t>
      </w:r>
      <w:r w:rsidR="00F21038" w:rsidRPr="00230CBF">
        <w:rPr>
          <w:rFonts w:ascii="Book Antiqua" w:hAnsi="Book Antiqua"/>
          <w:lang w:val="en-US"/>
        </w:rPr>
        <w:t xml:space="preserve"> the </w:t>
      </w:r>
      <w:r w:rsidR="009A1EBF" w:rsidRPr="00230CBF">
        <w:rPr>
          <w:rFonts w:ascii="Book Antiqua" w:hAnsi="Book Antiqua"/>
          <w:lang w:val="en-US"/>
        </w:rPr>
        <w:t xml:space="preserve">introduction of </w:t>
      </w:r>
      <w:r w:rsidR="00F21038" w:rsidRPr="00230CBF">
        <w:rPr>
          <w:rFonts w:ascii="Book Antiqua" w:hAnsi="Book Antiqua"/>
          <w:lang w:val="en-US"/>
        </w:rPr>
        <w:t xml:space="preserve">immune-related </w:t>
      </w:r>
      <w:r w:rsidR="009A1EBF" w:rsidRPr="00230CBF">
        <w:rPr>
          <w:rFonts w:ascii="Book Antiqua" w:hAnsi="Book Antiqua"/>
          <w:lang w:val="en-US"/>
        </w:rPr>
        <w:t xml:space="preserve">response </w:t>
      </w:r>
      <w:r w:rsidR="00CF39B5" w:rsidRPr="00230CBF">
        <w:rPr>
          <w:rFonts w:ascii="Book Antiqua" w:hAnsi="Book Antiqua"/>
          <w:lang w:val="en-US"/>
        </w:rPr>
        <w:t>criteria</w:t>
      </w:r>
      <w:r w:rsidR="004B25B5" w:rsidRPr="00230CBF">
        <w:rPr>
          <w:rFonts w:ascii="Book Antiqua" w:hAnsi="Book Antiqua"/>
          <w:lang w:val="en-US"/>
        </w:rPr>
        <w:t>,</w:t>
      </w:r>
      <w:r w:rsidR="00F21038" w:rsidRPr="00230CBF">
        <w:rPr>
          <w:rFonts w:ascii="Book Antiqua" w:hAnsi="Book Antiqua"/>
          <w:lang w:val="en-US"/>
        </w:rPr>
        <w:t xml:space="preserve"> very few data are available for the </w:t>
      </w:r>
      <w:r w:rsidR="0083752A" w:rsidRPr="00230CBF">
        <w:rPr>
          <w:rFonts w:ascii="Book Antiqua" w:hAnsi="Book Antiqua"/>
          <w:lang w:val="en-US"/>
        </w:rPr>
        <w:t>potential role</w:t>
      </w:r>
      <w:r w:rsidR="00F21038" w:rsidRPr="00230CBF">
        <w:rPr>
          <w:rFonts w:ascii="Book Antiqua" w:hAnsi="Book Antiqua"/>
          <w:lang w:val="en-US"/>
        </w:rPr>
        <w:t xml:space="preserve"> of </w:t>
      </w:r>
      <w:r w:rsidR="008916DF" w:rsidRPr="00230CBF">
        <w:rPr>
          <w:rFonts w:ascii="Book Antiqua" w:hAnsi="Book Antiqua"/>
          <w:vertAlign w:val="superscript"/>
          <w:lang w:val="en-US"/>
        </w:rPr>
        <w:t>18</w:t>
      </w:r>
      <w:r w:rsidR="008916DF" w:rsidRPr="00230CBF">
        <w:rPr>
          <w:rFonts w:ascii="Book Antiqua" w:hAnsi="Book Antiqua"/>
          <w:lang w:val="en-US"/>
        </w:rPr>
        <w:t>F-Fluoro-2-Deoxy-D-Glucose positron emission tomography (FDG-PET)</w:t>
      </w:r>
      <w:r w:rsidR="00F21038" w:rsidRPr="00230CBF">
        <w:rPr>
          <w:rFonts w:ascii="Book Antiqua" w:hAnsi="Book Antiqua"/>
          <w:lang w:val="en-US"/>
        </w:rPr>
        <w:t xml:space="preserve">. </w:t>
      </w:r>
      <w:r w:rsidR="00D05BC7" w:rsidRPr="00230CBF">
        <w:rPr>
          <w:rFonts w:ascii="Book Antiqua" w:hAnsi="Book Antiqua"/>
          <w:lang w:val="en-US"/>
        </w:rPr>
        <w:t>D</w:t>
      </w:r>
      <w:r w:rsidR="00507290" w:rsidRPr="00230CBF">
        <w:rPr>
          <w:rFonts w:ascii="Book Antiqua" w:hAnsi="Book Antiqua"/>
          <w:lang w:val="en-US"/>
        </w:rPr>
        <w:t>ue to the intrinsic nature of FDG accumulation pathophysiology</w:t>
      </w:r>
      <w:r w:rsidR="00F21038" w:rsidRPr="00230CBF">
        <w:rPr>
          <w:rFonts w:ascii="Book Antiqua" w:hAnsi="Book Antiqua"/>
          <w:lang w:val="en-US"/>
        </w:rPr>
        <w:t xml:space="preserve">, it might be </w:t>
      </w:r>
      <w:r w:rsidR="0091191F" w:rsidRPr="00230CBF">
        <w:rPr>
          <w:rFonts w:ascii="Book Antiqua" w:hAnsi="Book Antiqua"/>
          <w:lang w:val="en-US"/>
        </w:rPr>
        <w:t>central</w:t>
      </w:r>
      <w:r w:rsidR="00F21038" w:rsidRPr="00230CBF">
        <w:rPr>
          <w:rFonts w:ascii="Book Antiqua" w:hAnsi="Book Antiqua"/>
          <w:lang w:val="en-US"/>
        </w:rPr>
        <w:t xml:space="preserve"> to test the complex and variegate</w:t>
      </w:r>
      <w:r w:rsidR="00724BB1" w:rsidRPr="00230CBF">
        <w:rPr>
          <w:rFonts w:ascii="Book Antiqua" w:hAnsi="Book Antiqua"/>
          <w:lang w:val="en-US"/>
        </w:rPr>
        <w:t>d</w:t>
      </w:r>
      <w:r w:rsidR="00F21038" w:rsidRPr="00230CBF">
        <w:rPr>
          <w:rFonts w:ascii="Book Antiqua" w:hAnsi="Book Antiqua"/>
          <w:lang w:val="en-US"/>
        </w:rPr>
        <w:t xml:space="preserve"> response to ICPIs by means of PET. Finally, PET might offer new insight into the biology of ICPIs thanks to a growing number of non-invasive immune-diagnostic approaches based on non-FDG tracers.</w:t>
      </w:r>
    </w:p>
    <w:p w:rsidR="00230CBF" w:rsidRPr="00230CBF" w:rsidRDefault="00230CBF" w:rsidP="00230CBF">
      <w:pPr>
        <w:spacing w:line="360" w:lineRule="auto"/>
        <w:jc w:val="both"/>
        <w:rPr>
          <w:rFonts w:ascii="Book Antiqua" w:eastAsiaTheme="minorEastAsia" w:hAnsi="Book Antiqua"/>
          <w:lang w:val="en-US" w:eastAsia="zh-CN"/>
        </w:rPr>
      </w:pPr>
    </w:p>
    <w:p w:rsidR="00230CBF" w:rsidRPr="00230CBF" w:rsidRDefault="00230CBF" w:rsidP="00230CBF">
      <w:pPr>
        <w:spacing w:line="360" w:lineRule="auto"/>
        <w:jc w:val="both"/>
        <w:rPr>
          <w:rFonts w:ascii="Book Antiqua" w:eastAsiaTheme="minorEastAsia" w:hAnsi="Book Antiqua"/>
          <w:lang w:val="en-US" w:eastAsia="zh-CN"/>
        </w:rPr>
      </w:pPr>
      <w:r w:rsidRPr="00230CBF">
        <w:rPr>
          <w:rFonts w:ascii="Book Antiqua" w:hAnsi="Book Antiqua"/>
        </w:rPr>
        <w:t>Bauckneht</w:t>
      </w:r>
      <w:r w:rsidRPr="00230CBF">
        <w:rPr>
          <w:rFonts w:ascii="Book Antiqua" w:eastAsiaTheme="minorEastAsia" w:hAnsi="Book Antiqua"/>
          <w:lang w:eastAsia="zh-CN"/>
        </w:rPr>
        <w:t xml:space="preserve"> M</w:t>
      </w:r>
      <w:r w:rsidRPr="00230CBF">
        <w:rPr>
          <w:rFonts w:ascii="Book Antiqua" w:hAnsi="Book Antiqua"/>
        </w:rPr>
        <w:t>, Piva</w:t>
      </w:r>
      <w:r w:rsidRPr="00230CBF">
        <w:rPr>
          <w:rFonts w:ascii="Book Antiqua" w:eastAsiaTheme="minorEastAsia" w:hAnsi="Book Antiqua"/>
          <w:lang w:eastAsia="zh-CN"/>
        </w:rPr>
        <w:t xml:space="preserve"> R</w:t>
      </w:r>
      <w:r w:rsidRPr="00230CBF">
        <w:rPr>
          <w:rFonts w:ascii="Book Antiqua" w:hAnsi="Book Antiqua"/>
        </w:rPr>
        <w:t>, Sambuceti</w:t>
      </w:r>
      <w:r w:rsidRPr="00230CBF">
        <w:rPr>
          <w:rFonts w:ascii="Book Antiqua" w:eastAsiaTheme="minorEastAsia" w:hAnsi="Book Antiqua"/>
          <w:lang w:eastAsia="zh-CN"/>
        </w:rPr>
        <w:t xml:space="preserve"> G</w:t>
      </w:r>
      <w:r w:rsidRPr="00230CBF">
        <w:rPr>
          <w:rFonts w:ascii="Book Antiqua" w:hAnsi="Book Antiqua"/>
        </w:rPr>
        <w:t>, Grossi</w:t>
      </w:r>
      <w:r w:rsidRPr="00230CBF">
        <w:rPr>
          <w:rFonts w:ascii="Book Antiqua" w:eastAsiaTheme="minorEastAsia" w:hAnsi="Book Antiqua"/>
          <w:lang w:eastAsia="zh-CN"/>
        </w:rPr>
        <w:t xml:space="preserve"> F,</w:t>
      </w:r>
      <w:r w:rsidRPr="00230CBF">
        <w:rPr>
          <w:rFonts w:ascii="Book Antiqua" w:hAnsi="Book Antiqua"/>
        </w:rPr>
        <w:t xml:space="preserve"> Morbelli </w:t>
      </w:r>
      <w:r w:rsidRPr="00230CBF">
        <w:rPr>
          <w:rFonts w:ascii="Book Antiqua" w:eastAsiaTheme="minorEastAsia" w:hAnsi="Book Antiqua"/>
          <w:lang w:eastAsia="zh-CN"/>
        </w:rPr>
        <w:t>S.</w:t>
      </w:r>
      <w:r w:rsidRPr="00230CBF">
        <w:rPr>
          <w:rFonts w:ascii="Book Antiqua" w:hAnsi="Book Antiqua"/>
          <w:lang w:val="en-US"/>
        </w:rPr>
        <w:t xml:space="preserve"> Evaluation of response to immune checkpoints inhibitors: Is there a role for positron emission tomography?</w:t>
      </w:r>
      <w:r w:rsidRPr="00230CBF">
        <w:rPr>
          <w:rFonts w:ascii="Book Antiqua" w:hAnsi="Book Antiqua"/>
          <w:i/>
          <w:iCs/>
        </w:rPr>
        <w:t xml:space="preserve"> World J Radiol</w:t>
      </w:r>
      <w:r w:rsidRPr="00230CBF">
        <w:rPr>
          <w:rFonts w:ascii="Book Antiqua" w:eastAsiaTheme="minorEastAsia" w:hAnsi="Book Antiqua"/>
          <w:i/>
          <w:iCs/>
          <w:lang w:eastAsia="zh-CN"/>
        </w:rPr>
        <w:t xml:space="preserve"> </w:t>
      </w:r>
      <w:r w:rsidRPr="00230CBF">
        <w:rPr>
          <w:rFonts w:ascii="Book Antiqua" w:eastAsiaTheme="minorEastAsia" w:hAnsi="Book Antiqua"/>
          <w:iCs/>
          <w:lang w:eastAsia="zh-CN"/>
        </w:rPr>
        <w:t>2016; In press</w:t>
      </w:r>
    </w:p>
    <w:p w:rsidR="00951218" w:rsidRPr="00230CBF" w:rsidRDefault="00951218" w:rsidP="00230CBF">
      <w:pPr>
        <w:spacing w:line="360" w:lineRule="auto"/>
        <w:jc w:val="both"/>
        <w:rPr>
          <w:rFonts w:ascii="Book Antiqua" w:hAnsi="Book Antiqua"/>
          <w:b/>
          <w:lang w:val="en-US"/>
        </w:rPr>
      </w:pPr>
      <w:r w:rsidRPr="00230CBF">
        <w:rPr>
          <w:rFonts w:ascii="Book Antiqua" w:hAnsi="Book Antiqua"/>
          <w:b/>
          <w:lang w:val="en-US"/>
        </w:rPr>
        <w:br w:type="page"/>
      </w:r>
    </w:p>
    <w:p w:rsidR="0093505E" w:rsidRPr="00230CBF" w:rsidRDefault="00230CBF" w:rsidP="00230CBF">
      <w:pPr>
        <w:spacing w:line="360" w:lineRule="auto"/>
        <w:jc w:val="both"/>
        <w:rPr>
          <w:rFonts w:ascii="Book Antiqua" w:eastAsiaTheme="minorEastAsia" w:hAnsi="Book Antiqua"/>
          <w:b/>
          <w:lang w:val="en-US" w:eastAsia="zh-CN"/>
        </w:rPr>
      </w:pPr>
      <w:r w:rsidRPr="00230CBF">
        <w:rPr>
          <w:rFonts w:ascii="Book Antiqua" w:hAnsi="Book Antiqua"/>
          <w:b/>
          <w:lang w:val="en-US"/>
        </w:rPr>
        <w:lastRenderedPageBreak/>
        <w:t>TEXT</w:t>
      </w:r>
    </w:p>
    <w:p w:rsidR="002F3B78" w:rsidRPr="00230CBF" w:rsidRDefault="00A10DAD" w:rsidP="00230CBF">
      <w:pPr>
        <w:spacing w:line="360" w:lineRule="auto"/>
        <w:jc w:val="both"/>
        <w:rPr>
          <w:rStyle w:val="apple-converted-space"/>
          <w:rFonts w:ascii="Book Antiqua" w:hAnsi="Book Antiqua"/>
          <w:lang w:val="en-US"/>
        </w:rPr>
      </w:pPr>
      <w:r w:rsidRPr="00230CBF">
        <w:rPr>
          <w:rFonts w:ascii="Book Antiqua" w:hAnsi="Book Antiqua"/>
          <w:lang w:val="en-US"/>
        </w:rPr>
        <w:t>I</w:t>
      </w:r>
      <w:r w:rsidR="00246D15" w:rsidRPr="00230CBF">
        <w:rPr>
          <w:rFonts w:ascii="Book Antiqua" w:hAnsi="Book Antiqua"/>
          <w:lang w:val="en-US"/>
        </w:rPr>
        <w:t xml:space="preserve">mmune system </w:t>
      </w:r>
      <w:r w:rsidRPr="00230CBF">
        <w:rPr>
          <w:rFonts w:ascii="Book Antiqua" w:hAnsi="Book Antiqua"/>
          <w:lang w:val="en-US"/>
        </w:rPr>
        <w:t xml:space="preserve">function </w:t>
      </w:r>
      <w:r w:rsidR="0028189C" w:rsidRPr="00230CBF">
        <w:rPr>
          <w:rFonts w:ascii="Book Antiqua" w:hAnsi="Book Antiqua"/>
          <w:lang w:val="en-US"/>
        </w:rPr>
        <w:t>is characterized by</w:t>
      </w:r>
      <w:r w:rsidR="00246D15" w:rsidRPr="00230CBF">
        <w:rPr>
          <w:rFonts w:ascii="Book Antiqua" w:hAnsi="Book Antiqua"/>
          <w:lang w:val="en-US"/>
        </w:rPr>
        <w:t xml:space="preserve"> multiple checkpoints </w:t>
      </w:r>
      <w:r w:rsidRPr="00230CBF">
        <w:rPr>
          <w:rFonts w:ascii="Book Antiqua" w:hAnsi="Book Antiqua"/>
          <w:lang w:val="en-US"/>
        </w:rPr>
        <w:t xml:space="preserve">aiming </w:t>
      </w:r>
      <w:r w:rsidR="00246D15" w:rsidRPr="00230CBF">
        <w:rPr>
          <w:rFonts w:ascii="Book Antiqua" w:hAnsi="Book Antiqua"/>
          <w:lang w:val="en-US"/>
        </w:rPr>
        <w:t xml:space="preserve">to avoid </w:t>
      </w:r>
      <w:r w:rsidRPr="00230CBF">
        <w:rPr>
          <w:rFonts w:ascii="Book Antiqua" w:hAnsi="Book Antiqua"/>
          <w:lang w:val="en-US"/>
        </w:rPr>
        <w:t xml:space="preserve">its </w:t>
      </w:r>
      <w:r w:rsidR="00246D15" w:rsidRPr="00230CBF">
        <w:rPr>
          <w:rFonts w:ascii="Book Antiqua" w:hAnsi="Book Antiqua"/>
          <w:lang w:val="en-US"/>
        </w:rPr>
        <w:t>over</w:t>
      </w:r>
      <w:r w:rsidR="009C35CB" w:rsidRPr="00230CBF">
        <w:rPr>
          <w:rFonts w:ascii="Book Antiqua" w:hAnsi="Book Antiqua"/>
          <w:lang w:val="en-US"/>
        </w:rPr>
        <w:t>-</w:t>
      </w:r>
      <w:r w:rsidR="00246D15" w:rsidRPr="00230CBF">
        <w:rPr>
          <w:rFonts w:ascii="Book Antiqua" w:hAnsi="Book Antiqua"/>
          <w:lang w:val="en-US"/>
        </w:rPr>
        <w:t xml:space="preserve">activation </w:t>
      </w:r>
      <w:r w:rsidRPr="00230CBF">
        <w:rPr>
          <w:rFonts w:ascii="Book Antiqua" w:hAnsi="Book Antiqua"/>
          <w:lang w:val="en-US"/>
        </w:rPr>
        <w:t>against</w:t>
      </w:r>
      <w:r w:rsidR="00246D15" w:rsidRPr="00230CBF">
        <w:rPr>
          <w:rFonts w:ascii="Book Antiqua" w:hAnsi="Book Antiqua"/>
          <w:lang w:val="en-US"/>
        </w:rPr>
        <w:t xml:space="preserve"> </w:t>
      </w:r>
      <w:r w:rsidRPr="00230CBF">
        <w:rPr>
          <w:rFonts w:ascii="Book Antiqua" w:hAnsi="Book Antiqua"/>
          <w:lang w:val="en-US"/>
        </w:rPr>
        <w:t>healthy cells (</w:t>
      </w:r>
      <w:r w:rsidR="00FB187A" w:rsidRPr="00230CBF">
        <w:rPr>
          <w:rFonts w:ascii="Book Antiqua" w:hAnsi="Book Antiqua"/>
          <w:lang w:val="en-US"/>
        </w:rPr>
        <w:t>self-tolerance</w:t>
      </w:r>
      <w:r w:rsidRPr="00230CBF">
        <w:rPr>
          <w:rFonts w:ascii="Book Antiqua" w:hAnsi="Book Antiqua"/>
          <w:lang w:val="en-US"/>
        </w:rPr>
        <w:t>)</w:t>
      </w:r>
      <w:r w:rsidR="000B5963" w:rsidRPr="00230CBF">
        <w:rPr>
          <w:rFonts w:ascii="Book Antiqua" w:hAnsi="Book Antiqua"/>
          <w:vertAlign w:val="superscript"/>
          <w:lang w:val="en-US"/>
        </w:rPr>
        <w:t>[</w:t>
      </w:r>
      <w:r w:rsidR="00BA5B82" w:rsidRPr="00230CBF">
        <w:rPr>
          <w:rFonts w:ascii="Book Antiqua" w:hAnsi="Book Antiqua"/>
          <w:vertAlign w:val="superscript"/>
          <w:lang w:val="en-US"/>
        </w:rPr>
        <w:t>1]</w:t>
      </w:r>
      <w:r w:rsidRPr="00230CBF">
        <w:rPr>
          <w:rFonts w:ascii="Book Antiqua" w:hAnsi="Book Antiqua"/>
          <w:lang w:val="en-US"/>
        </w:rPr>
        <w:t>.</w:t>
      </w:r>
      <w:r w:rsidR="00246D15" w:rsidRPr="00230CBF">
        <w:rPr>
          <w:rFonts w:ascii="Book Antiqua" w:hAnsi="Book Antiqua"/>
          <w:lang w:val="en-US"/>
        </w:rPr>
        <w:t xml:space="preserve"> </w:t>
      </w:r>
      <w:r w:rsidR="00CD7588" w:rsidRPr="00230CBF">
        <w:rPr>
          <w:rFonts w:ascii="Book Antiqua" w:hAnsi="Book Antiqua"/>
          <w:lang w:val="en-US"/>
        </w:rPr>
        <w:t>C</w:t>
      </w:r>
      <w:r w:rsidR="006D3050" w:rsidRPr="00230CBF">
        <w:rPr>
          <w:rFonts w:ascii="Book Antiqua" w:hAnsi="Book Antiqua"/>
          <w:lang w:val="en-US"/>
        </w:rPr>
        <w:t>ancer cells may</w:t>
      </w:r>
      <w:r w:rsidR="00246D15" w:rsidRPr="00230CBF">
        <w:rPr>
          <w:rFonts w:ascii="Book Antiqua" w:hAnsi="Book Antiqua"/>
          <w:lang w:val="en-US"/>
        </w:rPr>
        <w:t xml:space="preserve"> take advantage of these checkpoints to escape detection by the immune system. </w:t>
      </w:r>
      <w:r w:rsidR="000930C7" w:rsidRPr="00230CBF">
        <w:rPr>
          <w:rFonts w:ascii="Book Antiqua" w:hAnsi="Book Antiqua"/>
          <w:lang w:val="en-US"/>
        </w:rPr>
        <w:t xml:space="preserve">Some </w:t>
      </w:r>
      <w:r w:rsidR="002E2558" w:rsidRPr="00230CBF">
        <w:rPr>
          <w:rFonts w:ascii="Book Antiqua" w:hAnsi="Book Antiqua"/>
          <w:lang w:val="en-US"/>
        </w:rPr>
        <w:t>of</w:t>
      </w:r>
      <w:r w:rsidR="000930C7" w:rsidRPr="00230CBF">
        <w:rPr>
          <w:rFonts w:ascii="Book Antiqua" w:hAnsi="Book Antiqua"/>
          <w:lang w:val="en-US"/>
        </w:rPr>
        <w:t xml:space="preserve"> these </w:t>
      </w:r>
      <w:r w:rsidR="006C14CA" w:rsidRPr="00230CBF">
        <w:rPr>
          <w:rFonts w:ascii="Book Antiqua" w:hAnsi="Book Antiqua"/>
          <w:lang w:val="en-US"/>
        </w:rPr>
        <w:t>checkpoints</w:t>
      </w:r>
      <w:r w:rsidR="00246D15" w:rsidRPr="00230CBF">
        <w:rPr>
          <w:rFonts w:ascii="Book Antiqua" w:hAnsi="Book Antiqua"/>
          <w:lang w:val="en-US"/>
        </w:rPr>
        <w:t xml:space="preserve"> </w:t>
      </w:r>
      <w:r w:rsidR="000930C7" w:rsidRPr="00230CBF">
        <w:rPr>
          <w:rFonts w:ascii="Book Antiqua" w:hAnsi="Book Antiqua"/>
          <w:lang w:val="en-US"/>
        </w:rPr>
        <w:t>such as</w:t>
      </w:r>
      <w:r w:rsidR="006C14CA" w:rsidRPr="00230CBF">
        <w:rPr>
          <w:rFonts w:ascii="Book Antiqua" w:hAnsi="Book Antiqua"/>
          <w:lang w:val="en-US"/>
        </w:rPr>
        <w:t xml:space="preserve"> cytotoxic T-lymphocyte-associated antigen 4</w:t>
      </w:r>
      <w:r w:rsidR="000930C7" w:rsidRPr="00230CBF">
        <w:rPr>
          <w:rFonts w:ascii="Book Antiqua" w:hAnsi="Book Antiqua"/>
          <w:lang w:val="en-US"/>
        </w:rPr>
        <w:t xml:space="preserve"> </w:t>
      </w:r>
      <w:r w:rsidR="006C14CA" w:rsidRPr="00230CBF">
        <w:rPr>
          <w:rFonts w:ascii="Book Antiqua" w:hAnsi="Book Antiqua"/>
          <w:lang w:val="en-US"/>
        </w:rPr>
        <w:t>(</w:t>
      </w:r>
      <w:r w:rsidR="000930C7" w:rsidRPr="00230CBF">
        <w:rPr>
          <w:rFonts w:ascii="Book Antiqua" w:hAnsi="Book Antiqua"/>
          <w:lang w:val="en-US"/>
        </w:rPr>
        <w:t>CTLA-4</w:t>
      </w:r>
      <w:r w:rsidR="006C14CA" w:rsidRPr="00230CBF">
        <w:rPr>
          <w:rFonts w:ascii="Book Antiqua" w:hAnsi="Book Antiqua"/>
          <w:lang w:val="en-US"/>
        </w:rPr>
        <w:t>)</w:t>
      </w:r>
      <w:r w:rsidR="000930C7" w:rsidRPr="00230CBF">
        <w:rPr>
          <w:rFonts w:ascii="Book Antiqua" w:hAnsi="Book Antiqua"/>
          <w:lang w:val="en-US"/>
        </w:rPr>
        <w:t xml:space="preserve"> and </w:t>
      </w:r>
      <w:r w:rsidR="00E75EF3" w:rsidRPr="00230CBF">
        <w:rPr>
          <w:rFonts w:ascii="Book Antiqua" w:hAnsi="Book Antiqua"/>
          <w:lang w:val="en-US"/>
        </w:rPr>
        <w:t>p</w:t>
      </w:r>
      <w:r w:rsidR="00AF1F02" w:rsidRPr="00230CBF">
        <w:rPr>
          <w:rFonts w:ascii="Book Antiqua" w:hAnsi="Book Antiqua"/>
          <w:lang w:val="en-US"/>
        </w:rPr>
        <w:t>rogrammed cell death protein 1 (</w:t>
      </w:r>
      <w:r w:rsidR="000930C7" w:rsidRPr="00230CBF">
        <w:rPr>
          <w:rFonts w:ascii="Book Antiqua" w:hAnsi="Book Antiqua"/>
          <w:lang w:val="en-US"/>
        </w:rPr>
        <w:t>PD-1</w:t>
      </w:r>
      <w:r w:rsidR="00AF1F02" w:rsidRPr="00230CBF">
        <w:rPr>
          <w:rFonts w:ascii="Book Antiqua" w:hAnsi="Book Antiqua"/>
          <w:lang w:val="en-US"/>
        </w:rPr>
        <w:t>)</w:t>
      </w:r>
      <w:r w:rsidR="000930C7" w:rsidRPr="00230CBF">
        <w:rPr>
          <w:rFonts w:ascii="Book Antiqua" w:hAnsi="Book Antiqua"/>
          <w:lang w:val="en-US"/>
        </w:rPr>
        <w:t xml:space="preserve"> </w:t>
      </w:r>
      <w:r w:rsidR="00246D15" w:rsidRPr="00230CBF">
        <w:rPr>
          <w:rFonts w:ascii="Book Antiqua" w:hAnsi="Book Antiqua"/>
          <w:lang w:val="en-US"/>
        </w:rPr>
        <w:t xml:space="preserve">have been </w:t>
      </w:r>
      <w:r w:rsidR="000930C7" w:rsidRPr="00230CBF">
        <w:rPr>
          <w:rFonts w:ascii="Book Antiqua" w:hAnsi="Book Antiqua"/>
          <w:lang w:val="en-US"/>
        </w:rPr>
        <w:t xml:space="preserve">extensively </w:t>
      </w:r>
      <w:r w:rsidR="00246D15" w:rsidRPr="00230CBF">
        <w:rPr>
          <w:rFonts w:ascii="Book Antiqua" w:hAnsi="Book Antiqua"/>
          <w:lang w:val="en-US"/>
        </w:rPr>
        <w:t xml:space="preserve">studied as targets </w:t>
      </w:r>
      <w:r w:rsidR="009964EA" w:rsidRPr="00230CBF">
        <w:rPr>
          <w:rFonts w:ascii="Book Antiqua" w:hAnsi="Book Antiqua"/>
          <w:lang w:val="en-US"/>
        </w:rPr>
        <w:t xml:space="preserve">in the frame of the so-called cancer </w:t>
      </w:r>
      <w:proofErr w:type="gramStart"/>
      <w:r w:rsidR="009964EA" w:rsidRPr="00230CBF">
        <w:rPr>
          <w:rFonts w:ascii="Book Antiqua" w:hAnsi="Book Antiqua"/>
          <w:lang w:val="en-US"/>
        </w:rPr>
        <w:t>immunotherapy</w:t>
      </w:r>
      <w:r w:rsidR="00BA5B82" w:rsidRPr="00230CBF">
        <w:rPr>
          <w:rFonts w:ascii="Book Antiqua" w:hAnsi="Book Antiqua"/>
          <w:vertAlign w:val="superscript"/>
          <w:lang w:val="en-US"/>
        </w:rPr>
        <w:t>[</w:t>
      </w:r>
      <w:proofErr w:type="gramEnd"/>
      <w:r w:rsidR="00BA5B82" w:rsidRPr="00230CBF">
        <w:rPr>
          <w:rFonts w:ascii="Book Antiqua" w:hAnsi="Book Antiqua"/>
          <w:vertAlign w:val="superscript"/>
          <w:lang w:val="en-US"/>
        </w:rPr>
        <w:t>1]</w:t>
      </w:r>
      <w:r w:rsidR="00974365" w:rsidRPr="00230CBF">
        <w:rPr>
          <w:rFonts w:ascii="Book Antiqua" w:hAnsi="Book Antiqua"/>
          <w:lang w:val="en-US"/>
        </w:rPr>
        <w:t>.</w:t>
      </w:r>
      <w:r w:rsidR="006C14CA" w:rsidRPr="00230CBF">
        <w:rPr>
          <w:rFonts w:ascii="Book Antiqua" w:hAnsi="Book Antiqua"/>
          <w:lang w:val="en-US"/>
        </w:rPr>
        <w:t xml:space="preserve"> </w:t>
      </w:r>
      <w:r w:rsidR="00C81C8A" w:rsidRPr="00230CBF">
        <w:rPr>
          <w:rFonts w:ascii="Book Antiqua" w:hAnsi="Book Antiqua"/>
          <w:lang w:val="en-US"/>
        </w:rPr>
        <w:t xml:space="preserve">CTLA4 counteracts the activity of the T cell co-stimulatory receptor CD28 and actively delivers inhibitory signals to the T </w:t>
      </w:r>
      <w:proofErr w:type="gramStart"/>
      <w:r w:rsidR="00C81C8A" w:rsidRPr="00230CBF">
        <w:rPr>
          <w:rFonts w:ascii="Book Antiqua" w:hAnsi="Book Antiqua"/>
          <w:lang w:val="en-US"/>
        </w:rPr>
        <w:t>cell</w:t>
      </w:r>
      <w:r w:rsidR="00BA5B82" w:rsidRPr="00230CBF">
        <w:rPr>
          <w:rFonts w:ascii="Book Antiqua" w:hAnsi="Book Antiqua"/>
          <w:vertAlign w:val="superscript"/>
          <w:lang w:val="en-US"/>
        </w:rPr>
        <w:t>[</w:t>
      </w:r>
      <w:proofErr w:type="gramEnd"/>
      <w:r w:rsidR="00870334" w:rsidRPr="00230CBF">
        <w:rPr>
          <w:rFonts w:ascii="Book Antiqua" w:hAnsi="Book Antiqua"/>
          <w:vertAlign w:val="superscript"/>
          <w:lang w:val="en-US"/>
        </w:rPr>
        <w:t>2</w:t>
      </w:r>
      <w:r w:rsidR="00BA5B82" w:rsidRPr="00230CBF">
        <w:rPr>
          <w:rFonts w:ascii="Book Antiqua" w:hAnsi="Book Antiqua"/>
          <w:vertAlign w:val="superscript"/>
          <w:lang w:val="en-US"/>
        </w:rPr>
        <w:t>]</w:t>
      </w:r>
      <w:r w:rsidR="00C81C8A" w:rsidRPr="00230CBF">
        <w:rPr>
          <w:rFonts w:ascii="Book Antiqua" w:hAnsi="Book Antiqua"/>
          <w:lang w:val="en-US"/>
        </w:rPr>
        <w:t>.</w:t>
      </w:r>
      <w:r w:rsidR="00F73079" w:rsidRPr="00230CBF">
        <w:rPr>
          <w:rFonts w:ascii="Book Antiqua" w:hAnsi="Book Antiqua"/>
          <w:lang w:val="en-US"/>
        </w:rPr>
        <w:t xml:space="preserve"> By contrast PD</w:t>
      </w:r>
      <w:r w:rsidR="00AF1F02" w:rsidRPr="00230CBF">
        <w:rPr>
          <w:rFonts w:ascii="Book Antiqua" w:hAnsi="Book Antiqua"/>
          <w:lang w:val="en-US"/>
        </w:rPr>
        <w:t>-</w:t>
      </w:r>
      <w:r w:rsidR="00F73079" w:rsidRPr="00230CBF">
        <w:rPr>
          <w:rFonts w:ascii="Book Antiqua" w:hAnsi="Book Antiqua"/>
          <w:lang w:val="en-US"/>
        </w:rPr>
        <w:t xml:space="preserve">1 </w:t>
      </w:r>
      <w:r w:rsidR="001857A4" w:rsidRPr="00230CBF">
        <w:rPr>
          <w:rFonts w:ascii="Book Antiqua" w:hAnsi="Book Antiqua"/>
          <w:lang w:val="en-US"/>
        </w:rPr>
        <w:t>has two ligands,</w:t>
      </w:r>
      <w:r w:rsidR="00F73079" w:rsidRPr="00230CBF">
        <w:rPr>
          <w:rFonts w:ascii="Book Antiqua" w:hAnsi="Book Antiqua"/>
          <w:lang w:val="en-US"/>
        </w:rPr>
        <w:t xml:space="preserve"> PD1 ligand 1 (PDL1) and PDL2 </w:t>
      </w:r>
      <w:r w:rsidR="001857A4" w:rsidRPr="00230CBF">
        <w:rPr>
          <w:rFonts w:ascii="Book Antiqua" w:hAnsi="Book Antiqua"/>
          <w:lang w:val="en-US"/>
        </w:rPr>
        <w:t>and</w:t>
      </w:r>
      <w:r w:rsidR="0028189C" w:rsidRPr="00230CBF">
        <w:rPr>
          <w:rFonts w:ascii="Book Antiqua" w:hAnsi="Book Antiqua"/>
          <w:lang w:val="en-US"/>
        </w:rPr>
        <w:t xml:space="preserve"> its</w:t>
      </w:r>
      <w:r w:rsidR="001857A4" w:rsidRPr="00230CBF">
        <w:rPr>
          <w:rFonts w:ascii="Book Antiqua" w:hAnsi="Book Antiqua"/>
          <w:lang w:val="en-US"/>
        </w:rPr>
        <w:t xml:space="preserve"> inhibitory effect is accomplished through a dual mechanism of promoting apoptosis in antigen specific T-cells in lymph nodes</w:t>
      </w:r>
      <w:r w:rsidR="00CC50E4" w:rsidRPr="00230CBF">
        <w:rPr>
          <w:rFonts w:ascii="Book Antiqua" w:hAnsi="Book Antiqua"/>
          <w:lang w:val="en-US"/>
        </w:rPr>
        <w:t>,</w:t>
      </w:r>
      <w:r w:rsidR="001857A4" w:rsidRPr="00230CBF">
        <w:rPr>
          <w:rFonts w:ascii="Book Antiqua" w:hAnsi="Book Antiqua"/>
          <w:lang w:val="en-US"/>
        </w:rPr>
        <w:t xml:space="preserve"> while simultaneously reducing apoptosis in regulatory T cells (suppressor </w:t>
      </w:r>
      <w:r w:rsidR="00230CBF">
        <w:rPr>
          <w:rFonts w:ascii="Book Antiqua" w:hAnsi="Book Antiqua"/>
          <w:lang w:val="en-US"/>
        </w:rPr>
        <w:t>T cells)</w:t>
      </w:r>
      <w:r w:rsidR="00BA5B82" w:rsidRPr="00230CBF">
        <w:rPr>
          <w:rFonts w:ascii="Book Antiqua" w:hAnsi="Book Antiqua"/>
          <w:vertAlign w:val="superscript"/>
          <w:lang w:val="en-US"/>
        </w:rPr>
        <w:t>[3]</w:t>
      </w:r>
      <w:r w:rsidR="007A5F54" w:rsidRPr="00230CBF">
        <w:rPr>
          <w:rFonts w:ascii="Book Antiqua" w:hAnsi="Book Antiqua"/>
          <w:lang w:val="en-US"/>
        </w:rPr>
        <w:t xml:space="preserve">. </w:t>
      </w:r>
      <w:r w:rsidR="00926BA7" w:rsidRPr="00230CBF">
        <w:rPr>
          <w:rFonts w:ascii="Book Antiqua" w:hAnsi="Book Antiqua"/>
          <w:lang w:val="en-US"/>
        </w:rPr>
        <w:t xml:space="preserve">In the last few years, the blockade of immune checkpoints </w:t>
      </w:r>
      <w:r w:rsidR="000F6566" w:rsidRPr="00230CBF">
        <w:rPr>
          <w:rFonts w:ascii="Book Antiqua" w:hAnsi="Book Antiqua"/>
          <w:lang w:val="en-US"/>
        </w:rPr>
        <w:t>has disclosed</w:t>
      </w:r>
      <w:r w:rsidR="00021E8B" w:rsidRPr="00230CBF">
        <w:rPr>
          <w:rFonts w:ascii="Book Antiqua" w:hAnsi="Book Antiqua"/>
          <w:lang w:val="en-US"/>
        </w:rPr>
        <w:t xml:space="preserve"> the potential of the antitumo</w:t>
      </w:r>
      <w:r w:rsidR="00926BA7" w:rsidRPr="00230CBF">
        <w:rPr>
          <w:rFonts w:ascii="Book Antiqua" w:hAnsi="Book Antiqua"/>
          <w:lang w:val="en-US"/>
        </w:rPr>
        <w:t>r immune response in a fashion that is transforming human cancer therapeutics.</w:t>
      </w:r>
      <w:r w:rsidR="009059F4" w:rsidRPr="00230CBF">
        <w:rPr>
          <w:rFonts w:ascii="Book Antiqua" w:hAnsi="Book Antiqua"/>
          <w:lang w:val="en-US"/>
        </w:rPr>
        <w:t xml:space="preserve"> CTLA4 antibodies such as </w:t>
      </w:r>
      <w:proofErr w:type="spellStart"/>
      <w:r w:rsidR="009059F4" w:rsidRPr="00230CBF">
        <w:rPr>
          <w:rFonts w:ascii="Book Antiqua" w:hAnsi="Book Antiqua"/>
          <w:lang w:val="en-US"/>
        </w:rPr>
        <w:t>ipilimumab</w:t>
      </w:r>
      <w:proofErr w:type="spellEnd"/>
      <w:r w:rsidR="009059F4" w:rsidRPr="00230CBF">
        <w:rPr>
          <w:rFonts w:ascii="Book Antiqua" w:hAnsi="Book Antiqua"/>
          <w:lang w:val="en-US"/>
        </w:rPr>
        <w:t xml:space="preserve"> </w:t>
      </w:r>
      <w:r w:rsidR="00B5129D" w:rsidRPr="00230CBF">
        <w:rPr>
          <w:rFonts w:ascii="Book Antiqua" w:hAnsi="Book Antiqua"/>
          <w:lang w:val="en-US"/>
        </w:rPr>
        <w:t xml:space="preserve">and </w:t>
      </w:r>
      <w:proofErr w:type="spellStart"/>
      <w:r w:rsidR="00B5129D" w:rsidRPr="00230CBF">
        <w:rPr>
          <w:rFonts w:ascii="Book Antiqua" w:hAnsi="Book Antiqua"/>
          <w:lang w:val="en-US"/>
        </w:rPr>
        <w:t>tremelimumab</w:t>
      </w:r>
      <w:proofErr w:type="spellEnd"/>
      <w:r w:rsidR="00B5129D" w:rsidRPr="00230CBF">
        <w:rPr>
          <w:rFonts w:ascii="Book Antiqua" w:hAnsi="Book Antiqua"/>
          <w:lang w:val="en-US"/>
        </w:rPr>
        <w:t xml:space="preserve"> </w:t>
      </w:r>
      <w:r w:rsidR="001445CD" w:rsidRPr="00230CBF">
        <w:rPr>
          <w:rFonts w:ascii="Book Antiqua" w:hAnsi="Book Antiqua"/>
          <w:lang w:val="en-US"/>
        </w:rPr>
        <w:t xml:space="preserve">have been tested </w:t>
      </w:r>
      <w:r w:rsidR="007A5F54" w:rsidRPr="00230CBF">
        <w:rPr>
          <w:rFonts w:ascii="Book Antiqua" w:hAnsi="Book Antiqua"/>
          <w:lang w:val="en-US"/>
        </w:rPr>
        <w:t xml:space="preserve">in the last ten years </w:t>
      </w:r>
      <w:r w:rsidR="001445CD" w:rsidRPr="00230CBF">
        <w:rPr>
          <w:rFonts w:ascii="Book Antiqua" w:hAnsi="Book Antiqua"/>
          <w:lang w:val="en-US"/>
        </w:rPr>
        <w:t>in different types of cancer</w:t>
      </w:r>
      <w:r w:rsidR="00CC50E4" w:rsidRPr="00230CBF">
        <w:rPr>
          <w:rFonts w:ascii="Book Antiqua" w:hAnsi="Book Antiqua"/>
          <w:lang w:val="en-US"/>
        </w:rPr>
        <w:t>,</w:t>
      </w:r>
      <w:r w:rsidR="001445CD" w:rsidRPr="00230CBF">
        <w:rPr>
          <w:rFonts w:ascii="Book Antiqua" w:hAnsi="Book Antiqua"/>
          <w:lang w:val="en-US"/>
        </w:rPr>
        <w:t xml:space="preserve"> starting with</w:t>
      </w:r>
      <w:r w:rsidR="00A97E94" w:rsidRPr="00230CBF">
        <w:rPr>
          <w:rFonts w:ascii="Book Antiqua" w:hAnsi="Book Antiqua"/>
          <w:lang w:val="en-US"/>
        </w:rPr>
        <w:t xml:space="preserve"> pati</w:t>
      </w:r>
      <w:r w:rsidR="00230CBF">
        <w:rPr>
          <w:rFonts w:ascii="Book Antiqua" w:hAnsi="Book Antiqua"/>
          <w:lang w:val="en-US"/>
        </w:rPr>
        <w:t xml:space="preserve">ents with advanced </w:t>
      </w:r>
      <w:proofErr w:type="gramStart"/>
      <w:r w:rsidR="00230CBF">
        <w:rPr>
          <w:rFonts w:ascii="Book Antiqua" w:hAnsi="Book Antiqua"/>
          <w:lang w:val="en-US"/>
        </w:rPr>
        <w:t>melanoma</w:t>
      </w:r>
      <w:r w:rsidR="00BA5B82" w:rsidRPr="00230CBF">
        <w:rPr>
          <w:rFonts w:ascii="Book Antiqua" w:hAnsi="Book Antiqua"/>
          <w:vertAlign w:val="superscript"/>
          <w:lang w:val="en-US"/>
        </w:rPr>
        <w:t>[</w:t>
      </w:r>
      <w:proofErr w:type="gramEnd"/>
      <w:r w:rsidR="007A5F54" w:rsidRPr="00230CBF">
        <w:rPr>
          <w:rFonts w:ascii="Book Antiqua" w:hAnsi="Book Antiqua"/>
          <w:vertAlign w:val="superscript"/>
          <w:lang w:val="en-US"/>
        </w:rPr>
        <w:t>4</w:t>
      </w:r>
      <w:r w:rsidR="00BA5B82" w:rsidRPr="00230CBF">
        <w:rPr>
          <w:rFonts w:ascii="Book Antiqua" w:hAnsi="Book Antiqua"/>
          <w:vertAlign w:val="superscript"/>
          <w:lang w:val="en-US"/>
        </w:rPr>
        <w:t>]</w:t>
      </w:r>
      <w:r w:rsidR="00A97E94" w:rsidRPr="00230CBF">
        <w:rPr>
          <w:rFonts w:ascii="Book Antiqua" w:hAnsi="Book Antiqua"/>
          <w:lang w:val="en-US"/>
        </w:rPr>
        <w:t>.</w:t>
      </w:r>
      <w:r w:rsidR="00CB53E4" w:rsidRPr="00230CBF">
        <w:rPr>
          <w:rFonts w:ascii="Book Antiqua" w:hAnsi="Book Antiqua"/>
          <w:lang w:val="en-US"/>
        </w:rPr>
        <w:t xml:space="preserve"> Ipilimumab was the first therapy to demonstrate a survival benefit for pat</w:t>
      </w:r>
      <w:r w:rsidR="00676BDC" w:rsidRPr="00230CBF">
        <w:rPr>
          <w:rFonts w:ascii="Book Antiqua" w:hAnsi="Book Antiqua"/>
          <w:lang w:val="en-US"/>
        </w:rPr>
        <w:t xml:space="preserve">ients with metastatic melanoma. </w:t>
      </w:r>
      <w:r w:rsidR="00AF1F02" w:rsidRPr="00230CBF">
        <w:rPr>
          <w:rFonts w:ascii="Book Antiqua" w:hAnsi="Book Antiqua"/>
          <w:lang w:val="en-US"/>
        </w:rPr>
        <w:t xml:space="preserve">In the study </w:t>
      </w:r>
      <w:r w:rsidR="00845A0C" w:rsidRPr="00230CBF">
        <w:rPr>
          <w:rFonts w:ascii="Book Antiqua" w:hAnsi="Book Antiqua"/>
          <w:lang w:val="en-US"/>
        </w:rPr>
        <w:t xml:space="preserve">by </w:t>
      </w:r>
      <w:proofErr w:type="spellStart"/>
      <w:r w:rsidR="00845A0C" w:rsidRPr="00230CBF">
        <w:rPr>
          <w:rFonts w:ascii="Book Antiqua" w:hAnsi="Book Antiqua"/>
          <w:lang w:val="en-US"/>
        </w:rPr>
        <w:t>Hodi</w:t>
      </w:r>
      <w:proofErr w:type="spellEnd"/>
      <w:r w:rsidR="00845A0C" w:rsidRPr="00230CBF">
        <w:rPr>
          <w:rFonts w:ascii="Book Antiqua" w:hAnsi="Book Antiqua"/>
          <w:lang w:val="en-US"/>
        </w:rPr>
        <w:t xml:space="preserve"> </w:t>
      </w:r>
      <w:r w:rsidR="00230CBF">
        <w:rPr>
          <w:rFonts w:ascii="Book Antiqua" w:eastAsiaTheme="minorEastAsia" w:hAnsi="Book Antiqua" w:hint="eastAsia"/>
          <w:i/>
          <w:lang w:val="en-US" w:eastAsia="zh-CN"/>
        </w:rPr>
        <w:t>et al</w:t>
      </w:r>
      <w:r w:rsidR="00230CBF">
        <w:rPr>
          <w:rFonts w:ascii="Book Antiqua" w:eastAsiaTheme="minorEastAsia" w:hAnsi="Book Antiqua" w:hint="eastAsia"/>
          <w:vertAlign w:val="superscript"/>
          <w:lang w:val="en-US" w:eastAsia="zh-CN"/>
        </w:rPr>
        <w:t>[5]</w:t>
      </w:r>
      <w:r w:rsidR="00845A0C" w:rsidRPr="00230CBF">
        <w:rPr>
          <w:rFonts w:ascii="Book Antiqua" w:hAnsi="Book Antiqua"/>
          <w:lang w:val="en-US"/>
        </w:rPr>
        <w:t xml:space="preserve">, </w:t>
      </w:r>
      <w:proofErr w:type="spellStart"/>
      <w:r w:rsidR="00A24F06" w:rsidRPr="00230CBF">
        <w:rPr>
          <w:rFonts w:ascii="Book Antiqua" w:hAnsi="Book Antiqua"/>
          <w:lang w:val="en-US"/>
        </w:rPr>
        <w:t>ipilimumab</w:t>
      </w:r>
      <w:proofErr w:type="spellEnd"/>
      <w:r w:rsidR="00A24F06" w:rsidRPr="00230CBF">
        <w:rPr>
          <w:rFonts w:ascii="Book Antiqua" w:hAnsi="Book Antiqua"/>
          <w:lang w:val="en-US"/>
        </w:rPr>
        <w:t xml:space="preserve"> significantly improved overall survival in patients with previously treated metastatic melanoma </w:t>
      </w:r>
      <w:r w:rsidR="00676BDC" w:rsidRPr="00230CBF">
        <w:rPr>
          <w:rFonts w:ascii="Book Antiqua" w:hAnsi="Book Antiqua"/>
          <w:lang w:val="en-US"/>
        </w:rPr>
        <w:t>and the drug</w:t>
      </w:r>
      <w:r w:rsidR="00CB53E4" w:rsidRPr="00230CBF">
        <w:rPr>
          <w:rFonts w:ascii="Book Antiqua" w:hAnsi="Book Antiqua"/>
          <w:lang w:val="en-US"/>
        </w:rPr>
        <w:t xml:space="preserve"> was approved by the U</w:t>
      </w:r>
      <w:r w:rsidR="00230CBF">
        <w:rPr>
          <w:rFonts w:ascii="Book Antiqua" w:eastAsiaTheme="minorEastAsia" w:hAnsi="Book Antiqua" w:hint="eastAsia"/>
          <w:lang w:val="en-US" w:eastAsia="zh-CN"/>
        </w:rPr>
        <w:t xml:space="preserve">nited </w:t>
      </w:r>
      <w:r w:rsidR="00CB53E4" w:rsidRPr="00230CBF">
        <w:rPr>
          <w:rFonts w:ascii="Book Antiqua" w:hAnsi="Book Antiqua"/>
          <w:lang w:val="en-US"/>
        </w:rPr>
        <w:t>S</w:t>
      </w:r>
      <w:r w:rsidR="00230CBF">
        <w:rPr>
          <w:rFonts w:ascii="Book Antiqua" w:eastAsiaTheme="minorEastAsia" w:hAnsi="Book Antiqua" w:hint="eastAsia"/>
          <w:lang w:val="en-US" w:eastAsia="zh-CN"/>
        </w:rPr>
        <w:t>tates</w:t>
      </w:r>
      <w:r w:rsidR="00CB53E4" w:rsidRPr="00230CBF">
        <w:rPr>
          <w:rFonts w:ascii="Book Antiqua" w:hAnsi="Book Antiqua"/>
          <w:lang w:val="en-US"/>
        </w:rPr>
        <w:t xml:space="preserve"> Food and Drug Administration (FDA) for the treatm</w:t>
      </w:r>
      <w:r w:rsidR="007A5F54" w:rsidRPr="00230CBF">
        <w:rPr>
          <w:rFonts w:ascii="Book Antiqua" w:hAnsi="Book Antiqua"/>
          <w:lang w:val="en-US"/>
        </w:rPr>
        <w:t>en</w:t>
      </w:r>
      <w:r w:rsidR="00230CBF">
        <w:rPr>
          <w:rFonts w:ascii="Book Antiqua" w:hAnsi="Book Antiqua"/>
          <w:lang w:val="en-US"/>
        </w:rPr>
        <w:t>t of advanced melanoma in 2011</w:t>
      </w:r>
      <w:r w:rsidR="00BA5B82" w:rsidRPr="00230CBF">
        <w:rPr>
          <w:rFonts w:ascii="Book Antiqua" w:hAnsi="Book Antiqua"/>
          <w:vertAlign w:val="superscript"/>
          <w:lang w:val="en-US"/>
        </w:rPr>
        <w:t>[5]</w:t>
      </w:r>
      <w:r w:rsidR="00CB53E4" w:rsidRPr="00230CBF">
        <w:rPr>
          <w:rFonts w:ascii="Book Antiqua" w:hAnsi="Book Antiqua"/>
          <w:lang w:val="en-US"/>
        </w:rPr>
        <w:t xml:space="preserve">. </w:t>
      </w:r>
      <w:r w:rsidR="0028189C" w:rsidRPr="00230CBF">
        <w:rPr>
          <w:rFonts w:ascii="Book Antiqua" w:hAnsi="Book Antiqua"/>
          <w:lang w:val="en-US"/>
        </w:rPr>
        <w:t xml:space="preserve">Similarly, </w:t>
      </w:r>
      <w:proofErr w:type="spellStart"/>
      <w:r w:rsidR="0063412E" w:rsidRPr="00230CBF">
        <w:rPr>
          <w:rFonts w:ascii="Book Antiqua" w:hAnsi="Book Antiqua"/>
          <w:lang w:val="en-US"/>
        </w:rPr>
        <w:t>Nivolumab</w:t>
      </w:r>
      <w:proofErr w:type="spellEnd"/>
      <w:r w:rsidR="00AF1F02" w:rsidRPr="00230CBF">
        <w:rPr>
          <w:rFonts w:ascii="Book Antiqua" w:hAnsi="Book Antiqua"/>
          <w:lang w:val="en-US"/>
        </w:rPr>
        <w:t>,</w:t>
      </w:r>
      <w:r w:rsidR="0063412E" w:rsidRPr="00230CBF">
        <w:rPr>
          <w:rFonts w:ascii="Book Antiqua" w:hAnsi="Book Antiqua"/>
          <w:lang w:val="en-US"/>
        </w:rPr>
        <w:t xml:space="preserve"> a humanized anti-PD-1 monoclonal antibody</w:t>
      </w:r>
      <w:r w:rsidR="00CC50E4" w:rsidRPr="00230CBF">
        <w:rPr>
          <w:rFonts w:ascii="Book Antiqua" w:hAnsi="Book Antiqua"/>
          <w:lang w:val="en-US"/>
        </w:rPr>
        <w:t>,</w:t>
      </w:r>
      <w:r w:rsidR="00FE22E7" w:rsidRPr="00230CBF">
        <w:rPr>
          <w:rFonts w:ascii="Book Antiqua" w:hAnsi="Book Antiqua"/>
          <w:lang w:val="en-US"/>
        </w:rPr>
        <w:t xml:space="preserve"> has demonstrated durable responses </w:t>
      </w:r>
      <w:r w:rsidR="009640BB" w:rsidRPr="00230CBF">
        <w:rPr>
          <w:rFonts w:ascii="Book Antiqua" w:hAnsi="Book Antiqua"/>
          <w:lang w:val="en-US"/>
        </w:rPr>
        <w:t>in the contest of</w:t>
      </w:r>
      <w:r w:rsidR="00FE22E7" w:rsidRPr="00230CBF">
        <w:rPr>
          <w:rFonts w:ascii="Book Antiqua" w:hAnsi="Book Antiqua"/>
          <w:lang w:val="en-US"/>
        </w:rPr>
        <w:t xml:space="preserve"> </w:t>
      </w:r>
      <w:r w:rsidR="006E2BFF" w:rsidRPr="00230CBF">
        <w:rPr>
          <w:rFonts w:ascii="Book Antiqua" w:hAnsi="Book Antiqua"/>
          <w:lang w:val="en-US"/>
        </w:rPr>
        <w:t xml:space="preserve">several </w:t>
      </w:r>
      <w:r w:rsidR="00FE22E7" w:rsidRPr="00230CBF">
        <w:rPr>
          <w:rFonts w:ascii="Book Antiqua" w:hAnsi="Book Antiqua"/>
          <w:lang w:val="en-US"/>
        </w:rPr>
        <w:t xml:space="preserve">Phase III trials </w:t>
      </w:r>
      <w:r w:rsidR="009640BB" w:rsidRPr="00230CBF">
        <w:rPr>
          <w:rFonts w:ascii="Book Antiqua" w:hAnsi="Book Antiqua"/>
          <w:lang w:val="en-US"/>
        </w:rPr>
        <w:t xml:space="preserve">and has received FDA approval in specific clinical settings in patients with </w:t>
      </w:r>
      <w:r w:rsidR="00FE22E7" w:rsidRPr="00230CBF">
        <w:rPr>
          <w:rFonts w:ascii="Book Antiqua" w:hAnsi="Book Antiqua"/>
          <w:lang w:val="en-US"/>
        </w:rPr>
        <w:t>melanoma, renal cell cancer, Hodgkin’s lymphoma, bladder c</w:t>
      </w:r>
      <w:r w:rsidR="00CC50E4" w:rsidRPr="00230CBF">
        <w:rPr>
          <w:rFonts w:ascii="Book Antiqua" w:hAnsi="Book Antiqua"/>
          <w:lang w:val="en-US"/>
        </w:rPr>
        <w:t>ancer</w:t>
      </w:r>
      <w:r w:rsidR="00FE22E7" w:rsidRPr="00230CBF">
        <w:rPr>
          <w:rFonts w:ascii="Book Antiqua" w:hAnsi="Book Antiqua"/>
          <w:lang w:val="en-US"/>
        </w:rPr>
        <w:t xml:space="preserve"> and </w:t>
      </w:r>
      <w:r w:rsidR="00557403" w:rsidRPr="00230CBF">
        <w:rPr>
          <w:rFonts w:ascii="Book Antiqua" w:hAnsi="Book Antiqua"/>
          <w:lang w:val="en-US"/>
        </w:rPr>
        <w:t xml:space="preserve">Non-small cell lung cancer </w:t>
      </w:r>
      <w:r w:rsidR="004A68B5" w:rsidRPr="00230CBF">
        <w:rPr>
          <w:rFonts w:ascii="Book Antiqua" w:hAnsi="Book Antiqua"/>
          <w:lang w:val="en-US"/>
        </w:rPr>
        <w:t>(</w:t>
      </w:r>
      <w:r w:rsidR="00FE22E7" w:rsidRPr="00230CBF">
        <w:rPr>
          <w:rFonts w:ascii="Book Antiqua" w:hAnsi="Book Antiqua"/>
          <w:lang w:val="en-US"/>
        </w:rPr>
        <w:t>NSCLC</w:t>
      </w:r>
      <w:r w:rsidR="004A68B5" w:rsidRPr="00230CBF">
        <w:rPr>
          <w:rFonts w:ascii="Book Antiqua" w:hAnsi="Book Antiqua"/>
          <w:lang w:val="en-US"/>
        </w:rPr>
        <w:t>)</w:t>
      </w:r>
      <w:r w:rsidR="00BA5B82" w:rsidRPr="00230CBF">
        <w:rPr>
          <w:rFonts w:ascii="Book Antiqua" w:hAnsi="Book Antiqua"/>
          <w:vertAlign w:val="superscript"/>
          <w:lang w:val="en-US"/>
        </w:rPr>
        <w:t>[6-9]</w:t>
      </w:r>
      <w:r w:rsidR="004C1C74" w:rsidRPr="00230CBF">
        <w:rPr>
          <w:rFonts w:ascii="Book Antiqua" w:hAnsi="Book Antiqua"/>
          <w:lang w:val="en-US"/>
        </w:rPr>
        <w:t>.</w:t>
      </w:r>
      <w:r w:rsidR="00230CBF" w:rsidRPr="00230CBF">
        <w:rPr>
          <w:rStyle w:val="apple-converted-space"/>
          <w:rFonts w:ascii="Book Antiqua" w:hAnsi="Book Antiqua"/>
          <w:lang w:val="en-US"/>
        </w:rPr>
        <w:t xml:space="preserve"> </w:t>
      </w:r>
      <w:r w:rsidR="002F3B78" w:rsidRPr="00230CBF">
        <w:rPr>
          <w:rStyle w:val="apple-converted-space"/>
          <w:rFonts w:ascii="Book Antiqua" w:hAnsi="Book Antiqua"/>
          <w:lang w:val="en-US"/>
        </w:rPr>
        <w:t>Figure 1 summarizes the mechanisms of acti</w:t>
      </w:r>
      <w:r w:rsidR="0034076D" w:rsidRPr="00230CBF">
        <w:rPr>
          <w:rStyle w:val="apple-converted-space"/>
          <w:rFonts w:ascii="Book Antiqua" w:hAnsi="Book Antiqua"/>
          <w:lang w:val="en-US"/>
        </w:rPr>
        <w:t>on of the two FDA</w:t>
      </w:r>
      <w:r w:rsidR="008916DF" w:rsidRPr="00230CBF">
        <w:rPr>
          <w:rStyle w:val="apple-converted-space"/>
          <w:rFonts w:ascii="Book Antiqua" w:hAnsi="Book Antiqua"/>
          <w:lang w:val="en-US"/>
        </w:rPr>
        <w:t xml:space="preserve"> approved immune checkpoints in</w:t>
      </w:r>
      <w:r w:rsidR="0034076D" w:rsidRPr="00230CBF">
        <w:rPr>
          <w:rStyle w:val="apple-converted-space"/>
          <w:rFonts w:ascii="Book Antiqua" w:hAnsi="Book Antiqua"/>
          <w:lang w:val="en-US"/>
        </w:rPr>
        <w:t>hibitors</w:t>
      </w:r>
      <w:r w:rsidR="004048CA" w:rsidRPr="00230CBF">
        <w:rPr>
          <w:rStyle w:val="apple-converted-space"/>
          <w:rFonts w:ascii="Book Antiqua" w:hAnsi="Book Antiqua"/>
          <w:i/>
          <w:lang w:val="en-US"/>
        </w:rPr>
        <w:t xml:space="preserve"> </w:t>
      </w:r>
      <w:r w:rsidR="004048CA" w:rsidRPr="00230CBF">
        <w:rPr>
          <w:rStyle w:val="apple-converted-space"/>
          <w:rFonts w:ascii="Book Antiqua" w:hAnsi="Book Antiqua"/>
          <w:lang w:val="en-US"/>
        </w:rPr>
        <w:t>(</w:t>
      </w:r>
      <w:r w:rsidR="004048CA" w:rsidRPr="00230CBF">
        <w:rPr>
          <w:rFonts w:ascii="Book Antiqua" w:hAnsi="Book Antiqua"/>
          <w:lang w:val="en-US"/>
        </w:rPr>
        <w:t>ICPIs)</w:t>
      </w:r>
      <w:r w:rsidR="004048CA" w:rsidRPr="00230CBF">
        <w:rPr>
          <w:rFonts w:ascii="Book Antiqua" w:hAnsi="Book Antiqua"/>
          <w:i/>
          <w:lang w:val="en-US"/>
        </w:rPr>
        <w:t>.</w:t>
      </w:r>
    </w:p>
    <w:p w:rsidR="00BA5E2C" w:rsidRPr="00230CBF" w:rsidRDefault="00BA5E2C" w:rsidP="00230CBF">
      <w:pPr>
        <w:spacing w:line="360" w:lineRule="auto"/>
        <w:jc w:val="both"/>
        <w:rPr>
          <w:rStyle w:val="apple-converted-space"/>
          <w:rFonts w:ascii="Book Antiqua" w:hAnsi="Book Antiqua"/>
          <w:lang w:val="en-US"/>
        </w:rPr>
      </w:pPr>
    </w:p>
    <w:p w:rsidR="00DE4CC0" w:rsidRPr="00230CBF" w:rsidRDefault="00FF671A" w:rsidP="00230CBF">
      <w:pPr>
        <w:spacing w:line="360" w:lineRule="auto"/>
        <w:jc w:val="both"/>
        <w:rPr>
          <w:rStyle w:val="apple-converted-space"/>
          <w:rFonts w:ascii="Book Antiqua" w:hAnsi="Book Antiqua"/>
          <w:b/>
          <w:i/>
          <w:lang w:val="en-US"/>
        </w:rPr>
      </w:pPr>
      <w:r w:rsidRPr="00230CBF">
        <w:rPr>
          <w:rStyle w:val="apple-converted-space"/>
          <w:rFonts w:ascii="Book Antiqua" w:hAnsi="Book Antiqua"/>
          <w:b/>
          <w:i/>
          <w:lang w:val="en-US"/>
        </w:rPr>
        <w:t xml:space="preserve">Evaluation of response to </w:t>
      </w:r>
      <w:r w:rsidR="008916DF" w:rsidRPr="00230CBF">
        <w:rPr>
          <w:rFonts w:ascii="Book Antiqua" w:hAnsi="Book Antiqua"/>
          <w:b/>
          <w:i/>
          <w:lang w:val="en-US"/>
        </w:rPr>
        <w:t>ICPIs</w:t>
      </w:r>
      <w:r w:rsidR="00201587" w:rsidRPr="00230CBF">
        <w:rPr>
          <w:rStyle w:val="apple-converted-space"/>
          <w:rFonts w:ascii="Book Antiqua" w:hAnsi="Book Antiqua"/>
          <w:b/>
          <w:i/>
          <w:lang w:val="en-US"/>
        </w:rPr>
        <w:t xml:space="preserve"> </w:t>
      </w:r>
    </w:p>
    <w:p w:rsidR="00FF671A" w:rsidRPr="00230CBF" w:rsidRDefault="00FF671A" w:rsidP="00230CBF">
      <w:pPr>
        <w:spacing w:line="360" w:lineRule="auto"/>
        <w:jc w:val="both"/>
        <w:rPr>
          <w:rStyle w:val="apple-converted-space"/>
          <w:rFonts w:ascii="Book Antiqua" w:hAnsi="Book Antiqua"/>
          <w:lang w:val="en-US"/>
        </w:rPr>
      </w:pPr>
      <w:r w:rsidRPr="00230CBF">
        <w:rPr>
          <w:rStyle w:val="apple-converted-space"/>
          <w:rFonts w:ascii="Book Antiqua" w:hAnsi="Book Antiqua"/>
          <w:lang w:val="en-US"/>
        </w:rPr>
        <w:t>Historically Response Evaluation Criteria in Solid Tumors (RECIST) has been validated and</w:t>
      </w:r>
      <w:r w:rsidR="00792188" w:rsidRPr="00230CBF">
        <w:rPr>
          <w:rStyle w:val="apple-converted-space"/>
          <w:rFonts w:ascii="Book Antiqua" w:hAnsi="Book Antiqua"/>
          <w:lang w:val="en-US"/>
        </w:rPr>
        <w:t xml:space="preserve"> </w:t>
      </w:r>
      <w:r w:rsidRPr="00230CBF">
        <w:rPr>
          <w:rStyle w:val="apple-converted-space"/>
          <w:rFonts w:ascii="Book Antiqua" w:hAnsi="Book Antiqua"/>
          <w:lang w:val="en-US"/>
        </w:rPr>
        <w:t>used to evaluate antitumor respo</w:t>
      </w:r>
      <w:r w:rsidR="006D3948" w:rsidRPr="00230CBF">
        <w:rPr>
          <w:rStyle w:val="apple-converted-space"/>
          <w:rFonts w:ascii="Book Antiqua" w:hAnsi="Book Antiqua"/>
          <w:lang w:val="en-US"/>
        </w:rPr>
        <w:t xml:space="preserve">nses to </w:t>
      </w:r>
      <w:r w:rsidR="00230CBF">
        <w:rPr>
          <w:rStyle w:val="apple-converted-space"/>
          <w:rFonts w:ascii="Book Antiqua" w:hAnsi="Book Antiqua"/>
          <w:lang w:val="en-US"/>
        </w:rPr>
        <w:t xml:space="preserve">chemotherapeutic </w:t>
      </w:r>
      <w:proofErr w:type="gramStart"/>
      <w:r w:rsidR="00230CBF">
        <w:rPr>
          <w:rStyle w:val="apple-converted-space"/>
          <w:rFonts w:ascii="Book Antiqua" w:hAnsi="Book Antiqua"/>
          <w:lang w:val="en-US"/>
        </w:rPr>
        <w:t>agents</w:t>
      </w:r>
      <w:r w:rsidR="00BA5B82" w:rsidRPr="00230CBF">
        <w:rPr>
          <w:rStyle w:val="apple-converted-space"/>
          <w:rFonts w:ascii="Book Antiqua" w:hAnsi="Book Antiqua"/>
          <w:vertAlign w:val="superscript"/>
          <w:lang w:val="en-US"/>
        </w:rPr>
        <w:t>[</w:t>
      </w:r>
      <w:proofErr w:type="gramEnd"/>
      <w:r w:rsidR="003F7A41" w:rsidRPr="00230CBF">
        <w:rPr>
          <w:rStyle w:val="apple-converted-space"/>
          <w:rFonts w:ascii="Book Antiqua" w:hAnsi="Book Antiqua"/>
          <w:vertAlign w:val="superscript"/>
          <w:lang w:val="en-US"/>
        </w:rPr>
        <w:t>10</w:t>
      </w:r>
      <w:r w:rsidR="00BA5B82" w:rsidRPr="00230CBF">
        <w:rPr>
          <w:rStyle w:val="apple-converted-space"/>
          <w:rFonts w:ascii="Book Antiqua" w:hAnsi="Book Antiqua"/>
          <w:vertAlign w:val="superscript"/>
          <w:lang w:val="en-US"/>
        </w:rPr>
        <w:t>]</w:t>
      </w:r>
      <w:r w:rsidR="002C1CA2" w:rsidRPr="00230CBF">
        <w:rPr>
          <w:rStyle w:val="apple-converted-space"/>
          <w:rFonts w:ascii="Book Antiqua" w:hAnsi="Book Antiqua"/>
          <w:lang w:val="en-US"/>
        </w:rPr>
        <w:t xml:space="preserve"> </w:t>
      </w:r>
      <w:r w:rsidR="00BA5B82" w:rsidRPr="00230CBF">
        <w:rPr>
          <w:rStyle w:val="apple-converted-space"/>
          <w:rFonts w:ascii="Book Antiqua" w:hAnsi="Book Antiqua"/>
          <w:lang w:val="en-US"/>
        </w:rPr>
        <w:t>(</w:t>
      </w:r>
      <w:r w:rsidR="00230CBF" w:rsidRPr="00230CBF">
        <w:rPr>
          <w:rStyle w:val="apple-converted-space"/>
          <w:rFonts w:ascii="Book Antiqua" w:hAnsi="Book Antiqua"/>
          <w:lang w:val="en-US"/>
        </w:rPr>
        <w:t>T</w:t>
      </w:r>
      <w:r w:rsidR="00201587" w:rsidRPr="00230CBF">
        <w:rPr>
          <w:rStyle w:val="apple-converted-space"/>
          <w:rFonts w:ascii="Book Antiqua" w:hAnsi="Book Antiqua"/>
          <w:lang w:val="en-US"/>
        </w:rPr>
        <w:t>able 1</w:t>
      </w:r>
      <w:r w:rsidR="00AF1F02" w:rsidRPr="00230CBF">
        <w:rPr>
          <w:rStyle w:val="apple-converted-space"/>
          <w:rFonts w:ascii="Book Antiqua" w:hAnsi="Book Antiqua"/>
          <w:lang w:val="en-US"/>
        </w:rPr>
        <w:t xml:space="preserve"> for a </w:t>
      </w:r>
      <w:r w:rsidR="00AF1F02" w:rsidRPr="00230CBF">
        <w:rPr>
          <w:rStyle w:val="apple-converted-space"/>
          <w:rFonts w:ascii="Book Antiqua" w:hAnsi="Book Antiqua"/>
          <w:lang w:val="en-US"/>
        </w:rPr>
        <w:lastRenderedPageBreak/>
        <w:t>more detailed description</w:t>
      </w:r>
      <w:r w:rsidR="006D3948" w:rsidRPr="00230CBF">
        <w:rPr>
          <w:rStyle w:val="apple-converted-space"/>
          <w:rFonts w:ascii="Book Antiqua" w:hAnsi="Book Antiqua"/>
          <w:lang w:val="en-US"/>
        </w:rPr>
        <w:t>).</w:t>
      </w:r>
      <w:r w:rsidR="00AF1F02" w:rsidRPr="00230CBF">
        <w:rPr>
          <w:rStyle w:val="apple-converted-space"/>
          <w:rFonts w:ascii="Book Antiqua" w:hAnsi="Book Antiqua"/>
          <w:lang w:val="en-US"/>
        </w:rPr>
        <w:t xml:space="preserve"> These</w:t>
      </w:r>
      <w:r w:rsidR="006A4452" w:rsidRPr="00230CBF">
        <w:rPr>
          <w:rStyle w:val="apple-converted-space"/>
          <w:rFonts w:ascii="Book Antiqua" w:hAnsi="Book Antiqua"/>
          <w:lang w:val="en-US"/>
        </w:rPr>
        <w:t xml:space="preserve"> criteria are based of dimensional evaluation and rely on the fact that the cytotoxic effect of chemotherapeutic agents tends to translate into measurable effects in terms of tumor shrinkage from baseline. Furthermore published studies indicate</w:t>
      </w:r>
      <w:r w:rsidR="00595E49" w:rsidRPr="00230CBF">
        <w:rPr>
          <w:rStyle w:val="apple-converted-space"/>
          <w:rFonts w:ascii="Book Antiqua" w:hAnsi="Book Antiqua"/>
          <w:lang w:val="en-US"/>
        </w:rPr>
        <w:t>d</w:t>
      </w:r>
      <w:r w:rsidR="006A4452" w:rsidRPr="00230CBF">
        <w:rPr>
          <w:rStyle w:val="apple-converted-space"/>
          <w:rFonts w:ascii="Book Antiqua" w:hAnsi="Book Antiqua"/>
          <w:lang w:val="en-US"/>
        </w:rPr>
        <w:t xml:space="preserve"> that achieving a response according to RECIST criteria is predictive of remission and improve</w:t>
      </w:r>
      <w:r w:rsidR="00230CBF">
        <w:rPr>
          <w:rStyle w:val="apple-converted-space"/>
          <w:rFonts w:ascii="Book Antiqua" w:hAnsi="Book Antiqua"/>
          <w:lang w:val="en-US"/>
        </w:rPr>
        <w:t xml:space="preserve">d survival in specific </w:t>
      </w:r>
      <w:proofErr w:type="gramStart"/>
      <w:r w:rsidR="00230CBF">
        <w:rPr>
          <w:rStyle w:val="apple-converted-space"/>
          <w:rFonts w:ascii="Book Antiqua" w:hAnsi="Book Antiqua"/>
          <w:lang w:val="en-US"/>
        </w:rPr>
        <w:t>settings</w:t>
      </w:r>
      <w:r w:rsidR="00BA5B82" w:rsidRPr="00230CBF">
        <w:rPr>
          <w:rStyle w:val="apple-converted-space"/>
          <w:rFonts w:ascii="Book Antiqua" w:hAnsi="Book Antiqua"/>
          <w:vertAlign w:val="superscript"/>
          <w:lang w:val="en-US"/>
        </w:rPr>
        <w:t>[</w:t>
      </w:r>
      <w:proofErr w:type="gramEnd"/>
      <w:r w:rsidR="00181F7C" w:rsidRPr="00230CBF">
        <w:rPr>
          <w:rStyle w:val="apple-converted-space"/>
          <w:rFonts w:ascii="Book Antiqua" w:hAnsi="Book Antiqua"/>
          <w:vertAlign w:val="superscript"/>
          <w:lang w:val="en-US"/>
        </w:rPr>
        <w:t>11</w:t>
      </w:r>
      <w:r w:rsidR="00BA5B82" w:rsidRPr="00230CBF">
        <w:rPr>
          <w:rStyle w:val="apple-converted-space"/>
          <w:rFonts w:ascii="Book Antiqua" w:hAnsi="Book Antiqua"/>
          <w:vertAlign w:val="superscript"/>
          <w:lang w:val="en-US"/>
        </w:rPr>
        <w:t>]</w:t>
      </w:r>
      <w:r w:rsidR="006A4452" w:rsidRPr="00230CBF">
        <w:rPr>
          <w:rStyle w:val="apple-converted-space"/>
          <w:rFonts w:ascii="Book Antiqua" w:hAnsi="Book Antiqua"/>
          <w:lang w:val="en-US"/>
        </w:rPr>
        <w:t xml:space="preserve">. </w:t>
      </w:r>
      <w:r w:rsidR="00696CA8" w:rsidRPr="00230CBF">
        <w:rPr>
          <w:rStyle w:val="apple-converted-space"/>
          <w:rFonts w:ascii="Book Antiqua" w:hAnsi="Book Antiqua"/>
          <w:lang w:val="en-US"/>
        </w:rPr>
        <w:t>Conversely,</w:t>
      </w:r>
      <w:r w:rsidR="006A4452" w:rsidRPr="00230CBF">
        <w:rPr>
          <w:rStyle w:val="apple-converted-space"/>
          <w:rFonts w:ascii="Book Antiqua" w:hAnsi="Book Antiqua"/>
          <w:lang w:val="en-US"/>
        </w:rPr>
        <w:t xml:space="preserve"> both RECIST and their revised 1.1 version assumed that an early increase in tumor growth and/or the appearance of new lesions correspond to progressive disease (PD)</w:t>
      </w:r>
      <w:r w:rsidR="00BE0B13" w:rsidRPr="00230CBF">
        <w:rPr>
          <w:rStyle w:val="apple-converted-space"/>
          <w:rFonts w:ascii="Book Antiqua" w:hAnsi="Book Antiqua"/>
          <w:lang w:val="en-US"/>
        </w:rPr>
        <w:t>,</w:t>
      </w:r>
      <w:r w:rsidR="006A4452" w:rsidRPr="00230CBF">
        <w:rPr>
          <w:rStyle w:val="apple-converted-space"/>
          <w:rFonts w:ascii="Book Antiqua" w:hAnsi="Book Antiqua"/>
          <w:lang w:val="en-US"/>
        </w:rPr>
        <w:t xml:space="preserve"> testifying drug failure and indicating the need </w:t>
      </w:r>
      <w:r w:rsidR="00250C25" w:rsidRPr="00230CBF">
        <w:rPr>
          <w:rStyle w:val="apple-converted-space"/>
          <w:rFonts w:ascii="Book Antiqua" w:hAnsi="Book Antiqua"/>
          <w:lang w:val="en-US"/>
        </w:rPr>
        <w:t xml:space="preserve">ongoing </w:t>
      </w:r>
      <w:r w:rsidR="006A4452" w:rsidRPr="00230CBF">
        <w:rPr>
          <w:rStyle w:val="apple-converted-space"/>
          <w:rFonts w:ascii="Book Antiqua" w:hAnsi="Book Antiqua"/>
          <w:lang w:val="en-US"/>
        </w:rPr>
        <w:t>treatment</w:t>
      </w:r>
      <w:r w:rsidR="00A76E49" w:rsidRPr="00230CBF">
        <w:rPr>
          <w:rStyle w:val="apple-converted-space"/>
          <w:rFonts w:ascii="Book Antiqua" w:hAnsi="Book Antiqua"/>
          <w:lang w:val="en-US"/>
        </w:rPr>
        <w:t xml:space="preserve"> </w:t>
      </w:r>
      <w:proofErr w:type="gramStart"/>
      <w:r w:rsidR="00A76E49" w:rsidRPr="00230CBF">
        <w:rPr>
          <w:rStyle w:val="apple-converted-space"/>
          <w:rFonts w:ascii="Book Antiqua" w:hAnsi="Book Antiqua"/>
          <w:lang w:val="en-US"/>
        </w:rPr>
        <w:t>cessation</w:t>
      </w:r>
      <w:r w:rsidR="00BA5B82" w:rsidRPr="00230CBF">
        <w:rPr>
          <w:rStyle w:val="apple-converted-space"/>
          <w:rFonts w:ascii="Book Antiqua" w:hAnsi="Book Antiqua"/>
          <w:vertAlign w:val="superscript"/>
          <w:lang w:val="en-US"/>
        </w:rPr>
        <w:t>[</w:t>
      </w:r>
      <w:proofErr w:type="gramEnd"/>
      <w:r w:rsidR="00BA5B82" w:rsidRPr="00230CBF">
        <w:rPr>
          <w:rStyle w:val="apple-converted-space"/>
          <w:rFonts w:ascii="Book Antiqua" w:hAnsi="Book Antiqua"/>
          <w:vertAlign w:val="superscript"/>
          <w:lang w:val="en-US"/>
        </w:rPr>
        <w:t>10]</w:t>
      </w:r>
      <w:r w:rsidR="006A4452" w:rsidRPr="00230CBF">
        <w:rPr>
          <w:rStyle w:val="apple-converted-space"/>
          <w:rFonts w:ascii="Book Antiqua" w:hAnsi="Book Antiqua"/>
          <w:lang w:val="en-US"/>
        </w:rPr>
        <w:t>.</w:t>
      </w:r>
    </w:p>
    <w:p w:rsidR="008F36BD" w:rsidRPr="00230CBF" w:rsidRDefault="00344464" w:rsidP="00230CBF">
      <w:pPr>
        <w:spacing w:line="360" w:lineRule="auto"/>
        <w:ind w:firstLineChars="100" w:firstLine="240"/>
        <w:jc w:val="both"/>
        <w:rPr>
          <w:rStyle w:val="apple-converted-space"/>
          <w:rFonts w:ascii="Book Antiqua" w:hAnsi="Book Antiqua"/>
          <w:lang w:val="en-US"/>
        </w:rPr>
      </w:pPr>
      <w:r w:rsidRPr="00230CBF">
        <w:rPr>
          <w:rStyle w:val="apple-converted-space"/>
          <w:rFonts w:ascii="Book Antiqua" w:hAnsi="Book Antiqua"/>
          <w:lang w:val="en-US"/>
        </w:rPr>
        <w:t>Some exceptions</w:t>
      </w:r>
      <w:r w:rsidR="006E59B9" w:rsidRPr="00230CBF">
        <w:rPr>
          <w:rStyle w:val="apple-converted-space"/>
          <w:rFonts w:ascii="Book Antiqua" w:hAnsi="Book Antiqua"/>
          <w:lang w:val="en-US"/>
        </w:rPr>
        <w:t xml:space="preserve"> </w:t>
      </w:r>
      <w:r w:rsidRPr="00230CBF">
        <w:rPr>
          <w:rStyle w:val="apple-converted-space"/>
          <w:rFonts w:ascii="Book Antiqua" w:hAnsi="Book Antiqua"/>
          <w:lang w:val="en-US"/>
        </w:rPr>
        <w:t>for the use of</w:t>
      </w:r>
      <w:r w:rsidR="00223091" w:rsidRPr="00230CBF">
        <w:rPr>
          <w:rStyle w:val="apple-converted-space"/>
          <w:rFonts w:ascii="Book Antiqua" w:hAnsi="Book Antiqua"/>
          <w:lang w:val="en-US"/>
        </w:rPr>
        <w:t xml:space="preserve"> these criteria has been already suggested in patients treated with target therapies </w:t>
      </w:r>
      <w:r w:rsidRPr="00230CBF">
        <w:rPr>
          <w:rStyle w:val="apple-converted-space"/>
          <w:rFonts w:ascii="Book Antiqua" w:hAnsi="Book Antiqua"/>
          <w:lang w:val="en-US"/>
        </w:rPr>
        <w:t xml:space="preserve">such as tyrosine kinase inhibitors as in this group of patients the lack of tumor shrinkage in presence of a stable disease has been identified as a potential surrogate end point for </w:t>
      </w:r>
      <w:r w:rsidR="00230CBF">
        <w:rPr>
          <w:rStyle w:val="apple-converted-space"/>
          <w:rFonts w:ascii="Book Antiqua" w:hAnsi="Book Antiqua"/>
          <w:lang w:val="en-US"/>
        </w:rPr>
        <w:t>improved clinical outcome</w:t>
      </w:r>
      <w:r w:rsidR="00BA5B82" w:rsidRPr="00230CBF">
        <w:rPr>
          <w:rStyle w:val="apple-converted-space"/>
          <w:rFonts w:ascii="Book Antiqua" w:hAnsi="Book Antiqua"/>
          <w:vertAlign w:val="superscript"/>
          <w:lang w:val="en-US"/>
        </w:rPr>
        <w:t>[</w:t>
      </w:r>
      <w:r w:rsidR="00F6196E" w:rsidRPr="00230CBF">
        <w:rPr>
          <w:rStyle w:val="apple-converted-space"/>
          <w:rFonts w:ascii="Book Antiqua" w:hAnsi="Book Antiqua"/>
          <w:vertAlign w:val="superscript"/>
          <w:lang w:val="en-US"/>
        </w:rPr>
        <w:t>12</w:t>
      </w:r>
      <w:r w:rsidR="00BA5B82" w:rsidRPr="00230CBF">
        <w:rPr>
          <w:rStyle w:val="apple-converted-space"/>
          <w:rFonts w:ascii="Book Antiqua" w:hAnsi="Book Antiqua"/>
          <w:vertAlign w:val="superscript"/>
          <w:lang w:val="en-US"/>
        </w:rPr>
        <w:t>]</w:t>
      </w:r>
      <w:r w:rsidRPr="00230CBF">
        <w:rPr>
          <w:rStyle w:val="apple-converted-space"/>
          <w:rFonts w:ascii="Book Antiqua" w:hAnsi="Book Antiqua"/>
          <w:lang w:val="en-US"/>
        </w:rPr>
        <w:t>.</w:t>
      </w:r>
      <w:r w:rsidR="00790A9B" w:rsidRPr="00230CBF">
        <w:rPr>
          <w:rStyle w:val="apple-converted-space"/>
          <w:rFonts w:ascii="Book Antiqua" w:hAnsi="Book Antiqua"/>
          <w:lang w:val="en-US"/>
        </w:rPr>
        <w:t xml:space="preserve"> </w:t>
      </w:r>
      <w:r w:rsidR="006E59B9" w:rsidRPr="00230CBF">
        <w:rPr>
          <w:rStyle w:val="apple-converted-space"/>
          <w:rFonts w:ascii="Book Antiqua" w:hAnsi="Book Antiqua"/>
          <w:lang w:val="en-US"/>
        </w:rPr>
        <w:t>However</w:t>
      </w:r>
      <w:r w:rsidR="00D1396A" w:rsidRPr="00230CBF">
        <w:rPr>
          <w:rStyle w:val="apple-converted-space"/>
          <w:rFonts w:ascii="Book Antiqua" w:hAnsi="Book Antiqua"/>
          <w:lang w:val="en-US"/>
        </w:rPr>
        <w:t>,</w:t>
      </w:r>
      <w:r w:rsidR="008F36BD" w:rsidRPr="00230CBF">
        <w:rPr>
          <w:rStyle w:val="apple-converted-space"/>
          <w:rFonts w:ascii="Book Antiqua" w:hAnsi="Book Antiqua"/>
          <w:lang w:val="en-US"/>
        </w:rPr>
        <w:t xml:space="preserve"> </w:t>
      </w:r>
      <w:r w:rsidR="00D1396A" w:rsidRPr="00230CBF">
        <w:rPr>
          <w:rStyle w:val="apple-converted-space"/>
          <w:rFonts w:ascii="Book Antiqua" w:hAnsi="Book Antiqua"/>
          <w:lang w:val="en-US"/>
        </w:rPr>
        <w:t xml:space="preserve">in </w:t>
      </w:r>
      <w:r w:rsidR="002E361A" w:rsidRPr="00230CBF">
        <w:rPr>
          <w:rStyle w:val="apple-converted-space"/>
          <w:rFonts w:ascii="Book Antiqua" w:hAnsi="Book Antiqua"/>
          <w:lang w:val="en-US"/>
        </w:rPr>
        <w:t xml:space="preserve">the </w:t>
      </w:r>
      <w:r w:rsidR="00D1396A" w:rsidRPr="00230CBF">
        <w:rPr>
          <w:rStyle w:val="apple-converted-space"/>
          <w:rFonts w:ascii="Book Antiqua" w:hAnsi="Book Antiqua"/>
          <w:lang w:val="en-US"/>
        </w:rPr>
        <w:t xml:space="preserve">clinical practice, </w:t>
      </w:r>
      <w:r w:rsidR="008F36BD" w:rsidRPr="00230CBF">
        <w:rPr>
          <w:rStyle w:val="apple-converted-space"/>
          <w:rFonts w:ascii="Book Antiqua" w:hAnsi="Book Antiqua"/>
          <w:lang w:val="en-US"/>
        </w:rPr>
        <w:t>the radiological effect of</w:t>
      </w:r>
      <w:r w:rsidR="002E361A" w:rsidRPr="00230CBF">
        <w:rPr>
          <w:rStyle w:val="apple-converted-space"/>
          <w:rFonts w:ascii="Book Antiqua" w:hAnsi="Book Antiqua"/>
          <w:lang w:val="en-US"/>
        </w:rPr>
        <w:t xml:space="preserve"> immunotherapeutic</w:t>
      </w:r>
      <w:r w:rsidR="006E59B9" w:rsidRPr="00230CBF">
        <w:rPr>
          <w:rStyle w:val="apple-converted-space"/>
          <w:rFonts w:ascii="Book Antiqua" w:hAnsi="Book Antiqua"/>
          <w:lang w:val="en-US"/>
        </w:rPr>
        <w:t xml:space="preserve"> agent</w:t>
      </w:r>
      <w:r w:rsidR="002E361A" w:rsidRPr="00230CBF">
        <w:rPr>
          <w:rStyle w:val="apple-converted-space"/>
          <w:rFonts w:ascii="Book Antiqua" w:hAnsi="Book Antiqua"/>
          <w:lang w:val="en-US"/>
        </w:rPr>
        <w:t>s</w:t>
      </w:r>
      <w:r w:rsidR="006E59B9" w:rsidRPr="00230CBF">
        <w:rPr>
          <w:rStyle w:val="apple-converted-space"/>
          <w:rFonts w:ascii="Book Antiqua" w:hAnsi="Book Antiqua"/>
          <w:lang w:val="en-US"/>
        </w:rPr>
        <w:t xml:space="preserve"> </w:t>
      </w:r>
      <w:r w:rsidR="006254A5" w:rsidRPr="00230CBF">
        <w:rPr>
          <w:rStyle w:val="apple-converted-space"/>
          <w:rFonts w:ascii="Book Antiqua" w:hAnsi="Book Antiqua"/>
          <w:lang w:val="en-US"/>
        </w:rPr>
        <w:t>has</w:t>
      </w:r>
      <w:r w:rsidR="00CD7588" w:rsidRPr="00230CBF">
        <w:rPr>
          <w:rStyle w:val="apple-converted-space"/>
          <w:rFonts w:ascii="Book Antiqua" w:hAnsi="Book Antiqua"/>
          <w:lang w:val="en-US"/>
        </w:rPr>
        <w:t xml:space="preserve"> </w:t>
      </w:r>
      <w:r w:rsidR="00595E49" w:rsidRPr="00230CBF">
        <w:rPr>
          <w:rStyle w:val="apple-converted-space"/>
          <w:rFonts w:ascii="Book Antiqua" w:hAnsi="Book Antiqua"/>
          <w:lang w:val="en-US"/>
        </w:rPr>
        <w:t>raised</w:t>
      </w:r>
      <w:r w:rsidR="006E59B9" w:rsidRPr="00230CBF">
        <w:rPr>
          <w:rStyle w:val="apple-converted-space"/>
          <w:rFonts w:ascii="Book Antiqua" w:hAnsi="Book Antiqua"/>
          <w:lang w:val="en-US"/>
        </w:rPr>
        <w:t xml:space="preserve"> several more </w:t>
      </w:r>
      <w:r w:rsidR="00A1540E" w:rsidRPr="00230CBF">
        <w:rPr>
          <w:rStyle w:val="apple-converted-space"/>
          <w:rFonts w:ascii="Book Antiqua" w:hAnsi="Book Antiqua"/>
          <w:lang w:val="en-US"/>
        </w:rPr>
        <w:t xml:space="preserve">relevant and </w:t>
      </w:r>
      <w:r w:rsidR="006E59B9" w:rsidRPr="00230CBF">
        <w:rPr>
          <w:rStyle w:val="apple-converted-space"/>
          <w:rFonts w:ascii="Book Antiqua" w:hAnsi="Book Antiqua"/>
          <w:lang w:val="en-US"/>
        </w:rPr>
        <w:t xml:space="preserve">complex challenges for the determination of their </w:t>
      </w:r>
      <w:r w:rsidR="00595E49" w:rsidRPr="00230CBF">
        <w:rPr>
          <w:rStyle w:val="apple-converted-space"/>
          <w:rFonts w:ascii="Book Antiqua" w:hAnsi="Book Antiqua"/>
          <w:lang w:val="en-US"/>
        </w:rPr>
        <w:t xml:space="preserve">imaging-based </w:t>
      </w:r>
      <w:r w:rsidR="008F36BD" w:rsidRPr="00230CBF">
        <w:rPr>
          <w:rStyle w:val="apple-converted-space"/>
          <w:rFonts w:ascii="Book Antiqua" w:hAnsi="Book Antiqua"/>
          <w:lang w:val="en-US"/>
        </w:rPr>
        <w:t xml:space="preserve">response </w:t>
      </w:r>
      <w:r w:rsidR="006E59B9" w:rsidRPr="00230CBF">
        <w:rPr>
          <w:rStyle w:val="apple-converted-space"/>
          <w:rFonts w:ascii="Book Antiqua" w:hAnsi="Book Antiqua"/>
          <w:lang w:val="en-US"/>
        </w:rPr>
        <w:t>at single patien</w:t>
      </w:r>
      <w:r w:rsidR="00230CBF">
        <w:rPr>
          <w:rStyle w:val="apple-converted-space"/>
          <w:rFonts w:ascii="Book Antiqua" w:hAnsi="Book Antiqua"/>
          <w:lang w:val="en-US"/>
        </w:rPr>
        <w:t xml:space="preserve">t </w:t>
      </w:r>
      <w:proofErr w:type="gramStart"/>
      <w:r w:rsidR="00230CBF">
        <w:rPr>
          <w:rStyle w:val="apple-converted-space"/>
          <w:rFonts w:ascii="Book Antiqua" w:hAnsi="Book Antiqua"/>
          <w:lang w:val="en-US"/>
        </w:rPr>
        <w:t>level</w:t>
      </w:r>
      <w:r w:rsidR="00BA5B82" w:rsidRPr="00230CBF">
        <w:rPr>
          <w:rStyle w:val="apple-converted-space"/>
          <w:rFonts w:ascii="Book Antiqua" w:hAnsi="Book Antiqua"/>
          <w:vertAlign w:val="superscript"/>
          <w:lang w:val="en-US"/>
        </w:rPr>
        <w:t>[</w:t>
      </w:r>
      <w:proofErr w:type="gramEnd"/>
      <w:r w:rsidR="00BA5B82" w:rsidRPr="00230CBF">
        <w:rPr>
          <w:rStyle w:val="apple-converted-space"/>
          <w:rFonts w:ascii="Book Antiqua" w:hAnsi="Book Antiqua"/>
          <w:vertAlign w:val="superscript"/>
          <w:lang w:val="en-US"/>
        </w:rPr>
        <w:t>13]</w:t>
      </w:r>
      <w:r w:rsidR="008E3C04" w:rsidRPr="00230CBF">
        <w:rPr>
          <w:rStyle w:val="apple-converted-space"/>
          <w:rFonts w:ascii="Book Antiqua" w:hAnsi="Book Antiqua"/>
          <w:lang w:val="en-US"/>
        </w:rPr>
        <w:t>.</w:t>
      </w:r>
      <w:r w:rsidR="008F36BD" w:rsidRPr="00230CBF">
        <w:rPr>
          <w:rStyle w:val="apple-converted-space"/>
          <w:rFonts w:ascii="Book Antiqua" w:hAnsi="Book Antiqua"/>
          <w:lang w:val="en-US"/>
        </w:rPr>
        <w:t xml:space="preserve"> </w:t>
      </w:r>
      <w:r w:rsidR="00463F5D" w:rsidRPr="00230CBF">
        <w:rPr>
          <w:rStyle w:val="apple-converted-space"/>
          <w:rFonts w:ascii="Book Antiqua" w:hAnsi="Book Antiqua"/>
          <w:lang w:val="en-US"/>
        </w:rPr>
        <w:t>I</w:t>
      </w:r>
      <w:r w:rsidR="000C5566" w:rsidRPr="00230CBF">
        <w:rPr>
          <w:rStyle w:val="apple-converted-space"/>
          <w:rFonts w:ascii="Book Antiqua" w:hAnsi="Book Antiqua"/>
          <w:lang w:val="en-US"/>
        </w:rPr>
        <w:t xml:space="preserve">n published studies, while some patients have responded to </w:t>
      </w:r>
      <w:r w:rsidR="0034076D" w:rsidRPr="00230CBF">
        <w:rPr>
          <w:rStyle w:val="apple-converted-space"/>
          <w:rFonts w:ascii="Book Antiqua" w:hAnsi="Book Antiqua"/>
          <w:lang w:val="en-US"/>
        </w:rPr>
        <w:t>ICPIs</w:t>
      </w:r>
      <w:r w:rsidR="00172DBC" w:rsidRPr="00230CBF">
        <w:rPr>
          <w:rStyle w:val="apple-converted-space"/>
          <w:rFonts w:ascii="Book Antiqua" w:hAnsi="Book Antiqua"/>
          <w:lang w:val="en-US"/>
        </w:rPr>
        <w:t xml:space="preserve"> </w:t>
      </w:r>
      <w:r w:rsidR="000C5566" w:rsidRPr="00230CBF">
        <w:rPr>
          <w:rStyle w:val="apple-converted-space"/>
          <w:rFonts w:ascii="Book Antiqua" w:hAnsi="Book Antiqua"/>
          <w:lang w:val="en-US"/>
        </w:rPr>
        <w:t>with the expected tumor</w:t>
      </w:r>
      <w:r w:rsidR="00EB2882" w:rsidRPr="00230CBF">
        <w:rPr>
          <w:rStyle w:val="apple-converted-space"/>
          <w:rFonts w:ascii="Book Antiqua" w:hAnsi="Book Antiqua"/>
          <w:lang w:val="en-US"/>
        </w:rPr>
        <w:t xml:space="preserve"> </w:t>
      </w:r>
      <w:r w:rsidR="000C5566" w:rsidRPr="00230CBF">
        <w:rPr>
          <w:rStyle w:val="apple-converted-space"/>
          <w:rFonts w:ascii="Book Antiqua" w:hAnsi="Book Antiqua"/>
          <w:lang w:val="en-US"/>
        </w:rPr>
        <w:t xml:space="preserve">shrinkage </w:t>
      </w:r>
      <w:r w:rsidR="00A1540E" w:rsidRPr="00230CBF">
        <w:rPr>
          <w:rStyle w:val="apple-converted-space"/>
          <w:rFonts w:ascii="Book Antiqua" w:hAnsi="Book Antiqua"/>
          <w:lang w:val="en-US"/>
        </w:rPr>
        <w:t>(</w:t>
      </w:r>
      <w:proofErr w:type="spellStart"/>
      <w:r w:rsidR="00A1540E" w:rsidRPr="00230CBF">
        <w:rPr>
          <w:rStyle w:val="apple-converted-space"/>
          <w:rFonts w:ascii="Book Antiqua" w:hAnsi="Book Antiqua"/>
          <w:lang w:val="en-US"/>
        </w:rPr>
        <w:t>chemio</w:t>
      </w:r>
      <w:proofErr w:type="spellEnd"/>
      <w:r w:rsidR="00A1540E" w:rsidRPr="00230CBF">
        <w:rPr>
          <w:rStyle w:val="apple-converted-space"/>
          <w:rFonts w:ascii="Book Antiqua" w:hAnsi="Book Antiqua"/>
          <w:lang w:val="en-US"/>
        </w:rPr>
        <w:t xml:space="preserve">-like response) </w:t>
      </w:r>
      <w:r w:rsidR="000C5566" w:rsidRPr="00230CBF">
        <w:rPr>
          <w:rStyle w:val="apple-converted-space"/>
          <w:rFonts w:ascii="Book Antiqua" w:hAnsi="Book Antiqua"/>
          <w:lang w:val="en-US"/>
        </w:rPr>
        <w:t xml:space="preserve">or with a stable </w:t>
      </w:r>
      <w:r w:rsidR="00A1540E" w:rsidRPr="00230CBF">
        <w:rPr>
          <w:rStyle w:val="apple-converted-space"/>
          <w:rFonts w:ascii="Book Antiqua" w:hAnsi="Book Antiqua"/>
          <w:lang w:val="en-US"/>
        </w:rPr>
        <w:t xml:space="preserve">disease </w:t>
      </w:r>
      <w:r w:rsidR="000C5566" w:rsidRPr="00230CBF">
        <w:rPr>
          <w:rStyle w:val="apple-converted-space"/>
          <w:rFonts w:ascii="Book Antiqua" w:hAnsi="Book Antiqua"/>
          <w:lang w:val="en-US"/>
        </w:rPr>
        <w:t>(target therapy-like</w:t>
      </w:r>
      <w:r w:rsidR="00A1540E" w:rsidRPr="00230CBF">
        <w:rPr>
          <w:rStyle w:val="apple-converted-space"/>
          <w:rFonts w:ascii="Book Antiqua" w:hAnsi="Book Antiqua"/>
          <w:lang w:val="en-US"/>
        </w:rPr>
        <w:t xml:space="preserve"> response</w:t>
      </w:r>
      <w:r w:rsidR="000C5566" w:rsidRPr="00230CBF">
        <w:rPr>
          <w:rStyle w:val="apple-converted-space"/>
          <w:rFonts w:ascii="Book Antiqua" w:hAnsi="Book Antiqua"/>
          <w:lang w:val="en-US"/>
        </w:rPr>
        <w:t xml:space="preserve">), other distinct immune-related patterns of response have been identified. </w:t>
      </w:r>
      <w:r w:rsidR="00A1540E" w:rsidRPr="00230CBF">
        <w:rPr>
          <w:rStyle w:val="apple-converted-space"/>
          <w:rFonts w:ascii="Book Antiqua" w:hAnsi="Book Antiqua"/>
          <w:lang w:val="en-US"/>
        </w:rPr>
        <w:t>In particular, initial increase</w:t>
      </w:r>
      <w:r w:rsidR="001D3B11" w:rsidRPr="00230CBF">
        <w:rPr>
          <w:rStyle w:val="apple-converted-space"/>
          <w:rFonts w:ascii="Book Antiqua" w:hAnsi="Book Antiqua"/>
          <w:lang w:val="en-US"/>
        </w:rPr>
        <w:t xml:space="preserve"> in tumor size, development of new lesions and </w:t>
      </w:r>
      <w:r w:rsidR="00A1540E" w:rsidRPr="00230CBF">
        <w:rPr>
          <w:rStyle w:val="apple-converted-space"/>
          <w:rFonts w:ascii="Book Antiqua" w:hAnsi="Book Antiqua"/>
          <w:lang w:val="en-US"/>
        </w:rPr>
        <w:t xml:space="preserve">then a </w:t>
      </w:r>
      <w:r w:rsidR="001D3B11" w:rsidRPr="00230CBF">
        <w:rPr>
          <w:rStyle w:val="apple-converted-space"/>
          <w:rFonts w:ascii="Book Antiqua" w:hAnsi="Book Antiqua"/>
          <w:lang w:val="en-US"/>
        </w:rPr>
        <w:t xml:space="preserve">delayed </w:t>
      </w:r>
      <w:r w:rsidR="00A1540E" w:rsidRPr="00230CBF">
        <w:rPr>
          <w:rStyle w:val="apple-converted-space"/>
          <w:rFonts w:ascii="Book Antiqua" w:hAnsi="Book Antiqua"/>
          <w:lang w:val="en-US"/>
        </w:rPr>
        <w:t>objective response</w:t>
      </w:r>
      <w:r w:rsidR="001D3B11" w:rsidRPr="00230CBF">
        <w:rPr>
          <w:rStyle w:val="apple-converted-space"/>
          <w:rFonts w:ascii="Book Antiqua" w:hAnsi="Book Antiqua"/>
          <w:lang w:val="en-US"/>
        </w:rPr>
        <w:t xml:space="preserve"> were also observed in </w:t>
      </w:r>
      <w:r w:rsidR="00CD7588" w:rsidRPr="00230CBF">
        <w:rPr>
          <w:rStyle w:val="apple-converted-space"/>
          <w:rFonts w:ascii="Book Antiqua" w:hAnsi="Book Antiqua"/>
          <w:lang w:val="en-US"/>
        </w:rPr>
        <w:t>patients treated with</w:t>
      </w:r>
      <w:r w:rsidR="001D3B11" w:rsidRPr="00230CBF">
        <w:rPr>
          <w:rStyle w:val="apple-converted-space"/>
          <w:rFonts w:ascii="Book Antiqua" w:hAnsi="Book Antiqua"/>
          <w:lang w:val="en-US"/>
        </w:rPr>
        <w:t xml:space="preserve"> i</w:t>
      </w:r>
      <w:r w:rsidR="00230CBF">
        <w:rPr>
          <w:rStyle w:val="apple-converted-space"/>
          <w:rFonts w:ascii="Book Antiqua" w:hAnsi="Book Antiqua"/>
          <w:lang w:val="en-US"/>
        </w:rPr>
        <w:t xml:space="preserve">mmunotherapeutic </w:t>
      </w:r>
      <w:proofErr w:type="gramStart"/>
      <w:r w:rsidR="00230CBF">
        <w:rPr>
          <w:rStyle w:val="apple-converted-space"/>
          <w:rFonts w:ascii="Book Antiqua" w:hAnsi="Book Antiqua"/>
          <w:lang w:val="en-US"/>
        </w:rPr>
        <w:t>agents</w:t>
      </w:r>
      <w:r w:rsidR="00BA5B82" w:rsidRPr="00230CBF">
        <w:rPr>
          <w:rStyle w:val="apple-converted-space"/>
          <w:rFonts w:ascii="Book Antiqua" w:hAnsi="Book Antiqua"/>
          <w:vertAlign w:val="superscript"/>
          <w:lang w:val="en-US"/>
        </w:rPr>
        <w:t>[</w:t>
      </w:r>
      <w:proofErr w:type="gramEnd"/>
      <w:r w:rsidR="00971B1C" w:rsidRPr="00230CBF">
        <w:rPr>
          <w:rStyle w:val="apple-converted-space"/>
          <w:rFonts w:ascii="Book Antiqua" w:hAnsi="Book Antiqua"/>
          <w:vertAlign w:val="superscript"/>
          <w:lang w:val="en-US"/>
        </w:rPr>
        <w:t>13</w:t>
      </w:r>
      <w:r w:rsidR="00BA5B82" w:rsidRPr="00230CBF">
        <w:rPr>
          <w:rStyle w:val="apple-converted-space"/>
          <w:rFonts w:ascii="Book Antiqua" w:hAnsi="Book Antiqua"/>
          <w:vertAlign w:val="superscript"/>
          <w:lang w:val="en-US"/>
        </w:rPr>
        <w:t>]</w:t>
      </w:r>
      <w:r w:rsidR="00A1540E" w:rsidRPr="00230CBF">
        <w:rPr>
          <w:rStyle w:val="apple-converted-space"/>
          <w:rFonts w:ascii="Book Antiqua" w:hAnsi="Book Antiqua"/>
          <w:lang w:val="en-US"/>
        </w:rPr>
        <w:t>. Specifically, i</w:t>
      </w:r>
      <w:r w:rsidR="001D3B11" w:rsidRPr="00230CBF">
        <w:rPr>
          <w:rStyle w:val="apple-converted-space"/>
          <w:rFonts w:ascii="Book Antiqua" w:hAnsi="Book Antiqua"/>
          <w:lang w:val="en-US"/>
        </w:rPr>
        <w:t xml:space="preserve">n </w:t>
      </w:r>
      <w:r w:rsidR="00A1540E" w:rsidRPr="00230CBF">
        <w:rPr>
          <w:rStyle w:val="apple-converted-space"/>
          <w:rFonts w:ascii="Book Antiqua" w:hAnsi="Book Antiqua"/>
          <w:lang w:val="en-US"/>
        </w:rPr>
        <w:t>some patients</w:t>
      </w:r>
      <w:r w:rsidR="00832AC6" w:rsidRPr="00230CBF">
        <w:rPr>
          <w:rStyle w:val="apple-converted-space"/>
          <w:rFonts w:ascii="Book Antiqua" w:hAnsi="Book Antiqua"/>
          <w:lang w:val="en-US"/>
        </w:rPr>
        <w:t>, the</w:t>
      </w:r>
      <w:r w:rsidR="001D3B11" w:rsidRPr="00230CBF">
        <w:rPr>
          <w:rStyle w:val="apple-converted-space"/>
          <w:rFonts w:ascii="Book Antiqua" w:hAnsi="Book Antiqua"/>
          <w:lang w:val="en-US"/>
        </w:rPr>
        <w:t xml:space="preserve"> initial increase i</w:t>
      </w:r>
      <w:r w:rsidR="00A1540E" w:rsidRPr="00230CBF">
        <w:rPr>
          <w:rStyle w:val="apple-converted-space"/>
          <w:rFonts w:ascii="Book Antiqua" w:hAnsi="Book Antiqua"/>
          <w:lang w:val="en-US"/>
        </w:rPr>
        <w:t xml:space="preserve">n total tumor burden was proven to be </w:t>
      </w:r>
      <w:r w:rsidR="001D3B11" w:rsidRPr="00230CBF">
        <w:rPr>
          <w:rStyle w:val="apple-converted-space"/>
          <w:rFonts w:ascii="Book Antiqua" w:hAnsi="Book Antiqua"/>
          <w:lang w:val="en-US"/>
        </w:rPr>
        <w:t xml:space="preserve">due to inflammatory cell infiltrates </w:t>
      </w:r>
      <w:r w:rsidR="008F36BD" w:rsidRPr="00230CBF">
        <w:rPr>
          <w:rStyle w:val="apple-converted-space"/>
          <w:rFonts w:ascii="Book Antiqua" w:hAnsi="Book Antiqua"/>
          <w:lang w:val="en-US"/>
        </w:rPr>
        <w:t>by means of biopsy. In these patients the initial pseudo</w:t>
      </w:r>
      <w:r w:rsidR="004D61D3" w:rsidRPr="00230CBF">
        <w:rPr>
          <w:rStyle w:val="apple-converted-space"/>
          <w:rFonts w:ascii="Book Antiqua" w:hAnsi="Book Antiqua"/>
          <w:lang w:val="en-US"/>
        </w:rPr>
        <w:t>-</w:t>
      </w:r>
      <w:r w:rsidR="008F36BD" w:rsidRPr="00230CBF">
        <w:rPr>
          <w:rStyle w:val="apple-converted-space"/>
          <w:rFonts w:ascii="Book Antiqua" w:hAnsi="Book Antiqua"/>
          <w:lang w:val="en-US"/>
        </w:rPr>
        <w:t xml:space="preserve">progression </w:t>
      </w:r>
      <w:r w:rsidR="00A1540E" w:rsidRPr="00230CBF">
        <w:rPr>
          <w:rStyle w:val="apple-converted-space"/>
          <w:rFonts w:ascii="Book Antiqua" w:hAnsi="Book Antiqua"/>
          <w:lang w:val="en-US"/>
        </w:rPr>
        <w:t xml:space="preserve">was followed by </w:t>
      </w:r>
      <w:r w:rsidR="008F36BD" w:rsidRPr="00230CBF">
        <w:rPr>
          <w:rStyle w:val="apple-converted-space"/>
          <w:rFonts w:ascii="Book Antiqua" w:hAnsi="Book Antiqua"/>
          <w:lang w:val="en-US"/>
        </w:rPr>
        <w:t xml:space="preserve">a </w:t>
      </w:r>
      <w:r w:rsidR="00A1540E" w:rsidRPr="00230CBF">
        <w:rPr>
          <w:rStyle w:val="apple-converted-space"/>
          <w:rFonts w:ascii="Book Antiqua" w:hAnsi="Book Antiqua"/>
          <w:lang w:val="en-US"/>
        </w:rPr>
        <w:t>decrease in</w:t>
      </w:r>
      <w:r w:rsidR="001D3B11" w:rsidRPr="00230CBF">
        <w:rPr>
          <w:rStyle w:val="apple-converted-space"/>
          <w:rFonts w:ascii="Book Antiqua" w:hAnsi="Book Antiqua"/>
          <w:lang w:val="en-US"/>
        </w:rPr>
        <w:t xml:space="preserve"> tumor burden or</w:t>
      </w:r>
      <w:r w:rsidR="00A1540E" w:rsidRPr="00230CBF">
        <w:rPr>
          <w:rStyle w:val="apple-converted-space"/>
          <w:rFonts w:ascii="Book Antiqua" w:hAnsi="Book Antiqua"/>
          <w:lang w:val="en-US"/>
        </w:rPr>
        <w:t xml:space="preserve"> </w:t>
      </w:r>
      <w:r w:rsidR="008F36BD" w:rsidRPr="00230CBF">
        <w:rPr>
          <w:rStyle w:val="apple-converted-space"/>
          <w:rFonts w:ascii="Book Antiqua" w:hAnsi="Book Antiqua"/>
          <w:lang w:val="en-US"/>
        </w:rPr>
        <w:t xml:space="preserve">even </w:t>
      </w:r>
      <w:r w:rsidR="00A1540E" w:rsidRPr="00230CBF">
        <w:rPr>
          <w:rStyle w:val="apple-converted-space"/>
          <w:rFonts w:ascii="Book Antiqua" w:hAnsi="Book Antiqua"/>
          <w:lang w:val="en-US"/>
        </w:rPr>
        <w:t>disease</w:t>
      </w:r>
      <w:r w:rsidR="001D3B11" w:rsidRPr="00230CBF">
        <w:rPr>
          <w:rStyle w:val="apple-converted-space"/>
          <w:rFonts w:ascii="Book Antiqua" w:hAnsi="Book Antiqua"/>
          <w:lang w:val="en-US"/>
        </w:rPr>
        <w:t xml:space="preserve"> regression.</w:t>
      </w:r>
      <w:r w:rsidR="00101E96" w:rsidRPr="00230CBF">
        <w:rPr>
          <w:rStyle w:val="apple-converted-space"/>
          <w:rFonts w:ascii="Book Antiqua" w:hAnsi="Book Antiqua"/>
          <w:lang w:val="en-US"/>
        </w:rPr>
        <w:t xml:space="preserve"> </w:t>
      </w:r>
    </w:p>
    <w:p w:rsidR="00EB2882" w:rsidRPr="00230CBF" w:rsidRDefault="00101E96" w:rsidP="00230CBF">
      <w:pPr>
        <w:spacing w:line="360" w:lineRule="auto"/>
        <w:ind w:firstLineChars="100" w:firstLine="240"/>
        <w:jc w:val="both"/>
        <w:rPr>
          <w:rFonts w:ascii="Book Antiqua" w:hAnsi="Book Antiqua"/>
          <w:lang w:val="en-US"/>
        </w:rPr>
      </w:pPr>
      <w:r w:rsidRPr="00230CBF">
        <w:rPr>
          <w:rStyle w:val="apple-converted-space"/>
          <w:rFonts w:ascii="Book Antiqua" w:hAnsi="Book Antiqua"/>
          <w:lang w:val="en-US"/>
        </w:rPr>
        <w:t xml:space="preserve">As RECIST criteria were </w:t>
      </w:r>
      <w:r w:rsidR="008F36BD" w:rsidRPr="00230CBF">
        <w:rPr>
          <w:rStyle w:val="apple-converted-space"/>
          <w:rFonts w:ascii="Book Antiqua" w:hAnsi="Book Antiqua"/>
          <w:lang w:val="en-US"/>
        </w:rPr>
        <w:t>not suitable</w:t>
      </w:r>
      <w:r w:rsidRPr="00230CBF">
        <w:rPr>
          <w:rStyle w:val="apple-converted-space"/>
          <w:rFonts w:ascii="Book Antiqua" w:hAnsi="Book Antiqua"/>
          <w:lang w:val="en-US"/>
        </w:rPr>
        <w:t xml:space="preserve"> to catch these</w:t>
      </w:r>
      <w:r w:rsidR="008F36BD" w:rsidRPr="00230CBF">
        <w:rPr>
          <w:rStyle w:val="apple-converted-space"/>
          <w:rFonts w:ascii="Book Antiqua" w:hAnsi="Book Antiqua"/>
          <w:lang w:val="en-US"/>
        </w:rPr>
        <w:t xml:space="preserve"> atypical</w:t>
      </w:r>
      <w:r w:rsidRPr="00230CBF">
        <w:rPr>
          <w:rStyle w:val="apple-converted-space"/>
          <w:rFonts w:ascii="Book Antiqua" w:hAnsi="Book Antiqua"/>
          <w:lang w:val="en-US"/>
        </w:rPr>
        <w:t xml:space="preserve"> response</w:t>
      </w:r>
      <w:r w:rsidR="008F36BD" w:rsidRPr="00230CBF">
        <w:rPr>
          <w:rStyle w:val="apple-converted-space"/>
          <w:rFonts w:ascii="Book Antiqua" w:hAnsi="Book Antiqua"/>
          <w:lang w:val="en-US"/>
        </w:rPr>
        <w:t>s, the so-called</w:t>
      </w:r>
      <w:r w:rsidRPr="00230CBF">
        <w:rPr>
          <w:rStyle w:val="apple-converted-space"/>
          <w:rFonts w:ascii="Book Antiqua" w:hAnsi="Book Antiqua"/>
          <w:lang w:val="en-US"/>
        </w:rPr>
        <w:t xml:space="preserve"> immune-related response criteria </w:t>
      </w:r>
      <w:r w:rsidR="008F36BD" w:rsidRPr="00230CBF">
        <w:rPr>
          <w:rStyle w:val="apple-converted-space"/>
          <w:rFonts w:ascii="Book Antiqua" w:hAnsi="Book Antiqua"/>
          <w:lang w:val="en-US"/>
        </w:rPr>
        <w:t>(</w:t>
      </w:r>
      <w:proofErr w:type="spellStart"/>
      <w:r w:rsidR="008F36BD" w:rsidRPr="00230CBF">
        <w:rPr>
          <w:rStyle w:val="apple-converted-space"/>
          <w:rFonts w:ascii="Book Antiqua" w:hAnsi="Book Antiqua"/>
          <w:lang w:val="en-US"/>
        </w:rPr>
        <w:t>irRC</w:t>
      </w:r>
      <w:proofErr w:type="spellEnd"/>
      <w:r w:rsidR="008F36BD" w:rsidRPr="00230CBF">
        <w:rPr>
          <w:rStyle w:val="apple-converted-space"/>
          <w:rFonts w:ascii="Book Antiqua" w:hAnsi="Book Antiqua"/>
          <w:lang w:val="en-US"/>
        </w:rPr>
        <w:t xml:space="preserve">) </w:t>
      </w:r>
      <w:r w:rsidRPr="00230CBF">
        <w:rPr>
          <w:rStyle w:val="apple-converted-space"/>
          <w:rFonts w:ascii="Book Antiqua" w:hAnsi="Book Antiqua"/>
          <w:lang w:val="en-US"/>
        </w:rPr>
        <w:t xml:space="preserve">have been proposed </w:t>
      </w:r>
      <w:r w:rsidRPr="00230CBF">
        <w:rPr>
          <w:rFonts w:ascii="Book Antiqua" w:hAnsi="Book Antiqua"/>
          <w:lang w:val="en-US"/>
        </w:rPr>
        <w:t xml:space="preserve">to provide more rigorous characterization of </w:t>
      </w:r>
      <w:r w:rsidR="008F36BD" w:rsidRPr="00230CBF">
        <w:rPr>
          <w:rFonts w:ascii="Book Antiqua" w:hAnsi="Book Antiqua"/>
          <w:lang w:val="en-US"/>
        </w:rPr>
        <w:t>all patterns of</w:t>
      </w:r>
      <w:r w:rsidRPr="00230CBF">
        <w:rPr>
          <w:rFonts w:ascii="Book Antiqua" w:hAnsi="Book Antiqua"/>
          <w:lang w:val="en-US"/>
        </w:rPr>
        <w:t xml:space="preserve"> response observed </w:t>
      </w:r>
      <w:r w:rsidR="008F36BD" w:rsidRPr="00230CBF">
        <w:rPr>
          <w:rFonts w:ascii="Book Antiqua" w:hAnsi="Book Antiqua"/>
          <w:lang w:val="en-US"/>
        </w:rPr>
        <w:t>in the</w:t>
      </w:r>
      <w:r w:rsidRPr="00230CBF">
        <w:rPr>
          <w:rFonts w:ascii="Book Antiqua" w:hAnsi="Book Antiqua"/>
          <w:lang w:val="en-US"/>
        </w:rPr>
        <w:t xml:space="preserve"> phase II development pro</w:t>
      </w:r>
      <w:r w:rsidR="00983C64" w:rsidRPr="00230CBF">
        <w:rPr>
          <w:rFonts w:ascii="Book Antiqua" w:hAnsi="Book Antiqua"/>
          <w:lang w:val="en-US"/>
        </w:rPr>
        <w:t>gram f</w:t>
      </w:r>
      <w:r w:rsidR="00230CBF">
        <w:rPr>
          <w:rFonts w:ascii="Book Antiqua" w:hAnsi="Book Antiqua"/>
          <w:lang w:val="en-US"/>
        </w:rPr>
        <w:t xml:space="preserve">or </w:t>
      </w:r>
      <w:proofErr w:type="spellStart"/>
      <w:r w:rsidR="00230CBF">
        <w:rPr>
          <w:rFonts w:ascii="Book Antiqua" w:hAnsi="Book Antiqua"/>
          <w:lang w:val="en-US"/>
        </w:rPr>
        <w:t>ipilimumab</w:t>
      </w:r>
      <w:proofErr w:type="spellEnd"/>
      <w:r w:rsidR="00230CBF">
        <w:rPr>
          <w:rFonts w:ascii="Book Antiqua" w:hAnsi="Book Antiqua"/>
          <w:lang w:val="en-US"/>
        </w:rPr>
        <w:t xml:space="preserve"> in </w:t>
      </w:r>
      <w:proofErr w:type="gramStart"/>
      <w:r w:rsidR="00230CBF">
        <w:rPr>
          <w:rFonts w:ascii="Book Antiqua" w:hAnsi="Book Antiqua"/>
          <w:lang w:val="en-US"/>
        </w:rPr>
        <w:t>melanoma</w:t>
      </w:r>
      <w:r w:rsidR="00BA5B82" w:rsidRPr="00230CBF">
        <w:rPr>
          <w:rFonts w:ascii="Book Antiqua" w:hAnsi="Book Antiqua"/>
          <w:vertAlign w:val="superscript"/>
          <w:lang w:val="en-US"/>
        </w:rPr>
        <w:t>[</w:t>
      </w:r>
      <w:proofErr w:type="gramEnd"/>
      <w:r w:rsidR="003432ED" w:rsidRPr="00230CBF">
        <w:rPr>
          <w:rFonts w:ascii="Book Antiqua" w:hAnsi="Book Antiqua"/>
          <w:vertAlign w:val="superscript"/>
          <w:lang w:val="en-US"/>
        </w:rPr>
        <w:t>13-15</w:t>
      </w:r>
      <w:r w:rsidR="00BA5B82" w:rsidRPr="00230CBF">
        <w:rPr>
          <w:rFonts w:ascii="Book Antiqua" w:hAnsi="Book Antiqua"/>
          <w:vertAlign w:val="superscript"/>
          <w:lang w:val="en-US"/>
        </w:rPr>
        <w:t>]</w:t>
      </w:r>
      <w:r w:rsidR="008F36BD" w:rsidRPr="00230CBF">
        <w:rPr>
          <w:rFonts w:ascii="Book Antiqua" w:hAnsi="Book Antiqua"/>
          <w:lang w:val="en-US"/>
        </w:rPr>
        <w:t xml:space="preserve"> </w:t>
      </w:r>
      <w:r w:rsidR="004C271D" w:rsidRPr="00230CBF">
        <w:rPr>
          <w:rFonts w:ascii="Book Antiqua" w:hAnsi="Book Antiqua"/>
          <w:lang w:val="en-US"/>
        </w:rPr>
        <w:t>(</w:t>
      </w:r>
      <w:r w:rsidR="008F36BD" w:rsidRPr="00230CBF">
        <w:rPr>
          <w:rFonts w:ascii="Book Antiqua" w:hAnsi="Book Antiqua"/>
          <w:lang w:val="en-US"/>
        </w:rPr>
        <w:t>Table</w:t>
      </w:r>
      <w:r w:rsidR="004C271D" w:rsidRPr="00230CBF">
        <w:rPr>
          <w:rFonts w:ascii="Book Antiqua" w:hAnsi="Book Antiqua"/>
          <w:lang w:val="en-US"/>
        </w:rPr>
        <w:t xml:space="preserve"> </w:t>
      </w:r>
      <w:r w:rsidR="008F36BD" w:rsidRPr="00230CBF">
        <w:rPr>
          <w:rFonts w:ascii="Book Antiqua" w:hAnsi="Book Antiqua"/>
          <w:lang w:val="en-US"/>
        </w:rPr>
        <w:t>1</w:t>
      </w:r>
      <w:r w:rsidR="004C271D" w:rsidRPr="00230CBF">
        <w:rPr>
          <w:rFonts w:ascii="Book Antiqua" w:hAnsi="Book Antiqua"/>
          <w:lang w:val="en-US"/>
        </w:rPr>
        <w:t>)</w:t>
      </w:r>
      <w:r w:rsidR="008F36BD" w:rsidRPr="00230CBF">
        <w:rPr>
          <w:rFonts w:ascii="Book Antiqua" w:hAnsi="Book Antiqua"/>
          <w:lang w:val="en-US"/>
        </w:rPr>
        <w:t xml:space="preserve">. </w:t>
      </w:r>
      <w:r w:rsidR="00EB2882" w:rsidRPr="00230CBF">
        <w:rPr>
          <w:rFonts w:ascii="Book Antiqua" w:hAnsi="Book Antiqua"/>
          <w:lang w:val="en-US"/>
        </w:rPr>
        <w:t xml:space="preserve">The main differences between RECIST 1.1 and </w:t>
      </w:r>
      <w:proofErr w:type="spellStart"/>
      <w:r w:rsidR="00EB2882" w:rsidRPr="00230CBF">
        <w:rPr>
          <w:rFonts w:ascii="Book Antiqua" w:hAnsi="Book Antiqua"/>
          <w:lang w:val="en-US"/>
        </w:rPr>
        <w:t>irRC</w:t>
      </w:r>
      <w:proofErr w:type="spellEnd"/>
      <w:r w:rsidR="00EB2882" w:rsidRPr="00230CBF">
        <w:rPr>
          <w:rFonts w:ascii="Book Antiqua" w:hAnsi="Book Antiqua"/>
          <w:lang w:val="en-US"/>
        </w:rPr>
        <w:t xml:space="preserve"> criteria rely on the fact that</w:t>
      </w:r>
      <w:r w:rsidR="00AF1F02" w:rsidRPr="00230CBF">
        <w:rPr>
          <w:rFonts w:ascii="Book Antiqua" w:hAnsi="Book Antiqua"/>
          <w:lang w:val="en-US"/>
        </w:rPr>
        <w:t>,</w:t>
      </w:r>
      <w:r w:rsidR="00EB2882" w:rsidRPr="00230CBF">
        <w:rPr>
          <w:rFonts w:ascii="Book Antiqua" w:hAnsi="Book Antiqua"/>
          <w:lang w:val="en-US"/>
        </w:rPr>
        <w:t xml:space="preserve"> </w:t>
      </w:r>
      <w:r w:rsidR="002F78A4" w:rsidRPr="00230CBF">
        <w:rPr>
          <w:rFonts w:ascii="Book Antiqua" w:hAnsi="Book Antiqua"/>
          <w:lang w:val="en-US"/>
        </w:rPr>
        <w:t xml:space="preserve">according to </w:t>
      </w:r>
      <w:proofErr w:type="spellStart"/>
      <w:r w:rsidR="002F78A4" w:rsidRPr="00230CBF">
        <w:rPr>
          <w:rFonts w:ascii="Book Antiqua" w:hAnsi="Book Antiqua"/>
          <w:lang w:val="en-US"/>
        </w:rPr>
        <w:t>irRC</w:t>
      </w:r>
      <w:proofErr w:type="spellEnd"/>
      <w:r w:rsidR="00AF1F02" w:rsidRPr="00230CBF">
        <w:rPr>
          <w:rFonts w:ascii="Book Antiqua" w:hAnsi="Book Antiqua"/>
          <w:lang w:val="en-US"/>
        </w:rPr>
        <w:t>,</w:t>
      </w:r>
      <w:r w:rsidR="002F78A4" w:rsidRPr="00230CBF">
        <w:rPr>
          <w:rFonts w:ascii="Book Antiqua" w:hAnsi="Book Antiqua"/>
          <w:lang w:val="en-US"/>
        </w:rPr>
        <w:t xml:space="preserve"> </w:t>
      </w:r>
      <w:r w:rsidR="00EB2882" w:rsidRPr="00230CBF">
        <w:rPr>
          <w:rFonts w:ascii="Book Antiqua" w:hAnsi="Book Antiqua"/>
          <w:lang w:val="en-US"/>
        </w:rPr>
        <w:t xml:space="preserve">appearance of new lesions (PD with RECIST criteria) will only result in progressive disease </w:t>
      </w:r>
      <w:r w:rsidR="001F63BC" w:rsidRPr="00230CBF">
        <w:rPr>
          <w:rFonts w:ascii="Book Antiqua" w:hAnsi="Book Antiqua"/>
          <w:lang w:val="en-US"/>
        </w:rPr>
        <w:t>in case of a significant (≥</w:t>
      </w:r>
      <w:r w:rsidR="00230CBF">
        <w:rPr>
          <w:rFonts w:ascii="Book Antiqua" w:eastAsiaTheme="minorEastAsia" w:hAnsi="Book Antiqua" w:hint="eastAsia"/>
          <w:lang w:val="en-US" w:eastAsia="zh-CN"/>
        </w:rPr>
        <w:t xml:space="preserve"> </w:t>
      </w:r>
      <w:r w:rsidR="001F63BC" w:rsidRPr="00230CBF">
        <w:rPr>
          <w:rFonts w:ascii="Book Antiqua" w:hAnsi="Book Antiqua"/>
          <w:lang w:val="en-US"/>
        </w:rPr>
        <w:t>25%) increase</w:t>
      </w:r>
      <w:r w:rsidR="006438B4" w:rsidRPr="00230CBF">
        <w:rPr>
          <w:rFonts w:ascii="Book Antiqua" w:hAnsi="Book Antiqua"/>
          <w:lang w:val="en-US"/>
        </w:rPr>
        <w:t xml:space="preserve"> </w:t>
      </w:r>
      <w:r w:rsidR="001F63BC" w:rsidRPr="00230CBF">
        <w:rPr>
          <w:rFonts w:ascii="Book Antiqua" w:hAnsi="Book Antiqua"/>
          <w:lang w:val="en-US"/>
        </w:rPr>
        <w:t xml:space="preserve">in </w:t>
      </w:r>
      <w:r w:rsidR="006438B4" w:rsidRPr="00230CBF">
        <w:rPr>
          <w:rFonts w:ascii="Book Antiqua" w:hAnsi="Book Antiqua"/>
          <w:lang w:val="en-US"/>
        </w:rPr>
        <w:t>total tumor burden with respect to baseline.</w:t>
      </w:r>
      <w:r w:rsidR="0063203B" w:rsidRPr="00230CBF">
        <w:rPr>
          <w:rFonts w:ascii="Book Antiqua" w:hAnsi="Book Antiqua"/>
          <w:lang w:val="en-US"/>
        </w:rPr>
        <w:t xml:space="preserve"> Moreover, </w:t>
      </w:r>
      <w:r w:rsidR="0063203B" w:rsidRPr="00230CBF">
        <w:rPr>
          <w:rFonts w:ascii="Book Antiqua" w:hAnsi="Book Antiqua"/>
          <w:lang w:val="en-US"/>
        </w:rPr>
        <w:lastRenderedPageBreak/>
        <w:t xml:space="preserve">differently from </w:t>
      </w:r>
      <w:r w:rsidR="006E3078" w:rsidRPr="00230CBF">
        <w:rPr>
          <w:rFonts w:ascii="Book Antiqua" w:hAnsi="Book Antiqua"/>
          <w:lang w:val="en-US"/>
        </w:rPr>
        <w:t>conventional</w:t>
      </w:r>
      <w:r w:rsidR="0063203B" w:rsidRPr="00230CBF">
        <w:rPr>
          <w:rFonts w:ascii="Book Antiqua" w:hAnsi="Book Antiqua"/>
          <w:lang w:val="en-US"/>
        </w:rPr>
        <w:t xml:space="preserve"> criteria,</w:t>
      </w:r>
      <w:r w:rsidR="001F63BC" w:rsidRPr="00230CBF">
        <w:rPr>
          <w:rFonts w:ascii="Book Antiqua" w:hAnsi="Book Antiqua"/>
          <w:lang w:val="en-US"/>
        </w:rPr>
        <w:t xml:space="preserve"> if </w:t>
      </w:r>
      <w:proofErr w:type="spellStart"/>
      <w:r w:rsidR="0063203B" w:rsidRPr="00230CBF">
        <w:rPr>
          <w:rFonts w:ascii="Book Antiqua" w:hAnsi="Book Antiqua"/>
          <w:lang w:val="en-US"/>
        </w:rPr>
        <w:t>irRC</w:t>
      </w:r>
      <w:proofErr w:type="spellEnd"/>
      <w:r w:rsidR="0063203B" w:rsidRPr="00230CBF">
        <w:rPr>
          <w:rFonts w:ascii="Book Antiqua" w:hAnsi="Book Antiqua"/>
          <w:lang w:val="en-US"/>
        </w:rPr>
        <w:t>-ba</w:t>
      </w:r>
      <w:r w:rsidR="001F63BC" w:rsidRPr="00230CBF">
        <w:rPr>
          <w:rFonts w:ascii="Book Antiqua" w:hAnsi="Book Antiqua"/>
          <w:lang w:val="en-US"/>
        </w:rPr>
        <w:t>s</w:t>
      </w:r>
      <w:r w:rsidR="0063203B" w:rsidRPr="00230CBF">
        <w:rPr>
          <w:rFonts w:ascii="Book Antiqua" w:hAnsi="Book Antiqua"/>
          <w:lang w:val="en-US"/>
        </w:rPr>
        <w:t>ed PD</w:t>
      </w:r>
      <w:r w:rsidR="001F63BC" w:rsidRPr="00230CBF">
        <w:rPr>
          <w:rFonts w:ascii="Book Antiqua" w:hAnsi="Book Antiqua"/>
          <w:lang w:val="en-US"/>
        </w:rPr>
        <w:t xml:space="preserve"> is evident, it</w:t>
      </w:r>
      <w:r w:rsidR="0063203B" w:rsidRPr="00230CBF">
        <w:rPr>
          <w:rFonts w:ascii="Book Antiqua" w:hAnsi="Book Antiqua"/>
          <w:lang w:val="en-US"/>
        </w:rPr>
        <w:t xml:space="preserve"> require</w:t>
      </w:r>
      <w:r w:rsidR="001F63BC" w:rsidRPr="00230CBF">
        <w:rPr>
          <w:rFonts w:ascii="Book Antiqua" w:hAnsi="Book Antiqua"/>
          <w:lang w:val="en-US"/>
        </w:rPr>
        <w:t>s further</w:t>
      </w:r>
      <w:r w:rsidR="0063203B" w:rsidRPr="00230CBF">
        <w:rPr>
          <w:rFonts w:ascii="Book Antiqua" w:hAnsi="Book Antiqua"/>
          <w:lang w:val="en-US"/>
        </w:rPr>
        <w:t xml:space="preserve"> confirmation </w:t>
      </w:r>
      <w:r w:rsidR="002F78A4" w:rsidRPr="00230CBF">
        <w:rPr>
          <w:rFonts w:ascii="Book Antiqua" w:hAnsi="Book Antiqua"/>
          <w:lang w:val="en-US"/>
        </w:rPr>
        <w:t>after</w:t>
      </w:r>
      <w:r w:rsidR="001F63BC" w:rsidRPr="00230CBF">
        <w:rPr>
          <w:rFonts w:ascii="Book Antiqua" w:hAnsi="Book Antiqua"/>
          <w:lang w:val="en-US"/>
        </w:rPr>
        <w:t xml:space="preserve"> one month </w:t>
      </w:r>
      <w:r w:rsidR="0063203B" w:rsidRPr="00230CBF">
        <w:rPr>
          <w:rFonts w:ascii="Book Antiqua" w:hAnsi="Book Antiqua"/>
          <w:lang w:val="en-US"/>
        </w:rPr>
        <w:t>with the aim of capturing delayed response.</w:t>
      </w:r>
    </w:p>
    <w:p w:rsidR="00A76E49" w:rsidRPr="00230CBF" w:rsidRDefault="00230CBF" w:rsidP="00230CBF">
      <w:pPr>
        <w:spacing w:line="360" w:lineRule="auto"/>
        <w:ind w:firstLineChars="100" w:firstLine="240"/>
        <w:jc w:val="both"/>
        <w:rPr>
          <w:rFonts w:ascii="Book Antiqua" w:hAnsi="Book Antiqua"/>
          <w:lang w:val="en-US"/>
        </w:rPr>
      </w:pPr>
      <w:r>
        <w:rPr>
          <w:rFonts w:ascii="Book Antiqua" w:hAnsi="Book Antiqua"/>
          <w:lang w:val="en-US"/>
        </w:rPr>
        <w:t xml:space="preserve">Recently </w:t>
      </w:r>
      <w:proofErr w:type="spellStart"/>
      <w:r>
        <w:rPr>
          <w:rFonts w:ascii="Book Antiqua" w:hAnsi="Book Antiqua"/>
          <w:lang w:val="en-US"/>
        </w:rPr>
        <w:t>Hodi</w:t>
      </w:r>
      <w:proofErr w:type="spellEnd"/>
      <w:r>
        <w:rPr>
          <w:rFonts w:ascii="Book Antiqua" w:hAnsi="Book Antiqua"/>
          <w:lang w:val="en-US"/>
        </w:rPr>
        <w:t xml:space="preserve"> </w:t>
      </w:r>
      <w:r>
        <w:rPr>
          <w:rFonts w:ascii="Book Antiqua" w:eastAsiaTheme="minorEastAsia" w:hAnsi="Book Antiqua" w:hint="eastAsia"/>
          <w:i/>
          <w:lang w:val="en-US" w:eastAsia="zh-CN"/>
        </w:rPr>
        <w:t>et al</w:t>
      </w:r>
      <w:r>
        <w:rPr>
          <w:rFonts w:ascii="Book Antiqua" w:eastAsiaTheme="minorEastAsia" w:hAnsi="Book Antiqua" w:hint="eastAsia"/>
          <w:vertAlign w:val="superscript"/>
          <w:lang w:val="en-US" w:eastAsia="zh-CN"/>
        </w:rPr>
        <w:t>[16]</w:t>
      </w:r>
      <w:r w:rsidR="006E3078" w:rsidRPr="00230CBF">
        <w:rPr>
          <w:rFonts w:ascii="Book Antiqua" w:hAnsi="Book Antiqua"/>
          <w:lang w:val="en-US"/>
        </w:rPr>
        <w:t xml:space="preserve">, </w:t>
      </w:r>
      <w:r w:rsidR="00B95B99" w:rsidRPr="00230CBF">
        <w:rPr>
          <w:rFonts w:ascii="Book Antiqua" w:hAnsi="Book Antiqua"/>
          <w:lang w:val="en-US"/>
        </w:rPr>
        <w:t xml:space="preserve">evaluated </w:t>
      </w:r>
      <w:r w:rsidR="006E3078" w:rsidRPr="00230CBF">
        <w:rPr>
          <w:rFonts w:ascii="Book Antiqua" w:hAnsi="Book Antiqua"/>
          <w:lang w:val="en-US"/>
        </w:rPr>
        <w:t xml:space="preserve">atypical response patterns </w:t>
      </w:r>
      <w:r w:rsidR="00B95B99" w:rsidRPr="00230CBF">
        <w:rPr>
          <w:rFonts w:ascii="Book Antiqua" w:hAnsi="Book Antiqua"/>
          <w:lang w:val="en-US"/>
        </w:rPr>
        <w:t xml:space="preserve">and reported the overall survival data in correlation with </w:t>
      </w:r>
      <w:proofErr w:type="spellStart"/>
      <w:r w:rsidR="00B95B99" w:rsidRPr="00230CBF">
        <w:rPr>
          <w:rFonts w:ascii="Book Antiqua" w:hAnsi="Book Antiqua"/>
          <w:lang w:val="en-US"/>
        </w:rPr>
        <w:t>irRC</w:t>
      </w:r>
      <w:proofErr w:type="spellEnd"/>
      <w:r w:rsidR="00B95B99" w:rsidRPr="00230CBF">
        <w:rPr>
          <w:rFonts w:ascii="Book Antiqua" w:hAnsi="Book Antiqua"/>
          <w:lang w:val="en-US"/>
        </w:rPr>
        <w:t xml:space="preserve"> and RECIST criteria in the context of</w:t>
      </w:r>
      <w:r w:rsidR="006E3078" w:rsidRPr="00230CBF">
        <w:rPr>
          <w:rFonts w:ascii="Book Antiqua" w:hAnsi="Book Antiqua"/>
          <w:lang w:val="en-US"/>
        </w:rPr>
        <w:t xml:space="preserve"> a retrospective analysis of 327 melanoma patients treated with </w:t>
      </w:r>
      <w:r w:rsidR="004A0FA1" w:rsidRPr="00230CBF">
        <w:rPr>
          <w:rFonts w:ascii="Book Antiqua" w:hAnsi="Book Antiqua"/>
          <w:lang w:val="en-US"/>
        </w:rPr>
        <w:t xml:space="preserve">the </w:t>
      </w:r>
      <w:r w:rsidR="006E3078" w:rsidRPr="00230CBF">
        <w:rPr>
          <w:rFonts w:ascii="Book Antiqua" w:hAnsi="Book Antiqua"/>
          <w:lang w:val="en-US"/>
        </w:rPr>
        <w:t xml:space="preserve">PD-1 inhibitor </w:t>
      </w:r>
      <w:proofErr w:type="spellStart"/>
      <w:r w:rsidR="006E3078" w:rsidRPr="00230CBF">
        <w:rPr>
          <w:rFonts w:ascii="Book Antiqua" w:hAnsi="Book Antiqua"/>
          <w:lang w:val="en-US"/>
        </w:rPr>
        <w:t>pembrolizumab</w:t>
      </w:r>
      <w:proofErr w:type="spellEnd"/>
      <w:r w:rsidR="006E3078" w:rsidRPr="00230CBF">
        <w:rPr>
          <w:rFonts w:ascii="Book Antiqua" w:hAnsi="Book Antiqua"/>
          <w:lang w:val="en-US"/>
        </w:rPr>
        <w:t>.</w:t>
      </w:r>
      <w:r w:rsidR="000D71D0" w:rsidRPr="00230CBF">
        <w:rPr>
          <w:rFonts w:ascii="Book Antiqua" w:hAnsi="Book Antiqua"/>
          <w:lang w:val="en-US"/>
        </w:rPr>
        <w:t xml:space="preserve"> This study</w:t>
      </w:r>
      <w:r w:rsidR="00B76D47" w:rsidRPr="00230CBF">
        <w:rPr>
          <w:rFonts w:ascii="Book Antiqua" w:hAnsi="Book Antiqua"/>
          <w:lang w:val="en-US"/>
        </w:rPr>
        <w:t xml:space="preserve"> indicated that the conventional RECIST assessment alone tends to underestimate the benefit of PD-1 inhibitor therapy in a subset of patients, supporting a need of immune-related response </w:t>
      </w:r>
      <w:proofErr w:type="gramStart"/>
      <w:r w:rsidR="00B76D47" w:rsidRPr="00230CBF">
        <w:rPr>
          <w:rFonts w:ascii="Book Antiqua" w:hAnsi="Book Antiqua"/>
          <w:lang w:val="en-US"/>
        </w:rPr>
        <w:t>evaluation</w:t>
      </w:r>
      <w:r w:rsidR="00BA5B82" w:rsidRPr="00230CBF">
        <w:rPr>
          <w:rFonts w:ascii="Book Antiqua" w:hAnsi="Book Antiqua"/>
          <w:vertAlign w:val="superscript"/>
          <w:lang w:val="en-US"/>
        </w:rPr>
        <w:t>[</w:t>
      </w:r>
      <w:proofErr w:type="gramEnd"/>
      <w:r w:rsidR="00BA5B82" w:rsidRPr="00230CBF">
        <w:rPr>
          <w:rFonts w:ascii="Book Antiqua" w:hAnsi="Book Antiqua"/>
          <w:vertAlign w:val="superscript"/>
          <w:lang w:val="en-US"/>
        </w:rPr>
        <w:t>16]</w:t>
      </w:r>
      <w:r w:rsidR="00B76D47" w:rsidRPr="00230CBF">
        <w:rPr>
          <w:rFonts w:ascii="Book Antiqua" w:hAnsi="Book Antiqua"/>
          <w:lang w:val="en-US"/>
        </w:rPr>
        <w:t>.</w:t>
      </w:r>
      <w:r w:rsidR="007B1350" w:rsidRPr="00230CBF">
        <w:rPr>
          <w:rFonts w:ascii="Book Antiqua" w:hAnsi="Book Antiqua"/>
          <w:lang w:val="en-US"/>
        </w:rPr>
        <w:t xml:space="preserve"> </w:t>
      </w:r>
      <w:proofErr w:type="spellStart"/>
      <w:r w:rsidR="007B1350" w:rsidRPr="00230CBF">
        <w:rPr>
          <w:rFonts w:ascii="Book Antiqua" w:hAnsi="Book Antiqua"/>
          <w:lang w:val="en-US"/>
        </w:rPr>
        <w:t>I</w:t>
      </w:r>
      <w:r w:rsidR="003C3C29" w:rsidRPr="00230CBF">
        <w:rPr>
          <w:rFonts w:ascii="Book Antiqua" w:hAnsi="Book Antiqua"/>
          <w:lang w:val="en-US"/>
        </w:rPr>
        <w:t>rRC</w:t>
      </w:r>
      <w:proofErr w:type="spellEnd"/>
      <w:r w:rsidR="003C3C29" w:rsidRPr="00230CBF">
        <w:rPr>
          <w:rFonts w:ascii="Book Antiqua" w:hAnsi="Book Antiqua"/>
          <w:lang w:val="en-US"/>
        </w:rPr>
        <w:t xml:space="preserve"> </w:t>
      </w:r>
      <w:r w:rsidR="000D71D0" w:rsidRPr="00230CBF">
        <w:rPr>
          <w:rFonts w:ascii="Book Antiqua" w:hAnsi="Book Antiqua"/>
          <w:lang w:val="en-US"/>
        </w:rPr>
        <w:t>are thus</w:t>
      </w:r>
      <w:r w:rsidR="003C3C29" w:rsidRPr="00230CBF">
        <w:rPr>
          <w:rFonts w:ascii="Book Antiqua" w:hAnsi="Book Antiqua"/>
          <w:lang w:val="en-US"/>
        </w:rPr>
        <w:t xml:space="preserve"> increasingly proposed but they have not been validated </w:t>
      </w:r>
      <w:r w:rsidR="007B1350" w:rsidRPr="00230CBF">
        <w:rPr>
          <w:rFonts w:ascii="Book Antiqua" w:hAnsi="Book Antiqua"/>
          <w:lang w:val="en-US"/>
        </w:rPr>
        <w:t xml:space="preserve">yet </w:t>
      </w:r>
      <w:r w:rsidR="003C3C29" w:rsidRPr="00230CBF">
        <w:rPr>
          <w:rFonts w:ascii="Book Antiqua" w:hAnsi="Book Antiqua"/>
          <w:lang w:val="en-US"/>
        </w:rPr>
        <w:t xml:space="preserve">in the context of clinical trials and most trials </w:t>
      </w:r>
      <w:r w:rsidR="007B1350" w:rsidRPr="00230CBF">
        <w:rPr>
          <w:rFonts w:ascii="Book Antiqua" w:hAnsi="Book Antiqua"/>
          <w:lang w:val="en-US"/>
        </w:rPr>
        <w:t>involving</w:t>
      </w:r>
      <w:r w:rsidR="0013728B" w:rsidRPr="00230CBF">
        <w:rPr>
          <w:rFonts w:ascii="Book Antiqua" w:hAnsi="Book Antiqua"/>
          <w:lang w:val="en-US"/>
        </w:rPr>
        <w:t xml:space="preserve"> ICPIs</w:t>
      </w:r>
      <w:r w:rsidR="003C3C29" w:rsidRPr="00230CBF">
        <w:rPr>
          <w:rFonts w:ascii="Book Antiqua" w:hAnsi="Book Antiqua"/>
          <w:lang w:val="en-US"/>
        </w:rPr>
        <w:t xml:space="preserve"> continue to use RECIST1.1 to obtain standardized endpoints for regulatory </w:t>
      </w:r>
      <w:proofErr w:type="gramStart"/>
      <w:r w:rsidR="003C3C29" w:rsidRPr="00230CBF">
        <w:rPr>
          <w:rFonts w:ascii="Book Antiqua" w:hAnsi="Book Antiqua"/>
          <w:lang w:val="en-US"/>
        </w:rPr>
        <w:t>approvals</w:t>
      </w:r>
      <w:r w:rsidR="00BA5B82" w:rsidRPr="00230CBF">
        <w:rPr>
          <w:rFonts w:ascii="Book Antiqua" w:hAnsi="Book Antiqua"/>
          <w:vertAlign w:val="superscript"/>
          <w:lang w:val="en-US"/>
        </w:rPr>
        <w:t>[</w:t>
      </w:r>
      <w:proofErr w:type="gramEnd"/>
      <w:r w:rsidR="00BA5B82" w:rsidRPr="00230CBF">
        <w:rPr>
          <w:rFonts w:ascii="Book Antiqua" w:hAnsi="Book Antiqua"/>
          <w:vertAlign w:val="superscript"/>
          <w:lang w:val="en-US"/>
        </w:rPr>
        <w:t>15]</w:t>
      </w:r>
      <w:r w:rsidR="003C3C29" w:rsidRPr="00230CBF">
        <w:rPr>
          <w:rFonts w:ascii="Book Antiqua" w:hAnsi="Book Antiqua"/>
          <w:lang w:val="en-US"/>
        </w:rPr>
        <w:t xml:space="preserve">. </w:t>
      </w:r>
    </w:p>
    <w:p w:rsidR="00572C91" w:rsidRPr="00230CBF" w:rsidRDefault="00581C45" w:rsidP="00230CBF">
      <w:pPr>
        <w:spacing w:line="360" w:lineRule="auto"/>
        <w:ind w:firstLineChars="100" w:firstLine="240"/>
        <w:jc w:val="both"/>
        <w:rPr>
          <w:rFonts w:ascii="Book Antiqua" w:hAnsi="Book Antiqua"/>
          <w:lang w:val="en-US"/>
        </w:rPr>
      </w:pPr>
      <w:r w:rsidRPr="00230CBF">
        <w:rPr>
          <w:rFonts w:ascii="Book Antiqua" w:hAnsi="Book Antiqua"/>
          <w:lang w:val="en-US"/>
        </w:rPr>
        <w:t xml:space="preserve">However, despite the </w:t>
      </w:r>
      <w:proofErr w:type="spellStart"/>
      <w:r w:rsidRPr="00230CBF">
        <w:rPr>
          <w:rFonts w:ascii="Book Antiqua" w:hAnsi="Book Antiqua"/>
          <w:lang w:val="en-US"/>
        </w:rPr>
        <w:t>irRC</w:t>
      </w:r>
      <w:proofErr w:type="spellEnd"/>
      <w:r w:rsidRPr="00230CBF">
        <w:rPr>
          <w:rFonts w:ascii="Book Antiqua" w:hAnsi="Book Antiqua"/>
          <w:lang w:val="en-US"/>
        </w:rPr>
        <w:t xml:space="preserve"> seem better than RECIST, the former have some limitations. The </w:t>
      </w:r>
      <w:proofErr w:type="spellStart"/>
      <w:r w:rsidRPr="00230CBF">
        <w:rPr>
          <w:rFonts w:ascii="Book Antiqua" w:hAnsi="Book Antiqua"/>
          <w:lang w:val="en-US"/>
        </w:rPr>
        <w:t>irRC</w:t>
      </w:r>
      <w:proofErr w:type="spellEnd"/>
      <w:r w:rsidRPr="00230CBF">
        <w:rPr>
          <w:rFonts w:ascii="Book Antiqua" w:hAnsi="Book Antiqua"/>
          <w:lang w:val="en-US"/>
        </w:rPr>
        <w:t xml:space="preserve"> use the </w:t>
      </w:r>
      <w:proofErr w:type="spellStart"/>
      <w:r w:rsidRPr="00230CBF">
        <w:rPr>
          <w:rFonts w:ascii="Book Antiqua" w:hAnsi="Book Antiqua"/>
          <w:lang w:val="en-US"/>
        </w:rPr>
        <w:t>bidimensional</w:t>
      </w:r>
      <w:proofErr w:type="spellEnd"/>
      <w:r w:rsidRPr="00230CBF">
        <w:rPr>
          <w:rFonts w:ascii="Book Antiqua" w:hAnsi="Book Antiqua"/>
          <w:lang w:val="en-US"/>
        </w:rPr>
        <w:t xml:space="preserve"> measurements in line with WHO criteria now rarely used in clinical trials because replaced by the unidimensional measurement of the larger axis of target lesions (RECIST 1.0 and 1.1). The </w:t>
      </w:r>
      <w:proofErr w:type="spellStart"/>
      <w:r w:rsidRPr="00230CBF">
        <w:rPr>
          <w:rFonts w:ascii="Book Antiqua" w:hAnsi="Book Antiqua"/>
          <w:lang w:val="en-US"/>
        </w:rPr>
        <w:t>bidimensional</w:t>
      </w:r>
      <w:proofErr w:type="spellEnd"/>
      <w:r w:rsidRPr="00230CBF">
        <w:rPr>
          <w:rFonts w:ascii="Book Antiqua" w:hAnsi="Book Antiqua"/>
          <w:lang w:val="en-US"/>
        </w:rPr>
        <w:t xml:space="preserve"> measurements introduce a greater variability than unidimensional measurements and make it difficult to compare the responses with studies using RECIST criteria.</w:t>
      </w:r>
    </w:p>
    <w:p w:rsidR="00581C45" w:rsidRPr="00230CBF" w:rsidRDefault="00581C45" w:rsidP="00230CBF">
      <w:pPr>
        <w:spacing w:line="360" w:lineRule="auto"/>
        <w:jc w:val="both"/>
        <w:rPr>
          <w:rFonts w:ascii="Book Antiqua" w:hAnsi="Book Antiqua"/>
          <w:lang w:val="en-US"/>
        </w:rPr>
      </w:pPr>
    </w:p>
    <w:p w:rsidR="00572C91" w:rsidRPr="00230CBF" w:rsidRDefault="00572C91" w:rsidP="00230CBF">
      <w:pPr>
        <w:spacing w:line="360" w:lineRule="auto"/>
        <w:jc w:val="both"/>
        <w:rPr>
          <w:rFonts w:ascii="Book Antiqua" w:hAnsi="Book Antiqua"/>
          <w:b/>
          <w:i/>
          <w:lang w:val="en-US"/>
        </w:rPr>
      </w:pPr>
      <w:r w:rsidRPr="00230CBF">
        <w:rPr>
          <w:rFonts w:ascii="Book Antiqua" w:hAnsi="Book Antiqua"/>
          <w:b/>
          <w:i/>
          <w:lang w:val="en-US"/>
        </w:rPr>
        <w:t xml:space="preserve">Is there a role for </w:t>
      </w:r>
      <w:r w:rsidR="00230CBF" w:rsidRPr="00230CBF">
        <w:rPr>
          <w:rFonts w:ascii="Book Antiqua" w:hAnsi="Book Antiqua"/>
          <w:b/>
          <w:i/>
          <w:vertAlign w:val="superscript"/>
          <w:lang w:val="en-US"/>
        </w:rPr>
        <w:t>18</w:t>
      </w:r>
      <w:r w:rsidR="00230CBF" w:rsidRPr="00230CBF">
        <w:rPr>
          <w:rFonts w:ascii="Book Antiqua" w:hAnsi="Book Antiqua"/>
          <w:b/>
          <w:i/>
          <w:lang w:val="en-US"/>
        </w:rPr>
        <w:t>F-Fluoro-2-Deoxy-D-Glucose positron emission tomography</w:t>
      </w:r>
      <w:r w:rsidRPr="00230CBF">
        <w:rPr>
          <w:rFonts w:ascii="Book Antiqua" w:hAnsi="Book Antiqua"/>
          <w:b/>
          <w:i/>
          <w:lang w:val="en-US"/>
        </w:rPr>
        <w:t xml:space="preserve"> in the evaluation of </w:t>
      </w:r>
      <w:r w:rsidR="008916DF" w:rsidRPr="00230CBF">
        <w:rPr>
          <w:rFonts w:ascii="Book Antiqua" w:hAnsi="Book Antiqua"/>
          <w:b/>
          <w:i/>
          <w:lang w:val="en-US"/>
        </w:rPr>
        <w:t>ICPIs</w:t>
      </w:r>
      <w:r w:rsidR="00685B90" w:rsidRPr="00230CBF">
        <w:rPr>
          <w:rFonts w:ascii="Book Antiqua" w:hAnsi="Book Antiqua"/>
          <w:b/>
          <w:i/>
          <w:lang w:val="en-US"/>
        </w:rPr>
        <w:t>?</w:t>
      </w:r>
    </w:p>
    <w:p w:rsidR="0092056F" w:rsidRPr="00230CBF" w:rsidRDefault="005906BF" w:rsidP="00230CBF">
      <w:pPr>
        <w:spacing w:line="360" w:lineRule="auto"/>
        <w:jc w:val="both"/>
        <w:rPr>
          <w:rFonts w:ascii="Book Antiqua" w:hAnsi="Book Antiqua"/>
          <w:lang w:val="en-US"/>
        </w:rPr>
      </w:pPr>
      <w:r w:rsidRPr="00230CBF">
        <w:rPr>
          <w:rFonts w:ascii="Book Antiqua" w:hAnsi="Book Antiqua"/>
          <w:lang w:val="en-US"/>
        </w:rPr>
        <w:t>While optimal CT-based res</w:t>
      </w:r>
      <w:r w:rsidR="00AC5656" w:rsidRPr="00230CBF">
        <w:rPr>
          <w:rFonts w:ascii="Book Antiqua" w:hAnsi="Book Antiqua"/>
          <w:lang w:val="en-US"/>
        </w:rPr>
        <w:t xml:space="preserve">ponse criteria for </w:t>
      </w:r>
      <w:r w:rsidR="002F78A4" w:rsidRPr="00230CBF">
        <w:rPr>
          <w:rFonts w:ascii="Book Antiqua" w:hAnsi="Book Antiqua"/>
          <w:lang w:val="en-US"/>
        </w:rPr>
        <w:t xml:space="preserve">ICPIs </w:t>
      </w:r>
      <w:r w:rsidRPr="00230CBF">
        <w:rPr>
          <w:rFonts w:ascii="Book Antiqua" w:hAnsi="Book Antiqua"/>
          <w:lang w:val="en-US"/>
        </w:rPr>
        <w:t>are in the path of thei</w:t>
      </w:r>
      <w:r w:rsidR="000F5377" w:rsidRPr="00230CBF">
        <w:rPr>
          <w:rFonts w:ascii="Book Antiqua" w:hAnsi="Book Antiqua"/>
          <w:lang w:val="en-US"/>
        </w:rPr>
        <w:t>r</w:t>
      </w:r>
      <w:r w:rsidR="000A5899" w:rsidRPr="00230CBF">
        <w:rPr>
          <w:rFonts w:ascii="Book Antiqua" w:hAnsi="Book Antiqua"/>
          <w:lang w:val="en-US"/>
        </w:rPr>
        <w:t xml:space="preserve"> identification, very few data </w:t>
      </w:r>
      <w:r w:rsidRPr="00230CBF">
        <w:rPr>
          <w:rFonts w:ascii="Book Antiqua" w:hAnsi="Book Antiqua"/>
          <w:lang w:val="en-US"/>
        </w:rPr>
        <w:t xml:space="preserve">are available for the evaluation of immunotherapy by means of </w:t>
      </w:r>
      <w:r w:rsidR="00230CBF" w:rsidRPr="00230CBF">
        <w:rPr>
          <w:rFonts w:ascii="Book Antiqua" w:hAnsi="Book Antiqua"/>
          <w:vertAlign w:val="superscript"/>
          <w:lang w:val="en-US"/>
        </w:rPr>
        <w:t>18</w:t>
      </w:r>
      <w:r w:rsidR="00230CBF" w:rsidRPr="00230CBF">
        <w:rPr>
          <w:rFonts w:ascii="Book Antiqua" w:hAnsi="Book Antiqua"/>
          <w:lang w:val="en-US"/>
        </w:rPr>
        <w:t>F-Fluoro-2-Deoxy-D-Glucose positron emission tomography (FDG-PET)</w:t>
      </w:r>
      <w:r w:rsidRPr="00230CBF">
        <w:rPr>
          <w:rFonts w:ascii="Book Antiqua" w:hAnsi="Book Antiqua"/>
          <w:lang w:val="en-US"/>
        </w:rPr>
        <w:t>, one of the most used imaging techniques in oncology.</w:t>
      </w:r>
      <w:r w:rsidR="00043F3A" w:rsidRPr="00230CBF">
        <w:rPr>
          <w:rFonts w:ascii="Book Antiqua" w:hAnsi="Book Antiqua"/>
          <w:lang w:val="en-US"/>
        </w:rPr>
        <w:t xml:space="preserve"> </w:t>
      </w:r>
      <w:r w:rsidR="009E26C1" w:rsidRPr="00230CBF">
        <w:rPr>
          <w:rFonts w:ascii="Book Antiqua" w:hAnsi="Book Antiqua"/>
          <w:vertAlign w:val="superscript"/>
          <w:lang w:val="en-US"/>
        </w:rPr>
        <w:t>18</w:t>
      </w:r>
      <w:r w:rsidR="009E26C1" w:rsidRPr="00230CBF">
        <w:rPr>
          <w:rFonts w:ascii="Book Antiqua" w:hAnsi="Book Antiqua"/>
          <w:lang w:val="en-US"/>
        </w:rPr>
        <w:t xml:space="preserve">F-FDG PET is currently the </w:t>
      </w:r>
      <w:r w:rsidR="008C29EF" w:rsidRPr="00230CBF">
        <w:rPr>
          <w:rFonts w:ascii="Book Antiqua" w:hAnsi="Book Antiqua"/>
          <w:lang w:val="en-US"/>
        </w:rPr>
        <w:t>most</w:t>
      </w:r>
      <w:r w:rsidR="009E26C1" w:rsidRPr="00230CBF">
        <w:rPr>
          <w:rFonts w:ascii="Book Antiqua" w:hAnsi="Book Antiqua"/>
          <w:lang w:val="en-US"/>
        </w:rPr>
        <w:t xml:space="preserve"> </w:t>
      </w:r>
      <w:r w:rsidR="00AC5656" w:rsidRPr="00230CBF">
        <w:rPr>
          <w:rFonts w:ascii="Book Antiqua" w:hAnsi="Book Antiqua"/>
          <w:lang w:val="en-US"/>
        </w:rPr>
        <w:t xml:space="preserve">widely used molecular imaging agent </w:t>
      </w:r>
      <w:r w:rsidR="009E26C1" w:rsidRPr="00230CBF">
        <w:rPr>
          <w:rFonts w:ascii="Book Antiqua" w:hAnsi="Book Antiqua"/>
          <w:lang w:val="en-US"/>
        </w:rPr>
        <w:t xml:space="preserve">in the clinical practice for staging and restaging of several cancer. </w:t>
      </w:r>
      <w:r w:rsidR="009E26C1" w:rsidRPr="00230CBF">
        <w:rPr>
          <w:rFonts w:ascii="Book Antiqua" w:hAnsi="Book Antiqua"/>
          <w:vertAlign w:val="superscript"/>
          <w:lang w:val="en-US"/>
        </w:rPr>
        <w:t>18</w:t>
      </w:r>
      <w:r w:rsidR="009E26C1" w:rsidRPr="00230CBF">
        <w:rPr>
          <w:rFonts w:ascii="Book Antiqua" w:hAnsi="Book Antiqua"/>
          <w:lang w:val="en-US"/>
        </w:rPr>
        <w:t xml:space="preserve">F-FDG PET is </w:t>
      </w:r>
      <w:r w:rsidR="004A7379" w:rsidRPr="00230CBF">
        <w:rPr>
          <w:rFonts w:ascii="Book Antiqua" w:hAnsi="Book Antiqua"/>
          <w:lang w:val="en-US"/>
        </w:rPr>
        <w:t>clinically indicated</w:t>
      </w:r>
      <w:r w:rsidR="009E26C1" w:rsidRPr="00230CBF">
        <w:rPr>
          <w:rFonts w:ascii="Book Antiqua" w:hAnsi="Book Antiqua"/>
          <w:lang w:val="en-US"/>
        </w:rPr>
        <w:t xml:space="preserve"> </w:t>
      </w:r>
      <w:r w:rsidR="004A7379" w:rsidRPr="00230CBF">
        <w:rPr>
          <w:rFonts w:ascii="Book Antiqua" w:hAnsi="Book Antiqua"/>
          <w:lang w:val="en-US"/>
        </w:rPr>
        <w:t xml:space="preserve">before and after treatment in </w:t>
      </w:r>
      <w:r w:rsidR="009E26C1" w:rsidRPr="00230CBF">
        <w:rPr>
          <w:rFonts w:ascii="Book Antiqua" w:hAnsi="Book Antiqua"/>
          <w:lang w:val="en-US"/>
        </w:rPr>
        <w:t xml:space="preserve">patients with Hodgkin’s lymphoma and NSCLC and </w:t>
      </w:r>
      <w:r w:rsidR="0092056F" w:rsidRPr="00230CBF">
        <w:rPr>
          <w:rFonts w:ascii="Book Antiqua" w:hAnsi="Book Antiqua"/>
          <w:lang w:val="en-US"/>
        </w:rPr>
        <w:t xml:space="preserve">it </w:t>
      </w:r>
      <w:r w:rsidR="004A7379" w:rsidRPr="00230CBF">
        <w:rPr>
          <w:rFonts w:ascii="Book Antiqua" w:hAnsi="Book Antiqua"/>
          <w:lang w:val="en-US"/>
        </w:rPr>
        <w:t xml:space="preserve">is used </w:t>
      </w:r>
      <w:r w:rsidR="009E26C1" w:rsidRPr="00230CBF">
        <w:rPr>
          <w:rFonts w:ascii="Book Antiqua" w:hAnsi="Book Antiqua"/>
          <w:lang w:val="en-US"/>
        </w:rPr>
        <w:t>in patients with melanoma</w:t>
      </w:r>
      <w:r w:rsidR="0092056F" w:rsidRPr="00230CBF">
        <w:rPr>
          <w:rFonts w:ascii="Book Antiqua" w:hAnsi="Book Antiqua"/>
          <w:lang w:val="en-US"/>
        </w:rPr>
        <w:t xml:space="preserve"> for specific clinical </w:t>
      </w:r>
      <w:proofErr w:type="gramStart"/>
      <w:r w:rsidR="0092056F" w:rsidRPr="00230CBF">
        <w:rPr>
          <w:rFonts w:ascii="Book Antiqua" w:hAnsi="Book Antiqua"/>
          <w:lang w:val="en-US"/>
        </w:rPr>
        <w:t>indications</w:t>
      </w:r>
      <w:r w:rsidR="00BA5B82" w:rsidRPr="00230CBF">
        <w:rPr>
          <w:rFonts w:ascii="Book Antiqua" w:hAnsi="Book Antiqua"/>
          <w:vertAlign w:val="superscript"/>
          <w:lang w:val="en-US"/>
        </w:rPr>
        <w:t>[</w:t>
      </w:r>
      <w:proofErr w:type="gramEnd"/>
      <w:r w:rsidR="00AF2970" w:rsidRPr="00230CBF">
        <w:rPr>
          <w:rFonts w:ascii="Book Antiqua" w:hAnsi="Book Antiqua"/>
          <w:vertAlign w:val="superscript"/>
          <w:lang w:val="en-US"/>
        </w:rPr>
        <w:t>17-19</w:t>
      </w:r>
      <w:r w:rsidR="00BA5B82" w:rsidRPr="00230CBF">
        <w:rPr>
          <w:rFonts w:ascii="Book Antiqua" w:hAnsi="Book Antiqua"/>
          <w:vertAlign w:val="superscript"/>
          <w:lang w:val="en-US"/>
        </w:rPr>
        <w:t>]</w:t>
      </w:r>
      <w:r w:rsidR="0057096F" w:rsidRPr="00230CBF">
        <w:rPr>
          <w:rFonts w:ascii="Book Antiqua" w:hAnsi="Book Antiqua"/>
          <w:lang w:val="en-US"/>
        </w:rPr>
        <w:t>.</w:t>
      </w:r>
      <w:r w:rsidR="004A7379" w:rsidRPr="00230CBF">
        <w:rPr>
          <w:rFonts w:ascii="Book Antiqua" w:hAnsi="Book Antiqua"/>
          <w:lang w:val="en-US"/>
        </w:rPr>
        <w:t xml:space="preserve"> The use of </w:t>
      </w:r>
      <w:r w:rsidR="004A7379" w:rsidRPr="00230CBF">
        <w:rPr>
          <w:rFonts w:ascii="Book Antiqua" w:hAnsi="Book Antiqua"/>
          <w:vertAlign w:val="superscript"/>
          <w:lang w:val="en-US"/>
        </w:rPr>
        <w:t>18</w:t>
      </w:r>
      <w:r w:rsidR="004A7379" w:rsidRPr="00230CBF">
        <w:rPr>
          <w:rFonts w:ascii="Book Antiqua" w:hAnsi="Book Antiqua"/>
          <w:lang w:val="en-US"/>
        </w:rPr>
        <w:t xml:space="preserve">F-FDG PET in </w:t>
      </w:r>
      <w:r w:rsidR="00AF33CC" w:rsidRPr="00230CBF">
        <w:rPr>
          <w:rFonts w:ascii="Book Antiqua" w:hAnsi="Book Antiqua"/>
          <w:lang w:val="en-US"/>
        </w:rPr>
        <w:t>the post-treatment settings</w:t>
      </w:r>
      <w:r w:rsidR="00641E95" w:rsidRPr="00230CBF">
        <w:rPr>
          <w:rFonts w:ascii="Book Antiqua" w:hAnsi="Book Antiqua"/>
          <w:lang w:val="en-US"/>
        </w:rPr>
        <w:t xml:space="preserve"> is ba</w:t>
      </w:r>
      <w:r w:rsidR="00D06549" w:rsidRPr="00230CBF">
        <w:rPr>
          <w:rFonts w:ascii="Book Antiqua" w:hAnsi="Book Antiqua"/>
          <w:lang w:val="en-US"/>
        </w:rPr>
        <w:t>sed on the assumption that tumo</w:t>
      </w:r>
      <w:r w:rsidR="00641E95" w:rsidRPr="00230CBF">
        <w:rPr>
          <w:rFonts w:ascii="Book Antiqua" w:hAnsi="Book Antiqua"/>
          <w:lang w:val="en-US"/>
        </w:rPr>
        <w:t>r size changes are only the final step in a sequence of complex metabolic and functional proces</w:t>
      </w:r>
      <w:r w:rsidR="00A335BA">
        <w:rPr>
          <w:rFonts w:ascii="Book Antiqua" w:hAnsi="Book Antiqua"/>
          <w:lang w:val="en-US"/>
        </w:rPr>
        <w:t xml:space="preserve">ses during and after </w:t>
      </w:r>
      <w:proofErr w:type="gramStart"/>
      <w:r w:rsidR="00A335BA">
        <w:rPr>
          <w:rFonts w:ascii="Book Antiqua" w:hAnsi="Book Antiqua"/>
          <w:lang w:val="en-US"/>
        </w:rPr>
        <w:lastRenderedPageBreak/>
        <w:t>treatment</w:t>
      </w:r>
      <w:r w:rsidR="00BA5B82" w:rsidRPr="00230CBF">
        <w:rPr>
          <w:rFonts w:ascii="Book Antiqua" w:hAnsi="Book Antiqua"/>
          <w:vertAlign w:val="superscript"/>
          <w:lang w:val="en-US"/>
        </w:rPr>
        <w:t>[</w:t>
      </w:r>
      <w:proofErr w:type="gramEnd"/>
      <w:r w:rsidR="00D65890" w:rsidRPr="00230CBF">
        <w:rPr>
          <w:rFonts w:ascii="Book Antiqua" w:hAnsi="Book Antiqua"/>
          <w:vertAlign w:val="superscript"/>
          <w:lang w:val="en-US"/>
        </w:rPr>
        <w:t>20</w:t>
      </w:r>
      <w:r w:rsidR="00BA5B82" w:rsidRPr="00230CBF">
        <w:rPr>
          <w:rFonts w:ascii="Book Antiqua" w:hAnsi="Book Antiqua"/>
          <w:vertAlign w:val="superscript"/>
          <w:lang w:val="en-US"/>
        </w:rPr>
        <w:t>]</w:t>
      </w:r>
      <w:r w:rsidR="00E07D97" w:rsidRPr="00230CBF">
        <w:rPr>
          <w:rFonts w:ascii="Book Antiqua" w:hAnsi="Book Antiqua"/>
          <w:lang w:val="en-US"/>
        </w:rPr>
        <w:t xml:space="preserve">. </w:t>
      </w:r>
      <w:r w:rsidR="00ED33E8" w:rsidRPr="00230CBF">
        <w:rPr>
          <w:rFonts w:ascii="Book Antiqua" w:hAnsi="Book Antiqua"/>
          <w:lang w:val="en-US"/>
        </w:rPr>
        <w:t>Two different types of</w:t>
      </w:r>
      <w:r w:rsidR="00E07D97" w:rsidRPr="00230CBF">
        <w:rPr>
          <w:rFonts w:ascii="Book Antiqua" w:hAnsi="Book Antiqua"/>
          <w:lang w:val="en-US"/>
        </w:rPr>
        <w:t xml:space="preserve"> criteria have been proposed for the </w:t>
      </w:r>
      <w:r w:rsidR="00ED33E8" w:rsidRPr="00230CBF">
        <w:rPr>
          <w:rFonts w:ascii="Book Antiqua" w:hAnsi="Book Antiqua"/>
          <w:lang w:val="en-US"/>
        </w:rPr>
        <w:t xml:space="preserve">identification of </w:t>
      </w:r>
      <w:r w:rsidR="00ED33E8" w:rsidRPr="00230CBF">
        <w:rPr>
          <w:rFonts w:ascii="Book Antiqua" w:hAnsi="Book Antiqua"/>
          <w:vertAlign w:val="superscript"/>
          <w:lang w:val="en-US"/>
        </w:rPr>
        <w:t>18</w:t>
      </w:r>
      <w:r w:rsidR="00ED33E8" w:rsidRPr="00230CBF">
        <w:rPr>
          <w:rFonts w:ascii="Book Antiqua" w:hAnsi="Book Antiqua"/>
          <w:lang w:val="en-US"/>
        </w:rPr>
        <w:t>F-FDG PET-based response in solid tumors:</w:t>
      </w:r>
      <w:r w:rsidR="004A7379" w:rsidRPr="00230CBF">
        <w:rPr>
          <w:rFonts w:ascii="Book Antiqua" w:hAnsi="Book Antiqua"/>
          <w:lang w:val="en-US"/>
        </w:rPr>
        <w:t xml:space="preserve"> </w:t>
      </w:r>
      <w:r w:rsidR="00FE07A9" w:rsidRPr="00230CBF">
        <w:rPr>
          <w:rFonts w:ascii="Book Antiqua" w:hAnsi="Book Antiqua"/>
          <w:lang w:val="en-US"/>
        </w:rPr>
        <w:t xml:space="preserve">the </w:t>
      </w:r>
      <w:r w:rsidR="004A7379" w:rsidRPr="00230CBF">
        <w:rPr>
          <w:rFonts w:ascii="Book Antiqua" w:hAnsi="Book Antiqua"/>
          <w:lang w:val="en-US"/>
        </w:rPr>
        <w:t>European Organization for Research and Treatment of Cance</w:t>
      </w:r>
      <w:r w:rsidR="00C71BFF" w:rsidRPr="00230CBF">
        <w:rPr>
          <w:rFonts w:ascii="Book Antiqua" w:hAnsi="Book Antiqua"/>
          <w:lang w:val="en-US"/>
        </w:rPr>
        <w:t>r</w:t>
      </w:r>
      <w:r w:rsidR="00ED33E8" w:rsidRPr="00230CBF">
        <w:rPr>
          <w:rFonts w:ascii="Book Antiqua" w:hAnsi="Book Antiqua"/>
          <w:lang w:val="en-US"/>
        </w:rPr>
        <w:t xml:space="preserve"> </w:t>
      </w:r>
      <w:r w:rsidR="004A7379" w:rsidRPr="00230CBF">
        <w:rPr>
          <w:rFonts w:ascii="Book Antiqua" w:hAnsi="Book Antiqua"/>
          <w:lang w:val="en-US"/>
        </w:rPr>
        <w:t xml:space="preserve">(EORTC) </w:t>
      </w:r>
      <w:r w:rsidR="00ED33E8" w:rsidRPr="00230CBF">
        <w:rPr>
          <w:rFonts w:ascii="Book Antiqua" w:hAnsi="Book Antiqua"/>
          <w:lang w:val="en-US"/>
        </w:rPr>
        <w:t xml:space="preserve">and </w:t>
      </w:r>
      <w:r w:rsidR="00FE07A9" w:rsidRPr="00230CBF">
        <w:rPr>
          <w:rFonts w:ascii="Book Antiqua" w:hAnsi="Book Antiqua"/>
          <w:lang w:val="en-US"/>
        </w:rPr>
        <w:t xml:space="preserve">the </w:t>
      </w:r>
      <w:r w:rsidR="004A7379" w:rsidRPr="00230CBF">
        <w:rPr>
          <w:rFonts w:ascii="Book Antiqua" w:hAnsi="Book Antiqua"/>
          <w:lang w:val="en-US"/>
        </w:rPr>
        <w:t>PET Response Criteria in Solid Tumors (</w:t>
      </w:r>
      <w:r w:rsidR="00ED33E8" w:rsidRPr="00230CBF">
        <w:rPr>
          <w:rFonts w:ascii="Book Antiqua" w:hAnsi="Book Antiqua"/>
          <w:lang w:val="en-US"/>
        </w:rPr>
        <w:t>PERCIST</w:t>
      </w:r>
      <w:r w:rsidR="004A7379" w:rsidRPr="00230CBF">
        <w:rPr>
          <w:rFonts w:ascii="Book Antiqua" w:hAnsi="Book Antiqua"/>
          <w:lang w:val="en-US"/>
        </w:rPr>
        <w:t>)</w:t>
      </w:r>
      <w:r w:rsidR="00ED33E8" w:rsidRPr="00230CBF">
        <w:rPr>
          <w:rFonts w:ascii="Book Antiqua" w:hAnsi="Book Antiqua"/>
          <w:lang w:val="en-US"/>
        </w:rPr>
        <w:t xml:space="preserve"> </w:t>
      </w:r>
      <w:proofErr w:type="gramStart"/>
      <w:r w:rsidR="00ED33E8" w:rsidRPr="00230CBF">
        <w:rPr>
          <w:rFonts w:ascii="Book Antiqua" w:hAnsi="Book Antiqua"/>
          <w:lang w:val="en-US"/>
        </w:rPr>
        <w:t>criteria</w:t>
      </w:r>
      <w:r w:rsidR="00230CBF">
        <w:rPr>
          <w:rFonts w:ascii="Book Antiqua" w:hAnsi="Book Antiqua"/>
          <w:vertAlign w:val="superscript"/>
          <w:lang w:val="en-US"/>
        </w:rPr>
        <w:t>[</w:t>
      </w:r>
      <w:proofErr w:type="gramEnd"/>
      <w:r w:rsidR="00230CBF">
        <w:rPr>
          <w:rFonts w:ascii="Book Antiqua" w:hAnsi="Book Antiqua"/>
          <w:vertAlign w:val="superscript"/>
          <w:lang w:val="en-US"/>
        </w:rPr>
        <w:t>21,</w:t>
      </w:r>
      <w:r w:rsidR="00BA5B82" w:rsidRPr="00230CBF">
        <w:rPr>
          <w:rFonts w:ascii="Book Antiqua" w:hAnsi="Book Antiqua"/>
          <w:vertAlign w:val="superscript"/>
          <w:lang w:val="en-US"/>
        </w:rPr>
        <w:t>22]</w:t>
      </w:r>
      <w:r w:rsidR="00106172" w:rsidRPr="00230CBF">
        <w:rPr>
          <w:rFonts w:ascii="Book Antiqua" w:hAnsi="Book Antiqua"/>
          <w:lang w:val="en-US"/>
        </w:rPr>
        <w:t>,</w:t>
      </w:r>
      <w:r w:rsidR="00C71BFF" w:rsidRPr="00230CBF">
        <w:rPr>
          <w:rFonts w:ascii="Book Antiqua" w:hAnsi="Book Antiqua"/>
          <w:lang w:val="en-US"/>
        </w:rPr>
        <w:t xml:space="preserve"> </w:t>
      </w:r>
      <w:r w:rsidR="00BE3E74" w:rsidRPr="00230CBF">
        <w:rPr>
          <w:rFonts w:ascii="Book Antiqua" w:hAnsi="Book Antiqua"/>
          <w:lang w:val="en-US"/>
        </w:rPr>
        <w:t>T</w:t>
      </w:r>
      <w:r w:rsidR="00D416F4" w:rsidRPr="00230CBF">
        <w:rPr>
          <w:rFonts w:ascii="Book Antiqua" w:hAnsi="Book Antiqua"/>
          <w:lang w:val="en-US"/>
        </w:rPr>
        <w:t>able</w:t>
      </w:r>
      <w:r w:rsidR="00106172" w:rsidRPr="00230CBF">
        <w:rPr>
          <w:rFonts w:ascii="Book Antiqua" w:hAnsi="Book Antiqua"/>
          <w:lang w:val="en-US"/>
        </w:rPr>
        <w:t xml:space="preserve"> 1</w:t>
      </w:r>
      <w:r w:rsidR="00D416F4" w:rsidRPr="00230CBF">
        <w:rPr>
          <w:rFonts w:ascii="Book Antiqua" w:hAnsi="Book Antiqua"/>
          <w:lang w:val="en-US"/>
        </w:rPr>
        <w:t xml:space="preserve">. </w:t>
      </w:r>
      <w:r w:rsidR="00C71BFF" w:rsidRPr="00230CBF">
        <w:rPr>
          <w:rFonts w:ascii="Book Antiqua" w:hAnsi="Book Antiqua"/>
          <w:lang w:val="en-US"/>
        </w:rPr>
        <w:t xml:space="preserve">Both criteria target the most metabolically active part of patient’s tumor burden, which is regarded as the most viable and aggressive disease </w:t>
      </w:r>
      <w:r w:rsidR="00177109" w:rsidRPr="00230CBF">
        <w:rPr>
          <w:rFonts w:ascii="Book Antiqua" w:hAnsi="Book Antiqua"/>
          <w:lang w:val="en-US"/>
        </w:rPr>
        <w:t xml:space="preserve">site. </w:t>
      </w:r>
      <w:r w:rsidR="00C83D80" w:rsidRPr="00230CBF">
        <w:rPr>
          <w:rFonts w:ascii="Book Antiqua" w:hAnsi="Book Antiqua"/>
          <w:lang w:val="en-US"/>
        </w:rPr>
        <w:t>In both case the so-called s</w:t>
      </w:r>
      <w:r w:rsidR="005361FC" w:rsidRPr="00230CBF">
        <w:rPr>
          <w:rFonts w:ascii="Book Antiqua" w:hAnsi="Book Antiqua"/>
          <w:lang w:val="en-US"/>
        </w:rPr>
        <w:t>tandardize uptake value (SUV) is</w:t>
      </w:r>
      <w:r w:rsidR="00C83D80" w:rsidRPr="00230CBF">
        <w:rPr>
          <w:rFonts w:ascii="Book Antiqua" w:hAnsi="Book Antiqua"/>
          <w:lang w:val="en-US"/>
        </w:rPr>
        <w:t xml:space="preserve"> measured at baseline and after treatment. </w:t>
      </w:r>
      <w:r w:rsidR="00C71BFF" w:rsidRPr="00230CBF">
        <w:rPr>
          <w:rFonts w:ascii="Book Antiqua" w:hAnsi="Book Antiqua"/>
          <w:lang w:val="en-US"/>
        </w:rPr>
        <w:t>However</w:t>
      </w:r>
      <w:r w:rsidR="00FF5615" w:rsidRPr="00230CBF">
        <w:rPr>
          <w:rFonts w:ascii="Book Antiqua" w:hAnsi="Book Antiqua"/>
          <w:lang w:val="en-US"/>
        </w:rPr>
        <w:t>,</w:t>
      </w:r>
      <w:r w:rsidR="00C71BFF" w:rsidRPr="00230CBF">
        <w:rPr>
          <w:rFonts w:ascii="Book Antiqua" w:hAnsi="Book Antiqua"/>
          <w:lang w:val="en-US"/>
        </w:rPr>
        <w:t xml:space="preserve"> they differ for some relevant aspects. </w:t>
      </w:r>
      <w:r w:rsidR="00FF12AA" w:rsidRPr="00230CBF">
        <w:rPr>
          <w:rFonts w:ascii="Book Antiqua" w:hAnsi="Book Antiqua"/>
          <w:lang w:val="en-US"/>
        </w:rPr>
        <w:t xml:space="preserve">The EORTC criteria were published in 1999 and are based on the evaluation of a lesion-specific regions of interest (ROIs) chosen as </w:t>
      </w:r>
      <w:r w:rsidR="0092056F" w:rsidRPr="00230CBF">
        <w:rPr>
          <w:rFonts w:ascii="Book Antiqua" w:hAnsi="Book Antiqua"/>
          <w:lang w:val="en-US"/>
        </w:rPr>
        <w:t xml:space="preserve">the </w:t>
      </w:r>
      <w:r w:rsidR="00FF12AA" w:rsidRPr="00230CBF">
        <w:rPr>
          <w:rFonts w:ascii="Book Antiqua" w:hAnsi="Book Antiqua"/>
          <w:lang w:val="en-US"/>
        </w:rPr>
        <w:t xml:space="preserve">most </w:t>
      </w:r>
      <w:r w:rsidR="00FF12AA" w:rsidRPr="00230CBF">
        <w:rPr>
          <w:rFonts w:ascii="Book Antiqua" w:hAnsi="Book Antiqua"/>
          <w:vertAlign w:val="superscript"/>
          <w:lang w:val="en-US"/>
        </w:rPr>
        <w:t>18</w:t>
      </w:r>
      <w:r w:rsidR="00FF12AA" w:rsidRPr="00230CBF">
        <w:rPr>
          <w:rFonts w:ascii="Book Antiqua" w:hAnsi="Book Antiqua"/>
          <w:lang w:val="en-US"/>
        </w:rPr>
        <w:t xml:space="preserve">F-FDG–avid at baseline and followed </w:t>
      </w:r>
      <w:r w:rsidR="0092056F" w:rsidRPr="00230CBF">
        <w:rPr>
          <w:rFonts w:ascii="Book Antiqua" w:hAnsi="Book Antiqua"/>
          <w:lang w:val="en-US"/>
        </w:rPr>
        <w:t xml:space="preserve">in the </w:t>
      </w:r>
      <w:r w:rsidR="00FF12AA" w:rsidRPr="00230CBF">
        <w:rPr>
          <w:rFonts w:ascii="Book Antiqua" w:hAnsi="Book Antiqua"/>
          <w:lang w:val="en-US"/>
        </w:rPr>
        <w:t xml:space="preserve">after treatment </w:t>
      </w:r>
      <w:proofErr w:type="gramStart"/>
      <w:r w:rsidR="00FF12AA" w:rsidRPr="00230CBF">
        <w:rPr>
          <w:rFonts w:ascii="Book Antiqua" w:hAnsi="Book Antiqua"/>
          <w:lang w:val="en-US"/>
        </w:rPr>
        <w:t>scan</w:t>
      </w:r>
      <w:r w:rsidR="0092056F" w:rsidRPr="00230CBF">
        <w:rPr>
          <w:rFonts w:ascii="Book Antiqua" w:hAnsi="Book Antiqua"/>
          <w:lang w:val="en-US"/>
        </w:rPr>
        <w:t>s</w:t>
      </w:r>
      <w:r w:rsidR="00BA5B82" w:rsidRPr="00230CBF">
        <w:rPr>
          <w:rFonts w:ascii="Book Antiqua" w:hAnsi="Book Antiqua"/>
          <w:vertAlign w:val="superscript"/>
          <w:lang w:val="en-US"/>
        </w:rPr>
        <w:t>[</w:t>
      </w:r>
      <w:proofErr w:type="gramEnd"/>
      <w:r w:rsidR="00177109" w:rsidRPr="00230CBF">
        <w:rPr>
          <w:rFonts w:ascii="Book Antiqua" w:hAnsi="Book Antiqua"/>
          <w:vertAlign w:val="superscript"/>
          <w:lang w:val="en-US"/>
        </w:rPr>
        <w:t>22</w:t>
      </w:r>
      <w:r w:rsidR="00BA5B82" w:rsidRPr="00230CBF">
        <w:rPr>
          <w:rFonts w:ascii="Book Antiqua" w:hAnsi="Book Antiqua"/>
          <w:vertAlign w:val="superscript"/>
          <w:lang w:val="en-US"/>
        </w:rPr>
        <w:t>]</w:t>
      </w:r>
      <w:r w:rsidR="001B64E3" w:rsidRPr="00230CBF">
        <w:rPr>
          <w:rFonts w:ascii="Book Antiqua" w:hAnsi="Book Antiqua"/>
          <w:lang w:val="en-US"/>
        </w:rPr>
        <w:t>.</w:t>
      </w:r>
      <w:r w:rsidR="000C1331" w:rsidRPr="00230CBF">
        <w:rPr>
          <w:rFonts w:ascii="Book Antiqua" w:hAnsi="Book Antiqua"/>
          <w:lang w:val="en-US"/>
        </w:rPr>
        <w:t xml:space="preserve"> PERCIST was proposed in 2009 by Wahl </w:t>
      </w:r>
      <w:r w:rsidR="000C1331" w:rsidRPr="00230CBF">
        <w:rPr>
          <w:rFonts w:ascii="Book Antiqua" w:hAnsi="Book Antiqua"/>
          <w:i/>
          <w:lang w:val="en-US"/>
        </w:rPr>
        <w:t>et</w:t>
      </w:r>
      <w:r w:rsidR="009C5886" w:rsidRPr="00230CBF">
        <w:rPr>
          <w:rFonts w:ascii="Book Antiqua" w:hAnsi="Book Antiqua"/>
          <w:i/>
          <w:lang w:val="en-US"/>
        </w:rPr>
        <w:t xml:space="preserve"> </w:t>
      </w:r>
      <w:r w:rsidR="00BA5B82" w:rsidRPr="00230CBF">
        <w:rPr>
          <w:rFonts w:ascii="Book Antiqua" w:hAnsi="Book Antiqua"/>
          <w:i/>
          <w:lang w:val="en-US"/>
        </w:rPr>
        <w:t>al</w:t>
      </w:r>
      <w:r w:rsidR="00230CBF" w:rsidRPr="00230CBF">
        <w:rPr>
          <w:rFonts w:ascii="Book Antiqua" w:hAnsi="Book Antiqua"/>
          <w:vertAlign w:val="superscript"/>
          <w:lang w:val="en-US"/>
        </w:rPr>
        <w:t>[21]</w:t>
      </w:r>
      <w:r w:rsidR="008E3C04" w:rsidRPr="00230CBF">
        <w:rPr>
          <w:rFonts w:ascii="Book Antiqua" w:hAnsi="Book Antiqua"/>
          <w:lang w:val="en-US"/>
        </w:rPr>
        <w:t xml:space="preserve"> </w:t>
      </w:r>
      <w:r w:rsidR="000C1331" w:rsidRPr="00230CBF">
        <w:rPr>
          <w:rFonts w:ascii="Book Antiqua" w:hAnsi="Book Antiqua"/>
          <w:lang w:val="en-US"/>
        </w:rPr>
        <w:t xml:space="preserve">and </w:t>
      </w:r>
      <w:r w:rsidR="00FE07A9" w:rsidRPr="00230CBF">
        <w:rPr>
          <w:rFonts w:ascii="Book Antiqua" w:hAnsi="Book Antiqua"/>
          <w:lang w:val="en-US"/>
        </w:rPr>
        <w:t>relies</w:t>
      </w:r>
      <w:r w:rsidR="000C1331" w:rsidRPr="00230CBF">
        <w:rPr>
          <w:rFonts w:ascii="Book Antiqua" w:hAnsi="Book Antiqua"/>
          <w:lang w:val="en-US"/>
        </w:rPr>
        <w:t xml:space="preserve"> on the use of a 1cm</w:t>
      </w:r>
      <w:r w:rsidR="000C1331" w:rsidRPr="00230CBF">
        <w:rPr>
          <w:rFonts w:ascii="Book Antiqua" w:hAnsi="Book Antiqua"/>
          <w:vertAlign w:val="superscript"/>
          <w:lang w:val="en-US"/>
        </w:rPr>
        <w:t>3</w:t>
      </w:r>
      <w:r w:rsidR="000C1331" w:rsidRPr="00230CBF">
        <w:rPr>
          <w:rFonts w:ascii="Book Antiqua" w:hAnsi="Book Antiqua"/>
          <w:lang w:val="en-US"/>
        </w:rPr>
        <w:t xml:space="preserve"> ROI on the most </w:t>
      </w:r>
      <w:r w:rsidR="000C1331" w:rsidRPr="00230CBF">
        <w:rPr>
          <w:rFonts w:ascii="Book Antiqua" w:hAnsi="Book Antiqua"/>
          <w:vertAlign w:val="superscript"/>
          <w:lang w:val="en-US"/>
        </w:rPr>
        <w:t>18</w:t>
      </w:r>
      <w:r w:rsidR="00BE3E74" w:rsidRPr="00230CBF">
        <w:rPr>
          <w:rFonts w:ascii="Book Antiqua" w:hAnsi="Book Antiqua"/>
          <w:lang w:val="en-US"/>
        </w:rPr>
        <w:t>F-FDG–</w:t>
      </w:r>
      <w:r w:rsidR="000C1331" w:rsidRPr="00230CBF">
        <w:rPr>
          <w:rFonts w:ascii="Book Antiqua" w:hAnsi="Book Antiqua"/>
          <w:lang w:val="en-US"/>
        </w:rPr>
        <w:t xml:space="preserve">avid part of the single most metabolically active lesion at each PET/CT scan (which is not necessarily located in the same lesion </w:t>
      </w:r>
      <w:r w:rsidR="00FE07A9" w:rsidRPr="00230CBF">
        <w:rPr>
          <w:rFonts w:ascii="Book Antiqua" w:hAnsi="Book Antiqua"/>
          <w:lang w:val="en-US"/>
        </w:rPr>
        <w:t>in</w:t>
      </w:r>
      <w:r w:rsidR="000C1331" w:rsidRPr="00230CBF">
        <w:rPr>
          <w:rFonts w:ascii="Book Antiqua" w:hAnsi="Book Antiqua"/>
          <w:lang w:val="en-US"/>
        </w:rPr>
        <w:t xml:space="preserve"> all scans).</w:t>
      </w:r>
      <w:r w:rsidR="00C71BFF" w:rsidRPr="00230CBF">
        <w:rPr>
          <w:rFonts w:ascii="Book Antiqua" w:hAnsi="Book Antiqua"/>
          <w:lang w:val="en-US"/>
        </w:rPr>
        <w:t xml:space="preserve"> </w:t>
      </w:r>
    </w:p>
    <w:p w:rsidR="002A6320" w:rsidRPr="00230CBF" w:rsidRDefault="00C71BFF" w:rsidP="00230CBF">
      <w:pPr>
        <w:spacing w:line="360" w:lineRule="auto"/>
        <w:ind w:firstLineChars="100" w:firstLine="240"/>
        <w:jc w:val="both"/>
        <w:rPr>
          <w:rStyle w:val="apple-converted-space"/>
          <w:rFonts w:ascii="Book Antiqua" w:hAnsi="Book Antiqua"/>
          <w:lang w:val="en-US"/>
        </w:rPr>
      </w:pPr>
      <w:r w:rsidRPr="00230CBF">
        <w:rPr>
          <w:rFonts w:ascii="Book Antiqua" w:hAnsi="Book Antiqua"/>
          <w:lang w:val="en-US"/>
        </w:rPr>
        <w:t xml:space="preserve">Relatively few </w:t>
      </w:r>
      <w:r w:rsidR="00DE332F" w:rsidRPr="00230CBF">
        <w:rPr>
          <w:rFonts w:ascii="Book Antiqua" w:hAnsi="Book Antiqua"/>
          <w:lang w:val="en-US"/>
        </w:rPr>
        <w:t>papers have</w:t>
      </w:r>
      <w:r w:rsidRPr="00230CBF">
        <w:rPr>
          <w:rFonts w:ascii="Book Antiqua" w:hAnsi="Book Antiqua"/>
          <w:lang w:val="en-US"/>
        </w:rPr>
        <w:t xml:space="preserve"> compared the two methods in solid tumors </w:t>
      </w:r>
      <w:r w:rsidR="00A24893" w:rsidRPr="00230CBF">
        <w:rPr>
          <w:rFonts w:ascii="Book Antiqua" w:hAnsi="Book Antiqua"/>
          <w:lang w:val="en-US"/>
        </w:rPr>
        <w:t xml:space="preserve">and good agreement, similar responses and survival outcomes </w:t>
      </w:r>
      <w:r w:rsidR="00FE07A9" w:rsidRPr="00230CBF">
        <w:rPr>
          <w:rFonts w:ascii="Book Antiqua" w:hAnsi="Book Antiqua"/>
          <w:lang w:val="en-US"/>
        </w:rPr>
        <w:t>have been highlighted in the available</w:t>
      </w:r>
      <w:r w:rsidR="00230CBF">
        <w:rPr>
          <w:rFonts w:ascii="Book Antiqua" w:hAnsi="Book Antiqua"/>
          <w:lang w:val="en-US"/>
        </w:rPr>
        <w:t xml:space="preserve"> </w:t>
      </w:r>
      <w:proofErr w:type="gramStart"/>
      <w:r w:rsidR="00230CBF">
        <w:rPr>
          <w:rFonts w:ascii="Book Antiqua" w:hAnsi="Book Antiqua"/>
          <w:lang w:val="en-US"/>
        </w:rPr>
        <w:t>studies</w:t>
      </w:r>
      <w:r w:rsidR="00DF69F5" w:rsidRPr="00230CBF">
        <w:rPr>
          <w:rFonts w:ascii="Book Antiqua" w:hAnsi="Book Antiqua"/>
          <w:vertAlign w:val="superscript"/>
          <w:lang w:val="en-US"/>
        </w:rPr>
        <w:t>[</w:t>
      </w:r>
      <w:proofErr w:type="gramEnd"/>
      <w:r w:rsidR="00124507" w:rsidRPr="00230CBF">
        <w:rPr>
          <w:rFonts w:ascii="Book Antiqua" w:hAnsi="Book Antiqua"/>
          <w:vertAlign w:val="superscript"/>
          <w:lang w:val="en-US"/>
        </w:rPr>
        <w:t>23</w:t>
      </w:r>
      <w:r w:rsidR="00DF69F5" w:rsidRPr="00230CBF">
        <w:rPr>
          <w:rFonts w:ascii="Book Antiqua" w:hAnsi="Book Antiqua"/>
          <w:vertAlign w:val="superscript"/>
          <w:lang w:val="en-US"/>
        </w:rPr>
        <w:t>]</w:t>
      </w:r>
      <w:r w:rsidRPr="00230CBF">
        <w:rPr>
          <w:rFonts w:ascii="Book Antiqua" w:hAnsi="Book Antiqua"/>
          <w:lang w:val="en-US"/>
        </w:rPr>
        <w:t>.</w:t>
      </w:r>
      <w:r w:rsidR="006574FC" w:rsidRPr="00230CBF">
        <w:rPr>
          <w:rFonts w:ascii="Book Antiqua" w:hAnsi="Book Antiqua"/>
          <w:lang w:val="en-US"/>
        </w:rPr>
        <w:t xml:space="preserve"> However for EORTC criteria, no recommendations on the number of target lesions or on whether computing SUV</w:t>
      </w:r>
      <w:r w:rsidR="00A143E6" w:rsidRPr="00230CBF">
        <w:rPr>
          <w:rFonts w:ascii="Book Antiqua" w:hAnsi="Book Antiqua"/>
          <w:lang w:val="en-US"/>
        </w:rPr>
        <w:t xml:space="preserve"> </w:t>
      </w:r>
      <w:r w:rsidR="006574FC" w:rsidRPr="00230CBF">
        <w:rPr>
          <w:rFonts w:ascii="Book Antiqua" w:hAnsi="Book Antiqua"/>
          <w:lang w:val="en-US"/>
        </w:rPr>
        <w:t xml:space="preserve">max or </w:t>
      </w:r>
      <w:r w:rsidR="00C83D80" w:rsidRPr="00230CBF">
        <w:rPr>
          <w:rFonts w:ascii="Book Antiqua" w:hAnsi="Book Antiqua"/>
          <w:lang w:val="en-US"/>
        </w:rPr>
        <w:t>average</w:t>
      </w:r>
      <w:r w:rsidR="006574FC" w:rsidRPr="00230CBF">
        <w:rPr>
          <w:rFonts w:ascii="Book Antiqua" w:hAnsi="Book Antiqua"/>
          <w:lang w:val="en-US"/>
        </w:rPr>
        <w:t xml:space="preserve"> SUV for response calculation are </w:t>
      </w:r>
      <w:r w:rsidR="005D0476" w:rsidRPr="00230CBF">
        <w:rPr>
          <w:rFonts w:ascii="Book Antiqua" w:hAnsi="Book Antiqua"/>
          <w:lang w:val="en-US"/>
        </w:rPr>
        <w:t>given while PERCIST recommends the use of lean body mass for SUV normalization (SUL).</w:t>
      </w:r>
      <w:r w:rsidR="00913D0F" w:rsidRPr="00230CBF">
        <w:rPr>
          <w:rFonts w:ascii="Book Antiqua" w:hAnsi="Book Antiqua"/>
          <w:lang w:val="en-US"/>
        </w:rPr>
        <w:t xml:space="preserve"> In this framework, some studies have demonstrated </w:t>
      </w:r>
      <w:r w:rsidR="00286A21" w:rsidRPr="00230CBF">
        <w:rPr>
          <w:rFonts w:ascii="Book Antiqua" w:hAnsi="Book Antiqua"/>
          <w:lang w:val="en-US"/>
        </w:rPr>
        <w:t xml:space="preserve">a higher accuracy </w:t>
      </w:r>
      <w:r w:rsidR="00362591" w:rsidRPr="00230CBF">
        <w:rPr>
          <w:rFonts w:ascii="Book Antiqua" w:hAnsi="Book Antiqua"/>
          <w:lang w:val="en-US"/>
        </w:rPr>
        <w:t>with respect to RECIST for</w:t>
      </w:r>
      <w:r w:rsidR="00286A21" w:rsidRPr="00230CBF">
        <w:rPr>
          <w:rFonts w:ascii="Book Antiqua" w:hAnsi="Book Antiqua"/>
          <w:lang w:val="en-US"/>
        </w:rPr>
        <w:t xml:space="preserve"> both met</w:t>
      </w:r>
      <w:r w:rsidR="00973D5C" w:rsidRPr="00230CBF">
        <w:rPr>
          <w:rFonts w:ascii="Book Antiqua" w:hAnsi="Book Antiqua"/>
          <w:lang w:val="en-US"/>
        </w:rPr>
        <w:t xml:space="preserve">abolic response based criteria </w:t>
      </w:r>
      <w:r w:rsidR="00286A21" w:rsidRPr="00230CBF">
        <w:rPr>
          <w:rFonts w:ascii="Book Antiqua" w:hAnsi="Book Antiqua"/>
          <w:lang w:val="en-US"/>
        </w:rPr>
        <w:t>in patients treate</w:t>
      </w:r>
      <w:r w:rsidR="00973D5C" w:rsidRPr="00230CBF">
        <w:rPr>
          <w:rFonts w:ascii="Book Antiqua" w:hAnsi="Book Antiqua"/>
          <w:lang w:val="en-US"/>
        </w:rPr>
        <w:t xml:space="preserve">d with target therapies such </w:t>
      </w:r>
      <w:r w:rsidR="00DE332F" w:rsidRPr="00230CBF">
        <w:rPr>
          <w:rFonts w:ascii="Book Antiqua" w:hAnsi="Book Antiqua"/>
          <w:lang w:val="en-US"/>
        </w:rPr>
        <w:t xml:space="preserve">as </w:t>
      </w:r>
      <w:proofErr w:type="spellStart"/>
      <w:r w:rsidR="00A143E6" w:rsidRPr="00230CBF">
        <w:rPr>
          <w:rFonts w:ascii="Book Antiqua" w:hAnsi="Book Antiqua"/>
          <w:lang w:val="en-US"/>
        </w:rPr>
        <w:t>E</w:t>
      </w:r>
      <w:r w:rsidR="00362591" w:rsidRPr="00230CBF">
        <w:rPr>
          <w:rFonts w:ascii="Book Antiqua" w:hAnsi="Book Antiqua"/>
          <w:lang w:val="en-US"/>
        </w:rPr>
        <w:t>rlotinib</w:t>
      </w:r>
      <w:proofErr w:type="spellEnd"/>
      <w:r w:rsidR="00362591" w:rsidRPr="00230CBF">
        <w:rPr>
          <w:rFonts w:ascii="Book Antiqua" w:hAnsi="Book Antiqua"/>
          <w:lang w:val="en-US"/>
        </w:rPr>
        <w:t xml:space="preserve">. This finding is </w:t>
      </w:r>
      <w:r w:rsidR="00973D5C" w:rsidRPr="00230CBF">
        <w:rPr>
          <w:rFonts w:ascii="Book Antiqua" w:hAnsi="Book Antiqua"/>
          <w:lang w:val="en-US"/>
        </w:rPr>
        <w:t>due to the relative lower tumor-shrinkage characteriz</w:t>
      </w:r>
      <w:r w:rsidR="00230CBF">
        <w:rPr>
          <w:rFonts w:ascii="Book Antiqua" w:hAnsi="Book Antiqua"/>
          <w:lang w:val="en-US"/>
        </w:rPr>
        <w:t xml:space="preserve">ing these type of </w:t>
      </w:r>
      <w:proofErr w:type="gramStart"/>
      <w:r w:rsidR="00230CBF">
        <w:rPr>
          <w:rFonts w:ascii="Book Antiqua" w:hAnsi="Book Antiqua"/>
          <w:lang w:val="en-US"/>
        </w:rPr>
        <w:t>treatment</w:t>
      </w:r>
      <w:r w:rsidR="00DF69F5" w:rsidRPr="00230CBF">
        <w:rPr>
          <w:rFonts w:ascii="Book Antiqua" w:hAnsi="Book Antiqua"/>
          <w:vertAlign w:val="superscript"/>
          <w:lang w:val="en-US"/>
        </w:rPr>
        <w:t>[</w:t>
      </w:r>
      <w:proofErr w:type="gramEnd"/>
      <w:r w:rsidR="00A80893" w:rsidRPr="00230CBF">
        <w:rPr>
          <w:rFonts w:ascii="Book Antiqua" w:hAnsi="Book Antiqua"/>
          <w:vertAlign w:val="superscript"/>
          <w:lang w:val="en-US"/>
        </w:rPr>
        <w:t>24</w:t>
      </w:r>
      <w:r w:rsidR="00DF69F5" w:rsidRPr="00230CBF">
        <w:rPr>
          <w:rFonts w:ascii="Book Antiqua" w:hAnsi="Book Antiqua"/>
          <w:vertAlign w:val="superscript"/>
          <w:lang w:val="en-US"/>
        </w:rPr>
        <w:t>]</w:t>
      </w:r>
      <w:r w:rsidR="00973D5C" w:rsidRPr="00230CBF">
        <w:rPr>
          <w:rFonts w:ascii="Book Antiqua" w:hAnsi="Book Antiqua"/>
          <w:lang w:val="en-US"/>
        </w:rPr>
        <w:t>.</w:t>
      </w:r>
      <w:r w:rsidR="00590194" w:rsidRPr="00230CBF">
        <w:rPr>
          <w:rFonts w:ascii="Book Antiqua" w:hAnsi="Book Antiqua"/>
          <w:lang w:val="en-US"/>
        </w:rPr>
        <w:t xml:space="preserve"> Similarly,</w:t>
      </w:r>
      <w:r w:rsidR="00BE1044" w:rsidRPr="00230CBF">
        <w:rPr>
          <w:rFonts w:ascii="Book Antiqua" w:hAnsi="Book Antiqua"/>
          <w:lang w:val="en-US"/>
        </w:rPr>
        <w:t xml:space="preserve"> an </w:t>
      </w:r>
      <w:r w:rsidR="00BE1044" w:rsidRPr="00230CBF">
        <w:rPr>
          <w:rFonts w:ascii="Book Antiqua" w:hAnsi="Book Antiqua"/>
          <w:vertAlign w:val="superscript"/>
          <w:lang w:val="en-US"/>
        </w:rPr>
        <w:t>18</w:t>
      </w:r>
      <w:r w:rsidR="00BE1044" w:rsidRPr="00230CBF">
        <w:rPr>
          <w:rFonts w:ascii="Book Antiqua" w:hAnsi="Book Antiqua"/>
          <w:lang w:val="en-US"/>
        </w:rPr>
        <w:t>F-FDG PET-based five-point</w:t>
      </w:r>
      <w:r w:rsidR="00DE332F" w:rsidRPr="00230CBF">
        <w:rPr>
          <w:rFonts w:ascii="Book Antiqua" w:hAnsi="Book Antiqua"/>
          <w:lang w:val="en-US"/>
        </w:rPr>
        <w:t xml:space="preserve"> scale (5-PS) the so-called Deauville criteria </w:t>
      </w:r>
      <w:r w:rsidR="00BE1044" w:rsidRPr="00230CBF">
        <w:rPr>
          <w:rFonts w:ascii="Book Antiqua" w:hAnsi="Book Antiqua"/>
          <w:lang w:val="en-US"/>
        </w:rPr>
        <w:t xml:space="preserve">has been demonstrated superior to </w:t>
      </w:r>
      <w:r w:rsidR="00624556" w:rsidRPr="00230CBF">
        <w:rPr>
          <w:rFonts w:ascii="Book Antiqua" w:hAnsi="Book Antiqua"/>
          <w:lang w:val="en-US"/>
        </w:rPr>
        <w:t>CT-based response to score images</w:t>
      </w:r>
      <w:r w:rsidR="00DE332F" w:rsidRPr="00230CBF">
        <w:rPr>
          <w:rFonts w:ascii="Book Antiqua" w:hAnsi="Book Antiqua"/>
          <w:lang w:val="en-US"/>
        </w:rPr>
        <w:t xml:space="preserve"> </w:t>
      </w:r>
      <w:r w:rsidR="0092056F" w:rsidRPr="00230CBF">
        <w:rPr>
          <w:rFonts w:ascii="Book Antiqua" w:hAnsi="Book Antiqua"/>
          <w:lang w:val="en-US"/>
        </w:rPr>
        <w:t>in the</w:t>
      </w:r>
      <w:r w:rsidR="00DE332F" w:rsidRPr="00230CBF">
        <w:rPr>
          <w:rFonts w:ascii="Book Antiqua" w:hAnsi="Book Antiqua"/>
          <w:lang w:val="en-US"/>
        </w:rPr>
        <w:t xml:space="preserve"> assess</w:t>
      </w:r>
      <w:r w:rsidR="0092056F" w:rsidRPr="00230CBF">
        <w:rPr>
          <w:rFonts w:ascii="Book Antiqua" w:hAnsi="Book Antiqua"/>
          <w:lang w:val="en-US"/>
        </w:rPr>
        <w:t>ment</w:t>
      </w:r>
      <w:r w:rsidR="00DE332F" w:rsidRPr="00230CBF">
        <w:rPr>
          <w:rFonts w:ascii="Book Antiqua" w:hAnsi="Book Antiqua"/>
          <w:lang w:val="en-US"/>
        </w:rPr>
        <w:t xml:space="preserve"> of response at mid- and end of treatment</w:t>
      </w:r>
      <w:r w:rsidR="00230CBF">
        <w:rPr>
          <w:rFonts w:ascii="Book Antiqua" w:hAnsi="Book Antiqua"/>
          <w:lang w:val="en-US"/>
        </w:rPr>
        <w:t xml:space="preserve"> in HD patients</w:t>
      </w:r>
      <w:r w:rsidR="00DF69F5" w:rsidRPr="00230CBF">
        <w:rPr>
          <w:rFonts w:ascii="Book Antiqua" w:hAnsi="Book Antiqua"/>
          <w:vertAlign w:val="superscript"/>
          <w:lang w:val="en-US"/>
        </w:rPr>
        <w:t>[</w:t>
      </w:r>
      <w:r w:rsidR="00A80893" w:rsidRPr="00230CBF">
        <w:rPr>
          <w:rFonts w:ascii="Book Antiqua" w:hAnsi="Book Antiqua"/>
          <w:vertAlign w:val="superscript"/>
          <w:lang w:val="en-US"/>
        </w:rPr>
        <w:t>18</w:t>
      </w:r>
      <w:r w:rsidR="00DF69F5" w:rsidRPr="00230CBF">
        <w:rPr>
          <w:rFonts w:ascii="Book Antiqua" w:hAnsi="Book Antiqua"/>
          <w:vertAlign w:val="superscript"/>
          <w:lang w:val="en-US"/>
        </w:rPr>
        <w:t>]</w:t>
      </w:r>
      <w:r w:rsidR="00624556" w:rsidRPr="00230CBF">
        <w:rPr>
          <w:rFonts w:ascii="Book Antiqua" w:hAnsi="Book Antiqua"/>
          <w:lang w:val="en-US"/>
        </w:rPr>
        <w:t>.</w:t>
      </w:r>
      <w:r w:rsidR="00D0312A" w:rsidRPr="00230CBF">
        <w:rPr>
          <w:rFonts w:ascii="Book Antiqua" w:hAnsi="Book Antiqua"/>
          <w:lang w:val="en-US"/>
        </w:rPr>
        <w:t xml:space="preserve"> A</w:t>
      </w:r>
      <w:r w:rsidR="00B50D38" w:rsidRPr="00230CBF">
        <w:rPr>
          <w:rFonts w:ascii="Book Antiqua" w:hAnsi="Book Antiqua"/>
          <w:lang w:val="en-US"/>
        </w:rPr>
        <w:t>gain these finding</w:t>
      </w:r>
      <w:r w:rsidR="002945EE" w:rsidRPr="00230CBF">
        <w:rPr>
          <w:rFonts w:ascii="Book Antiqua" w:hAnsi="Book Antiqua"/>
          <w:lang w:val="en-US"/>
        </w:rPr>
        <w:t>s</w:t>
      </w:r>
      <w:r w:rsidR="00B50D38" w:rsidRPr="00230CBF">
        <w:rPr>
          <w:rFonts w:ascii="Book Antiqua" w:hAnsi="Book Antiqua"/>
          <w:lang w:val="en-US"/>
        </w:rPr>
        <w:t xml:space="preserve"> testify that functional changes always precede morphological changes in the course of pathological processes.</w:t>
      </w:r>
      <w:r w:rsidR="0095162A" w:rsidRPr="00230CBF">
        <w:rPr>
          <w:rFonts w:ascii="Book Antiqua" w:hAnsi="Book Antiqua"/>
          <w:lang w:val="en-US"/>
        </w:rPr>
        <w:t xml:space="preserve"> In </w:t>
      </w:r>
      <w:r w:rsidR="00BC4779" w:rsidRPr="00230CBF">
        <w:rPr>
          <w:rFonts w:ascii="Book Antiqua" w:hAnsi="Book Antiqua"/>
          <w:lang w:val="en-US"/>
        </w:rPr>
        <w:t xml:space="preserve">this line </w:t>
      </w:r>
      <w:r w:rsidR="002945EE" w:rsidRPr="00230CBF">
        <w:rPr>
          <w:rFonts w:ascii="Book Antiqua" w:hAnsi="Book Antiqua"/>
          <w:lang w:val="en-US"/>
        </w:rPr>
        <w:t xml:space="preserve">it might be of interest to test </w:t>
      </w:r>
      <w:r w:rsidR="00BC4779" w:rsidRPr="00230CBF">
        <w:rPr>
          <w:rFonts w:ascii="Book Antiqua" w:hAnsi="Book Antiqua"/>
          <w:lang w:val="en-US"/>
        </w:rPr>
        <w:t>the complex and variegate</w:t>
      </w:r>
      <w:r w:rsidR="00175C29" w:rsidRPr="00230CBF">
        <w:rPr>
          <w:rFonts w:ascii="Book Antiqua" w:hAnsi="Book Antiqua"/>
          <w:lang w:val="en-US"/>
        </w:rPr>
        <w:t>d</w:t>
      </w:r>
      <w:r w:rsidR="00BC4779" w:rsidRPr="00230CBF">
        <w:rPr>
          <w:rFonts w:ascii="Book Antiqua" w:hAnsi="Book Antiqua"/>
          <w:lang w:val="en-US"/>
        </w:rPr>
        <w:t xml:space="preserve"> response to </w:t>
      </w:r>
      <w:r w:rsidR="00325906" w:rsidRPr="00230CBF">
        <w:rPr>
          <w:rFonts w:ascii="Book Antiqua" w:hAnsi="Book Antiqua"/>
          <w:lang w:val="en-US"/>
        </w:rPr>
        <w:t xml:space="preserve">ICPIs </w:t>
      </w:r>
      <w:r w:rsidR="00BC4779" w:rsidRPr="00230CBF">
        <w:rPr>
          <w:rFonts w:ascii="Book Antiqua" w:hAnsi="Book Antiqua"/>
          <w:lang w:val="en-US"/>
        </w:rPr>
        <w:t>by means of PET-based criteria.</w:t>
      </w:r>
      <w:r w:rsidR="002945EE" w:rsidRPr="00230CBF">
        <w:rPr>
          <w:rFonts w:ascii="Book Antiqua" w:hAnsi="Book Antiqua"/>
          <w:lang w:val="en-US"/>
        </w:rPr>
        <w:t xml:space="preserve"> In fa</w:t>
      </w:r>
      <w:r w:rsidR="00325906" w:rsidRPr="00230CBF">
        <w:rPr>
          <w:rFonts w:ascii="Book Antiqua" w:hAnsi="Book Antiqua"/>
          <w:lang w:val="en-US"/>
        </w:rPr>
        <w:t>ct, on one side functional imaging</w:t>
      </w:r>
      <w:r w:rsidR="002945EE" w:rsidRPr="00230CBF">
        <w:rPr>
          <w:rFonts w:ascii="Book Antiqua" w:hAnsi="Book Antiqua"/>
          <w:lang w:val="en-US"/>
        </w:rPr>
        <w:t xml:space="preserve"> may capture different feature</w:t>
      </w:r>
      <w:r w:rsidR="00325906" w:rsidRPr="00230CBF">
        <w:rPr>
          <w:rFonts w:ascii="Book Antiqua" w:hAnsi="Book Antiqua"/>
          <w:lang w:val="en-US"/>
        </w:rPr>
        <w:t>s</w:t>
      </w:r>
      <w:r w:rsidR="002945EE" w:rsidRPr="00230CBF">
        <w:rPr>
          <w:rFonts w:ascii="Book Antiqua" w:hAnsi="Book Antiqua"/>
          <w:lang w:val="en-US"/>
        </w:rPr>
        <w:t xml:space="preserve"> of </w:t>
      </w:r>
      <w:r w:rsidR="00325906" w:rsidRPr="00230CBF">
        <w:rPr>
          <w:rFonts w:ascii="Book Antiqua" w:hAnsi="Book Antiqua"/>
          <w:lang w:val="en-US"/>
        </w:rPr>
        <w:t>treatment</w:t>
      </w:r>
      <w:r w:rsidR="002945EE" w:rsidRPr="00230CBF">
        <w:rPr>
          <w:rFonts w:ascii="Book Antiqua" w:hAnsi="Book Antiqua"/>
          <w:lang w:val="en-US"/>
        </w:rPr>
        <w:t xml:space="preserve"> </w:t>
      </w:r>
      <w:r w:rsidR="00325906" w:rsidRPr="00230CBF">
        <w:rPr>
          <w:rFonts w:ascii="Book Antiqua" w:hAnsi="Book Antiqua"/>
          <w:lang w:val="en-US"/>
        </w:rPr>
        <w:t>with</w:t>
      </w:r>
      <w:r w:rsidR="002945EE" w:rsidRPr="00230CBF">
        <w:rPr>
          <w:rFonts w:ascii="Book Antiqua" w:hAnsi="Book Antiqua"/>
          <w:lang w:val="en-US"/>
        </w:rPr>
        <w:t xml:space="preserve"> </w:t>
      </w:r>
      <w:r w:rsidR="00325906" w:rsidRPr="00230CBF">
        <w:rPr>
          <w:rFonts w:ascii="Book Antiqua" w:hAnsi="Book Antiqua"/>
          <w:lang w:val="en-US"/>
        </w:rPr>
        <w:t>ICPIs in terms of entity and time course</w:t>
      </w:r>
      <w:r w:rsidR="00883EA1" w:rsidRPr="00230CBF">
        <w:rPr>
          <w:rFonts w:ascii="Book Antiqua" w:hAnsi="Book Antiqua"/>
          <w:lang w:val="en-US"/>
        </w:rPr>
        <w:t xml:space="preserve"> </w:t>
      </w:r>
      <w:r w:rsidR="00325906" w:rsidRPr="00230CBF">
        <w:rPr>
          <w:rFonts w:ascii="Book Antiqua" w:hAnsi="Book Antiqua"/>
          <w:lang w:val="en-US"/>
        </w:rPr>
        <w:t>of response. On the other</w:t>
      </w:r>
      <w:r w:rsidR="00A143E6" w:rsidRPr="00230CBF">
        <w:rPr>
          <w:rFonts w:ascii="Book Antiqua" w:hAnsi="Book Antiqua"/>
          <w:lang w:val="en-US"/>
        </w:rPr>
        <w:t xml:space="preserve"> hand</w:t>
      </w:r>
      <w:r w:rsidR="00325906" w:rsidRPr="00230CBF">
        <w:rPr>
          <w:rFonts w:ascii="Book Antiqua" w:hAnsi="Book Antiqua"/>
          <w:lang w:val="en-US"/>
        </w:rPr>
        <w:t xml:space="preserve">, it </w:t>
      </w:r>
      <w:r w:rsidR="00883EA1" w:rsidRPr="00230CBF">
        <w:rPr>
          <w:rFonts w:ascii="Book Antiqua" w:hAnsi="Book Antiqua"/>
          <w:lang w:val="en-US"/>
        </w:rPr>
        <w:t>has been reported that the initial increase in tumor size</w:t>
      </w:r>
      <w:r w:rsidR="00895592" w:rsidRPr="00230CBF">
        <w:rPr>
          <w:rFonts w:ascii="Book Antiqua" w:hAnsi="Book Antiqua"/>
          <w:lang w:val="en-US"/>
        </w:rPr>
        <w:t>,</w:t>
      </w:r>
      <w:r w:rsidR="00883EA1" w:rsidRPr="00230CBF">
        <w:rPr>
          <w:rFonts w:ascii="Book Antiqua" w:hAnsi="Book Antiqua"/>
          <w:lang w:val="en-US"/>
        </w:rPr>
        <w:t xml:space="preserve"> later </w:t>
      </w:r>
      <w:r w:rsidR="00883EA1" w:rsidRPr="00230CBF">
        <w:rPr>
          <w:rFonts w:ascii="Book Antiqua" w:hAnsi="Book Antiqua"/>
          <w:lang w:val="en-US"/>
        </w:rPr>
        <w:lastRenderedPageBreak/>
        <w:t xml:space="preserve">followed by tumor volume reduction in part of the patients treated with </w:t>
      </w:r>
      <w:r w:rsidR="00325906" w:rsidRPr="00230CBF">
        <w:rPr>
          <w:rFonts w:ascii="Book Antiqua" w:hAnsi="Book Antiqua"/>
          <w:lang w:val="en-US"/>
        </w:rPr>
        <w:t>ICPIs</w:t>
      </w:r>
      <w:r w:rsidR="00895592" w:rsidRPr="00230CBF">
        <w:rPr>
          <w:rFonts w:ascii="Book Antiqua" w:hAnsi="Book Antiqua"/>
          <w:lang w:val="en-US"/>
        </w:rPr>
        <w:t>,</w:t>
      </w:r>
      <w:r w:rsidR="00325906" w:rsidRPr="00230CBF">
        <w:rPr>
          <w:rFonts w:ascii="Book Antiqua" w:hAnsi="Book Antiqua"/>
          <w:lang w:val="en-US"/>
        </w:rPr>
        <w:t xml:space="preserve"> </w:t>
      </w:r>
      <w:r w:rsidR="00883EA1" w:rsidRPr="00230CBF">
        <w:rPr>
          <w:rFonts w:ascii="Book Antiqua" w:hAnsi="Book Antiqua"/>
          <w:lang w:val="en-US"/>
        </w:rPr>
        <w:t xml:space="preserve">is due </w:t>
      </w:r>
      <w:r w:rsidR="00883EA1" w:rsidRPr="00230CBF">
        <w:rPr>
          <w:rStyle w:val="apple-converted-space"/>
          <w:rFonts w:ascii="Book Antiqua" w:hAnsi="Book Antiqua"/>
          <w:lang w:val="en-US"/>
        </w:rPr>
        <w:t>to inflammatory cell infiltrates. Accordingly, given the well know high metabolic activity characterizing inflammatory cell</w:t>
      </w:r>
      <w:r w:rsidR="00895592" w:rsidRPr="00230CBF">
        <w:rPr>
          <w:rStyle w:val="apple-converted-space"/>
          <w:rFonts w:ascii="Book Antiqua" w:hAnsi="Book Antiqua"/>
          <w:lang w:val="en-US"/>
        </w:rPr>
        <w:t>s</w:t>
      </w:r>
      <w:r w:rsidR="00883EA1" w:rsidRPr="00230CBF">
        <w:rPr>
          <w:rStyle w:val="apple-converted-space"/>
          <w:rFonts w:ascii="Book Antiqua" w:hAnsi="Book Antiqua"/>
          <w:lang w:val="en-US"/>
        </w:rPr>
        <w:t xml:space="preserve">, this feature may also hamper the evaluation of </w:t>
      </w:r>
      <w:r w:rsidR="00883EA1" w:rsidRPr="00230CBF">
        <w:rPr>
          <w:rStyle w:val="apple-converted-space"/>
          <w:rFonts w:ascii="Book Antiqua" w:hAnsi="Book Antiqua"/>
          <w:vertAlign w:val="superscript"/>
          <w:lang w:val="en-US"/>
        </w:rPr>
        <w:t>18</w:t>
      </w:r>
      <w:r w:rsidR="00883EA1" w:rsidRPr="00230CBF">
        <w:rPr>
          <w:rStyle w:val="apple-converted-space"/>
          <w:rFonts w:ascii="Book Antiqua" w:hAnsi="Book Antiqua"/>
          <w:lang w:val="en-US"/>
        </w:rPr>
        <w:t xml:space="preserve">F-FDG PET-based response </w:t>
      </w:r>
      <w:r w:rsidR="0095662C" w:rsidRPr="00230CBF">
        <w:rPr>
          <w:rStyle w:val="apple-converted-space"/>
          <w:rFonts w:ascii="Book Antiqua" w:hAnsi="Book Antiqua"/>
          <w:lang w:val="en-US"/>
        </w:rPr>
        <w:t xml:space="preserve">to </w:t>
      </w:r>
      <w:r w:rsidR="0095662C" w:rsidRPr="00230CBF">
        <w:rPr>
          <w:rFonts w:ascii="Book Antiqua" w:hAnsi="Book Antiqua"/>
          <w:lang w:val="en-US"/>
        </w:rPr>
        <w:t>ICPIs.</w:t>
      </w:r>
      <w:r w:rsidR="00883EA1" w:rsidRPr="00230CBF">
        <w:rPr>
          <w:rStyle w:val="apple-converted-space"/>
          <w:rFonts w:ascii="Book Antiqua" w:hAnsi="Book Antiqua"/>
          <w:lang w:val="en-US"/>
        </w:rPr>
        <w:t xml:space="preserve"> </w:t>
      </w:r>
      <w:proofErr w:type="spellStart"/>
      <w:r w:rsidR="00A22D4F" w:rsidRPr="00230CBF">
        <w:rPr>
          <w:rStyle w:val="apple-converted-space"/>
          <w:rFonts w:ascii="Book Antiqua" w:hAnsi="Book Antiqua"/>
          <w:lang w:val="en-US"/>
        </w:rPr>
        <w:t>Sachpekidis</w:t>
      </w:r>
      <w:proofErr w:type="spellEnd"/>
      <w:r w:rsidR="00A22D4F" w:rsidRPr="00230CBF">
        <w:rPr>
          <w:rStyle w:val="apple-converted-space"/>
          <w:rFonts w:ascii="Book Antiqua" w:hAnsi="Book Antiqua"/>
          <w:i/>
          <w:lang w:val="en-US"/>
        </w:rPr>
        <w:t xml:space="preserve"> et </w:t>
      </w:r>
      <w:proofErr w:type="gramStart"/>
      <w:r w:rsidR="00A22D4F" w:rsidRPr="00230CBF">
        <w:rPr>
          <w:rStyle w:val="apple-converted-space"/>
          <w:rFonts w:ascii="Book Antiqua" w:hAnsi="Book Antiqua"/>
          <w:i/>
          <w:lang w:val="en-US"/>
        </w:rPr>
        <w:t>al</w:t>
      </w:r>
      <w:r w:rsidR="00230CBF" w:rsidRPr="00230CBF">
        <w:rPr>
          <w:rStyle w:val="apple-converted-space"/>
          <w:rFonts w:ascii="Book Antiqua" w:hAnsi="Book Antiqua"/>
          <w:vertAlign w:val="superscript"/>
          <w:lang w:val="en-US"/>
        </w:rPr>
        <w:t>[</w:t>
      </w:r>
      <w:proofErr w:type="gramEnd"/>
      <w:r w:rsidR="00230CBF" w:rsidRPr="00230CBF">
        <w:rPr>
          <w:rStyle w:val="apple-converted-space"/>
          <w:rFonts w:ascii="Book Antiqua" w:hAnsi="Book Antiqua"/>
          <w:vertAlign w:val="superscript"/>
          <w:lang w:val="en-US"/>
        </w:rPr>
        <w:t>20]</w:t>
      </w:r>
      <w:r w:rsidR="00A22D4F" w:rsidRPr="00230CBF">
        <w:rPr>
          <w:rStyle w:val="apple-converted-space"/>
          <w:rFonts w:ascii="Book Antiqua" w:hAnsi="Book Antiqua"/>
          <w:lang w:val="en-US"/>
        </w:rPr>
        <w:t xml:space="preserve"> evaluated the role of </w:t>
      </w:r>
      <w:r w:rsidR="00A22D4F" w:rsidRPr="00230CBF">
        <w:rPr>
          <w:rStyle w:val="apple-converted-space"/>
          <w:rFonts w:ascii="Book Antiqua" w:hAnsi="Book Antiqua"/>
          <w:vertAlign w:val="superscript"/>
          <w:lang w:val="en-US"/>
        </w:rPr>
        <w:t>18</w:t>
      </w:r>
      <w:r w:rsidR="00A22D4F" w:rsidRPr="00230CBF">
        <w:rPr>
          <w:rStyle w:val="apple-converted-space"/>
          <w:rFonts w:ascii="Book Antiqua" w:hAnsi="Book Antiqua"/>
          <w:lang w:val="en-US"/>
        </w:rPr>
        <w:t xml:space="preserve">F-FDG PET/CT after two cycles of </w:t>
      </w:r>
      <w:proofErr w:type="spellStart"/>
      <w:r w:rsidR="00A22D4F" w:rsidRPr="00230CBF">
        <w:rPr>
          <w:rStyle w:val="apple-converted-space"/>
          <w:rFonts w:ascii="Book Antiqua" w:hAnsi="Book Antiqua"/>
          <w:lang w:val="en-US"/>
        </w:rPr>
        <w:t>ipilimumab</w:t>
      </w:r>
      <w:proofErr w:type="spellEnd"/>
      <w:r w:rsidR="00A22D4F" w:rsidRPr="00230CBF">
        <w:rPr>
          <w:rStyle w:val="apple-converted-space"/>
          <w:rFonts w:ascii="Book Antiqua" w:hAnsi="Book Antiqua"/>
          <w:lang w:val="en-US"/>
        </w:rPr>
        <w:t xml:space="preserve"> in predicting the final response to therapy in 22 patients with metastatic melanoma. Authors evaluated response to treatment by means of EORTC criteria and found that </w:t>
      </w:r>
      <w:r w:rsidR="00A22D4F" w:rsidRPr="00230CBF">
        <w:rPr>
          <w:rStyle w:val="apple-converted-space"/>
          <w:rFonts w:ascii="Book Antiqua" w:hAnsi="Book Antiqua"/>
          <w:vertAlign w:val="superscript"/>
          <w:lang w:val="en-US"/>
        </w:rPr>
        <w:t>18</w:t>
      </w:r>
      <w:r w:rsidR="00A22D4F" w:rsidRPr="00230CBF">
        <w:rPr>
          <w:rStyle w:val="apple-converted-space"/>
          <w:rFonts w:ascii="Book Antiqua" w:hAnsi="Book Antiqua"/>
          <w:lang w:val="en-US"/>
        </w:rPr>
        <w:t xml:space="preserve">F-FDG PET/CT after two cycles of </w:t>
      </w:r>
      <w:r w:rsidR="00A143E6" w:rsidRPr="00230CBF">
        <w:rPr>
          <w:rStyle w:val="apple-converted-space"/>
          <w:rFonts w:ascii="Book Antiqua" w:hAnsi="Book Antiqua"/>
          <w:lang w:val="en-US"/>
        </w:rPr>
        <w:t>I</w:t>
      </w:r>
      <w:r w:rsidR="00A22D4F" w:rsidRPr="00230CBF">
        <w:rPr>
          <w:rStyle w:val="apple-converted-space"/>
          <w:rFonts w:ascii="Book Antiqua" w:hAnsi="Book Antiqua"/>
          <w:lang w:val="en-US"/>
        </w:rPr>
        <w:t>pilimumab is predictive of the final treatment outcome in patients with progressive metabolic disease and stable metabolic disease</w:t>
      </w:r>
      <w:r w:rsidR="00DF69F5" w:rsidRPr="00230CBF">
        <w:rPr>
          <w:rStyle w:val="apple-converted-space"/>
          <w:rFonts w:ascii="Book Antiqua" w:hAnsi="Book Antiqua"/>
          <w:vertAlign w:val="superscript"/>
          <w:lang w:val="en-US"/>
        </w:rPr>
        <w:t>[20]</w:t>
      </w:r>
      <w:r w:rsidR="00A22D4F" w:rsidRPr="00230CBF">
        <w:rPr>
          <w:rStyle w:val="apple-converted-space"/>
          <w:rFonts w:ascii="Book Antiqua" w:hAnsi="Book Antiqua"/>
          <w:lang w:val="en-US"/>
        </w:rPr>
        <w:t>.</w:t>
      </w:r>
      <w:r w:rsidR="00DC5B1B" w:rsidRPr="00230CBF">
        <w:rPr>
          <w:rStyle w:val="apple-converted-space"/>
          <w:rFonts w:ascii="Book Antiqua" w:hAnsi="Book Antiqua"/>
          <w:lang w:val="en-US"/>
        </w:rPr>
        <w:t xml:space="preserve"> However</w:t>
      </w:r>
      <w:r w:rsidR="001C14C0" w:rsidRPr="00230CBF">
        <w:rPr>
          <w:rStyle w:val="apple-converted-space"/>
          <w:rFonts w:ascii="Book Antiqua" w:hAnsi="Book Antiqua"/>
          <w:lang w:val="en-US"/>
        </w:rPr>
        <w:t>,</w:t>
      </w:r>
      <w:r w:rsidR="00DC5B1B" w:rsidRPr="00230CBF">
        <w:rPr>
          <w:rStyle w:val="apple-converted-space"/>
          <w:rFonts w:ascii="Book Antiqua" w:hAnsi="Book Antiqua"/>
          <w:lang w:val="en-US"/>
        </w:rPr>
        <w:t xml:space="preserve"> two patients were initially falsely classified as early SMD, but they later demonstr</w:t>
      </w:r>
      <w:r w:rsidR="005E6E1C" w:rsidRPr="00230CBF">
        <w:rPr>
          <w:rStyle w:val="apple-converted-space"/>
          <w:rFonts w:ascii="Book Antiqua" w:hAnsi="Book Antiqua"/>
          <w:lang w:val="en-US"/>
        </w:rPr>
        <w:t xml:space="preserve">ated new metastatic lesions, </w:t>
      </w:r>
      <w:r w:rsidR="00230CBF">
        <w:rPr>
          <w:rStyle w:val="apple-converted-space"/>
          <w:rFonts w:ascii="Book Antiqua" w:eastAsiaTheme="minorEastAsia" w:hAnsi="Book Antiqua"/>
          <w:lang w:val="en-US" w:eastAsia="zh-CN"/>
        </w:rPr>
        <w:t>“</w:t>
      </w:r>
      <w:r w:rsidR="00DC5B1B" w:rsidRPr="00230CBF">
        <w:rPr>
          <w:rStyle w:val="apple-converted-space"/>
          <w:rFonts w:ascii="Book Antiqua" w:hAnsi="Book Antiqua"/>
          <w:lang w:val="en-US"/>
        </w:rPr>
        <w:t>upgrading</w:t>
      </w:r>
      <w:r w:rsidR="00230CBF">
        <w:rPr>
          <w:rStyle w:val="apple-converted-space"/>
          <w:rFonts w:ascii="Book Antiqua" w:eastAsiaTheme="minorEastAsia" w:hAnsi="Book Antiqua"/>
          <w:lang w:val="en-US" w:eastAsia="zh-CN"/>
        </w:rPr>
        <w:t>”</w:t>
      </w:r>
      <w:r w:rsidR="00DC5B1B" w:rsidRPr="00230CBF">
        <w:rPr>
          <w:rStyle w:val="apple-converted-space"/>
          <w:rFonts w:ascii="Book Antiqua" w:hAnsi="Book Antiqua"/>
          <w:lang w:val="en-US"/>
        </w:rPr>
        <w:t xml:space="preserve"> them to late PMD</w:t>
      </w:r>
      <w:r w:rsidR="00B60605" w:rsidRPr="00230CBF">
        <w:rPr>
          <w:rStyle w:val="apple-converted-space"/>
          <w:rFonts w:ascii="Book Antiqua" w:hAnsi="Book Antiqua"/>
          <w:lang w:val="en-US"/>
        </w:rPr>
        <w:t xml:space="preserve">. Similarly, early evaluation by means of </w:t>
      </w:r>
      <w:r w:rsidR="00B60605" w:rsidRPr="00230CBF">
        <w:rPr>
          <w:rStyle w:val="apple-converted-space"/>
          <w:rFonts w:ascii="Book Antiqua" w:hAnsi="Book Antiqua"/>
          <w:vertAlign w:val="superscript"/>
          <w:lang w:val="en-US"/>
        </w:rPr>
        <w:t>18</w:t>
      </w:r>
      <w:r w:rsidR="00B60605" w:rsidRPr="00230CBF">
        <w:rPr>
          <w:rStyle w:val="apple-converted-space"/>
          <w:rFonts w:ascii="Book Antiqua" w:hAnsi="Book Antiqua"/>
          <w:lang w:val="en-US"/>
        </w:rPr>
        <w:t xml:space="preserve">F-FDG PET did not identified responders to treatment as the two patients eventually characterized as PMR were initially classified as early PMD due to new </w:t>
      </w:r>
      <w:proofErr w:type="gramStart"/>
      <w:r w:rsidR="00B60605" w:rsidRPr="00230CBF">
        <w:rPr>
          <w:rStyle w:val="apple-converted-space"/>
          <w:rFonts w:ascii="Book Antiqua" w:hAnsi="Book Antiqua"/>
          <w:lang w:val="en-US"/>
        </w:rPr>
        <w:t>lesions</w:t>
      </w:r>
      <w:r w:rsidR="00DF69F5" w:rsidRPr="00230CBF">
        <w:rPr>
          <w:rStyle w:val="apple-converted-space"/>
          <w:rFonts w:ascii="Book Antiqua" w:hAnsi="Book Antiqua"/>
          <w:vertAlign w:val="superscript"/>
          <w:lang w:val="en-US"/>
        </w:rPr>
        <w:t>[</w:t>
      </w:r>
      <w:proofErr w:type="gramEnd"/>
      <w:r w:rsidR="00DF69F5" w:rsidRPr="00230CBF">
        <w:rPr>
          <w:rStyle w:val="apple-converted-space"/>
          <w:rFonts w:ascii="Book Antiqua" w:hAnsi="Book Antiqua"/>
          <w:vertAlign w:val="superscript"/>
          <w:lang w:val="en-US"/>
        </w:rPr>
        <w:t>20]</w:t>
      </w:r>
      <w:r w:rsidR="00B60605" w:rsidRPr="00230CBF">
        <w:rPr>
          <w:rStyle w:val="apple-converted-space"/>
          <w:rFonts w:ascii="Book Antiqua" w:hAnsi="Book Antiqua"/>
          <w:lang w:val="en-US"/>
        </w:rPr>
        <w:t>. In fact, both RECIST 1.1 and PET-based criteria consider the identification of new (metabolic</w:t>
      </w:r>
      <w:r w:rsidR="0095662C" w:rsidRPr="00230CBF">
        <w:rPr>
          <w:rStyle w:val="apple-converted-space"/>
          <w:rFonts w:ascii="Book Antiqua" w:hAnsi="Book Antiqua"/>
          <w:lang w:val="en-US"/>
        </w:rPr>
        <w:t>ally active</w:t>
      </w:r>
      <w:r w:rsidR="00B60605" w:rsidRPr="00230CBF">
        <w:rPr>
          <w:rStyle w:val="apple-converted-space"/>
          <w:rFonts w:ascii="Book Antiqua" w:hAnsi="Book Antiqua"/>
          <w:lang w:val="en-US"/>
        </w:rPr>
        <w:t>) lesions as progressive disease. Therefore, presently proposed PET-based metabolic criteria suffer of at least one of the same limitation</w:t>
      </w:r>
      <w:r w:rsidR="00A00037" w:rsidRPr="00230CBF">
        <w:rPr>
          <w:rStyle w:val="apple-converted-space"/>
          <w:rFonts w:ascii="Book Antiqua" w:hAnsi="Book Antiqua"/>
          <w:lang w:val="en-US"/>
        </w:rPr>
        <w:t>s</w:t>
      </w:r>
      <w:r w:rsidR="00B60605" w:rsidRPr="00230CBF">
        <w:rPr>
          <w:rStyle w:val="apple-converted-space"/>
          <w:rFonts w:ascii="Book Antiqua" w:hAnsi="Book Antiqua"/>
          <w:lang w:val="en-US"/>
        </w:rPr>
        <w:t xml:space="preserve"> </w:t>
      </w:r>
      <w:r w:rsidR="00A00037" w:rsidRPr="00230CBF">
        <w:rPr>
          <w:rStyle w:val="apple-converted-space"/>
          <w:rFonts w:ascii="Book Antiqua" w:hAnsi="Book Antiqua"/>
          <w:lang w:val="en-US"/>
        </w:rPr>
        <w:t xml:space="preserve">that have </w:t>
      </w:r>
      <w:r w:rsidR="00B60605" w:rsidRPr="00230CBF">
        <w:rPr>
          <w:rStyle w:val="apple-converted-space"/>
          <w:rFonts w:ascii="Book Antiqua" w:hAnsi="Book Antiqua"/>
          <w:lang w:val="en-US"/>
        </w:rPr>
        <w:t xml:space="preserve">resulted in the underestimation of response to treatment to </w:t>
      </w:r>
      <w:r w:rsidR="0095662C" w:rsidRPr="00230CBF">
        <w:rPr>
          <w:rFonts w:ascii="Book Antiqua" w:hAnsi="Book Antiqua"/>
          <w:lang w:val="en-US"/>
        </w:rPr>
        <w:t xml:space="preserve">ICPIs </w:t>
      </w:r>
      <w:r w:rsidR="0095662C" w:rsidRPr="00230CBF">
        <w:rPr>
          <w:rStyle w:val="apple-converted-space"/>
          <w:rFonts w:ascii="Book Antiqua" w:hAnsi="Book Antiqua"/>
          <w:lang w:val="en-US"/>
        </w:rPr>
        <w:t xml:space="preserve">by means of RECIST 1.1. </w:t>
      </w:r>
      <w:r w:rsidR="0092056F" w:rsidRPr="00230CBF">
        <w:rPr>
          <w:rStyle w:val="apple-converted-space"/>
          <w:rFonts w:ascii="Book Antiqua" w:hAnsi="Book Antiqua"/>
          <w:lang w:val="en-US"/>
        </w:rPr>
        <w:t xml:space="preserve">Similarly, in the phase 2 study by </w:t>
      </w:r>
      <w:proofErr w:type="spellStart"/>
      <w:r w:rsidR="00866D63" w:rsidRPr="00230CBF">
        <w:rPr>
          <w:rStyle w:val="apple-converted-space"/>
          <w:rFonts w:ascii="Book Antiqua" w:hAnsi="Book Antiqua"/>
          <w:lang w:val="en-US"/>
        </w:rPr>
        <w:t>Younes</w:t>
      </w:r>
      <w:proofErr w:type="spellEnd"/>
      <w:r w:rsidR="0092056F" w:rsidRPr="00230CBF">
        <w:rPr>
          <w:rStyle w:val="apple-converted-space"/>
          <w:rFonts w:ascii="Book Antiqua" w:hAnsi="Book Antiqua"/>
          <w:lang w:val="en-US"/>
        </w:rPr>
        <w:t xml:space="preserve"> </w:t>
      </w:r>
      <w:r w:rsidR="0092056F" w:rsidRPr="00230CBF">
        <w:rPr>
          <w:rStyle w:val="apple-converted-space"/>
          <w:rFonts w:ascii="Book Antiqua" w:hAnsi="Book Antiqua"/>
          <w:i/>
          <w:lang w:val="en-US"/>
        </w:rPr>
        <w:t xml:space="preserve">et </w:t>
      </w:r>
      <w:proofErr w:type="gramStart"/>
      <w:r w:rsidR="0092056F" w:rsidRPr="00230CBF">
        <w:rPr>
          <w:rStyle w:val="apple-converted-space"/>
          <w:rFonts w:ascii="Book Antiqua" w:hAnsi="Book Antiqua"/>
          <w:i/>
          <w:lang w:val="en-US"/>
        </w:rPr>
        <w:t>al</w:t>
      </w:r>
      <w:r w:rsidR="00230CBF" w:rsidRPr="00230CBF">
        <w:rPr>
          <w:rStyle w:val="apple-converted-space"/>
          <w:rFonts w:ascii="Book Antiqua" w:hAnsi="Book Antiqua"/>
          <w:vertAlign w:val="superscript"/>
          <w:lang w:val="en-US"/>
        </w:rPr>
        <w:t>[</w:t>
      </w:r>
      <w:proofErr w:type="gramEnd"/>
      <w:r w:rsidR="00230CBF" w:rsidRPr="00230CBF">
        <w:rPr>
          <w:rStyle w:val="apple-converted-space"/>
          <w:rFonts w:ascii="Book Antiqua" w:hAnsi="Book Antiqua"/>
          <w:vertAlign w:val="superscript"/>
          <w:lang w:val="en-US"/>
        </w:rPr>
        <w:t>9]</w:t>
      </w:r>
      <w:r w:rsidR="0092056F" w:rsidRPr="00230CBF">
        <w:rPr>
          <w:rStyle w:val="apple-converted-space"/>
          <w:rFonts w:ascii="Book Antiqua" w:hAnsi="Book Antiqua"/>
          <w:lang w:val="en-US"/>
        </w:rPr>
        <w:t xml:space="preserve">, </w:t>
      </w:r>
      <w:proofErr w:type="spellStart"/>
      <w:r w:rsidR="0092056F" w:rsidRPr="00230CBF">
        <w:rPr>
          <w:rStyle w:val="apple-converted-space"/>
          <w:rFonts w:ascii="Book Antiqua" w:hAnsi="Book Antiqua"/>
          <w:lang w:val="en-US"/>
        </w:rPr>
        <w:t>nivolumab</w:t>
      </w:r>
      <w:proofErr w:type="spellEnd"/>
      <w:r w:rsidR="0092056F" w:rsidRPr="00230CBF">
        <w:rPr>
          <w:rStyle w:val="apple-converted-space"/>
          <w:rFonts w:ascii="Book Antiqua" w:hAnsi="Book Antiqua"/>
          <w:lang w:val="en-US"/>
        </w:rPr>
        <w:t xml:space="preserve"> resulted in frequent responses in pat</w:t>
      </w:r>
      <w:r w:rsidR="00B02C1C" w:rsidRPr="00230CBF">
        <w:rPr>
          <w:rStyle w:val="apple-converted-space"/>
          <w:rFonts w:ascii="Book Antiqua" w:hAnsi="Book Antiqua"/>
          <w:lang w:val="en-US"/>
        </w:rPr>
        <w:t>ients with classical Hodgkin’s l</w:t>
      </w:r>
      <w:r w:rsidR="0092056F" w:rsidRPr="00230CBF">
        <w:rPr>
          <w:rStyle w:val="apple-converted-space"/>
          <w:rFonts w:ascii="Book Antiqua" w:hAnsi="Book Antiqua"/>
          <w:lang w:val="en-US"/>
        </w:rPr>
        <w:t xml:space="preserve">ymphoma after failure of ASCT and </w:t>
      </w:r>
      <w:proofErr w:type="spellStart"/>
      <w:r w:rsidR="00B02C1C" w:rsidRPr="00230CBF">
        <w:rPr>
          <w:rStyle w:val="apple-converted-space"/>
          <w:rFonts w:ascii="Book Antiqua" w:hAnsi="Book Antiqua"/>
          <w:lang w:val="en-US"/>
        </w:rPr>
        <w:t>B</w:t>
      </w:r>
      <w:r w:rsidR="0092056F" w:rsidRPr="00230CBF">
        <w:rPr>
          <w:rStyle w:val="apple-converted-space"/>
          <w:rFonts w:ascii="Book Antiqua" w:hAnsi="Book Antiqua"/>
          <w:lang w:val="en-US"/>
        </w:rPr>
        <w:t>rentuximab</w:t>
      </w:r>
      <w:proofErr w:type="spellEnd"/>
      <w:r w:rsidR="0092056F" w:rsidRPr="00230CBF">
        <w:rPr>
          <w:rStyle w:val="apple-converted-space"/>
          <w:rFonts w:ascii="Book Antiqua" w:hAnsi="Book Antiqua"/>
          <w:lang w:val="en-US"/>
        </w:rPr>
        <w:t xml:space="preserve"> </w:t>
      </w:r>
      <w:proofErr w:type="spellStart"/>
      <w:r w:rsidR="0092056F" w:rsidRPr="00230CBF">
        <w:rPr>
          <w:rStyle w:val="apple-converted-space"/>
          <w:rFonts w:ascii="Book Antiqua" w:hAnsi="Book Antiqua"/>
          <w:lang w:val="en-US"/>
        </w:rPr>
        <w:t>vedotin</w:t>
      </w:r>
      <w:proofErr w:type="spellEnd"/>
      <w:r w:rsidR="00A104A4" w:rsidRPr="00230CBF">
        <w:rPr>
          <w:rStyle w:val="apple-converted-space"/>
          <w:rFonts w:ascii="Book Antiqua" w:hAnsi="Book Antiqua"/>
          <w:lang w:val="en-US"/>
        </w:rPr>
        <w:t>.</w:t>
      </w:r>
      <w:r w:rsidR="00230CBF" w:rsidRPr="00230CBF">
        <w:rPr>
          <w:rStyle w:val="apple-converted-space"/>
          <w:rFonts w:ascii="Book Antiqua" w:hAnsi="Book Antiqua"/>
          <w:lang w:val="en-US"/>
        </w:rPr>
        <w:t xml:space="preserve"> </w:t>
      </w:r>
      <w:r w:rsidR="0092056F" w:rsidRPr="00230CBF">
        <w:rPr>
          <w:rStyle w:val="apple-converted-space"/>
          <w:rFonts w:ascii="Book Antiqua" w:hAnsi="Book Antiqua"/>
          <w:lang w:val="en-US"/>
        </w:rPr>
        <w:t xml:space="preserve">Most of these responses were </w:t>
      </w:r>
      <w:r w:rsidR="00DF69F5" w:rsidRPr="00230CBF">
        <w:rPr>
          <w:rStyle w:val="apple-converted-space"/>
          <w:rFonts w:ascii="Book Antiqua" w:hAnsi="Book Antiqua"/>
          <w:lang w:val="en-US"/>
        </w:rPr>
        <w:t>maintained</w:t>
      </w:r>
      <w:r w:rsidR="0092056F" w:rsidRPr="00230CBF">
        <w:rPr>
          <w:rStyle w:val="apple-converted-space"/>
          <w:rFonts w:ascii="Book Antiqua" w:hAnsi="Book Antiqua"/>
          <w:lang w:val="en-US"/>
        </w:rPr>
        <w:t xml:space="preserve"> through the reported follow-up period with an acceptable safety profile. In this study </w:t>
      </w:r>
      <w:r w:rsidR="00F711A6" w:rsidRPr="00230CBF">
        <w:rPr>
          <w:rStyle w:val="apple-converted-space"/>
          <w:rFonts w:ascii="Book Antiqua" w:hAnsi="Book Antiqua"/>
          <w:vertAlign w:val="superscript"/>
          <w:lang w:val="en-US"/>
        </w:rPr>
        <w:t>18</w:t>
      </w:r>
      <w:r w:rsidR="0092056F" w:rsidRPr="00230CBF">
        <w:rPr>
          <w:rStyle w:val="apple-converted-space"/>
          <w:rFonts w:ascii="Book Antiqua" w:hAnsi="Book Antiqua"/>
          <w:lang w:val="en-US"/>
        </w:rPr>
        <w:t xml:space="preserve">F-FDG PET was performed at baseline and at weeks 17 and 25. A negative </w:t>
      </w:r>
      <w:r w:rsidR="00F711A6" w:rsidRPr="00230CBF">
        <w:rPr>
          <w:rStyle w:val="apple-converted-space"/>
          <w:rFonts w:ascii="Book Antiqua" w:hAnsi="Book Antiqua"/>
          <w:vertAlign w:val="superscript"/>
          <w:lang w:val="en-US"/>
        </w:rPr>
        <w:t>18</w:t>
      </w:r>
      <w:r w:rsidR="0092056F" w:rsidRPr="00230CBF">
        <w:rPr>
          <w:rStyle w:val="apple-converted-space"/>
          <w:rFonts w:ascii="Book Antiqua" w:hAnsi="Book Antiqua"/>
          <w:lang w:val="en-US"/>
        </w:rPr>
        <w:t>F-FDG PET scan, visually assessed by an independent radiological review committee</w:t>
      </w:r>
      <w:r w:rsidR="00172AFF" w:rsidRPr="00230CBF">
        <w:rPr>
          <w:rStyle w:val="apple-converted-space"/>
          <w:rFonts w:ascii="Book Antiqua" w:hAnsi="Book Antiqua"/>
          <w:lang w:val="en-US"/>
        </w:rPr>
        <w:t xml:space="preserve"> (IRRC)</w:t>
      </w:r>
      <w:r w:rsidR="0092056F" w:rsidRPr="00230CBF">
        <w:rPr>
          <w:rStyle w:val="apple-converted-space"/>
          <w:rFonts w:ascii="Book Antiqua" w:hAnsi="Book Antiqua"/>
          <w:lang w:val="en-US"/>
        </w:rPr>
        <w:t xml:space="preserve">, 19 was required for confirmation of complete remission. The study demonstrated a general reduction of tumor burden. </w:t>
      </w:r>
      <w:r w:rsidR="00DF5048" w:rsidRPr="00230CBF">
        <w:rPr>
          <w:rStyle w:val="apple-converted-space"/>
          <w:rFonts w:ascii="Book Antiqua" w:hAnsi="Book Antiqua"/>
          <w:lang w:val="en-US"/>
        </w:rPr>
        <w:t>Yet</w:t>
      </w:r>
      <w:r w:rsidR="0092056F" w:rsidRPr="00230CBF">
        <w:rPr>
          <w:rStyle w:val="apple-converted-space"/>
          <w:rFonts w:ascii="Book Antiqua" w:hAnsi="Book Antiqua"/>
          <w:lang w:val="en-US"/>
        </w:rPr>
        <w:t xml:space="preserve"> discordance in complete remission between IRRC and investigator assessments was largely based on the interpretation of ¹</w:t>
      </w:r>
      <w:r w:rsidR="0092056F" w:rsidRPr="00230CBF">
        <w:rPr>
          <w:rStyle w:val="apple-converted-space"/>
          <w:rFonts w:ascii="Cambria Math" w:hAnsi="Cambria Math" w:cs="Cambria Math"/>
          <w:lang w:val="en-US"/>
        </w:rPr>
        <w:t>⁸</w:t>
      </w:r>
      <w:r w:rsidR="0092056F" w:rsidRPr="00230CBF">
        <w:rPr>
          <w:rStyle w:val="apple-converted-space"/>
          <w:rFonts w:ascii="Book Antiqua" w:hAnsi="Book Antiqua"/>
          <w:lang w:val="en-US"/>
        </w:rPr>
        <w:t xml:space="preserve">F-FDG PET scans and </w:t>
      </w:r>
      <w:r w:rsidR="00172AFF" w:rsidRPr="00230CBF">
        <w:rPr>
          <w:rStyle w:val="apple-converted-space"/>
          <w:rFonts w:ascii="Book Antiqua" w:hAnsi="Book Antiqua"/>
          <w:lang w:val="en-US"/>
        </w:rPr>
        <w:t>standardized</w:t>
      </w:r>
      <w:r w:rsidR="00817DA9" w:rsidRPr="00230CBF">
        <w:rPr>
          <w:rStyle w:val="apple-converted-space"/>
          <w:rFonts w:ascii="Book Antiqua" w:hAnsi="Book Antiqua"/>
          <w:lang w:val="en-US"/>
        </w:rPr>
        <w:t xml:space="preserve"> uptake values were not </w:t>
      </w:r>
      <w:r w:rsidR="0092056F" w:rsidRPr="00230CBF">
        <w:rPr>
          <w:rStyle w:val="apple-converted-space"/>
          <w:rFonts w:ascii="Book Antiqua" w:hAnsi="Book Antiqua"/>
          <w:lang w:val="en-US"/>
        </w:rPr>
        <w:t>collected as part of t</w:t>
      </w:r>
      <w:r w:rsidR="00E40CB7" w:rsidRPr="00230CBF">
        <w:rPr>
          <w:rStyle w:val="apple-converted-space"/>
          <w:rFonts w:ascii="Book Antiqua" w:hAnsi="Book Antiqua"/>
          <w:lang w:val="en-US"/>
        </w:rPr>
        <w:t xml:space="preserve">his study. </w:t>
      </w:r>
      <w:r w:rsidR="00C15099" w:rsidRPr="00230CBF">
        <w:rPr>
          <w:rStyle w:val="apple-converted-space"/>
          <w:rFonts w:ascii="Book Antiqua" w:hAnsi="Book Antiqua"/>
          <w:lang w:val="en-US"/>
        </w:rPr>
        <w:t xml:space="preserve">The </w:t>
      </w:r>
      <w:r w:rsidR="0095662C" w:rsidRPr="00230CBF">
        <w:rPr>
          <w:rStyle w:val="apple-converted-space"/>
          <w:rFonts w:ascii="Book Antiqua" w:hAnsi="Book Antiqua"/>
          <w:lang w:val="en-US"/>
        </w:rPr>
        <w:t xml:space="preserve">vast majority of </w:t>
      </w:r>
      <w:r w:rsidR="00C15099" w:rsidRPr="00230CBF">
        <w:rPr>
          <w:rStyle w:val="apple-converted-space"/>
          <w:rFonts w:ascii="Book Antiqua" w:hAnsi="Book Antiqua"/>
          <w:lang w:val="en-US"/>
        </w:rPr>
        <w:t xml:space="preserve">other available data on the potential utility of </w:t>
      </w:r>
      <w:r w:rsidR="00C15099" w:rsidRPr="00230CBF">
        <w:rPr>
          <w:rStyle w:val="apple-converted-space"/>
          <w:rFonts w:ascii="Book Antiqua" w:hAnsi="Book Antiqua"/>
          <w:vertAlign w:val="superscript"/>
          <w:lang w:val="en-US"/>
        </w:rPr>
        <w:t>18</w:t>
      </w:r>
      <w:r w:rsidR="00C15099" w:rsidRPr="00230CBF">
        <w:rPr>
          <w:rStyle w:val="apple-converted-space"/>
          <w:rFonts w:ascii="Book Antiqua" w:hAnsi="Book Antiqua"/>
          <w:lang w:val="en-US"/>
        </w:rPr>
        <w:t xml:space="preserve">F-FDG PET after </w:t>
      </w:r>
      <w:r w:rsidR="0095662C" w:rsidRPr="00230CBF">
        <w:rPr>
          <w:rFonts w:ascii="Book Antiqua" w:hAnsi="Book Antiqua"/>
          <w:lang w:val="en-US"/>
        </w:rPr>
        <w:t xml:space="preserve">ICPIs </w:t>
      </w:r>
      <w:r w:rsidR="00C15099" w:rsidRPr="00230CBF">
        <w:rPr>
          <w:rStyle w:val="apple-converted-space"/>
          <w:rFonts w:ascii="Book Antiqua" w:hAnsi="Book Antiqua"/>
          <w:lang w:val="en-US"/>
        </w:rPr>
        <w:t xml:space="preserve">are case reports more often describing underlying challenges of monitoring radiologic response in these patients and showing </w:t>
      </w:r>
      <w:r w:rsidR="00C15099" w:rsidRPr="00230CBF">
        <w:rPr>
          <w:rStyle w:val="apple-converted-space"/>
          <w:rFonts w:ascii="Book Antiqua" w:hAnsi="Book Antiqua"/>
          <w:vertAlign w:val="superscript"/>
          <w:lang w:val="en-US"/>
        </w:rPr>
        <w:t>18</w:t>
      </w:r>
      <w:r w:rsidR="00C15099" w:rsidRPr="00230CBF">
        <w:rPr>
          <w:rStyle w:val="apple-converted-space"/>
          <w:rFonts w:ascii="Book Antiqua" w:hAnsi="Book Antiqua"/>
          <w:lang w:val="en-US"/>
        </w:rPr>
        <w:t>F-FDG PET features of inflammatory reactions.</w:t>
      </w:r>
      <w:r w:rsidR="00A80E9E" w:rsidRPr="00230CBF">
        <w:rPr>
          <w:rStyle w:val="apple-converted-space"/>
          <w:rFonts w:ascii="Book Antiqua" w:hAnsi="Book Antiqua"/>
          <w:lang w:val="en-US"/>
        </w:rPr>
        <w:t xml:space="preserve"> PET-highlighted </w:t>
      </w:r>
      <w:r w:rsidR="00F63277" w:rsidRPr="00230CBF">
        <w:rPr>
          <w:rStyle w:val="apple-converted-space"/>
          <w:rFonts w:ascii="Book Antiqua" w:hAnsi="Book Antiqua"/>
          <w:lang w:val="en-US"/>
        </w:rPr>
        <w:t xml:space="preserve">autoimmune </w:t>
      </w:r>
      <w:proofErr w:type="spellStart"/>
      <w:r w:rsidR="00F63277" w:rsidRPr="00230CBF">
        <w:rPr>
          <w:rStyle w:val="apple-converted-space"/>
          <w:rFonts w:ascii="Book Antiqua" w:hAnsi="Book Antiqua"/>
          <w:lang w:val="en-US"/>
        </w:rPr>
        <w:t>pancolitis</w:t>
      </w:r>
      <w:proofErr w:type="spellEnd"/>
      <w:r w:rsidR="001F6C87" w:rsidRPr="00230CBF">
        <w:rPr>
          <w:rStyle w:val="apple-converted-space"/>
          <w:rFonts w:ascii="Book Antiqua" w:hAnsi="Book Antiqua"/>
          <w:lang w:val="en-US"/>
        </w:rPr>
        <w:t xml:space="preserve">, splenic </w:t>
      </w:r>
      <w:proofErr w:type="spellStart"/>
      <w:r w:rsidR="001F6C87" w:rsidRPr="00230CBF">
        <w:rPr>
          <w:rStyle w:val="apple-converted-space"/>
          <w:rFonts w:ascii="Book Antiqua" w:hAnsi="Book Antiqua"/>
          <w:lang w:val="en-US"/>
        </w:rPr>
        <w:t>sarcoidosis</w:t>
      </w:r>
      <w:proofErr w:type="spellEnd"/>
      <w:r w:rsidR="001F6C87" w:rsidRPr="00230CBF">
        <w:rPr>
          <w:rStyle w:val="apple-converted-space"/>
          <w:rFonts w:ascii="Book Antiqua" w:hAnsi="Book Antiqua"/>
          <w:lang w:val="en-US"/>
        </w:rPr>
        <w:t>-</w:t>
      </w:r>
      <w:r w:rsidR="001F6C87" w:rsidRPr="00230CBF">
        <w:rPr>
          <w:rStyle w:val="apple-converted-space"/>
          <w:rFonts w:ascii="Book Antiqua" w:hAnsi="Book Antiqua"/>
          <w:lang w:val="en-US"/>
        </w:rPr>
        <w:lastRenderedPageBreak/>
        <w:t>like</w:t>
      </w:r>
      <w:r w:rsidR="0029544F" w:rsidRPr="00230CBF">
        <w:rPr>
          <w:rStyle w:val="apple-converted-space"/>
          <w:rFonts w:ascii="Book Antiqua" w:hAnsi="Book Antiqua"/>
          <w:lang w:val="en-US"/>
        </w:rPr>
        <w:t xml:space="preserve"> lesion </w:t>
      </w:r>
      <w:r w:rsidR="00F63277" w:rsidRPr="00230CBF">
        <w:rPr>
          <w:rStyle w:val="apple-converted-space"/>
          <w:rFonts w:ascii="Book Antiqua" w:hAnsi="Book Antiqua"/>
          <w:lang w:val="en-US"/>
        </w:rPr>
        <w:t xml:space="preserve">and </w:t>
      </w:r>
      <w:r w:rsidR="00A80E9E" w:rsidRPr="00230CBF">
        <w:rPr>
          <w:rStyle w:val="apple-converted-space"/>
          <w:rFonts w:ascii="Book Antiqua" w:hAnsi="Book Antiqua"/>
          <w:lang w:val="en-US"/>
        </w:rPr>
        <w:t xml:space="preserve">exacerbation of sarcoidosis as a potential confounder in the </w:t>
      </w:r>
      <w:r w:rsidR="00F63277" w:rsidRPr="00230CBF">
        <w:rPr>
          <w:rStyle w:val="apple-converted-space"/>
          <w:rFonts w:ascii="Book Antiqua" w:hAnsi="Book Antiqua"/>
          <w:lang w:val="en-US"/>
        </w:rPr>
        <w:t xml:space="preserve">assessment of tumor response in </w:t>
      </w:r>
      <w:r w:rsidR="00A80E9E" w:rsidRPr="00230CBF">
        <w:rPr>
          <w:rStyle w:val="apple-converted-space"/>
          <w:rFonts w:ascii="Book Antiqua" w:hAnsi="Book Antiqua"/>
          <w:lang w:val="en-US"/>
        </w:rPr>
        <w:t xml:space="preserve">a melanoma patient treated with </w:t>
      </w:r>
      <w:proofErr w:type="spellStart"/>
      <w:r w:rsidR="00A80E9E" w:rsidRPr="00230CBF">
        <w:rPr>
          <w:rStyle w:val="apple-converted-space"/>
          <w:rFonts w:ascii="Book Antiqua" w:hAnsi="Book Antiqua"/>
          <w:lang w:val="en-US"/>
        </w:rPr>
        <w:t>ipilimumab</w:t>
      </w:r>
      <w:proofErr w:type="spellEnd"/>
      <w:r w:rsidR="0092056F" w:rsidRPr="00230CBF">
        <w:rPr>
          <w:rStyle w:val="apple-converted-space"/>
          <w:rFonts w:ascii="Book Antiqua" w:hAnsi="Book Antiqua"/>
          <w:lang w:val="en-US"/>
        </w:rPr>
        <w:t xml:space="preserve"> have</w:t>
      </w:r>
      <w:r w:rsidR="0029544F" w:rsidRPr="00230CBF">
        <w:rPr>
          <w:rStyle w:val="apple-converted-space"/>
          <w:rFonts w:ascii="Book Antiqua" w:hAnsi="Book Antiqua"/>
          <w:lang w:val="en-US"/>
        </w:rPr>
        <w:t xml:space="preserve"> </w:t>
      </w:r>
      <w:r w:rsidR="008E5A79" w:rsidRPr="00230CBF">
        <w:rPr>
          <w:rStyle w:val="apple-converted-space"/>
          <w:rFonts w:ascii="Book Antiqua" w:hAnsi="Book Antiqua"/>
          <w:lang w:val="en-US"/>
        </w:rPr>
        <w:t xml:space="preserve">all </w:t>
      </w:r>
      <w:r w:rsidR="00230CBF">
        <w:rPr>
          <w:rStyle w:val="apple-converted-space"/>
          <w:rFonts w:ascii="Book Antiqua" w:hAnsi="Book Antiqua"/>
          <w:lang w:val="en-US"/>
        </w:rPr>
        <w:t xml:space="preserve">been </w:t>
      </w:r>
      <w:proofErr w:type="gramStart"/>
      <w:r w:rsidR="00230CBF">
        <w:rPr>
          <w:rStyle w:val="apple-converted-space"/>
          <w:rFonts w:ascii="Book Antiqua" w:hAnsi="Book Antiqua"/>
          <w:lang w:val="en-US"/>
        </w:rPr>
        <w:t>described</w:t>
      </w:r>
      <w:r w:rsidR="00DF69F5" w:rsidRPr="00230CBF">
        <w:rPr>
          <w:rStyle w:val="apple-converted-space"/>
          <w:rFonts w:ascii="Book Antiqua" w:hAnsi="Book Antiqua"/>
          <w:vertAlign w:val="superscript"/>
          <w:lang w:val="en-US"/>
        </w:rPr>
        <w:t>[</w:t>
      </w:r>
      <w:proofErr w:type="gramEnd"/>
      <w:r w:rsidR="001035F5" w:rsidRPr="00230CBF">
        <w:rPr>
          <w:rStyle w:val="apple-converted-space"/>
          <w:rFonts w:ascii="Book Antiqua" w:hAnsi="Book Antiqua"/>
          <w:vertAlign w:val="superscript"/>
          <w:lang w:val="en-US"/>
        </w:rPr>
        <w:t>25-27</w:t>
      </w:r>
      <w:r w:rsidR="00DF69F5" w:rsidRPr="00230CBF">
        <w:rPr>
          <w:rStyle w:val="apple-converted-space"/>
          <w:rFonts w:ascii="Book Antiqua" w:hAnsi="Book Antiqua"/>
          <w:vertAlign w:val="superscript"/>
          <w:lang w:val="en-US"/>
        </w:rPr>
        <w:t>]</w:t>
      </w:r>
      <w:r w:rsidR="00A80E9E" w:rsidRPr="00230CBF">
        <w:rPr>
          <w:rStyle w:val="apple-converted-space"/>
          <w:rFonts w:ascii="Book Antiqua" w:hAnsi="Book Antiqua"/>
          <w:lang w:val="en-US"/>
        </w:rPr>
        <w:t>.</w:t>
      </w:r>
      <w:r w:rsidR="001F6C87" w:rsidRPr="00230CBF">
        <w:rPr>
          <w:rStyle w:val="apple-converted-space"/>
          <w:rFonts w:ascii="Book Antiqua" w:hAnsi="Book Antiqua"/>
          <w:lang w:val="en-US"/>
        </w:rPr>
        <w:t xml:space="preserve"> Similarly, Koo </w:t>
      </w:r>
      <w:r w:rsidR="001035F5" w:rsidRPr="00230CBF">
        <w:rPr>
          <w:rStyle w:val="apple-converted-space"/>
          <w:rFonts w:ascii="Book Antiqua" w:hAnsi="Book Antiqua"/>
          <w:i/>
          <w:lang w:val="en-US"/>
        </w:rPr>
        <w:t xml:space="preserve">et </w:t>
      </w:r>
      <w:proofErr w:type="gramStart"/>
      <w:r w:rsidR="001035F5" w:rsidRPr="00230CBF">
        <w:rPr>
          <w:rStyle w:val="apple-converted-space"/>
          <w:rFonts w:ascii="Book Antiqua" w:hAnsi="Book Antiqua"/>
          <w:i/>
          <w:lang w:val="en-US"/>
        </w:rPr>
        <w:t>al</w:t>
      </w:r>
      <w:r w:rsidR="00230CBF" w:rsidRPr="00230CBF">
        <w:rPr>
          <w:rStyle w:val="apple-converted-space"/>
          <w:rFonts w:ascii="Book Antiqua" w:hAnsi="Book Antiqua"/>
          <w:vertAlign w:val="superscript"/>
          <w:lang w:val="en-US"/>
        </w:rPr>
        <w:t>[</w:t>
      </w:r>
      <w:proofErr w:type="gramEnd"/>
      <w:r w:rsidR="00230CBF" w:rsidRPr="00230CBF">
        <w:rPr>
          <w:rStyle w:val="apple-converted-space"/>
          <w:rFonts w:ascii="Book Antiqua" w:hAnsi="Book Antiqua"/>
          <w:vertAlign w:val="superscript"/>
          <w:lang w:val="en-US"/>
        </w:rPr>
        <w:t>26]</w:t>
      </w:r>
      <w:r w:rsidR="001F6C87" w:rsidRPr="00230CBF">
        <w:rPr>
          <w:rStyle w:val="apple-converted-space"/>
          <w:rFonts w:ascii="Book Antiqua" w:hAnsi="Book Antiqua"/>
          <w:lang w:val="en-US"/>
        </w:rPr>
        <w:t xml:space="preserve"> illustrated a series of infl</w:t>
      </w:r>
      <w:r w:rsidR="0095662C" w:rsidRPr="00230CBF">
        <w:rPr>
          <w:rStyle w:val="apple-converted-space"/>
          <w:rFonts w:ascii="Book Antiqua" w:hAnsi="Book Antiqua"/>
          <w:lang w:val="en-US"/>
        </w:rPr>
        <w:t>a</w:t>
      </w:r>
      <w:r w:rsidR="001F6C87" w:rsidRPr="00230CBF">
        <w:rPr>
          <w:rStyle w:val="apple-converted-space"/>
          <w:rFonts w:ascii="Book Antiqua" w:hAnsi="Book Antiqua"/>
          <w:lang w:val="en-US"/>
        </w:rPr>
        <w:t xml:space="preserve">mmatory reactions with avid FDG uptake in patients treated with </w:t>
      </w:r>
      <w:proofErr w:type="spellStart"/>
      <w:r w:rsidR="001F6C87" w:rsidRPr="00230CBF">
        <w:rPr>
          <w:rStyle w:val="apple-converted-space"/>
          <w:rFonts w:ascii="Book Antiqua" w:hAnsi="Book Antiqua"/>
          <w:lang w:val="en-US"/>
        </w:rPr>
        <w:t>ipilimumab</w:t>
      </w:r>
      <w:proofErr w:type="spellEnd"/>
      <w:r w:rsidR="001F6C87" w:rsidRPr="00230CBF">
        <w:rPr>
          <w:rStyle w:val="apple-converted-space"/>
          <w:rFonts w:ascii="Book Antiqua" w:hAnsi="Book Antiqua"/>
          <w:lang w:val="en-US"/>
        </w:rPr>
        <w:t xml:space="preserve">, including thyroiditis, </w:t>
      </w:r>
      <w:proofErr w:type="spellStart"/>
      <w:r w:rsidR="001F6C87" w:rsidRPr="00230CBF">
        <w:rPr>
          <w:rStyle w:val="apple-converted-space"/>
          <w:rFonts w:ascii="Book Antiqua" w:hAnsi="Book Antiqua"/>
          <w:lang w:val="en-US"/>
        </w:rPr>
        <w:t>hypophysitis</w:t>
      </w:r>
      <w:proofErr w:type="spellEnd"/>
      <w:r w:rsidR="001F6C87" w:rsidRPr="00230CBF">
        <w:rPr>
          <w:rStyle w:val="apple-converted-space"/>
          <w:rFonts w:ascii="Book Antiqua" w:hAnsi="Book Antiqua"/>
          <w:lang w:val="en-US"/>
        </w:rPr>
        <w:t>, granulomatous infl</w:t>
      </w:r>
      <w:r w:rsidR="00E80A32" w:rsidRPr="00230CBF">
        <w:rPr>
          <w:rStyle w:val="apple-converted-space"/>
          <w:rFonts w:ascii="Book Antiqua" w:hAnsi="Book Antiqua"/>
          <w:lang w:val="en-US"/>
        </w:rPr>
        <w:t>a</w:t>
      </w:r>
      <w:r w:rsidR="001F6C87" w:rsidRPr="00230CBF">
        <w:rPr>
          <w:rStyle w:val="apple-converted-space"/>
          <w:rFonts w:ascii="Book Antiqua" w:hAnsi="Book Antiqua"/>
          <w:lang w:val="en-US"/>
        </w:rPr>
        <w:t>mmat</w:t>
      </w:r>
      <w:r w:rsidR="007A3CC9" w:rsidRPr="00230CBF">
        <w:rPr>
          <w:rStyle w:val="apple-converted-space"/>
          <w:rFonts w:ascii="Book Antiqua" w:hAnsi="Book Antiqua"/>
          <w:lang w:val="en-US"/>
        </w:rPr>
        <w:t>ion in the lymph nodes and skin</w:t>
      </w:r>
      <w:r w:rsidR="001F6C87" w:rsidRPr="00230CBF">
        <w:rPr>
          <w:rStyle w:val="apple-converted-space"/>
          <w:rFonts w:ascii="Book Antiqua" w:hAnsi="Book Antiqua"/>
          <w:lang w:val="en-US"/>
        </w:rPr>
        <w:t xml:space="preserve"> and </w:t>
      </w:r>
      <w:proofErr w:type="spellStart"/>
      <w:r w:rsidR="001F6C87" w:rsidRPr="00230CBF">
        <w:rPr>
          <w:rStyle w:val="apple-converted-space"/>
          <w:rFonts w:ascii="Book Antiqua" w:hAnsi="Book Antiqua"/>
          <w:lang w:val="en-US"/>
        </w:rPr>
        <w:t>enterocolitis</w:t>
      </w:r>
      <w:proofErr w:type="spellEnd"/>
      <w:r w:rsidR="001F6C87" w:rsidRPr="00230CBF">
        <w:rPr>
          <w:rStyle w:val="apple-converted-space"/>
          <w:rFonts w:ascii="Book Antiqua" w:hAnsi="Book Antiqua"/>
          <w:lang w:val="en-US"/>
        </w:rPr>
        <w:t>.</w:t>
      </w:r>
      <w:r w:rsidR="00E80A32" w:rsidRPr="00230CBF">
        <w:rPr>
          <w:rStyle w:val="apple-converted-space"/>
          <w:rFonts w:ascii="Book Antiqua" w:hAnsi="Book Antiqua"/>
          <w:lang w:val="en-US"/>
        </w:rPr>
        <w:t xml:space="preserve"> </w:t>
      </w:r>
    </w:p>
    <w:p w:rsidR="008C29EF" w:rsidRPr="00230CBF" w:rsidRDefault="00410CDC" w:rsidP="00230CBF">
      <w:pPr>
        <w:spacing w:line="360" w:lineRule="auto"/>
        <w:ind w:firstLineChars="100" w:firstLine="240"/>
        <w:jc w:val="both"/>
        <w:rPr>
          <w:rFonts w:ascii="Book Antiqua" w:hAnsi="Book Antiqua"/>
          <w:lang w:val="en-US"/>
        </w:rPr>
      </w:pPr>
      <w:r w:rsidRPr="00230CBF">
        <w:rPr>
          <w:rStyle w:val="apple-converted-space"/>
          <w:rFonts w:ascii="Book Antiqua" w:hAnsi="Book Antiqua"/>
          <w:lang w:val="en-US"/>
        </w:rPr>
        <w:t>Acc</w:t>
      </w:r>
      <w:r w:rsidR="0095662C" w:rsidRPr="00230CBF">
        <w:rPr>
          <w:rStyle w:val="apple-converted-space"/>
          <w:rFonts w:ascii="Book Antiqua" w:hAnsi="Book Antiqua"/>
          <w:lang w:val="en-US"/>
        </w:rPr>
        <w:t xml:space="preserve">ordingly, </w:t>
      </w:r>
      <w:r w:rsidRPr="00230CBF">
        <w:rPr>
          <w:rStyle w:val="apple-converted-space"/>
          <w:rFonts w:ascii="Book Antiqua" w:hAnsi="Book Antiqua"/>
          <w:lang w:val="en-US"/>
        </w:rPr>
        <w:t xml:space="preserve">the potential and challenges of </w:t>
      </w:r>
      <w:r w:rsidRPr="00230CBF">
        <w:rPr>
          <w:rStyle w:val="apple-converted-space"/>
          <w:rFonts w:ascii="Book Antiqua" w:hAnsi="Book Antiqua"/>
          <w:vertAlign w:val="superscript"/>
          <w:lang w:val="en-US"/>
        </w:rPr>
        <w:t>18</w:t>
      </w:r>
      <w:r w:rsidRPr="00230CBF">
        <w:rPr>
          <w:rStyle w:val="apple-converted-space"/>
          <w:rFonts w:ascii="Book Antiqua" w:hAnsi="Book Antiqua"/>
          <w:lang w:val="en-US"/>
        </w:rPr>
        <w:t xml:space="preserve">F-FDG PET imaging in the evaluation of patients treated with </w:t>
      </w:r>
      <w:r w:rsidR="0095662C" w:rsidRPr="00230CBF">
        <w:rPr>
          <w:rFonts w:ascii="Book Antiqua" w:hAnsi="Book Antiqua"/>
          <w:lang w:val="en-US"/>
        </w:rPr>
        <w:t xml:space="preserve">ICPIs </w:t>
      </w:r>
      <w:r w:rsidRPr="00230CBF">
        <w:rPr>
          <w:rStyle w:val="apple-converted-space"/>
          <w:rFonts w:ascii="Book Antiqua" w:hAnsi="Book Antiqua"/>
          <w:lang w:val="en-US"/>
        </w:rPr>
        <w:t xml:space="preserve">still need to be clarified and deeply addressed. Given the relatively greater experience </w:t>
      </w:r>
      <w:r w:rsidR="00561AB0" w:rsidRPr="00230CBF">
        <w:rPr>
          <w:rStyle w:val="apple-converted-space"/>
          <w:rFonts w:ascii="Book Antiqua" w:hAnsi="Book Antiqua"/>
          <w:lang w:val="en-US"/>
        </w:rPr>
        <w:t xml:space="preserve">of CT-based evaluation in </w:t>
      </w:r>
      <w:r w:rsidR="001A775A" w:rsidRPr="00230CBF">
        <w:rPr>
          <w:rStyle w:val="apple-converted-space"/>
          <w:rFonts w:ascii="Book Antiqua" w:hAnsi="Book Antiqua"/>
          <w:lang w:val="en-US"/>
        </w:rPr>
        <w:t xml:space="preserve">this setting and the fact that </w:t>
      </w:r>
      <w:proofErr w:type="spellStart"/>
      <w:r w:rsidR="001A775A" w:rsidRPr="00230CBF">
        <w:rPr>
          <w:rStyle w:val="apple-converted-space"/>
          <w:rFonts w:ascii="Book Antiqua" w:hAnsi="Book Antiqua"/>
          <w:lang w:val="en-US"/>
        </w:rPr>
        <w:t>irRC</w:t>
      </w:r>
      <w:proofErr w:type="spellEnd"/>
      <w:r w:rsidR="001A775A" w:rsidRPr="00230CBF">
        <w:rPr>
          <w:rStyle w:val="apple-converted-space"/>
          <w:rFonts w:ascii="Book Antiqua" w:hAnsi="Book Antiqua"/>
          <w:lang w:val="en-US"/>
        </w:rPr>
        <w:t xml:space="preserve"> CT-based criteria seem to better capture response </w:t>
      </w:r>
      <w:r w:rsidR="00561AB0" w:rsidRPr="00230CBF">
        <w:rPr>
          <w:rStyle w:val="apple-converted-space"/>
          <w:rFonts w:ascii="Book Antiqua" w:hAnsi="Book Antiqua"/>
          <w:lang w:val="en-US"/>
        </w:rPr>
        <w:t>to ICPIs</w:t>
      </w:r>
      <w:r w:rsidR="001A775A" w:rsidRPr="00230CBF">
        <w:rPr>
          <w:rStyle w:val="apple-converted-space"/>
          <w:rFonts w:ascii="Book Antiqua" w:hAnsi="Book Antiqua"/>
          <w:lang w:val="en-US"/>
        </w:rPr>
        <w:t>, it is worthwhile to ask if a similar modification of PET-based criteria could be proposed in the future.</w:t>
      </w:r>
    </w:p>
    <w:p w:rsidR="009E26C1" w:rsidRPr="00230CBF" w:rsidRDefault="009E26C1" w:rsidP="00230CBF">
      <w:pPr>
        <w:spacing w:line="360" w:lineRule="auto"/>
        <w:jc w:val="both"/>
        <w:rPr>
          <w:rFonts w:ascii="Book Antiqua" w:hAnsi="Book Antiqua"/>
          <w:lang w:val="en-US"/>
        </w:rPr>
      </w:pPr>
    </w:p>
    <w:p w:rsidR="000F5377" w:rsidRPr="00230CBF" w:rsidRDefault="004C7783" w:rsidP="00230CBF">
      <w:pPr>
        <w:spacing w:line="360" w:lineRule="auto"/>
        <w:jc w:val="both"/>
        <w:rPr>
          <w:rFonts w:ascii="Book Antiqua" w:hAnsi="Book Antiqua"/>
          <w:b/>
          <w:i/>
          <w:lang w:val="en-US"/>
        </w:rPr>
      </w:pPr>
      <w:r w:rsidRPr="00230CBF">
        <w:rPr>
          <w:rFonts w:ascii="Book Antiqua" w:hAnsi="Book Antiqua"/>
          <w:b/>
          <w:i/>
          <w:lang w:val="en-US"/>
        </w:rPr>
        <w:t xml:space="preserve">Potential new PET-based approaches to evaluate the effect of </w:t>
      </w:r>
      <w:r w:rsidR="008916DF" w:rsidRPr="00230CBF">
        <w:rPr>
          <w:rFonts w:ascii="Book Antiqua" w:hAnsi="Book Antiqua"/>
          <w:b/>
          <w:i/>
          <w:lang w:val="en-US"/>
        </w:rPr>
        <w:t>ICPIs</w:t>
      </w:r>
    </w:p>
    <w:p w:rsidR="00D97AB2" w:rsidRDefault="00AF1F02" w:rsidP="00230CBF">
      <w:pPr>
        <w:spacing w:line="360" w:lineRule="auto"/>
        <w:jc w:val="both"/>
        <w:rPr>
          <w:rFonts w:ascii="Book Antiqua" w:hAnsi="Book Antiqua"/>
          <w:lang w:val="en-US"/>
        </w:rPr>
      </w:pPr>
      <w:r w:rsidRPr="00230CBF">
        <w:rPr>
          <w:rFonts w:ascii="Book Antiqua" w:hAnsi="Book Antiqua"/>
          <w:lang w:val="en-US"/>
        </w:rPr>
        <w:t>As mentioned, d</w:t>
      </w:r>
      <w:r w:rsidR="004C7783" w:rsidRPr="00230CBF">
        <w:rPr>
          <w:rFonts w:ascii="Book Antiqua" w:hAnsi="Book Antiqua"/>
          <w:lang w:val="en-US"/>
        </w:rPr>
        <w:t xml:space="preserve">ue to its intrinsic nature, </w:t>
      </w:r>
      <w:r w:rsidRPr="00230CBF">
        <w:rPr>
          <w:rFonts w:ascii="Book Antiqua" w:hAnsi="Book Antiqua"/>
          <w:vertAlign w:val="superscript"/>
          <w:lang w:val="en-US"/>
        </w:rPr>
        <w:t>18</w:t>
      </w:r>
      <w:r w:rsidRPr="00230CBF">
        <w:rPr>
          <w:rFonts w:ascii="Book Antiqua" w:hAnsi="Book Antiqua"/>
          <w:lang w:val="en-US"/>
        </w:rPr>
        <w:t>F-FDG PET</w:t>
      </w:r>
      <w:r w:rsidR="004C7783" w:rsidRPr="00230CBF">
        <w:rPr>
          <w:rFonts w:ascii="Book Antiqua" w:hAnsi="Book Antiqua"/>
          <w:lang w:val="en-US"/>
        </w:rPr>
        <w:t xml:space="preserve"> displays not only cancer cell’s metabolic activity but also inflammation. Being the antineoplastic activity of </w:t>
      </w:r>
      <w:r w:rsidRPr="00230CBF">
        <w:rPr>
          <w:rFonts w:ascii="Book Antiqua" w:hAnsi="Book Antiqua"/>
          <w:lang w:val="en-US"/>
        </w:rPr>
        <w:t xml:space="preserve">ICPIs </w:t>
      </w:r>
      <w:r w:rsidR="004C7783" w:rsidRPr="00230CBF">
        <w:rPr>
          <w:rFonts w:ascii="Book Antiqua" w:hAnsi="Book Antiqua"/>
          <w:lang w:val="en-US"/>
        </w:rPr>
        <w:t xml:space="preserve">highly related to the activation of T cells against cancer cells, </w:t>
      </w:r>
      <w:r w:rsidRPr="00230CBF">
        <w:rPr>
          <w:rFonts w:ascii="Book Antiqua" w:hAnsi="Book Antiqua"/>
          <w:vertAlign w:val="superscript"/>
          <w:lang w:val="en-US"/>
        </w:rPr>
        <w:t>18</w:t>
      </w:r>
      <w:r w:rsidRPr="00230CBF">
        <w:rPr>
          <w:rFonts w:ascii="Book Antiqua" w:hAnsi="Book Antiqua"/>
          <w:lang w:val="en-US"/>
        </w:rPr>
        <w:t>F-</w:t>
      </w:r>
      <w:r w:rsidR="004C7783" w:rsidRPr="00230CBF">
        <w:rPr>
          <w:rFonts w:ascii="Book Antiqua" w:hAnsi="Book Antiqua"/>
          <w:lang w:val="en-US"/>
        </w:rPr>
        <w:t xml:space="preserve">FDG accumulation might cause false positive findings. Yet, discrimination between benign and malignant processes represents a huge challenge for </w:t>
      </w:r>
      <w:r w:rsidRPr="00230CBF">
        <w:rPr>
          <w:rFonts w:ascii="Book Antiqua" w:hAnsi="Book Antiqua"/>
          <w:vertAlign w:val="superscript"/>
          <w:lang w:val="en-US"/>
        </w:rPr>
        <w:t>18</w:t>
      </w:r>
      <w:r w:rsidRPr="00230CBF">
        <w:rPr>
          <w:rFonts w:ascii="Book Antiqua" w:hAnsi="Book Antiqua"/>
          <w:lang w:val="en-US"/>
        </w:rPr>
        <w:t>F-FDG PET</w:t>
      </w:r>
      <w:r w:rsidR="004C7783" w:rsidRPr="00230CBF">
        <w:rPr>
          <w:rFonts w:ascii="Book Antiqua" w:hAnsi="Book Antiqua"/>
          <w:lang w:val="en-US"/>
        </w:rPr>
        <w:t xml:space="preserve"> in this clinical setting. Together with the need of the clinicians to discriminate between responders and non-responders, allowing individual therapy optimization and avoiding adverse effects brought about by ineffective therapy, several studies have been recently conducted to explore the possible role of non-FDG radiotracers in the field of </w:t>
      </w:r>
      <w:r w:rsidRPr="00230CBF">
        <w:rPr>
          <w:rFonts w:ascii="Book Antiqua" w:hAnsi="Book Antiqua"/>
          <w:lang w:val="en-US"/>
        </w:rPr>
        <w:t>ICPIs</w:t>
      </w:r>
      <w:r w:rsidR="004C7783" w:rsidRPr="00230CBF">
        <w:rPr>
          <w:rFonts w:ascii="Book Antiqua" w:hAnsi="Book Antiqua"/>
          <w:lang w:val="en-US"/>
        </w:rPr>
        <w:t>. These studies, mainly performed with labeled monoclonal antibodies, contributed to open the new era of the so-called “</w:t>
      </w:r>
      <w:proofErr w:type="spellStart"/>
      <w:r w:rsidR="004C7783" w:rsidRPr="00230CBF">
        <w:rPr>
          <w:rFonts w:ascii="Book Antiqua" w:hAnsi="Book Antiqua"/>
          <w:lang w:val="en-US"/>
        </w:rPr>
        <w:t>Immuno</w:t>
      </w:r>
      <w:proofErr w:type="spellEnd"/>
      <w:r w:rsidR="004C7783" w:rsidRPr="00230CBF">
        <w:rPr>
          <w:rFonts w:ascii="Book Antiqua" w:hAnsi="Book Antiqua"/>
          <w:lang w:val="en-US"/>
        </w:rPr>
        <w:t>-PET”.</w:t>
      </w:r>
      <w:r w:rsidR="00230CBF" w:rsidRPr="00230CBF">
        <w:rPr>
          <w:rFonts w:ascii="Book Antiqua" w:hAnsi="Book Antiqua"/>
          <w:lang w:val="en-US"/>
        </w:rPr>
        <w:t xml:space="preserve"> </w:t>
      </w:r>
      <w:r w:rsidR="004C7783" w:rsidRPr="00230CBF">
        <w:rPr>
          <w:rFonts w:ascii="Book Antiqua" w:hAnsi="Book Antiqua"/>
          <w:lang w:val="en-US"/>
        </w:rPr>
        <w:t>Accordingly, in 2014</w:t>
      </w:r>
      <w:r w:rsidR="00230CBF">
        <w:rPr>
          <w:rFonts w:ascii="Book Antiqua" w:eastAsiaTheme="minorEastAsia" w:hAnsi="Book Antiqua" w:hint="eastAsia"/>
          <w:lang w:val="en-US" w:eastAsia="zh-CN"/>
        </w:rPr>
        <w:t>,</w:t>
      </w:r>
      <w:r w:rsidR="004C7783" w:rsidRPr="00230CBF">
        <w:rPr>
          <w:rFonts w:ascii="Book Antiqua" w:hAnsi="Book Antiqua"/>
          <w:lang w:val="en-US"/>
        </w:rPr>
        <w:t xml:space="preserve"> </w:t>
      </w:r>
      <w:proofErr w:type="spellStart"/>
      <w:r w:rsidR="004C7783" w:rsidRPr="00230CBF">
        <w:rPr>
          <w:rFonts w:ascii="Book Antiqua" w:hAnsi="Book Antiqua"/>
          <w:lang w:val="en-US"/>
        </w:rPr>
        <w:t>Higashikawa</w:t>
      </w:r>
      <w:proofErr w:type="spellEnd"/>
      <w:r w:rsidR="004C7783" w:rsidRPr="00230CBF">
        <w:rPr>
          <w:rFonts w:ascii="Book Antiqua" w:hAnsi="Book Antiqua"/>
          <w:lang w:val="en-US"/>
        </w:rPr>
        <w:t xml:space="preserve"> </w:t>
      </w:r>
      <w:r w:rsidR="00230CBF">
        <w:rPr>
          <w:rFonts w:ascii="Book Antiqua" w:eastAsiaTheme="minorEastAsia" w:hAnsi="Book Antiqua" w:hint="eastAsia"/>
          <w:i/>
          <w:lang w:val="en-US" w:eastAsia="zh-CN"/>
        </w:rPr>
        <w:t xml:space="preserve">et </w:t>
      </w:r>
      <w:proofErr w:type="gramStart"/>
      <w:r w:rsidR="00230CBF">
        <w:rPr>
          <w:rFonts w:ascii="Book Antiqua" w:eastAsiaTheme="minorEastAsia" w:hAnsi="Book Antiqua" w:hint="eastAsia"/>
          <w:i/>
          <w:lang w:val="en-US" w:eastAsia="zh-CN"/>
        </w:rPr>
        <w:t>al</w:t>
      </w:r>
      <w:r w:rsidR="00230CBF" w:rsidRPr="00230CBF">
        <w:rPr>
          <w:rFonts w:ascii="Book Antiqua" w:hAnsi="Book Antiqua"/>
          <w:vertAlign w:val="superscript"/>
          <w:lang w:val="en-US"/>
        </w:rPr>
        <w:t>[</w:t>
      </w:r>
      <w:proofErr w:type="gramEnd"/>
      <w:r w:rsidR="00230CBF" w:rsidRPr="00230CBF">
        <w:rPr>
          <w:rFonts w:ascii="Book Antiqua" w:hAnsi="Book Antiqua"/>
          <w:vertAlign w:val="superscript"/>
          <w:lang w:val="en-US"/>
        </w:rPr>
        <w:t>28]</w:t>
      </w:r>
      <w:r w:rsidR="004C7783" w:rsidRPr="00230CBF">
        <w:rPr>
          <w:rFonts w:ascii="Book Antiqua" w:hAnsi="Book Antiqua"/>
          <w:lang w:val="en-US"/>
        </w:rPr>
        <w:t xml:space="preserve"> developed a molecular imaging probe able to evaluate CTLA-4 expression prior to CTLA-4-targeted in cancer. This </w:t>
      </w:r>
      <w:r w:rsidR="004C7783" w:rsidRPr="00230CBF">
        <w:rPr>
          <w:rFonts w:ascii="Book Antiqua" w:hAnsi="Book Antiqua"/>
          <w:vertAlign w:val="superscript"/>
          <w:lang w:val="en-US"/>
        </w:rPr>
        <w:t>64</w:t>
      </w:r>
      <w:r w:rsidR="004C7783" w:rsidRPr="00230CBF">
        <w:rPr>
          <w:rFonts w:ascii="Book Antiqua" w:hAnsi="Book Antiqua"/>
          <w:lang w:val="en-US"/>
        </w:rPr>
        <w:t>Cu labeled radiotracer is basically composed by DOTA protein together with a CTLA-4 specific antibody and is able to display CTLA-4 expression in vivo. Similarly, specific experimental radiotracers were proposed for the visualization of PD-</w:t>
      </w:r>
      <w:r w:rsidR="00230CBF">
        <w:rPr>
          <w:rFonts w:ascii="Book Antiqua" w:hAnsi="Book Antiqua"/>
          <w:lang w:val="en-US"/>
        </w:rPr>
        <w:t xml:space="preserve">1 and PD-L1 cellular </w:t>
      </w:r>
      <w:proofErr w:type="gramStart"/>
      <w:r w:rsidR="00230CBF">
        <w:rPr>
          <w:rFonts w:ascii="Book Antiqua" w:hAnsi="Book Antiqua"/>
          <w:lang w:val="en-US"/>
        </w:rPr>
        <w:t>expression</w:t>
      </w:r>
      <w:r w:rsidR="00DF69F5" w:rsidRPr="00230CBF">
        <w:rPr>
          <w:rFonts w:ascii="Book Antiqua" w:hAnsi="Book Antiqua"/>
          <w:vertAlign w:val="superscript"/>
          <w:lang w:val="en-US"/>
        </w:rPr>
        <w:t>[</w:t>
      </w:r>
      <w:proofErr w:type="gramEnd"/>
      <w:r w:rsidR="00635E33" w:rsidRPr="00230CBF">
        <w:rPr>
          <w:rFonts w:ascii="Book Antiqua" w:hAnsi="Book Antiqua"/>
          <w:vertAlign w:val="superscript"/>
          <w:lang w:val="en-US"/>
        </w:rPr>
        <w:t>29</w:t>
      </w:r>
      <w:r w:rsidR="00D36288" w:rsidRPr="00230CBF">
        <w:rPr>
          <w:rFonts w:ascii="Book Antiqua" w:hAnsi="Book Antiqua"/>
          <w:vertAlign w:val="superscript"/>
          <w:lang w:val="en-US"/>
        </w:rPr>
        <w:t>-32</w:t>
      </w:r>
      <w:r w:rsidR="00DF69F5" w:rsidRPr="00230CBF">
        <w:rPr>
          <w:rFonts w:ascii="Book Antiqua" w:hAnsi="Book Antiqua"/>
          <w:vertAlign w:val="superscript"/>
          <w:lang w:val="en-US"/>
        </w:rPr>
        <w:t>]</w:t>
      </w:r>
      <w:r w:rsidR="004C7783" w:rsidRPr="00230CBF">
        <w:rPr>
          <w:rFonts w:ascii="Book Antiqua" w:hAnsi="Book Antiqua"/>
          <w:lang w:val="en-US"/>
        </w:rPr>
        <w:t xml:space="preserve">. </w:t>
      </w:r>
      <w:proofErr w:type="spellStart"/>
      <w:r w:rsidR="004C7783" w:rsidRPr="00230CBF">
        <w:rPr>
          <w:rFonts w:ascii="Book Antiqua" w:hAnsi="Book Antiqua"/>
          <w:lang w:val="en-US"/>
        </w:rPr>
        <w:t>Maute</w:t>
      </w:r>
      <w:proofErr w:type="spellEnd"/>
      <w:r w:rsidR="004C7783" w:rsidRPr="00230CBF">
        <w:rPr>
          <w:rFonts w:ascii="Book Antiqua" w:hAnsi="Book Antiqua"/>
          <w:lang w:val="en-US"/>
        </w:rPr>
        <w:t xml:space="preserve"> </w:t>
      </w:r>
      <w:r w:rsidR="00230CBF">
        <w:rPr>
          <w:rFonts w:ascii="Book Antiqua" w:eastAsiaTheme="minorEastAsia" w:hAnsi="Book Antiqua" w:hint="eastAsia"/>
          <w:i/>
          <w:lang w:val="en-US" w:eastAsia="zh-CN"/>
        </w:rPr>
        <w:t xml:space="preserve">et </w:t>
      </w:r>
      <w:proofErr w:type="gramStart"/>
      <w:r w:rsidR="00230CBF">
        <w:rPr>
          <w:rFonts w:ascii="Book Antiqua" w:eastAsiaTheme="minorEastAsia" w:hAnsi="Book Antiqua" w:hint="eastAsia"/>
          <w:i/>
          <w:lang w:val="en-US" w:eastAsia="zh-CN"/>
        </w:rPr>
        <w:t>al</w:t>
      </w:r>
      <w:r w:rsidR="00DF69F5" w:rsidRPr="00230CBF">
        <w:rPr>
          <w:rFonts w:ascii="Book Antiqua" w:hAnsi="Book Antiqua"/>
          <w:vertAlign w:val="superscript"/>
          <w:lang w:val="en-US"/>
        </w:rPr>
        <w:t>[</w:t>
      </w:r>
      <w:proofErr w:type="gramEnd"/>
      <w:r w:rsidR="00635E33" w:rsidRPr="00230CBF">
        <w:rPr>
          <w:rFonts w:ascii="Book Antiqua" w:hAnsi="Book Antiqua"/>
          <w:vertAlign w:val="superscript"/>
          <w:lang w:val="en-US"/>
        </w:rPr>
        <w:t>29</w:t>
      </w:r>
      <w:r w:rsidR="00DF69F5" w:rsidRPr="00230CBF">
        <w:rPr>
          <w:rFonts w:ascii="Book Antiqua" w:hAnsi="Book Antiqua"/>
          <w:vertAlign w:val="superscript"/>
          <w:lang w:val="en-US"/>
        </w:rPr>
        <w:t>]</w:t>
      </w:r>
      <w:r w:rsidR="004C7783" w:rsidRPr="00230CBF">
        <w:rPr>
          <w:rFonts w:ascii="Book Antiqua" w:hAnsi="Book Antiqua"/>
          <w:lang w:val="en-US"/>
        </w:rPr>
        <w:t xml:space="preserve"> measured PD-L1 expression radiolabeling with </w:t>
      </w:r>
      <w:r w:rsidR="004C7783" w:rsidRPr="00230CBF">
        <w:rPr>
          <w:rFonts w:ascii="Book Antiqua" w:hAnsi="Book Antiqua"/>
          <w:vertAlign w:val="superscript"/>
          <w:lang w:val="en-US"/>
        </w:rPr>
        <w:t>64</w:t>
      </w:r>
      <w:r w:rsidR="004C7783" w:rsidRPr="00230CBF">
        <w:rPr>
          <w:rFonts w:ascii="Book Antiqua" w:hAnsi="Book Antiqua"/>
          <w:lang w:val="en-US"/>
        </w:rPr>
        <w:t xml:space="preserve">Cu a PD-L1 high affinity protein (HAC) and tested its feasibility in </w:t>
      </w:r>
      <w:r w:rsidR="004C7783" w:rsidRPr="00230CBF">
        <w:rPr>
          <w:rFonts w:ascii="Book Antiqua" w:hAnsi="Book Antiqua"/>
          <w:lang w:val="en-US"/>
        </w:rPr>
        <w:lastRenderedPageBreak/>
        <w:t>a liv</w:t>
      </w:r>
      <w:r w:rsidR="00230CBF">
        <w:rPr>
          <w:rFonts w:ascii="Book Antiqua" w:hAnsi="Book Antiqua"/>
          <w:lang w:val="en-US"/>
        </w:rPr>
        <w:t xml:space="preserve">ing mouse, while </w:t>
      </w:r>
      <w:proofErr w:type="spellStart"/>
      <w:r w:rsidR="00230CBF">
        <w:rPr>
          <w:rFonts w:ascii="Book Antiqua" w:hAnsi="Book Antiqua"/>
          <w:lang w:val="en-US"/>
        </w:rPr>
        <w:t>Hettich</w:t>
      </w:r>
      <w:proofErr w:type="spellEnd"/>
      <w:r w:rsidR="00230CBF" w:rsidRPr="00230CBF">
        <w:rPr>
          <w:rFonts w:ascii="Book Antiqua" w:hAnsi="Book Antiqua"/>
          <w:i/>
          <w:lang w:val="en-US"/>
        </w:rPr>
        <w:t xml:space="preserve"> et al</w:t>
      </w:r>
      <w:r w:rsidR="00DF69F5" w:rsidRPr="00230CBF">
        <w:rPr>
          <w:rFonts w:ascii="Book Antiqua" w:hAnsi="Book Antiqua"/>
          <w:vertAlign w:val="superscript"/>
          <w:lang w:val="en-US"/>
        </w:rPr>
        <w:t>[</w:t>
      </w:r>
      <w:r w:rsidR="00D36288" w:rsidRPr="00230CBF">
        <w:rPr>
          <w:rFonts w:ascii="Book Antiqua" w:hAnsi="Book Antiqua"/>
          <w:vertAlign w:val="superscript"/>
          <w:lang w:val="en-US"/>
        </w:rPr>
        <w:t>30</w:t>
      </w:r>
      <w:r w:rsidR="00DF69F5" w:rsidRPr="00230CBF">
        <w:rPr>
          <w:rFonts w:ascii="Book Antiqua" w:hAnsi="Book Antiqua"/>
          <w:vertAlign w:val="superscript"/>
          <w:lang w:val="en-US"/>
        </w:rPr>
        <w:t>]</w:t>
      </w:r>
      <w:r w:rsidR="004C7783" w:rsidRPr="00230CBF">
        <w:rPr>
          <w:rFonts w:ascii="Book Antiqua" w:hAnsi="Book Antiqua"/>
          <w:lang w:val="en-US"/>
        </w:rPr>
        <w:t xml:space="preserve"> developed two </w:t>
      </w:r>
      <w:r w:rsidR="004C7783" w:rsidRPr="00230CBF">
        <w:rPr>
          <w:rFonts w:ascii="Book Antiqua" w:hAnsi="Book Antiqua"/>
          <w:vertAlign w:val="superscript"/>
          <w:lang w:val="en-US"/>
        </w:rPr>
        <w:t>64</w:t>
      </w:r>
      <w:r w:rsidR="004C7783" w:rsidRPr="00230CBF">
        <w:rPr>
          <w:rFonts w:ascii="Book Antiqua" w:hAnsi="Book Antiqua"/>
          <w:lang w:val="en-US"/>
        </w:rPr>
        <w:t xml:space="preserve">Cu labeled </w:t>
      </w:r>
      <w:proofErr w:type="spellStart"/>
      <w:r w:rsidR="004C7783" w:rsidRPr="00230CBF">
        <w:rPr>
          <w:rFonts w:ascii="Book Antiqua" w:hAnsi="Book Antiqua"/>
          <w:lang w:val="en-US"/>
        </w:rPr>
        <w:t>immunoPET</w:t>
      </w:r>
      <w:proofErr w:type="spellEnd"/>
      <w:r w:rsidR="004C7783" w:rsidRPr="00230CBF">
        <w:rPr>
          <w:rFonts w:ascii="Book Antiqua" w:hAnsi="Book Antiqua"/>
          <w:lang w:val="en-US"/>
        </w:rPr>
        <w:t xml:space="preserve"> tracers for imaging of both PD-1 and PD-L1. Also one SPECT study with radiolabeled anti-murine P</w:t>
      </w:r>
      <w:r w:rsidR="00230CBF">
        <w:rPr>
          <w:rFonts w:ascii="Book Antiqua" w:hAnsi="Book Antiqua"/>
          <w:lang w:val="en-US"/>
        </w:rPr>
        <w:t xml:space="preserve">D-L1 in mice has been </w:t>
      </w:r>
      <w:proofErr w:type="gramStart"/>
      <w:r w:rsidR="00230CBF">
        <w:rPr>
          <w:rFonts w:ascii="Book Antiqua" w:hAnsi="Book Antiqua"/>
          <w:lang w:val="en-US"/>
        </w:rPr>
        <w:t>conducted</w:t>
      </w:r>
      <w:r w:rsidR="00DF69F5" w:rsidRPr="00230CBF">
        <w:rPr>
          <w:rFonts w:ascii="Book Antiqua" w:hAnsi="Book Antiqua"/>
          <w:vertAlign w:val="superscript"/>
          <w:lang w:val="en-US"/>
        </w:rPr>
        <w:t>[</w:t>
      </w:r>
      <w:proofErr w:type="gramEnd"/>
      <w:r w:rsidR="00D36288" w:rsidRPr="00230CBF">
        <w:rPr>
          <w:rFonts w:ascii="Book Antiqua" w:hAnsi="Book Antiqua"/>
          <w:vertAlign w:val="superscript"/>
          <w:lang w:val="en-US"/>
        </w:rPr>
        <w:t>32</w:t>
      </w:r>
      <w:r w:rsidR="00DF69F5" w:rsidRPr="00230CBF">
        <w:rPr>
          <w:rFonts w:ascii="Book Antiqua" w:hAnsi="Book Antiqua"/>
          <w:vertAlign w:val="superscript"/>
          <w:lang w:val="en-US"/>
        </w:rPr>
        <w:t>]</w:t>
      </w:r>
      <w:r w:rsidR="004C7783" w:rsidRPr="00230CBF">
        <w:rPr>
          <w:rFonts w:ascii="Book Antiqua" w:hAnsi="Book Antiqua"/>
          <w:lang w:val="en-US"/>
        </w:rPr>
        <w:t xml:space="preserve">. More recently, a </w:t>
      </w:r>
      <w:r w:rsidR="004C7783" w:rsidRPr="00230CBF">
        <w:rPr>
          <w:rFonts w:ascii="Book Antiqua" w:hAnsi="Book Antiqua"/>
          <w:vertAlign w:val="superscript"/>
          <w:lang w:val="en-US"/>
        </w:rPr>
        <w:t>89</w:t>
      </w:r>
      <w:r w:rsidR="004C7783" w:rsidRPr="00230CBF">
        <w:rPr>
          <w:rFonts w:ascii="Book Antiqua" w:hAnsi="Book Antiqua"/>
          <w:lang w:val="en-US"/>
        </w:rPr>
        <w:t>Zr labeled CD3 PET imaging agent</w:t>
      </w:r>
      <w:r w:rsidR="00230CBF">
        <w:rPr>
          <w:rFonts w:ascii="Book Antiqua" w:hAnsi="Book Antiqua"/>
          <w:lang w:val="en-US"/>
        </w:rPr>
        <w:t xml:space="preserve"> was proposed by Larimer </w:t>
      </w:r>
      <w:r w:rsidR="00230CBF" w:rsidRPr="00230CBF">
        <w:rPr>
          <w:rFonts w:ascii="Book Antiqua" w:hAnsi="Book Antiqua"/>
          <w:i/>
          <w:lang w:val="en-US"/>
        </w:rPr>
        <w:t xml:space="preserve">et </w:t>
      </w:r>
      <w:proofErr w:type="gramStart"/>
      <w:r w:rsidR="00230CBF" w:rsidRPr="00230CBF">
        <w:rPr>
          <w:rFonts w:ascii="Book Antiqua" w:hAnsi="Book Antiqua"/>
          <w:i/>
          <w:lang w:val="en-US"/>
        </w:rPr>
        <w:t>al</w:t>
      </w:r>
      <w:r w:rsidR="00DF69F5" w:rsidRPr="00230CBF">
        <w:rPr>
          <w:rFonts w:ascii="Book Antiqua" w:hAnsi="Book Antiqua"/>
          <w:vertAlign w:val="superscript"/>
          <w:lang w:val="en-US"/>
        </w:rPr>
        <w:t>[</w:t>
      </w:r>
      <w:proofErr w:type="gramEnd"/>
      <w:r w:rsidR="00D36288" w:rsidRPr="00230CBF">
        <w:rPr>
          <w:rFonts w:ascii="Book Antiqua" w:hAnsi="Book Antiqua"/>
          <w:vertAlign w:val="superscript"/>
          <w:lang w:val="en-US"/>
        </w:rPr>
        <w:t>33</w:t>
      </w:r>
      <w:r w:rsidR="00DF69F5" w:rsidRPr="00230CBF">
        <w:rPr>
          <w:rFonts w:ascii="Book Antiqua" w:hAnsi="Book Antiqua"/>
          <w:vertAlign w:val="superscript"/>
          <w:lang w:val="en-US"/>
        </w:rPr>
        <w:t>]</w:t>
      </w:r>
      <w:r w:rsidR="004C7783" w:rsidRPr="00230CBF">
        <w:rPr>
          <w:rFonts w:ascii="Book Antiqua" w:hAnsi="Book Antiqua"/>
          <w:lang w:val="en-US"/>
        </w:rPr>
        <w:t>. CD3 is a part of the TCR complex that serves as a global T lymphocyte marker. By serving as a marker of total T-Cell infiltration, CD3 may represent a more direct approach than pre-treatment biopsy or genetic screening to monitoring tumor immune response, by directly examining active recruitment of T cells responsible for cancer cell-death. In this study the authors showed that CD3 PET imaging revealed two distinct groups of mice, stratified by PET signal intensity. While high-CD3 PET uptake was correlated with subsequent reduced tumor volume, low uptake was predictive of suboptimal response.</w:t>
      </w:r>
      <w:r w:rsidRPr="00230CBF">
        <w:rPr>
          <w:rFonts w:ascii="Book Antiqua" w:hAnsi="Book Antiqua"/>
          <w:lang w:val="en-US"/>
        </w:rPr>
        <w:t xml:space="preserve"> </w:t>
      </w:r>
      <w:r w:rsidR="004C7783" w:rsidRPr="00230CBF">
        <w:rPr>
          <w:rFonts w:ascii="Book Antiqua" w:hAnsi="Book Antiqua"/>
          <w:lang w:val="en-US"/>
        </w:rPr>
        <w:t>Altogether these non-invasive approaches allow simultaneous imaging of the entire cancer mass and associated metastases, which may differ from the primary tumor in CTLA-4, PD-1 or PD-L1 expression status</w:t>
      </w:r>
      <w:r w:rsidR="000F5164" w:rsidRPr="00230CBF">
        <w:rPr>
          <w:rFonts w:ascii="Book Antiqua" w:hAnsi="Book Antiqua"/>
          <w:lang w:val="en-US"/>
        </w:rPr>
        <w:t xml:space="preserve">. </w:t>
      </w:r>
      <w:r w:rsidR="004C7783" w:rsidRPr="00230CBF">
        <w:rPr>
          <w:rFonts w:ascii="Book Antiqua" w:hAnsi="Book Antiqua"/>
          <w:lang w:val="en-US"/>
        </w:rPr>
        <w:t>Immune-imaging can be used for repeated assessment of the same tumor at different time points (</w:t>
      </w:r>
      <w:r w:rsidR="004C7783" w:rsidRPr="00230CBF">
        <w:rPr>
          <w:rFonts w:ascii="Book Antiqua" w:hAnsi="Book Antiqua"/>
          <w:i/>
          <w:lang w:val="en-US"/>
        </w:rPr>
        <w:t>e.g.</w:t>
      </w:r>
      <w:r w:rsidR="004C7783" w:rsidRPr="00230CBF">
        <w:rPr>
          <w:rFonts w:ascii="Book Antiqua" w:hAnsi="Book Antiqua"/>
          <w:lang w:val="en-US"/>
        </w:rPr>
        <w:t xml:space="preserve">, before and after treatment), thereby yielding a richer set of diagnostic information that would be difficult or impossible to achieve with traditional approaches. Furthermore, although further investigations are needed before their potential introduction in the clinical setting, these non-invasive immune-diagnostic approaches might yield novel insights into the biology and pathophysiological importance of </w:t>
      </w:r>
      <w:r w:rsidRPr="00230CBF">
        <w:rPr>
          <w:rFonts w:ascii="Book Antiqua" w:hAnsi="Book Antiqua"/>
          <w:lang w:val="en-US"/>
        </w:rPr>
        <w:t xml:space="preserve">ICPIs </w:t>
      </w:r>
      <w:r w:rsidR="004C7783" w:rsidRPr="00230CBF">
        <w:rPr>
          <w:rFonts w:ascii="Book Antiqua" w:hAnsi="Book Antiqua"/>
          <w:lang w:val="en-US"/>
        </w:rPr>
        <w:t xml:space="preserve">as cancer therapeutic. </w:t>
      </w:r>
    </w:p>
    <w:p w:rsidR="00D97AB2" w:rsidRDefault="00D97AB2">
      <w:pPr>
        <w:spacing w:after="160" w:line="259" w:lineRule="auto"/>
        <w:rPr>
          <w:rFonts w:ascii="Book Antiqua" w:hAnsi="Book Antiqua"/>
          <w:lang w:val="en-US"/>
        </w:rPr>
      </w:pPr>
      <w:r>
        <w:rPr>
          <w:rFonts w:ascii="Book Antiqua" w:hAnsi="Book Antiqua"/>
          <w:lang w:val="en-US"/>
        </w:rPr>
        <w:br w:type="page"/>
      </w:r>
    </w:p>
    <w:p w:rsidR="00D97AB2" w:rsidRPr="00965611" w:rsidRDefault="00D97AB2" w:rsidP="00965611">
      <w:pPr>
        <w:spacing w:line="360" w:lineRule="auto"/>
        <w:jc w:val="both"/>
        <w:rPr>
          <w:rFonts w:ascii="Book Antiqua" w:hAnsi="Book Antiqua"/>
        </w:rPr>
      </w:pPr>
      <w:r w:rsidRPr="00965611">
        <w:rPr>
          <w:rFonts w:ascii="Book Antiqua" w:hAnsi="Book Antiqua"/>
          <w:b/>
        </w:rPr>
        <w:lastRenderedPageBreak/>
        <w:t>REFERENCES</w:t>
      </w:r>
    </w:p>
    <w:p w:rsidR="00965611" w:rsidRPr="00965611" w:rsidRDefault="00965611" w:rsidP="00965611">
      <w:pPr>
        <w:spacing w:line="360" w:lineRule="auto"/>
        <w:jc w:val="both"/>
        <w:rPr>
          <w:rFonts w:ascii="Book Antiqua" w:eastAsia="宋体" w:hAnsi="Book Antiqua" w:cs="宋体"/>
          <w:lang w:val="en-US" w:eastAsia="zh-CN"/>
        </w:rPr>
      </w:pPr>
      <w:proofErr w:type="gramStart"/>
      <w:r w:rsidRPr="00965611">
        <w:rPr>
          <w:rFonts w:ascii="Book Antiqua" w:eastAsia="宋体" w:hAnsi="Book Antiqua" w:cs="宋体"/>
          <w:lang w:val="en-US" w:eastAsia="zh-CN"/>
        </w:rPr>
        <w:t xml:space="preserve">1 </w:t>
      </w:r>
      <w:proofErr w:type="spellStart"/>
      <w:r w:rsidRPr="00965611">
        <w:rPr>
          <w:rFonts w:ascii="Book Antiqua" w:eastAsia="宋体" w:hAnsi="Book Antiqua" w:cs="宋体"/>
          <w:b/>
          <w:bCs/>
          <w:lang w:val="en-US" w:eastAsia="zh-CN"/>
        </w:rPr>
        <w:t>Pardoll</w:t>
      </w:r>
      <w:proofErr w:type="spellEnd"/>
      <w:r w:rsidRPr="00965611">
        <w:rPr>
          <w:rFonts w:ascii="Book Antiqua" w:eastAsia="宋体" w:hAnsi="Book Antiqua" w:cs="宋体"/>
          <w:b/>
          <w:bCs/>
          <w:lang w:val="en-US" w:eastAsia="zh-CN"/>
        </w:rPr>
        <w:t xml:space="preserve"> DM</w:t>
      </w:r>
      <w:r w:rsidRPr="00965611">
        <w:rPr>
          <w:rFonts w:ascii="Book Antiqua" w:eastAsia="宋体" w:hAnsi="Book Antiqua" w:cs="宋体"/>
          <w:lang w:val="en-US" w:eastAsia="zh-CN"/>
        </w:rPr>
        <w:t>.</w:t>
      </w:r>
      <w:proofErr w:type="gramEnd"/>
      <w:r w:rsidRPr="00965611">
        <w:rPr>
          <w:rFonts w:ascii="Book Antiqua" w:eastAsia="宋体" w:hAnsi="Book Antiqua" w:cs="宋体"/>
          <w:lang w:val="en-US" w:eastAsia="zh-CN"/>
        </w:rPr>
        <w:t xml:space="preserve"> </w:t>
      </w:r>
      <w:proofErr w:type="gramStart"/>
      <w:r w:rsidRPr="00965611">
        <w:rPr>
          <w:rFonts w:ascii="Book Antiqua" w:eastAsia="宋体" w:hAnsi="Book Antiqua" w:cs="宋体"/>
          <w:lang w:val="en-US" w:eastAsia="zh-CN"/>
        </w:rPr>
        <w:t>The blockade of immune checkpoints in cancer immunotherapy.</w:t>
      </w:r>
      <w:proofErr w:type="gramEnd"/>
      <w:r w:rsidRPr="00965611">
        <w:rPr>
          <w:rFonts w:ascii="Book Antiqua" w:eastAsia="宋体" w:hAnsi="Book Antiqua" w:cs="宋体"/>
          <w:lang w:val="en-US" w:eastAsia="zh-CN"/>
        </w:rPr>
        <w:t xml:space="preserve"> </w:t>
      </w:r>
      <w:r w:rsidRPr="00965611">
        <w:rPr>
          <w:rFonts w:ascii="Book Antiqua" w:eastAsia="宋体" w:hAnsi="Book Antiqua" w:cs="宋体"/>
          <w:i/>
          <w:iCs/>
          <w:lang w:val="en-US" w:eastAsia="zh-CN"/>
        </w:rPr>
        <w:t>Nat Rev Cancer</w:t>
      </w:r>
      <w:r w:rsidRPr="00965611">
        <w:rPr>
          <w:rFonts w:ascii="Book Antiqua" w:eastAsia="宋体" w:hAnsi="Book Antiqua" w:cs="宋体"/>
          <w:lang w:val="en-US" w:eastAsia="zh-CN"/>
        </w:rPr>
        <w:t xml:space="preserve"> 2012; </w:t>
      </w:r>
      <w:r w:rsidRPr="00965611">
        <w:rPr>
          <w:rFonts w:ascii="Book Antiqua" w:eastAsia="宋体" w:hAnsi="Book Antiqua" w:cs="宋体"/>
          <w:b/>
          <w:bCs/>
          <w:lang w:val="en-US" w:eastAsia="zh-CN"/>
        </w:rPr>
        <w:t>12</w:t>
      </w:r>
      <w:r w:rsidRPr="00965611">
        <w:rPr>
          <w:rFonts w:ascii="Book Antiqua" w:eastAsia="宋体" w:hAnsi="Book Antiqua" w:cs="宋体"/>
          <w:lang w:val="en-US" w:eastAsia="zh-CN"/>
        </w:rPr>
        <w:t>: 252-264 [PMID: 22437870 DOI: 10.1038/nrc3239]</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2 </w:t>
      </w:r>
      <w:proofErr w:type="spellStart"/>
      <w:r w:rsidRPr="00965611">
        <w:rPr>
          <w:rFonts w:ascii="Book Antiqua" w:eastAsia="宋体" w:hAnsi="Book Antiqua" w:cs="宋体"/>
          <w:b/>
          <w:bCs/>
          <w:lang w:val="en-US" w:eastAsia="zh-CN"/>
        </w:rPr>
        <w:t>Walunas</w:t>
      </w:r>
      <w:proofErr w:type="spellEnd"/>
      <w:r w:rsidRPr="00965611">
        <w:rPr>
          <w:rFonts w:ascii="Book Antiqua" w:eastAsia="宋体" w:hAnsi="Book Antiqua" w:cs="宋体"/>
          <w:b/>
          <w:bCs/>
          <w:lang w:val="en-US" w:eastAsia="zh-CN"/>
        </w:rPr>
        <w:t xml:space="preserve"> TL</w:t>
      </w:r>
      <w:r w:rsidRPr="00965611">
        <w:rPr>
          <w:rFonts w:ascii="Book Antiqua" w:eastAsia="宋体" w:hAnsi="Book Antiqua" w:cs="宋体"/>
          <w:lang w:val="en-US" w:eastAsia="zh-CN"/>
        </w:rPr>
        <w:t xml:space="preserve">, </w:t>
      </w:r>
      <w:proofErr w:type="spellStart"/>
      <w:r w:rsidRPr="00965611">
        <w:rPr>
          <w:rFonts w:ascii="Book Antiqua" w:eastAsia="宋体" w:hAnsi="Book Antiqua" w:cs="宋体"/>
          <w:lang w:val="en-US" w:eastAsia="zh-CN"/>
        </w:rPr>
        <w:t>Lenschow</w:t>
      </w:r>
      <w:proofErr w:type="spellEnd"/>
      <w:r w:rsidRPr="00965611">
        <w:rPr>
          <w:rFonts w:ascii="Book Antiqua" w:eastAsia="宋体" w:hAnsi="Book Antiqua" w:cs="宋体"/>
          <w:lang w:val="en-US" w:eastAsia="zh-CN"/>
        </w:rPr>
        <w:t xml:space="preserve"> DJ, Bakker CY, </w:t>
      </w:r>
      <w:proofErr w:type="spellStart"/>
      <w:r w:rsidRPr="00965611">
        <w:rPr>
          <w:rFonts w:ascii="Book Antiqua" w:eastAsia="宋体" w:hAnsi="Book Antiqua" w:cs="宋体"/>
          <w:lang w:val="en-US" w:eastAsia="zh-CN"/>
        </w:rPr>
        <w:t>Linsley</w:t>
      </w:r>
      <w:proofErr w:type="spellEnd"/>
      <w:r w:rsidRPr="00965611">
        <w:rPr>
          <w:rFonts w:ascii="Book Antiqua" w:eastAsia="宋体" w:hAnsi="Book Antiqua" w:cs="宋体"/>
          <w:lang w:val="en-US" w:eastAsia="zh-CN"/>
        </w:rPr>
        <w:t xml:space="preserve"> PS, Freeman GJ, Green JM, Thompson CB, Bluestone JA. CTLA-4 can function as a negative regulator of T cell activation. </w:t>
      </w:r>
      <w:r w:rsidRPr="00965611">
        <w:rPr>
          <w:rFonts w:ascii="Book Antiqua" w:eastAsia="宋体" w:hAnsi="Book Antiqua" w:cs="宋体"/>
          <w:i/>
          <w:iCs/>
          <w:lang w:val="en-US" w:eastAsia="zh-CN"/>
        </w:rPr>
        <w:t>Immunity</w:t>
      </w:r>
      <w:r w:rsidRPr="00965611">
        <w:rPr>
          <w:rFonts w:ascii="Book Antiqua" w:eastAsia="宋体" w:hAnsi="Book Antiqua" w:cs="宋体"/>
          <w:lang w:val="en-US" w:eastAsia="zh-CN"/>
        </w:rPr>
        <w:t xml:space="preserve"> 1994; </w:t>
      </w:r>
      <w:r w:rsidRPr="00965611">
        <w:rPr>
          <w:rFonts w:ascii="Book Antiqua" w:eastAsia="宋体" w:hAnsi="Book Antiqua" w:cs="宋体"/>
          <w:b/>
          <w:bCs/>
          <w:lang w:val="en-US" w:eastAsia="zh-CN"/>
        </w:rPr>
        <w:t>1</w:t>
      </w:r>
      <w:r w:rsidRPr="00965611">
        <w:rPr>
          <w:rFonts w:ascii="Book Antiqua" w:eastAsia="宋体" w:hAnsi="Book Antiqua" w:cs="宋体"/>
          <w:lang w:val="en-US" w:eastAsia="zh-CN"/>
        </w:rPr>
        <w:t>: 405-413 [PMID: 7882171]</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3 </w:t>
      </w:r>
      <w:r w:rsidRPr="00965611">
        <w:rPr>
          <w:rFonts w:ascii="Book Antiqua" w:eastAsia="宋体" w:hAnsi="Book Antiqua" w:cs="宋体"/>
          <w:b/>
          <w:bCs/>
          <w:lang w:val="en-US" w:eastAsia="zh-CN"/>
        </w:rPr>
        <w:t>Francisco LM</w:t>
      </w:r>
      <w:r w:rsidRPr="00965611">
        <w:rPr>
          <w:rFonts w:ascii="Book Antiqua" w:eastAsia="宋体" w:hAnsi="Book Antiqua" w:cs="宋体"/>
          <w:lang w:val="en-US" w:eastAsia="zh-CN"/>
        </w:rPr>
        <w:t xml:space="preserve">, Sage PT, Sharpe AH. </w:t>
      </w:r>
      <w:proofErr w:type="gramStart"/>
      <w:r w:rsidRPr="00965611">
        <w:rPr>
          <w:rFonts w:ascii="Book Antiqua" w:eastAsia="宋体" w:hAnsi="Book Antiqua" w:cs="宋体"/>
          <w:lang w:val="en-US" w:eastAsia="zh-CN"/>
        </w:rPr>
        <w:t>The PD-1 pathway in tolerance and autoimmunity.</w:t>
      </w:r>
      <w:proofErr w:type="gramEnd"/>
      <w:r w:rsidRPr="00965611">
        <w:rPr>
          <w:rFonts w:ascii="Book Antiqua" w:eastAsia="宋体" w:hAnsi="Book Antiqua" w:cs="宋体"/>
          <w:lang w:val="en-US" w:eastAsia="zh-CN"/>
        </w:rPr>
        <w:t xml:space="preserve"> </w:t>
      </w:r>
      <w:proofErr w:type="spellStart"/>
      <w:r w:rsidRPr="00965611">
        <w:rPr>
          <w:rFonts w:ascii="Book Antiqua" w:eastAsia="宋体" w:hAnsi="Book Antiqua" w:cs="宋体"/>
          <w:i/>
          <w:iCs/>
          <w:lang w:val="en-US" w:eastAsia="zh-CN"/>
        </w:rPr>
        <w:t>Immunol</w:t>
      </w:r>
      <w:proofErr w:type="spellEnd"/>
      <w:r w:rsidRPr="00965611">
        <w:rPr>
          <w:rFonts w:ascii="Book Antiqua" w:eastAsia="宋体" w:hAnsi="Book Antiqua" w:cs="宋体"/>
          <w:i/>
          <w:iCs/>
          <w:lang w:val="en-US" w:eastAsia="zh-CN"/>
        </w:rPr>
        <w:t xml:space="preserve"> Rev</w:t>
      </w:r>
      <w:r w:rsidRPr="00965611">
        <w:rPr>
          <w:rFonts w:ascii="Book Antiqua" w:eastAsia="宋体" w:hAnsi="Book Antiqua" w:cs="宋体"/>
          <w:lang w:val="en-US" w:eastAsia="zh-CN"/>
        </w:rPr>
        <w:t xml:space="preserve"> 2010; </w:t>
      </w:r>
      <w:r w:rsidRPr="00965611">
        <w:rPr>
          <w:rFonts w:ascii="Book Antiqua" w:eastAsia="宋体" w:hAnsi="Book Antiqua" w:cs="宋体"/>
          <w:b/>
          <w:bCs/>
          <w:lang w:val="en-US" w:eastAsia="zh-CN"/>
        </w:rPr>
        <w:t>236</w:t>
      </w:r>
      <w:r w:rsidRPr="00965611">
        <w:rPr>
          <w:rFonts w:ascii="Book Antiqua" w:eastAsia="宋体" w:hAnsi="Book Antiqua" w:cs="宋体"/>
          <w:lang w:val="en-US" w:eastAsia="zh-CN"/>
        </w:rPr>
        <w:t>: 219-242 [PMID: 20636820 DOI: 10.1111/j.1600]</w:t>
      </w:r>
    </w:p>
    <w:p w:rsidR="00965611" w:rsidRPr="00965611" w:rsidRDefault="00965611" w:rsidP="00965611">
      <w:pPr>
        <w:spacing w:line="360" w:lineRule="auto"/>
        <w:jc w:val="both"/>
        <w:rPr>
          <w:rFonts w:ascii="Book Antiqua" w:eastAsia="宋体" w:hAnsi="Book Antiqua" w:cs="宋体"/>
          <w:lang w:val="en-US" w:eastAsia="zh-CN"/>
        </w:rPr>
      </w:pPr>
      <w:proofErr w:type="gramStart"/>
      <w:r w:rsidRPr="00965611">
        <w:rPr>
          <w:rFonts w:ascii="Book Antiqua" w:eastAsia="宋体" w:hAnsi="Book Antiqua" w:cs="宋体"/>
          <w:lang w:val="en-US" w:eastAsia="zh-CN"/>
        </w:rPr>
        <w:t xml:space="preserve">4 </w:t>
      </w:r>
      <w:proofErr w:type="spellStart"/>
      <w:r w:rsidRPr="00965611">
        <w:rPr>
          <w:rFonts w:ascii="Book Antiqua" w:eastAsia="宋体" w:hAnsi="Book Antiqua" w:cs="宋体"/>
          <w:b/>
          <w:bCs/>
          <w:lang w:val="en-US" w:eastAsia="zh-CN"/>
        </w:rPr>
        <w:t>O'Day</w:t>
      </w:r>
      <w:proofErr w:type="spellEnd"/>
      <w:r w:rsidRPr="00965611">
        <w:rPr>
          <w:rFonts w:ascii="Book Antiqua" w:eastAsia="宋体" w:hAnsi="Book Antiqua" w:cs="宋体"/>
          <w:b/>
          <w:bCs/>
          <w:lang w:val="en-US" w:eastAsia="zh-CN"/>
        </w:rPr>
        <w:t xml:space="preserve"> SJ</w:t>
      </w:r>
      <w:r w:rsidRPr="00965611">
        <w:rPr>
          <w:rFonts w:ascii="Book Antiqua" w:eastAsia="宋体" w:hAnsi="Book Antiqua" w:cs="宋体"/>
          <w:lang w:val="en-US" w:eastAsia="zh-CN"/>
        </w:rPr>
        <w:t xml:space="preserve">, Hamid O, </w:t>
      </w:r>
      <w:proofErr w:type="spellStart"/>
      <w:r w:rsidRPr="00965611">
        <w:rPr>
          <w:rFonts w:ascii="Book Antiqua" w:eastAsia="宋体" w:hAnsi="Book Antiqua" w:cs="宋体"/>
          <w:lang w:val="en-US" w:eastAsia="zh-CN"/>
        </w:rPr>
        <w:t>Urba</w:t>
      </w:r>
      <w:proofErr w:type="spellEnd"/>
      <w:r w:rsidRPr="00965611">
        <w:rPr>
          <w:rFonts w:ascii="Book Antiqua" w:eastAsia="宋体" w:hAnsi="Book Antiqua" w:cs="宋体"/>
          <w:lang w:val="en-US" w:eastAsia="zh-CN"/>
        </w:rPr>
        <w:t xml:space="preserve"> WJ.</w:t>
      </w:r>
      <w:proofErr w:type="gramEnd"/>
      <w:r w:rsidRPr="00965611">
        <w:rPr>
          <w:rFonts w:ascii="Book Antiqua" w:eastAsia="宋体" w:hAnsi="Book Antiqua" w:cs="宋体"/>
          <w:lang w:val="en-US" w:eastAsia="zh-CN"/>
        </w:rPr>
        <w:t xml:space="preserve"> Targeting cytotoxic T-lymphocyte antigen-4 (CTLA-4): a novel strategy for the treatment of melanoma and other malignancies. </w:t>
      </w:r>
      <w:r w:rsidRPr="00965611">
        <w:rPr>
          <w:rFonts w:ascii="Book Antiqua" w:eastAsia="宋体" w:hAnsi="Book Antiqua" w:cs="宋体"/>
          <w:i/>
          <w:iCs/>
          <w:lang w:val="en-US" w:eastAsia="zh-CN"/>
        </w:rPr>
        <w:t>Cancer</w:t>
      </w:r>
      <w:r w:rsidRPr="00965611">
        <w:rPr>
          <w:rFonts w:ascii="Book Antiqua" w:eastAsia="宋体" w:hAnsi="Book Antiqua" w:cs="宋体"/>
          <w:lang w:val="en-US" w:eastAsia="zh-CN"/>
        </w:rPr>
        <w:t xml:space="preserve"> 2007; </w:t>
      </w:r>
      <w:r w:rsidRPr="00965611">
        <w:rPr>
          <w:rFonts w:ascii="Book Antiqua" w:eastAsia="宋体" w:hAnsi="Book Antiqua" w:cs="宋体"/>
          <w:b/>
          <w:bCs/>
          <w:lang w:val="en-US" w:eastAsia="zh-CN"/>
        </w:rPr>
        <w:t>110</w:t>
      </w:r>
      <w:r w:rsidRPr="00965611">
        <w:rPr>
          <w:rFonts w:ascii="Book Antiqua" w:eastAsia="宋体" w:hAnsi="Book Antiqua" w:cs="宋体"/>
          <w:lang w:val="en-US" w:eastAsia="zh-CN"/>
        </w:rPr>
        <w:t>: 2614-2627 [PMID: 18000991 DOI: 10.1002/cncr.23086]</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5 </w:t>
      </w:r>
      <w:proofErr w:type="spellStart"/>
      <w:r w:rsidRPr="00965611">
        <w:rPr>
          <w:rFonts w:ascii="Book Antiqua" w:eastAsia="宋体" w:hAnsi="Book Antiqua" w:cs="宋体"/>
          <w:b/>
          <w:bCs/>
          <w:lang w:val="en-US" w:eastAsia="zh-CN"/>
        </w:rPr>
        <w:t>Hodi</w:t>
      </w:r>
      <w:proofErr w:type="spellEnd"/>
      <w:r w:rsidRPr="00965611">
        <w:rPr>
          <w:rFonts w:ascii="Book Antiqua" w:eastAsia="宋体" w:hAnsi="Book Antiqua" w:cs="宋体"/>
          <w:b/>
          <w:bCs/>
          <w:lang w:val="en-US" w:eastAsia="zh-CN"/>
        </w:rPr>
        <w:t xml:space="preserve"> FS</w:t>
      </w:r>
      <w:r w:rsidRPr="00965611">
        <w:rPr>
          <w:rFonts w:ascii="Book Antiqua" w:eastAsia="宋体" w:hAnsi="Book Antiqua" w:cs="宋体"/>
          <w:lang w:val="en-US" w:eastAsia="zh-CN"/>
        </w:rPr>
        <w:t xml:space="preserve">, </w:t>
      </w:r>
      <w:proofErr w:type="spellStart"/>
      <w:r w:rsidRPr="00965611">
        <w:rPr>
          <w:rFonts w:ascii="Book Antiqua" w:eastAsia="宋体" w:hAnsi="Book Antiqua" w:cs="宋体"/>
          <w:lang w:val="en-US" w:eastAsia="zh-CN"/>
        </w:rPr>
        <w:t>O'Day</w:t>
      </w:r>
      <w:proofErr w:type="spellEnd"/>
      <w:r w:rsidRPr="00965611">
        <w:rPr>
          <w:rFonts w:ascii="Book Antiqua" w:eastAsia="宋体" w:hAnsi="Book Antiqua" w:cs="宋体"/>
          <w:lang w:val="en-US" w:eastAsia="zh-CN"/>
        </w:rPr>
        <w:t xml:space="preserve"> SJ, McDermott DF, Weber RW, </w:t>
      </w:r>
      <w:proofErr w:type="spellStart"/>
      <w:r w:rsidRPr="00965611">
        <w:rPr>
          <w:rFonts w:ascii="Book Antiqua" w:eastAsia="宋体" w:hAnsi="Book Antiqua" w:cs="宋体"/>
          <w:lang w:val="en-US" w:eastAsia="zh-CN"/>
        </w:rPr>
        <w:t>Sosman</w:t>
      </w:r>
      <w:proofErr w:type="spellEnd"/>
      <w:r w:rsidRPr="00965611">
        <w:rPr>
          <w:rFonts w:ascii="Book Antiqua" w:eastAsia="宋体" w:hAnsi="Book Antiqua" w:cs="宋体"/>
          <w:lang w:val="en-US" w:eastAsia="zh-CN"/>
        </w:rPr>
        <w:t xml:space="preserve"> JA, </w:t>
      </w:r>
      <w:proofErr w:type="spellStart"/>
      <w:r w:rsidRPr="00965611">
        <w:rPr>
          <w:rFonts w:ascii="Book Antiqua" w:eastAsia="宋体" w:hAnsi="Book Antiqua" w:cs="宋体"/>
          <w:lang w:val="en-US" w:eastAsia="zh-CN"/>
        </w:rPr>
        <w:t>Haanen</w:t>
      </w:r>
      <w:proofErr w:type="spellEnd"/>
      <w:r w:rsidRPr="00965611">
        <w:rPr>
          <w:rFonts w:ascii="Book Antiqua" w:eastAsia="宋体" w:hAnsi="Book Antiqua" w:cs="宋体"/>
          <w:lang w:val="en-US" w:eastAsia="zh-CN"/>
        </w:rPr>
        <w:t xml:space="preserve"> JB, Gonzalez R, Robert C, </w:t>
      </w:r>
      <w:proofErr w:type="spellStart"/>
      <w:r w:rsidRPr="00965611">
        <w:rPr>
          <w:rFonts w:ascii="Book Antiqua" w:eastAsia="宋体" w:hAnsi="Book Antiqua" w:cs="宋体"/>
          <w:lang w:val="en-US" w:eastAsia="zh-CN"/>
        </w:rPr>
        <w:t>Schadendorf</w:t>
      </w:r>
      <w:proofErr w:type="spellEnd"/>
      <w:r w:rsidRPr="00965611">
        <w:rPr>
          <w:rFonts w:ascii="Book Antiqua" w:eastAsia="宋体" w:hAnsi="Book Antiqua" w:cs="宋体"/>
          <w:lang w:val="en-US" w:eastAsia="zh-CN"/>
        </w:rPr>
        <w:t xml:space="preserve"> D, Hassel JC, </w:t>
      </w:r>
      <w:proofErr w:type="spellStart"/>
      <w:r w:rsidRPr="00965611">
        <w:rPr>
          <w:rFonts w:ascii="Book Antiqua" w:eastAsia="宋体" w:hAnsi="Book Antiqua" w:cs="宋体"/>
          <w:lang w:val="en-US" w:eastAsia="zh-CN"/>
        </w:rPr>
        <w:t>Akerley</w:t>
      </w:r>
      <w:proofErr w:type="spellEnd"/>
      <w:r w:rsidRPr="00965611">
        <w:rPr>
          <w:rFonts w:ascii="Book Antiqua" w:eastAsia="宋体" w:hAnsi="Book Antiqua" w:cs="宋体"/>
          <w:lang w:val="en-US" w:eastAsia="zh-CN"/>
        </w:rPr>
        <w:t xml:space="preserve"> W, van den </w:t>
      </w:r>
      <w:proofErr w:type="spellStart"/>
      <w:r w:rsidRPr="00965611">
        <w:rPr>
          <w:rFonts w:ascii="Book Antiqua" w:eastAsia="宋体" w:hAnsi="Book Antiqua" w:cs="宋体"/>
          <w:lang w:val="en-US" w:eastAsia="zh-CN"/>
        </w:rPr>
        <w:t>Eertwegh</w:t>
      </w:r>
      <w:proofErr w:type="spellEnd"/>
      <w:r w:rsidRPr="00965611">
        <w:rPr>
          <w:rFonts w:ascii="Book Antiqua" w:eastAsia="宋体" w:hAnsi="Book Antiqua" w:cs="宋体"/>
          <w:lang w:val="en-US" w:eastAsia="zh-CN"/>
        </w:rPr>
        <w:t xml:space="preserve"> AJ, </w:t>
      </w:r>
      <w:proofErr w:type="spellStart"/>
      <w:r w:rsidRPr="00965611">
        <w:rPr>
          <w:rFonts w:ascii="Book Antiqua" w:eastAsia="宋体" w:hAnsi="Book Antiqua" w:cs="宋体"/>
          <w:lang w:val="en-US" w:eastAsia="zh-CN"/>
        </w:rPr>
        <w:t>Lutzky</w:t>
      </w:r>
      <w:proofErr w:type="spellEnd"/>
      <w:r w:rsidRPr="00965611">
        <w:rPr>
          <w:rFonts w:ascii="Book Antiqua" w:eastAsia="宋体" w:hAnsi="Book Antiqua" w:cs="宋体"/>
          <w:lang w:val="en-US" w:eastAsia="zh-CN"/>
        </w:rPr>
        <w:t xml:space="preserve"> J, </w:t>
      </w:r>
      <w:proofErr w:type="spellStart"/>
      <w:r w:rsidRPr="00965611">
        <w:rPr>
          <w:rFonts w:ascii="Book Antiqua" w:eastAsia="宋体" w:hAnsi="Book Antiqua" w:cs="宋体"/>
          <w:lang w:val="en-US" w:eastAsia="zh-CN"/>
        </w:rPr>
        <w:t>Lorigan</w:t>
      </w:r>
      <w:proofErr w:type="spellEnd"/>
      <w:r w:rsidRPr="00965611">
        <w:rPr>
          <w:rFonts w:ascii="Book Antiqua" w:eastAsia="宋体" w:hAnsi="Book Antiqua" w:cs="宋体"/>
          <w:lang w:val="en-US" w:eastAsia="zh-CN"/>
        </w:rPr>
        <w:t xml:space="preserve"> P, </w:t>
      </w:r>
      <w:proofErr w:type="spellStart"/>
      <w:r w:rsidRPr="00965611">
        <w:rPr>
          <w:rFonts w:ascii="Book Antiqua" w:eastAsia="宋体" w:hAnsi="Book Antiqua" w:cs="宋体"/>
          <w:lang w:val="en-US" w:eastAsia="zh-CN"/>
        </w:rPr>
        <w:t>Vaubel</w:t>
      </w:r>
      <w:proofErr w:type="spellEnd"/>
      <w:r w:rsidRPr="00965611">
        <w:rPr>
          <w:rFonts w:ascii="Book Antiqua" w:eastAsia="宋体" w:hAnsi="Book Antiqua" w:cs="宋体"/>
          <w:lang w:val="en-US" w:eastAsia="zh-CN"/>
        </w:rPr>
        <w:t xml:space="preserve"> JM, </w:t>
      </w:r>
      <w:proofErr w:type="spellStart"/>
      <w:r w:rsidRPr="00965611">
        <w:rPr>
          <w:rFonts w:ascii="Book Antiqua" w:eastAsia="宋体" w:hAnsi="Book Antiqua" w:cs="宋体"/>
          <w:lang w:val="en-US" w:eastAsia="zh-CN"/>
        </w:rPr>
        <w:t>Linette</w:t>
      </w:r>
      <w:proofErr w:type="spellEnd"/>
      <w:r w:rsidRPr="00965611">
        <w:rPr>
          <w:rFonts w:ascii="Book Antiqua" w:eastAsia="宋体" w:hAnsi="Book Antiqua" w:cs="宋体"/>
          <w:lang w:val="en-US" w:eastAsia="zh-CN"/>
        </w:rPr>
        <w:t xml:space="preserve"> GP, Hogg D, </w:t>
      </w:r>
      <w:proofErr w:type="spellStart"/>
      <w:r w:rsidRPr="00965611">
        <w:rPr>
          <w:rFonts w:ascii="Book Antiqua" w:eastAsia="宋体" w:hAnsi="Book Antiqua" w:cs="宋体"/>
          <w:lang w:val="en-US" w:eastAsia="zh-CN"/>
        </w:rPr>
        <w:t>Ottensmeier</w:t>
      </w:r>
      <w:proofErr w:type="spellEnd"/>
      <w:r w:rsidRPr="00965611">
        <w:rPr>
          <w:rFonts w:ascii="Book Antiqua" w:eastAsia="宋体" w:hAnsi="Book Antiqua" w:cs="宋体"/>
          <w:lang w:val="en-US" w:eastAsia="zh-CN"/>
        </w:rPr>
        <w:t xml:space="preserve"> CH, </w:t>
      </w:r>
      <w:proofErr w:type="spellStart"/>
      <w:r w:rsidRPr="00965611">
        <w:rPr>
          <w:rFonts w:ascii="Book Antiqua" w:eastAsia="宋体" w:hAnsi="Book Antiqua" w:cs="宋体"/>
          <w:lang w:val="en-US" w:eastAsia="zh-CN"/>
        </w:rPr>
        <w:t>Lebbé</w:t>
      </w:r>
      <w:proofErr w:type="spellEnd"/>
      <w:r w:rsidRPr="00965611">
        <w:rPr>
          <w:rFonts w:ascii="Book Antiqua" w:eastAsia="宋体" w:hAnsi="Book Antiqua" w:cs="宋体"/>
          <w:lang w:val="en-US" w:eastAsia="zh-CN"/>
        </w:rPr>
        <w:t xml:space="preserve"> C, </w:t>
      </w:r>
      <w:proofErr w:type="spellStart"/>
      <w:r w:rsidRPr="00965611">
        <w:rPr>
          <w:rFonts w:ascii="Book Antiqua" w:eastAsia="宋体" w:hAnsi="Book Antiqua" w:cs="宋体"/>
          <w:lang w:val="en-US" w:eastAsia="zh-CN"/>
        </w:rPr>
        <w:t>Peschel</w:t>
      </w:r>
      <w:proofErr w:type="spellEnd"/>
      <w:r w:rsidRPr="00965611">
        <w:rPr>
          <w:rFonts w:ascii="Book Antiqua" w:eastAsia="宋体" w:hAnsi="Book Antiqua" w:cs="宋体"/>
          <w:lang w:val="en-US" w:eastAsia="zh-CN"/>
        </w:rPr>
        <w:t xml:space="preserve"> C, Quirt I, Clark JI, </w:t>
      </w:r>
      <w:proofErr w:type="spellStart"/>
      <w:r w:rsidRPr="00965611">
        <w:rPr>
          <w:rFonts w:ascii="Book Antiqua" w:eastAsia="宋体" w:hAnsi="Book Antiqua" w:cs="宋体"/>
          <w:lang w:val="en-US" w:eastAsia="zh-CN"/>
        </w:rPr>
        <w:t>Wolchok</w:t>
      </w:r>
      <w:proofErr w:type="spellEnd"/>
      <w:r w:rsidRPr="00965611">
        <w:rPr>
          <w:rFonts w:ascii="Book Antiqua" w:eastAsia="宋体" w:hAnsi="Book Antiqua" w:cs="宋体"/>
          <w:lang w:val="en-US" w:eastAsia="zh-CN"/>
        </w:rPr>
        <w:t xml:space="preserve"> JD, Weber JS, </w:t>
      </w:r>
      <w:proofErr w:type="spellStart"/>
      <w:r w:rsidRPr="00965611">
        <w:rPr>
          <w:rFonts w:ascii="Book Antiqua" w:eastAsia="宋体" w:hAnsi="Book Antiqua" w:cs="宋体"/>
          <w:lang w:val="en-US" w:eastAsia="zh-CN"/>
        </w:rPr>
        <w:t>Tian</w:t>
      </w:r>
      <w:proofErr w:type="spellEnd"/>
      <w:r w:rsidRPr="00965611">
        <w:rPr>
          <w:rFonts w:ascii="Book Antiqua" w:eastAsia="宋体" w:hAnsi="Book Antiqua" w:cs="宋体"/>
          <w:lang w:val="en-US" w:eastAsia="zh-CN"/>
        </w:rPr>
        <w:t xml:space="preserve"> J, </w:t>
      </w:r>
      <w:proofErr w:type="spellStart"/>
      <w:r w:rsidRPr="00965611">
        <w:rPr>
          <w:rFonts w:ascii="Book Antiqua" w:eastAsia="宋体" w:hAnsi="Book Antiqua" w:cs="宋体"/>
          <w:lang w:val="en-US" w:eastAsia="zh-CN"/>
        </w:rPr>
        <w:t>Yellin</w:t>
      </w:r>
      <w:proofErr w:type="spellEnd"/>
      <w:r w:rsidRPr="00965611">
        <w:rPr>
          <w:rFonts w:ascii="Book Antiqua" w:eastAsia="宋体" w:hAnsi="Book Antiqua" w:cs="宋体"/>
          <w:lang w:val="en-US" w:eastAsia="zh-CN"/>
        </w:rPr>
        <w:t xml:space="preserve"> MJ, Nichol GM, </w:t>
      </w:r>
      <w:proofErr w:type="spellStart"/>
      <w:r w:rsidRPr="00965611">
        <w:rPr>
          <w:rFonts w:ascii="Book Antiqua" w:eastAsia="宋体" w:hAnsi="Book Antiqua" w:cs="宋体"/>
          <w:lang w:val="en-US" w:eastAsia="zh-CN"/>
        </w:rPr>
        <w:t>Hoos</w:t>
      </w:r>
      <w:proofErr w:type="spellEnd"/>
      <w:r w:rsidRPr="00965611">
        <w:rPr>
          <w:rFonts w:ascii="Book Antiqua" w:eastAsia="宋体" w:hAnsi="Book Antiqua" w:cs="宋体"/>
          <w:lang w:val="en-US" w:eastAsia="zh-CN"/>
        </w:rPr>
        <w:t xml:space="preserve"> A, </w:t>
      </w:r>
      <w:proofErr w:type="spellStart"/>
      <w:r w:rsidRPr="00965611">
        <w:rPr>
          <w:rFonts w:ascii="Book Antiqua" w:eastAsia="宋体" w:hAnsi="Book Antiqua" w:cs="宋体"/>
          <w:lang w:val="en-US" w:eastAsia="zh-CN"/>
        </w:rPr>
        <w:t>Urba</w:t>
      </w:r>
      <w:proofErr w:type="spellEnd"/>
      <w:r w:rsidRPr="00965611">
        <w:rPr>
          <w:rFonts w:ascii="Book Antiqua" w:eastAsia="宋体" w:hAnsi="Book Antiqua" w:cs="宋体"/>
          <w:lang w:val="en-US" w:eastAsia="zh-CN"/>
        </w:rPr>
        <w:t xml:space="preserve"> WJ. </w:t>
      </w:r>
      <w:proofErr w:type="gramStart"/>
      <w:r w:rsidRPr="00965611">
        <w:rPr>
          <w:rFonts w:ascii="Book Antiqua" w:eastAsia="宋体" w:hAnsi="Book Antiqua" w:cs="宋体"/>
          <w:lang w:val="en-US" w:eastAsia="zh-CN"/>
        </w:rPr>
        <w:t xml:space="preserve">Improved survival with </w:t>
      </w:r>
      <w:proofErr w:type="spellStart"/>
      <w:r w:rsidRPr="00965611">
        <w:rPr>
          <w:rFonts w:ascii="Book Antiqua" w:eastAsia="宋体" w:hAnsi="Book Antiqua" w:cs="宋体"/>
          <w:lang w:val="en-US" w:eastAsia="zh-CN"/>
        </w:rPr>
        <w:t>ipilimumab</w:t>
      </w:r>
      <w:proofErr w:type="spellEnd"/>
      <w:r w:rsidRPr="00965611">
        <w:rPr>
          <w:rFonts w:ascii="Book Antiqua" w:eastAsia="宋体" w:hAnsi="Book Antiqua" w:cs="宋体"/>
          <w:lang w:val="en-US" w:eastAsia="zh-CN"/>
        </w:rPr>
        <w:t xml:space="preserve"> in patients with metastatic melanoma.</w:t>
      </w:r>
      <w:proofErr w:type="gramEnd"/>
      <w:r w:rsidRPr="00965611">
        <w:rPr>
          <w:rFonts w:ascii="Book Antiqua" w:eastAsia="宋体" w:hAnsi="Book Antiqua" w:cs="宋体"/>
          <w:lang w:val="en-US" w:eastAsia="zh-CN"/>
        </w:rPr>
        <w:t xml:space="preserve"> </w:t>
      </w:r>
      <w:r w:rsidRPr="00965611">
        <w:rPr>
          <w:rFonts w:ascii="Book Antiqua" w:eastAsia="宋体" w:hAnsi="Book Antiqua" w:cs="宋体"/>
          <w:i/>
          <w:iCs/>
          <w:lang w:val="en-US" w:eastAsia="zh-CN"/>
        </w:rPr>
        <w:t xml:space="preserve">N </w:t>
      </w:r>
      <w:proofErr w:type="spellStart"/>
      <w:r w:rsidRPr="00965611">
        <w:rPr>
          <w:rFonts w:ascii="Book Antiqua" w:eastAsia="宋体" w:hAnsi="Book Antiqua" w:cs="宋体"/>
          <w:i/>
          <w:iCs/>
          <w:lang w:val="en-US" w:eastAsia="zh-CN"/>
        </w:rPr>
        <w:t>Engl</w:t>
      </w:r>
      <w:proofErr w:type="spellEnd"/>
      <w:r w:rsidRPr="00965611">
        <w:rPr>
          <w:rFonts w:ascii="Book Antiqua" w:eastAsia="宋体" w:hAnsi="Book Antiqua" w:cs="宋体"/>
          <w:i/>
          <w:iCs/>
          <w:lang w:val="en-US" w:eastAsia="zh-CN"/>
        </w:rPr>
        <w:t xml:space="preserve"> J Med</w:t>
      </w:r>
      <w:r w:rsidRPr="00965611">
        <w:rPr>
          <w:rFonts w:ascii="Book Antiqua" w:eastAsia="宋体" w:hAnsi="Book Antiqua" w:cs="宋体"/>
          <w:lang w:val="en-US" w:eastAsia="zh-CN"/>
        </w:rPr>
        <w:t xml:space="preserve"> 2010; </w:t>
      </w:r>
      <w:r w:rsidRPr="00965611">
        <w:rPr>
          <w:rFonts w:ascii="Book Antiqua" w:eastAsia="宋体" w:hAnsi="Book Antiqua" w:cs="宋体"/>
          <w:b/>
          <w:bCs/>
          <w:lang w:val="en-US" w:eastAsia="zh-CN"/>
        </w:rPr>
        <w:t>363</w:t>
      </w:r>
      <w:r w:rsidRPr="00965611">
        <w:rPr>
          <w:rFonts w:ascii="Book Antiqua" w:eastAsia="宋体" w:hAnsi="Book Antiqua" w:cs="宋体"/>
          <w:lang w:val="en-US" w:eastAsia="zh-CN"/>
        </w:rPr>
        <w:t>: 711-723 [PMID: 20525992 DOI: 10.1056/NEJMoa1003466]</w:t>
      </w:r>
    </w:p>
    <w:p w:rsidR="00965611" w:rsidRPr="00965611" w:rsidRDefault="00965611" w:rsidP="00965611">
      <w:pPr>
        <w:spacing w:line="360" w:lineRule="auto"/>
        <w:jc w:val="both"/>
        <w:rPr>
          <w:rFonts w:ascii="Book Antiqua" w:eastAsia="宋体" w:hAnsi="Book Antiqua" w:cs="宋体"/>
          <w:lang w:val="en-US" w:eastAsia="zh-CN"/>
        </w:rPr>
      </w:pPr>
      <w:proofErr w:type="gramStart"/>
      <w:r w:rsidRPr="00965611">
        <w:rPr>
          <w:rFonts w:ascii="Book Antiqua" w:eastAsia="宋体" w:hAnsi="Book Antiqua" w:cs="宋体"/>
          <w:lang w:val="en-US" w:eastAsia="zh-CN"/>
        </w:rPr>
        <w:t xml:space="preserve">6 </w:t>
      </w:r>
      <w:proofErr w:type="spellStart"/>
      <w:r w:rsidRPr="00965611">
        <w:rPr>
          <w:rFonts w:ascii="Book Antiqua" w:eastAsia="宋体" w:hAnsi="Book Antiqua" w:cs="宋体"/>
          <w:b/>
          <w:bCs/>
          <w:lang w:val="en-US" w:eastAsia="zh-CN"/>
        </w:rPr>
        <w:t>Giri</w:t>
      </w:r>
      <w:proofErr w:type="spellEnd"/>
      <w:r w:rsidRPr="00965611">
        <w:rPr>
          <w:rFonts w:ascii="Book Antiqua" w:eastAsia="宋体" w:hAnsi="Book Antiqua" w:cs="宋体"/>
          <w:b/>
          <w:bCs/>
          <w:lang w:val="en-US" w:eastAsia="zh-CN"/>
        </w:rPr>
        <w:t xml:space="preserve"> A</w:t>
      </w:r>
      <w:r w:rsidRPr="00965611">
        <w:rPr>
          <w:rFonts w:ascii="Book Antiqua" w:eastAsia="宋体" w:hAnsi="Book Antiqua" w:cs="宋体"/>
          <w:lang w:val="en-US" w:eastAsia="zh-CN"/>
        </w:rPr>
        <w:t xml:space="preserve">, </w:t>
      </w:r>
      <w:proofErr w:type="spellStart"/>
      <w:r w:rsidRPr="00965611">
        <w:rPr>
          <w:rFonts w:ascii="Book Antiqua" w:eastAsia="宋体" w:hAnsi="Book Antiqua" w:cs="宋体"/>
          <w:lang w:val="en-US" w:eastAsia="zh-CN"/>
        </w:rPr>
        <w:t>Walia</w:t>
      </w:r>
      <w:proofErr w:type="spellEnd"/>
      <w:r w:rsidRPr="00965611">
        <w:rPr>
          <w:rFonts w:ascii="Book Antiqua" w:eastAsia="宋体" w:hAnsi="Book Antiqua" w:cs="宋体"/>
          <w:lang w:val="en-US" w:eastAsia="zh-CN"/>
        </w:rPr>
        <w:t xml:space="preserve"> SS, </w:t>
      </w:r>
      <w:proofErr w:type="spellStart"/>
      <w:r w:rsidRPr="00965611">
        <w:rPr>
          <w:rFonts w:ascii="Book Antiqua" w:eastAsia="宋体" w:hAnsi="Book Antiqua" w:cs="宋体"/>
          <w:lang w:val="en-US" w:eastAsia="zh-CN"/>
        </w:rPr>
        <w:t>Gajra</w:t>
      </w:r>
      <w:proofErr w:type="spellEnd"/>
      <w:r w:rsidRPr="00965611">
        <w:rPr>
          <w:rFonts w:ascii="Book Antiqua" w:eastAsia="宋体" w:hAnsi="Book Antiqua" w:cs="宋体"/>
          <w:lang w:val="en-US" w:eastAsia="zh-CN"/>
        </w:rPr>
        <w:t xml:space="preserve"> A. Clinical Trials Investigating Immune Checkpoint Inhibitors in Non-Small-Cell Lung Cancer.</w:t>
      </w:r>
      <w:proofErr w:type="gramEnd"/>
      <w:r w:rsidRPr="00965611">
        <w:rPr>
          <w:rFonts w:ascii="Book Antiqua" w:eastAsia="宋体" w:hAnsi="Book Antiqua" w:cs="宋体"/>
          <w:lang w:val="en-US" w:eastAsia="zh-CN"/>
        </w:rPr>
        <w:t xml:space="preserve"> </w:t>
      </w:r>
      <w:r w:rsidRPr="00965611">
        <w:rPr>
          <w:rFonts w:ascii="Book Antiqua" w:eastAsia="宋体" w:hAnsi="Book Antiqua" w:cs="宋体"/>
          <w:i/>
          <w:iCs/>
          <w:lang w:val="en-US" w:eastAsia="zh-CN"/>
        </w:rPr>
        <w:t xml:space="preserve">Rev Recent </w:t>
      </w:r>
      <w:proofErr w:type="spellStart"/>
      <w:r w:rsidRPr="00965611">
        <w:rPr>
          <w:rFonts w:ascii="Book Antiqua" w:eastAsia="宋体" w:hAnsi="Book Antiqua" w:cs="宋体"/>
          <w:i/>
          <w:iCs/>
          <w:lang w:val="en-US" w:eastAsia="zh-CN"/>
        </w:rPr>
        <w:t>Clin</w:t>
      </w:r>
      <w:proofErr w:type="spellEnd"/>
      <w:r w:rsidRPr="00965611">
        <w:rPr>
          <w:rFonts w:ascii="Book Antiqua" w:eastAsia="宋体" w:hAnsi="Book Antiqua" w:cs="宋体"/>
          <w:i/>
          <w:iCs/>
          <w:lang w:val="en-US" w:eastAsia="zh-CN"/>
        </w:rPr>
        <w:t xml:space="preserve"> Trials</w:t>
      </w:r>
      <w:r w:rsidRPr="00965611">
        <w:rPr>
          <w:rFonts w:ascii="Book Antiqua" w:eastAsia="宋体" w:hAnsi="Book Antiqua" w:cs="宋体"/>
          <w:lang w:val="en-US" w:eastAsia="zh-CN"/>
        </w:rPr>
        <w:t xml:space="preserve"> 2016; </w:t>
      </w:r>
      <w:r w:rsidR="00C20CA3" w:rsidRPr="00C20CA3">
        <w:rPr>
          <w:rFonts w:ascii="Book Antiqua" w:eastAsia="宋体" w:hAnsi="Book Antiqua" w:cs="宋体"/>
          <w:lang w:val="en-US" w:eastAsia="zh-CN"/>
        </w:rPr>
        <w:t>Epub ahead of print</w:t>
      </w:r>
      <w:r w:rsidRPr="00965611">
        <w:rPr>
          <w:rFonts w:ascii="Book Antiqua" w:eastAsia="宋体" w:hAnsi="Book Antiqua" w:cs="宋体"/>
          <w:lang w:val="en-US" w:eastAsia="zh-CN"/>
        </w:rPr>
        <w:t xml:space="preserve"> [PMID: 27457350]</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7 </w:t>
      </w:r>
      <w:r w:rsidRPr="00965611">
        <w:rPr>
          <w:rFonts w:ascii="Book Antiqua" w:eastAsia="宋体" w:hAnsi="Book Antiqua" w:cs="宋体"/>
          <w:b/>
          <w:bCs/>
          <w:lang w:val="en-US" w:eastAsia="zh-CN"/>
        </w:rPr>
        <w:t>Carlo MI</w:t>
      </w:r>
      <w:r w:rsidRPr="00965611">
        <w:rPr>
          <w:rFonts w:ascii="Book Antiqua" w:eastAsia="宋体" w:hAnsi="Book Antiqua" w:cs="宋体"/>
          <w:lang w:val="en-US" w:eastAsia="zh-CN"/>
        </w:rPr>
        <w:t xml:space="preserve">, Voss MH, </w:t>
      </w:r>
      <w:proofErr w:type="spellStart"/>
      <w:r w:rsidRPr="00965611">
        <w:rPr>
          <w:rFonts w:ascii="Book Antiqua" w:eastAsia="宋体" w:hAnsi="Book Antiqua" w:cs="宋体"/>
          <w:lang w:val="en-US" w:eastAsia="zh-CN"/>
        </w:rPr>
        <w:t>Motzer</w:t>
      </w:r>
      <w:proofErr w:type="spellEnd"/>
      <w:r w:rsidRPr="00965611">
        <w:rPr>
          <w:rFonts w:ascii="Book Antiqua" w:eastAsia="宋体" w:hAnsi="Book Antiqua" w:cs="宋体"/>
          <w:lang w:val="en-US" w:eastAsia="zh-CN"/>
        </w:rPr>
        <w:t xml:space="preserve"> RJ. Checkpoint inhibitors and other novel immunotherapies for advanced renal cell carcinoma. </w:t>
      </w:r>
      <w:r w:rsidRPr="00965611">
        <w:rPr>
          <w:rFonts w:ascii="Book Antiqua" w:eastAsia="宋体" w:hAnsi="Book Antiqua" w:cs="宋体"/>
          <w:i/>
          <w:iCs/>
          <w:lang w:val="en-US" w:eastAsia="zh-CN"/>
        </w:rPr>
        <w:t xml:space="preserve">Nat Rev </w:t>
      </w:r>
      <w:proofErr w:type="spellStart"/>
      <w:r w:rsidRPr="00965611">
        <w:rPr>
          <w:rFonts w:ascii="Book Antiqua" w:eastAsia="宋体" w:hAnsi="Book Antiqua" w:cs="宋体"/>
          <w:i/>
          <w:iCs/>
          <w:lang w:val="en-US" w:eastAsia="zh-CN"/>
        </w:rPr>
        <w:t>Urol</w:t>
      </w:r>
      <w:proofErr w:type="spellEnd"/>
      <w:r w:rsidRPr="00965611">
        <w:rPr>
          <w:rFonts w:ascii="Book Antiqua" w:eastAsia="宋体" w:hAnsi="Book Antiqua" w:cs="宋体"/>
          <w:lang w:val="en-US" w:eastAsia="zh-CN"/>
        </w:rPr>
        <w:t xml:space="preserve"> 2016; </w:t>
      </w:r>
      <w:r w:rsidRPr="00965611">
        <w:rPr>
          <w:rFonts w:ascii="Book Antiqua" w:eastAsia="宋体" w:hAnsi="Book Antiqua" w:cs="宋体"/>
          <w:b/>
          <w:bCs/>
          <w:lang w:val="en-US" w:eastAsia="zh-CN"/>
        </w:rPr>
        <w:t>13</w:t>
      </w:r>
      <w:r w:rsidRPr="00965611">
        <w:rPr>
          <w:rFonts w:ascii="Book Antiqua" w:eastAsia="宋体" w:hAnsi="Book Antiqua" w:cs="宋体"/>
          <w:lang w:val="en-US" w:eastAsia="zh-CN"/>
        </w:rPr>
        <w:t>: 420-431 [PMID: 27324121 DOI: 10.1038/nrurol.2016.103]</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8 </w:t>
      </w:r>
      <w:r w:rsidRPr="00965611">
        <w:rPr>
          <w:rFonts w:ascii="Book Antiqua" w:eastAsia="宋体" w:hAnsi="Book Antiqua" w:cs="宋体"/>
          <w:b/>
          <w:bCs/>
          <w:lang w:val="en-US" w:eastAsia="zh-CN"/>
        </w:rPr>
        <w:t>Ball MW</w:t>
      </w:r>
      <w:r w:rsidRPr="00965611">
        <w:rPr>
          <w:rFonts w:ascii="Book Antiqua" w:eastAsia="宋体" w:hAnsi="Book Antiqua" w:cs="宋体"/>
          <w:lang w:val="en-US" w:eastAsia="zh-CN"/>
        </w:rPr>
        <w:t xml:space="preserve">, </w:t>
      </w:r>
      <w:proofErr w:type="spellStart"/>
      <w:r w:rsidRPr="00965611">
        <w:rPr>
          <w:rFonts w:ascii="Book Antiqua" w:eastAsia="宋体" w:hAnsi="Book Antiqua" w:cs="宋体"/>
          <w:lang w:val="en-US" w:eastAsia="zh-CN"/>
        </w:rPr>
        <w:t>Allaf</w:t>
      </w:r>
      <w:proofErr w:type="spellEnd"/>
      <w:r w:rsidRPr="00965611">
        <w:rPr>
          <w:rFonts w:ascii="Book Antiqua" w:eastAsia="宋体" w:hAnsi="Book Antiqua" w:cs="宋体"/>
          <w:lang w:val="en-US" w:eastAsia="zh-CN"/>
        </w:rPr>
        <w:t xml:space="preserve"> ME, Drake CG. Recent advances in immunotherapy for kidney cancer. </w:t>
      </w:r>
      <w:proofErr w:type="spellStart"/>
      <w:r w:rsidRPr="00965611">
        <w:rPr>
          <w:rFonts w:ascii="Book Antiqua" w:eastAsia="宋体" w:hAnsi="Book Antiqua" w:cs="宋体"/>
          <w:i/>
          <w:iCs/>
          <w:lang w:val="en-US" w:eastAsia="zh-CN"/>
        </w:rPr>
        <w:t>Discov</w:t>
      </w:r>
      <w:proofErr w:type="spellEnd"/>
      <w:r w:rsidRPr="00965611">
        <w:rPr>
          <w:rFonts w:ascii="Book Antiqua" w:eastAsia="宋体" w:hAnsi="Book Antiqua" w:cs="宋体"/>
          <w:i/>
          <w:iCs/>
          <w:lang w:val="en-US" w:eastAsia="zh-CN"/>
        </w:rPr>
        <w:t xml:space="preserve"> Med</w:t>
      </w:r>
      <w:r w:rsidRPr="00965611">
        <w:rPr>
          <w:rFonts w:ascii="Book Antiqua" w:eastAsia="宋体" w:hAnsi="Book Antiqua" w:cs="宋体"/>
          <w:lang w:val="en-US" w:eastAsia="zh-CN"/>
        </w:rPr>
        <w:t xml:space="preserve"> 2016; </w:t>
      </w:r>
      <w:r w:rsidRPr="00965611">
        <w:rPr>
          <w:rFonts w:ascii="Book Antiqua" w:eastAsia="宋体" w:hAnsi="Book Antiqua" w:cs="宋体"/>
          <w:b/>
          <w:bCs/>
          <w:lang w:val="en-US" w:eastAsia="zh-CN"/>
        </w:rPr>
        <w:t>21</w:t>
      </w:r>
      <w:r w:rsidRPr="00965611">
        <w:rPr>
          <w:rFonts w:ascii="Book Antiqua" w:eastAsia="宋体" w:hAnsi="Book Antiqua" w:cs="宋体"/>
          <w:lang w:val="en-US" w:eastAsia="zh-CN"/>
        </w:rPr>
        <w:t>: 305-313 [PMID: 27232516]</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9 </w:t>
      </w:r>
      <w:proofErr w:type="spellStart"/>
      <w:r w:rsidRPr="00965611">
        <w:rPr>
          <w:rFonts w:ascii="Book Antiqua" w:eastAsia="宋体" w:hAnsi="Book Antiqua" w:cs="宋体"/>
          <w:b/>
          <w:bCs/>
          <w:lang w:val="en-US" w:eastAsia="zh-CN"/>
        </w:rPr>
        <w:t>Younes</w:t>
      </w:r>
      <w:proofErr w:type="spellEnd"/>
      <w:r w:rsidRPr="00965611">
        <w:rPr>
          <w:rFonts w:ascii="Book Antiqua" w:eastAsia="宋体" w:hAnsi="Book Antiqua" w:cs="宋体"/>
          <w:b/>
          <w:bCs/>
          <w:lang w:val="en-US" w:eastAsia="zh-CN"/>
        </w:rPr>
        <w:t xml:space="preserve"> A</w:t>
      </w:r>
      <w:r w:rsidRPr="00965611">
        <w:rPr>
          <w:rFonts w:ascii="Book Antiqua" w:eastAsia="宋体" w:hAnsi="Book Antiqua" w:cs="宋体"/>
          <w:lang w:val="en-US" w:eastAsia="zh-CN"/>
        </w:rPr>
        <w:t xml:space="preserve">, Santoro A, Shipp M, </w:t>
      </w:r>
      <w:proofErr w:type="spellStart"/>
      <w:r w:rsidRPr="00965611">
        <w:rPr>
          <w:rFonts w:ascii="Book Antiqua" w:eastAsia="宋体" w:hAnsi="Book Antiqua" w:cs="宋体"/>
          <w:lang w:val="en-US" w:eastAsia="zh-CN"/>
        </w:rPr>
        <w:t>Zinzani</w:t>
      </w:r>
      <w:proofErr w:type="spellEnd"/>
      <w:r w:rsidRPr="00965611">
        <w:rPr>
          <w:rFonts w:ascii="Book Antiqua" w:eastAsia="宋体" w:hAnsi="Book Antiqua" w:cs="宋体"/>
          <w:lang w:val="en-US" w:eastAsia="zh-CN"/>
        </w:rPr>
        <w:t xml:space="preserve"> PL, Timmerman JM, Ansell S, Armand P, </w:t>
      </w:r>
      <w:proofErr w:type="spellStart"/>
      <w:r w:rsidRPr="00965611">
        <w:rPr>
          <w:rFonts w:ascii="Book Antiqua" w:eastAsia="宋体" w:hAnsi="Book Antiqua" w:cs="宋体"/>
          <w:lang w:val="en-US" w:eastAsia="zh-CN"/>
        </w:rPr>
        <w:t>Fanale</w:t>
      </w:r>
      <w:proofErr w:type="spellEnd"/>
      <w:r w:rsidRPr="00965611">
        <w:rPr>
          <w:rFonts w:ascii="Book Antiqua" w:eastAsia="宋体" w:hAnsi="Book Antiqua" w:cs="宋体"/>
          <w:lang w:val="en-US" w:eastAsia="zh-CN"/>
        </w:rPr>
        <w:t xml:space="preserve"> M, </w:t>
      </w:r>
      <w:proofErr w:type="spellStart"/>
      <w:r w:rsidRPr="00965611">
        <w:rPr>
          <w:rFonts w:ascii="Book Antiqua" w:eastAsia="宋体" w:hAnsi="Book Antiqua" w:cs="宋体"/>
          <w:lang w:val="en-US" w:eastAsia="zh-CN"/>
        </w:rPr>
        <w:t>Ratanatharathorn</w:t>
      </w:r>
      <w:proofErr w:type="spellEnd"/>
      <w:r w:rsidRPr="00965611">
        <w:rPr>
          <w:rFonts w:ascii="Book Antiqua" w:eastAsia="宋体" w:hAnsi="Book Antiqua" w:cs="宋体"/>
          <w:lang w:val="en-US" w:eastAsia="zh-CN"/>
        </w:rPr>
        <w:t xml:space="preserve"> V, </w:t>
      </w:r>
      <w:proofErr w:type="spellStart"/>
      <w:r w:rsidRPr="00965611">
        <w:rPr>
          <w:rFonts w:ascii="Book Antiqua" w:eastAsia="宋体" w:hAnsi="Book Antiqua" w:cs="宋体"/>
          <w:lang w:val="en-US" w:eastAsia="zh-CN"/>
        </w:rPr>
        <w:t>Kuruvilla</w:t>
      </w:r>
      <w:proofErr w:type="spellEnd"/>
      <w:r w:rsidRPr="00965611">
        <w:rPr>
          <w:rFonts w:ascii="Book Antiqua" w:eastAsia="宋体" w:hAnsi="Book Antiqua" w:cs="宋体"/>
          <w:lang w:val="en-US" w:eastAsia="zh-CN"/>
        </w:rPr>
        <w:t xml:space="preserve"> J, Cohen JB, Collins G, Savage KJ, </w:t>
      </w:r>
      <w:proofErr w:type="spellStart"/>
      <w:r w:rsidRPr="00965611">
        <w:rPr>
          <w:rFonts w:ascii="Book Antiqua" w:eastAsia="宋体" w:hAnsi="Book Antiqua" w:cs="宋体"/>
          <w:lang w:val="en-US" w:eastAsia="zh-CN"/>
        </w:rPr>
        <w:t>Trneny</w:t>
      </w:r>
      <w:proofErr w:type="spellEnd"/>
      <w:r w:rsidRPr="00965611">
        <w:rPr>
          <w:rFonts w:ascii="Book Antiqua" w:eastAsia="宋体" w:hAnsi="Book Antiqua" w:cs="宋体"/>
          <w:lang w:val="en-US" w:eastAsia="zh-CN"/>
        </w:rPr>
        <w:t xml:space="preserve"> M, Kato K, </w:t>
      </w:r>
      <w:proofErr w:type="spellStart"/>
      <w:r w:rsidRPr="00965611">
        <w:rPr>
          <w:rFonts w:ascii="Book Antiqua" w:eastAsia="宋体" w:hAnsi="Book Antiqua" w:cs="宋体"/>
          <w:lang w:val="en-US" w:eastAsia="zh-CN"/>
        </w:rPr>
        <w:t>Farsaci</w:t>
      </w:r>
      <w:proofErr w:type="spellEnd"/>
      <w:r w:rsidRPr="00965611">
        <w:rPr>
          <w:rFonts w:ascii="Book Antiqua" w:eastAsia="宋体" w:hAnsi="Book Antiqua" w:cs="宋体"/>
          <w:lang w:val="en-US" w:eastAsia="zh-CN"/>
        </w:rPr>
        <w:t xml:space="preserve"> B, Parker SM, </w:t>
      </w:r>
      <w:proofErr w:type="spellStart"/>
      <w:r w:rsidRPr="00965611">
        <w:rPr>
          <w:rFonts w:ascii="Book Antiqua" w:eastAsia="宋体" w:hAnsi="Book Antiqua" w:cs="宋体"/>
          <w:lang w:val="en-US" w:eastAsia="zh-CN"/>
        </w:rPr>
        <w:t>Rodig</w:t>
      </w:r>
      <w:proofErr w:type="spellEnd"/>
      <w:r w:rsidRPr="00965611">
        <w:rPr>
          <w:rFonts w:ascii="Book Antiqua" w:eastAsia="宋体" w:hAnsi="Book Antiqua" w:cs="宋体"/>
          <w:lang w:val="en-US" w:eastAsia="zh-CN"/>
        </w:rPr>
        <w:t xml:space="preserve"> S, Roemer MG, </w:t>
      </w:r>
      <w:proofErr w:type="spellStart"/>
      <w:r w:rsidRPr="00965611">
        <w:rPr>
          <w:rFonts w:ascii="Book Antiqua" w:eastAsia="宋体" w:hAnsi="Book Antiqua" w:cs="宋体"/>
          <w:lang w:val="en-US" w:eastAsia="zh-CN"/>
        </w:rPr>
        <w:t>Ligon</w:t>
      </w:r>
      <w:proofErr w:type="spellEnd"/>
      <w:r w:rsidRPr="00965611">
        <w:rPr>
          <w:rFonts w:ascii="Book Antiqua" w:eastAsia="宋体" w:hAnsi="Book Antiqua" w:cs="宋体"/>
          <w:lang w:val="en-US" w:eastAsia="zh-CN"/>
        </w:rPr>
        <w:t xml:space="preserve"> AH, </w:t>
      </w:r>
      <w:proofErr w:type="spellStart"/>
      <w:r w:rsidRPr="00965611">
        <w:rPr>
          <w:rFonts w:ascii="Book Antiqua" w:eastAsia="宋体" w:hAnsi="Book Antiqua" w:cs="宋体"/>
          <w:lang w:val="en-US" w:eastAsia="zh-CN"/>
        </w:rPr>
        <w:t>Engert</w:t>
      </w:r>
      <w:proofErr w:type="spellEnd"/>
      <w:r w:rsidRPr="00965611">
        <w:rPr>
          <w:rFonts w:ascii="Book Antiqua" w:eastAsia="宋体" w:hAnsi="Book Antiqua" w:cs="宋体"/>
          <w:lang w:val="en-US" w:eastAsia="zh-CN"/>
        </w:rPr>
        <w:t xml:space="preserve"> A. </w:t>
      </w:r>
      <w:proofErr w:type="spellStart"/>
      <w:r w:rsidRPr="00965611">
        <w:rPr>
          <w:rFonts w:ascii="Book Antiqua" w:eastAsia="宋体" w:hAnsi="Book Antiqua" w:cs="宋体"/>
          <w:lang w:val="en-US" w:eastAsia="zh-CN"/>
        </w:rPr>
        <w:t>Nivolumab</w:t>
      </w:r>
      <w:proofErr w:type="spellEnd"/>
      <w:r w:rsidRPr="00965611">
        <w:rPr>
          <w:rFonts w:ascii="Book Antiqua" w:eastAsia="宋体" w:hAnsi="Book Antiqua" w:cs="宋体"/>
          <w:lang w:val="en-US" w:eastAsia="zh-CN"/>
        </w:rPr>
        <w:t xml:space="preserve"> for classical Hodgkin's lymphoma after failure of both autologous stem-cell transplantation and </w:t>
      </w:r>
      <w:proofErr w:type="spellStart"/>
      <w:r w:rsidRPr="00965611">
        <w:rPr>
          <w:rFonts w:ascii="Book Antiqua" w:eastAsia="宋体" w:hAnsi="Book Antiqua" w:cs="宋体"/>
          <w:lang w:val="en-US" w:eastAsia="zh-CN"/>
        </w:rPr>
        <w:t>brentuximab</w:t>
      </w:r>
      <w:proofErr w:type="spellEnd"/>
      <w:r w:rsidRPr="00965611">
        <w:rPr>
          <w:rFonts w:ascii="Book Antiqua" w:eastAsia="宋体" w:hAnsi="Book Antiqua" w:cs="宋体"/>
          <w:lang w:val="en-US" w:eastAsia="zh-CN"/>
        </w:rPr>
        <w:t xml:space="preserve"> </w:t>
      </w:r>
      <w:proofErr w:type="spellStart"/>
      <w:r w:rsidRPr="00965611">
        <w:rPr>
          <w:rFonts w:ascii="Book Antiqua" w:eastAsia="宋体" w:hAnsi="Book Antiqua" w:cs="宋体"/>
          <w:lang w:val="en-US" w:eastAsia="zh-CN"/>
        </w:rPr>
        <w:t>vedotin</w:t>
      </w:r>
      <w:proofErr w:type="spellEnd"/>
      <w:r w:rsidRPr="00965611">
        <w:rPr>
          <w:rFonts w:ascii="Book Antiqua" w:eastAsia="宋体" w:hAnsi="Book Antiqua" w:cs="宋体"/>
          <w:lang w:val="en-US" w:eastAsia="zh-CN"/>
        </w:rPr>
        <w:t xml:space="preserve">: a </w:t>
      </w:r>
      <w:proofErr w:type="spellStart"/>
      <w:r w:rsidRPr="00965611">
        <w:rPr>
          <w:rFonts w:ascii="Book Antiqua" w:eastAsia="宋体" w:hAnsi="Book Antiqua" w:cs="宋体"/>
          <w:lang w:val="en-US" w:eastAsia="zh-CN"/>
        </w:rPr>
        <w:t>multicentre</w:t>
      </w:r>
      <w:proofErr w:type="spellEnd"/>
      <w:r w:rsidRPr="00965611">
        <w:rPr>
          <w:rFonts w:ascii="Book Antiqua" w:eastAsia="宋体" w:hAnsi="Book Antiqua" w:cs="宋体"/>
          <w:lang w:val="en-US" w:eastAsia="zh-CN"/>
        </w:rPr>
        <w:t xml:space="preserve">, </w:t>
      </w:r>
      <w:proofErr w:type="spellStart"/>
      <w:r w:rsidRPr="00965611">
        <w:rPr>
          <w:rFonts w:ascii="Book Antiqua" w:eastAsia="宋体" w:hAnsi="Book Antiqua" w:cs="宋体"/>
          <w:lang w:val="en-US" w:eastAsia="zh-CN"/>
        </w:rPr>
        <w:t>multicohort</w:t>
      </w:r>
      <w:proofErr w:type="spellEnd"/>
      <w:r w:rsidRPr="00965611">
        <w:rPr>
          <w:rFonts w:ascii="Book Antiqua" w:eastAsia="宋体" w:hAnsi="Book Antiqua" w:cs="宋体"/>
          <w:lang w:val="en-US" w:eastAsia="zh-CN"/>
        </w:rPr>
        <w:t xml:space="preserve">, single-arm phase </w:t>
      </w:r>
      <w:r w:rsidRPr="00965611">
        <w:rPr>
          <w:rFonts w:ascii="Book Antiqua" w:eastAsia="宋体" w:hAnsi="Book Antiqua" w:cs="宋体"/>
          <w:lang w:val="en-US" w:eastAsia="zh-CN"/>
        </w:rPr>
        <w:lastRenderedPageBreak/>
        <w:t xml:space="preserve">2 trial. </w:t>
      </w:r>
      <w:r w:rsidRPr="00965611">
        <w:rPr>
          <w:rFonts w:ascii="Book Antiqua" w:eastAsia="宋体" w:hAnsi="Book Antiqua" w:cs="宋体"/>
          <w:i/>
          <w:iCs/>
          <w:lang w:val="en-US" w:eastAsia="zh-CN"/>
        </w:rPr>
        <w:t xml:space="preserve">Lancet </w:t>
      </w:r>
      <w:proofErr w:type="spellStart"/>
      <w:r w:rsidRPr="00965611">
        <w:rPr>
          <w:rFonts w:ascii="Book Antiqua" w:eastAsia="宋体" w:hAnsi="Book Antiqua" w:cs="宋体"/>
          <w:i/>
          <w:iCs/>
          <w:lang w:val="en-US" w:eastAsia="zh-CN"/>
        </w:rPr>
        <w:t>Oncol</w:t>
      </w:r>
      <w:proofErr w:type="spellEnd"/>
      <w:r w:rsidRPr="00965611">
        <w:rPr>
          <w:rFonts w:ascii="Book Antiqua" w:eastAsia="宋体" w:hAnsi="Book Antiqua" w:cs="宋体"/>
          <w:lang w:val="en-US" w:eastAsia="zh-CN"/>
        </w:rPr>
        <w:t xml:space="preserve"> 2016; </w:t>
      </w:r>
      <w:r w:rsidRPr="00965611">
        <w:rPr>
          <w:rFonts w:ascii="Book Antiqua" w:eastAsia="宋体" w:hAnsi="Book Antiqua" w:cs="宋体"/>
          <w:b/>
          <w:bCs/>
          <w:lang w:val="en-US" w:eastAsia="zh-CN"/>
        </w:rPr>
        <w:t>17</w:t>
      </w:r>
      <w:r w:rsidRPr="00965611">
        <w:rPr>
          <w:rFonts w:ascii="Book Antiqua" w:eastAsia="宋体" w:hAnsi="Book Antiqua" w:cs="宋体"/>
          <w:lang w:val="en-US" w:eastAsia="zh-CN"/>
        </w:rPr>
        <w:t>: 1283-1294 [PMID: 27451390 DOI: 10.1016/S1470-2045(16)30167]</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10 </w:t>
      </w:r>
      <w:proofErr w:type="spellStart"/>
      <w:r w:rsidRPr="00965611">
        <w:rPr>
          <w:rFonts w:ascii="Book Antiqua" w:eastAsia="宋体" w:hAnsi="Book Antiqua" w:cs="宋体"/>
          <w:b/>
          <w:bCs/>
          <w:lang w:val="en-US" w:eastAsia="zh-CN"/>
        </w:rPr>
        <w:t>Eisenhauer</w:t>
      </w:r>
      <w:proofErr w:type="spellEnd"/>
      <w:r w:rsidRPr="00965611">
        <w:rPr>
          <w:rFonts w:ascii="Book Antiqua" w:eastAsia="宋体" w:hAnsi="Book Antiqua" w:cs="宋体"/>
          <w:b/>
          <w:bCs/>
          <w:lang w:val="en-US" w:eastAsia="zh-CN"/>
        </w:rPr>
        <w:t xml:space="preserve"> EA</w:t>
      </w:r>
      <w:r w:rsidRPr="00965611">
        <w:rPr>
          <w:rFonts w:ascii="Book Antiqua" w:eastAsia="宋体" w:hAnsi="Book Antiqua" w:cs="宋体"/>
          <w:lang w:val="en-US" w:eastAsia="zh-CN"/>
        </w:rPr>
        <w:t xml:space="preserve">, </w:t>
      </w:r>
      <w:proofErr w:type="spellStart"/>
      <w:r w:rsidRPr="00965611">
        <w:rPr>
          <w:rFonts w:ascii="Book Antiqua" w:eastAsia="宋体" w:hAnsi="Book Antiqua" w:cs="宋体"/>
          <w:lang w:val="en-US" w:eastAsia="zh-CN"/>
        </w:rPr>
        <w:t>Therasse</w:t>
      </w:r>
      <w:proofErr w:type="spellEnd"/>
      <w:r w:rsidRPr="00965611">
        <w:rPr>
          <w:rFonts w:ascii="Book Antiqua" w:eastAsia="宋体" w:hAnsi="Book Antiqua" w:cs="宋体"/>
          <w:lang w:val="en-US" w:eastAsia="zh-CN"/>
        </w:rPr>
        <w:t xml:space="preserve"> P, </w:t>
      </w:r>
      <w:proofErr w:type="spellStart"/>
      <w:r w:rsidRPr="00965611">
        <w:rPr>
          <w:rFonts w:ascii="Book Antiqua" w:eastAsia="宋体" w:hAnsi="Book Antiqua" w:cs="宋体"/>
          <w:lang w:val="en-US" w:eastAsia="zh-CN"/>
        </w:rPr>
        <w:t>Bogaerts</w:t>
      </w:r>
      <w:proofErr w:type="spellEnd"/>
      <w:r w:rsidRPr="00965611">
        <w:rPr>
          <w:rFonts w:ascii="Book Antiqua" w:eastAsia="宋体" w:hAnsi="Book Antiqua" w:cs="宋体"/>
          <w:lang w:val="en-US" w:eastAsia="zh-CN"/>
        </w:rPr>
        <w:t xml:space="preserve"> J, Schwartz LH, Sargent D, Ford R, </w:t>
      </w:r>
      <w:proofErr w:type="spellStart"/>
      <w:r w:rsidRPr="00965611">
        <w:rPr>
          <w:rFonts w:ascii="Book Antiqua" w:eastAsia="宋体" w:hAnsi="Book Antiqua" w:cs="宋体"/>
          <w:lang w:val="en-US" w:eastAsia="zh-CN"/>
        </w:rPr>
        <w:t>Dancey</w:t>
      </w:r>
      <w:proofErr w:type="spellEnd"/>
      <w:r w:rsidRPr="00965611">
        <w:rPr>
          <w:rFonts w:ascii="Book Antiqua" w:eastAsia="宋体" w:hAnsi="Book Antiqua" w:cs="宋体"/>
          <w:lang w:val="en-US" w:eastAsia="zh-CN"/>
        </w:rPr>
        <w:t xml:space="preserve"> J, </w:t>
      </w:r>
      <w:proofErr w:type="spellStart"/>
      <w:r w:rsidRPr="00965611">
        <w:rPr>
          <w:rFonts w:ascii="Book Antiqua" w:eastAsia="宋体" w:hAnsi="Book Antiqua" w:cs="宋体"/>
          <w:lang w:val="en-US" w:eastAsia="zh-CN"/>
        </w:rPr>
        <w:t>Arbuck</w:t>
      </w:r>
      <w:proofErr w:type="spellEnd"/>
      <w:r w:rsidRPr="00965611">
        <w:rPr>
          <w:rFonts w:ascii="Book Antiqua" w:eastAsia="宋体" w:hAnsi="Book Antiqua" w:cs="宋体"/>
          <w:lang w:val="en-US" w:eastAsia="zh-CN"/>
        </w:rPr>
        <w:t xml:space="preserve"> S, </w:t>
      </w:r>
      <w:proofErr w:type="spellStart"/>
      <w:r w:rsidRPr="00965611">
        <w:rPr>
          <w:rFonts w:ascii="Book Antiqua" w:eastAsia="宋体" w:hAnsi="Book Antiqua" w:cs="宋体"/>
          <w:lang w:val="en-US" w:eastAsia="zh-CN"/>
        </w:rPr>
        <w:t>Gwyther</w:t>
      </w:r>
      <w:proofErr w:type="spellEnd"/>
      <w:r w:rsidRPr="00965611">
        <w:rPr>
          <w:rFonts w:ascii="Book Antiqua" w:eastAsia="宋体" w:hAnsi="Book Antiqua" w:cs="宋体"/>
          <w:lang w:val="en-US" w:eastAsia="zh-CN"/>
        </w:rPr>
        <w:t xml:space="preserve"> S, Mooney M, Rubinstein L, Shankar L, Dodd L, Kaplan R, Lacombe D, </w:t>
      </w:r>
      <w:proofErr w:type="spellStart"/>
      <w:r w:rsidRPr="00965611">
        <w:rPr>
          <w:rFonts w:ascii="Book Antiqua" w:eastAsia="宋体" w:hAnsi="Book Antiqua" w:cs="宋体"/>
          <w:lang w:val="en-US" w:eastAsia="zh-CN"/>
        </w:rPr>
        <w:t>Verweij</w:t>
      </w:r>
      <w:proofErr w:type="spellEnd"/>
      <w:r w:rsidRPr="00965611">
        <w:rPr>
          <w:rFonts w:ascii="Book Antiqua" w:eastAsia="宋体" w:hAnsi="Book Antiqua" w:cs="宋体"/>
          <w:lang w:val="en-US" w:eastAsia="zh-CN"/>
        </w:rPr>
        <w:t xml:space="preserve"> J. New response evaluation criteria in solid </w:t>
      </w:r>
      <w:proofErr w:type="spellStart"/>
      <w:r w:rsidRPr="00965611">
        <w:rPr>
          <w:rFonts w:ascii="Book Antiqua" w:eastAsia="宋体" w:hAnsi="Book Antiqua" w:cs="宋体"/>
          <w:lang w:val="en-US" w:eastAsia="zh-CN"/>
        </w:rPr>
        <w:t>tumours</w:t>
      </w:r>
      <w:proofErr w:type="spellEnd"/>
      <w:r w:rsidRPr="00965611">
        <w:rPr>
          <w:rFonts w:ascii="Book Antiqua" w:eastAsia="宋体" w:hAnsi="Book Antiqua" w:cs="宋体"/>
          <w:lang w:val="en-US" w:eastAsia="zh-CN"/>
        </w:rPr>
        <w:t xml:space="preserve">: revised RECIST guideline (version 1.1). </w:t>
      </w:r>
      <w:proofErr w:type="spellStart"/>
      <w:r w:rsidRPr="00965611">
        <w:rPr>
          <w:rFonts w:ascii="Book Antiqua" w:eastAsia="宋体" w:hAnsi="Book Antiqua" w:cs="宋体"/>
          <w:i/>
          <w:iCs/>
          <w:lang w:val="en-US" w:eastAsia="zh-CN"/>
        </w:rPr>
        <w:t>Eur</w:t>
      </w:r>
      <w:proofErr w:type="spellEnd"/>
      <w:r w:rsidRPr="00965611">
        <w:rPr>
          <w:rFonts w:ascii="Book Antiqua" w:eastAsia="宋体" w:hAnsi="Book Antiqua" w:cs="宋体"/>
          <w:i/>
          <w:iCs/>
          <w:lang w:val="en-US" w:eastAsia="zh-CN"/>
        </w:rPr>
        <w:t xml:space="preserve"> J Cancer</w:t>
      </w:r>
      <w:r w:rsidRPr="00965611">
        <w:rPr>
          <w:rFonts w:ascii="Book Antiqua" w:eastAsia="宋体" w:hAnsi="Book Antiqua" w:cs="宋体"/>
          <w:lang w:val="en-US" w:eastAsia="zh-CN"/>
        </w:rPr>
        <w:t xml:space="preserve"> 2009; </w:t>
      </w:r>
      <w:r w:rsidRPr="00965611">
        <w:rPr>
          <w:rFonts w:ascii="Book Antiqua" w:eastAsia="宋体" w:hAnsi="Book Antiqua" w:cs="宋体"/>
          <w:b/>
          <w:bCs/>
          <w:lang w:val="en-US" w:eastAsia="zh-CN"/>
        </w:rPr>
        <w:t>45</w:t>
      </w:r>
      <w:r w:rsidRPr="00965611">
        <w:rPr>
          <w:rFonts w:ascii="Book Antiqua" w:eastAsia="宋体" w:hAnsi="Book Antiqua" w:cs="宋体"/>
          <w:lang w:val="en-US" w:eastAsia="zh-CN"/>
        </w:rPr>
        <w:t>: 228-247 [PMID: 19097774 DOI: 10.1016/j.ejca.2008.10.026]</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11 </w:t>
      </w:r>
      <w:r w:rsidRPr="00965611">
        <w:rPr>
          <w:rFonts w:ascii="Book Antiqua" w:eastAsia="宋体" w:hAnsi="Book Antiqua" w:cs="宋体"/>
          <w:b/>
          <w:bCs/>
          <w:lang w:val="en-US" w:eastAsia="zh-CN"/>
        </w:rPr>
        <w:t xml:space="preserve">von </w:t>
      </w:r>
      <w:proofErr w:type="spellStart"/>
      <w:r w:rsidRPr="00965611">
        <w:rPr>
          <w:rFonts w:ascii="Book Antiqua" w:eastAsia="宋体" w:hAnsi="Book Antiqua" w:cs="宋体"/>
          <w:b/>
          <w:bCs/>
          <w:lang w:val="en-US" w:eastAsia="zh-CN"/>
        </w:rPr>
        <w:t>Minckwitz</w:t>
      </w:r>
      <w:proofErr w:type="spellEnd"/>
      <w:r w:rsidRPr="00965611">
        <w:rPr>
          <w:rFonts w:ascii="Book Antiqua" w:eastAsia="宋体" w:hAnsi="Book Antiqua" w:cs="宋体"/>
          <w:b/>
          <w:bCs/>
          <w:lang w:val="en-US" w:eastAsia="zh-CN"/>
        </w:rPr>
        <w:t xml:space="preserve"> G</w:t>
      </w:r>
      <w:r w:rsidRPr="00965611">
        <w:rPr>
          <w:rFonts w:ascii="Book Antiqua" w:eastAsia="宋体" w:hAnsi="Book Antiqua" w:cs="宋体"/>
          <w:lang w:val="en-US" w:eastAsia="zh-CN"/>
        </w:rPr>
        <w:t xml:space="preserve">, Sinn HP, </w:t>
      </w:r>
      <w:proofErr w:type="spellStart"/>
      <w:r w:rsidRPr="00965611">
        <w:rPr>
          <w:rFonts w:ascii="Book Antiqua" w:eastAsia="宋体" w:hAnsi="Book Antiqua" w:cs="宋体"/>
          <w:lang w:val="en-US" w:eastAsia="zh-CN"/>
        </w:rPr>
        <w:t>Raab</w:t>
      </w:r>
      <w:proofErr w:type="spellEnd"/>
      <w:r w:rsidRPr="00965611">
        <w:rPr>
          <w:rFonts w:ascii="Book Antiqua" w:eastAsia="宋体" w:hAnsi="Book Antiqua" w:cs="宋体"/>
          <w:lang w:val="en-US" w:eastAsia="zh-CN"/>
        </w:rPr>
        <w:t xml:space="preserve"> G, </w:t>
      </w:r>
      <w:proofErr w:type="spellStart"/>
      <w:r w:rsidRPr="00965611">
        <w:rPr>
          <w:rFonts w:ascii="Book Antiqua" w:eastAsia="宋体" w:hAnsi="Book Antiqua" w:cs="宋体"/>
          <w:lang w:val="en-US" w:eastAsia="zh-CN"/>
        </w:rPr>
        <w:t>Loibl</w:t>
      </w:r>
      <w:proofErr w:type="spellEnd"/>
      <w:r w:rsidRPr="00965611">
        <w:rPr>
          <w:rFonts w:ascii="Book Antiqua" w:eastAsia="宋体" w:hAnsi="Book Antiqua" w:cs="宋体"/>
          <w:lang w:val="en-US" w:eastAsia="zh-CN"/>
        </w:rPr>
        <w:t xml:space="preserve"> S, </w:t>
      </w:r>
      <w:proofErr w:type="spellStart"/>
      <w:r w:rsidRPr="00965611">
        <w:rPr>
          <w:rFonts w:ascii="Book Antiqua" w:eastAsia="宋体" w:hAnsi="Book Antiqua" w:cs="宋体"/>
          <w:lang w:val="en-US" w:eastAsia="zh-CN"/>
        </w:rPr>
        <w:t>Blohmer</w:t>
      </w:r>
      <w:proofErr w:type="spellEnd"/>
      <w:r w:rsidRPr="00965611">
        <w:rPr>
          <w:rFonts w:ascii="Book Antiqua" w:eastAsia="宋体" w:hAnsi="Book Antiqua" w:cs="宋体"/>
          <w:lang w:val="en-US" w:eastAsia="zh-CN"/>
        </w:rPr>
        <w:t xml:space="preserve"> JU, </w:t>
      </w:r>
      <w:proofErr w:type="spellStart"/>
      <w:r w:rsidRPr="00965611">
        <w:rPr>
          <w:rFonts w:ascii="Book Antiqua" w:eastAsia="宋体" w:hAnsi="Book Antiqua" w:cs="宋体"/>
          <w:lang w:val="en-US" w:eastAsia="zh-CN"/>
        </w:rPr>
        <w:t>Eidtmann</w:t>
      </w:r>
      <w:proofErr w:type="spellEnd"/>
      <w:r w:rsidRPr="00965611">
        <w:rPr>
          <w:rFonts w:ascii="Book Antiqua" w:eastAsia="宋体" w:hAnsi="Book Antiqua" w:cs="宋体"/>
          <w:lang w:val="en-US" w:eastAsia="zh-CN"/>
        </w:rPr>
        <w:t xml:space="preserve"> H, </w:t>
      </w:r>
      <w:proofErr w:type="spellStart"/>
      <w:r w:rsidRPr="00965611">
        <w:rPr>
          <w:rFonts w:ascii="Book Antiqua" w:eastAsia="宋体" w:hAnsi="Book Antiqua" w:cs="宋体"/>
          <w:lang w:val="en-US" w:eastAsia="zh-CN"/>
        </w:rPr>
        <w:t>Hilfrich</w:t>
      </w:r>
      <w:proofErr w:type="spellEnd"/>
      <w:r w:rsidRPr="00965611">
        <w:rPr>
          <w:rFonts w:ascii="Book Antiqua" w:eastAsia="宋体" w:hAnsi="Book Antiqua" w:cs="宋体"/>
          <w:lang w:val="en-US" w:eastAsia="zh-CN"/>
        </w:rPr>
        <w:t xml:space="preserve"> J, </w:t>
      </w:r>
      <w:proofErr w:type="spellStart"/>
      <w:r w:rsidRPr="00965611">
        <w:rPr>
          <w:rFonts w:ascii="Book Antiqua" w:eastAsia="宋体" w:hAnsi="Book Antiqua" w:cs="宋体"/>
          <w:lang w:val="en-US" w:eastAsia="zh-CN"/>
        </w:rPr>
        <w:t>Merkle</w:t>
      </w:r>
      <w:proofErr w:type="spellEnd"/>
      <w:r w:rsidRPr="00965611">
        <w:rPr>
          <w:rFonts w:ascii="Book Antiqua" w:eastAsia="宋体" w:hAnsi="Book Antiqua" w:cs="宋体"/>
          <w:lang w:val="en-US" w:eastAsia="zh-CN"/>
        </w:rPr>
        <w:t xml:space="preserve"> E, </w:t>
      </w:r>
      <w:proofErr w:type="spellStart"/>
      <w:r w:rsidRPr="00965611">
        <w:rPr>
          <w:rFonts w:ascii="Book Antiqua" w:eastAsia="宋体" w:hAnsi="Book Antiqua" w:cs="宋体"/>
          <w:lang w:val="en-US" w:eastAsia="zh-CN"/>
        </w:rPr>
        <w:t>Jackisch</w:t>
      </w:r>
      <w:proofErr w:type="spellEnd"/>
      <w:r w:rsidRPr="00965611">
        <w:rPr>
          <w:rFonts w:ascii="Book Antiqua" w:eastAsia="宋体" w:hAnsi="Book Antiqua" w:cs="宋体"/>
          <w:lang w:val="en-US" w:eastAsia="zh-CN"/>
        </w:rPr>
        <w:t xml:space="preserve"> C, Costa SD, Caputo A, Kaufmann M. Clinical response after two cycles compared to HER2, Ki-67, p53, and bcl-2 in independently predicting a pathological complete response after preoperative chemotherapy in patients with operable carcinoma of the breast. </w:t>
      </w:r>
      <w:r w:rsidRPr="00965611">
        <w:rPr>
          <w:rFonts w:ascii="Book Antiqua" w:eastAsia="宋体" w:hAnsi="Book Antiqua" w:cs="宋体"/>
          <w:i/>
          <w:iCs/>
          <w:lang w:val="en-US" w:eastAsia="zh-CN"/>
        </w:rPr>
        <w:t>Breast Cancer Res</w:t>
      </w:r>
      <w:r w:rsidRPr="00965611">
        <w:rPr>
          <w:rFonts w:ascii="Book Antiqua" w:eastAsia="宋体" w:hAnsi="Book Antiqua" w:cs="宋体"/>
          <w:lang w:val="en-US" w:eastAsia="zh-CN"/>
        </w:rPr>
        <w:t xml:space="preserve"> 2008; </w:t>
      </w:r>
      <w:r w:rsidRPr="00965611">
        <w:rPr>
          <w:rFonts w:ascii="Book Antiqua" w:eastAsia="宋体" w:hAnsi="Book Antiqua" w:cs="宋体"/>
          <w:b/>
          <w:bCs/>
          <w:lang w:val="en-US" w:eastAsia="zh-CN"/>
        </w:rPr>
        <w:t>10</w:t>
      </w:r>
      <w:r w:rsidRPr="00965611">
        <w:rPr>
          <w:rFonts w:ascii="Book Antiqua" w:eastAsia="宋体" w:hAnsi="Book Antiqua" w:cs="宋体"/>
          <w:lang w:val="en-US" w:eastAsia="zh-CN"/>
        </w:rPr>
        <w:t>: R30 [PMID: 18380893 DOI: 10.1186/bcr1989]</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12 </w:t>
      </w:r>
      <w:proofErr w:type="spellStart"/>
      <w:r w:rsidRPr="00965611">
        <w:rPr>
          <w:rFonts w:ascii="Book Antiqua" w:eastAsia="宋体" w:hAnsi="Book Antiqua" w:cs="宋体"/>
          <w:b/>
          <w:bCs/>
          <w:lang w:val="en-US" w:eastAsia="zh-CN"/>
        </w:rPr>
        <w:t>Tsujino</w:t>
      </w:r>
      <w:proofErr w:type="spellEnd"/>
      <w:r w:rsidRPr="00965611">
        <w:rPr>
          <w:rFonts w:ascii="Book Antiqua" w:eastAsia="宋体" w:hAnsi="Book Antiqua" w:cs="宋体"/>
          <w:b/>
          <w:bCs/>
          <w:lang w:val="en-US" w:eastAsia="zh-CN"/>
        </w:rPr>
        <w:t xml:space="preserve"> K</w:t>
      </w:r>
      <w:r w:rsidRPr="00965611">
        <w:rPr>
          <w:rFonts w:ascii="Book Antiqua" w:eastAsia="宋体" w:hAnsi="Book Antiqua" w:cs="宋体"/>
          <w:lang w:val="en-US" w:eastAsia="zh-CN"/>
        </w:rPr>
        <w:t xml:space="preserve">, </w:t>
      </w:r>
      <w:proofErr w:type="spellStart"/>
      <w:r w:rsidRPr="00965611">
        <w:rPr>
          <w:rFonts w:ascii="Book Antiqua" w:eastAsia="宋体" w:hAnsi="Book Antiqua" w:cs="宋体"/>
          <w:lang w:val="en-US" w:eastAsia="zh-CN"/>
        </w:rPr>
        <w:t>Shiraishi</w:t>
      </w:r>
      <w:proofErr w:type="spellEnd"/>
      <w:r w:rsidRPr="00965611">
        <w:rPr>
          <w:rFonts w:ascii="Book Antiqua" w:eastAsia="宋体" w:hAnsi="Book Antiqua" w:cs="宋体"/>
          <w:lang w:val="en-US" w:eastAsia="zh-CN"/>
        </w:rPr>
        <w:t xml:space="preserve"> J, Tsuji T, </w:t>
      </w:r>
      <w:proofErr w:type="spellStart"/>
      <w:r w:rsidRPr="00965611">
        <w:rPr>
          <w:rFonts w:ascii="Book Antiqua" w:eastAsia="宋体" w:hAnsi="Book Antiqua" w:cs="宋体"/>
          <w:lang w:val="en-US" w:eastAsia="zh-CN"/>
        </w:rPr>
        <w:t>Kurata</w:t>
      </w:r>
      <w:proofErr w:type="spellEnd"/>
      <w:r w:rsidRPr="00965611">
        <w:rPr>
          <w:rFonts w:ascii="Book Antiqua" w:eastAsia="宋体" w:hAnsi="Book Antiqua" w:cs="宋体"/>
          <w:lang w:val="en-US" w:eastAsia="zh-CN"/>
        </w:rPr>
        <w:t xml:space="preserve"> T, Kawaguchi T, Kubo A, Takada M. Is response rate increment obtained by molecular targeted agents related to survival benefit in the phase III trials of advanced cancer? </w:t>
      </w:r>
      <w:r w:rsidRPr="00965611">
        <w:rPr>
          <w:rFonts w:ascii="Book Antiqua" w:eastAsia="宋体" w:hAnsi="Book Antiqua" w:cs="宋体"/>
          <w:i/>
          <w:iCs/>
          <w:lang w:val="en-US" w:eastAsia="zh-CN"/>
        </w:rPr>
        <w:t xml:space="preserve">Ann </w:t>
      </w:r>
      <w:proofErr w:type="spellStart"/>
      <w:r w:rsidRPr="00965611">
        <w:rPr>
          <w:rFonts w:ascii="Book Antiqua" w:eastAsia="宋体" w:hAnsi="Book Antiqua" w:cs="宋体"/>
          <w:i/>
          <w:iCs/>
          <w:lang w:val="en-US" w:eastAsia="zh-CN"/>
        </w:rPr>
        <w:t>Oncol</w:t>
      </w:r>
      <w:proofErr w:type="spellEnd"/>
      <w:r w:rsidRPr="00965611">
        <w:rPr>
          <w:rFonts w:ascii="Book Antiqua" w:eastAsia="宋体" w:hAnsi="Book Antiqua" w:cs="宋体"/>
          <w:lang w:val="en-US" w:eastAsia="zh-CN"/>
        </w:rPr>
        <w:t xml:space="preserve"> 2010; </w:t>
      </w:r>
      <w:r w:rsidRPr="00965611">
        <w:rPr>
          <w:rFonts w:ascii="Book Antiqua" w:eastAsia="宋体" w:hAnsi="Book Antiqua" w:cs="宋体"/>
          <w:b/>
          <w:bCs/>
          <w:lang w:val="en-US" w:eastAsia="zh-CN"/>
        </w:rPr>
        <w:t>21</w:t>
      </w:r>
      <w:r w:rsidRPr="00965611">
        <w:rPr>
          <w:rFonts w:ascii="Book Antiqua" w:eastAsia="宋体" w:hAnsi="Book Antiqua" w:cs="宋体"/>
          <w:lang w:val="en-US" w:eastAsia="zh-CN"/>
        </w:rPr>
        <w:t>: 1668-1674 [PMID: 20064832 DOI: 10.1093/</w:t>
      </w:r>
      <w:proofErr w:type="spellStart"/>
      <w:r w:rsidRPr="00965611">
        <w:rPr>
          <w:rFonts w:ascii="Book Antiqua" w:eastAsia="宋体" w:hAnsi="Book Antiqua" w:cs="宋体"/>
          <w:lang w:val="en-US" w:eastAsia="zh-CN"/>
        </w:rPr>
        <w:t>annonc</w:t>
      </w:r>
      <w:proofErr w:type="spellEnd"/>
      <w:r w:rsidRPr="00965611">
        <w:rPr>
          <w:rFonts w:ascii="Book Antiqua" w:eastAsia="宋体" w:hAnsi="Book Antiqua" w:cs="宋体"/>
          <w:lang w:val="en-US" w:eastAsia="zh-CN"/>
        </w:rPr>
        <w:t>/mdp588]</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13 </w:t>
      </w:r>
      <w:proofErr w:type="spellStart"/>
      <w:r w:rsidRPr="00965611">
        <w:rPr>
          <w:rFonts w:ascii="Book Antiqua" w:eastAsia="宋体" w:hAnsi="Book Antiqua" w:cs="宋体"/>
          <w:b/>
          <w:bCs/>
          <w:lang w:val="en-US" w:eastAsia="zh-CN"/>
        </w:rPr>
        <w:t>Wolchok</w:t>
      </w:r>
      <w:proofErr w:type="spellEnd"/>
      <w:r w:rsidRPr="00965611">
        <w:rPr>
          <w:rFonts w:ascii="Book Antiqua" w:eastAsia="宋体" w:hAnsi="Book Antiqua" w:cs="宋体"/>
          <w:b/>
          <w:bCs/>
          <w:lang w:val="en-US" w:eastAsia="zh-CN"/>
        </w:rPr>
        <w:t xml:space="preserve"> JD</w:t>
      </w:r>
      <w:r w:rsidRPr="00965611">
        <w:rPr>
          <w:rFonts w:ascii="Book Antiqua" w:eastAsia="宋体" w:hAnsi="Book Antiqua" w:cs="宋体"/>
          <w:lang w:val="en-US" w:eastAsia="zh-CN"/>
        </w:rPr>
        <w:t xml:space="preserve">, </w:t>
      </w:r>
      <w:proofErr w:type="spellStart"/>
      <w:r w:rsidRPr="00965611">
        <w:rPr>
          <w:rFonts w:ascii="Book Antiqua" w:eastAsia="宋体" w:hAnsi="Book Antiqua" w:cs="宋体"/>
          <w:lang w:val="en-US" w:eastAsia="zh-CN"/>
        </w:rPr>
        <w:t>Hoos</w:t>
      </w:r>
      <w:proofErr w:type="spellEnd"/>
      <w:r w:rsidRPr="00965611">
        <w:rPr>
          <w:rFonts w:ascii="Book Antiqua" w:eastAsia="宋体" w:hAnsi="Book Antiqua" w:cs="宋体"/>
          <w:lang w:val="en-US" w:eastAsia="zh-CN"/>
        </w:rPr>
        <w:t xml:space="preserve"> A, </w:t>
      </w:r>
      <w:proofErr w:type="spellStart"/>
      <w:r w:rsidRPr="00965611">
        <w:rPr>
          <w:rFonts w:ascii="Book Antiqua" w:eastAsia="宋体" w:hAnsi="Book Antiqua" w:cs="宋体"/>
          <w:lang w:val="en-US" w:eastAsia="zh-CN"/>
        </w:rPr>
        <w:t>O'Day</w:t>
      </w:r>
      <w:proofErr w:type="spellEnd"/>
      <w:r w:rsidRPr="00965611">
        <w:rPr>
          <w:rFonts w:ascii="Book Antiqua" w:eastAsia="宋体" w:hAnsi="Book Antiqua" w:cs="宋体"/>
          <w:lang w:val="en-US" w:eastAsia="zh-CN"/>
        </w:rPr>
        <w:t xml:space="preserve"> S, Weber JS, Hamid O, </w:t>
      </w:r>
      <w:proofErr w:type="spellStart"/>
      <w:r w:rsidRPr="00965611">
        <w:rPr>
          <w:rFonts w:ascii="Book Antiqua" w:eastAsia="宋体" w:hAnsi="Book Antiqua" w:cs="宋体"/>
          <w:lang w:val="en-US" w:eastAsia="zh-CN"/>
        </w:rPr>
        <w:t>Lebbé</w:t>
      </w:r>
      <w:proofErr w:type="spellEnd"/>
      <w:r w:rsidRPr="00965611">
        <w:rPr>
          <w:rFonts w:ascii="Book Antiqua" w:eastAsia="宋体" w:hAnsi="Book Antiqua" w:cs="宋体"/>
          <w:lang w:val="en-US" w:eastAsia="zh-CN"/>
        </w:rPr>
        <w:t xml:space="preserve"> C, </w:t>
      </w:r>
      <w:proofErr w:type="spellStart"/>
      <w:r w:rsidRPr="00965611">
        <w:rPr>
          <w:rFonts w:ascii="Book Antiqua" w:eastAsia="宋体" w:hAnsi="Book Antiqua" w:cs="宋体"/>
          <w:lang w:val="en-US" w:eastAsia="zh-CN"/>
        </w:rPr>
        <w:t>Maio</w:t>
      </w:r>
      <w:proofErr w:type="spellEnd"/>
      <w:r w:rsidRPr="00965611">
        <w:rPr>
          <w:rFonts w:ascii="Book Antiqua" w:eastAsia="宋体" w:hAnsi="Book Antiqua" w:cs="宋体"/>
          <w:lang w:val="en-US" w:eastAsia="zh-CN"/>
        </w:rPr>
        <w:t xml:space="preserve"> M, Binder M, </w:t>
      </w:r>
      <w:proofErr w:type="spellStart"/>
      <w:r w:rsidRPr="00965611">
        <w:rPr>
          <w:rFonts w:ascii="Book Antiqua" w:eastAsia="宋体" w:hAnsi="Book Antiqua" w:cs="宋体"/>
          <w:lang w:val="en-US" w:eastAsia="zh-CN"/>
        </w:rPr>
        <w:t>Bohnsack</w:t>
      </w:r>
      <w:proofErr w:type="spellEnd"/>
      <w:r w:rsidRPr="00965611">
        <w:rPr>
          <w:rFonts w:ascii="Book Antiqua" w:eastAsia="宋体" w:hAnsi="Book Antiqua" w:cs="宋体"/>
          <w:lang w:val="en-US" w:eastAsia="zh-CN"/>
        </w:rPr>
        <w:t xml:space="preserve"> O, Nichol G, Humphrey R, </w:t>
      </w:r>
      <w:proofErr w:type="spellStart"/>
      <w:r w:rsidRPr="00965611">
        <w:rPr>
          <w:rFonts w:ascii="Book Antiqua" w:eastAsia="宋体" w:hAnsi="Book Antiqua" w:cs="宋体"/>
          <w:lang w:val="en-US" w:eastAsia="zh-CN"/>
        </w:rPr>
        <w:t>Hodi</w:t>
      </w:r>
      <w:proofErr w:type="spellEnd"/>
      <w:r w:rsidRPr="00965611">
        <w:rPr>
          <w:rFonts w:ascii="Book Antiqua" w:eastAsia="宋体" w:hAnsi="Book Antiqua" w:cs="宋体"/>
          <w:lang w:val="en-US" w:eastAsia="zh-CN"/>
        </w:rPr>
        <w:t xml:space="preserve"> FS. Guidelines for the evaluation of immune therapy activity in solid tumors: immune-related response criteria. </w:t>
      </w:r>
      <w:proofErr w:type="spellStart"/>
      <w:r w:rsidRPr="00965611">
        <w:rPr>
          <w:rFonts w:ascii="Book Antiqua" w:eastAsia="宋体" w:hAnsi="Book Antiqua" w:cs="宋体"/>
          <w:i/>
          <w:iCs/>
          <w:lang w:val="en-US" w:eastAsia="zh-CN"/>
        </w:rPr>
        <w:t>Clin</w:t>
      </w:r>
      <w:proofErr w:type="spellEnd"/>
      <w:r w:rsidRPr="00965611">
        <w:rPr>
          <w:rFonts w:ascii="Book Antiqua" w:eastAsia="宋体" w:hAnsi="Book Antiqua" w:cs="宋体"/>
          <w:i/>
          <w:iCs/>
          <w:lang w:val="en-US" w:eastAsia="zh-CN"/>
        </w:rPr>
        <w:t xml:space="preserve"> Cancer Res</w:t>
      </w:r>
      <w:r w:rsidRPr="00965611">
        <w:rPr>
          <w:rFonts w:ascii="Book Antiqua" w:eastAsia="宋体" w:hAnsi="Book Antiqua" w:cs="宋体"/>
          <w:lang w:val="en-US" w:eastAsia="zh-CN"/>
        </w:rPr>
        <w:t xml:space="preserve"> 2009; </w:t>
      </w:r>
      <w:r w:rsidRPr="00965611">
        <w:rPr>
          <w:rFonts w:ascii="Book Antiqua" w:eastAsia="宋体" w:hAnsi="Book Antiqua" w:cs="宋体"/>
          <w:b/>
          <w:bCs/>
          <w:lang w:val="en-US" w:eastAsia="zh-CN"/>
        </w:rPr>
        <w:t>15</w:t>
      </w:r>
      <w:r w:rsidRPr="00965611">
        <w:rPr>
          <w:rFonts w:ascii="Book Antiqua" w:eastAsia="宋体" w:hAnsi="Book Antiqua" w:cs="宋体"/>
          <w:lang w:val="en-US" w:eastAsia="zh-CN"/>
        </w:rPr>
        <w:t>: 7412-7420 [PMID: 19934295 DOI: 10.1158/1078-0432]</w:t>
      </w:r>
    </w:p>
    <w:p w:rsidR="00965611" w:rsidRPr="00965611" w:rsidRDefault="00965611" w:rsidP="00965611">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14 </w:t>
      </w:r>
      <w:proofErr w:type="spellStart"/>
      <w:r w:rsidRPr="00965611">
        <w:rPr>
          <w:rFonts w:ascii="Book Antiqua" w:eastAsia="宋体" w:hAnsi="Book Antiqua" w:cs="宋体"/>
          <w:b/>
          <w:lang w:val="en-US" w:eastAsia="zh-CN"/>
        </w:rPr>
        <w:t>Hodi</w:t>
      </w:r>
      <w:proofErr w:type="spellEnd"/>
      <w:r w:rsidRPr="00965611">
        <w:rPr>
          <w:rFonts w:ascii="Book Antiqua" w:eastAsia="宋体" w:hAnsi="Book Antiqua" w:cs="宋体"/>
          <w:b/>
          <w:lang w:val="en-US" w:eastAsia="zh-CN"/>
        </w:rPr>
        <w:t xml:space="preserve"> FS</w:t>
      </w:r>
      <w:r w:rsidRPr="00965611">
        <w:rPr>
          <w:rFonts w:ascii="Book Antiqua" w:eastAsia="宋体" w:hAnsi="Book Antiqua" w:cs="宋体"/>
          <w:lang w:val="en-US" w:eastAsia="zh-CN"/>
        </w:rPr>
        <w:t xml:space="preserve">, </w:t>
      </w:r>
      <w:proofErr w:type="spellStart"/>
      <w:r w:rsidRPr="00965611">
        <w:rPr>
          <w:rFonts w:ascii="Book Antiqua" w:eastAsia="宋体" w:hAnsi="Book Antiqua" w:cs="宋体"/>
          <w:lang w:val="en-US" w:eastAsia="zh-CN"/>
        </w:rPr>
        <w:t>Sznol</w:t>
      </w:r>
      <w:proofErr w:type="spellEnd"/>
      <w:r w:rsidRPr="00965611">
        <w:rPr>
          <w:rFonts w:ascii="Book Antiqua" w:eastAsia="宋体" w:hAnsi="Book Antiqua" w:cs="宋体"/>
          <w:lang w:val="en-US" w:eastAsia="zh-CN"/>
        </w:rPr>
        <w:t xml:space="preserve"> M, </w:t>
      </w:r>
      <w:proofErr w:type="spellStart"/>
      <w:r w:rsidRPr="00965611">
        <w:rPr>
          <w:rFonts w:ascii="Book Antiqua" w:eastAsia="宋体" w:hAnsi="Book Antiqua" w:cs="宋体"/>
          <w:lang w:val="en-US" w:eastAsia="zh-CN"/>
        </w:rPr>
        <w:t>Kluger</w:t>
      </w:r>
      <w:proofErr w:type="spellEnd"/>
      <w:r w:rsidRPr="00965611">
        <w:rPr>
          <w:rFonts w:ascii="Book Antiqua" w:eastAsia="宋体" w:hAnsi="Book Antiqua" w:cs="宋体"/>
          <w:lang w:val="en-US" w:eastAsia="zh-CN"/>
        </w:rPr>
        <w:t xml:space="preserve"> HM, McDermott DF, </w:t>
      </w:r>
      <w:proofErr w:type="spellStart"/>
      <w:r w:rsidRPr="00965611">
        <w:rPr>
          <w:rFonts w:ascii="Book Antiqua" w:eastAsia="宋体" w:hAnsi="Book Antiqua" w:cs="宋体"/>
          <w:lang w:val="en-US" w:eastAsia="zh-CN"/>
        </w:rPr>
        <w:t>Carvajal</w:t>
      </w:r>
      <w:proofErr w:type="spellEnd"/>
      <w:r w:rsidRPr="00965611">
        <w:rPr>
          <w:rFonts w:ascii="Book Antiqua" w:eastAsia="宋体" w:hAnsi="Book Antiqua" w:cs="宋体"/>
          <w:lang w:val="en-US" w:eastAsia="zh-CN"/>
        </w:rPr>
        <w:t xml:space="preserve"> RD, Lawrence DP, </w:t>
      </w:r>
      <w:proofErr w:type="spellStart"/>
      <w:r w:rsidRPr="00965611">
        <w:rPr>
          <w:rFonts w:ascii="Book Antiqua" w:eastAsia="宋体" w:hAnsi="Book Antiqua" w:cs="宋体"/>
          <w:lang w:val="en-US" w:eastAsia="zh-CN"/>
        </w:rPr>
        <w:t>Topalian</w:t>
      </w:r>
      <w:proofErr w:type="spellEnd"/>
      <w:r w:rsidRPr="00965611">
        <w:rPr>
          <w:rFonts w:ascii="Book Antiqua" w:eastAsia="宋体" w:hAnsi="Book Antiqua" w:cs="宋体"/>
          <w:lang w:val="en-US" w:eastAsia="zh-CN"/>
        </w:rPr>
        <w:t xml:space="preserve"> SL, Atkins MB, Powderly JD, </w:t>
      </w:r>
      <w:proofErr w:type="spellStart"/>
      <w:r w:rsidRPr="00965611">
        <w:rPr>
          <w:rFonts w:ascii="Book Antiqua" w:eastAsia="宋体" w:hAnsi="Book Antiqua" w:cs="宋体"/>
          <w:lang w:val="en-US" w:eastAsia="zh-CN"/>
        </w:rPr>
        <w:t>Sharfman</w:t>
      </w:r>
      <w:proofErr w:type="spellEnd"/>
      <w:r w:rsidRPr="00965611">
        <w:rPr>
          <w:rFonts w:ascii="Book Antiqua" w:eastAsia="宋体" w:hAnsi="Book Antiqua" w:cs="宋体"/>
          <w:lang w:val="en-US" w:eastAsia="zh-CN"/>
        </w:rPr>
        <w:t xml:space="preserve"> WH, </w:t>
      </w:r>
      <w:proofErr w:type="spellStart"/>
      <w:r w:rsidRPr="00965611">
        <w:rPr>
          <w:rFonts w:ascii="Book Antiqua" w:eastAsia="宋体" w:hAnsi="Book Antiqua" w:cs="宋体"/>
          <w:lang w:val="en-US" w:eastAsia="zh-CN"/>
        </w:rPr>
        <w:t>Puzanov</w:t>
      </w:r>
      <w:proofErr w:type="spellEnd"/>
      <w:r w:rsidRPr="00965611">
        <w:rPr>
          <w:rFonts w:ascii="Book Antiqua" w:eastAsia="宋体" w:hAnsi="Book Antiqua" w:cs="宋体"/>
          <w:lang w:val="en-US" w:eastAsia="zh-CN"/>
        </w:rPr>
        <w:t xml:space="preserve"> I, Smith DC, </w:t>
      </w:r>
      <w:proofErr w:type="spellStart"/>
      <w:r w:rsidRPr="00965611">
        <w:rPr>
          <w:rFonts w:ascii="Book Antiqua" w:eastAsia="宋体" w:hAnsi="Book Antiqua" w:cs="宋体"/>
          <w:lang w:val="en-US" w:eastAsia="zh-CN"/>
        </w:rPr>
        <w:t>Leming</w:t>
      </w:r>
      <w:proofErr w:type="spellEnd"/>
      <w:r w:rsidRPr="00965611">
        <w:rPr>
          <w:rFonts w:ascii="Book Antiqua" w:eastAsia="宋体" w:hAnsi="Book Antiqua" w:cs="宋体"/>
          <w:lang w:val="en-US" w:eastAsia="zh-CN"/>
        </w:rPr>
        <w:t xml:space="preserve"> PD, Lipson EJ, Taube JM, Anders</w:t>
      </w:r>
      <w:r>
        <w:rPr>
          <w:rFonts w:ascii="Book Antiqua" w:eastAsia="宋体" w:hAnsi="Book Antiqua" w:cs="宋体"/>
          <w:lang w:val="en-US" w:eastAsia="zh-CN"/>
        </w:rPr>
        <w:t xml:space="preserve"> R, </w:t>
      </w:r>
      <w:proofErr w:type="spellStart"/>
      <w:r>
        <w:rPr>
          <w:rFonts w:ascii="Book Antiqua" w:eastAsia="宋体" w:hAnsi="Book Antiqua" w:cs="宋体"/>
          <w:lang w:val="en-US" w:eastAsia="zh-CN"/>
        </w:rPr>
        <w:t>Horak</w:t>
      </w:r>
      <w:proofErr w:type="spellEnd"/>
      <w:r>
        <w:rPr>
          <w:rFonts w:ascii="Book Antiqua" w:eastAsia="宋体" w:hAnsi="Book Antiqua" w:cs="宋体"/>
          <w:lang w:val="en-US" w:eastAsia="zh-CN"/>
        </w:rPr>
        <w:t xml:space="preserve"> CE, </w:t>
      </w:r>
      <w:proofErr w:type="spellStart"/>
      <w:r>
        <w:rPr>
          <w:rFonts w:ascii="Book Antiqua" w:eastAsia="宋体" w:hAnsi="Book Antiqua" w:cs="宋体"/>
          <w:lang w:val="en-US" w:eastAsia="zh-CN"/>
        </w:rPr>
        <w:t>Kollia</w:t>
      </w:r>
      <w:proofErr w:type="spellEnd"/>
      <w:r>
        <w:rPr>
          <w:rFonts w:ascii="Book Antiqua" w:eastAsia="宋体" w:hAnsi="Book Antiqua" w:cs="宋体"/>
          <w:lang w:val="en-US" w:eastAsia="zh-CN"/>
        </w:rPr>
        <w:t xml:space="preserve"> G</w:t>
      </w:r>
      <w:r w:rsidRPr="00965611">
        <w:rPr>
          <w:rFonts w:ascii="Book Antiqua" w:eastAsia="宋体" w:hAnsi="Book Antiqua" w:cs="宋体"/>
          <w:lang w:val="en-US" w:eastAsia="zh-CN"/>
        </w:rPr>
        <w:t xml:space="preserve">, Gupta AK, </w:t>
      </w:r>
      <w:proofErr w:type="spellStart"/>
      <w:r w:rsidRPr="00965611">
        <w:rPr>
          <w:rFonts w:ascii="Book Antiqua" w:eastAsia="宋体" w:hAnsi="Book Antiqua" w:cs="宋体"/>
          <w:lang w:val="en-US" w:eastAsia="zh-CN"/>
        </w:rPr>
        <w:t>Sosman</w:t>
      </w:r>
      <w:proofErr w:type="spellEnd"/>
      <w:r w:rsidRPr="00965611">
        <w:rPr>
          <w:rFonts w:ascii="Book Antiqua" w:eastAsia="宋体" w:hAnsi="Book Antiqua" w:cs="宋体"/>
          <w:lang w:val="en-US" w:eastAsia="zh-CN"/>
        </w:rPr>
        <w:t xml:space="preserve"> JA. </w:t>
      </w:r>
      <w:proofErr w:type="gramStart"/>
      <w:r w:rsidRPr="00965611">
        <w:rPr>
          <w:rFonts w:ascii="Book Antiqua" w:eastAsia="宋体" w:hAnsi="Book Antiqua" w:cs="宋体"/>
          <w:lang w:val="en-US" w:eastAsia="zh-CN"/>
        </w:rPr>
        <w:t>Long term</w:t>
      </w:r>
      <w:proofErr w:type="gramEnd"/>
      <w:r w:rsidRPr="00965611">
        <w:rPr>
          <w:rFonts w:ascii="Book Antiqua" w:eastAsia="宋体" w:hAnsi="Book Antiqua" w:cs="宋体"/>
          <w:lang w:val="en-US" w:eastAsia="zh-CN"/>
        </w:rPr>
        <w:t xml:space="preserve"> survival of </w:t>
      </w:r>
      <w:proofErr w:type="spellStart"/>
      <w:r w:rsidRPr="00965611">
        <w:rPr>
          <w:rFonts w:ascii="Book Antiqua" w:eastAsia="宋体" w:hAnsi="Book Antiqua" w:cs="宋体"/>
          <w:lang w:val="en-US" w:eastAsia="zh-CN"/>
        </w:rPr>
        <w:t>ipilimumab</w:t>
      </w:r>
      <w:proofErr w:type="spellEnd"/>
      <w:r w:rsidRPr="00965611">
        <w:rPr>
          <w:rFonts w:ascii="Book Antiqua" w:eastAsia="宋体" w:hAnsi="Book Antiqua" w:cs="宋体"/>
          <w:lang w:val="en-US" w:eastAsia="zh-CN"/>
        </w:rPr>
        <w:t>-naive patients (</w:t>
      </w:r>
      <w:proofErr w:type="spellStart"/>
      <w:r w:rsidRPr="00965611">
        <w:rPr>
          <w:rFonts w:ascii="Book Antiqua" w:eastAsia="宋体" w:hAnsi="Book Antiqua" w:cs="宋体"/>
          <w:lang w:val="en-US" w:eastAsia="zh-CN"/>
        </w:rPr>
        <w:t>pts</w:t>
      </w:r>
      <w:proofErr w:type="spellEnd"/>
      <w:r w:rsidRPr="00965611">
        <w:rPr>
          <w:rFonts w:ascii="Book Antiqua" w:eastAsia="宋体" w:hAnsi="Book Antiqua" w:cs="宋体"/>
          <w:lang w:val="en-US" w:eastAsia="zh-CN"/>
        </w:rPr>
        <w:t xml:space="preserve">) with advanced melanoma (MEL) treated with </w:t>
      </w:r>
      <w:proofErr w:type="spellStart"/>
      <w:r w:rsidRPr="00965611">
        <w:rPr>
          <w:rFonts w:ascii="Book Antiqua" w:eastAsia="宋体" w:hAnsi="Book Antiqua" w:cs="宋体"/>
          <w:lang w:val="en-US" w:eastAsia="zh-CN"/>
        </w:rPr>
        <w:t>nivolumab</w:t>
      </w:r>
      <w:proofErr w:type="spellEnd"/>
      <w:r w:rsidRPr="00965611">
        <w:rPr>
          <w:rFonts w:ascii="Book Antiqua" w:eastAsia="宋体" w:hAnsi="Book Antiqua" w:cs="宋体"/>
          <w:lang w:val="en-US" w:eastAsia="zh-CN"/>
        </w:rPr>
        <w:t xml:space="preserve"> (anti-PD-1, BMS-936558, ONO-4538) in a phase I trial. ASCO Annual Meeting 2014 May 30- Jun 3; Chicago, Illinois, USA. </w:t>
      </w:r>
      <w:r w:rsidRPr="00965611">
        <w:rPr>
          <w:rFonts w:ascii="Book Antiqua" w:eastAsia="宋体" w:hAnsi="Book Antiqua" w:cs="宋体"/>
          <w:i/>
          <w:lang w:val="en-US" w:eastAsia="zh-CN"/>
        </w:rPr>
        <w:t xml:space="preserve">J </w:t>
      </w:r>
      <w:proofErr w:type="spellStart"/>
      <w:r w:rsidRPr="00965611">
        <w:rPr>
          <w:rFonts w:ascii="Book Antiqua" w:eastAsia="宋体" w:hAnsi="Book Antiqua" w:cs="宋体"/>
          <w:i/>
          <w:lang w:val="en-US" w:eastAsia="zh-CN"/>
        </w:rPr>
        <w:t>Clin</w:t>
      </w:r>
      <w:proofErr w:type="spellEnd"/>
      <w:r w:rsidRPr="00965611">
        <w:rPr>
          <w:rFonts w:ascii="Book Antiqua" w:eastAsia="宋体" w:hAnsi="Book Antiqua" w:cs="宋体"/>
          <w:i/>
          <w:lang w:val="en-US" w:eastAsia="zh-CN"/>
        </w:rPr>
        <w:t xml:space="preserve"> </w:t>
      </w:r>
      <w:proofErr w:type="spellStart"/>
      <w:r w:rsidRPr="00965611">
        <w:rPr>
          <w:rFonts w:ascii="Book Antiqua" w:eastAsia="宋体" w:hAnsi="Book Antiqua" w:cs="宋体"/>
          <w:i/>
          <w:lang w:val="en-US" w:eastAsia="zh-CN"/>
        </w:rPr>
        <w:t>Oncol</w:t>
      </w:r>
      <w:proofErr w:type="spellEnd"/>
      <w:r w:rsidRPr="00965611">
        <w:rPr>
          <w:rFonts w:ascii="Book Antiqua" w:eastAsia="宋体" w:hAnsi="Book Antiqua" w:cs="宋体"/>
          <w:lang w:val="en-US" w:eastAsia="zh-CN"/>
        </w:rPr>
        <w:t xml:space="preserve"> </w:t>
      </w:r>
      <w:r>
        <w:rPr>
          <w:rFonts w:ascii="Book Antiqua" w:eastAsia="宋体" w:hAnsi="Book Antiqua" w:cs="宋体" w:hint="eastAsia"/>
          <w:lang w:val="en-US" w:eastAsia="zh-CN"/>
        </w:rPr>
        <w:t xml:space="preserve">2014; </w:t>
      </w:r>
      <w:r w:rsidRPr="00965611">
        <w:rPr>
          <w:rFonts w:ascii="Book Antiqua" w:eastAsia="宋体" w:hAnsi="Book Antiqua" w:cs="宋体"/>
          <w:b/>
          <w:lang w:val="en-US" w:eastAsia="zh-CN"/>
        </w:rPr>
        <w:t>32</w:t>
      </w:r>
      <w:r w:rsidRPr="00965611">
        <w:rPr>
          <w:rFonts w:ascii="Book Antiqua" w:eastAsia="宋体" w:hAnsi="Book Antiqua" w:cs="宋体"/>
          <w:lang w:val="en-US" w:eastAsia="zh-CN"/>
        </w:rPr>
        <w:t>: 5s (</w:t>
      </w:r>
      <w:proofErr w:type="spellStart"/>
      <w:r w:rsidRPr="00965611">
        <w:rPr>
          <w:rFonts w:ascii="Book Antiqua" w:eastAsia="宋体" w:hAnsi="Book Antiqua" w:cs="宋体"/>
          <w:lang w:val="en-US" w:eastAsia="zh-CN"/>
        </w:rPr>
        <w:t>suppl</w:t>
      </w:r>
      <w:proofErr w:type="spellEnd"/>
      <w:r w:rsidRPr="00965611">
        <w:rPr>
          <w:rFonts w:ascii="Book Antiqua" w:eastAsia="宋体" w:hAnsi="Book Antiqua" w:cs="宋体"/>
          <w:lang w:val="en-US" w:eastAsia="zh-CN"/>
        </w:rPr>
        <w:t xml:space="preserve">; </w:t>
      </w:r>
      <w:proofErr w:type="spellStart"/>
      <w:r w:rsidRPr="00965611">
        <w:rPr>
          <w:rFonts w:ascii="Book Antiqua" w:eastAsia="宋体" w:hAnsi="Book Antiqua" w:cs="宋体"/>
          <w:lang w:val="en-US" w:eastAsia="zh-CN"/>
        </w:rPr>
        <w:t>abstr</w:t>
      </w:r>
      <w:proofErr w:type="spellEnd"/>
      <w:r w:rsidRPr="00965611">
        <w:rPr>
          <w:rFonts w:ascii="Book Antiqua" w:eastAsia="宋体" w:hAnsi="Book Antiqua" w:cs="宋体"/>
          <w:lang w:val="en-US" w:eastAsia="zh-CN"/>
        </w:rPr>
        <w:t xml:space="preserve"> 9002)</w:t>
      </w:r>
    </w:p>
    <w:p w:rsidR="00965611" w:rsidRPr="00965611" w:rsidRDefault="00965611" w:rsidP="00965611">
      <w:pPr>
        <w:spacing w:line="360" w:lineRule="auto"/>
        <w:jc w:val="both"/>
        <w:rPr>
          <w:rFonts w:ascii="Book Antiqua" w:eastAsia="宋体" w:hAnsi="Book Antiqua" w:cs="宋体"/>
          <w:lang w:val="en-US" w:eastAsia="zh-CN"/>
        </w:rPr>
      </w:pPr>
      <w:proofErr w:type="gramStart"/>
      <w:r w:rsidRPr="00965611">
        <w:rPr>
          <w:rFonts w:ascii="Book Antiqua" w:eastAsia="宋体" w:hAnsi="Book Antiqua" w:cs="宋体"/>
          <w:lang w:val="en-US" w:eastAsia="zh-CN"/>
        </w:rPr>
        <w:lastRenderedPageBreak/>
        <w:t xml:space="preserve">15 </w:t>
      </w:r>
      <w:proofErr w:type="spellStart"/>
      <w:r w:rsidRPr="00965611">
        <w:rPr>
          <w:rFonts w:ascii="Book Antiqua" w:eastAsia="宋体" w:hAnsi="Book Antiqua" w:cs="宋体"/>
          <w:b/>
          <w:bCs/>
          <w:lang w:val="en-US" w:eastAsia="zh-CN"/>
        </w:rPr>
        <w:t>Chiou</w:t>
      </w:r>
      <w:proofErr w:type="spellEnd"/>
      <w:r w:rsidRPr="00965611">
        <w:rPr>
          <w:rFonts w:ascii="Book Antiqua" w:eastAsia="宋体" w:hAnsi="Book Antiqua" w:cs="宋体"/>
          <w:b/>
          <w:bCs/>
          <w:lang w:val="en-US" w:eastAsia="zh-CN"/>
        </w:rPr>
        <w:t xml:space="preserve"> VL</w:t>
      </w:r>
      <w:r w:rsidRPr="00965611">
        <w:rPr>
          <w:rFonts w:ascii="Book Antiqua" w:eastAsia="宋体" w:hAnsi="Book Antiqua" w:cs="宋体"/>
          <w:lang w:val="en-US" w:eastAsia="zh-CN"/>
        </w:rPr>
        <w:t xml:space="preserve">, </w:t>
      </w:r>
      <w:proofErr w:type="spellStart"/>
      <w:r w:rsidRPr="00965611">
        <w:rPr>
          <w:rFonts w:ascii="Book Antiqua" w:eastAsia="宋体" w:hAnsi="Book Antiqua" w:cs="宋体"/>
          <w:lang w:val="en-US" w:eastAsia="zh-CN"/>
        </w:rPr>
        <w:t>Burotto</w:t>
      </w:r>
      <w:proofErr w:type="spellEnd"/>
      <w:r w:rsidRPr="00965611">
        <w:rPr>
          <w:rFonts w:ascii="Book Antiqua" w:eastAsia="宋体" w:hAnsi="Book Antiqua" w:cs="宋体"/>
          <w:lang w:val="en-US" w:eastAsia="zh-CN"/>
        </w:rPr>
        <w:t xml:space="preserve"> M. </w:t>
      </w:r>
      <w:proofErr w:type="spellStart"/>
      <w:r w:rsidRPr="00965611">
        <w:rPr>
          <w:rFonts w:ascii="Book Antiqua" w:eastAsia="宋体" w:hAnsi="Book Antiqua" w:cs="宋体"/>
          <w:lang w:val="en-US" w:eastAsia="zh-CN"/>
        </w:rPr>
        <w:t>Pseudoprogression</w:t>
      </w:r>
      <w:proofErr w:type="spellEnd"/>
      <w:r w:rsidRPr="00965611">
        <w:rPr>
          <w:rFonts w:ascii="Book Antiqua" w:eastAsia="宋体" w:hAnsi="Book Antiqua" w:cs="宋体"/>
          <w:lang w:val="en-US" w:eastAsia="zh-CN"/>
        </w:rPr>
        <w:t xml:space="preserve"> and Immune-Related Response in Solid Tumors.</w:t>
      </w:r>
      <w:proofErr w:type="gramEnd"/>
      <w:r w:rsidRPr="00965611">
        <w:rPr>
          <w:rFonts w:ascii="Book Antiqua" w:eastAsia="宋体" w:hAnsi="Book Antiqua" w:cs="宋体"/>
          <w:lang w:val="en-US" w:eastAsia="zh-CN"/>
        </w:rPr>
        <w:t xml:space="preserve"> </w:t>
      </w:r>
      <w:r w:rsidRPr="00965611">
        <w:rPr>
          <w:rFonts w:ascii="Book Antiqua" w:eastAsia="宋体" w:hAnsi="Book Antiqua" w:cs="宋体"/>
          <w:i/>
          <w:iCs/>
          <w:lang w:val="en-US" w:eastAsia="zh-CN"/>
        </w:rPr>
        <w:t xml:space="preserve">J </w:t>
      </w:r>
      <w:proofErr w:type="spellStart"/>
      <w:r w:rsidRPr="00965611">
        <w:rPr>
          <w:rFonts w:ascii="Book Antiqua" w:eastAsia="宋体" w:hAnsi="Book Antiqua" w:cs="宋体"/>
          <w:i/>
          <w:iCs/>
          <w:lang w:val="en-US" w:eastAsia="zh-CN"/>
        </w:rPr>
        <w:t>Clin</w:t>
      </w:r>
      <w:proofErr w:type="spellEnd"/>
      <w:r w:rsidRPr="00965611">
        <w:rPr>
          <w:rFonts w:ascii="Book Antiqua" w:eastAsia="宋体" w:hAnsi="Book Antiqua" w:cs="宋体"/>
          <w:i/>
          <w:iCs/>
          <w:lang w:val="en-US" w:eastAsia="zh-CN"/>
        </w:rPr>
        <w:t xml:space="preserve"> </w:t>
      </w:r>
      <w:proofErr w:type="spellStart"/>
      <w:r w:rsidRPr="00965611">
        <w:rPr>
          <w:rFonts w:ascii="Book Antiqua" w:eastAsia="宋体" w:hAnsi="Book Antiqua" w:cs="宋体"/>
          <w:i/>
          <w:iCs/>
          <w:lang w:val="en-US" w:eastAsia="zh-CN"/>
        </w:rPr>
        <w:t>Oncol</w:t>
      </w:r>
      <w:proofErr w:type="spellEnd"/>
      <w:r w:rsidRPr="00965611">
        <w:rPr>
          <w:rFonts w:ascii="Book Antiqua" w:eastAsia="宋体" w:hAnsi="Book Antiqua" w:cs="宋体"/>
          <w:lang w:val="en-US" w:eastAsia="zh-CN"/>
        </w:rPr>
        <w:t xml:space="preserve"> 2015; </w:t>
      </w:r>
      <w:r w:rsidRPr="00965611">
        <w:rPr>
          <w:rFonts w:ascii="Book Antiqua" w:eastAsia="宋体" w:hAnsi="Book Antiqua" w:cs="宋体"/>
          <w:b/>
          <w:bCs/>
          <w:lang w:val="en-US" w:eastAsia="zh-CN"/>
        </w:rPr>
        <w:t>33</w:t>
      </w:r>
      <w:r w:rsidRPr="00965611">
        <w:rPr>
          <w:rFonts w:ascii="Book Antiqua" w:eastAsia="宋体" w:hAnsi="Book Antiqua" w:cs="宋体"/>
          <w:lang w:val="en-US" w:eastAsia="zh-CN"/>
        </w:rPr>
        <w:t>: 3541-3543 [PMID: 26261262 DOI: 10.1200/JCO.2015.61.6870]</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16 </w:t>
      </w:r>
      <w:proofErr w:type="spellStart"/>
      <w:r w:rsidRPr="00965611">
        <w:rPr>
          <w:rFonts w:ascii="Book Antiqua" w:eastAsia="宋体" w:hAnsi="Book Antiqua" w:cs="宋体"/>
          <w:b/>
          <w:bCs/>
          <w:lang w:val="en-US" w:eastAsia="zh-CN"/>
        </w:rPr>
        <w:t>Hodi</w:t>
      </w:r>
      <w:proofErr w:type="spellEnd"/>
      <w:r w:rsidRPr="00965611">
        <w:rPr>
          <w:rFonts w:ascii="Book Antiqua" w:eastAsia="宋体" w:hAnsi="Book Antiqua" w:cs="宋体"/>
          <w:b/>
          <w:bCs/>
          <w:lang w:val="en-US" w:eastAsia="zh-CN"/>
        </w:rPr>
        <w:t xml:space="preserve"> FS</w:t>
      </w:r>
      <w:r w:rsidRPr="00965611">
        <w:rPr>
          <w:rFonts w:ascii="Book Antiqua" w:eastAsia="宋体" w:hAnsi="Book Antiqua" w:cs="宋体"/>
          <w:lang w:val="en-US" w:eastAsia="zh-CN"/>
        </w:rPr>
        <w:t xml:space="preserve">, </w:t>
      </w:r>
      <w:proofErr w:type="spellStart"/>
      <w:r w:rsidRPr="00965611">
        <w:rPr>
          <w:rFonts w:ascii="Book Antiqua" w:eastAsia="宋体" w:hAnsi="Book Antiqua" w:cs="宋体"/>
          <w:lang w:val="en-US" w:eastAsia="zh-CN"/>
        </w:rPr>
        <w:t>Hwu</w:t>
      </w:r>
      <w:proofErr w:type="spellEnd"/>
      <w:r w:rsidRPr="00965611">
        <w:rPr>
          <w:rFonts w:ascii="Book Antiqua" w:eastAsia="宋体" w:hAnsi="Book Antiqua" w:cs="宋体"/>
          <w:lang w:val="en-US" w:eastAsia="zh-CN"/>
        </w:rPr>
        <w:t xml:space="preserve"> WJ, </w:t>
      </w:r>
      <w:proofErr w:type="spellStart"/>
      <w:r w:rsidRPr="00965611">
        <w:rPr>
          <w:rFonts w:ascii="Book Antiqua" w:eastAsia="宋体" w:hAnsi="Book Antiqua" w:cs="宋体"/>
          <w:lang w:val="en-US" w:eastAsia="zh-CN"/>
        </w:rPr>
        <w:t>Kefford</w:t>
      </w:r>
      <w:proofErr w:type="spellEnd"/>
      <w:r w:rsidRPr="00965611">
        <w:rPr>
          <w:rFonts w:ascii="Book Antiqua" w:eastAsia="宋体" w:hAnsi="Book Antiqua" w:cs="宋体"/>
          <w:lang w:val="en-US" w:eastAsia="zh-CN"/>
        </w:rPr>
        <w:t xml:space="preserve"> R, Weber JS, </w:t>
      </w:r>
      <w:proofErr w:type="spellStart"/>
      <w:r w:rsidRPr="00965611">
        <w:rPr>
          <w:rFonts w:ascii="Book Antiqua" w:eastAsia="宋体" w:hAnsi="Book Antiqua" w:cs="宋体"/>
          <w:lang w:val="en-US" w:eastAsia="zh-CN"/>
        </w:rPr>
        <w:t>Daud</w:t>
      </w:r>
      <w:proofErr w:type="spellEnd"/>
      <w:r w:rsidRPr="00965611">
        <w:rPr>
          <w:rFonts w:ascii="Book Antiqua" w:eastAsia="宋体" w:hAnsi="Book Antiqua" w:cs="宋体"/>
          <w:lang w:val="en-US" w:eastAsia="zh-CN"/>
        </w:rPr>
        <w:t xml:space="preserve"> A, Hamid O, </w:t>
      </w:r>
      <w:proofErr w:type="spellStart"/>
      <w:r w:rsidRPr="00965611">
        <w:rPr>
          <w:rFonts w:ascii="Book Antiqua" w:eastAsia="宋体" w:hAnsi="Book Antiqua" w:cs="宋体"/>
          <w:lang w:val="en-US" w:eastAsia="zh-CN"/>
        </w:rPr>
        <w:t>Patnaik</w:t>
      </w:r>
      <w:proofErr w:type="spellEnd"/>
      <w:r w:rsidRPr="00965611">
        <w:rPr>
          <w:rFonts w:ascii="Book Antiqua" w:eastAsia="宋体" w:hAnsi="Book Antiqua" w:cs="宋体"/>
          <w:lang w:val="en-US" w:eastAsia="zh-CN"/>
        </w:rPr>
        <w:t xml:space="preserve"> A, </w:t>
      </w:r>
      <w:proofErr w:type="spellStart"/>
      <w:r w:rsidRPr="00965611">
        <w:rPr>
          <w:rFonts w:ascii="Book Antiqua" w:eastAsia="宋体" w:hAnsi="Book Antiqua" w:cs="宋体"/>
          <w:lang w:val="en-US" w:eastAsia="zh-CN"/>
        </w:rPr>
        <w:t>Ribas</w:t>
      </w:r>
      <w:proofErr w:type="spellEnd"/>
      <w:r w:rsidRPr="00965611">
        <w:rPr>
          <w:rFonts w:ascii="Book Antiqua" w:eastAsia="宋体" w:hAnsi="Book Antiqua" w:cs="宋体"/>
          <w:lang w:val="en-US" w:eastAsia="zh-CN"/>
        </w:rPr>
        <w:t xml:space="preserve"> A, Robert C, </w:t>
      </w:r>
      <w:proofErr w:type="spellStart"/>
      <w:r w:rsidRPr="00965611">
        <w:rPr>
          <w:rFonts w:ascii="Book Antiqua" w:eastAsia="宋体" w:hAnsi="Book Antiqua" w:cs="宋体"/>
          <w:lang w:val="en-US" w:eastAsia="zh-CN"/>
        </w:rPr>
        <w:t>Gangadhar</w:t>
      </w:r>
      <w:proofErr w:type="spellEnd"/>
      <w:r w:rsidRPr="00965611">
        <w:rPr>
          <w:rFonts w:ascii="Book Antiqua" w:eastAsia="宋体" w:hAnsi="Book Antiqua" w:cs="宋体"/>
          <w:lang w:val="en-US" w:eastAsia="zh-CN"/>
        </w:rPr>
        <w:t xml:space="preserve"> TC, Joshua AM, Hersey P, </w:t>
      </w:r>
      <w:proofErr w:type="spellStart"/>
      <w:r w:rsidRPr="00965611">
        <w:rPr>
          <w:rFonts w:ascii="Book Antiqua" w:eastAsia="宋体" w:hAnsi="Book Antiqua" w:cs="宋体"/>
          <w:lang w:val="en-US" w:eastAsia="zh-CN"/>
        </w:rPr>
        <w:t>Dronca</w:t>
      </w:r>
      <w:proofErr w:type="spellEnd"/>
      <w:r w:rsidRPr="00965611">
        <w:rPr>
          <w:rFonts w:ascii="Book Antiqua" w:eastAsia="宋体" w:hAnsi="Book Antiqua" w:cs="宋体"/>
          <w:lang w:val="en-US" w:eastAsia="zh-CN"/>
        </w:rPr>
        <w:t xml:space="preserve"> R, Joseph R, </w:t>
      </w:r>
      <w:proofErr w:type="spellStart"/>
      <w:r w:rsidRPr="00965611">
        <w:rPr>
          <w:rFonts w:ascii="Book Antiqua" w:eastAsia="宋体" w:hAnsi="Book Antiqua" w:cs="宋体"/>
          <w:lang w:val="en-US" w:eastAsia="zh-CN"/>
        </w:rPr>
        <w:t>Hille</w:t>
      </w:r>
      <w:proofErr w:type="spellEnd"/>
      <w:r w:rsidRPr="00965611">
        <w:rPr>
          <w:rFonts w:ascii="Book Antiqua" w:eastAsia="宋体" w:hAnsi="Book Antiqua" w:cs="宋体"/>
          <w:lang w:val="en-US" w:eastAsia="zh-CN"/>
        </w:rPr>
        <w:t xml:space="preserve"> D, </w:t>
      </w:r>
      <w:proofErr w:type="spellStart"/>
      <w:r w:rsidRPr="00965611">
        <w:rPr>
          <w:rFonts w:ascii="Book Antiqua" w:eastAsia="宋体" w:hAnsi="Book Antiqua" w:cs="宋体"/>
          <w:lang w:val="en-US" w:eastAsia="zh-CN"/>
        </w:rPr>
        <w:t>Xue</w:t>
      </w:r>
      <w:proofErr w:type="spellEnd"/>
      <w:r w:rsidRPr="00965611">
        <w:rPr>
          <w:rFonts w:ascii="Book Antiqua" w:eastAsia="宋体" w:hAnsi="Book Antiqua" w:cs="宋体"/>
          <w:lang w:val="en-US" w:eastAsia="zh-CN"/>
        </w:rPr>
        <w:t xml:space="preserve"> D, Li XN, Kang SP, </w:t>
      </w:r>
      <w:proofErr w:type="spellStart"/>
      <w:r w:rsidRPr="00965611">
        <w:rPr>
          <w:rFonts w:ascii="Book Antiqua" w:eastAsia="宋体" w:hAnsi="Book Antiqua" w:cs="宋体"/>
          <w:lang w:val="en-US" w:eastAsia="zh-CN"/>
        </w:rPr>
        <w:t>Ebbinghaus</w:t>
      </w:r>
      <w:proofErr w:type="spellEnd"/>
      <w:r w:rsidRPr="00965611">
        <w:rPr>
          <w:rFonts w:ascii="Book Antiqua" w:eastAsia="宋体" w:hAnsi="Book Antiqua" w:cs="宋体"/>
          <w:lang w:val="en-US" w:eastAsia="zh-CN"/>
        </w:rPr>
        <w:t xml:space="preserve"> S, </w:t>
      </w:r>
      <w:proofErr w:type="spellStart"/>
      <w:r w:rsidRPr="00965611">
        <w:rPr>
          <w:rFonts w:ascii="Book Antiqua" w:eastAsia="宋体" w:hAnsi="Book Antiqua" w:cs="宋体"/>
          <w:lang w:val="en-US" w:eastAsia="zh-CN"/>
        </w:rPr>
        <w:t>Perrone</w:t>
      </w:r>
      <w:proofErr w:type="spellEnd"/>
      <w:r w:rsidRPr="00965611">
        <w:rPr>
          <w:rFonts w:ascii="Book Antiqua" w:eastAsia="宋体" w:hAnsi="Book Antiqua" w:cs="宋体"/>
          <w:lang w:val="en-US" w:eastAsia="zh-CN"/>
        </w:rPr>
        <w:t xml:space="preserve"> A, </w:t>
      </w:r>
      <w:proofErr w:type="spellStart"/>
      <w:r w:rsidRPr="00965611">
        <w:rPr>
          <w:rFonts w:ascii="Book Antiqua" w:eastAsia="宋体" w:hAnsi="Book Antiqua" w:cs="宋体"/>
          <w:lang w:val="en-US" w:eastAsia="zh-CN"/>
        </w:rPr>
        <w:t>Wolchok</w:t>
      </w:r>
      <w:proofErr w:type="spellEnd"/>
      <w:r w:rsidRPr="00965611">
        <w:rPr>
          <w:rFonts w:ascii="Book Antiqua" w:eastAsia="宋体" w:hAnsi="Book Antiqua" w:cs="宋体"/>
          <w:lang w:val="en-US" w:eastAsia="zh-CN"/>
        </w:rPr>
        <w:t xml:space="preserve"> JD. </w:t>
      </w:r>
      <w:proofErr w:type="gramStart"/>
      <w:r w:rsidRPr="00965611">
        <w:rPr>
          <w:rFonts w:ascii="Book Antiqua" w:eastAsia="宋体" w:hAnsi="Book Antiqua" w:cs="宋体"/>
          <w:lang w:val="en-US" w:eastAsia="zh-CN"/>
        </w:rPr>
        <w:t xml:space="preserve">Evaluation of Immune-Related Response Criteria and RECIST v1.1 in Patients With Advanced Melanoma Treated With </w:t>
      </w:r>
      <w:proofErr w:type="spellStart"/>
      <w:r w:rsidRPr="00965611">
        <w:rPr>
          <w:rFonts w:ascii="Book Antiqua" w:eastAsia="宋体" w:hAnsi="Book Antiqua" w:cs="宋体"/>
          <w:lang w:val="en-US" w:eastAsia="zh-CN"/>
        </w:rPr>
        <w:t>Pembrolizumab</w:t>
      </w:r>
      <w:proofErr w:type="spellEnd"/>
      <w:r w:rsidRPr="00965611">
        <w:rPr>
          <w:rFonts w:ascii="Book Antiqua" w:eastAsia="宋体" w:hAnsi="Book Antiqua" w:cs="宋体"/>
          <w:lang w:val="en-US" w:eastAsia="zh-CN"/>
        </w:rPr>
        <w:t>.</w:t>
      </w:r>
      <w:proofErr w:type="gramEnd"/>
      <w:r w:rsidRPr="00965611">
        <w:rPr>
          <w:rFonts w:ascii="Book Antiqua" w:eastAsia="宋体" w:hAnsi="Book Antiqua" w:cs="宋体"/>
          <w:lang w:val="en-US" w:eastAsia="zh-CN"/>
        </w:rPr>
        <w:t xml:space="preserve"> </w:t>
      </w:r>
      <w:r w:rsidRPr="00965611">
        <w:rPr>
          <w:rFonts w:ascii="Book Antiqua" w:eastAsia="宋体" w:hAnsi="Book Antiqua" w:cs="宋体"/>
          <w:i/>
          <w:iCs/>
          <w:lang w:val="en-US" w:eastAsia="zh-CN"/>
        </w:rPr>
        <w:t xml:space="preserve">J </w:t>
      </w:r>
      <w:proofErr w:type="spellStart"/>
      <w:r w:rsidRPr="00965611">
        <w:rPr>
          <w:rFonts w:ascii="Book Antiqua" w:eastAsia="宋体" w:hAnsi="Book Antiqua" w:cs="宋体"/>
          <w:i/>
          <w:iCs/>
          <w:lang w:val="en-US" w:eastAsia="zh-CN"/>
        </w:rPr>
        <w:t>Clin</w:t>
      </w:r>
      <w:proofErr w:type="spellEnd"/>
      <w:r w:rsidRPr="00965611">
        <w:rPr>
          <w:rFonts w:ascii="Book Antiqua" w:eastAsia="宋体" w:hAnsi="Book Antiqua" w:cs="宋体"/>
          <w:i/>
          <w:iCs/>
          <w:lang w:val="en-US" w:eastAsia="zh-CN"/>
        </w:rPr>
        <w:t xml:space="preserve"> </w:t>
      </w:r>
      <w:proofErr w:type="spellStart"/>
      <w:r w:rsidRPr="00965611">
        <w:rPr>
          <w:rFonts w:ascii="Book Antiqua" w:eastAsia="宋体" w:hAnsi="Book Antiqua" w:cs="宋体"/>
          <w:i/>
          <w:iCs/>
          <w:lang w:val="en-US" w:eastAsia="zh-CN"/>
        </w:rPr>
        <w:t>Oncol</w:t>
      </w:r>
      <w:proofErr w:type="spellEnd"/>
      <w:r w:rsidRPr="00965611">
        <w:rPr>
          <w:rFonts w:ascii="Book Antiqua" w:eastAsia="宋体" w:hAnsi="Book Antiqua" w:cs="宋体"/>
          <w:lang w:val="en-US" w:eastAsia="zh-CN"/>
        </w:rPr>
        <w:t xml:space="preserve"> 2016; </w:t>
      </w:r>
      <w:r w:rsidRPr="00965611">
        <w:rPr>
          <w:rFonts w:ascii="Book Antiqua" w:eastAsia="宋体" w:hAnsi="Book Antiqua" w:cs="宋体"/>
          <w:b/>
          <w:bCs/>
          <w:lang w:val="en-US" w:eastAsia="zh-CN"/>
        </w:rPr>
        <w:t>34</w:t>
      </w:r>
      <w:r w:rsidRPr="00965611">
        <w:rPr>
          <w:rFonts w:ascii="Book Antiqua" w:eastAsia="宋体" w:hAnsi="Book Antiqua" w:cs="宋体"/>
          <w:lang w:val="en-US" w:eastAsia="zh-CN"/>
        </w:rPr>
        <w:t>: 1510-1517 [PMID: 26951310 DOI: 10.1200/JCO.2015.64.0391]</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17 </w:t>
      </w:r>
      <w:r w:rsidRPr="00965611">
        <w:rPr>
          <w:rFonts w:ascii="Book Antiqua" w:eastAsia="宋体" w:hAnsi="Book Antiqua" w:cs="宋体"/>
          <w:b/>
          <w:bCs/>
          <w:lang w:val="en-US" w:eastAsia="zh-CN"/>
        </w:rPr>
        <w:t>Gould MK</w:t>
      </w:r>
      <w:r w:rsidRPr="00965611">
        <w:rPr>
          <w:rFonts w:ascii="Book Antiqua" w:eastAsia="宋体" w:hAnsi="Book Antiqua" w:cs="宋体"/>
          <w:lang w:val="en-US" w:eastAsia="zh-CN"/>
        </w:rPr>
        <w:t xml:space="preserve">, </w:t>
      </w:r>
      <w:proofErr w:type="spellStart"/>
      <w:r w:rsidRPr="00965611">
        <w:rPr>
          <w:rFonts w:ascii="Book Antiqua" w:eastAsia="宋体" w:hAnsi="Book Antiqua" w:cs="宋体"/>
          <w:lang w:val="en-US" w:eastAsia="zh-CN"/>
        </w:rPr>
        <w:t>Donington</w:t>
      </w:r>
      <w:proofErr w:type="spellEnd"/>
      <w:r w:rsidRPr="00965611">
        <w:rPr>
          <w:rFonts w:ascii="Book Antiqua" w:eastAsia="宋体" w:hAnsi="Book Antiqua" w:cs="宋体"/>
          <w:lang w:val="en-US" w:eastAsia="zh-CN"/>
        </w:rPr>
        <w:t xml:space="preserve"> J, Lynch WR, </w:t>
      </w:r>
      <w:proofErr w:type="spellStart"/>
      <w:r w:rsidRPr="00965611">
        <w:rPr>
          <w:rFonts w:ascii="Book Antiqua" w:eastAsia="宋体" w:hAnsi="Book Antiqua" w:cs="宋体"/>
          <w:lang w:val="en-US" w:eastAsia="zh-CN"/>
        </w:rPr>
        <w:t>Mazzone</w:t>
      </w:r>
      <w:proofErr w:type="spellEnd"/>
      <w:r w:rsidRPr="00965611">
        <w:rPr>
          <w:rFonts w:ascii="Book Antiqua" w:eastAsia="宋体" w:hAnsi="Book Antiqua" w:cs="宋体"/>
          <w:lang w:val="en-US" w:eastAsia="zh-CN"/>
        </w:rPr>
        <w:t xml:space="preserve"> PJ, </w:t>
      </w:r>
      <w:proofErr w:type="spellStart"/>
      <w:r w:rsidRPr="00965611">
        <w:rPr>
          <w:rFonts w:ascii="Book Antiqua" w:eastAsia="宋体" w:hAnsi="Book Antiqua" w:cs="宋体"/>
          <w:lang w:val="en-US" w:eastAsia="zh-CN"/>
        </w:rPr>
        <w:t>Midthun</w:t>
      </w:r>
      <w:proofErr w:type="spellEnd"/>
      <w:r w:rsidRPr="00965611">
        <w:rPr>
          <w:rFonts w:ascii="Book Antiqua" w:eastAsia="宋体" w:hAnsi="Book Antiqua" w:cs="宋体"/>
          <w:lang w:val="en-US" w:eastAsia="zh-CN"/>
        </w:rPr>
        <w:t xml:space="preserve"> DE, </w:t>
      </w:r>
      <w:proofErr w:type="spellStart"/>
      <w:r w:rsidRPr="00965611">
        <w:rPr>
          <w:rFonts w:ascii="Book Antiqua" w:eastAsia="宋体" w:hAnsi="Book Antiqua" w:cs="宋体"/>
          <w:lang w:val="en-US" w:eastAsia="zh-CN"/>
        </w:rPr>
        <w:t>Naidich</w:t>
      </w:r>
      <w:proofErr w:type="spellEnd"/>
      <w:r w:rsidRPr="00965611">
        <w:rPr>
          <w:rFonts w:ascii="Book Antiqua" w:eastAsia="宋体" w:hAnsi="Book Antiqua" w:cs="宋体"/>
          <w:lang w:val="en-US" w:eastAsia="zh-CN"/>
        </w:rPr>
        <w:t xml:space="preserve"> DP, Wiener RS. Evaluation of individuals with pulmonary nodules: when is it lung cancer? Diagnosis and management of lung cancer, 3rd </w:t>
      </w:r>
      <w:proofErr w:type="spellStart"/>
      <w:proofErr w:type="gramStart"/>
      <w:r w:rsidRPr="00965611">
        <w:rPr>
          <w:rFonts w:ascii="Book Antiqua" w:eastAsia="宋体" w:hAnsi="Book Antiqua" w:cs="宋体"/>
          <w:lang w:val="en-US" w:eastAsia="zh-CN"/>
        </w:rPr>
        <w:t>ed</w:t>
      </w:r>
      <w:proofErr w:type="spellEnd"/>
      <w:proofErr w:type="gramEnd"/>
      <w:r w:rsidRPr="00965611">
        <w:rPr>
          <w:rFonts w:ascii="Book Antiqua" w:eastAsia="宋体" w:hAnsi="Book Antiqua" w:cs="宋体"/>
          <w:lang w:val="en-US" w:eastAsia="zh-CN"/>
        </w:rPr>
        <w:t xml:space="preserve">: American College of Chest Physicians evidence-based clinical practice guidelines. </w:t>
      </w:r>
      <w:r w:rsidRPr="00965611">
        <w:rPr>
          <w:rFonts w:ascii="Book Antiqua" w:eastAsia="宋体" w:hAnsi="Book Antiqua" w:cs="宋体"/>
          <w:i/>
          <w:iCs/>
          <w:lang w:val="en-US" w:eastAsia="zh-CN"/>
        </w:rPr>
        <w:t>Chest</w:t>
      </w:r>
      <w:r w:rsidRPr="00965611">
        <w:rPr>
          <w:rFonts w:ascii="Book Antiqua" w:eastAsia="宋体" w:hAnsi="Book Antiqua" w:cs="宋体"/>
          <w:lang w:val="en-US" w:eastAsia="zh-CN"/>
        </w:rPr>
        <w:t xml:space="preserve"> 2013; </w:t>
      </w:r>
      <w:r w:rsidRPr="00965611">
        <w:rPr>
          <w:rFonts w:ascii="Book Antiqua" w:eastAsia="宋体" w:hAnsi="Book Antiqua" w:cs="宋体"/>
          <w:b/>
          <w:bCs/>
          <w:lang w:val="en-US" w:eastAsia="zh-CN"/>
        </w:rPr>
        <w:t>143</w:t>
      </w:r>
      <w:r w:rsidRPr="00965611">
        <w:rPr>
          <w:rFonts w:ascii="Book Antiqua" w:eastAsia="宋体" w:hAnsi="Book Antiqua" w:cs="宋体"/>
          <w:lang w:val="en-US" w:eastAsia="zh-CN"/>
        </w:rPr>
        <w:t>: e93S-120S [PMID: 23649456 DOI: 10.1378/chest.12-2351]</w:t>
      </w:r>
    </w:p>
    <w:p w:rsidR="00965611" w:rsidRPr="00965611" w:rsidRDefault="00965611" w:rsidP="00965611">
      <w:pPr>
        <w:spacing w:line="360" w:lineRule="auto"/>
        <w:jc w:val="both"/>
        <w:rPr>
          <w:rFonts w:ascii="Book Antiqua" w:eastAsia="宋体" w:hAnsi="Book Antiqua" w:cs="宋体"/>
          <w:lang w:val="en-US" w:eastAsia="zh-CN"/>
        </w:rPr>
      </w:pPr>
      <w:proofErr w:type="gramStart"/>
      <w:r w:rsidRPr="00965611">
        <w:rPr>
          <w:rFonts w:ascii="Book Antiqua" w:eastAsia="宋体" w:hAnsi="Book Antiqua" w:cs="宋体"/>
          <w:lang w:val="en-US" w:eastAsia="zh-CN"/>
        </w:rPr>
        <w:t xml:space="preserve">18 </w:t>
      </w:r>
      <w:proofErr w:type="spellStart"/>
      <w:r w:rsidRPr="00965611">
        <w:rPr>
          <w:rFonts w:ascii="Book Antiqua" w:eastAsia="宋体" w:hAnsi="Book Antiqua" w:cs="宋体"/>
          <w:b/>
          <w:bCs/>
          <w:lang w:val="en-US" w:eastAsia="zh-CN"/>
        </w:rPr>
        <w:t>Cheson</w:t>
      </w:r>
      <w:proofErr w:type="spellEnd"/>
      <w:r w:rsidRPr="00965611">
        <w:rPr>
          <w:rFonts w:ascii="Book Antiqua" w:eastAsia="宋体" w:hAnsi="Book Antiqua" w:cs="宋体"/>
          <w:b/>
          <w:bCs/>
          <w:lang w:val="en-US" w:eastAsia="zh-CN"/>
        </w:rPr>
        <w:t xml:space="preserve"> BD</w:t>
      </w:r>
      <w:r w:rsidRPr="00965611">
        <w:rPr>
          <w:rFonts w:ascii="Book Antiqua" w:eastAsia="宋体" w:hAnsi="Book Antiqua" w:cs="宋体"/>
          <w:lang w:val="en-US" w:eastAsia="zh-CN"/>
        </w:rPr>
        <w:t xml:space="preserve">, Fisher RI, Barrington SF, </w:t>
      </w:r>
      <w:proofErr w:type="spellStart"/>
      <w:r w:rsidRPr="00965611">
        <w:rPr>
          <w:rFonts w:ascii="Book Antiqua" w:eastAsia="宋体" w:hAnsi="Book Antiqua" w:cs="宋体"/>
          <w:lang w:val="en-US" w:eastAsia="zh-CN"/>
        </w:rPr>
        <w:t>Cavalli</w:t>
      </w:r>
      <w:proofErr w:type="spellEnd"/>
      <w:r w:rsidRPr="00965611">
        <w:rPr>
          <w:rFonts w:ascii="Book Antiqua" w:eastAsia="宋体" w:hAnsi="Book Antiqua" w:cs="宋体"/>
          <w:lang w:val="en-US" w:eastAsia="zh-CN"/>
        </w:rPr>
        <w:t xml:space="preserve"> F, Schwartz LH, </w:t>
      </w:r>
      <w:proofErr w:type="spellStart"/>
      <w:r w:rsidRPr="00965611">
        <w:rPr>
          <w:rFonts w:ascii="Book Antiqua" w:eastAsia="宋体" w:hAnsi="Book Antiqua" w:cs="宋体"/>
          <w:lang w:val="en-US" w:eastAsia="zh-CN"/>
        </w:rPr>
        <w:t>Zucca</w:t>
      </w:r>
      <w:proofErr w:type="spellEnd"/>
      <w:r w:rsidRPr="00965611">
        <w:rPr>
          <w:rFonts w:ascii="Book Antiqua" w:eastAsia="宋体" w:hAnsi="Book Antiqua" w:cs="宋体"/>
          <w:lang w:val="en-US" w:eastAsia="zh-CN"/>
        </w:rPr>
        <w:t xml:space="preserve"> E, Lister TA.</w:t>
      </w:r>
      <w:proofErr w:type="gramEnd"/>
      <w:r w:rsidRPr="00965611">
        <w:rPr>
          <w:rFonts w:ascii="Book Antiqua" w:eastAsia="宋体" w:hAnsi="Book Antiqua" w:cs="宋体"/>
          <w:lang w:val="en-US" w:eastAsia="zh-CN"/>
        </w:rPr>
        <w:t xml:space="preserve"> Recommendations for initial evaluation, staging, and response assessment of Hodgkin and non-Hodgkin lymphoma: the </w:t>
      </w:r>
      <w:proofErr w:type="spellStart"/>
      <w:r w:rsidRPr="00965611">
        <w:rPr>
          <w:rFonts w:ascii="Book Antiqua" w:eastAsia="宋体" w:hAnsi="Book Antiqua" w:cs="宋体"/>
          <w:lang w:val="en-US" w:eastAsia="zh-CN"/>
        </w:rPr>
        <w:t>Lugano</w:t>
      </w:r>
      <w:proofErr w:type="spellEnd"/>
      <w:r w:rsidRPr="00965611">
        <w:rPr>
          <w:rFonts w:ascii="Book Antiqua" w:eastAsia="宋体" w:hAnsi="Book Antiqua" w:cs="宋体"/>
          <w:lang w:val="en-US" w:eastAsia="zh-CN"/>
        </w:rPr>
        <w:t xml:space="preserve"> classification. </w:t>
      </w:r>
      <w:r w:rsidRPr="00965611">
        <w:rPr>
          <w:rFonts w:ascii="Book Antiqua" w:eastAsia="宋体" w:hAnsi="Book Antiqua" w:cs="宋体"/>
          <w:i/>
          <w:iCs/>
          <w:lang w:val="en-US" w:eastAsia="zh-CN"/>
        </w:rPr>
        <w:t xml:space="preserve">J </w:t>
      </w:r>
      <w:proofErr w:type="spellStart"/>
      <w:r w:rsidRPr="00965611">
        <w:rPr>
          <w:rFonts w:ascii="Book Antiqua" w:eastAsia="宋体" w:hAnsi="Book Antiqua" w:cs="宋体"/>
          <w:i/>
          <w:iCs/>
          <w:lang w:val="en-US" w:eastAsia="zh-CN"/>
        </w:rPr>
        <w:t>Clin</w:t>
      </w:r>
      <w:proofErr w:type="spellEnd"/>
      <w:r w:rsidRPr="00965611">
        <w:rPr>
          <w:rFonts w:ascii="Book Antiqua" w:eastAsia="宋体" w:hAnsi="Book Antiqua" w:cs="宋体"/>
          <w:i/>
          <w:iCs/>
          <w:lang w:val="en-US" w:eastAsia="zh-CN"/>
        </w:rPr>
        <w:t xml:space="preserve"> </w:t>
      </w:r>
      <w:proofErr w:type="spellStart"/>
      <w:r w:rsidRPr="00965611">
        <w:rPr>
          <w:rFonts w:ascii="Book Antiqua" w:eastAsia="宋体" w:hAnsi="Book Antiqua" w:cs="宋体"/>
          <w:i/>
          <w:iCs/>
          <w:lang w:val="en-US" w:eastAsia="zh-CN"/>
        </w:rPr>
        <w:t>Oncol</w:t>
      </w:r>
      <w:proofErr w:type="spellEnd"/>
      <w:r w:rsidRPr="00965611">
        <w:rPr>
          <w:rFonts w:ascii="Book Antiqua" w:eastAsia="宋体" w:hAnsi="Book Antiqua" w:cs="宋体"/>
          <w:lang w:val="en-US" w:eastAsia="zh-CN"/>
        </w:rPr>
        <w:t xml:space="preserve"> 2014; </w:t>
      </w:r>
      <w:r w:rsidRPr="00965611">
        <w:rPr>
          <w:rFonts w:ascii="Book Antiqua" w:eastAsia="宋体" w:hAnsi="Book Antiqua" w:cs="宋体"/>
          <w:b/>
          <w:bCs/>
          <w:lang w:val="en-US" w:eastAsia="zh-CN"/>
        </w:rPr>
        <w:t>32</w:t>
      </w:r>
      <w:r w:rsidRPr="00965611">
        <w:rPr>
          <w:rFonts w:ascii="Book Antiqua" w:eastAsia="宋体" w:hAnsi="Book Antiqua" w:cs="宋体"/>
          <w:lang w:val="en-US" w:eastAsia="zh-CN"/>
        </w:rPr>
        <w:t>: 3059-3068 [PMID: 25113753 DOI: 10.1200/JCO.2013.54.8800]</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19 </w:t>
      </w:r>
      <w:proofErr w:type="spellStart"/>
      <w:r w:rsidRPr="00965611">
        <w:rPr>
          <w:rFonts w:ascii="Book Antiqua" w:eastAsia="宋体" w:hAnsi="Book Antiqua" w:cs="宋体"/>
          <w:b/>
          <w:bCs/>
          <w:lang w:val="en-US" w:eastAsia="zh-CN"/>
        </w:rPr>
        <w:t>Morbelli</w:t>
      </w:r>
      <w:proofErr w:type="spellEnd"/>
      <w:r w:rsidRPr="00965611">
        <w:rPr>
          <w:rFonts w:ascii="Book Antiqua" w:eastAsia="宋体" w:hAnsi="Book Antiqua" w:cs="宋体"/>
          <w:b/>
          <w:bCs/>
          <w:lang w:val="en-US" w:eastAsia="zh-CN"/>
        </w:rPr>
        <w:t xml:space="preserve"> S</w:t>
      </w:r>
      <w:r w:rsidRPr="00965611">
        <w:rPr>
          <w:rFonts w:ascii="Book Antiqua" w:eastAsia="宋体" w:hAnsi="Book Antiqua" w:cs="宋体"/>
          <w:lang w:val="en-US" w:eastAsia="zh-CN"/>
        </w:rPr>
        <w:t xml:space="preserve">, </w:t>
      </w:r>
      <w:proofErr w:type="spellStart"/>
      <w:r w:rsidRPr="00965611">
        <w:rPr>
          <w:rFonts w:ascii="Book Antiqua" w:eastAsia="宋体" w:hAnsi="Book Antiqua" w:cs="宋体"/>
          <w:lang w:val="en-US" w:eastAsia="zh-CN"/>
        </w:rPr>
        <w:t>Capitanio</w:t>
      </w:r>
      <w:proofErr w:type="spellEnd"/>
      <w:r w:rsidRPr="00965611">
        <w:rPr>
          <w:rFonts w:ascii="Book Antiqua" w:eastAsia="宋体" w:hAnsi="Book Antiqua" w:cs="宋体"/>
          <w:lang w:val="en-US" w:eastAsia="zh-CN"/>
        </w:rPr>
        <w:t xml:space="preserve"> S, De </w:t>
      </w:r>
      <w:proofErr w:type="spellStart"/>
      <w:r w:rsidRPr="00965611">
        <w:rPr>
          <w:rFonts w:ascii="Book Antiqua" w:eastAsia="宋体" w:hAnsi="Book Antiqua" w:cs="宋体"/>
          <w:lang w:val="en-US" w:eastAsia="zh-CN"/>
        </w:rPr>
        <w:t>Carli</w:t>
      </w:r>
      <w:proofErr w:type="spellEnd"/>
      <w:r w:rsidRPr="00965611">
        <w:rPr>
          <w:rFonts w:ascii="Book Antiqua" w:eastAsia="宋体" w:hAnsi="Book Antiqua" w:cs="宋体"/>
          <w:lang w:val="en-US" w:eastAsia="zh-CN"/>
        </w:rPr>
        <w:t xml:space="preserve"> F, </w:t>
      </w:r>
      <w:proofErr w:type="spellStart"/>
      <w:r w:rsidRPr="00965611">
        <w:rPr>
          <w:rFonts w:ascii="Book Antiqua" w:eastAsia="宋体" w:hAnsi="Book Antiqua" w:cs="宋体"/>
          <w:lang w:val="en-US" w:eastAsia="zh-CN"/>
        </w:rPr>
        <w:t>Bongioanni</w:t>
      </w:r>
      <w:proofErr w:type="spellEnd"/>
      <w:r w:rsidRPr="00965611">
        <w:rPr>
          <w:rFonts w:ascii="Book Antiqua" w:eastAsia="宋体" w:hAnsi="Book Antiqua" w:cs="宋体"/>
          <w:lang w:val="en-US" w:eastAsia="zh-CN"/>
        </w:rPr>
        <w:t xml:space="preserve"> F, De </w:t>
      </w:r>
      <w:proofErr w:type="spellStart"/>
      <w:r w:rsidRPr="00965611">
        <w:rPr>
          <w:rFonts w:ascii="Book Antiqua" w:eastAsia="宋体" w:hAnsi="Book Antiqua" w:cs="宋体"/>
          <w:lang w:val="en-US" w:eastAsia="zh-CN"/>
        </w:rPr>
        <w:t>Astis</w:t>
      </w:r>
      <w:proofErr w:type="spellEnd"/>
      <w:r w:rsidRPr="00965611">
        <w:rPr>
          <w:rFonts w:ascii="Book Antiqua" w:eastAsia="宋体" w:hAnsi="Book Antiqua" w:cs="宋体"/>
          <w:lang w:val="en-US" w:eastAsia="zh-CN"/>
        </w:rPr>
        <w:t xml:space="preserve"> E, </w:t>
      </w:r>
      <w:proofErr w:type="spellStart"/>
      <w:r w:rsidRPr="00965611">
        <w:rPr>
          <w:rFonts w:ascii="Book Antiqua" w:eastAsia="宋体" w:hAnsi="Book Antiqua" w:cs="宋体"/>
          <w:lang w:val="en-US" w:eastAsia="zh-CN"/>
        </w:rPr>
        <w:t>Miglino</w:t>
      </w:r>
      <w:proofErr w:type="spellEnd"/>
      <w:r w:rsidRPr="00965611">
        <w:rPr>
          <w:rFonts w:ascii="Book Antiqua" w:eastAsia="宋体" w:hAnsi="Book Antiqua" w:cs="宋体"/>
          <w:lang w:val="en-US" w:eastAsia="zh-CN"/>
        </w:rPr>
        <w:t xml:space="preserve"> M, </w:t>
      </w:r>
      <w:proofErr w:type="spellStart"/>
      <w:r w:rsidRPr="00965611">
        <w:rPr>
          <w:rFonts w:ascii="Book Antiqua" w:eastAsia="宋体" w:hAnsi="Book Antiqua" w:cs="宋体"/>
          <w:lang w:val="en-US" w:eastAsia="zh-CN"/>
        </w:rPr>
        <w:t>Verardi</w:t>
      </w:r>
      <w:proofErr w:type="spellEnd"/>
      <w:r w:rsidRPr="00965611">
        <w:rPr>
          <w:rFonts w:ascii="Book Antiqua" w:eastAsia="宋体" w:hAnsi="Book Antiqua" w:cs="宋体"/>
          <w:lang w:val="en-US" w:eastAsia="zh-CN"/>
        </w:rPr>
        <w:t xml:space="preserve"> MT, </w:t>
      </w:r>
      <w:proofErr w:type="spellStart"/>
      <w:r w:rsidRPr="00965611">
        <w:rPr>
          <w:rFonts w:ascii="Book Antiqua" w:eastAsia="宋体" w:hAnsi="Book Antiqua" w:cs="宋体"/>
          <w:lang w:val="en-US" w:eastAsia="zh-CN"/>
        </w:rPr>
        <w:t>Buschiazzo</w:t>
      </w:r>
      <w:proofErr w:type="spellEnd"/>
      <w:r w:rsidRPr="00965611">
        <w:rPr>
          <w:rFonts w:ascii="Book Antiqua" w:eastAsia="宋体" w:hAnsi="Book Antiqua" w:cs="宋体"/>
          <w:lang w:val="en-US" w:eastAsia="zh-CN"/>
        </w:rPr>
        <w:t xml:space="preserve"> A, </w:t>
      </w:r>
      <w:proofErr w:type="spellStart"/>
      <w:r w:rsidRPr="00965611">
        <w:rPr>
          <w:rFonts w:ascii="Book Antiqua" w:eastAsia="宋体" w:hAnsi="Book Antiqua" w:cs="宋体"/>
          <w:lang w:val="en-US" w:eastAsia="zh-CN"/>
        </w:rPr>
        <w:t>Fiz</w:t>
      </w:r>
      <w:proofErr w:type="spellEnd"/>
      <w:r w:rsidRPr="00965611">
        <w:rPr>
          <w:rFonts w:ascii="Book Antiqua" w:eastAsia="宋体" w:hAnsi="Book Antiqua" w:cs="宋体"/>
          <w:lang w:val="en-US" w:eastAsia="zh-CN"/>
        </w:rPr>
        <w:t xml:space="preserve"> F, Marini C, </w:t>
      </w:r>
      <w:proofErr w:type="spellStart"/>
      <w:r w:rsidRPr="00965611">
        <w:rPr>
          <w:rFonts w:ascii="Book Antiqua" w:eastAsia="宋体" w:hAnsi="Book Antiqua" w:cs="宋体"/>
          <w:lang w:val="en-US" w:eastAsia="zh-CN"/>
        </w:rPr>
        <w:t>Pomposelli</w:t>
      </w:r>
      <w:proofErr w:type="spellEnd"/>
      <w:r w:rsidRPr="00965611">
        <w:rPr>
          <w:rFonts w:ascii="Book Antiqua" w:eastAsia="宋体" w:hAnsi="Book Antiqua" w:cs="宋体"/>
          <w:lang w:val="en-US" w:eastAsia="zh-CN"/>
        </w:rPr>
        <w:t xml:space="preserve"> E, </w:t>
      </w:r>
      <w:proofErr w:type="spellStart"/>
      <w:r w:rsidRPr="00965611">
        <w:rPr>
          <w:rFonts w:ascii="Book Antiqua" w:eastAsia="宋体" w:hAnsi="Book Antiqua" w:cs="宋体"/>
          <w:lang w:val="en-US" w:eastAsia="zh-CN"/>
        </w:rPr>
        <w:t>Sambuceti</w:t>
      </w:r>
      <w:proofErr w:type="spellEnd"/>
      <w:r w:rsidRPr="00965611">
        <w:rPr>
          <w:rFonts w:ascii="Book Antiqua" w:eastAsia="宋体" w:hAnsi="Book Antiqua" w:cs="宋体"/>
          <w:lang w:val="en-US" w:eastAsia="zh-CN"/>
        </w:rPr>
        <w:t xml:space="preserve"> G. Baseline and ongoing PET-derived factors predict detrimental effect or potential utility of 18F-FDG PET/CT (FDG-PET/CT) performed for surveillance in asymptomatic lymphoma patients in first remission. </w:t>
      </w:r>
      <w:proofErr w:type="spellStart"/>
      <w:r w:rsidRPr="00965611">
        <w:rPr>
          <w:rFonts w:ascii="Book Antiqua" w:eastAsia="宋体" w:hAnsi="Book Antiqua" w:cs="宋体"/>
          <w:i/>
          <w:iCs/>
          <w:lang w:val="en-US" w:eastAsia="zh-CN"/>
        </w:rPr>
        <w:t>Eur</w:t>
      </w:r>
      <w:proofErr w:type="spellEnd"/>
      <w:r w:rsidRPr="00965611">
        <w:rPr>
          <w:rFonts w:ascii="Book Antiqua" w:eastAsia="宋体" w:hAnsi="Book Antiqua" w:cs="宋体"/>
          <w:i/>
          <w:iCs/>
          <w:lang w:val="en-US" w:eastAsia="zh-CN"/>
        </w:rPr>
        <w:t xml:space="preserve"> J </w:t>
      </w:r>
      <w:proofErr w:type="spellStart"/>
      <w:r w:rsidRPr="00965611">
        <w:rPr>
          <w:rFonts w:ascii="Book Antiqua" w:eastAsia="宋体" w:hAnsi="Book Antiqua" w:cs="宋体"/>
          <w:i/>
          <w:iCs/>
          <w:lang w:val="en-US" w:eastAsia="zh-CN"/>
        </w:rPr>
        <w:t>Nucl</w:t>
      </w:r>
      <w:proofErr w:type="spellEnd"/>
      <w:r w:rsidRPr="00965611">
        <w:rPr>
          <w:rFonts w:ascii="Book Antiqua" w:eastAsia="宋体" w:hAnsi="Book Antiqua" w:cs="宋体"/>
          <w:i/>
          <w:iCs/>
          <w:lang w:val="en-US" w:eastAsia="zh-CN"/>
        </w:rPr>
        <w:t xml:space="preserve"> Med </w:t>
      </w:r>
      <w:proofErr w:type="spellStart"/>
      <w:r w:rsidRPr="00965611">
        <w:rPr>
          <w:rFonts w:ascii="Book Antiqua" w:eastAsia="宋体" w:hAnsi="Book Antiqua" w:cs="宋体"/>
          <w:i/>
          <w:iCs/>
          <w:lang w:val="en-US" w:eastAsia="zh-CN"/>
        </w:rPr>
        <w:t>Mol</w:t>
      </w:r>
      <w:proofErr w:type="spellEnd"/>
      <w:r w:rsidRPr="00965611">
        <w:rPr>
          <w:rFonts w:ascii="Book Antiqua" w:eastAsia="宋体" w:hAnsi="Book Antiqua" w:cs="宋体"/>
          <w:i/>
          <w:iCs/>
          <w:lang w:val="en-US" w:eastAsia="zh-CN"/>
        </w:rPr>
        <w:t xml:space="preserve"> Imaging</w:t>
      </w:r>
      <w:r w:rsidRPr="00965611">
        <w:rPr>
          <w:rFonts w:ascii="Book Antiqua" w:eastAsia="宋体" w:hAnsi="Book Antiqua" w:cs="宋体"/>
          <w:lang w:val="en-US" w:eastAsia="zh-CN"/>
        </w:rPr>
        <w:t xml:space="preserve"> 2016; </w:t>
      </w:r>
      <w:r w:rsidRPr="00965611">
        <w:rPr>
          <w:rFonts w:ascii="Book Antiqua" w:eastAsia="宋体" w:hAnsi="Book Antiqua" w:cs="宋体"/>
          <w:b/>
          <w:bCs/>
          <w:lang w:val="en-US" w:eastAsia="zh-CN"/>
        </w:rPr>
        <w:t>43</w:t>
      </w:r>
      <w:r w:rsidRPr="00965611">
        <w:rPr>
          <w:rFonts w:ascii="Book Antiqua" w:eastAsia="宋体" w:hAnsi="Book Antiqua" w:cs="宋体"/>
          <w:lang w:val="en-US" w:eastAsia="zh-CN"/>
        </w:rPr>
        <w:t>: 232-239 [PMID: 26283504 DOI: 10.1007/s00259-015-3164-9]</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20 </w:t>
      </w:r>
      <w:proofErr w:type="spellStart"/>
      <w:r w:rsidRPr="00965611">
        <w:rPr>
          <w:rFonts w:ascii="Book Antiqua" w:eastAsia="宋体" w:hAnsi="Book Antiqua" w:cs="宋体"/>
          <w:b/>
          <w:bCs/>
          <w:lang w:val="en-US" w:eastAsia="zh-CN"/>
        </w:rPr>
        <w:t>Sachpekidis</w:t>
      </w:r>
      <w:proofErr w:type="spellEnd"/>
      <w:r w:rsidRPr="00965611">
        <w:rPr>
          <w:rFonts w:ascii="Book Antiqua" w:eastAsia="宋体" w:hAnsi="Book Antiqua" w:cs="宋体"/>
          <w:b/>
          <w:bCs/>
          <w:lang w:val="en-US" w:eastAsia="zh-CN"/>
        </w:rPr>
        <w:t xml:space="preserve"> C</w:t>
      </w:r>
      <w:r w:rsidRPr="00965611">
        <w:rPr>
          <w:rFonts w:ascii="Book Antiqua" w:eastAsia="宋体" w:hAnsi="Book Antiqua" w:cs="宋体"/>
          <w:lang w:val="en-US" w:eastAsia="zh-CN"/>
        </w:rPr>
        <w:t xml:space="preserve">, </w:t>
      </w:r>
      <w:proofErr w:type="spellStart"/>
      <w:r w:rsidRPr="00965611">
        <w:rPr>
          <w:rFonts w:ascii="Book Antiqua" w:eastAsia="宋体" w:hAnsi="Book Antiqua" w:cs="宋体"/>
          <w:lang w:val="en-US" w:eastAsia="zh-CN"/>
        </w:rPr>
        <w:t>Larribere</w:t>
      </w:r>
      <w:proofErr w:type="spellEnd"/>
      <w:r w:rsidRPr="00965611">
        <w:rPr>
          <w:rFonts w:ascii="Book Antiqua" w:eastAsia="宋体" w:hAnsi="Book Antiqua" w:cs="宋体"/>
          <w:lang w:val="en-US" w:eastAsia="zh-CN"/>
        </w:rPr>
        <w:t xml:space="preserve"> L, Pan L, </w:t>
      </w:r>
      <w:proofErr w:type="spellStart"/>
      <w:r w:rsidRPr="00965611">
        <w:rPr>
          <w:rFonts w:ascii="Book Antiqua" w:eastAsia="宋体" w:hAnsi="Book Antiqua" w:cs="宋体"/>
          <w:lang w:val="en-US" w:eastAsia="zh-CN"/>
        </w:rPr>
        <w:t>Haberkorn</w:t>
      </w:r>
      <w:proofErr w:type="spellEnd"/>
      <w:r w:rsidRPr="00965611">
        <w:rPr>
          <w:rFonts w:ascii="Book Antiqua" w:eastAsia="宋体" w:hAnsi="Book Antiqua" w:cs="宋体"/>
          <w:lang w:val="en-US" w:eastAsia="zh-CN"/>
        </w:rPr>
        <w:t xml:space="preserve"> U, </w:t>
      </w:r>
      <w:proofErr w:type="spellStart"/>
      <w:r w:rsidRPr="00965611">
        <w:rPr>
          <w:rFonts w:ascii="Book Antiqua" w:eastAsia="宋体" w:hAnsi="Book Antiqua" w:cs="宋体"/>
          <w:lang w:val="en-US" w:eastAsia="zh-CN"/>
        </w:rPr>
        <w:t>Dimitrakopoulou</w:t>
      </w:r>
      <w:proofErr w:type="spellEnd"/>
      <w:r w:rsidRPr="00965611">
        <w:rPr>
          <w:rFonts w:ascii="Book Antiqua" w:eastAsia="宋体" w:hAnsi="Book Antiqua" w:cs="宋体"/>
          <w:lang w:val="en-US" w:eastAsia="zh-CN"/>
        </w:rPr>
        <w:t xml:space="preserve">-Strauss A, Hassel JC. Predictive value of early 18F-FDG PET/CT studies for treatment response evaluation to </w:t>
      </w:r>
      <w:proofErr w:type="spellStart"/>
      <w:r w:rsidRPr="00965611">
        <w:rPr>
          <w:rFonts w:ascii="Book Antiqua" w:eastAsia="宋体" w:hAnsi="Book Antiqua" w:cs="宋体"/>
          <w:lang w:val="en-US" w:eastAsia="zh-CN"/>
        </w:rPr>
        <w:t>ipilimumab</w:t>
      </w:r>
      <w:proofErr w:type="spellEnd"/>
      <w:r w:rsidRPr="00965611">
        <w:rPr>
          <w:rFonts w:ascii="Book Antiqua" w:eastAsia="宋体" w:hAnsi="Book Antiqua" w:cs="宋体"/>
          <w:lang w:val="en-US" w:eastAsia="zh-CN"/>
        </w:rPr>
        <w:t xml:space="preserve"> in metastatic melanoma: preliminary results of an ongoing study. </w:t>
      </w:r>
      <w:proofErr w:type="spellStart"/>
      <w:r w:rsidRPr="00965611">
        <w:rPr>
          <w:rFonts w:ascii="Book Antiqua" w:eastAsia="宋体" w:hAnsi="Book Antiqua" w:cs="宋体"/>
          <w:i/>
          <w:iCs/>
          <w:lang w:val="en-US" w:eastAsia="zh-CN"/>
        </w:rPr>
        <w:t>Eur</w:t>
      </w:r>
      <w:proofErr w:type="spellEnd"/>
      <w:r w:rsidRPr="00965611">
        <w:rPr>
          <w:rFonts w:ascii="Book Antiqua" w:eastAsia="宋体" w:hAnsi="Book Antiqua" w:cs="宋体"/>
          <w:i/>
          <w:iCs/>
          <w:lang w:val="en-US" w:eastAsia="zh-CN"/>
        </w:rPr>
        <w:t xml:space="preserve"> J </w:t>
      </w:r>
      <w:proofErr w:type="spellStart"/>
      <w:r w:rsidRPr="00965611">
        <w:rPr>
          <w:rFonts w:ascii="Book Antiqua" w:eastAsia="宋体" w:hAnsi="Book Antiqua" w:cs="宋体"/>
          <w:i/>
          <w:iCs/>
          <w:lang w:val="en-US" w:eastAsia="zh-CN"/>
        </w:rPr>
        <w:t>Nucl</w:t>
      </w:r>
      <w:proofErr w:type="spellEnd"/>
      <w:r w:rsidRPr="00965611">
        <w:rPr>
          <w:rFonts w:ascii="Book Antiqua" w:eastAsia="宋体" w:hAnsi="Book Antiqua" w:cs="宋体"/>
          <w:i/>
          <w:iCs/>
          <w:lang w:val="en-US" w:eastAsia="zh-CN"/>
        </w:rPr>
        <w:t xml:space="preserve"> Med </w:t>
      </w:r>
      <w:proofErr w:type="spellStart"/>
      <w:r w:rsidRPr="00965611">
        <w:rPr>
          <w:rFonts w:ascii="Book Antiqua" w:eastAsia="宋体" w:hAnsi="Book Antiqua" w:cs="宋体"/>
          <w:i/>
          <w:iCs/>
          <w:lang w:val="en-US" w:eastAsia="zh-CN"/>
        </w:rPr>
        <w:t>Mol</w:t>
      </w:r>
      <w:proofErr w:type="spellEnd"/>
      <w:r w:rsidRPr="00965611">
        <w:rPr>
          <w:rFonts w:ascii="Book Antiqua" w:eastAsia="宋体" w:hAnsi="Book Antiqua" w:cs="宋体"/>
          <w:i/>
          <w:iCs/>
          <w:lang w:val="en-US" w:eastAsia="zh-CN"/>
        </w:rPr>
        <w:t xml:space="preserve"> Imaging</w:t>
      </w:r>
      <w:r w:rsidRPr="00965611">
        <w:rPr>
          <w:rFonts w:ascii="Book Antiqua" w:eastAsia="宋体" w:hAnsi="Book Antiqua" w:cs="宋体"/>
          <w:lang w:val="en-US" w:eastAsia="zh-CN"/>
        </w:rPr>
        <w:t xml:space="preserve"> 2015; </w:t>
      </w:r>
      <w:r w:rsidRPr="00965611">
        <w:rPr>
          <w:rFonts w:ascii="Book Antiqua" w:eastAsia="宋体" w:hAnsi="Book Antiqua" w:cs="宋体"/>
          <w:b/>
          <w:bCs/>
          <w:lang w:val="en-US" w:eastAsia="zh-CN"/>
        </w:rPr>
        <w:t>42</w:t>
      </w:r>
      <w:r w:rsidRPr="00965611">
        <w:rPr>
          <w:rFonts w:ascii="Book Antiqua" w:eastAsia="宋体" w:hAnsi="Book Antiqua" w:cs="宋体"/>
          <w:lang w:val="en-US" w:eastAsia="zh-CN"/>
        </w:rPr>
        <w:t>: 386-396 [PMID: 25359635 DOI: 10.1007/s00259-014-2944-y]</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lastRenderedPageBreak/>
        <w:t xml:space="preserve">21 </w:t>
      </w:r>
      <w:r w:rsidRPr="00965611">
        <w:rPr>
          <w:rFonts w:ascii="Book Antiqua" w:eastAsia="宋体" w:hAnsi="Book Antiqua" w:cs="宋体"/>
          <w:b/>
          <w:bCs/>
          <w:lang w:val="en-US" w:eastAsia="zh-CN"/>
        </w:rPr>
        <w:t>Wahl RL</w:t>
      </w:r>
      <w:r w:rsidRPr="00965611">
        <w:rPr>
          <w:rFonts w:ascii="Book Antiqua" w:eastAsia="宋体" w:hAnsi="Book Antiqua" w:cs="宋体"/>
          <w:lang w:val="en-US" w:eastAsia="zh-CN"/>
        </w:rPr>
        <w:t xml:space="preserve">, </w:t>
      </w:r>
      <w:proofErr w:type="spellStart"/>
      <w:r w:rsidRPr="00965611">
        <w:rPr>
          <w:rFonts w:ascii="Book Antiqua" w:eastAsia="宋体" w:hAnsi="Book Antiqua" w:cs="宋体"/>
          <w:lang w:val="en-US" w:eastAsia="zh-CN"/>
        </w:rPr>
        <w:t>Jacene</w:t>
      </w:r>
      <w:proofErr w:type="spellEnd"/>
      <w:r w:rsidRPr="00965611">
        <w:rPr>
          <w:rFonts w:ascii="Book Antiqua" w:eastAsia="宋体" w:hAnsi="Book Antiqua" w:cs="宋体"/>
          <w:lang w:val="en-US" w:eastAsia="zh-CN"/>
        </w:rPr>
        <w:t xml:space="preserve"> H, </w:t>
      </w:r>
      <w:proofErr w:type="spellStart"/>
      <w:r w:rsidRPr="00965611">
        <w:rPr>
          <w:rFonts w:ascii="Book Antiqua" w:eastAsia="宋体" w:hAnsi="Book Antiqua" w:cs="宋体"/>
          <w:lang w:val="en-US" w:eastAsia="zh-CN"/>
        </w:rPr>
        <w:t>Kasamon</w:t>
      </w:r>
      <w:proofErr w:type="spellEnd"/>
      <w:r w:rsidRPr="00965611">
        <w:rPr>
          <w:rFonts w:ascii="Book Antiqua" w:eastAsia="宋体" w:hAnsi="Book Antiqua" w:cs="宋体"/>
          <w:lang w:val="en-US" w:eastAsia="zh-CN"/>
        </w:rPr>
        <w:t xml:space="preserve"> Y, Lodge MA. From RECIST to PERCIST: Evolving Considerations for PET response criteria in solid tumors. </w:t>
      </w:r>
      <w:r w:rsidRPr="00965611">
        <w:rPr>
          <w:rFonts w:ascii="Book Antiqua" w:eastAsia="宋体" w:hAnsi="Book Antiqua" w:cs="宋体"/>
          <w:i/>
          <w:iCs/>
          <w:lang w:val="en-US" w:eastAsia="zh-CN"/>
        </w:rPr>
        <w:t xml:space="preserve">J </w:t>
      </w:r>
      <w:proofErr w:type="spellStart"/>
      <w:r w:rsidRPr="00965611">
        <w:rPr>
          <w:rFonts w:ascii="Book Antiqua" w:eastAsia="宋体" w:hAnsi="Book Antiqua" w:cs="宋体"/>
          <w:i/>
          <w:iCs/>
          <w:lang w:val="en-US" w:eastAsia="zh-CN"/>
        </w:rPr>
        <w:t>Nucl</w:t>
      </w:r>
      <w:proofErr w:type="spellEnd"/>
      <w:r w:rsidRPr="00965611">
        <w:rPr>
          <w:rFonts w:ascii="Book Antiqua" w:eastAsia="宋体" w:hAnsi="Book Antiqua" w:cs="宋体"/>
          <w:i/>
          <w:iCs/>
          <w:lang w:val="en-US" w:eastAsia="zh-CN"/>
        </w:rPr>
        <w:t xml:space="preserve"> Med</w:t>
      </w:r>
      <w:r w:rsidRPr="00965611">
        <w:rPr>
          <w:rFonts w:ascii="Book Antiqua" w:eastAsia="宋体" w:hAnsi="Book Antiqua" w:cs="宋体"/>
          <w:lang w:val="en-US" w:eastAsia="zh-CN"/>
        </w:rPr>
        <w:t xml:space="preserve"> 2009; </w:t>
      </w:r>
      <w:r w:rsidRPr="00965611">
        <w:rPr>
          <w:rFonts w:ascii="Book Antiqua" w:eastAsia="宋体" w:hAnsi="Book Antiqua" w:cs="宋体"/>
          <w:b/>
          <w:bCs/>
          <w:lang w:val="en-US" w:eastAsia="zh-CN"/>
        </w:rPr>
        <w:t xml:space="preserve">50 </w:t>
      </w:r>
      <w:proofErr w:type="spellStart"/>
      <w:r w:rsidRPr="00965611">
        <w:rPr>
          <w:rFonts w:ascii="Book Antiqua" w:eastAsia="宋体" w:hAnsi="Book Antiqua" w:cs="宋体"/>
          <w:bCs/>
          <w:lang w:val="en-US" w:eastAsia="zh-CN"/>
        </w:rPr>
        <w:t>Suppl</w:t>
      </w:r>
      <w:proofErr w:type="spellEnd"/>
      <w:r w:rsidRPr="00965611">
        <w:rPr>
          <w:rFonts w:ascii="Book Antiqua" w:eastAsia="宋体" w:hAnsi="Book Antiqua" w:cs="宋体"/>
          <w:bCs/>
          <w:lang w:val="en-US" w:eastAsia="zh-CN"/>
        </w:rPr>
        <w:t xml:space="preserve"> 1</w:t>
      </w:r>
      <w:r w:rsidRPr="00965611">
        <w:rPr>
          <w:rFonts w:ascii="Book Antiqua" w:eastAsia="宋体" w:hAnsi="Book Antiqua" w:cs="宋体"/>
          <w:lang w:val="en-US" w:eastAsia="zh-CN"/>
        </w:rPr>
        <w:t>: 122S-150S [PMID: 19403881 DOI: 10.2967/jnumed.108.057307]</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22 </w:t>
      </w:r>
      <w:r w:rsidRPr="00965611">
        <w:rPr>
          <w:rFonts w:ascii="Book Antiqua" w:eastAsia="宋体" w:hAnsi="Book Antiqua" w:cs="宋体"/>
          <w:b/>
          <w:bCs/>
          <w:lang w:val="en-US" w:eastAsia="zh-CN"/>
        </w:rPr>
        <w:t>Young H</w:t>
      </w:r>
      <w:r w:rsidRPr="00965611">
        <w:rPr>
          <w:rFonts w:ascii="Book Antiqua" w:eastAsia="宋体" w:hAnsi="Book Antiqua" w:cs="宋体"/>
          <w:lang w:val="en-US" w:eastAsia="zh-CN"/>
        </w:rPr>
        <w:t xml:space="preserve">, Baum R, </w:t>
      </w:r>
      <w:proofErr w:type="spellStart"/>
      <w:r w:rsidRPr="00965611">
        <w:rPr>
          <w:rFonts w:ascii="Book Antiqua" w:eastAsia="宋体" w:hAnsi="Book Antiqua" w:cs="宋体"/>
          <w:lang w:val="en-US" w:eastAsia="zh-CN"/>
        </w:rPr>
        <w:t>Cremerius</w:t>
      </w:r>
      <w:proofErr w:type="spellEnd"/>
      <w:r w:rsidRPr="00965611">
        <w:rPr>
          <w:rFonts w:ascii="Book Antiqua" w:eastAsia="宋体" w:hAnsi="Book Antiqua" w:cs="宋体"/>
          <w:lang w:val="en-US" w:eastAsia="zh-CN"/>
        </w:rPr>
        <w:t xml:space="preserve"> U, </w:t>
      </w:r>
      <w:proofErr w:type="spellStart"/>
      <w:r w:rsidRPr="00965611">
        <w:rPr>
          <w:rFonts w:ascii="Book Antiqua" w:eastAsia="宋体" w:hAnsi="Book Antiqua" w:cs="宋体"/>
          <w:lang w:val="en-US" w:eastAsia="zh-CN"/>
        </w:rPr>
        <w:t>Herholz</w:t>
      </w:r>
      <w:proofErr w:type="spellEnd"/>
      <w:r w:rsidRPr="00965611">
        <w:rPr>
          <w:rFonts w:ascii="Book Antiqua" w:eastAsia="宋体" w:hAnsi="Book Antiqua" w:cs="宋体"/>
          <w:lang w:val="en-US" w:eastAsia="zh-CN"/>
        </w:rPr>
        <w:t xml:space="preserve"> K, Hoekstra O, </w:t>
      </w:r>
      <w:proofErr w:type="spellStart"/>
      <w:r w:rsidRPr="00965611">
        <w:rPr>
          <w:rFonts w:ascii="Book Antiqua" w:eastAsia="宋体" w:hAnsi="Book Antiqua" w:cs="宋体"/>
          <w:lang w:val="en-US" w:eastAsia="zh-CN"/>
        </w:rPr>
        <w:t>Lammertsma</w:t>
      </w:r>
      <w:proofErr w:type="spellEnd"/>
      <w:r w:rsidRPr="00965611">
        <w:rPr>
          <w:rFonts w:ascii="Book Antiqua" w:eastAsia="宋体" w:hAnsi="Book Antiqua" w:cs="宋体"/>
          <w:lang w:val="en-US" w:eastAsia="zh-CN"/>
        </w:rPr>
        <w:t xml:space="preserve"> AA, </w:t>
      </w:r>
      <w:proofErr w:type="spellStart"/>
      <w:r w:rsidRPr="00965611">
        <w:rPr>
          <w:rFonts w:ascii="Book Antiqua" w:eastAsia="宋体" w:hAnsi="Book Antiqua" w:cs="宋体"/>
          <w:lang w:val="en-US" w:eastAsia="zh-CN"/>
        </w:rPr>
        <w:t>Pruim</w:t>
      </w:r>
      <w:proofErr w:type="spellEnd"/>
      <w:r w:rsidRPr="00965611">
        <w:rPr>
          <w:rFonts w:ascii="Book Antiqua" w:eastAsia="宋体" w:hAnsi="Book Antiqua" w:cs="宋体"/>
          <w:lang w:val="en-US" w:eastAsia="zh-CN"/>
        </w:rPr>
        <w:t xml:space="preserve"> J, Price P. Measurement of clinical and subclinical </w:t>
      </w:r>
      <w:proofErr w:type="spellStart"/>
      <w:r w:rsidRPr="00965611">
        <w:rPr>
          <w:rFonts w:ascii="Book Antiqua" w:eastAsia="宋体" w:hAnsi="Book Antiqua" w:cs="宋体"/>
          <w:lang w:val="en-US" w:eastAsia="zh-CN"/>
        </w:rPr>
        <w:t>tumour</w:t>
      </w:r>
      <w:proofErr w:type="spellEnd"/>
      <w:r w:rsidRPr="00965611">
        <w:rPr>
          <w:rFonts w:ascii="Book Antiqua" w:eastAsia="宋体" w:hAnsi="Book Antiqua" w:cs="宋体"/>
          <w:lang w:val="en-US" w:eastAsia="zh-CN"/>
        </w:rPr>
        <w:t xml:space="preserve"> response using [18F]-</w:t>
      </w:r>
      <w:proofErr w:type="spellStart"/>
      <w:r w:rsidRPr="00965611">
        <w:rPr>
          <w:rFonts w:ascii="Book Antiqua" w:eastAsia="宋体" w:hAnsi="Book Antiqua" w:cs="宋体"/>
          <w:lang w:val="en-US" w:eastAsia="zh-CN"/>
        </w:rPr>
        <w:t>fluorodeoxyglucose</w:t>
      </w:r>
      <w:proofErr w:type="spellEnd"/>
      <w:r w:rsidRPr="00965611">
        <w:rPr>
          <w:rFonts w:ascii="Book Antiqua" w:eastAsia="宋体" w:hAnsi="Book Antiqua" w:cs="宋体"/>
          <w:lang w:val="en-US" w:eastAsia="zh-CN"/>
        </w:rPr>
        <w:t xml:space="preserve"> and positron emission tomography: review and 1999 EORTC recommendations. </w:t>
      </w:r>
      <w:proofErr w:type="gramStart"/>
      <w:r w:rsidRPr="00965611">
        <w:rPr>
          <w:rFonts w:ascii="Book Antiqua" w:eastAsia="宋体" w:hAnsi="Book Antiqua" w:cs="宋体"/>
          <w:lang w:val="en-US" w:eastAsia="zh-CN"/>
        </w:rPr>
        <w:t>European Organization for Research and Treatment of Cancer (EORTC) PET Study Group.</w:t>
      </w:r>
      <w:proofErr w:type="gramEnd"/>
      <w:r w:rsidRPr="00965611">
        <w:rPr>
          <w:rFonts w:ascii="Book Antiqua" w:eastAsia="宋体" w:hAnsi="Book Antiqua" w:cs="宋体"/>
          <w:lang w:val="en-US" w:eastAsia="zh-CN"/>
        </w:rPr>
        <w:t xml:space="preserve"> </w:t>
      </w:r>
      <w:proofErr w:type="spellStart"/>
      <w:r w:rsidRPr="00965611">
        <w:rPr>
          <w:rFonts w:ascii="Book Antiqua" w:eastAsia="宋体" w:hAnsi="Book Antiqua" w:cs="宋体"/>
          <w:i/>
          <w:iCs/>
          <w:lang w:val="en-US" w:eastAsia="zh-CN"/>
        </w:rPr>
        <w:t>Eur</w:t>
      </w:r>
      <w:proofErr w:type="spellEnd"/>
      <w:r w:rsidRPr="00965611">
        <w:rPr>
          <w:rFonts w:ascii="Book Antiqua" w:eastAsia="宋体" w:hAnsi="Book Antiqua" w:cs="宋体"/>
          <w:i/>
          <w:iCs/>
          <w:lang w:val="en-US" w:eastAsia="zh-CN"/>
        </w:rPr>
        <w:t xml:space="preserve"> J Cancer</w:t>
      </w:r>
      <w:r w:rsidRPr="00965611">
        <w:rPr>
          <w:rFonts w:ascii="Book Antiqua" w:eastAsia="宋体" w:hAnsi="Book Antiqua" w:cs="宋体"/>
          <w:lang w:val="en-US" w:eastAsia="zh-CN"/>
        </w:rPr>
        <w:t xml:space="preserve"> 1999; </w:t>
      </w:r>
      <w:r w:rsidRPr="00965611">
        <w:rPr>
          <w:rFonts w:ascii="Book Antiqua" w:eastAsia="宋体" w:hAnsi="Book Antiqua" w:cs="宋体"/>
          <w:b/>
          <w:bCs/>
          <w:lang w:val="en-US" w:eastAsia="zh-CN"/>
        </w:rPr>
        <w:t>35</w:t>
      </w:r>
      <w:r w:rsidRPr="00965611">
        <w:rPr>
          <w:rFonts w:ascii="Book Antiqua" w:eastAsia="宋体" w:hAnsi="Book Antiqua" w:cs="宋体"/>
          <w:lang w:val="en-US" w:eastAsia="zh-CN"/>
        </w:rPr>
        <w:t>: 1773-1782 [PMID: 10673991]</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23 </w:t>
      </w:r>
      <w:proofErr w:type="spellStart"/>
      <w:r w:rsidRPr="00965611">
        <w:rPr>
          <w:rFonts w:ascii="Book Antiqua" w:eastAsia="宋体" w:hAnsi="Book Antiqua" w:cs="宋体"/>
          <w:b/>
          <w:bCs/>
          <w:lang w:val="en-US" w:eastAsia="zh-CN"/>
        </w:rPr>
        <w:t>Skougaard</w:t>
      </w:r>
      <w:proofErr w:type="spellEnd"/>
      <w:r w:rsidRPr="00965611">
        <w:rPr>
          <w:rFonts w:ascii="Book Antiqua" w:eastAsia="宋体" w:hAnsi="Book Antiqua" w:cs="宋体"/>
          <w:b/>
          <w:bCs/>
          <w:lang w:val="en-US" w:eastAsia="zh-CN"/>
        </w:rPr>
        <w:t xml:space="preserve"> K</w:t>
      </w:r>
      <w:r w:rsidRPr="00965611">
        <w:rPr>
          <w:rFonts w:ascii="Book Antiqua" w:eastAsia="宋体" w:hAnsi="Book Antiqua" w:cs="宋体"/>
          <w:lang w:val="en-US" w:eastAsia="zh-CN"/>
        </w:rPr>
        <w:t xml:space="preserve">, Nielsen D, Jensen BV, </w:t>
      </w:r>
      <w:proofErr w:type="spellStart"/>
      <w:r w:rsidRPr="00965611">
        <w:rPr>
          <w:rFonts w:ascii="Book Antiqua" w:eastAsia="宋体" w:hAnsi="Book Antiqua" w:cs="宋体"/>
          <w:lang w:val="en-US" w:eastAsia="zh-CN"/>
        </w:rPr>
        <w:t>Hendel</w:t>
      </w:r>
      <w:proofErr w:type="spellEnd"/>
      <w:r w:rsidRPr="00965611">
        <w:rPr>
          <w:rFonts w:ascii="Book Antiqua" w:eastAsia="宋体" w:hAnsi="Book Antiqua" w:cs="宋体"/>
          <w:lang w:val="en-US" w:eastAsia="zh-CN"/>
        </w:rPr>
        <w:t xml:space="preserve"> HW. Comparison of EORTC criteria and PERCIST for PET/CT response evaluation of patients with metastatic colorectal cancer treated with </w:t>
      </w:r>
      <w:proofErr w:type="spellStart"/>
      <w:r w:rsidRPr="00965611">
        <w:rPr>
          <w:rFonts w:ascii="Book Antiqua" w:eastAsia="宋体" w:hAnsi="Book Antiqua" w:cs="宋体"/>
          <w:lang w:val="en-US" w:eastAsia="zh-CN"/>
        </w:rPr>
        <w:t>irinotecan</w:t>
      </w:r>
      <w:proofErr w:type="spellEnd"/>
      <w:r w:rsidRPr="00965611">
        <w:rPr>
          <w:rFonts w:ascii="Book Antiqua" w:eastAsia="宋体" w:hAnsi="Book Antiqua" w:cs="宋体"/>
          <w:lang w:val="en-US" w:eastAsia="zh-CN"/>
        </w:rPr>
        <w:t xml:space="preserve"> and </w:t>
      </w:r>
      <w:proofErr w:type="spellStart"/>
      <w:r w:rsidRPr="00965611">
        <w:rPr>
          <w:rFonts w:ascii="Book Antiqua" w:eastAsia="宋体" w:hAnsi="Book Antiqua" w:cs="宋体"/>
          <w:lang w:val="en-US" w:eastAsia="zh-CN"/>
        </w:rPr>
        <w:t>cetuximab</w:t>
      </w:r>
      <w:proofErr w:type="spellEnd"/>
      <w:r w:rsidRPr="00965611">
        <w:rPr>
          <w:rFonts w:ascii="Book Antiqua" w:eastAsia="宋体" w:hAnsi="Book Antiqua" w:cs="宋体"/>
          <w:lang w:val="en-US" w:eastAsia="zh-CN"/>
        </w:rPr>
        <w:t xml:space="preserve">. </w:t>
      </w:r>
      <w:r w:rsidRPr="00965611">
        <w:rPr>
          <w:rFonts w:ascii="Book Antiqua" w:eastAsia="宋体" w:hAnsi="Book Antiqua" w:cs="宋体"/>
          <w:i/>
          <w:iCs/>
          <w:lang w:val="en-US" w:eastAsia="zh-CN"/>
        </w:rPr>
        <w:t xml:space="preserve">J </w:t>
      </w:r>
      <w:proofErr w:type="spellStart"/>
      <w:r w:rsidRPr="00965611">
        <w:rPr>
          <w:rFonts w:ascii="Book Antiqua" w:eastAsia="宋体" w:hAnsi="Book Antiqua" w:cs="宋体"/>
          <w:i/>
          <w:iCs/>
          <w:lang w:val="en-US" w:eastAsia="zh-CN"/>
        </w:rPr>
        <w:t>Nucl</w:t>
      </w:r>
      <w:proofErr w:type="spellEnd"/>
      <w:r w:rsidRPr="00965611">
        <w:rPr>
          <w:rFonts w:ascii="Book Antiqua" w:eastAsia="宋体" w:hAnsi="Book Antiqua" w:cs="宋体"/>
          <w:i/>
          <w:iCs/>
          <w:lang w:val="en-US" w:eastAsia="zh-CN"/>
        </w:rPr>
        <w:t xml:space="preserve"> Med</w:t>
      </w:r>
      <w:r w:rsidRPr="00965611">
        <w:rPr>
          <w:rFonts w:ascii="Book Antiqua" w:eastAsia="宋体" w:hAnsi="Book Antiqua" w:cs="宋体"/>
          <w:lang w:val="en-US" w:eastAsia="zh-CN"/>
        </w:rPr>
        <w:t xml:space="preserve"> 2013; </w:t>
      </w:r>
      <w:r w:rsidRPr="00965611">
        <w:rPr>
          <w:rFonts w:ascii="Book Antiqua" w:eastAsia="宋体" w:hAnsi="Book Antiqua" w:cs="宋体"/>
          <w:b/>
          <w:bCs/>
          <w:lang w:val="en-US" w:eastAsia="zh-CN"/>
        </w:rPr>
        <w:t>54</w:t>
      </w:r>
      <w:r w:rsidRPr="00965611">
        <w:rPr>
          <w:rFonts w:ascii="Book Antiqua" w:eastAsia="宋体" w:hAnsi="Book Antiqua" w:cs="宋体"/>
          <w:lang w:val="en-US" w:eastAsia="zh-CN"/>
        </w:rPr>
        <w:t>: 1026-1031 [PMID: 23572497 DOI: 10.2967/</w:t>
      </w:r>
      <w:proofErr w:type="spellStart"/>
      <w:r w:rsidRPr="00965611">
        <w:rPr>
          <w:rFonts w:ascii="Book Antiqua" w:eastAsia="宋体" w:hAnsi="Book Antiqua" w:cs="宋体"/>
          <w:lang w:val="en-US" w:eastAsia="zh-CN"/>
        </w:rPr>
        <w:t>jnumed</w:t>
      </w:r>
      <w:proofErr w:type="spellEnd"/>
      <w:r w:rsidRPr="00965611">
        <w:rPr>
          <w:rFonts w:ascii="Book Antiqua" w:eastAsia="宋体" w:hAnsi="Book Antiqua" w:cs="宋体"/>
          <w:lang w:val="en-US" w:eastAsia="zh-CN"/>
        </w:rPr>
        <w:t>]</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24 </w:t>
      </w:r>
      <w:r w:rsidRPr="00965611">
        <w:rPr>
          <w:rFonts w:ascii="Book Antiqua" w:eastAsia="宋体" w:hAnsi="Book Antiqua" w:cs="宋体"/>
          <w:b/>
          <w:bCs/>
          <w:lang w:val="en-US" w:eastAsia="zh-CN"/>
        </w:rPr>
        <w:t>Stefano A</w:t>
      </w:r>
      <w:r w:rsidRPr="00965611">
        <w:rPr>
          <w:rFonts w:ascii="Book Antiqua" w:eastAsia="宋体" w:hAnsi="Book Antiqua" w:cs="宋体"/>
          <w:lang w:val="en-US" w:eastAsia="zh-CN"/>
        </w:rPr>
        <w:t xml:space="preserve">, Russo G, </w:t>
      </w:r>
      <w:proofErr w:type="spellStart"/>
      <w:r w:rsidRPr="00965611">
        <w:rPr>
          <w:rFonts w:ascii="Book Antiqua" w:eastAsia="宋体" w:hAnsi="Book Antiqua" w:cs="宋体"/>
          <w:lang w:val="en-US" w:eastAsia="zh-CN"/>
        </w:rPr>
        <w:t>Ippolito</w:t>
      </w:r>
      <w:proofErr w:type="spellEnd"/>
      <w:r w:rsidRPr="00965611">
        <w:rPr>
          <w:rFonts w:ascii="Book Antiqua" w:eastAsia="宋体" w:hAnsi="Book Antiqua" w:cs="宋体"/>
          <w:lang w:val="en-US" w:eastAsia="zh-CN"/>
        </w:rPr>
        <w:t xml:space="preserve"> M, </w:t>
      </w:r>
      <w:proofErr w:type="spellStart"/>
      <w:r w:rsidRPr="00965611">
        <w:rPr>
          <w:rFonts w:ascii="Book Antiqua" w:eastAsia="宋体" w:hAnsi="Book Antiqua" w:cs="宋体"/>
          <w:lang w:val="en-US" w:eastAsia="zh-CN"/>
        </w:rPr>
        <w:t>Cosentino</w:t>
      </w:r>
      <w:proofErr w:type="spellEnd"/>
      <w:r w:rsidRPr="00965611">
        <w:rPr>
          <w:rFonts w:ascii="Book Antiqua" w:eastAsia="宋体" w:hAnsi="Book Antiqua" w:cs="宋体"/>
          <w:lang w:val="en-US" w:eastAsia="zh-CN"/>
        </w:rPr>
        <w:t xml:space="preserve"> S, </w:t>
      </w:r>
      <w:proofErr w:type="spellStart"/>
      <w:r w:rsidRPr="00965611">
        <w:rPr>
          <w:rFonts w:ascii="Book Antiqua" w:eastAsia="宋体" w:hAnsi="Book Antiqua" w:cs="宋体"/>
          <w:lang w:val="en-US" w:eastAsia="zh-CN"/>
        </w:rPr>
        <w:t>Murè</w:t>
      </w:r>
      <w:proofErr w:type="spellEnd"/>
      <w:r w:rsidRPr="00965611">
        <w:rPr>
          <w:rFonts w:ascii="Book Antiqua" w:eastAsia="宋体" w:hAnsi="Book Antiqua" w:cs="宋体"/>
          <w:lang w:val="en-US" w:eastAsia="zh-CN"/>
        </w:rPr>
        <w:t xml:space="preserve"> G, </w:t>
      </w:r>
      <w:proofErr w:type="spellStart"/>
      <w:r w:rsidRPr="00965611">
        <w:rPr>
          <w:rFonts w:ascii="Book Antiqua" w:eastAsia="宋体" w:hAnsi="Book Antiqua" w:cs="宋体"/>
          <w:lang w:val="en-US" w:eastAsia="zh-CN"/>
        </w:rPr>
        <w:t>Baldari</w:t>
      </w:r>
      <w:proofErr w:type="spellEnd"/>
      <w:r w:rsidRPr="00965611">
        <w:rPr>
          <w:rFonts w:ascii="Book Antiqua" w:eastAsia="宋体" w:hAnsi="Book Antiqua" w:cs="宋体"/>
          <w:lang w:val="en-US" w:eastAsia="zh-CN"/>
        </w:rPr>
        <w:t xml:space="preserve"> S, </w:t>
      </w:r>
      <w:proofErr w:type="spellStart"/>
      <w:r w:rsidRPr="00965611">
        <w:rPr>
          <w:rFonts w:ascii="Book Antiqua" w:eastAsia="宋体" w:hAnsi="Book Antiqua" w:cs="宋体"/>
          <w:lang w:val="en-US" w:eastAsia="zh-CN"/>
        </w:rPr>
        <w:t>Sabini</w:t>
      </w:r>
      <w:proofErr w:type="spellEnd"/>
      <w:r w:rsidRPr="00965611">
        <w:rPr>
          <w:rFonts w:ascii="Book Antiqua" w:eastAsia="宋体" w:hAnsi="Book Antiqua" w:cs="宋体"/>
          <w:lang w:val="en-US" w:eastAsia="zh-CN"/>
        </w:rPr>
        <w:t xml:space="preserve"> MG, </w:t>
      </w:r>
      <w:proofErr w:type="spellStart"/>
      <w:r w:rsidRPr="00965611">
        <w:rPr>
          <w:rFonts w:ascii="Book Antiqua" w:eastAsia="宋体" w:hAnsi="Book Antiqua" w:cs="宋体"/>
          <w:lang w:val="en-US" w:eastAsia="zh-CN"/>
        </w:rPr>
        <w:t>Sardina</w:t>
      </w:r>
      <w:proofErr w:type="spellEnd"/>
      <w:r w:rsidRPr="00965611">
        <w:rPr>
          <w:rFonts w:ascii="Book Antiqua" w:eastAsia="宋体" w:hAnsi="Book Antiqua" w:cs="宋体"/>
          <w:lang w:val="en-US" w:eastAsia="zh-CN"/>
        </w:rPr>
        <w:t xml:space="preserve"> D, </w:t>
      </w:r>
      <w:proofErr w:type="spellStart"/>
      <w:r w:rsidRPr="00965611">
        <w:rPr>
          <w:rFonts w:ascii="Book Antiqua" w:eastAsia="宋体" w:hAnsi="Book Antiqua" w:cs="宋体"/>
          <w:lang w:val="en-US" w:eastAsia="zh-CN"/>
        </w:rPr>
        <w:t>Valastro</w:t>
      </w:r>
      <w:proofErr w:type="spellEnd"/>
      <w:r w:rsidRPr="00965611">
        <w:rPr>
          <w:rFonts w:ascii="Book Antiqua" w:eastAsia="宋体" w:hAnsi="Book Antiqua" w:cs="宋体"/>
          <w:lang w:val="en-US" w:eastAsia="zh-CN"/>
        </w:rPr>
        <w:t xml:space="preserve"> LM, </w:t>
      </w:r>
      <w:proofErr w:type="spellStart"/>
      <w:r w:rsidRPr="00965611">
        <w:rPr>
          <w:rFonts w:ascii="Book Antiqua" w:eastAsia="宋体" w:hAnsi="Book Antiqua" w:cs="宋体"/>
          <w:lang w:val="en-US" w:eastAsia="zh-CN"/>
        </w:rPr>
        <w:t>Bordonaro</w:t>
      </w:r>
      <w:proofErr w:type="spellEnd"/>
      <w:r w:rsidRPr="00965611">
        <w:rPr>
          <w:rFonts w:ascii="Book Antiqua" w:eastAsia="宋体" w:hAnsi="Book Antiqua" w:cs="宋体"/>
          <w:lang w:val="en-US" w:eastAsia="zh-CN"/>
        </w:rPr>
        <w:t xml:space="preserve"> R, </w:t>
      </w:r>
      <w:proofErr w:type="spellStart"/>
      <w:r w:rsidRPr="00965611">
        <w:rPr>
          <w:rFonts w:ascii="Book Antiqua" w:eastAsia="宋体" w:hAnsi="Book Antiqua" w:cs="宋体"/>
          <w:lang w:val="en-US" w:eastAsia="zh-CN"/>
        </w:rPr>
        <w:t>Messa</w:t>
      </w:r>
      <w:proofErr w:type="spellEnd"/>
      <w:r w:rsidRPr="00965611">
        <w:rPr>
          <w:rFonts w:ascii="Book Antiqua" w:eastAsia="宋体" w:hAnsi="Book Antiqua" w:cs="宋体"/>
          <w:lang w:val="en-US" w:eastAsia="zh-CN"/>
        </w:rPr>
        <w:t xml:space="preserve"> C, </w:t>
      </w:r>
      <w:proofErr w:type="spellStart"/>
      <w:r w:rsidRPr="00965611">
        <w:rPr>
          <w:rFonts w:ascii="Book Antiqua" w:eastAsia="宋体" w:hAnsi="Book Antiqua" w:cs="宋体"/>
          <w:lang w:val="en-US" w:eastAsia="zh-CN"/>
        </w:rPr>
        <w:t>Gilardi</w:t>
      </w:r>
      <w:proofErr w:type="spellEnd"/>
      <w:r w:rsidRPr="00965611">
        <w:rPr>
          <w:rFonts w:ascii="Book Antiqua" w:eastAsia="宋体" w:hAnsi="Book Antiqua" w:cs="宋体"/>
          <w:lang w:val="en-US" w:eastAsia="zh-CN"/>
        </w:rPr>
        <w:t xml:space="preserve"> MC, Soto Parra H. Evaluation of </w:t>
      </w:r>
      <w:proofErr w:type="spellStart"/>
      <w:r w:rsidRPr="00965611">
        <w:rPr>
          <w:rFonts w:ascii="Book Antiqua" w:eastAsia="宋体" w:hAnsi="Book Antiqua" w:cs="宋体"/>
          <w:lang w:val="en-US" w:eastAsia="zh-CN"/>
        </w:rPr>
        <w:t>erlotinib</w:t>
      </w:r>
      <w:proofErr w:type="spellEnd"/>
      <w:r w:rsidRPr="00965611">
        <w:rPr>
          <w:rFonts w:ascii="Book Antiqua" w:eastAsia="宋体" w:hAnsi="Book Antiqua" w:cs="宋体"/>
          <w:lang w:val="en-US" w:eastAsia="zh-CN"/>
        </w:rPr>
        <w:t xml:space="preserve"> treatment response in non-small cell lung cancer using metabolic and anatomic criteria. </w:t>
      </w:r>
      <w:r w:rsidRPr="00965611">
        <w:rPr>
          <w:rFonts w:ascii="Book Antiqua" w:eastAsia="宋体" w:hAnsi="Book Antiqua" w:cs="宋体"/>
          <w:i/>
          <w:iCs/>
          <w:lang w:val="en-US" w:eastAsia="zh-CN"/>
        </w:rPr>
        <w:t xml:space="preserve">Q J </w:t>
      </w:r>
      <w:proofErr w:type="spellStart"/>
      <w:r w:rsidRPr="00965611">
        <w:rPr>
          <w:rFonts w:ascii="Book Antiqua" w:eastAsia="宋体" w:hAnsi="Book Antiqua" w:cs="宋体"/>
          <w:i/>
          <w:iCs/>
          <w:lang w:val="en-US" w:eastAsia="zh-CN"/>
        </w:rPr>
        <w:t>Nucl</w:t>
      </w:r>
      <w:proofErr w:type="spellEnd"/>
      <w:r w:rsidRPr="00965611">
        <w:rPr>
          <w:rFonts w:ascii="Book Antiqua" w:eastAsia="宋体" w:hAnsi="Book Antiqua" w:cs="宋体"/>
          <w:i/>
          <w:iCs/>
          <w:lang w:val="en-US" w:eastAsia="zh-CN"/>
        </w:rPr>
        <w:t xml:space="preserve"> Med </w:t>
      </w:r>
      <w:proofErr w:type="spellStart"/>
      <w:r w:rsidRPr="00965611">
        <w:rPr>
          <w:rFonts w:ascii="Book Antiqua" w:eastAsia="宋体" w:hAnsi="Book Antiqua" w:cs="宋体"/>
          <w:i/>
          <w:iCs/>
          <w:lang w:val="en-US" w:eastAsia="zh-CN"/>
        </w:rPr>
        <w:t>Mol</w:t>
      </w:r>
      <w:proofErr w:type="spellEnd"/>
      <w:r w:rsidRPr="00965611">
        <w:rPr>
          <w:rFonts w:ascii="Book Antiqua" w:eastAsia="宋体" w:hAnsi="Book Antiqua" w:cs="宋体"/>
          <w:i/>
          <w:iCs/>
          <w:lang w:val="en-US" w:eastAsia="zh-CN"/>
        </w:rPr>
        <w:t xml:space="preserve"> Imaging</w:t>
      </w:r>
      <w:r w:rsidRPr="00965611">
        <w:rPr>
          <w:rFonts w:ascii="Book Antiqua" w:eastAsia="宋体" w:hAnsi="Book Antiqua" w:cs="宋体"/>
          <w:lang w:val="en-US" w:eastAsia="zh-CN"/>
        </w:rPr>
        <w:t xml:space="preserve"> 2014; </w:t>
      </w:r>
      <w:proofErr w:type="spellStart"/>
      <w:r w:rsidRPr="00965611">
        <w:rPr>
          <w:rFonts w:ascii="Book Antiqua" w:eastAsia="宋体" w:hAnsi="Book Antiqua" w:cs="宋体"/>
          <w:lang w:val="en-US" w:eastAsia="zh-CN"/>
        </w:rPr>
        <w:t>Epub</w:t>
      </w:r>
      <w:proofErr w:type="spellEnd"/>
      <w:r w:rsidRPr="00965611">
        <w:rPr>
          <w:rFonts w:ascii="Book Antiqua" w:eastAsia="宋体" w:hAnsi="Book Antiqua" w:cs="宋体"/>
          <w:lang w:val="en-US" w:eastAsia="zh-CN"/>
        </w:rPr>
        <w:t xml:space="preserve"> ahead of print [PMID: 24809275]</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25 </w:t>
      </w:r>
      <w:r w:rsidRPr="00965611">
        <w:rPr>
          <w:rFonts w:ascii="Book Antiqua" w:eastAsia="宋体" w:hAnsi="Book Antiqua" w:cs="宋体"/>
          <w:b/>
          <w:bCs/>
          <w:lang w:val="en-US" w:eastAsia="zh-CN"/>
        </w:rPr>
        <w:t>Goethals L</w:t>
      </w:r>
      <w:r w:rsidRPr="00965611">
        <w:rPr>
          <w:rFonts w:ascii="Book Antiqua" w:eastAsia="宋体" w:hAnsi="Book Antiqua" w:cs="宋体"/>
          <w:lang w:val="en-US" w:eastAsia="zh-CN"/>
        </w:rPr>
        <w:t xml:space="preserve">, </w:t>
      </w:r>
      <w:proofErr w:type="spellStart"/>
      <w:r w:rsidRPr="00965611">
        <w:rPr>
          <w:rFonts w:ascii="Book Antiqua" w:eastAsia="宋体" w:hAnsi="Book Antiqua" w:cs="宋体"/>
          <w:lang w:val="en-US" w:eastAsia="zh-CN"/>
        </w:rPr>
        <w:t>Wilgenhof</w:t>
      </w:r>
      <w:proofErr w:type="spellEnd"/>
      <w:r w:rsidRPr="00965611">
        <w:rPr>
          <w:rFonts w:ascii="Book Antiqua" w:eastAsia="宋体" w:hAnsi="Book Antiqua" w:cs="宋体"/>
          <w:lang w:val="en-US" w:eastAsia="zh-CN"/>
        </w:rPr>
        <w:t xml:space="preserve"> S, De </w:t>
      </w:r>
      <w:proofErr w:type="spellStart"/>
      <w:r w:rsidRPr="00965611">
        <w:rPr>
          <w:rFonts w:ascii="Book Antiqua" w:eastAsia="宋体" w:hAnsi="Book Antiqua" w:cs="宋体"/>
          <w:lang w:val="en-US" w:eastAsia="zh-CN"/>
        </w:rPr>
        <w:t>Geeter</w:t>
      </w:r>
      <w:proofErr w:type="spellEnd"/>
      <w:r w:rsidRPr="00965611">
        <w:rPr>
          <w:rFonts w:ascii="Book Antiqua" w:eastAsia="宋体" w:hAnsi="Book Antiqua" w:cs="宋体"/>
          <w:lang w:val="en-US" w:eastAsia="zh-CN"/>
        </w:rPr>
        <w:t xml:space="preserve"> F, </w:t>
      </w:r>
      <w:proofErr w:type="spellStart"/>
      <w:r w:rsidRPr="00965611">
        <w:rPr>
          <w:rFonts w:ascii="Book Antiqua" w:eastAsia="宋体" w:hAnsi="Book Antiqua" w:cs="宋体"/>
          <w:lang w:val="en-US" w:eastAsia="zh-CN"/>
        </w:rPr>
        <w:t>Everaert</w:t>
      </w:r>
      <w:proofErr w:type="spellEnd"/>
      <w:r w:rsidRPr="00965611">
        <w:rPr>
          <w:rFonts w:ascii="Book Antiqua" w:eastAsia="宋体" w:hAnsi="Book Antiqua" w:cs="宋体"/>
          <w:lang w:val="en-US" w:eastAsia="zh-CN"/>
        </w:rPr>
        <w:t xml:space="preserve"> H, </w:t>
      </w:r>
      <w:proofErr w:type="spellStart"/>
      <w:r w:rsidRPr="00965611">
        <w:rPr>
          <w:rFonts w:ascii="Book Antiqua" w:eastAsia="宋体" w:hAnsi="Book Antiqua" w:cs="宋体"/>
          <w:lang w:val="en-US" w:eastAsia="zh-CN"/>
        </w:rPr>
        <w:t>Neyns</w:t>
      </w:r>
      <w:proofErr w:type="spellEnd"/>
      <w:r w:rsidRPr="00965611">
        <w:rPr>
          <w:rFonts w:ascii="Book Antiqua" w:eastAsia="宋体" w:hAnsi="Book Antiqua" w:cs="宋体"/>
          <w:lang w:val="en-US" w:eastAsia="zh-CN"/>
        </w:rPr>
        <w:t xml:space="preserve"> B. 18F-FDG PET/CT imaging of an anti-CTLA-4 antibody-associated autoimmune </w:t>
      </w:r>
      <w:proofErr w:type="spellStart"/>
      <w:r w:rsidRPr="00965611">
        <w:rPr>
          <w:rFonts w:ascii="Book Antiqua" w:eastAsia="宋体" w:hAnsi="Book Antiqua" w:cs="宋体"/>
          <w:lang w:val="en-US" w:eastAsia="zh-CN"/>
        </w:rPr>
        <w:t>pancolitis</w:t>
      </w:r>
      <w:proofErr w:type="spellEnd"/>
      <w:r w:rsidRPr="00965611">
        <w:rPr>
          <w:rFonts w:ascii="Book Antiqua" w:eastAsia="宋体" w:hAnsi="Book Antiqua" w:cs="宋体"/>
          <w:lang w:val="en-US" w:eastAsia="zh-CN"/>
        </w:rPr>
        <w:t xml:space="preserve">. </w:t>
      </w:r>
      <w:proofErr w:type="spellStart"/>
      <w:r w:rsidRPr="00965611">
        <w:rPr>
          <w:rFonts w:ascii="Book Antiqua" w:eastAsia="宋体" w:hAnsi="Book Antiqua" w:cs="宋体"/>
          <w:i/>
          <w:iCs/>
          <w:lang w:val="en-US" w:eastAsia="zh-CN"/>
        </w:rPr>
        <w:t>Eur</w:t>
      </w:r>
      <w:proofErr w:type="spellEnd"/>
      <w:r w:rsidRPr="00965611">
        <w:rPr>
          <w:rFonts w:ascii="Book Antiqua" w:eastAsia="宋体" w:hAnsi="Book Antiqua" w:cs="宋体"/>
          <w:i/>
          <w:iCs/>
          <w:lang w:val="en-US" w:eastAsia="zh-CN"/>
        </w:rPr>
        <w:t xml:space="preserve"> J </w:t>
      </w:r>
      <w:proofErr w:type="spellStart"/>
      <w:r w:rsidRPr="00965611">
        <w:rPr>
          <w:rFonts w:ascii="Book Antiqua" w:eastAsia="宋体" w:hAnsi="Book Antiqua" w:cs="宋体"/>
          <w:i/>
          <w:iCs/>
          <w:lang w:val="en-US" w:eastAsia="zh-CN"/>
        </w:rPr>
        <w:t>Nucl</w:t>
      </w:r>
      <w:proofErr w:type="spellEnd"/>
      <w:r w:rsidRPr="00965611">
        <w:rPr>
          <w:rFonts w:ascii="Book Antiqua" w:eastAsia="宋体" w:hAnsi="Book Antiqua" w:cs="宋体"/>
          <w:i/>
          <w:iCs/>
          <w:lang w:val="en-US" w:eastAsia="zh-CN"/>
        </w:rPr>
        <w:t xml:space="preserve"> Med </w:t>
      </w:r>
      <w:proofErr w:type="spellStart"/>
      <w:r w:rsidRPr="00965611">
        <w:rPr>
          <w:rFonts w:ascii="Book Antiqua" w:eastAsia="宋体" w:hAnsi="Book Antiqua" w:cs="宋体"/>
          <w:i/>
          <w:iCs/>
          <w:lang w:val="en-US" w:eastAsia="zh-CN"/>
        </w:rPr>
        <w:t>Mol</w:t>
      </w:r>
      <w:proofErr w:type="spellEnd"/>
      <w:r w:rsidRPr="00965611">
        <w:rPr>
          <w:rFonts w:ascii="Book Antiqua" w:eastAsia="宋体" w:hAnsi="Book Antiqua" w:cs="宋体"/>
          <w:i/>
          <w:iCs/>
          <w:lang w:val="en-US" w:eastAsia="zh-CN"/>
        </w:rPr>
        <w:t xml:space="preserve"> Imaging</w:t>
      </w:r>
      <w:r w:rsidRPr="00965611">
        <w:rPr>
          <w:rFonts w:ascii="Book Antiqua" w:eastAsia="宋体" w:hAnsi="Book Antiqua" w:cs="宋体"/>
          <w:lang w:val="en-US" w:eastAsia="zh-CN"/>
        </w:rPr>
        <w:t xml:space="preserve"> 2011; </w:t>
      </w:r>
      <w:r w:rsidRPr="00965611">
        <w:rPr>
          <w:rFonts w:ascii="Book Antiqua" w:eastAsia="宋体" w:hAnsi="Book Antiqua" w:cs="宋体"/>
          <w:b/>
          <w:bCs/>
          <w:lang w:val="en-US" w:eastAsia="zh-CN"/>
        </w:rPr>
        <w:t>38</w:t>
      </w:r>
      <w:r w:rsidRPr="00965611">
        <w:rPr>
          <w:rFonts w:ascii="Book Antiqua" w:eastAsia="宋体" w:hAnsi="Book Antiqua" w:cs="宋体"/>
          <w:lang w:val="en-US" w:eastAsia="zh-CN"/>
        </w:rPr>
        <w:t>: 1390-1391 [PMID: 21365253 DOI: 10.1007/s00259-011-1749-5]</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26 </w:t>
      </w:r>
      <w:r w:rsidRPr="00965611">
        <w:rPr>
          <w:rFonts w:ascii="Book Antiqua" w:eastAsia="宋体" w:hAnsi="Book Antiqua" w:cs="宋体"/>
          <w:b/>
          <w:bCs/>
          <w:lang w:val="en-US" w:eastAsia="zh-CN"/>
        </w:rPr>
        <w:t>Koo PJ</w:t>
      </w:r>
      <w:r w:rsidRPr="00965611">
        <w:rPr>
          <w:rFonts w:ascii="Book Antiqua" w:eastAsia="宋体" w:hAnsi="Book Antiqua" w:cs="宋体"/>
          <w:lang w:val="en-US" w:eastAsia="zh-CN"/>
        </w:rPr>
        <w:t xml:space="preserve">, </w:t>
      </w:r>
      <w:proofErr w:type="spellStart"/>
      <w:r w:rsidRPr="00965611">
        <w:rPr>
          <w:rFonts w:ascii="Book Antiqua" w:eastAsia="宋体" w:hAnsi="Book Antiqua" w:cs="宋体"/>
          <w:lang w:val="en-US" w:eastAsia="zh-CN"/>
        </w:rPr>
        <w:t>Klingensmith</w:t>
      </w:r>
      <w:proofErr w:type="spellEnd"/>
      <w:r w:rsidRPr="00965611">
        <w:rPr>
          <w:rFonts w:ascii="Book Antiqua" w:eastAsia="宋体" w:hAnsi="Book Antiqua" w:cs="宋体"/>
          <w:lang w:val="en-US" w:eastAsia="zh-CN"/>
        </w:rPr>
        <w:t xml:space="preserve"> WC, Lewis KD, </w:t>
      </w:r>
      <w:proofErr w:type="spellStart"/>
      <w:r w:rsidRPr="00965611">
        <w:rPr>
          <w:rFonts w:ascii="Book Antiqua" w:eastAsia="宋体" w:hAnsi="Book Antiqua" w:cs="宋体"/>
          <w:lang w:val="en-US" w:eastAsia="zh-CN"/>
        </w:rPr>
        <w:t>Bagrosky</w:t>
      </w:r>
      <w:proofErr w:type="spellEnd"/>
      <w:r w:rsidRPr="00965611">
        <w:rPr>
          <w:rFonts w:ascii="Book Antiqua" w:eastAsia="宋体" w:hAnsi="Book Antiqua" w:cs="宋体"/>
          <w:lang w:val="en-US" w:eastAsia="zh-CN"/>
        </w:rPr>
        <w:t xml:space="preserve"> BM, Gonzalez R. Anti-CTLA4 antibody therapy related complications on FDG PET/CT. </w:t>
      </w:r>
      <w:proofErr w:type="spellStart"/>
      <w:r w:rsidRPr="00965611">
        <w:rPr>
          <w:rFonts w:ascii="Book Antiqua" w:eastAsia="宋体" w:hAnsi="Book Antiqua" w:cs="宋体"/>
          <w:i/>
          <w:iCs/>
          <w:lang w:val="en-US" w:eastAsia="zh-CN"/>
        </w:rPr>
        <w:t>Clin</w:t>
      </w:r>
      <w:proofErr w:type="spellEnd"/>
      <w:r w:rsidRPr="00965611">
        <w:rPr>
          <w:rFonts w:ascii="Book Antiqua" w:eastAsia="宋体" w:hAnsi="Book Antiqua" w:cs="宋体"/>
          <w:i/>
          <w:iCs/>
          <w:lang w:val="en-US" w:eastAsia="zh-CN"/>
        </w:rPr>
        <w:t xml:space="preserve"> </w:t>
      </w:r>
      <w:proofErr w:type="spellStart"/>
      <w:r w:rsidRPr="00965611">
        <w:rPr>
          <w:rFonts w:ascii="Book Antiqua" w:eastAsia="宋体" w:hAnsi="Book Antiqua" w:cs="宋体"/>
          <w:i/>
          <w:iCs/>
          <w:lang w:val="en-US" w:eastAsia="zh-CN"/>
        </w:rPr>
        <w:t>Nucl</w:t>
      </w:r>
      <w:proofErr w:type="spellEnd"/>
      <w:r w:rsidRPr="00965611">
        <w:rPr>
          <w:rFonts w:ascii="Book Antiqua" w:eastAsia="宋体" w:hAnsi="Book Antiqua" w:cs="宋体"/>
          <w:i/>
          <w:iCs/>
          <w:lang w:val="en-US" w:eastAsia="zh-CN"/>
        </w:rPr>
        <w:t xml:space="preserve"> Med</w:t>
      </w:r>
      <w:r w:rsidRPr="00965611">
        <w:rPr>
          <w:rFonts w:ascii="Book Antiqua" w:eastAsia="宋体" w:hAnsi="Book Antiqua" w:cs="宋体"/>
          <w:lang w:val="en-US" w:eastAsia="zh-CN"/>
        </w:rPr>
        <w:t xml:space="preserve"> 2014; </w:t>
      </w:r>
      <w:r w:rsidRPr="00965611">
        <w:rPr>
          <w:rFonts w:ascii="Book Antiqua" w:eastAsia="宋体" w:hAnsi="Book Antiqua" w:cs="宋体"/>
          <w:b/>
          <w:bCs/>
          <w:lang w:val="en-US" w:eastAsia="zh-CN"/>
        </w:rPr>
        <w:t>39</w:t>
      </w:r>
      <w:r w:rsidRPr="00965611">
        <w:rPr>
          <w:rFonts w:ascii="Book Antiqua" w:eastAsia="宋体" w:hAnsi="Book Antiqua" w:cs="宋体"/>
          <w:lang w:val="en-US" w:eastAsia="zh-CN"/>
        </w:rPr>
        <w:t>: e93-e96 [PMID: 23657138 DOI: 10.1097/RLU.0b013e318292a775]</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27 </w:t>
      </w:r>
      <w:proofErr w:type="spellStart"/>
      <w:r w:rsidRPr="00965611">
        <w:rPr>
          <w:rFonts w:ascii="Book Antiqua" w:eastAsia="宋体" w:hAnsi="Book Antiqua" w:cs="宋体"/>
          <w:b/>
          <w:bCs/>
          <w:lang w:val="en-US" w:eastAsia="zh-CN"/>
        </w:rPr>
        <w:t>Perng</w:t>
      </w:r>
      <w:proofErr w:type="spellEnd"/>
      <w:r w:rsidRPr="00965611">
        <w:rPr>
          <w:rFonts w:ascii="Book Antiqua" w:eastAsia="宋体" w:hAnsi="Book Antiqua" w:cs="宋体"/>
          <w:b/>
          <w:bCs/>
          <w:lang w:val="en-US" w:eastAsia="zh-CN"/>
        </w:rPr>
        <w:t xml:space="preserve"> P</w:t>
      </w:r>
      <w:r w:rsidRPr="00965611">
        <w:rPr>
          <w:rFonts w:ascii="Book Antiqua" w:eastAsia="宋体" w:hAnsi="Book Antiqua" w:cs="宋体"/>
          <w:lang w:val="en-US" w:eastAsia="zh-CN"/>
        </w:rPr>
        <w:t xml:space="preserve">, Marcus C, </w:t>
      </w:r>
      <w:proofErr w:type="spellStart"/>
      <w:r w:rsidRPr="00965611">
        <w:rPr>
          <w:rFonts w:ascii="Book Antiqua" w:eastAsia="宋体" w:hAnsi="Book Antiqua" w:cs="宋体"/>
          <w:lang w:val="en-US" w:eastAsia="zh-CN"/>
        </w:rPr>
        <w:t>Subramaniam</w:t>
      </w:r>
      <w:proofErr w:type="spellEnd"/>
      <w:r w:rsidRPr="00965611">
        <w:rPr>
          <w:rFonts w:ascii="Book Antiqua" w:eastAsia="宋体" w:hAnsi="Book Antiqua" w:cs="宋体"/>
          <w:lang w:val="en-US" w:eastAsia="zh-CN"/>
        </w:rPr>
        <w:t xml:space="preserve"> RM. (</w:t>
      </w:r>
      <w:proofErr w:type="gramStart"/>
      <w:r w:rsidRPr="00965611">
        <w:rPr>
          <w:rFonts w:ascii="Book Antiqua" w:eastAsia="宋体" w:hAnsi="Book Antiqua" w:cs="宋体"/>
          <w:lang w:val="en-US" w:eastAsia="zh-CN"/>
        </w:rPr>
        <w:t>18)F</w:t>
      </w:r>
      <w:proofErr w:type="gramEnd"/>
      <w:r w:rsidRPr="00965611">
        <w:rPr>
          <w:rFonts w:ascii="Book Antiqua" w:eastAsia="宋体" w:hAnsi="Book Antiqua" w:cs="宋体"/>
          <w:lang w:val="en-US" w:eastAsia="zh-CN"/>
        </w:rPr>
        <w:t xml:space="preserve">-FDG PET/CT and Melanoma: Staging, Immune Modulation and Mutation-Targeted Therapy Assessment, and Prognosis. </w:t>
      </w:r>
      <w:r w:rsidRPr="00965611">
        <w:rPr>
          <w:rFonts w:ascii="Book Antiqua" w:eastAsia="宋体" w:hAnsi="Book Antiqua" w:cs="宋体"/>
          <w:i/>
          <w:iCs/>
          <w:lang w:val="en-US" w:eastAsia="zh-CN"/>
        </w:rPr>
        <w:t xml:space="preserve">AJR Am J </w:t>
      </w:r>
      <w:proofErr w:type="spellStart"/>
      <w:r w:rsidRPr="00965611">
        <w:rPr>
          <w:rFonts w:ascii="Book Antiqua" w:eastAsia="宋体" w:hAnsi="Book Antiqua" w:cs="宋体"/>
          <w:i/>
          <w:iCs/>
          <w:lang w:val="en-US" w:eastAsia="zh-CN"/>
        </w:rPr>
        <w:t>Roentgenol</w:t>
      </w:r>
      <w:proofErr w:type="spellEnd"/>
      <w:r w:rsidRPr="00965611">
        <w:rPr>
          <w:rFonts w:ascii="Book Antiqua" w:eastAsia="宋体" w:hAnsi="Book Antiqua" w:cs="宋体"/>
          <w:lang w:val="en-US" w:eastAsia="zh-CN"/>
        </w:rPr>
        <w:t xml:space="preserve"> 2015; </w:t>
      </w:r>
      <w:r w:rsidRPr="00965611">
        <w:rPr>
          <w:rFonts w:ascii="Book Antiqua" w:eastAsia="宋体" w:hAnsi="Book Antiqua" w:cs="宋体"/>
          <w:b/>
          <w:bCs/>
          <w:lang w:val="en-US" w:eastAsia="zh-CN"/>
        </w:rPr>
        <w:t>205</w:t>
      </w:r>
      <w:r w:rsidRPr="00965611">
        <w:rPr>
          <w:rFonts w:ascii="Book Antiqua" w:eastAsia="宋体" w:hAnsi="Book Antiqua" w:cs="宋体"/>
          <w:lang w:val="en-US" w:eastAsia="zh-CN"/>
        </w:rPr>
        <w:t>: 259-270 [PMID: 26204273 DOI: 10.2214/AJR.14.13575]</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28 </w:t>
      </w:r>
      <w:proofErr w:type="spellStart"/>
      <w:r w:rsidRPr="00965611">
        <w:rPr>
          <w:rFonts w:ascii="Book Antiqua" w:eastAsia="宋体" w:hAnsi="Book Antiqua" w:cs="宋体"/>
          <w:b/>
          <w:bCs/>
          <w:lang w:val="en-US" w:eastAsia="zh-CN"/>
        </w:rPr>
        <w:t>Higashikawa</w:t>
      </w:r>
      <w:proofErr w:type="spellEnd"/>
      <w:r w:rsidRPr="00965611">
        <w:rPr>
          <w:rFonts w:ascii="Book Antiqua" w:eastAsia="宋体" w:hAnsi="Book Antiqua" w:cs="宋体"/>
          <w:b/>
          <w:bCs/>
          <w:lang w:val="en-US" w:eastAsia="zh-CN"/>
        </w:rPr>
        <w:t xml:space="preserve"> K</w:t>
      </w:r>
      <w:r w:rsidRPr="00965611">
        <w:rPr>
          <w:rFonts w:ascii="Book Antiqua" w:eastAsia="宋体" w:hAnsi="Book Antiqua" w:cs="宋体"/>
          <w:lang w:val="en-US" w:eastAsia="zh-CN"/>
        </w:rPr>
        <w:t xml:space="preserve">, </w:t>
      </w:r>
      <w:proofErr w:type="spellStart"/>
      <w:r w:rsidRPr="00965611">
        <w:rPr>
          <w:rFonts w:ascii="Book Antiqua" w:eastAsia="宋体" w:hAnsi="Book Antiqua" w:cs="宋体"/>
          <w:lang w:val="en-US" w:eastAsia="zh-CN"/>
        </w:rPr>
        <w:t>Yagi</w:t>
      </w:r>
      <w:proofErr w:type="spellEnd"/>
      <w:r w:rsidRPr="00965611">
        <w:rPr>
          <w:rFonts w:ascii="Book Antiqua" w:eastAsia="宋体" w:hAnsi="Book Antiqua" w:cs="宋体"/>
          <w:lang w:val="en-US" w:eastAsia="zh-CN"/>
        </w:rPr>
        <w:t xml:space="preserve"> K, Watanabe K, </w:t>
      </w:r>
      <w:proofErr w:type="spellStart"/>
      <w:r w:rsidRPr="00965611">
        <w:rPr>
          <w:rFonts w:ascii="Book Antiqua" w:eastAsia="宋体" w:hAnsi="Book Antiqua" w:cs="宋体"/>
          <w:lang w:val="en-US" w:eastAsia="zh-CN"/>
        </w:rPr>
        <w:t>Kamino</w:t>
      </w:r>
      <w:proofErr w:type="spellEnd"/>
      <w:r w:rsidRPr="00965611">
        <w:rPr>
          <w:rFonts w:ascii="Book Antiqua" w:eastAsia="宋体" w:hAnsi="Book Antiqua" w:cs="宋体"/>
          <w:lang w:val="en-US" w:eastAsia="zh-CN"/>
        </w:rPr>
        <w:t xml:space="preserve"> S, Ueda M, </w:t>
      </w:r>
      <w:proofErr w:type="spellStart"/>
      <w:r w:rsidRPr="00965611">
        <w:rPr>
          <w:rFonts w:ascii="Book Antiqua" w:eastAsia="宋体" w:hAnsi="Book Antiqua" w:cs="宋体"/>
          <w:lang w:val="en-US" w:eastAsia="zh-CN"/>
        </w:rPr>
        <w:t>Hiromura</w:t>
      </w:r>
      <w:proofErr w:type="spellEnd"/>
      <w:r w:rsidRPr="00965611">
        <w:rPr>
          <w:rFonts w:ascii="Book Antiqua" w:eastAsia="宋体" w:hAnsi="Book Antiqua" w:cs="宋体"/>
          <w:lang w:val="en-US" w:eastAsia="zh-CN"/>
        </w:rPr>
        <w:t xml:space="preserve"> M, </w:t>
      </w:r>
      <w:proofErr w:type="spellStart"/>
      <w:r w:rsidRPr="00965611">
        <w:rPr>
          <w:rFonts w:ascii="Book Antiqua" w:eastAsia="宋体" w:hAnsi="Book Antiqua" w:cs="宋体"/>
          <w:lang w:val="en-US" w:eastAsia="zh-CN"/>
        </w:rPr>
        <w:t>Enomoto</w:t>
      </w:r>
      <w:proofErr w:type="spellEnd"/>
      <w:r w:rsidRPr="00965611">
        <w:rPr>
          <w:rFonts w:ascii="Book Antiqua" w:eastAsia="宋体" w:hAnsi="Book Antiqua" w:cs="宋体"/>
          <w:lang w:val="en-US" w:eastAsia="zh-CN"/>
        </w:rPr>
        <w:t xml:space="preserve"> S. 64Cu-DOTA-anti-CTLA-4 </w:t>
      </w:r>
      <w:proofErr w:type="spellStart"/>
      <w:r w:rsidRPr="00965611">
        <w:rPr>
          <w:rFonts w:ascii="Book Antiqua" w:eastAsia="宋体" w:hAnsi="Book Antiqua" w:cs="宋体"/>
          <w:lang w:val="en-US" w:eastAsia="zh-CN"/>
        </w:rPr>
        <w:t>mAb</w:t>
      </w:r>
      <w:proofErr w:type="spellEnd"/>
      <w:r w:rsidRPr="00965611">
        <w:rPr>
          <w:rFonts w:ascii="Book Antiqua" w:eastAsia="宋体" w:hAnsi="Book Antiqua" w:cs="宋体"/>
          <w:lang w:val="en-US" w:eastAsia="zh-CN"/>
        </w:rPr>
        <w:t xml:space="preserve"> enabled PET visualization of CTLA-4 on the T-cell infiltrating tumor tissues. </w:t>
      </w:r>
      <w:proofErr w:type="spellStart"/>
      <w:r w:rsidRPr="00965611">
        <w:rPr>
          <w:rFonts w:ascii="Book Antiqua" w:eastAsia="宋体" w:hAnsi="Book Antiqua" w:cs="宋体"/>
          <w:i/>
          <w:iCs/>
          <w:lang w:val="en-US" w:eastAsia="zh-CN"/>
        </w:rPr>
        <w:t>PLoS</w:t>
      </w:r>
      <w:proofErr w:type="spellEnd"/>
      <w:r w:rsidRPr="00965611">
        <w:rPr>
          <w:rFonts w:ascii="Book Antiqua" w:eastAsia="宋体" w:hAnsi="Book Antiqua" w:cs="宋体"/>
          <w:i/>
          <w:iCs/>
          <w:lang w:val="en-US" w:eastAsia="zh-CN"/>
        </w:rPr>
        <w:t xml:space="preserve"> One</w:t>
      </w:r>
      <w:r w:rsidRPr="00965611">
        <w:rPr>
          <w:rFonts w:ascii="Book Antiqua" w:eastAsia="宋体" w:hAnsi="Book Antiqua" w:cs="宋体"/>
          <w:lang w:val="en-US" w:eastAsia="zh-CN"/>
        </w:rPr>
        <w:t xml:space="preserve"> 2014; </w:t>
      </w:r>
      <w:r w:rsidRPr="00965611">
        <w:rPr>
          <w:rFonts w:ascii="Book Antiqua" w:eastAsia="宋体" w:hAnsi="Book Antiqua" w:cs="宋体"/>
          <w:b/>
          <w:bCs/>
          <w:lang w:val="en-US" w:eastAsia="zh-CN"/>
        </w:rPr>
        <w:t>9</w:t>
      </w:r>
      <w:r w:rsidRPr="00965611">
        <w:rPr>
          <w:rFonts w:ascii="Book Antiqua" w:eastAsia="宋体" w:hAnsi="Book Antiqua" w:cs="宋体"/>
          <w:lang w:val="en-US" w:eastAsia="zh-CN"/>
        </w:rPr>
        <w:t>: e109866 [PMID: 25365349]</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29 </w:t>
      </w:r>
      <w:proofErr w:type="spellStart"/>
      <w:r w:rsidRPr="00965611">
        <w:rPr>
          <w:rFonts w:ascii="Book Antiqua" w:eastAsia="宋体" w:hAnsi="Book Antiqua" w:cs="宋体"/>
          <w:b/>
          <w:bCs/>
          <w:lang w:val="en-US" w:eastAsia="zh-CN"/>
        </w:rPr>
        <w:t>Maute</w:t>
      </w:r>
      <w:proofErr w:type="spellEnd"/>
      <w:r w:rsidRPr="00965611">
        <w:rPr>
          <w:rFonts w:ascii="Book Antiqua" w:eastAsia="宋体" w:hAnsi="Book Antiqua" w:cs="宋体"/>
          <w:b/>
          <w:bCs/>
          <w:lang w:val="en-US" w:eastAsia="zh-CN"/>
        </w:rPr>
        <w:t xml:space="preserve"> RL</w:t>
      </w:r>
      <w:r w:rsidRPr="00965611">
        <w:rPr>
          <w:rFonts w:ascii="Book Antiqua" w:eastAsia="宋体" w:hAnsi="Book Antiqua" w:cs="宋体"/>
          <w:lang w:val="en-US" w:eastAsia="zh-CN"/>
        </w:rPr>
        <w:t xml:space="preserve">, Gordon SR, Mayer AT, McCracken MN, </w:t>
      </w:r>
      <w:proofErr w:type="spellStart"/>
      <w:r w:rsidRPr="00965611">
        <w:rPr>
          <w:rFonts w:ascii="Book Antiqua" w:eastAsia="宋体" w:hAnsi="Book Antiqua" w:cs="宋体"/>
          <w:lang w:val="en-US" w:eastAsia="zh-CN"/>
        </w:rPr>
        <w:t>Natarajan</w:t>
      </w:r>
      <w:proofErr w:type="spellEnd"/>
      <w:r w:rsidRPr="00965611">
        <w:rPr>
          <w:rFonts w:ascii="Book Antiqua" w:eastAsia="宋体" w:hAnsi="Book Antiqua" w:cs="宋体"/>
          <w:lang w:val="en-US" w:eastAsia="zh-CN"/>
        </w:rPr>
        <w:t xml:space="preserve"> A, Ring NG, Kimura R, Tsai JM, </w:t>
      </w:r>
      <w:proofErr w:type="spellStart"/>
      <w:r w:rsidRPr="00965611">
        <w:rPr>
          <w:rFonts w:ascii="Book Antiqua" w:eastAsia="宋体" w:hAnsi="Book Antiqua" w:cs="宋体"/>
          <w:lang w:val="en-US" w:eastAsia="zh-CN"/>
        </w:rPr>
        <w:t>Manglik</w:t>
      </w:r>
      <w:proofErr w:type="spellEnd"/>
      <w:r w:rsidRPr="00965611">
        <w:rPr>
          <w:rFonts w:ascii="Book Antiqua" w:eastAsia="宋体" w:hAnsi="Book Antiqua" w:cs="宋体"/>
          <w:lang w:val="en-US" w:eastAsia="zh-CN"/>
        </w:rPr>
        <w:t xml:space="preserve"> A, Kruse AC, </w:t>
      </w:r>
      <w:proofErr w:type="spellStart"/>
      <w:r w:rsidRPr="00965611">
        <w:rPr>
          <w:rFonts w:ascii="Book Antiqua" w:eastAsia="宋体" w:hAnsi="Book Antiqua" w:cs="宋体"/>
          <w:lang w:val="en-US" w:eastAsia="zh-CN"/>
        </w:rPr>
        <w:t>Gambhir</w:t>
      </w:r>
      <w:proofErr w:type="spellEnd"/>
      <w:r w:rsidRPr="00965611">
        <w:rPr>
          <w:rFonts w:ascii="Book Antiqua" w:eastAsia="宋体" w:hAnsi="Book Antiqua" w:cs="宋体"/>
          <w:lang w:val="en-US" w:eastAsia="zh-CN"/>
        </w:rPr>
        <w:t xml:space="preserve"> SS, </w:t>
      </w:r>
      <w:proofErr w:type="spellStart"/>
      <w:r w:rsidRPr="00965611">
        <w:rPr>
          <w:rFonts w:ascii="Book Antiqua" w:eastAsia="宋体" w:hAnsi="Book Antiqua" w:cs="宋体"/>
          <w:lang w:val="en-US" w:eastAsia="zh-CN"/>
        </w:rPr>
        <w:t>Weissman</w:t>
      </w:r>
      <w:proofErr w:type="spellEnd"/>
      <w:r w:rsidRPr="00965611">
        <w:rPr>
          <w:rFonts w:ascii="Book Antiqua" w:eastAsia="宋体" w:hAnsi="Book Antiqua" w:cs="宋体"/>
          <w:lang w:val="en-US" w:eastAsia="zh-CN"/>
        </w:rPr>
        <w:t xml:space="preserve"> IL, Ring AM. Engineering high-</w:t>
      </w:r>
      <w:r w:rsidRPr="00965611">
        <w:rPr>
          <w:rFonts w:ascii="Book Antiqua" w:eastAsia="宋体" w:hAnsi="Book Antiqua" w:cs="宋体"/>
          <w:lang w:val="en-US" w:eastAsia="zh-CN"/>
        </w:rPr>
        <w:lastRenderedPageBreak/>
        <w:t xml:space="preserve">affinity PD-1 variants for optimized immunotherapy and </w:t>
      </w:r>
      <w:proofErr w:type="spellStart"/>
      <w:r w:rsidRPr="00965611">
        <w:rPr>
          <w:rFonts w:ascii="Book Antiqua" w:eastAsia="宋体" w:hAnsi="Book Antiqua" w:cs="宋体"/>
          <w:lang w:val="en-US" w:eastAsia="zh-CN"/>
        </w:rPr>
        <w:t>immuno</w:t>
      </w:r>
      <w:proofErr w:type="spellEnd"/>
      <w:r w:rsidRPr="00965611">
        <w:rPr>
          <w:rFonts w:ascii="Book Antiqua" w:eastAsia="宋体" w:hAnsi="Book Antiqua" w:cs="宋体"/>
          <w:lang w:val="en-US" w:eastAsia="zh-CN"/>
        </w:rPr>
        <w:t xml:space="preserve">-PET imaging. </w:t>
      </w:r>
      <w:proofErr w:type="spellStart"/>
      <w:r>
        <w:rPr>
          <w:rFonts w:ascii="Book Antiqua" w:eastAsia="宋体" w:hAnsi="Book Antiqua" w:cs="宋体"/>
          <w:i/>
          <w:iCs/>
          <w:lang w:val="en-US" w:eastAsia="zh-CN"/>
        </w:rPr>
        <w:t>Proc</w:t>
      </w:r>
      <w:proofErr w:type="spellEnd"/>
      <w:r>
        <w:rPr>
          <w:rFonts w:ascii="Book Antiqua" w:eastAsia="宋体" w:hAnsi="Book Antiqua" w:cs="宋体"/>
          <w:i/>
          <w:iCs/>
          <w:lang w:val="en-US" w:eastAsia="zh-CN"/>
        </w:rPr>
        <w:t xml:space="preserve"> </w:t>
      </w:r>
      <w:proofErr w:type="spellStart"/>
      <w:r>
        <w:rPr>
          <w:rFonts w:ascii="Book Antiqua" w:eastAsia="宋体" w:hAnsi="Book Antiqua" w:cs="宋体"/>
          <w:i/>
          <w:iCs/>
          <w:lang w:val="en-US" w:eastAsia="zh-CN"/>
        </w:rPr>
        <w:t>Natl</w:t>
      </w:r>
      <w:proofErr w:type="spellEnd"/>
      <w:r>
        <w:rPr>
          <w:rFonts w:ascii="Book Antiqua" w:eastAsia="宋体" w:hAnsi="Book Antiqua" w:cs="宋体"/>
          <w:i/>
          <w:iCs/>
          <w:lang w:val="en-US" w:eastAsia="zh-CN"/>
        </w:rPr>
        <w:t xml:space="preserve"> </w:t>
      </w:r>
      <w:proofErr w:type="spellStart"/>
      <w:r>
        <w:rPr>
          <w:rFonts w:ascii="Book Antiqua" w:eastAsia="宋体" w:hAnsi="Book Antiqua" w:cs="宋体"/>
          <w:i/>
          <w:iCs/>
          <w:lang w:val="en-US" w:eastAsia="zh-CN"/>
        </w:rPr>
        <w:t>Acad</w:t>
      </w:r>
      <w:proofErr w:type="spellEnd"/>
      <w:r>
        <w:rPr>
          <w:rFonts w:ascii="Book Antiqua" w:eastAsia="宋体" w:hAnsi="Book Antiqua" w:cs="宋体"/>
          <w:i/>
          <w:iCs/>
          <w:lang w:val="en-US" w:eastAsia="zh-CN"/>
        </w:rPr>
        <w:t xml:space="preserve"> </w:t>
      </w:r>
      <w:proofErr w:type="spellStart"/>
      <w:r>
        <w:rPr>
          <w:rFonts w:ascii="Book Antiqua" w:eastAsia="宋体" w:hAnsi="Book Antiqua" w:cs="宋体"/>
          <w:i/>
          <w:iCs/>
          <w:lang w:val="en-US" w:eastAsia="zh-CN"/>
        </w:rPr>
        <w:t>Sci</w:t>
      </w:r>
      <w:proofErr w:type="spellEnd"/>
      <w:r>
        <w:rPr>
          <w:rFonts w:ascii="Book Antiqua" w:eastAsia="宋体" w:hAnsi="Book Antiqua" w:cs="宋体"/>
          <w:i/>
          <w:iCs/>
          <w:lang w:val="en-US" w:eastAsia="zh-CN"/>
        </w:rPr>
        <w:t xml:space="preserve"> US</w:t>
      </w:r>
      <w:r w:rsidRPr="00965611">
        <w:rPr>
          <w:rFonts w:ascii="Book Antiqua" w:eastAsia="宋体" w:hAnsi="Book Antiqua" w:cs="宋体"/>
          <w:i/>
          <w:iCs/>
          <w:lang w:val="en-US" w:eastAsia="zh-CN"/>
        </w:rPr>
        <w:t>A</w:t>
      </w:r>
      <w:r w:rsidRPr="00965611">
        <w:rPr>
          <w:rFonts w:ascii="Book Antiqua" w:eastAsia="宋体" w:hAnsi="Book Antiqua" w:cs="宋体"/>
          <w:lang w:val="en-US" w:eastAsia="zh-CN"/>
        </w:rPr>
        <w:t xml:space="preserve"> 2015; </w:t>
      </w:r>
      <w:r w:rsidRPr="00965611">
        <w:rPr>
          <w:rFonts w:ascii="Book Antiqua" w:eastAsia="宋体" w:hAnsi="Book Antiqua" w:cs="宋体"/>
          <w:b/>
          <w:bCs/>
          <w:lang w:val="en-US" w:eastAsia="zh-CN"/>
        </w:rPr>
        <w:t>112</w:t>
      </w:r>
      <w:r w:rsidRPr="00965611">
        <w:rPr>
          <w:rFonts w:ascii="Book Antiqua" w:eastAsia="宋体" w:hAnsi="Book Antiqua" w:cs="宋体"/>
          <w:lang w:val="en-US" w:eastAsia="zh-CN"/>
        </w:rPr>
        <w:t>: E6506-E6514 [PMID: 26604307 DOI: 10.1073/pnas.1519623112]</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30 </w:t>
      </w:r>
      <w:proofErr w:type="spellStart"/>
      <w:r w:rsidRPr="00965611">
        <w:rPr>
          <w:rFonts w:ascii="Book Antiqua" w:eastAsia="宋体" w:hAnsi="Book Antiqua" w:cs="宋体"/>
          <w:b/>
          <w:bCs/>
          <w:lang w:val="en-US" w:eastAsia="zh-CN"/>
        </w:rPr>
        <w:t>Hettich</w:t>
      </w:r>
      <w:proofErr w:type="spellEnd"/>
      <w:r w:rsidRPr="00965611">
        <w:rPr>
          <w:rFonts w:ascii="Book Antiqua" w:eastAsia="宋体" w:hAnsi="Book Antiqua" w:cs="宋体"/>
          <w:b/>
          <w:bCs/>
          <w:lang w:val="en-US" w:eastAsia="zh-CN"/>
        </w:rPr>
        <w:t xml:space="preserve"> M</w:t>
      </w:r>
      <w:r w:rsidRPr="00965611">
        <w:rPr>
          <w:rFonts w:ascii="Book Antiqua" w:eastAsia="宋体" w:hAnsi="Book Antiqua" w:cs="宋体"/>
          <w:lang w:val="en-US" w:eastAsia="zh-CN"/>
        </w:rPr>
        <w:t xml:space="preserve">, Braun F, </w:t>
      </w:r>
      <w:proofErr w:type="spellStart"/>
      <w:r w:rsidRPr="00965611">
        <w:rPr>
          <w:rFonts w:ascii="Book Antiqua" w:eastAsia="宋体" w:hAnsi="Book Antiqua" w:cs="宋体"/>
          <w:lang w:val="en-US" w:eastAsia="zh-CN"/>
        </w:rPr>
        <w:t>Bartholomä</w:t>
      </w:r>
      <w:proofErr w:type="spellEnd"/>
      <w:r w:rsidRPr="00965611">
        <w:rPr>
          <w:rFonts w:ascii="Book Antiqua" w:eastAsia="宋体" w:hAnsi="Book Antiqua" w:cs="宋体"/>
          <w:lang w:val="en-US" w:eastAsia="zh-CN"/>
        </w:rPr>
        <w:t xml:space="preserve"> MD, </w:t>
      </w:r>
      <w:proofErr w:type="spellStart"/>
      <w:r w:rsidRPr="00965611">
        <w:rPr>
          <w:rFonts w:ascii="Book Antiqua" w:eastAsia="宋体" w:hAnsi="Book Antiqua" w:cs="宋体"/>
          <w:lang w:val="en-US" w:eastAsia="zh-CN"/>
        </w:rPr>
        <w:t>Schirmbeck</w:t>
      </w:r>
      <w:proofErr w:type="spellEnd"/>
      <w:r w:rsidRPr="00965611">
        <w:rPr>
          <w:rFonts w:ascii="Book Antiqua" w:eastAsia="宋体" w:hAnsi="Book Antiqua" w:cs="宋体"/>
          <w:lang w:val="en-US" w:eastAsia="zh-CN"/>
        </w:rPr>
        <w:t xml:space="preserve"> R, </w:t>
      </w:r>
      <w:proofErr w:type="spellStart"/>
      <w:r w:rsidRPr="00965611">
        <w:rPr>
          <w:rFonts w:ascii="Book Antiqua" w:eastAsia="宋体" w:hAnsi="Book Antiqua" w:cs="宋体"/>
          <w:lang w:val="en-US" w:eastAsia="zh-CN"/>
        </w:rPr>
        <w:t>Niedermann</w:t>
      </w:r>
      <w:proofErr w:type="spellEnd"/>
      <w:r w:rsidRPr="00965611">
        <w:rPr>
          <w:rFonts w:ascii="Book Antiqua" w:eastAsia="宋体" w:hAnsi="Book Antiqua" w:cs="宋体"/>
          <w:lang w:val="en-US" w:eastAsia="zh-CN"/>
        </w:rPr>
        <w:t xml:space="preserve"> G. High-Resolution PET Imaging with Therapeutic Antibody-based PD-1/PD-L1 Checkpoint Tracers. </w:t>
      </w:r>
      <w:proofErr w:type="spellStart"/>
      <w:r w:rsidRPr="00965611">
        <w:rPr>
          <w:rFonts w:ascii="Book Antiqua" w:eastAsia="宋体" w:hAnsi="Book Antiqua" w:cs="宋体"/>
          <w:i/>
          <w:iCs/>
          <w:lang w:val="en-US" w:eastAsia="zh-CN"/>
        </w:rPr>
        <w:t>Theranostics</w:t>
      </w:r>
      <w:proofErr w:type="spellEnd"/>
      <w:r w:rsidRPr="00965611">
        <w:rPr>
          <w:rFonts w:ascii="Book Antiqua" w:eastAsia="宋体" w:hAnsi="Book Antiqua" w:cs="宋体"/>
          <w:lang w:val="en-US" w:eastAsia="zh-CN"/>
        </w:rPr>
        <w:t xml:space="preserve"> 2016; </w:t>
      </w:r>
      <w:r w:rsidRPr="00965611">
        <w:rPr>
          <w:rFonts w:ascii="Book Antiqua" w:eastAsia="宋体" w:hAnsi="Book Antiqua" w:cs="宋体"/>
          <w:b/>
          <w:bCs/>
          <w:lang w:val="en-US" w:eastAsia="zh-CN"/>
        </w:rPr>
        <w:t>6</w:t>
      </w:r>
      <w:r w:rsidRPr="00965611">
        <w:rPr>
          <w:rFonts w:ascii="Book Antiqua" w:eastAsia="宋体" w:hAnsi="Book Antiqua" w:cs="宋体"/>
          <w:lang w:val="en-US" w:eastAsia="zh-CN"/>
        </w:rPr>
        <w:t>: 1629-1640 [PMID: 27446497 DOI: 10.7150/thno.15253]</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31 </w:t>
      </w:r>
      <w:proofErr w:type="spellStart"/>
      <w:r w:rsidRPr="00965611">
        <w:rPr>
          <w:rFonts w:ascii="Book Antiqua" w:eastAsia="宋体" w:hAnsi="Book Antiqua" w:cs="宋体"/>
          <w:b/>
          <w:bCs/>
          <w:lang w:val="en-US" w:eastAsia="zh-CN"/>
        </w:rPr>
        <w:t>Heskamp</w:t>
      </w:r>
      <w:proofErr w:type="spellEnd"/>
      <w:r w:rsidRPr="00965611">
        <w:rPr>
          <w:rFonts w:ascii="Book Antiqua" w:eastAsia="宋体" w:hAnsi="Book Antiqua" w:cs="宋体"/>
          <w:b/>
          <w:bCs/>
          <w:lang w:val="en-US" w:eastAsia="zh-CN"/>
        </w:rPr>
        <w:t xml:space="preserve"> S</w:t>
      </w:r>
      <w:r w:rsidRPr="00965611">
        <w:rPr>
          <w:rFonts w:ascii="Book Antiqua" w:eastAsia="宋体" w:hAnsi="Book Antiqua" w:cs="宋体"/>
          <w:lang w:val="en-US" w:eastAsia="zh-CN"/>
        </w:rPr>
        <w:t xml:space="preserve">, Hobo W, </w:t>
      </w:r>
      <w:proofErr w:type="spellStart"/>
      <w:r w:rsidRPr="00965611">
        <w:rPr>
          <w:rFonts w:ascii="Book Antiqua" w:eastAsia="宋体" w:hAnsi="Book Antiqua" w:cs="宋体"/>
          <w:lang w:val="en-US" w:eastAsia="zh-CN"/>
        </w:rPr>
        <w:t>Molkenboer-Kuenen</w:t>
      </w:r>
      <w:proofErr w:type="spellEnd"/>
      <w:r w:rsidRPr="00965611">
        <w:rPr>
          <w:rFonts w:ascii="Book Antiqua" w:eastAsia="宋体" w:hAnsi="Book Antiqua" w:cs="宋体"/>
          <w:lang w:val="en-US" w:eastAsia="zh-CN"/>
        </w:rPr>
        <w:t xml:space="preserve"> JD, Olive D, </w:t>
      </w:r>
      <w:proofErr w:type="spellStart"/>
      <w:r w:rsidRPr="00965611">
        <w:rPr>
          <w:rFonts w:ascii="Book Antiqua" w:eastAsia="宋体" w:hAnsi="Book Antiqua" w:cs="宋体"/>
          <w:lang w:val="en-US" w:eastAsia="zh-CN"/>
        </w:rPr>
        <w:t>Oyen</w:t>
      </w:r>
      <w:proofErr w:type="spellEnd"/>
      <w:r w:rsidRPr="00965611">
        <w:rPr>
          <w:rFonts w:ascii="Book Antiqua" w:eastAsia="宋体" w:hAnsi="Book Antiqua" w:cs="宋体"/>
          <w:lang w:val="en-US" w:eastAsia="zh-CN"/>
        </w:rPr>
        <w:t xml:space="preserve"> WJ, </w:t>
      </w:r>
      <w:proofErr w:type="spellStart"/>
      <w:r w:rsidRPr="00965611">
        <w:rPr>
          <w:rFonts w:ascii="Book Antiqua" w:eastAsia="宋体" w:hAnsi="Book Antiqua" w:cs="宋体"/>
          <w:lang w:val="en-US" w:eastAsia="zh-CN"/>
        </w:rPr>
        <w:t>Dolstra</w:t>
      </w:r>
      <w:proofErr w:type="spellEnd"/>
      <w:r w:rsidRPr="00965611">
        <w:rPr>
          <w:rFonts w:ascii="Book Antiqua" w:eastAsia="宋体" w:hAnsi="Book Antiqua" w:cs="宋体"/>
          <w:lang w:val="en-US" w:eastAsia="zh-CN"/>
        </w:rPr>
        <w:t xml:space="preserve"> H, </w:t>
      </w:r>
      <w:proofErr w:type="spellStart"/>
      <w:r w:rsidRPr="00965611">
        <w:rPr>
          <w:rFonts w:ascii="Book Antiqua" w:eastAsia="宋体" w:hAnsi="Book Antiqua" w:cs="宋体"/>
          <w:lang w:val="en-US" w:eastAsia="zh-CN"/>
        </w:rPr>
        <w:t>Boerman</w:t>
      </w:r>
      <w:proofErr w:type="spellEnd"/>
      <w:r w:rsidRPr="00965611">
        <w:rPr>
          <w:rFonts w:ascii="Book Antiqua" w:eastAsia="宋体" w:hAnsi="Book Antiqua" w:cs="宋体"/>
          <w:lang w:val="en-US" w:eastAsia="zh-CN"/>
        </w:rPr>
        <w:t xml:space="preserve"> OC. Noninvasive Imaging of Tumor PD-L1 Expression Using Radiolabeled Anti-PD-L1 Antibodies. </w:t>
      </w:r>
      <w:r w:rsidRPr="00965611">
        <w:rPr>
          <w:rFonts w:ascii="Book Antiqua" w:eastAsia="宋体" w:hAnsi="Book Antiqua" w:cs="宋体"/>
          <w:i/>
          <w:iCs/>
          <w:lang w:val="en-US" w:eastAsia="zh-CN"/>
        </w:rPr>
        <w:t>Cancer Res</w:t>
      </w:r>
      <w:r w:rsidRPr="00965611">
        <w:rPr>
          <w:rFonts w:ascii="Book Antiqua" w:eastAsia="宋体" w:hAnsi="Book Antiqua" w:cs="宋体"/>
          <w:lang w:val="en-US" w:eastAsia="zh-CN"/>
        </w:rPr>
        <w:t xml:space="preserve"> 2015; </w:t>
      </w:r>
      <w:r w:rsidRPr="00965611">
        <w:rPr>
          <w:rFonts w:ascii="Book Antiqua" w:eastAsia="宋体" w:hAnsi="Book Antiqua" w:cs="宋体"/>
          <w:b/>
          <w:bCs/>
          <w:lang w:val="en-US" w:eastAsia="zh-CN"/>
        </w:rPr>
        <w:t>75</w:t>
      </w:r>
      <w:r w:rsidRPr="00965611">
        <w:rPr>
          <w:rFonts w:ascii="Book Antiqua" w:eastAsia="宋体" w:hAnsi="Book Antiqua" w:cs="宋体"/>
          <w:lang w:val="en-US" w:eastAsia="zh-CN"/>
        </w:rPr>
        <w:t>: 2928-2936 [PMID: 25977331 DOI: 10.1158/0008-5472.CAN-14-3477]</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32 </w:t>
      </w:r>
      <w:proofErr w:type="spellStart"/>
      <w:r w:rsidRPr="00965611">
        <w:rPr>
          <w:rFonts w:ascii="Book Antiqua" w:eastAsia="宋体" w:hAnsi="Book Antiqua" w:cs="宋体"/>
          <w:b/>
          <w:bCs/>
          <w:lang w:val="en-US" w:eastAsia="zh-CN"/>
        </w:rPr>
        <w:t>Josefsson</w:t>
      </w:r>
      <w:proofErr w:type="spellEnd"/>
      <w:r w:rsidRPr="00965611">
        <w:rPr>
          <w:rFonts w:ascii="Book Antiqua" w:eastAsia="宋体" w:hAnsi="Book Antiqua" w:cs="宋体"/>
          <w:b/>
          <w:bCs/>
          <w:lang w:val="en-US" w:eastAsia="zh-CN"/>
        </w:rPr>
        <w:t xml:space="preserve"> A</w:t>
      </w:r>
      <w:r w:rsidRPr="00965611">
        <w:rPr>
          <w:rFonts w:ascii="Book Antiqua" w:eastAsia="宋体" w:hAnsi="Book Antiqua" w:cs="宋体"/>
          <w:lang w:val="en-US" w:eastAsia="zh-CN"/>
        </w:rPr>
        <w:t xml:space="preserve">, </w:t>
      </w:r>
      <w:proofErr w:type="spellStart"/>
      <w:r w:rsidRPr="00965611">
        <w:rPr>
          <w:rFonts w:ascii="Book Antiqua" w:eastAsia="宋体" w:hAnsi="Book Antiqua" w:cs="宋体"/>
          <w:lang w:val="en-US" w:eastAsia="zh-CN"/>
        </w:rPr>
        <w:t>Nedrow</w:t>
      </w:r>
      <w:proofErr w:type="spellEnd"/>
      <w:r w:rsidRPr="00965611">
        <w:rPr>
          <w:rFonts w:ascii="Book Antiqua" w:eastAsia="宋体" w:hAnsi="Book Antiqua" w:cs="宋体"/>
          <w:lang w:val="en-US" w:eastAsia="zh-CN"/>
        </w:rPr>
        <w:t xml:space="preserve"> JR, Park S, Banerjee SR, </w:t>
      </w:r>
      <w:proofErr w:type="spellStart"/>
      <w:r w:rsidRPr="00965611">
        <w:rPr>
          <w:rFonts w:ascii="Book Antiqua" w:eastAsia="宋体" w:hAnsi="Book Antiqua" w:cs="宋体"/>
          <w:lang w:val="en-US" w:eastAsia="zh-CN"/>
        </w:rPr>
        <w:t>Rittenbach</w:t>
      </w:r>
      <w:proofErr w:type="spellEnd"/>
      <w:r w:rsidRPr="00965611">
        <w:rPr>
          <w:rFonts w:ascii="Book Antiqua" w:eastAsia="宋体" w:hAnsi="Book Antiqua" w:cs="宋体"/>
          <w:lang w:val="en-US" w:eastAsia="zh-CN"/>
        </w:rPr>
        <w:t xml:space="preserve"> A, </w:t>
      </w:r>
      <w:proofErr w:type="spellStart"/>
      <w:r w:rsidRPr="00965611">
        <w:rPr>
          <w:rFonts w:ascii="Book Antiqua" w:eastAsia="宋体" w:hAnsi="Book Antiqua" w:cs="宋体"/>
          <w:lang w:val="en-US" w:eastAsia="zh-CN"/>
        </w:rPr>
        <w:t>Jammes</w:t>
      </w:r>
      <w:proofErr w:type="spellEnd"/>
      <w:r w:rsidRPr="00965611">
        <w:rPr>
          <w:rFonts w:ascii="Book Antiqua" w:eastAsia="宋体" w:hAnsi="Book Antiqua" w:cs="宋体"/>
          <w:lang w:val="en-US" w:eastAsia="zh-CN"/>
        </w:rPr>
        <w:t xml:space="preserve"> F, </w:t>
      </w:r>
      <w:proofErr w:type="spellStart"/>
      <w:r w:rsidRPr="00965611">
        <w:rPr>
          <w:rFonts w:ascii="Book Antiqua" w:eastAsia="宋体" w:hAnsi="Book Antiqua" w:cs="宋体"/>
          <w:lang w:val="en-US" w:eastAsia="zh-CN"/>
        </w:rPr>
        <w:t>Tsui</w:t>
      </w:r>
      <w:proofErr w:type="spellEnd"/>
      <w:r w:rsidRPr="00965611">
        <w:rPr>
          <w:rFonts w:ascii="Book Antiqua" w:eastAsia="宋体" w:hAnsi="Book Antiqua" w:cs="宋体"/>
          <w:lang w:val="en-US" w:eastAsia="zh-CN"/>
        </w:rPr>
        <w:t xml:space="preserve"> B, </w:t>
      </w:r>
      <w:proofErr w:type="spellStart"/>
      <w:r w:rsidRPr="00965611">
        <w:rPr>
          <w:rFonts w:ascii="Book Antiqua" w:eastAsia="宋体" w:hAnsi="Book Antiqua" w:cs="宋体"/>
          <w:lang w:val="en-US" w:eastAsia="zh-CN"/>
        </w:rPr>
        <w:t>Sgouros</w:t>
      </w:r>
      <w:proofErr w:type="spellEnd"/>
      <w:r w:rsidRPr="00965611">
        <w:rPr>
          <w:rFonts w:ascii="Book Antiqua" w:eastAsia="宋体" w:hAnsi="Book Antiqua" w:cs="宋体"/>
          <w:lang w:val="en-US" w:eastAsia="zh-CN"/>
        </w:rPr>
        <w:t xml:space="preserve"> G. Imaging, </w:t>
      </w:r>
      <w:proofErr w:type="spellStart"/>
      <w:r w:rsidRPr="00965611">
        <w:rPr>
          <w:rFonts w:ascii="Book Antiqua" w:eastAsia="宋体" w:hAnsi="Book Antiqua" w:cs="宋体"/>
          <w:lang w:val="en-US" w:eastAsia="zh-CN"/>
        </w:rPr>
        <w:t>Biodistribution</w:t>
      </w:r>
      <w:proofErr w:type="spellEnd"/>
      <w:r w:rsidRPr="00965611">
        <w:rPr>
          <w:rFonts w:ascii="Book Antiqua" w:eastAsia="宋体" w:hAnsi="Book Antiqua" w:cs="宋体"/>
          <w:lang w:val="en-US" w:eastAsia="zh-CN"/>
        </w:rPr>
        <w:t xml:space="preserve">, and </w:t>
      </w:r>
      <w:proofErr w:type="spellStart"/>
      <w:r w:rsidRPr="00965611">
        <w:rPr>
          <w:rFonts w:ascii="Book Antiqua" w:eastAsia="宋体" w:hAnsi="Book Antiqua" w:cs="宋体"/>
          <w:lang w:val="en-US" w:eastAsia="zh-CN"/>
        </w:rPr>
        <w:t>Dosimetry</w:t>
      </w:r>
      <w:proofErr w:type="spellEnd"/>
      <w:r w:rsidRPr="00965611">
        <w:rPr>
          <w:rFonts w:ascii="Book Antiqua" w:eastAsia="宋体" w:hAnsi="Book Antiqua" w:cs="宋体"/>
          <w:lang w:val="en-US" w:eastAsia="zh-CN"/>
        </w:rPr>
        <w:t xml:space="preserve"> of Radionuclide-Labeled PD-L1 Antibody in an </w:t>
      </w:r>
      <w:proofErr w:type="spellStart"/>
      <w:r w:rsidRPr="00965611">
        <w:rPr>
          <w:rFonts w:ascii="Book Antiqua" w:eastAsia="宋体" w:hAnsi="Book Antiqua" w:cs="宋体"/>
          <w:lang w:val="en-US" w:eastAsia="zh-CN"/>
        </w:rPr>
        <w:t>Immunocompetent</w:t>
      </w:r>
      <w:proofErr w:type="spellEnd"/>
      <w:r w:rsidRPr="00965611">
        <w:rPr>
          <w:rFonts w:ascii="Book Antiqua" w:eastAsia="宋体" w:hAnsi="Book Antiqua" w:cs="宋体"/>
          <w:lang w:val="en-US" w:eastAsia="zh-CN"/>
        </w:rPr>
        <w:t xml:space="preserve"> Mouse Model of Breast Cancer. </w:t>
      </w:r>
      <w:r w:rsidRPr="00965611">
        <w:rPr>
          <w:rFonts w:ascii="Book Antiqua" w:eastAsia="宋体" w:hAnsi="Book Antiqua" w:cs="宋体"/>
          <w:i/>
          <w:iCs/>
          <w:lang w:val="en-US" w:eastAsia="zh-CN"/>
        </w:rPr>
        <w:t>Cancer Res</w:t>
      </w:r>
      <w:r w:rsidRPr="00965611">
        <w:rPr>
          <w:rFonts w:ascii="Book Antiqua" w:eastAsia="宋体" w:hAnsi="Book Antiqua" w:cs="宋体"/>
          <w:lang w:val="en-US" w:eastAsia="zh-CN"/>
        </w:rPr>
        <w:t xml:space="preserve"> 2016; </w:t>
      </w:r>
      <w:r w:rsidRPr="00965611">
        <w:rPr>
          <w:rFonts w:ascii="Book Antiqua" w:eastAsia="宋体" w:hAnsi="Book Antiqua" w:cs="宋体"/>
          <w:b/>
          <w:bCs/>
          <w:lang w:val="en-US" w:eastAsia="zh-CN"/>
        </w:rPr>
        <w:t>76</w:t>
      </w:r>
      <w:r w:rsidRPr="00965611">
        <w:rPr>
          <w:rFonts w:ascii="Book Antiqua" w:eastAsia="宋体" w:hAnsi="Book Antiqua" w:cs="宋体"/>
          <w:lang w:val="en-US" w:eastAsia="zh-CN"/>
        </w:rPr>
        <w:t>: 472-479 [PMID: 26554829 DOI: 10.1158/0008-5472.CAN-15-2141]</w:t>
      </w:r>
    </w:p>
    <w:p w:rsidR="00965611" w:rsidRPr="00965611" w:rsidRDefault="00965611" w:rsidP="00965611">
      <w:pPr>
        <w:spacing w:line="360" w:lineRule="auto"/>
        <w:jc w:val="both"/>
        <w:rPr>
          <w:rFonts w:ascii="Book Antiqua" w:eastAsia="宋体" w:hAnsi="Book Antiqua" w:cs="宋体"/>
          <w:lang w:val="en-US" w:eastAsia="zh-CN"/>
        </w:rPr>
      </w:pPr>
      <w:r w:rsidRPr="00965611">
        <w:rPr>
          <w:rFonts w:ascii="Book Antiqua" w:eastAsia="宋体" w:hAnsi="Book Antiqua" w:cs="宋体"/>
          <w:lang w:val="en-US" w:eastAsia="zh-CN"/>
        </w:rPr>
        <w:t xml:space="preserve">33 </w:t>
      </w:r>
      <w:r w:rsidRPr="00965611">
        <w:rPr>
          <w:rFonts w:ascii="Book Antiqua" w:eastAsia="宋体" w:hAnsi="Book Antiqua" w:cs="宋体"/>
          <w:b/>
          <w:bCs/>
          <w:lang w:val="en-US" w:eastAsia="zh-CN"/>
        </w:rPr>
        <w:t>Larimer BM</w:t>
      </w:r>
      <w:r w:rsidRPr="00965611">
        <w:rPr>
          <w:rFonts w:ascii="Book Antiqua" w:eastAsia="宋体" w:hAnsi="Book Antiqua" w:cs="宋体"/>
          <w:lang w:val="en-US" w:eastAsia="zh-CN"/>
        </w:rPr>
        <w:t xml:space="preserve">, </w:t>
      </w:r>
      <w:proofErr w:type="spellStart"/>
      <w:r w:rsidRPr="00965611">
        <w:rPr>
          <w:rFonts w:ascii="Book Antiqua" w:eastAsia="宋体" w:hAnsi="Book Antiqua" w:cs="宋体"/>
          <w:lang w:val="en-US" w:eastAsia="zh-CN"/>
        </w:rPr>
        <w:t>Wehrenberg</w:t>
      </w:r>
      <w:proofErr w:type="spellEnd"/>
      <w:r w:rsidRPr="00965611">
        <w:rPr>
          <w:rFonts w:ascii="Book Antiqua" w:eastAsia="宋体" w:hAnsi="Book Antiqua" w:cs="宋体"/>
          <w:lang w:val="en-US" w:eastAsia="zh-CN"/>
        </w:rPr>
        <w:t xml:space="preserve">-Klee E, </w:t>
      </w:r>
      <w:proofErr w:type="spellStart"/>
      <w:r w:rsidRPr="00965611">
        <w:rPr>
          <w:rFonts w:ascii="Book Antiqua" w:eastAsia="宋体" w:hAnsi="Book Antiqua" w:cs="宋体"/>
          <w:lang w:val="en-US" w:eastAsia="zh-CN"/>
        </w:rPr>
        <w:t>Caraballo</w:t>
      </w:r>
      <w:proofErr w:type="spellEnd"/>
      <w:r w:rsidRPr="00965611">
        <w:rPr>
          <w:rFonts w:ascii="Book Antiqua" w:eastAsia="宋体" w:hAnsi="Book Antiqua" w:cs="宋体"/>
          <w:lang w:val="en-US" w:eastAsia="zh-CN"/>
        </w:rPr>
        <w:t xml:space="preserve"> A, </w:t>
      </w:r>
      <w:proofErr w:type="spellStart"/>
      <w:r w:rsidRPr="00965611">
        <w:rPr>
          <w:rFonts w:ascii="Book Antiqua" w:eastAsia="宋体" w:hAnsi="Book Antiqua" w:cs="宋体"/>
          <w:lang w:val="en-US" w:eastAsia="zh-CN"/>
        </w:rPr>
        <w:t>Mahmood</w:t>
      </w:r>
      <w:proofErr w:type="spellEnd"/>
      <w:r w:rsidRPr="00965611">
        <w:rPr>
          <w:rFonts w:ascii="Book Antiqua" w:eastAsia="宋体" w:hAnsi="Book Antiqua" w:cs="宋体"/>
          <w:lang w:val="en-US" w:eastAsia="zh-CN"/>
        </w:rPr>
        <w:t xml:space="preserve"> U. Quantitative CD3 PET Imaging Predicts Tumor Growth Response to Anti-CTLA-4 Therapy. </w:t>
      </w:r>
      <w:r w:rsidRPr="00965611">
        <w:rPr>
          <w:rFonts w:ascii="Book Antiqua" w:eastAsia="宋体" w:hAnsi="Book Antiqua" w:cs="宋体"/>
          <w:i/>
          <w:iCs/>
          <w:lang w:val="en-US" w:eastAsia="zh-CN"/>
        </w:rPr>
        <w:t xml:space="preserve">J </w:t>
      </w:r>
      <w:proofErr w:type="spellStart"/>
      <w:r w:rsidRPr="00965611">
        <w:rPr>
          <w:rFonts w:ascii="Book Antiqua" w:eastAsia="宋体" w:hAnsi="Book Antiqua" w:cs="宋体"/>
          <w:i/>
          <w:iCs/>
          <w:lang w:val="en-US" w:eastAsia="zh-CN"/>
        </w:rPr>
        <w:t>Nucl</w:t>
      </w:r>
      <w:proofErr w:type="spellEnd"/>
      <w:r w:rsidRPr="00965611">
        <w:rPr>
          <w:rFonts w:ascii="Book Antiqua" w:eastAsia="宋体" w:hAnsi="Book Antiqua" w:cs="宋体"/>
          <w:i/>
          <w:iCs/>
          <w:lang w:val="en-US" w:eastAsia="zh-CN"/>
        </w:rPr>
        <w:t xml:space="preserve"> Med</w:t>
      </w:r>
      <w:r w:rsidRPr="00965611">
        <w:rPr>
          <w:rFonts w:ascii="Book Antiqua" w:eastAsia="宋体" w:hAnsi="Book Antiqua" w:cs="宋体"/>
          <w:lang w:val="en-US" w:eastAsia="zh-CN"/>
        </w:rPr>
        <w:t xml:space="preserve"> 2016; </w:t>
      </w:r>
      <w:r w:rsidRPr="00965611">
        <w:rPr>
          <w:rFonts w:ascii="Book Antiqua" w:eastAsia="宋体" w:hAnsi="Book Antiqua" w:cs="宋体"/>
          <w:b/>
          <w:bCs/>
          <w:lang w:val="en-US" w:eastAsia="zh-CN"/>
        </w:rPr>
        <w:t>57</w:t>
      </w:r>
      <w:r w:rsidRPr="00965611">
        <w:rPr>
          <w:rFonts w:ascii="Book Antiqua" w:eastAsia="宋体" w:hAnsi="Book Antiqua" w:cs="宋体"/>
          <w:lang w:val="en-US" w:eastAsia="zh-CN"/>
        </w:rPr>
        <w:t>: 1607-1611 [PMID: 27230929 DOI: 10.2967/jnumed.116.173930]</w:t>
      </w:r>
    </w:p>
    <w:p w:rsidR="0099745B" w:rsidRPr="00965611" w:rsidRDefault="0099745B" w:rsidP="00965611">
      <w:pPr>
        <w:spacing w:line="360" w:lineRule="auto"/>
        <w:jc w:val="both"/>
        <w:rPr>
          <w:rFonts w:ascii="Book Antiqua" w:eastAsiaTheme="minorEastAsia" w:hAnsi="Book Antiqua"/>
          <w:lang w:val="en-US" w:eastAsia="zh-CN"/>
        </w:rPr>
      </w:pPr>
    </w:p>
    <w:p w:rsidR="00D97AB2" w:rsidRPr="00965611" w:rsidRDefault="00D97AB2" w:rsidP="00965611">
      <w:pPr>
        <w:spacing w:line="360" w:lineRule="auto"/>
        <w:jc w:val="right"/>
        <w:rPr>
          <w:rFonts w:ascii="Book Antiqua" w:eastAsiaTheme="minorEastAsia" w:hAnsi="Book Antiqua"/>
          <w:lang w:val="en-US" w:eastAsia="zh-CN"/>
        </w:rPr>
      </w:pPr>
      <w:r w:rsidRPr="00965611">
        <w:rPr>
          <w:rFonts w:ascii="Book Antiqua" w:hAnsi="Book Antiqua"/>
          <w:b/>
        </w:rPr>
        <w:t xml:space="preserve">P-Reviewer: </w:t>
      </w:r>
      <w:r w:rsidRPr="00965611">
        <w:rPr>
          <w:rFonts w:ascii="Book Antiqua" w:hAnsi="Book Antiqua"/>
          <w:color w:val="000000"/>
        </w:rPr>
        <w:t>Morris</w:t>
      </w:r>
      <w:r w:rsidRPr="00965611">
        <w:rPr>
          <w:rFonts w:ascii="Book Antiqua" w:eastAsiaTheme="minorEastAsia" w:hAnsi="Book Antiqua"/>
          <w:color w:val="000000"/>
          <w:lang w:eastAsia="zh-CN"/>
        </w:rPr>
        <w:t xml:space="preserve"> DLL</w:t>
      </w:r>
      <w:r w:rsidR="004E48B8" w:rsidRPr="00965611">
        <w:rPr>
          <w:rFonts w:ascii="Book Antiqua" w:eastAsiaTheme="minorEastAsia" w:hAnsi="Book Antiqua"/>
          <w:color w:val="000000"/>
          <w:lang w:eastAsia="zh-CN"/>
        </w:rPr>
        <w:t xml:space="preserve">, </w:t>
      </w:r>
      <w:r w:rsidR="004E48B8" w:rsidRPr="00965611">
        <w:rPr>
          <w:rFonts w:ascii="Book Antiqua" w:hAnsi="Book Antiqua"/>
          <w:color w:val="000000"/>
        </w:rPr>
        <w:t>Palumbo</w:t>
      </w:r>
      <w:r w:rsidR="004E48B8" w:rsidRPr="00965611">
        <w:rPr>
          <w:rFonts w:ascii="Book Antiqua" w:eastAsiaTheme="minorEastAsia" w:hAnsi="Book Antiqua"/>
          <w:color w:val="000000"/>
          <w:lang w:eastAsia="zh-CN"/>
        </w:rPr>
        <w:t xml:space="preserve"> B</w:t>
      </w:r>
      <w:r w:rsidRPr="00965611">
        <w:rPr>
          <w:rFonts w:ascii="Book Antiqua" w:eastAsiaTheme="minorEastAsia" w:hAnsi="Book Antiqua"/>
          <w:color w:val="000000"/>
          <w:lang w:eastAsia="zh-CN"/>
        </w:rPr>
        <w:t xml:space="preserve"> </w:t>
      </w:r>
      <w:r w:rsidRPr="00965611">
        <w:rPr>
          <w:rFonts w:ascii="Book Antiqua" w:hAnsi="Book Antiqua"/>
          <w:b/>
        </w:rPr>
        <w:t xml:space="preserve">S-Editor: </w:t>
      </w:r>
      <w:r w:rsidRPr="00965611">
        <w:rPr>
          <w:rFonts w:ascii="Book Antiqua" w:hAnsi="Book Antiqua"/>
        </w:rPr>
        <w:t>Ji FF</w:t>
      </w:r>
      <w:r w:rsidRPr="00965611">
        <w:rPr>
          <w:rFonts w:ascii="Book Antiqua" w:hAnsi="Book Antiqua"/>
          <w:b/>
        </w:rPr>
        <w:t xml:space="preserve"> L-Editor: E-Editor:</w:t>
      </w:r>
    </w:p>
    <w:p w:rsidR="00230CBF" w:rsidRDefault="00230CBF">
      <w:pPr>
        <w:spacing w:after="160" w:line="259" w:lineRule="auto"/>
        <w:rPr>
          <w:rFonts w:ascii="Book Antiqua" w:eastAsiaTheme="minorEastAsia" w:hAnsi="Book Antiqua"/>
          <w:lang w:val="en-US" w:eastAsia="zh-CN"/>
        </w:rPr>
      </w:pPr>
      <w:r>
        <w:rPr>
          <w:rFonts w:ascii="Book Antiqua" w:eastAsiaTheme="minorEastAsia" w:hAnsi="Book Antiqua"/>
          <w:lang w:val="en-US" w:eastAsia="zh-CN"/>
        </w:rPr>
        <w:br w:type="page"/>
      </w:r>
    </w:p>
    <w:p w:rsidR="00230CBF" w:rsidRDefault="00230CBF" w:rsidP="00230CBF">
      <w:pPr>
        <w:spacing w:line="360" w:lineRule="auto"/>
        <w:jc w:val="both"/>
        <w:rPr>
          <w:rFonts w:ascii="Book Antiqua" w:eastAsiaTheme="minorEastAsia" w:hAnsi="Book Antiqua"/>
          <w:lang w:val="en-US" w:eastAsia="zh-CN"/>
        </w:rPr>
      </w:pPr>
      <w:r>
        <w:rPr>
          <w:rFonts w:ascii="Book Antiqua" w:hAnsi="Book Antiqua"/>
          <w:noProof/>
          <w:lang w:val="en-US" w:eastAsia="en-US"/>
        </w:rPr>
        <w:lastRenderedPageBreak/>
        <w:drawing>
          <wp:inline distT="0" distB="0" distL="0" distR="0">
            <wp:extent cx="5943600" cy="4457700"/>
            <wp:effectExtent l="0" t="0" r="0" b="0"/>
            <wp:docPr id="1" name="图片 1" descr="Figure 1 [209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ure 1 [2099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0506F3" w:rsidRPr="00D97AB2" w:rsidRDefault="00230CBF" w:rsidP="00230CBF">
      <w:pPr>
        <w:spacing w:line="360" w:lineRule="auto"/>
        <w:jc w:val="both"/>
        <w:rPr>
          <w:rFonts w:ascii="Book Antiqua" w:hAnsi="Book Antiqua"/>
          <w:b/>
          <w:lang w:val="en-US"/>
        </w:rPr>
      </w:pPr>
      <w:r w:rsidRPr="00D97AB2">
        <w:rPr>
          <w:rFonts w:ascii="Book Antiqua" w:hAnsi="Book Antiqua"/>
          <w:b/>
          <w:lang w:val="en-US"/>
        </w:rPr>
        <w:t>Figure 1</w:t>
      </w:r>
      <w:r w:rsidR="000A5AD2" w:rsidRPr="00D97AB2">
        <w:rPr>
          <w:rFonts w:ascii="Book Antiqua" w:hAnsi="Book Antiqua"/>
          <w:b/>
          <w:lang w:val="en-US"/>
        </w:rPr>
        <w:t xml:space="preserve"> Schematic representation</w:t>
      </w:r>
      <w:r w:rsidR="0099745B" w:rsidRPr="00D97AB2">
        <w:rPr>
          <w:rFonts w:ascii="Book Antiqua" w:hAnsi="Book Antiqua"/>
          <w:b/>
          <w:lang w:val="en-US"/>
        </w:rPr>
        <w:t xml:space="preserve"> of mechanism of acti</w:t>
      </w:r>
      <w:r w:rsidR="00950CBA" w:rsidRPr="00D97AB2">
        <w:rPr>
          <w:rFonts w:ascii="Book Antiqua" w:hAnsi="Book Antiqua"/>
          <w:b/>
          <w:lang w:val="en-US"/>
        </w:rPr>
        <w:t>on of</w:t>
      </w:r>
      <w:r w:rsidR="00850021" w:rsidRPr="00D97AB2">
        <w:rPr>
          <w:rFonts w:ascii="Book Antiqua" w:hAnsi="Book Antiqua"/>
          <w:b/>
          <w:lang w:val="en-US"/>
        </w:rPr>
        <w:t xml:space="preserve"> </w:t>
      </w:r>
      <w:proofErr w:type="spellStart"/>
      <w:r w:rsidR="00850021" w:rsidRPr="00D97AB2">
        <w:rPr>
          <w:rFonts w:ascii="Book Antiqua" w:hAnsi="Book Antiqua"/>
          <w:b/>
          <w:lang w:val="en-US"/>
        </w:rPr>
        <w:t>Nivolumab</w:t>
      </w:r>
      <w:proofErr w:type="spellEnd"/>
      <w:r w:rsidR="00850021" w:rsidRPr="00D97AB2">
        <w:rPr>
          <w:rFonts w:ascii="Book Antiqua" w:hAnsi="Book Antiqua"/>
          <w:b/>
          <w:lang w:val="en-US"/>
        </w:rPr>
        <w:t xml:space="preserve"> and </w:t>
      </w:r>
      <w:proofErr w:type="spellStart"/>
      <w:r w:rsidR="00850021" w:rsidRPr="00D97AB2">
        <w:rPr>
          <w:rFonts w:ascii="Book Antiqua" w:hAnsi="Book Antiqua"/>
          <w:b/>
          <w:lang w:val="en-US"/>
        </w:rPr>
        <w:t>Ipilimumab</w:t>
      </w:r>
      <w:proofErr w:type="spellEnd"/>
      <w:r w:rsidR="0099745B" w:rsidRPr="00D97AB2">
        <w:rPr>
          <w:rFonts w:ascii="Book Antiqua" w:hAnsi="Book Antiqua"/>
          <w:b/>
          <w:lang w:val="en-US"/>
        </w:rPr>
        <w:t xml:space="preserve">, two </w:t>
      </w:r>
      <w:r w:rsidR="00D97AB2" w:rsidRPr="00D97AB2">
        <w:rPr>
          <w:rFonts w:ascii="Book Antiqua" w:hAnsi="Book Antiqua"/>
          <w:b/>
          <w:lang w:val="en-US"/>
        </w:rPr>
        <w:t>Food and Drug Administration</w:t>
      </w:r>
      <w:r w:rsidR="0099745B" w:rsidRPr="00D97AB2">
        <w:rPr>
          <w:rFonts w:ascii="Book Antiqua" w:hAnsi="Book Antiqua"/>
          <w:b/>
          <w:lang w:val="en-US"/>
        </w:rPr>
        <w:t xml:space="preserve"> approved immune checkpoints inhibitors.</w:t>
      </w:r>
      <w:r w:rsidR="00D97AB2">
        <w:rPr>
          <w:rFonts w:ascii="Book Antiqua" w:eastAsiaTheme="minorEastAsia" w:hAnsi="Book Antiqua" w:hint="eastAsia"/>
          <w:b/>
          <w:lang w:val="en-US" w:eastAsia="zh-CN"/>
        </w:rPr>
        <w:t xml:space="preserve"> </w:t>
      </w:r>
      <w:r w:rsidR="0099745B" w:rsidRPr="00230CBF">
        <w:rPr>
          <w:rFonts w:ascii="Book Antiqua" w:hAnsi="Book Antiqua"/>
          <w:lang w:val="en-US"/>
        </w:rPr>
        <w:t>To prevent autoimmunity, numerous checkpoint pathways regulate the activation of T cells at multiple steps (process known as peripheral tolerance). Central in this process are the Cytotoxic T-</w:t>
      </w:r>
      <w:proofErr w:type="spellStart"/>
      <w:r w:rsidR="0099745B" w:rsidRPr="00230CBF">
        <w:rPr>
          <w:rFonts w:ascii="Book Antiqua" w:hAnsi="Book Antiqua"/>
          <w:lang w:val="en-US"/>
        </w:rPr>
        <w:t>Limphocyte</w:t>
      </w:r>
      <w:proofErr w:type="spellEnd"/>
      <w:r w:rsidR="0099745B" w:rsidRPr="00230CBF">
        <w:rPr>
          <w:rFonts w:ascii="Book Antiqua" w:hAnsi="Book Antiqua"/>
          <w:lang w:val="en-US"/>
        </w:rPr>
        <w:t xml:space="preserve">-Associated Antigen 4 (CTLA-4) and Programmed Death 1 (PD-1) immune checkpoints pathways. CTLA-4 is potentially able to stop autoreactive T cells at the initial stage of naive T-cell activation, typically in lymph nodes, while PD-1 regulates previously </w:t>
      </w:r>
      <w:proofErr w:type="spellStart"/>
      <w:r w:rsidR="00707FAB" w:rsidRPr="00230CBF">
        <w:rPr>
          <w:rFonts w:ascii="Book Antiqua" w:hAnsi="Book Antiqua"/>
          <w:lang w:val="en-US"/>
        </w:rPr>
        <w:t>actived</w:t>
      </w:r>
      <w:proofErr w:type="spellEnd"/>
      <w:r w:rsidR="00707FAB" w:rsidRPr="00230CBF">
        <w:rPr>
          <w:rFonts w:ascii="Book Antiqua" w:hAnsi="Book Antiqua"/>
          <w:lang w:val="en-US"/>
        </w:rPr>
        <w:t xml:space="preserve"> T cells </w:t>
      </w:r>
      <w:r w:rsidR="0099745B" w:rsidRPr="00230CBF">
        <w:rPr>
          <w:rFonts w:ascii="Book Antiqua" w:hAnsi="Book Antiqua"/>
          <w:lang w:val="en-US"/>
        </w:rPr>
        <w:t>at the later stages of an immune response in the peripheral tissues. The binding between T-Cell Receptor (TCR), which is expressed on T cell surface, with Major Histocompatibility Complex (MHC) expressed on Antigen Presenting Cells (APC) provid</w:t>
      </w:r>
      <w:r w:rsidR="001B4519" w:rsidRPr="00230CBF">
        <w:rPr>
          <w:rFonts w:ascii="Book Antiqua" w:hAnsi="Book Antiqua"/>
          <w:lang w:val="en-US"/>
        </w:rPr>
        <w:t>e</w:t>
      </w:r>
      <w:r w:rsidR="0099745B" w:rsidRPr="00230CBF">
        <w:rPr>
          <w:rFonts w:ascii="Book Antiqua" w:hAnsi="Book Antiqua"/>
          <w:lang w:val="en-US"/>
        </w:rPr>
        <w:t xml:space="preserve"> specificity to T-cell activation. However, T cell activation requires more than one stimulatory </w:t>
      </w:r>
      <w:proofErr w:type="gramStart"/>
      <w:r w:rsidR="0099745B" w:rsidRPr="00230CBF">
        <w:rPr>
          <w:rFonts w:ascii="Book Antiqua" w:hAnsi="Book Antiqua"/>
          <w:lang w:val="en-US"/>
        </w:rPr>
        <w:t>signals</w:t>
      </w:r>
      <w:proofErr w:type="gramEnd"/>
      <w:r w:rsidR="0099745B" w:rsidRPr="00230CBF">
        <w:rPr>
          <w:rFonts w:ascii="Book Antiqua" w:hAnsi="Book Antiqua"/>
          <w:lang w:val="en-US"/>
        </w:rPr>
        <w:t xml:space="preserve">. Among them a central role is played by the binding between B7 molecules (APC) with CD28 (T-Cell). </w:t>
      </w:r>
      <w:r w:rsidR="0099745B" w:rsidRPr="00230CBF">
        <w:rPr>
          <w:rFonts w:ascii="Book Antiqua" w:hAnsi="Book Antiqua"/>
          <w:lang w:val="en-US"/>
        </w:rPr>
        <w:lastRenderedPageBreak/>
        <w:t>CTLA-4 is a CD28 homolog which does not produce a stimulatory signal but inhibits TCR-MHC binding and thus the T-Cell activation. Differently from T-Cells in which the amount of CTLA-4 is low, T-</w:t>
      </w:r>
      <w:proofErr w:type="spellStart"/>
      <w:r w:rsidR="0099745B" w:rsidRPr="00230CBF">
        <w:rPr>
          <w:rFonts w:ascii="Book Antiqua" w:hAnsi="Book Antiqua"/>
          <w:lang w:val="en-US"/>
        </w:rPr>
        <w:t>Regs</w:t>
      </w:r>
      <w:proofErr w:type="spellEnd"/>
      <w:r w:rsidR="0099745B" w:rsidRPr="00230CBF">
        <w:rPr>
          <w:rFonts w:ascii="Book Antiqua" w:hAnsi="Book Antiqua"/>
          <w:lang w:val="en-US"/>
        </w:rPr>
        <w:t xml:space="preserve"> highly express CTLA-4. In these cells CTLA-4 might play a role in their suppressive functions. PD-1 is a member of the B7/CD38 family of protein, which is able to bind with two different ligands: Programmed Death Ligand 1 (PD-L1) and Programmed Death Ligand 2 (PD-L2). PD-1 activation in a T-Cell prevents the phosphorylation of key TCR signaling intermediates and thus T-Cell activation resulting in suboptimal control of infections and cancers. The</w:t>
      </w:r>
      <w:r w:rsidR="00907E43" w:rsidRPr="00230CBF">
        <w:rPr>
          <w:rFonts w:ascii="Book Antiqua" w:hAnsi="Book Antiqua"/>
          <w:lang w:val="en-US"/>
        </w:rPr>
        <w:t>refore, even though they act</w:t>
      </w:r>
      <w:r w:rsidR="0099745B" w:rsidRPr="00230CBF">
        <w:rPr>
          <w:rFonts w:ascii="Book Antiqua" w:hAnsi="Book Antiqua"/>
          <w:lang w:val="en-US"/>
        </w:rPr>
        <w:t xml:space="preserve"> on different phases of T-Cells activation, the negative </w:t>
      </w:r>
      <w:proofErr w:type="gramStart"/>
      <w:r w:rsidR="0099745B" w:rsidRPr="00230CBF">
        <w:rPr>
          <w:rFonts w:ascii="Book Antiqua" w:hAnsi="Book Antiqua"/>
          <w:lang w:val="en-US"/>
        </w:rPr>
        <w:t>effect of PD-1 and CTLA-4 on T-Cell’s activity are</w:t>
      </w:r>
      <w:proofErr w:type="gramEnd"/>
      <w:r w:rsidR="0099745B" w:rsidRPr="00230CBF">
        <w:rPr>
          <w:rFonts w:ascii="Book Antiqua" w:hAnsi="Book Antiqua"/>
          <w:lang w:val="en-US"/>
        </w:rPr>
        <w:t xml:space="preserve"> similar. Moreover, differently from CTLA-4, PD-1 expression is not peculiar of T-Cells, but can be observed also in B-Cells and myeloid cells. The rationale for immune checkpoint inhibition (represented in red) for cancer treatment is that CTLA-4 and PD1 pathways are strictly related to cancer survi</w:t>
      </w:r>
      <w:r w:rsidR="003954EF" w:rsidRPr="00230CBF">
        <w:rPr>
          <w:rFonts w:ascii="Book Antiqua" w:hAnsi="Book Antiqua"/>
          <w:lang w:val="en-US"/>
        </w:rPr>
        <w:t>val and thus targeting these molecules</w:t>
      </w:r>
      <w:r w:rsidR="0099745B" w:rsidRPr="00230CBF">
        <w:rPr>
          <w:rFonts w:ascii="Book Antiqua" w:hAnsi="Book Antiqua"/>
          <w:lang w:val="en-US"/>
        </w:rPr>
        <w:t xml:space="preserve"> or their ligands with monoclonal antibodies permits to impact on cancer growth. Therefore, even if the exact mechanism of action of these monoclonal antibodies in the antitumor response remains unclear, several resea</w:t>
      </w:r>
      <w:r w:rsidR="003954EF" w:rsidRPr="00230CBF">
        <w:rPr>
          <w:rFonts w:ascii="Book Antiqua" w:hAnsi="Book Antiqua"/>
          <w:lang w:val="en-US"/>
        </w:rPr>
        <w:t>r</w:t>
      </w:r>
      <w:r w:rsidR="0099745B" w:rsidRPr="00230CBF">
        <w:rPr>
          <w:rFonts w:ascii="Book Antiqua" w:hAnsi="Book Antiqua"/>
          <w:lang w:val="en-US"/>
        </w:rPr>
        <w:t>ch data suggest that it is at least partially related to an activation and proliferation of T-Cells regardless TCR specificity (due to the inhibition of the inhibitory activity of these checkpoints), which enhances the anti-cancer immune reaction.</w:t>
      </w:r>
      <w:r w:rsidR="00D97AB2" w:rsidRPr="00230CBF">
        <w:rPr>
          <w:rFonts w:ascii="Book Antiqua" w:hAnsi="Book Antiqua"/>
          <w:lang w:val="en-US"/>
        </w:rPr>
        <w:t xml:space="preserve"> </w:t>
      </w:r>
      <w:r w:rsidR="000506F3" w:rsidRPr="00230CBF">
        <w:rPr>
          <w:rFonts w:ascii="Book Antiqua" w:hAnsi="Book Antiqua"/>
          <w:lang w:val="en-US"/>
        </w:rPr>
        <w:br w:type="page"/>
      </w:r>
    </w:p>
    <w:p w:rsidR="004346BE" w:rsidRPr="00D97AB2" w:rsidRDefault="00D97AB2" w:rsidP="00230CBF">
      <w:pPr>
        <w:spacing w:line="360" w:lineRule="auto"/>
        <w:jc w:val="both"/>
        <w:rPr>
          <w:rFonts w:ascii="Book Antiqua" w:eastAsiaTheme="minorEastAsia" w:hAnsi="Book Antiqua"/>
          <w:b/>
          <w:lang w:val="en-US" w:eastAsia="zh-CN"/>
        </w:rPr>
      </w:pPr>
      <w:r w:rsidRPr="00D97AB2">
        <w:rPr>
          <w:rFonts w:ascii="Book Antiqua" w:hAnsi="Book Antiqua"/>
          <w:b/>
          <w:lang w:val="en-US"/>
        </w:rPr>
        <w:lastRenderedPageBreak/>
        <w:t>Table 1</w:t>
      </w:r>
      <w:r w:rsidR="00850021" w:rsidRPr="00D97AB2">
        <w:rPr>
          <w:rFonts w:ascii="Book Antiqua" w:hAnsi="Book Antiqua"/>
          <w:b/>
          <w:lang w:val="en-US"/>
        </w:rPr>
        <w:t xml:space="preserve"> Key </w:t>
      </w:r>
      <w:r w:rsidRPr="00D97AB2">
        <w:rPr>
          <w:rFonts w:ascii="Book Antiqua" w:hAnsi="Book Antiqua"/>
          <w:b/>
          <w:lang w:val="en-US"/>
        </w:rPr>
        <w:t>f</w:t>
      </w:r>
      <w:r w:rsidR="00850021" w:rsidRPr="00D97AB2">
        <w:rPr>
          <w:rFonts w:ascii="Book Antiqua" w:hAnsi="Book Antiqua"/>
          <w:b/>
          <w:lang w:val="en-US"/>
        </w:rPr>
        <w:t xml:space="preserve">eatures of </w:t>
      </w:r>
      <w:r w:rsidRPr="00D97AB2">
        <w:rPr>
          <w:rFonts w:ascii="Book Antiqua" w:hAnsi="Book Antiqua"/>
          <w:b/>
          <w:lang w:val="en-US"/>
        </w:rPr>
        <w:t>positron emission tomography Response Criteria in Solid Tumors</w:t>
      </w:r>
      <w:r w:rsidR="00850021" w:rsidRPr="00D97AB2">
        <w:rPr>
          <w:rFonts w:ascii="Book Antiqua" w:hAnsi="Book Antiqua"/>
          <w:b/>
          <w:lang w:val="en-US"/>
        </w:rPr>
        <w:t xml:space="preserve">, </w:t>
      </w:r>
      <w:r w:rsidRPr="00D97AB2">
        <w:rPr>
          <w:rFonts w:ascii="Book Antiqua" w:hAnsi="Book Antiqua"/>
          <w:b/>
          <w:lang w:val="en-US"/>
        </w:rPr>
        <w:t>European Organization for Research and Treatment of Cancer</w:t>
      </w:r>
      <w:r w:rsidR="00850021" w:rsidRPr="00D97AB2">
        <w:rPr>
          <w:rFonts w:ascii="Book Antiqua" w:hAnsi="Book Antiqua"/>
          <w:b/>
          <w:lang w:val="en-US"/>
        </w:rPr>
        <w:t xml:space="preserve"> 1999</w:t>
      </w:r>
      <w:r w:rsidRPr="00D97AB2">
        <w:rPr>
          <w:rFonts w:ascii="Book Antiqua" w:hAnsi="Book Antiqua"/>
          <w:b/>
          <w:lang w:val="en-US"/>
        </w:rPr>
        <w:t xml:space="preserve">, Response Evaluation Criteria in Solid Tumors 1.1 and immune related Response Criteria </w:t>
      </w:r>
    </w:p>
    <w:tbl>
      <w:tblPr>
        <w:tblW w:w="5000" w:type="pct"/>
        <w:tblCellMar>
          <w:left w:w="70" w:type="dxa"/>
          <w:right w:w="70" w:type="dxa"/>
        </w:tblCellMar>
        <w:tblLook w:val="04A0" w:firstRow="1" w:lastRow="0" w:firstColumn="1" w:lastColumn="0" w:noHBand="0" w:noVBand="1"/>
      </w:tblPr>
      <w:tblGrid>
        <w:gridCol w:w="769"/>
        <w:gridCol w:w="2161"/>
        <w:gridCol w:w="2500"/>
        <w:gridCol w:w="2048"/>
        <w:gridCol w:w="2022"/>
      </w:tblGrid>
      <w:tr w:rsidR="00230CBF" w:rsidRPr="00230CBF" w:rsidTr="00D97AB2">
        <w:trPr>
          <w:trHeight w:val="300"/>
        </w:trPr>
        <w:tc>
          <w:tcPr>
            <w:tcW w:w="405" w:type="pct"/>
            <w:tcBorders>
              <w:top w:val="nil"/>
              <w:left w:val="nil"/>
              <w:bottom w:val="nil"/>
              <w:right w:val="nil"/>
            </w:tcBorders>
            <w:shd w:val="clear" w:color="auto" w:fill="auto"/>
            <w:noWrap/>
            <w:vAlign w:val="bottom"/>
            <w:hideMark/>
          </w:tcPr>
          <w:p w:rsidR="00BD090F" w:rsidRPr="00230CBF" w:rsidRDefault="00BD090F" w:rsidP="00230CBF">
            <w:pPr>
              <w:spacing w:line="360" w:lineRule="auto"/>
              <w:jc w:val="both"/>
              <w:rPr>
                <w:rFonts w:ascii="Book Antiqua" w:hAnsi="Book Antiqua"/>
                <w:lang w:val="en-US"/>
              </w:rPr>
            </w:pPr>
          </w:p>
        </w:tc>
        <w:tc>
          <w:tcPr>
            <w:tcW w:w="1137" w:type="pct"/>
            <w:tcBorders>
              <w:top w:val="nil"/>
              <w:left w:val="nil"/>
              <w:bottom w:val="nil"/>
              <w:right w:val="nil"/>
            </w:tcBorders>
            <w:shd w:val="clear" w:color="auto" w:fill="auto"/>
            <w:noWrap/>
            <w:vAlign w:val="bottom"/>
            <w:hideMark/>
          </w:tcPr>
          <w:p w:rsidR="004346BE" w:rsidRPr="00230CBF" w:rsidRDefault="004346BE" w:rsidP="00230CBF">
            <w:pPr>
              <w:spacing w:line="360" w:lineRule="auto"/>
              <w:jc w:val="both"/>
              <w:rPr>
                <w:rFonts w:ascii="Book Antiqua" w:hAnsi="Book Antiqua"/>
                <w:b/>
                <w:lang w:val="en-US"/>
              </w:rPr>
            </w:pPr>
          </w:p>
        </w:tc>
        <w:tc>
          <w:tcPr>
            <w:tcW w:w="1316" w:type="pct"/>
            <w:tcBorders>
              <w:top w:val="nil"/>
              <w:left w:val="nil"/>
              <w:bottom w:val="nil"/>
              <w:right w:val="nil"/>
            </w:tcBorders>
            <w:shd w:val="clear" w:color="auto" w:fill="auto"/>
            <w:noWrap/>
            <w:vAlign w:val="bottom"/>
            <w:hideMark/>
          </w:tcPr>
          <w:p w:rsidR="004346BE" w:rsidRPr="00230CBF" w:rsidRDefault="004346BE" w:rsidP="00230CBF">
            <w:pPr>
              <w:spacing w:line="360" w:lineRule="auto"/>
              <w:jc w:val="both"/>
              <w:rPr>
                <w:rFonts w:ascii="Book Antiqua" w:hAnsi="Book Antiqua"/>
                <w:b/>
                <w:bCs/>
                <w:lang w:val="en-US"/>
              </w:rPr>
            </w:pPr>
          </w:p>
        </w:tc>
        <w:tc>
          <w:tcPr>
            <w:tcW w:w="1078" w:type="pct"/>
            <w:tcBorders>
              <w:top w:val="nil"/>
              <w:left w:val="nil"/>
              <w:bottom w:val="nil"/>
              <w:right w:val="nil"/>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p>
        </w:tc>
        <w:tc>
          <w:tcPr>
            <w:tcW w:w="1064" w:type="pct"/>
            <w:tcBorders>
              <w:top w:val="nil"/>
              <w:left w:val="nil"/>
              <w:bottom w:val="nil"/>
              <w:right w:val="nil"/>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p>
        </w:tc>
      </w:tr>
      <w:tr w:rsidR="00230CBF" w:rsidRPr="00230CBF" w:rsidTr="00D97AB2">
        <w:trPr>
          <w:trHeight w:val="300"/>
        </w:trPr>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b/>
                <w:bCs/>
              </w:rPr>
            </w:pPr>
            <w:r w:rsidRPr="00230CBF">
              <w:rPr>
                <w:rFonts w:ascii="Book Antiqua" w:hAnsi="Book Antiqua"/>
                <w:b/>
                <w:bCs/>
              </w:rPr>
              <w:t>Category</w:t>
            </w:r>
          </w:p>
        </w:tc>
        <w:tc>
          <w:tcPr>
            <w:tcW w:w="1137" w:type="pct"/>
            <w:tcBorders>
              <w:top w:val="single" w:sz="4" w:space="0" w:color="auto"/>
              <w:left w:val="nil"/>
              <w:bottom w:val="single" w:sz="4" w:space="0" w:color="auto"/>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b/>
                <w:bCs/>
              </w:rPr>
            </w:pPr>
            <w:r w:rsidRPr="00230CBF">
              <w:rPr>
                <w:rFonts w:ascii="Book Antiqua" w:hAnsi="Book Antiqua"/>
                <w:b/>
                <w:bCs/>
              </w:rPr>
              <w:t>PERCIST</w:t>
            </w:r>
          </w:p>
        </w:tc>
        <w:tc>
          <w:tcPr>
            <w:tcW w:w="1316" w:type="pct"/>
            <w:tcBorders>
              <w:top w:val="single" w:sz="4" w:space="0" w:color="auto"/>
              <w:left w:val="nil"/>
              <w:bottom w:val="single" w:sz="4" w:space="0" w:color="auto"/>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b/>
                <w:bCs/>
              </w:rPr>
            </w:pPr>
            <w:r w:rsidRPr="00230CBF">
              <w:rPr>
                <w:rFonts w:ascii="Book Antiqua" w:hAnsi="Book Antiqua"/>
                <w:b/>
                <w:bCs/>
              </w:rPr>
              <w:t>EORTC 1999</w:t>
            </w:r>
          </w:p>
        </w:tc>
        <w:tc>
          <w:tcPr>
            <w:tcW w:w="1078" w:type="pct"/>
            <w:tcBorders>
              <w:top w:val="single" w:sz="4" w:space="0" w:color="auto"/>
              <w:left w:val="nil"/>
              <w:bottom w:val="single" w:sz="4" w:space="0" w:color="auto"/>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b/>
                <w:bCs/>
              </w:rPr>
            </w:pPr>
            <w:r w:rsidRPr="00230CBF">
              <w:rPr>
                <w:rFonts w:ascii="Book Antiqua" w:hAnsi="Book Antiqua"/>
                <w:b/>
                <w:bCs/>
              </w:rPr>
              <w:t>RECIST 1.1</w:t>
            </w:r>
          </w:p>
        </w:tc>
        <w:tc>
          <w:tcPr>
            <w:tcW w:w="1064" w:type="pct"/>
            <w:tcBorders>
              <w:top w:val="single" w:sz="4" w:space="0" w:color="auto"/>
              <w:left w:val="nil"/>
              <w:bottom w:val="single" w:sz="4" w:space="0" w:color="auto"/>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b/>
                <w:bCs/>
              </w:rPr>
            </w:pPr>
            <w:r w:rsidRPr="00230CBF">
              <w:rPr>
                <w:rFonts w:ascii="Book Antiqua" w:hAnsi="Book Antiqua"/>
                <w:b/>
                <w:bCs/>
              </w:rPr>
              <w:t>irRC</w:t>
            </w:r>
          </w:p>
        </w:tc>
      </w:tr>
      <w:tr w:rsidR="00230CBF" w:rsidRPr="00230CBF" w:rsidTr="00D97AB2">
        <w:trPr>
          <w:trHeight w:val="300"/>
        </w:trPr>
        <w:tc>
          <w:tcPr>
            <w:tcW w:w="405" w:type="pct"/>
            <w:tcBorders>
              <w:top w:val="nil"/>
              <w:left w:val="single" w:sz="4" w:space="0" w:color="auto"/>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b/>
                <w:bCs/>
              </w:rPr>
            </w:pPr>
            <w:r w:rsidRPr="00230CBF">
              <w:rPr>
                <w:rFonts w:ascii="Book Antiqua" w:hAnsi="Book Antiqua"/>
                <w:b/>
                <w:bCs/>
              </w:rPr>
              <w:t>Target lesions</w:t>
            </w:r>
          </w:p>
        </w:tc>
        <w:tc>
          <w:tcPr>
            <w:tcW w:w="1137"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The hottest single tumor lesion (SUL peak) at baseline</w:t>
            </w:r>
          </w:p>
        </w:tc>
        <w:tc>
          <w:tcPr>
            <w:tcW w:w="1316"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 xml:space="preserve"> The most 18F-FDG-avid lesions (SUV</w:t>
            </w:r>
            <w:r w:rsidR="00230CBF" w:rsidRPr="00230CBF">
              <w:rPr>
                <w:rFonts w:ascii="Book Antiqua" w:hAnsi="Book Antiqua"/>
                <w:lang w:val="en-US"/>
              </w:rPr>
              <w:t xml:space="preserve"> </w:t>
            </w:r>
            <w:r w:rsidRPr="00230CBF">
              <w:rPr>
                <w:rFonts w:ascii="Book Antiqua" w:hAnsi="Book Antiqua"/>
                <w:lang w:val="en-US"/>
              </w:rPr>
              <w:t>BSA). Number of lesions not specified.</w:t>
            </w:r>
          </w:p>
        </w:tc>
        <w:tc>
          <w:tcPr>
            <w:tcW w:w="1078"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rPr>
            </w:pPr>
            <w:r w:rsidRPr="00230CBF">
              <w:rPr>
                <w:rFonts w:ascii="Book Antiqua" w:hAnsi="Book Antiqua"/>
              </w:rPr>
              <w:t>Maximum, 5</w:t>
            </w:r>
          </w:p>
        </w:tc>
        <w:tc>
          <w:tcPr>
            <w:tcW w:w="1064"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rPr>
            </w:pPr>
            <w:r w:rsidRPr="00230CBF">
              <w:rPr>
                <w:rFonts w:ascii="Book Antiqua" w:hAnsi="Book Antiqua"/>
              </w:rPr>
              <w:t>Maximum, 15 lesions</w:t>
            </w:r>
          </w:p>
        </w:tc>
      </w:tr>
      <w:tr w:rsidR="00230CBF" w:rsidRPr="00230CBF" w:rsidTr="00D97AB2">
        <w:trPr>
          <w:trHeight w:val="300"/>
        </w:trPr>
        <w:tc>
          <w:tcPr>
            <w:tcW w:w="405" w:type="pct"/>
            <w:tcBorders>
              <w:top w:val="nil"/>
              <w:left w:val="single" w:sz="4" w:space="0" w:color="auto"/>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rPr>
            </w:pPr>
            <w:r w:rsidRPr="00230CBF">
              <w:rPr>
                <w:rFonts w:ascii="Book Antiqua" w:hAnsi="Book Antiqua"/>
              </w:rPr>
              <w:t> </w:t>
            </w:r>
          </w:p>
        </w:tc>
        <w:tc>
          <w:tcPr>
            <w:tcW w:w="1137"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rPr>
            </w:pPr>
            <w:r w:rsidRPr="00230CBF">
              <w:rPr>
                <w:rFonts w:ascii="Book Antiqua" w:hAnsi="Book Antiqua"/>
              </w:rPr>
              <w:t>18F-FDG PET</w:t>
            </w:r>
          </w:p>
        </w:tc>
        <w:tc>
          <w:tcPr>
            <w:tcW w:w="1316"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rPr>
            </w:pPr>
            <w:r w:rsidRPr="00230CBF">
              <w:rPr>
                <w:rFonts w:ascii="Book Antiqua" w:hAnsi="Book Antiqua"/>
              </w:rPr>
              <w:t> </w:t>
            </w:r>
          </w:p>
        </w:tc>
        <w:tc>
          <w:tcPr>
            <w:tcW w:w="1078"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rPr>
            </w:pPr>
            <w:r w:rsidRPr="00230CBF">
              <w:rPr>
                <w:rFonts w:ascii="Book Antiqua" w:hAnsi="Book Antiqua"/>
              </w:rPr>
              <w:t> </w:t>
            </w:r>
          </w:p>
        </w:tc>
        <w:tc>
          <w:tcPr>
            <w:tcW w:w="1064"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rPr>
            </w:pPr>
            <w:r w:rsidRPr="00230CBF">
              <w:rPr>
                <w:rFonts w:ascii="Book Antiqua" w:hAnsi="Book Antiqua"/>
              </w:rPr>
              <w:t> </w:t>
            </w:r>
          </w:p>
        </w:tc>
      </w:tr>
      <w:tr w:rsidR="00230CBF" w:rsidRPr="00230CBF" w:rsidTr="00D97AB2">
        <w:trPr>
          <w:trHeight w:val="300"/>
        </w:trPr>
        <w:tc>
          <w:tcPr>
            <w:tcW w:w="405" w:type="pct"/>
            <w:tcBorders>
              <w:top w:val="single" w:sz="4" w:space="0" w:color="auto"/>
              <w:left w:val="single" w:sz="4" w:space="0" w:color="auto"/>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b/>
                <w:bCs/>
              </w:rPr>
            </w:pPr>
            <w:r w:rsidRPr="00230CBF">
              <w:rPr>
                <w:rFonts w:ascii="Book Antiqua" w:hAnsi="Book Antiqua"/>
                <w:b/>
                <w:bCs/>
              </w:rPr>
              <w:t>New lesion</w:t>
            </w:r>
          </w:p>
        </w:tc>
        <w:tc>
          <w:tcPr>
            <w:tcW w:w="1137" w:type="pct"/>
            <w:tcBorders>
              <w:top w:val="single" w:sz="4" w:space="0" w:color="auto"/>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 xml:space="preserve">Results in progressive disease at first </w:t>
            </w:r>
            <w:r w:rsidR="00707FAB" w:rsidRPr="00230CBF">
              <w:rPr>
                <w:rFonts w:ascii="Book Antiqua" w:hAnsi="Book Antiqua"/>
                <w:lang w:val="en-US"/>
              </w:rPr>
              <w:t>appearance</w:t>
            </w:r>
          </w:p>
        </w:tc>
        <w:tc>
          <w:tcPr>
            <w:tcW w:w="1316" w:type="pct"/>
            <w:tcBorders>
              <w:top w:val="single" w:sz="4" w:space="0" w:color="auto"/>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 xml:space="preserve">Results in progressive disease at first </w:t>
            </w:r>
            <w:r w:rsidR="00707FAB" w:rsidRPr="00230CBF">
              <w:rPr>
                <w:rFonts w:ascii="Book Antiqua" w:hAnsi="Book Antiqua"/>
                <w:lang w:val="en-US"/>
              </w:rPr>
              <w:t>appearance</w:t>
            </w:r>
          </w:p>
        </w:tc>
        <w:tc>
          <w:tcPr>
            <w:tcW w:w="1078" w:type="pct"/>
            <w:tcBorders>
              <w:top w:val="single" w:sz="4" w:space="0" w:color="auto"/>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 xml:space="preserve">Results in progressive disease at first </w:t>
            </w:r>
            <w:r w:rsidR="00707FAB" w:rsidRPr="00230CBF">
              <w:rPr>
                <w:rFonts w:ascii="Book Antiqua" w:hAnsi="Book Antiqua"/>
                <w:lang w:val="en-US"/>
              </w:rPr>
              <w:t>appearance</w:t>
            </w:r>
          </w:p>
        </w:tc>
        <w:tc>
          <w:tcPr>
            <w:tcW w:w="1064" w:type="pct"/>
            <w:tcBorders>
              <w:top w:val="single" w:sz="4" w:space="0" w:color="auto"/>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 xml:space="preserve">Up </w:t>
            </w:r>
            <w:r w:rsidR="00707FAB" w:rsidRPr="00230CBF">
              <w:rPr>
                <w:rFonts w:ascii="Book Antiqua" w:hAnsi="Book Antiqua"/>
                <w:lang w:val="en-US"/>
              </w:rPr>
              <w:t>to</w:t>
            </w:r>
            <w:r w:rsidRPr="00230CBF">
              <w:rPr>
                <w:rFonts w:ascii="Book Antiqua" w:hAnsi="Book Antiqua"/>
                <w:lang w:val="en-US"/>
              </w:rPr>
              <w:t xml:space="preserve"> 10 new visceral and 5 cutaneous lesions</w:t>
            </w:r>
          </w:p>
        </w:tc>
      </w:tr>
      <w:tr w:rsidR="00230CBF" w:rsidRPr="00230CBF" w:rsidTr="00D97AB2">
        <w:trPr>
          <w:trHeight w:val="300"/>
        </w:trPr>
        <w:tc>
          <w:tcPr>
            <w:tcW w:w="405" w:type="pct"/>
            <w:tcBorders>
              <w:top w:val="nil"/>
              <w:left w:val="single" w:sz="4" w:space="0" w:color="auto"/>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 </w:t>
            </w:r>
          </w:p>
        </w:tc>
        <w:tc>
          <w:tcPr>
            <w:tcW w:w="1137"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 </w:t>
            </w:r>
          </w:p>
        </w:tc>
        <w:tc>
          <w:tcPr>
            <w:tcW w:w="1316"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 </w:t>
            </w:r>
          </w:p>
        </w:tc>
        <w:tc>
          <w:tcPr>
            <w:tcW w:w="1078"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 </w:t>
            </w:r>
          </w:p>
        </w:tc>
        <w:tc>
          <w:tcPr>
            <w:tcW w:w="1064"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 xml:space="preserve">may be added to the sum of the products of the two largest </w:t>
            </w:r>
          </w:p>
        </w:tc>
      </w:tr>
      <w:tr w:rsidR="00230CBF" w:rsidRPr="00230CBF" w:rsidTr="00D97AB2">
        <w:trPr>
          <w:trHeight w:val="300"/>
        </w:trPr>
        <w:tc>
          <w:tcPr>
            <w:tcW w:w="405" w:type="pct"/>
            <w:tcBorders>
              <w:top w:val="nil"/>
              <w:left w:val="single" w:sz="4" w:space="0" w:color="auto"/>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 </w:t>
            </w:r>
          </w:p>
        </w:tc>
        <w:tc>
          <w:tcPr>
            <w:tcW w:w="1137"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 </w:t>
            </w:r>
          </w:p>
        </w:tc>
        <w:tc>
          <w:tcPr>
            <w:tcW w:w="1316"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 </w:t>
            </w:r>
          </w:p>
        </w:tc>
        <w:tc>
          <w:tcPr>
            <w:tcW w:w="1078"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 </w:t>
            </w:r>
          </w:p>
        </w:tc>
        <w:tc>
          <w:tcPr>
            <w:tcW w:w="1064"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perpendicular diameters of all index lesions at any time point</w:t>
            </w:r>
          </w:p>
        </w:tc>
      </w:tr>
      <w:tr w:rsidR="00230CBF" w:rsidRPr="00230CBF" w:rsidTr="00D97AB2">
        <w:trPr>
          <w:trHeight w:val="300"/>
        </w:trPr>
        <w:tc>
          <w:tcPr>
            <w:tcW w:w="405" w:type="pct"/>
            <w:tcBorders>
              <w:top w:val="single" w:sz="4" w:space="0" w:color="auto"/>
              <w:left w:val="single" w:sz="4" w:space="0" w:color="auto"/>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b/>
                <w:bCs/>
              </w:rPr>
            </w:pPr>
            <w:r w:rsidRPr="00230CBF">
              <w:rPr>
                <w:rFonts w:ascii="Book Antiqua" w:hAnsi="Book Antiqua"/>
                <w:b/>
                <w:bCs/>
              </w:rPr>
              <w:t>Complete response</w:t>
            </w:r>
          </w:p>
        </w:tc>
        <w:tc>
          <w:tcPr>
            <w:tcW w:w="1137" w:type="pct"/>
            <w:tcBorders>
              <w:top w:val="single" w:sz="4" w:space="0" w:color="auto"/>
              <w:left w:val="nil"/>
              <w:bottom w:val="nil"/>
              <w:right w:val="single" w:sz="4" w:space="0" w:color="auto"/>
            </w:tcBorders>
            <w:shd w:val="clear" w:color="auto" w:fill="auto"/>
            <w:noWrap/>
            <w:vAlign w:val="bottom"/>
            <w:hideMark/>
          </w:tcPr>
          <w:p w:rsidR="004346BE" w:rsidRPr="00230CBF" w:rsidRDefault="004346BE" w:rsidP="00707FAB">
            <w:pPr>
              <w:spacing w:line="360" w:lineRule="auto"/>
              <w:jc w:val="both"/>
              <w:rPr>
                <w:rFonts w:ascii="Book Antiqua" w:hAnsi="Book Antiqua"/>
                <w:lang w:val="en-US"/>
              </w:rPr>
            </w:pPr>
            <w:r w:rsidRPr="00230CBF">
              <w:rPr>
                <w:rFonts w:ascii="Book Antiqua" w:hAnsi="Book Antiqua"/>
                <w:b/>
                <w:bCs/>
                <w:lang w:val="en-US"/>
              </w:rPr>
              <w:t>CMR</w:t>
            </w:r>
            <w:r w:rsidRPr="00230CBF">
              <w:rPr>
                <w:rFonts w:ascii="Book Antiqua" w:hAnsi="Book Antiqua"/>
                <w:lang w:val="en-US"/>
              </w:rPr>
              <w:t xml:space="preserve">: complete resolution of 18F-FDG uptake within the </w:t>
            </w:r>
          </w:p>
        </w:tc>
        <w:tc>
          <w:tcPr>
            <w:tcW w:w="1316" w:type="pct"/>
            <w:tcBorders>
              <w:top w:val="single" w:sz="4" w:space="0" w:color="auto"/>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b/>
                <w:bCs/>
                <w:lang w:val="en-US"/>
              </w:rPr>
              <w:t>CMR</w:t>
            </w:r>
            <w:r w:rsidRPr="00230CBF">
              <w:rPr>
                <w:rFonts w:ascii="Book Antiqua" w:hAnsi="Book Antiqua"/>
                <w:lang w:val="en-US"/>
              </w:rPr>
              <w:t>: complete absence of 18F-FDG uptake</w:t>
            </w:r>
          </w:p>
        </w:tc>
        <w:tc>
          <w:tcPr>
            <w:tcW w:w="2142" w:type="pct"/>
            <w:gridSpan w:val="2"/>
            <w:tcBorders>
              <w:top w:val="single" w:sz="4" w:space="0" w:color="auto"/>
              <w:left w:val="single" w:sz="4" w:space="0" w:color="auto"/>
              <w:bottom w:val="nil"/>
              <w:right w:val="single" w:sz="4" w:space="0" w:color="000000"/>
            </w:tcBorders>
            <w:shd w:val="clear" w:color="auto" w:fill="auto"/>
            <w:noWrap/>
            <w:vAlign w:val="bottom"/>
            <w:hideMark/>
          </w:tcPr>
          <w:p w:rsidR="004346BE" w:rsidRPr="00230CBF" w:rsidRDefault="00230CBF" w:rsidP="00230CBF">
            <w:pPr>
              <w:spacing w:line="360" w:lineRule="auto"/>
              <w:jc w:val="both"/>
              <w:rPr>
                <w:rFonts w:ascii="Book Antiqua" w:hAnsi="Book Antiqua"/>
                <w:lang w:val="en-US"/>
              </w:rPr>
            </w:pPr>
            <w:r w:rsidRPr="00230CBF">
              <w:rPr>
                <w:rFonts w:ascii="Book Antiqua" w:hAnsi="Book Antiqua"/>
                <w:lang w:val="en-US"/>
              </w:rPr>
              <w:t xml:space="preserve"> </w:t>
            </w:r>
            <w:r w:rsidR="004346BE" w:rsidRPr="00230CBF">
              <w:rPr>
                <w:rFonts w:ascii="Book Antiqua" w:hAnsi="Book Antiqua"/>
                <w:lang w:val="en-US"/>
              </w:rPr>
              <w:t xml:space="preserve">Disappearance of all target and </w:t>
            </w:r>
            <w:proofErr w:type="spellStart"/>
            <w:r w:rsidR="004346BE" w:rsidRPr="00230CBF">
              <w:rPr>
                <w:rFonts w:ascii="Book Antiqua" w:hAnsi="Book Antiqua"/>
                <w:lang w:val="en-US"/>
              </w:rPr>
              <w:t>nontarget</w:t>
            </w:r>
            <w:proofErr w:type="spellEnd"/>
            <w:r w:rsidR="004346BE" w:rsidRPr="00230CBF">
              <w:rPr>
                <w:rFonts w:ascii="Book Antiqua" w:hAnsi="Book Antiqua"/>
                <w:lang w:val="en-US"/>
              </w:rPr>
              <w:t xml:space="preserve"> lesions</w:t>
            </w:r>
          </w:p>
        </w:tc>
      </w:tr>
      <w:tr w:rsidR="00230CBF" w:rsidRPr="00230CBF" w:rsidTr="00D97AB2">
        <w:trPr>
          <w:trHeight w:val="300"/>
        </w:trPr>
        <w:tc>
          <w:tcPr>
            <w:tcW w:w="405" w:type="pct"/>
            <w:tcBorders>
              <w:top w:val="nil"/>
              <w:left w:val="single" w:sz="4" w:space="0" w:color="auto"/>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 </w:t>
            </w:r>
          </w:p>
        </w:tc>
        <w:tc>
          <w:tcPr>
            <w:tcW w:w="1137"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target lesion (&lt;</w:t>
            </w:r>
            <w:r w:rsidR="00D97AB2">
              <w:rPr>
                <w:rFonts w:ascii="Book Antiqua" w:eastAsiaTheme="minorEastAsia" w:hAnsi="Book Antiqua" w:hint="eastAsia"/>
                <w:lang w:val="en-US" w:eastAsia="zh-CN"/>
              </w:rPr>
              <w:t xml:space="preserve"> </w:t>
            </w:r>
            <w:r w:rsidRPr="00230CBF">
              <w:rPr>
                <w:rFonts w:ascii="Book Antiqua" w:hAnsi="Book Antiqua"/>
                <w:lang w:val="en-US"/>
              </w:rPr>
              <w:t xml:space="preserve">mean liver activity </w:t>
            </w:r>
            <w:r w:rsidRPr="00230CBF">
              <w:rPr>
                <w:rFonts w:ascii="Book Antiqua" w:hAnsi="Book Antiqua"/>
                <w:lang w:val="en-US"/>
              </w:rPr>
              <w:lastRenderedPageBreak/>
              <w:t xml:space="preserve">and indistinguishable from </w:t>
            </w:r>
          </w:p>
        </w:tc>
        <w:tc>
          <w:tcPr>
            <w:tcW w:w="1316"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lastRenderedPageBreak/>
              <w:t> </w:t>
            </w:r>
          </w:p>
        </w:tc>
        <w:tc>
          <w:tcPr>
            <w:tcW w:w="2142" w:type="pct"/>
            <w:gridSpan w:val="2"/>
            <w:tcBorders>
              <w:top w:val="nil"/>
              <w:left w:val="single" w:sz="4" w:space="0" w:color="auto"/>
              <w:bottom w:val="nil"/>
              <w:right w:val="single" w:sz="4" w:space="0" w:color="000000"/>
            </w:tcBorders>
            <w:shd w:val="clear" w:color="auto" w:fill="auto"/>
            <w:noWrap/>
            <w:vAlign w:val="bottom"/>
            <w:hideMark/>
          </w:tcPr>
          <w:p w:rsidR="004346BE" w:rsidRPr="00230CBF" w:rsidRDefault="00230CBF" w:rsidP="00230CBF">
            <w:pPr>
              <w:spacing w:line="360" w:lineRule="auto"/>
              <w:jc w:val="both"/>
              <w:rPr>
                <w:rFonts w:ascii="Book Antiqua" w:hAnsi="Book Antiqua"/>
                <w:lang w:val="en-US"/>
              </w:rPr>
            </w:pPr>
            <w:r w:rsidRPr="00230CBF">
              <w:rPr>
                <w:rFonts w:ascii="Book Antiqua" w:hAnsi="Book Antiqua"/>
                <w:lang w:val="en-US"/>
              </w:rPr>
              <w:t xml:space="preserve"> </w:t>
            </w:r>
            <w:r w:rsidR="004346BE" w:rsidRPr="00230CBF">
              <w:rPr>
                <w:rFonts w:ascii="Book Antiqua" w:hAnsi="Book Antiqua"/>
                <w:lang w:val="en-US"/>
              </w:rPr>
              <w:t>Nodes must regress to &lt; 10</w:t>
            </w:r>
            <w:r w:rsidR="00D97AB2">
              <w:rPr>
                <w:rFonts w:ascii="Book Antiqua" w:eastAsiaTheme="minorEastAsia" w:hAnsi="Book Antiqua" w:hint="eastAsia"/>
                <w:lang w:val="en-US" w:eastAsia="zh-CN"/>
              </w:rPr>
              <w:t xml:space="preserve"> </w:t>
            </w:r>
            <w:r w:rsidR="004346BE" w:rsidRPr="00230CBF">
              <w:rPr>
                <w:rFonts w:ascii="Book Antiqua" w:hAnsi="Book Antiqua"/>
                <w:lang w:val="en-US"/>
              </w:rPr>
              <w:t xml:space="preserve">mm short axis </w:t>
            </w:r>
          </w:p>
        </w:tc>
      </w:tr>
      <w:tr w:rsidR="00230CBF" w:rsidRPr="00230CBF" w:rsidTr="00D97AB2">
        <w:trPr>
          <w:trHeight w:val="300"/>
        </w:trPr>
        <w:tc>
          <w:tcPr>
            <w:tcW w:w="405" w:type="pct"/>
            <w:tcBorders>
              <w:top w:val="nil"/>
              <w:left w:val="single" w:sz="4" w:space="0" w:color="auto"/>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lastRenderedPageBreak/>
              <w:t> </w:t>
            </w:r>
          </w:p>
        </w:tc>
        <w:tc>
          <w:tcPr>
            <w:tcW w:w="1137"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background/</w:t>
            </w:r>
            <w:proofErr w:type="spellStart"/>
            <w:r w:rsidRPr="00230CBF">
              <w:rPr>
                <w:rFonts w:ascii="Book Antiqua" w:hAnsi="Book Antiqua"/>
                <w:lang w:val="en-US"/>
              </w:rPr>
              <w:t>bloodpool</w:t>
            </w:r>
            <w:proofErr w:type="spellEnd"/>
            <w:r w:rsidRPr="00230CBF">
              <w:rPr>
                <w:rFonts w:ascii="Book Antiqua" w:hAnsi="Book Antiqua"/>
                <w:lang w:val="en-US"/>
              </w:rPr>
              <w:t xml:space="preserve"> and no new 18F-FDG-avid lesions)</w:t>
            </w:r>
          </w:p>
        </w:tc>
        <w:tc>
          <w:tcPr>
            <w:tcW w:w="1316"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 </w:t>
            </w:r>
          </w:p>
        </w:tc>
        <w:tc>
          <w:tcPr>
            <w:tcW w:w="1078" w:type="pct"/>
            <w:tcBorders>
              <w:top w:val="nil"/>
              <w:left w:val="nil"/>
              <w:bottom w:val="nil"/>
              <w:right w:val="nil"/>
            </w:tcBorders>
            <w:shd w:val="clear" w:color="auto" w:fill="auto"/>
            <w:noWrap/>
            <w:vAlign w:val="bottom"/>
            <w:hideMark/>
          </w:tcPr>
          <w:p w:rsidR="004346BE" w:rsidRPr="00230CBF" w:rsidRDefault="00230CBF" w:rsidP="00230CBF">
            <w:pPr>
              <w:spacing w:line="360" w:lineRule="auto"/>
              <w:jc w:val="both"/>
              <w:rPr>
                <w:rFonts w:ascii="Book Antiqua" w:hAnsi="Book Antiqua"/>
              </w:rPr>
            </w:pPr>
            <w:r w:rsidRPr="00230CBF">
              <w:rPr>
                <w:rFonts w:ascii="Book Antiqua" w:hAnsi="Book Antiqua"/>
                <w:lang w:val="en-US"/>
              </w:rPr>
              <w:t xml:space="preserve"> </w:t>
            </w:r>
            <w:r w:rsidR="004346BE" w:rsidRPr="00230CBF">
              <w:rPr>
                <w:rFonts w:ascii="Book Antiqua" w:hAnsi="Book Antiqua"/>
              </w:rPr>
              <w:t>No new lesions</w:t>
            </w:r>
          </w:p>
        </w:tc>
        <w:tc>
          <w:tcPr>
            <w:tcW w:w="1064"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rPr>
            </w:pPr>
            <w:r w:rsidRPr="00230CBF">
              <w:rPr>
                <w:rFonts w:ascii="Book Antiqua" w:hAnsi="Book Antiqua"/>
              </w:rPr>
              <w:t> </w:t>
            </w:r>
          </w:p>
        </w:tc>
      </w:tr>
      <w:tr w:rsidR="00230CBF" w:rsidRPr="00230CBF" w:rsidTr="00D97AB2">
        <w:trPr>
          <w:trHeight w:val="300"/>
        </w:trPr>
        <w:tc>
          <w:tcPr>
            <w:tcW w:w="405" w:type="pct"/>
            <w:tcBorders>
              <w:top w:val="nil"/>
              <w:left w:val="single" w:sz="4" w:space="0" w:color="auto"/>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rPr>
            </w:pPr>
            <w:r w:rsidRPr="00230CBF">
              <w:rPr>
                <w:rFonts w:ascii="Book Antiqua" w:hAnsi="Book Antiqua"/>
              </w:rPr>
              <w:t> </w:t>
            </w:r>
          </w:p>
        </w:tc>
        <w:tc>
          <w:tcPr>
            <w:tcW w:w="1137"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rPr>
            </w:pPr>
            <w:r w:rsidRPr="00230CBF">
              <w:rPr>
                <w:rFonts w:ascii="Book Antiqua" w:hAnsi="Book Antiqua"/>
              </w:rPr>
              <w:t> </w:t>
            </w:r>
          </w:p>
        </w:tc>
        <w:tc>
          <w:tcPr>
            <w:tcW w:w="1316"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rPr>
            </w:pPr>
            <w:r w:rsidRPr="00230CBF">
              <w:rPr>
                <w:rFonts w:ascii="Book Antiqua" w:hAnsi="Book Antiqua"/>
              </w:rPr>
              <w:t> </w:t>
            </w:r>
          </w:p>
        </w:tc>
        <w:tc>
          <w:tcPr>
            <w:tcW w:w="1078" w:type="pct"/>
            <w:tcBorders>
              <w:top w:val="nil"/>
              <w:left w:val="nil"/>
              <w:bottom w:val="single" w:sz="4" w:space="0" w:color="auto"/>
              <w:right w:val="nil"/>
            </w:tcBorders>
            <w:shd w:val="clear" w:color="auto" w:fill="auto"/>
            <w:noWrap/>
            <w:vAlign w:val="bottom"/>
            <w:hideMark/>
          </w:tcPr>
          <w:p w:rsidR="004346BE" w:rsidRPr="00230CBF" w:rsidRDefault="00230CBF" w:rsidP="00230CBF">
            <w:pPr>
              <w:spacing w:line="360" w:lineRule="auto"/>
              <w:jc w:val="both"/>
              <w:rPr>
                <w:rFonts w:ascii="Book Antiqua" w:hAnsi="Book Antiqua"/>
              </w:rPr>
            </w:pPr>
            <w:r w:rsidRPr="00230CBF">
              <w:rPr>
                <w:rFonts w:ascii="Book Antiqua" w:hAnsi="Book Antiqua"/>
              </w:rPr>
              <w:t xml:space="preserve"> </w:t>
            </w:r>
            <w:r w:rsidR="004346BE" w:rsidRPr="00230CBF">
              <w:rPr>
                <w:rFonts w:ascii="Book Antiqua" w:hAnsi="Book Antiqua"/>
              </w:rPr>
              <w:t>Confirmation required</w:t>
            </w:r>
          </w:p>
        </w:tc>
        <w:tc>
          <w:tcPr>
            <w:tcW w:w="1064"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rPr>
            </w:pPr>
            <w:r w:rsidRPr="00230CBF">
              <w:rPr>
                <w:rFonts w:ascii="Book Antiqua" w:hAnsi="Book Antiqua"/>
              </w:rPr>
              <w:t> </w:t>
            </w:r>
          </w:p>
        </w:tc>
      </w:tr>
      <w:tr w:rsidR="00230CBF" w:rsidRPr="00230CBF" w:rsidTr="00D97AB2">
        <w:trPr>
          <w:trHeight w:val="300"/>
        </w:trPr>
        <w:tc>
          <w:tcPr>
            <w:tcW w:w="405" w:type="pct"/>
            <w:tcBorders>
              <w:top w:val="single" w:sz="4" w:space="0" w:color="auto"/>
              <w:left w:val="single" w:sz="4" w:space="0" w:color="auto"/>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b/>
                <w:bCs/>
              </w:rPr>
            </w:pPr>
            <w:r w:rsidRPr="00230CBF">
              <w:rPr>
                <w:rFonts w:ascii="Book Antiqua" w:hAnsi="Book Antiqua"/>
                <w:b/>
                <w:bCs/>
              </w:rPr>
              <w:t>Partial Response</w:t>
            </w:r>
          </w:p>
        </w:tc>
        <w:tc>
          <w:tcPr>
            <w:tcW w:w="1137" w:type="pct"/>
            <w:tcBorders>
              <w:top w:val="single" w:sz="4" w:space="0" w:color="auto"/>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b/>
                <w:bCs/>
                <w:lang w:val="en-US"/>
              </w:rPr>
              <w:t>PMR</w:t>
            </w:r>
            <w:r w:rsidRPr="00230CBF">
              <w:rPr>
                <w:rFonts w:ascii="Book Antiqua" w:hAnsi="Book Antiqua"/>
                <w:lang w:val="en-US"/>
              </w:rPr>
              <w:t>: reduction of a minimum of 30% in the target tumor 18F-</w:t>
            </w:r>
          </w:p>
        </w:tc>
        <w:tc>
          <w:tcPr>
            <w:tcW w:w="1316" w:type="pct"/>
            <w:tcBorders>
              <w:top w:val="single" w:sz="4" w:space="0" w:color="auto"/>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rPr>
            </w:pPr>
            <w:r w:rsidRPr="00230CBF">
              <w:rPr>
                <w:rFonts w:ascii="Book Antiqua" w:hAnsi="Book Antiqua"/>
                <w:b/>
                <w:bCs/>
              </w:rPr>
              <w:t>PMR</w:t>
            </w:r>
            <w:r w:rsidRPr="00230CBF">
              <w:rPr>
                <w:rFonts w:ascii="Book Antiqua" w:hAnsi="Book Antiqua"/>
              </w:rPr>
              <w:t>: Decrease in SUV &gt; 25%</w:t>
            </w:r>
          </w:p>
        </w:tc>
        <w:tc>
          <w:tcPr>
            <w:tcW w:w="1078"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w:t>
            </w:r>
            <w:r w:rsidR="00D97AB2">
              <w:rPr>
                <w:rFonts w:ascii="Book Antiqua" w:eastAsiaTheme="minorEastAsia" w:hAnsi="Book Antiqua" w:hint="eastAsia"/>
                <w:lang w:val="en-US" w:eastAsia="zh-CN"/>
              </w:rPr>
              <w:t xml:space="preserve"> </w:t>
            </w:r>
            <w:r w:rsidRPr="00230CBF">
              <w:rPr>
                <w:rFonts w:ascii="Book Antiqua" w:hAnsi="Book Antiqua"/>
                <w:lang w:val="en-US"/>
              </w:rPr>
              <w:t xml:space="preserve">30% decrease in tumor burden compared to baseline </w:t>
            </w:r>
          </w:p>
        </w:tc>
        <w:tc>
          <w:tcPr>
            <w:tcW w:w="1064" w:type="pct"/>
            <w:tcBorders>
              <w:top w:val="single" w:sz="4" w:space="0" w:color="auto"/>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w:t>
            </w:r>
            <w:r w:rsidR="00D97AB2">
              <w:rPr>
                <w:rFonts w:ascii="Book Antiqua" w:eastAsiaTheme="minorEastAsia" w:hAnsi="Book Antiqua" w:hint="eastAsia"/>
                <w:lang w:val="en-US" w:eastAsia="zh-CN"/>
              </w:rPr>
              <w:t xml:space="preserve"> </w:t>
            </w:r>
            <w:r w:rsidRPr="00230CBF">
              <w:rPr>
                <w:rFonts w:ascii="Book Antiqua" w:hAnsi="Book Antiqua"/>
                <w:lang w:val="en-US"/>
              </w:rPr>
              <w:t>50% decrease in tumo</w:t>
            </w:r>
            <w:r w:rsidR="00D97AB2">
              <w:rPr>
                <w:rFonts w:ascii="Book Antiqua" w:hAnsi="Book Antiqua"/>
                <w:lang w:val="en-US"/>
              </w:rPr>
              <w:t>r burden compared with baseline</w:t>
            </w:r>
            <w:r w:rsidR="00D97AB2" w:rsidRPr="00D97AB2">
              <w:rPr>
                <w:rFonts w:ascii="Book Antiqua" w:eastAsiaTheme="minorEastAsia" w:hAnsi="Book Antiqua" w:hint="eastAsia"/>
                <w:vertAlign w:val="superscript"/>
                <w:lang w:eastAsia="zh-CN"/>
              </w:rPr>
              <w:t>1</w:t>
            </w:r>
          </w:p>
        </w:tc>
      </w:tr>
      <w:tr w:rsidR="00230CBF" w:rsidRPr="00230CBF" w:rsidTr="00D97AB2">
        <w:trPr>
          <w:trHeight w:val="300"/>
        </w:trPr>
        <w:tc>
          <w:tcPr>
            <w:tcW w:w="405" w:type="pct"/>
            <w:tcBorders>
              <w:top w:val="nil"/>
              <w:left w:val="single" w:sz="4" w:space="0" w:color="auto"/>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 </w:t>
            </w:r>
          </w:p>
        </w:tc>
        <w:tc>
          <w:tcPr>
            <w:tcW w:w="1137"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rPr>
            </w:pPr>
            <w:r w:rsidRPr="00230CBF">
              <w:rPr>
                <w:rFonts w:ascii="Book Antiqua" w:hAnsi="Book Antiqua"/>
              </w:rPr>
              <w:t>FDG SUL peak</w:t>
            </w:r>
          </w:p>
        </w:tc>
        <w:tc>
          <w:tcPr>
            <w:tcW w:w="1316"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rPr>
            </w:pPr>
            <w:r w:rsidRPr="00230CBF">
              <w:rPr>
                <w:rFonts w:ascii="Book Antiqua" w:hAnsi="Book Antiqua"/>
              </w:rPr>
              <w:t> </w:t>
            </w:r>
          </w:p>
        </w:tc>
        <w:tc>
          <w:tcPr>
            <w:tcW w:w="1078"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rPr>
            </w:pPr>
            <w:r w:rsidRPr="00230CBF">
              <w:rPr>
                <w:rFonts w:ascii="Book Antiqua" w:hAnsi="Book Antiqua"/>
              </w:rPr>
              <w:t>Confirmation required</w:t>
            </w:r>
          </w:p>
        </w:tc>
        <w:tc>
          <w:tcPr>
            <w:tcW w:w="1064"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rPr>
            </w:pPr>
            <w:r w:rsidRPr="00230CBF">
              <w:rPr>
                <w:rFonts w:ascii="Book Antiqua" w:hAnsi="Book Antiqua"/>
              </w:rPr>
              <w:t>Confirmation required</w:t>
            </w:r>
          </w:p>
        </w:tc>
      </w:tr>
      <w:tr w:rsidR="00230CBF" w:rsidRPr="00230CBF" w:rsidTr="00D97AB2">
        <w:trPr>
          <w:trHeight w:val="300"/>
        </w:trPr>
        <w:tc>
          <w:tcPr>
            <w:tcW w:w="405" w:type="pct"/>
            <w:tcBorders>
              <w:top w:val="single" w:sz="4" w:space="0" w:color="auto"/>
              <w:left w:val="single" w:sz="4" w:space="0" w:color="auto"/>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b/>
                <w:bCs/>
              </w:rPr>
            </w:pPr>
            <w:r w:rsidRPr="00230CBF">
              <w:rPr>
                <w:rFonts w:ascii="Book Antiqua" w:hAnsi="Book Antiqua"/>
                <w:b/>
                <w:bCs/>
              </w:rPr>
              <w:t>Progressive Disease</w:t>
            </w:r>
          </w:p>
        </w:tc>
        <w:tc>
          <w:tcPr>
            <w:tcW w:w="1137" w:type="pct"/>
            <w:tcBorders>
              <w:top w:val="single" w:sz="4" w:space="0" w:color="auto"/>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b/>
                <w:bCs/>
                <w:lang w:val="en-US"/>
              </w:rPr>
              <w:t>PMD</w:t>
            </w:r>
            <w:r w:rsidRPr="00230CBF">
              <w:rPr>
                <w:rFonts w:ascii="Book Antiqua" w:hAnsi="Book Antiqua"/>
                <w:lang w:val="en-US"/>
              </w:rPr>
              <w:t>: a 30% increase in 18F-FDG SUL peak or advent of new 18F-</w:t>
            </w:r>
          </w:p>
        </w:tc>
        <w:tc>
          <w:tcPr>
            <w:tcW w:w="1316" w:type="pct"/>
            <w:tcBorders>
              <w:top w:val="single" w:sz="4" w:space="0" w:color="auto"/>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b/>
                <w:bCs/>
                <w:lang w:val="en-US"/>
              </w:rPr>
              <w:t>PMD</w:t>
            </w:r>
            <w:r w:rsidRPr="00230CBF">
              <w:rPr>
                <w:rFonts w:ascii="Book Antiqua" w:hAnsi="Book Antiqua"/>
                <w:lang w:val="en-US"/>
              </w:rPr>
              <w:t>: increase in SUV &gt;</w:t>
            </w:r>
            <w:r w:rsidR="00D97AB2">
              <w:rPr>
                <w:rFonts w:ascii="Book Antiqua" w:eastAsiaTheme="minorEastAsia" w:hAnsi="Book Antiqua" w:hint="eastAsia"/>
                <w:lang w:val="en-US" w:eastAsia="zh-CN"/>
              </w:rPr>
              <w:t xml:space="preserve"> </w:t>
            </w:r>
            <w:r w:rsidRPr="00230CBF">
              <w:rPr>
                <w:rFonts w:ascii="Book Antiqua" w:hAnsi="Book Antiqua"/>
                <w:lang w:val="en-US"/>
              </w:rPr>
              <w:t>25 or appearance of new lesions</w:t>
            </w:r>
          </w:p>
        </w:tc>
        <w:tc>
          <w:tcPr>
            <w:tcW w:w="1078" w:type="pct"/>
            <w:tcBorders>
              <w:top w:val="single" w:sz="4" w:space="0" w:color="auto"/>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w:t>
            </w:r>
            <w:r w:rsidR="00D97AB2">
              <w:rPr>
                <w:rFonts w:ascii="Book Antiqua" w:eastAsiaTheme="minorEastAsia" w:hAnsi="Book Antiqua" w:hint="eastAsia"/>
                <w:lang w:val="en-US" w:eastAsia="zh-CN"/>
              </w:rPr>
              <w:t xml:space="preserve"> </w:t>
            </w:r>
            <w:r w:rsidRPr="00230CBF">
              <w:rPr>
                <w:rFonts w:ascii="Book Antiqua" w:hAnsi="Book Antiqua"/>
                <w:lang w:val="en-US"/>
              </w:rPr>
              <w:t>20% + 5</w:t>
            </w:r>
            <w:r w:rsidR="00D97AB2">
              <w:rPr>
                <w:rFonts w:ascii="Book Antiqua" w:eastAsiaTheme="minorEastAsia" w:hAnsi="Book Antiqua" w:hint="eastAsia"/>
                <w:lang w:val="en-US" w:eastAsia="zh-CN"/>
              </w:rPr>
              <w:t xml:space="preserve"> </w:t>
            </w:r>
            <w:r w:rsidRPr="00230CBF">
              <w:rPr>
                <w:rFonts w:ascii="Book Antiqua" w:hAnsi="Book Antiqua"/>
                <w:lang w:val="en-US"/>
              </w:rPr>
              <w:t>mm absolute increase in tumor burden compared</w:t>
            </w:r>
          </w:p>
        </w:tc>
        <w:tc>
          <w:tcPr>
            <w:tcW w:w="1064" w:type="pct"/>
            <w:tcBorders>
              <w:top w:val="single" w:sz="4" w:space="0" w:color="auto"/>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w:t>
            </w:r>
            <w:r w:rsidR="00D97AB2">
              <w:rPr>
                <w:rFonts w:ascii="Book Antiqua" w:eastAsiaTheme="minorEastAsia" w:hAnsi="Book Antiqua" w:hint="eastAsia"/>
                <w:lang w:val="en-US" w:eastAsia="zh-CN"/>
              </w:rPr>
              <w:t xml:space="preserve"> </w:t>
            </w:r>
            <w:r w:rsidRPr="00230CBF">
              <w:rPr>
                <w:rFonts w:ascii="Book Antiqua" w:hAnsi="Book Antiqua"/>
                <w:lang w:val="en-US"/>
              </w:rPr>
              <w:t>25% increase in tumor burden compared with baseline,</w:t>
            </w:r>
          </w:p>
        </w:tc>
      </w:tr>
      <w:tr w:rsidR="00230CBF" w:rsidRPr="00230CBF" w:rsidTr="00D97AB2">
        <w:trPr>
          <w:trHeight w:val="300"/>
        </w:trPr>
        <w:tc>
          <w:tcPr>
            <w:tcW w:w="405" w:type="pct"/>
            <w:tcBorders>
              <w:top w:val="nil"/>
              <w:left w:val="single" w:sz="4" w:space="0" w:color="auto"/>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 </w:t>
            </w:r>
          </w:p>
        </w:tc>
        <w:tc>
          <w:tcPr>
            <w:tcW w:w="1137"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rPr>
            </w:pPr>
            <w:r w:rsidRPr="00230CBF">
              <w:rPr>
                <w:rFonts w:ascii="Book Antiqua" w:hAnsi="Book Antiqua"/>
              </w:rPr>
              <w:t>FDG-avid lesions</w:t>
            </w:r>
          </w:p>
        </w:tc>
        <w:tc>
          <w:tcPr>
            <w:tcW w:w="1316"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rPr>
            </w:pPr>
            <w:r w:rsidRPr="00230CBF">
              <w:rPr>
                <w:rFonts w:ascii="Book Antiqua" w:hAnsi="Book Antiqua"/>
              </w:rPr>
              <w:t> </w:t>
            </w:r>
          </w:p>
        </w:tc>
        <w:tc>
          <w:tcPr>
            <w:tcW w:w="1078"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rPr>
            </w:pPr>
            <w:r w:rsidRPr="00230CBF">
              <w:rPr>
                <w:rFonts w:ascii="Book Antiqua" w:hAnsi="Book Antiqua"/>
              </w:rPr>
              <w:t>with nadir</w:t>
            </w:r>
          </w:p>
        </w:tc>
        <w:tc>
          <w:tcPr>
            <w:tcW w:w="1064" w:type="pct"/>
            <w:tcBorders>
              <w:top w:val="nil"/>
              <w:left w:val="nil"/>
              <w:bottom w:val="nil"/>
              <w:right w:val="single" w:sz="4" w:space="0" w:color="auto"/>
            </w:tcBorders>
            <w:shd w:val="clear" w:color="auto" w:fill="auto"/>
            <w:noWrap/>
            <w:vAlign w:val="bottom"/>
            <w:hideMark/>
          </w:tcPr>
          <w:p w:rsidR="004346BE" w:rsidRPr="00D97AB2" w:rsidRDefault="004346BE" w:rsidP="00D97AB2">
            <w:pPr>
              <w:spacing w:line="360" w:lineRule="auto"/>
              <w:jc w:val="both"/>
              <w:rPr>
                <w:rFonts w:ascii="Book Antiqua" w:eastAsiaTheme="minorEastAsia" w:hAnsi="Book Antiqua"/>
                <w:lang w:eastAsia="zh-CN"/>
              </w:rPr>
            </w:pPr>
            <w:r w:rsidRPr="00230CBF">
              <w:rPr>
                <w:rFonts w:ascii="Book Antiqua" w:hAnsi="Book Antiqua"/>
              </w:rPr>
              <w:t>nadir or reset baseline</w:t>
            </w:r>
            <w:r w:rsidR="00D97AB2" w:rsidRPr="00D97AB2">
              <w:rPr>
                <w:rFonts w:ascii="Book Antiqua" w:eastAsiaTheme="minorEastAsia" w:hAnsi="Book Antiqua" w:hint="eastAsia"/>
                <w:vertAlign w:val="superscript"/>
                <w:lang w:eastAsia="zh-CN"/>
              </w:rPr>
              <w:t>1</w:t>
            </w:r>
          </w:p>
        </w:tc>
      </w:tr>
      <w:tr w:rsidR="00230CBF" w:rsidRPr="00230CBF" w:rsidTr="00D97AB2">
        <w:trPr>
          <w:trHeight w:val="300"/>
        </w:trPr>
        <w:tc>
          <w:tcPr>
            <w:tcW w:w="405" w:type="pct"/>
            <w:tcBorders>
              <w:top w:val="nil"/>
              <w:left w:val="single" w:sz="4" w:space="0" w:color="auto"/>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rPr>
            </w:pPr>
            <w:r w:rsidRPr="00230CBF">
              <w:rPr>
                <w:rFonts w:ascii="Book Antiqua" w:hAnsi="Book Antiqua"/>
              </w:rPr>
              <w:t> </w:t>
            </w:r>
          </w:p>
        </w:tc>
        <w:tc>
          <w:tcPr>
            <w:tcW w:w="1137"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rPr>
            </w:pPr>
            <w:r w:rsidRPr="00230CBF">
              <w:rPr>
                <w:rFonts w:ascii="Book Antiqua" w:hAnsi="Book Antiqua"/>
              </w:rPr>
              <w:t> </w:t>
            </w:r>
          </w:p>
        </w:tc>
        <w:tc>
          <w:tcPr>
            <w:tcW w:w="1316"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rPr>
            </w:pPr>
            <w:r w:rsidRPr="00230CBF">
              <w:rPr>
                <w:rFonts w:ascii="Book Antiqua" w:hAnsi="Book Antiqua"/>
              </w:rPr>
              <w:t> </w:t>
            </w:r>
          </w:p>
        </w:tc>
        <w:tc>
          <w:tcPr>
            <w:tcW w:w="1078"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 xml:space="preserve">Appearance of new lesions or progression of </w:t>
            </w:r>
            <w:proofErr w:type="spellStart"/>
            <w:r w:rsidRPr="00230CBF">
              <w:rPr>
                <w:rFonts w:ascii="Book Antiqua" w:hAnsi="Book Antiqua"/>
                <w:lang w:val="en-US"/>
              </w:rPr>
              <w:t>nontarget</w:t>
            </w:r>
            <w:proofErr w:type="spellEnd"/>
            <w:r w:rsidRPr="00230CBF">
              <w:rPr>
                <w:rFonts w:ascii="Book Antiqua" w:hAnsi="Book Antiqua"/>
                <w:lang w:val="en-US"/>
              </w:rPr>
              <w:t xml:space="preserve"> lesions</w:t>
            </w:r>
          </w:p>
        </w:tc>
        <w:tc>
          <w:tcPr>
            <w:tcW w:w="1064" w:type="pct"/>
            <w:tcBorders>
              <w:top w:val="nil"/>
              <w:left w:val="nil"/>
              <w:bottom w:val="nil"/>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New lesions added to tumor burden</w:t>
            </w:r>
          </w:p>
        </w:tc>
      </w:tr>
      <w:tr w:rsidR="00230CBF" w:rsidRPr="00230CBF" w:rsidTr="00D97AB2">
        <w:trPr>
          <w:trHeight w:val="300"/>
        </w:trPr>
        <w:tc>
          <w:tcPr>
            <w:tcW w:w="405" w:type="pct"/>
            <w:tcBorders>
              <w:top w:val="nil"/>
              <w:left w:val="single" w:sz="4" w:space="0" w:color="auto"/>
              <w:bottom w:val="single" w:sz="4" w:space="0" w:color="auto"/>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 </w:t>
            </w:r>
          </w:p>
        </w:tc>
        <w:tc>
          <w:tcPr>
            <w:tcW w:w="1137" w:type="pct"/>
            <w:tcBorders>
              <w:top w:val="nil"/>
              <w:left w:val="nil"/>
              <w:bottom w:val="single" w:sz="4" w:space="0" w:color="auto"/>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 </w:t>
            </w:r>
          </w:p>
        </w:tc>
        <w:tc>
          <w:tcPr>
            <w:tcW w:w="1316" w:type="pct"/>
            <w:tcBorders>
              <w:top w:val="nil"/>
              <w:left w:val="nil"/>
              <w:bottom w:val="single" w:sz="4" w:space="0" w:color="auto"/>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 </w:t>
            </w:r>
          </w:p>
        </w:tc>
        <w:tc>
          <w:tcPr>
            <w:tcW w:w="1078" w:type="pct"/>
            <w:tcBorders>
              <w:top w:val="nil"/>
              <w:left w:val="nil"/>
              <w:bottom w:val="single" w:sz="4" w:space="0" w:color="auto"/>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lang w:val="en-US"/>
              </w:rPr>
              <w:t> </w:t>
            </w:r>
          </w:p>
        </w:tc>
        <w:tc>
          <w:tcPr>
            <w:tcW w:w="1064" w:type="pct"/>
            <w:tcBorders>
              <w:top w:val="nil"/>
              <w:left w:val="nil"/>
              <w:bottom w:val="single" w:sz="4" w:space="0" w:color="auto"/>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rPr>
            </w:pPr>
            <w:r w:rsidRPr="00230CBF">
              <w:rPr>
                <w:rFonts w:ascii="Book Antiqua" w:hAnsi="Book Antiqua"/>
              </w:rPr>
              <w:t>Confirmation required</w:t>
            </w:r>
          </w:p>
        </w:tc>
      </w:tr>
      <w:tr w:rsidR="00230CBF" w:rsidRPr="00230CBF" w:rsidTr="00D97AB2">
        <w:trPr>
          <w:trHeight w:val="300"/>
        </w:trPr>
        <w:tc>
          <w:tcPr>
            <w:tcW w:w="405" w:type="pct"/>
            <w:tcBorders>
              <w:top w:val="nil"/>
              <w:left w:val="single" w:sz="4" w:space="0" w:color="auto"/>
              <w:bottom w:val="single" w:sz="4" w:space="0" w:color="auto"/>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b/>
                <w:bCs/>
              </w:rPr>
            </w:pPr>
            <w:r w:rsidRPr="00230CBF">
              <w:rPr>
                <w:rFonts w:ascii="Book Antiqua" w:hAnsi="Book Antiqua"/>
                <w:b/>
                <w:bCs/>
              </w:rPr>
              <w:t>Stabl</w:t>
            </w:r>
            <w:r w:rsidRPr="00230CBF">
              <w:rPr>
                <w:rFonts w:ascii="Book Antiqua" w:hAnsi="Book Antiqua"/>
                <w:b/>
                <w:bCs/>
              </w:rPr>
              <w:lastRenderedPageBreak/>
              <w:t>e Disease</w:t>
            </w:r>
          </w:p>
        </w:tc>
        <w:tc>
          <w:tcPr>
            <w:tcW w:w="1137" w:type="pct"/>
            <w:tcBorders>
              <w:top w:val="nil"/>
              <w:left w:val="nil"/>
              <w:bottom w:val="single" w:sz="4" w:space="0" w:color="auto"/>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b/>
                <w:bCs/>
                <w:lang w:val="en-US"/>
              </w:rPr>
              <w:lastRenderedPageBreak/>
              <w:t>SMD</w:t>
            </w:r>
            <w:r w:rsidRPr="00230CBF">
              <w:rPr>
                <w:rFonts w:ascii="Book Antiqua" w:hAnsi="Book Antiqua"/>
                <w:lang w:val="en-US"/>
              </w:rPr>
              <w:t xml:space="preserve">: </w:t>
            </w:r>
            <w:r w:rsidR="00D97AB2" w:rsidRPr="00230CBF">
              <w:rPr>
                <w:rFonts w:ascii="Book Antiqua" w:hAnsi="Book Antiqua"/>
                <w:lang w:val="en-US"/>
              </w:rPr>
              <w:t>D</w:t>
            </w:r>
            <w:r w:rsidRPr="00230CBF">
              <w:rPr>
                <w:rFonts w:ascii="Book Antiqua" w:hAnsi="Book Antiqua"/>
                <w:lang w:val="en-US"/>
              </w:rPr>
              <w:t xml:space="preserve">isease </w:t>
            </w:r>
            <w:r w:rsidRPr="00230CBF">
              <w:rPr>
                <w:rFonts w:ascii="Book Antiqua" w:hAnsi="Book Antiqua"/>
                <w:lang w:val="en-US"/>
              </w:rPr>
              <w:lastRenderedPageBreak/>
              <w:t>other than</w:t>
            </w:r>
            <w:r w:rsidR="00230CBF" w:rsidRPr="00230CBF">
              <w:rPr>
                <w:rFonts w:ascii="Book Antiqua" w:hAnsi="Book Antiqua"/>
                <w:lang w:val="en-US"/>
              </w:rPr>
              <w:t xml:space="preserve"> </w:t>
            </w:r>
            <w:r w:rsidRPr="00230CBF">
              <w:rPr>
                <w:rFonts w:ascii="Book Antiqua" w:hAnsi="Book Antiqua"/>
                <w:lang w:val="en-US"/>
              </w:rPr>
              <w:t>CMR, PMR or PMD</w:t>
            </w:r>
          </w:p>
        </w:tc>
        <w:tc>
          <w:tcPr>
            <w:tcW w:w="1316" w:type="pct"/>
            <w:tcBorders>
              <w:top w:val="nil"/>
              <w:left w:val="nil"/>
              <w:bottom w:val="single" w:sz="4" w:space="0" w:color="auto"/>
              <w:right w:val="single" w:sz="4" w:space="0" w:color="auto"/>
            </w:tcBorders>
            <w:shd w:val="clear" w:color="auto" w:fill="auto"/>
            <w:noWrap/>
            <w:vAlign w:val="bottom"/>
            <w:hideMark/>
          </w:tcPr>
          <w:p w:rsidR="004346BE" w:rsidRPr="00230CBF" w:rsidRDefault="004346BE" w:rsidP="00230CBF">
            <w:pPr>
              <w:spacing w:line="360" w:lineRule="auto"/>
              <w:jc w:val="both"/>
              <w:rPr>
                <w:rFonts w:ascii="Book Antiqua" w:hAnsi="Book Antiqua"/>
                <w:lang w:val="en-US"/>
              </w:rPr>
            </w:pPr>
            <w:r w:rsidRPr="00230CBF">
              <w:rPr>
                <w:rFonts w:ascii="Book Antiqua" w:hAnsi="Book Antiqua"/>
                <w:b/>
                <w:bCs/>
                <w:lang w:val="en-US"/>
              </w:rPr>
              <w:lastRenderedPageBreak/>
              <w:t>SMD:</w:t>
            </w:r>
            <w:r w:rsidR="00707FAB">
              <w:rPr>
                <w:rFonts w:ascii="Book Antiqua" w:hAnsi="Book Antiqua"/>
                <w:lang w:val="en-US"/>
              </w:rPr>
              <w:t xml:space="preserve"> I</w:t>
            </w:r>
            <w:bookmarkStart w:id="0" w:name="_GoBack"/>
            <w:bookmarkEnd w:id="0"/>
            <w:r w:rsidRPr="00230CBF">
              <w:rPr>
                <w:rFonts w:ascii="Book Antiqua" w:hAnsi="Book Antiqua"/>
                <w:lang w:val="en-US"/>
              </w:rPr>
              <w:t xml:space="preserve">ncrease in </w:t>
            </w:r>
            <w:r w:rsidRPr="00230CBF">
              <w:rPr>
                <w:rFonts w:ascii="Book Antiqua" w:hAnsi="Book Antiqua"/>
                <w:lang w:val="en-US"/>
              </w:rPr>
              <w:lastRenderedPageBreak/>
              <w:t>SUV &lt; 25% or decrease in SUV &lt; 15%</w:t>
            </w:r>
          </w:p>
        </w:tc>
        <w:tc>
          <w:tcPr>
            <w:tcW w:w="214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346BE" w:rsidRPr="00230CBF" w:rsidRDefault="00230CBF" w:rsidP="00230CBF">
            <w:pPr>
              <w:spacing w:line="360" w:lineRule="auto"/>
              <w:jc w:val="both"/>
              <w:rPr>
                <w:rFonts w:ascii="Book Antiqua" w:hAnsi="Book Antiqua"/>
              </w:rPr>
            </w:pPr>
            <w:r w:rsidRPr="00230CBF">
              <w:rPr>
                <w:rFonts w:ascii="Book Antiqua" w:hAnsi="Book Antiqua"/>
                <w:lang w:val="en-US"/>
              </w:rPr>
              <w:lastRenderedPageBreak/>
              <w:t xml:space="preserve"> </w:t>
            </w:r>
            <w:r w:rsidR="004346BE" w:rsidRPr="00230CBF">
              <w:rPr>
                <w:rFonts w:ascii="Book Antiqua" w:hAnsi="Book Antiqua"/>
              </w:rPr>
              <w:t xml:space="preserve">Neither partial response nor </w:t>
            </w:r>
            <w:r w:rsidR="004346BE" w:rsidRPr="00230CBF">
              <w:rPr>
                <w:rFonts w:ascii="Book Antiqua" w:hAnsi="Book Antiqua"/>
              </w:rPr>
              <w:lastRenderedPageBreak/>
              <w:t>progressive disease</w:t>
            </w:r>
          </w:p>
        </w:tc>
      </w:tr>
      <w:tr w:rsidR="00230CBF" w:rsidRPr="00230CBF" w:rsidTr="00D97AB2">
        <w:trPr>
          <w:trHeight w:val="300"/>
        </w:trPr>
        <w:tc>
          <w:tcPr>
            <w:tcW w:w="405" w:type="pct"/>
            <w:tcBorders>
              <w:top w:val="nil"/>
              <w:left w:val="nil"/>
              <w:bottom w:val="nil"/>
              <w:right w:val="nil"/>
            </w:tcBorders>
            <w:shd w:val="clear" w:color="auto" w:fill="auto"/>
            <w:noWrap/>
            <w:vAlign w:val="bottom"/>
            <w:hideMark/>
          </w:tcPr>
          <w:p w:rsidR="004346BE" w:rsidRPr="00230CBF" w:rsidRDefault="004346BE" w:rsidP="00230CBF">
            <w:pPr>
              <w:spacing w:line="360" w:lineRule="auto"/>
              <w:jc w:val="both"/>
              <w:rPr>
                <w:rFonts w:ascii="Book Antiqua" w:hAnsi="Book Antiqua"/>
                <w:b/>
                <w:bCs/>
              </w:rPr>
            </w:pPr>
          </w:p>
        </w:tc>
        <w:tc>
          <w:tcPr>
            <w:tcW w:w="1137" w:type="pct"/>
            <w:tcBorders>
              <w:top w:val="nil"/>
              <w:left w:val="nil"/>
              <w:bottom w:val="nil"/>
              <w:right w:val="nil"/>
            </w:tcBorders>
            <w:shd w:val="clear" w:color="auto" w:fill="auto"/>
            <w:noWrap/>
            <w:vAlign w:val="bottom"/>
            <w:hideMark/>
          </w:tcPr>
          <w:p w:rsidR="004346BE" w:rsidRPr="00230CBF" w:rsidRDefault="004346BE" w:rsidP="00230CBF">
            <w:pPr>
              <w:spacing w:line="360" w:lineRule="auto"/>
              <w:jc w:val="both"/>
              <w:rPr>
                <w:rFonts w:ascii="Book Antiqua" w:hAnsi="Book Antiqua"/>
              </w:rPr>
            </w:pPr>
          </w:p>
        </w:tc>
        <w:tc>
          <w:tcPr>
            <w:tcW w:w="1316" w:type="pct"/>
            <w:tcBorders>
              <w:top w:val="nil"/>
              <w:left w:val="nil"/>
              <w:bottom w:val="nil"/>
              <w:right w:val="nil"/>
            </w:tcBorders>
            <w:shd w:val="clear" w:color="auto" w:fill="auto"/>
            <w:noWrap/>
            <w:vAlign w:val="bottom"/>
            <w:hideMark/>
          </w:tcPr>
          <w:p w:rsidR="004346BE" w:rsidRPr="00230CBF" w:rsidRDefault="004346BE" w:rsidP="00230CBF">
            <w:pPr>
              <w:spacing w:line="360" w:lineRule="auto"/>
              <w:jc w:val="both"/>
              <w:rPr>
                <w:rFonts w:ascii="Book Antiqua" w:hAnsi="Book Antiqua"/>
              </w:rPr>
            </w:pPr>
          </w:p>
        </w:tc>
        <w:tc>
          <w:tcPr>
            <w:tcW w:w="1078" w:type="pct"/>
            <w:tcBorders>
              <w:top w:val="nil"/>
              <w:left w:val="nil"/>
              <w:bottom w:val="nil"/>
              <w:right w:val="nil"/>
            </w:tcBorders>
            <w:shd w:val="clear" w:color="auto" w:fill="auto"/>
            <w:noWrap/>
            <w:vAlign w:val="bottom"/>
            <w:hideMark/>
          </w:tcPr>
          <w:p w:rsidR="004346BE" w:rsidRPr="00230CBF" w:rsidRDefault="004346BE" w:rsidP="00230CBF">
            <w:pPr>
              <w:spacing w:line="360" w:lineRule="auto"/>
              <w:jc w:val="both"/>
              <w:rPr>
                <w:rFonts w:ascii="Book Antiqua" w:hAnsi="Book Antiqua"/>
              </w:rPr>
            </w:pPr>
          </w:p>
        </w:tc>
        <w:tc>
          <w:tcPr>
            <w:tcW w:w="1064" w:type="pct"/>
            <w:tcBorders>
              <w:top w:val="nil"/>
              <w:left w:val="nil"/>
              <w:bottom w:val="nil"/>
              <w:right w:val="nil"/>
            </w:tcBorders>
            <w:shd w:val="clear" w:color="auto" w:fill="auto"/>
            <w:noWrap/>
            <w:vAlign w:val="bottom"/>
            <w:hideMark/>
          </w:tcPr>
          <w:p w:rsidR="004346BE" w:rsidRPr="00230CBF" w:rsidRDefault="004346BE" w:rsidP="00230CBF">
            <w:pPr>
              <w:spacing w:line="360" w:lineRule="auto"/>
              <w:jc w:val="both"/>
              <w:rPr>
                <w:rFonts w:ascii="Book Antiqua" w:hAnsi="Book Antiqua"/>
              </w:rPr>
            </w:pPr>
          </w:p>
        </w:tc>
      </w:tr>
    </w:tbl>
    <w:p w:rsidR="00D97AB2" w:rsidRDefault="00D97AB2" w:rsidP="00230CBF">
      <w:pPr>
        <w:spacing w:line="360" w:lineRule="auto"/>
        <w:jc w:val="both"/>
        <w:rPr>
          <w:rFonts w:ascii="Book Antiqua" w:eastAsiaTheme="minorEastAsia" w:hAnsi="Book Antiqua"/>
          <w:lang w:val="en-US" w:eastAsia="zh-CN"/>
        </w:rPr>
      </w:pPr>
      <w:r w:rsidRPr="00D97AB2">
        <w:rPr>
          <w:rFonts w:ascii="Book Antiqua" w:eastAsiaTheme="minorEastAsia" w:hAnsi="Book Antiqua" w:hint="eastAsia"/>
          <w:vertAlign w:val="superscript"/>
          <w:lang w:eastAsia="zh-CN"/>
        </w:rPr>
        <w:t>1</w:t>
      </w:r>
      <w:r w:rsidRPr="00230CBF">
        <w:rPr>
          <w:rFonts w:ascii="Book Antiqua" w:hAnsi="Book Antiqua"/>
          <w:lang w:val="en-US"/>
        </w:rPr>
        <w:t>If an increase in tumor burden is observed at the first scheduled assessment, the baseline is reset to the value observed at the first assessment.</w:t>
      </w:r>
      <w:r w:rsidRPr="00D97AB2">
        <w:rPr>
          <w:rFonts w:ascii="Book Antiqua" w:hAnsi="Book Antiqua"/>
          <w:lang w:val="en-US"/>
        </w:rPr>
        <w:t xml:space="preserve"> </w:t>
      </w:r>
      <w:r w:rsidRPr="00230CBF">
        <w:rPr>
          <w:rFonts w:ascii="Book Antiqua" w:hAnsi="Book Antiqua"/>
          <w:lang w:val="en-US"/>
        </w:rPr>
        <w:t xml:space="preserve">PERCIST: PET Response Criteria in Solid Tumors; EORTC: European Organization for Research and Treatment of Cancer; RECIST: Response Evaluation Criteria in Solid Tumors; </w:t>
      </w:r>
      <w:proofErr w:type="spellStart"/>
      <w:r w:rsidRPr="00230CBF">
        <w:rPr>
          <w:rFonts w:ascii="Book Antiqua" w:hAnsi="Book Antiqua"/>
          <w:lang w:val="en-US"/>
        </w:rPr>
        <w:t>irRC</w:t>
      </w:r>
      <w:proofErr w:type="spellEnd"/>
      <w:r w:rsidRPr="00230CBF">
        <w:rPr>
          <w:rFonts w:ascii="Book Antiqua" w:hAnsi="Book Antiqua"/>
          <w:lang w:val="en-US"/>
        </w:rPr>
        <w:t>: Immune related Response Criteria; CMR: Complete metabolic response; PMR: Partial metabolic response; PMD: Progressive metabolic disease; SMD: Stable metabolic disease; SUL: SUV normalized to lean body mass; SUV BSA: SUV normalized for body surface area.</w:t>
      </w:r>
    </w:p>
    <w:p w:rsidR="00D97AB2" w:rsidRDefault="00D97AB2" w:rsidP="00230CBF">
      <w:pPr>
        <w:spacing w:line="360" w:lineRule="auto"/>
        <w:jc w:val="both"/>
        <w:rPr>
          <w:rFonts w:ascii="Book Antiqua" w:eastAsiaTheme="minorEastAsia" w:hAnsi="Book Antiqua"/>
          <w:lang w:val="en-US" w:eastAsia="zh-CN"/>
        </w:rPr>
      </w:pPr>
    </w:p>
    <w:sectPr w:rsidR="00D97A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83" w:rsidRDefault="00074E83" w:rsidP="004346BE">
      <w:r>
        <w:separator/>
      </w:r>
    </w:p>
  </w:endnote>
  <w:endnote w:type="continuationSeparator" w:id="0">
    <w:p w:rsidR="00074E83" w:rsidRDefault="00074E83" w:rsidP="0043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83" w:rsidRDefault="00074E83" w:rsidP="004346BE">
      <w:r>
        <w:separator/>
      </w:r>
    </w:p>
  </w:footnote>
  <w:footnote w:type="continuationSeparator" w:id="0">
    <w:p w:rsidR="00074E83" w:rsidRDefault="00074E83" w:rsidP="004346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D5FE3"/>
    <w:multiLevelType w:val="hybridMultilevel"/>
    <w:tmpl w:val="83FE4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15"/>
    <w:rsid w:val="00000DA2"/>
    <w:rsid w:val="000032F5"/>
    <w:rsid w:val="00005327"/>
    <w:rsid w:val="0001237E"/>
    <w:rsid w:val="000175F2"/>
    <w:rsid w:val="00021E8B"/>
    <w:rsid w:val="00035D02"/>
    <w:rsid w:val="00035FF8"/>
    <w:rsid w:val="00043F3A"/>
    <w:rsid w:val="00046447"/>
    <w:rsid w:val="000506F3"/>
    <w:rsid w:val="00060C33"/>
    <w:rsid w:val="000656E2"/>
    <w:rsid w:val="00072473"/>
    <w:rsid w:val="00074E83"/>
    <w:rsid w:val="000930C7"/>
    <w:rsid w:val="00097163"/>
    <w:rsid w:val="000978B8"/>
    <w:rsid w:val="000A259A"/>
    <w:rsid w:val="000A5899"/>
    <w:rsid w:val="000A5AD2"/>
    <w:rsid w:val="000A5D26"/>
    <w:rsid w:val="000B1796"/>
    <w:rsid w:val="000B188E"/>
    <w:rsid w:val="000B30AE"/>
    <w:rsid w:val="000B57FA"/>
    <w:rsid w:val="000B5963"/>
    <w:rsid w:val="000C1331"/>
    <w:rsid w:val="000C312C"/>
    <w:rsid w:val="000C5566"/>
    <w:rsid w:val="000D2500"/>
    <w:rsid w:val="000D4301"/>
    <w:rsid w:val="000D71D0"/>
    <w:rsid w:val="000E6C78"/>
    <w:rsid w:val="000F1E75"/>
    <w:rsid w:val="000F37F1"/>
    <w:rsid w:val="000F5164"/>
    <w:rsid w:val="000F5377"/>
    <w:rsid w:val="000F6566"/>
    <w:rsid w:val="000F7623"/>
    <w:rsid w:val="0010079C"/>
    <w:rsid w:val="00101E96"/>
    <w:rsid w:val="001035F5"/>
    <w:rsid w:val="00106172"/>
    <w:rsid w:val="001119BA"/>
    <w:rsid w:val="00111D63"/>
    <w:rsid w:val="00112CB9"/>
    <w:rsid w:val="00124407"/>
    <w:rsid w:val="00124507"/>
    <w:rsid w:val="00135CB3"/>
    <w:rsid w:val="0013728B"/>
    <w:rsid w:val="00137369"/>
    <w:rsid w:val="0013773C"/>
    <w:rsid w:val="001445CD"/>
    <w:rsid w:val="00166056"/>
    <w:rsid w:val="00167973"/>
    <w:rsid w:val="00167C91"/>
    <w:rsid w:val="00167EAF"/>
    <w:rsid w:val="001713A3"/>
    <w:rsid w:val="00171A82"/>
    <w:rsid w:val="00172AFF"/>
    <w:rsid w:val="00172DBC"/>
    <w:rsid w:val="00174BC6"/>
    <w:rsid w:val="00175C29"/>
    <w:rsid w:val="00177109"/>
    <w:rsid w:val="00181F7C"/>
    <w:rsid w:val="001857A4"/>
    <w:rsid w:val="0019299A"/>
    <w:rsid w:val="00192BA7"/>
    <w:rsid w:val="001960C8"/>
    <w:rsid w:val="001A3BB6"/>
    <w:rsid w:val="001A6563"/>
    <w:rsid w:val="001A775A"/>
    <w:rsid w:val="001B4519"/>
    <w:rsid w:val="001B64E3"/>
    <w:rsid w:val="001B73EB"/>
    <w:rsid w:val="001C1376"/>
    <w:rsid w:val="001C14C0"/>
    <w:rsid w:val="001C6B2E"/>
    <w:rsid w:val="001C6FB2"/>
    <w:rsid w:val="001D2807"/>
    <w:rsid w:val="001D3B11"/>
    <w:rsid w:val="001D43A0"/>
    <w:rsid w:val="001D4A7D"/>
    <w:rsid w:val="001D4C59"/>
    <w:rsid w:val="001D6E1D"/>
    <w:rsid w:val="001E1C7E"/>
    <w:rsid w:val="001E5065"/>
    <w:rsid w:val="001E5860"/>
    <w:rsid w:val="001F42A6"/>
    <w:rsid w:val="001F63BC"/>
    <w:rsid w:val="001F6C87"/>
    <w:rsid w:val="00201587"/>
    <w:rsid w:val="00207DB3"/>
    <w:rsid w:val="0022196C"/>
    <w:rsid w:val="00223091"/>
    <w:rsid w:val="002241A7"/>
    <w:rsid w:val="002242BF"/>
    <w:rsid w:val="00227395"/>
    <w:rsid w:val="00230CBF"/>
    <w:rsid w:val="0023434D"/>
    <w:rsid w:val="0023765A"/>
    <w:rsid w:val="00246D15"/>
    <w:rsid w:val="00250C25"/>
    <w:rsid w:val="00250DCC"/>
    <w:rsid w:val="00252527"/>
    <w:rsid w:val="0025289D"/>
    <w:rsid w:val="002538BE"/>
    <w:rsid w:val="0025397F"/>
    <w:rsid w:val="002602D4"/>
    <w:rsid w:val="00262803"/>
    <w:rsid w:val="002778C9"/>
    <w:rsid w:val="0028189C"/>
    <w:rsid w:val="00286A21"/>
    <w:rsid w:val="00287360"/>
    <w:rsid w:val="0028781D"/>
    <w:rsid w:val="00290752"/>
    <w:rsid w:val="002917F1"/>
    <w:rsid w:val="00291EFE"/>
    <w:rsid w:val="002945EE"/>
    <w:rsid w:val="0029544F"/>
    <w:rsid w:val="002A42E5"/>
    <w:rsid w:val="002A57B0"/>
    <w:rsid w:val="002A6320"/>
    <w:rsid w:val="002B30E0"/>
    <w:rsid w:val="002C1CA2"/>
    <w:rsid w:val="002C1EDB"/>
    <w:rsid w:val="002C6133"/>
    <w:rsid w:val="002D0F7A"/>
    <w:rsid w:val="002E18FD"/>
    <w:rsid w:val="002E2558"/>
    <w:rsid w:val="002E361A"/>
    <w:rsid w:val="002F06E3"/>
    <w:rsid w:val="002F3B78"/>
    <w:rsid w:val="002F76E3"/>
    <w:rsid w:val="002F78A4"/>
    <w:rsid w:val="003162C0"/>
    <w:rsid w:val="00317AC1"/>
    <w:rsid w:val="00323E4B"/>
    <w:rsid w:val="00325906"/>
    <w:rsid w:val="00332EC0"/>
    <w:rsid w:val="00336020"/>
    <w:rsid w:val="0033734E"/>
    <w:rsid w:val="00337595"/>
    <w:rsid w:val="00337FD2"/>
    <w:rsid w:val="0034076D"/>
    <w:rsid w:val="003432ED"/>
    <w:rsid w:val="00344464"/>
    <w:rsid w:val="00344D7D"/>
    <w:rsid w:val="00356E0C"/>
    <w:rsid w:val="003572BB"/>
    <w:rsid w:val="00360EB8"/>
    <w:rsid w:val="00362591"/>
    <w:rsid w:val="003632C6"/>
    <w:rsid w:val="00377602"/>
    <w:rsid w:val="0038414C"/>
    <w:rsid w:val="00393BEF"/>
    <w:rsid w:val="003954EF"/>
    <w:rsid w:val="003A5869"/>
    <w:rsid w:val="003B4858"/>
    <w:rsid w:val="003C1D49"/>
    <w:rsid w:val="003C3C29"/>
    <w:rsid w:val="003D29E2"/>
    <w:rsid w:val="003E37ED"/>
    <w:rsid w:val="003E68F0"/>
    <w:rsid w:val="003F6C4A"/>
    <w:rsid w:val="003F7A41"/>
    <w:rsid w:val="0040049B"/>
    <w:rsid w:val="004048CA"/>
    <w:rsid w:val="00406235"/>
    <w:rsid w:val="00410CDC"/>
    <w:rsid w:val="00417164"/>
    <w:rsid w:val="004234EA"/>
    <w:rsid w:val="004276EF"/>
    <w:rsid w:val="004277EE"/>
    <w:rsid w:val="00433E2A"/>
    <w:rsid w:val="004346BE"/>
    <w:rsid w:val="00436AF9"/>
    <w:rsid w:val="00440BC7"/>
    <w:rsid w:val="0044454E"/>
    <w:rsid w:val="00444D0B"/>
    <w:rsid w:val="0044718B"/>
    <w:rsid w:val="00451486"/>
    <w:rsid w:val="004539F1"/>
    <w:rsid w:val="00455557"/>
    <w:rsid w:val="00455CAF"/>
    <w:rsid w:val="00463F5D"/>
    <w:rsid w:val="004724B4"/>
    <w:rsid w:val="00473416"/>
    <w:rsid w:val="0047428C"/>
    <w:rsid w:val="004777B4"/>
    <w:rsid w:val="00485802"/>
    <w:rsid w:val="004A0FA1"/>
    <w:rsid w:val="004A2C97"/>
    <w:rsid w:val="004A68B5"/>
    <w:rsid w:val="004A7379"/>
    <w:rsid w:val="004B25B5"/>
    <w:rsid w:val="004B52F1"/>
    <w:rsid w:val="004C0C34"/>
    <w:rsid w:val="004C1C74"/>
    <w:rsid w:val="004C271D"/>
    <w:rsid w:val="004C5974"/>
    <w:rsid w:val="004C61C6"/>
    <w:rsid w:val="004C7783"/>
    <w:rsid w:val="004D61D3"/>
    <w:rsid w:val="004E1F67"/>
    <w:rsid w:val="004E48B8"/>
    <w:rsid w:val="004F12CA"/>
    <w:rsid w:val="004F149F"/>
    <w:rsid w:val="0050008E"/>
    <w:rsid w:val="00501A22"/>
    <w:rsid w:val="00504628"/>
    <w:rsid w:val="00507290"/>
    <w:rsid w:val="00513E18"/>
    <w:rsid w:val="00522498"/>
    <w:rsid w:val="00522931"/>
    <w:rsid w:val="00523919"/>
    <w:rsid w:val="0052644F"/>
    <w:rsid w:val="00530E68"/>
    <w:rsid w:val="0053284E"/>
    <w:rsid w:val="005361FC"/>
    <w:rsid w:val="005417BB"/>
    <w:rsid w:val="00543FF6"/>
    <w:rsid w:val="00546CB8"/>
    <w:rsid w:val="00553EEB"/>
    <w:rsid w:val="00557403"/>
    <w:rsid w:val="00557A05"/>
    <w:rsid w:val="00561AB0"/>
    <w:rsid w:val="00561F24"/>
    <w:rsid w:val="00563210"/>
    <w:rsid w:val="0056339C"/>
    <w:rsid w:val="00565CC6"/>
    <w:rsid w:val="0056633F"/>
    <w:rsid w:val="00567413"/>
    <w:rsid w:val="0057096F"/>
    <w:rsid w:val="00572C91"/>
    <w:rsid w:val="005738D8"/>
    <w:rsid w:val="00581C45"/>
    <w:rsid w:val="00582550"/>
    <w:rsid w:val="00584B58"/>
    <w:rsid w:val="00585E91"/>
    <w:rsid w:val="00590194"/>
    <w:rsid w:val="005906BF"/>
    <w:rsid w:val="00593B74"/>
    <w:rsid w:val="00595E49"/>
    <w:rsid w:val="00596153"/>
    <w:rsid w:val="00597664"/>
    <w:rsid w:val="005A4BD6"/>
    <w:rsid w:val="005A7AD6"/>
    <w:rsid w:val="005B642B"/>
    <w:rsid w:val="005B7CE8"/>
    <w:rsid w:val="005C4C2F"/>
    <w:rsid w:val="005C4EB1"/>
    <w:rsid w:val="005D0476"/>
    <w:rsid w:val="005D75F4"/>
    <w:rsid w:val="005E6E1C"/>
    <w:rsid w:val="005F18EC"/>
    <w:rsid w:val="005F44F4"/>
    <w:rsid w:val="006020E1"/>
    <w:rsid w:val="00603B9D"/>
    <w:rsid w:val="00606CE7"/>
    <w:rsid w:val="00607843"/>
    <w:rsid w:val="00616962"/>
    <w:rsid w:val="0062076A"/>
    <w:rsid w:val="00621480"/>
    <w:rsid w:val="00622089"/>
    <w:rsid w:val="00624556"/>
    <w:rsid w:val="006254A5"/>
    <w:rsid w:val="00627C4A"/>
    <w:rsid w:val="0063203B"/>
    <w:rsid w:val="0063412E"/>
    <w:rsid w:val="00635E33"/>
    <w:rsid w:val="00640508"/>
    <w:rsid w:val="00641D7A"/>
    <w:rsid w:val="00641E95"/>
    <w:rsid w:val="00643213"/>
    <w:rsid w:val="006438B4"/>
    <w:rsid w:val="006502DD"/>
    <w:rsid w:val="00650B83"/>
    <w:rsid w:val="00653BF4"/>
    <w:rsid w:val="00657351"/>
    <w:rsid w:val="006574FC"/>
    <w:rsid w:val="0066335B"/>
    <w:rsid w:val="006665B1"/>
    <w:rsid w:val="00672B1A"/>
    <w:rsid w:val="00676BDC"/>
    <w:rsid w:val="00681F73"/>
    <w:rsid w:val="00685B90"/>
    <w:rsid w:val="006871A7"/>
    <w:rsid w:val="00691BCC"/>
    <w:rsid w:val="00696861"/>
    <w:rsid w:val="00696CA8"/>
    <w:rsid w:val="006A13ED"/>
    <w:rsid w:val="006A1744"/>
    <w:rsid w:val="006A4452"/>
    <w:rsid w:val="006A77F7"/>
    <w:rsid w:val="006C14CA"/>
    <w:rsid w:val="006C3377"/>
    <w:rsid w:val="006C5156"/>
    <w:rsid w:val="006D3050"/>
    <w:rsid w:val="006D3948"/>
    <w:rsid w:val="006E2BFF"/>
    <w:rsid w:val="006E3078"/>
    <w:rsid w:val="006E59B9"/>
    <w:rsid w:val="006E680D"/>
    <w:rsid w:val="006F306C"/>
    <w:rsid w:val="006F4076"/>
    <w:rsid w:val="006F7A51"/>
    <w:rsid w:val="00704F44"/>
    <w:rsid w:val="0070662A"/>
    <w:rsid w:val="00707FAB"/>
    <w:rsid w:val="00711412"/>
    <w:rsid w:val="007114E1"/>
    <w:rsid w:val="00716BD9"/>
    <w:rsid w:val="0072134E"/>
    <w:rsid w:val="00722901"/>
    <w:rsid w:val="00724BB1"/>
    <w:rsid w:val="0074177A"/>
    <w:rsid w:val="00746AB4"/>
    <w:rsid w:val="00746EC8"/>
    <w:rsid w:val="00747B58"/>
    <w:rsid w:val="00751420"/>
    <w:rsid w:val="007579DD"/>
    <w:rsid w:val="007637C7"/>
    <w:rsid w:val="00764C8F"/>
    <w:rsid w:val="00767B0C"/>
    <w:rsid w:val="00773A7F"/>
    <w:rsid w:val="007773B9"/>
    <w:rsid w:val="00777D5B"/>
    <w:rsid w:val="007814D9"/>
    <w:rsid w:val="00786F04"/>
    <w:rsid w:val="00790A9B"/>
    <w:rsid w:val="00792188"/>
    <w:rsid w:val="00793AF4"/>
    <w:rsid w:val="007A0F85"/>
    <w:rsid w:val="007A3CC9"/>
    <w:rsid w:val="007A57C6"/>
    <w:rsid w:val="007A5F54"/>
    <w:rsid w:val="007A7E02"/>
    <w:rsid w:val="007B1350"/>
    <w:rsid w:val="007C52E9"/>
    <w:rsid w:val="007D03E6"/>
    <w:rsid w:val="007D284D"/>
    <w:rsid w:val="007D5815"/>
    <w:rsid w:val="007D6E6F"/>
    <w:rsid w:val="007E2EE9"/>
    <w:rsid w:val="007F5C54"/>
    <w:rsid w:val="0080627F"/>
    <w:rsid w:val="00806C07"/>
    <w:rsid w:val="00807EEE"/>
    <w:rsid w:val="008107F5"/>
    <w:rsid w:val="00815521"/>
    <w:rsid w:val="00817DA9"/>
    <w:rsid w:val="00824898"/>
    <w:rsid w:val="00824FAD"/>
    <w:rsid w:val="00832AC6"/>
    <w:rsid w:val="00833341"/>
    <w:rsid w:val="008374F3"/>
    <w:rsid w:val="0083752A"/>
    <w:rsid w:val="00837872"/>
    <w:rsid w:val="0084201C"/>
    <w:rsid w:val="008443CE"/>
    <w:rsid w:val="008453D8"/>
    <w:rsid w:val="00845A0C"/>
    <w:rsid w:val="0084629C"/>
    <w:rsid w:val="00846756"/>
    <w:rsid w:val="00850021"/>
    <w:rsid w:val="00854617"/>
    <w:rsid w:val="00857618"/>
    <w:rsid w:val="008616BC"/>
    <w:rsid w:val="00863427"/>
    <w:rsid w:val="00865FAC"/>
    <w:rsid w:val="0086604F"/>
    <w:rsid w:val="00866A36"/>
    <w:rsid w:val="00866D63"/>
    <w:rsid w:val="00866EFF"/>
    <w:rsid w:val="00870334"/>
    <w:rsid w:val="0087662D"/>
    <w:rsid w:val="00883EA1"/>
    <w:rsid w:val="008916DF"/>
    <w:rsid w:val="008947C3"/>
    <w:rsid w:val="00895592"/>
    <w:rsid w:val="008A1F70"/>
    <w:rsid w:val="008A63BA"/>
    <w:rsid w:val="008A7CEB"/>
    <w:rsid w:val="008B56FE"/>
    <w:rsid w:val="008C29EF"/>
    <w:rsid w:val="008C2DF2"/>
    <w:rsid w:val="008C3791"/>
    <w:rsid w:val="008C37A4"/>
    <w:rsid w:val="008D04C1"/>
    <w:rsid w:val="008D23D9"/>
    <w:rsid w:val="008D2708"/>
    <w:rsid w:val="008D4363"/>
    <w:rsid w:val="008D534C"/>
    <w:rsid w:val="008E1308"/>
    <w:rsid w:val="008E3C04"/>
    <w:rsid w:val="008E5146"/>
    <w:rsid w:val="008E5A79"/>
    <w:rsid w:val="008F13B2"/>
    <w:rsid w:val="008F36BD"/>
    <w:rsid w:val="008F4F6A"/>
    <w:rsid w:val="008F53CA"/>
    <w:rsid w:val="008F61E2"/>
    <w:rsid w:val="009059F4"/>
    <w:rsid w:val="00906495"/>
    <w:rsid w:val="009068AD"/>
    <w:rsid w:val="00907E43"/>
    <w:rsid w:val="0091191F"/>
    <w:rsid w:val="009139A8"/>
    <w:rsid w:val="00913D0F"/>
    <w:rsid w:val="00916601"/>
    <w:rsid w:val="0092056F"/>
    <w:rsid w:val="00920F0D"/>
    <w:rsid w:val="00926275"/>
    <w:rsid w:val="00926BA7"/>
    <w:rsid w:val="00933A00"/>
    <w:rsid w:val="0093505E"/>
    <w:rsid w:val="00936CBC"/>
    <w:rsid w:val="00937DAA"/>
    <w:rsid w:val="0094784E"/>
    <w:rsid w:val="00950CBA"/>
    <w:rsid w:val="00951218"/>
    <w:rsid w:val="0095162A"/>
    <w:rsid w:val="00956539"/>
    <w:rsid w:val="0095662C"/>
    <w:rsid w:val="009640BB"/>
    <w:rsid w:val="00965611"/>
    <w:rsid w:val="00966D06"/>
    <w:rsid w:val="00971B1C"/>
    <w:rsid w:val="00973D5C"/>
    <w:rsid w:val="00974365"/>
    <w:rsid w:val="00980BA4"/>
    <w:rsid w:val="00980CF9"/>
    <w:rsid w:val="00983C64"/>
    <w:rsid w:val="00990FEA"/>
    <w:rsid w:val="009953BD"/>
    <w:rsid w:val="009964EA"/>
    <w:rsid w:val="0099745B"/>
    <w:rsid w:val="009A1EBF"/>
    <w:rsid w:val="009B141C"/>
    <w:rsid w:val="009B2968"/>
    <w:rsid w:val="009B6696"/>
    <w:rsid w:val="009B6AAE"/>
    <w:rsid w:val="009C35CB"/>
    <w:rsid w:val="009C5886"/>
    <w:rsid w:val="009D3301"/>
    <w:rsid w:val="009D4CAB"/>
    <w:rsid w:val="009D545A"/>
    <w:rsid w:val="009E0585"/>
    <w:rsid w:val="009E26C1"/>
    <w:rsid w:val="009E300C"/>
    <w:rsid w:val="009E310C"/>
    <w:rsid w:val="009E4DB1"/>
    <w:rsid w:val="009F6EB5"/>
    <w:rsid w:val="00A00037"/>
    <w:rsid w:val="00A02143"/>
    <w:rsid w:val="00A104A4"/>
    <w:rsid w:val="00A10DAD"/>
    <w:rsid w:val="00A1267F"/>
    <w:rsid w:val="00A143E6"/>
    <w:rsid w:val="00A1540E"/>
    <w:rsid w:val="00A20A67"/>
    <w:rsid w:val="00A22D3F"/>
    <w:rsid w:val="00A22D4F"/>
    <w:rsid w:val="00A24893"/>
    <w:rsid w:val="00A24F06"/>
    <w:rsid w:val="00A335BA"/>
    <w:rsid w:val="00A33F9F"/>
    <w:rsid w:val="00A36D08"/>
    <w:rsid w:val="00A4046C"/>
    <w:rsid w:val="00A50AE5"/>
    <w:rsid w:val="00A51348"/>
    <w:rsid w:val="00A51E11"/>
    <w:rsid w:val="00A54232"/>
    <w:rsid w:val="00A56712"/>
    <w:rsid w:val="00A71BE5"/>
    <w:rsid w:val="00A75F09"/>
    <w:rsid w:val="00A7660C"/>
    <w:rsid w:val="00A76E49"/>
    <w:rsid w:val="00A80893"/>
    <w:rsid w:val="00A80E9E"/>
    <w:rsid w:val="00A82B56"/>
    <w:rsid w:val="00A8462F"/>
    <w:rsid w:val="00A86520"/>
    <w:rsid w:val="00A8723F"/>
    <w:rsid w:val="00A90155"/>
    <w:rsid w:val="00A97E94"/>
    <w:rsid w:val="00AA0E4A"/>
    <w:rsid w:val="00AA1284"/>
    <w:rsid w:val="00AB1066"/>
    <w:rsid w:val="00AB4921"/>
    <w:rsid w:val="00AC3BDD"/>
    <w:rsid w:val="00AC5656"/>
    <w:rsid w:val="00AC626B"/>
    <w:rsid w:val="00AD4353"/>
    <w:rsid w:val="00AD53E4"/>
    <w:rsid w:val="00AE0F01"/>
    <w:rsid w:val="00AE491A"/>
    <w:rsid w:val="00AE4FC4"/>
    <w:rsid w:val="00AF0BB2"/>
    <w:rsid w:val="00AF1F02"/>
    <w:rsid w:val="00AF2970"/>
    <w:rsid w:val="00AF33CC"/>
    <w:rsid w:val="00AF5405"/>
    <w:rsid w:val="00B02864"/>
    <w:rsid w:val="00B02C1C"/>
    <w:rsid w:val="00B0463C"/>
    <w:rsid w:val="00B10DAA"/>
    <w:rsid w:val="00B125E8"/>
    <w:rsid w:val="00B12665"/>
    <w:rsid w:val="00B13DFC"/>
    <w:rsid w:val="00B2263A"/>
    <w:rsid w:val="00B2466C"/>
    <w:rsid w:val="00B27E75"/>
    <w:rsid w:val="00B371B8"/>
    <w:rsid w:val="00B37B20"/>
    <w:rsid w:val="00B401FF"/>
    <w:rsid w:val="00B44D41"/>
    <w:rsid w:val="00B50D38"/>
    <w:rsid w:val="00B5129D"/>
    <w:rsid w:val="00B534E6"/>
    <w:rsid w:val="00B53855"/>
    <w:rsid w:val="00B60605"/>
    <w:rsid w:val="00B60E01"/>
    <w:rsid w:val="00B74B9A"/>
    <w:rsid w:val="00B7558E"/>
    <w:rsid w:val="00B76D47"/>
    <w:rsid w:val="00B7753D"/>
    <w:rsid w:val="00B8172B"/>
    <w:rsid w:val="00B82798"/>
    <w:rsid w:val="00B869A7"/>
    <w:rsid w:val="00B902C0"/>
    <w:rsid w:val="00B95B99"/>
    <w:rsid w:val="00BA0317"/>
    <w:rsid w:val="00BA08AF"/>
    <w:rsid w:val="00BA5610"/>
    <w:rsid w:val="00BA5B82"/>
    <w:rsid w:val="00BA5E2C"/>
    <w:rsid w:val="00BA63E0"/>
    <w:rsid w:val="00BA717C"/>
    <w:rsid w:val="00BC4779"/>
    <w:rsid w:val="00BC6AC3"/>
    <w:rsid w:val="00BD090F"/>
    <w:rsid w:val="00BD71E0"/>
    <w:rsid w:val="00BE0B13"/>
    <w:rsid w:val="00BE1044"/>
    <w:rsid w:val="00BE38CB"/>
    <w:rsid w:val="00BE3E74"/>
    <w:rsid w:val="00BE6457"/>
    <w:rsid w:val="00BF1C18"/>
    <w:rsid w:val="00BF6604"/>
    <w:rsid w:val="00C001BC"/>
    <w:rsid w:val="00C00C0A"/>
    <w:rsid w:val="00C11159"/>
    <w:rsid w:val="00C11178"/>
    <w:rsid w:val="00C12906"/>
    <w:rsid w:val="00C15099"/>
    <w:rsid w:val="00C20CA3"/>
    <w:rsid w:val="00C2543F"/>
    <w:rsid w:val="00C2693C"/>
    <w:rsid w:val="00C3442A"/>
    <w:rsid w:val="00C34732"/>
    <w:rsid w:val="00C40D7D"/>
    <w:rsid w:val="00C42CAE"/>
    <w:rsid w:val="00C46F8D"/>
    <w:rsid w:val="00C54E0D"/>
    <w:rsid w:val="00C66CE3"/>
    <w:rsid w:val="00C71BFF"/>
    <w:rsid w:val="00C72A75"/>
    <w:rsid w:val="00C811F0"/>
    <w:rsid w:val="00C81C8A"/>
    <w:rsid w:val="00C8393A"/>
    <w:rsid w:val="00C83D80"/>
    <w:rsid w:val="00C8455D"/>
    <w:rsid w:val="00CB21BC"/>
    <w:rsid w:val="00CB53E4"/>
    <w:rsid w:val="00CB630C"/>
    <w:rsid w:val="00CB7F56"/>
    <w:rsid w:val="00CC50E4"/>
    <w:rsid w:val="00CC6D40"/>
    <w:rsid w:val="00CD33FB"/>
    <w:rsid w:val="00CD3D57"/>
    <w:rsid w:val="00CD7588"/>
    <w:rsid w:val="00CE0D96"/>
    <w:rsid w:val="00CE21F0"/>
    <w:rsid w:val="00CE3D6D"/>
    <w:rsid w:val="00CE709D"/>
    <w:rsid w:val="00CF073B"/>
    <w:rsid w:val="00CF36E2"/>
    <w:rsid w:val="00CF39B5"/>
    <w:rsid w:val="00CF5293"/>
    <w:rsid w:val="00CF6D4A"/>
    <w:rsid w:val="00D019E9"/>
    <w:rsid w:val="00D0312A"/>
    <w:rsid w:val="00D036C4"/>
    <w:rsid w:val="00D044D9"/>
    <w:rsid w:val="00D05BC7"/>
    <w:rsid w:val="00D0610C"/>
    <w:rsid w:val="00D06549"/>
    <w:rsid w:val="00D1396A"/>
    <w:rsid w:val="00D15593"/>
    <w:rsid w:val="00D3058B"/>
    <w:rsid w:val="00D34B09"/>
    <w:rsid w:val="00D36288"/>
    <w:rsid w:val="00D416F4"/>
    <w:rsid w:val="00D428B5"/>
    <w:rsid w:val="00D42D38"/>
    <w:rsid w:val="00D470A6"/>
    <w:rsid w:val="00D6233F"/>
    <w:rsid w:val="00D63DBB"/>
    <w:rsid w:val="00D65890"/>
    <w:rsid w:val="00D67B25"/>
    <w:rsid w:val="00D80E61"/>
    <w:rsid w:val="00D83A64"/>
    <w:rsid w:val="00D8588C"/>
    <w:rsid w:val="00D977E2"/>
    <w:rsid w:val="00D97AB2"/>
    <w:rsid w:val="00D97F09"/>
    <w:rsid w:val="00DA0305"/>
    <w:rsid w:val="00DA4707"/>
    <w:rsid w:val="00DA5BE7"/>
    <w:rsid w:val="00DB1D0F"/>
    <w:rsid w:val="00DB2A59"/>
    <w:rsid w:val="00DB567B"/>
    <w:rsid w:val="00DC3018"/>
    <w:rsid w:val="00DC5B1B"/>
    <w:rsid w:val="00DD0500"/>
    <w:rsid w:val="00DE0030"/>
    <w:rsid w:val="00DE00BC"/>
    <w:rsid w:val="00DE332F"/>
    <w:rsid w:val="00DE408E"/>
    <w:rsid w:val="00DE4CC0"/>
    <w:rsid w:val="00DF5048"/>
    <w:rsid w:val="00DF69F5"/>
    <w:rsid w:val="00E02730"/>
    <w:rsid w:val="00E07D97"/>
    <w:rsid w:val="00E102D3"/>
    <w:rsid w:val="00E10A46"/>
    <w:rsid w:val="00E11315"/>
    <w:rsid w:val="00E145F8"/>
    <w:rsid w:val="00E14A59"/>
    <w:rsid w:val="00E21F36"/>
    <w:rsid w:val="00E22F65"/>
    <w:rsid w:val="00E23D6B"/>
    <w:rsid w:val="00E24E70"/>
    <w:rsid w:val="00E2753B"/>
    <w:rsid w:val="00E35793"/>
    <w:rsid w:val="00E35CD5"/>
    <w:rsid w:val="00E40CB7"/>
    <w:rsid w:val="00E41A43"/>
    <w:rsid w:val="00E519DA"/>
    <w:rsid w:val="00E525AF"/>
    <w:rsid w:val="00E65C1D"/>
    <w:rsid w:val="00E6739E"/>
    <w:rsid w:val="00E7406A"/>
    <w:rsid w:val="00E74289"/>
    <w:rsid w:val="00E75EF3"/>
    <w:rsid w:val="00E7650D"/>
    <w:rsid w:val="00E80A32"/>
    <w:rsid w:val="00E81378"/>
    <w:rsid w:val="00E8550D"/>
    <w:rsid w:val="00E86CBB"/>
    <w:rsid w:val="00E86D93"/>
    <w:rsid w:val="00EA27D3"/>
    <w:rsid w:val="00EA7119"/>
    <w:rsid w:val="00EA78A7"/>
    <w:rsid w:val="00EA7CA0"/>
    <w:rsid w:val="00EB2882"/>
    <w:rsid w:val="00EC2925"/>
    <w:rsid w:val="00ED0517"/>
    <w:rsid w:val="00ED072E"/>
    <w:rsid w:val="00ED08BB"/>
    <w:rsid w:val="00ED33E8"/>
    <w:rsid w:val="00EE6BF1"/>
    <w:rsid w:val="00EE7E94"/>
    <w:rsid w:val="00F02762"/>
    <w:rsid w:val="00F06F1A"/>
    <w:rsid w:val="00F15C8B"/>
    <w:rsid w:val="00F17E70"/>
    <w:rsid w:val="00F21038"/>
    <w:rsid w:val="00F25D31"/>
    <w:rsid w:val="00F27453"/>
    <w:rsid w:val="00F3043C"/>
    <w:rsid w:val="00F331D2"/>
    <w:rsid w:val="00F37F47"/>
    <w:rsid w:val="00F41796"/>
    <w:rsid w:val="00F44B17"/>
    <w:rsid w:val="00F55F12"/>
    <w:rsid w:val="00F57757"/>
    <w:rsid w:val="00F6196E"/>
    <w:rsid w:val="00F63277"/>
    <w:rsid w:val="00F711A6"/>
    <w:rsid w:val="00F73079"/>
    <w:rsid w:val="00F73B79"/>
    <w:rsid w:val="00F767D6"/>
    <w:rsid w:val="00F80FB2"/>
    <w:rsid w:val="00F81726"/>
    <w:rsid w:val="00F85862"/>
    <w:rsid w:val="00F9608C"/>
    <w:rsid w:val="00FA0F3A"/>
    <w:rsid w:val="00FA11D4"/>
    <w:rsid w:val="00FA374D"/>
    <w:rsid w:val="00FA5B8B"/>
    <w:rsid w:val="00FA6E5F"/>
    <w:rsid w:val="00FB187A"/>
    <w:rsid w:val="00FB1F72"/>
    <w:rsid w:val="00FB3B1C"/>
    <w:rsid w:val="00FC2190"/>
    <w:rsid w:val="00FC4477"/>
    <w:rsid w:val="00FC6043"/>
    <w:rsid w:val="00FE07A9"/>
    <w:rsid w:val="00FE1516"/>
    <w:rsid w:val="00FE22E7"/>
    <w:rsid w:val="00FE3817"/>
    <w:rsid w:val="00FF12AA"/>
    <w:rsid w:val="00FF5615"/>
    <w:rsid w:val="00FF6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517"/>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BA7"/>
    <w:rPr>
      <w:color w:val="0000FF"/>
      <w:u w:val="single"/>
    </w:rPr>
  </w:style>
  <w:style w:type="character" w:customStyle="1" w:styleId="apple-converted-space">
    <w:name w:val="apple-converted-space"/>
    <w:basedOn w:val="DefaultParagraphFont"/>
    <w:rsid w:val="00FE22E7"/>
  </w:style>
  <w:style w:type="paragraph" w:styleId="ListParagraph">
    <w:name w:val="List Paragraph"/>
    <w:basedOn w:val="Normal"/>
    <w:uiPriority w:val="34"/>
    <w:qFormat/>
    <w:rsid w:val="0013773C"/>
    <w:pPr>
      <w:ind w:left="720"/>
      <w:contextualSpacing/>
    </w:pPr>
  </w:style>
  <w:style w:type="character" w:styleId="CommentReference">
    <w:name w:val="annotation reference"/>
    <w:basedOn w:val="DefaultParagraphFont"/>
    <w:uiPriority w:val="99"/>
    <w:semiHidden/>
    <w:unhideWhenUsed/>
    <w:rsid w:val="00C42CAE"/>
    <w:rPr>
      <w:sz w:val="21"/>
      <w:szCs w:val="21"/>
    </w:rPr>
  </w:style>
  <w:style w:type="paragraph" w:styleId="CommentText">
    <w:name w:val="annotation text"/>
    <w:basedOn w:val="Normal"/>
    <w:link w:val="CommentTextChar"/>
    <w:uiPriority w:val="99"/>
    <w:unhideWhenUsed/>
    <w:rsid w:val="00C42CAE"/>
  </w:style>
  <w:style w:type="character" w:customStyle="1" w:styleId="CommentTextChar">
    <w:name w:val="Comment Text Char"/>
    <w:basedOn w:val="DefaultParagraphFont"/>
    <w:link w:val="CommentText"/>
    <w:uiPriority w:val="99"/>
    <w:rsid w:val="00C42CAE"/>
    <w:rPr>
      <w:rFonts w:ascii="Times New Roman" w:eastAsia="Times New Roman" w:hAnsi="Times New Roman" w:cs="Times New Roman"/>
      <w:sz w:val="24"/>
      <w:szCs w:val="24"/>
      <w:lang w:val="it-IT" w:eastAsia="it-IT"/>
    </w:rPr>
  </w:style>
  <w:style w:type="paragraph" w:styleId="CommentSubject">
    <w:name w:val="annotation subject"/>
    <w:basedOn w:val="CommentText"/>
    <w:next w:val="CommentText"/>
    <w:link w:val="CommentSubjectChar"/>
    <w:uiPriority w:val="99"/>
    <w:semiHidden/>
    <w:unhideWhenUsed/>
    <w:rsid w:val="00C42CAE"/>
    <w:rPr>
      <w:b/>
      <w:bCs/>
    </w:rPr>
  </w:style>
  <w:style w:type="character" w:customStyle="1" w:styleId="CommentSubjectChar">
    <w:name w:val="Comment Subject Char"/>
    <w:basedOn w:val="CommentTextChar"/>
    <w:link w:val="CommentSubject"/>
    <w:uiPriority w:val="99"/>
    <w:semiHidden/>
    <w:rsid w:val="00C42CAE"/>
    <w:rPr>
      <w:rFonts w:ascii="Times New Roman" w:eastAsia="Times New Roman" w:hAnsi="Times New Roman" w:cs="Times New Roman"/>
      <w:b/>
      <w:bCs/>
      <w:sz w:val="24"/>
      <w:szCs w:val="24"/>
      <w:lang w:val="it-IT" w:eastAsia="it-IT"/>
    </w:rPr>
  </w:style>
  <w:style w:type="paragraph" w:styleId="BalloonText">
    <w:name w:val="Balloon Text"/>
    <w:basedOn w:val="Normal"/>
    <w:link w:val="BalloonTextChar"/>
    <w:uiPriority w:val="99"/>
    <w:semiHidden/>
    <w:unhideWhenUsed/>
    <w:rsid w:val="00C42CAE"/>
    <w:rPr>
      <w:sz w:val="18"/>
      <w:szCs w:val="18"/>
    </w:rPr>
  </w:style>
  <w:style w:type="character" w:customStyle="1" w:styleId="BalloonTextChar">
    <w:name w:val="Balloon Text Char"/>
    <w:basedOn w:val="DefaultParagraphFont"/>
    <w:link w:val="BalloonText"/>
    <w:uiPriority w:val="99"/>
    <w:semiHidden/>
    <w:rsid w:val="00C42CAE"/>
    <w:rPr>
      <w:rFonts w:ascii="Times New Roman" w:eastAsia="Times New Roman" w:hAnsi="Times New Roman" w:cs="Times New Roman"/>
      <w:sz w:val="18"/>
      <w:szCs w:val="18"/>
      <w:lang w:val="it-IT" w:eastAsia="it-IT"/>
    </w:rPr>
  </w:style>
  <w:style w:type="paragraph" w:styleId="Header">
    <w:name w:val="header"/>
    <w:basedOn w:val="Normal"/>
    <w:link w:val="HeaderChar"/>
    <w:uiPriority w:val="99"/>
    <w:unhideWhenUsed/>
    <w:rsid w:val="004346BE"/>
    <w:pPr>
      <w:tabs>
        <w:tab w:val="center" w:pos="4819"/>
        <w:tab w:val="right" w:pos="9638"/>
      </w:tabs>
    </w:pPr>
  </w:style>
  <w:style w:type="character" w:customStyle="1" w:styleId="HeaderChar">
    <w:name w:val="Header Char"/>
    <w:basedOn w:val="DefaultParagraphFont"/>
    <w:link w:val="Header"/>
    <w:uiPriority w:val="99"/>
    <w:rsid w:val="004346BE"/>
    <w:rPr>
      <w:rFonts w:ascii="Times New Roman" w:eastAsia="Times New Roman" w:hAnsi="Times New Roman" w:cs="Times New Roman"/>
      <w:sz w:val="24"/>
      <w:szCs w:val="24"/>
      <w:lang w:val="it-IT" w:eastAsia="it-IT"/>
    </w:rPr>
  </w:style>
  <w:style w:type="paragraph" w:styleId="Footer">
    <w:name w:val="footer"/>
    <w:basedOn w:val="Normal"/>
    <w:link w:val="FooterChar"/>
    <w:uiPriority w:val="99"/>
    <w:unhideWhenUsed/>
    <w:rsid w:val="004346BE"/>
    <w:pPr>
      <w:tabs>
        <w:tab w:val="center" w:pos="4819"/>
        <w:tab w:val="right" w:pos="9638"/>
      </w:tabs>
    </w:pPr>
  </w:style>
  <w:style w:type="character" w:customStyle="1" w:styleId="FooterChar">
    <w:name w:val="Footer Char"/>
    <w:basedOn w:val="DefaultParagraphFont"/>
    <w:link w:val="Footer"/>
    <w:uiPriority w:val="99"/>
    <w:rsid w:val="004346BE"/>
    <w:rPr>
      <w:rFonts w:ascii="Times New Roman" w:eastAsia="Times New Roman" w:hAnsi="Times New Roman" w:cs="Times New Roman"/>
      <w:sz w:val="24"/>
      <w:szCs w:val="24"/>
      <w:lang w:val="it-IT" w:eastAsia="it-IT"/>
    </w:rPr>
  </w:style>
  <w:style w:type="character" w:styleId="Emphasis">
    <w:name w:val="Emphasis"/>
    <w:qFormat/>
    <w:rsid w:val="00707FA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517"/>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BA7"/>
    <w:rPr>
      <w:color w:val="0000FF"/>
      <w:u w:val="single"/>
    </w:rPr>
  </w:style>
  <w:style w:type="character" w:customStyle="1" w:styleId="apple-converted-space">
    <w:name w:val="apple-converted-space"/>
    <w:basedOn w:val="DefaultParagraphFont"/>
    <w:rsid w:val="00FE22E7"/>
  </w:style>
  <w:style w:type="paragraph" w:styleId="ListParagraph">
    <w:name w:val="List Paragraph"/>
    <w:basedOn w:val="Normal"/>
    <w:uiPriority w:val="34"/>
    <w:qFormat/>
    <w:rsid w:val="0013773C"/>
    <w:pPr>
      <w:ind w:left="720"/>
      <w:contextualSpacing/>
    </w:pPr>
  </w:style>
  <w:style w:type="character" w:styleId="CommentReference">
    <w:name w:val="annotation reference"/>
    <w:basedOn w:val="DefaultParagraphFont"/>
    <w:uiPriority w:val="99"/>
    <w:semiHidden/>
    <w:unhideWhenUsed/>
    <w:rsid w:val="00C42CAE"/>
    <w:rPr>
      <w:sz w:val="21"/>
      <w:szCs w:val="21"/>
    </w:rPr>
  </w:style>
  <w:style w:type="paragraph" w:styleId="CommentText">
    <w:name w:val="annotation text"/>
    <w:basedOn w:val="Normal"/>
    <w:link w:val="CommentTextChar"/>
    <w:uiPriority w:val="99"/>
    <w:unhideWhenUsed/>
    <w:rsid w:val="00C42CAE"/>
  </w:style>
  <w:style w:type="character" w:customStyle="1" w:styleId="CommentTextChar">
    <w:name w:val="Comment Text Char"/>
    <w:basedOn w:val="DefaultParagraphFont"/>
    <w:link w:val="CommentText"/>
    <w:uiPriority w:val="99"/>
    <w:rsid w:val="00C42CAE"/>
    <w:rPr>
      <w:rFonts w:ascii="Times New Roman" w:eastAsia="Times New Roman" w:hAnsi="Times New Roman" w:cs="Times New Roman"/>
      <w:sz w:val="24"/>
      <w:szCs w:val="24"/>
      <w:lang w:val="it-IT" w:eastAsia="it-IT"/>
    </w:rPr>
  </w:style>
  <w:style w:type="paragraph" w:styleId="CommentSubject">
    <w:name w:val="annotation subject"/>
    <w:basedOn w:val="CommentText"/>
    <w:next w:val="CommentText"/>
    <w:link w:val="CommentSubjectChar"/>
    <w:uiPriority w:val="99"/>
    <w:semiHidden/>
    <w:unhideWhenUsed/>
    <w:rsid w:val="00C42CAE"/>
    <w:rPr>
      <w:b/>
      <w:bCs/>
    </w:rPr>
  </w:style>
  <w:style w:type="character" w:customStyle="1" w:styleId="CommentSubjectChar">
    <w:name w:val="Comment Subject Char"/>
    <w:basedOn w:val="CommentTextChar"/>
    <w:link w:val="CommentSubject"/>
    <w:uiPriority w:val="99"/>
    <w:semiHidden/>
    <w:rsid w:val="00C42CAE"/>
    <w:rPr>
      <w:rFonts w:ascii="Times New Roman" w:eastAsia="Times New Roman" w:hAnsi="Times New Roman" w:cs="Times New Roman"/>
      <w:b/>
      <w:bCs/>
      <w:sz w:val="24"/>
      <w:szCs w:val="24"/>
      <w:lang w:val="it-IT" w:eastAsia="it-IT"/>
    </w:rPr>
  </w:style>
  <w:style w:type="paragraph" w:styleId="BalloonText">
    <w:name w:val="Balloon Text"/>
    <w:basedOn w:val="Normal"/>
    <w:link w:val="BalloonTextChar"/>
    <w:uiPriority w:val="99"/>
    <w:semiHidden/>
    <w:unhideWhenUsed/>
    <w:rsid w:val="00C42CAE"/>
    <w:rPr>
      <w:sz w:val="18"/>
      <w:szCs w:val="18"/>
    </w:rPr>
  </w:style>
  <w:style w:type="character" w:customStyle="1" w:styleId="BalloonTextChar">
    <w:name w:val="Balloon Text Char"/>
    <w:basedOn w:val="DefaultParagraphFont"/>
    <w:link w:val="BalloonText"/>
    <w:uiPriority w:val="99"/>
    <w:semiHidden/>
    <w:rsid w:val="00C42CAE"/>
    <w:rPr>
      <w:rFonts w:ascii="Times New Roman" w:eastAsia="Times New Roman" w:hAnsi="Times New Roman" w:cs="Times New Roman"/>
      <w:sz w:val="18"/>
      <w:szCs w:val="18"/>
      <w:lang w:val="it-IT" w:eastAsia="it-IT"/>
    </w:rPr>
  </w:style>
  <w:style w:type="paragraph" w:styleId="Header">
    <w:name w:val="header"/>
    <w:basedOn w:val="Normal"/>
    <w:link w:val="HeaderChar"/>
    <w:uiPriority w:val="99"/>
    <w:unhideWhenUsed/>
    <w:rsid w:val="004346BE"/>
    <w:pPr>
      <w:tabs>
        <w:tab w:val="center" w:pos="4819"/>
        <w:tab w:val="right" w:pos="9638"/>
      </w:tabs>
    </w:pPr>
  </w:style>
  <w:style w:type="character" w:customStyle="1" w:styleId="HeaderChar">
    <w:name w:val="Header Char"/>
    <w:basedOn w:val="DefaultParagraphFont"/>
    <w:link w:val="Header"/>
    <w:uiPriority w:val="99"/>
    <w:rsid w:val="004346BE"/>
    <w:rPr>
      <w:rFonts w:ascii="Times New Roman" w:eastAsia="Times New Roman" w:hAnsi="Times New Roman" w:cs="Times New Roman"/>
      <w:sz w:val="24"/>
      <w:szCs w:val="24"/>
      <w:lang w:val="it-IT" w:eastAsia="it-IT"/>
    </w:rPr>
  </w:style>
  <w:style w:type="paragraph" w:styleId="Footer">
    <w:name w:val="footer"/>
    <w:basedOn w:val="Normal"/>
    <w:link w:val="FooterChar"/>
    <w:uiPriority w:val="99"/>
    <w:unhideWhenUsed/>
    <w:rsid w:val="004346BE"/>
    <w:pPr>
      <w:tabs>
        <w:tab w:val="center" w:pos="4819"/>
        <w:tab w:val="right" w:pos="9638"/>
      </w:tabs>
    </w:pPr>
  </w:style>
  <w:style w:type="character" w:customStyle="1" w:styleId="FooterChar">
    <w:name w:val="Footer Char"/>
    <w:basedOn w:val="DefaultParagraphFont"/>
    <w:link w:val="Footer"/>
    <w:uiPriority w:val="99"/>
    <w:rsid w:val="004346BE"/>
    <w:rPr>
      <w:rFonts w:ascii="Times New Roman" w:eastAsia="Times New Roman" w:hAnsi="Times New Roman" w:cs="Times New Roman"/>
      <w:sz w:val="24"/>
      <w:szCs w:val="24"/>
      <w:lang w:val="it-IT" w:eastAsia="it-IT"/>
    </w:rPr>
  </w:style>
  <w:style w:type="character" w:styleId="Emphasis">
    <w:name w:val="Emphasis"/>
    <w:qFormat/>
    <w:rsid w:val="00707FA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235">
      <w:bodyDiv w:val="1"/>
      <w:marLeft w:val="0"/>
      <w:marRight w:val="0"/>
      <w:marTop w:val="0"/>
      <w:marBottom w:val="0"/>
      <w:divBdr>
        <w:top w:val="none" w:sz="0" w:space="0" w:color="auto"/>
        <w:left w:val="none" w:sz="0" w:space="0" w:color="auto"/>
        <w:bottom w:val="none" w:sz="0" w:space="0" w:color="auto"/>
        <w:right w:val="none" w:sz="0" w:space="0" w:color="auto"/>
      </w:divBdr>
    </w:div>
    <w:div w:id="95174886">
      <w:bodyDiv w:val="1"/>
      <w:marLeft w:val="0"/>
      <w:marRight w:val="0"/>
      <w:marTop w:val="0"/>
      <w:marBottom w:val="0"/>
      <w:divBdr>
        <w:top w:val="none" w:sz="0" w:space="0" w:color="auto"/>
        <w:left w:val="none" w:sz="0" w:space="0" w:color="auto"/>
        <w:bottom w:val="none" w:sz="0" w:space="0" w:color="auto"/>
        <w:right w:val="none" w:sz="0" w:space="0" w:color="auto"/>
      </w:divBdr>
    </w:div>
    <w:div w:id="150028599">
      <w:bodyDiv w:val="1"/>
      <w:marLeft w:val="0"/>
      <w:marRight w:val="0"/>
      <w:marTop w:val="0"/>
      <w:marBottom w:val="0"/>
      <w:divBdr>
        <w:top w:val="none" w:sz="0" w:space="0" w:color="auto"/>
        <w:left w:val="none" w:sz="0" w:space="0" w:color="auto"/>
        <w:bottom w:val="none" w:sz="0" w:space="0" w:color="auto"/>
        <w:right w:val="none" w:sz="0" w:space="0" w:color="auto"/>
      </w:divBdr>
    </w:div>
    <w:div w:id="281112637">
      <w:bodyDiv w:val="1"/>
      <w:marLeft w:val="0"/>
      <w:marRight w:val="0"/>
      <w:marTop w:val="0"/>
      <w:marBottom w:val="0"/>
      <w:divBdr>
        <w:top w:val="none" w:sz="0" w:space="0" w:color="auto"/>
        <w:left w:val="none" w:sz="0" w:space="0" w:color="auto"/>
        <w:bottom w:val="none" w:sz="0" w:space="0" w:color="auto"/>
        <w:right w:val="none" w:sz="0" w:space="0" w:color="auto"/>
      </w:divBdr>
    </w:div>
    <w:div w:id="372658967">
      <w:bodyDiv w:val="1"/>
      <w:marLeft w:val="0"/>
      <w:marRight w:val="0"/>
      <w:marTop w:val="0"/>
      <w:marBottom w:val="0"/>
      <w:divBdr>
        <w:top w:val="none" w:sz="0" w:space="0" w:color="auto"/>
        <w:left w:val="none" w:sz="0" w:space="0" w:color="auto"/>
        <w:bottom w:val="none" w:sz="0" w:space="0" w:color="auto"/>
        <w:right w:val="none" w:sz="0" w:space="0" w:color="auto"/>
      </w:divBdr>
    </w:div>
    <w:div w:id="663750006">
      <w:bodyDiv w:val="1"/>
      <w:marLeft w:val="0"/>
      <w:marRight w:val="0"/>
      <w:marTop w:val="0"/>
      <w:marBottom w:val="0"/>
      <w:divBdr>
        <w:top w:val="none" w:sz="0" w:space="0" w:color="auto"/>
        <w:left w:val="none" w:sz="0" w:space="0" w:color="auto"/>
        <w:bottom w:val="none" w:sz="0" w:space="0" w:color="auto"/>
        <w:right w:val="none" w:sz="0" w:space="0" w:color="auto"/>
      </w:divBdr>
      <w:divsChild>
        <w:div w:id="467477417">
          <w:marLeft w:val="0"/>
          <w:marRight w:val="0"/>
          <w:marTop w:val="0"/>
          <w:marBottom w:val="0"/>
          <w:divBdr>
            <w:top w:val="none" w:sz="0" w:space="0" w:color="auto"/>
            <w:left w:val="none" w:sz="0" w:space="0" w:color="auto"/>
            <w:bottom w:val="none" w:sz="0" w:space="0" w:color="auto"/>
            <w:right w:val="none" w:sz="0" w:space="0" w:color="auto"/>
          </w:divBdr>
          <w:divsChild>
            <w:div w:id="276640161">
              <w:marLeft w:val="0"/>
              <w:marRight w:val="0"/>
              <w:marTop w:val="0"/>
              <w:marBottom w:val="0"/>
              <w:divBdr>
                <w:top w:val="none" w:sz="0" w:space="0" w:color="auto"/>
                <w:left w:val="none" w:sz="0" w:space="0" w:color="auto"/>
                <w:bottom w:val="none" w:sz="0" w:space="0" w:color="auto"/>
                <w:right w:val="none" w:sz="0" w:space="0" w:color="auto"/>
              </w:divBdr>
            </w:div>
            <w:div w:id="383677599">
              <w:marLeft w:val="0"/>
              <w:marRight w:val="0"/>
              <w:marTop w:val="0"/>
              <w:marBottom w:val="0"/>
              <w:divBdr>
                <w:top w:val="none" w:sz="0" w:space="0" w:color="auto"/>
                <w:left w:val="none" w:sz="0" w:space="0" w:color="auto"/>
                <w:bottom w:val="none" w:sz="0" w:space="0" w:color="auto"/>
                <w:right w:val="none" w:sz="0" w:space="0" w:color="auto"/>
              </w:divBdr>
            </w:div>
            <w:div w:id="641079211">
              <w:marLeft w:val="0"/>
              <w:marRight w:val="0"/>
              <w:marTop w:val="0"/>
              <w:marBottom w:val="0"/>
              <w:divBdr>
                <w:top w:val="none" w:sz="0" w:space="0" w:color="auto"/>
                <w:left w:val="none" w:sz="0" w:space="0" w:color="auto"/>
                <w:bottom w:val="none" w:sz="0" w:space="0" w:color="auto"/>
                <w:right w:val="none" w:sz="0" w:space="0" w:color="auto"/>
              </w:divBdr>
            </w:div>
            <w:div w:id="314648683">
              <w:marLeft w:val="0"/>
              <w:marRight w:val="0"/>
              <w:marTop w:val="0"/>
              <w:marBottom w:val="0"/>
              <w:divBdr>
                <w:top w:val="none" w:sz="0" w:space="0" w:color="auto"/>
                <w:left w:val="none" w:sz="0" w:space="0" w:color="auto"/>
                <w:bottom w:val="none" w:sz="0" w:space="0" w:color="auto"/>
                <w:right w:val="none" w:sz="0" w:space="0" w:color="auto"/>
              </w:divBdr>
            </w:div>
            <w:div w:id="696663991">
              <w:marLeft w:val="0"/>
              <w:marRight w:val="0"/>
              <w:marTop w:val="0"/>
              <w:marBottom w:val="0"/>
              <w:divBdr>
                <w:top w:val="none" w:sz="0" w:space="0" w:color="auto"/>
                <w:left w:val="none" w:sz="0" w:space="0" w:color="auto"/>
                <w:bottom w:val="none" w:sz="0" w:space="0" w:color="auto"/>
                <w:right w:val="none" w:sz="0" w:space="0" w:color="auto"/>
              </w:divBdr>
            </w:div>
            <w:div w:id="1990012611">
              <w:marLeft w:val="0"/>
              <w:marRight w:val="0"/>
              <w:marTop w:val="0"/>
              <w:marBottom w:val="0"/>
              <w:divBdr>
                <w:top w:val="none" w:sz="0" w:space="0" w:color="auto"/>
                <w:left w:val="none" w:sz="0" w:space="0" w:color="auto"/>
                <w:bottom w:val="none" w:sz="0" w:space="0" w:color="auto"/>
                <w:right w:val="none" w:sz="0" w:space="0" w:color="auto"/>
              </w:divBdr>
            </w:div>
            <w:div w:id="2078085534">
              <w:marLeft w:val="0"/>
              <w:marRight w:val="0"/>
              <w:marTop w:val="0"/>
              <w:marBottom w:val="0"/>
              <w:divBdr>
                <w:top w:val="none" w:sz="0" w:space="0" w:color="auto"/>
                <w:left w:val="none" w:sz="0" w:space="0" w:color="auto"/>
                <w:bottom w:val="none" w:sz="0" w:space="0" w:color="auto"/>
                <w:right w:val="none" w:sz="0" w:space="0" w:color="auto"/>
              </w:divBdr>
            </w:div>
            <w:div w:id="2005695012">
              <w:marLeft w:val="0"/>
              <w:marRight w:val="0"/>
              <w:marTop w:val="0"/>
              <w:marBottom w:val="0"/>
              <w:divBdr>
                <w:top w:val="none" w:sz="0" w:space="0" w:color="auto"/>
                <w:left w:val="none" w:sz="0" w:space="0" w:color="auto"/>
                <w:bottom w:val="none" w:sz="0" w:space="0" w:color="auto"/>
                <w:right w:val="none" w:sz="0" w:space="0" w:color="auto"/>
              </w:divBdr>
            </w:div>
            <w:div w:id="1955944582">
              <w:marLeft w:val="0"/>
              <w:marRight w:val="0"/>
              <w:marTop w:val="0"/>
              <w:marBottom w:val="0"/>
              <w:divBdr>
                <w:top w:val="none" w:sz="0" w:space="0" w:color="auto"/>
                <w:left w:val="none" w:sz="0" w:space="0" w:color="auto"/>
                <w:bottom w:val="none" w:sz="0" w:space="0" w:color="auto"/>
                <w:right w:val="none" w:sz="0" w:space="0" w:color="auto"/>
              </w:divBdr>
            </w:div>
            <w:div w:id="482963239">
              <w:marLeft w:val="0"/>
              <w:marRight w:val="0"/>
              <w:marTop w:val="0"/>
              <w:marBottom w:val="0"/>
              <w:divBdr>
                <w:top w:val="none" w:sz="0" w:space="0" w:color="auto"/>
                <w:left w:val="none" w:sz="0" w:space="0" w:color="auto"/>
                <w:bottom w:val="none" w:sz="0" w:space="0" w:color="auto"/>
                <w:right w:val="none" w:sz="0" w:space="0" w:color="auto"/>
              </w:divBdr>
            </w:div>
            <w:div w:id="1141459642">
              <w:marLeft w:val="0"/>
              <w:marRight w:val="0"/>
              <w:marTop w:val="0"/>
              <w:marBottom w:val="0"/>
              <w:divBdr>
                <w:top w:val="none" w:sz="0" w:space="0" w:color="auto"/>
                <w:left w:val="none" w:sz="0" w:space="0" w:color="auto"/>
                <w:bottom w:val="none" w:sz="0" w:space="0" w:color="auto"/>
                <w:right w:val="none" w:sz="0" w:space="0" w:color="auto"/>
              </w:divBdr>
            </w:div>
            <w:div w:id="1648170090">
              <w:marLeft w:val="0"/>
              <w:marRight w:val="0"/>
              <w:marTop w:val="0"/>
              <w:marBottom w:val="0"/>
              <w:divBdr>
                <w:top w:val="none" w:sz="0" w:space="0" w:color="auto"/>
                <w:left w:val="none" w:sz="0" w:space="0" w:color="auto"/>
                <w:bottom w:val="none" w:sz="0" w:space="0" w:color="auto"/>
                <w:right w:val="none" w:sz="0" w:space="0" w:color="auto"/>
              </w:divBdr>
            </w:div>
            <w:div w:id="677080790">
              <w:marLeft w:val="0"/>
              <w:marRight w:val="0"/>
              <w:marTop w:val="0"/>
              <w:marBottom w:val="0"/>
              <w:divBdr>
                <w:top w:val="none" w:sz="0" w:space="0" w:color="auto"/>
                <w:left w:val="none" w:sz="0" w:space="0" w:color="auto"/>
                <w:bottom w:val="none" w:sz="0" w:space="0" w:color="auto"/>
                <w:right w:val="none" w:sz="0" w:space="0" w:color="auto"/>
              </w:divBdr>
            </w:div>
            <w:div w:id="601301180">
              <w:marLeft w:val="0"/>
              <w:marRight w:val="0"/>
              <w:marTop w:val="0"/>
              <w:marBottom w:val="0"/>
              <w:divBdr>
                <w:top w:val="none" w:sz="0" w:space="0" w:color="auto"/>
                <w:left w:val="none" w:sz="0" w:space="0" w:color="auto"/>
                <w:bottom w:val="none" w:sz="0" w:space="0" w:color="auto"/>
                <w:right w:val="none" w:sz="0" w:space="0" w:color="auto"/>
              </w:divBdr>
            </w:div>
            <w:div w:id="1672876700">
              <w:marLeft w:val="0"/>
              <w:marRight w:val="0"/>
              <w:marTop w:val="0"/>
              <w:marBottom w:val="0"/>
              <w:divBdr>
                <w:top w:val="none" w:sz="0" w:space="0" w:color="auto"/>
                <w:left w:val="none" w:sz="0" w:space="0" w:color="auto"/>
                <w:bottom w:val="none" w:sz="0" w:space="0" w:color="auto"/>
                <w:right w:val="none" w:sz="0" w:space="0" w:color="auto"/>
              </w:divBdr>
            </w:div>
            <w:div w:id="1928227992">
              <w:marLeft w:val="0"/>
              <w:marRight w:val="0"/>
              <w:marTop w:val="0"/>
              <w:marBottom w:val="0"/>
              <w:divBdr>
                <w:top w:val="none" w:sz="0" w:space="0" w:color="auto"/>
                <w:left w:val="none" w:sz="0" w:space="0" w:color="auto"/>
                <w:bottom w:val="none" w:sz="0" w:space="0" w:color="auto"/>
                <w:right w:val="none" w:sz="0" w:space="0" w:color="auto"/>
              </w:divBdr>
            </w:div>
            <w:div w:id="509876469">
              <w:marLeft w:val="0"/>
              <w:marRight w:val="0"/>
              <w:marTop w:val="0"/>
              <w:marBottom w:val="0"/>
              <w:divBdr>
                <w:top w:val="none" w:sz="0" w:space="0" w:color="auto"/>
                <w:left w:val="none" w:sz="0" w:space="0" w:color="auto"/>
                <w:bottom w:val="none" w:sz="0" w:space="0" w:color="auto"/>
                <w:right w:val="none" w:sz="0" w:space="0" w:color="auto"/>
              </w:divBdr>
            </w:div>
            <w:div w:id="82804528">
              <w:marLeft w:val="0"/>
              <w:marRight w:val="0"/>
              <w:marTop w:val="0"/>
              <w:marBottom w:val="0"/>
              <w:divBdr>
                <w:top w:val="none" w:sz="0" w:space="0" w:color="auto"/>
                <w:left w:val="none" w:sz="0" w:space="0" w:color="auto"/>
                <w:bottom w:val="none" w:sz="0" w:space="0" w:color="auto"/>
                <w:right w:val="none" w:sz="0" w:space="0" w:color="auto"/>
              </w:divBdr>
            </w:div>
            <w:div w:id="1940522463">
              <w:marLeft w:val="0"/>
              <w:marRight w:val="0"/>
              <w:marTop w:val="0"/>
              <w:marBottom w:val="0"/>
              <w:divBdr>
                <w:top w:val="none" w:sz="0" w:space="0" w:color="auto"/>
                <w:left w:val="none" w:sz="0" w:space="0" w:color="auto"/>
                <w:bottom w:val="none" w:sz="0" w:space="0" w:color="auto"/>
                <w:right w:val="none" w:sz="0" w:space="0" w:color="auto"/>
              </w:divBdr>
            </w:div>
            <w:div w:id="1143039329">
              <w:marLeft w:val="0"/>
              <w:marRight w:val="0"/>
              <w:marTop w:val="0"/>
              <w:marBottom w:val="0"/>
              <w:divBdr>
                <w:top w:val="none" w:sz="0" w:space="0" w:color="auto"/>
                <w:left w:val="none" w:sz="0" w:space="0" w:color="auto"/>
                <w:bottom w:val="none" w:sz="0" w:space="0" w:color="auto"/>
                <w:right w:val="none" w:sz="0" w:space="0" w:color="auto"/>
              </w:divBdr>
            </w:div>
            <w:div w:id="1673603681">
              <w:marLeft w:val="0"/>
              <w:marRight w:val="0"/>
              <w:marTop w:val="0"/>
              <w:marBottom w:val="0"/>
              <w:divBdr>
                <w:top w:val="none" w:sz="0" w:space="0" w:color="auto"/>
                <w:left w:val="none" w:sz="0" w:space="0" w:color="auto"/>
                <w:bottom w:val="none" w:sz="0" w:space="0" w:color="auto"/>
                <w:right w:val="none" w:sz="0" w:space="0" w:color="auto"/>
              </w:divBdr>
            </w:div>
            <w:div w:id="1402673809">
              <w:marLeft w:val="0"/>
              <w:marRight w:val="0"/>
              <w:marTop w:val="0"/>
              <w:marBottom w:val="0"/>
              <w:divBdr>
                <w:top w:val="none" w:sz="0" w:space="0" w:color="auto"/>
                <w:left w:val="none" w:sz="0" w:space="0" w:color="auto"/>
                <w:bottom w:val="none" w:sz="0" w:space="0" w:color="auto"/>
                <w:right w:val="none" w:sz="0" w:space="0" w:color="auto"/>
              </w:divBdr>
            </w:div>
            <w:div w:id="1003507360">
              <w:marLeft w:val="0"/>
              <w:marRight w:val="0"/>
              <w:marTop w:val="0"/>
              <w:marBottom w:val="0"/>
              <w:divBdr>
                <w:top w:val="none" w:sz="0" w:space="0" w:color="auto"/>
                <w:left w:val="none" w:sz="0" w:space="0" w:color="auto"/>
                <w:bottom w:val="none" w:sz="0" w:space="0" w:color="auto"/>
                <w:right w:val="none" w:sz="0" w:space="0" w:color="auto"/>
              </w:divBdr>
            </w:div>
            <w:div w:id="2134786952">
              <w:marLeft w:val="0"/>
              <w:marRight w:val="0"/>
              <w:marTop w:val="0"/>
              <w:marBottom w:val="0"/>
              <w:divBdr>
                <w:top w:val="none" w:sz="0" w:space="0" w:color="auto"/>
                <w:left w:val="none" w:sz="0" w:space="0" w:color="auto"/>
                <w:bottom w:val="none" w:sz="0" w:space="0" w:color="auto"/>
                <w:right w:val="none" w:sz="0" w:space="0" w:color="auto"/>
              </w:divBdr>
            </w:div>
            <w:div w:id="1414548521">
              <w:marLeft w:val="0"/>
              <w:marRight w:val="0"/>
              <w:marTop w:val="0"/>
              <w:marBottom w:val="0"/>
              <w:divBdr>
                <w:top w:val="none" w:sz="0" w:space="0" w:color="auto"/>
                <w:left w:val="none" w:sz="0" w:space="0" w:color="auto"/>
                <w:bottom w:val="none" w:sz="0" w:space="0" w:color="auto"/>
                <w:right w:val="none" w:sz="0" w:space="0" w:color="auto"/>
              </w:divBdr>
            </w:div>
            <w:div w:id="1837383015">
              <w:marLeft w:val="0"/>
              <w:marRight w:val="0"/>
              <w:marTop w:val="0"/>
              <w:marBottom w:val="0"/>
              <w:divBdr>
                <w:top w:val="none" w:sz="0" w:space="0" w:color="auto"/>
                <w:left w:val="none" w:sz="0" w:space="0" w:color="auto"/>
                <w:bottom w:val="none" w:sz="0" w:space="0" w:color="auto"/>
                <w:right w:val="none" w:sz="0" w:space="0" w:color="auto"/>
              </w:divBdr>
            </w:div>
            <w:div w:id="795023723">
              <w:marLeft w:val="0"/>
              <w:marRight w:val="0"/>
              <w:marTop w:val="0"/>
              <w:marBottom w:val="0"/>
              <w:divBdr>
                <w:top w:val="none" w:sz="0" w:space="0" w:color="auto"/>
                <w:left w:val="none" w:sz="0" w:space="0" w:color="auto"/>
                <w:bottom w:val="none" w:sz="0" w:space="0" w:color="auto"/>
                <w:right w:val="none" w:sz="0" w:space="0" w:color="auto"/>
              </w:divBdr>
            </w:div>
            <w:div w:id="835926445">
              <w:marLeft w:val="0"/>
              <w:marRight w:val="0"/>
              <w:marTop w:val="0"/>
              <w:marBottom w:val="0"/>
              <w:divBdr>
                <w:top w:val="none" w:sz="0" w:space="0" w:color="auto"/>
                <w:left w:val="none" w:sz="0" w:space="0" w:color="auto"/>
                <w:bottom w:val="none" w:sz="0" w:space="0" w:color="auto"/>
                <w:right w:val="none" w:sz="0" w:space="0" w:color="auto"/>
              </w:divBdr>
            </w:div>
            <w:div w:id="830633465">
              <w:marLeft w:val="0"/>
              <w:marRight w:val="0"/>
              <w:marTop w:val="0"/>
              <w:marBottom w:val="0"/>
              <w:divBdr>
                <w:top w:val="none" w:sz="0" w:space="0" w:color="auto"/>
                <w:left w:val="none" w:sz="0" w:space="0" w:color="auto"/>
                <w:bottom w:val="none" w:sz="0" w:space="0" w:color="auto"/>
                <w:right w:val="none" w:sz="0" w:space="0" w:color="auto"/>
              </w:divBdr>
            </w:div>
            <w:div w:id="171142308">
              <w:marLeft w:val="0"/>
              <w:marRight w:val="0"/>
              <w:marTop w:val="0"/>
              <w:marBottom w:val="0"/>
              <w:divBdr>
                <w:top w:val="none" w:sz="0" w:space="0" w:color="auto"/>
                <w:left w:val="none" w:sz="0" w:space="0" w:color="auto"/>
                <w:bottom w:val="none" w:sz="0" w:space="0" w:color="auto"/>
                <w:right w:val="none" w:sz="0" w:space="0" w:color="auto"/>
              </w:divBdr>
            </w:div>
            <w:div w:id="11498829">
              <w:marLeft w:val="0"/>
              <w:marRight w:val="0"/>
              <w:marTop w:val="0"/>
              <w:marBottom w:val="0"/>
              <w:divBdr>
                <w:top w:val="none" w:sz="0" w:space="0" w:color="auto"/>
                <w:left w:val="none" w:sz="0" w:space="0" w:color="auto"/>
                <w:bottom w:val="none" w:sz="0" w:space="0" w:color="auto"/>
                <w:right w:val="none" w:sz="0" w:space="0" w:color="auto"/>
              </w:divBdr>
            </w:div>
            <w:div w:id="668944197">
              <w:marLeft w:val="0"/>
              <w:marRight w:val="0"/>
              <w:marTop w:val="0"/>
              <w:marBottom w:val="0"/>
              <w:divBdr>
                <w:top w:val="none" w:sz="0" w:space="0" w:color="auto"/>
                <w:left w:val="none" w:sz="0" w:space="0" w:color="auto"/>
                <w:bottom w:val="none" w:sz="0" w:space="0" w:color="auto"/>
                <w:right w:val="none" w:sz="0" w:space="0" w:color="auto"/>
              </w:divBdr>
            </w:div>
            <w:div w:id="9532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7612">
      <w:bodyDiv w:val="1"/>
      <w:marLeft w:val="0"/>
      <w:marRight w:val="0"/>
      <w:marTop w:val="0"/>
      <w:marBottom w:val="0"/>
      <w:divBdr>
        <w:top w:val="none" w:sz="0" w:space="0" w:color="auto"/>
        <w:left w:val="none" w:sz="0" w:space="0" w:color="auto"/>
        <w:bottom w:val="none" w:sz="0" w:space="0" w:color="auto"/>
        <w:right w:val="none" w:sz="0" w:space="0" w:color="auto"/>
      </w:divBdr>
    </w:div>
    <w:div w:id="868110304">
      <w:bodyDiv w:val="1"/>
      <w:marLeft w:val="0"/>
      <w:marRight w:val="0"/>
      <w:marTop w:val="0"/>
      <w:marBottom w:val="0"/>
      <w:divBdr>
        <w:top w:val="none" w:sz="0" w:space="0" w:color="auto"/>
        <w:left w:val="none" w:sz="0" w:space="0" w:color="auto"/>
        <w:bottom w:val="none" w:sz="0" w:space="0" w:color="auto"/>
        <w:right w:val="none" w:sz="0" w:space="0" w:color="auto"/>
      </w:divBdr>
    </w:div>
    <w:div w:id="870530956">
      <w:bodyDiv w:val="1"/>
      <w:marLeft w:val="0"/>
      <w:marRight w:val="0"/>
      <w:marTop w:val="0"/>
      <w:marBottom w:val="0"/>
      <w:divBdr>
        <w:top w:val="none" w:sz="0" w:space="0" w:color="auto"/>
        <w:left w:val="none" w:sz="0" w:space="0" w:color="auto"/>
        <w:bottom w:val="none" w:sz="0" w:space="0" w:color="auto"/>
        <w:right w:val="none" w:sz="0" w:space="0" w:color="auto"/>
      </w:divBdr>
    </w:div>
    <w:div w:id="968705938">
      <w:bodyDiv w:val="1"/>
      <w:marLeft w:val="0"/>
      <w:marRight w:val="0"/>
      <w:marTop w:val="0"/>
      <w:marBottom w:val="0"/>
      <w:divBdr>
        <w:top w:val="none" w:sz="0" w:space="0" w:color="auto"/>
        <w:left w:val="none" w:sz="0" w:space="0" w:color="auto"/>
        <w:bottom w:val="none" w:sz="0" w:space="0" w:color="auto"/>
        <w:right w:val="none" w:sz="0" w:space="0" w:color="auto"/>
      </w:divBdr>
    </w:div>
    <w:div w:id="1044329919">
      <w:bodyDiv w:val="1"/>
      <w:marLeft w:val="0"/>
      <w:marRight w:val="0"/>
      <w:marTop w:val="0"/>
      <w:marBottom w:val="0"/>
      <w:divBdr>
        <w:top w:val="none" w:sz="0" w:space="0" w:color="auto"/>
        <w:left w:val="none" w:sz="0" w:space="0" w:color="auto"/>
        <w:bottom w:val="none" w:sz="0" w:space="0" w:color="auto"/>
        <w:right w:val="none" w:sz="0" w:space="0" w:color="auto"/>
      </w:divBdr>
      <w:divsChild>
        <w:div w:id="1895316219">
          <w:marLeft w:val="0"/>
          <w:marRight w:val="1"/>
          <w:marTop w:val="0"/>
          <w:marBottom w:val="0"/>
          <w:divBdr>
            <w:top w:val="none" w:sz="0" w:space="0" w:color="auto"/>
            <w:left w:val="none" w:sz="0" w:space="0" w:color="auto"/>
            <w:bottom w:val="none" w:sz="0" w:space="0" w:color="auto"/>
            <w:right w:val="none" w:sz="0" w:space="0" w:color="auto"/>
          </w:divBdr>
          <w:divsChild>
            <w:div w:id="1984507250">
              <w:marLeft w:val="0"/>
              <w:marRight w:val="0"/>
              <w:marTop w:val="0"/>
              <w:marBottom w:val="0"/>
              <w:divBdr>
                <w:top w:val="none" w:sz="0" w:space="0" w:color="auto"/>
                <w:left w:val="none" w:sz="0" w:space="0" w:color="auto"/>
                <w:bottom w:val="none" w:sz="0" w:space="0" w:color="auto"/>
                <w:right w:val="none" w:sz="0" w:space="0" w:color="auto"/>
              </w:divBdr>
              <w:divsChild>
                <w:div w:id="1585146987">
                  <w:marLeft w:val="0"/>
                  <w:marRight w:val="1"/>
                  <w:marTop w:val="0"/>
                  <w:marBottom w:val="0"/>
                  <w:divBdr>
                    <w:top w:val="none" w:sz="0" w:space="0" w:color="auto"/>
                    <w:left w:val="none" w:sz="0" w:space="0" w:color="auto"/>
                    <w:bottom w:val="none" w:sz="0" w:space="0" w:color="auto"/>
                    <w:right w:val="none" w:sz="0" w:space="0" w:color="auto"/>
                  </w:divBdr>
                  <w:divsChild>
                    <w:div w:id="1454786454">
                      <w:marLeft w:val="0"/>
                      <w:marRight w:val="0"/>
                      <w:marTop w:val="0"/>
                      <w:marBottom w:val="0"/>
                      <w:divBdr>
                        <w:top w:val="none" w:sz="0" w:space="0" w:color="auto"/>
                        <w:left w:val="none" w:sz="0" w:space="0" w:color="auto"/>
                        <w:bottom w:val="none" w:sz="0" w:space="0" w:color="auto"/>
                        <w:right w:val="none" w:sz="0" w:space="0" w:color="auto"/>
                      </w:divBdr>
                      <w:divsChild>
                        <w:div w:id="558322406">
                          <w:marLeft w:val="0"/>
                          <w:marRight w:val="0"/>
                          <w:marTop w:val="0"/>
                          <w:marBottom w:val="0"/>
                          <w:divBdr>
                            <w:top w:val="none" w:sz="0" w:space="0" w:color="auto"/>
                            <w:left w:val="none" w:sz="0" w:space="0" w:color="auto"/>
                            <w:bottom w:val="none" w:sz="0" w:space="0" w:color="auto"/>
                            <w:right w:val="none" w:sz="0" w:space="0" w:color="auto"/>
                          </w:divBdr>
                          <w:divsChild>
                            <w:div w:id="2038659188">
                              <w:marLeft w:val="0"/>
                              <w:marRight w:val="0"/>
                              <w:marTop w:val="120"/>
                              <w:marBottom w:val="360"/>
                              <w:divBdr>
                                <w:top w:val="none" w:sz="0" w:space="0" w:color="auto"/>
                                <w:left w:val="none" w:sz="0" w:space="0" w:color="auto"/>
                                <w:bottom w:val="none" w:sz="0" w:space="0" w:color="auto"/>
                                <w:right w:val="none" w:sz="0" w:space="0" w:color="auto"/>
                              </w:divBdr>
                              <w:divsChild>
                                <w:div w:id="1967541336">
                                  <w:marLeft w:val="420"/>
                                  <w:marRight w:val="0"/>
                                  <w:marTop w:val="0"/>
                                  <w:marBottom w:val="0"/>
                                  <w:divBdr>
                                    <w:top w:val="none" w:sz="0" w:space="0" w:color="auto"/>
                                    <w:left w:val="none" w:sz="0" w:space="0" w:color="auto"/>
                                    <w:bottom w:val="none" w:sz="0" w:space="0" w:color="auto"/>
                                    <w:right w:val="none" w:sz="0" w:space="0" w:color="auto"/>
                                  </w:divBdr>
                                  <w:divsChild>
                                    <w:div w:id="1656227658">
                                      <w:marLeft w:val="0"/>
                                      <w:marRight w:val="0"/>
                                      <w:marTop w:val="34"/>
                                      <w:marBottom w:val="34"/>
                                      <w:divBdr>
                                        <w:top w:val="none" w:sz="0" w:space="0" w:color="auto"/>
                                        <w:left w:val="none" w:sz="0" w:space="0" w:color="auto"/>
                                        <w:bottom w:val="none" w:sz="0" w:space="0" w:color="auto"/>
                                        <w:right w:val="none" w:sz="0" w:space="0" w:color="auto"/>
                                      </w:divBdr>
                                    </w:div>
                                    <w:div w:id="1174153102">
                                      <w:marLeft w:val="0"/>
                                      <w:marRight w:val="0"/>
                                      <w:marTop w:val="0"/>
                                      <w:marBottom w:val="0"/>
                                      <w:divBdr>
                                        <w:top w:val="none" w:sz="0" w:space="0" w:color="auto"/>
                                        <w:left w:val="none" w:sz="0" w:space="0" w:color="auto"/>
                                        <w:bottom w:val="none" w:sz="0" w:space="0" w:color="auto"/>
                                        <w:right w:val="none" w:sz="0" w:space="0" w:color="auto"/>
                                      </w:divBdr>
                                      <w:divsChild>
                                        <w:div w:id="9400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477362">
      <w:bodyDiv w:val="1"/>
      <w:marLeft w:val="0"/>
      <w:marRight w:val="0"/>
      <w:marTop w:val="0"/>
      <w:marBottom w:val="0"/>
      <w:divBdr>
        <w:top w:val="none" w:sz="0" w:space="0" w:color="auto"/>
        <w:left w:val="none" w:sz="0" w:space="0" w:color="auto"/>
        <w:bottom w:val="none" w:sz="0" w:space="0" w:color="auto"/>
        <w:right w:val="none" w:sz="0" w:space="0" w:color="auto"/>
      </w:divBdr>
      <w:divsChild>
        <w:div w:id="1104495616">
          <w:marLeft w:val="0"/>
          <w:marRight w:val="1"/>
          <w:marTop w:val="0"/>
          <w:marBottom w:val="0"/>
          <w:divBdr>
            <w:top w:val="none" w:sz="0" w:space="0" w:color="auto"/>
            <w:left w:val="none" w:sz="0" w:space="0" w:color="auto"/>
            <w:bottom w:val="none" w:sz="0" w:space="0" w:color="auto"/>
            <w:right w:val="none" w:sz="0" w:space="0" w:color="auto"/>
          </w:divBdr>
          <w:divsChild>
            <w:div w:id="1918592316">
              <w:marLeft w:val="0"/>
              <w:marRight w:val="0"/>
              <w:marTop w:val="0"/>
              <w:marBottom w:val="0"/>
              <w:divBdr>
                <w:top w:val="none" w:sz="0" w:space="0" w:color="auto"/>
                <w:left w:val="none" w:sz="0" w:space="0" w:color="auto"/>
                <w:bottom w:val="none" w:sz="0" w:space="0" w:color="auto"/>
                <w:right w:val="none" w:sz="0" w:space="0" w:color="auto"/>
              </w:divBdr>
              <w:divsChild>
                <w:div w:id="125395831">
                  <w:marLeft w:val="0"/>
                  <w:marRight w:val="1"/>
                  <w:marTop w:val="0"/>
                  <w:marBottom w:val="0"/>
                  <w:divBdr>
                    <w:top w:val="none" w:sz="0" w:space="0" w:color="auto"/>
                    <w:left w:val="none" w:sz="0" w:space="0" w:color="auto"/>
                    <w:bottom w:val="none" w:sz="0" w:space="0" w:color="auto"/>
                    <w:right w:val="none" w:sz="0" w:space="0" w:color="auto"/>
                  </w:divBdr>
                  <w:divsChild>
                    <w:div w:id="54358691">
                      <w:marLeft w:val="0"/>
                      <w:marRight w:val="0"/>
                      <w:marTop w:val="0"/>
                      <w:marBottom w:val="0"/>
                      <w:divBdr>
                        <w:top w:val="none" w:sz="0" w:space="0" w:color="auto"/>
                        <w:left w:val="none" w:sz="0" w:space="0" w:color="auto"/>
                        <w:bottom w:val="none" w:sz="0" w:space="0" w:color="auto"/>
                        <w:right w:val="none" w:sz="0" w:space="0" w:color="auto"/>
                      </w:divBdr>
                      <w:divsChild>
                        <w:div w:id="2002586481">
                          <w:marLeft w:val="0"/>
                          <w:marRight w:val="0"/>
                          <w:marTop w:val="0"/>
                          <w:marBottom w:val="0"/>
                          <w:divBdr>
                            <w:top w:val="none" w:sz="0" w:space="0" w:color="auto"/>
                            <w:left w:val="none" w:sz="0" w:space="0" w:color="auto"/>
                            <w:bottom w:val="none" w:sz="0" w:space="0" w:color="auto"/>
                            <w:right w:val="none" w:sz="0" w:space="0" w:color="auto"/>
                          </w:divBdr>
                          <w:divsChild>
                            <w:div w:id="1772238638">
                              <w:marLeft w:val="0"/>
                              <w:marRight w:val="0"/>
                              <w:marTop w:val="120"/>
                              <w:marBottom w:val="360"/>
                              <w:divBdr>
                                <w:top w:val="none" w:sz="0" w:space="0" w:color="auto"/>
                                <w:left w:val="none" w:sz="0" w:space="0" w:color="auto"/>
                                <w:bottom w:val="none" w:sz="0" w:space="0" w:color="auto"/>
                                <w:right w:val="none" w:sz="0" w:space="0" w:color="auto"/>
                              </w:divBdr>
                              <w:divsChild>
                                <w:div w:id="1355424856">
                                  <w:marLeft w:val="420"/>
                                  <w:marRight w:val="0"/>
                                  <w:marTop w:val="0"/>
                                  <w:marBottom w:val="0"/>
                                  <w:divBdr>
                                    <w:top w:val="none" w:sz="0" w:space="0" w:color="auto"/>
                                    <w:left w:val="none" w:sz="0" w:space="0" w:color="auto"/>
                                    <w:bottom w:val="none" w:sz="0" w:space="0" w:color="auto"/>
                                    <w:right w:val="none" w:sz="0" w:space="0" w:color="auto"/>
                                  </w:divBdr>
                                  <w:divsChild>
                                    <w:div w:id="1501307912">
                                      <w:marLeft w:val="0"/>
                                      <w:marRight w:val="0"/>
                                      <w:marTop w:val="0"/>
                                      <w:marBottom w:val="0"/>
                                      <w:divBdr>
                                        <w:top w:val="none" w:sz="0" w:space="0" w:color="auto"/>
                                        <w:left w:val="none" w:sz="0" w:space="0" w:color="auto"/>
                                        <w:bottom w:val="none" w:sz="0" w:space="0" w:color="auto"/>
                                        <w:right w:val="none" w:sz="0" w:space="0" w:color="auto"/>
                                      </w:divBdr>
                                      <w:divsChild>
                                        <w:div w:id="14756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725702">
      <w:bodyDiv w:val="1"/>
      <w:marLeft w:val="0"/>
      <w:marRight w:val="0"/>
      <w:marTop w:val="0"/>
      <w:marBottom w:val="0"/>
      <w:divBdr>
        <w:top w:val="none" w:sz="0" w:space="0" w:color="auto"/>
        <w:left w:val="none" w:sz="0" w:space="0" w:color="auto"/>
        <w:bottom w:val="none" w:sz="0" w:space="0" w:color="auto"/>
        <w:right w:val="none" w:sz="0" w:space="0" w:color="auto"/>
      </w:divBdr>
    </w:div>
    <w:div w:id="1172379054">
      <w:bodyDiv w:val="1"/>
      <w:marLeft w:val="0"/>
      <w:marRight w:val="0"/>
      <w:marTop w:val="0"/>
      <w:marBottom w:val="0"/>
      <w:divBdr>
        <w:top w:val="none" w:sz="0" w:space="0" w:color="auto"/>
        <w:left w:val="none" w:sz="0" w:space="0" w:color="auto"/>
        <w:bottom w:val="none" w:sz="0" w:space="0" w:color="auto"/>
        <w:right w:val="none" w:sz="0" w:space="0" w:color="auto"/>
      </w:divBdr>
    </w:div>
    <w:div w:id="1198201079">
      <w:bodyDiv w:val="1"/>
      <w:marLeft w:val="0"/>
      <w:marRight w:val="0"/>
      <w:marTop w:val="0"/>
      <w:marBottom w:val="0"/>
      <w:divBdr>
        <w:top w:val="none" w:sz="0" w:space="0" w:color="auto"/>
        <w:left w:val="none" w:sz="0" w:space="0" w:color="auto"/>
        <w:bottom w:val="none" w:sz="0" w:space="0" w:color="auto"/>
        <w:right w:val="none" w:sz="0" w:space="0" w:color="auto"/>
      </w:divBdr>
    </w:div>
    <w:div w:id="1215116810">
      <w:bodyDiv w:val="1"/>
      <w:marLeft w:val="0"/>
      <w:marRight w:val="0"/>
      <w:marTop w:val="0"/>
      <w:marBottom w:val="0"/>
      <w:divBdr>
        <w:top w:val="none" w:sz="0" w:space="0" w:color="auto"/>
        <w:left w:val="none" w:sz="0" w:space="0" w:color="auto"/>
        <w:bottom w:val="none" w:sz="0" w:space="0" w:color="auto"/>
        <w:right w:val="none" w:sz="0" w:space="0" w:color="auto"/>
      </w:divBdr>
    </w:div>
    <w:div w:id="1242639445">
      <w:bodyDiv w:val="1"/>
      <w:marLeft w:val="0"/>
      <w:marRight w:val="0"/>
      <w:marTop w:val="0"/>
      <w:marBottom w:val="0"/>
      <w:divBdr>
        <w:top w:val="none" w:sz="0" w:space="0" w:color="auto"/>
        <w:left w:val="none" w:sz="0" w:space="0" w:color="auto"/>
        <w:bottom w:val="none" w:sz="0" w:space="0" w:color="auto"/>
        <w:right w:val="none" w:sz="0" w:space="0" w:color="auto"/>
      </w:divBdr>
    </w:div>
    <w:div w:id="1345323341">
      <w:bodyDiv w:val="1"/>
      <w:marLeft w:val="0"/>
      <w:marRight w:val="0"/>
      <w:marTop w:val="0"/>
      <w:marBottom w:val="0"/>
      <w:divBdr>
        <w:top w:val="none" w:sz="0" w:space="0" w:color="auto"/>
        <w:left w:val="none" w:sz="0" w:space="0" w:color="auto"/>
        <w:bottom w:val="none" w:sz="0" w:space="0" w:color="auto"/>
        <w:right w:val="none" w:sz="0" w:space="0" w:color="auto"/>
      </w:divBdr>
    </w:div>
    <w:div w:id="1358234106">
      <w:bodyDiv w:val="1"/>
      <w:marLeft w:val="0"/>
      <w:marRight w:val="0"/>
      <w:marTop w:val="0"/>
      <w:marBottom w:val="0"/>
      <w:divBdr>
        <w:top w:val="none" w:sz="0" w:space="0" w:color="auto"/>
        <w:left w:val="none" w:sz="0" w:space="0" w:color="auto"/>
        <w:bottom w:val="none" w:sz="0" w:space="0" w:color="auto"/>
        <w:right w:val="none" w:sz="0" w:space="0" w:color="auto"/>
      </w:divBdr>
    </w:div>
    <w:div w:id="1378747787">
      <w:bodyDiv w:val="1"/>
      <w:marLeft w:val="0"/>
      <w:marRight w:val="0"/>
      <w:marTop w:val="0"/>
      <w:marBottom w:val="0"/>
      <w:divBdr>
        <w:top w:val="none" w:sz="0" w:space="0" w:color="auto"/>
        <w:left w:val="none" w:sz="0" w:space="0" w:color="auto"/>
        <w:bottom w:val="none" w:sz="0" w:space="0" w:color="auto"/>
        <w:right w:val="none" w:sz="0" w:space="0" w:color="auto"/>
      </w:divBdr>
    </w:div>
    <w:div w:id="1510752670">
      <w:bodyDiv w:val="1"/>
      <w:marLeft w:val="0"/>
      <w:marRight w:val="0"/>
      <w:marTop w:val="0"/>
      <w:marBottom w:val="0"/>
      <w:divBdr>
        <w:top w:val="none" w:sz="0" w:space="0" w:color="auto"/>
        <w:left w:val="none" w:sz="0" w:space="0" w:color="auto"/>
        <w:bottom w:val="none" w:sz="0" w:space="0" w:color="auto"/>
        <w:right w:val="none" w:sz="0" w:space="0" w:color="auto"/>
      </w:divBdr>
    </w:div>
    <w:div w:id="1553073796">
      <w:bodyDiv w:val="1"/>
      <w:marLeft w:val="0"/>
      <w:marRight w:val="0"/>
      <w:marTop w:val="0"/>
      <w:marBottom w:val="0"/>
      <w:divBdr>
        <w:top w:val="none" w:sz="0" w:space="0" w:color="auto"/>
        <w:left w:val="none" w:sz="0" w:space="0" w:color="auto"/>
        <w:bottom w:val="none" w:sz="0" w:space="0" w:color="auto"/>
        <w:right w:val="none" w:sz="0" w:space="0" w:color="auto"/>
      </w:divBdr>
    </w:div>
    <w:div w:id="1996912215">
      <w:bodyDiv w:val="1"/>
      <w:marLeft w:val="0"/>
      <w:marRight w:val="0"/>
      <w:marTop w:val="0"/>
      <w:marBottom w:val="0"/>
      <w:divBdr>
        <w:top w:val="none" w:sz="0" w:space="0" w:color="auto"/>
        <w:left w:val="none" w:sz="0" w:space="0" w:color="auto"/>
        <w:bottom w:val="none" w:sz="0" w:space="0" w:color="auto"/>
        <w:right w:val="none" w:sz="0" w:space="0" w:color="auto"/>
      </w:divBdr>
      <w:divsChild>
        <w:div w:id="1204827853">
          <w:marLeft w:val="0"/>
          <w:marRight w:val="1"/>
          <w:marTop w:val="0"/>
          <w:marBottom w:val="0"/>
          <w:divBdr>
            <w:top w:val="none" w:sz="0" w:space="0" w:color="auto"/>
            <w:left w:val="none" w:sz="0" w:space="0" w:color="auto"/>
            <w:bottom w:val="none" w:sz="0" w:space="0" w:color="auto"/>
            <w:right w:val="none" w:sz="0" w:space="0" w:color="auto"/>
          </w:divBdr>
          <w:divsChild>
            <w:div w:id="1285425775">
              <w:marLeft w:val="0"/>
              <w:marRight w:val="0"/>
              <w:marTop w:val="0"/>
              <w:marBottom w:val="0"/>
              <w:divBdr>
                <w:top w:val="none" w:sz="0" w:space="0" w:color="auto"/>
                <w:left w:val="none" w:sz="0" w:space="0" w:color="auto"/>
                <w:bottom w:val="none" w:sz="0" w:space="0" w:color="auto"/>
                <w:right w:val="none" w:sz="0" w:space="0" w:color="auto"/>
              </w:divBdr>
              <w:divsChild>
                <w:div w:id="496507037">
                  <w:marLeft w:val="0"/>
                  <w:marRight w:val="1"/>
                  <w:marTop w:val="0"/>
                  <w:marBottom w:val="0"/>
                  <w:divBdr>
                    <w:top w:val="none" w:sz="0" w:space="0" w:color="auto"/>
                    <w:left w:val="none" w:sz="0" w:space="0" w:color="auto"/>
                    <w:bottom w:val="none" w:sz="0" w:space="0" w:color="auto"/>
                    <w:right w:val="none" w:sz="0" w:space="0" w:color="auto"/>
                  </w:divBdr>
                  <w:divsChild>
                    <w:div w:id="2077774117">
                      <w:marLeft w:val="0"/>
                      <w:marRight w:val="0"/>
                      <w:marTop w:val="0"/>
                      <w:marBottom w:val="0"/>
                      <w:divBdr>
                        <w:top w:val="none" w:sz="0" w:space="0" w:color="auto"/>
                        <w:left w:val="none" w:sz="0" w:space="0" w:color="auto"/>
                        <w:bottom w:val="none" w:sz="0" w:space="0" w:color="auto"/>
                        <w:right w:val="none" w:sz="0" w:space="0" w:color="auto"/>
                      </w:divBdr>
                      <w:divsChild>
                        <w:div w:id="90661805">
                          <w:marLeft w:val="0"/>
                          <w:marRight w:val="0"/>
                          <w:marTop w:val="0"/>
                          <w:marBottom w:val="0"/>
                          <w:divBdr>
                            <w:top w:val="none" w:sz="0" w:space="0" w:color="auto"/>
                            <w:left w:val="none" w:sz="0" w:space="0" w:color="auto"/>
                            <w:bottom w:val="none" w:sz="0" w:space="0" w:color="auto"/>
                            <w:right w:val="none" w:sz="0" w:space="0" w:color="auto"/>
                          </w:divBdr>
                          <w:divsChild>
                            <w:div w:id="625937642">
                              <w:marLeft w:val="0"/>
                              <w:marRight w:val="0"/>
                              <w:marTop w:val="120"/>
                              <w:marBottom w:val="360"/>
                              <w:divBdr>
                                <w:top w:val="none" w:sz="0" w:space="0" w:color="auto"/>
                                <w:left w:val="none" w:sz="0" w:space="0" w:color="auto"/>
                                <w:bottom w:val="none" w:sz="0" w:space="0" w:color="auto"/>
                                <w:right w:val="none" w:sz="0" w:space="0" w:color="auto"/>
                              </w:divBdr>
                              <w:divsChild>
                                <w:div w:id="338122002">
                                  <w:marLeft w:val="0"/>
                                  <w:marRight w:val="0"/>
                                  <w:marTop w:val="0"/>
                                  <w:marBottom w:val="0"/>
                                  <w:divBdr>
                                    <w:top w:val="none" w:sz="0" w:space="0" w:color="auto"/>
                                    <w:left w:val="none" w:sz="0" w:space="0" w:color="auto"/>
                                    <w:bottom w:val="none" w:sz="0" w:space="0" w:color="auto"/>
                                    <w:right w:val="none" w:sz="0" w:space="0" w:color="auto"/>
                                  </w:divBdr>
                                  <w:divsChild>
                                    <w:div w:id="6557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346738">
      <w:bodyDiv w:val="1"/>
      <w:marLeft w:val="0"/>
      <w:marRight w:val="0"/>
      <w:marTop w:val="0"/>
      <w:marBottom w:val="0"/>
      <w:divBdr>
        <w:top w:val="none" w:sz="0" w:space="0" w:color="auto"/>
        <w:left w:val="none" w:sz="0" w:space="0" w:color="auto"/>
        <w:bottom w:val="none" w:sz="0" w:space="0" w:color="auto"/>
        <w:right w:val="none" w:sz="0" w:space="0" w:color="auto"/>
      </w:divBdr>
    </w:div>
    <w:div w:id="214580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ilviadaniela.morbelli@hsanmartino.it"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BF9D-1D18-F24E-A637-571A8063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5376</Words>
  <Characters>30647</Characters>
  <Application>Microsoft Macintosh Word</Application>
  <DocSecurity>0</DocSecurity>
  <Lines>255</Lines>
  <Paragraphs>71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dc:creator>
  <cp:lastModifiedBy>Na Ma</cp:lastModifiedBy>
  <cp:revision>2</cp:revision>
  <dcterms:created xsi:type="dcterms:W3CDTF">2016-11-28T02:11:00Z</dcterms:created>
  <dcterms:modified xsi:type="dcterms:W3CDTF">2016-11-28T02:11:00Z</dcterms:modified>
</cp:coreProperties>
</file>