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6ABB" w14:textId="77777777" w:rsidR="00687BFA" w:rsidRPr="007B09E8" w:rsidRDefault="00687BFA" w:rsidP="00E872CF">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636"/>
      <w:bookmarkStart w:id="8" w:name="OLE_LINK654"/>
      <w:bookmarkStart w:id="9" w:name="OLE_LINK849"/>
      <w:r w:rsidRPr="007B09E8">
        <w:rPr>
          <w:rFonts w:ascii="Book Antiqua" w:hAnsi="Book Antiqua" w:cs="Times New Roman"/>
          <w:b/>
          <w:color w:val="auto"/>
          <w:sz w:val="24"/>
          <w:szCs w:val="24"/>
          <w:highlight w:val="white"/>
          <w:lang w:val="en-US" w:eastAsia="zh-CN"/>
        </w:rPr>
        <w:t xml:space="preserve">Name of </w:t>
      </w:r>
      <w:r w:rsidRPr="007B09E8">
        <w:rPr>
          <w:rFonts w:ascii="Book Antiqua" w:hAnsi="Book Antiqua" w:cs="Times New Roman"/>
          <w:b/>
          <w:caps/>
          <w:color w:val="auto"/>
          <w:sz w:val="24"/>
          <w:szCs w:val="24"/>
          <w:highlight w:val="white"/>
          <w:lang w:val="en-US" w:eastAsia="zh-CN"/>
        </w:rPr>
        <w:t>j</w:t>
      </w:r>
      <w:r w:rsidRPr="007B09E8">
        <w:rPr>
          <w:rFonts w:ascii="Book Antiqua" w:hAnsi="Book Antiqua" w:cs="Times New Roman"/>
          <w:b/>
          <w:color w:val="auto"/>
          <w:sz w:val="24"/>
          <w:szCs w:val="24"/>
          <w:highlight w:val="white"/>
          <w:lang w:val="en-US" w:eastAsia="zh-CN"/>
        </w:rPr>
        <w:t xml:space="preserve">ournal: </w:t>
      </w:r>
      <w:bookmarkStart w:id="10" w:name="OLE_LINK718"/>
      <w:bookmarkStart w:id="11" w:name="OLE_LINK719"/>
      <w:r w:rsidRPr="007B09E8">
        <w:rPr>
          <w:rFonts w:ascii="Book Antiqua" w:hAnsi="Book Antiqua" w:cs="Times New Roman"/>
          <w:b/>
          <w:i/>
          <w:color w:val="auto"/>
          <w:sz w:val="24"/>
          <w:szCs w:val="24"/>
          <w:highlight w:val="white"/>
          <w:lang w:val="en-US" w:eastAsia="zh-CN"/>
        </w:rPr>
        <w:t>World Journal of Gastroenterology</w:t>
      </w:r>
      <w:bookmarkEnd w:id="10"/>
      <w:bookmarkEnd w:id="11"/>
    </w:p>
    <w:p w14:paraId="65C08E0E" w14:textId="6509F7DD" w:rsidR="00687BFA" w:rsidRPr="007B09E8" w:rsidRDefault="00687BFA" w:rsidP="00E872CF">
      <w:pPr>
        <w:pStyle w:val="1"/>
        <w:snapToGrid w:val="0"/>
        <w:spacing w:line="360" w:lineRule="auto"/>
        <w:jc w:val="both"/>
        <w:rPr>
          <w:rFonts w:ascii="Book Antiqua" w:hAnsi="Book Antiqua" w:cs="Times New Roman"/>
          <w:b/>
          <w:i/>
          <w:color w:val="auto"/>
          <w:sz w:val="24"/>
          <w:szCs w:val="24"/>
          <w:highlight w:val="white"/>
          <w:lang w:val="en-US" w:eastAsia="zh-CN"/>
        </w:rPr>
      </w:pPr>
      <w:bookmarkStart w:id="12" w:name="OLE_LINK485"/>
      <w:bookmarkStart w:id="13" w:name="OLE_LINK486"/>
      <w:bookmarkStart w:id="14" w:name="OLE_LINK661"/>
      <w:bookmarkStart w:id="15" w:name="OLE_LINK768"/>
      <w:bookmarkStart w:id="16" w:name="OLE_LINK514"/>
      <w:bookmarkStart w:id="17" w:name="OLE_LINK515"/>
      <w:r w:rsidRPr="007B09E8">
        <w:rPr>
          <w:rFonts w:ascii="Book Antiqua" w:hAnsi="Book Antiqua" w:cs="Times New Roman"/>
          <w:b/>
          <w:color w:val="auto"/>
          <w:sz w:val="24"/>
          <w:szCs w:val="24"/>
          <w:highlight w:val="white"/>
          <w:lang w:eastAsia="zh-CN"/>
        </w:rPr>
        <w:t>ESPS Manuscript NO:</w:t>
      </w:r>
      <w:bookmarkEnd w:id="12"/>
      <w:bookmarkEnd w:id="13"/>
      <w:bookmarkEnd w:id="14"/>
      <w:bookmarkEnd w:id="15"/>
      <w:r w:rsidRPr="007B09E8">
        <w:rPr>
          <w:rFonts w:ascii="Book Antiqua" w:hAnsi="Book Antiqua" w:cs="Times New Roman"/>
          <w:b/>
          <w:color w:val="auto"/>
          <w:sz w:val="24"/>
          <w:szCs w:val="24"/>
          <w:highlight w:val="white"/>
          <w:lang w:eastAsia="zh-CN"/>
        </w:rPr>
        <w:t xml:space="preserve"> </w:t>
      </w:r>
      <w:r w:rsidR="00E872CF" w:rsidRPr="007B09E8">
        <w:rPr>
          <w:rFonts w:ascii="Book Antiqua" w:hAnsi="Book Antiqua" w:cs="Times New Roman"/>
          <w:b/>
          <w:color w:val="auto"/>
          <w:sz w:val="24"/>
          <w:szCs w:val="24"/>
          <w:highlight w:val="white"/>
          <w:lang w:eastAsia="zh-CN"/>
        </w:rPr>
        <w:t>29585</w:t>
      </w:r>
    </w:p>
    <w:p w14:paraId="27168E52" w14:textId="4B93CCD1" w:rsidR="00687BFA" w:rsidRPr="007B09E8" w:rsidRDefault="00687BFA" w:rsidP="00E872CF">
      <w:pPr>
        <w:snapToGrid w:val="0"/>
        <w:spacing w:after="0" w:line="360" w:lineRule="auto"/>
        <w:jc w:val="both"/>
        <w:rPr>
          <w:rFonts w:ascii="Book Antiqua" w:hAnsi="Book Antiqua"/>
          <w:b/>
          <w:sz w:val="24"/>
          <w:szCs w:val="24"/>
          <w:lang w:val="it-IT" w:eastAsia="zh-CN"/>
        </w:rPr>
      </w:pPr>
      <w:bookmarkStart w:id="18" w:name="OLE_LINK511"/>
      <w:bookmarkStart w:id="19" w:name="OLE_LINK512"/>
      <w:bookmarkEnd w:id="16"/>
      <w:bookmarkEnd w:id="17"/>
      <w:r w:rsidRPr="007B09E8">
        <w:rPr>
          <w:rFonts w:ascii="Book Antiqua" w:hAnsi="Book Antiqua"/>
          <w:b/>
          <w:sz w:val="24"/>
          <w:szCs w:val="24"/>
          <w:highlight w:val="white"/>
          <w:lang w:val="it-IT"/>
        </w:rPr>
        <w:t xml:space="preserve">Manuscript </w:t>
      </w:r>
      <w:r w:rsidRPr="007B09E8">
        <w:rPr>
          <w:rFonts w:ascii="Book Antiqua" w:hAnsi="Book Antiqua"/>
          <w:b/>
          <w:caps/>
          <w:sz w:val="24"/>
          <w:szCs w:val="24"/>
          <w:highlight w:val="white"/>
        </w:rPr>
        <w:t>t</w:t>
      </w:r>
      <w:r w:rsidRPr="007B09E8">
        <w:rPr>
          <w:rFonts w:ascii="Book Antiqua" w:hAnsi="Book Antiqua"/>
          <w:b/>
          <w:sz w:val="24"/>
          <w:szCs w:val="24"/>
          <w:highlight w:val="white"/>
          <w:lang w:val="it-IT"/>
        </w:rPr>
        <w:t>ype</w:t>
      </w:r>
      <w:r w:rsidRPr="007B09E8">
        <w:rPr>
          <w:rFonts w:ascii="Book Antiqua" w:hAnsi="Book Antiqua"/>
          <w:b/>
          <w:sz w:val="24"/>
          <w:szCs w:val="24"/>
          <w:lang w:val="it-IT"/>
        </w:rPr>
        <w:t>:</w:t>
      </w:r>
      <w:bookmarkEnd w:id="0"/>
      <w:bookmarkEnd w:id="1"/>
      <w:bookmarkEnd w:id="2"/>
      <w:bookmarkEnd w:id="3"/>
      <w:bookmarkEnd w:id="4"/>
      <w:bookmarkEnd w:id="5"/>
      <w:bookmarkEnd w:id="6"/>
      <w:r w:rsidRPr="007B09E8">
        <w:rPr>
          <w:rFonts w:ascii="Book Antiqua" w:hAnsi="Book Antiqua"/>
          <w:b/>
          <w:sz w:val="24"/>
          <w:szCs w:val="24"/>
          <w:lang w:val="it-IT"/>
        </w:rPr>
        <w:t xml:space="preserve"> </w:t>
      </w:r>
      <w:r w:rsidR="00E872CF" w:rsidRPr="007B09E8">
        <w:rPr>
          <w:rFonts w:ascii="Book Antiqua" w:hAnsi="Book Antiqua"/>
          <w:b/>
          <w:caps/>
          <w:sz w:val="24"/>
          <w:szCs w:val="24"/>
          <w:lang w:val="it-IT" w:eastAsia="zh-CN"/>
        </w:rPr>
        <w:t>mini</w:t>
      </w:r>
      <w:r w:rsidR="00965039" w:rsidRPr="007B09E8">
        <w:rPr>
          <w:rFonts w:ascii="Book Antiqua" w:hAnsi="Book Antiqua"/>
          <w:b/>
          <w:caps/>
          <w:sz w:val="24"/>
          <w:szCs w:val="24"/>
          <w:lang w:val="it-IT"/>
        </w:rPr>
        <w:t>REVIEW</w:t>
      </w:r>
      <w:r w:rsidR="00E872CF" w:rsidRPr="007B09E8">
        <w:rPr>
          <w:rFonts w:ascii="Book Antiqua" w:hAnsi="Book Antiqua"/>
          <w:b/>
          <w:caps/>
          <w:sz w:val="24"/>
          <w:szCs w:val="24"/>
          <w:lang w:val="it-IT" w:eastAsia="zh-CN"/>
        </w:rPr>
        <w:t>s</w:t>
      </w:r>
    </w:p>
    <w:bookmarkEnd w:id="7"/>
    <w:bookmarkEnd w:id="8"/>
    <w:bookmarkEnd w:id="9"/>
    <w:bookmarkEnd w:id="18"/>
    <w:bookmarkEnd w:id="19"/>
    <w:p w14:paraId="0A59EC97" w14:textId="77777777" w:rsidR="00687BFA" w:rsidRPr="007B09E8" w:rsidRDefault="00687BFA" w:rsidP="00E872CF">
      <w:pPr>
        <w:snapToGrid w:val="0"/>
        <w:spacing w:after="0" w:line="360" w:lineRule="auto"/>
        <w:jc w:val="both"/>
        <w:rPr>
          <w:rFonts w:ascii="Book Antiqua" w:hAnsi="Book Antiqua"/>
          <w:sz w:val="24"/>
          <w:szCs w:val="24"/>
          <w:lang w:val="it-IT" w:eastAsia="zh-CN"/>
        </w:rPr>
      </w:pPr>
    </w:p>
    <w:p w14:paraId="5E6189BE" w14:textId="00254419" w:rsidR="00C6457A" w:rsidRPr="007B09E8" w:rsidRDefault="00450799" w:rsidP="00E872CF">
      <w:pPr>
        <w:pStyle w:val="Heading1"/>
        <w:snapToGrid w:val="0"/>
        <w:spacing w:before="0" w:line="360" w:lineRule="auto"/>
        <w:jc w:val="both"/>
        <w:rPr>
          <w:rFonts w:ascii="Book Antiqua" w:hAnsi="Book Antiqua"/>
          <w:color w:val="auto"/>
          <w:sz w:val="24"/>
          <w:szCs w:val="24"/>
        </w:rPr>
      </w:pPr>
      <w:bookmarkStart w:id="20" w:name="OLE_LINK956"/>
      <w:bookmarkStart w:id="21" w:name="OLE_LINK957"/>
      <w:r w:rsidRPr="007B09E8">
        <w:rPr>
          <w:rFonts w:ascii="Book Antiqua" w:hAnsi="Book Antiqua"/>
          <w:caps/>
          <w:color w:val="auto"/>
          <w:sz w:val="24"/>
          <w:szCs w:val="24"/>
        </w:rPr>
        <w:t>d</w:t>
      </w:r>
      <w:r w:rsidRPr="007B09E8">
        <w:rPr>
          <w:rFonts w:ascii="Book Antiqua" w:hAnsi="Book Antiqua"/>
          <w:color w:val="auto"/>
          <w:sz w:val="24"/>
          <w:szCs w:val="24"/>
        </w:rPr>
        <w:t>ilemma of first line regimens in metastatic pancreatic adenocarcinoma</w:t>
      </w:r>
    </w:p>
    <w:bookmarkEnd w:id="20"/>
    <w:bookmarkEnd w:id="21"/>
    <w:p w14:paraId="5EEE2A25" w14:textId="77777777" w:rsidR="00450799" w:rsidRPr="007B09E8" w:rsidRDefault="00450799" w:rsidP="00E872CF">
      <w:pPr>
        <w:snapToGrid w:val="0"/>
        <w:spacing w:after="0" w:line="360" w:lineRule="auto"/>
        <w:jc w:val="both"/>
        <w:rPr>
          <w:rFonts w:ascii="Book Antiqua" w:hAnsi="Book Antiqua" w:cstheme="majorBidi"/>
          <w:b/>
          <w:bCs/>
          <w:sz w:val="24"/>
          <w:szCs w:val="24"/>
        </w:rPr>
      </w:pPr>
    </w:p>
    <w:p w14:paraId="71D3AB66" w14:textId="4C1878A2" w:rsidR="00450799" w:rsidRPr="007B09E8" w:rsidRDefault="00E872CF" w:rsidP="00E872CF">
      <w:pPr>
        <w:snapToGrid w:val="0"/>
        <w:spacing w:after="0" w:line="360" w:lineRule="auto"/>
        <w:jc w:val="both"/>
        <w:rPr>
          <w:rFonts w:ascii="Book Antiqua" w:hAnsi="Book Antiqua" w:cstheme="majorBidi"/>
          <w:sz w:val="24"/>
          <w:szCs w:val="24"/>
        </w:rPr>
      </w:pPr>
      <w:r w:rsidRPr="007B09E8">
        <w:rPr>
          <w:rFonts w:ascii="Book Antiqua" w:hAnsi="Book Antiqua" w:cstheme="majorBidi"/>
          <w:sz w:val="24"/>
          <w:szCs w:val="24"/>
        </w:rPr>
        <w:t>Ghosn M</w:t>
      </w:r>
      <w:r w:rsidRPr="007B09E8">
        <w:rPr>
          <w:rFonts w:ascii="Book Antiqua" w:hAnsi="Book Antiqua" w:cstheme="majorBidi"/>
          <w:sz w:val="24"/>
          <w:szCs w:val="24"/>
          <w:lang w:eastAsia="zh-CN"/>
        </w:rPr>
        <w:t xml:space="preserve"> </w:t>
      </w:r>
      <w:r w:rsidRPr="007B09E8">
        <w:rPr>
          <w:rFonts w:ascii="Book Antiqua" w:hAnsi="Book Antiqua" w:cstheme="majorBidi"/>
          <w:i/>
          <w:sz w:val="24"/>
          <w:szCs w:val="24"/>
          <w:lang w:eastAsia="zh-CN"/>
        </w:rPr>
        <w:t>et al</w:t>
      </w:r>
      <w:r w:rsidRPr="007B09E8">
        <w:rPr>
          <w:rFonts w:ascii="Book Antiqua" w:hAnsi="Book Antiqua" w:cstheme="majorBidi"/>
          <w:sz w:val="24"/>
          <w:szCs w:val="24"/>
          <w:lang w:eastAsia="zh-CN"/>
        </w:rPr>
        <w:t>.</w:t>
      </w:r>
      <w:r w:rsidR="00450799" w:rsidRPr="007B09E8">
        <w:rPr>
          <w:rFonts w:ascii="Book Antiqua" w:hAnsi="Book Antiqua" w:cstheme="majorBidi"/>
          <w:sz w:val="24"/>
          <w:szCs w:val="24"/>
        </w:rPr>
        <w:t xml:space="preserve"> First line regimens in metastatic pancreatic adenocarcinoma</w:t>
      </w:r>
    </w:p>
    <w:p w14:paraId="60635FB7" w14:textId="77777777" w:rsidR="00450799" w:rsidRPr="007B09E8" w:rsidRDefault="00450799" w:rsidP="00E872CF">
      <w:pPr>
        <w:snapToGrid w:val="0"/>
        <w:spacing w:after="0" w:line="360" w:lineRule="auto"/>
        <w:jc w:val="both"/>
        <w:rPr>
          <w:rFonts w:ascii="Book Antiqua" w:hAnsi="Book Antiqua" w:cstheme="majorBidi"/>
          <w:sz w:val="24"/>
          <w:szCs w:val="24"/>
        </w:rPr>
      </w:pPr>
    </w:p>
    <w:p w14:paraId="5F5BCC77" w14:textId="77777777" w:rsidR="00C6457A" w:rsidRPr="00F4070F" w:rsidRDefault="00D54EF1" w:rsidP="00E872CF">
      <w:pPr>
        <w:snapToGrid w:val="0"/>
        <w:spacing w:after="0" w:line="360" w:lineRule="auto"/>
        <w:jc w:val="both"/>
        <w:rPr>
          <w:rFonts w:ascii="Book Antiqua" w:hAnsi="Book Antiqua" w:cstheme="majorBidi"/>
          <w:sz w:val="24"/>
          <w:szCs w:val="24"/>
        </w:rPr>
      </w:pPr>
      <w:r w:rsidRPr="00F4070F">
        <w:rPr>
          <w:rFonts w:ascii="Book Antiqua" w:hAnsi="Book Antiqua" w:cstheme="majorBidi"/>
          <w:sz w:val="24"/>
          <w:szCs w:val="24"/>
        </w:rPr>
        <w:t>Marwan Ghosn, Tony</w:t>
      </w:r>
      <w:r w:rsidR="00C6457A" w:rsidRPr="00F4070F">
        <w:rPr>
          <w:rFonts w:ascii="Book Antiqua" w:hAnsi="Book Antiqua" w:cstheme="majorBidi"/>
          <w:sz w:val="24"/>
          <w:szCs w:val="24"/>
        </w:rPr>
        <w:t xml:space="preserve"> Ibrahim, Tarek Assi, Elie El Rassy,</w:t>
      </w:r>
      <w:r w:rsidR="00B241BA" w:rsidRPr="00F4070F">
        <w:rPr>
          <w:rFonts w:ascii="Book Antiqua" w:hAnsi="Book Antiqua" w:cstheme="majorBidi"/>
          <w:sz w:val="24"/>
          <w:szCs w:val="24"/>
        </w:rPr>
        <w:t xml:space="preserve"> Hampig </w:t>
      </w:r>
      <w:r w:rsidR="005E4F9C" w:rsidRPr="00F4070F">
        <w:rPr>
          <w:rFonts w:ascii="Book Antiqua" w:hAnsi="Book Antiqua" w:cstheme="majorBidi"/>
          <w:sz w:val="24"/>
          <w:szCs w:val="24"/>
        </w:rPr>
        <w:t>Raphael Kourie,</w:t>
      </w:r>
      <w:r w:rsidR="00C6457A" w:rsidRPr="00F4070F">
        <w:rPr>
          <w:rFonts w:ascii="Book Antiqua" w:hAnsi="Book Antiqua" w:cstheme="majorBidi"/>
          <w:sz w:val="24"/>
          <w:szCs w:val="24"/>
        </w:rPr>
        <w:t xml:space="preserve"> Joseph Kattan</w:t>
      </w:r>
    </w:p>
    <w:p w14:paraId="5956F6EC" w14:textId="77777777" w:rsidR="00687BFA" w:rsidRPr="007B09E8" w:rsidRDefault="00687BFA" w:rsidP="00E872CF">
      <w:pPr>
        <w:snapToGrid w:val="0"/>
        <w:spacing w:after="0" w:line="360" w:lineRule="auto"/>
        <w:jc w:val="both"/>
        <w:rPr>
          <w:rFonts w:ascii="Book Antiqua" w:hAnsi="Book Antiqua" w:cstheme="majorBidi"/>
          <w:sz w:val="24"/>
          <w:szCs w:val="24"/>
          <w:lang w:eastAsia="zh-CN"/>
        </w:rPr>
      </w:pPr>
    </w:p>
    <w:p w14:paraId="5FBFDB07" w14:textId="26BD06C5" w:rsidR="00C6457A" w:rsidRPr="007B09E8" w:rsidRDefault="00E872CF" w:rsidP="00E872CF">
      <w:pPr>
        <w:snapToGrid w:val="0"/>
        <w:spacing w:after="0" w:line="360" w:lineRule="auto"/>
        <w:jc w:val="both"/>
        <w:rPr>
          <w:rFonts w:ascii="Book Antiqua" w:hAnsi="Book Antiqua" w:cstheme="majorBidi"/>
          <w:b/>
          <w:sz w:val="24"/>
          <w:szCs w:val="24"/>
        </w:rPr>
      </w:pPr>
      <w:r w:rsidRPr="007B09E8">
        <w:rPr>
          <w:rFonts w:ascii="Book Antiqua" w:hAnsi="Book Antiqua" w:cstheme="majorBidi"/>
          <w:b/>
          <w:sz w:val="24"/>
          <w:szCs w:val="24"/>
        </w:rPr>
        <w:t>Marwan Ghosn, Tony Ibrahim, Tarek Assi, Elie El Rassy, Hampig Raphael Kourie, Joseph Kattan</w:t>
      </w:r>
      <w:r w:rsidRPr="007B09E8">
        <w:rPr>
          <w:rFonts w:ascii="Book Antiqua" w:hAnsi="Book Antiqua" w:cstheme="majorBidi" w:hint="eastAsia"/>
          <w:b/>
          <w:sz w:val="24"/>
          <w:szCs w:val="24"/>
          <w:lang w:eastAsia="zh-CN"/>
        </w:rPr>
        <w:t xml:space="preserve">, </w:t>
      </w:r>
      <w:r w:rsidR="00C6457A" w:rsidRPr="007B09E8">
        <w:rPr>
          <w:rFonts w:ascii="Book Antiqua" w:hAnsi="Book Antiqua" w:cstheme="majorBidi"/>
          <w:sz w:val="24"/>
          <w:szCs w:val="24"/>
        </w:rPr>
        <w:t xml:space="preserve">Department of Oncology, </w:t>
      </w:r>
      <w:r w:rsidR="00450799" w:rsidRPr="007B09E8">
        <w:rPr>
          <w:rFonts w:ascii="Book Antiqua" w:hAnsi="Book Antiqua" w:cstheme="majorBidi"/>
          <w:sz w:val="24"/>
          <w:szCs w:val="24"/>
        </w:rPr>
        <w:t>Faculty of Medicine, Saint Joseph University, Beirut</w:t>
      </w:r>
      <w:r w:rsidR="00D31A94" w:rsidRPr="007B09E8">
        <w:rPr>
          <w:rFonts w:ascii="Book Antiqua" w:hAnsi="Book Antiqua" w:cstheme="majorBidi"/>
          <w:sz w:val="24"/>
          <w:szCs w:val="24"/>
          <w:shd w:val="clear" w:color="auto" w:fill="FFFFFF"/>
        </w:rPr>
        <w:t xml:space="preserve"> 166830</w:t>
      </w:r>
      <w:r w:rsidR="00450799" w:rsidRPr="007B09E8">
        <w:rPr>
          <w:rFonts w:ascii="Book Antiqua" w:hAnsi="Book Antiqua" w:cstheme="majorBidi"/>
          <w:sz w:val="24"/>
          <w:szCs w:val="24"/>
        </w:rPr>
        <w:t>, Lebanon</w:t>
      </w:r>
    </w:p>
    <w:p w14:paraId="5E4287AA" w14:textId="77777777" w:rsidR="00450799" w:rsidRPr="007B09E8" w:rsidRDefault="00450799" w:rsidP="00E872CF">
      <w:pPr>
        <w:snapToGrid w:val="0"/>
        <w:spacing w:after="0" w:line="360" w:lineRule="auto"/>
        <w:jc w:val="both"/>
        <w:rPr>
          <w:rFonts w:ascii="Book Antiqua" w:hAnsi="Book Antiqua" w:cstheme="majorBidi"/>
          <w:sz w:val="24"/>
          <w:szCs w:val="24"/>
        </w:rPr>
      </w:pPr>
    </w:p>
    <w:p w14:paraId="395B62B8" w14:textId="14ABE312" w:rsidR="00450799" w:rsidRPr="007B09E8" w:rsidRDefault="00450799" w:rsidP="00E872CF">
      <w:pPr>
        <w:snapToGrid w:val="0"/>
        <w:spacing w:after="0" w:line="360" w:lineRule="auto"/>
        <w:jc w:val="both"/>
        <w:rPr>
          <w:rFonts w:ascii="Book Antiqua" w:hAnsi="Book Antiqua" w:cstheme="majorBidi"/>
          <w:sz w:val="24"/>
          <w:szCs w:val="24"/>
        </w:rPr>
      </w:pPr>
      <w:r w:rsidRPr="007B09E8">
        <w:rPr>
          <w:rFonts w:ascii="Book Antiqua" w:hAnsi="Book Antiqua" w:cstheme="majorBidi"/>
          <w:b/>
          <w:bCs/>
          <w:sz w:val="24"/>
          <w:szCs w:val="24"/>
        </w:rPr>
        <w:t>Author contributions</w:t>
      </w:r>
      <w:r w:rsidRPr="007B09E8">
        <w:rPr>
          <w:rFonts w:ascii="Book Antiqua" w:hAnsi="Book Antiqua" w:cstheme="majorBidi"/>
          <w:sz w:val="24"/>
          <w:szCs w:val="24"/>
        </w:rPr>
        <w:t>: Kattan J initiated the review; Ghosn M, Ibrahim T</w:t>
      </w:r>
      <w:r w:rsidR="00E872CF" w:rsidRPr="007B09E8">
        <w:rPr>
          <w:rFonts w:ascii="Book Antiqua" w:hAnsi="Book Antiqua" w:cstheme="majorBidi" w:hint="eastAsia"/>
          <w:sz w:val="24"/>
          <w:szCs w:val="24"/>
          <w:lang w:eastAsia="zh-CN"/>
        </w:rPr>
        <w:t xml:space="preserve"> and </w:t>
      </w:r>
      <w:r w:rsidRPr="007B09E8">
        <w:rPr>
          <w:rFonts w:ascii="Book Antiqua" w:hAnsi="Book Antiqua" w:cstheme="majorBidi"/>
          <w:sz w:val="24"/>
          <w:szCs w:val="24"/>
        </w:rPr>
        <w:t>Assi T performed the review, analyzed the data and wrote first draft; Ghosn M, Kattan J, El Rassy E</w:t>
      </w:r>
      <w:r w:rsidR="00E872CF" w:rsidRPr="007B09E8">
        <w:rPr>
          <w:rFonts w:ascii="Book Antiqua" w:hAnsi="Book Antiqua" w:cstheme="majorBidi" w:hint="eastAsia"/>
          <w:sz w:val="24"/>
          <w:szCs w:val="24"/>
          <w:lang w:eastAsia="zh-CN"/>
        </w:rPr>
        <w:t xml:space="preserve"> and </w:t>
      </w:r>
      <w:r w:rsidR="005E4F9C" w:rsidRPr="007B09E8">
        <w:rPr>
          <w:rFonts w:ascii="Book Antiqua" w:hAnsi="Book Antiqua" w:cstheme="majorBidi"/>
          <w:sz w:val="24"/>
          <w:szCs w:val="24"/>
        </w:rPr>
        <w:t>Kourie HR</w:t>
      </w:r>
      <w:r w:rsidR="00604D6E" w:rsidRPr="007B09E8">
        <w:rPr>
          <w:rFonts w:ascii="Book Antiqua" w:hAnsi="Book Antiqua" w:cstheme="majorBidi" w:hint="eastAsia"/>
          <w:sz w:val="24"/>
          <w:szCs w:val="24"/>
          <w:lang w:eastAsia="zh-CN"/>
        </w:rPr>
        <w:t xml:space="preserve"> </w:t>
      </w:r>
      <w:r w:rsidRPr="007B09E8">
        <w:rPr>
          <w:rFonts w:ascii="Book Antiqua" w:hAnsi="Book Antiqua" w:cstheme="majorBidi"/>
          <w:sz w:val="24"/>
          <w:szCs w:val="24"/>
        </w:rPr>
        <w:t>reviewed and commented on the paper</w:t>
      </w:r>
      <w:r w:rsidR="00E872CF" w:rsidRPr="007B09E8">
        <w:rPr>
          <w:rFonts w:ascii="Book Antiqua" w:hAnsi="Book Antiqua" w:cstheme="majorBidi" w:hint="eastAsia"/>
          <w:sz w:val="24"/>
          <w:szCs w:val="24"/>
          <w:lang w:eastAsia="zh-CN"/>
        </w:rPr>
        <w:t>;</w:t>
      </w:r>
      <w:r w:rsidRPr="007B09E8">
        <w:rPr>
          <w:rFonts w:ascii="Book Antiqua" w:hAnsi="Book Antiqua" w:cstheme="majorBidi"/>
          <w:sz w:val="24"/>
          <w:szCs w:val="24"/>
        </w:rPr>
        <w:t xml:space="preserve"> </w:t>
      </w:r>
      <w:r w:rsidR="00E872CF" w:rsidRPr="007B09E8">
        <w:rPr>
          <w:rFonts w:ascii="Book Antiqua" w:hAnsi="Book Antiqua" w:cstheme="majorBidi"/>
          <w:sz w:val="24"/>
          <w:szCs w:val="24"/>
        </w:rPr>
        <w:t>a</w:t>
      </w:r>
      <w:r w:rsidRPr="007B09E8">
        <w:rPr>
          <w:rFonts w:ascii="Book Antiqua" w:hAnsi="Book Antiqua" w:cstheme="majorBidi"/>
          <w:sz w:val="24"/>
          <w:szCs w:val="24"/>
        </w:rPr>
        <w:t>ll authors provided final approval for the content.</w:t>
      </w:r>
    </w:p>
    <w:p w14:paraId="784B999E" w14:textId="77777777" w:rsidR="00687BFA" w:rsidRPr="007B09E8" w:rsidRDefault="00687BFA" w:rsidP="00E872CF">
      <w:pPr>
        <w:pStyle w:val="CommentText"/>
        <w:snapToGrid w:val="0"/>
        <w:spacing w:after="0" w:line="360" w:lineRule="auto"/>
        <w:jc w:val="both"/>
        <w:rPr>
          <w:rFonts w:ascii="Book Antiqua" w:hAnsi="Book Antiqua" w:cstheme="majorBidi"/>
          <w:b/>
          <w:bCs/>
          <w:sz w:val="24"/>
          <w:szCs w:val="24"/>
          <w:lang w:eastAsia="zh-CN"/>
        </w:rPr>
      </w:pPr>
    </w:p>
    <w:p w14:paraId="01E6FE25" w14:textId="77777777" w:rsidR="00450799" w:rsidRPr="007B09E8" w:rsidRDefault="00450799" w:rsidP="00E872CF">
      <w:pPr>
        <w:pStyle w:val="CommentText"/>
        <w:snapToGrid w:val="0"/>
        <w:spacing w:after="0" w:line="360" w:lineRule="auto"/>
        <w:jc w:val="both"/>
        <w:rPr>
          <w:rFonts w:ascii="Book Antiqua" w:eastAsiaTheme="minorHAnsi" w:hAnsi="Book Antiqua" w:cstheme="majorBidi"/>
          <w:sz w:val="24"/>
          <w:szCs w:val="24"/>
        </w:rPr>
      </w:pPr>
      <w:r w:rsidRPr="007B09E8">
        <w:rPr>
          <w:rFonts w:ascii="Book Antiqua" w:eastAsiaTheme="minorHAnsi" w:hAnsi="Book Antiqua" w:cstheme="majorBidi"/>
          <w:b/>
          <w:bCs/>
          <w:sz w:val="24"/>
          <w:szCs w:val="24"/>
        </w:rPr>
        <w:t>Conflict-of-interest statement</w:t>
      </w:r>
      <w:r w:rsidRPr="007B09E8">
        <w:rPr>
          <w:rFonts w:ascii="Book Antiqua" w:eastAsiaTheme="minorHAnsi" w:hAnsi="Book Antiqua" w:cstheme="majorBidi"/>
          <w:sz w:val="24"/>
          <w:szCs w:val="24"/>
        </w:rPr>
        <w:t>: To the best of our knowledge, no conflict of interest exists.</w:t>
      </w:r>
    </w:p>
    <w:p w14:paraId="0BE4E905" w14:textId="77777777" w:rsidR="00E872CF" w:rsidRPr="007B09E8" w:rsidRDefault="00E872CF" w:rsidP="00E872CF">
      <w:pPr>
        <w:pStyle w:val="CommentText"/>
        <w:snapToGrid w:val="0"/>
        <w:spacing w:after="0" w:line="360" w:lineRule="auto"/>
        <w:jc w:val="both"/>
        <w:rPr>
          <w:rFonts w:ascii="Book Antiqua" w:hAnsi="Book Antiqua" w:cstheme="majorBidi"/>
          <w:b/>
          <w:bCs/>
          <w:sz w:val="24"/>
          <w:szCs w:val="24"/>
          <w:lang w:eastAsia="zh-CN"/>
        </w:rPr>
      </w:pPr>
    </w:p>
    <w:p w14:paraId="73A0A493" w14:textId="77777777" w:rsidR="00E872CF" w:rsidRPr="007B09E8" w:rsidRDefault="00E872CF" w:rsidP="00E872CF">
      <w:pPr>
        <w:pStyle w:val="1"/>
        <w:snapToGrid w:val="0"/>
        <w:spacing w:line="360" w:lineRule="auto"/>
        <w:jc w:val="both"/>
        <w:rPr>
          <w:rFonts w:ascii="Book Antiqua" w:hAnsi="Book Antiqua" w:cs="Times New Roman"/>
          <w:bCs/>
          <w:color w:val="auto"/>
          <w:sz w:val="24"/>
          <w:highlight w:val="white"/>
          <w:lang w:val="en-US"/>
        </w:rPr>
      </w:pPr>
      <w:bookmarkStart w:id="22" w:name="OLE_LINK734"/>
      <w:bookmarkStart w:id="23" w:name="OLE_LINK441"/>
      <w:bookmarkStart w:id="24" w:name="OLE_LINK442"/>
      <w:bookmarkStart w:id="25" w:name="OLE_LINK1032"/>
      <w:bookmarkStart w:id="26" w:name="OLE_LINK1232"/>
      <w:bookmarkStart w:id="27" w:name="OLE_LINK559"/>
      <w:r w:rsidRPr="007B09E8">
        <w:rPr>
          <w:rFonts w:ascii="Book Antiqua" w:hAnsi="Book Antiqua" w:cs="Times New Roman"/>
          <w:b/>
          <w:bCs/>
          <w:color w:val="auto"/>
          <w:sz w:val="24"/>
          <w:highlight w:val="white"/>
          <w:lang w:val="en-US"/>
        </w:rPr>
        <w:t>Open-Access:</w:t>
      </w:r>
      <w:r w:rsidRPr="007B09E8">
        <w:rPr>
          <w:rFonts w:ascii="Book Antiqua" w:hAnsi="Book Antiqua" w:cs="Times New Roman"/>
          <w:bCs/>
          <w:color w:val="auto"/>
          <w:sz w:val="24"/>
          <w:highlight w:val="white"/>
          <w:lang w:val="en-US"/>
        </w:rPr>
        <w:t xml:space="preserve"> </w:t>
      </w:r>
      <w:bookmarkStart w:id="28" w:name="OLE_LINK479"/>
      <w:bookmarkStart w:id="29" w:name="OLE_LINK496"/>
      <w:bookmarkStart w:id="30" w:name="OLE_LINK506"/>
      <w:bookmarkStart w:id="31" w:name="OLE_LINK507"/>
      <w:r w:rsidRPr="007B09E8">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7B09E8">
        <w:rPr>
          <w:rFonts w:ascii="Book Antiqua" w:hAnsi="Book Antiqua" w:cs="Times New Roman" w:hint="eastAsia"/>
          <w:bCs/>
          <w:color w:val="auto"/>
          <w:sz w:val="24"/>
          <w:highlight w:val="white"/>
          <w:lang w:val="en-US" w:eastAsia="zh-CN"/>
        </w:rPr>
        <w:t xml:space="preserve"> </w:t>
      </w:r>
      <w:r w:rsidRPr="007B09E8">
        <w:rPr>
          <w:rFonts w:ascii="Book Antiqua" w:hAnsi="Book Antiqua" w:cs="Times New Roman"/>
          <w:bCs/>
          <w:color w:val="auto"/>
          <w:sz w:val="24"/>
          <w:highlight w:val="white"/>
          <w:lang w:val="en-US"/>
        </w:rPr>
        <w:t>in</w:t>
      </w:r>
      <w:r w:rsidRPr="007B09E8">
        <w:rPr>
          <w:rFonts w:ascii="Book Antiqua" w:hAnsi="Book Antiqua" w:cs="Times New Roman" w:hint="eastAsia"/>
          <w:bCs/>
          <w:color w:val="auto"/>
          <w:sz w:val="24"/>
          <w:highlight w:val="white"/>
          <w:lang w:val="en-US" w:eastAsia="zh-CN"/>
        </w:rPr>
        <w:t xml:space="preserve"> </w:t>
      </w:r>
      <w:r w:rsidRPr="007B09E8">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w:t>
      </w:r>
      <w:r w:rsidRPr="007B09E8">
        <w:rPr>
          <w:rFonts w:ascii="Book Antiqua" w:hAnsi="Book Antiqua" w:cs="Times New Roman"/>
          <w:bCs/>
          <w:color w:val="auto"/>
          <w:sz w:val="24"/>
          <w:highlight w:val="white"/>
          <w:lang w:val="en-US"/>
        </w:rPr>
        <w:lastRenderedPageBreak/>
        <w:t xml:space="preserve">original work is properly cited and the use is non-commercial. See: </w:t>
      </w:r>
      <w:hyperlink r:id="rId7" w:history="1">
        <w:r w:rsidRPr="007B09E8">
          <w:rPr>
            <w:rStyle w:val="Hyperlink"/>
            <w:rFonts w:ascii="Book Antiqua" w:hAnsi="Book Antiqua" w:cs="Times New Roman"/>
            <w:bCs/>
            <w:color w:val="auto"/>
            <w:sz w:val="24"/>
            <w:highlight w:val="white"/>
            <w:lang w:val="en-US"/>
          </w:rPr>
          <w:t>http://creativecommons.org/licenses/by-nc/4.0/</w:t>
        </w:r>
      </w:hyperlink>
      <w:bookmarkEnd w:id="22"/>
      <w:bookmarkEnd w:id="28"/>
      <w:bookmarkEnd w:id="29"/>
      <w:bookmarkEnd w:id="30"/>
      <w:bookmarkEnd w:id="31"/>
    </w:p>
    <w:bookmarkEnd w:id="23"/>
    <w:bookmarkEnd w:id="24"/>
    <w:bookmarkEnd w:id="25"/>
    <w:bookmarkEnd w:id="26"/>
    <w:bookmarkEnd w:id="27"/>
    <w:p w14:paraId="74D67DC8" w14:textId="77777777" w:rsidR="00E872CF" w:rsidRPr="007B09E8" w:rsidRDefault="00E872CF" w:rsidP="00E872CF">
      <w:pPr>
        <w:pStyle w:val="1"/>
        <w:snapToGrid w:val="0"/>
        <w:spacing w:line="360" w:lineRule="auto"/>
        <w:jc w:val="both"/>
        <w:rPr>
          <w:rFonts w:ascii="Book Antiqua" w:hAnsi="Book Antiqua" w:cs="Times New Roman"/>
          <w:b/>
          <w:bCs/>
          <w:color w:val="auto"/>
          <w:sz w:val="24"/>
          <w:highlight w:val="white"/>
          <w:lang w:val="en-US" w:eastAsia="zh-CN"/>
        </w:rPr>
      </w:pPr>
    </w:p>
    <w:p w14:paraId="63A44E86" w14:textId="77777777" w:rsidR="00E872CF" w:rsidRPr="007B09E8" w:rsidRDefault="00E872CF" w:rsidP="00E872CF">
      <w:pPr>
        <w:pStyle w:val="1"/>
        <w:snapToGrid w:val="0"/>
        <w:spacing w:line="360" w:lineRule="auto"/>
        <w:jc w:val="both"/>
        <w:rPr>
          <w:rFonts w:ascii="Book Antiqua" w:hAnsi="Book Antiqua" w:cs="Times New Roman"/>
          <w:b/>
          <w:bCs/>
          <w:color w:val="auto"/>
          <w:sz w:val="24"/>
          <w:highlight w:val="white"/>
          <w:lang w:val="en-US" w:eastAsia="zh-CN"/>
        </w:rPr>
      </w:pPr>
      <w:r w:rsidRPr="007B09E8">
        <w:rPr>
          <w:rFonts w:ascii="Book Antiqua" w:hAnsi="Book Antiqua" w:cs="Times New Roman"/>
          <w:b/>
          <w:bCs/>
          <w:color w:val="auto"/>
          <w:sz w:val="24"/>
          <w:highlight w:val="white"/>
          <w:lang w:val="en-US"/>
        </w:rPr>
        <w:t>Manuscript source:</w:t>
      </w:r>
      <w:r w:rsidRPr="007B09E8">
        <w:rPr>
          <w:rFonts w:ascii="Book Antiqua" w:hAnsi="Book Antiqua" w:cs="Times New Roman" w:hint="eastAsia"/>
          <w:b/>
          <w:bCs/>
          <w:color w:val="auto"/>
          <w:sz w:val="24"/>
          <w:highlight w:val="white"/>
          <w:lang w:val="en-US" w:eastAsia="zh-CN"/>
        </w:rPr>
        <w:t xml:space="preserve"> </w:t>
      </w:r>
      <w:r w:rsidRPr="007B09E8">
        <w:rPr>
          <w:rFonts w:ascii="Book Antiqua" w:hAnsi="Book Antiqua" w:cs="Times New Roman"/>
          <w:bCs/>
          <w:color w:val="auto"/>
          <w:sz w:val="24"/>
          <w:highlight w:val="white"/>
          <w:lang w:val="en-US"/>
        </w:rPr>
        <w:t>Invited manuscript</w:t>
      </w:r>
    </w:p>
    <w:p w14:paraId="67CC16CB" w14:textId="77777777" w:rsidR="00E872CF" w:rsidRPr="007B09E8" w:rsidRDefault="00E872CF" w:rsidP="00E872CF">
      <w:pPr>
        <w:pStyle w:val="CommentText"/>
        <w:snapToGrid w:val="0"/>
        <w:spacing w:after="0" w:line="360" w:lineRule="auto"/>
        <w:jc w:val="both"/>
        <w:rPr>
          <w:rFonts w:ascii="Book Antiqua" w:hAnsi="Book Antiqua" w:cstheme="majorBidi"/>
          <w:b/>
          <w:bCs/>
          <w:sz w:val="24"/>
          <w:szCs w:val="24"/>
          <w:lang w:eastAsia="zh-CN"/>
        </w:rPr>
      </w:pPr>
    </w:p>
    <w:p w14:paraId="142C6AA2" w14:textId="6B216BCF" w:rsidR="00687BFA" w:rsidRPr="007B09E8" w:rsidRDefault="00450799" w:rsidP="00E872CF">
      <w:pPr>
        <w:pStyle w:val="CommentText"/>
        <w:snapToGrid w:val="0"/>
        <w:spacing w:after="0" w:line="360" w:lineRule="auto"/>
        <w:jc w:val="both"/>
        <w:rPr>
          <w:rFonts w:ascii="Book Antiqua" w:hAnsi="Book Antiqua" w:cstheme="majorBidi"/>
          <w:sz w:val="24"/>
          <w:szCs w:val="24"/>
          <w:lang w:eastAsia="zh-CN"/>
        </w:rPr>
      </w:pPr>
      <w:r w:rsidRPr="007B09E8">
        <w:rPr>
          <w:rFonts w:ascii="Book Antiqua" w:eastAsiaTheme="minorHAnsi" w:hAnsi="Book Antiqua" w:cstheme="majorBidi"/>
          <w:b/>
          <w:bCs/>
          <w:sz w:val="24"/>
          <w:szCs w:val="24"/>
        </w:rPr>
        <w:t>Correspondence to</w:t>
      </w:r>
      <w:r w:rsidRPr="007B09E8">
        <w:rPr>
          <w:rFonts w:ascii="Book Antiqua" w:eastAsiaTheme="minorHAnsi" w:hAnsi="Book Antiqua" w:cstheme="majorBidi"/>
          <w:sz w:val="24"/>
          <w:szCs w:val="24"/>
        </w:rPr>
        <w:t xml:space="preserve">: </w:t>
      </w:r>
      <w:r w:rsidR="00664BD3" w:rsidRPr="007B09E8">
        <w:rPr>
          <w:rFonts w:ascii="Book Antiqua" w:hAnsi="Book Antiqua" w:cs="Arial"/>
          <w:b/>
          <w:sz w:val="24"/>
          <w:szCs w:val="24"/>
          <w:shd w:val="clear" w:color="auto" w:fill="FFFFFF"/>
        </w:rPr>
        <w:t>Marwan Ghosn, MD,</w:t>
      </w:r>
      <w:r w:rsidR="00664BD3" w:rsidRPr="007B09E8">
        <w:rPr>
          <w:rFonts w:ascii="Book Antiqua" w:hAnsi="Book Antiqua" w:cs="Arial"/>
          <w:sz w:val="24"/>
          <w:szCs w:val="24"/>
          <w:shd w:val="clear" w:color="auto" w:fill="FFFFFF"/>
        </w:rPr>
        <w:t xml:space="preserve"> Department of Oncology, Faculty of Medicine, Saint Joseph University,</w:t>
      </w:r>
      <w:r w:rsidR="00E872CF" w:rsidRPr="007B09E8">
        <w:rPr>
          <w:rFonts w:ascii="Book Antiqua" w:hAnsi="Book Antiqua" w:cs="Arial" w:hint="eastAsia"/>
          <w:sz w:val="24"/>
          <w:szCs w:val="24"/>
          <w:shd w:val="clear" w:color="auto" w:fill="FFFFFF"/>
          <w:lang w:eastAsia="zh-CN"/>
        </w:rPr>
        <w:t xml:space="preserve"> </w:t>
      </w:r>
      <w:r w:rsidR="00664BD3" w:rsidRPr="007B09E8">
        <w:rPr>
          <w:rFonts w:ascii="Book Antiqua" w:hAnsi="Book Antiqua" w:cs="Arial"/>
          <w:sz w:val="24"/>
          <w:szCs w:val="24"/>
          <w:shd w:val="clear" w:color="auto" w:fill="FFFFFF"/>
        </w:rPr>
        <w:t>Beirut 166830, Lebanon</w:t>
      </w:r>
      <w:r w:rsidR="0008021F" w:rsidRPr="007B09E8">
        <w:rPr>
          <w:rFonts w:ascii="Book Antiqua" w:hAnsi="Book Antiqua" w:cs="Arial" w:hint="eastAsia"/>
          <w:sz w:val="24"/>
          <w:szCs w:val="24"/>
          <w:shd w:val="clear" w:color="auto" w:fill="FFFFFF"/>
          <w:lang w:eastAsia="zh-CN"/>
        </w:rPr>
        <w:t xml:space="preserve">. </w:t>
      </w:r>
      <w:r w:rsidR="00664BD3" w:rsidRPr="007B09E8">
        <w:rPr>
          <w:rFonts w:ascii="Book Antiqua" w:hAnsi="Book Antiqua" w:cs="Arial"/>
          <w:sz w:val="24"/>
          <w:szCs w:val="24"/>
          <w:u w:val="single"/>
          <w:shd w:val="clear" w:color="auto" w:fill="FFFFFF"/>
        </w:rPr>
        <w:t>marwanghosnmd@yahoo.com</w:t>
      </w:r>
    </w:p>
    <w:p w14:paraId="305DD7BF" w14:textId="67D6547B" w:rsidR="00450799" w:rsidRPr="007B09E8" w:rsidRDefault="00450799" w:rsidP="00E872CF">
      <w:pPr>
        <w:pStyle w:val="CommentText"/>
        <w:snapToGrid w:val="0"/>
        <w:spacing w:after="0" w:line="360" w:lineRule="auto"/>
        <w:jc w:val="both"/>
        <w:rPr>
          <w:rFonts w:ascii="Book Antiqua" w:hAnsi="Book Antiqua" w:cstheme="majorBidi"/>
          <w:sz w:val="24"/>
          <w:szCs w:val="24"/>
          <w:lang w:eastAsia="zh-CN"/>
        </w:rPr>
      </w:pPr>
      <w:r w:rsidRPr="007B09E8">
        <w:rPr>
          <w:rFonts w:ascii="Book Antiqua" w:eastAsiaTheme="minorHAnsi" w:hAnsi="Book Antiqua" w:cstheme="majorBidi"/>
          <w:b/>
          <w:sz w:val="24"/>
          <w:szCs w:val="24"/>
        </w:rPr>
        <w:t>Telephone:</w:t>
      </w:r>
      <w:r w:rsidRPr="007B09E8">
        <w:rPr>
          <w:rFonts w:ascii="Book Antiqua" w:eastAsiaTheme="minorHAnsi" w:hAnsi="Book Antiqua" w:cstheme="majorBidi"/>
          <w:sz w:val="24"/>
          <w:szCs w:val="24"/>
        </w:rPr>
        <w:t xml:space="preserve"> </w:t>
      </w:r>
      <w:r w:rsidR="00664BD3" w:rsidRPr="007B09E8">
        <w:rPr>
          <w:rFonts w:ascii="Book Antiqua" w:eastAsiaTheme="minorHAnsi" w:hAnsi="Book Antiqua" w:cstheme="majorBidi"/>
          <w:sz w:val="24"/>
          <w:szCs w:val="24"/>
        </w:rPr>
        <w:t>+961</w:t>
      </w:r>
      <w:r w:rsidR="00E872CF" w:rsidRPr="007B09E8">
        <w:rPr>
          <w:rFonts w:ascii="Book Antiqua" w:hAnsi="Book Antiqua" w:cstheme="majorBidi" w:hint="eastAsia"/>
          <w:sz w:val="24"/>
          <w:szCs w:val="24"/>
          <w:lang w:eastAsia="zh-CN"/>
        </w:rPr>
        <w:t>-</w:t>
      </w:r>
      <w:r w:rsidR="00664BD3" w:rsidRPr="007B09E8">
        <w:rPr>
          <w:rFonts w:ascii="Book Antiqua" w:eastAsiaTheme="minorHAnsi" w:hAnsi="Book Antiqua" w:cstheme="majorBidi"/>
          <w:sz w:val="24"/>
          <w:szCs w:val="24"/>
        </w:rPr>
        <w:t>3</w:t>
      </w:r>
      <w:r w:rsidR="00E872CF" w:rsidRPr="007B09E8">
        <w:rPr>
          <w:rFonts w:ascii="Book Antiqua" w:hAnsi="Book Antiqua" w:cstheme="majorBidi" w:hint="eastAsia"/>
          <w:sz w:val="24"/>
          <w:szCs w:val="24"/>
          <w:lang w:eastAsia="zh-CN"/>
        </w:rPr>
        <w:t>-</w:t>
      </w:r>
      <w:r w:rsidR="00664BD3" w:rsidRPr="007B09E8">
        <w:rPr>
          <w:rFonts w:ascii="Book Antiqua" w:eastAsiaTheme="minorHAnsi" w:hAnsi="Book Antiqua" w:cstheme="majorBidi"/>
          <w:sz w:val="24"/>
          <w:szCs w:val="24"/>
        </w:rPr>
        <w:t>226842</w:t>
      </w:r>
    </w:p>
    <w:p w14:paraId="1A54F6B1" w14:textId="23EEEC68" w:rsidR="00E872CF" w:rsidRPr="007B09E8" w:rsidRDefault="00E14E7E" w:rsidP="00E872CF">
      <w:pPr>
        <w:pStyle w:val="CommentText"/>
        <w:snapToGrid w:val="0"/>
        <w:spacing w:after="0" w:line="360" w:lineRule="auto"/>
        <w:jc w:val="both"/>
        <w:rPr>
          <w:rFonts w:ascii="Book Antiqua" w:hAnsi="Book Antiqua" w:cstheme="majorBidi"/>
          <w:b/>
          <w:sz w:val="24"/>
          <w:szCs w:val="24"/>
          <w:lang w:eastAsia="zh-CN"/>
        </w:rPr>
      </w:pPr>
      <w:r w:rsidRPr="007B09E8">
        <w:rPr>
          <w:rFonts w:ascii="Book Antiqua" w:hAnsi="Book Antiqua" w:cstheme="majorBidi"/>
          <w:b/>
          <w:sz w:val="24"/>
          <w:szCs w:val="24"/>
          <w:lang w:eastAsia="zh-CN"/>
        </w:rPr>
        <w:t>Fax:</w:t>
      </w:r>
      <w:r w:rsidR="007B09E8" w:rsidRPr="007B09E8">
        <w:rPr>
          <w:rFonts w:ascii="Book Antiqua" w:hAnsi="Book Antiqua" w:cstheme="majorBidi" w:hint="eastAsia"/>
          <w:b/>
          <w:sz w:val="24"/>
          <w:szCs w:val="24"/>
          <w:lang w:eastAsia="zh-CN"/>
        </w:rPr>
        <w:t xml:space="preserve"> </w:t>
      </w:r>
      <w:r w:rsidR="00742A52" w:rsidRPr="007B09E8">
        <w:rPr>
          <w:rFonts w:ascii="Book Antiqua" w:hAnsi="Book Antiqua" w:cstheme="majorBidi"/>
          <w:sz w:val="24"/>
          <w:szCs w:val="24"/>
          <w:shd w:val="clear" w:color="auto" w:fill="FFFFFF"/>
        </w:rPr>
        <w:t>+961-1-613397</w:t>
      </w:r>
    </w:p>
    <w:p w14:paraId="7C782FFB" w14:textId="77777777" w:rsidR="00E14E7E" w:rsidRPr="007B09E8" w:rsidRDefault="00E14E7E" w:rsidP="00E872CF">
      <w:pPr>
        <w:pStyle w:val="CommentText"/>
        <w:snapToGrid w:val="0"/>
        <w:spacing w:after="0" w:line="360" w:lineRule="auto"/>
        <w:jc w:val="both"/>
        <w:rPr>
          <w:rFonts w:ascii="Book Antiqua" w:hAnsi="Book Antiqua" w:cstheme="majorBidi"/>
          <w:sz w:val="24"/>
          <w:szCs w:val="24"/>
          <w:lang w:eastAsia="zh-CN"/>
        </w:rPr>
      </w:pPr>
    </w:p>
    <w:p w14:paraId="0EC10F09" w14:textId="53162A0A" w:rsidR="00E872CF" w:rsidRPr="007B09E8" w:rsidRDefault="00E872CF" w:rsidP="00E872CF">
      <w:pPr>
        <w:snapToGrid w:val="0"/>
        <w:spacing w:after="0" w:line="360" w:lineRule="auto"/>
        <w:jc w:val="both"/>
        <w:rPr>
          <w:rFonts w:ascii="Book Antiqua" w:eastAsia="SimSun" w:hAnsi="Book Antiqua" w:cs="SimSun"/>
          <w:b/>
          <w:sz w:val="24"/>
          <w:szCs w:val="24"/>
          <w:lang w:eastAsia="zh-CN"/>
        </w:rPr>
      </w:pPr>
      <w:r w:rsidRPr="007B09E8">
        <w:rPr>
          <w:rFonts w:ascii="Book Antiqua" w:eastAsia="SimSun" w:hAnsi="Book Antiqua" w:cs="SimSun"/>
          <w:b/>
          <w:sz w:val="24"/>
          <w:szCs w:val="24"/>
          <w:lang w:eastAsia="zh-CN"/>
        </w:rPr>
        <w:t>Received:</w:t>
      </w:r>
      <w:r w:rsidRPr="007B09E8">
        <w:rPr>
          <w:rFonts w:ascii="Book Antiqua" w:eastAsia="SimSun" w:hAnsi="Book Antiqua" w:cs="SimSun" w:hint="eastAsia"/>
          <w:b/>
          <w:sz w:val="24"/>
          <w:szCs w:val="24"/>
          <w:lang w:eastAsia="zh-CN"/>
        </w:rPr>
        <w:t xml:space="preserve"> </w:t>
      </w:r>
      <w:r w:rsidRPr="007B09E8">
        <w:rPr>
          <w:rFonts w:ascii="Book Antiqua" w:eastAsia="SimSun" w:hAnsi="Book Antiqua" w:cs="SimSun" w:hint="eastAsia"/>
          <w:sz w:val="24"/>
          <w:szCs w:val="24"/>
          <w:lang w:eastAsia="zh-CN"/>
        </w:rPr>
        <w:t>August 21, 2016</w:t>
      </w:r>
    </w:p>
    <w:p w14:paraId="1F6A72DC" w14:textId="621B6A32" w:rsidR="00E872CF" w:rsidRPr="007B09E8" w:rsidRDefault="00E872CF" w:rsidP="00E872CF">
      <w:pPr>
        <w:snapToGrid w:val="0"/>
        <w:spacing w:after="0" w:line="360" w:lineRule="auto"/>
        <w:jc w:val="both"/>
        <w:rPr>
          <w:rFonts w:ascii="Book Antiqua" w:eastAsia="SimSun" w:hAnsi="Book Antiqua" w:cs="SimSun"/>
          <w:b/>
          <w:sz w:val="24"/>
          <w:szCs w:val="24"/>
          <w:lang w:eastAsia="zh-CN"/>
        </w:rPr>
      </w:pPr>
      <w:r w:rsidRPr="007B09E8">
        <w:rPr>
          <w:rFonts w:ascii="Book Antiqua" w:eastAsia="SimSun" w:hAnsi="Book Antiqua" w:cs="SimSun"/>
          <w:b/>
          <w:sz w:val="24"/>
          <w:szCs w:val="24"/>
          <w:lang w:eastAsia="zh-CN"/>
        </w:rPr>
        <w:t>Peer-review started:</w:t>
      </w:r>
      <w:r w:rsidRPr="007B09E8">
        <w:rPr>
          <w:rFonts w:ascii="Book Antiqua" w:eastAsia="SimSun" w:hAnsi="Book Antiqua" w:cs="SimSun" w:hint="eastAsia"/>
          <w:b/>
          <w:sz w:val="24"/>
          <w:szCs w:val="24"/>
          <w:lang w:eastAsia="zh-CN"/>
        </w:rPr>
        <w:t xml:space="preserve"> </w:t>
      </w:r>
      <w:r w:rsidRPr="007B09E8">
        <w:rPr>
          <w:rFonts w:ascii="Book Antiqua" w:eastAsia="SimSun" w:hAnsi="Book Antiqua" w:cs="SimSun" w:hint="eastAsia"/>
          <w:sz w:val="24"/>
          <w:szCs w:val="24"/>
          <w:lang w:eastAsia="zh-CN"/>
        </w:rPr>
        <w:t>August 25, 2016</w:t>
      </w:r>
    </w:p>
    <w:p w14:paraId="51C52A4D" w14:textId="50C5FD12" w:rsidR="00E872CF" w:rsidRPr="007B09E8" w:rsidRDefault="00E872CF" w:rsidP="00E872CF">
      <w:pPr>
        <w:snapToGrid w:val="0"/>
        <w:spacing w:after="0" w:line="360" w:lineRule="auto"/>
        <w:jc w:val="both"/>
        <w:rPr>
          <w:rFonts w:ascii="Book Antiqua" w:eastAsia="SimSun" w:hAnsi="Book Antiqua" w:cs="SimSun"/>
          <w:b/>
          <w:sz w:val="24"/>
          <w:szCs w:val="24"/>
          <w:lang w:eastAsia="zh-CN"/>
        </w:rPr>
      </w:pPr>
      <w:r w:rsidRPr="007B09E8">
        <w:rPr>
          <w:rFonts w:ascii="Book Antiqua" w:eastAsia="SimSun" w:hAnsi="Book Antiqua" w:cs="SimSun"/>
          <w:b/>
          <w:sz w:val="24"/>
          <w:szCs w:val="24"/>
          <w:lang w:eastAsia="zh-CN"/>
        </w:rPr>
        <w:t>First decision:</w:t>
      </w:r>
      <w:r w:rsidRPr="007B09E8">
        <w:rPr>
          <w:rFonts w:ascii="Book Antiqua" w:eastAsia="SimSun" w:hAnsi="Book Antiqua" w:cs="SimSun" w:hint="eastAsia"/>
          <w:sz w:val="24"/>
          <w:szCs w:val="24"/>
          <w:lang w:eastAsia="zh-CN"/>
        </w:rPr>
        <w:t xml:space="preserve"> September 5, 2016</w:t>
      </w:r>
    </w:p>
    <w:p w14:paraId="13F4B7A6" w14:textId="60BA6AA1" w:rsidR="00E872CF" w:rsidRPr="007B09E8" w:rsidRDefault="00E872CF" w:rsidP="00E872CF">
      <w:pPr>
        <w:snapToGrid w:val="0"/>
        <w:spacing w:after="0" w:line="360" w:lineRule="auto"/>
        <w:jc w:val="both"/>
        <w:rPr>
          <w:rFonts w:ascii="Book Antiqua" w:eastAsia="SimSun" w:hAnsi="Book Antiqua" w:cs="SimSun"/>
          <w:b/>
          <w:sz w:val="24"/>
          <w:szCs w:val="24"/>
          <w:lang w:eastAsia="zh-CN"/>
        </w:rPr>
      </w:pPr>
      <w:r w:rsidRPr="007B09E8">
        <w:rPr>
          <w:rFonts w:ascii="Book Antiqua" w:eastAsia="SimSun" w:hAnsi="Book Antiqua" w:cs="SimSun"/>
          <w:b/>
          <w:sz w:val="24"/>
          <w:szCs w:val="24"/>
          <w:lang w:eastAsia="zh-CN"/>
        </w:rPr>
        <w:t>Revised:</w:t>
      </w:r>
      <w:r w:rsidRPr="007B09E8">
        <w:rPr>
          <w:rFonts w:ascii="Book Antiqua" w:eastAsia="SimSun" w:hAnsi="Book Antiqua" w:cs="SimSun" w:hint="eastAsia"/>
          <w:b/>
          <w:sz w:val="24"/>
          <w:szCs w:val="24"/>
          <w:lang w:eastAsia="zh-CN"/>
        </w:rPr>
        <w:t xml:space="preserve"> </w:t>
      </w:r>
      <w:r w:rsidRPr="007B09E8">
        <w:rPr>
          <w:rFonts w:ascii="Book Antiqua" w:eastAsia="SimSun" w:hAnsi="Book Antiqua" w:cs="SimSun" w:hint="eastAsia"/>
          <w:sz w:val="24"/>
          <w:szCs w:val="24"/>
          <w:lang w:eastAsia="zh-CN"/>
        </w:rPr>
        <w:t>September 23, 2016</w:t>
      </w:r>
    </w:p>
    <w:p w14:paraId="2E360F75" w14:textId="1A2E0B5C" w:rsidR="00E872CF" w:rsidRPr="00A527A1" w:rsidRDefault="00E872CF" w:rsidP="00A527A1">
      <w:pPr>
        <w:spacing w:line="360" w:lineRule="auto"/>
        <w:rPr>
          <w:rFonts w:ascii="Book Antiqua" w:hAnsi="Book Antiqua"/>
          <w:color w:val="000000"/>
          <w:sz w:val="24"/>
        </w:rPr>
      </w:pPr>
      <w:r w:rsidRPr="007B09E8">
        <w:rPr>
          <w:rFonts w:ascii="Book Antiqua" w:eastAsia="SimSun" w:hAnsi="Book Antiqua" w:cs="SimSun"/>
          <w:b/>
          <w:sz w:val="24"/>
          <w:szCs w:val="24"/>
          <w:lang w:eastAsia="zh-CN"/>
        </w:rPr>
        <w:t>Accepted:</w:t>
      </w:r>
      <w:r w:rsidR="00A527A1" w:rsidRPr="00A527A1">
        <w:rPr>
          <w:rFonts w:ascii="Book Antiqua" w:hAnsi="Book Antiqua"/>
          <w:color w:val="000000"/>
          <w:sz w:val="24"/>
        </w:rPr>
        <w:t xml:space="preserve"> </w:t>
      </w:r>
      <w:r w:rsidR="00A527A1">
        <w:rPr>
          <w:rFonts w:ascii="Book Antiqua" w:hAnsi="Book Antiqua"/>
          <w:color w:val="000000"/>
          <w:sz w:val="24"/>
        </w:rPr>
        <w:t>October 30, 2016</w:t>
      </w:r>
      <w:bookmarkStart w:id="32" w:name="_GoBack"/>
      <w:bookmarkEnd w:id="32"/>
    </w:p>
    <w:p w14:paraId="6AFBBF29" w14:textId="77777777" w:rsidR="00E872CF" w:rsidRPr="007B09E8" w:rsidRDefault="00E872CF" w:rsidP="00E872CF">
      <w:pPr>
        <w:snapToGrid w:val="0"/>
        <w:spacing w:after="0" w:line="360" w:lineRule="auto"/>
        <w:jc w:val="both"/>
        <w:rPr>
          <w:rFonts w:ascii="Book Antiqua" w:eastAsia="SimSun" w:hAnsi="Book Antiqua" w:cs="SimSun"/>
          <w:b/>
          <w:sz w:val="24"/>
          <w:szCs w:val="24"/>
          <w:lang w:eastAsia="zh-CN"/>
        </w:rPr>
      </w:pPr>
      <w:r w:rsidRPr="007B09E8">
        <w:rPr>
          <w:rFonts w:ascii="Book Antiqua" w:eastAsia="SimSun" w:hAnsi="Book Antiqua" w:cs="SimSun"/>
          <w:b/>
          <w:sz w:val="24"/>
          <w:szCs w:val="24"/>
          <w:lang w:eastAsia="zh-CN"/>
        </w:rPr>
        <w:t>Article in press:</w:t>
      </w:r>
    </w:p>
    <w:p w14:paraId="56E188EC" w14:textId="77777777" w:rsidR="00E872CF" w:rsidRPr="007B09E8" w:rsidRDefault="00E872CF" w:rsidP="00E872CF">
      <w:pPr>
        <w:snapToGrid w:val="0"/>
        <w:spacing w:after="0" w:line="360" w:lineRule="auto"/>
        <w:jc w:val="both"/>
        <w:rPr>
          <w:rFonts w:ascii="Book Antiqua" w:eastAsia="SimSun" w:hAnsi="Book Antiqua" w:cs="Arial"/>
          <w:b/>
          <w:sz w:val="24"/>
          <w:szCs w:val="24"/>
          <w:lang w:val="pl-PL" w:eastAsia="zh-CN"/>
        </w:rPr>
      </w:pPr>
      <w:r w:rsidRPr="007B09E8">
        <w:rPr>
          <w:rFonts w:ascii="Book Antiqua" w:eastAsia="SimSun" w:hAnsi="Book Antiqua" w:cs="Arial"/>
          <w:b/>
          <w:sz w:val="24"/>
          <w:szCs w:val="24"/>
          <w:lang w:val="pl-PL" w:eastAsia="pl-PL"/>
        </w:rPr>
        <w:t>Published online</w:t>
      </w:r>
      <w:r w:rsidRPr="007B09E8">
        <w:rPr>
          <w:rFonts w:ascii="Book Antiqua" w:eastAsia="SimSun" w:hAnsi="Book Antiqua" w:cs="Arial" w:hint="eastAsia"/>
          <w:b/>
          <w:sz w:val="24"/>
          <w:szCs w:val="24"/>
          <w:lang w:val="pl-PL" w:eastAsia="pl-PL"/>
        </w:rPr>
        <w:t>:</w:t>
      </w:r>
    </w:p>
    <w:p w14:paraId="48889A79" w14:textId="77777777" w:rsidR="00E872CF" w:rsidRPr="007B09E8" w:rsidRDefault="00E872CF" w:rsidP="00E872CF">
      <w:pPr>
        <w:pStyle w:val="CommentText"/>
        <w:snapToGrid w:val="0"/>
        <w:spacing w:after="0" w:line="360" w:lineRule="auto"/>
        <w:jc w:val="both"/>
        <w:rPr>
          <w:rFonts w:ascii="Book Antiqua" w:hAnsi="Book Antiqua" w:cstheme="majorBidi"/>
          <w:sz w:val="24"/>
          <w:szCs w:val="24"/>
          <w:lang w:eastAsia="zh-CN"/>
        </w:rPr>
      </w:pPr>
    </w:p>
    <w:p w14:paraId="46D3BCCD" w14:textId="77777777" w:rsidR="00450799" w:rsidRPr="007B09E8" w:rsidRDefault="00450799" w:rsidP="00E872CF">
      <w:pPr>
        <w:snapToGrid w:val="0"/>
        <w:spacing w:after="0" w:line="360" w:lineRule="auto"/>
        <w:jc w:val="both"/>
        <w:rPr>
          <w:rFonts w:ascii="Book Antiqua" w:hAnsi="Book Antiqua" w:cstheme="majorBidi"/>
          <w:sz w:val="24"/>
          <w:szCs w:val="24"/>
        </w:rPr>
      </w:pPr>
      <w:r w:rsidRPr="007B09E8">
        <w:rPr>
          <w:rFonts w:ascii="Book Antiqua" w:hAnsi="Book Antiqua" w:cstheme="majorBidi"/>
          <w:sz w:val="24"/>
          <w:szCs w:val="24"/>
        </w:rPr>
        <w:br w:type="page"/>
      </w:r>
    </w:p>
    <w:p w14:paraId="5F34EC9B" w14:textId="77777777" w:rsidR="0017410A" w:rsidRPr="007B09E8" w:rsidRDefault="0017410A" w:rsidP="00E872CF">
      <w:pPr>
        <w:pStyle w:val="Heading1"/>
        <w:snapToGrid w:val="0"/>
        <w:spacing w:before="0" w:line="360" w:lineRule="auto"/>
        <w:jc w:val="both"/>
        <w:rPr>
          <w:rFonts w:ascii="Book Antiqua" w:hAnsi="Book Antiqua"/>
          <w:color w:val="auto"/>
          <w:sz w:val="24"/>
          <w:szCs w:val="24"/>
        </w:rPr>
      </w:pPr>
      <w:r w:rsidRPr="007B09E8">
        <w:rPr>
          <w:rFonts w:ascii="Book Antiqua" w:hAnsi="Book Antiqua"/>
          <w:color w:val="auto"/>
          <w:sz w:val="24"/>
          <w:szCs w:val="24"/>
        </w:rPr>
        <w:lastRenderedPageBreak/>
        <w:t>Abstract</w:t>
      </w:r>
    </w:p>
    <w:p w14:paraId="0C65DB9D" w14:textId="2A01ED2A" w:rsidR="0017410A" w:rsidRPr="007B09E8" w:rsidRDefault="0017410A" w:rsidP="00E872CF">
      <w:pPr>
        <w:pStyle w:val="CommentText"/>
        <w:snapToGrid w:val="0"/>
        <w:spacing w:after="0" w:line="360" w:lineRule="auto"/>
        <w:jc w:val="both"/>
        <w:rPr>
          <w:rFonts w:ascii="Book Antiqua" w:eastAsiaTheme="minorHAnsi" w:hAnsi="Book Antiqua" w:cstheme="majorBidi"/>
          <w:sz w:val="24"/>
          <w:szCs w:val="24"/>
        </w:rPr>
      </w:pPr>
      <w:r w:rsidRPr="007B09E8">
        <w:rPr>
          <w:rFonts w:ascii="Book Antiqua" w:eastAsiaTheme="minorHAnsi" w:hAnsi="Book Antiqua" w:cstheme="majorBidi"/>
          <w:sz w:val="24"/>
          <w:szCs w:val="24"/>
        </w:rPr>
        <w:t xml:space="preserve">Pancreatic cancer is one of the deadliest cancers, ranking fourth among cancer-related deaths. Despite all the major molecular advances and treatment breakthroughs, mainly targeted therapies, the cornerstone treatment of metastatic pancreatic cancer (mPC) remains cytotoxic chemotherapy. In 2016, more than 40 years after the introduction of gemcitabine in the management of mPC, the best choice for first-line treatment has not yet been fully elucidated. Two main strategies have been adopted to enhance treatment efficacy. The first strategy is based on combining non-cross resistant drugs, while the second option includes the development of newer generations of chemotherapy. More recently, two new regimens, FOLFIRINOX and </w:t>
      </w:r>
      <w:r w:rsidR="006A1A78" w:rsidRPr="007B09E8">
        <w:rPr>
          <w:rFonts w:ascii="Book Antiqua" w:eastAsiaTheme="minorHAnsi" w:hAnsi="Book Antiqua" w:cstheme="majorBidi"/>
          <w:sz w:val="24"/>
          <w:szCs w:val="24"/>
        </w:rPr>
        <w:t>g</w:t>
      </w:r>
      <w:r w:rsidRPr="007B09E8">
        <w:rPr>
          <w:rFonts w:ascii="Book Antiqua" w:eastAsiaTheme="minorHAnsi" w:hAnsi="Book Antiqua" w:cstheme="majorBidi"/>
          <w:sz w:val="24"/>
          <w:szCs w:val="24"/>
        </w:rPr>
        <w:t>emcitabine/nab-paclitaxel (GNP), have both been shown to improve overall survival in comparison with gemcitabine alone, at the cost of increased toxicity. Therefore, the</w:t>
      </w:r>
      <w:r w:rsidRPr="007B09E8">
        <w:rPr>
          <w:rFonts w:ascii="Book Antiqua" w:hAnsi="Book Antiqua" w:cstheme="majorBidi"/>
          <w:sz w:val="24"/>
          <w:szCs w:val="24"/>
        </w:rPr>
        <w:t xml:space="preserve"> best choice for first line therapy is a matter of debate. For some authors, FOLFIRINOX should be the first choice in patients with an </w:t>
      </w:r>
      <w:r w:rsidRPr="007B09E8">
        <w:rPr>
          <w:rStyle w:val="Emphasis"/>
          <w:rFonts w:ascii="Book Antiqua" w:hAnsi="Book Antiqua" w:cstheme="majorBidi"/>
          <w:i w:val="0"/>
          <w:iCs w:val="0"/>
          <w:sz w:val="24"/>
          <w:szCs w:val="24"/>
          <w:shd w:val="clear" w:color="auto" w:fill="FFFFFF"/>
        </w:rPr>
        <w:t>Eastern Cooperative Oncology Group</w:t>
      </w:r>
      <w:r w:rsidR="006A1A78" w:rsidRPr="007B09E8">
        <w:rPr>
          <w:rStyle w:val="Emphasis"/>
          <w:rFonts w:ascii="Book Antiqua" w:hAnsi="Book Antiqua" w:cstheme="majorBidi" w:hint="eastAsia"/>
          <w:i w:val="0"/>
          <w:iCs w:val="0"/>
          <w:sz w:val="24"/>
          <w:szCs w:val="24"/>
          <w:shd w:val="clear" w:color="auto" w:fill="FFFFFF"/>
          <w:lang w:eastAsia="zh-CN"/>
        </w:rPr>
        <w:t xml:space="preserve"> </w:t>
      </w:r>
      <w:r w:rsidRPr="007B09E8">
        <w:rPr>
          <w:rFonts w:ascii="Book Antiqua" w:hAnsi="Book Antiqua" w:cstheme="majorBidi"/>
          <w:sz w:val="24"/>
          <w:szCs w:val="24"/>
        </w:rPr>
        <w:t xml:space="preserve">score (0-1) given its lower hazard ratio. However, others do not share this opinion. </w:t>
      </w:r>
      <w:r w:rsidRPr="007B09E8">
        <w:rPr>
          <w:rFonts w:ascii="Book Antiqua" w:eastAsiaTheme="minorHAnsi" w:hAnsi="Book Antiqua" w:cstheme="majorBidi"/>
          <w:sz w:val="24"/>
          <w:szCs w:val="24"/>
        </w:rPr>
        <w:t xml:space="preserve">In this paper, we review the main comparison points between FOLFIRINOX and </w:t>
      </w:r>
      <w:r w:rsidR="006A1A78" w:rsidRPr="007B09E8">
        <w:rPr>
          <w:rFonts w:ascii="Book Antiqua" w:eastAsiaTheme="minorHAnsi" w:hAnsi="Book Antiqua" w:cstheme="majorBidi"/>
          <w:sz w:val="24"/>
          <w:szCs w:val="24"/>
        </w:rPr>
        <w:t>GNP</w:t>
      </w:r>
      <w:r w:rsidRPr="007B09E8">
        <w:rPr>
          <w:rFonts w:ascii="Book Antiqua" w:eastAsiaTheme="minorHAnsi" w:hAnsi="Book Antiqua" w:cstheme="majorBidi"/>
          <w:sz w:val="24"/>
          <w:szCs w:val="24"/>
        </w:rPr>
        <w:t>. We analyze the two pivotal trials to determine the similarities and differences in study design. In addition, we compare the toxicity profile of the two regimens as well as the impact on quality of life. Finally, we present studies revealing real life experiences and review the advantages and disadvantages of possible second-line therapies including their cost effectiveness.</w:t>
      </w:r>
    </w:p>
    <w:p w14:paraId="26F422E6" w14:textId="77777777" w:rsidR="006A1A78" w:rsidRPr="007B09E8" w:rsidRDefault="006A1A78" w:rsidP="00E872CF">
      <w:pPr>
        <w:pStyle w:val="CommentText"/>
        <w:snapToGrid w:val="0"/>
        <w:spacing w:after="0" w:line="360" w:lineRule="auto"/>
        <w:jc w:val="both"/>
        <w:rPr>
          <w:rFonts w:ascii="Book Antiqua" w:hAnsi="Book Antiqua" w:cstheme="majorBidi"/>
          <w:b/>
          <w:bCs/>
          <w:sz w:val="24"/>
          <w:szCs w:val="24"/>
          <w:lang w:eastAsia="zh-CN"/>
        </w:rPr>
      </w:pPr>
    </w:p>
    <w:p w14:paraId="3AA6DFB1" w14:textId="744B6CE7" w:rsidR="0017410A" w:rsidRPr="007B09E8" w:rsidRDefault="0017410A" w:rsidP="00E872CF">
      <w:pPr>
        <w:pStyle w:val="CommentText"/>
        <w:snapToGrid w:val="0"/>
        <w:spacing w:after="0" w:line="360" w:lineRule="auto"/>
        <w:jc w:val="both"/>
        <w:rPr>
          <w:rFonts w:ascii="Book Antiqua" w:hAnsi="Book Antiqua" w:cstheme="majorBidi"/>
          <w:sz w:val="24"/>
          <w:szCs w:val="24"/>
          <w:lang w:eastAsia="zh-CN"/>
        </w:rPr>
      </w:pPr>
      <w:r w:rsidRPr="007B09E8">
        <w:rPr>
          <w:rFonts w:ascii="Book Antiqua" w:hAnsi="Book Antiqua" w:cstheme="majorBidi"/>
          <w:b/>
          <w:bCs/>
          <w:sz w:val="24"/>
          <w:szCs w:val="24"/>
        </w:rPr>
        <w:t>Key words</w:t>
      </w:r>
      <w:r w:rsidRPr="007B09E8">
        <w:rPr>
          <w:rFonts w:ascii="Book Antiqua" w:hAnsi="Book Antiqua" w:cstheme="majorBidi"/>
          <w:sz w:val="24"/>
          <w:szCs w:val="24"/>
        </w:rPr>
        <w:t xml:space="preserve">: </w:t>
      </w:r>
      <w:r w:rsidRPr="007B09E8">
        <w:rPr>
          <w:rFonts w:ascii="Book Antiqua" w:hAnsi="Book Antiqua" w:cstheme="majorBidi"/>
          <w:caps/>
          <w:sz w:val="24"/>
          <w:szCs w:val="24"/>
        </w:rPr>
        <w:t>r</w:t>
      </w:r>
      <w:r w:rsidRPr="007B09E8">
        <w:rPr>
          <w:rFonts w:ascii="Book Antiqua" w:hAnsi="Book Antiqua" w:cstheme="majorBidi"/>
          <w:sz w:val="24"/>
          <w:szCs w:val="24"/>
        </w:rPr>
        <w:t xml:space="preserve">eview; </w:t>
      </w:r>
      <w:r w:rsidRPr="007B09E8">
        <w:rPr>
          <w:rFonts w:ascii="Book Antiqua" w:hAnsi="Book Antiqua" w:cstheme="majorBidi"/>
          <w:caps/>
          <w:sz w:val="24"/>
          <w:szCs w:val="24"/>
        </w:rPr>
        <w:t>m</w:t>
      </w:r>
      <w:r w:rsidRPr="007B09E8">
        <w:rPr>
          <w:rFonts w:ascii="Book Antiqua" w:hAnsi="Book Antiqua" w:cstheme="majorBidi"/>
          <w:sz w:val="24"/>
          <w:szCs w:val="24"/>
        </w:rPr>
        <w:t xml:space="preserve">etastatic pancreatic cancer; FOLFIRINOX; </w:t>
      </w:r>
      <w:r w:rsidRPr="007B09E8">
        <w:rPr>
          <w:rFonts w:ascii="Book Antiqua" w:hAnsi="Book Antiqua" w:cstheme="majorBidi"/>
          <w:caps/>
          <w:sz w:val="24"/>
          <w:szCs w:val="24"/>
        </w:rPr>
        <w:t>g</w:t>
      </w:r>
      <w:r w:rsidRPr="007B09E8">
        <w:rPr>
          <w:rFonts w:ascii="Book Antiqua" w:hAnsi="Book Antiqua" w:cstheme="majorBidi"/>
          <w:sz w:val="24"/>
          <w:szCs w:val="24"/>
        </w:rPr>
        <w:t xml:space="preserve">emcitabine/nab-paclitaxel; </w:t>
      </w:r>
      <w:r w:rsidRPr="007B09E8">
        <w:rPr>
          <w:rFonts w:ascii="Book Antiqua" w:hAnsi="Book Antiqua" w:cstheme="majorBidi"/>
          <w:caps/>
          <w:sz w:val="24"/>
          <w:szCs w:val="24"/>
        </w:rPr>
        <w:t>p</w:t>
      </w:r>
      <w:r w:rsidR="006A1A78" w:rsidRPr="007B09E8">
        <w:rPr>
          <w:rFonts w:ascii="Book Antiqua" w:hAnsi="Book Antiqua" w:cstheme="majorBidi"/>
          <w:sz w:val="24"/>
          <w:szCs w:val="24"/>
        </w:rPr>
        <w:t>ivotal trials</w:t>
      </w:r>
    </w:p>
    <w:p w14:paraId="4EE453C2" w14:textId="77777777" w:rsidR="0017410A" w:rsidRPr="007B09E8" w:rsidRDefault="0017410A" w:rsidP="00E872CF">
      <w:pPr>
        <w:pStyle w:val="CommentText"/>
        <w:snapToGrid w:val="0"/>
        <w:spacing w:after="0" w:line="360" w:lineRule="auto"/>
        <w:jc w:val="both"/>
        <w:rPr>
          <w:rFonts w:ascii="Book Antiqua" w:hAnsi="Book Antiqua" w:cstheme="majorBidi"/>
          <w:b/>
          <w:sz w:val="24"/>
          <w:szCs w:val="24"/>
          <w:lang w:eastAsia="zh-CN"/>
        </w:rPr>
      </w:pPr>
    </w:p>
    <w:p w14:paraId="5A271F5B" w14:textId="77777777" w:rsidR="006A1A78" w:rsidRPr="007B09E8" w:rsidRDefault="006A1A78" w:rsidP="006A1A78">
      <w:pPr>
        <w:adjustRightInd w:val="0"/>
        <w:snapToGrid w:val="0"/>
        <w:spacing w:after="0" w:line="360" w:lineRule="auto"/>
        <w:jc w:val="both"/>
        <w:rPr>
          <w:rFonts w:ascii="Book Antiqua" w:eastAsia="SimSun" w:hAnsi="Book Antiqua" w:cs="SimSun"/>
          <w:sz w:val="24"/>
          <w:szCs w:val="24"/>
          <w:lang w:eastAsia="zh-CN"/>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bookmarkStart w:id="41" w:name="OLE_LINK916"/>
      <w:r w:rsidRPr="007B09E8">
        <w:rPr>
          <w:rFonts w:ascii="Book Antiqua" w:eastAsia="SimSun" w:hAnsi="Book Antiqua" w:cs="SimSun" w:hint="eastAsia"/>
          <w:b/>
          <w:sz w:val="24"/>
          <w:szCs w:val="24"/>
          <w:lang w:eastAsia="zh-CN"/>
        </w:rPr>
        <w:t>©</w:t>
      </w:r>
      <w:r w:rsidRPr="007B09E8">
        <w:rPr>
          <w:rFonts w:ascii="Book Antiqua" w:eastAsia="SimSun" w:hAnsi="Book Antiqua" w:cs="SimSun"/>
          <w:b/>
          <w:sz w:val="24"/>
          <w:szCs w:val="24"/>
          <w:lang w:eastAsia="zh-CN"/>
        </w:rPr>
        <w:t xml:space="preserve"> The Author(s) 201</w:t>
      </w:r>
      <w:r w:rsidRPr="007B09E8">
        <w:rPr>
          <w:rFonts w:ascii="Book Antiqua" w:eastAsia="SimSun" w:hAnsi="Book Antiqua" w:cs="SimSun" w:hint="eastAsia"/>
          <w:b/>
          <w:sz w:val="24"/>
          <w:szCs w:val="24"/>
          <w:lang w:eastAsia="zh-CN"/>
        </w:rPr>
        <w:t>6</w:t>
      </w:r>
      <w:r w:rsidRPr="007B09E8">
        <w:rPr>
          <w:rFonts w:ascii="Book Antiqua" w:eastAsia="SimSun" w:hAnsi="Book Antiqua" w:cs="SimSun"/>
          <w:b/>
          <w:sz w:val="24"/>
          <w:szCs w:val="24"/>
          <w:lang w:eastAsia="zh-CN"/>
        </w:rPr>
        <w:t>.</w:t>
      </w:r>
      <w:r w:rsidRPr="007B09E8">
        <w:rPr>
          <w:rFonts w:ascii="Book Antiqua" w:eastAsia="SimSun" w:hAnsi="Book Antiqua" w:cs="SimSun"/>
          <w:sz w:val="24"/>
          <w:szCs w:val="24"/>
          <w:lang w:eastAsia="zh-CN"/>
        </w:rPr>
        <w:t xml:space="preserve"> Published by Baishideng Publishing Group Inc. All rights reserved.</w:t>
      </w:r>
    </w:p>
    <w:bookmarkEnd w:id="33"/>
    <w:bookmarkEnd w:id="34"/>
    <w:bookmarkEnd w:id="35"/>
    <w:bookmarkEnd w:id="36"/>
    <w:bookmarkEnd w:id="37"/>
    <w:bookmarkEnd w:id="38"/>
    <w:bookmarkEnd w:id="39"/>
    <w:bookmarkEnd w:id="40"/>
    <w:bookmarkEnd w:id="41"/>
    <w:p w14:paraId="5A04BB7A" w14:textId="77777777" w:rsidR="006A1A78" w:rsidRPr="007B09E8" w:rsidRDefault="006A1A78" w:rsidP="00E872CF">
      <w:pPr>
        <w:pStyle w:val="CommentText"/>
        <w:snapToGrid w:val="0"/>
        <w:spacing w:after="0" w:line="360" w:lineRule="auto"/>
        <w:jc w:val="both"/>
        <w:rPr>
          <w:rFonts w:ascii="Book Antiqua" w:hAnsi="Book Antiqua" w:cstheme="majorBidi"/>
          <w:b/>
          <w:sz w:val="24"/>
          <w:szCs w:val="24"/>
          <w:lang w:eastAsia="zh-CN"/>
        </w:rPr>
      </w:pPr>
    </w:p>
    <w:p w14:paraId="2EE051FC" w14:textId="1315013E" w:rsidR="0017410A" w:rsidRPr="007B09E8" w:rsidRDefault="0017410A" w:rsidP="00E872CF">
      <w:pPr>
        <w:pStyle w:val="CommentText"/>
        <w:snapToGrid w:val="0"/>
        <w:spacing w:after="0" w:line="360" w:lineRule="auto"/>
        <w:jc w:val="both"/>
        <w:rPr>
          <w:rFonts w:ascii="Book Antiqua" w:hAnsi="Book Antiqua" w:cstheme="majorBidi"/>
          <w:sz w:val="24"/>
          <w:szCs w:val="24"/>
        </w:rPr>
      </w:pPr>
      <w:r w:rsidRPr="007B09E8">
        <w:rPr>
          <w:rFonts w:ascii="Book Antiqua" w:hAnsi="Book Antiqua" w:cstheme="majorBidi"/>
          <w:b/>
          <w:sz w:val="24"/>
          <w:szCs w:val="24"/>
        </w:rPr>
        <w:t xml:space="preserve">Core tip: </w:t>
      </w:r>
      <w:r w:rsidRPr="007B09E8">
        <w:rPr>
          <w:rFonts w:ascii="Book Antiqua" w:eastAsiaTheme="minorHAnsi" w:hAnsi="Book Antiqua" w:cstheme="majorBidi"/>
          <w:sz w:val="24"/>
          <w:szCs w:val="24"/>
        </w:rPr>
        <w:t>This paper is a mini-review that compares the design of the two pivotal trials studying the role of</w:t>
      </w:r>
      <w:r w:rsidRPr="007B09E8">
        <w:rPr>
          <w:rFonts w:ascii="Book Antiqua" w:hAnsi="Book Antiqua" w:cstheme="majorBidi"/>
          <w:sz w:val="24"/>
          <w:szCs w:val="24"/>
        </w:rPr>
        <w:t xml:space="preserve"> FOLFIRINOX and </w:t>
      </w:r>
      <w:r w:rsidR="006A1A78" w:rsidRPr="007B09E8">
        <w:rPr>
          <w:rFonts w:ascii="Book Antiqua" w:hAnsi="Book Antiqua" w:cstheme="majorBidi"/>
          <w:sz w:val="24"/>
          <w:szCs w:val="24"/>
        </w:rPr>
        <w:t>g</w:t>
      </w:r>
      <w:r w:rsidRPr="007B09E8">
        <w:rPr>
          <w:rFonts w:ascii="Book Antiqua" w:hAnsi="Book Antiqua" w:cstheme="majorBidi"/>
          <w:sz w:val="24"/>
          <w:szCs w:val="24"/>
        </w:rPr>
        <w:t>emcitabine/</w:t>
      </w:r>
      <w:r w:rsidR="006A1A78" w:rsidRPr="007B09E8">
        <w:rPr>
          <w:rFonts w:ascii="Book Antiqua" w:hAnsi="Book Antiqua" w:cstheme="majorBidi"/>
          <w:sz w:val="24"/>
          <w:szCs w:val="24"/>
        </w:rPr>
        <w:t>n</w:t>
      </w:r>
      <w:r w:rsidRPr="007B09E8">
        <w:rPr>
          <w:rFonts w:ascii="Book Antiqua" w:hAnsi="Book Antiqua" w:cstheme="majorBidi"/>
          <w:sz w:val="24"/>
          <w:szCs w:val="24"/>
        </w:rPr>
        <w:t xml:space="preserve">ab-Paclitaxel in the management </w:t>
      </w:r>
      <w:r w:rsidRPr="007B09E8">
        <w:rPr>
          <w:rFonts w:ascii="Book Antiqua" w:hAnsi="Book Antiqua" w:cstheme="majorBidi"/>
          <w:sz w:val="24"/>
          <w:szCs w:val="24"/>
        </w:rPr>
        <w:lastRenderedPageBreak/>
        <w:t xml:space="preserve">of metastatic pancreatic cancer. It also analyzes the effects these regimens have on </w:t>
      </w:r>
      <w:r w:rsidRPr="007B09E8">
        <w:rPr>
          <w:rFonts w:ascii="Book Antiqua" w:eastAsiaTheme="minorHAnsi" w:hAnsi="Book Antiqua" w:cstheme="majorBidi"/>
          <w:sz w:val="24"/>
          <w:szCs w:val="24"/>
        </w:rPr>
        <w:t>toxicity profile, quality of life, real life experiences, choice of second-line therapy and cost.</w:t>
      </w:r>
    </w:p>
    <w:p w14:paraId="58C14F04" w14:textId="13D93E99" w:rsidR="00341BCD" w:rsidRPr="007B09E8" w:rsidRDefault="00341BCD" w:rsidP="00E872CF">
      <w:pPr>
        <w:snapToGrid w:val="0"/>
        <w:spacing w:after="0" w:line="360" w:lineRule="auto"/>
        <w:jc w:val="both"/>
        <w:rPr>
          <w:rFonts w:ascii="Book Antiqua" w:hAnsi="Book Antiqua" w:cs="Times New Roman"/>
          <w:sz w:val="24"/>
          <w:szCs w:val="24"/>
        </w:rPr>
      </w:pPr>
      <w:bookmarkStart w:id="42" w:name="OLE_LINK286"/>
      <w:bookmarkStart w:id="43" w:name="OLE_LINK287"/>
      <w:bookmarkStart w:id="44" w:name="OLE_LINK310"/>
      <w:bookmarkStart w:id="45" w:name="OLE_LINK579"/>
      <w:bookmarkStart w:id="46" w:name="OLE_LINK712"/>
      <w:bookmarkStart w:id="47" w:name="OLE_LINK47"/>
      <w:bookmarkStart w:id="48" w:name="OLE_LINK48"/>
      <w:bookmarkStart w:id="49" w:name="OLE_LINK232"/>
      <w:bookmarkStart w:id="50" w:name="OLE_LINK233"/>
      <w:bookmarkStart w:id="51" w:name="OLE_LINK271"/>
      <w:bookmarkStart w:id="52" w:name="OLE_LINK311"/>
      <w:bookmarkStart w:id="53" w:name="OLE_LINK452"/>
      <w:bookmarkStart w:id="54" w:name="OLE_LINK753"/>
      <w:bookmarkStart w:id="55" w:name="OLE_LINK775"/>
      <w:bookmarkStart w:id="56" w:name="OLE_LINK892"/>
      <w:bookmarkStart w:id="57" w:name="OLE_LINK907"/>
      <w:bookmarkStart w:id="58" w:name="OLE_LINK3"/>
      <w:bookmarkStart w:id="59" w:name="OLE_LINK4"/>
      <w:bookmarkStart w:id="60" w:name="OLE_LINK70"/>
      <w:bookmarkStart w:id="61" w:name="OLE_LINK118"/>
      <w:bookmarkStart w:id="62" w:name="OLE_LINK145"/>
      <w:bookmarkStart w:id="63" w:name="OLE_LINK218"/>
      <w:bookmarkStart w:id="64" w:name="OLE_LINK520"/>
      <w:bookmarkStart w:id="65" w:name="OLE_LINK537"/>
      <w:bookmarkStart w:id="66" w:name="OLE_LINK598"/>
      <w:bookmarkStart w:id="67" w:name="OLE_LINK728"/>
      <w:bookmarkStart w:id="68" w:name="OLE_LINK745"/>
      <w:bookmarkStart w:id="69" w:name="OLE_LINK200"/>
      <w:bookmarkStart w:id="70" w:name="OLE_LINK196"/>
      <w:bookmarkStart w:id="71" w:name="OLE_LINK341"/>
      <w:bookmarkStart w:id="72" w:name="OLE_LINK377"/>
      <w:bookmarkStart w:id="73" w:name="OLE_LINK366"/>
      <w:bookmarkStart w:id="74" w:name="OLE_LINK1038"/>
      <w:bookmarkStart w:id="75" w:name="OLE_LINK1166"/>
    </w:p>
    <w:p w14:paraId="36658B20" w14:textId="7C8A2044" w:rsidR="00687BFA" w:rsidRPr="007B09E8" w:rsidRDefault="006A1A78" w:rsidP="00E872CF">
      <w:pPr>
        <w:pStyle w:val="Heading1"/>
        <w:snapToGrid w:val="0"/>
        <w:spacing w:before="0" w:line="360" w:lineRule="auto"/>
        <w:jc w:val="both"/>
        <w:rPr>
          <w:rFonts w:ascii="Book Antiqua" w:hAnsi="Book Antiqua"/>
          <w:b w:val="0"/>
          <w:bCs w:val="0"/>
          <w:color w:val="auto"/>
          <w:sz w:val="24"/>
          <w:szCs w:val="24"/>
        </w:rPr>
      </w:pPr>
      <w:r w:rsidRPr="007B09E8">
        <w:rPr>
          <w:rFonts w:ascii="Book Antiqua" w:hAnsi="Book Antiqua"/>
          <w:b w:val="0"/>
          <w:bCs w:val="0"/>
          <w:color w:val="auto"/>
          <w:sz w:val="24"/>
          <w:szCs w:val="24"/>
        </w:rPr>
        <w:t>Ghosn M, Ibrahim T, Assi T, El Rassy E, Kourie HR</w:t>
      </w:r>
      <w:r w:rsidR="00341BCD" w:rsidRPr="007B09E8">
        <w:rPr>
          <w:rFonts w:ascii="Book Antiqua" w:hAnsi="Book Antiqua"/>
          <w:b w:val="0"/>
          <w:bCs w:val="0"/>
          <w:color w:val="auto"/>
          <w:sz w:val="24"/>
          <w:szCs w:val="24"/>
        </w:rPr>
        <w:t>, Kattan J.</w:t>
      </w:r>
      <w:r w:rsidRPr="007B09E8">
        <w:rPr>
          <w:rFonts w:ascii="Book Antiqua" w:hAnsi="Book Antiqua" w:hint="eastAsia"/>
          <w:b w:val="0"/>
          <w:bCs w:val="0"/>
          <w:color w:val="auto"/>
          <w:sz w:val="24"/>
          <w:szCs w:val="24"/>
          <w:lang w:eastAsia="zh-CN"/>
        </w:rPr>
        <w:t xml:space="preserve"> </w:t>
      </w:r>
      <w:r w:rsidR="00341BCD" w:rsidRPr="007B09E8">
        <w:rPr>
          <w:rFonts w:ascii="Book Antiqua" w:hAnsi="Book Antiqua"/>
          <w:b w:val="0"/>
          <w:bCs w:val="0"/>
          <w:caps/>
          <w:color w:val="auto"/>
          <w:sz w:val="24"/>
          <w:szCs w:val="24"/>
        </w:rPr>
        <w:t>d</w:t>
      </w:r>
      <w:r w:rsidR="00341BCD" w:rsidRPr="007B09E8">
        <w:rPr>
          <w:rFonts w:ascii="Book Antiqua" w:hAnsi="Book Antiqua"/>
          <w:b w:val="0"/>
          <w:bCs w:val="0"/>
          <w:color w:val="auto"/>
          <w:sz w:val="24"/>
          <w:szCs w:val="24"/>
        </w:rPr>
        <w:t xml:space="preserve">ilemma of first line regimens in metastatic pancreatic adenocarcinoma. </w:t>
      </w:r>
      <w:r w:rsidR="00687BFA" w:rsidRPr="007B09E8">
        <w:rPr>
          <w:rFonts w:ascii="Book Antiqua" w:hAnsi="Book Antiqua" w:cs="Times New Roman"/>
          <w:b w:val="0"/>
          <w:bCs w:val="0"/>
          <w:i/>
          <w:color w:val="auto"/>
          <w:sz w:val="24"/>
          <w:szCs w:val="24"/>
        </w:rPr>
        <w:t xml:space="preserve">World J Gastroenterol </w:t>
      </w:r>
      <w:r w:rsidR="00687BFA" w:rsidRPr="007B09E8">
        <w:rPr>
          <w:rFonts w:ascii="Book Antiqua" w:hAnsi="Book Antiqua" w:cs="Times New Roman"/>
          <w:b w:val="0"/>
          <w:bCs w:val="0"/>
          <w:color w:val="auto"/>
          <w:sz w:val="24"/>
          <w:szCs w:val="24"/>
        </w:rPr>
        <w:t>2016; In press</w:t>
      </w:r>
      <w:bookmarkEnd w:id="42"/>
      <w:bookmarkEnd w:id="43"/>
      <w:bookmarkEnd w:id="44"/>
      <w:bookmarkEnd w:id="45"/>
      <w:bookmarkEnd w:id="46"/>
      <w:bookmarkEnd w:id="47"/>
      <w:bookmarkEnd w:id="48"/>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375DB569" w14:textId="77777777" w:rsidR="00450799" w:rsidRPr="007B09E8" w:rsidRDefault="00450799" w:rsidP="00E872CF">
      <w:pPr>
        <w:snapToGrid w:val="0"/>
        <w:spacing w:after="0" w:line="360" w:lineRule="auto"/>
        <w:jc w:val="both"/>
        <w:rPr>
          <w:rFonts w:ascii="Book Antiqua" w:hAnsi="Book Antiqua" w:cstheme="majorBidi"/>
          <w:sz w:val="24"/>
          <w:szCs w:val="24"/>
          <w:lang w:eastAsia="zh-CN"/>
        </w:rPr>
      </w:pPr>
    </w:p>
    <w:p w14:paraId="21054647" w14:textId="77777777" w:rsidR="00450799" w:rsidRPr="007B09E8" w:rsidRDefault="00450799" w:rsidP="00E872CF">
      <w:pPr>
        <w:snapToGrid w:val="0"/>
        <w:spacing w:after="0" w:line="360" w:lineRule="auto"/>
        <w:jc w:val="both"/>
        <w:rPr>
          <w:rFonts w:ascii="Book Antiqua" w:eastAsiaTheme="majorEastAsia" w:hAnsi="Book Antiqua" w:cstheme="majorBidi"/>
          <w:b/>
          <w:bCs/>
          <w:sz w:val="24"/>
          <w:szCs w:val="24"/>
        </w:rPr>
      </w:pPr>
      <w:r w:rsidRPr="007B09E8">
        <w:rPr>
          <w:rFonts w:ascii="Book Antiqua" w:hAnsi="Book Antiqua" w:cstheme="majorBidi"/>
          <w:sz w:val="24"/>
          <w:szCs w:val="24"/>
        </w:rPr>
        <w:br w:type="page"/>
      </w:r>
    </w:p>
    <w:p w14:paraId="1DFF62DB" w14:textId="77777777" w:rsidR="0017410A" w:rsidRPr="007B09E8" w:rsidRDefault="0017410A" w:rsidP="00E872CF">
      <w:pPr>
        <w:pStyle w:val="Heading1"/>
        <w:snapToGrid w:val="0"/>
        <w:spacing w:before="0" w:line="360" w:lineRule="auto"/>
        <w:jc w:val="both"/>
        <w:rPr>
          <w:rFonts w:ascii="Book Antiqua" w:hAnsi="Book Antiqua"/>
          <w:caps/>
          <w:color w:val="auto"/>
          <w:sz w:val="24"/>
          <w:szCs w:val="24"/>
        </w:rPr>
      </w:pPr>
      <w:r w:rsidRPr="007B09E8">
        <w:rPr>
          <w:rFonts w:ascii="Book Antiqua" w:hAnsi="Book Antiqua"/>
          <w:caps/>
          <w:color w:val="auto"/>
          <w:sz w:val="24"/>
          <w:szCs w:val="24"/>
        </w:rPr>
        <w:lastRenderedPageBreak/>
        <w:t xml:space="preserve">Introduction </w:t>
      </w:r>
    </w:p>
    <w:p w14:paraId="69801D4F" w14:textId="3A9C667E" w:rsidR="0017410A" w:rsidRPr="007B09E8" w:rsidRDefault="0017410A" w:rsidP="00E872CF">
      <w:pPr>
        <w:snapToGrid w:val="0"/>
        <w:spacing w:after="0" w:line="360" w:lineRule="auto"/>
        <w:jc w:val="both"/>
        <w:rPr>
          <w:rFonts w:ascii="Book Antiqua" w:hAnsi="Book Antiqua" w:cstheme="majorBidi"/>
          <w:sz w:val="24"/>
          <w:szCs w:val="24"/>
        </w:rPr>
      </w:pPr>
      <w:r w:rsidRPr="007B09E8">
        <w:rPr>
          <w:rFonts w:ascii="Book Antiqua" w:hAnsi="Book Antiqua" w:cstheme="majorBidi"/>
          <w:sz w:val="24"/>
          <w:szCs w:val="24"/>
        </w:rPr>
        <w:t>Adenocarcinoma of the pancreas is one of the most aggressive human cancers, ranking fourth among cancer related deaths</w:t>
      </w:r>
      <w:r w:rsidRPr="007B09E8">
        <w:rPr>
          <w:rFonts w:ascii="Book Antiqua" w:hAnsi="Book Antiqua" w:cstheme="majorBidi"/>
          <w:sz w:val="24"/>
          <w:szCs w:val="24"/>
          <w:vertAlign w:val="superscript"/>
          <w:lang w:eastAsia="zh-CN"/>
        </w:rPr>
        <w:t>[1]</w:t>
      </w:r>
      <w:r w:rsidRPr="007B09E8">
        <w:rPr>
          <w:rFonts w:ascii="Book Antiqua" w:hAnsi="Book Antiqua" w:cstheme="majorBidi"/>
          <w:sz w:val="24"/>
          <w:szCs w:val="24"/>
        </w:rPr>
        <w:t>. Recent biomolecular progress has led to a better comprehension of pancreatic carcinogenesis; however, the revolutionary targeted and immune therapies have not shown any significant results</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4j082ipuq","properties":{"formattedCitation":"(2)","plainCitation":"(2)"},"citationItems":[{"id":3875,"uris":["http://zotero.org/users/local/f5Q4Fz2E/items/HHI99Q3F"],"uri":["http://zotero.org/users/local/f5Q4Fz2E/items/HHI99Q3F"],"itemData":{"id":3875,"type":"article-journal","title":"Is metastatic pancreatic cancer an untargetable malignancy?","container-title":"World Journal of Gastrointestinal Oncology","page":"297-304","volume":"8","issue":"3","source":"PubMed","abstract":"Metastatic pancreatic cancer (MPC) is one of the most aggressive malignancies, known to be chemo-resistant and have been recently considered resistant to some targeted therapies (TT). Erlotinib combined to gemcitabine is the only targeted therapy that showed an overall survival benefit in MPC. New targets and therapeutic approaches, based on new-TT, are actually being evaluated in MPC going from immunotherapy, epigenetics, tumor suppressor gene and oncogenes to stromal matrix regulators. We aim in this paper to present the major causes rendering MPC an untargetable malignancy and to focus on the new therapeutic modalities based on TT in MPC.","DOI":"10.4251/wjgo.v8.i3.297","ISSN":"1948-5204","note":"PMID: 26989465\nPMCID: PMC4789615","journalAbbreviation":"World J Gastrointest Oncol","language":"eng","author":[{"family":"Kourie","given":"Hampig Raphael"},{"family":"Gharios","given":"Joseph"},{"family":"Elkarak","given":"Fadi"},{"family":"Antoun","given":"Joelle"},{"family":"Ghosn","given":"Marwan"}],"issued":{"date-parts":[["2016",3,15]]},"PMID":"26989465","PMCID":"PMC4789615"}}],"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[2</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xml:space="preserve">. Subsequently, cytotoxic drugs remain the backbone of treatment for </w:t>
      </w:r>
      <w:r w:rsidR="006A1A78" w:rsidRPr="007B09E8">
        <w:rPr>
          <w:rFonts w:ascii="Book Antiqua" w:eastAsiaTheme="minorHAnsi" w:hAnsi="Book Antiqua" w:cstheme="majorBidi"/>
          <w:sz w:val="24"/>
          <w:szCs w:val="24"/>
        </w:rPr>
        <w:t>metastatic pancreatic cancer (mPC)</w:t>
      </w:r>
      <w:r w:rsidRPr="007B09E8">
        <w:rPr>
          <w:rFonts w:ascii="Book Antiqua" w:hAnsi="Book Antiqua" w:cstheme="majorBidi"/>
          <w:sz w:val="24"/>
          <w:szCs w:val="24"/>
        </w:rPr>
        <w:t>. Gemcitabine has been the standard of care in mPC since 1996, providing a limited survival of six months due to the intrinsic capacity of cancer cells and the surrounding microenvironment to resist cytotoxicity</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{"citationID":"1de3301gmm","properties":{"formattedCitation":"{\\rtf (3\\uc0\\u8211{}5)}","plainCitation":"(3–5)"},"citationItems":[{"id":2647,"uris":["http://zotero.org/users/local/f5Q4Fz2E/items/MCD9ATXZ"],"uri":["http://zotero.org/users/local/f5Q4Fz2E/items/MCD9ATXZ"],"itemData":{"id":2647,"type":"article-journal","title":"Improvements in survival and clinical benefit with gemcitabine as first-line therapy for patients with advanced pancreas cancer: a randomized trial","container-title":"Journal of Clinical Oncology: Official Journal of the American Society of Clinical Oncology","page":"2403-2413","volume":"15","issue":"6","source":"PubMed","abstract":"PURPOSE: Most patients with advanced pancreas cancer experience pain and must limit their daily activities because of tumor-related symptoms. To date, no treatment has had a significant impact on the disease. In early studies with gemcitabine, patients with pancreas cancer experienced an improvement in disease-related symptoms. Based on those findings, a definitive trial was performed to assess the effectiveness of gemcitabine in patients with newly diagnosed advanced pancreas cancer.\nPATIENTS AND METHODS: One hundred twenty-six patients with advanced symptomatic pancreas cancer completed a lead-in period to characterize and stabilize pain and were randomized to receive either gemcitabine 1,000 mg/m2 weekly x 7 followed by 1 week of rest, then weekly x 3 every 4 weeks thereafter (63 patients), or to fluorouracil (5-FU) 600 mg/m2 once weekly (63 patients). The primary efficacy measure was clinical benefit response, which was a composite of measurements of pain (analgesic consumption and pain intensity), Karnofsky performance status, and weight. Clinical benefit required a sustained (&gt; or = 4 weeks) improvement in at least one parameter without worsening in any others. Other measures of efficacy included response rate, time to progressive disease, and survival.\nRESULTS: Clinical benefit response was experienced by 23.8% of gemcitabine-treated patients compared with 4.8% of 5-FU-treated patients (P = .0022). The median survival durations were 5.65 and 4.41 months for gemcitabine-treated and 5-FU-treated patients, respectively (P = .0025). The survival rate at 12 months was 18% for gemcitabine patients and 2% for 5-FU patients. Treatment was well tolerated.\nCONCLUSION: This study demonstrates that gemcitabine is more effective than 5-FU in alleviation of some disease-related symptoms in patients with advanced, symptomatic pancreas cancer. Gemcitabine also confers a modest survival advantage over treatment with 5-FU.","ISSN":"0732-183X","note":"PMID: 9196156","shortTitle":"Improvements in survival and clinical benefit with gemcitabine as first-line therapy for patients with advanced pancreas cancer","journalAbbreviation":"J. Clin. Oncol.","language":"eng","author":[{"family":"Burris","given":"H. A."},{"family":"Moore","given":"M. J."},{"family":"Andersen","given":"J."},{"family":"Green","given":"M. R."},{"family":"Rothenberg","given":"M. L."},{"family":"Modiano","given":"M. R."},{"family":"Cripps","given":"M. C."},{"family":"Portenoy","given":"R. K."},{"family":"Storniolo","given":"A. M."},{"family":"Tarassoff","given":"P."},{"family":"Nelson","given":"R."},{"family":"Dorr","given":"F. A."},{"family":"Stephens","given":"C. D."},{"family":"Von Hoff","given":"D. D."}],"issued":{"date-parts":[["1997",6]]},"PMID":"9196156"}},{"id":3862,"uris":["http://zotero.org/users/local/f5Q4Fz2E/items/FPNK782J"],"uri":["http://zotero.org/users/local/f5Q4Fz2E/items/FPNK782J"],"itemData":{"id":3862,"type":"article-journal","title":"Stromal elements act to restrain, rather than support, pancreatic ductal adenocarcinoma","container-title":"Cancer Cell","page":"735-747","volume":"25","issue":"6","source":"PubMed","abstract":"Sonic hedgehog (Shh), a soluble ligand overexpressed by neoplastic cells in pancreatic ductal adenocarcinoma (PDAC), drives formation of a fibroblast-rich desmoplastic stroma. To better understand its role in malignant progression, we deleted Shh in a well-defined mouse model of PDAC. As predicted, Shh-deficient tumors had reduced stromal content. Surprisingly, such tumors were more aggressive and exhibited undifferentiated histology, increased vascularity, and heightened proliferation--features that were fully recapitulated in control mice treated with a Smoothened inhibitor. Furthermore, administration of VEGFR blocking antibody selectively improved survival of Shh-deficient tumors, indicating that Hedgehog-driven stroma suppresses tumor growth in part by restraining tumor angiogenesis. Together, these data demonstrate that some components of the tumor stroma can act to restrain tumor growth.","DOI":"10.1016/j.ccr.2014.04.021","ISSN":"1878-3686","note":"PMID: 24856585\nPMCID: PMC4096698","journalAbbreviation":"Cancer Cell","language":"eng","author":[{"family":"Rhim","given":"Andrew D."},{"family":"Oberstein","given":"Paul E."},{"family":"Thomas","given":"Dafydd H."},{"family":"Mirek","given":"Emily T."},{"family":"Palermo","given":"Carmine F."},{"family":"Sastra","given":"Stephen A."},{"family":"Dekleva","given":"Erin N."},{"family":"Saunders","given":"Tyler"},{"family":"Becerra","given":"Claudia P."},{"family":"Tattersall","given":"Ian W."},{"family":"Westphalen","given":"C. Benedikt"},{"family":"Kitajewski","given":"Jan"},{"family":"Fernandez-Barrena","given":"Maite G."},{"family":"Fernandez-Zapico","given":"Martin E."},{"family":"Iacobuzio-Donahue","given":"Christine"},{"family":"Olive","given":"Kenneth P."},{"family":"Stanger","given":"Ben Z."}],"issued":{"date-parts":[["2014",6,16]]},"PMID":"24856585","PMCID":"PMC4096698"}},{"id":3894,"uris":["http://zotero.org/users/local/f5Q4Fz2E/items/F3PRQ89P"],"uri":["http://zotero.org/users/local/f5Q4Fz2E/items/F3PRQ89P"],"itemData":{"id":3894,"type":"article-journal","title":"Image-based detection and targeting of therapy resistance in pancreatic adenocarcinoma","container-title":"Nature","page":"407-411","volume":"534","issue":"7607","source":"PubMed","abstract":"Pancreatic intraepithelial neoplasia is a pre-malignant lesion that can progress to pancreatic ductal adenocarcinoma, a highly lethal malignancy marked by its late stage at clinical presentation and profound drug resistance. The genomic alterations that commonly occur in pancreatic cancer include activation of KRAS2 and inactivation of p53 and SMAD4 (refs 2-4). So far, however, it has been challenging to target these pathways therapeutically; thus the search for other key mediators of pancreatic cancer growth remains an important endeavour. Here we show that the stem cell determinant Musashi (Msi) is a critical element of pancreatic cancer progression both in genetic models and in patient-derived xenografts. Specifically, we developed Msi reporter mice that allowed image-based tracking of stem cell signals within cancers, revealing that Msi expression rises as pancreatic intraepithelial neoplasia progresses to adenocarcinoma, and that Msi-expressing cells are key drivers of pancreatic cancer: they preferentially harbour the capacity to propagate adenocarcinoma, are enriched in circulating tumour cells, and are markedly drug resistant. This population could be effectively targeted by deletion of either Msi1 or Msi2, which led to a striking defect in the progression of pancreatic intraepithelial neoplasia to adenocarcinoma and an improvement in overall survival. Msi inhibition also blocked the growth of primary patient-derived tumours, suggesting that this signal is required for human disease. To define the translational potential of this work we developed antisense oligonucleotides against Msi; these showed reliable tumour penetration, uptake and target inhibition, and effectively blocked pancreatic cancer growth. Collectively, these studies highlight Msi reporters as a unique tool to identify therapy resistance, and define Msi signalling as a central regulator of pancreatic cancer.","DOI":"10.1038/nature17988","ISSN":"1476-4687","note":"PMID: 27281208","journalAbbreviation":"Nature","language":"eng","author":[{"family":"Fox","given":"Raymond G."},{"family":"Lytle","given":"Nikki K."},{"family":"Jaquish","given":"Dawn V."},{"family":"Park","given":"Frederick D."},{"family":"Ito","given":"Takahiro"},{"family":"Bajaj","given":"Jeevisha"},{"family":"Koechlein","given":"Claire S."},{"family":"Zimdahl","given":"Bryan"},{"family":"Yano","given":"Masato"},{"family":"Kopp","given":"Janel L."},{"family":"Kritzik","given":"Marcie"},{"family":"Sicklick","given":"Jason K."},{"family":"Sander","given":"Maike"},{"family":"Grandgenett","given":"Paul M."},{"family":"Hollingsworth","given":"Michael A."},{"family":"Shibata","given":"Shinsuke"},{"family":"Pizzo","given":"Donald"},{"family":"Valasek","given":"Mark A."},{"family":"Sasik","given":"Roman"},{"family":"Scadeng","given":"Miriam"},{"family":"Okano","given":"Hideyuki"},{"family":"Kim","given":"Youngsoo"},{"family":"MacLeod","given":"A. Robert"},{"family":"Lowy","given":"Andrew M."},{"family":"Reya","given":"Tannishtha"}],"issued":{"date-parts":[["2016",6,16]]},"PMID":"27281208"}}],"schema":"https://github.com/citation-style-language/schema/raw/master/csl-citation.json"}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[3</w:t>
      </w:r>
      <w:r w:rsidR="006A1A78" w:rsidRPr="007B09E8">
        <w:rPr>
          <w:rFonts w:ascii="Book Antiqua" w:hAnsi="Book Antiqua" w:cstheme="majorBidi" w:hint="eastAsia"/>
          <w:sz w:val="24"/>
          <w:szCs w:val="24"/>
          <w:vertAlign w:val="superscript"/>
          <w:lang w:eastAsia="zh-CN"/>
        </w:rPr>
        <w:t>-</w:t>
      </w:r>
      <w:r w:rsidRPr="007B09E8">
        <w:rPr>
          <w:rFonts w:ascii="Book Antiqua" w:hAnsi="Book Antiqua" w:cstheme="majorBidi"/>
          <w:sz w:val="24"/>
          <w:szCs w:val="24"/>
          <w:vertAlign w:val="superscript"/>
        </w:rPr>
        <w:t>5</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xml:space="preserve">. More aggressive regimens were developed to overcome these resistance mechanisms. The combination of non-cross resistant agents, GTX (gemcitabine, docetaxel and capecitabine) and </w:t>
      </w:r>
      <w:r w:rsidRPr="007B09E8">
        <w:rPr>
          <w:rFonts w:ascii="Book Antiqua" w:hAnsi="Book Antiqua" w:cstheme="majorBidi"/>
          <w:sz w:val="24"/>
          <w:szCs w:val="24"/>
          <w:shd w:val="clear" w:color="auto" w:fill="FFFFFF"/>
        </w:rPr>
        <w:t>PEFG (cisplatin, epirubicin, fluorouracil and gemcitabine)</w:t>
      </w:r>
      <w:r w:rsidRPr="007B09E8">
        <w:rPr>
          <w:rFonts w:ascii="Book Antiqua" w:hAnsi="Book Antiqua" w:cstheme="majorBidi"/>
          <w:sz w:val="24"/>
          <w:szCs w:val="24"/>
        </w:rPr>
        <w:t>, enhanced tumor shrinkage by acting on different stages of cell cycle and bypassing mechanisms of drug resistance</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{"citationID":"458esdmlq","properties":{"formattedCitation":"{\\rtf (6\\uc0\\u8211{}8)}","plainCitation":"(6–8)"},"citationItems":[{"id":3900,"uris":["http://zotero.org/users/local/f5Q4Fz2E/items/ZFV5H6X3"],"uri":["http://zotero.org/users/local/f5Q4Fz2E/items/ZFV5H6X3"],"itemData":{"id":3900,"type":"article-journal","title":"A multicenter analysis of GTX chemotherapy in patients with locally advanced and metastatic pancreatic adenocarcinoma","container-title":"Cancer Chemotherapy and Pharmacology","page":"415-424","volume":"69","issue":"2","source":"PubMed","abstract":"PURPOSE: Studies treating adenocarcinoma of the pancreas with gemcitabine alone or in combination with a doublet have demonstrated modest improvements in survival. Recent reports have suggested that using the triple-drug regimen FOLFIRINOX can substantially extend survival in patients with metastatic disease. We were interested in determining the clinical benefit of another three-drug regimen of gemcitabine, docetaxel and capecitabine (GTX) in patients with advanced pancreatic adenocarcinoma.\nPATIENTS AND METHODS: The cases of 154 patients, who received treatment with GTX chemotherapy with histologically confirmed locally advanced or metastatic pancreatic adenocarcinoma, were retrospectively reviewed. All demographic and clinical data were captured including prior therapy, adverse events, treatment response and survival.\nRESULTS: One hundred and seventeen metastatic and 37 locally advanced cases of adenocarcinoma of the pancreas were reviewed. Partial responses were noted in 11% of cases, and stable disease was observed in 62% of patients. Responses significantly correlated with toxicity (neutropenia, ALT elevation and hospitalizations). Grade 3 or greater hematologic and non-hematologic toxicities were noted in 41% and 9% of cases, respectively. Overall median survival was 11.6 months. Chemotherapy naïve patients with metastatic and locally advanced disease achieved a median survival of 11.3 and 25.0 months, respectively.\nCONCLUSIONS: We observe a substantial survival benefit with GTX chemotherapy in our cohort of patients with advanced pancreatic cancer. These findings warrant further investigation of this combination in this patient population.","DOI":"10.1007/s00280-011-1704-y","ISSN":"1432-0843","note":"PMID: 21800112\nPMCID: PMC3265723","journalAbbreviation":"Cancer Chemother. Pharmacol.","language":"eng","author":[{"family":"De Jesus-Acosta","given":"Ana"},{"family":"Oliver","given":"George R."},{"family":"Blackford","given":"Amanda"},{"family":"Kinsman","given":"Katharine"},{"family":"Flores","given":"Edna I."},{"family":"Wilfong","given":"Lalan S."},{"family":"Zheng","given":"Lei"},{"family":"Donehower","given":"Ross C."},{"family":"Cosgrove","given":"David"},{"family":"Laheru","given":"Daniel"},{"family":"Le","given":"Dung T."},{"family":"Chung","given":"Ki"},{"family":"Diaz","given":"Luis A."}],"issued":{"date-parts":[["2012",2]]},"PMID":"21800112","PMCID":"PMC3265723"}},{"id":3896,"uris":["http://zotero.org/users/local/f5Q4Fz2E/items/J8296IUK"],"uri":["http://zotero.org/users/local/f5Q4Fz2E/items/J8296IUK"],"itemData":{"id":3896,"type":"article-journal","title":"The gemcitabine, docetaxel, and capecitabine (GTX) regimen for metastatic pancreatic cancer: a retrospective analysis","container-title":"Cancer Chemotherapy and Pharmacology","page":"167-175","volume":"61","issue":"1","source":"PubMed","abstract":"PURPOSE: We developed a laboratory based regimen called GTX which induces synergistic apoptosis in human pancreatic cancer cells. This retrospective review summarizes our clinical experience with GTX in an initial group of 35 patients; 66% untreated and 34% failed prior therapies.\nMETHODS: All patients treated with GTX for metastatic pancreatic cancer, prior to initiation of a prospective phase II trial of GTX were assessed and followed until death. GTX consisted of capecitabine (X), 750 mg/m(2) p.o. BID on days 1-14, gemcitabine (G) (750 mg/m(2)) over 75 min and docetaxel (T) (30 mg/m(2)) on days 4 and 11. Thus one cycle of GTX was 14 days with 7 days off for a 21 day cycle. Tumor assessments were repeated every 3 cycles.\nRESULTS: All 35 patients had metastatic pancreatic cancer (94% liver, 6% lung sites). Grade 3-4 hematological toxicities were: leukopenia and thrombocytopenia-both 14%, and anemia 9%, respectively. The overall response rate of all 35 patients treated with GTX (from 0.5 cycles onward) was 29% (CR/PR) by WHO criteria, and 31% had a minor response or stable disease (MR, SD). At the metastatic sites for the 35 patients, there were 9% complete (CR) and 31% partial (PR) responses (total 40%). For the 31 patients who had their primary tumor (4 patients had a prior Whipple resection), there were 13% CR and 19% PR for a response rate of 32% at the primary tumor site. Overall median progression free survival of responders was 6.3 months (95% C.I. 4.4-10.4 months) and median survival was 11.2 months (95% C.I. 8.1-15.1 months). Survival after initiation of GTX at 12, 18, 24 and 30 months was 43, 29, 20, and 11%, respectively.\nCONCLUSION: Our retrospective review suggests that GTX has potential as a regimen for untreated and treated metastatic pancreatic cancer.","DOI":"10.1007/s00280-007-0473-0","ISSN":"0344-5704","note":"PMID: 17440727","shortTitle":"The gemcitabine, docetaxel, and capecitabine (GTX) regimen for metastatic pancreatic cancer","journalAbbreviation":"Cancer Chemother. Pharmacol.","language":"eng","author":[{"family":"Fine","given":"Robert L."},{"family":"Fogelman","given":"David R."},{"family":"Schreibman","given":"Stephen M."},{"family":"Desai","given":"Manisha"},{"family":"Sherman","given":"William"},{"family":"Strauss","given":"James"},{"family":"Guba","given":"Susan"},{"family":"Andrade","given":"Riolan"},{"family":"Chabot","given":"John"}],"issued":{"date-parts":[["2008",1]]},"PMID":"17440727"}},{"id":3864,"uris":["http://zotero.org/users/local/f5Q4Fz2E/items/VANJJE7F"],"uri":["http://zotero.org/users/local/f5Q4Fz2E/items/VANJJE7F"],"itemData":{"id":3864,"type":"article-journal","title":"Quality-adjusted survival with combination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vs gemcitabine alone in metastatic pancreatic cancer: a Q-TWiST analysis","container-title":"Journal of Medical Economics","page":"338-346","volume":"17","issue":"5","source":"PubMed","abstract":"OBJECTIVES: To use the Quality-Adjusted Time Without Symptoms or Toxicities (Q-TWiST) methodology to compare the quality-of-life and survival benefits associated with the combination of albumin-bound (nab)-paclitaxel and gemcitabine vs gemcitabine alone in the first-line treatment of metastatic pancreatic adenocarcinoma.\nMETHODS: Total survival time through 45 months was partitioned into time before disease progression without toxicity grade ≥3 (TWiST), time with adverse event grade ≥3 (TOX), and time of disease progression (REL). Mean Q-TWiST was calculated by multiplying time spent in each health state by its respective utility (i.e., TWiST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1.00; TOX/REL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0.50, 0-1 in sensitivity analyses). Non-parametric bootstrap 95% confidence intervals (CI) were derived to assess the significance of between-treatment differences in TOX, TWiST, REL, and Q-TWiST. A relative gain in Q-TWiST (vs mean overall survival of gemcitabine) of ≥10% and ≥15% was defined as clinically important and clearly clinically important, respectively.\nRESULTS: Patients on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spent a significantly longer time in every state and experienced significantly greater overall Q-TWiST (+1.7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0.8, 2.7]) than those receiving gemcitabine alone (8.2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7.5, 8.9] vs 6.5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5.8, 7.0]), assuming base-case utilities of TOX/REL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0.50. This Q-TWiST gain ranged from 1.0 month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0.1, 1.9), when REL/TOX utilities were both 0, to 2.5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1.3, 3.7), when REL/TOX utilities were both 1. Relative gains in Q-TWiST were 21% in favor of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in the base case, and ranged from 12-30% in sensitivity analyses.\nCONCLUSIONS: There are limitations to Q-TWiST analyses, e.g., imprecision when defining duration/severity of TOX and lack of prospective collection of utilities. This analysis addressed these issues via sensitivity analyses and conservative assumptions to show that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results in statistically significant and clinically important gains in quality-adjusted survival, when compared to gemcitabine alone, in treatment-naive metastatic pancreatic adenocarcinoma patients.","DOI":"10.3111/13696998.2014.903122","ISSN":"1941-837X","note":"PMID: 24654922","shortTitle":"Quality-adjusted survival with combination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 xml:space="preserve">gemcitabine vs gemcitabine alone in metastatic pancreatic cancer","journalAbbreviation":"J Med Econ","language":"eng","author":[{"family":"Reni","given":"Michele"},{"family":"Wan","given":"Yin"},{"family":"Solem","given":"Caitlyn"},{"family":"Whiting","given":"Scott"},{"family":"Ji","given":"Xiang"},{"family":"Botteman","given":"Marc"}],"issued":{"date-parts":[["2014",5]]},"PMID":"24654922"}}],"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[6</w:t>
      </w:r>
      <w:r w:rsidR="008F7657" w:rsidRPr="007B09E8">
        <w:rPr>
          <w:rFonts w:ascii="Book Antiqua" w:hAnsi="Book Antiqua" w:cstheme="majorBidi" w:hint="eastAsia"/>
          <w:sz w:val="24"/>
          <w:szCs w:val="24"/>
          <w:vertAlign w:val="superscript"/>
          <w:lang w:eastAsia="zh-CN"/>
        </w:rPr>
        <w:t>-</w:t>
      </w:r>
      <w:r w:rsidRPr="007B09E8">
        <w:rPr>
          <w:rFonts w:ascii="Book Antiqua" w:hAnsi="Book Antiqua" w:cstheme="majorBidi"/>
          <w:sz w:val="24"/>
          <w:szCs w:val="24"/>
          <w:vertAlign w:val="superscript"/>
        </w:rPr>
        <w:t>8</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xml:space="preserve">. </w:t>
      </w:r>
    </w:p>
    <w:p w14:paraId="72F150EA" w14:textId="4D1B5C09" w:rsidR="0017410A" w:rsidRPr="007B09E8" w:rsidRDefault="0017410A" w:rsidP="006A1A78">
      <w:pPr>
        <w:snapToGrid w:val="0"/>
        <w:spacing w:after="0" w:line="360" w:lineRule="auto"/>
        <w:ind w:firstLineChars="100" w:firstLine="240"/>
        <w:jc w:val="both"/>
        <w:rPr>
          <w:rFonts w:ascii="Book Antiqua" w:hAnsi="Book Antiqua" w:cstheme="majorBidi"/>
          <w:sz w:val="24"/>
          <w:szCs w:val="24"/>
        </w:rPr>
      </w:pPr>
      <w:r w:rsidRPr="007B09E8">
        <w:rPr>
          <w:rFonts w:ascii="Book Antiqua" w:hAnsi="Book Antiqua" w:cstheme="majorBidi"/>
          <w:sz w:val="24"/>
          <w:szCs w:val="24"/>
        </w:rPr>
        <w:t>In 2011, French investigators from the Groupe Tumeurs Digestives of Unicancer and the PRODIGE Intergroup published the results of a phase II/III trial that revealed a clinically significant survival benefit and better quality of life for a regimen combining 5-FU/leucovorin, oxaliplatin and irinotecan (FOLFIRINOX) at the expense of increased toxicity</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14168ull2g","properties":{"formattedCitation":"(9)","plainCitation":"(9)"},"citationItems":[{"id":533,"uris":["http://zotero.org/users/local/f5Q4Fz2E/items/2D83VM3U"],"uri":["http://zotero.org/users/local/f5Q4Fz2E/items/2D83VM3U"],"itemData":{"id":533,"type":"article-journal","title":"FOLFIRINOX versus Gemcitabine for Metastatic Pancreatic Cancer","container-title":"New England Journal of Medicine","page":"1817-1825","volume":"364","issue":"19","source":"Taylor and Francis+NEJM","abstract":"Pancreatic adenocarcinoma was the fourth leading cause of death from cancer in the United States in 2010,1 and it carries a grim prognosis: the 5-year survival rate is 6% in Europe and the United States.1,2 Gemcitabine became the reference regimen for advanced pancreatic cancer after a randomized trial showed significant improvement in the median overall survival as compared with fluorouracil administered as an intravenous bolus (5.6 vs. 4.4 months, P=0.002).3 In the subsequent phase 3 trials of single-agent gemcitabine,4 the median overall survival ranged from 5.0 to 7.2 months. The combination of gemcitabine with a variety of cytotoxic and . . .","DOI":"10.1056/NEJMoa1011923","ISSN":"0028-4793","note":"PMID: 21561347","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5,11]]},"PMID":"21561347"}}],"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[9</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Another option is nab-paclitaxel, which is a second generation chemotherapy agent that exploits the ability of albumin to deliver the hydrophobic molecule, paclitaxel, to targeted tissues. Nab-paclitaxel was combined with gemcitabine in the multinational MPACT phase III trial and added an OS benefit of 2.6 months compared to single agent Gemcitabine</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lnmmbrk4h","properties":{"formattedCitation":"(10,11)","plainCitation":"(10,11)"},"citationItems":[{"id":1928,"uris":["http://zotero.org/users/local/f5Q4Fz2E/items/MHXZFHH3"],"uri":["http://zotero.org/users/local/f5Q4Fz2E/items/MHXZFHH3"],"itemData":{"id":1928,"type":"article-journal","title":"Increased Survival in Pancreatic Cancer with nab-Paclitaxel plus Gemcitabine","container-title":"New England Journal of Medicine","page":"1691-1703","volume":"369","issue":"18","source":"Taylor and Francis+NEJM","abstract":"Pancreatic cancer is the fourth leading cause of cancer-related death in Europe and the United States.1,2 Since 1997, gemcitabine therapy has been the standard first-line treatment for patients with unresectable locally advanced or metastatic pancreatic cancer.3 Among patients with metastatic disease, the 5-year survival rate is only 2%,1 and 1-year survival rates of 17 to 23% have been reported with gemcitabine.3–5 Numerous phase 2 studies involving patients with advanced pancreatic cancer have shown promising results; however, most subsequent large phase 3 studies have not shown significantly improved survival,6–16 with the exception of a study involving patients who . . .","DOI":"10.1056/NEJMoa1304369","ISSN":"0028-4793","note":"PMID: 24131140","author":[{"family":"Von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F."}],"issued":{"date-parts":[["2013",10,31]]},"PMID":"24131140"}},{"id":3885,"uris":["http://zotero.org/users/local/f5Q4Fz2E/items/FFQJED25"],"uri":["http://zotero.org/users/local/f5Q4Fz2E/items/FFQJED25"],"itemData":{"id":3885,"type":"article-journal","title":"nab-Paclitaxel Plus Gemcitabine for Metastatic Pancreatic Cancer: Long-Term Survival From a Phase III Trial","container-title":"Journal of the National Cancer Institute","page":"dju413","volume":"107","issue":"2","source":"jnci.oxfordjournals.org","abstract":"Background: Positive findings from the phase III MPACT trial led to the regulatory approval of nab-paclitaxel plus gemcitabine as a treatment option for patients with metastatic pancreatic cancer. This report is an update of overall survival (OS) based on longer follow-up.\nMethods: Patients (n = 861) with metastatic pancreatic cancer and a Karnofsky performance status of 70 or greater were randomly assigned one to one to receive nab-paclitaxel + gemcitabine or gemcitabine alone. Efficacy data for this post hoc analysis were collected through May 9, 2013. Exploratory analyses of carbohydrate antigen 19-9 (CA19-9) and neutrophil-to-lymphocyte ratio (NLR) were conducted. The primary efficacy endpoint was OS, which was analyzed for all randomly assigned patients by the Kaplan-Meier method. All statistical tests were two-sided.\nResults: The median OS was statistically significantly longer for nab-paclitaxel plus gemcitabine vs gemcitabine alone (8.7 vs 6.6 months, hazard ratio [HR] = 0.72, 95% confidence interval [CI] = 0.62 to 0.83, P &lt; .001). Long-term (&gt;three-year) survivors were identified in the nab-paclitaxel plus gemcitabine arm only (4%). In pooled treatment arm analyses, higher CA19-9 level and NLR at baseline were statistically significantly associated with worse OS. There appeared to be a treatment effect for OS favoring nab-paclitaxel plus gemcitabine over gemcitabine alone in poor-prognosis subgroups defined by these factors (HR = 0.612, P &lt; .001 for CA19-9 level ≥ median and HR = 0.81, P = .079 for NLR &gt; 5).\nConclusions: These data confirm and extend the primary report of OS, supporting the superior efficacy of nab-paclitaxel plus gemcitabine over gemcitabine alone. Subgroup analyses support the relevance of CA 19-9 and NLR as prognostic markers in metastatic pancreatic cancer.","DOI":"10.1093/jnci/dju413","ISSN":"0027-8874, 1460-2105","note":"PMID: 25638248","shortTitle":"nab-Paclitaxel Plus Gemcitabine for Metastatic Pancreatic Cancer","journalAbbreviation":"JNCI J Natl Cancer Inst","language":"en","author":[{"family":"Goldstein","given":"David"},{"family":"El-Maraghi","given":"Robert Hassan"},{"family":"Hammel","given":"Pascal"},{"family":"Heinemann","given":"Volker"},{"family":"Kunzmann","given":"Volker"},{"family":"Sastre","given":"Javier"},{"family":"Scheithauer","given":"Werner"},{"family":"Siena","given":"Salvatore"},{"family":"Tabernero","given":"Josep"},{"family":"Teixeira","given":"Luis"},{"family":"Tortora","given":"Giampaolo"},{"family":"Laethem","given":"Jean-Luc Van"},{"family":"Young","given":"Rosemary"},{"family":"Penenberg","given":"Darryl Neil"},{"family":"Lu","given":"Brian"},{"family":"Romano","given":"Alfredo"},{"family":"Hoff","given":"Daniel D. Von"}],"issued":{"date-parts":[["2015",2,1]]},"PMID":"25638248"}}],"schema":"https://github.com/citation-style-language/schema/raw/master/csl-citation.json"}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[10,11</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xml:space="preserve">. Table 1 summarizes the efficacy of the FOLFIRINOX and </w:t>
      </w:r>
      <w:r w:rsidR="006A1A78" w:rsidRPr="007B09E8">
        <w:rPr>
          <w:rFonts w:ascii="Book Antiqua" w:hAnsi="Book Antiqua" w:cstheme="majorBidi"/>
          <w:sz w:val="24"/>
          <w:szCs w:val="24"/>
        </w:rPr>
        <w:t>g</w:t>
      </w:r>
      <w:r w:rsidRPr="007B09E8">
        <w:rPr>
          <w:rFonts w:ascii="Book Antiqua" w:hAnsi="Book Antiqua" w:cstheme="majorBidi"/>
          <w:sz w:val="24"/>
          <w:szCs w:val="24"/>
        </w:rPr>
        <w:t>emcitabine/nab-paclitaxel (GNP) as published in the pivotal studies of ACCORD/PRODIGE and MPACT trials, respectively.</w:t>
      </w:r>
    </w:p>
    <w:p w14:paraId="327CAA43" w14:textId="1C7769B2" w:rsidR="0017410A" w:rsidRPr="007B09E8" w:rsidRDefault="0017410A" w:rsidP="006A1A78">
      <w:pPr>
        <w:snapToGrid w:val="0"/>
        <w:spacing w:after="0" w:line="360" w:lineRule="auto"/>
        <w:ind w:firstLineChars="100" w:firstLine="240"/>
        <w:jc w:val="both"/>
        <w:rPr>
          <w:rFonts w:ascii="Book Antiqua" w:hAnsi="Book Antiqua" w:cstheme="majorBidi"/>
          <w:sz w:val="24"/>
          <w:szCs w:val="24"/>
          <w:lang w:eastAsia="zh-CN"/>
        </w:rPr>
      </w:pPr>
      <w:r w:rsidRPr="007B09E8">
        <w:rPr>
          <w:rFonts w:ascii="Book Antiqua" w:hAnsi="Book Antiqua" w:cstheme="majorBidi"/>
          <w:sz w:val="24"/>
          <w:szCs w:val="24"/>
        </w:rPr>
        <w:t xml:space="preserve">The best choice for first-line therapy is a matter of debate. The </w:t>
      </w:r>
      <w:r w:rsidR="001C32E4" w:rsidRPr="007B09E8">
        <w:rPr>
          <w:rFonts w:ascii="Book Antiqua" w:hAnsi="Book Antiqua" w:cstheme="majorBidi"/>
          <w:sz w:val="24"/>
          <w:szCs w:val="24"/>
        </w:rPr>
        <w:t>National Comprehensive Cancer Network (NCCN)</w:t>
      </w:r>
      <w:r w:rsidRPr="007B09E8">
        <w:rPr>
          <w:rFonts w:ascii="Book Antiqua" w:hAnsi="Book Antiqua" w:cstheme="majorBidi"/>
          <w:sz w:val="24"/>
          <w:szCs w:val="24"/>
        </w:rPr>
        <w:t xml:space="preserve"> panel considers FOLFIRINOX as the first choice for </w:t>
      </w:r>
      <w:r w:rsidR="006A1A78" w:rsidRPr="007B09E8">
        <w:rPr>
          <w:rStyle w:val="Emphasis"/>
          <w:rFonts w:ascii="Book Antiqua" w:hAnsi="Book Antiqua" w:cstheme="majorBidi"/>
          <w:i w:val="0"/>
          <w:iCs w:val="0"/>
          <w:sz w:val="24"/>
          <w:szCs w:val="24"/>
          <w:shd w:val="clear" w:color="auto" w:fill="FFFFFF"/>
        </w:rPr>
        <w:t>Eastern Cooperative Oncology Group (</w:t>
      </w:r>
      <w:r w:rsidR="006A1A78" w:rsidRPr="007B09E8">
        <w:rPr>
          <w:rFonts w:ascii="Book Antiqua" w:hAnsi="Book Antiqua" w:cstheme="majorBidi"/>
          <w:sz w:val="24"/>
          <w:szCs w:val="24"/>
        </w:rPr>
        <w:t>ECOG)</w:t>
      </w:r>
      <w:r w:rsidRPr="007B09E8">
        <w:rPr>
          <w:rFonts w:ascii="Book Antiqua" w:hAnsi="Book Antiqua" w:cstheme="majorBidi"/>
          <w:sz w:val="24"/>
          <w:szCs w:val="24"/>
        </w:rPr>
        <w:t xml:space="preserve"> 0-1 patients given its lower hazard ratio for death (HR), whereas nab-paclitaxel should be reserved for ECOG 2 patients (NCCN 2016). Conversely, ASCO and ESMO consider both regimens as </w:t>
      </w:r>
      <w:r w:rsidRPr="007B09E8">
        <w:rPr>
          <w:rFonts w:ascii="Book Antiqua" w:hAnsi="Book Antiqua" w:cstheme="majorBidi"/>
          <w:sz w:val="24"/>
          <w:szCs w:val="24"/>
        </w:rPr>
        <w:lastRenderedPageBreak/>
        <w:t>acceptable treatment options for ECOG 0-1 patients</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kmc3iqdo2","properties":{"formattedCitation":"(12,13)","plainCitation":"(12,13)"},"citationItems":[{"id":3852,"uris":["http://zotero.org/users/local/f5Q4Fz2E/items/U7Z7PGVV"],"uri":["http://zotero.org/users/local/f5Q4Fz2E/items/U7Z7PGVV"],"itemData":{"id":3852,"type":"article-journal","title":"Metastatic Pancreatic Cancer: American Society of Clinical Oncology Clinical Practice Guideline","container-title":"Journal of Clinical Oncology","page":"JCO671412","source":"jco.ascopubs.org","abstract":"Purpose To provide evidence-based recommendations to oncologists and others for the treatment of patients with metastatic pancreatic cancer.\nMethods American Society of Clinical Oncology convened an Expert Panel of medical oncology, radiation oncology, surgical oncology, gastroenterology, palliative care, and advocacy experts to conduct a systematic review of the literature from April 2004 to June 2015. Outcomes were overall survival, disease-free survival, progression-free survival, and adverse events.\nResults Twenty-four randomized controlled trials met the systematic review criteria.\nRecommendations A multiphase computed tomography scan of the chest, abdomen, and pelvis should be performed. Baseline performance status and comorbidity profile should be evaluated. Goals of care, patient preferences, treatment response, psychological status, support systems, and symptom burden should guide decisions for treatments. A palliative care referral should occur at first visit. FOLFIRINOX (leucovorin, fluorouracil, irinotecan, and oxaliplatin; favorable comorbidity profile) or gemcitabine plus nanoparticle albumin-bound (NAB) -paclitaxel (adequate comorbidity profile) should be offered to patients with Eastern Cooperative Oncology Group performance status (ECOG PS) 0 to 1 based on patient preference and support system available. Gemcitabine alone is recommended for patients with ECOG PS 2 or with a comorbidity profile that precludes other regimens; the addition of capecitabine or erlotinib may be offered. Patients with an ECOG PS ≥ 3 and poorly controlled comorbid conditions should be offered cancer-directed therapy only on a case-by-case basis; supportive care should be emphasized. For second-line therapy, gemcitabine plus NAB-paclitaxel should be offered to patients with first-line treatment with FOLFIRINOX, an ECOG PS 0 to 1, and a favorable comorbidity profile; fluorouracil plus oxaliplatin, irinotecan, or nanoliposomal irinotecan should be offered to patients with first-line treatment with gemcitabine plus NAB-paclitaxel, ECOG PS 0 to 1, and favorable comorbidity profile, and gemcitabine or fluorouracil should be offered to patients with either an ECOG PS 2 or a comorbidity profile that precludes other regimens. Additional information is available at www.asco.org/guidelines/MetPC and www.asco.org/guidelineswiki.","DOI":"10.1200/JCO.2016.67.1412","ISSN":"0732-183X, 1527-7755","note":"PMID: 27247222","shortTitle":"Metastatic Pancreatic Cancer","journalAbbreviation":"JCO","language":"en","author":[{"family":"Sohal","given":"Davendra P. S."},{"family":"Mangu","given":"Pamela B."},{"family":"Khorana","given":"Alok A."},{"family":"Shah","given":"Manish A."},{"family":"Philip","given":"Philip A."},{"family":"O’Reilly","given":"Eileen M."},{"family":"Uronis","given":"Hope E."},{"family":"Ramanathan","given":"Ramesh K."},{"family":"Crane","given":"Christopher H."},{"family":"Engebretson","given":"Anitra"},{"family":"Ruggiero","given":"Joseph T."},{"family":"Copur","given":"Mehmet S."},{"family":"Lau","given":"Michelle"},{"family":"Urba","given":"Susan"},{"family":"Laheru","given":"Daniel"}],"issued":{"date-parts":[["2016",5,31]]},"PMID":"27247222"}},{"id":3898,"uris":["http://zotero.org/users/local/f5Q4Fz2E/items/NW26IIE9"],"uri":["http://zotero.org/users/local/f5Q4Fz2E/items/NW26IIE9"],"itemData":{"id":3898,"type":"article-journal","title":"Cancer of the pancreas: ESMO Clinical Practice Guidelines for diagnosis, treatment and follow-up","container-title":"Annals of oncology: official journal of the European Society for Medical Oncology / ESMO","page":"v56-68","volume":"26 Suppl 5","source":"PubMed","DOI":"10.1093/annonc/mdv295","ISSN":"1569-8041","note":"PMID: 26314780","shortTitle":"Cancer of the pancreas","journalAbbreviation":"Ann. Oncol.","language":"eng","author":[{"family":"Ducreux","given":"M."},{"family":"Cuhna","given":"A. Sa"},{"family":"Caramella","given":"C."},{"family":"Hollebecque","given":"A."},{"family":"Burtin","given":"P."},{"family":"Goéré","given":"D."},{"family":"Seufferlein","given":"T."},{"family":"Haustermans","given":"K."},{"family":"Van Laethem","given":"J. L."},{"family":"Conroy","given":"T."},{"family":"Arnold","given":"D."},{"literal":"ESMO Guidelines Committee"}],"issued":{"date-parts":[["2015",9]]},"PMID":"26314780"}}],"schema":"https://github.com/citation-style-language/schema/raw/master/csl-citation.json"}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[12,13</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w:t>
      </w:r>
      <w:r w:rsidRPr="007B09E8">
        <w:rPr>
          <w:rStyle w:val="apple-converted-space"/>
          <w:rFonts w:ascii="Book Antiqua" w:hAnsi="Book Antiqua" w:cstheme="majorBidi"/>
          <w:sz w:val="24"/>
          <w:szCs w:val="24"/>
          <w:shd w:val="clear" w:color="auto" w:fill="FFFFFF"/>
        </w:rPr>
        <w:t> </w:t>
      </w:r>
      <w:r w:rsidRPr="007B09E8">
        <w:rPr>
          <w:rFonts w:ascii="Book Antiqua" w:hAnsi="Book Antiqua" w:cstheme="majorBidi"/>
          <w:sz w:val="24"/>
          <w:szCs w:val="24"/>
          <w:shd w:val="clear" w:color="auto" w:fill="FFFFFF"/>
        </w:rPr>
        <w:t xml:space="preserve">Indirect comparisons using the ESMO magnitude of clinical benefit scale (MCBS) show a higher score for the FOLFIRINOX regimen when compared to </w:t>
      </w:r>
      <w:r w:rsidR="009D1E9F" w:rsidRPr="007B09E8">
        <w:rPr>
          <w:rFonts w:ascii="Book Antiqua" w:hAnsi="Book Antiqua" w:cstheme="majorBidi"/>
          <w:sz w:val="24"/>
          <w:szCs w:val="24"/>
          <w:shd w:val="clear" w:color="auto" w:fill="FFFFFF"/>
        </w:rPr>
        <w:t>GNP</w:t>
      </w:r>
      <w:r w:rsidRPr="007B09E8">
        <w:rPr>
          <w:rFonts w:ascii="Book Antiqua" w:hAnsi="Book Antiqua" w:cstheme="majorBidi"/>
          <w:sz w:val="24"/>
          <w:szCs w:val="24"/>
          <w:shd w:val="clear" w:color="auto" w:fill="FFFFFF"/>
        </w:rPr>
        <w:t xml:space="preserve"> (5/5 </w:t>
      </w:r>
      <w:r w:rsidRPr="007B09E8">
        <w:rPr>
          <w:rFonts w:ascii="Book Antiqua" w:hAnsi="Book Antiqua" w:cstheme="majorBidi"/>
          <w:i/>
          <w:sz w:val="24"/>
          <w:szCs w:val="24"/>
          <w:shd w:val="clear" w:color="auto" w:fill="FFFFFF"/>
        </w:rPr>
        <w:t>vs</w:t>
      </w:r>
      <w:r w:rsidRPr="007B09E8">
        <w:rPr>
          <w:rFonts w:ascii="Book Antiqua" w:hAnsi="Book Antiqua" w:cstheme="majorBidi"/>
          <w:sz w:val="24"/>
          <w:szCs w:val="24"/>
          <w:shd w:val="clear" w:color="auto" w:fill="FFFFFF"/>
        </w:rPr>
        <w:t xml:space="preserve"> 2/5, with a higher score indicating a better regimen in terms of survival benefit and quality of life)</w:t>
      </w:r>
      <w:r w:rsidRPr="007B09E8">
        <w:rPr>
          <w:rFonts w:ascii="Book Antiqua" w:hAnsi="Book Antiqua" w:cstheme="majorBidi"/>
          <w:sz w:val="24"/>
          <w:szCs w:val="24"/>
          <w:shd w:val="clear" w:color="auto" w:fill="FFFFFF"/>
          <w:vertAlign w:val="superscript"/>
        </w:rPr>
        <w:fldChar w:fldCharType="begin"/>
      </w:r>
      <w:r w:rsidRPr="007B09E8">
        <w:rPr>
          <w:rFonts w:ascii="Book Antiqua" w:hAnsi="Book Antiqua" w:cstheme="majorBidi"/>
          <w:sz w:val="24"/>
          <w:szCs w:val="24"/>
          <w:shd w:val="clear" w:color="auto" w:fill="FFFFFF"/>
          <w:vertAlign w:val="superscript"/>
        </w:rPr>
        <w:instrText xml:space="preserve"> ADDIN ZOTERO_ITEM CSL_CITATION {"citationID":"1sv4v4ulbp","properties":{"formattedCitation":"(14)","plainCitation":"(14)"},"citationItems":[{"id":3908,"uris":["http://zotero.org/users/local/f5Q4Fz2E/items/A48A5Q8G"],"uri":["http://zotero.org/users/local/f5Q4Fz2E/items/A48A5Q8G"],"itemData":{"id":3908,"type":"article-journal","title":"A standardised, generic, validated approach to stratify the magnitude of clinical benefit that can be anticipated from anti-cancer therapies: the European Society for Medical Oncology Magnitude of Clinical Benefit Scale (ESMO-MCBS)","container-title":"Annals of oncology: official journal of the European Society for Medical Oncology / ESMO","page":"1547-1573","volume":"26","issue":"8","source":"PubMed","abstract":"The value of any new therapeutic strategy or treatment is determined by the magnitude of its clinical benefit balanced against its cost. Evidence for clinical benefit from new treatment options is derived from clinical research, in particular phase III randomised trials, which generate unbiased data regarding the efficacy, benefit and safety of new therapeutic approaches. To date, there is no standard tool for grading the magnitude of clinical benefit of cancer therapies, which may range from trivial (median progression-free survival advantage of only a few weeks) to substantial (improved long-term survival). Indeed, in the absence of a standardised approach for grading the magnitude of clinical benefit, conclusions and recommendations derived from studies are often hotly disputed and very modest incremental advances have often been presented, discussed and promoted as major advances or 'breakthroughs'. Recognising the importance of presenting clear and unbiased statements regarding the magnitude of the clinical benefit from new therapeutic approaches derived from high-quality clinical trials, the European Society for Medical Oncology (ESMO) has developed a validated and reproducible tool to assess the magnitude of clinical benefit for cancer medicines, the ESMO Magnitude of Clinical Benefit Scale (ESMO-MCBS). This tool uses a rational, structured and consistent approach to derive a relative ranking of the magnitude of clinically meaningful benefit that can be expected from a new anti-cancer treatment. The ESMO-MCBS is an important first step to the critical public policy issue of value in cancer care, helping to frame the appropriate use of limited public and personal resources to deliver cost-effective and affordable cancer care. The ESMO-MCBS will be a dynamic tool and its criteria will be revised on a regular basis.","DOI":"10.1093/annonc/mdv249","ISSN":"1569-8041","note":"PMID: 26026162","shortTitle":"A standardised, generic, validated approach to stratify the magnitude of clinical benefit that can be anticipated from anti-cancer therapies","journalAbbreviation":"Ann. Oncol.","language":"eng","author":[{"family":"Cherny","given":"N. I."},{"family":"Sullivan","given":"R."},{"family":"Dafni","given":"U."},{"family":"Kerst","given":"J. M."},{"family":"Sobrero","given":"A."},{"family":"Zielinski","given":"C."},{"family":"Vries","given":"E. G. E.","non-dropping-particle":"de"},{"family":"Piccart","given":"M. J."}],"issued":{"date-parts":[["2015",8]]},"PMID":"26026162"}}],"schema":"https://github.com/citation-style-language/schema/raw/master/csl-citation.json"} </w:instrText>
      </w:r>
      <w:r w:rsidRPr="007B09E8">
        <w:rPr>
          <w:rFonts w:ascii="Book Antiqua" w:hAnsi="Book Antiqua" w:cstheme="majorBidi"/>
          <w:sz w:val="24"/>
          <w:szCs w:val="24"/>
          <w:shd w:val="clear" w:color="auto" w:fill="FFFFFF"/>
          <w:vertAlign w:val="superscript"/>
        </w:rPr>
        <w:fldChar w:fldCharType="separate"/>
      </w:r>
      <w:r w:rsidRPr="007B09E8">
        <w:rPr>
          <w:rFonts w:ascii="Book Antiqua" w:hAnsi="Book Antiqua" w:cstheme="majorBidi"/>
          <w:sz w:val="24"/>
          <w:szCs w:val="24"/>
          <w:vertAlign w:val="superscript"/>
        </w:rPr>
        <w:t>[14</w:t>
      </w:r>
      <w:r w:rsidRPr="007B09E8">
        <w:rPr>
          <w:rFonts w:ascii="Book Antiqua" w:hAnsi="Book Antiqua" w:cstheme="majorBidi"/>
          <w:sz w:val="24"/>
          <w:szCs w:val="24"/>
          <w:shd w:val="clear" w:color="auto" w:fill="FFFFFF"/>
          <w:vertAlign w:val="superscript"/>
        </w:rPr>
        <w:fldChar w:fldCharType="end"/>
      </w:r>
      <w:r w:rsidRPr="007B09E8">
        <w:rPr>
          <w:rFonts w:ascii="Book Antiqua" w:hAnsi="Book Antiqua" w:cstheme="majorBidi"/>
          <w:sz w:val="24"/>
          <w:szCs w:val="24"/>
          <w:shd w:val="clear" w:color="auto" w:fill="FFFFFF"/>
          <w:vertAlign w:val="superscript"/>
        </w:rPr>
        <w:t>]</w:t>
      </w:r>
      <w:r w:rsidRPr="007B09E8">
        <w:rPr>
          <w:rFonts w:ascii="Book Antiqua" w:hAnsi="Book Antiqua" w:cstheme="majorBidi"/>
          <w:sz w:val="24"/>
          <w:szCs w:val="24"/>
          <w:shd w:val="clear" w:color="auto" w:fill="FFFFFF"/>
        </w:rPr>
        <w:t>. In addition, a</w:t>
      </w:r>
      <w:r w:rsidRPr="007B09E8">
        <w:rPr>
          <w:rFonts w:ascii="Book Antiqua" w:hAnsi="Book Antiqua" w:cstheme="majorBidi"/>
          <w:sz w:val="24"/>
          <w:szCs w:val="24"/>
        </w:rPr>
        <w:t xml:space="preserve"> Bayesian meta-analysis comparing multiple systemic protocols in advanced pancreatic cancer showed </w:t>
      </w:r>
      <w:r w:rsidRPr="007B09E8">
        <w:rPr>
          <w:rFonts w:ascii="Book Antiqua" w:hAnsi="Book Antiqua" w:cstheme="majorBidi"/>
          <w:sz w:val="24"/>
          <w:szCs w:val="24"/>
          <w:shd w:val="clear" w:color="auto" w:fill="FFFFFF" w:themeFill="background1"/>
        </w:rPr>
        <w:t>a trend toward better survival with FOLFIRINOX compared to GNP</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1pjn8norv6","properties":{"formattedCitation":"(15)","plainCitation":"(15)"},"citationItems":[{"id":3910,"uris":["http://zotero.org/users/local/f5Q4Fz2E/items/CEX2FJP3"],"uri":["http://zotero.org/users/local/f5Q4Fz2E/items/CEX2FJP3"],"itemData":{"id":3910,"type":"article-journal","title":"A Bayesian meta-analysis of multiple treatment comparisons of systemic regimens for advanced pancreatic cancer","container-title":"PloS One","page":"e108749","volume":"9","issue":"10","source":"PubMed","abstract":"BACKGROUND: For advanced pancreatic cancer, many regimens have been compared with gemcitabine (G) as the standard arm in randomized controlled trials. Few regimens have been directly compared with each other in randomized controlled trials and the relative efficacy and safety among them remains unclear.\nMETHODS: A systematic review was performed through MEDLINE, EMBASE, Cochrane Central Register of Controlled Trials, and ASCO meeting abstracts up to May 2013 to identify randomized controlled trials that included advanced pancreatic cancer comparing the following regimens: G, G+5-fluorouracil, G+ capecitabine, G+S1, G+ cisplatin, G+ oxaliplatin, G+ erlotinib, G+ nab-paclitaxel, and FOLFIRINOX. Overall survival and progression-free survival with 95% credible regions were extracted using the Parmar method. A Bayesian multiple treatment comparisons was performed to compare all regimens simultaneously.\nRESULTS: Twenty-two studies were identified and 16 were included in the meta-analysis. Median overall survival, progression free survival, and response rates for G arms from all trials were similar, suggesting no significant clinical heterogeneity. For overall survival, the mixed treatment comparisons found that the probability that FOLFIRINOX was the best regimen was 83%, while it was 11% for G+ nab-paclitaxel and 3% for G+ S1 and G+ erlotinib, respectively. The overall survival hazard ratio for FOLFIRINOX versus G+ nab-paclitaxel was 0.79 [0.50-1.24], with no obvious difference in toxicities. The hazard ratios from direct pairwise comparisons were consistent with the mixed treatment comparisons results.\nCONCLUSIONS: FOLFIRINOX appeared to be the best regimen for advanced pancreatic cancer probabilistically, with a trend towards improvement in survival when compared with other regimens by indirect comparisons.","DOI":"10.1371/journal.pone.0108749","ISSN":"1932-6203","note":"PMID: 25286060\nPMCID: PMC4186762","journalAbbreviation":"PLoS ONE","language":"eng","author":[{"family":"Chan","given":"Kelvin"},{"family":"Shah","given":"Keya"},{"family":"Lien","given":"Kelly"},{"family":"Coyle","given":"Doug"},{"family":"Lam","given":"Henry"},{"family":"Ko","given":"Yoo-Joung"}],"issued":{"date-parts":[["2014"]]},"PMID":"25286060","PMCID":"PMC4186762"},"locator":"201"}],"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[15</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In view of this debate, we conducted this review to discuss the main comparison points between FOLFIRINOX and GNP, including the design of the two pivotal trials, toxicity profiles, quality of life, real life experiences, choice of second-line therapy and cost effectiveness.</w:t>
      </w:r>
    </w:p>
    <w:p w14:paraId="59648EBE" w14:textId="77777777" w:rsidR="006A1A78" w:rsidRPr="007B09E8" w:rsidRDefault="006A1A78" w:rsidP="006A1A78">
      <w:pPr>
        <w:snapToGrid w:val="0"/>
        <w:spacing w:after="0" w:line="360" w:lineRule="auto"/>
        <w:jc w:val="both"/>
        <w:rPr>
          <w:rFonts w:ascii="Book Antiqua" w:hAnsi="Book Antiqua" w:cstheme="majorBidi"/>
          <w:sz w:val="24"/>
          <w:szCs w:val="24"/>
          <w:lang w:eastAsia="zh-CN"/>
        </w:rPr>
      </w:pPr>
    </w:p>
    <w:p w14:paraId="739CAA4C" w14:textId="6D8037D7" w:rsidR="0017410A" w:rsidRPr="007B09E8" w:rsidRDefault="0017410A" w:rsidP="00E872CF">
      <w:pPr>
        <w:pStyle w:val="Heading1"/>
        <w:snapToGrid w:val="0"/>
        <w:spacing w:before="0" w:line="360" w:lineRule="auto"/>
        <w:jc w:val="both"/>
        <w:rPr>
          <w:rFonts w:ascii="Book Antiqua" w:hAnsi="Book Antiqua"/>
          <w:caps/>
          <w:color w:val="auto"/>
          <w:sz w:val="24"/>
          <w:szCs w:val="24"/>
        </w:rPr>
      </w:pPr>
      <w:r w:rsidRPr="007B09E8">
        <w:rPr>
          <w:rFonts w:ascii="Book Antiqua" w:hAnsi="Book Antiqua"/>
          <w:caps/>
          <w:color w:val="auto"/>
          <w:sz w:val="24"/>
          <w:szCs w:val="24"/>
        </w:rPr>
        <w:t xml:space="preserve">Trial design: PRODIGE </w:t>
      </w:r>
      <w:r w:rsidRPr="007B09E8">
        <w:rPr>
          <w:rFonts w:ascii="Book Antiqua" w:hAnsi="Book Antiqua"/>
          <w:i/>
          <w:caps/>
          <w:color w:val="auto"/>
          <w:sz w:val="24"/>
          <w:szCs w:val="24"/>
        </w:rPr>
        <w:t>vs</w:t>
      </w:r>
      <w:r w:rsidRPr="007B09E8">
        <w:rPr>
          <w:rFonts w:ascii="Book Antiqua" w:hAnsi="Book Antiqua"/>
          <w:caps/>
          <w:color w:val="auto"/>
          <w:sz w:val="24"/>
          <w:szCs w:val="24"/>
        </w:rPr>
        <w:t xml:space="preserve"> MPACT</w:t>
      </w:r>
    </w:p>
    <w:p w14:paraId="55F5BD0D" w14:textId="6CB4DA66" w:rsidR="0017410A" w:rsidRPr="007B09E8" w:rsidRDefault="0017410A" w:rsidP="001C32E4">
      <w:pPr>
        <w:snapToGrid w:val="0"/>
        <w:spacing w:after="0" w:line="360" w:lineRule="auto"/>
        <w:jc w:val="both"/>
        <w:rPr>
          <w:rFonts w:ascii="Book Antiqua" w:hAnsi="Book Antiqua" w:cstheme="majorBidi"/>
          <w:sz w:val="24"/>
          <w:szCs w:val="24"/>
          <w:lang w:eastAsia="zh-CN"/>
        </w:rPr>
      </w:pPr>
      <w:r w:rsidRPr="007B09E8">
        <w:rPr>
          <w:rFonts w:ascii="Book Antiqua" w:hAnsi="Book Antiqua" w:cstheme="majorBidi"/>
          <w:sz w:val="24"/>
          <w:szCs w:val="24"/>
        </w:rPr>
        <w:t>The PRODIGE and MPACT trials were both randomized controlled trials (RCTs) based on an intent to treat principle and included 342 and 861 patients with metastatic pancreatic cancer, respectively. Both trials had nearly the same tumor characteristics</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IzbJdJif","properties":{"formattedCitation":"(9,16)","plainCitation":"(9,16)"},"citationItems":[{"id":533,"uris":["http://zotero.org/users/local/f5Q4Fz2E/items/2D83VM3U"],"uri":["http://zotero.org/users/local/f5Q4Fz2E/items/2D83VM3U"],"itemData":{"id":533,"type":"article-journal","title":"FOLFIRINOX versus Gemcitabine for Metastatic Pancreatic Cancer","container-title":"New England Journal of Medicine","page":"1817-1825","volume":"364","issue":"19","source":"Taylor and Francis+NEJM","abstract":"Pancreatic adenocarcinoma was the fourth leading cause of death from cancer in the United States in 2010,1 and it carries a grim prognosis: the 5-year survival rate is 6% in Europe and the United States.1,2 Gemcitabine became the reference regimen for advanced pancreatic cancer after a randomized trial showed significant improvement in the median overall survival as compared with fluorouracil administered as an intravenous bolus (5.6 vs. 4.4 months, P=0.002).3 In the subsequent phase 3 trials of single-agent gemcitabine,4 the median overall survival ranged from 5.0 to 7.2 months. The combination of gemcitabine with a variety of cytotoxic and . . .","DOI":"10.1056/NEJMoa1011923","ISSN":"0028-4793","note":"PMID: 21561347","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5,11]]},"PMID":"21561347"}},{"id":1926,"uris":["http://zotero.org/users/local/f5Q4Fz2E/items/V6RU25SX"],"uri":["http://zotero.org/users/local/f5Q4Fz2E/items/V6RU25SX"],"itemData":{"id":1926,"type":"article-journal","title":"Gemcitabine plus nab-paclitaxel is an active regimen in patients with advanced pancreatic cancer: a phase I/II trial","container-title":"Journal of Clinical Oncology: Official Journal of the American Society of Clinical Oncology","page":"4548-4554","volume":"29","issue":"34","source":"PubMed","abstract":"PURPOSE: The trial objectives were to identify the maximum-tolerated dose (MTD) of first-line gemcitabine plus nab-paclitaxel in metastatic pancreatic adenocarcinoma and to provide efficacy and safety data. Additional objectives were to evaluate positron emission tomography (PET) scan response, secreted protein acidic and rich in cysteine (SPARC), and CA19-9 levels in relation to efficacy. Subsequent preclinical studies investigated the changes involving the pancreatic stroma and drug uptake.\nPATIENTS AND METHODS: Patients with previously untreated advanced pancreatic cancer were treated with 100, 125, or 150 mg/m(2) nab-paclitaxel followed by gemcitabine 1,000 mg/m(2) on days 1, 8, and 15 every 28 days. In the preclinical study, mice were implanted with human pancreatic cancers and treated with study agents.\nRESULTS: A total of 20, 44, and three patients received nab-paclitaxel at 100, 125, and 150 mg/m(2), respectively. The MTD was 1,000 mg/m(2) of gemcitabine plus 125 mg/m(2) of nab-paclitaxel once a week for 3 weeks, every 28 days. Dose-limiting toxicities were sepsis and neutropenia. At the MTD, the response rate was 48%, with 12.2 median months of overall survival (OS) and 48% 1-year survival. Improved OS was observed in patients who had a complete metabolic response on [(18)F]fluorodeoxyglucose PET. Decreases in CA19-9 levels were correlated with increased response rate, progression-free survival, and OS. SPARC in the stroma, but not in the tumor, was correlated with improved survival. In mice with human pancreatic cancer xenografts, nab-paclitaxel alone and in combination with gemcitabine depleted the desmoplastic stroma. The intratumoral concentration of gemcitabine was increased by 2.8-fold in mice receiving nab-paclitaxel plus gemcitabine versus those receiving gemcitabine alone.\nCONCLUSION: The regimen of nab-paclitaxel plus gemcitabine has tolerable adverse effects with substantial antitumor activity, warranting phase III evaluation.","DOI":"10.1200/JCO.2011.36.5742","ISSN":"1527-7755","note":"PMID: 21969517\nPMCID: PMC3565012","shortTitle":"Gemcitabine plus nab-paclitaxel is an active regimen in patients with advanced pancreatic cancer","journalAbbreviation":"J. Clin. Oncol.","language":"eng","author":[{"family":"Von Hoff","given":"Daniel D."},{"family":"Ramanathan","given":"Ramesh K."},{"family":"Borad","given":"Mitesh J."},{"family":"Laheru","given":"Daniel A."},{"family":"Smith","given":"Lon S."},{"family":"Wood","given":"Tina E."},{"family":"Korn","given":"Ronald L."},{"family":"Desai","given":"Neil"},{"family":"Trieu","given":"Vuong"},{"family":"Iglesias","given":"Jose L."},{"family":"Zhang","given":"Hui"},{"family":"Soon-Shiong","given":"Patrick"},{"family":"Shi","given":"Tao"},{"family":"Rajeshkumar","given":"N. V."},{"family":"Maitra","given":"Anirban"},{"family":"Hidalgo","given":"Manuel"}],"issued":{"date-parts":[["2011",12,1]]},"PMID":"21969517","PMCID":"PMC3565012"}}],"schema":"https://github.com/citation-style-language/schema/raw/master/csl-citation.json"}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[9,16</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Additionally, the median age (61 years for both trials) and sex ratio (1.6 for PRODIGE and 1.3 for MPACT) were nearly identical. However, the French trial included only patients less than 76 years old with good performance status based on the ECOG evaluation system (ECOG 0-1). In contrast, the MPACT trial did not specify an age limit (age ranged from 27 to 86 years) and included patients with intermediate performance status based on the KPS system (KPS &lt;</w:t>
      </w:r>
      <w:r w:rsidR="006A1A78" w:rsidRPr="007B09E8">
        <w:rPr>
          <w:rFonts w:ascii="Book Antiqua" w:hAnsi="Book Antiqua" w:cstheme="majorBidi" w:hint="eastAsia"/>
          <w:sz w:val="24"/>
          <w:szCs w:val="24"/>
          <w:lang w:eastAsia="zh-CN"/>
        </w:rPr>
        <w:t xml:space="preserve"> </w:t>
      </w:r>
      <w:r w:rsidRPr="007B09E8">
        <w:rPr>
          <w:rFonts w:ascii="Book Antiqua" w:hAnsi="Book Antiqua" w:cstheme="majorBidi"/>
          <w:sz w:val="24"/>
          <w:szCs w:val="24"/>
        </w:rPr>
        <w:t xml:space="preserve">90 in nearly 42% of patients). In addition, the PRODIGE trial only included patients from French centers while the MPACT trial was a multinational study including patients from North America (63%), Australia (14%), and Eastern (15%) and Western Europe (9%). In addition, patients in the Gemcitabine arm of the PRODIGE trial received only 6 months of therapy even if they were not progressing (17%), nearly half of whom did not continue. While some authors do not consider these differences important given that the survival curves of the </w:t>
      </w:r>
      <w:r w:rsidR="001C32E4" w:rsidRPr="007B09E8">
        <w:rPr>
          <w:rFonts w:ascii="Book Antiqua" w:hAnsi="Book Antiqua" w:cstheme="majorBidi"/>
          <w:sz w:val="24"/>
          <w:szCs w:val="24"/>
        </w:rPr>
        <w:t>g</w:t>
      </w:r>
      <w:r w:rsidRPr="007B09E8">
        <w:rPr>
          <w:rFonts w:ascii="Book Antiqua" w:hAnsi="Book Antiqua" w:cstheme="majorBidi"/>
          <w:sz w:val="24"/>
          <w:szCs w:val="24"/>
        </w:rPr>
        <w:t xml:space="preserve">emcitabine arm in the two trials are “superimposable”, others do not share this opinion. In fact, Gemcitabine is a well-known drug that is tolerated in the elderly </w:t>
      </w:r>
      <w:r w:rsidRPr="007B09E8">
        <w:rPr>
          <w:rFonts w:ascii="Book Antiqua" w:hAnsi="Book Antiqua" w:cstheme="majorBidi"/>
          <w:sz w:val="24"/>
          <w:szCs w:val="24"/>
        </w:rPr>
        <w:lastRenderedPageBreak/>
        <w:t>population, even in intermediate health systems such as that of Eastern Europe. The same is not true when a new drug such as nab-paclitaxel is added to gemcitabine. In fact, the forest plot in the MPACT study clearly shows an effect of age and country on hazard ratio. In the same sense, Tehfe et al published an analysis of patients from Canada (a sub-group of the MPACT trial) and showed an OS equal to 11.9 mo</w:t>
      </w:r>
      <w:r w:rsidR="001C32E4" w:rsidRPr="007B09E8">
        <w:rPr>
          <w:rFonts w:ascii="Book Antiqua" w:hAnsi="Book Antiqua" w:cstheme="majorBidi" w:hint="eastAsia"/>
          <w:sz w:val="24"/>
          <w:szCs w:val="24"/>
          <w:lang w:eastAsia="zh-CN"/>
        </w:rPr>
        <w:t xml:space="preserve"> </w:t>
      </w:r>
      <w:r w:rsidRPr="007B09E8">
        <w:rPr>
          <w:rFonts w:ascii="Book Antiqua" w:hAnsi="Book Antiqua" w:cstheme="majorBidi"/>
          <w:sz w:val="24"/>
          <w:szCs w:val="24"/>
        </w:rPr>
        <w:t>in the GNP arm compared to 7.1 mo</w:t>
      </w:r>
      <w:r w:rsidR="001C32E4" w:rsidRPr="007B09E8">
        <w:rPr>
          <w:rFonts w:ascii="Book Antiqua" w:hAnsi="Book Antiqua" w:cstheme="majorBidi" w:hint="eastAsia"/>
          <w:sz w:val="24"/>
          <w:szCs w:val="24"/>
          <w:lang w:eastAsia="zh-CN"/>
        </w:rPr>
        <w:t xml:space="preserve"> </w:t>
      </w:r>
      <w:r w:rsidRPr="007B09E8">
        <w:rPr>
          <w:rFonts w:ascii="Book Antiqua" w:hAnsi="Book Antiqua" w:cstheme="majorBidi"/>
          <w:sz w:val="24"/>
          <w:szCs w:val="24"/>
        </w:rPr>
        <w:t>in the gemcitabine arm with a hazard ratio of 0.76. However, this subgroup analysis included only 63 patients and was underpowered to detect a statistically significant result</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2p8ns8adr1","properties":{"formattedCitation":"(17)","plainCitation":"(17)"},"citationItems":[{"id":3846,"uris":["http://zotero.org/users/local/f5Q4Fz2E/items/IPZ2PK4B"],"uri":["http://zotero.org/users/local/f5Q4Fz2E/items/IPZ2PK4B"],"itemData":{"id":3846,"type":"article-journal","title":"nab-Paclitaxel Plus Gemcitabine Versus Gemcitabine in Patients with Metastatic Pancreatic Adenocarcinoma: Canadian Subgroup Analysis of the Phase 3 MPACT Trial","container-title":"Advances in Therapy","page":"747-759","volume":"33","issue":"5","source":"PubMed","abstract":"INTRODUCTION: The phase III MPACT trial in patients with metastatic pancreatic cancer (MPC) demonstrated superior efficacy of nab-paclitaxel (nab-P) plus gemcitabine (Gem) compared with Gem monotherapy, including the primary endpoint of overall survival (OS; median 8.7 vs. 6.6 months; hazard ratio [HR] 0.72; P &lt; 0.001). A significant treatment difference favoring nab-P + Gem over Gem was observed for OS in patients treated in North America. The majority of patients were from the US (88%) with only 12% from Canada. Healthcare systems and treatment patterns are different between the 2 countries, and there is limited published information on outcomes of Canadian patients treated with first-line nab-P + Gem. This analysis evaluated efficacy and safety outcomes in Canadian patients in the MPACT trial.\nMETHODS: Treatment-naive patients with MPC (N = 861) received either nab-P 125 mg/m(2) + Gem 1000 mg/m(2) on days 1, 8, and 15 every 4 weeks or Gem 1000 mg/m(2) weekly for the first 7 of 8 weeks (cycle 1) and then on days 1, 8, and 15 every 4 weeks (cycle ≥2).\nRESULTS: The MPACT trial enrolled 63 patients in Canada. Baseline characteristics were well balanced and comparable with those of the intent-to-treat population. Both OS (median 11.9 vs. 7.1 months; HR 0.76; P = 0.373) and progression-free survival (median 7.2 vs. 5.2 months; HR 0.65; P = 0.224) were numerically longer and overall response rate (27% vs. 17%; P = 0.312) was numerically higher with nab-P + Gem vs. Gem. The most common grade ≥3 adverse events with nab-P + Gem vs. Gem were neutropenia (22% vs. 10%), fatigue (34% vs. 33%), and neuropathy (25% vs. 0%).\nCONCLUSION: This subanalysis confirmed that nab-P + Gem is an efficacious treatment option and has a manageable safety profile in patients with MPC treated in Canada.\nTRIAL REGISTRATION: ClinicalTrials.gov identifier, NCT00844649.\nFUNDING: Celgene Corporation, Summit, NJ, USA.","DOI":"10.1007/s12325-016-0327-4","ISSN":"1865-8652","note":"PMID: 27085323\nPMCID: PMC4882352","shortTitle":"nab-Paclitaxel Plus Gemcitabine Versus Gemcitabine in Patients with Metastatic Pancreatic Adenocarcinoma","journalAbbreviation":"Adv Ther","language":"eng","author":[{"family":"Tehfe","given":"Mustapha"},{"family":"Dowden","given":"Scot"},{"family":"Kennecke","given":"Hagen"},{"family":"El-Maraghi","given":"Robert"},{"family":"Lesperance","given":"Bernard"},{"family":"Couture","given":"Felix"},{"family":"Letourneau","given":"Richard"},{"family":"Liu","given":"Helen"},{"family":"Romano","given":"Alfredo"}],"issued":{"date-parts":[["2016",5]]},"PMID":"27085323","PMCID":"PMC4882352"}}],"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[17</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001C32E4" w:rsidRPr="007B09E8">
        <w:rPr>
          <w:rFonts w:ascii="Book Antiqua" w:hAnsi="Book Antiqua" w:cstheme="majorBidi"/>
          <w:sz w:val="24"/>
          <w:szCs w:val="24"/>
        </w:rPr>
        <w:t>.</w:t>
      </w:r>
    </w:p>
    <w:p w14:paraId="712B77A8" w14:textId="77777777" w:rsidR="001C32E4" w:rsidRPr="007B09E8" w:rsidRDefault="001C32E4" w:rsidP="001C32E4">
      <w:pPr>
        <w:snapToGrid w:val="0"/>
        <w:spacing w:after="0" w:line="360" w:lineRule="auto"/>
        <w:jc w:val="both"/>
        <w:rPr>
          <w:rFonts w:ascii="Book Antiqua" w:hAnsi="Book Antiqua" w:cstheme="majorBidi"/>
          <w:sz w:val="24"/>
          <w:szCs w:val="24"/>
          <w:lang w:eastAsia="zh-CN"/>
        </w:rPr>
      </w:pPr>
    </w:p>
    <w:p w14:paraId="4F628585" w14:textId="77777777" w:rsidR="0017410A" w:rsidRPr="007B09E8" w:rsidRDefault="0017410A" w:rsidP="00E872CF">
      <w:pPr>
        <w:pStyle w:val="Heading1"/>
        <w:snapToGrid w:val="0"/>
        <w:spacing w:before="0" w:line="360" w:lineRule="auto"/>
        <w:jc w:val="both"/>
        <w:rPr>
          <w:rFonts w:ascii="Book Antiqua" w:hAnsi="Book Antiqua"/>
          <w:caps/>
          <w:color w:val="auto"/>
          <w:sz w:val="24"/>
          <w:szCs w:val="24"/>
        </w:rPr>
      </w:pPr>
      <w:r w:rsidRPr="007B09E8">
        <w:rPr>
          <w:rFonts w:ascii="Book Antiqua" w:hAnsi="Book Antiqua"/>
          <w:caps/>
          <w:color w:val="auto"/>
          <w:sz w:val="24"/>
          <w:szCs w:val="24"/>
        </w:rPr>
        <w:t>Toxicity and Quality of Life</w:t>
      </w:r>
    </w:p>
    <w:p w14:paraId="11A92B71" w14:textId="5895E929" w:rsidR="0017410A" w:rsidRPr="007B09E8" w:rsidRDefault="0017410A" w:rsidP="00E872CF">
      <w:pPr>
        <w:snapToGrid w:val="0"/>
        <w:spacing w:after="0" w:line="360" w:lineRule="auto"/>
        <w:jc w:val="both"/>
        <w:rPr>
          <w:rFonts w:ascii="Book Antiqua" w:hAnsi="Book Antiqua" w:cstheme="majorBidi"/>
          <w:sz w:val="24"/>
          <w:szCs w:val="24"/>
          <w:lang w:eastAsia="zh-CN"/>
        </w:rPr>
      </w:pPr>
      <w:r w:rsidRPr="007B09E8">
        <w:rPr>
          <w:rFonts w:ascii="Book Antiqua" w:hAnsi="Book Antiqua" w:cstheme="majorBidi"/>
          <w:sz w:val="24"/>
          <w:szCs w:val="24"/>
        </w:rPr>
        <w:t xml:space="preserve">The toxicity profile of a chemotherapy regimen is a major contributor in its adoption. Based on the two trials, hematologic toxicity is in favor of the FOLFIRINOX regimen and includes a lower incidence of neutropenia (45% </w:t>
      </w:r>
      <w:r w:rsidRPr="007B09E8">
        <w:rPr>
          <w:rFonts w:ascii="Book Antiqua" w:hAnsi="Book Antiqua" w:cstheme="majorBidi"/>
          <w:i/>
          <w:sz w:val="24"/>
          <w:szCs w:val="24"/>
        </w:rPr>
        <w:t>vs</w:t>
      </w:r>
      <w:r w:rsidRPr="007B09E8">
        <w:rPr>
          <w:rFonts w:ascii="Book Antiqua" w:hAnsi="Book Antiqua" w:cstheme="majorBidi"/>
          <w:sz w:val="24"/>
          <w:szCs w:val="24"/>
        </w:rPr>
        <w:t xml:space="preserve"> 38%) (although the use of G-CSF was more common), anemia (7.8% </w:t>
      </w:r>
      <w:r w:rsidR="001C32E4" w:rsidRPr="007B09E8">
        <w:rPr>
          <w:rFonts w:ascii="Book Antiqua" w:hAnsi="Book Antiqua" w:cstheme="majorBidi"/>
          <w:i/>
          <w:sz w:val="24"/>
          <w:szCs w:val="24"/>
        </w:rPr>
        <w:t>vs</w:t>
      </w:r>
      <w:r w:rsidRPr="007B09E8">
        <w:rPr>
          <w:rFonts w:ascii="Book Antiqua" w:hAnsi="Book Antiqua" w:cstheme="majorBidi"/>
          <w:sz w:val="24"/>
          <w:szCs w:val="24"/>
        </w:rPr>
        <w:t xml:space="preserve"> 13%), and thrombocytopenia (9.1% </w:t>
      </w:r>
      <w:r w:rsidR="001C32E4" w:rsidRPr="007B09E8">
        <w:rPr>
          <w:rFonts w:ascii="Book Antiqua" w:hAnsi="Book Antiqua" w:cstheme="majorBidi"/>
          <w:i/>
          <w:sz w:val="24"/>
          <w:szCs w:val="24"/>
        </w:rPr>
        <w:t>vs</w:t>
      </w:r>
      <w:r w:rsidRPr="007B09E8">
        <w:rPr>
          <w:rFonts w:ascii="Book Antiqua" w:hAnsi="Book Antiqua" w:cstheme="majorBidi"/>
          <w:sz w:val="24"/>
          <w:szCs w:val="24"/>
        </w:rPr>
        <w:t xml:space="preserve"> 13%). The remaining toxicities are listed in Table 1</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1FcJAyid","properties":{"formattedCitation":"(9,16)","plainCitation":"(9,16)"},"citationItems":[{"id":1926,"uris":["http://zotero.org/users/local/f5Q4Fz2E/items/V6RU25SX"],"uri":["http://zotero.org/users/local/f5Q4Fz2E/items/V6RU25SX"],"itemData":{"id":1926,"type":"article-journal","title":"Gemcitabine plus nab-paclitaxel is an active regimen in patients with advanced pancreatic cancer: a phase I/II trial","container-title":"Journal of Clinical Oncology: Official Journal of the American Society of Clinical Oncology","page":"4548-4554","volume":"29","issue":"34","source":"PubMed","abstract":"PURPOSE: The trial objectives were to identify the maximum-tolerated dose (MTD) of first-line gemcitabine plus nab-paclitaxel in metastatic pancreatic adenocarcinoma and to provide efficacy and safety data. Additional objectives were to evaluate positron emission tomography (PET) scan response, secreted protein acidic and rich in cysteine (SPARC), and CA19-9 levels in relation to efficacy. Subsequent preclinical studies investigated the changes involving the pancreatic stroma and drug uptake.\nPATIENTS AND METHODS: Patients with previously untreated advanced pancreatic cancer were treated with 100, 125, or 150 mg/m(2) nab-paclitaxel followed by gemcitabine 1,000 mg/m(2) on days 1, 8, and 15 every 28 days. In the preclinical study, mice were implanted with human pancreatic cancers and treated with study agents.\nRESULTS: A total of 20, 44, and three patients received nab-paclitaxel at 100, 125, and 150 mg/m(2), respectively. The MTD was 1,000 mg/m(2) of gemcitabine plus 125 mg/m(2) of nab-paclitaxel once a week for 3 weeks, every 28 days. Dose-limiting toxicities were sepsis and neutropenia. At the MTD, the response rate was 48%, with 12.2 median months of overall survival (OS) and 48% 1-year survival. Improved OS was observed in patients who had a complete metabolic response on [(18)F]fluorodeoxyglucose PET. Decreases in CA19-9 levels were correlated with increased response rate, progression-free survival, and OS. SPARC in the stroma, but not in the tumor, was correlated with improved survival. In mice with human pancreatic cancer xenografts, nab-paclitaxel alone and in combination with gemcitabine depleted the desmoplastic stroma. The intratumoral concentration of gemcitabine was increased by 2.8-fold in mice receiving nab-paclitaxel plus gemcitabine versus those receiving gemcitabine alone.\nCONCLUSION: The regimen of nab-paclitaxel plus gemcitabine has tolerable adverse effects with substantial antitumor activity, warranting phase III evaluation.","DOI":"10.1200/JCO.2011.36.5742","ISSN":"1527-7755","note":"PMID: 21969517\nPMCID: PMC3565012","shortTitle":"Gemcitabine plus nab-paclitaxel is an active regimen in patients with advanced pancreatic cancer","journalAbbreviation":"J. Clin. Oncol.","language":"eng","author":[{"family":"Von Hoff","given":"Daniel D."},{"family":"Ramanathan","given":"Ramesh K."},{"family":"Borad","given":"Mitesh J."},{"family":"Laheru","given":"Daniel A."},{"family":"Smith","given":"Lon S."},{"family":"Wood","given":"Tina E."},{"family":"Korn","given":"Ronald L."},{"family":"Desai","given":"Neil"},{"family":"Trieu","given":"Vuong"},{"family":"Iglesias","given":"Jose L."},{"family":"Zhang","given":"Hui"},{"family":"Soon-Shiong","given":"Patrick"},{"family":"Shi","given":"Tao"},{"family":"Rajeshkumar","given":"N. V."},{"family":"Maitra","given":"Anirban"},{"family":"Hidalgo","given":"Manuel"}],"issued":{"date-parts":[["2011",12,1]]},"PMID":"21969517","PMCID":"PMC3565012"}},{"id":533,"uris":["http://zotero.org/users/local/f5Q4Fz2E/items/2D83VM3U"],"uri":["http://zotero.org/users/local/f5Q4Fz2E/items/2D83VM3U"],"itemData":{"id":533,"type":"article-journal","title":"FOLFIRINOX versus Gemcitabine for Metastatic Pancreatic Cancer","container-title":"New England Journal of Medicine","page":"1817-1825","volume":"364","issue":"19","source":"Taylor and Francis+NEJM","abstract":"Pancreatic adenocarcinoma was the fourth leading cause of death from cancer in the United States in 2010,1 and it carries a grim prognosis: the 5-year survival rate is 6% in Europe and the United States.1,2 Gemcitabine became the reference regimen for advanced pancreatic cancer after a randomized trial showed significant improvement in the median overall survival as compared with fluorouracil administered as an intravenous bolus (5.6 vs. 4.4 months, P=0.002).3 In the subsequent phase 3 trials of single-agent gemcitabine,4 the median overall survival ranged from 5.0 to 7.2 months. The combination of gemcitabine with a variety of cytotoxic and . . .","DOI":"10.1056/NEJMoa1011923","ISSN":"0028-4793","note":"PMID: 21561347","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5,11]]},"PMID":"21561347"}}],"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[9,16</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Peripheral neuropathy attributed to Nab-paclitaxel is a particular debilitating toxicity; grade 3 peripheral neuropathy was encountered in 17% of the patients but improved to grade 1 toxicity or less in a median of 29 d</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sr3h6eoe3","properties":{"formattedCitation":"(10)","plainCitation":"(10)"},"citationItems":[{"id":1928,"uris":["http://zotero.org/users/local/f5Q4Fz2E/items/MHXZFHH3"],"uri":["http://zotero.org/users/local/f5Q4Fz2E/items/MHXZFHH3"],"itemData":{"id":1928,"type":"article-journal","title":"Increased Survival in Pancreatic Cancer with nab-Paclitaxel plus Gemcitabine","container-title":"New England Journal of Medicine","page":"1691-1703","volume":"369","issue":"18","source":"Taylor and Francis+NEJM","abstract":"Pancreatic cancer is the fourth leading cause of cancer-related death in Europe and the United States.1,2 Since 1997, gemcitabine therapy has been the standard first-line treatment for patients with unresectable locally advanced or metastatic pancreatic cancer.3 Among patients with metastatic disease, the 5-year survival rate is only 2%,1 and 1-year survival rates of 17 to 23% have been reported with gemcitabine.3–5 Numerous phase 2 studies involving patients with advanced pancreatic cancer have shown promising results; however, most subsequent large phase 3 studies have not shown significantly improved survival,6–16 with the exception of a study involving patients who . . .","DOI":"10.1056/NEJMoa1304369","ISSN":"0028-4793","note":"PMID: 24131140","author":[{"family":"Von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F."}],"issued":{"date-parts":[["2013",10,31]]},"PMID":"24131140"}}],"schema":"https://github.com/citation-style-language/schema/raw/master/csl-citation.json"}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[10</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Real-life studies with a closer follow-up of patients showed fewer side effects compared to those reported in the clinical trials</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2c4m8svbr0","properties":{"formattedCitation":"(18)","plainCitation":"(18)"},"citationItems":[{"id":2642,"uris":["http://zotero.org/users/local/f5Q4Fz2E/items/FWE5TGEZ"],"uri":["http://zotero.org/users/local/f5Q4Fz2E/items/FWE5TGEZ"],"itemData":{"id":2642,"type":"article","title":"Patel L, Hollmann S, Attard C, Maroun J. Real-world experience with FOLFIRINOX: A review of Canadian and international registries. Oncology Exchange. 2014 Nov 1;13(4)."}}],"schema":"https://github.com/citation-style-language/schema/raw/master/csl-citation.json"}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[18</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xml:space="preserve">. Chemotherapy-induced hair loss is often a major determinant of the treatment regimen selected and was more commonly encountered in the GNP regimen (50% </w:t>
      </w:r>
      <w:r w:rsidR="001C32E4" w:rsidRPr="007B09E8">
        <w:rPr>
          <w:rFonts w:ascii="Book Antiqua" w:hAnsi="Book Antiqua" w:cstheme="majorBidi"/>
          <w:i/>
          <w:sz w:val="24"/>
          <w:szCs w:val="24"/>
        </w:rPr>
        <w:t>vs</w:t>
      </w:r>
      <w:r w:rsidRPr="007B09E8">
        <w:rPr>
          <w:rFonts w:ascii="Book Antiqua" w:hAnsi="Book Antiqua" w:cstheme="majorBidi"/>
          <w:sz w:val="24"/>
          <w:szCs w:val="24"/>
        </w:rPr>
        <w:t xml:space="preserve"> 11.2%)</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BuSloAJN","properties":{"formattedCitation":"(9,16)","plainCitation":"(9,16)"},"citationItems":[{"id":533,"uris":["http://zotero.org/users/local/f5Q4Fz2E/items/2D83VM3U"],"uri":["http://zotero.org/users/local/f5Q4Fz2E/items/2D83VM3U"],"itemData":{"id":533,"type":"article-journal","title":"FOLFIRINOX versus Gemcitabine for Metastatic Pancreatic Cancer","container-title":"New England Journal of Medicine","page":"1817-1825","volume":"364","issue":"19","source":"Taylor and Francis+NEJM","abstract":"Pancreatic adenocarcinoma was the fourth leading cause of death from cancer in the United States in 2010,1 and it carries a grim prognosis: the 5-year survival rate is 6% in Europe and the United States.1,2 Gemcitabine became the reference regimen for advanced pancreatic cancer after a randomized trial showed significant improvement in the median overall survival as compared with fluorouracil administered as an intravenous bolus (5.6 vs. 4.4 months, P=0.002).3 In the subsequent phase 3 trials of single-agent gemcitabine,4 the median overall survival ranged from 5.0 to 7.2 months. The combination of gemcitabine with a variety of cytotoxic and . . .","DOI":"10.1056/NEJMoa1011923","ISSN":"0028-4793","note":"PMID: 21561347","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5,11]]},"PMID":"21561347"}},{"id":1926,"uris":["http://zotero.org/users/local/f5Q4Fz2E/items/V6RU25SX"],"uri":["http://zotero.org/users/local/f5Q4Fz2E/items/V6RU25SX"],"itemData":{"id":1926,"type":"article-journal","title":"Gemcitabine plus nab-paclitaxel is an active regimen in patients with advanced pancreatic cancer: a phase I/II trial","container-title":"Journal of Clinical Oncology: Official Journal of the American Society of Clinical Oncology","page":"4548-4554","volume":"29","issue":"34","source":"PubMed","abstract":"PURPOSE: The trial objectives were to identify the maximum-tolerated dose (MTD) of first-line gemcitabine plus nab-paclitaxel in metastatic pancreatic adenocarcinoma and to provide efficacy and safety data. Additional objectives were to evaluate positron emission tomography (PET) scan response, secreted protein acidic and rich in cysteine (SPARC), and CA19-9 levels in relation to efficacy. Subsequent preclinical studies investigated the changes involving the pancreatic stroma and drug uptake.\nPATIENTS AND METHODS: Patients with previously untreated advanced pancreatic cancer were treated with 100, 125, or 150 mg/m(2) nab-paclitaxel followed by gemcitabine 1,000 mg/m(2) on days 1, 8, and 15 every 28 days. In the preclinical study, mice were implanted with human pancreatic cancers and treated with study agents.\nRESULTS: A total of 20, 44, and three patients received nab-paclitaxel at 100, 125, and 150 mg/m(2), respectively. The MTD was 1,000 mg/m(2) of gemcitabine plus 125 mg/m(2) of nab-paclitaxel once a week for 3 weeks, every 28 days. Dose-limiting toxicities were sepsis and neutropenia. At the MTD, the response rate was 48%, with 12.2 median months of overall survival (OS) and 48% 1-year survival. Improved OS was observed in patients who had a complete metabolic response on [(18)F]fluorodeoxyglucose PET. Decreases in CA19-9 levels were correlated with increased response rate, progression-free survival, and OS. SPARC in the stroma, but not in the tumor, was correlated with improved survival. In mice with human pancreatic cancer xenografts, nab-paclitaxel alone and in combination with gemcitabine depleted the desmoplastic stroma. The intratumoral concentration of gemcitabine was increased by 2.8-fold in mice receiving nab-paclitaxel plus gemcitabine versus those receiving gemcitabine alone.\nCONCLUSION: The regimen of nab-paclitaxel plus gemcitabine has tolerable adverse effects with substantial antitumor activity, warranting phase III evaluation.","DOI":"10.1200/JCO.2011.36.5742","ISSN":"1527-7755","note":"PMID: 21969517\nPMCID: PMC3565012","shortTitle":"Gemcitabine plus nab-paclitaxel is an active regimen in patients with advanced pancreatic cancer","journalAbbreviation":"J. Clin. Oncol.","language":"eng","author":[{"family":"Von Hoff","given":"Daniel D."},{"family":"Ramanathan","given":"Ramesh K."},{"family":"Borad","given":"Mitesh J."},{"family":"Laheru","given":"Daniel A."},{"family":"Smith","given":"Lon S."},{"family":"Wood","given":"Tina E."},{"family":"Korn","given":"Ronald L."},{"family":"Desai","given":"Neil"},{"family":"Trieu","given":"Vuong"},{"family":"Iglesias","given":"Jose L."},{"family":"Zhang","given":"Hui"},{"family":"Soon-Shiong","given":"Patrick"},{"family":"Shi","given":"Tao"},{"family":"Rajeshkumar","given":"N. V."},{"family":"Maitra","given":"Anirban"},{"family":"Hidalgo","given":"Manuel"}],"issued":{"date-parts":[["2011",12,1]]},"PMID":"21969517","PMCID":"PMC3565012"}}],"schema":"https://github.com/citation-style-language/schema/raw/master/csl-citation.json"}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[9,16</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007B09E8" w:rsidRPr="007B09E8">
        <w:rPr>
          <w:rFonts w:ascii="Book Antiqua" w:hAnsi="Book Antiqua" w:cstheme="majorBidi"/>
          <w:sz w:val="24"/>
          <w:szCs w:val="24"/>
        </w:rPr>
        <w:t>.</w:t>
      </w:r>
    </w:p>
    <w:p w14:paraId="21F445A6" w14:textId="77777777" w:rsidR="0017410A" w:rsidRPr="007B09E8" w:rsidRDefault="0017410A" w:rsidP="001C32E4">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7B09E8">
        <w:rPr>
          <w:rFonts w:ascii="Book Antiqua" w:hAnsi="Book Antiqua" w:cstheme="majorBidi"/>
          <w:sz w:val="24"/>
          <w:szCs w:val="24"/>
        </w:rPr>
        <w:t>Overall, FOLFIRINOX remarkably improved global health status, emotional functioning and many of the symptoms of mPC, such as pain and anorexia (although FOLFIRINOX did not relieve diarrhea), in the first two months of treatment. It also showed significantly increased time to physical or cognitive deterioration</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e5l9i86sh","properties":{"formattedCitation":"(19)","plainCitation":"(19)"},"citationItems":[{"id":2636,"uris":["http://zotero.org/users/local/f5Q4Fz2E/items/2BIP4RW4"],"uri":["http://zotero.org/users/local/f5Q4Fz2E/items/2BIP4RW4"],"itemData":{"id":2636,"type":"article-journal","title":"Impact of FOLFIRINOX compared with gemcitabine on quality of life in patients with metastatic pancreatic cancer: results from the PRODIGE 4/ACCORD 11 randomized trial","container-title":"Journal of Clinical Oncology: Official Journal of the American Society of Clinical Oncology","page":"23-29","volume":"31","issue":"1","source":"PubMed","abstract":"PURPOSE: To compare the quality of life (QoL) of patients receiving oxaliplatin, irinotecan, fluorouracil, and leucovorin (FOLFIRINOX) or gemcitabine as first-line chemotherapy and to assess whether pretreatment QoL predicts survival in patients with metastatic pancreatic cancer.\nPATIENTS AND METHODS: Three hundred forty-two patients with performance status 0 or 1 were randomly assigned to receive FOLFIRINOX (oxaliplatin, 85 mg/m(2); irinotecan, 180 mg/m(2); leucovorin, 400 mg/m(2); and fluorouracil, 400 mg/m(2) bolus followed by 2,400 mg/m(2) 46-hour continuous infusion, once every 2 weeks) or gemcitabine 1,000 mg/m(2) weekly for 7 of 8 weeks and then weekly for 3 of 4 weeks. QoL was assessed using European Organisation for the Research and Treatment of Cancer Quality of Life Questionnaire C30 every 2 weeks.\nRESULTS: Improvement in global health status (GHS; P &lt; .001) was observed in the FOLFIRINOX arm and improvement in emotional functioning (P &lt; .001) was observed in both arms, along with a decrease in pain, insomnia, anorexia, and constipation in both arms. A significant increase in diarrhea was observed in the FOLFIRINOX arm during the first 2 months of chemotherapy. Time until definitive deterioration ≥ 20 points was significantly longer for FOLFIRINOX compared with gemcitabine for GHS, physical, role, cognitive, and social functioning, and six symptom domains (fatigue, nausea/vomiting, pain, dyspnea, anorexia, and constipation). Physical functioning, constipation, and dyspnea were independent significant prognostic factors for survival with treatment arm, age older than 65 years, and low serum albumin.\nCONCLUSION: FOLFIRINOX significantly reduces QoL impairment compared with gemcitabine in patients with metastatic pancreatic cancer. Furthermore, baseline QoL scores improved estimation of survival probability when added to baseline clinical and demographic variables.","DOI":"10.1200/JCO.2012.44.4869","ISSN":"1527-7755","note":"PMID: 23213101","shortTitle":"Impact of FOLFIRINOX compared with gemcitabine on quality of life in patients with metastatic pancreatic cancer","journalAbbreviation":"J. Clin. Oncol.","language":"eng","author":[{"family":"Gourgou-Bourgade","given":"Sophie"},{"family":"Bascoul-Mollevi","given":"Caroline"},{"family":"Desseigne","given":"Françoise"},{"family":"Ychou","given":"Marc"},{"family":"Bouché","given":"Olivier"},{"family":"Guimbaud","given":"Rosine"},{"family":"Bécouarn","given":"Yves"},{"family":"Adenis","given":"Antoine"},{"family":"Raoul","given":"Jean-Luc"},{"family":"Boige","given":"Valérie"},{"family":"Bérille","given":"Jocelyne"},{"family":"Conroy","given":"Thierry"}],"issued":{"date-parts":[["2013",1,1]]},"PMID":"23213101"}}],"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[19</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xml:space="preserve">. On the other hand, quality of life was not assessed in the MPACT trial. In contrast, GNP showed significant improvement in quality-adjusted survival in comparison to gemcitabine alone using the Quality-Adjusted Time Without Symptoms or Toxicities </w:t>
      </w:r>
      <w:r w:rsidRPr="007B09E8">
        <w:rPr>
          <w:rFonts w:ascii="Book Antiqua" w:hAnsi="Book Antiqua" w:cstheme="majorBidi"/>
          <w:sz w:val="24"/>
          <w:szCs w:val="24"/>
        </w:rPr>
        <w:lastRenderedPageBreak/>
        <w:t>(Q-TWiST) methodology, despite the limitations of the Q-TWiST analysis and the lack of prospective quality of life data from the MPACT trial</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1epkd3oo35","properties":{"formattedCitation":"(8)","plainCitation":"(8)"},"citationItems":[{"id":3864,"uris":["http://zotero.org/users/local/f5Q4Fz2E/items/VANJJE7F"],"uri":["http://zotero.org/users/local/f5Q4Fz2E/items/VANJJE7F"],"itemData":{"id":3864,"type":"article-journal","title":"Quality-adjusted survival with combination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vs gemcitabine alone in metastatic pancreatic cancer: a Q-TWiST analysis","container-title":"Journal of Medical Economics","page":"338-346","volume":"17","issue":"5","source":"PubMed","abstract":"OBJECTIVES: To use the Quality-Adjusted Time Without Symptoms or Toxicities (Q-TWiST) methodology to compare the quality-of-life and survival benefits associated with the combination of albumin-bound (nab)-paclitaxel and gemcitabine vs gemcitabine alone in the first-line treatment of metastatic pancreatic adenocarcinoma.\nMETHODS: Total survival time through 45 months was partitioned into time before disease progression without toxicity grade ≥3 (TWiST), time with adverse event grade ≥3 (TOX), and time of disease progression (REL). Mean Q-TWiST was calculated by multiplying time spent in each health state by its respective utility (i.e., TWiST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1.00; TOX/REL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0.50, 0-1 in sensitivity analyses). Non-parametric bootstrap 95% confidence intervals (CI) were derived to assess the significance of between-treatment differences in TOX, TWiST, REL, and Q-TWiST. A relative gain in Q-TWiST (vs mean overall survival of gemcitabine) of ≥10% and ≥15% was defined as clinically important and clearly clinically important, respectively.\nRESULTS: Patients on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spent a significantly longer time in every state and experienced significantly greater overall Q-TWiST (+1.7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0.8, 2.7]) than those receiving gemcitabine alone (8.2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7.5, 8.9] vs 6.5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5.8, 7.0]), assuming base-case utilities of TOX/REL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0.50. This Q-TWiST gain ranged from 1.0 month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0.1, 1.9), when REL/TOX utilities were both 0, to 2.5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1.3, 3.7), when REL/TOX utilities were both 1. Relative gains in Q-TWiST were 21% in favor of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in the base case, and ranged from 12-30% in sensitivity analyses.\nCONCLUSIONS: There are limitations to Q-TWiST analyses, e.g., imprecision when defining duration/severity of TOX and lack of prospective collection of utilities. This analysis addressed these issues via sensitivity analyses and conservative assumptions to show that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results in statistically significant and clinically important gains in quality-adjusted survival, when compared to gemcitabine alone, in treatment-naive metastatic pancreatic adenocarcinoma patients.","DOI":"10.3111/13696998.2014.903122","ISSN":"1941-837X","note":"PMID: 24654922","shortTitle":"Quality-adjusted survival with combination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 xml:space="preserve">gemcitabine vs gemcitabine alone in metastatic pancreatic cancer","journalAbbreviation":"J Med Econ","language":"eng","author":[{"family":"Reni","given":"Michele"},{"family":"Wan","given":"Yin"},{"family":"Solem","given":"Caitlyn"},{"family":"Whiting","given":"Scott"},{"family":"Ji","given":"Xiang"},{"family":"Botteman","given":"Marc"}],"issued":{"date-parts":[["2014",5]]},"PMID":"24654922"}}],"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[8</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w:t>
      </w:r>
    </w:p>
    <w:p w14:paraId="3320C29A" w14:textId="77777777" w:rsidR="0017410A" w:rsidRPr="007B09E8" w:rsidRDefault="0017410A" w:rsidP="00E872CF">
      <w:pPr>
        <w:snapToGrid w:val="0"/>
        <w:spacing w:after="0" w:line="360" w:lineRule="auto"/>
        <w:jc w:val="both"/>
        <w:rPr>
          <w:rFonts w:ascii="Book Antiqua" w:hAnsi="Book Antiqua" w:cstheme="majorBidi"/>
          <w:sz w:val="24"/>
          <w:szCs w:val="24"/>
        </w:rPr>
      </w:pPr>
    </w:p>
    <w:p w14:paraId="5ECE3663" w14:textId="7917160F" w:rsidR="0017410A" w:rsidRPr="007B09E8" w:rsidRDefault="0017410A" w:rsidP="001C32E4">
      <w:pPr>
        <w:snapToGrid w:val="0"/>
        <w:spacing w:after="0" w:line="360" w:lineRule="auto"/>
        <w:ind w:firstLineChars="100" w:firstLine="240"/>
        <w:jc w:val="both"/>
        <w:rPr>
          <w:rFonts w:ascii="Book Antiqua" w:hAnsi="Book Antiqua" w:cstheme="majorBidi"/>
          <w:sz w:val="24"/>
          <w:szCs w:val="24"/>
          <w:lang w:eastAsia="zh-CN"/>
        </w:rPr>
      </w:pPr>
      <w:r w:rsidRPr="007B09E8">
        <w:rPr>
          <w:rFonts w:ascii="Book Antiqua" w:hAnsi="Book Antiqua" w:cstheme="majorBidi"/>
          <w:sz w:val="24"/>
          <w:szCs w:val="24"/>
        </w:rPr>
        <w:t>Because significant toxicity was not uncommon, more tolerable treatment regimens were created by modifying the administration or drug dosing schedule. In the modified FOLFIRINOX regimens, either the 5-fluorouracil bolus was omitted or the dose of irinotecan was reduced. Stein et al published solid data in a prospective study, enrolling both locally advanced and mPC patients who received a modified FOLFIRINOX regimen including a 25% dose reduction in 5</w:t>
      </w:r>
      <w:r w:rsidR="001C32E4" w:rsidRPr="007B09E8">
        <w:rPr>
          <w:rFonts w:ascii="Book Antiqua" w:hAnsi="Book Antiqua" w:cstheme="majorBidi" w:hint="eastAsia"/>
          <w:sz w:val="24"/>
          <w:szCs w:val="24"/>
          <w:lang w:eastAsia="zh-CN"/>
        </w:rPr>
        <w:t>-</w:t>
      </w:r>
      <w:r w:rsidRPr="007B09E8">
        <w:rPr>
          <w:rFonts w:ascii="Book Antiqua" w:hAnsi="Book Antiqua" w:cstheme="majorBidi"/>
          <w:sz w:val="24"/>
          <w:szCs w:val="24"/>
        </w:rPr>
        <w:t>FU or irinotecan. These modifications successfully maintained the efficacy of the drugs while significantly decreasing the toxicity profile (decreased neutropenia, vomiting and fatigue). Additional exploratory analyses of the MPACT trial showed that patients who had dose delays or reductions (71% and 41%, respectively) had better outcomes</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1epkd3oo35","properties":{"formattedCitation":"(8)","plainCitation":"(8)"},"citationItems":[{"id":3864,"uris":["http://zotero.org/users/local/f5Q4Fz2E/items/VANJJE7F"],"uri":["http://zotero.org/users/local/f5Q4Fz2E/items/VANJJE7F"],"itemData":{"id":3864,"type":"article-journal","title":"Quality-adjusted survival with combination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vs gemcitabine alone in metastatic pancreatic cancer: a Q-TWiST analysis","container-title":"Journal of Medical Economics","page":"338-346","volume":"17","issue":"5","source":"PubMed","abstract":"OBJECTIVES: To use the Quality-Adjusted Time Without Symptoms or Toxicities (Q-TWiST) methodology to compare the quality-of-life and survival benefits associated with the combination of albumin-bound (nab)-paclitaxel and gemcitabine vs gemcitabine alone in the first-line treatment of metastatic pancreatic adenocarcinoma.\nMETHODS: Total survival time through 45 months was partitioned into time before disease progression without toxicity grade ≥3 (TWiST), time with adverse event grade ≥3 (TOX), and time of disease progression (REL). Mean Q-TWiST was calculated by multiplying time spent in each health state by its respective utility (i.e., TWiST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1.00; TOX/REL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0.50, 0-1 in sensitivity analyses). Non-parametric bootstrap 95% confidence intervals (CI) were derived to assess the significance of between-treatment differences in TOX, TWiST, REL, and Q-TWiST. A relative gain in Q-TWiST (vs mean overall survival of gemcitabine) of ≥10% and ≥15% was defined as clinically important and clearly clinically important, respectively.\nRESULTS: Patients on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spent a significantly longer time in every state and experienced significantly greater overall Q-TWiST (+1.7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0.8, 2.7]) than those receiving gemcitabine alone (8.2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7.5, 8.9] vs 6.5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5.8, 7.0]), assuming base-case utilities of TOX/REL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0.50. This Q-TWiST gain ranged from 1.0 month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0.1, 1.9), when REL/TOX utilities were both 0, to 2.5 months (95% CI</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1.3, 3.7), when REL/TOX utilities were both 1. Relative gains in Q-TWiST were 21% in favor of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in the base case, and ranged from 12-30% in sensitivity analyses.\nCONCLUSIONS: There are limitations to Q-TWiST analyses, e.g., imprecision when defining duration/severity of TOX and lack of prospective collection of utilities. This analysis addressed these issues via sensitivity analyses and conservative assumptions to show that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gemcitabine results in statistically significant and clinically important gains in quality-adjusted survival, when compared to gemcitabine alone, in treatment-naive metastatic pancreatic adenocarcinoma patients.","DOI":"10.3111/13696998.2014.903122","ISSN":"1941-837X","note":"PMID: 24654922","shortTitle":"Quality-adjusted survival with combination nab-paclitaxel</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w:instrText>
      </w:r>
      <w:r w:rsidRPr="007B09E8">
        <w:rPr>
          <w:rFonts w:ascii="Cambria Math" w:hAnsi="Cambria Math" w:cs="Cambria Math"/>
          <w:sz w:val="24"/>
          <w:szCs w:val="24"/>
          <w:vertAlign w:val="superscript"/>
        </w:rPr>
        <w:instrText> </w:instrText>
      </w:r>
      <w:r w:rsidRPr="007B09E8">
        <w:rPr>
          <w:rFonts w:ascii="Book Antiqua" w:hAnsi="Book Antiqua" w:cstheme="majorBidi"/>
          <w:sz w:val="24"/>
          <w:szCs w:val="24"/>
          <w:vertAlign w:val="superscript"/>
        </w:rPr>
        <w:instrText xml:space="preserve">gemcitabine vs gemcitabine alone in metastatic pancreatic cancer","journalAbbreviation":"J Med Econ","language":"eng","author":[{"family":"Reni","given":"Michele"},{"family":"Wan","given":"Yin"},{"family":"Solem","given":"Caitlyn"},{"family":"Whiting","given":"Scott"},{"family":"Ji","given":"Xiang"},{"family":"Botteman","given":"Marc"}],"issued":{"date-parts":[["2014",5]]},"PMID":"24654922"}}],"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[8</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xml:space="preserve">. These practical changes are capable of modifying the tolerance profile of the drugs while preserving efficacy. </w:t>
      </w:r>
      <w:r w:rsidR="000434A9" w:rsidRPr="007B09E8">
        <w:rPr>
          <w:rFonts w:ascii="Book Antiqua" w:hAnsi="Book Antiqua" w:cstheme="majorBidi"/>
          <w:sz w:val="24"/>
          <w:szCs w:val="24"/>
        </w:rPr>
        <w:t>Tables 2 and 3 compare the classical to the modified form of FOLFIRINOX and GNP respectively</w:t>
      </w:r>
      <w:r w:rsidR="00186690" w:rsidRPr="00186690">
        <w:rPr>
          <w:rFonts w:ascii="Book Antiqua" w:hAnsi="Book Antiqua" w:cstheme="majorBidi" w:hint="eastAsia"/>
          <w:sz w:val="24"/>
          <w:szCs w:val="24"/>
          <w:vertAlign w:val="superscript"/>
          <w:lang w:eastAsia="zh-CN"/>
        </w:rPr>
        <w:t>[20-23]</w:t>
      </w:r>
      <w:r w:rsidR="00186690">
        <w:rPr>
          <w:rFonts w:ascii="Book Antiqua" w:hAnsi="Book Antiqua" w:cstheme="majorBidi"/>
          <w:sz w:val="24"/>
          <w:szCs w:val="24"/>
        </w:rPr>
        <w:t>.</w:t>
      </w:r>
    </w:p>
    <w:p w14:paraId="3764B0A7" w14:textId="77777777" w:rsidR="001C32E4" w:rsidRPr="007B09E8" w:rsidRDefault="001C32E4" w:rsidP="001C32E4">
      <w:pPr>
        <w:snapToGrid w:val="0"/>
        <w:spacing w:after="0" w:line="360" w:lineRule="auto"/>
        <w:jc w:val="both"/>
        <w:rPr>
          <w:rFonts w:ascii="Book Antiqua" w:hAnsi="Book Antiqua" w:cstheme="majorBidi"/>
          <w:sz w:val="24"/>
          <w:szCs w:val="24"/>
          <w:lang w:eastAsia="zh-CN"/>
        </w:rPr>
      </w:pPr>
    </w:p>
    <w:p w14:paraId="28096436" w14:textId="77777777" w:rsidR="0017410A" w:rsidRPr="007B09E8" w:rsidRDefault="0017410A" w:rsidP="00E872CF">
      <w:pPr>
        <w:pStyle w:val="Heading1"/>
        <w:snapToGrid w:val="0"/>
        <w:spacing w:before="0" w:line="360" w:lineRule="auto"/>
        <w:jc w:val="both"/>
        <w:rPr>
          <w:rFonts w:ascii="Book Antiqua" w:hAnsi="Book Antiqua"/>
          <w:caps/>
          <w:color w:val="auto"/>
          <w:sz w:val="24"/>
          <w:szCs w:val="24"/>
        </w:rPr>
      </w:pPr>
      <w:r w:rsidRPr="007B09E8">
        <w:rPr>
          <w:rFonts w:ascii="Book Antiqua" w:hAnsi="Book Antiqua"/>
          <w:caps/>
          <w:color w:val="auto"/>
          <w:sz w:val="24"/>
          <w:szCs w:val="24"/>
        </w:rPr>
        <w:t>Choice of second-line</w:t>
      </w:r>
    </w:p>
    <w:p w14:paraId="0B5622D8" w14:textId="4B4381E4" w:rsidR="0017410A" w:rsidRPr="007B09E8" w:rsidRDefault="0017410A" w:rsidP="00085C9A">
      <w:pPr>
        <w:snapToGrid w:val="0"/>
        <w:spacing w:after="0" w:line="360" w:lineRule="auto"/>
        <w:jc w:val="both"/>
        <w:rPr>
          <w:rFonts w:ascii="Book Antiqua" w:hAnsi="Book Antiqua" w:cstheme="majorBidi"/>
          <w:sz w:val="24"/>
          <w:szCs w:val="24"/>
        </w:rPr>
      </w:pPr>
      <w:r w:rsidRPr="007B09E8">
        <w:rPr>
          <w:rFonts w:ascii="Book Antiqua" w:hAnsi="Book Antiqua" w:cstheme="majorBidi"/>
          <w:sz w:val="24"/>
          <w:szCs w:val="24"/>
        </w:rPr>
        <w:t>The optimal treatment sequence dictates the choice of first-line treatment for mPC. In fact, in the PRODIGE trial, only 47% of the patients were fit enough to receive second-line therapy while only 12.5% of patients received a second-line therapy after initially receiving a gemcitabine-based combination, yet the median OS was limited to 4.4 months among those receiving second-line treatments. On the other hand, in the MPACT trial, 40% of the patients received additional therapy after GNP</w:t>
      </w:r>
      <w:r w:rsidR="00085C9A" w:rsidRPr="007B09E8">
        <w:rPr>
          <w:rFonts w:ascii="Book Antiqua" w:hAnsi="Book Antiqua" w:cstheme="majorBidi"/>
          <w:sz w:val="24"/>
          <w:szCs w:val="24"/>
          <w:vertAlign w:val="superscript"/>
        </w:rPr>
        <w:t>[24]</w:t>
      </w:r>
      <w:r w:rsidRPr="007B09E8">
        <w:rPr>
          <w:rFonts w:ascii="Book Antiqua" w:hAnsi="Book Antiqua" w:cstheme="majorBidi"/>
          <w:sz w:val="24"/>
          <w:szCs w:val="24"/>
        </w:rPr>
        <w:t>. According to these data, similar numbers of patients were able to receive second-line therapy after either FOLFIRINOX or GNP.</w:t>
      </w:r>
    </w:p>
    <w:p w14:paraId="028366EE" w14:textId="5209EAD7" w:rsidR="0017410A" w:rsidRPr="007B09E8" w:rsidRDefault="0017410A" w:rsidP="00085C9A">
      <w:pPr>
        <w:snapToGrid w:val="0"/>
        <w:spacing w:after="0" w:line="360" w:lineRule="auto"/>
        <w:ind w:firstLineChars="100" w:firstLine="240"/>
        <w:jc w:val="both"/>
        <w:rPr>
          <w:rFonts w:ascii="Book Antiqua" w:hAnsi="Book Antiqua" w:cstheme="majorBidi"/>
          <w:sz w:val="24"/>
          <w:szCs w:val="24"/>
        </w:rPr>
      </w:pPr>
      <w:r w:rsidRPr="007B09E8">
        <w:rPr>
          <w:rFonts w:ascii="Book Antiqua" w:hAnsi="Book Antiqua" w:cstheme="majorBidi"/>
          <w:sz w:val="24"/>
          <w:szCs w:val="24"/>
        </w:rPr>
        <w:t xml:space="preserve">Data on the administration of GNP after FOLFIRINOX failure in the literature is limited to a few retrospective studies with conflicting data. The AGEO trial, a prospective multicenter study, evaluated the use of GNP in the second-line setting after FOLFIRINOX failure. The disease control rate was 58% with a 17.5% overall response </w:t>
      </w:r>
      <w:r w:rsidRPr="007B09E8">
        <w:rPr>
          <w:rFonts w:ascii="Book Antiqua" w:hAnsi="Book Antiqua" w:cstheme="majorBidi"/>
          <w:sz w:val="24"/>
          <w:szCs w:val="24"/>
        </w:rPr>
        <w:lastRenderedPageBreak/>
        <w:t>rate and OS of 8.8 mo. Twelve patients (21%) had an ECOG of 2, and 40% had grade 3-4 toxicities without any treatment-related deaths</w:t>
      </w:r>
      <w:r w:rsidR="00085C9A" w:rsidRPr="007B09E8">
        <w:rPr>
          <w:rFonts w:ascii="Book Antiqua" w:hAnsi="Book Antiqua" w:cstheme="majorBidi"/>
          <w:sz w:val="24"/>
          <w:szCs w:val="24"/>
          <w:vertAlign w:val="superscript"/>
        </w:rPr>
        <w:t>[25]</w:t>
      </w:r>
      <w:r w:rsidRPr="007B09E8">
        <w:rPr>
          <w:rFonts w:ascii="Book Antiqua" w:hAnsi="Book Antiqua" w:cstheme="majorBidi"/>
          <w:sz w:val="24"/>
          <w:szCs w:val="24"/>
        </w:rPr>
        <w:t xml:space="preserve">. In another retrospective study by Zhang </w:t>
      </w:r>
      <w:r w:rsidRPr="007B09E8">
        <w:rPr>
          <w:rFonts w:ascii="Book Antiqua" w:hAnsi="Book Antiqua" w:cstheme="majorBidi"/>
          <w:i/>
          <w:sz w:val="24"/>
          <w:szCs w:val="24"/>
        </w:rPr>
        <w:t>et al</w:t>
      </w:r>
      <w:r w:rsidR="00085C9A" w:rsidRPr="00186690">
        <w:rPr>
          <w:rFonts w:ascii="Book Antiqua" w:hAnsi="Book Antiqua" w:cstheme="majorBidi"/>
          <w:sz w:val="24"/>
          <w:szCs w:val="24"/>
          <w:vertAlign w:val="superscript"/>
        </w:rPr>
        <w:t>[26]</w:t>
      </w:r>
      <w:r w:rsidRPr="007B09E8">
        <w:rPr>
          <w:rFonts w:ascii="Book Antiqua" w:hAnsi="Book Antiqua" w:cstheme="majorBidi"/>
          <w:sz w:val="24"/>
          <w:szCs w:val="24"/>
        </w:rPr>
        <w:t>, 28 patients treated with the same regimen showed less satisfacto</w:t>
      </w:r>
      <w:r w:rsidR="001C32E4" w:rsidRPr="007B09E8">
        <w:rPr>
          <w:rFonts w:ascii="Book Antiqua" w:hAnsi="Book Antiqua" w:cstheme="majorBidi"/>
          <w:sz w:val="24"/>
          <w:szCs w:val="24"/>
        </w:rPr>
        <w:t>ry results, with an OS of 23 wk</w:t>
      </w:r>
      <w:r w:rsidRPr="007B09E8">
        <w:rPr>
          <w:rFonts w:ascii="Book Antiqua" w:hAnsi="Book Antiqua" w:cstheme="majorBidi"/>
          <w:sz w:val="24"/>
          <w:szCs w:val="24"/>
        </w:rPr>
        <w:t>.</w:t>
      </w:r>
    </w:p>
    <w:p w14:paraId="06105D41" w14:textId="39FAF1C4" w:rsidR="0017410A" w:rsidRPr="007B09E8" w:rsidRDefault="0017410A" w:rsidP="00085C9A">
      <w:pPr>
        <w:snapToGrid w:val="0"/>
        <w:spacing w:after="0" w:line="360" w:lineRule="auto"/>
        <w:ind w:firstLineChars="100" w:firstLine="240"/>
        <w:jc w:val="both"/>
        <w:rPr>
          <w:rFonts w:ascii="Book Antiqua" w:hAnsi="Book Antiqua" w:cstheme="majorBidi"/>
          <w:sz w:val="24"/>
          <w:szCs w:val="24"/>
        </w:rPr>
      </w:pPr>
      <w:r w:rsidRPr="007B09E8">
        <w:rPr>
          <w:rFonts w:ascii="Book Antiqua" w:hAnsi="Book Antiqua" w:cstheme="majorBidi"/>
          <w:sz w:val="24"/>
          <w:szCs w:val="24"/>
        </w:rPr>
        <w:t>Small retrospective studies assessed the efficacy of FOLFIRINOX in the second line setting with a modest improvement in OS, but none evaluated its efficacy after GNP</w:t>
      </w:r>
      <w:r w:rsidR="00085C9A" w:rsidRPr="007B09E8">
        <w:rPr>
          <w:rFonts w:ascii="Book Antiqua" w:hAnsi="Book Antiqua" w:cstheme="majorBidi"/>
          <w:sz w:val="24"/>
          <w:szCs w:val="24"/>
          <w:vertAlign w:val="superscript"/>
        </w:rPr>
        <w:t>[27</w:t>
      </w:r>
      <w:r w:rsidR="00186690">
        <w:rPr>
          <w:rFonts w:ascii="Book Antiqua" w:hAnsi="Book Antiqua" w:cstheme="majorBidi"/>
          <w:sz w:val="24"/>
          <w:szCs w:val="24"/>
          <w:vertAlign w:val="superscript"/>
        </w:rPr>
        <w:t>,</w:t>
      </w:r>
      <w:r w:rsidR="00085C9A" w:rsidRPr="007B09E8">
        <w:rPr>
          <w:rFonts w:ascii="Book Antiqua" w:hAnsi="Book Antiqua" w:cstheme="majorBidi"/>
          <w:sz w:val="24"/>
          <w:szCs w:val="24"/>
          <w:vertAlign w:val="superscript"/>
        </w:rPr>
        <w:t>28]</w:t>
      </w:r>
      <w:r w:rsidRPr="007B09E8">
        <w:rPr>
          <w:rFonts w:ascii="Book Antiqua" w:hAnsi="Book Antiqua" w:cstheme="majorBidi"/>
          <w:sz w:val="24"/>
          <w:szCs w:val="24"/>
        </w:rPr>
        <w:t xml:space="preserve"> In fact, the only data available is from the exploratory analyses of the second line treatment of the MPACT trial, where FOLFIRINOX (despite demonstrating interesting data) was only administered to 18 patients (10.5% of the whole population), calling the use of this treatment sequence into question</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r5ubhsu7b","properties":{"formattedCitation":"(16)","plainCitation":"(16)"},"citationItems":[{"id":1926,"uris":["http://zotero.org/users/local/f5Q4Fz2E/items/V6RU25SX"],"uri":["http://zotero.org/users/local/f5Q4Fz2E/items/V6RU25SX"],"itemData":{"id":1926,"type":"article-journal","title":"Gemcitabine plus nab-paclitaxel is an active regimen in patients with advanced pancreatic cancer: a phase I/II trial","container-title":"Journal of Clinical Oncology: Official Journal of the American Society of Clinical Oncology","page":"4548-4554","volume":"29","issue":"34","source":"PubMed","abstract":"PURPOSE: The trial objectives were to identify the maximum-tolerated dose (MTD) of first-line gemcitabine plus nab-paclitaxel in metastatic pancreatic adenocarcinoma and to provide efficacy and safety data. Additional objectives were to evaluate positron emission tomography (PET) scan response, secreted protein acidic and rich in cysteine (SPARC), and CA19-9 levels in relation to efficacy. Subsequent preclinical studies investigated the changes involving the pancreatic stroma and drug uptake.\nPATIENTS AND METHODS: Patients with previously untreated advanced pancreatic cancer were treated with 100, 125, or 150 mg/m(2) nab-paclitaxel followed by gemcitabine 1,000 mg/m(2) on days 1, 8, and 15 every 28 days. In the preclinical study, mice were implanted with human pancreatic cancers and treated with study agents.\nRESULTS: A total of 20, 44, and three patients received nab-paclitaxel at 100, 125, and 150 mg/m(2), respectively. The MTD was 1,000 mg/m(2) of gemcitabine plus 125 mg/m(2) of nab-paclitaxel once a week for 3 weeks, every 28 days. Dose-limiting toxicities were sepsis and neutropenia. At the MTD, the response rate was 48%, with 12.2 median months of overall survival (OS) and 48% 1-year survival. Improved OS was observed in patients who had a complete metabolic response on [(18)F]fluorodeoxyglucose PET. Decreases in CA19-9 levels were correlated with increased response rate, progression-free survival, and OS. SPARC in the stroma, but not in the tumor, was correlated with improved survival. In mice with human pancreatic cancer xenografts, nab-paclitaxel alone and in combination with gemcitabine depleted the desmoplastic stroma. The intratumoral concentration of gemcitabine was increased by 2.8-fold in mice receiving nab-paclitaxel plus gemcitabine versus those receiving gemcitabine alone.\nCONCLUSION: The regimen of nab-paclitaxel plus gemcitabine has tolerable adverse effects with substantial antitumor activity, warranting phase III evaluation.","DOI":"10.1200/JCO.2011.36.5742","ISSN":"1527-7755","note":"PMID: 21969517\nPMCID: PMC3565012","shortTitle":"Gemcitabine plus nab-paclitaxel is an active regimen in patients with advanced pancreatic cancer","journalAbbreviation":"J. Clin. Oncol.","language":"eng","author":[{"family":"Von Hoff","given":"Daniel D."},{"family":"Ramanathan","given":"Ramesh K."},{"family":"Borad","given":"Mitesh J."},{"family":"Laheru","given":"Daniel A."},{"family":"Smith","given":"Lon S."},{"family":"Wood","given":"Tina E."},{"family":"Korn","given":"Ronald L."},{"family":"Desai","given":"Neil"},{"family":"Trieu","given":"Vuong"},{"family":"Iglesias","given":"Jose L."},{"family":"Zhang","given":"Hui"},{"family":"Soon-Shiong","given":"Patrick"},{"family":"Shi","given":"Tao"},{"family":"Rajeshkumar","given":"N. V."},{"family":"Maitra","given":"Anirban"},{"family":"Hidalgo","given":"Manuel"}],"issued":{"date-parts":[["2011",12,1]]},"PMID":"21969517","PMCID":"PMC3565012"}}],"schema":"https://github.com/citation-style-language/schema/raw/master/csl-citation.json"} </w:instrText>
      </w:r>
      <w:r w:rsidRPr="007B09E8">
        <w:rPr>
          <w:rFonts w:ascii="Book Antiqua" w:hAnsi="Book Antiqua" w:cstheme="majorBidi"/>
          <w:sz w:val="24"/>
          <w:szCs w:val="24"/>
          <w:vertAlign w:val="superscript"/>
        </w:rPr>
        <w:fldChar w:fldCharType="separate"/>
      </w:r>
      <w:r w:rsidRPr="007B09E8">
        <w:rPr>
          <w:rFonts w:ascii="Book Antiqua" w:hAnsi="Book Antiqua" w:cstheme="majorBidi"/>
          <w:sz w:val="24"/>
          <w:szCs w:val="24"/>
          <w:vertAlign w:val="superscript"/>
        </w:rPr>
        <w:t>[16</w: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vertAlign w:val="superscript"/>
        </w:rPr>
        <w:t>]</w:t>
      </w:r>
      <w:r w:rsidRPr="007B09E8">
        <w:rPr>
          <w:rFonts w:ascii="Book Antiqua" w:hAnsi="Book Antiqua" w:cstheme="majorBidi"/>
          <w:sz w:val="24"/>
          <w:szCs w:val="24"/>
        </w:rPr>
        <w:t xml:space="preserve">.  </w:t>
      </w:r>
    </w:p>
    <w:p w14:paraId="029080BD" w14:textId="0B0337E6" w:rsidR="0017410A" w:rsidRPr="007B09E8" w:rsidRDefault="0017410A" w:rsidP="001C32E4">
      <w:pPr>
        <w:snapToGrid w:val="0"/>
        <w:spacing w:after="0" w:line="360" w:lineRule="auto"/>
        <w:ind w:firstLineChars="100" w:firstLine="240"/>
        <w:jc w:val="both"/>
        <w:rPr>
          <w:rFonts w:ascii="Book Antiqua" w:hAnsi="Book Antiqua" w:cstheme="majorBidi"/>
          <w:sz w:val="24"/>
          <w:szCs w:val="24"/>
          <w:lang w:eastAsia="zh-CN"/>
        </w:rPr>
      </w:pPr>
      <w:r w:rsidRPr="007B09E8">
        <w:rPr>
          <w:rFonts w:ascii="Book Antiqua" w:hAnsi="Book Antiqua" w:cstheme="majorBidi"/>
          <w:sz w:val="24"/>
          <w:szCs w:val="24"/>
        </w:rPr>
        <w:t xml:space="preserve">Consequently, definitive recommendations concerning the optimal sequence of therapy cannot be made. The prospective data from the AGEO trial makes GNP a better and more plausible option as a second-line option after FOLFIRINOX administration. However, large randomized controlled trials are needed to create newer guidelines. </w:t>
      </w:r>
    </w:p>
    <w:p w14:paraId="15842668" w14:textId="77777777" w:rsidR="001C32E4" w:rsidRPr="007B09E8" w:rsidRDefault="001C32E4" w:rsidP="001C32E4">
      <w:pPr>
        <w:snapToGrid w:val="0"/>
        <w:spacing w:after="0" w:line="360" w:lineRule="auto"/>
        <w:jc w:val="both"/>
        <w:rPr>
          <w:rFonts w:ascii="Book Antiqua" w:hAnsi="Book Antiqua" w:cstheme="majorBidi"/>
          <w:sz w:val="24"/>
          <w:szCs w:val="24"/>
          <w:lang w:eastAsia="zh-CN"/>
        </w:rPr>
      </w:pPr>
    </w:p>
    <w:p w14:paraId="7CA78BD4" w14:textId="77777777" w:rsidR="0017410A" w:rsidRPr="007B09E8" w:rsidRDefault="0017410A" w:rsidP="00E872CF">
      <w:pPr>
        <w:pStyle w:val="Heading1"/>
        <w:snapToGrid w:val="0"/>
        <w:spacing w:before="0" w:line="360" w:lineRule="auto"/>
        <w:jc w:val="both"/>
        <w:rPr>
          <w:rFonts w:ascii="Book Antiqua" w:hAnsi="Book Antiqua"/>
          <w:caps/>
          <w:color w:val="auto"/>
          <w:sz w:val="24"/>
          <w:szCs w:val="24"/>
        </w:rPr>
      </w:pPr>
      <w:r w:rsidRPr="007B09E8">
        <w:rPr>
          <w:rFonts w:ascii="Book Antiqua" w:hAnsi="Book Antiqua"/>
          <w:caps/>
          <w:color w:val="auto"/>
          <w:sz w:val="24"/>
          <w:szCs w:val="24"/>
        </w:rPr>
        <w:t>Cost-effectiveness</w:t>
      </w:r>
    </w:p>
    <w:p w14:paraId="42AC348F" w14:textId="1E9A3360" w:rsidR="0017410A" w:rsidRPr="007B09E8" w:rsidRDefault="0017410A" w:rsidP="00085C9A">
      <w:pPr>
        <w:snapToGrid w:val="0"/>
        <w:spacing w:after="0" w:line="360" w:lineRule="auto"/>
        <w:jc w:val="both"/>
        <w:rPr>
          <w:rFonts w:ascii="Book Antiqua" w:hAnsi="Book Antiqua" w:cstheme="majorBidi"/>
          <w:sz w:val="24"/>
          <w:szCs w:val="24"/>
        </w:rPr>
      </w:pPr>
      <w:r w:rsidRPr="007B09E8">
        <w:rPr>
          <w:rFonts w:ascii="Book Antiqua" w:hAnsi="Book Antiqua" w:cstheme="majorBidi"/>
          <w:sz w:val="24"/>
          <w:szCs w:val="24"/>
        </w:rPr>
        <w:t>In addition to weighing efficacy and safety, oncologists must evaluate financial considerations to choose the optimal chemotherapy regimen. In fact, the NCCN</w:t>
      </w:r>
      <w:r w:rsidR="001C32E4" w:rsidRPr="007B09E8">
        <w:rPr>
          <w:rFonts w:ascii="Book Antiqua" w:hAnsi="Book Antiqua" w:cstheme="majorBidi" w:hint="eastAsia"/>
          <w:sz w:val="24"/>
          <w:szCs w:val="24"/>
          <w:lang w:eastAsia="zh-CN"/>
        </w:rPr>
        <w:t xml:space="preserve"> </w:t>
      </w:r>
      <w:r w:rsidRPr="007B09E8">
        <w:rPr>
          <w:rFonts w:ascii="Book Antiqua" w:hAnsi="Book Antiqua" w:cstheme="majorBidi"/>
          <w:sz w:val="24"/>
          <w:szCs w:val="24"/>
        </w:rPr>
        <w:t>shows a tendency toward incorporating the financial burden of cancer drugs into its decision-making strategy. Cost-effectiveness of each regimen is largely dependent on the societal willingness-to-pay (WTP) threshold set by each country. For instance, se</w:t>
      </w:r>
      <w:r w:rsidR="001C32E4" w:rsidRPr="007B09E8">
        <w:rPr>
          <w:rFonts w:ascii="Book Antiqua" w:hAnsi="Book Antiqua" w:cstheme="majorBidi"/>
          <w:sz w:val="24"/>
          <w:szCs w:val="24"/>
        </w:rPr>
        <w:t>tting the WTP in Canada at $130</w:t>
      </w:r>
      <w:r w:rsidRPr="007B09E8">
        <w:rPr>
          <w:rFonts w:ascii="Book Antiqua" w:hAnsi="Book Antiqua" w:cstheme="majorBidi"/>
          <w:sz w:val="24"/>
          <w:szCs w:val="24"/>
        </w:rPr>
        <w:t>000 makes the FOLFIRINOX regimen the optimal strategy in mPC. Howev</w:t>
      </w:r>
      <w:r w:rsidR="001C32E4" w:rsidRPr="007B09E8">
        <w:rPr>
          <w:rFonts w:ascii="Book Antiqua" w:hAnsi="Book Antiqua" w:cstheme="majorBidi"/>
          <w:sz w:val="24"/>
          <w:szCs w:val="24"/>
        </w:rPr>
        <w:t>er, decreasing the limit to $80</w:t>
      </w:r>
      <w:r w:rsidRPr="007B09E8">
        <w:rPr>
          <w:rFonts w:ascii="Book Antiqua" w:hAnsi="Book Antiqua" w:cstheme="majorBidi"/>
          <w:sz w:val="24"/>
          <w:szCs w:val="24"/>
        </w:rPr>
        <w:t>000 renders Gemcitabine monotherapy the only possible therapeutic choice</w:t>
      </w:r>
      <w:r w:rsidR="00085C9A" w:rsidRPr="007B09E8">
        <w:rPr>
          <w:rFonts w:ascii="Book Antiqua" w:hAnsi="Book Antiqua" w:cstheme="majorBidi"/>
          <w:sz w:val="24"/>
          <w:szCs w:val="24"/>
          <w:vertAlign w:val="superscript"/>
        </w:rPr>
        <w:t>[29]</w:t>
      </w:r>
      <w:r w:rsidRPr="007B09E8">
        <w:rPr>
          <w:rFonts w:ascii="Book Antiqua" w:hAnsi="Book Antiqua" w:cstheme="majorBidi"/>
          <w:sz w:val="24"/>
          <w:szCs w:val="24"/>
        </w:rPr>
        <w:t xml:space="preserve"> Similarly, the increased WTP threshold in Greece rendered the GNP protocol a potential option in the</w:t>
      </w:r>
      <w:r w:rsidR="001C32E4" w:rsidRPr="007B09E8">
        <w:rPr>
          <w:rFonts w:ascii="Book Antiqua" w:hAnsi="Book Antiqua" w:cstheme="majorBidi"/>
          <w:sz w:val="24"/>
          <w:szCs w:val="24"/>
        </w:rPr>
        <w:t xml:space="preserve"> treatment of patients with mPC</w:t>
      </w:r>
      <w:r w:rsidR="00085C9A" w:rsidRPr="007B09E8">
        <w:rPr>
          <w:rFonts w:ascii="Book Antiqua" w:hAnsi="Book Antiqua" w:cstheme="majorBidi"/>
          <w:sz w:val="24"/>
          <w:szCs w:val="24"/>
          <w:vertAlign w:val="superscript"/>
        </w:rPr>
        <w:t>[30]</w:t>
      </w:r>
      <w:r w:rsidRPr="007B09E8">
        <w:rPr>
          <w:rFonts w:ascii="Book Antiqua" w:hAnsi="Book Antiqua" w:cstheme="majorBidi"/>
          <w:sz w:val="24"/>
          <w:szCs w:val="24"/>
          <w:vertAlign w:val="superscript"/>
        </w:rPr>
        <w:fldChar w:fldCharType="begin"/>
      </w:r>
      <w:r w:rsidRPr="007B09E8">
        <w:rPr>
          <w:rFonts w:ascii="Book Antiqua" w:hAnsi="Book Antiqua" w:cstheme="majorBidi"/>
          <w:sz w:val="24"/>
          <w:szCs w:val="24"/>
          <w:vertAlign w:val="superscript"/>
        </w:rPr>
        <w:instrText xml:space="preserve"> ADDIN ZOTERO_ITEM CSL_CITATION {"citationID":"195jmllfj7","properties":{"formattedCitation":"(26)","plainCitation":"(26)"},"citationItems":[{"id":3892,"uris":["http://zotero.org/users/local/f5Q4Fz2E/items/MNWHH5NB"],"uri":["http://zotero.org/users/local/f5Q4Fz2E/items/MNWHH5NB"],"itemData":{"id":3892,"type":"article-journal","title":"Economic Evaluation of NAB-Paclitaxel Plus Gemcitabine Versus Gemcitabine Alone for The Management of Metastatic Pancreatic Cancer in Greece","container-title":"Value in Health: The Journal of the International Society for Pharmacoeconomics and Outcomes Research","page":"A632","volume":"17","issue":"7","source":"PubMed","DOI":"10.1016/j.jval.2014.08.2263","ISSN":"1524-4733","note":"PMID: 27202246","journalAbbreviation":"Value Health","language":"eng","author":[{"family":"Fragoulakis","given":"V."},{"family":"Papakostas","given":"P."},{"family":"Pentheroudakis","given":"G."},{"family":"Dervenis","given":"C."},{"family":"Maniadakis","given":"N."}],"issued":{"date-parts":[["2014",11]]},"PMID":"27202246"}}],"schema":"https://github.com/citation-style-language/schema/raw/master/csl-citation.json"} </w:instrText>
      </w:r>
      <w:r w:rsidRPr="007B09E8">
        <w:rPr>
          <w:rFonts w:ascii="Book Antiqua" w:hAnsi="Book Antiqua" w:cstheme="majorBidi"/>
          <w:sz w:val="24"/>
          <w:szCs w:val="24"/>
          <w:vertAlign w:val="superscript"/>
        </w:rPr>
        <w:fldChar w:fldCharType="end"/>
      </w:r>
      <w:r w:rsidRPr="007B09E8">
        <w:rPr>
          <w:rFonts w:ascii="Book Antiqua" w:hAnsi="Book Antiqua" w:cstheme="majorBidi"/>
          <w:sz w:val="24"/>
          <w:szCs w:val="24"/>
        </w:rPr>
        <w:t>.</w:t>
      </w:r>
    </w:p>
    <w:p w14:paraId="573459DC" w14:textId="7BD575B1" w:rsidR="0017410A" w:rsidRPr="007B09E8" w:rsidRDefault="0017410A" w:rsidP="00085C9A">
      <w:pPr>
        <w:snapToGrid w:val="0"/>
        <w:spacing w:after="0" w:line="360" w:lineRule="auto"/>
        <w:ind w:firstLineChars="100" w:firstLine="240"/>
        <w:jc w:val="both"/>
        <w:rPr>
          <w:rFonts w:ascii="Book Antiqua" w:hAnsi="Book Antiqua" w:cstheme="majorBidi"/>
          <w:sz w:val="24"/>
          <w:szCs w:val="24"/>
          <w:lang w:eastAsia="zh-CN"/>
        </w:rPr>
      </w:pPr>
      <w:r w:rsidRPr="007B09E8">
        <w:rPr>
          <w:rFonts w:ascii="Book Antiqua" w:hAnsi="Book Antiqua" w:cstheme="majorBidi"/>
          <w:sz w:val="24"/>
          <w:szCs w:val="24"/>
        </w:rPr>
        <w:t>Both FOLFIRINOX and GNP showed consistent cost-effectiveness and cost-utility with superior survival efficacy in independent analytical studies</w:t>
      </w:r>
      <w:r w:rsidR="00085C9A" w:rsidRPr="007B09E8">
        <w:rPr>
          <w:rFonts w:ascii="Book Antiqua" w:hAnsi="Book Antiqua" w:cstheme="majorBidi"/>
          <w:sz w:val="24"/>
          <w:szCs w:val="24"/>
          <w:vertAlign w:val="superscript"/>
        </w:rPr>
        <w:t>[31,32]</w:t>
      </w:r>
      <w:r w:rsidRPr="007B09E8">
        <w:rPr>
          <w:rFonts w:ascii="Book Antiqua" w:hAnsi="Book Antiqua" w:cstheme="majorBidi"/>
          <w:sz w:val="24"/>
          <w:szCs w:val="24"/>
        </w:rPr>
        <w:t xml:space="preserve"> However, it is not until recently that the values of each regimen were compared. The value of the different regimens in mPC was compared based on Medicare rates, which take into consideration </w:t>
      </w:r>
      <w:r w:rsidRPr="007B09E8">
        <w:rPr>
          <w:rFonts w:ascii="Book Antiqua" w:hAnsi="Book Antiqua" w:cstheme="majorBidi"/>
          <w:sz w:val="24"/>
          <w:szCs w:val="24"/>
        </w:rPr>
        <w:lastRenderedPageBreak/>
        <w:t>the cost and administration of the drug, hospitalization and management of associated adverse events. The monthly cost</w:t>
      </w:r>
      <w:r w:rsidR="001C32E4" w:rsidRPr="007B09E8">
        <w:rPr>
          <w:rFonts w:ascii="Book Antiqua" w:hAnsi="Book Antiqua" w:cstheme="majorBidi"/>
          <w:sz w:val="24"/>
          <w:szCs w:val="24"/>
        </w:rPr>
        <w:t>s of FOLFIRINOX and GNP were $7234 and $12</w:t>
      </w:r>
      <w:r w:rsidRPr="007B09E8">
        <w:rPr>
          <w:rFonts w:ascii="Book Antiqua" w:hAnsi="Book Antiqua" w:cstheme="majorBidi"/>
          <w:sz w:val="24"/>
          <w:szCs w:val="24"/>
        </w:rPr>
        <w:t>221 respectively. However, the cost of the overall treatment based on progression free survival in eac</w:t>
      </w:r>
      <w:r w:rsidR="001C32E4" w:rsidRPr="007B09E8">
        <w:rPr>
          <w:rFonts w:ascii="Book Antiqua" w:hAnsi="Book Antiqua" w:cstheme="majorBidi"/>
          <w:sz w:val="24"/>
          <w:szCs w:val="24"/>
        </w:rPr>
        <w:t>h protocol was estimated at $46289 and $67</w:t>
      </w:r>
      <w:r w:rsidRPr="007B09E8">
        <w:rPr>
          <w:rFonts w:ascii="Book Antiqua" w:hAnsi="Book Antiqua" w:cstheme="majorBidi"/>
          <w:sz w:val="24"/>
          <w:szCs w:val="24"/>
        </w:rPr>
        <w:t>216. FOLFIRINOX seemingly exhibits higher cost-effectiveness than GNP according to these results. However, it is worth mentioning that the cost of the FOLFIRINOX regimen is mainly due to its toxicity profile. Dosing modifications could limit the incidence of serious side effects and thus further increase the cost-effectiveness of this protocol (Monthly cost of FOLFIRINOX is $763 versus $9008 for the GNP protocol). Consequently, in September 2015, the National Institute for Health and Care Excellence</w:t>
      </w:r>
      <w:r w:rsidR="001C32E4" w:rsidRPr="007B09E8">
        <w:rPr>
          <w:rFonts w:ascii="Book Antiqua" w:hAnsi="Book Antiqua" w:cstheme="majorBidi" w:hint="eastAsia"/>
          <w:sz w:val="24"/>
          <w:szCs w:val="24"/>
          <w:lang w:eastAsia="zh-CN"/>
        </w:rPr>
        <w:t xml:space="preserve"> </w:t>
      </w:r>
      <w:r w:rsidRPr="007B09E8">
        <w:rPr>
          <w:rFonts w:ascii="Book Antiqua" w:hAnsi="Book Antiqua" w:cstheme="majorBidi"/>
          <w:sz w:val="24"/>
          <w:szCs w:val="24"/>
        </w:rPr>
        <w:t>recommended against the use of GNP in patients with mPC due to the limited benefits in comparison to the cost of the drug. An alternative cheaper option that might be considered is modified GNP (which is yet to be validated), which has a</w:t>
      </w:r>
      <w:r w:rsidR="001C32E4" w:rsidRPr="007B09E8">
        <w:rPr>
          <w:rFonts w:ascii="Book Antiqua" w:hAnsi="Book Antiqua" w:cstheme="majorBidi"/>
          <w:sz w:val="24"/>
          <w:szCs w:val="24"/>
        </w:rPr>
        <w:t>n overall treatment cost of $36</w:t>
      </w:r>
      <w:r w:rsidRPr="007B09E8">
        <w:rPr>
          <w:rFonts w:ascii="Book Antiqua" w:hAnsi="Book Antiqua" w:cstheme="majorBidi"/>
          <w:sz w:val="24"/>
          <w:szCs w:val="24"/>
        </w:rPr>
        <w:t>226</w:t>
      </w:r>
      <w:r w:rsidR="00085C9A" w:rsidRPr="007B09E8">
        <w:rPr>
          <w:rFonts w:ascii="Book Antiqua" w:hAnsi="Book Antiqua" w:cstheme="majorBidi"/>
          <w:sz w:val="24"/>
          <w:szCs w:val="24"/>
          <w:vertAlign w:val="superscript"/>
        </w:rPr>
        <w:t>[33]</w:t>
      </w:r>
      <w:r w:rsidRPr="007B09E8">
        <w:rPr>
          <w:rFonts w:ascii="Book Antiqua" w:hAnsi="Book Antiqua" w:cstheme="majorBidi"/>
          <w:sz w:val="24"/>
          <w:szCs w:val="24"/>
        </w:rPr>
        <w:t>.</w:t>
      </w:r>
    </w:p>
    <w:p w14:paraId="32C80581" w14:textId="77777777" w:rsidR="001C32E4" w:rsidRPr="007B09E8" w:rsidRDefault="001C32E4" w:rsidP="001C32E4">
      <w:pPr>
        <w:snapToGrid w:val="0"/>
        <w:spacing w:after="0" w:line="360" w:lineRule="auto"/>
        <w:jc w:val="both"/>
        <w:rPr>
          <w:rFonts w:ascii="Book Antiqua" w:hAnsi="Book Antiqua" w:cstheme="majorBidi"/>
          <w:sz w:val="24"/>
          <w:szCs w:val="24"/>
          <w:lang w:eastAsia="zh-CN"/>
        </w:rPr>
      </w:pPr>
    </w:p>
    <w:p w14:paraId="0E683CA5" w14:textId="77777777" w:rsidR="0017410A" w:rsidRPr="007B09E8" w:rsidRDefault="0017410A" w:rsidP="00E872CF">
      <w:pPr>
        <w:pStyle w:val="Heading1"/>
        <w:snapToGrid w:val="0"/>
        <w:spacing w:before="0" w:line="360" w:lineRule="auto"/>
        <w:jc w:val="both"/>
        <w:rPr>
          <w:rFonts w:ascii="Book Antiqua" w:hAnsi="Book Antiqua"/>
          <w:caps/>
          <w:color w:val="auto"/>
          <w:sz w:val="24"/>
          <w:szCs w:val="24"/>
        </w:rPr>
      </w:pPr>
      <w:r w:rsidRPr="007B09E8">
        <w:rPr>
          <w:rFonts w:ascii="Book Antiqua" w:hAnsi="Book Antiqua"/>
          <w:caps/>
          <w:color w:val="auto"/>
          <w:sz w:val="24"/>
          <w:szCs w:val="24"/>
        </w:rPr>
        <w:t>Conclusion</w:t>
      </w:r>
    </w:p>
    <w:p w14:paraId="4FEB32BF" w14:textId="77777777" w:rsidR="0017410A" w:rsidRPr="007B09E8" w:rsidRDefault="0017410A" w:rsidP="00E872CF">
      <w:pPr>
        <w:snapToGrid w:val="0"/>
        <w:spacing w:after="0" w:line="360" w:lineRule="auto"/>
        <w:jc w:val="both"/>
        <w:rPr>
          <w:rFonts w:ascii="Book Antiqua" w:hAnsi="Book Antiqua" w:cstheme="majorBidi"/>
          <w:sz w:val="24"/>
          <w:szCs w:val="24"/>
        </w:rPr>
      </w:pPr>
      <w:r w:rsidRPr="007B09E8">
        <w:rPr>
          <w:rFonts w:ascii="Book Antiqua" w:hAnsi="Book Antiqua" w:cstheme="majorBidi"/>
          <w:sz w:val="24"/>
          <w:szCs w:val="24"/>
        </w:rPr>
        <w:t>Overall, both FOLFIRINOX and GNP result in better overall survival and quality of life. In the absence of direct comparison, the treatment choice for patients with mPC is determined by physical toxicity and financial cost, both of which favor the FOLFIRINOX regimen. Further studies should aim to evaluate the modified schedules and dosing of both regimens in multinational RCTs and search for biomarkers that predict response to treatment</w:t>
      </w:r>
      <w:r w:rsidRPr="007B09E8">
        <w:rPr>
          <w:rFonts w:ascii="Book Antiqua" w:hAnsi="Book Antiqua" w:cstheme="majorBidi"/>
          <w:sz w:val="24"/>
          <w:szCs w:val="24"/>
          <w:vertAlign w:val="superscript"/>
        </w:rPr>
        <w:t>[34]</w:t>
      </w:r>
      <w:r w:rsidRPr="007B09E8">
        <w:rPr>
          <w:rFonts w:ascii="Book Antiqua" w:hAnsi="Book Antiqua" w:cstheme="majorBidi"/>
          <w:sz w:val="24"/>
          <w:szCs w:val="24"/>
        </w:rPr>
        <w:t xml:space="preserve">. In addition, </w:t>
      </w:r>
      <w:r w:rsidRPr="007B09E8">
        <w:rPr>
          <w:rFonts w:ascii="Book Antiqua" w:hAnsi="Book Antiqua"/>
          <w:sz w:val="24"/>
          <w:szCs w:val="24"/>
        </w:rPr>
        <w:t>the choice of first-line therapy in the future may not be limited to these two regimens, as newly developed drugs/therapeutic strategies should be tested in clinical trials to find more efficacious options for patients with good performance status.</w:t>
      </w:r>
    </w:p>
    <w:p w14:paraId="7FA92DBE" w14:textId="77777777" w:rsidR="001C32E4" w:rsidRPr="007B09E8" w:rsidRDefault="001C32E4">
      <w:pPr>
        <w:rPr>
          <w:rFonts w:ascii="Book Antiqua" w:hAnsi="Book Antiqua"/>
          <w:sz w:val="24"/>
          <w:szCs w:val="24"/>
        </w:rPr>
      </w:pPr>
      <w:r w:rsidRPr="007B09E8">
        <w:rPr>
          <w:rFonts w:ascii="Book Antiqua" w:hAnsi="Book Antiqua"/>
          <w:b/>
          <w:bCs/>
          <w:sz w:val="24"/>
          <w:szCs w:val="24"/>
        </w:rPr>
        <w:br w:type="page"/>
      </w:r>
    </w:p>
    <w:p w14:paraId="1B44C3D9" w14:textId="3E87ED58" w:rsidR="00BC1CFD" w:rsidRPr="007B09E8" w:rsidRDefault="00687BFA" w:rsidP="00E872CF">
      <w:pPr>
        <w:pStyle w:val="Heading1"/>
        <w:snapToGrid w:val="0"/>
        <w:spacing w:before="0" w:line="360" w:lineRule="auto"/>
        <w:jc w:val="both"/>
        <w:rPr>
          <w:rFonts w:ascii="Book Antiqua" w:hAnsi="Book Antiqua"/>
          <w:color w:val="auto"/>
          <w:sz w:val="24"/>
          <w:szCs w:val="24"/>
          <w:lang w:eastAsia="zh-CN"/>
        </w:rPr>
      </w:pPr>
      <w:r w:rsidRPr="007B09E8">
        <w:rPr>
          <w:rFonts w:ascii="Book Antiqua" w:hAnsi="Book Antiqua"/>
          <w:caps/>
          <w:color w:val="auto"/>
          <w:sz w:val="24"/>
          <w:szCs w:val="24"/>
          <w:lang w:eastAsia="zh-CN"/>
        </w:rPr>
        <w:lastRenderedPageBreak/>
        <w:t>References</w:t>
      </w:r>
    </w:p>
    <w:p w14:paraId="30BBEDA9"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1 </w:t>
      </w:r>
      <w:r w:rsidRPr="007B09E8">
        <w:rPr>
          <w:rFonts w:ascii="Book Antiqua" w:eastAsia="SimSun" w:hAnsi="Book Antiqua" w:cs="SimSun"/>
          <w:b/>
          <w:bCs/>
          <w:sz w:val="24"/>
          <w:szCs w:val="24"/>
          <w:lang w:eastAsia="zh-CN"/>
        </w:rPr>
        <w:t>Siegel RL</w:t>
      </w:r>
      <w:r w:rsidRPr="007B09E8">
        <w:rPr>
          <w:rFonts w:ascii="Book Antiqua" w:eastAsia="SimSun" w:hAnsi="Book Antiqua" w:cs="SimSun"/>
          <w:sz w:val="24"/>
          <w:szCs w:val="24"/>
          <w:lang w:eastAsia="zh-CN"/>
        </w:rPr>
        <w:t>, Miller KD, Jemal A. Cancer statistics, 2016. </w:t>
      </w:r>
      <w:r w:rsidRPr="007B09E8">
        <w:rPr>
          <w:rFonts w:ascii="Book Antiqua" w:eastAsia="SimSun" w:hAnsi="Book Antiqua" w:cs="SimSun"/>
          <w:i/>
          <w:iCs/>
          <w:sz w:val="24"/>
          <w:szCs w:val="24"/>
          <w:lang w:eastAsia="zh-CN"/>
        </w:rPr>
        <w:t>CA Cancer J Clin</w:t>
      </w:r>
      <w:r w:rsidRPr="007B09E8">
        <w:rPr>
          <w:rFonts w:ascii="Book Antiqua" w:eastAsia="SimSun" w:hAnsi="Book Antiqua" w:cs="SimSun"/>
          <w:sz w:val="24"/>
          <w:szCs w:val="24"/>
          <w:lang w:eastAsia="zh-CN"/>
        </w:rPr>
        <w:t> </w:t>
      </w:r>
      <w:r w:rsidRPr="007B09E8">
        <w:rPr>
          <w:rFonts w:ascii="Book Antiqua" w:eastAsia="SimSun" w:hAnsi="Book Antiqua" w:cs="SimSun" w:hint="eastAsia"/>
          <w:sz w:val="24"/>
          <w:szCs w:val="24"/>
          <w:lang w:eastAsia="zh-CN"/>
        </w:rPr>
        <w:t>2016</w:t>
      </w:r>
      <w:r w:rsidRPr="007B09E8">
        <w:rPr>
          <w:rFonts w:ascii="Book Antiqua" w:eastAsia="SimSun" w:hAnsi="Book Antiqua" w:cs="SimSun"/>
          <w:sz w:val="24"/>
          <w:szCs w:val="24"/>
          <w:lang w:eastAsia="zh-CN"/>
        </w:rPr>
        <w:t>; </w:t>
      </w:r>
      <w:r w:rsidRPr="007B09E8">
        <w:rPr>
          <w:rFonts w:ascii="Book Antiqua" w:eastAsia="SimSun" w:hAnsi="Book Antiqua" w:cs="SimSun"/>
          <w:b/>
          <w:bCs/>
          <w:sz w:val="24"/>
          <w:szCs w:val="24"/>
          <w:lang w:eastAsia="zh-CN"/>
        </w:rPr>
        <w:t>66</w:t>
      </w:r>
      <w:r w:rsidRPr="007B09E8">
        <w:rPr>
          <w:rFonts w:ascii="Book Antiqua" w:eastAsia="SimSun" w:hAnsi="Book Antiqua" w:cs="SimSun"/>
          <w:sz w:val="24"/>
          <w:szCs w:val="24"/>
          <w:lang w:eastAsia="zh-CN"/>
        </w:rPr>
        <w:t>: 7-30 [PMID: 26742998</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sz w:val="24"/>
          <w:szCs w:val="24"/>
          <w:lang w:eastAsia="zh-CN"/>
        </w:rPr>
        <w:t>DOI: 10.3322/caac.21332]</w:t>
      </w:r>
    </w:p>
    <w:p w14:paraId="34992C3C"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2 </w:t>
      </w:r>
      <w:r w:rsidRPr="007B09E8">
        <w:rPr>
          <w:rFonts w:ascii="Book Antiqua" w:eastAsia="SimSun" w:hAnsi="Book Antiqua" w:cs="SimSun"/>
          <w:b/>
          <w:bCs/>
          <w:sz w:val="24"/>
          <w:szCs w:val="24"/>
          <w:lang w:eastAsia="zh-CN"/>
        </w:rPr>
        <w:t>Kourie HR</w:t>
      </w:r>
      <w:r w:rsidRPr="007B09E8">
        <w:rPr>
          <w:rFonts w:ascii="Book Antiqua" w:eastAsia="SimSun" w:hAnsi="Book Antiqua" w:cs="SimSun"/>
          <w:sz w:val="24"/>
          <w:szCs w:val="24"/>
          <w:lang w:eastAsia="zh-CN"/>
        </w:rPr>
        <w:t>, Gharios J, Elkarak F, Antoun J, Ghosn M. Is metastatic pancreatic cancer an untargetable malignancy? </w:t>
      </w:r>
      <w:r w:rsidRPr="007B09E8">
        <w:rPr>
          <w:rFonts w:ascii="Book Antiqua" w:eastAsia="SimSun" w:hAnsi="Book Antiqua" w:cs="SimSun"/>
          <w:i/>
          <w:iCs/>
          <w:sz w:val="24"/>
          <w:szCs w:val="24"/>
          <w:lang w:eastAsia="zh-CN"/>
        </w:rPr>
        <w:t>World J Gastrointest Oncol</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sz w:val="24"/>
          <w:szCs w:val="24"/>
          <w:lang w:eastAsia="zh-CN"/>
        </w:rPr>
        <w:t>2016; </w:t>
      </w:r>
      <w:r w:rsidRPr="007B09E8">
        <w:rPr>
          <w:rFonts w:ascii="Book Antiqua" w:eastAsia="SimSun" w:hAnsi="Book Antiqua" w:cs="SimSun"/>
          <w:b/>
          <w:bCs/>
          <w:sz w:val="24"/>
          <w:szCs w:val="24"/>
          <w:lang w:eastAsia="zh-CN"/>
        </w:rPr>
        <w:t>8</w:t>
      </w:r>
      <w:r w:rsidRPr="007B09E8">
        <w:rPr>
          <w:rFonts w:ascii="Book Antiqua" w:eastAsia="SimSun" w:hAnsi="Book Antiqua" w:cs="SimSun"/>
          <w:sz w:val="24"/>
          <w:szCs w:val="24"/>
          <w:lang w:eastAsia="zh-CN"/>
        </w:rPr>
        <w:t>: 297-304 [PMID: 26989465</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sz w:val="24"/>
          <w:szCs w:val="24"/>
          <w:lang w:eastAsia="zh-CN"/>
        </w:rPr>
        <w:t>DOI: 10.4251/wjgo.v8.i3.297]</w:t>
      </w:r>
    </w:p>
    <w:p w14:paraId="7342CA58"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3 </w:t>
      </w:r>
      <w:r w:rsidRPr="007B09E8">
        <w:rPr>
          <w:rFonts w:ascii="Book Antiqua" w:eastAsia="SimSun" w:hAnsi="Book Antiqua" w:cs="SimSun"/>
          <w:b/>
          <w:bCs/>
          <w:sz w:val="24"/>
          <w:szCs w:val="24"/>
          <w:lang w:eastAsia="zh-CN"/>
        </w:rPr>
        <w:t>Burris HA</w:t>
      </w:r>
      <w:r w:rsidRPr="007B09E8">
        <w:rPr>
          <w:rFonts w:ascii="Book Antiqua" w:eastAsia="SimSun" w:hAnsi="Book Antiqua" w:cs="SimSun"/>
          <w:sz w:val="24"/>
          <w:szCs w:val="24"/>
          <w:lang w:eastAsia="zh-CN"/>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7B09E8">
        <w:rPr>
          <w:rFonts w:ascii="Book Antiqua" w:eastAsia="SimSun" w:hAnsi="Book Antiqua" w:cs="SimSun"/>
          <w:i/>
          <w:iCs/>
          <w:sz w:val="24"/>
          <w:szCs w:val="24"/>
          <w:lang w:eastAsia="zh-CN"/>
        </w:rPr>
        <w:t>J Clin Oncol</w:t>
      </w:r>
      <w:r w:rsidRPr="007B09E8">
        <w:rPr>
          <w:rFonts w:ascii="Book Antiqua" w:eastAsia="SimSun" w:hAnsi="Book Antiqua" w:cs="SimSun"/>
          <w:sz w:val="24"/>
          <w:szCs w:val="24"/>
          <w:lang w:eastAsia="zh-CN"/>
        </w:rPr>
        <w:t> 1997; </w:t>
      </w:r>
      <w:r w:rsidRPr="007B09E8">
        <w:rPr>
          <w:rFonts w:ascii="Book Antiqua" w:eastAsia="SimSun" w:hAnsi="Book Antiqua" w:cs="SimSun"/>
          <w:b/>
          <w:bCs/>
          <w:sz w:val="24"/>
          <w:szCs w:val="24"/>
          <w:lang w:eastAsia="zh-CN"/>
        </w:rPr>
        <w:t>15</w:t>
      </w:r>
      <w:r w:rsidRPr="007B09E8">
        <w:rPr>
          <w:rFonts w:ascii="Book Antiqua" w:eastAsia="SimSun" w:hAnsi="Book Antiqua" w:cs="SimSun"/>
          <w:sz w:val="24"/>
          <w:szCs w:val="24"/>
          <w:lang w:eastAsia="zh-CN"/>
        </w:rPr>
        <w:t>: 2403-2413 [PMID: 9196156]</w:t>
      </w:r>
    </w:p>
    <w:p w14:paraId="645975EC"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4 </w:t>
      </w:r>
      <w:r w:rsidRPr="007B09E8">
        <w:rPr>
          <w:rFonts w:ascii="Book Antiqua" w:eastAsia="SimSun" w:hAnsi="Book Antiqua" w:cs="SimSun"/>
          <w:b/>
          <w:bCs/>
          <w:sz w:val="24"/>
          <w:szCs w:val="24"/>
          <w:lang w:eastAsia="zh-CN"/>
        </w:rPr>
        <w:t>Rhim AD</w:t>
      </w:r>
      <w:r w:rsidRPr="007B09E8">
        <w:rPr>
          <w:rFonts w:ascii="Book Antiqua" w:eastAsia="SimSun" w:hAnsi="Book Antiqua" w:cs="SimSun"/>
          <w:sz w:val="24"/>
          <w:szCs w:val="24"/>
          <w:lang w:eastAsia="zh-CN"/>
        </w:rPr>
        <w:t>, Oberstein PE, Thomas DH, Mirek ET, Palermo CF, Sastra SA, Dekleva EN, Saunders T, Becerra CP, Tattersall IW, Westphalen CB, Kitajewski J, Fernandez-Barrena MG, Fernandez-Zapico ME, Iacobuzio-Donahue C, Olive KP, Stanger BZ. Stromal elements act to restrain, rather than support, pancreatic ductal adenocarcinoma. </w:t>
      </w:r>
      <w:r w:rsidRPr="007B09E8">
        <w:rPr>
          <w:rFonts w:ascii="Book Antiqua" w:eastAsia="SimSun" w:hAnsi="Book Antiqua" w:cs="SimSun"/>
          <w:i/>
          <w:iCs/>
          <w:sz w:val="24"/>
          <w:szCs w:val="24"/>
          <w:lang w:eastAsia="zh-CN"/>
        </w:rPr>
        <w:t>Cancer Cell</w:t>
      </w:r>
      <w:r w:rsidRPr="007B09E8">
        <w:rPr>
          <w:rFonts w:ascii="Book Antiqua" w:eastAsia="SimSun" w:hAnsi="Book Antiqua" w:cs="SimSun"/>
          <w:sz w:val="24"/>
          <w:szCs w:val="24"/>
          <w:lang w:eastAsia="zh-CN"/>
        </w:rPr>
        <w:t> 2014; </w:t>
      </w:r>
      <w:r w:rsidRPr="007B09E8">
        <w:rPr>
          <w:rFonts w:ascii="Book Antiqua" w:eastAsia="SimSun" w:hAnsi="Book Antiqua" w:cs="SimSun"/>
          <w:b/>
          <w:bCs/>
          <w:sz w:val="24"/>
          <w:szCs w:val="24"/>
          <w:lang w:eastAsia="zh-CN"/>
        </w:rPr>
        <w:t>25</w:t>
      </w:r>
      <w:r w:rsidRPr="007B09E8">
        <w:rPr>
          <w:rFonts w:ascii="Book Antiqua" w:eastAsia="SimSun" w:hAnsi="Book Antiqua" w:cs="SimSun"/>
          <w:sz w:val="24"/>
          <w:szCs w:val="24"/>
          <w:lang w:eastAsia="zh-CN"/>
        </w:rPr>
        <w:t>: 735-747 [PMID: 24856585 DOI: 10.1016/j.ccr.2014.04.021]</w:t>
      </w:r>
    </w:p>
    <w:p w14:paraId="570DC490"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5 </w:t>
      </w:r>
      <w:r w:rsidRPr="007B09E8">
        <w:rPr>
          <w:rFonts w:ascii="Book Antiqua" w:eastAsia="SimSun" w:hAnsi="Book Antiqua" w:cs="SimSun"/>
          <w:b/>
          <w:bCs/>
          <w:sz w:val="24"/>
          <w:szCs w:val="24"/>
          <w:lang w:eastAsia="zh-CN"/>
        </w:rPr>
        <w:t>Fox RG</w:t>
      </w:r>
      <w:r w:rsidRPr="007B09E8">
        <w:rPr>
          <w:rFonts w:ascii="Book Antiqua" w:eastAsia="SimSun" w:hAnsi="Book Antiqua" w:cs="SimSun"/>
          <w:sz w:val="24"/>
          <w:szCs w:val="24"/>
          <w:lang w:eastAsia="zh-CN"/>
        </w:rPr>
        <w:t>, Lytle NK, Jaquish DV, Park FD, Ito T, Bajaj J, Koechlein CS, Zimdahl B, Yano M, Kopp JL, Kritzik M, Sicklick JK, Sander M, Grandgenett PM, Hollingsworth MA, Shibata S, Pizzo D, Valasek MA, Sasik R, Scadeng M, Okano H, Kim Y, MacLeod AR, Lowy AM, Reya T. Image-based detection and targeting of therapy resistance in pancreatic adenocarcinoma.</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i/>
          <w:iCs/>
          <w:sz w:val="24"/>
          <w:szCs w:val="24"/>
          <w:lang w:eastAsia="zh-CN"/>
        </w:rPr>
        <w:t>Nature</w:t>
      </w:r>
      <w:r w:rsidRPr="007B09E8">
        <w:rPr>
          <w:rFonts w:ascii="Book Antiqua" w:eastAsia="SimSun" w:hAnsi="Book Antiqua" w:cs="SimSun"/>
          <w:sz w:val="24"/>
          <w:szCs w:val="24"/>
          <w:lang w:eastAsia="zh-CN"/>
        </w:rPr>
        <w:t> 2016;</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b/>
          <w:bCs/>
          <w:sz w:val="24"/>
          <w:szCs w:val="24"/>
          <w:lang w:eastAsia="zh-CN"/>
        </w:rPr>
        <w:t>534</w:t>
      </w:r>
      <w:r w:rsidRPr="007B09E8">
        <w:rPr>
          <w:rFonts w:ascii="Book Antiqua" w:eastAsia="SimSun" w:hAnsi="Book Antiqua" w:cs="SimSun"/>
          <w:sz w:val="24"/>
          <w:szCs w:val="24"/>
          <w:lang w:eastAsia="zh-CN"/>
        </w:rPr>
        <w:t>: 407-411 [PMID: 27281208 DOI: 10.1038/nature17988]</w:t>
      </w:r>
    </w:p>
    <w:p w14:paraId="463A9C62"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6 </w:t>
      </w:r>
      <w:r w:rsidRPr="007B09E8">
        <w:rPr>
          <w:rFonts w:ascii="Book Antiqua" w:eastAsia="SimSun" w:hAnsi="Book Antiqua" w:cs="SimSun"/>
          <w:b/>
          <w:bCs/>
          <w:sz w:val="24"/>
          <w:szCs w:val="24"/>
          <w:lang w:eastAsia="zh-CN"/>
        </w:rPr>
        <w:t>De Jesus-Acosta A</w:t>
      </w:r>
      <w:r w:rsidRPr="007B09E8">
        <w:rPr>
          <w:rFonts w:ascii="Book Antiqua" w:eastAsia="SimSun" w:hAnsi="Book Antiqua" w:cs="SimSun"/>
          <w:sz w:val="24"/>
          <w:szCs w:val="24"/>
          <w:lang w:eastAsia="zh-CN"/>
        </w:rPr>
        <w:t>, Oliver GR, Blackford A, Kinsman K, Flores EI, Wilfong LS, Zheng L, Donehower RC, Cosgrove D, Laheru D, Le DT, Chung K, Diaz LA. A multicenter analysis of GTX chemotherapy in patients with locally advanced and metastatic pancreatic adenocarcinoma. </w:t>
      </w:r>
      <w:r w:rsidRPr="007B09E8">
        <w:rPr>
          <w:rFonts w:ascii="Book Antiqua" w:eastAsia="SimSun" w:hAnsi="Book Antiqua" w:cs="SimSun"/>
          <w:i/>
          <w:iCs/>
          <w:sz w:val="24"/>
          <w:szCs w:val="24"/>
          <w:lang w:eastAsia="zh-CN"/>
        </w:rPr>
        <w:t>Cancer Chemother Pharmacol</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sz w:val="24"/>
          <w:szCs w:val="24"/>
          <w:lang w:eastAsia="zh-CN"/>
        </w:rPr>
        <w:t>2012; </w:t>
      </w:r>
      <w:r w:rsidRPr="007B09E8">
        <w:rPr>
          <w:rFonts w:ascii="Book Antiqua" w:eastAsia="SimSun" w:hAnsi="Book Antiqua" w:cs="SimSun"/>
          <w:b/>
          <w:bCs/>
          <w:sz w:val="24"/>
          <w:szCs w:val="24"/>
          <w:lang w:eastAsia="zh-CN"/>
        </w:rPr>
        <w:t>69</w:t>
      </w:r>
      <w:r w:rsidRPr="007B09E8">
        <w:rPr>
          <w:rFonts w:ascii="Book Antiqua" w:eastAsia="SimSun" w:hAnsi="Book Antiqua" w:cs="SimSun"/>
          <w:sz w:val="24"/>
          <w:szCs w:val="24"/>
          <w:lang w:eastAsia="zh-CN"/>
        </w:rPr>
        <w:t>: 415-424 [PMID: 21800112 DOI: 10.1007/s00280-011-1704-y]</w:t>
      </w:r>
    </w:p>
    <w:p w14:paraId="518E2DCC"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7 </w:t>
      </w:r>
      <w:r w:rsidRPr="007B09E8">
        <w:rPr>
          <w:rFonts w:ascii="Book Antiqua" w:eastAsia="SimSun" w:hAnsi="Book Antiqua" w:cs="SimSun"/>
          <w:b/>
          <w:bCs/>
          <w:sz w:val="24"/>
          <w:szCs w:val="24"/>
          <w:lang w:eastAsia="zh-CN"/>
        </w:rPr>
        <w:t>Fine RL</w:t>
      </w:r>
      <w:r w:rsidRPr="007B09E8">
        <w:rPr>
          <w:rFonts w:ascii="Book Antiqua" w:eastAsia="SimSun" w:hAnsi="Book Antiqua" w:cs="SimSun"/>
          <w:sz w:val="24"/>
          <w:szCs w:val="24"/>
          <w:lang w:eastAsia="zh-CN"/>
        </w:rPr>
        <w:t xml:space="preserve">, Fogelman DR, Schreibman SM, Desai M, Sherman W, Strauss J, Guba S, Andrade R, Chabot J. The gemcitabine, docetaxel, and capecitabine (GTX) regimen for </w:t>
      </w:r>
      <w:r w:rsidRPr="007B09E8">
        <w:rPr>
          <w:rFonts w:ascii="Book Antiqua" w:eastAsia="SimSun" w:hAnsi="Book Antiqua" w:cs="SimSun"/>
          <w:sz w:val="24"/>
          <w:szCs w:val="24"/>
          <w:lang w:eastAsia="zh-CN"/>
        </w:rPr>
        <w:lastRenderedPageBreak/>
        <w:t>metastatic pancreatic cancer: a retrospective analysis. </w:t>
      </w:r>
      <w:r w:rsidRPr="007B09E8">
        <w:rPr>
          <w:rFonts w:ascii="Book Antiqua" w:eastAsia="SimSun" w:hAnsi="Book Antiqua" w:cs="SimSun"/>
          <w:i/>
          <w:iCs/>
          <w:sz w:val="24"/>
          <w:szCs w:val="24"/>
          <w:lang w:eastAsia="zh-CN"/>
        </w:rPr>
        <w:t>Cancer Chemother Pharmacol</w:t>
      </w:r>
      <w:r w:rsidRPr="007B09E8">
        <w:rPr>
          <w:rFonts w:ascii="Book Antiqua" w:eastAsia="SimSun" w:hAnsi="Book Antiqua" w:cs="SimSun"/>
          <w:sz w:val="24"/>
          <w:szCs w:val="24"/>
          <w:lang w:eastAsia="zh-CN"/>
        </w:rPr>
        <w:t> 2008; </w:t>
      </w:r>
      <w:r w:rsidRPr="007B09E8">
        <w:rPr>
          <w:rFonts w:ascii="Book Antiqua" w:eastAsia="SimSun" w:hAnsi="Book Antiqua" w:cs="SimSun"/>
          <w:b/>
          <w:bCs/>
          <w:sz w:val="24"/>
          <w:szCs w:val="24"/>
          <w:lang w:eastAsia="zh-CN"/>
        </w:rPr>
        <w:t>61</w:t>
      </w:r>
      <w:r w:rsidRPr="007B09E8">
        <w:rPr>
          <w:rFonts w:ascii="Book Antiqua" w:eastAsia="SimSun" w:hAnsi="Book Antiqua" w:cs="SimSun"/>
          <w:sz w:val="24"/>
          <w:szCs w:val="24"/>
          <w:lang w:eastAsia="zh-CN"/>
        </w:rPr>
        <w:t>: 167-175 [PMID: 17440727</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sz w:val="24"/>
          <w:szCs w:val="24"/>
          <w:lang w:eastAsia="zh-CN"/>
        </w:rPr>
        <w:t>DOI: 10.1007/s00280-007-0473-0]</w:t>
      </w:r>
    </w:p>
    <w:p w14:paraId="567FCEEA"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8 </w:t>
      </w:r>
      <w:r w:rsidRPr="007B09E8">
        <w:rPr>
          <w:rFonts w:ascii="Book Antiqua" w:eastAsia="SimSun" w:hAnsi="Book Antiqua" w:cs="SimSun"/>
          <w:b/>
          <w:bCs/>
          <w:sz w:val="24"/>
          <w:szCs w:val="24"/>
          <w:lang w:eastAsia="zh-CN"/>
        </w:rPr>
        <w:t>Reni M</w:t>
      </w:r>
      <w:r w:rsidRPr="007B09E8">
        <w:rPr>
          <w:rFonts w:ascii="Book Antiqua" w:eastAsia="SimSun" w:hAnsi="Book Antiqua" w:cs="SimSun"/>
          <w:sz w:val="24"/>
          <w:szCs w:val="24"/>
          <w:lang w:eastAsia="zh-CN"/>
        </w:rPr>
        <w:t>, Wan Y, Solem C, Whiting S, Ji X, Botteman M. Quality-adjusted survival with combination nab-paclitaxel</w:t>
      </w:r>
      <w:r w:rsidRPr="007B09E8">
        <w:rPr>
          <w:rFonts w:ascii="Cambria Math" w:eastAsia="SimSun" w:hAnsi="Cambria Math" w:cs="Cambria Math"/>
          <w:sz w:val="24"/>
          <w:szCs w:val="24"/>
          <w:lang w:eastAsia="zh-CN"/>
        </w:rPr>
        <w:t> </w:t>
      </w:r>
      <w:r w:rsidRPr="007B09E8">
        <w:rPr>
          <w:rFonts w:ascii="Book Antiqua" w:eastAsia="SimSun" w:hAnsi="Book Antiqua" w:cs="SimSun"/>
          <w:sz w:val="24"/>
          <w:szCs w:val="24"/>
          <w:lang w:eastAsia="zh-CN"/>
        </w:rPr>
        <w:t>+</w:t>
      </w:r>
      <w:r w:rsidRPr="007B09E8">
        <w:rPr>
          <w:rFonts w:ascii="Cambria Math" w:eastAsia="SimSun" w:hAnsi="Cambria Math" w:cs="Cambria Math"/>
          <w:sz w:val="24"/>
          <w:szCs w:val="24"/>
          <w:lang w:eastAsia="zh-CN"/>
        </w:rPr>
        <w:t> </w:t>
      </w:r>
      <w:r w:rsidRPr="007B09E8">
        <w:rPr>
          <w:rFonts w:ascii="Book Antiqua" w:eastAsia="SimSun" w:hAnsi="Book Antiqua" w:cs="SimSun"/>
          <w:sz w:val="24"/>
          <w:szCs w:val="24"/>
          <w:lang w:eastAsia="zh-CN"/>
        </w:rPr>
        <w:t>gemcitabine vs gemcitabine alone in metastatic pancreatic cancer: a Q-TWiST analysis. </w:t>
      </w:r>
      <w:r w:rsidRPr="007B09E8">
        <w:rPr>
          <w:rFonts w:ascii="Book Antiqua" w:eastAsia="SimSun" w:hAnsi="Book Antiqua" w:cs="SimSun"/>
          <w:i/>
          <w:iCs/>
          <w:sz w:val="24"/>
          <w:szCs w:val="24"/>
          <w:lang w:eastAsia="zh-CN"/>
        </w:rPr>
        <w:t>J Med Econ</w:t>
      </w:r>
      <w:r w:rsidRPr="007B09E8">
        <w:rPr>
          <w:rFonts w:ascii="Book Antiqua" w:eastAsia="SimSun" w:hAnsi="Book Antiqua" w:cs="SimSun"/>
          <w:sz w:val="24"/>
          <w:szCs w:val="24"/>
          <w:lang w:eastAsia="zh-CN"/>
        </w:rPr>
        <w:t> 2014; </w:t>
      </w:r>
      <w:r w:rsidRPr="007B09E8">
        <w:rPr>
          <w:rFonts w:ascii="Book Antiqua" w:eastAsia="SimSun" w:hAnsi="Book Antiqua" w:cs="SimSun"/>
          <w:b/>
          <w:bCs/>
          <w:sz w:val="24"/>
          <w:szCs w:val="24"/>
          <w:lang w:eastAsia="zh-CN"/>
        </w:rPr>
        <w:t>17</w:t>
      </w:r>
      <w:r w:rsidRPr="007B09E8">
        <w:rPr>
          <w:rFonts w:ascii="Book Antiqua" w:eastAsia="SimSun" w:hAnsi="Book Antiqua" w:cs="SimSun"/>
          <w:sz w:val="24"/>
          <w:szCs w:val="24"/>
          <w:lang w:eastAsia="zh-CN"/>
        </w:rPr>
        <w:t>: 338-346 [PMID: 24654922 DOI: 10.3111/13696998.2014.903122]</w:t>
      </w:r>
    </w:p>
    <w:p w14:paraId="0031BEC1"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9 </w:t>
      </w:r>
      <w:r w:rsidRPr="007B09E8">
        <w:rPr>
          <w:rFonts w:ascii="Book Antiqua" w:eastAsia="SimSun" w:hAnsi="Book Antiqua" w:cs="SimSun"/>
          <w:b/>
          <w:bCs/>
          <w:sz w:val="24"/>
          <w:szCs w:val="24"/>
          <w:lang w:eastAsia="zh-CN"/>
        </w:rPr>
        <w:t>Conroy T</w:t>
      </w:r>
      <w:r w:rsidRPr="007B09E8">
        <w:rPr>
          <w:rFonts w:ascii="Book Antiqua" w:eastAsia="SimSun" w:hAnsi="Book Antiqua" w:cs="SimSun"/>
          <w:sz w:val="24"/>
          <w:szCs w:val="24"/>
          <w:lang w:eastAsia="zh-CN"/>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7B09E8">
        <w:rPr>
          <w:rFonts w:ascii="Book Antiqua" w:eastAsia="SimSun" w:hAnsi="Book Antiqua" w:cs="SimSun"/>
          <w:i/>
          <w:iCs/>
          <w:sz w:val="24"/>
          <w:szCs w:val="24"/>
          <w:lang w:eastAsia="zh-CN"/>
        </w:rPr>
        <w:t>N Engl J Med</w:t>
      </w:r>
      <w:r w:rsidRPr="007B09E8">
        <w:rPr>
          <w:rFonts w:ascii="Book Antiqua" w:eastAsia="SimSun" w:hAnsi="Book Antiqua" w:cs="SimSun"/>
          <w:sz w:val="24"/>
          <w:szCs w:val="24"/>
          <w:lang w:eastAsia="zh-CN"/>
        </w:rPr>
        <w:t> 2011; </w:t>
      </w:r>
      <w:r w:rsidRPr="007B09E8">
        <w:rPr>
          <w:rFonts w:ascii="Book Antiqua" w:eastAsia="SimSun" w:hAnsi="Book Antiqua" w:cs="SimSun"/>
          <w:b/>
          <w:bCs/>
          <w:sz w:val="24"/>
          <w:szCs w:val="24"/>
          <w:lang w:eastAsia="zh-CN"/>
        </w:rPr>
        <w:t>364</w:t>
      </w:r>
      <w:r w:rsidRPr="007B09E8">
        <w:rPr>
          <w:rFonts w:ascii="Book Antiqua" w:eastAsia="SimSun" w:hAnsi="Book Antiqua" w:cs="SimSun"/>
          <w:sz w:val="24"/>
          <w:szCs w:val="24"/>
          <w:lang w:eastAsia="zh-CN"/>
        </w:rPr>
        <w:t>: 1817-1825 [PMID: 21561347 DOI: 10.1056/NEJMoa1011923]</w:t>
      </w:r>
    </w:p>
    <w:p w14:paraId="0F6F9A21"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10 </w:t>
      </w:r>
      <w:r w:rsidRPr="007B09E8">
        <w:rPr>
          <w:rFonts w:ascii="Book Antiqua" w:eastAsia="SimSun" w:hAnsi="Book Antiqua" w:cs="SimSun"/>
          <w:b/>
          <w:bCs/>
          <w:sz w:val="24"/>
          <w:szCs w:val="24"/>
          <w:lang w:eastAsia="zh-CN"/>
        </w:rPr>
        <w:t>Von Hoff DD</w:t>
      </w:r>
      <w:r w:rsidRPr="007B09E8">
        <w:rPr>
          <w:rFonts w:ascii="Book Antiqua" w:eastAsia="SimSun" w:hAnsi="Book Antiqua" w:cs="SimSun"/>
          <w:sz w:val="24"/>
          <w:szCs w:val="24"/>
          <w:lang w:eastAsia="zh-CN"/>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7B09E8">
        <w:rPr>
          <w:rFonts w:ascii="Book Antiqua" w:eastAsia="SimSun" w:hAnsi="Book Antiqua" w:cs="SimSun"/>
          <w:i/>
          <w:iCs/>
          <w:sz w:val="24"/>
          <w:szCs w:val="24"/>
          <w:lang w:eastAsia="zh-CN"/>
        </w:rPr>
        <w:t>N Engl J Med</w:t>
      </w:r>
      <w:r w:rsidRPr="007B09E8">
        <w:rPr>
          <w:rFonts w:ascii="Book Antiqua" w:eastAsia="SimSun" w:hAnsi="Book Antiqua" w:cs="SimSun"/>
          <w:sz w:val="24"/>
          <w:szCs w:val="24"/>
          <w:lang w:eastAsia="zh-CN"/>
        </w:rPr>
        <w:t> 2013; </w:t>
      </w:r>
      <w:r w:rsidRPr="007B09E8">
        <w:rPr>
          <w:rFonts w:ascii="Book Antiqua" w:eastAsia="SimSun" w:hAnsi="Book Antiqua" w:cs="SimSun"/>
          <w:b/>
          <w:bCs/>
          <w:sz w:val="24"/>
          <w:szCs w:val="24"/>
          <w:lang w:eastAsia="zh-CN"/>
        </w:rPr>
        <w:t>369</w:t>
      </w:r>
      <w:r w:rsidRPr="007B09E8">
        <w:rPr>
          <w:rFonts w:ascii="Book Antiqua" w:eastAsia="SimSun" w:hAnsi="Book Antiqua" w:cs="SimSun"/>
          <w:sz w:val="24"/>
          <w:szCs w:val="24"/>
          <w:lang w:eastAsia="zh-CN"/>
        </w:rPr>
        <w:t>: 1691-1703 [PMID: 24131140 DOI: 10.1056/NEJMoa1304369]</w:t>
      </w:r>
    </w:p>
    <w:p w14:paraId="47789751"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11 </w:t>
      </w:r>
      <w:r w:rsidRPr="007B09E8">
        <w:rPr>
          <w:rFonts w:ascii="Book Antiqua" w:eastAsia="SimSun" w:hAnsi="Book Antiqua" w:cs="SimSun"/>
          <w:b/>
          <w:bCs/>
          <w:sz w:val="24"/>
          <w:szCs w:val="24"/>
          <w:lang w:eastAsia="zh-CN"/>
        </w:rPr>
        <w:t>Goldstein D</w:t>
      </w:r>
      <w:r w:rsidRPr="007B09E8">
        <w:rPr>
          <w:rFonts w:ascii="Book Antiqua" w:eastAsia="SimSun" w:hAnsi="Book Antiqua" w:cs="SimSun"/>
          <w:sz w:val="24"/>
          <w:szCs w:val="24"/>
          <w:lang w:eastAsia="zh-CN"/>
        </w:rPr>
        <w:t>, El-Maraghi RH, Hammel P, Heinemann V, Kunzmann V, Sastre J, Scheithauer W, Siena S, Tabernero J, Teixeira L, Tortora G, Van Laethem JL, Young R, Penenberg DN, Lu B, Romano A, Von Hoff DD. nab-Paclitaxel plus gemcitabine for metastatic pancreatic cancer: long-term survival from a phase III trial. </w:t>
      </w:r>
      <w:r w:rsidRPr="007B09E8">
        <w:rPr>
          <w:rFonts w:ascii="Book Antiqua" w:eastAsia="SimSun" w:hAnsi="Book Antiqua" w:cs="SimSun"/>
          <w:i/>
          <w:iCs/>
          <w:sz w:val="24"/>
          <w:szCs w:val="24"/>
          <w:lang w:eastAsia="zh-CN"/>
        </w:rPr>
        <w:t>J Natl Cancer Inst</w:t>
      </w:r>
      <w:r w:rsidRPr="007B09E8">
        <w:rPr>
          <w:rFonts w:ascii="Book Antiqua" w:eastAsia="SimSun" w:hAnsi="Book Antiqua" w:cs="SimSun"/>
          <w:sz w:val="24"/>
          <w:szCs w:val="24"/>
          <w:lang w:eastAsia="zh-CN"/>
        </w:rPr>
        <w:t> 2015; </w:t>
      </w:r>
      <w:r w:rsidRPr="007B09E8">
        <w:rPr>
          <w:rFonts w:ascii="Book Antiqua" w:eastAsia="SimSun" w:hAnsi="Book Antiqua" w:cs="SimSun"/>
          <w:b/>
          <w:bCs/>
          <w:sz w:val="24"/>
          <w:szCs w:val="24"/>
          <w:lang w:eastAsia="zh-CN"/>
        </w:rPr>
        <w:t>107</w:t>
      </w:r>
      <w:r w:rsidRPr="007B09E8">
        <w:rPr>
          <w:rFonts w:ascii="Book Antiqua" w:eastAsia="SimSun" w:hAnsi="Book Antiqua" w:cs="SimSun"/>
          <w:sz w:val="24"/>
          <w:szCs w:val="24"/>
          <w:lang w:eastAsia="zh-CN"/>
        </w:rPr>
        <w:t>: [PMID: 25638248 DOI: 10.1093/jnci/dju413]</w:t>
      </w:r>
    </w:p>
    <w:p w14:paraId="7851D086"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12 </w:t>
      </w:r>
      <w:r w:rsidRPr="007B09E8">
        <w:rPr>
          <w:rFonts w:ascii="Book Antiqua" w:eastAsia="SimSun" w:hAnsi="Book Antiqua" w:cs="SimSun"/>
          <w:b/>
          <w:bCs/>
          <w:sz w:val="24"/>
          <w:szCs w:val="24"/>
          <w:lang w:eastAsia="zh-CN"/>
        </w:rPr>
        <w:t>Sohal DP</w:t>
      </w:r>
      <w:r w:rsidRPr="007B09E8">
        <w:rPr>
          <w:rFonts w:ascii="Book Antiqua" w:eastAsia="SimSun" w:hAnsi="Book Antiqua" w:cs="SimSun"/>
          <w:sz w:val="24"/>
          <w:szCs w:val="24"/>
          <w:lang w:eastAsia="zh-CN"/>
        </w:rPr>
        <w:t>, Mangu PB, Khorana AA, Shah MA, Philip PA, O'Reilly EM, Uronis HE, Ramanathan RK, Crane CH, Engebretson A, Ruggiero JT, Copur MS, Lau M, Urba S, Laheru D. Metastatic Pancreatic Cancer: American Society of Clinical Oncology Clinical Practice Guideline. </w:t>
      </w:r>
      <w:r w:rsidRPr="007B09E8">
        <w:rPr>
          <w:rFonts w:ascii="Book Antiqua" w:eastAsia="SimSun" w:hAnsi="Book Antiqua" w:cs="SimSun"/>
          <w:i/>
          <w:iCs/>
          <w:sz w:val="24"/>
          <w:szCs w:val="24"/>
          <w:lang w:eastAsia="zh-CN"/>
        </w:rPr>
        <w:t>J Clin Oncol</w:t>
      </w:r>
      <w:r w:rsidRPr="007B09E8">
        <w:rPr>
          <w:rFonts w:ascii="Book Antiqua" w:eastAsia="SimSun" w:hAnsi="Book Antiqua" w:cs="SimSun"/>
          <w:sz w:val="24"/>
          <w:szCs w:val="24"/>
          <w:lang w:eastAsia="zh-CN"/>
        </w:rPr>
        <w:t> 2016; </w:t>
      </w:r>
      <w:r w:rsidRPr="007B09E8">
        <w:rPr>
          <w:rFonts w:ascii="Book Antiqua" w:eastAsia="SimSun" w:hAnsi="Book Antiqua" w:cs="SimSun"/>
          <w:b/>
          <w:bCs/>
          <w:sz w:val="24"/>
          <w:szCs w:val="24"/>
          <w:lang w:eastAsia="zh-CN"/>
        </w:rPr>
        <w:t>34</w:t>
      </w:r>
      <w:r w:rsidRPr="007B09E8">
        <w:rPr>
          <w:rFonts w:ascii="Book Antiqua" w:eastAsia="SimSun" w:hAnsi="Book Antiqua" w:cs="SimSun"/>
          <w:sz w:val="24"/>
          <w:szCs w:val="24"/>
          <w:lang w:eastAsia="zh-CN"/>
        </w:rPr>
        <w:t>: 2784-2796 [PMID: 27247222 DOI: 10.1200/JCO.2016.67.1412]</w:t>
      </w:r>
    </w:p>
    <w:p w14:paraId="75B9AFBE"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13 </w:t>
      </w:r>
      <w:r w:rsidRPr="007B09E8">
        <w:rPr>
          <w:rFonts w:ascii="Book Antiqua" w:eastAsia="SimSun" w:hAnsi="Book Antiqua" w:cs="SimSun"/>
          <w:b/>
          <w:bCs/>
          <w:sz w:val="24"/>
          <w:szCs w:val="24"/>
          <w:lang w:eastAsia="zh-CN"/>
        </w:rPr>
        <w:t>Ducreux M</w:t>
      </w:r>
      <w:r w:rsidRPr="007B09E8">
        <w:rPr>
          <w:rFonts w:ascii="Book Antiqua" w:eastAsia="SimSun" w:hAnsi="Book Antiqua" w:cs="SimSun"/>
          <w:sz w:val="24"/>
          <w:szCs w:val="24"/>
          <w:lang w:eastAsia="zh-CN"/>
        </w:rPr>
        <w:t xml:space="preserve">, Cuhna AS, Caramella C, Hollebecque A, Burtin P, Goéré D, Seufferlein T, Haustermans K, Van Laethem JL, Conroy T, Arnold D. Cancer of the pancreas: ESMO </w:t>
      </w:r>
      <w:r w:rsidRPr="007B09E8">
        <w:rPr>
          <w:rFonts w:ascii="Book Antiqua" w:eastAsia="SimSun" w:hAnsi="Book Antiqua" w:cs="SimSun"/>
          <w:sz w:val="24"/>
          <w:szCs w:val="24"/>
          <w:lang w:eastAsia="zh-CN"/>
        </w:rPr>
        <w:lastRenderedPageBreak/>
        <w:t>Clinical Practice Guidelines for diagnosis, treatment and follow-up. </w:t>
      </w:r>
      <w:r w:rsidRPr="007B09E8">
        <w:rPr>
          <w:rFonts w:ascii="Book Antiqua" w:eastAsia="SimSun" w:hAnsi="Book Antiqua" w:cs="SimSun"/>
          <w:i/>
          <w:iCs/>
          <w:sz w:val="24"/>
          <w:szCs w:val="24"/>
          <w:lang w:eastAsia="zh-CN"/>
        </w:rPr>
        <w:t>Ann Oncol</w:t>
      </w:r>
      <w:r w:rsidRPr="007B09E8">
        <w:rPr>
          <w:rFonts w:ascii="Book Antiqua" w:eastAsia="SimSun" w:hAnsi="Book Antiqua" w:cs="SimSun"/>
          <w:sz w:val="24"/>
          <w:szCs w:val="24"/>
          <w:lang w:eastAsia="zh-CN"/>
        </w:rPr>
        <w:t> 2015; </w:t>
      </w:r>
      <w:r w:rsidRPr="007B09E8">
        <w:rPr>
          <w:rFonts w:ascii="Book Antiqua" w:eastAsia="SimSun" w:hAnsi="Book Antiqua" w:cs="SimSun"/>
          <w:b/>
          <w:bCs/>
          <w:sz w:val="24"/>
          <w:szCs w:val="24"/>
          <w:lang w:eastAsia="zh-CN"/>
        </w:rPr>
        <w:t>26 Suppl 5</w:t>
      </w:r>
      <w:r w:rsidRPr="007B09E8">
        <w:rPr>
          <w:rFonts w:ascii="Book Antiqua" w:eastAsia="SimSun" w:hAnsi="Book Antiqua" w:cs="SimSun"/>
          <w:sz w:val="24"/>
          <w:szCs w:val="24"/>
          <w:lang w:eastAsia="zh-CN"/>
        </w:rPr>
        <w:t>: v56-v68 [PMID: 26314780 DOI: 10.1093/annonc/mdv295]</w:t>
      </w:r>
    </w:p>
    <w:p w14:paraId="6F981105"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14 </w:t>
      </w:r>
      <w:r w:rsidRPr="007B09E8">
        <w:rPr>
          <w:rFonts w:ascii="Book Antiqua" w:eastAsia="SimSun" w:hAnsi="Book Antiqua" w:cs="SimSun"/>
          <w:b/>
          <w:bCs/>
          <w:sz w:val="24"/>
          <w:szCs w:val="24"/>
          <w:lang w:eastAsia="zh-CN"/>
        </w:rPr>
        <w:t>Cherny NI</w:t>
      </w:r>
      <w:r w:rsidRPr="007B09E8">
        <w:rPr>
          <w:rFonts w:ascii="Book Antiqua" w:eastAsia="SimSun" w:hAnsi="Book Antiqua" w:cs="SimSun"/>
          <w:sz w:val="24"/>
          <w:szCs w:val="24"/>
          <w:lang w:eastAsia="zh-CN"/>
        </w:rPr>
        <w:t>, Sullivan R, Dafni U, Kerst JM, Sobrero A, Zielinski C, de Vries EG, Piccart MJ. A standardised, generic, validated approach to stratify the magnitude of clinical benefit that can be anticipated from anti-cancer therapies: the European Society for Medical Oncology Magnitude of Clinical Benefit Scale (ESMO-MCBS). </w:t>
      </w:r>
      <w:r w:rsidRPr="007B09E8">
        <w:rPr>
          <w:rFonts w:ascii="Book Antiqua" w:eastAsia="SimSun" w:hAnsi="Book Antiqua" w:cs="SimSun"/>
          <w:i/>
          <w:iCs/>
          <w:sz w:val="24"/>
          <w:szCs w:val="24"/>
          <w:lang w:eastAsia="zh-CN"/>
        </w:rPr>
        <w:t>Ann Oncol</w:t>
      </w:r>
      <w:r w:rsidRPr="007B09E8">
        <w:rPr>
          <w:rFonts w:ascii="Book Antiqua" w:eastAsia="SimSun" w:hAnsi="Book Antiqua" w:cs="SimSun"/>
          <w:sz w:val="24"/>
          <w:szCs w:val="24"/>
          <w:lang w:eastAsia="zh-CN"/>
        </w:rPr>
        <w:t> 2015; </w:t>
      </w:r>
      <w:r w:rsidRPr="007B09E8">
        <w:rPr>
          <w:rFonts w:ascii="Book Antiqua" w:eastAsia="SimSun" w:hAnsi="Book Antiqua" w:cs="SimSun"/>
          <w:b/>
          <w:bCs/>
          <w:sz w:val="24"/>
          <w:szCs w:val="24"/>
          <w:lang w:eastAsia="zh-CN"/>
        </w:rPr>
        <w:t>26</w:t>
      </w:r>
      <w:r w:rsidRPr="007B09E8">
        <w:rPr>
          <w:rFonts w:ascii="Book Antiqua" w:eastAsia="SimSun" w:hAnsi="Book Antiqua" w:cs="SimSun"/>
          <w:sz w:val="24"/>
          <w:szCs w:val="24"/>
          <w:lang w:eastAsia="zh-CN"/>
        </w:rPr>
        <w:t>: 1547-1573 [PMID: 26026162 DOI: 10.1093/annonc/mdv249]</w:t>
      </w:r>
    </w:p>
    <w:p w14:paraId="37D1D68B"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15 </w:t>
      </w:r>
      <w:r w:rsidRPr="007B09E8">
        <w:rPr>
          <w:rFonts w:ascii="Book Antiqua" w:eastAsia="SimSun" w:hAnsi="Book Antiqua" w:cs="SimSun"/>
          <w:b/>
          <w:bCs/>
          <w:sz w:val="24"/>
          <w:szCs w:val="24"/>
          <w:lang w:eastAsia="zh-CN"/>
        </w:rPr>
        <w:t>Chan K</w:t>
      </w:r>
      <w:r w:rsidRPr="007B09E8">
        <w:rPr>
          <w:rFonts w:ascii="Book Antiqua" w:eastAsia="SimSun" w:hAnsi="Book Antiqua" w:cs="SimSun"/>
          <w:sz w:val="24"/>
          <w:szCs w:val="24"/>
          <w:lang w:eastAsia="zh-CN"/>
        </w:rPr>
        <w:t>, Shah K, Lien K, Coyle D, Lam H, Ko YJ. A Bayesian meta-analysis of multiple treatment comparisons of systemic regimens for advanced pancreatic cancer. </w:t>
      </w:r>
      <w:r w:rsidRPr="007B09E8">
        <w:rPr>
          <w:rFonts w:ascii="Book Antiqua" w:eastAsia="SimSun" w:hAnsi="Book Antiqua" w:cs="SimSun"/>
          <w:i/>
          <w:iCs/>
          <w:sz w:val="24"/>
          <w:szCs w:val="24"/>
          <w:lang w:eastAsia="zh-CN"/>
        </w:rPr>
        <w:t>PLoS One</w:t>
      </w:r>
      <w:r w:rsidRPr="007B09E8">
        <w:rPr>
          <w:rFonts w:ascii="Book Antiqua" w:eastAsia="SimSun" w:hAnsi="Book Antiqua" w:cs="SimSun"/>
          <w:sz w:val="24"/>
          <w:szCs w:val="24"/>
          <w:lang w:eastAsia="zh-CN"/>
        </w:rPr>
        <w:t> 2014; </w:t>
      </w:r>
      <w:r w:rsidRPr="007B09E8">
        <w:rPr>
          <w:rFonts w:ascii="Book Antiqua" w:eastAsia="SimSun" w:hAnsi="Book Antiqua" w:cs="SimSun"/>
          <w:b/>
          <w:bCs/>
          <w:sz w:val="24"/>
          <w:szCs w:val="24"/>
          <w:lang w:eastAsia="zh-CN"/>
        </w:rPr>
        <w:t>9</w:t>
      </w:r>
      <w:r w:rsidRPr="007B09E8">
        <w:rPr>
          <w:rFonts w:ascii="Book Antiqua" w:eastAsia="SimSun" w:hAnsi="Book Antiqua" w:cs="SimSun"/>
          <w:sz w:val="24"/>
          <w:szCs w:val="24"/>
          <w:lang w:eastAsia="zh-CN"/>
        </w:rPr>
        <w:t>: e108749 [PMID: 25286060 DOI: 10.1371/journal.pone.0108749]</w:t>
      </w:r>
    </w:p>
    <w:p w14:paraId="0820515D"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16 </w:t>
      </w:r>
      <w:r w:rsidRPr="007B09E8">
        <w:rPr>
          <w:rFonts w:ascii="Book Antiqua" w:eastAsia="SimSun" w:hAnsi="Book Antiqua" w:cs="SimSun"/>
          <w:b/>
          <w:bCs/>
          <w:sz w:val="24"/>
          <w:szCs w:val="24"/>
          <w:lang w:eastAsia="zh-CN"/>
        </w:rPr>
        <w:t>Von Hoff DD</w:t>
      </w:r>
      <w:r w:rsidRPr="007B09E8">
        <w:rPr>
          <w:rFonts w:ascii="Book Antiqua" w:eastAsia="SimSun" w:hAnsi="Book Antiqua" w:cs="SimSun"/>
          <w:sz w:val="24"/>
          <w:szCs w:val="24"/>
          <w:lang w:eastAsia="zh-CN"/>
        </w:rPr>
        <w:t>,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7B09E8">
        <w:rPr>
          <w:rFonts w:ascii="Book Antiqua" w:eastAsia="SimSun" w:hAnsi="Book Antiqua" w:cs="SimSun"/>
          <w:i/>
          <w:iCs/>
          <w:sz w:val="24"/>
          <w:szCs w:val="24"/>
          <w:lang w:eastAsia="zh-CN"/>
        </w:rPr>
        <w:t>J Clin Oncol</w:t>
      </w:r>
      <w:r w:rsidRPr="007B09E8">
        <w:rPr>
          <w:rFonts w:ascii="Book Antiqua" w:eastAsia="SimSun" w:hAnsi="Book Antiqua" w:cs="SimSun"/>
          <w:sz w:val="24"/>
          <w:szCs w:val="24"/>
          <w:lang w:eastAsia="zh-CN"/>
        </w:rPr>
        <w:t> 2011; </w:t>
      </w:r>
      <w:r w:rsidRPr="007B09E8">
        <w:rPr>
          <w:rFonts w:ascii="Book Antiqua" w:eastAsia="SimSun" w:hAnsi="Book Antiqua" w:cs="SimSun"/>
          <w:b/>
          <w:bCs/>
          <w:sz w:val="24"/>
          <w:szCs w:val="24"/>
          <w:lang w:eastAsia="zh-CN"/>
        </w:rPr>
        <w:t>29</w:t>
      </w:r>
      <w:r w:rsidRPr="007B09E8">
        <w:rPr>
          <w:rFonts w:ascii="Book Antiqua" w:eastAsia="SimSun" w:hAnsi="Book Antiqua" w:cs="SimSun"/>
          <w:sz w:val="24"/>
          <w:szCs w:val="24"/>
          <w:lang w:eastAsia="zh-CN"/>
        </w:rPr>
        <w:t>: 4548-4554 [PMID: 21969517 DOI: 10.1200/JCO.2011.36.5742]</w:t>
      </w:r>
    </w:p>
    <w:p w14:paraId="5ADE1F78"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17 </w:t>
      </w:r>
      <w:r w:rsidRPr="007B09E8">
        <w:rPr>
          <w:rFonts w:ascii="Book Antiqua" w:eastAsia="SimSun" w:hAnsi="Book Antiqua" w:cs="SimSun"/>
          <w:b/>
          <w:bCs/>
          <w:sz w:val="24"/>
          <w:szCs w:val="24"/>
          <w:lang w:eastAsia="zh-CN"/>
        </w:rPr>
        <w:t>Tehfe M</w:t>
      </w:r>
      <w:r w:rsidRPr="007B09E8">
        <w:rPr>
          <w:rFonts w:ascii="Book Antiqua" w:eastAsia="SimSun" w:hAnsi="Book Antiqua" w:cs="SimSun"/>
          <w:sz w:val="24"/>
          <w:szCs w:val="24"/>
          <w:lang w:eastAsia="zh-CN"/>
        </w:rPr>
        <w:t>, Dowden S, Kennecke H, El-Maraghi R, Lesperance B, Couture F, Letourneau R, Liu H, Romano A. nab-Paclitaxel Plus Gemcitabine Versus Gemcitabine in Patients with Metastatic Pancreatic Adenocarcinoma: Canadian Subgroup Analysis of the Phase 3 MPACT Trial. </w:t>
      </w:r>
      <w:r w:rsidRPr="007B09E8">
        <w:rPr>
          <w:rFonts w:ascii="Book Antiqua" w:eastAsia="SimSun" w:hAnsi="Book Antiqua" w:cs="SimSun"/>
          <w:i/>
          <w:iCs/>
          <w:sz w:val="24"/>
          <w:szCs w:val="24"/>
          <w:lang w:eastAsia="zh-CN"/>
        </w:rPr>
        <w:t>Adv Ther</w:t>
      </w:r>
      <w:r w:rsidRPr="007B09E8">
        <w:rPr>
          <w:rFonts w:ascii="Book Antiqua" w:eastAsia="SimSun" w:hAnsi="Book Antiqua" w:cs="SimSun"/>
          <w:sz w:val="24"/>
          <w:szCs w:val="24"/>
          <w:lang w:eastAsia="zh-CN"/>
        </w:rPr>
        <w:t> 2016; </w:t>
      </w:r>
      <w:r w:rsidRPr="007B09E8">
        <w:rPr>
          <w:rFonts w:ascii="Book Antiqua" w:eastAsia="SimSun" w:hAnsi="Book Antiqua" w:cs="SimSun"/>
          <w:b/>
          <w:bCs/>
          <w:sz w:val="24"/>
          <w:szCs w:val="24"/>
          <w:lang w:eastAsia="zh-CN"/>
        </w:rPr>
        <w:t>33</w:t>
      </w:r>
      <w:r w:rsidRPr="007B09E8">
        <w:rPr>
          <w:rFonts w:ascii="Book Antiqua" w:eastAsia="SimSun" w:hAnsi="Book Antiqua" w:cs="SimSun"/>
          <w:sz w:val="24"/>
          <w:szCs w:val="24"/>
          <w:lang w:eastAsia="zh-CN"/>
        </w:rPr>
        <w:t>: 747-759 [PMID: 27085323 DOI: 10.1007/s12325-016-0327-4]</w:t>
      </w:r>
    </w:p>
    <w:p w14:paraId="166A31C3"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18</w:t>
      </w:r>
      <w:bookmarkStart w:id="76" w:name="OLE_LINK954"/>
      <w:bookmarkStart w:id="77" w:name="OLE_LINK955"/>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b/>
          <w:sz w:val="24"/>
          <w:szCs w:val="24"/>
          <w:lang w:eastAsia="zh-CN"/>
        </w:rPr>
        <w:t>Patel L</w:t>
      </w:r>
      <w:r w:rsidRPr="007B09E8">
        <w:rPr>
          <w:rFonts w:ascii="Book Antiqua" w:eastAsia="SimSun" w:hAnsi="Book Antiqua" w:cs="SimSun"/>
          <w:sz w:val="24"/>
          <w:szCs w:val="24"/>
          <w:lang w:eastAsia="zh-CN"/>
        </w:rPr>
        <w:t xml:space="preserve">, Hollmann S, Attard C, Maroun J. Real-world experience with FOLFIRINOX: A review of Canadian and international registries. </w:t>
      </w:r>
      <w:bookmarkEnd w:id="76"/>
      <w:bookmarkEnd w:id="77"/>
      <w:r w:rsidRPr="007B09E8">
        <w:rPr>
          <w:rFonts w:ascii="Book Antiqua" w:eastAsia="SimSun" w:hAnsi="Book Antiqua" w:cs="SimSun"/>
          <w:i/>
          <w:sz w:val="24"/>
          <w:szCs w:val="24"/>
          <w:lang w:eastAsia="zh-CN"/>
        </w:rPr>
        <w:t>Oncol</w:t>
      </w:r>
      <w:r w:rsidRPr="007B09E8">
        <w:rPr>
          <w:rFonts w:ascii="Book Antiqua" w:eastAsia="SimSun" w:hAnsi="Book Antiqua" w:cs="SimSun" w:hint="eastAsia"/>
          <w:i/>
          <w:sz w:val="24"/>
          <w:szCs w:val="24"/>
          <w:lang w:eastAsia="zh-CN"/>
        </w:rPr>
        <w:t xml:space="preserve"> </w:t>
      </w:r>
      <w:r w:rsidRPr="007B09E8">
        <w:rPr>
          <w:rFonts w:ascii="Book Antiqua" w:eastAsia="SimSun" w:hAnsi="Book Antiqua" w:cs="SimSun"/>
          <w:i/>
          <w:sz w:val="24"/>
          <w:szCs w:val="24"/>
          <w:lang w:eastAsia="zh-CN"/>
        </w:rPr>
        <w:t>Exc</w:t>
      </w:r>
      <w:r w:rsidRPr="007B09E8">
        <w:rPr>
          <w:rFonts w:ascii="Book Antiqua" w:eastAsia="SimSun" w:hAnsi="Book Antiqua" w:cs="SimSun" w:hint="eastAsia"/>
          <w:i/>
          <w:sz w:val="24"/>
          <w:szCs w:val="24"/>
          <w:lang w:eastAsia="zh-CN"/>
        </w:rPr>
        <w:t xml:space="preserve"> </w:t>
      </w:r>
      <w:r w:rsidRPr="007B09E8">
        <w:rPr>
          <w:rFonts w:ascii="Book Antiqua" w:eastAsia="SimSun" w:hAnsi="Book Antiqua" w:cs="SimSun"/>
          <w:sz w:val="24"/>
          <w:szCs w:val="24"/>
          <w:lang w:eastAsia="zh-CN"/>
        </w:rPr>
        <w:t>2014</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b/>
          <w:sz w:val="24"/>
          <w:szCs w:val="24"/>
          <w:lang w:eastAsia="zh-CN"/>
        </w:rPr>
        <w:t>13</w:t>
      </w:r>
      <w:r w:rsidRPr="007B09E8">
        <w:rPr>
          <w:rFonts w:ascii="Book Antiqua" w:eastAsia="SimSun" w:hAnsi="Book Antiqua" w:cs="SimSun" w:hint="eastAsia"/>
          <w:sz w:val="24"/>
          <w:szCs w:val="24"/>
          <w:lang w:eastAsia="zh-CN"/>
        </w:rPr>
        <w:t>: 18-23</w:t>
      </w:r>
    </w:p>
    <w:p w14:paraId="0303C04A"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19 </w:t>
      </w:r>
      <w:r w:rsidRPr="007B09E8">
        <w:rPr>
          <w:rFonts w:ascii="Book Antiqua" w:eastAsia="SimSun" w:hAnsi="Book Antiqua" w:cs="SimSun"/>
          <w:b/>
          <w:bCs/>
          <w:sz w:val="24"/>
          <w:szCs w:val="24"/>
          <w:lang w:eastAsia="zh-CN"/>
        </w:rPr>
        <w:t>Gourgou-Bourgade S</w:t>
      </w:r>
      <w:r w:rsidRPr="007B09E8">
        <w:rPr>
          <w:rFonts w:ascii="Book Antiqua" w:eastAsia="SimSun" w:hAnsi="Book Antiqua" w:cs="SimSun"/>
          <w:sz w:val="24"/>
          <w:szCs w:val="24"/>
          <w:lang w:eastAsia="zh-CN"/>
        </w:rPr>
        <w:t>, Bascoul-Mollevi C, Desseigne F, Ychou M, Bouché O, Guimbaud R, Bécouarn Y, Adenis A, Raoul JL, Boige V, Bérille J, Conroy T. Impact of FOLFIRINOX compared with gemcitabine on quality of life in patients with metastatic pancreatic cancer: results from the PRODIGE 4/ACCORD 11 randomized trial. </w:t>
      </w:r>
      <w:r w:rsidRPr="007B09E8">
        <w:rPr>
          <w:rFonts w:ascii="Book Antiqua" w:eastAsia="SimSun" w:hAnsi="Book Antiqua" w:cs="SimSun"/>
          <w:i/>
          <w:iCs/>
          <w:sz w:val="24"/>
          <w:szCs w:val="24"/>
          <w:lang w:eastAsia="zh-CN"/>
        </w:rPr>
        <w:t>J Clin Oncol</w:t>
      </w:r>
      <w:r w:rsidRPr="007B09E8">
        <w:rPr>
          <w:rFonts w:ascii="Book Antiqua" w:eastAsia="SimSun" w:hAnsi="Book Antiqua" w:cs="SimSun"/>
          <w:sz w:val="24"/>
          <w:szCs w:val="24"/>
          <w:lang w:eastAsia="zh-CN"/>
        </w:rPr>
        <w:t> 2013; </w:t>
      </w:r>
      <w:r w:rsidRPr="007B09E8">
        <w:rPr>
          <w:rFonts w:ascii="Book Antiqua" w:eastAsia="SimSun" w:hAnsi="Book Antiqua" w:cs="SimSun"/>
          <w:b/>
          <w:bCs/>
          <w:sz w:val="24"/>
          <w:szCs w:val="24"/>
          <w:lang w:eastAsia="zh-CN"/>
        </w:rPr>
        <w:t>31</w:t>
      </w:r>
      <w:r w:rsidRPr="007B09E8">
        <w:rPr>
          <w:rFonts w:ascii="Book Antiqua" w:eastAsia="SimSun" w:hAnsi="Book Antiqua" w:cs="SimSun"/>
          <w:sz w:val="24"/>
          <w:szCs w:val="24"/>
          <w:lang w:eastAsia="zh-CN"/>
        </w:rPr>
        <w:t>: 23-29 [PMID: 23213101 DOI: 10.1200/JCO.2012.44.4869]</w:t>
      </w:r>
    </w:p>
    <w:p w14:paraId="44F0FD87" w14:textId="65CFD1B6" w:rsidR="000434A9" w:rsidRPr="007B09E8" w:rsidRDefault="000434A9" w:rsidP="000434A9">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20</w:t>
      </w:r>
      <w:r w:rsidRPr="007B09E8">
        <w:rPr>
          <w:rFonts w:ascii="Book Antiqua" w:eastAsia="SimSun" w:hAnsi="Book Antiqua" w:cs="SimSun"/>
          <w:b/>
          <w:bCs/>
          <w:sz w:val="24"/>
          <w:szCs w:val="24"/>
          <w:lang w:eastAsia="zh-CN"/>
        </w:rPr>
        <w:t xml:space="preserve"> Stein SM</w:t>
      </w:r>
      <w:r w:rsidRPr="007B09E8">
        <w:rPr>
          <w:rFonts w:ascii="Book Antiqua" w:eastAsia="SimSun" w:hAnsi="Book Antiqua" w:cs="SimSun"/>
          <w:sz w:val="24"/>
          <w:szCs w:val="24"/>
          <w:lang w:eastAsia="zh-CN"/>
        </w:rPr>
        <w:t xml:space="preserve">, James ES, Deng Y, Cong X, Kortmansky JS, Li J, Staugaard C, Indukala D, Boustani AM, Patel V, Cha CH, Salem RR, Chang B, Hochster HS, Lacy J. Final analysis </w:t>
      </w:r>
      <w:r w:rsidRPr="007B09E8">
        <w:rPr>
          <w:rFonts w:ascii="Book Antiqua" w:eastAsia="SimSun" w:hAnsi="Book Antiqua" w:cs="SimSun"/>
          <w:sz w:val="24"/>
          <w:szCs w:val="24"/>
          <w:lang w:eastAsia="zh-CN"/>
        </w:rPr>
        <w:lastRenderedPageBreak/>
        <w:t>of a phase II study of modified FOLFIRINOX in locally advanced and metastatic pancreatic cancer. </w:t>
      </w:r>
      <w:r w:rsidRPr="007B09E8">
        <w:rPr>
          <w:rFonts w:ascii="Book Antiqua" w:eastAsia="SimSun" w:hAnsi="Book Antiqua" w:cs="SimSun"/>
          <w:i/>
          <w:iCs/>
          <w:sz w:val="24"/>
          <w:szCs w:val="24"/>
          <w:lang w:eastAsia="zh-CN"/>
        </w:rPr>
        <w:t>Br J Cancer</w:t>
      </w:r>
      <w:r w:rsidRPr="007B09E8">
        <w:rPr>
          <w:rFonts w:ascii="Book Antiqua" w:eastAsia="SimSun" w:hAnsi="Book Antiqua" w:cs="SimSun"/>
          <w:sz w:val="24"/>
          <w:szCs w:val="24"/>
          <w:lang w:eastAsia="zh-CN"/>
        </w:rPr>
        <w:t> 2016; </w:t>
      </w:r>
      <w:r w:rsidRPr="007B09E8">
        <w:rPr>
          <w:rFonts w:ascii="Book Antiqua" w:eastAsia="SimSun" w:hAnsi="Book Antiqua" w:cs="SimSun"/>
          <w:b/>
          <w:bCs/>
          <w:sz w:val="24"/>
          <w:szCs w:val="24"/>
          <w:lang w:eastAsia="zh-CN"/>
        </w:rPr>
        <w:t>114</w:t>
      </w:r>
      <w:r w:rsidRPr="007B09E8">
        <w:rPr>
          <w:rFonts w:ascii="Book Antiqua" w:eastAsia="SimSun" w:hAnsi="Book Antiqua" w:cs="SimSun"/>
          <w:sz w:val="24"/>
          <w:szCs w:val="24"/>
          <w:lang w:eastAsia="zh-CN"/>
        </w:rPr>
        <w:t>: 737-743 [PMID: 27022826 DOI: 10.1038/bjc.2016.45]</w:t>
      </w:r>
    </w:p>
    <w:p w14:paraId="6C3AEC7F" w14:textId="48CE8794" w:rsidR="000434A9" w:rsidRPr="007B09E8" w:rsidRDefault="000434A9" w:rsidP="000434A9">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21 </w:t>
      </w:r>
      <w:r w:rsidRPr="007B09E8">
        <w:rPr>
          <w:rFonts w:ascii="Book Antiqua" w:eastAsia="SimSun" w:hAnsi="Book Antiqua" w:cs="SimSun"/>
          <w:b/>
          <w:bCs/>
          <w:sz w:val="24"/>
          <w:szCs w:val="24"/>
          <w:lang w:eastAsia="zh-CN"/>
        </w:rPr>
        <w:t>Mahaseth H</w:t>
      </w:r>
      <w:r w:rsidRPr="007B09E8">
        <w:rPr>
          <w:rFonts w:ascii="Book Antiqua" w:eastAsia="SimSun" w:hAnsi="Book Antiqua" w:cs="SimSun"/>
          <w:sz w:val="24"/>
          <w:szCs w:val="24"/>
          <w:lang w:eastAsia="zh-CN"/>
        </w:rPr>
        <w:t>, Brutcher E, Kauh J, Hawk N, Kim S, Chen Z, Kooby DA, Maithel SK, Landry J, El-Rayes BF. Modified FOLFIRINOX regimen with improved safety and maintained efficacy in pancreatic adenocarcinoma.</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i/>
          <w:iCs/>
          <w:sz w:val="24"/>
          <w:szCs w:val="24"/>
          <w:lang w:eastAsia="zh-CN"/>
        </w:rPr>
        <w:t>Pancreas</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sz w:val="24"/>
          <w:szCs w:val="24"/>
          <w:lang w:eastAsia="zh-CN"/>
        </w:rPr>
        <w:t>2013;</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b/>
          <w:bCs/>
          <w:sz w:val="24"/>
          <w:szCs w:val="24"/>
          <w:lang w:eastAsia="zh-CN"/>
        </w:rPr>
        <w:t>42</w:t>
      </w:r>
      <w:r w:rsidRPr="007B09E8">
        <w:rPr>
          <w:rFonts w:ascii="Book Antiqua" w:eastAsia="SimSun" w:hAnsi="Book Antiqua" w:cs="SimSun"/>
          <w:sz w:val="24"/>
          <w:szCs w:val="24"/>
          <w:lang w:eastAsia="zh-CN"/>
        </w:rPr>
        <w:t>: 1311-1315 [PMID: 24152956 DOI: 10.1097/MPA.0b013e31829e2006]</w:t>
      </w:r>
    </w:p>
    <w:p w14:paraId="2B8FB6C7" w14:textId="1CB78E9A" w:rsidR="000434A9" w:rsidRPr="007B09E8" w:rsidRDefault="000434A9" w:rsidP="000434A9">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22 </w:t>
      </w:r>
      <w:r w:rsidRPr="007B09E8">
        <w:rPr>
          <w:rFonts w:ascii="Book Antiqua" w:eastAsia="SimSun" w:hAnsi="Book Antiqua" w:cs="SimSun"/>
          <w:b/>
          <w:bCs/>
          <w:sz w:val="24"/>
          <w:szCs w:val="24"/>
          <w:lang w:eastAsia="zh-CN"/>
        </w:rPr>
        <w:t>Ghorani E</w:t>
      </w:r>
      <w:r w:rsidRPr="007B09E8">
        <w:rPr>
          <w:rFonts w:ascii="Book Antiqua" w:eastAsia="SimSun" w:hAnsi="Book Antiqua" w:cs="SimSun"/>
          <w:sz w:val="24"/>
          <w:szCs w:val="24"/>
          <w:lang w:eastAsia="zh-CN"/>
        </w:rPr>
        <w:t>, Wong HH, Hewitt C, Calder J, Corrie P, Basu B. Safety and Efficacy of Modified FOLFIRINOX for Advanced Pancreatic Adenocarcinoma: A UK Single-Centre Experience. </w:t>
      </w:r>
      <w:r w:rsidRPr="007B09E8">
        <w:rPr>
          <w:rFonts w:ascii="Book Antiqua" w:eastAsia="SimSun" w:hAnsi="Book Antiqua" w:cs="SimSun"/>
          <w:i/>
          <w:iCs/>
          <w:sz w:val="24"/>
          <w:szCs w:val="24"/>
          <w:lang w:eastAsia="zh-CN"/>
        </w:rPr>
        <w:t>Oncology</w:t>
      </w:r>
      <w:r w:rsidRPr="007B09E8">
        <w:rPr>
          <w:rFonts w:ascii="Book Antiqua" w:eastAsia="SimSun" w:hAnsi="Book Antiqua" w:cs="SimSun"/>
          <w:sz w:val="24"/>
          <w:szCs w:val="24"/>
          <w:lang w:eastAsia="zh-CN"/>
        </w:rPr>
        <w:t> 2015; </w:t>
      </w:r>
      <w:r w:rsidRPr="007B09E8">
        <w:rPr>
          <w:rFonts w:ascii="Book Antiqua" w:eastAsia="SimSun" w:hAnsi="Book Antiqua" w:cs="SimSun"/>
          <w:b/>
          <w:bCs/>
          <w:sz w:val="24"/>
          <w:szCs w:val="24"/>
          <w:lang w:eastAsia="zh-CN"/>
        </w:rPr>
        <w:t>89</w:t>
      </w:r>
      <w:r w:rsidRPr="007B09E8">
        <w:rPr>
          <w:rFonts w:ascii="Book Antiqua" w:eastAsia="SimSun" w:hAnsi="Book Antiqua" w:cs="SimSun"/>
          <w:sz w:val="24"/>
          <w:szCs w:val="24"/>
          <w:lang w:eastAsia="zh-CN"/>
        </w:rPr>
        <w:t>: 281-287 [PMID: 26372905 DOI: 10.1159/000439171]</w:t>
      </w:r>
    </w:p>
    <w:p w14:paraId="4363C6D6" w14:textId="3DF2F558" w:rsidR="000434A9" w:rsidRPr="007B09E8" w:rsidRDefault="000434A9" w:rsidP="000434A9">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23</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b/>
          <w:sz w:val="24"/>
          <w:szCs w:val="24"/>
          <w:lang w:eastAsia="zh-CN"/>
        </w:rPr>
        <w:t>Krishna K</w:t>
      </w:r>
      <w:r w:rsidRPr="007B09E8">
        <w:rPr>
          <w:rFonts w:ascii="Book Antiqua" w:eastAsia="SimSun" w:hAnsi="Book Antiqua" w:cs="SimSun"/>
          <w:sz w:val="24"/>
          <w:szCs w:val="24"/>
          <w:lang w:eastAsia="zh-CN"/>
        </w:rPr>
        <w:t>, Blazer MA, Wei L, Ahn DH, Wu CS, Ciombor KK, Mikhail S, Noonan AM, Goldberg RM, Bekaii-Saab TS. Modified gemcitabine and nab-paclitaxel in patients with metastatic pancreatic cancer (MPC): A single-institution experience.</w:t>
      </w:r>
      <w:r w:rsidRPr="007B09E8">
        <w:rPr>
          <w:rFonts w:ascii="Calibri" w:eastAsia="MS Mincho" w:hAnsi="Calibri" w:cs="Times New Roman"/>
          <w:lang w:eastAsia="de-DE"/>
        </w:rPr>
        <w:t xml:space="preserve"> </w:t>
      </w:r>
      <w:r w:rsidRPr="007B09E8">
        <w:rPr>
          <w:rFonts w:ascii="Book Antiqua" w:eastAsia="SimSun" w:hAnsi="Book Antiqua" w:cs="SimSun"/>
          <w:i/>
          <w:sz w:val="24"/>
          <w:szCs w:val="24"/>
          <w:lang w:eastAsia="zh-CN"/>
        </w:rPr>
        <w:t>J</w:t>
      </w:r>
      <w:r w:rsidRPr="007B09E8">
        <w:rPr>
          <w:rFonts w:ascii="Book Antiqua" w:eastAsia="SimSun" w:hAnsi="Book Antiqua" w:cs="SimSun" w:hint="eastAsia"/>
          <w:i/>
          <w:sz w:val="24"/>
          <w:szCs w:val="24"/>
          <w:lang w:eastAsia="zh-CN"/>
        </w:rPr>
        <w:t xml:space="preserve"> </w:t>
      </w:r>
      <w:r w:rsidRPr="007B09E8">
        <w:rPr>
          <w:rFonts w:ascii="Book Antiqua" w:eastAsia="SimSun" w:hAnsi="Book Antiqua" w:cs="SimSun"/>
          <w:i/>
          <w:sz w:val="24"/>
          <w:szCs w:val="24"/>
          <w:lang w:eastAsia="zh-CN"/>
        </w:rPr>
        <w:t>Clin</w:t>
      </w:r>
      <w:r w:rsidRPr="007B09E8">
        <w:rPr>
          <w:rFonts w:ascii="Book Antiqua" w:eastAsia="SimSun" w:hAnsi="Book Antiqua" w:cs="SimSun" w:hint="eastAsia"/>
          <w:i/>
          <w:sz w:val="24"/>
          <w:szCs w:val="24"/>
          <w:lang w:eastAsia="zh-CN"/>
        </w:rPr>
        <w:t xml:space="preserve"> </w:t>
      </w:r>
      <w:r w:rsidRPr="007B09E8">
        <w:rPr>
          <w:rFonts w:ascii="Book Antiqua" w:eastAsia="SimSun" w:hAnsi="Book Antiqua" w:cs="SimSun"/>
          <w:i/>
          <w:sz w:val="24"/>
          <w:szCs w:val="24"/>
          <w:lang w:eastAsia="zh-CN"/>
        </w:rPr>
        <w:t>Oncol</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sz w:val="24"/>
          <w:szCs w:val="24"/>
          <w:lang w:eastAsia="zh-CN"/>
        </w:rPr>
        <w:t>20</w:t>
      </w:r>
      <w:r w:rsidRPr="007B09E8">
        <w:rPr>
          <w:rFonts w:ascii="Book Antiqua" w:eastAsia="SimSun" w:hAnsi="Book Antiqua" w:cs="SimSun" w:hint="eastAsia"/>
          <w:sz w:val="24"/>
          <w:szCs w:val="24"/>
          <w:lang w:eastAsia="zh-CN"/>
        </w:rPr>
        <w:t xml:space="preserve">15; </w:t>
      </w:r>
      <w:r w:rsidRPr="007B09E8">
        <w:rPr>
          <w:rFonts w:ascii="Book Antiqua" w:eastAsia="SimSun" w:hAnsi="Book Antiqua" w:cs="SimSun"/>
          <w:b/>
          <w:sz w:val="24"/>
          <w:szCs w:val="24"/>
          <w:lang w:eastAsia="zh-CN"/>
        </w:rPr>
        <w:t>33</w:t>
      </w:r>
      <w:r w:rsidRPr="007B09E8">
        <w:rPr>
          <w:rFonts w:ascii="Book Antiqua" w:eastAsia="SimSun" w:hAnsi="Book Antiqua" w:cs="SimSun" w:hint="eastAsia"/>
          <w:sz w:val="24"/>
          <w:szCs w:val="24"/>
          <w:lang w:eastAsia="zh-CN"/>
        </w:rPr>
        <w:t xml:space="preserve">: </w:t>
      </w:r>
      <w:r w:rsidRPr="007B09E8">
        <w:rPr>
          <w:rFonts w:ascii="Book Antiqua" w:eastAsia="SimSun" w:hAnsi="Book Antiqua" w:cs="SimSun"/>
          <w:sz w:val="24"/>
          <w:szCs w:val="24"/>
          <w:lang w:eastAsia="zh-CN"/>
        </w:rPr>
        <w:t>366</w:t>
      </w:r>
    </w:p>
    <w:p w14:paraId="41F47E12" w14:textId="070B125D" w:rsidR="007C190C" w:rsidRPr="007B09E8" w:rsidRDefault="007C190C" w:rsidP="000434A9">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w:t>
      </w:r>
      <w:r w:rsidR="000434A9" w:rsidRPr="007B09E8">
        <w:rPr>
          <w:rFonts w:ascii="Book Antiqua" w:eastAsia="SimSun" w:hAnsi="Book Antiqua" w:cs="SimSun"/>
          <w:sz w:val="24"/>
          <w:szCs w:val="24"/>
          <w:lang w:eastAsia="zh-CN"/>
        </w:rPr>
        <w:t>4</w:t>
      </w:r>
      <w:r w:rsidRPr="007B09E8">
        <w:rPr>
          <w:rFonts w:ascii="Book Antiqua" w:eastAsia="SimSun" w:hAnsi="Book Antiqua" w:cs="SimSun"/>
          <w:sz w:val="24"/>
          <w:szCs w:val="24"/>
          <w:lang w:eastAsia="zh-CN"/>
        </w:rPr>
        <w:t> </w:t>
      </w:r>
      <w:r w:rsidRPr="007B09E8">
        <w:rPr>
          <w:rFonts w:ascii="Book Antiqua" w:eastAsia="SimSun" w:hAnsi="Book Antiqua" w:cs="SimSun"/>
          <w:b/>
          <w:bCs/>
          <w:sz w:val="24"/>
          <w:szCs w:val="24"/>
          <w:lang w:eastAsia="zh-CN"/>
        </w:rPr>
        <w:t>Chiorean EG</w:t>
      </w:r>
      <w:r w:rsidRPr="007B09E8">
        <w:rPr>
          <w:rFonts w:ascii="Book Antiqua" w:eastAsia="SimSun" w:hAnsi="Book Antiqua" w:cs="SimSun"/>
          <w:sz w:val="24"/>
          <w:szCs w:val="24"/>
          <w:lang w:eastAsia="zh-CN"/>
        </w:rPr>
        <w:t>, Von Hoff DD, Tabernero J, El-Maraghi R, Ma WW, Reni M, Harris M, Whorf R, Liu H, Li JS, Manax V, Romano A, Lu B, Goldstein D. Second-line therapy after nab-paclitaxel plus gemcitabine or after gemcitabine for patients with metastatic pancreatic cancer. </w:t>
      </w:r>
      <w:r w:rsidRPr="007B09E8">
        <w:rPr>
          <w:rFonts w:ascii="Book Antiqua" w:eastAsia="SimSun" w:hAnsi="Book Antiqua" w:cs="SimSun"/>
          <w:i/>
          <w:iCs/>
          <w:sz w:val="24"/>
          <w:szCs w:val="24"/>
          <w:lang w:eastAsia="zh-CN"/>
        </w:rPr>
        <w:t>Br J Cancer</w:t>
      </w:r>
      <w:r w:rsidRPr="007B09E8">
        <w:rPr>
          <w:rFonts w:ascii="Book Antiqua" w:eastAsia="SimSun" w:hAnsi="Book Antiqua" w:cs="SimSun"/>
          <w:sz w:val="24"/>
          <w:szCs w:val="24"/>
          <w:lang w:eastAsia="zh-CN"/>
        </w:rPr>
        <w:t> 2016; </w:t>
      </w:r>
      <w:r w:rsidRPr="007B09E8">
        <w:rPr>
          <w:rFonts w:ascii="Book Antiqua" w:eastAsia="SimSun" w:hAnsi="Book Antiqua" w:cs="SimSun"/>
          <w:b/>
          <w:bCs/>
          <w:sz w:val="24"/>
          <w:szCs w:val="24"/>
          <w:lang w:eastAsia="zh-CN"/>
        </w:rPr>
        <w:t>115</w:t>
      </w:r>
      <w:r w:rsidRPr="007B09E8">
        <w:rPr>
          <w:rFonts w:ascii="Book Antiqua" w:eastAsia="SimSun" w:hAnsi="Book Antiqua" w:cs="SimSun"/>
          <w:sz w:val="24"/>
          <w:szCs w:val="24"/>
          <w:lang w:eastAsia="zh-CN"/>
        </w:rPr>
        <w:t>: 188-194 [PMID: 27351217 DOI: 10.1038/bjc.2016.185]</w:t>
      </w:r>
    </w:p>
    <w:p w14:paraId="5B95524E" w14:textId="36CB6A93" w:rsidR="007C190C" w:rsidRPr="007B09E8" w:rsidRDefault="000434A9"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25</w:t>
      </w:r>
      <w:r w:rsidR="007C190C" w:rsidRPr="007B09E8">
        <w:rPr>
          <w:rFonts w:ascii="Book Antiqua" w:eastAsia="SimSun" w:hAnsi="Book Antiqua" w:cs="SimSun"/>
          <w:sz w:val="24"/>
          <w:szCs w:val="24"/>
          <w:lang w:eastAsia="zh-CN"/>
        </w:rPr>
        <w:t> </w:t>
      </w:r>
      <w:r w:rsidR="007C190C" w:rsidRPr="007B09E8">
        <w:rPr>
          <w:rFonts w:ascii="Book Antiqua" w:eastAsia="SimSun" w:hAnsi="Book Antiqua" w:cs="SimSun"/>
          <w:b/>
          <w:bCs/>
          <w:sz w:val="24"/>
          <w:szCs w:val="24"/>
          <w:lang w:eastAsia="zh-CN"/>
        </w:rPr>
        <w:t>Portal A</w:t>
      </w:r>
      <w:r w:rsidR="007C190C" w:rsidRPr="007B09E8">
        <w:rPr>
          <w:rFonts w:ascii="Book Antiqua" w:eastAsia="SimSun" w:hAnsi="Book Antiqua" w:cs="SimSun"/>
          <w:sz w:val="24"/>
          <w:szCs w:val="24"/>
          <w:lang w:eastAsia="zh-CN"/>
        </w:rPr>
        <w:t>, Pernot S, Tougeron D, Arbaud C, Bidault AT, de la Fouchardière C, Hammel P, Lecomte T, Dréanic J, Coriat R, Bachet JB, Dubreuil O, Marthey L, Dahan L, Tchoundjeu B, Locher C, Lepère C, Bonnetain F, Taieb J. Nab-paclitaxel plus gemcitabine for metastatic pancreatic adenocarcinoma after Folfirinox failure: an AGEO prospective multicentre cohort. </w:t>
      </w:r>
      <w:r w:rsidR="007C190C" w:rsidRPr="007B09E8">
        <w:rPr>
          <w:rFonts w:ascii="Book Antiqua" w:eastAsia="SimSun" w:hAnsi="Book Antiqua" w:cs="SimSun"/>
          <w:i/>
          <w:iCs/>
          <w:sz w:val="24"/>
          <w:szCs w:val="24"/>
          <w:lang w:eastAsia="zh-CN"/>
        </w:rPr>
        <w:t>Br J Cancer</w:t>
      </w:r>
      <w:r w:rsidR="007C190C" w:rsidRPr="007B09E8">
        <w:rPr>
          <w:rFonts w:ascii="Book Antiqua" w:eastAsia="SimSun" w:hAnsi="Book Antiqua" w:cs="SimSun"/>
          <w:sz w:val="24"/>
          <w:szCs w:val="24"/>
          <w:lang w:eastAsia="zh-CN"/>
        </w:rPr>
        <w:t> 2015; </w:t>
      </w:r>
      <w:r w:rsidR="007C190C" w:rsidRPr="007B09E8">
        <w:rPr>
          <w:rFonts w:ascii="Book Antiqua" w:eastAsia="SimSun" w:hAnsi="Book Antiqua" w:cs="SimSun"/>
          <w:b/>
          <w:bCs/>
          <w:sz w:val="24"/>
          <w:szCs w:val="24"/>
          <w:lang w:eastAsia="zh-CN"/>
        </w:rPr>
        <w:t>113</w:t>
      </w:r>
      <w:r w:rsidR="007C190C" w:rsidRPr="007B09E8">
        <w:rPr>
          <w:rFonts w:ascii="Book Antiqua" w:eastAsia="SimSun" w:hAnsi="Book Antiqua" w:cs="SimSun"/>
          <w:sz w:val="24"/>
          <w:szCs w:val="24"/>
          <w:lang w:eastAsia="zh-CN"/>
        </w:rPr>
        <w:t>: 989-995 [PMID: 26372701</w:t>
      </w:r>
      <w:r w:rsidR="007C190C" w:rsidRPr="007B09E8">
        <w:rPr>
          <w:rFonts w:ascii="Book Antiqua" w:eastAsia="SimSun" w:hAnsi="Book Antiqua" w:cs="SimSun" w:hint="eastAsia"/>
          <w:sz w:val="24"/>
          <w:szCs w:val="24"/>
          <w:lang w:eastAsia="zh-CN"/>
        </w:rPr>
        <w:t xml:space="preserve"> </w:t>
      </w:r>
      <w:r w:rsidR="007C190C" w:rsidRPr="007B09E8">
        <w:rPr>
          <w:rFonts w:ascii="Book Antiqua" w:eastAsia="SimSun" w:hAnsi="Book Antiqua" w:cs="SimSun"/>
          <w:sz w:val="24"/>
          <w:szCs w:val="24"/>
          <w:lang w:eastAsia="zh-CN"/>
        </w:rPr>
        <w:t>DOI: 10.1038/bjc.2015.328]</w:t>
      </w:r>
    </w:p>
    <w:p w14:paraId="0A835C0C" w14:textId="342A72F8" w:rsidR="007C190C" w:rsidRPr="007B09E8" w:rsidRDefault="000434A9"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26</w:t>
      </w:r>
      <w:r w:rsidR="007C190C" w:rsidRPr="007B09E8">
        <w:rPr>
          <w:rFonts w:ascii="Book Antiqua" w:eastAsia="SimSun" w:hAnsi="Book Antiqua" w:cs="SimSun"/>
          <w:sz w:val="24"/>
          <w:szCs w:val="24"/>
          <w:lang w:eastAsia="zh-CN"/>
        </w:rPr>
        <w:t> </w:t>
      </w:r>
      <w:r w:rsidR="007C190C" w:rsidRPr="007B09E8">
        <w:rPr>
          <w:rFonts w:ascii="Book Antiqua" w:eastAsia="SimSun" w:hAnsi="Book Antiqua" w:cs="SimSun"/>
          <w:b/>
          <w:bCs/>
          <w:sz w:val="24"/>
          <w:szCs w:val="24"/>
          <w:lang w:eastAsia="zh-CN"/>
        </w:rPr>
        <w:t>Zhang Y</w:t>
      </w:r>
      <w:r w:rsidR="007C190C" w:rsidRPr="007B09E8">
        <w:rPr>
          <w:rFonts w:ascii="Book Antiqua" w:eastAsia="SimSun" w:hAnsi="Book Antiqua" w:cs="SimSun"/>
          <w:sz w:val="24"/>
          <w:szCs w:val="24"/>
          <w:lang w:eastAsia="zh-CN"/>
        </w:rPr>
        <w:t>, Hochster H, Stein S, Lacy J. Gemcitabine plus nab-paclitaxel for advanced pancreatic cancer after first-line FOLFIRINOX: single institution retrospective review of efficacy and toxicity. </w:t>
      </w:r>
      <w:r w:rsidR="007C190C" w:rsidRPr="007B09E8">
        <w:rPr>
          <w:rFonts w:ascii="Book Antiqua" w:eastAsia="SimSun" w:hAnsi="Book Antiqua" w:cs="SimSun"/>
          <w:i/>
          <w:iCs/>
          <w:sz w:val="24"/>
          <w:szCs w:val="24"/>
          <w:lang w:eastAsia="zh-CN"/>
        </w:rPr>
        <w:t>Exp Hematol Oncol</w:t>
      </w:r>
      <w:r w:rsidR="007C190C" w:rsidRPr="007B09E8">
        <w:rPr>
          <w:rFonts w:ascii="Book Antiqua" w:eastAsia="SimSun" w:hAnsi="Book Antiqua" w:cs="SimSun"/>
          <w:sz w:val="24"/>
          <w:szCs w:val="24"/>
          <w:lang w:eastAsia="zh-CN"/>
        </w:rPr>
        <w:t> 2015; </w:t>
      </w:r>
      <w:r w:rsidR="007C190C" w:rsidRPr="007B09E8">
        <w:rPr>
          <w:rFonts w:ascii="Book Antiqua" w:eastAsia="SimSun" w:hAnsi="Book Antiqua" w:cs="SimSun"/>
          <w:b/>
          <w:bCs/>
          <w:sz w:val="24"/>
          <w:szCs w:val="24"/>
          <w:lang w:eastAsia="zh-CN"/>
        </w:rPr>
        <w:t>4</w:t>
      </w:r>
      <w:r w:rsidR="007C190C" w:rsidRPr="007B09E8">
        <w:rPr>
          <w:rFonts w:ascii="Book Antiqua" w:eastAsia="SimSun" w:hAnsi="Book Antiqua" w:cs="SimSun"/>
          <w:sz w:val="24"/>
          <w:szCs w:val="24"/>
          <w:lang w:eastAsia="zh-CN"/>
        </w:rPr>
        <w:t>: 29 [PMID: 26451276 DOI: 10.1186/s40164-015-0025-y]</w:t>
      </w:r>
    </w:p>
    <w:p w14:paraId="6C6EE670" w14:textId="284DC996" w:rsidR="007C190C" w:rsidRPr="007B09E8" w:rsidRDefault="000434A9"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lastRenderedPageBreak/>
        <w:t>27</w:t>
      </w:r>
      <w:r w:rsidR="007C190C" w:rsidRPr="007B09E8">
        <w:rPr>
          <w:rFonts w:ascii="Book Antiqua" w:eastAsia="SimSun" w:hAnsi="Book Antiqua" w:cs="SimSun"/>
          <w:sz w:val="24"/>
          <w:szCs w:val="24"/>
          <w:lang w:eastAsia="zh-CN"/>
        </w:rPr>
        <w:t> </w:t>
      </w:r>
      <w:r w:rsidR="007C190C" w:rsidRPr="007B09E8">
        <w:rPr>
          <w:rFonts w:ascii="Book Antiqua" w:eastAsia="SimSun" w:hAnsi="Book Antiqua" w:cs="SimSun"/>
          <w:b/>
          <w:bCs/>
          <w:sz w:val="24"/>
          <w:szCs w:val="24"/>
          <w:lang w:eastAsia="zh-CN"/>
        </w:rPr>
        <w:t>Assaf E</w:t>
      </w:r>
      <w:r w:rsidR="007C190C" w:rsidRPr="007B09E8">
        <w:rPr>
          <w:rFonts w:ascii="Book Antiqua" w:eastAsia="SimSun" w:hAnsi="Book Antiqua" w:cs="SimSun"/>
          <w:sz w:val="24"/>
          <w:szCs w:val="24"/>
          <w:lang w:eastAsia="zh-CN"/>
        </w:rPr>
        <w:t>, Verlinde-Carvalho M, Delbaldo C, Grenier J, Sellam Z, Pouessel D, Bouaita L, Baumgaertner I, Sobhani I, Tayar C, Paul M, Culine S. 5-fluorouracil/leucovorin combined with irinotecan and oxaliplatin (FOLFIRINOX) as second-line chemotherapy in patients with metastatic pancreatic adenocarcinoma. </w:t>
      </w:r>
      <w:r w:rsidR="007C190C" w:rsidRPr="007B09E8">
        <w:rPr>
          <w:rFonts w:ascii="Book Antiqua" w:eastAsia="SimSun" w:hAnsi="Book Antiqua" w:cs="SimSun"/>
          <w:i/>
          <w:iCs/>
          <w:sz w:val="24"/>
          <w:szCs w:val="24"/>
          <w:lang w:eastAsia="zh-CN"/>
        </w:rPr>
        <w:t>Oncology</w:t>
      </w:r>
      <w:r w:rsidR="007C190C" w:rsidRPr="007B09E8">
        <w:rPr>
          <w:rFonts w:ascii="Book Antiqua" w:eastAsia="SimSun" w:hAnsi="Book Antiqua" w:cs="SimSun"/>
          <w:sz w:val="24"/>
          <w:szCs w:val="24"/>
          <w:lang w:eastAsia="zh-CN"/>
        </w:rPr>
        <w:t> 2011; </w:t>
      </w:r>
      <w:r w:rsidR="007C190C" w:rsidRPr="007B09E8">
        <w:rPr>
          <w:rFonts w:ascii="Book Antiqua" w:eastAsia="SimSun" w:hAnsi="Book Antiqua" w:cs="SimSun"/>
          <w:b/>
          <w:bCs/>
          <w:sz w:val="24"/>
          <w:szCs w:val="24"/>
          <w:lang w:eastAsia="zh-CN"/>
        </w:rPr>
        <w:t>80</w:t>
      </w:r>
      <w:r w:rsidR="007C190C" w:rsidRPr="007B09E8">
        <w:rPr>
          <w:rFonts w:ascii="Book Antiqua" w:eastAsia="SimSun" w:hAnsi="Book Antiqua" w:cs="SimSun"/>
          <w:sz w:val="24"/>
          <w:szCs w:val="24"/>
          <w:lang w:eastAsia="zh-CN"/>
        </w:rPr>
        <w:t>: 301-306 [PMID: 21778770 DOI: 10.1159/000329803]</w:t>
      </w:r>
    </w:p>
    <w:p w14:paraId="758B4BB9" w14:textId="517379DC" w:rsidR="007C190C" w:rsidRPr="007B09E8" w:rsidRDefault="000434A9"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28</w:t>
      </w:r>
      <w:r w:rsidR="007C190C" w:rsidRPr="007B09E8">
        <w:rPr>
          <w:rFonts w:ascii="Book Antiqua" w:eastAsia="SimSun" w:hAnsi="Book Antiqua" w:cs="SimSun"/>
          <w:sz w:val="24"/>
          <w:szCs w:val="24"/>
          <w:lang w:eastAsia="zh-CN"/>
        </w:rPr>
        <w:t> </w:t>
      </w:r>
      <w:r w:rsidR="007C190C" w:rsidRPr="007B09E8">
        <w:rPr>
          <w:rFonts w:ascii="Book Antiqua" w:eastAsia="SimSun" w:hAnsi="Book Antiqua" w:cs="SimSun"/>
          <w:b/>
          <w:bCs/>
          <w:sz w:val="24"/>
          <w:szCs w:val="24"/>
          <w:lang w:eastAsia="zh-CN"/>
        </w:rPr>
        <w:t>Lee MG</w:t>
      </w:r>
      <w:r w:rsidR="007C190C" w:rsidRPr="007B09E8">
        <w:rPr>
          <w:rFonts w:ascii="Book Antiqua" w:eastAsia="SimSun" w:hAnsi="Book Antiqua" w:cs="SimSun"/>
          <w:sz w:val="24"/>
          <w:szCs w:val="24"/>
          <w:lang w:eastAsia="zh-CN"/>
        </w:rPr>
        <w:t>, Lee SH, Lee SJ, Lee YS, Hwang JH, Ryu JK, Kim YT, Kim DU, Woo SM. 5-Fluorouracil/leucovorin combined with irinotecan and oxaliplatin (FOLFIRINOX) as second-line chemotherapy in patients with advanced pancreatic cancer who have progressed on gemcitabine-based therapy.</w:t>
      </w:r>
      <w:r w:rsidR="007C190C" w:rsidRPr="007B09E8">
        <w:rPr>
          <w:rFonts w:ascii="Book Antiqua" w:eastAsia="SimSun" w:hAnsi="Book Antiqua" w:cs="SimSun" w:hint="eastAsia"/>
          <w:sz w:val="24"/>
          <w:szCs w:val="24"/>
          <w:lang w:eastAsia="zh-CN"/>
        </w:rPr>
        <w:t xml:space="preserve"> </w:t>
      </w:r>
      <w:r w:rsidR="007C190C" w:rsidRPr="007B09E8">
        <w:rPr>
          <w:rFonts w:ascii="Book Antiqua" w:eastAsia="SimSun" w:hAnsi="Book Antiqua" w:cs="SimSun"/>
          <w:i/>
          <w:iCs/>
          <w:sz w:val="24"/>
          <w:szCs w:val="24"/>
          <w:lang w:eastAsia="zh-CN"/>
        </w:rPr>
        <w:t>Chemotherapy</w:t>
      </w:r>
      <w:r w:rsidR="007C190C" w:rsidRPr="007B09E8">
        <w:rPr>
          <w:rFonts w:ascii="Book Antiqua" w:eastAsia="SimSun" w:hAnsi="Book Antiqua" w:cs="SimSun" w:hint="eastAsia"/>
          <w:sz w:val="24"/>
          <w:szCs w:val="24"/>
          <w:lang w:eastAsia="zh-CN"/>
        </w:rPr>
        <w:t xml:space="preserve"> </w:t>
      </w:r>
      <w:r w:rsidR="007C190C" w:rsidRPr="007B09E8">
        <w:rPr>
          <w:rFonts w:ascii="Book Antiqua" w:eastAsia="SimSun" w:hAnsi="Book Antiqua" w:cs="SimSun"/>
          <w:sz w:val="24"/>
          <w:szCs w:val="24"/>
          <w:lang w:eastAsia="zh-CN"/>
        </w:rPr>
        <w:t>2013; </w:t>
      </w:r>
      <w:r w:rsidR="007C190C" w:rsidRPr="007B09E8">
        <w:rPr>
          <w:rFonts w:ascii="Book Antiqua" w:eastAsia="SimSun" w:hAnsi="Book Antiqua" w:cs="SimSun"/>
          <w:b/>
          <w:bCs/>
          <w:sz w:val="24"/>
          <w:szCs w:val="24"/>
          <w:lang w:eastAsia="zh-CN"/>
        </w:rPr>
        <w:t>59</w:t>
      </w:r>
      <w:r w:rsidR="007C190C" w:rsidRPr="007B09E8">
        <w:rPr>
          <w:rFonts w:ascii="Book Antiqua" w:eastAsia="SimSun" w:hAnsi="Book Antiqua" w:cs="SimSun"/>
          <w:sz w:val="24"/>
          <w:szCs w:val="24"/>
          <w:lang w:eastAsia="zh-CN"/>
        </w:rPr>
        <w:t>: 273-279 [PMID: 24457620 DOI: 10.1159/000356158]</w:t>
      </w:r>
    </w:p>
    <w:p w14:paraId="7BE4EDEB" w14:textId="44B58746" w:rsidR="007C190C" w:rsidRPr="007B09E8" w:rsidRDefault="000434A9"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29</w:t>
      </w:r>
      <w:r w:rsidR="007C190C" w:rsidRPr="007B09E8">
        <w:rPr>
          <w:rFonts w:ascii="Book Antiqua" w:eastAsia="SimSun" w:hAnsi="Book Antiqua" w:cs="SimSun"/>
          <w:sz w:val="24"/>
          <w:szCs w:val="24"/>
          <w:lang w:eastAsia="zh-CN"/>
        </w:rPr>
        <w:t> </w:t>
      </w:r>
      <w:r w:rsidR="007C190C" w:rsidRPr="007B09E8">
        <w:rPr>
          <w:rFonts w:ascii="Book Antiqua" w:eastAsia="SimSun" w:hAnsi="Book Antiqua" w:cs="SimSun"/>
          <w:b/>
          <w:bCs/>
          <w:sz w:val="24"/>
          <w:szCs w:val="24"/>
          <w:lang w:eastAsia="zh-CN"/>
        </w:rPr>
        <w:t>McWilliams A</w:t>
      </w:r>
      <w:r w:rsidR="007C190C" w:rsidRPr="007B09E8">
        <w:rPr>
          <w:rFonts w:ascii="Book Antiqua" w:eastAsia="SimSun" w:hAnsi="Book Antiqua" w:cs="SimSun"/>
          <w:sz w:val="24"/>
          <w:szCs w:val="24"/>
          <w:lang w:eastAsia="zh-CN"/>
        </w:rPr>
        <w:t>, Tammemagi MC, Mayo JR, Roberts H, Liu G, Soghrati K, Yasufuku K, Martel S, Laberge F, Gingras M, Atkar-Khattra S, Berg CD, Evans K, Finley R, Yee J, English J, Nasute P, Goffin J, Puksa S, Stewart L, Tsai S, Johnston MR, Manos D, Nicholas G, Goss GD, Seely JM, Amjadi K, Tremblay A, Burrowes P, MacEachern P, Bhatia R, Tsao MS, Lam S. Probability of cancer in pulmonary nodules detected on first screening CT. </w:t>
      </w:r>
      <w:r w:rsidR="007C190C" w:rsidRPr="007B09E8">
        <w:rPr>
          <w:rFonts w:ascii="Book Antiqua" w:eastAsia="SimSun" w:hAnsi="Book Antiqua" w:cs="SimSun"/>
          <w:i/>
          <w:iCs/>
          <w:sz w:val="24"/>
          <w:szCs w:val="24"/>
          <w:lang w:eastAsia="zh-CN"/>
        </w:rPr>
        <w:t>N Engl J Med</w:t>
      </w:r>
      <w:r w:rsidR="007C190C" w:rsidRPr="007B09E8">
        <w:rPr>
          <w:rFonts w:ascii="Book Antiqua" w:eastAsia="SimSun" w:hAnsi="Book Antiqua" w:cs="SimSun"/>
          <w:sz w:val="24"/>
          <w:szCs w:val="24"/>
          <w:lang w:eastAsia="zh-CN"/>
        </w:rPr>
        <w:t> 2013; </w:t>
      </w:r>
      <w:r w:rsidR="007C190C" w:rsidRPr="007B09E8">
        <w:rPr>
          <w:rFonts w:ascii="Book Antiqua" w:eastAsia="SimSun" w:hAnsi="Book Antiqua" w:cs="SimSun"/>
          <w:b/>
          <w:bCs/>
          <w:sz w:val="24"/>
          <w:szCs w:val="24"/>
          <w:lang w:eastAsia="zh-CN"/>
        </w:rPr>
        <w:t>369</w:t>
      </w:r>
      <w:r w:rsidR="007C190C" w:rsidRPr="007B09E8">
        <w:rPr>
          <w:rFonts w:ascii="Book Antiqua" w:eastAsia="SimSun" w:hAnsi="Book Antiqua" w:cs="SimSun"/>
          <w:sz w:val="24"/>
          <w:szCs w:val="24"/>
          <w:lang w:eastAsia="zh-CN"/>
        </w:rPr>
        <w:t>: 910-919 [PMID: 24004118 DOI: 10.1056/NEJMoa1214726]</w:t>
      </w:r>
    </w:p>
    <w:p w14:paraId="18883800" w14:textId="2A5BA516" w:rsidR="007C190C" w:rsidRPr="007B09E8" w:rsidRDefault="000434A9"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30</w:t>
      </w:r>
      <w:r w:rsidR="007C190C" w:rsidRPr="007B09E8">
        <w:rPr>
          <w:rFonts w:ascii="Book Antiqua" w:eastAsia="SimSun" w:hAnsi="Book Antiqua" w:cs="SimSun"/>
          <w:sz w:val="24"/>
          <w:szCs w:val="24"/>
          <w:lang w:eastAsia="zh-CN"/>
        </w:rPr>
        <w:t> </w:t>
      </w:r>
      <w:r w:rsidR="007C190C" w:rsidRPr="007B09E8">
        <w:rPr>
          <w:rFonts w:ascii="Book Antiqua" w:eastAsia="SimSun" w:hAnsi="Book Antiqua" w:cs="SimSun"/>
          <w:b/>
          <w:bCs/>
          <w:sz w:val="24"/>
          <w:szCs w:val="24"/>
          <w:lang w:eastAsia="zh-CN"/>
        </w:rPr>
        <w:t>Fragoulakis V</w:t>
      </w:r>
      <w:r w:rsidR="007C190C" w:rsidRPr="007B09E8">
        <w:rPr>
          <w:rFonts w:ascii="Book Antiqua" w:eastAsia="SimSun" w:hAnsi="Book Antiqua" w:cs="SimSun"/>
          <w:sz w:val="24"/>
          <w:szCs w:val="24"/>
          <w:lang w:eastAsia="zh-CN"/>
        </w:rPr>
        <w:t>, Papakostas P, Pentheroudakis G, Dervenis C, Maniadakis N. Economic Evaluation of NAB-Paclitaxel Plus Gemcitabine Versus Gemcitabine Alone for The Management of Metastatic Pancreatic Cancer in Greece. </w:t>
      </w:r>
      <w:r w:rsidR="007C190C" w:rsidRPr="007B09E8">
        <w:rPr>
          <w:rFonts w:ascii="Book Antiqua" w:eastAsia="SimSun" w:hAnsi="Book Antiqua" w:cs="SimSun"/>
          <w:i/>
          <w:iCs/>
          <w:sz w:val="24"/>
          <w:szCs w:val="24"/>
          <w:lang w:eastAsia="zh-CN"/>
        </w:rPr>
        <w:t>Value Health</w:t>
      </w:r>
      <w:r w:rsidR="007C190C" w:rsidRPr="007B09E8">
        <w:rPr>
          <w:rFonts w:ascii="Book Antiqua" w:eastAsia="SimSun" w:hAnsi="Book Antiqua" w:cs="SimSun"/>
          <w:sz w:val="24"/>
          <w:szCs w:val="24"/>
          <w:lang w:eastAsia="zh-CN"/>
        </w:rPr>
        <w:t> 2014; </w:t>
      </w:r>
      <w:r w:rsidR="007C190C" w:rsidRPr="007B09E8">
        <w:rPr>
          <w:rFonts w:ascii="Book Antiqua" w:eastAsia="SimSun" w:hAnsi="Book Antiqua" w:cs="SimSun"/>
          <w:b/>
          <w:bCs/>
          <w:sz w:val="24"/>
          <w:szCs w:val="24"/>
          <w:lang w:eastAsia="zh-CN"/>
        </w:rPr>
        <w:t>17</w:t>
      </w:r>
      <w:r w:rsidR="007C190C" w:rsidRPr="007B09E8">
        <w:rPr>
          <w:rFonts w:ascii="Book Antiqua" w:eastAsia="SimSun" w:hAnsi="Book Antiqua" w:cs="SimSun"/>
          <w:sz w:val="24"/>
          <w:szCs w:val="24"/>
          <w:lang w:eastAsia="zh-CN"/>
        </w:rPr>
        <w:t>: A632 [PMID: 27202246</w:t>
      </w:r>
      <w:r w:rsidR="007C190C" w:rsidRPr="007B09E8">
        <w:rPr>
          <w:rFonts w:ascii="Book Antiqua" w:eastAsia="SimSun" w:hAnsi="Book Antiqua" w:cs="SimSun" w:hint="eastAsia"/>
          <w:sz w:val="24"/>
          <w:szCs w:val="24"/>
          <w:lang w:eastAsia="zh-CN"/>
        </w:rPr>
        <w:t xml:space="preserve"> </w:t>
      </w:r>
      <w:r w:rsidR="007C190C" w:rsidRPr="007B09E8">
        <w:rPr>
          <w:rFonts w:ascii="Book Antiqua" w:eastAsia="SimSun" w:hAnsi="Book Antiqua" w:cs="SimSun"/>
          <w:sz w:val="24"/>
          <w:szCs w:val="24"/>
          <w:lang w:eastAsia="zh-CN"/>
        </w:rPr>
        <w:t>DOI: 10.1016/j.jval.2014.08.2263]</w:t>
      </w:r>
    </w:p>
    <w:p w14:paraId="3CD91392" w14:textId="0E7B03E2" w:rsidR="007C190C" w:rsidRPr="007B09E8" w:rsidRDefault="000434A9"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31</w:t>
      </w:r>
      <w:r w:rsidR="007C190C" w:rsidRPr="007B09E8">
        <w:rPr>
          <w:rFonts w:ascii="Book Antiqua" w:eastAsia="SimSun" w:hAnsi="Book Antiqua" w:cs="SimSun"/>
          <w:sz w:val="24"/>
          <w:szCs w:val="24"/>
          <w:lang w:eastAsia="zh-CN"/>
        </w:rPr>
        <w:t> </w:t>
      </w:r>
      <w:r w:rsidR="007C190C" w:rsidRPr="007B09E8">
        <w:rPr>
          <w:rFonts w:ascii="Book Antiqua" w:eastAsia="SimSun" w:hAnsi="Book Antiqua" w:cs="SimSun"/>
          <w:b/>
          <w:bCs/>
          <w:sz w:val="24"/>
          <w:szCs w:val="24"/>
          <w:lang w:eastAsia="zh-CN"/>
        </w:rPr>
        <w:t>Gharaibeh M</w:t>
      </w:r>
      <w:r w:rsidR="007C190C" w:rsidRPr="007B09E8">
        <w:rPr>
          <w:rFonts w:ascii="Book Antiqua" w:eastAsia="SimSun" w:hAnsi="Book Antiqua" w:cs="SimSun"/>
          <w:sz w:val="24"/>
          <w:szCs w:val="24"/>
          <w:lang w:eastAsia="zh-CN"/>
        </w:rPr>
        <w:t>, McBride A, Bootman JL, Abraham I. Economic evaluation for the UK of nab-paclitaxel plus gemcitabine in the treatment of metastatic pancreas cancer. </w:t>
      </w:r>
      <w:r w:rsidR="007C190C" w:rsidRPr="007B09E8">
        <w:rPr>
          <w:rFonts w:ascii="Book Antiqua" w:eastAsia="SimSun" w:hAnsi="Book Antiqua" w:cs="SimSun"/>
          <w:i/>
          <w:iCs/>
          <w:sz w:val="24"/>
          <w:szCs w:val="24"/>
          <w:lang w:eastAsia="zh-CN"/>
        </w:rPr>
        <w:t>Br J Cancer</w:t>
      </w:r>
      <w:r w:rsidR="007C190C" w:rsidRPr="007B09E8">
        <w:rPr>
          <w:rFonts w:ascii="Book Antiqua" w:eastAsia="SimSun" w:hAnsi="Book Antiqua" w:cs="SimSun"/>
          <w:sz w:val="24"/>
          <w:szCs w:val="24"/>
          <w:lang w:eastAsia="zh-CN"/>
        </w:rPr>
        <w:t> 2015; </w:t>
      </w:r>
      <w:r w:rsidR="007C190C" w:rsidRPr="007B09E8">
        <w:rPr>
          <w:rFonts w:ascii="Book Antiqua" w:eastAsia="SimSun" w:hAnsi="Book Antiqua" w:cs="SimSun"/>
          <w:b/>
          <w:bCs/>
          <w:sz w:val="24"/>
          <w:szCs w:val="24"/>
          <w:lang w:eastAsia="zh-CN"/>
        </w:rPr>
        <w:t>112</w:t>
      </w:r>
      <w:r w:rsidR="007C190C" w:rsidRPr="007B09E8">
        <w:rPr>
          <w:rFonts w:ascii="Book Antiqua" w:eastAsia="SimSun" w:hAnsi="Book Antiqua" w:cs="SimSun"/>
          <w:sz w:val="24"/>
          <w:szCs w:val="24"/>
          <w:lang w:eastAsia="zh-CN"/>
        </w:rPr>
        <w:t>: 1301-1305 [PMID: 25791875 DOI: 10.1038/bjc.2015.65]</w:t>
      </w:r>
    </w:p>
    <w:p w14:paraId="6ED08B06" w14:textId="483A9CCB" w:rsidR="007C190C" w:rsidRPr="007B09E8" w:rsidRDefault="000434A9"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32</w:t>
      </w:r>
      <w:r w:rsidR="007C190C" w:rsidRPr="007B09E8">
        <w:rPr>
          <w:rFonts w:ascii="Book Antiqua" w:eastAsia="SimSun" w:hAnsi="Book Antiqua" w:cs="SimSun"/>
          <w:sz w:val="24"/>
          <w:szCs w:val="24"/>
          <w:lang w:eastAsia="zh-CN"/>
        </w:rPr>
        <w:t> </w:t>
      </w:r>
      <w:r w:rsidR="007C190C" w:rsidRPr="007B09E8">
        <w:rPr>
          <w:rFonts w:ascii="Book Antiqua" w:eastAsia="SimSun" w:hAnsi="Book Antiqua" w:cs="SimSun"/>
          <w:b/>
          <w:bCs/>
          <w:sz w:val="24"/>
          <w:szCs w:val="24"/>
          <w:lang w:eastAsia="zh-CN"/>
        </w:rPr>
        <w:t>Attard CL</w:t>
      </w:r>
      <w:r w:rsidR="007C190C" w:rsidRPr="007B09E8">
        <w:rPr>
          <w:rFonts w:ascii="Book Antiqua" w:eastAsia="SimSun" w:hAnsi="Book Antiqua" w:cs="SimSun"/>
          <w:sz w:val="24"/>
          <w:szCs w:val="24"/>
          <w:lang w:eastAsia="zh-CN"/>
        </w:rPr>
        <w:t>, Brown S, Alloul K, Moore MJ. Cost-effectiveness of folfirinox for first-line treatment of metastatic pancreatic cancer. </w:t>
      </w:r>
      <w:r w:rsidR="007C190C" w:rsidRPr="007B09E8">
        <w:rPr>
          <w:rFonts w:ascii="Book Antiqua" w:eastAsia="SimSun" w:hAnsi="Book Antiqua" w:cs="SimSun"/>
          <w:i/>
          <w:iCs/>
          <w:sz w:val="24"/>
          <w:szCs w:val="24"/>
          <w:lang w:eastAsia="zh-CN"/>
        </w:rPr>
        <w:t>Curr Oncol</w:t>
      </w:r>
      <w:r w:rsidR="007C190C" w:rsidRPr="007B09E8">
        <w:rPr>
          <w:rFonts w:ascii="Book Antiqua" w:eastAsia="SimSun" w:hAnsi="Book Antiqua" w:cs="SimSun"/>
          <w:sz w:val="24"/>
          <w:szCs w:val="24"/>
          <w:lang w:eastAsia="zh-CN"/>
        </w:rPr>
        <w:t> 2014; </w:t>
      </w:r>
      <w:r w:rsidR="007C190C" w:rsidRPr="007B09E8">
        <w:rPr>
          <w:rFonts w:ascii="Book Antiqua" w:eastAsia="SimSun" w:hAnsi="Book Antiqua" w:cs="SimSun"/>
          <w:b/>
          <w:bCs/>
          <w:sz w:val="24"/>
          <w:szCs w:val="24"/>
          <w:lang w:eastAsia="zh-CN"/>
        </w:rPr>
        <w:t>21</w:t>
      </w:r>
      <w:r w:rsidR="007C190C" w:rsidRPr="007B09E8">
        <w:rPr>
          <w:rFonts w:ascii="Book Antiqua" w:eastAsia="SimSun" w:hAnsi="Book Antiqua" w:cs="SimSun"/>
          <w:sz w:val="24"/>
          <w:szCs w:val="24"/>
          <w:lang w:eastAsia="zh-CN"/>
        </w:rPr>
        <w:t>: e41-e51 [PMID: 24523620 DOI: 10.3747/co.21.1327]</w:t>
      </w:r>
    </w:p>
    <w:p w14:paraId="51724DDB" w14:textId="234FFB17" w:rsidR="007C190C" w:rsidRPr="007B09E8" w:rsidRDefault="000434A9"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lastRenderedPageBreak/>
        <w:t>33</w:t>
      </w:r>
      <w:r w:rsidR="007C190C" w:rsidRPr="007B09E8">
        <w:rPr>
          <w:rFonts w:ascii="Book Antiqua" w:eastAsia="SimSun" w:hAnsi="Book Antiqua" w:cs="SimSun"/>
          <w:sz w:val="24"/>
          <w:szCs w:val="24"/>
          <w:lang w:eastAsia="zh-CN"/>
        </w:rPr>
        <w:t> </w:t>
      </w:r>
      <w:r w:rsidR="007C190C" w:rsidRPr="007B09E8">
        <w:rPr>
          <w:rFonts w:ascii="Book Antiqua" w:eastAsia="SimSun" w:hAnsi="Book Antiqua" w:cs="SimSun"/>
          <w:b/>
          <w:bCs/>
          <w:sz w:val="24"/>
          <w:szCs w:val="24"/>
          <w:lang w:eastAsia="zh-CN"/>
        </w:rPr>
        <w:t>Goldstein DA</w:t>
      </w:r>
      <w:r w:rsidR="007C190C" w:rsidRPr="007B09E8">
        <w:rPr>
          <w:rFonts w:ascii="Book Antiqua" w:eastAsia="SimSun" w:hAnsi="Book Antiqua" w:cs="SimSun"/>
          <w:sz w:val="24"/>
          <w:szCs w:val="24"/>
          <w:lang w:eastAsia="zh-CN"/>
        </w:rPr>
        <w:t>, Krishna K, Flowers CR, El-Rayes BF, Bekaii-Saab T, Noonan AM. Cost description of chemotherapy regimens for the treatment of metastatic pancreas cancer. </w:t>
      </w:r>
      <w:r w:rsidR="007C190C" w:rsidRPr="007B09E8">
        <w:rPr>
          <w:rFonts w:ascii="Book Antiqua" w:eastAsia="SimSun" w:hAnsi="Book Antiqua" w:cs="SimSun"/>
          <w:i/>
          <w:iCs/>
          <w:sz w:val="24"/>
          <w:szCs w:val="24"/>
          <w:lang w:eastAsia="zh-CN"/>
        </w:rPr>
        <w:t>Med Oncol</w:t>
      </w:r>
      <w:r w:rsidR="007C190C" w:rsidRPr="007B09E8">
        <w:rPr>
          <w:rFonts w:ascii="Book Antiqua" w:eastAsia="SimSun" w:hAnsi="Book Antiqua" w:cs="SimSun"/>
          <w:sz w:val="24"/>
          <w:szCs w:val="24"/>
          <w:lang w:eastAsia="zh-CN"/>
        </w:rPr>
        <w:t> 2016; </w:t>
      </w:r>
      <w:r w:rsidR="007C190C" w:rsidRPr="007B09E8">
        <w:rPr>
          <w:rFonts w:ascii="Book Antiqua" w:eastAsia="SimSun" w:hAnsi="Book Antiqua" w:cs="SimSun"/>
          <w:b/>
          <w:bCs/>
          <w:sz w:val="24"/>
          <w:szCs w:val="24"/>
          <w:lang w:eastAsia="zh-CN"/>
        </w:rPr>
        <w:t>33</w:t>
      </w:r>
      <w:r w:rsidR="007C190C" w:rsidRPr="007B09E8">
        <w:rPr>
          <w:rFonts w:ascii="Book Antiqua" w:eastAsia="SimSun" w:hAnsi="Book Antiqua" w:cs="SimSun"/>
          <w:sz w:val="24"/>
          <w:szCs w:val="24"/>
          <w:lang w:eastAsia="zh-CN"/>
        </w:rPr>
        <w:t>: 48 [PMID: 27067436 DOI: 10.1007/s12032-016-0762-8]</w:t>
      </w:r>
    </w:p>
    <w:p w14:paraId="14C7A80C" w14:textId="0FEC18E9" w:rsidR="007C190C" w:rsidRPr="007B09E8" w:rsidRDefault="007C190C" w:rsidP="000434A9">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30 </w:t>
      </w:r>
    </w:p>
    <w:p w14:paraId="4A868F7A" w14:textId="77777777" w:rsidR="007C190C" w:rsidRPr="007B09E8" w:rsidRDefault="007C190C" w:rsidP="007C190C">
      <w:pPr>
        <w:spacing w:after="0" w:line="360" w:lineRule="auto"/>
        <w:jc w:val="both"/>
        <w:rPr>
          <w:rFonts w:ascii="Book Antiqua" w:eastAsia="SimSun" w:hAnsi="Book Antiqua" w:cs="SimSun"/>
          <w:sz w:val="24"/>
          <w:szCs w:val="24"/>
          <w:lang w:eastAsia="zh-CN"/>
        </w:rPr>
      </w:pPr>
      <w:r w:rsidRPr="007B09E8">
        <w:rPr>
          <w:rFonts w:ascii="Book Antiqua" w:eastAsia="SimSun" w:hAnsi="Book Antiqua" w:cs="SimSun"/>
          <w:sz w:val="24"/>
          <w:szCs w:val="24"/>
          <w:lang w:eastAsia="zh-CN"/>
        </w:rPr>
        <w:t>34 </w:t>
      </w:r>
      <w:r w:rsidRPr="007B09E8">
        <w:rPr>
          <w:rFonts w:ascii="Book Antiqua" w:eastAsia="SimSun" w:hAnsi="Book Antiqua" w:cs="SimSun"/>
          <w:b/>
          <w:bCs/>
          <w:sz w:val="24"/>
          <w:szCs w:val="24"/>
          <w:lang w:eastAsia="zh-CN"/>
        </w:rPr>
        <w:t>Jordheim LP</w:t>
      </w:r>
      <w:r w:rsidRPr="007B09E8">
        <w:rPr>
          <w:rFonts w:ascii="Book Antiqua" w:eastAsia="SimSun" w:hAnsi="Book Antiqua" w:cs="SimSun"/>
          <w:sz w:val="24"/>
          <w:szCs w:val="24"/>
          <w:lang w:eastAsia="zh-CN"/>
        </w:rPr>
        <w:t>, Dumontet C. Do hENT1 and RRM1 predict the clinical benefit of gemcitabine in pancreatic cancer? </w:t>
      </w:r>
      <w:r w:rsidRPr="007B09E8">
        <w:rPr>
          <w:rFonts w:ascii="Book Antiqua" w:eastAsia="SimSun" w:hAnsi="Book Antiqua" w:cs="SimSun"/>
          <w:i/>
          <w:iCs/>
          <w:sz w:val="24"/>
          <w:szCs w:val="24"/>
          <w:lang w:eastAsia="zh-CN"/>
        </w:rPr>
        <w:t>Biomark Med</w:t>
      </w:r>
      <w:r w:rsidRPr="007B09E8">
        <w:rPr>
          <w:rFonts w:ascii="Book Antiqua" w:eastAsia="SimSun" w:hAnsi="Book Antiqua" w:cs="SimSun"/>
          <w:sz w:val="24"/>
          <w:szCs w:val="24"/>
          <w:lang w:eastAsia="zh-CN"/>
        </w:rPr>
        <w:t> 2013; </w:t>
      </w:r>
      <w:r w:rsidRPr="007B09E8">
        <w:rPr>
          <w:rFonts w:ascii="Book Antiqua" w:eastAsia="SimSun" w:hAnsi="Book Antiqua" w:cs="SimSun"/>
          <w:b/>
          <w:bCs/>
          <w:sz w:val="24"/>
          <w:szCs w:val="24"/>
          <w:lang w:eastAsia="zh-CN"/>
        </w:rPr>
        <w:t>7</w:t>
      </w:r>
      <w:r w:rsidRPr="007B09E8">
        <w:rPr>
          <w:rFonts w:ascii="Book Antiqua" w:eastAsia="SimSun" w:hAnsi="Book Antiqua" w:cs="SimSun"/>
          <w:sz w:val="24"/>
          <w:szCs w:val="24"/>
          <w:lang w:eastAsia="zh-CN"/>
        </w:rPr>
        <w:t>: 663-671 [PMID: 23905902 DOI: 10.2217/bmm.13.48]</w:t>
      </w:r>
    </w:p>
    <w:p w14:paraId="273B213A" w14:textId="0A7FDD69" w:rsidR="007C190C" w:rsidRPr="007B09E8" w:rsidRDefault="007C190C" w:rsidP="007C190C">
      <w:pPr>
        <w:wordWrap w:val="0"/>
        <w:snapToGrid w:val="0"/>
        <w:spacing w:after="0" w:line="360" w:lineRule="auto"/>
        <w:jc w:val="right"/>
        <w:rPr>
          <w:rFonts w:ascii="Book Antiqua" w:eastAsia="SimSun" w:hAnsi="Book Antiqua" w:cs="Times New Roman"/>
          <w:sz w:val="24"/>
          <w:szCs w:val="24"/>
          <w:lang w:eastAsia="zh-CN"/>
        </w:rPr>
      </w:pPr>
      <w:bookmarkStart w:id="78" w:name="OLE_LINK51"/>
      <w:bookmarkStart w:id="79" w:name="OLE_LINK52"/>
      <w:bookmarkStart w:id="80" w:name="OLE_LINK120"/>
      <w:bookmarkStart w:id="81" w:name="OLE_LINK148"/>
      <w:bookmarkStart w:id="82" w:name="OLE_LINK72"/>
      <w:bookmarkStart w:id="83" w:name="OLE_LINK112"/>
      <w:bookmarkStart w:id="84" w:name="OLE_LINK320"/>
      <w:bookmarkStart w:id="85" w:name="OLE_LINK387"/>
      <w:bookmarkStart w:id="86" w:name="OLE_LINK183"/>
      <w:bookmarkStart w:id="87" w:name="OLE_LINK254"/>
      <w:bookmarkStart w:id="88" w:name="OLE_LINK149"/>
      <w:bookmarkStart w:id="89" w:name="OLE_LINK225"/>
      <w:bookmarkStart w:id="90" w:name="OLE_LINK207"/>
      <w:bookmarkStart w:id="91" w:name="OLE_LINK226"/>
      <w:bookmarkStart w:id="92" w:name="OLE_LINK212"/>
      <w:bookmarkStart w:id="93" w:name="OLE_LINK250"/>
      <w:bookmarkStart w:id="94" w:name="OLE_LINK281"/>
      <w:bookmarkStart w:id="95" w:name="OLE_LINK282"/>
      <w:bookmarkStart w:id="96" w:name="OLE_LINK313"/>
      <w:bookmarkStart w:id="97" w:name="OLE_LINK304"/>
      <w:bookmarkStart w:id="98" w:name="OLE_LINK321"/>
      <w:bookmarkStart w:id="99" w:name="OLE_LINK385"/>
      <w:bookmarkStart w:id="100" w:name="OLE_LINK400"/>
      <w:bookmarkStart w:id="101" w:name="OLE_LINK346"/>
      <w:bookmarkStart w:id="102" w:name="OLE_LINK371"/>
      <w:bookmarkStart w:id="103" w:name="OLE_LINK334"/>
      <w:bookmarkStart w:id="104" w:name="OLE_LINK1830"/>
      <w:bookmarkStart w:id="105" w:name="OLE_LINK457"/>
      <w:bookmarkStart w:id="106" w:name="OLE_LINK288"/>
      <w:bookmarkStart w:id="107" w:name="OLE_LINK384"/>
      <w:bookmarkStart w:id="108" w:name="OLE_LINK379"/>
      <w:bookmarkStart w:id="109" w:name="OLE_LINK303"/>
      <w:bookmarkStart w:id="110" w:name="OLE_LINK450"/>
      <w:bookmarkStart w:id="111" w:name="OLE_LINK489"/>
      <w:bookmarkStart w:id="112" w:name="OLE_LINK535"/>
      <w:bookmarkStart w:id="113" w:name="OLE_LINK648"/>
      <w:bookmarkStart w:id="114" w:name="OLE_LINK686"/>
      <w:bookmarkStart w:id="115" w:name="OLE_LINK471"/>
      <w:bookmarkStart w:id="116" w:name="OLE_LINK462"/>
      <w:bookmarkStart w:id="117" w:name="OLE_LINK519"/>
      <w:bookmarkStart w:id="118" w:name="OLE_LINK575"/>
      <w:bookmarkStart w:id="119" w:name="OLE_LINK491"/>
      <w:bookmarkStart w:id="120" w:name="OLE_LINK532"/>
      <w:bookmarkStart w:id="121" w:name="OLE_LINK572"/>
      <w:bookmarkStart w:id="122" w:name="OLE_LINK574"/>
      <w:bookmarkStart w:id="123" w:name="OLE_LINK480"/>
      <w:bookmarkStart w:id="124" w:name="OLE_LINK567"/>
      <w:bookmarkStart w:id="125" w:name="OLE_LINK2700"/>
      <w:bookmarkStart w:id="126" w:name="OLE_LINK581"/>
      <w:bookmarkStart w:id="127" w:name="OLE_LINK639"/>
      <w:bookmarkStart w:id="128" w:name="OLE_LINK688"/>
      <w:bookmarkStart w:id="129" w:name="OLE_LINK722"/>
      <w:bookmarkStart w:id="130" w:name="OLE_LINK542"/>
      <w:bookmarkStart w:id="131" w:name="OLE_LINK589"/>
      <w:bookmarkStart w:id="132" w:name="OLE_LINK582"/>
      <w:bookmarkStart w:id="133" w:name="OLE_LINK640"/>
      <w:bookmarkStart w:id="134" w:name="OLE_LINK714"/>
      <w:bookmarkStart w:id="135" w:name="OLE_LINK593"/>
      <w:bookmarkStart w:id="136" w:name="OLE_LINK716"/>
      <w:bookmarkStart w:id="137" w:name="OLE_LINK770"/>
      <w:bookmarkStart w:id="138" w:name="OLE_LINK801"/>
      <w:bookmarkStart w:id="139" w:name="OLE_LINK660"/>
      <w:bookmarkStart w:id="140" w:name="OLE_LINK781"/>
      <w:bookmarkStart w:id="141" w:name="OLE_LINK833"/>
      <w:bookmarkStart w:id="142" w:name="OLE_LINK642"/>
      <w:bookmarkStart w:id="143" w:name="OLE_LINK700"/>
      <w:bookmarkStart w:id="144" w:name="OLE_LINK792"/>
      <w:bookmarkStart w:id="145" w:name="OLE_LINK2882"/>
      <w:bookmarkStart w:id="146" w:name="OLE_LINK836"/>
      <w:bookmarkStart w:id="147" w:name="OLE_LINK889"/>
      <w:bookmarkStart w:id="148" w:name="OLE_LINK782"/>
      <w:bookmarkStart w:id="149" w:name="OLE_LINK826"/>
      <w:bookmarkStart w:id="150" w:name="OLE_LINK865"/>
      <w:bookmarkStart w:id="151" w:name="OLE_LINK856"/>
      <w:bookmarkStart w:id="152" w:name="OLE_LINK908"/>
      <w:bookmarkStart w:id="153" w:name="OLE_LINK980"/>
      <w:bookmarkStart w:id="154" w:name="OLE_LINK1018"/>
      <w:bookmarkStart w:id="155" w:name="OLE_LINK1049"/>
      <w:bookmarkStart w:id="156" w:name="OLE_LINK1076"/>
      <w:bookmarkStart w:id="157" w:name="OLE_LINK1106"/>
      <w:bookmarkStart w:id="158" w:name="OLE_LINK891"/>
      <w:bookmarkStart w:id="159" w:name="OLE_LINK943"/>
      <w:bookmarkStart w:id="160" w:name="OLE_LINK981"/>
      <w:bookmarkStart w:id="161" w:name="OLE_LINK1030"/>
      <w:bookmarkStart w:id="162" w:name="OLE_LINK847"/>
      <w:bookmarkStart w:id="163" w:name="OLE_LINK909"/>
      <w:bookmarkStart w:id="164" w:name="OLE_LINK906"/>
      <w:bookmarkStart w:id="165" w:name="OLE_LINK992"/>
      <w:bookmarkStart w:id="166" w:name="OLE_LINK993"/>
      <w:bookmarkStart w:id="167" w:name="OLE_LINK1052"/>
      <w:bookmarkStart w:id="168" w:name="OLE_LINK946"/>
      <w:bookmarkStart w:id="169" w:name="OLE_LINK911"/>
      <w:bookmarkStart w:id="170" w:name="OLE_LINK930"/>
      <w:bookmarkStart w:id="171" w:name="OLE_LINK1059"/>
      <w:bookmarkStart w:id="172" w:name="OLE_LINK1174"/>
      <w:bookmarkStart w:id="173" w:name="OLE_LINK1137"/>
      <w:bookmarkStart w:id="174" w:name="OLE_LINK1167"/>
      <w:bookmarkStart w:id="175" w:name="OLE_LINK1200"/>
      <w:bookmarkStart w:id="176" w:name="OLE_LINK1241"/>
      <w:bookmarkStart w:id="177" w:name="OLE_LINK1288"/>
      <w:bookmarkStart w:id="178" w:name="OLE_LINK1056"/>
      <w:bookmarkStart w:id="179" w:name="OLE_LINK1158"/>
      <w:bookmarkStart w:id="180" w:name="OLE_LINK1175"/>
      <w:bookmarkStart w:id="181" w:name="OLE_LINK1074"/>
      <w:bookmarkStart w:id="182" w:name="OLE_LINK1169"/>
      <w:r w:rsidRPr="007B09E8">
        <w:rPr>
          <w:rFonts w:ascii="Book Antiqua" w:eastAsia="SimSun" w:hAnsi="Book Antiqua" w:cs="Times New Roman"/>
          <w:b/>
          <w:bCs/>
          <w:sz w:val="24"/>
          <w:szCs w:val="24"/>
          <w:lang w:eastAsia="zh-CN"/>
        </w:rPr>
        <w:t>P-Reviewer:</w:t>
      </w:r>
      <w:r w:rsidRPr="007B09E8">
        <w:rPr>
          <w:rFonts w:ascii="Book Antiqua" w:eastAsia="SimSun" w:hAnsi="Book Antiqua" w:cs="Times New Roman" w:hint="eastAsia"/>
          <w:b/>
          <w:bCs/>
          <w:sz w:val="24"/>
          <w:szCs w:val="24"/>
          <w:lang w:eastAsia="zh-CN"/>
        </w:rPr>
        <w:t xml:space="preserve"> </w:t>
      </w:r>
      <w:r w:rsidRPr="007B09E8">
        <w:rPr>
          <w:rFonts w:ascii="Book Antiqua" w:eastAsia="SimSun" w:hAnsi="Book Antiqua" w:cs="Times New Roman"/>
          <w:bCs/>
          <w:sz w:val="24"/>
          <w:szCs w:val="24"/>
          <w:lang w:eastAsia="zh-CN"/>
        </w:rPr>
        <w:t>Hammel</w:t>
      </w:r>
      <w:r w:rsidRPr="007B09E8">
        <w:rPr>
          <w:rFonts w:ascii="Book Antiqua" w:eastAsia="SimSun" w:hAnsi="Book Antiqua" w:cs="Times New Roman" w:hint="eastAsia"/>
          <w:bCs/>
          <w:sz w:val="24"/>
          <w:szCs w:val="24"/>
          <w:lang w:eastAsia="zh-CN"/>
        </w:rPr>
        <w:t xml:space="preserve"> </w:t>
      </w:r>
      <w:r w:rsidRPr="007B09E8">
        <w:rPr>
          <w:rFonts w:ascii="Book Antiqua" w:eastAsia="SimSun" w:hAnsi="Book Antiqua" w:cs="Times New Roman"/>
          <w:bCs/>
          <w:sz w:val="24"/>
          <w:szCs w:val="24"/>
          <w:lang w:eastAsia="zh-CN"/>
        </w:rPr>
        <w:t>P</w:t>
      </w:r>
      <w:r w:rsidRPr="007B09E8">
        <w:rPr>
          <w:rFonts w:ascii="Book Antiqua" w:eastAsia="SimSun" w:hAnsi="Book Antiqua" w:cs="Times New Roman" w:hint="eastAsia"/>
          <w:bCs/>
          <w:sz w:val="24"/>
          <w:szCs w:val="24"/>
          <w:lang w:eastAsia="zh-CN"/>
        </w:rPr>
        <w:t xml:space="preserve">, </w:t>
      </w:r>
      <w:r w:rsidR="00677304">
        <w:rPr>
          <w:rFonts w:ascii="Book Antiqua" w:eastAsia="SimSun" w:hAnsi="Book Antiqua" w:cs="Times New Roman" w:hint="eastAsia"/>
          <w:bCs/>
          <w:sz w:val="24"/>
          <w:szCs w:val="24"/>
          <w:lang w:eastAsia="zh-CN"/>
        </w:rPr>
        <w:t xml:space="preserve">Peng SY, </w:t>
      </w:r>
      <w:r w:rsidRPr="007B09E8">
        <w:rPr>
          <w:rFonts w:ascii="Book Antiqua" w:eastAsia="SimSun" w:hAnsi="Book Antiqua" w:cs="Times New Roman"/>
          <w:bCs/>
          <w:sz w:val="24"/>
          <w:szCs w:val="24"/>
          <w:lang w:eastAsia="zh-CN"/>
        </w:rPr>
        <w:t>Kleeff</w:t>
      </w:r>
      <w:r w:rsidRPr="007B09E8">
        <w:rPr>
          <w:rFonts w:ascii="Book Antiqua" w:eastAsia="SimSun" w:hAnsi="Book Antiqua" w:cs="Times New Roman" w:hint="eastAsia"/>
          <w:bCs/>
          <w:sz w:val="24"/>
          <w:szCs w:val="24"/>
          <w:lang w:eastAsia="zh-CN"/>
        </w:rPr>
        <w:t xml:space="preserve"> </w:t>
      </w:r>
      <w:r w:rsidRPr="007B09E8">
        <w:rPr>
          <w:rFonts w:ascii="Book Antiqua" w:eastAsia="SimSun" w:hAnsi="Book Antiqua" w:cs="Times New Roman"/>
          <w:bCs/>
          <w:sz w:val="24"/>
          <w:szCs w:val="24"/>
          <w:lang w:eastAsia="zh-CN"/>
        </w:rPr>
        <w:t>J</w:t>
      </w:r>
      <w:r w:rsidRPr="007B09E8">
        <w:rPr>
          <w:rFonts w:ascii="Book Antiqua" w:eastAsia="SimSun" w:hAnsi="Book Antiqua" w:cs="Times New Roman" w:hint="eastAsia"/>
          <w:b/>
          <w:bCs/>
          <w:sz w:val="24"/>
          <w:szCs w:val="24"/>
          <w:lang w:eastAsia="zh-CN"/>
        </w:rPr>
        <w:t xml:space="preserve"> </w:t>
      </w:r>
      <w:r w:rsidRPr="007B09E8">
        <w:rPr>
          <w:rFonts w:ascii="Book Antiqua" w:eastAsia="SimSun" w:hAnsi="Book Antiqua" w:cs="Times New Roman"/>
          <w:b/>
          <w:bCs/>
          <w:sz w:val="24"/>
          <w:szCs w:val="24"/>
          <w:lang w:eastAsia="zh-CN"/>
        </w:rPr>
        <w:t>S-Editor:</w:t>
      </w:r>
      <w:r w:rsidRPr="007B09E8">
        <w:rPr>
          <w:rFonts w:ascii="Book Antiqua" w:eastAsia="SimSun" w:hAnsi="Book Antiqua" w:cs="Times New Roman" w:hint="eastAsia"/>
          <w:sz w:val="24"/>
          <w:szCs w:val="24"/>
          <w:lang w:eastAsia="zh-CN"/>
        </w:rPr>
        <w:t xml:space="preserve"> Gong ZM</w:t>
      </w:r>
    </w:p>
    <w:p w14:paraId="227662BF" w14:textId="77777777" w:rsidR="007C190C" w:rsidRPr="007B09E8" w:rsidRDefault="007C190C" w:rsidP="007C190C">
      <w:pPr>
        <w:snapToGrid w:val="0"/>
        <w:spacing w:after="0" w:line="360" w:lineRule="auto"/>
        <w:jc w:val="right"/>
        <w:rPr>
          <w:rFonts w:ascii="Book Antiqua" w:eastAsia="SimSun" w:hAnsi="Book Antiqua" w:cs="Times New Roman"/>
          <w:b/>
          <w:bCs/>
          <w:sz w:val="24"/>
          <w:szCs w:val="24"/>
          <w:lang w:eastAsia="zh-CN"/>
        </w:rPr>
      </w:pPr>
      <w:r w:rsidRPr="007B09E8">
        <w:rPr>
          <w:rFonts w:ascii="Book Antiqua" w:eastAsia="SimSun" w:hAnsi="Book Antiqua" w:cs="Times New Roman"/>
          <w:b/>
          <w:bCs/>
          <w:sz w:val="24"/>
          <w:szCs w:val="24"/>
          <w:lang w:eastAsia="zh-CN"/>
        </w:rPr>
        <w:t>L-Editor:</w:t>
      </w:r>
      <w:r w:rsidRPr="007B09E8">
        <w:rPr>
          <w:rFonts w:ascii="Book Antiqua" w:eastAsia="SimSun" w:hAnsi="Book Antiqua" w:cs="Times New Roman"/>
          <w:sz w:val="24"/>
          <w:szCs w:val="24"/>
          <w:lang w:eastAsia="zh-CN"/>
        </w:rPr>
        <w:t xml:space="preserve"> </w:t>
      </w:r>
      <w:r w:rsidRPr="007B09E8">
        <w:rPr>
          <w:rFonts w:ascii="Book Antiqua" w:eastAsia="SimSun" w:hAnsi="Book Antiqua" w:cs="Times New Roman"/>
          <w:b/>
          <w:bCs/>
          <w:sz w:val="24"/>
          <w:szCs w:val="24"/>
          <w:lang w:eastAsia="zh-CN"/>
        </w:rPr>
        <w:t>E-Editor:</w:t>
      </w:r>
    </w:p>
    <w:p w14:paraId="32B70777" w14:textId="77777777" w:rsidR="007C190C" w:rsidRPr="007B09E8" w:rsidRDefault="007C190C" w:rsidP="007C190C">
      <w:pPr>
        <w:shd w:val="clear" w:color="auto" w:fill="FFFFFF"/>
        <w:snapToGrid w:val="0"/>
        <w:spacing w:after="0" w:line="360" w:lineRule="auto"/>
        <w:jc w:val="both"/>
        <w:rPr>
          <w:rFonts w:ascii="Book Antiqua" w:eastAsia="SimSun" w:hAnsi="Book Antiqua" w:cs="Helvetica"/>
          <w:b/>
          <w:sz w:val="24"/>
          <w:szCs w:val="24"/>
          <w:lang w:eastAsia="zh-CN"/>
        </w:rPr>
      </w:pPr>
      <w:bookmarkStart w:id="183" w:name="OLE_LINK880"/>
      <w:bookmarkStart w:id="184" w:name="OLE_LINK881"/>
      <w:bookmarkStart w:id="185" w:name="OLE_LINK497"/>
      <w:bookmarkStart w:id="186" w:name="OLE_LINK81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7B09E8">
        <w:rPr>
          <w:rFonts w:ascii="Book Antiqua" w:eastAsia="SimSun" w:hAnsi="Book Antiqua" w:cs="Helvetica"/>
          <w:b/>
          <w:sz w:val="24"/>
          <w:szCs w:val="24"/>
          <w:lang w:eastAsia="zh-CN"/>
        </w:rPr>
        <w:t xml:space="preserve">Specialty type: </w:t>
      </w:r>
      <w:r w:rsidRPr="007B09E8">
        <w:rPr>
          <w:rFonts w:ascii="Book Antiqua" w:eastAsia="SimSun" w:hAnsi="Book Antiqua" w:cs="Helvetica"/>
          <w:sz w:val="24"/>
          <w:szCs w:val="24"/>
          <w:lang w:eastAsia="zh-CN"/>
        </w:rPr>
        <w:t>Gastroenterology and</w:t>
      </w:r>
      <w:r w:rsidRPr="007B09E8">
        <w:rPr>
          <w:rFonts w:ascii="Book Antiqua" w:eastAsia="SimSun" w:hAnsi="Book Antiqua" w:cs="Helvetica" w:hint="eastAsia"/>
          <w:sz w:val="24"/>
          <w:szCs w:val="24"/>
          <w:lang w:eastAsia="zh-CN"/>
        </w:rPr>
        <w:t xml:space="preserve"> </w:t>
      </w:r>
      <w:r w:rsidRPr="007B09E8">
        <w:rPr>
          <w:rFonts w:ascii="Book Antiqua" w:eastAsia="SimSun" w:hAnsi="Book Antiqua" w:cs="Helvetica"/>
          <w:sz w:val="24"/>
          <w:szCs w:val="24"/>
          <w:lang w:eastAsia="zh-CN"/>
        </w:rPr>
        <w:t>hepatology</w:t>
      </w:r>
    </w:p>
    <w:p w14:paraId="32A61E0C" w14:textId="77777777" w:rsidR="007C190C" w:rsidRPr="007B09E8" w:rsidRDefault="007C190C" w:rsidP="007C190C">
      <w:pPr>
        <w:shd w:val="clear" w:color="auto" w:fill="FFFFFF"/>
        <w:snapToGrid w:val="0"/>
        <w:spacing w:after="0" w:line="360" w:lineRule="auto"/>
        <w:jc w:val="both"/>
        <w:rPr>
          <w:rFonts w:ascii="Book Antiqua" w:eastAsia="SimSun" w:hAnsi="Book Antiqua" w:cs="Helvetica"/>
          <w:b/>
          <w:sz w:val="24"/>
          <w:szCs w:val="24"/>
          <w:lang w:eastAsia="zh-CN"/>
        </w:rPr>
      </w:pPr>
      <w:r w:rsidRPr="007B09E8">
        <w:rPr>
          <w:rFonts w:ascii="Book Antiqua" w:eastAsia="SimSun" w:hAnsi="Book Antiqua" w:cs="Helvetica"/>
          <w:b/>
          <w:sz w:val="24"/>
          <w:szCs w:val="24"/>
          <w:lang w:eastAsia="zh-CN"/>
        </w:rPr>
        <w:t xml:space="preserve">Country of origin: </w:t>
      </w:r>
      <w:r w:rsidRPr="007B09E8">
        <w:rPr>
          <w:rFonts w:ascii="Book Antiqua" w:eastAsia="SimSun" w:hAnsi="Book Antiqua" w:cs="Helvetica"/>
          <w:sz w:val="24"/>
          <w:szCs w:val="24"/>
          <w:lang w:eastAsia="zh-CN"/>
        </w:rPr>
        <w:t>Lebanon</w:t>
      </w:r>
    </w:p>
    <w:p w14:paraId="29DB8695" w14:textId="77777777" w:rsidR="007C190C" w:rsidRPr="007B09E8" w:rsidRDefault="007C190C" w:rsidP="007C190C">
      <w:pPr>
        <w:shd w:val="clear" w:color="auto" w:fill="FFFFFF"/>
        <w:snapToGrid w:val="0"/>
        <w:spacing w:after="0" w:line="360" w:lineRule="auto"/>
        <w:jc w:val="both"/>
        <w:rPr>
          <w:rFonts w:ascii="Book Antiqua" w:eastAsia="SimSun" w:hAnsi="Book Antiqua" w:cs="Helvetica"/>
          <w:b/>
          <w:sz w:val="24"/>
          <w:szCs w:val="24"/>
          <w:lang w:eastAsia="zh-CN"/>
        </w:rPr>
      </w:pPr>
      <w:r w:rsidRPr="007B09E8">
        <w:rPr>
          <w:rFonts w:ascii="Book Antiqua" w:eastAsia="SimSun" w:hAnsi="Book Antiqua" w:cs="Helvetica"/>
          <w:b/>
          <w:sz w:val="24"/>
          <w:szCs w:val="24"/>
          <w:lang w:eastAsia="zh-CN"/>
        </w:rPr>
        <w:t>Peer-review report classification</w:t>
      </w:r>
    </w:p>
    <w:p w14:paraId="65C6BBE6" w14:textId="77777777" w:rsidR="007C190C" w:rsidRPr="007B09E8" w:rsidRDefault="007C190C" w:rsidP="007C190C">
      <w:pPr>
        <w:shd w:val="clear" w:color="auto" w:fill="FFFFFF"/>
        <w:snapToGrid w:val="0"/>
        <w:spacing w:after="0" w:line="360" w:lineRule="auto"/>
        <w:jc w:val="both"/>
        <w:rPr>
          <w:rFonts w:ascii="Book Antiqua" w:eastAsia="SimSun" w:hAnsi="Book Antiqua" w:cs="Helvetica"/>
          <w:sz w:val="24"/>
          <w:szCs w:val="24"/>
          <w:lang w:eastAsia="zh-CN"/>
        </w:rPr>
      </w:pPr>
      <w:r w:rsidRPr="007B09E8">
        <w:rPr>
          <w:rFonts w:ascii="Book Antiqua" w:eastAsia="SimSun" w:hAnsi="Book Antiqua" w:cs="Helvetica"/>
          <w:sz w:val="24"/>
          <w:szCs w:val="24"/>
          <w:lang w:eastAsia="zh-CN"/>
        </w:rPr>
        <w:t xml:space="preserve">Grade A (Excellent): </w:t>
      </w:r>
      <w:r w:rsidRPr="007B09E8">
        <w:rPr>
          <w:rFonts w:ascii="Book Antiqua" w:eastAsia="SimSun" w:hAnsi="Book Antiqua" w:cs="Helvetica" w:hint="eastAsia"/>
          <w:sz w:val="24"/>
          <w:szCs w:val="24"/>
          <w:lang w:eastAsia="zh-CN"/>
        </w:rPr>
        <w:t>A</w:t>
      </w:r>
    </w:p>
    <w:p w14:paraId="1423421F" w14:textId="77777777" w:rsidR="007C190C" w:rsidRPr="007B09E8" w:rsidRDefault="007C190C" w:rsidP="007C190C">
      <w:pPr>
        <w:shd w:val="clear" w:color="auto" w:fill="FFFFFF"/>
        <w:snapToGrid w:val="0"/>
        <w:spacing w:after="0" w:line="360" w:lineRule="auto"/>
        <w:jc w:val="both"/>
        <w:rPr>
          <w:rFonts w:ascii="Book Antiqua" w:eastAsia="SimSun" w:hAnsi="Book Antiqua" w:cs="Helvetica"/>
          <w:sz w:val="24"/>
          <w:szCs w:val="24"/>
          <w:lang w:eastAsia="zh-CN"/>
        </w:rPr>
      </w:pPr>
      <w:r w:rsidRPr="007B09E8">
        <w:rPr>
          <w:rFonts w:ascii="Book Antiqua" w:eastAsia="SimSun" w:hAnsi="Book Antiqua" w:cs="Helvetica"/>
          <w:sz w:val="24"/>
          <w:szCs w:val="24"/>
          <w:lang w:eastAsia="zh-CN"/>
        </w:rPr>
        <w:t xml:space="preserve">Grade B (Very good): </w:t>
      </w:r>
      <w:r w:rsidRPr="007B09E8">
        <w:rPr>
          <w:rFonts w:ascii="Book Antiqua" w:eastAsia="SimSun" w:hAnsi="Book Antiqua" w:cs="Helvetica" w:hint="eastAsia"/>
          <w:sz w:val="24"/>
          <w:szCs w:val="24"/>
          <w:lang w:eastAsia="zh-CN"/>
        </w:rPr>
        <w:t>0</w:t>
      </w:r>
    </w:p>
    <w:p w14:paraId="27AC5164" w14:textId="2BEEFD80" w:rsidR="007C190C" w:rsidRPr="007B09E8" w:rsidRDefault="007C190C" w:rsidP="007C190C">
      <w:pPr>
        <w:shd w:val="clear" w:color="auto" w:fill="FFFFFF"/>
        <w:snapToGrid w:val="0"/>
        <w:spacing w:after="0" w:line="360" w:lineRule="auto"/>
        <w:jc w:val="both"/>
        <w:rPr>
          <w:rFonts w:ascii="Book Antiqua" w:eastAsia="SimSun" w:hAnsi="Book Antiqua" w:cs="Helvetica"/>
          <w:sz w:val="24"/>
          <w:szCs w:val="24"/>
          <w:lang w:eastAsia="zh-CN"/>
        </w:rPr>
      </w:pPr>
      <w:r w:rsidRPr="007B09E8">
        <w:rPr>
          <w:rFonts w:ascii="Book Antiqua" w:eastAsia="SimSun" w:hAnsi="Book Antiqua" w:cs="Helvetica"/>
          <w:sz w:val="24"/>
          <w:szCs w:val="24"/>
          <w:lang w:eastAsia="zh-CN"/>
        </w:rPr>
        <w:t xml:space="preserve">Grade C (Good): </w:t>
      </w:r>
      <w:r w:rsidRPr="007B09E8">
        <w:rPr>
          <w:rFonts w:ascii="Book Antiqua" w:eastAsia="SimSun" w:hAnsi="Book Antiqua" w:cs="Helvetica" w:hint="eastAsia"/>
          <w:sz w:val="24"/>
          <w:szCs w:val="24"/>
          <w:lang w:eastAsia="zh-CN"/>
        </w:rPr>
        <w:t>C</w:t>
      </w:r>
      <w:r w:rsidR="00677304">
        <w:rPr>
          <w:rFonts w:ascii="Book Antiqua" w:eastAsia="SimSun" w:hAnsi="Book Antiqua" w:cs="Helvetica" w:hint="eastAsia"/>
          <w:sz w:val="24"/>
          <w:szCs w:val="24"/>
          <w:lang w:eastAsia="zh-CN"/>
        </w:rPr>
        <w:t>, C</w:t>
      </w:r>
    </w:p>
    <w:p w14:paraId="18BB30AA" w14:textId="77777777" w:rsidR="007C190C" w:rsidRPr="007B09E8" w:rsidRDefault="007C190C" w:rsidP="007C190C">
      <w:pPr>
        <w:shd w:val="clear" w:color="auto" w:fill="FFFFFF"/>
        <w:snapToGrid w:val="0"/>
        <w:spacing w:after="0" w:line="360" w:lineRule="auto"/>
        <w:jc w:val="both"/>
        <w:rPr>
          <w:rFonts w:ascii="Book Antiqua" w:eastAsia="SimSun" w:hAnsi="Book Antiqua" w:cs="Helvetica"/>
          <w:sz w:val="24"/>
          <w:szCs w:val="24"/>
          <w:lang w:eastAsia="zh-CN"/>
        </w:rPr>
      </w:pPr>
      <w:r w:rsidRPr="007B09E8">
        <w:rPr>
          <w:rFonts w:ascii="Book Antiqua" w:eastAsia="SimSun" w:hAnsi="Book Antiqua" w:cs="Helvetica"/>
          <w:sz w:val="24"/>
          <w:szCs w:val="24"/>
          <w:lang w:eastAsia="zh-CN"/>
        </w:rPr>
        <w:t xml:space="preserve">Grade D (Fair): </w:t>
      </w:r>
      <w:r w:rsidRPr="007B09E8">
        <w:rPr>
          <w:rFonts w:ascii="Book Antiqua" w:eastAsia="SimSun" w:hAnsi="Book Antiqua" w:cs="Helvetica" w:hint="eastAsia"/>
          <w:sz w:val="24"/>
          <w:szCs w:val="24"/>
          <w:lang w:eastAsia="zh-CN"/>
        </w:rPr>
        <w:t>0</w:t>
      </w:r>
    </w:p>
    <w:p w14:paraId="60469A3C" w14:textId="77777777" w:rsidR="007C190C" w:rsidRPr="007B09E8" w:rsidRDefault="007C190C" w:rsidP="007C190C">
      <w:pPr>
        <w:shd w:val="clear" w:color="auto" w:fill="FFFFFF"/>
        <w:snapToGrid w:val="0"/>
        <w:spacing w:after="0" w:line="360" w:lineRule="auto"/>
        <w:jc w:val="both"/>
        <w:rPr>
          <w:rFonts w:ascii="Book Antiqua" w:eastAsia="SimSun" w:hAnsi="Book Antiqua" w:cs="Helvetica"/>
          <w:sz w:val="24"/>
          <w:szCs w:val="24"/>
          <w:lang w:eastAsia="zh-CN"/>
        </w:rPr>
      </w:pPr>
      <w:r w:rsidRPr="007B09E8">
        <w:rPr>
          <w:rFonts w:ascii="Book Antiqua" w:eastAsia="SimSun" w:hAnsi="Book Antiqua" w:cs="Helvetica"/>
          <w:sz w:val="24"/>
          <w:szCs w:val="24"/>
          <w:lang w:eastAsia="zh-CN"/>
        </w:rPr>
        <w:t xml:space="preserve">Grade E (Poor): </w:t>
      </w:r>
      <w:r w:rsidRPr="007B09E8">
        <w:rPr>
          <w:rFonts w:ascii="Book Antiqua" w:eastAsia="SimSun" w:hAnsi="Book Antiqua" w:cs="Helvetica" w:hint="eastAsia"/>
          <w:sz w:val="24"/>
          <w:szCs w:val="24"/>
          <w:lang w:eastAsia="zh-CN"/>
        </w:rPr>
        <w:t>0</w:t>
      </w:r>
      <w:bookmarkEnd w:id="183"/>
      <w:bookmarkEnd w:id="184"/>
    </w:p>
    <w:bookmarkEnd w:id="185"/>
    <w:bookmarkEnd w:id="186"/>
    <w:p w14:paraId="59B08053" w14:textId="77777777" w:rsidR="002B667B" w:rsidRPr="007B09E8" w:rsidRDefault="002B667B" w:rsidP="00E872CF">
      <w:pPr>
        <w:snapToGrid w:val="0"/>
        <w:spacing w:after="0" w:line="360" w:lineRule="auto"/>
        <w:jc w:val="both"/>
        <w:rPr>
          <w:rFonts w:ascii="Book Antiqua" w:hAnsi="Book Antiqua" w:cstheme="majorBidi"/>
          <w:sz w:val="24"/>
          <w:szCs w:val="24"/>
          <w:lang w:eastAsia="zh-CN"/>
        </w:rPr>
      </w:pPr>
    </w:p>
    <w:p w14:paraId="683CA7F4" w14:textId="77777777" w:rsidR="001C32E4" w:rsidRPr="007B09E8" w:rsidRDefault="001C32E4">
      <w:r w:rsidRPr="007B09E8">
        <w:br w:type="page"/>
      </w:r>
    </w:p>
    <w:p w14:paraId="02836304" w14:textId="74779E86" w:rsidR="00CE681F" w:rsidRPr="007B09E8" w:rsidRDefault="000314C9" w:rsidP="00E872CF">
      <w:pPr>
        <w:snapToGrid w:val="0"/>
        <w:spacing w:after="0" w:line="360" w:lineRule="auto"/>
        <w:jc w:val="both"/>
        <w:rPr>
          <w:rFonts w:ascii="Book Antiqua" w:hAnsi="Book Antiqua" w:cstheme="majorBidi"/>
          <w:sz w:val="24"/>
          <w:szCs w:val="24"/>
          <w:lang w:eastAsia="zh-CN"/>
        </w:rPr>
      </w:pPr>
      <w:r w:rsidRPr="007B09E8">
        <w:rPr>
          <w:rFonts w:ascii="Book Antiqua" w:eastAsia="Times New Roman" w:hAnsi="Book Antiqua" w:cstheme="majorBidi"/>
          <w:b/>
          <w:sz w:val="24"/>
          <w:szCs w:val="24"/>
        </w:rPr>
        <w:lastRenderedPageBreak/>
        <w:t>Table 1</w:t>
      </w:r>
      <w:r w:rsidRPr="007B09E8">
        <w:rPr>
          <w:rFonts w:ascii="Book Antiqua" w:hAnsi="Book Antiqua" w:cstheme="majorBidi" w:hint="eastAsia"/>
          <w:b/>
          <w:sz w:val="24"/>
          <w:szCs w:val="24"/>
          <w:lang w:eastAsia="zh-CN"/>
        </w:rPr>
        <w:t xml:space="preserve"> </w:t>
      </w:r>
      <w:r w:rsidRPr="007B09E8">
        <w:rPr>
          <w:rFonts w:ascii="Book Antiqua" w:eastAsia="Times New Roman" w:hAnsi="Book Antiqua" w:cstheme="majorBidi"/>
          <w:b/>
          <w:sz w:val="24"/>
          <w:szCs w:val="24"/>
        </w:rPr>
        <w:t xml:space="preserve">Comparison of the pivotal studies approving FOLFIRINOX and </w:t>
      </w:r>
      <w:r w:rsidR="00E23A91" w:rsidRPr="007B09E8">
        <w:rPr>
          <w:rFonts w:ascii="Book Antiqua" w:eastAsia="Times New Roman" w:hAnsi="Book Antiqua" w:cstheme="majorBidi"/>
          <w:b/>
          <w:sz w:val="24"/>
          <w:szCs w:val="24"/>
        </w:rPr>
        <w:t>gemcitabine/nab-paclitaxel</w:t>
      </w:r>
      <w:r w:rsidR="00E23A91" w:rsidRPr="007B09E8">
        <w:rPr>
          <w:rFonts w:ascii="Book Antiqua" w:hAnsi="Book Antiqua" w:cstheme="majorBidi" w:hint="eastAsia"/>
          <w:b/>
          <w:sz w:val="24"/>
          <w:szCs w:val="24"/>
          <w:lang w:eastAsia="zh-CN"/>
        </w:rPr>
        <w:t xml:space="preserve"> </w:t>
      </w:r>
      <w:r w:rsidRPr="007B09E8">
        <w:rPr>
          <w:rFonts w:ascii="Book Antiqua" w:eastAsia="Times New Roman" w:hAnsi="Book Antiqua" w:cstheme="majorBidi"/>
          <w:b/>
          <w:sz w:val="24"/>
          <w:szCs w:val="24"/>
        </w:rPr>
        <w:t>in metastatic pancreatic cancer</w:t>
      </w:r>
    </w:p>
    <w:tbl>
      <w:tblPr>
        <w:tblStyle w:val="TableGrid"/>
        <w:tblW w:w="9783" w:type="dxa"/>
        <w:tblLook w:val="04A0" w:firstRow="1" w:lastRow="0" w:firstColumn="1" w:lastColumn="0" w:noHBand="0" w:noVBand="1"/>
      </w:tblPr>
      <w:tblGrid>
        <w:gridCol w:w="1784"/>
        <w:gridCol w:w="2280"/>
        <w:gridCol w:w="2839"/>
        <w:gridCol w:w="2880"/>
      </w:tblGrid>
      <w:tr w:rsidR="007B09E8" w:rsidRPr="007B09E8" w14:paraId="38313A80" w14:textId="77777777" w:rsidTr="000E0592">
        <w:trPr>
          <w:trHeight w:val="288"/>
        </w:trPr>
        <w:tc>
          <w:tcPr>
            <w:tcW w:w="1784" w:type="dxa"/>
            <w:noWrap/>
            <w:hideMark/>
          </w:tcPr>
          <w:p w14:paraId="20719D98" w14:textId="77777777" w:rsidR="000314C9" w:rsidRPr="007B09E8" w:rsidRDefault="000314C9" w:rsidP="00330EB9">
            <w:pPr>
              <w:snapToGrid w:val="0"/>
              <w:spacing w:line="360" w:lineRule="auto"/>
              <w:jc w:val="both"/>
              <w:rPr>
                <w:rFonts w:ascii="Book Antiqua" w:eastAsia="Times New Roman" w:hAnsi="Book Antiqua" w:cstheme="majorBidi"/>
                <w:sz w:val="24"/>
                <w:szCs w:val="24"/>
              </w:rPr>
            </w:pPr>
            <w:r w:rsidRPr="007B09E8">
              <w:rPr>
                <w:rFonts w:ascii="Book Antiqua" w:eastAsia="Times New Roman" w:hAnsi="Book Antiqua" w:cstheme="majorBidi"/>
                <w:sz w:val="24"/>
                <w:szCs w:val="24"/>
              </w:rPr>
              <w:t> </w:t>
            </w:r>
          </w:p>
        </w:tc>
        <w:tc>
          <w:tcPr>
            <w:tcW w:w="2280" w:type="dxa"/>
            <w:noWrap/>
            <w:hideMark/>
          </w:tcPr>
          <w:p w14:paraId="41B79A06" w14:textId="1400EE39" w:rsidR="000314C9" w:rsidRPr="007B09E8" w:rsidRDefault="000314C9" w:rsidP="000314C9">
            <w:pPr>
              <w:snapToGrid w:val="0"/>
              <w:spacing w:line="360" w:lineRule="auto"/>
              <w:jc w:val="center"/>
              <w:rPr>
                <w:rFonts w:ascii="Book Antiqua" w:eastAsia="Times New Roman" w:hAnsi="Book Antiqua" w:cstheme="majorBidi"/>
                <w:sz w:val="24"/>
                <w:szCs w:val="24"/>
              </w:rPr>
            </w:pPr>
          </w:p>
        </w:tc>
        <w:tc>
          <w:tcPr>
            <w:tcW w:w="2839" w:type="dxa"/>
            <w:hideMark/>
          </w:tcPr>
          <w:p w14:paraId="3B9CAECC" w14:textId="77777777" w:rsidR="000314C9" w:rsidRPr="007B09E8" w:rsidRDefault="000314C9" w:rsidP="000314C9">
            <w:pPr>
              <w:snapToGrid w:val="0"/>
              <w:spacing w:line="360" w:lineRule="auto"/>
              <w:jc w:val="center"/>
              <w:rPr>
                <w:rFonts w:ascii="Book Antiqua" w:eastAsia="Times New Roman" w:hAnsi="Book Antiqua" w:cstheme="majorBidi"/>
                <w:b/>
                <w:sz w:val="24"/>
                <w:szCs w:val="24"/>
              </w:rPr>
            </w:pPr>
            <w:r w:rsidRPr="007B09E8">
              <w:rPr>
                <w:rFonts w:ascii="Book Antiqua" w:eastAsia="Times New Roman" w:hAnsi="Book Antiqua" w:cstheme="majorBidi"/>
                <w:b/>
                <w:sz w:val="24"/>
                <w:szCs w:val="24"/>
              </w:rPr>
              <w:t>ACCORD/PRODIGE Trial (FOLFIRINOX )</w:t>
            </w:r>
            <w:r w:rsidRPr="007B09E8">
              <w:rPr>
                <w:rFonts w:ascii="Book Antiqua" w:eastAsia="Times New Roman" w:hAnsi="Book Antiqua" w:cstheme="majorBidi"/>
                <w:b/>
                <w:sz w:val="24"/>
                <w:szCs w:val="24"/>
                <w:vertAlign w:val="superscript"/>
              </w:rPr>
              <w:fldChar w:fldCharType="begin"/>
            </w:r>
            <w:r w:rsidRPr="007B09E8">
              <w:rPr>
                <w:rFonts w:ascii="Book Antiqua" w:eastAsia="Times New Roman" w:hAnsi="Book Antiqua" w:cstheme="majorBidi"/>
                <w:b/>
                <w:sz w:val="24"/>
                <w:szCs w:val="24"/>
                <w:vertAlign w:val="superscript"/>
              </w:rPr>
              <w:instrText xml:space="preserve"> ADDIN ZOTERO_ITEM CSL_CITATION {"citationID":"3jdj9n0m3","properties":{"formattedCitation":"(9)","plainCitation":"(9)"},"citationItems":[{"id":533,"uris":["http://zotero.org/users/local/f5Q4Fz2E/items/2D83VM3U"],"uri":["http://zotero.org/users/local/f5Q4Fz2E/items/2D83VM3U"],"itemData":{"id":533,"type":"article-journal","title":"FOLFIRINOX versus Gemcitabine for Metastatic Pancreatic Cancer","container-title":"New England Journal of Medicine","page":"1817-1825","volume":"364","issue":"19","source":"Taylor and Francis+NEJM","abstract":"Pancreatic adenocarcinoma was the fourth leading cause of death from cancer in the United States in 2010,1 and it carries a grim prognosis: the 5-year survival rate is 6% in Europe and the United States.1,2 Gemcitabine became the reference regimen for advanced pancreatic cancer after a randomized trial showed significant improvement in the median overall survival as compared with fluorouracil administered as an intravenous bolus (5.6 vs. 4.4 months, P=0.002).3 In the subsequent phase 3 trials of single-agent gemcitabine,4 the median overall survival ranged from 5.0 to 7.2 months. The combination of gemcitabine with a variety of cytotoxic and . . .","DOI":"10.1056/NEJMoa1011923","ISSN":"0028-4793","note":"PMID: 21561347","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5,11]]},"PMID":"21561347"}}],"schema":"https://github.com/citation-style-language/schema/raw/master/csl-citation.json"} </w:instrText>
            </w:r>
            <w:r w:rsidRPr="007B09E8">
              <w:rPr>
                <w:rFonts w:ascii="Book Antiqua" w:eastAsia="Times New Roman" w:hAnsi="Book Antiqua" w:cstheme="majorBidi"/>
                <w:b/>
                <w:sz w:val="24"/>
                <w:szCs w:val="24"/>
                <w:vertAlign w:val="superscript"/>
              </w:rPr>
              <w:fldChar w:fldCharType="separate"/>
            </w:r>
            <w:r w:rsidRPr="007B09E8">
              <w:rPr>
                <w:rFonts w:ascii="Book Antiqua" w:hAnsi="Book Antiqua" w:cstheme="majorBidi"/>
                <w:b/>
                <w:sz w:val="24"/>
                <w:szCs w:val="24"/>
                <w:vertAlign w:val="superscript"/>
              </w:rPr>
              <w:t>[9</w:t>
            </w:r>
            <w:r w:rsidRPr="007B09E8">
              <w:rPr>
                <w:rFonts w:ascii="Book Antiqua" w:eastAsia="Times New Roman" w:hAnsi="Book Antiqua" w:cstheme="majorBidi"/>
                <w:b/>
                <w:sz w:val="24"/>
                <w:szCs w:val="24"/>
                <w:vertAlign w:val="superscript"/>
              </w:rPr>
              <w:fldChar w:fldCharType="end"/>
            </w:r>
            <w:r w:rsidRPr="007B09E8">
              <w:rPr>
                <w:rFonts w:ascii="Book Antiqua" w:eastAsia="Times New Roman" w:hAnsi="Book Antiqua" w:cstheme="majorBidi"/>
                <w:b/>
                <w:sz w:val="24"/>
                <w:szCs w:val="24"/>
                <w:vertAlign w:val="superscript"/>
              </w:rPr>
              <w:t>]</w:t>
            </w:r>
          </w:p>
        </w:tc>
        <w:tc>
          <w:tcPr>
            <w:tcW w:w="2880" w:type="dxa"/>
            <w:hideMark/>
          </w:tcPr>
          <w:p w14:paraId="04EAA10E" w14:textId="77777777" w:rsidR="000314C9" w:rsidRPr="007B09E8" w:rsidRDefault="000314C9" w:rsidP="000314C9">
            <w:pPr>
              <w:snapToGrid w:val="0"/>
              <w:spacing w:line="360" w:lineRule="auto"/>
              <w:jc w:val="center"/>
              <w:rPr>
                <w:rFonts w:ascii="Book Antiqua" w:eastAsia="Times New Roman" w:hAnsi="Book Antiqua" w:cstheme="majorBidi"/>
                <w:b/>
                <w:sz w:val="24"/>
                <w:szCs w:val="24"/>
              </w:rPr>
            </w:pPr>
            <w:r w:rsidRPr="007B09E8">
              <w:rPr>
                <w:rFonts w:ascii="Book Antiqua" w:eastAsia="Times New Roman" w:hAnsi="Book Antiqua" w:cstheme="majorBidi"/>
                <w:b/>
                <w:sz w:val="24"/>
                <w:szCs w:val="24"/>
              </w:rPr>
              <w:t>MPACT Trial (GNP)</w:t>
            </w:r>
            <w:r w:rsidRPr="007B09E8">
              <w:rPr>
                <w:rFonts w:ascii="Book Antiqua" w:eastAsia="Times New Roman" w:hAnsi="Book Antiqua" w:cstheme="majorBidi"/>
                <w:b/>
                <w:sz w:val="24"/>
                <w:szCs w:val="24"/>
                <w:vertAlign w:val="superscript"/>
              </w:rPr>
              <w:fldChar w:fldCharType="begin"/>
            </w:r>
            <w:r w:rsidRPr="007B09E8">
              <w:rPr>
                <w:rFonts w:ascii="Book Antiqua" w:eastAsia="Times New Roman" w:hAnsi="Book Antiqua" w:cstheme="majorBidi"/>
                <w:b/>
                <w:sz w:val="24"/>
                <w:szCs w:val="24"/>
                <w:vertAlign w:val="superscript"/>
              </w:rPr>
              <w:instrText xml:space="preserve"> ADDIN ZOTERO_ITEM CSL_CITATION {"citationID":"1e7jmqh1j","properties":{"formattedCitation":"(10)","plainCitation":"(10)"},"citationItems":[{"id":1928,"uris":["http://zotero.org/users/local/f5Q4Fz2E/items/MHXZFHH3"],"uri":["http://zotero.org/users/local/f5Q4Fz2E/items/MHXZFHH3"],"itemData":{"id":1928,"type":"article-journal","title":"Increased Survival in Pancreatic Cancer with nab-Paclitaxel plus Gemcitabine","container-title":"New England Journal of Medicine","page":"1691-1703","volume":"369","issue":"18","source":"Taylor and Francis+NEJM","abstract":"Pancreatic cancer is the fourth leading cause of cancer-related death in Europe and the United States.1,2 Since 1997, gemcitabine therapy has been the standard first-line treatment for patients with unresectable locally advanced or metastatic pancreatic cancer.3 Among patients with metastatic disease, the 5-year survival rate is only 2%,1 and 1-year survival rates of 17 to 23% have been reported with gemcitabine.3–5 Numerous phase 2 studies involving patients with advanced pancreatic cancer have shown promising results; however, most subsequent large phase 3 studies have not shown significantly improved survival,6–16 with the exception of a study involving patients who . . .","DOI":"10.1056/NEJMoa1304369","ISSN":"0028-4793","note":"PMID: 24131140","author":[{"family":"Von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F."}],"issued":{"date-parts":[["2013",10,31]]},"PMID":"24131140"}}],"schema":"https://github.com/citation-style-language/schema/raw/master/csl-citation.json"} </w:instrText>
            </w:r>
            <w:r w:rsidRPr="007B09E8">
              <w:rPr>
                <w:rFonts w:ascii="Book Antiqua" w:eastAsia="Times New Roman" w:hAnsi="Book Antiqua" w:cstheme="majorBidi"/>
                <w:b/>
                <w:sz w:val="24"/>
                <w:szCs w:val="24"/>
                <w:vertAlign w:val="superscript"/>
              </w:rPr>
              <w:fldChar w:fldCharType="separate"/>
            </w:r>
            <w:r w:rsidRPr="007B09E8">
              <w:rPr>
                <w:rFonts w:ascii="Book Antiqua" w:hAnsi="Book Antiqua" w:cstheme="majorBidi"/>
                <w:b/>
                <w:sz w:val="24"/>
                <w:szCs w:val="24"/>
                <w:vertAlign w:val="superscript"/>
              </w:rPr>
              <w:t>[10</w:t>
            </w:r>
            <w:r w:rsidRPr="007B09E8">
              <w:rPr>
                <w:rFonts w:ascii="Book Antiqua" w:eastAsia="Times New Roman" w:hAnsi="Book Antiqua" w:cstheme="majorBidi"/>
                <w:b/>
                <w:sz w:val="24"/>
                <w:szCs w:val="24"/>
                <w:vertAlign w:val="superscript"/>
              </w:rPr>
              <w:fldChar w:fldCharType="end"/>
            </w:r>
            <w:r w:rsidRPr="007B09E8">
              <w:rPr>
                <w:rFonts w:ascii="Book Antiqua" w:eastAsia="Times New Roman" w:hAnsi="Book Antiqua" w:cstheme="majorBidi"/>
                <w:b/>
                <w:sz w:val="24"/>
                <w:szCs w:val="24"/>
                <w:vertAlign w:val="superscript"/>
              </w:rPr>
              <w:t>]</w:t>
            </w:r>
          </w:p>
        </w:tc>
      </w:tr>
      <w:tr w:rsidR="007B09E8" w:rsidRPr="007B09E8" w14:paraId="4C9B26FE" w14:textId="77777777" w:rsidTr="000E0592">
        <w:trPr>
          <w:trHeight w:val="144"/>
        </w:trPr>
        <w:tc>
          <w:tcPr>
            <w:tcW w:w="1784" w:type="dxa"/>
            <w:vMerge w:val="restart"/>
            <w:hideMark/>
          </w:tcPr>
          <w:p w14:paraId="539E24FA" w14:textId="0BCC8EC8" w:rsidR="000314C9" w:rsidRPr="007B09E8" w:rsidRDefault="000314C9" w:rsidP="000314C9">
            <w:pPr>
              <w:snapToGrid w:val="0"/>
              <w:spacing w:line="360" w:lineRule="auto"/>
              <w:rPr>
                <w:rFonts w:ascii="Book Antiqua" w:eastAsia="Times New Roman" w:hAnsi="Book Antiqua" w:cstheme="majorBidi"/>
                <w:sz w:val="24"/>
                <w:szCs w:val="24"/>
              </w:rPr>
            </w:pPr>
            <w:r w:rsidRPr="007B09E8">
              <w:rPr>
                <w:rFonts w:ascii="Book Antiqua" w:eastAsia="Times New Roman" w:hAnsi="Book Antiqua" w:cstheme="majorBidi"/>
                <w:sz w:val="24"/>
                <w:szCs w:val="24"/>
              </w:rPr>
              <w:t>Study characteristics</w:t>
            </w:r>
          </w:p>
        </w:tc>
        <w:tc>
          <w:tcPr>
            <w:tcW w:w="2280" w:type="dxa"/>
            <w:noWrap/>
            <w:hideMark/>
          </w:tcPr>
          <w:p w14:paraId="74FD7AE9"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Duration</w:t>
            </w:r>
          </w:p>
        </w:tc>
        <w:tc>
          <w:tcPr>
            <w:tcW w:w="2839" w:type="dxa"/>
            <w:hideMark/>
          </w:tcPr>
          <w:p w14:paraId="3B6132A8"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December 2005-October 2009</w:t>
            </w:r>
          </w:p>
        </w:tc>
        <w:tc>
          <w:tcPr>
            <w:tcW w:w="2880" w:type="dxa"/>
            <w:hideMark/>
          </w:tcPr>
          <w:p w14:paraId="1AE1342B"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May 2009-April 2012</w:t>
            </w:r>
          </w:p>
        </w:tc>
      </w:tr>
      <w:tr w:rsidR="007B09E8" w:rsidRPr="007B09E8" w14:paraId="02F204D3" w14:textId="77777777" w:rsidTr="000E0592">
        <w:trPr>
          <w:trHeight w:val="144"/>
        </w:trPr>
        <w:tc>
          <w:tcPr>
            <w:tcW w:w="1784" w:type="dxa"/>
            <w:vMerge/>
            <w:hideMark/>
          </w:tcPr>
          <w:p w14:paraId="7733C226"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17AC30E1"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Location</w:t>
            </w:r>
          </w:p>
        </w:tc>
        <w:tc>
          <w:tcPr>
            <w:tcW w:w="2839" w:type="dxa"/>
            <w:noWrap/>
            <w:hideMark/>
          </w:tcPr>
          <w:p w14:paraId="43DBF1FE"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France</w:t>
            </w:r>
          </w:p>
        </w:tc>
        <w:tc>
          <w:tcPr>
            <w:tcW w:w="2880" w:type="dxa"/>
            <w:noWrap/>
            <w:hideMark/>
          </w:tcPr>
          <w:p w14:paraId="67DF7756"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Multinational</w:t>
            </w:r>
          </w:p>
        </w:tc>
      </w:tr>
      <w:tr w:rsidR="007B09E8" w:rsidRPr="007B09E8" w14:paraId="0F2D76FA" w14:textId="77777777" w:rsidTr="000E0592">
        <w:trPr>
          <w:trHeight w:val="144"/>
        </w:trPr>
        <w:tc>
          <w:tcPr>
            <w:tcW w:w="1784" w:type="dxa"/>
            <w:vMerge/>
            <w:hideMark/>
          </w:tcPr>
          <w:p w14:paraId="19AFB951"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hideMark/>
          </w:tcPr>
          <w:p w14:paraId="056527C8"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Number of patients</w:t>
            </w:r>
          </w:p>
        </w:tc>
        <w:tc>
          <w:tcPr>
            <w:tcW w:w="2839" w:type="dxa"/>
            <w:noWrap/>
            <w:hideMark/>
          </w:tcPr>
          <w:p w14:paraId="14B3D57D"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342</w:t>
            </w:r>
          </w:p>
        </w:tc>
        <w:tc>
          <w:tcPr>
            <w:tcW w:w="2880" w:type="dxa"/>
            <w:noWrap/>
            <w:hideMark/>
          </w:tcPr>
          <w:p w14:paraId="5211C7DE"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861</w:t>
            </w:r>
          </w:p>
        </w:tc>
      </w:tr>
      <w:tr w:rsidR="007B09E8" w:rsidRPr="007B09E8" w14:paraId="1BBB74E4" w14:textId="77777777" w:rsidTr="000E0592">
        <w:trPr>
          <w:trHeight w:val="144"/>
        </w:trPr>
        <w:tc>
          <w:tcPr>
            <w:tcW w:w="1784" w:type="dxa"/>
            <w:vMerge/>
            <w:hideMark/>
          </w:tcPr>
          <w:p w14:paraId="5E3A1ACD"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76231D56" w14:textId="57450D5F"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Study design</w:t>
            </w:r>
          </w:p>
        </w:tc>
        <w:tc>
          <w:tcPr>
            <w:tcW w:w="2839" w:type="dxa"/>
            <w:noWrap/>
            <w:hideMark/>
          </w:tcPr>
          <w:p w14:paraId="3C29578A"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Phase 2-3</w:t>
            </w:r>
          </w:p>
        </w:tc>
        <w:tc>
          <w:tcPr>
            <w:tcW w:w="2880" w:type="dxa"/>
            <w:noWrap/>
            <w:hideMark/>
          </w:tcPr>
          <w:p w14:paraId="1910272C"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Phase 3</w:t>
            </w:r>
          </w:p>
        </w:tc>
      </w:tr>
      <w:tr w:rsidR="007B09E8" w:rsidRPr="007B09E8" w14:paraId="75B501E0" w14:textId="77777777" w:rsidTr="000E0592">
        <w:trPr>
          <w:trHeight w:val="144"/>
        </w:trPr>
        <w:tc>
          <w:tcPr>
            <w:tcW w:w="1784" w:type="dxa"/>
            <w:vMerge/>
            <w:hideMark/>
          </w:tcPr>
          <w:p w14:paraId="01800142"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3F97DFC9" w14:textId="2CD3EE1D" w:rsidR="000314C9" w:rsidRPr="007B09E8" w:rsidRDefault="000314C9" w:rsidP="000314C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Control arm</w:t>
            </w:r>
          </w:p>
        </w:tc>
        <w:tc>
          <w:tcPr>
            <w:tcW w:w="2839" w:type="dxa"/>
            <w:noWrap/>
            <w:hideMark/>
          </w:tcPr>
          <w:p w14:paraId="40710753"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Gemcitabine</w:t>
            </w:r>
          </w:p>
        </w:tc>
        <w:tc>
          <w:tcPr>
            <w:tcW w:w="2880" w:type="dxa"/>
            <w:noWrap/>
            <w:hideMark/>
          </w:tcPr>
          <w:p w14:paraId="4B32C4CE"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Gemcitabine</w:t>
            </w:r>
          </w:p>
        </w:tc>
      </w:tr>
      <w:tr w:rsidR="007B09E8" w:rsidRPr="007B09E8" w14:paraId="0A9863E5" w14:textId="77777777" w:rsidTr="000E0592">
        <w:trPr>
          <w:trHeight w:val="144"/>
        </w:trPr>
        <w:tc>
          <w:tcPr>
            <w:tcW w:w="1784" w:type="dxa"/>
            <w:vMerge w:val="restart"/>
            <w:hideMark/>
          </w:tcPr>
          <w:p w14:paraId="3C15F5EC" w14:textId="024C8DEC" w:rsidR="000314C9" w:rsidRPr="007B09E8" w:rsidRDefault="000314C9" w:rsidP="000314C9">
            <w:pPr>
              <w:snapToGrid w:val="0"/>
              <w:spacing w:line="360" w:lineRule="auto"/>
              <w:rPr>
                <w:rFonts w:ascii="Book Antiqua" w:eastAsia="Times New Roman" w:hAnsi="Book Antiqua" w:cstheme="majorBidi"/>
                <w:sz w:val="24"/>
                <w:szCs w:val="24"/>
              </w:rPr>
            </w:pPr>
            <w:r w:rsidRPr="007B09E8">
              <w:rPr>
                <w:rFonts w:ascii="Book Antiqua" w:eastAsia="Times New Roman" w:hAnsi="Book Antiqua" w:cstheme="majorBidi"/>
                <w:sz w:val="24"/>
                <w:szCs w:val="24"/>
              </w:rPr>
              <w:t>Patient and tumor characteristics</w:t>
            </w:r>
          </w:p>
        </w:tc>
        <w:tc>
          <w:tcPr>
            <w:tcW w:w="2280" w:type="dxa"/>
            <w:noWrap/>
            <w:hideMark/>
          </w:tcPr>
          <w:p w14:paraId="318828D7" w14:textId="380AA63F"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Median age</w:t>
            </w:r>
          </w:p>
        </w:tc>
        <w:tc>
          <w:tcPr>
            <w:tcW w:w="2839" w:type="dxa"/>
            <w:noWrap/>
            <w:hideMark/>
          </w:tcPr>
          <w:p w14:paraId="4F938C3B"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61 years</w:t>
            </w:r>
          </w:p>
        </w:tc>
        <w:tc>
          <w:tcPr>
            <w:tcW w:w="2880" w:type="dxa"/>
            <w:noWrap/>
            <w:hideMark/>
          </w:tcPr>
          <w:p w14:paraId="6A77A240"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62 years</w:t>
            </w:r>
          </w:p>
        </w:tc>
      </w:tr>
      <w:tr w:rsidR="007B09E8" w:rsidRPr="007B09E8" w14:paraId="0058DF55" w14:textId="77777777" w:rsidTr="000E0592">
        <w:trPr>
          <w:trHeight w:val="144"/>
        </w:trPr>
        <w:tc>
          <w:tcPr>
            <w:tcW w:w="1784" w:type="dxa"/>
            <w:vMerge/>
            <w:hideMark/>
          </w:tcPr>
          <w:p w14:paraId="133CF839"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250B66BE" w14:textId="786A0644"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Sex distribution</w:t>
            </w:r>
          </w:p>
        </w:tc>
        <w:tc>
          <w:tcPr>
            <w:tcW w:w="2839" w:type="dxa"/>
            <w:noWrap/>
            <w:hideMark/>
          </w:tcPr>
          <w:p w14:paraId="41715E2A"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Male (62%)</w:t>
            </w:r>
          </w:p>
        </w:tc>
        <w:tc>
          <w:tcPr>
            <w:tcW w:w="2880" w:type="dxa"/>
            <w:noWrap/>
            <w:hideMark/>
          </w:tcPr>
          <w:p w14:paraId="3536549D"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Male (57%)</w:t>
            </w:r>
          </w:p>
        </w:tc>
      </w:tr>
      <w:tr w:rsidR="007B09E8" w:rsidRPr="007B09E8" w14:paraId="3B2DF2F5" w14:textId="77777777" w:rsidTr="000E0592">
        <w:trPr>
          <w:trHeight w:val="144"/>
        </w:trPr>
        <w:tc>
          <w:tcPr>
            <w:tcW w:w="1784" w:type="dxa"/>
            <w:vMerge/>
            <w:hideMark/>
          </w:tcPr>
          <w:p w14:paraId="6C7C809D"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7F5F04D6"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ECOG</w:t>
            </w:r>
          </w:p>
        </w:tc>
        <w:tc>
          <w:tcPr>
            <w:tcW w:w="2839" w:type="dxa"/>
            <w:hideMark/>
          </w:tcPr>
          <w:p w14:paraId="7B49936E"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PS 0 (37.4%)</w:t>
            </w:r>
          </w:p>
          <w:p w14:paraId="50A9CF62"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PS 1 (61.9%)</w:t>
            </w:r>
          </w:p>
          <w:p w14:paraId="1D85B626"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PS 2 (0.6%)</w:t>
            </w:r>
          </w:p>
        </w:tc>
        <w:tc>
          <w:tcPr>
            <w:tcW w:w="2880" w:type="dxa"/>
            <w:hideMark/>
          </w:tcPr>
          <w:p w14:paraId="2DA99796" w14:textId="02BFCE43"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KPS 100 (16%)</w:t>
            </w:r>
          </w:p>
          <w:p w14:paraId="5E292FC7" w14:textId="135893BE"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KPS 80-90 (77%)</w:t>
            </w:r>
          </w:p>
          <w:p w14:paraId="6D1AE0C6"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KPS 60-70 (7%)</w:t>
            </w:r>
          </w:p>
        </w:tc>
      </w:tr>
      <w:tr w:rsidR="007B09E8" w:rsidRPr="007B09E8" w14:paraId="069A86FC" w14:textId="77777777" w:rsidTr="000E0592">
        <w:trPr>
          <w:trHeight w:val="144"/>
        </w:trPr>
        <w:tc>
          <w:tcPr>
            <w:tcW w:w="1784" w:type="dxa"/>
            <w:vMerge/>
            <w:hideMark/>
          </w:tcPr>
          <w:p w14:paraId="6CCE718D"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46E7122D" w14:textId="250DD6BB"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Tumor stage</w:t>
            </w:r>
          </w:p>
        </w:tc>
        <w:tc>
          <w:tcPr>
            <w:tcW w:w="2839" w:type="dxa"/>
            <w:noWrap/>
            <w:hideMark/>
          </w:tcPr>
          <w:p w14:paraId="0D45486C" w14:textId="3CF11368" w:rsidR="000314C9" w:rsidRPr="007B09E8" w:rsidRDefault="000314C9" w:rsidP="000314C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Metastatic</w:t>
            </w:r>
          </w:p>
        </w:tc>
        <w:tc>
          <w:tcPr>
            <w:tcW w:w="2880" w:type="dxa"/>
            <w:noWrap/>
            <w:hideMark/>
          </w:tcPr>
          <w:p w14:paraId="35F80312"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Metastatic</w:t>
            </w:r>
          </w:p>
        </w:tc>
      </w:tr>
      <w:tr w:rsidR="007B09E8" w:rsidRPr="007B09E8" w14:paraId="1A22ACF1" w14:textId="77777777" w:rsidTr="000E0592">
        <w:trPr>
          <w:trHeight w:val="144"/>
        </w:trPr>
        <w:tc>
          <w:tcPr>
            <w:tcW w:w="1784" w:type="dxa"/>
            <w:vMerge/>
            <w:hideMark/>
          </w:tcPr>
          <w:p w14:paraId="713922EC"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37FDAC79" w14:textId="00242732"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Metastatic sites</w:t>
            </w:r>
          </w:p>
        </w:tc>
        <w:tc>
          <w:tcPr>
            <w:tcW w:w="2839" w:type="dxa"/>
            <w:hideMark/>
          </w:tcPr>
          <w:p w14:paraId="19CE77CC"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Liver (87.6%)</w:t>
            </w:r>
          </w:p>
          <w:p w14:paraId="1C443980" w14:textId="77777777" w:rsidR="000314C9" w:rsidRPr="007B09E8" w:rsidRDefault="000314C9" w:rsidP="000314C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Lung (19.4%)</w:t>
            </w:r>
          </w:p>
          <w:p w14:paraId="6496380B" w14:textId="005E9A6D" w:rsidR="000314C9" w:rsidRPr="007B09E8" w:rsidRDefault="000314C9" w:rsidP="000314C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Peritoneum (19.4%)</w:t>
            </w:r>
          </w:p>
        </w:tc>
        <w:tc>
          <w:tcPr>
            <w:tcW w:w="2880" w:type="dxa"/>
            <w:hideMark/>
          </w:tcPr>
          <w:p w14:paraId="71F0F295" w14:textId="4828AABB"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Liver (85%)</w:t>
            </w:r>
          </w:p>
          <w:p w14:paraId="2F4207AB" w14:textId="77777777" w:rsidR="000314C9" w:rsidRPr="007B09E8" w:rsidRDefault="000314C9" w:rsidP="000314C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Lung (35%</w:t>
            </w:r>
            <w:r w:rsidRPr="007B09E8">
              <w:rPr>
                <w:rFonts w:ascii="Book Antiqua" w:hAnsi="Book Antiqua" w:cstheme="majorBidi" w:hint="eastAsia"/>
                <w:sz w:val="24"/>
                <w:szCs w:val="24"/>
                <w:lang w:eastAsia="zh-CN"/>
              </w:rPr>
              <w:t>)</w:t>
            </w:r>
          </w:p>
          <w:p w14:paraId="4397303F" w14:textId="132CE8F1"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Peritoneum (4%)</w:t>
            </w:r>
          </w:p>
        </w:tc>
      </w:tr>
      <w:tr w:rsidR="007B09E8" w:rsidRPr="007B09E8" w14:paraId="6A249ACF" w14:textId="77777777" w:rsidTr="000E0592">
        <w:trPr>
          <w:trHeight w:val="144"/>
        </w:trPr>
        <w:tc>
          <w:tcPr>
            <w:tcW w:w="1784" w:type="dxa"/>
            <w:vMerge/>
            <w:hideMark/>
          </w:tcPr>
          <w:p w14:paraId="3F515B0A"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5074CAA7" w14:textId="7A0F2E08" w:rsidR="000314C9" w:rsidRPr="007B09E8" w:rsidRDefault="000314C9" w:rsidP="000314C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Tumor location</w:t>
            </w:r>
          </w:p>
        </w:tc>
        <w:tc>
          <w:tcPr>
            <w:tcW w:w="2839" w:type="dxa"/>
            <w:noWrap/>
            <w:hideMark/>
          </w:tcPr>
          <w:p w14:paraId="2B8F546B"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Head (39.2%)</w:t>
            </w:r>
          </w:p>
        </w:tc>
        <w:tc>
          <w:tcPr>
            <w:tcW w:w="2880" w:type="dxa"/>
            <w:noWrap/>
            <w:hideMark/>
          </w:tcPr>
          <w:p w14:paraId="34A647FE"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Head (44%)</w:t>
            </w:r>
          </w:p>
        </w:tc>
      </w:tr>
      <w:tr w:rsidR="007B09E8" w:rsidRPr="007B09E8" w14:paraId="48D930B1" w14:textId="77777777" w:rsidTr="000E0592">
        <w:trPr>
          <w:trHeight w:val="144"/>
        </w:trPr>
        <w:tc>
          <w:tcPr>
            <w:tcW w:w="1784" w:type="dxa"/>
            <w:vMerge w:val="restart"/>
            <w:noWrap/>
            <w:hideMark/>
          </w:tcPr>
          <w:p w14:paraId="1953F89A" w14:textId="77777777" w:rsidR="000314C9" w:rsidRPr="007B09E8" w:rsidRDefault="000314C9" w:rsidP="000314C9">
            <w:pPr>
              <w:snapToGrid w:val="0"/>
              <w:spacing w:line="360" w:lineRule="auto"/>
              <w:rPr>
                <w:rFonts w:ascii="Book Antiqua" w:eastAsia="Times New Roman" w:hAnsi="Book Antiqua" w:cstheme="majorBidi"/>
                <w:sz w:val="24"/>
                <w:szCs w:val="24"/>
              </w:rPr>
            </w:pPr>
            <w:r w:rsidRPr="007B09E8">
              <w:rPr>
                <w:rFonts w:ascii="Book Antiqua" w:eastAsia="Times New Roman" w:hAnsi="Book Antiqua" w:cstheme="majorBidi"/>
                <w:sz w:val="24"/>
                <w:szCs w:val="24"/>
              </w:rPr>
              <w:t>Response</w:t>
            </w:r>
          </w:p>
        </w:tc>
        <w:tc>
          <w:tcPr>
            <w:tcW w:w="2280" w:type="dxa"/>
            <w:noWrap/>
            <w:hideMark/>
          </w:tcPr>
          <w:p w14:paraId="4574FA05"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ORR (%)</w:t>
            </w:r>
          </w:p>
        </w:tc>
        <w:tc>
          <w:tcPr>
            <w:tcW w:w="2839" w:type="dxa"/>
            <w:noWrap/>
            <w:hideMark/>
          </w:tcPr>
          <w:p w14:paraId="33A875FF"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31.6</w:t>
            </w:r>
          </w:p>
        </w:tc>
        <w:tc>
          <w:tcPr>
            <w:tcW w:w="2880" w:type="dxa"/>
            <w:noWrap/>
            <w:hideMark/>
          </w:tcPr>
          <w:p w14:paraId="60C38BDB"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23</w:t>
            </w:r>
          </w:p>
        </w:tc>
      </w:tr>
      <w:tr w:rsidR="007B09E8" w:rsidRPr="007B09E8" w14:paraId="426D1193" w14:textId="77777777" w:rsidTr="000E0592">
        <w:trPr>
          <w:trHeight w:val="144"/>
        </w:trPr>
        <w:tc>
          <w:tcPr>
            <w:tcW w:w="1784" w:type="dxa"/>
            <w:vMerge/>
            <w:hideMark/>
          </w:tcPr>
          <w:p w14:paraId="4F2DD1DD"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2BD8E3C7"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PR (%)</w:t>
            </w:r>
          </w:p>
        </w:tc>
        <w:tc>
          <w:tcPr>
            <w:tcW w:w="2839" w:type="dxa"/>
            <w:noWrap/>
            <w:hideMark/>
          </w:tcPr>
          <w:p w14:paraId="3AA710A0"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31</w:t>
            </w:r>
          </w:p>
        </w:tc>
        <w:tc>
          <w:tcPr>
            <w:tcW w:w="2880" w:type="dxa"/>
            <w:noWrap/>
            <w:hideMark/>
          </w:tcPr>
          <w:p w14:paraId="3635A0F8"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23</w:t>
            </w:r>
          </w:p>
        </w:tc>
      </w:tr>
      <w:tr w:rsidR="007B09E8" w:rsidRPr="007B09E8" w14:paraId="545DCC31" w14:textId="77777777" w:rsidTr="000E0592">
        <w:trPr>
          <w:trHeight w:val="144"/>
        </w:trPr>
        <w:tc>
          <w:tcPr>
            <w:tcW w:w="1784" w:type="dxa"/>
            <w:vMerge/>
            <w:hideMark/>
          </w:tcPr>
          <w:p w14:paraId="6D48192E"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01FADF51"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SD (%)</w:t>
            </w:r>
          </w:p>
        </w:tc>
        <w:tc>
          <w:tcPr>
            <w:tcW w:w="2839" w:type="dxa"/>
            <w:noWrap/>
            <w:hideMark/>
          </w:tcPr>
          <w:p w14:paraId="1055E598"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38.6</w:t>
            </w:r>
          </w:p>
        </w:tc>
        <w:tc>
          <w:tcPr>
            <w:tcW w:w="2880" w:type="dxa"/>
            <w:noWrap/>
            <w:hideMark/>
          </w:tcPr>
          <w:p w14:paraId="4A55B06B"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27</w:t>
            </w:r>
          </w:p>
        </w:tc>
      </w:tr>
      <w:tr w:rsidR="007B09E8" w:rsidRPr="007B09E8" w14:paraId="31E8F2A3" w14:textId="77777777" w:rsidTr="000E0592">
        <w:trPr>
          <w:trHeight w:val="144"/>
        </w:trPr>
        <w:tc>
          <w:tcPr>
            <w:tcW w:w="1784" w:type="dxa"/>
            <w:vMerge/>
            <w:hideMark/>
          </w:tcPr>
          <w:p w14:paraId="2D6F4D0B"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21EB5F49"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DCR (%)</w:t>
            </w:r>
          </w:p>
        </w:tc>
        <w:tc>
          <w:tcPr>
            <w:tcW w:w="2839" w:type="dxa"/>
            <w:noWrap/>
            <w:hideMark/>
          </w:tcPr>
          <w:p w14:paraId="5DB34783"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70.2</w:t>
            </w:r>
          </w:p>
        </w:tc>
        <w:tc>
          <w:tcPr>
            <w:tcW w:w="2880" w:type="dxa"/>
            <w:noWrap/>
            <w:hideMark/>
          </w:tcPr>
          <w:p w14:paraId="41CB5E2E"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48</w:t>
            </w:r>
          </w:p>
        </w:tc>
      </w:tr>
      <w:tr w:rsidR="007B09E8" w:rsidRPr="007B09E8" w14:paraId="69BE39F3" w14:textId="77777777" w:rsidTr="000E0592">
        <w:trPr>
          <w:trHeight w:val="144"/>
        </w:trPr>
        <w:tc>
          <w:tcPr>
            <w:tcW w:w="1784" w:type="dxa"/>
            <w:vMerge/>
            <w:hideMark/>
          </w:tcPr>
          <w:p w14:paraId="50B12E95"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3854DC07" w14:textId="3D7C75BD"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PFS (mo)</w:t>
            </w:r>
          </w:p>
        </w:tc>
        <w:tc>
          <w:tcPr>
            <w:tcW w:w="2839" w:type="dxa"/>
            <w:noWrap/>
            <w:hideMark/>
          </w:tcPr>
          <w:p w14:paraId="2A89C07A"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6.4</w:t>
            </w:r>
          </w:p>
        </w:tc>
        <w:tc>
          <w:tcPr>
            <w:tcW w:w="2880" w:type="dxa"/>
            <w:noWrap/>
            <w:hideMark/>
          </w:tcPr>
          <w:p w14:paraId="01A9CA30"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5.5</w:t>
            </w:r>
          </w:p>
        </w:tc>
      </w:tr>
      <w:tr w:rsidR="007B09E8" w:rsidRPr="007B09E8" w14:paraId="27242BD9" w14:textId="77777777" w:rsidTr="000E0592">
        <w:trPr>
          <w:trHeight w:val="144"/>
        </w:trPr>
        <w:tc>
          <w:tcPr>
            <w:tcW w:w="1784" w:type="dxa"/>
            <w:vMerge/>
            <w:hideMark/>
          </w:tcPr>
          <w:p w14:paraId="41C2070E"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4B9578FB" w14:textId="180116FE"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OS (mo)</w:t>
            </w:r>
          </w:p>
        </w:tc>
        <w:tc>
          <w:tcPr>
            <w:tcW w:w="2839" w:type="dxa"/>
            <w:noWrap/>
            <w:hideMark/>
          </w:tcPr>
          <w:p w14:paraId="404F074E"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11.1</w:t>
            </w:r>
          </w:p>
        </w:tc>
        <w:tc>
          <w:tcPr>
            <w:tcW w:w="2880" w:type="dxa"/>
            <w:noWrap/>
            <w:hideMark/>
          </w:tcPr>
          <w:p w14:paraId="32D8182C"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8.5</w:t>
            </w:r>
          </w:p>
        </w:tc>
      </w:tr>
      <w:tr w:rsidR="007B09E8" w:rsidRPr="007B09E8" w14:paraId="3A25D206" w14:textId="77777777" w:rsidTr="000E0592">
        <w:trPr>
          <w:trHeight w:val="144"/>
        </w:trPr>
        <w:tc>
          <w:tcPr>
            <w:tcW w:w="1784" w:type="dxa"/>
            <w:vMerge/>
            <w:hideMark/>
          </w:tcPr>
          <w:p w14:paraId="31B2F1D5"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38F45597" w14:textId="299CA3BA"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1-yr OS (%)</w:t>
            </w:r>
          </w:p>
          <w:p w14:paraId="10845A33"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p>
        </w:tc>
        <w:tc>
          <w:tcPr>
            <w:tcW w:w="2839" w:type="dxa"/>
            <w:noWrap/>
            <w:hideMark/>
          </w:tcPr>
          <w:p w14:paraId="40850FEC"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lastRenderedPageBreak/>
              <w:t>48.4</w:t>
            </w:r>
          </w:p>
        </w:tc>
        <w:tc>
          <w:tcPr>
            <w:tcW w:w="2880" w:type="dxa"/>
            <w:noWrap/>
            <w:hideMark/>
          </w:tcPr>
          <w:p w14:paraId="4BC0AFD1"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35</w:t>
            </w:r>
          </w:p>
        </w:tc>
      </w:tr>
      <w:tr w:rsidR="007B09E8" w:rsidRPr="007B09E8" w14:paraId="0646AB6B" w14:textId="77777777" w:rsidTr="000E0592">
        <w:trPr>
          <w:trHeight w:val="144"/>
        </w:trPr>
        <w:tc>
          <w:tcPr>
            <w:tcW w:w="1784" w:type="dxa"/>
            <w:vMerge w:val="restart"/>
            <w:hideMark/>
          </w:tcPr>
          <w:p w14:paraId="57F6F5A3" w14:textId="6FD4D990" w:rsidR="000314C9" w:rsidRPr="007B09E8" w:rsidRDefault="000314C9" w:rsidP="000314C9">
            <w:pPr>
              <w:snapToGrid w:val="0"/>
              <w:spacing w:line="360" w:lineRule="auto"/>
              <w:rPr>
                <w:rFonts w:ascii="Book Antiqua" w:eastAsia="Times New Roman" w:hAnsi="Book Antiqua" w:cstheme="majorBidi"/>
                <w:sz w:val="24"/>
                <w:szCs w:val="24"/>
              </w:rPr>
            </w:pPr>
            <w:r w:rsidRPr="007B09E8">
              <w:rPr>
                <w:rFonts w:ascii="Book Antiqua" w:eastAsia="Times New Roman" w:hAnsi="Book Antiqua" w:cstheme="majorBidi"/>
                <w:sz w:val="24"/>
                <w:szCs w:val="24"/>
              </w:rPr>
              <w:t>Safety (Grade 3-4 toxicities)</w:t>
            </w:r>
          </w:p>
        </w:tc>
        <w:tc>
          <w:tcPr>
            <w:tcW w:w="2280" w:type="dxa"/>
            <w:noWrap/>
            <w:hideMark/>
          </w:tcPr>
          <w:p w14:paraId="383A56AA"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Neutropenia</w:t>
            </w:r>
          </w:p>
        </w:tc>
        <w:tc>
          <w:tcPr>
            <w:tcW w:w="2839" w:type="dxa"/>
            <w:noWrap/>
            <w:hideMark/>
          </w:tcPr>
          <w:p w14:paraId="311B998A"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45.7</w:t>
            </w:r>
          </w:p>
        </w:tc>
        <w:tc>
          <w:tcPr>
            <w:tcW w:w="2880" w:type="dxa"/>
            <w:noWrap/>
            <w:hideMark/>
          </w:tcPr>
          <w:p w14:paraId="0ADE1E8D"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38</w:t>
            </w:r>
          </w:p>
        </w:tc>
      </w:tr>
      <w:tr w:rsidR="007B09E8" w:rsidRPr="007B09E8" w14:paraId="451EEFCE" w14:textId="77777777" w:rsidTr="000E0592">
        <w:trPr>
          <w:trHeight w:val="144"/>
        </w:trPr>
        <w:tc>
          <w:tcPr>
            <w:tcW w:w="1784" w:type="dxa"/>
            <w:vMerge/>
            <w:hideMark/>
          </w:tcPr>
          <w:p w14:paraId="602AD114"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65A3E8B8" w14:textId="3CC34F24"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 xml:space="preserve">Febrile </w:t>
            </w:r>
            <w:r w:rsidR="005F6F9B" w:rsidRPr="007B09E8">
              <w:rPr>
                <w:rFonts w:ascii="Book Antiqua" w:eastAsia="Times New Roman" w:hAnsi="Book Antiqua" w:cstheme="majorBidi"/>
                <w:sz w:val="24"/>
                <w:szCs w:val="24"/>
              </w:rPr>
              <w:t>n</w:t>
            </w:r>
            <w:r w:rsidRPr="007B09E8">
              <w:rPr>
                <w:rFonts w:ascii="Book Antiqua" w:eastAsia="Times New Roman" w:hAnsi="Book Antiqua" w:cstheme="majorBidi"/>
                <w:sz w:val="24"/>
                <w:szCs w:val="24"/>
              </w:rPr>
              <w:t>eutropenia</w:t>
            </w:r>
          </w:p>
        </w:tc>
        <w:tc>
          <w:tcPr>
            <w:tcW w:w="2839" w:type="dxa"/>
            <w:noWrap/>
            <w:hideMark/>
          </w:tcPr>
          <w:p w14:paraId="5C23CFBB"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5.4</w:t>
            </w:r>
          </w:p>
        </w:tc>
        <w:tc>
          <w:tcPr>
            <w:tcW w:w="2880" w:type="dxa"/>
            <w:noWrap/>
            <w:hideMark/>
          </w:tcPr>
          <w:p w14:paraId="64E5208F"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3</w:t>
            </w:r>
          </w:p>
        </w:tc>
      </w:tr>
      <w:tr w:rsidR="007B09E8" w:rsidRPr="007B09E8" w14:paraId="253ADA01" w14:textId="77777777" w:rsidTr="000E0592">
        <w:trPr>
          <w:trHeight w:val="144"/>
        </w:trPr>
        <w:tc>
          <w:tcPr>
            <w:tcW w:w="1784" w:type="dxa"/>
            <w:vMerge/>
            <w:hideMark/>
          </w:tcPr>
          <w:p w14:paraId="4EE29437"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655CEEC6"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Thrombocytopenia</w:t>
            </w:r>
          </w:p>
        </w:tc>
        <w:tc>
          <w:tcPr>
            <w:tcW w:w="2839" w:type="dxa"/>
            <w:noWrap/>
            <w:hideMark/>
          </w:tcPr>
          <w:p w14:paraId="3941183E"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9.1</w:t>
            </w:r>
          </w:p>
        </w:tc>
        <w:tc>
          <w:tcPr>
            <w:tcW w:w="2880" w:type="dxa"/>
            <w:noWrap/>
            <w:hideMark/>
          </w:tcPr>
          <w:p w14:paraId="114BD519"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13</w:t>
            </w:r>
          </w:p>
        </w:tc>
      </w:tr>
      <w:tr w:rsidR="007B09E8" w:rsidRPr="007B09E8" w14:paraId="74BB4E58" w14:textId="77777777" w:rsidTr="000E0592">
        <w:trPr>
          <w:trHeight w:val="144"/>
        </w:trPr>
        <w:tc>
          <w:tcPr>
            <w:tcW w:w="1784" w:type="dxa"/>
            <w:vMerge/>
            <w:hideMark/>
          </w:tcPr>
          <w:p w14:paraId="5DCA1B7F"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2D8DCDC0"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Anemia</w:t>
            </w:r>
          </w:p>
        </w:tc>
        <w:tc>
          <w:tcPr>
            <w:tcW w:w="2839" w:type="dxa"/>
            <w:noWrap/>
            <w:hideMark/>
          </w:tcPr>
          <w:p w14:paraId="341B06D5"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7.8</w:t>
            </w:r>
          </w:p>
        </w:tc>
        <w:tc>
          <w:tcPr>
            <w:tcW w:w="2880" w:type="dxa"/>
            <w:noWrap/>
            <w:hideMark/>
          </w:tcPr>
          <w:p w14:paraId="0BE1E92E"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13</w:t>
            </w:r>
          </w:p>
        </w:tc>
      </w:tr>
      <w:tr w:rsidR="007B09E8" w:rsidRPr="007B09E8" w14:paraId="7D0EC3F5" w14:textId="77777777" w:rsidTr="000E0592">
        <w:trPr>
          <w:trHeight w:val="144"/>
        </w:trPr>
        <w:tc>
          <w:tcPr>
            <w:tcW w:w="1784" w:type="dxa"/>
            <w:vMerge/>
            <w:hideMark/>
          </w:tcPr>
          <w:p w14:paraId="50B96E7E"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74D0C098"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Fatigue</w:t>
            </w:r>
          </w:p>
        </w:tc>
        <w:tc>
          <w:tcPr>
            <w:tcW w:w="2839" w:type="dxa"/>
            <w:noWrap/>
            <w:hideMark/>
          </w:tcPr>
          <w:p w14:paraId="07798BD8"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23.6</w:t>
            </w:r>
          </w:p>
        </w:tc>
        <w:tc>
          <w:tcPr>
            <w:tcW w:w="2880" w:type="dxa"/>
            <w:noWrap/>
            <w:hideMark/>
          </w:tcPr>
          <w:p w14:paraId="5CF6A46D"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17</w:t>
            </w:r>
          </w:p>
        </w:tc>
      </w:tr>
      <w:tr w:rsidR="007B09E8" w:rsidRPr="007B09E8" w14:paraId="3FC5483E" w14:textId="77777777" w:rsidTr="000E0592">
        <w:trPr>
          <w:trHeight w:val="144"/>
        </w:trPr>
        <w:tc>
          <w:tcPr>
            <w:tcW w:w="1784" w:type="dxa"/>
            <w:vMerge/>
            <w:hideMark/>
          </w:tcPr>
          <w:p w14:paraId="3A809074"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7132951E" w14:textId="099F9D11"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 xml:space="preserve">Peripheral </w:t>
            </w:r>
            <w:r w:rsidR="005F6F9B" w:rsidRPr="007B09E8">
              <w:rPr>
                <w:rFonts w:ascii="Book Antiqua" w:eastAsia="Times New Roman" w:hAnsi="Book Antiqua" w:cstheme="majorBidi"/>
                <w:sz w:val="24"/>
                <w:szCs w:val="24"/>
              </w:rPr>
              <w:t>n</w:t>
            </w:r>
            <w:r w:rsidRPr="007B09E8">
              <w:rPr>
                <w:rFonts w:ascii="Book Antiqua" w:eastAsia="Times New Roman" w:hAnsi="Book Antiqua" w:cstheme="majorBidi"/>
                <w:sz w:val="24"/>
                <w:szCs w:val="24"/>
              </w:rPr>
              <w:t>europathy</w:t>
            </w:r>
          </w:p>
        </w:tc>
        <w:tc>
          <w:tcPr>
            <w:tcW w:w="2839" w:type="dxa"/>
            <w:noWrap/>
            <w:hideMark/>
          </w:tcPr>
          <w:p w14:paraId="3C8F9E14"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9</w:t>
            </w:r>
          </w:p>
        </w:tc>
        <w:tc>
          <w:tcPr>
            <w:tcW w:w="2880" w:type="dxa"/>
            <w:noWrap/>
            <w:hideMark/>
          </w:tcPr>
          <w:p w14:paraId="6CB03A9B"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17</w:t>
            </w:r>
          </w:p>
        </w:tc>
      </w:tr>
      <w:tr w:rsidR="007B09E8" w:rsidRPr="007B09E8" w14:paraId="017EAE0D" w14:textId="77777777" w:rsidTr="000E0592">
        <w:trPr>
          <w:trHeight w:val="144"/>
        </w:trPr>
        <w:tc>
          <w:tcPr>
            <w:tcW w:w="1784" w:type="dxa"/>
            <w:vMerge/>
            <w:hideMark/>
          </w:tcPr>
          <w:p w14:paraId="0E7136C9" w14:textId="77777777" w:rsidR="000314C9" w:rsidRPr="007B09E8" w:rsidRDefault="000314C9" w:rsidP="000314C9">
            <w:pPr>
              <w:snapToGrid w:val="0"/>
              <w:spacing w:line="360" w:lineRule="auto"/>
              <w:rPr>
                <w:rFonts w:ascii="Book Antiqua" w:eastAsia="Times New Roman" w:hAnsi="Book Antiqua" w:cstheme="majorBidi"/>
                <w:sz w:val="24"/>
                <w:szCs w:val="24"/>
              </w:rPr>
            </w:pPr>
          </w:p>
        </w:tc>
        <w:tc>
          <w:tcPr>
            <w:tcW w:w="2280" w:type="dxa"/>
            <w:noWrap/>
            <w:hideMark/>
          </w:tcPr>
          <w:p w14:paraId="0D560A63" w14:textId="4A4206D1" w:rsidR="000314C9" w:rsidRPr="007B09E8" w:rsidRDefault="000314C9" w:rsidP="000314C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Diarrhea</w:t>
            </w:r>
          </w:p>
        </w:tc>
        <w:tc>
          <w:tcPr>
            <w:tcW w:w="2839" w:type="dxa"/>
            <w:noWrap/>
            <w:hideMark/>
          </w:tcPr>
          <w:p w14:paraId="38D92705"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12.7</w:t>
            </w:r>
          </w:p>
        </w:tc>
        <w:tc>
          <w:tcPr>
            <w:tcW w:w="2880" w:type="dxa"/>
            <w:noWrap/>
            <w:hideMark/>
          </w:tcPr>
          <w:p w14:paraId="7DBAC759"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6</w:t>
            </w:r>
          </w:p>
        </w:tc>
      </w:tr>
      <w:tr w:rsidR="007B09E8" w:rsidRPr="007B09E8" w14:paraId="70A9241C" w14:textId="77777777" w:rsidTr="000E0592">
        <w:trPr>
          <w:trHeight w:val="144"/>
        </w:trPr>
        <w:tc>
          <w:tcPr>
            <w:tcW w:w="1784" w:type="dxa"/>
            <w:vMerge w:val="restart"/>
            <w:hideMark/>
          </w:tcPr>
          <w:p w14:paraId="73E7E0FE" w14:textId="2EE45BE8" w:rsidR="000314C9" w:rsidRPr="007B09E8" w:rsidRDefault="000314C9" w:rsidP="000314C9">
            <w:pPr>
              <w:snapToGrid w:val="0"/>
              <w:spacing w:line="360" w:lineRule="auto"/>
              <w:rPr>
                <w:rFonts w:ascii="Book Antiqua" w:hAnsi="Book Antiqua" w:cstheme="majorBidi"/>
                <w:sz w:val="24"/>
                <w:szCs w:val="24"/>
                <w:lang w:eastAsia="zh-CN"/>
              </w:rPr>
            </w:pPr>
            <w:r w:rsidRPr="007B09E8">
              <w:rPr>
                <w:rFonts w:ascii="Book Antiqua" w:eastAsia="Times New Roman" w:hAnsi="Book Antiqua" w:cstheme="majorBidi"/>
                <w:sz w:val="24"/>
                <w:szCs w:val="24"/>
              </w:rPr>
              <w:t xml:space="preserve">Side effects </w:t>
            </w:r>
          </w:p>
        </w:tc>
        <w:tc>
          <w:tcPr>
            <w:tcW w:w="2280" w:type="dxa"/>
            <w:noWrap/>
            <w:hideMark/>
          </w:tcPr>
          <w:p w14:paraId="21AF59ED" w14:textId="6C80B990"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Toxic death</w:t>
            </w:r>
          </w:p>
        </w:tc>
        <w:tc>
          <w:tcPr>
            <w:tcW w:w="2839" w:type="dxa"/>
            <w:noWrap/>
            <w:hideMark/>
          </w:tcPr>
          <w:p w14:paraId="5F199C75"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0.6</w:t>
            </w:r>
          </w:p>
        </w:tc>
        <w:tc>
          <w:tcPr>
            <w:tcW w:w="2880" w:type="dxa"/>
            <w:noWrap/>
            <w:hideMark/>
          </w:tcPr>
          <w:p w14:paraId="749419A7"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4</w:t>
            </w:r>
          </w:p>
        </w:tc>
      </w:tr>
      <w:tr w:rsidR="007B09E8" w:rsidRPr="007B09E8" w14:paraId="10D26DD0" w14:textId="77777777" w:rsidTr="000E0592">
        <w:trPr>
          <w:trHeight w:val="144"/>
        </w:trPr>
        <w:tc>
          <w:tcPr>
            <w:tcW w:w="1784" w:type="dxa"/>
            <w:vMerge/>
            <w:hideMark/>
          </w:tcPr>
          <w:p w14:paraId="23DB3D89" w14:textId="77777777" w:rsidR="000314C9" w:rsidRPr="007B09E8" w:rsidRDefault="000314C9" w:rsidP="00330EB9">
            <w:pPr>
              <w:snapToGrid w:val="0"/>
              <w:spacing w:line="360" w:lineRule="auto"/>
              <w:jc w:val="both"/>
              <w:rPr>
                <w:rFonts w:ascii="Book Antiqua" w:eastAsia="Times New Roman" w:hAnsi="Book Antiqua" w:cstheme="majorBidi"/>
                <w:sz w:val="24"/>
                <w:szCs w:val="24"/>
              </w:rPr>
            </w:pPr>
          </w:p>
        </w:tc>
        <w:tc>
          <w:tcPr>
            <w:tcW w:w="2280" w:type="dxa"/>
            <w:noWrap/>
            <w:hideMark/>
          </w:tcPr>
          <w:p w14:paraId="2CD471E2"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Alopecia</w:t>
            </w:r>
          </w:p>
        </w:tc>
        <w:tc>
          <w:tcPr>
            <w:tcW w:w="2839" w:type="dxa"/>
            <w:noWrap/>
            <w:hideMark/>
          </w:tcPr>
          <w:p w14:paraId="6D21BF05"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11.2</w:t>
            </w:r>
          </w:p>
        </w:tc>
        <w:tc>
          <w:tcPr>
            <w:tcW w:w="2880" w:type="dxa"/>
            <w:noWrap/>
            <w:hideMark/>
          </w:tcPr>
          <w:p w14:paraId="42AA0D71"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50</w:t>
            </w:r>
          </w:p>
        </w:tc>
      </w:tr>
      <w:tr w:rsidR="007B09E8" w:rsidRPr="007B09E8" w14:paraId="57D2040C" w14:textId="77777777" w:rsidTr="000E0592">
        <w:trPr>
          <w:trHeight w:val="144"/>
        </w:trPr>
        <w:tc>
          <w:tcPr>
            <w:tcW w:w="1784" w:type="dxa"/>
            <w:vMerge/>
            <w:hideMark/>
          </w:tcPr>
          <w:p w14:paraId="73CB7C28" w14:textId="77777777" w:rsidR="000314C9" w:rsidRPr="007B09E8" w:rsidRDefault="000314C9" w:rsidP="00330EB9">
            <w:pPr>
              <w:snapToGrid w:val="0"/>
              <w:spacing w:line="360" w:lineRule="auto"/>
              <w:jc w:val="both"/>
              <w:rPr>
                <w:rFonts w:ascii="Book Antiqua" w:eastAsia="Times New Roman" w:hAnsi="Book Antiqua" w:cstheme="majorBidi"/>
                <w:sz w:val="24"/>
                <w:szCs w:val="24"/>
              </w:rPr>
            </w:pPr>
          </w:p>
        </w:tc>
        <w:tc>
          <w:tcPr>
            <w:tcW w:w="2280" w:type="dxa"/>
            <w:noWrap/>
            <w:hideMark/>
          </w:tcPr>
          <w:p w14:paraId="60670231" w14:textId="571B380C"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G-CSF use</w:t>
            </w:r>
          </w:p>
        </w:tc>
        <w:tc>
          <w:tcPr>
            <w:tcW w:w="2839" w:type="dxa"/>
            <w:noWrap/>
            <w:hideMark/>
          </w:tcPr>
          <w:p w14:paraId="6ACBEEC9"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42.5</w:t>
            </w:r>
          </w:p>
        </w:tc>
        <w:tc>
          <w:tcPr>
            <w:tcW w:w="2880" w:type="dxa"/>
            <w:noWrap/>
            <w:hideMark/>
          </w:tcPr>
          <w:p w14:paraId="2C947ED2" w14:textId="77777777" w:rsidR="000314C9" w:rsidRPr="007B09E8" w:rsidRDefault="000314C9" w:rsidP="000314C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26</w:t>
            </w:r>
          </w:p>
        </w:tc>
      </w:tr>
    </w:tbl>
    <w:p w14:paraId="33179968" w14:textId="219AED54" w:rsidR="000314C9" w:rsidRPr="007B09E8" w:rsidRDefault="005F6F9B" w:rsidP="00E872CF">
      <w:pPr>
        <w:snapToGrid w:val="0"/>
        <w:spacing w:after="0" w:line="360" w:lineRule="auto"/>
        <w:jc w:val="both"/>
        <w:rPr>
          <w:rFonts w:ascii="Book Antiqua" w:hAnsi="Book Antiqua" w:cstheme="majorBidi"/>
          <w:sz w:val="24"/>
          <w:szCs w:val="24"/>
          <w:lang w:eastAsia="zh-CN"/>
        </w:rPr>
      </w:pPr>
      <w:r w:rsidRPr="007B09E8">
        <w:rPr>
          <w:rFonts w:ascii="Book Antiqua" w:eastAsia="Times New Roman" w:hAnsi="Book Antiqua" w:cstheme="majorBidi"/>
          <w:sz w:val="24"/>
          <w:szCs w:val="24"/>
        </w:rPr>
        <w:t xml:space="preserve">DCR: </w:t>
      </w:r>
      <w:r w:rsidRPr="007B09E8">
        <w:rPr>
          <w:rFonts w:ascii="Book Antiqua" w:eastAsia="Times New Roman" w:hAnsi="Book Antiqua" w:cstheme="majorBidi"/>
          <w:caps/>
          <w:sz w:val="24"/>
          <w:szCs w:val="24"/>
        </w:rPr>
        <w:t>d</w:t>
      </w:r>
      <w:r w:rsidRPr="007B09E8">
        <w:rPr>
          <w:rFonts w:ascii="Book Antiqua" w:eastAsia="Times New Roman" w:hAnsi="Book Antiqua" w:cstheme="majorBidi"/>
          <w:sz w:val="24"/>
          <w:szCs w:val="24"/>
        </w:rPr>
        <w:t xml:space="preserve">isease control rate; </w:t>
      </w:r>
      <w:r w:rsidR="00E23A91" w:rsidRPr="007B09E8">
        <w:rPr>
          <w:rFonts w:ascii="Book Antiqua" w:eastAsia="Times New Roman" w:hAnsi="Book Antiqua" w:cstheme="majorBidi"/>
          <w:sz w:val="24"/>
          <w:szCs w:val="24"/>
        </w:rPr>
        <w:t>GNP</w:t>
      </w:r>
      <w:r w:rsidR="00E23A91" w:rsidRPr="007B09E8">
        <w:rPr>
          <w:rFonts w:ascii="Book Antiqua" w:hAnsi="Book Antiqua" w:cstheme="majorBidi" w:hint="eastAsia"/>
          <w:sz w:val="24"/>
          <w:szCs w:val="24"/>
          <w:lang w:eastAsia="zh-CN"/>
        </w:rPr>
        <w:t xml:space="preserve">: </w:t>
      </w:r>
      <w:r w:rsidR="00E23A91" w:rsidRPr="007B09E8">
        <w:rPr>
          <w:rFonts w:ascii="Book Antiqua" w:hAnsi="Book Antiqua" w:cstheme="majorBidi"/>
          <w:caps/>
          <w:sz w:val="24"/>
          <w:szCs w:val="24"/>
          <w:lang w:eastAsia="zh-CN"/>
        </w:rPr>
        <w:t>g</w:t>
      </w:r>
      <w:r w:rsidR="00E23A91" w:rsidRPr="007B09E8">
        <w:rPr>
          <w:rFonts w:ascii="Book Antiqua" w:hAnsi="Book Antiqua" w:cstheme="majorBidi"/>
          <w:sz w:val="24"/>
          <w:szCs w:val="24"/>
          <w:lang w:eastAsia="zh-CN"/>
        </w:rPr>
        <w:t>emcitabine/nab-paclitaxel</w:t>
      </w:r>
      <w:r w:rsidR="00E23A91" w:rsidRPr="007B09E8">
        <w:rPr>
          <w:rFonts w:ascii="Book Antiqua" w:hAnsi="Book Antiqua" w:cstheme="majorBidi" w:hint="eastAsia"/>
          <w:sz w:val="24"/>
          <w:szCs w:val="24"/>
          <w:lang w:eastAsia="zh-CN"/>
        </w:rPr>
        <w:t xml:space="preserve">; </w:t>
      </w:r>
      <w:r w:rsidRPr="007B09E8">
        <w:rPr>
          <w:rFonts w:ascii="Book Antiqua" w:eastAsia="Times New Roman" w:hAnsi="Book Antiqua" w:cstheme="majorBidi"/>
          <w:sz w:val="24"/>
          <w:szCs w:val="24"/>
        </w:rPr>
        <w:t xml:space="preserve">PR: </w:t>
      </w:r>
      <w:r w:rsidRPr="007B09E8">
        <w:rPr>
          <w:rFonts w:ascii="Book Antiqua" w:eastAsia="Times New Roman" w:hAnsi="Book Antiqua" w:cstheme="majorBidi"/>
          <w:caps/>
          <w:sz w:val="24"/>
          <w:szCs w:val="24"/>
        </w:rPr>
        <w:t>p</w:t>
      </w:r>
      <w:r w:rsidRPr="007B09E8">
        <w:rPr>
          <w:rFonts w:ascii="Book Antiqua" w:eastAsia="Times New Roman" w:hAnsi="Book Antiqua" w:cstheme="majorBidi"/>
          <w:sz w:val="24"/>
          <w:szCs w:val="24"/>
        </w:rPr>
        <w:t xml:space="preserve">artial response; ORR: </w:t>
      </w:r>
      <w:r w:rsidRPr="007B09E8">
        <w:rPr>
          <w:rFonts w:ascii="Book Antiqua" w:eastAsia="Times New Roman" w:hAnsi="Book Antiqua" w:cstheme="majorBidi"/>
          <w:caps/>
          <w:sz w:val="24"/>
          <w:szCs w:val="24"/>
        </w:rPr>
        <w:t>o</w:t>
      </w:r>
      <w:r w:rsidRPr="007B09E8">
        <w:rPr>
          <w:rFonts w:ascii="Book Antiqua" w:eastAsia="Times New Roman" w:hAnsi="Book Antiqua" w:cstheme="majorBidi"/>
          <w:sz w:val="24"/>
          <w:szCs w:val="24"/>
        </w:rPr>
        <w:t xml:space="preserve">verall response rate; OS: </w:t>
      </w:r>
      <w:r w:rsidRPr="007B09E8">
        <w:rPr>
          <w:rFonts w:ascii="Book Antiqua" w:eastAsia="Times New Roman" w:hAnsi="Book Antiqua" w:cstheme="majorBidi"/>
          <w:caps/>
          <w:sz w:val="24"/>
          <w:szCs w:val="24"/>
        </w:rPr>
        <w:t>o</w:t>
      </w:r>
      <w:r w:rsidRPr="007B09E8">
        <w:rPr>
          <w:rFonts w:ascii="Book Antiqua" w:eastAsia="Times New Roman" w:hAnsi="Book Antiqua" w:cstheme="majorBidi"/>
          <w:sz w:val="24"/>
          <w:szCs w:val="24"/>
        </w:rPr>
        <w:t xml:space="preserve">verall survival; SD: </w:t>
      </w:r>
      <w:r w:rsidRPr="007B09E8">
        <w:rPr>
          <w:rFonts w:ascii="Book Antiqua" w:eastAsia="Times New Roman" w:hAnsi="Book Antiqua" w:cstheme="majorBidi"/>
          <w:caps/>
          <w:sz w:val="24"/>
          <w:szCs w:val="24"/>
        </w:rPr>
        <w:t>s</w:t>
      </w:r>
      <w:r w:rsidRPr="007B09E8">
        <w:rPr>
          <w:rFonts w:ascii="Book Antiqua" w:eastAsia="Times New Roman" w:hAnsi="Book Antiqua" w:cstheme="majorBidi"/>
          <w:sz w:val="24"/>
          <w:szCs w:val="24"/>
        </w:rPr>
        <w:t>table disease</w:t>
      </w:r>
      <w:r w:rsidRPr="007B09E8">
        <w:rPr>
          <w:rFonts w:ascii="Book Antiqua" w:hAnsi="Book Antiqua" w:cstheme="majorBidi" w:hint="eastAsia"/>
          <w:sz w:val="24"/>
          <w:szCs w:val="24"/>
          <w:lang w:eastAsia="zh-CN"/>
        </w:rPr>
        <w:t>.</w:t>
      </w:r>
    </w:p>
    <w:p w14:paraId="057A534B" w14:textId="77777777" w:rsidR="00CE681F" w:rsidRPr="007B09E8" w:rsidRDefault="00CE681F" w:rsidP="00E872CF">
      <w:pPr>
        <w:snapToGrid w:val="0"/>
        <w:spacing w:after="0" w:line="360" w:lineRule="auto"/>
        <w:jc w:val="both"/>
        <w:rPr>
          <w:rFonts w:ascii="Book Antiqua" w:hAnsi="Book Antiqua" w:cstheme="majorBidi"/>
          <w:sz w:val="24"/>
          <w:szCs w:val="24"/>
        </w:rPr>
      </w:pPr>
      <w:r w:rsidRPr="007B09E8">
        <w:rPr>
          <w:rFonts w:ascii="Book Antiqua" w:hAnsi="Book Antiqua" w:cstheme="majorBidi"/>
          <w:sz w:val="24"/>
          <w:szCs w:val="24"/>
        </w:rPr>
        <w:br w:type="page"/>
      </w:r>
    </w:p>
    <w:p w14:paraId="11F162EA" w14:textId="1BA06A49" w:rsidR="005F6F9B" w:rsidRPr="007B09E8" w:rsidRDefault="005F6F9B" w:rsidP="00E872CF">
      <w:pPr>
        <w:snapToGrid w:val="0"/>
        <w:spacing w:after="0" w:line="360" w:lineRule="auto"/>
        <w:jc w:val="both"/>
        <w:rPr>
          <w:rFonts w:ascii="Book Antiqua" w:hAnsi="Book Antiqua" w:cstheme="majorBidi"/>
          <w:b/>
          <w:sz w:val="24"/>
          <w:szCs w:val="24"/>
          <w:lang w:eastAsia="zh-CN"/>
        </w:rPr>
      </w:pPr>
      <w:r w:rsidRPr="007B09E8">
        <w:rPr>
          <w:rFonts w:ascii="Book Antiqua" w:hAnsi="Book Antiqua" w:cstheme="majorBidi"/>
          <w:b/>
          <w:sz w:val="24"/>
          <w:szCs w:val="24"/>
        </w:rPr>
        <w:lastRenderedPageBreak/>
        <w:t>Table 2</w:t>
      </w:r>
      <w:r w:rsidRPr="007B09E8">
        <w:rPr>
          <w:rFonts w:ascii="Book Antiqua" w:hAnsi="Book Antiqua" w:cstheme="majorBidi" w:hint="eastAsia"/>
          <w:b/>
          <w:sz w:val="24"/>
          <w:szCs w:val="24"/>
          <w:lang w:eastAsia="zh-CN"/>
        </w:rPr>
        <w:t xml:space="preserve"> </w:t>
      </w:r>
      <w:r w:rsidRPr="007B09E8">
        <w:rPr>
          <w:rFonts w:ascii="Book Antiqua" w:eastAsia="Times New Roman" w:hAnsi="Book Antiqua" w:cstheme="majorBidi"/>
          <w:b/>
          <w:sz w:val="24"/>
          <w:szCs w:val="24"/>
        </w:rPr>
        <w:t>Comparison of the FOLFIRINOX and modified FOLFIRINOX trials</w:t>
      </w:r>
    </w:p>
    <w:tbl>
      <w:tblPr>
        <w:tblStyle w:val="TableGrid"/>
        <w:tblW w:w="10632" w:type="dxa"/>
        <w:tblInd w:w="-318" w:type="dxa"/>
        <w:tblLayout w:type="fixed"/>
        <w:tblLook w:val="04A0" w:firstRow="1" w:lastRow="0" w:firstColumn="1" w:lastColumn="0" w:noHBand="0" w:noVBand="1"/>
      </w:tblPr>
      <w:tblGrid>
        <w:gridCol w:w="1848"/>
        <w:gridCol w:w="1697"/>
        <w:gridCol w:w="1843"/>
        <w:gridCol w:w="1842"/>
        <w:gridCol w:w="1667"/>
        <w:gridCol w:w="1735"/>
      </w:tblGrid>
      <w:tr w:rsidR="007B09E8" w:rsidRPr="007B09E8" w14:paraId="1A596F38" w14:textId="77777777" w:rsidTr="00EE68BF">
        <w:trPr>
          <w:trHeight w:val="288"/>
        </w:trPr>
        <w:tc>
          <w:tcPr>
            <w:tcW w:w="1848" w:type="dxa"/>
            <w:noWrap/>
            <w:hideMark/>
          </w:tcPr>
          <w:p w14:paraId="32ACBB75" w14:textId="77777777" w:rsidR="005F6F9B" w:rsidRPr="007B09E8" w:rsidRDefault="005F6F9B" w:rsidP="00330EB9">
            <w:pPr>
              <w:snapToGrid w:val="0"/>
              <w:spacing w:line="360" w:lineRule="auto"/>
              <w:jc w:val="both"/>
              <w:rPr>
                <w:rFonts w:ascii="Book Antiqua" w:hAnsi="Book Antiqua" w:cstheme="majorBidi"/>
                <w:sz w:val="24"/>
                <w:szCs w:val="24"/>
              </w:rPr>
            </w:pPr>
            <w:r w:rsidRPr="007B09E8">
              <w:rPr>
                <w:rFonts w:ascii="Book Antiqua" w:hAnsi="Book Antiqua" w:cstheme="majorBidi"/>
                <w:sz w:val="24"/>
                <w:szCs w:val="24"/>
              </w:rPr>
              <w:t> </w:t>
            </w:r>
          </w:p>
        </w:tc>
        <w:tc>
          <w:tcPr>
            <w:tcW w:w="1697" w:type="dxa"/>
            <w:noWrap/>
            <w:hideMark/>
          </w:tcPr>
          <w:p w14:paraId="27A04E59" w14:textId="77777777" w:rsidR="005F6F9B" w:rsidRPr="007B09E8" w:rsidRDefault="005F6F9B" w:rsidP="00330EB9">
            <w:pPr>
              <w:snapToGrid w:val="0"/>
              <w:spacing w:line="360" w:lineRule="auto"/>
              <w:jc w:val="both"/>
              <w:rPr>
                <w:rFonts w:ascii="Book Antiqua" w:hAnsi="Book Antiqua" w:cstheme="majorBidi"/>
                <w:sz w:val="24"/>
                <w:szCs w:val="24"/>
              </w:rPr>
            </w:pPr>
            <w:r w:rsidRPr="007B09E8">
              <w:rPr>
                <w:rFonts w:ascii="Book Antiqua" w:hAnsi="Book Antiqua" w:cstheme="majorBidi"/>
                <w:sz w:val="24"/>
                <w:szCs w:val="24"/>
              </w:rPr>
              <w:t> </w:t>
            </w:r>
          </w:p>
        </w:tc>
        <w:tc>
          <w:tcPr>
            <w:tcW w:w="1843" w:type="dxa"/>
            <w:hideMark/>
          </w:tcPr>
          <w:p w14:paraId="4BEA73D0" w14:textId="77777777" w:rsidR="005F6F9B" w:rsidRPr="007B09E8" w:rsidRDefault="005F6F9B" w:rsidP="005F6F9B">
            <w:pPr>
              <w:snapToGrid w:val="0"/>
              <w:spacing w:line="360" w:lineRule="auto"/>
              <w:jc w:val="center"/>
              <w:rPr>
                <w:rFonts w:ascii="Book Antiqua" w:hAnsi="Book Antiqua" w:cstheme="majorBidi"/>
                <w:b/>
                <w:sz w:val="24"/>
                <w:szCs w:val="24"/>
              </w:rPr>
            </w:pPr>
            <w:r w:rsidRPr="007B09E8">
              <w:rPr>
                <w:rFonts w:ascii="Book Antiqua" w:hAnsi="Book Antiqua" w:cstheme="majorBidi"/>
                <w:b/>
                <w:sz w:val="24"/>
                <w:szCs w:val="24"/>
              </w:rPr>
              <w:t>ACCORD/PRODIGE trial (FOLFIRINOX)</w:t>
            </w:r>
            <w:r w:rsidRPr="007B09E8">
              <w:rPr>
                <w:rFonts w:ascii="Book Antiqua" w:eastAsia="Times New Roman" w:hAnsi="Book Antiqua" w:cstheme="majorBidi"/>
                <w:b/>
                <w:sz w:val="24"/>
                <w:szCs w:val="24"/>
                <w:vertAlign w:val="superscript"/>
              </w:rPr>
              <w:fldChar w:fldCharType="begin"/>
            </w:r>
            <w:r w:rsidRPr="007B09E8">
              <w:rPr>
                <w:rFonts w:ascii="Book Antiqua" w:eastAsia="Times New Roman" w:hAnsi="Book Antiqua" w:cstheme="majorBidi"/>
                <w:b/>
                <w:sz w:val="24"/>
                <w:szCs w:val="24"/>
                <w:vertAlign w:val="superscript"/>
              </w:rPr>
              <w:instrText xml:space="preserve"> ADDIN ZOTERO_ITEM CSL_CITATION {"citationID":"Ye9PTcg5","properties":{"formattedCitation":"(9)","plainCitation":"(9)"},"citationItems":[{"id":533,"uris":["http://zotero.org/users/local/f5Q4Fz2E/items/2D83VM3U"],"uri":["http://zotero.org/users/local/f5Q4Fz2E/items/2D83VM3U"],"itemData":{"id":533,"type":"article-journal","title":"FOLFIRINOX versus Gemcitabine for Metastatic Pancreatic Cancer","container-title":"New England Journal of Medicine","page":"1817-1825","volume":"364","issue":"19","source":"Taylor and Francis+NEJM","abstract":"Pancreatic adenocarcinoma was the fourth leading cause of death from cancer in the United States in 2010,1 and it carries a grim prognosis: the 5-year survival rate is 6% in Europe and the United States.1,2 Gemcitabine became the reference regimen for advanced pancreatic cancer after a randomized trial showed significant improvement in the median overall survival as compared with fluorouracil administered as an intravenous bolus (5.6 vs. 4.4 months, P=0.002).3 In the subsequent phase 3 trials of single-agent gemcitabine,4 the median overall survival ranged from 5.0 to 7.2 months. The combination of gemcitabine with a variety of cytotoxic and . . .","DOI":"10.1056/NEJMoa1011923","ISSN":"0028-4793","note":"PMID: 21561347","author":[{"family":"Conroy","given":"Thierry"},{"family":"Desseigne","given":"Françoise"},{"family":"Ychou","given":"Marc"},{"family":"Bouché","given":"Olivier"},{"family":"Guimbaud","given":"Rosine"},{"family":"Bécouarn","given":"Yves"},{"family":"Adenis","given":"Antoine"},{"family":"Raoul","given":"Jean-Luc"},{"family":"Gourgou-Bourgade","given":"Sophie"},{"family":"Fouchardière","given":"Christelle","non-dropping-particle":"de la"},{"family":"Bennouna","given":"Jaafar"},{"family":"Bachet","given":"Jean-Baptiste"},{"family":"Khemissa-Akouz","given":"Faiza"},{"family":"Péré-Vergé","given":"Denis"},{"family":"Delbaldo","given":"Catherine"},{"family":"Assenat","given":"Eric"},{"family":"Chauffert","given":"Bruno"},{"family":"Michel","given":"Pierre"},{"family":"Montoto-Grillot","given":"Christine"},{"family":"Ducreux","given":"Michel"}],"issued":{"date-parts":[["2011",5,11]]},"PMID":"21561347"}}],"schema":"https://github.com/citation-style-language/schema/raw/master/csl-citation.json"} </w:instrText>
            </w:r>
            <w:r w:rsidRPr="007B09E8">
              <w:rPr>
                <w:rFonts w:ascii="Book Antiqua" w:eastAsia="Times New Roman" w:hAnsi="Book Antiqua" w:cstheme="majorBidi"/>
                <w:b/>
                <w:sz w:val="24"/>
                <w:szCs w:val="24"/>
                <w:vertAlign w:val="superscript"/>
              </w:rPr>
              <w:fldChar w:fldCharType="separate"/>
            </w:r>
            <w:r w:rsidRPr="007B09E8">
              <w:rPr>
                <w:rFonts w:ascii="Book Antiqua" w:hAnsi="Book Antiqua" w:cstheme="majorBidi"/>
                <w:b/>
                <w:sz w:val="24"/>
                <w:szCs w:val="24"/>
                <w:vertAlign w:val="superscript"/>
              </w:rPr>
              <w:t>[9</w:t>
            </w:r>
            <w:r w:rsidRPr="007B09E8">
              <w:rPr>
                <w:rFonts w:ascii="Book Antiqua" w:eastAsia="Times New Roman" w:hAnsi="Book Antiqua" w:cstheme="majorBidi"/>
                <w:b/>
                <w:sz w:val="24"/>
                <w:szCs w:val="24"/>
                <w:vertAlign w:val="superscript"/>
              </w:rPr>
              <w:fldChar w:fldCharType="end"/>
            </w:r>
            <w:r w:rsidRPr="007B09E8">
              <w:rPr>
                <w:rFonts w:ascii="Book Antiqua" w:eastAsia="Times New Roman" w:hAnsi="Book Antiqua" w:cstheme="majorBidi"/>
                <w:b/>
                <w:sz w:val="24"/>
                <w:szCs w:val="24"/>
                <w:vertAlign w:val="superscript"/>
              </w:rPr>
              <w:t>]</w:t>
            </w:r>
          </w:p>
        </w:tc>
        <w:tc>
          <w:tcPr>
            <w:tcW w:w="1842" w:type="dxa"/>
            <w:hideMark/>
          </w:tcPr>
          <w:p w14:paraId="7C69D756" w14:textId="09506656" w:rsidR="005F6F9B" w:rsidRPr="007B09E8" w:rsidRDefault="005F6F9B" w:rsidP="00085C9A">
            <w:pPr>
              <w:snapToGrid w:val="0"/>
              <w:spacing w:line="360" w:lineRule="auto"/>
              <w:jc w:val="center"/>
              <w:rPr>
                <w:rFonts w:ascii="Book Antiqua" w:hAnsi="Book Antiqua" w:cstheme="majorBidi"/>
                <w:b/>
                <w:sz w:val="24"/>
                <w:szCs w:val="24"/>
                <w:lang w:val="fr-FR"/>
              </w:rPr>
            </w:pPr>
            <w:r w:rsidRPr="007B09E8">
              <w:rPr>
                <w:rFonts w:ascii="Book Antiqua" w:hAnsi="Book Antiqua" w:cstheme="majorBidi"/>
                <w:b/>
                <w:sz w:val="24"/>
                <w:szCs w:val="24"/>
                <w:lang w:val="fr-FR"/>
              </w:rPr>
              <w:t xml:space="preserve">Stein </w:t>
            </w:r>
            <w:r w:rsidRPr="007B09E8">
              <w:rPr>
                <w:rFonts w:ascii="Book Antiqua" w:hAnsi="Book Antiqua" w:cstheme="majorBidi"/>
                <w:b/>
                <w:i/>
                <w:sz w:val="24"/>
                <w:szCs w:val="24"/>
                <w:lang w:val="fr-FR"/>
              </w:rPr>
              <w:t>et al</w:t>
            </w:r>
            <w:r w:rsidR="000434A9" w:rsidRPr="007B09E8">
              <w:rPr>
                <w:rFonts w:ascii="Book Antiqua" w:hAnsi="Book Antiqua" w:cstheme="majorBidi"/>
                <w:b/>
                <w:sz w:val="24"/>
                <w:szCs w:val="24"/>
                <w:vertAlign w:val="superscript"/>
                <w:lang w:val="fr-FR"/>
              </w:rPr>
              <w:t>[20]</w:t>
            </w:r>
            <w:r w:rsidRPr="007B09E8">
              <w:rPr>
                <w:rFonts w:ascii="Book Antiqua" w:hAnsi="Book Antiqua" w:cstheme="majorBidi"/>
                <w:b/>
                <w:sz w:val="24"/>
                <w:szCs w:val="24"/>
                <w:lang w:val="fr-FR"/>
              </w:rPr>
              <w:t xml:space="preserve"> Modified FOLFIRINOX</w:t>
            </w:r>
          </w:p>
        </w:tc>
        <w:tc>
          <w:tcPr>
            <w:tcW w:w="1667" w:type="dxa"/>
            <w:hideMark/>
          </w:tcPr>
          <w:p w14:paraId="03770A36" w14:textId="0A1EB6C5" w:rsidR="005F6F9B" w:rsidRPr="007B09E8" w:rsidRDefault="005F6F9B" w:rsidP="00085C9A">
            <w:pPr>
              <w:snapToGrid w:val="0"/>
              <w:spacing w:line="360" w:lineRule="auto"/>
              <w:jc w:val="center"/>
              <w:rPr>
                <w:rFonts w:ascii="Book Antiqua" w:hAnsi="Book Antiqua" w:cstheme="majorBidi"/>
                <w:b/>
                <w:sz w:val="24"/>
                <w:szCs w:val="24"/>
              </w:rPr>
            </w:pPr>
            <w:r w:rsidRPr="007B09E8">
              <w:rPr>
                <w:rFonts w:ascii="Book Antiqua" w:hAnsi="Book Antiqua" w:cstheme="majorBidi"/>
                <w:b/>
                <w:sz w:val="24"/>
                <w:szCs w:val="24"/>
              </w:rPr>
              <w:t xml:space="preserve">Mahaseth </w:t>
            </w:r>
            <w:r w:rsidRPr="007B09E8">
              <w:rPr>
                <w:rFonts w:ascii="Book Antiqua" w:hAnsi="Book Antiqua" w:cstheme="majorBidi"/>
                <w:b/>
                <w:i/>
                <w:sz w:val="24"/>
                <w:szCs w:val="24"/>
              </w:rPr>
              <w:t>et al</w:t>
            </w:r>
            <w:r w:rsidR="000434A9" w:rsidRPr="007B09E8">
              <w:rPr>
                <w:rFonts w:ascii="Book Antiqua" w:hAnsi="Book Antiqua" w:cstheme="majorBidi"/>
                <w:b/>
                <w:sz w:val="24"/>
                <w:szCs w:val="24"/>
                <w:vertAlign w:val="superscript"/>
              </w:rPr>
              <w:t>[21]</w:t>
            </w:r>
            <w:r w:rsidRPr="007B09E8">
              <w:rPr>
                <w:rFonts w:ascii="Book Antiqua" w:hAnsi="Book Antiqua" w:cstheme="majorBidi" w:hint="eastAsia"/>
                <w:b/>
                <w:i/>
                <w:sz w:val="24"/>
                <w:szCs w:val="24"/>
                <w:lang w:eastAsia="zh-CN"/>
              </w:rPr>
              <w:t xml:space="preserve"> </w:t>
            </w:r>
            <w:r w:rsidRPr="007B09E8">
              <w:rPr>
                <w:rFonts w:ascii="Book Antiqua" w:hAnsi="Book Antiqua" w:cstheme="majorBidi"/>
                <w:b/>
                <w:sz w:val="24"/>
                <w:szCs w:val="24"/>
              </w:rPr>
              <w:t>(Modified FOLFIRINOX)</w:t>
            </w:r>
          </w:p>
        </w:tc>
        <w:tc>
          <w:tcPr>
            <w:tcW w:w="1735" w:type="dxa"/>
            <w:hideMark/>
          </w:tcPr>
          <w:p w14:paraId="08CF78C9" w14:textId="795AB441" w:rsidR="005F6F9B" w:rsidRPr="007B09E8" w:rsidRDefault="005F6F9B" w:rsidP="00085C9A">
            <w:pPr>
              <w:snapToGrid w:val="0"/>
              <w:spacing w:line="360" w:lineRule="auto"/>
              <w:jc w:val="center"/>
              <w:rPr>
                <w:rFonts w:ascii="Book Antiqua" w:hAnsi="Book Antiqua" w:cstheme="majorBidi"/>
                <w:b/>
                <w:sz w:val="24"/>
                <w:szCs w:val="24"/>
                <w:lang w:val="fr-FR"/>
              </w:rPr>
            </w:pPr>
            <w:r w:rsidRPr="007B09E8">
              <w:rPr>
                <w:rFonts w:ascii="Book Antiqua" w:hAnsi="Book Antiqua" w:cstheme="majorBidi"/>
                <w:b/>
                <w:sz w:val="24"/>
                <w:szCs w:val="24"/>
                <w:lang w:val="fr-FR"/>
              </w:rPr>
              <w:t xml:space="preserve">Ghorani </w:t>
            </w:r>
            <w:r w:rsidRPr="007B09E8">
              <w:rPr>
                <w:rFonts w:ascii="Book Antiqua" w:hAnsi="Book Antiqua" w:cstheme="majorBidi"/>
                <w:b/>
                <w:i/>
                <w:sz w:val="24"/>
                <w:szCs w:val="24"/>
                <w:lang w:val="fr-FR"/>
              </w:rPr>
              <w:t>et al</w:t>
            </w:r>
            <w:r w:rsidR="00085C9A" w:rsidRPr="007B09E8">
              <w:rPr>
                <w:rFonts w:ascii="Book Antiqua" w:hAnsi="Book Antiqua" w:cstheme="majorBidi"/>
                <w:b/>
                <w:sz w:val="24"/>
                <w:szCs w:val="24"/>
                <w:vertAlign w:val="superscript"/>
                <w:lang w:val="fr-FR"/>
              </w:rPr>
              <w:t>[22</w:t>
            </w:r>
            <w:r w:rsidRPr="007B09E8">
              <w:rPr>
                <w:rFonts w:ascii="Book Antiqua" w:hAnsi="Book Antiqua" w:cstheme="majorBidi"/>
                <w:b/>
                <w:sz w:val="24"/>
                <w:szCs w:val="24"/>
                <w:vertAlign w:val="superscript"/>
                <w:lang w:val="fr-FR"/>
              </w:rPr>
              <w:t>]</w:t>
            </w:r>
            <w:r w:rsidRPr="007B09E8">
              <w:rPr>
                <w:rFonts w:ascii="Book Antiqua" w:hAnsi="Book Antiqua" w:cstheme="majorBidi" w:hint="eastAsia"/>
                <w:b/>
                <w:sz w:val="24"/>
                <w:szCs w:val="24"/>
                <w:lang w:val="fr-FR" w:eastAsia="zh-CN"/>
              </w:rPr>
              <w:t xml:space="preserve"> </w:t>
            </w:r>
            <w:r w:rsidRPr="007B09E8">
              <w:rPr>
                <w:rFonts w:ascii="Book Antiqua" w:hAnsi="Book Antiqua" w:cstheme="majorBidi"/>
                <w:b/>
                <w:sz w:val="24"/>
                <w:szCs w:val="24"/>
                <w:lang w:val="fr-FR"/>
              </w:rPr>
              <w:t>(Modified FOLFIRINOX)</w:t>
            </w:r>
          </w:p>
        </w:tc>
      </w:tr>
      <w:tr w:rsidR="007B09E8" w:rsidRPr="007B09E8" w14:paraId="2A7EA8FB" w14:textId="77777777" w:rsidTr="00EE68BF">
        <w:trPr>
          <w:trHeight w:val="144"/>
        </w:trPr>
        <w:tc>
          <w:tcPr>
            <w:tcW w:w="1848" w:type="dxa"/>
            <w:vMerge w:val="restart"/>
            <w:hideMark/>
          </w:tcPr>
          <w:p w14:paraId="740C73A8" w14:textId="77777777" w:rsidR="005F6F9B" w:rsidRPr="007B09E8" w:rsidRDefault="005F6F9B" w:rsidP="00330EB9">
            <w:pPr>
              <w:snapToGrid w:val="0"/>
              <w:spacing w:line="360" w:lineRule="auto"/>
              <w:jc w:val="both"/>
              <w:rPr>
                <w:rFonts w:ascii="Book Antiqua" w:hAnsi="Book Antiqua" w:cstheme="majorBidi"/>
                <w:sz w:val="24"/>
                <w:szCs w:val="24"/>
                <w:lang w:val="fr-FR"/>
              </w:rPr>
            </w:pPr>
          </w:p>
        </w:tc>
        <w:tc>
          <w:tcPr>
            <w:tcW w:w="1697" w:type="dxa"/>
            <w:noWrap/>
            <w:hideMark/>
          </w:tcPr>
          <w:p w14:paraId="1CBDFCB4"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Location</w:t>
            </w:r>
          </w:p>
        </w:tc>
        <w:tc>
          <w:tcPr>
            <w:tcW w:w="1843" w:type="dxa"/>
            <w:noWrap/>
            <w:hideMark/>
          </w:tcPr>
          <w:p w14:paraId="3F9444DB"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France</w:t>
            </w:r>
          </w:p>
        </w:tc>
        <w:tc>
          <w:tcPr>
            <w:tcW w:w="1842" w:type="dxa"/>
            <w:noWrap/>
            <w:hideMark/>
          </w:tcPr>
          <w:p w14:paraId="362259A1"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United States</w:t>
            </w:r>
          </w:p>
        </w:tc>
        <w:tc>
          <w:tcPr>
            <w:tcW w:w="1667" w:type="dxa"/>
            <w:noWrap/>
            <w:hideMark/>
          </w:tcPr>
          <w:p w14:paraId="5ED547AF"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United States</w:t>
            </w:r>
          </w:p>
        </w:tc>
        <w:tc>
          <w:tcPr>
            <w:tcW w:w="1735" w:type="dxa"/>
            <w:noWrap/>
            <w:hideMark/>
          </w:tcPr>
          <w:p w14:paraId="372BE861"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United Kingdom</w:t>
            </w:r>
          </w:p>
        </w:tc>
      </w:tr>
      <w:tr w:rsidR="007B09E8" w:rsidRPr="007B09E8" w14:paraId="75687832" w14:textId="77777777" w:rsidTr="00EE68BF">
        <w:trPr>
          <w:trHeight w:val="144"/>
        </w:trPr>
        <w:tc>
          <w:tcPr>
            <w:tcW w:w="1848" w:type="dxa"/>
            <w:vMerge/>
            <w:hideMark/>
          </w:tcPr>
          <w:p w14:paraId="5825738F" w14:textId="77777777" w:rsidR="005F6F9B" w:rsidRPr="007B09E8" w:rsidRDefault="005F6F9B" w:rsidP="00330EB9">
            <w:pPr>
              <w:snapToGrid w:val="0"/>
              <w:spacing w:line="360" w:lineRule="auto"/>
              <w:jc w:val="both"/>
              <w:rPr>
                <w:rFonts w:ascii="Book Antiqua" w:hAnsi="Book Antiqua" w:cstheme="majorBidi"/>
                <w:sz w:val="24"/>
                <w:szCs w:val="24"/>
              </w:rPr>
            </w:pPr>
          </w:p>
        </w:tc>
        <w:tc>
          <w:tcPr>
            <w:tcW w:w="1697" w:type="dxa"/>
            <w:hideMark/>
          </w:tcPr>
          <w:p w14:paraId="2FCF0EA4"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Number of patients</w:t>
            </w:r>
          </w:p>
        </w:tc>
        <w:tc>
          <w:tcPr>
            <w:tcW w:w="1843" w:type="dxa"/>
            <w:noWrap/>
            <w:hideMark/>
          </w:tcPr>
          <w:p w14:paraId="35716D50"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342</w:t>
            </w:r>
          </w:p>
        </w:tc>
        <w:tc>
          <w:tcPr>
            <w:tcW w:w="1842" w:type="dxa"/>
            <w:noWrap/>
            <w:hideMark/>
          </w:tcPr>
          <w:p w14:paraId="5B7B77B1"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44</w:t>
            </w:r>
          </w:p>
        </w:tc>
        <w:tc>
          <w:tcPr>
            <w:tcW w:w="1667" w:type="dxa"/>
            <w:noWrap/>
            <w:hideMark/>
          </w:tcPr>
          <w:p w14:paraId="2AABB524"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36</w:t>
            </w:r>
          </w:p>
        </w:tc>
        <w:tc>
          <w:tcPr>
            <w:tcW w:w="1735" w:type="dxa"/>
            <w:noWrap/>
            <w:hideMark/>
          </w:tcPr>
          <w:p w14:paraId="1850F8E0"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18</w:t>
            </w:r>
          </w:p>
        </w:tc>
      </w:tr>
      <w:tr w:rsidR="007B09E8" w:rsidRPr="007B09E8" w14:paraId="54E6E120" w14:textId="77777777" w:rsidTr="00EE68BF">
        <w:trPr>
          <w:trHeight w:val="144"/>
        </w:trPr>
        <w:tc>
          <w:tcPr>
            <w:tcW w:w="1848" w:type="dxa"/>
            <w:vMerge/>
            <w:hideMark/>
          </w:tcPr>
          <w:p w14:paraId="43D819AA" w14:textId="77777777" w:rsidR="005F6F9B" w:rsidRPr="007B09E8" w:rsidRDefault="005F6F9B" w:rsidP="00330EB9">
            <w:pPr>
              <w:snapToGrid w:val="0"/>
              <w:spacing w:line="360" w:lineRule="auto"/>
              <w:jc w:val="both"/>
              <w:rPr>
                <w:rFonts w:ascii="Book Antiqua" w:hAnsi="Book Antiqua" w:cstheme="majorBidi"/>
                <w:sz w:val="24"/>
                <w:szCs w:val="24"/>
              </w:rPr>
            </w:pPr>
          </w:p>
        </w:tc>
        <w:tc>
          <w:tcPr>
            <w:tcW w:w="1697" w:type="dxa"/>
            <w:noWrap/>
            <w:hideMark/>
          </w:tcPr>
          <w:p w14:paraId="545D6034" w14:textId="790FF790"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 xml:space="preserve">Study </w:t>
            </w:r>
            <w:r w:rsidR="00EE68BF" w:rsidRPr="007B09E8">
              <w:rPr>
                <w:rFonts w:ascii="Book Antiqua" w:hAnsi="Book Antiqua" w:cstheme="majorBidi"/>
                <w:sz w:val="24"/>
                <w:szCs w:val="24"/>
              </w:rPr>
              <w:t>d</w:t>
            </w:r>
            <w:r w:rsidRPr="007B09E8">
              <w:rPr>
                <w:rFonts w:ascii="Book Antiqua" w:hAnsi="Book Antiqua" w:cstheme="majorBidi"/>
                <w:sz w:val="24"/>
                <w:szCs w:val="24"/>
              </w:rPr>
              <w:t>esign</w:t>
            </w:r>
          </w:p>
        </w:tc>
        <w:tc>
          <w:tcPr>
            <w:tcW w:w="1843" w:type="dxa"/>
            <w:hideMark/>
          </w:tcPr>
          <w:p w14:paraId="1D4095BE"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Phase 2-3 Prospective</w:t>
            </w:r>
          </w:p>
        </w:tc>
        <w:tc>
          <w:tcPr>
            <w:tcW w:w="1842" w:type="dxa"/>
            <w:hideMark/>
          </w:tcPr>
          <w:p w14:paraId="51BD4E3F"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Phase 2 Prospective</w:t>
            </w:r>
          </w:p>
        </w:tc>
        <w:tc>
          <w:tcPr>
            <w:tcW w:w="1667" w:type="dxa"/>
            <w:hideMark/>
          </w:tcPr>
          <w:p w14:paraId="666FB7E0"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Phase 2 Prospective</w:t>
            </w:r>
          </w:p>
        </w:tc>
        <w:tc>
          <w:tcPr>
            <w:tcW w:w="1735" w:type="dxa"/>
            <w:hideMark/>
          </w:tcPr>
          <w:p w14:paraId="66EE0947"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Retrospective</w:t>
            </w:r>
          </w:p>
        </w:tc>
      </w:tr>
      <w:tr w:rsidR="007B09E8" w:rsidRPr="007B09E8" w14:paraId="6ADB66C7" w14:textId="77777777" w:rsidTr="00EE68BF">
        <w:trPr>
          <w:trHeight w:val="144"/>
        </w:trPr>
        <w:tc>
          <w:tcPr>
            <w:tcW w:w="1848" w:type="dxa"/>
            <w:hideMark/>
          </w:tcPr>
          <w:p w14:paraId="38577DE3" w14:textId="77777777" w:rsidR="005F6F9B" w:rsidRPr="007B09E8" w:rsidRDefault="005F6F9B" w:rsidP="00EE68BF">
            <w:pPr>
              <w:snapToGrid w:val="0"/>
              <w:spacing w:line="360" w:lineRule="auto"/>
              <w:rPr>
                <w:rFonts w:ascii="Book Antiqua" w:hAnsi="Book Antiqua" w:cstheme="majorBidi"/>
                <w:sz w:val="24"/>
                <w:szCs w:val="24"/>
              </w:rPr>
            </w:pPr>
            <w:r w:rsidRPr="007B09E8">
              <w:rPr>
                <w:rFonts w:ascii="Book Antiqua" w:hAnsi="Book Antiqua" w:cstheme="majorBidi"/>
                <w:sz w:val="24"/>
                <w:szCs w:val="24"/>
              </w:rPr>
              <w:t> Study design </w:t>
            </w:r>
          </w:p>
        </w:tc>
        <w:tc>
          <w:tcPr>
            <w:tcW w:w="1697" w:type="dxa"/>
            <w:noWrap/>
            <w:hideMark/>
          </w:tcPr>
          <w:p w14:paraId="0F855193"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Dosing</w:t>
            </w:r>
          </w:p>
        </w:tc>
        <w:tc>
          <w:tcPr>
            <w:tcW w:w="1843" w:type="dxa"/>
            <w:hideMark/>
          </w:tcPr>
          <w:p w14:paraId="08971B4B" w14:textId="36963529" w:rsidR="005F6F9B" w:rsidRPr="007B09E8" w:rsidRDefault="005F6F9B" w:rsidP="005F6F9B">
            <w:pPr>
              <w:snapToGrid w:val="0"/>
              <w:spacing w:line="360" w:lineRule="auto"/>
              <w:jc w:val="center"/>
              <w:rPr>
                <w:rFonts w:ascii="Book Antiqua" w:hAnsi="Book Antiqua" w:cstheme="majorBidi"/>
                <w:sz w:val="24"/>
                <w:szCs w:val="24"/>
              </w:rPr>
            </w:pPr>
          </w:p>
        </w:tc>
        <w:tc>
          <w:tcPr>
            <w:tcW w:w="1842" w:type="dxa"/>
            <w:hideMark/>
          </w:tcPr>
          <w:p w14:paraId="1FDA0E66" w14:textId="109F7955" w:rsidR="005F6F9B" w:rsidRPr="007B09E8" w:rsidRDefault="005F6F9B" w:rsidP="00EE68BF">
            <w:pPr>
              <w:snapToGrid w:val="0"/>
              <w:spacing w:line="360" w:lineRule="auto"/>
              <w:jc w:val="center"/>
              <w:rPr>
                <w:rFonts w:ascii="Book Antiqua" w:hAnsi="Book Antiqua" w:cstheme="majorBidi"/>
                <w:sz w:val="24"/>
                <w:szCs w:val="24"/>
                <w:lang w:eastAsia="zh-CN"/>
              </w:rPr>
            </w:pPr>
            <w:r w:rsidRPr="007B09E8">
              <w:rPr>
                <w:rFonts w:ascii="Book Antiqua" w:hAnsi="Book Antiqua" w:cstheme="majorBidi"/>
                <w:sz w:val="24"/>
                <w:szCs w:val="24"/>
              </w:rPr>
              <w:t>25% reduction in</w:t>
            </w:r>
            <w:r w:rsidR="00EE68BF" w:rsidRPr="007B09E8">
              <w:rPr>
                <w:rFonts w:ascii="Book Antiqua" w:hAnsi="Book Antiqua" w:cstheme="majorBidi"/>
                <w:sz w:val="24"/>
                <w:szCs w:val="24"/>
              </w:rPr>
              <w:t xml:space="preserve"> bolus 5</w:t>
            </w:r>
            <w:r w:rsidR="00EE68BF" w:rsidRPr="007B09E8">
              <w:rPr>
                <w:rFonts w:ascii="Book Antiqua" w:hAnsi="Book Antiqua" w:cstheme="majorBidi" w:hint="eastAsia"/>
                <w:sz w:val="24"/>
                <w:szCs w:val="24"/>
                <w:lang w:eastAsia="zh-CN"/>
              </w:rPr>
              <w:t>-</w:t>
            </w:r>
            <w:r w:rsidR="00EE68BF" w:rsidRPr="007B09E8">
              <w:rPr>
                <w:rFonts w:ascii="Book Antiqua" w:hAnsi="Book Antiqua" w:cstheme="majorBidi"/>
                <w:sz w:val="24"/>
                <w:szCs w:val="24"/>
              </w:rPr>
              <w:t>FU and irinotecan doses</w:t>
            </w:r>
          </w:p>
        </w:tc>
        <w:tc>
          <w:tcPr>
            <w:tcW w:w="1667" w:type="dxa"/>
            <w:hideMark/>
          </w:tcPr>
          <w:p w14:paraId="0B673407"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No 5-FU bolus</w:t>
            </w:r>
          </w:p>
        </w:tc>
        <w:tc>
          <w:tcPr>
            <w:tcW w:w="1735" w:type="dxa"/>
            <w:hideMark/>
          </w:tcPr>
          <w:p w14:paraId="1143A346" w14:textId="4F25B5B0" w:rsidR="005F6F9B" w:rsidRPr="007B09E8" w:rsidRDefault="005F6F9B" w:rsidP="004667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No 5-FU bolus and 25% reduction in irinotecan doses</w:t>
            </w:r>
          </w:p>
        </w:tc>
      </w:tr>
      <w:tr w:rsidR="007B09E8" w:rsidRPr="007B09E8" w14:paraId="581C43DD" w14:textId="77777777" w:rsidTr="00EE68BF">
        <w:trPr>
          <w:trHeight w:val="144"/>
        </w:trPr>
        <w:tc>
          <w:tcPr>
            <w:tcW w:w="1848" w:type="dxa"/>
            <w:vMerge w:val="restart"/>
            <w:hideMark/>
          </w:tcPr>
          <w:p w14:paraId="7E02E2E4" w14:textId="25B08B16" w:rsidR="005F6F9B" w:rsidRPr="007B09E8" w:rsidRDefault="005F6F9B" w:rsidP="00EE68BF">
            <w:pPr>
              <w:snapToGrid w:val="0"/>
              <w:spacing w:line="360" w:lineRule="auto"/>
              <w:rPr>
                <w:rFonts w:ascii="Book Antiqua" w:hAnsi="Book Antiqua" w:cstheme="majorBidi"/>
                <w:sz w:val="24"/>
                <w:szCs w:val="24"/>
              </w:rPr>
            </w:pPr>
            <w:r w:rsidRPr="007B09E8">
              <w:rPr>
                <w:rFonts w:ascii="Book Antiqua" w:hAnsi="Book Antiqua" w:cstheme="majorBidi"/>
                <w:sz w:val="24"/>
                <w:szCs w:val="24"/>
              </w:rPr>
              <w:t xml:space="preserve">Patient and </w:t>
            </w:r>
            <w:r w:rsidR="00EE68BF" w:rsidRPr="007B09E8">
              <w:rPr>
                <w:rFonts w:ascii="Book Antiqua" w:hAnsi="Book Antiqua" w:cstheme="majorBidi"/>
                <w:sz w:val="24"/>
                <w:szCs w:val="24"/>
              </w:rPr>
              <w:t>t</w:t>
            </w:r>
            <w:r w:rsidRPr="007B09E8">
              <w:rPr>
                <w:rFonts w:ascii="Book Antiqua" w:hAnsi="Book Antiqua" w:cstheme="majorBidi"/>
                <w:sz w:val="24"/>
                <w:szCs w:val="24"/>
              </w:rPr>
              <w:t xml:space="preserve">umor </w:t>
            </w:r>
            <w:r w:rsidR="00EE68BF" w:rsidRPr="007B09E8">
              <w:rPr>
                <w:rFonts w:ascii="Book Antiqua" w:hAnsi="Book Antiqua" w:cstheme="majorBidi"/>
                <w:sz w:val="24"/>
                <w:szCs w:val="24"/>
              </w:rPr>
              <w:t>c</w:t>
            </w:r>
            <w:r w:rsidRPr="007B09E8">
              <w:rPr>
                <w:rFonts w:ascii="Book Antiqua" w:hAnsi="Book Antiqua" w:cstheme="majorBidi"/>
                <w:sz w:val="24"/>
                <w:szCs w:val="24"/>
              </w:rPr>
              <w:t>haracteristics</w:t>
            </w:r>
          </w:p>
        </w:tc>
        <w:tc>
          <w:tcPr>
            <w:tcW w:w="1697" w:type="dxa"/>
            <w:noWrap/>
            <w:hideMark/>
          </w:tcPr>
          <w:p w14:paraId="4FC735BF" w14:textId="2EB21B3C"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 xml:space="preserve">Median </w:t>
            </w:r>
            <w:r w:rsidR="00EE68BF" w:rsidRPr="007B09E8">
              <w:rPr>
                <w:rFonts w:ascii="Book Antiqua" w:hAnsi="Book Antiqua" w:cstheme="majorBidi"/>
                <w:sz w:val="24"/>
                <w:szCs w:val="24"/>
              </w:rPr>
              <w:t>a</w:t>
            </w:r>
            <w:r w:rsidRPr="007B09E8">
              <w:rPr>
                <w:rFonts w:ascii="Book Antiqua" w:hAnsi="Book Antiqua" w:cstheme="majorBidi"/>
                <w:sz w:val="24"/>
                <w:szCs w:val="24"/>
              </w:rPr>
              <w:t>ge</w:t>
            </w:r>
          </w:p>
        </w:tc>
        <w:tc>
          <w:tcPr>
            <w:tcW w:w="1843" w:type="dxa"/>
            <w:noWrap/>
            <w:hideMark/>
          </w:tcPr>
          <w:p w14:paraId="2865B00A"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61 years</w:t>
            </w:r>
          </w:p>
        </w:tc>
        <w:tc>
          <w:tcPr>
            <w:tcW w:w="1842" w:type="dxa"/>
            <w:noWrap/>
            <w:hideMark/>
          </w:tcPr>
          <w:p w14:paraId="601F2654"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62</w:t>
            </w:r>
          </w:p>
        </w:tc>
        <w:tc>
          <w:tcPr>
            <w:tcW w:w="1667" w:type="dxa"/>
            <w:noWrap/>
            <w:hideMark/>
          </w:tcPr>
          <w:p w14:paraId="260E5549"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63</w:t>
            </w:r>
          </w:p>
        </w:tc>
        <w:tc>
          <w:tcPr>
            <w:tcW w:w="1735" w:type="dxa"/>
            <w:noWrap/>
            <w:hideMark/>
          </w:tcPr>
          <w:p w14:paraId="0EEA9329"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60</w:t>
            </w:r>
          </w:p>
        </w:tc>
      </w:tr>
      <w:tr w:rsidR="007B09E8" w:rsidRPr="007B09E8" w14:paraId="48A076D2" w14:textId="77777777" w:rsidTr="00EE68BF">
        <w:trPr>
          <w:trHeight w:val="144"/>
        </w:trPr>
        <w:tc>
          <w:tcPr>
            <w:tcW w:w="1848" w:type="dxa"/>
            <w:vMerge/>
            <w:hideMark/>
          </w:tcPr>
          <w:p w14:paraId="4F64696C"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5A2D42E7" w14:textId="0D3F65A9"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 xml:space="preserve">Sex </w:t>
            </w:r>
            <w:r w:rsidR="00EE68BF" w:rsidRPr="007B09E8">
              <w:rPr>
                <w:rFonts w:ascii="Book Antiqua" w:hAnsi="Book Antiqua" w:cstheme="majorBidi"/>
                <w:sz w:val="24"/>
                <w:szCs w:val="24"/>
              </w:rPr>
              <w:t>d</w:t>
            </w:r>
            <w:r w:rsidRPr="007B09E8">
              <w:rPr>
                <w:rFonts w:ascii="Book Antiqua" w:hAnsi="Book Antiqua" w:cstheme="majorBidi"/>
                <w:sz w:val="24"/>
                <w:szCs w:val="24"/>
              </w:rPr>
              <w:t>istribution</w:t>
            </w:r>
          </w:p>
        </w:tc>
        <w:tc>
          <w:tcPr>
            <w:tcW w:w="1843" w:type="dxa"/>
            <w:noWrap/>
            <w:hideMark/>
          </w:tcPr>
          <w:p w14:paraId="7DF5BE65" w14:textId="5FEA2E84" w:rsidR="005F6F9B" w:rsidRPr="007B09E8" w:rsidRDefault="00341020" w:rsidP="00341020">
            <w:pPr>
              <w:snapToGrid w:val="0"/>
              <w:spacing w:line="360" w:lineRule="auto"/>
              <w:jc w:val="center"/>
              <w:rPr>
                <w:rFonts w:ascii="Book Antiqua" w:hAnsi="Book Antiqua" w:cstheme="majorBidi"/>
                <w:sz w:val="24"/>
                <w:szCs w:val="24"/>
                <w:lang w:eastAsia="zh-CN"/>
              </w:rPr>
            </w:pPr>
            <w:r w:rsidRPr="007B09E8">
              <w:rPr>
                <w:rFonts w:ascii="Book Antiqua" w:hAnsi="Book Antiqua" w:cstheme="majorBidi"/>
                <w:sz w:val="24"/>
                <w:szCs w:val="24"/>
              </w:rPr>
              <w:t>Male (62%)</w:t>
            </w:r>
          </w:p>
        </w:tc>
        <w:tc>
          <w:tcPr>
            <w:tcW w:w="1842" w:type="dxa"/>
            <w:noWrap/>
            <w:hideMark/>
          </w:tcPr>
          <w:p w14:paraId="57961257"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Male (56.8%)</w:t>
            </w:r>
          </w:p>
        </w:tc>
        <w:tc>
          <w:tcPr>
            <w:tcW w:w="1667" w:type="dxa"/>
            <w:noWrap/>
            <w:hideMark/>
          </w:tcPr>
          <w:p w14:paraId="334A71F1"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Male (56.8%)</w:t>
            </w:r>
          </w:p>
        </w:tc>
        <w:tc>
          <w:tcPr>
            <w:tcW w:w="1735" w:type="dxa"/>
            <w:noWrap/>
            <w:hideMark/>
          </w:tcPr>
          <w:p w14:paraId="4A01F853"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Male (44.6%)</w:t>
            </w:r>
          </w:p>
        </w:tc>
      </w:tr>
      <w:tr w:rsidR="007B09E8" w:rsidRPr="007B09E8" w14:paraId="5032D36C" w14:textId="77777777" w:rsidTr="00EE68BF">
        <w:trPr>
          <w:trHeight w:val="144"/>
        </w:trPr>
        <w:tc>
          <w:tcPr>
            <w:tcW w:w="1848" w:type="dxa"/>
            <w:vMerge/>
            <w:hideMark/>
          </w:tcPr>
          <w:p w14:paraId="4EFB3AFE"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171300E9"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ECOG</w:t>
            </w:r>
          </w:p>
        </w:tc>
        <w:tc>
          <w:tcPr>
            <w:tcW w:w="1843" w:type="dxa"/>
            <w:hideMark/>
          </w:tcPr>
          <w:p w14:paraId="4F16ADEE" w14:textId="77777777" w:rsidR="005F6F9B" w:rsidRPr="007B09E8" w:rsidRDefault="005F6F9B" w:rsidP="005F6F9B">
            <w:pPr>
              <w:snapToGrid w:val="0"/>
              <w:spacing w:line="360" w:lineRule="auto"/>
              <w:jc w:val="center"/>
              <w:rPr>
                <w:rFonts w:ascii="Book Antiqua" w:hAnsi="Book Antiqua" w:cstheme="majorBidi"/>
                <w:sz w:val="24"/>
                <w:szCs w:val="24"/>
                <w:lang w:val="fr-FR"/>
              </w:rPr>
            </w:pPr>
            <w:r w:rsidRPr="007B09E8">
              <w:rPr>
                <w:rFonts w:ascii="Book Antiqua" w:hAnsi="Book Antiqua" w:cstheme="majorBidi"/>
                <w:sz w:val="24"/>
                <w:szCs w:val="24"/>
                <w:lang w:val="fr-FR"/>
              </w:rPr>
              <w:t>PS 0 (37.4%)</w:t>
            </w:r>
          </w:p>
          <w:p w14:paraId="341B61A6" w14:textId="77777777" w:rsidR="005F6F9B" w:rsidRPr="007B09E8" w:rsidRDefault="005F6F9B" w:rsidP="005F6F9B">
            <w:pPr>
              <w:snapToGrid w:val="0"/>
              <w:spacing w:line="360" w:lineRule="auto"/>
              <w:jc w:val="center"/>
              <w:rPr>
                <w:rFonts w:ascii="Book Antiqua" w:hAnsi="Book Antiqua" w:cstheme="majorBidi"/>
                <w:sz w:val="24"/>
                <w:szCs w:val="24"/>
                <w:lang w:val="fr-FR"/>
              </w:rPr>
            </w:pPr>
            <w:r w:rsidRPr="007B09E8">
              <w:rPr>
                <w:rFonts w:ascii="Book Antiqua" w:hAnsi="Book Antiqua" w:cstheme="majorBidi"/>
                <w:sz w:val="24"/>
                <w:szCs w:val="24"/>
                <w:lang w:val="fr-FR"/>
              </w:rPr>
              <w:t>PS 1 (61.9%)</w:t>
            </w:r>
          </w:p>
          <w:p w14:paraId="0C99A4FE" w14:textId="50FE7949" w:rsidR="005F6F9B" w:rsidRPr="007B09E8" w:rsidRDefault="00EE68BF" w:rsidP="00EE68BF">
            <w:pPr>
              <w:snapToGrid w:val="0"/>
              <w:spacing w:line="360" w:lineRule="auto"/>
              <w:jc w:val="center"/>
              <w:rPr>
                <w:rFonts w:ascii="Book Antiqua" w:hAnsi="Book Antiqua" w:cstheme="majorBidi"/>
                <w:sz w:val="24"/>
                <w:szCs w:val="24"/>
                <w:lang w:val="fr-FR" w:eastAsia="zh-CN"/>
              </w:rPr>
            </w:pPr>
            <w:r w:rsidRPr="007B09E8">
              <w:rPr>
                <w:rFonts w:ascii="Book Antiqua" w:hAnsi="Book Antiqua" w:cstheme="majorBidi"/>
                <w:sz w:val="24"/>
                <w:szCs w:val="24"/>
                <w:lang w:val="fr-FR"/>
              </w:rPr>
              <w:t>PS 2 (0.6%)</w:t>
            </w:r>
          </w:p>
        </w:tc>
        <w:tc>
          <w:tcPr>
            <w:tcW w:w="1842" w:type="dxa"/>
            <w:hideMark/>
          </w:tcPr>
          <w:p w14:paraId="7D5B61DC" w14:textId="77777777" w:rsidR="005F6F9B" w:rsidRPr="007B09E8" w:rsidRDefault="005F6F9B" w:rsidP="005F6F9B">
            <w:pPr>
              <w:snapToGrid w:val="0"/>
              <w:spacing w:line="360" w:lineRule="auto"/>
              <w:jc w:val="center"/>
              <w:rPr>
                <w:rFonts w:ascii="Book Antiqua" w:hAnsi="Book Antiqua" w:cstheme="majorBidi"/>
                <w:sz w:val="24"/>
                <w:szCs w:val="24"/>
                <w:lang w:val="fr-FR"/>
              </w:rPr>
            </w:pPr>
            <w:r w:rsidRPr="007B09E8">
              <w:rPr>
                <w:rFonts w:ascii="Book Antiqua" w:hAnsi="Book Antiqua" w:cstheme="majorBidi"/>
                <w:sz w:val="24"/>
                <w:szCs w:val="24"/>
                <w:lang w:val="fr-FR"/>
              </w:rPr>
              <w:t>PS 0 (46%)</w:t>
            </w:r>
          </w:p>
          <w:p w14:paraId="35C640F7" w14:textId="3B8242E2" w:rsidR="005F6F9B" w:rsidRPr="007B09E8" w:rsidRDefault="005F6F9B" w:rsidP="005F6F9B">
            <w:pPr>
              <w:snapToGrid w:val="0"/>
              <w:spacing w:line="360" w:lineRule="auto"/>
              <w:jc w:val="center"/>
              <w:rPr>
                <w:rFonts w:ascii="Book Antiqua" w:hAnsi="Book Antiqua" w:cstheme="majorBidi"/>
                <w:sz w:val="24"/>
                <w:szCs w:val="24"/>
                <w:lang w:val="fr-FR"/>
              </w:rPr>
            </w:pPr>
            <w:r w:rsidRPr="007B09E8">
              <w:rPr>
                <w:rFonts w:ascii="Book Antiqua" w:hAnsi="Book Antiqua" w:cstheme="majorBidi"/>
                <w:sz w:val="24"/>
                <w:szCs w:val="24"/>
                <w:lang w:val="fr-FR"/>
              </w:rPr>
              <w:t>PS 1 (54%)</w:t>
            </w:r>
          </w:p>
        </w:tc>
        <w:tc>
          <w:tcPr>
            <w:tcW w:w="1667" w:type="dxa"/>
            <w:hideMark/>
          </w:tcPr>
          <w:p w14:paraId="11B709F1" w14:textId="77777777" w:rsidR="005F6F9B" w:rsidRPr="007B09E8" w:rsidRDefault="005F6F9B" w:rsidP="005F6F9B">
            <w:pPr>
              <w:snapToGrid w:val="0"/>
              <w:spacing w:line="360" w:lineRule="auto"/>
              <w:jc w:val="center"/>
              <w:rPr>
                <w:rFonts w:ascii="Book Antiqua" w:hAnsi="Book Antiqua" w:cstheme="majorBidi"/>
                <w:sz w:val="24"/>
                <w:szCs w:val="24"/>
                <w:lang w:val="fr-FR"/>
              </w:rPr>
            </w:pPr>
            <w:r w:rsidRPr="007B09E8">
              <w:rPr>
                <w:rFonts w:ascii="Book Antiqua" w:hAnsi="Book Antiqua" w:cstheme="majorBidi"/>
                <w:sz w:val="24"/>
                <w:szCs w:val="24"/>
                <w:lang w:val="fr-FR"/>
              </w:rPr>
              <w:t>PS 0 (22%)</w:t>
            </w:r>
          </w:p>
          <w:p w14:paraId="36051D98" w14:textId="0F4C9B8A" w:rsidR="005F6F9B" w:rsidRPr="007B09E8" w:rsidRDefault="005F6F9B" w:rsidP="005F6F9B">
            <w:pPr>
              <w:snapToGrid w:val="0"/>
              <w:spacing w:line="360" w:lineRule="auto"/>
              <w:jc w:val="center"/>
              <w:rPr>
                <w:rFonts w:ascii="Book Antiqua" w:hAnsi="Book Antiqua" w:cstheme="majorBidi"/>
                <w:sz w:val="24"/>
                <w:szCs w:val="24"/>
                <w:lang w:val="fr-FR"/>
              </w:rPr>
            </w:pPr>
            <w:r w:rsidRPr="007B09E8">
              <w:rPr>
                <w:rFonts w:ascii="Book Antiqua" w:hAnsi="Book Antiqua" w:cstheme="majorBidi"/>
                <w:sz w:val="24"/>
                <w:szCs w:val="24"/>
                <w:lang w:val="fr-FR"/>
              </w:rPr>
              <w:t>PS 1 (76%)</w:t>
            </w:r>
          </w:p>
          <w:p w14:paraId="7D4D2F26"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PS 2 (1%)</w:t>
            </w:r>
          </w:p>
        </w:tc>
        <w:tc>
          <w:tcPr>
            <w:tcW w:w="1735" w:type="dxa"/>
            <w:hideMark/>
          </w:tcPr>
          <w:p w14:paraId="1516CA54"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PS 0 (56.6%)</w:t>
            </w:r>
          </w:p>
          <w:p w14:paraId="265CC65E" w14:textId="08F7C2E5"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PS 1 (44.4%)</w:t>
            </w:r>
          </w:p>
        </w:tc>
      </w:tr>
      <w:tr w:rsidR="007B09E8" w:rsidRPr="007B09E8" w14:paraId="4C7B3800" w14:textId="77777777" w:rsidTr="00EE68BF">
        <w:trPr>
          <w:trHeight w:val="144"/>
        </w:trPr>
        <w:tc>
          <w:tcPr>
            <w:tcW w:w="1848" w:type="dxa"/>
            <w:vMerge/>
            <w:hideMark/>
          </w:tcPr>
          <w:p w14:paraId="48E5B6D1"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2FA34EF0" w14:textId="36B5F3CE"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 xml:space="preserve">Tumor </w:t>
            </w:r>
            <w:r w:rsidR="00EE68BF" w:rsidRPr="007B09E8">
              <w:rPr>
                <w:rFonts w:ascii="Book Antiqua" w:hAnsi="Book Antiqua" w:cstheme="majorBidi"/>
                <w:sz w:val="24"/>
                <w:szCs w:val="24"/>
              </w:rPr>
              <w:t>s</w:t>
            </w:r>
            <w:r w:rsidRPr="007B09E8">
              <w:rPr>
                <w:rFonts w:ascii="Book Antiqua" w:hAnsi="Book Antiqua" w:cstheme="majorBidi"/>
                <w:sz w:val="24"/>
                <w:szCs w:val="24"/>
              </w:rPr>
              <w:t>tage</w:t>
            </w:r>
          </w:p>
        </w:tc>
        <w:tc>
          <w:tcPr>
            <w:tcW w:w="1843" w:type="dxa"/>
            <w:noWrap/>
            <w:hideMark/>
          </w:tcPr>
          <w:p w14:paraId="27180CF4"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Metastatic</w:t>
            </w:r>
          </w:p>
        </w:tc>
        <w:tc>
          <w:tcPr>
            <w:tcW w:w="1842" w:type="dxa"/>
            <w:noWrap/>
            <w:hideMark/>
          </w:tcPr>
          <w:p w14:paraId="60B5B638"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Metastatic</w:t>
            </w:r>
          </w:p>
        </w:tc>
        <w:tc>
          <w:tcPr>
            <w:tcW w:w="1667" w:type="dxa"/>
            <w:noWrap/>
            <w:hideMark/>
          </w:tcPr>
          <w:p w14:paraId="361C6A6C"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Metastatic</w:t>
            </w:r>
          </w:p>
        </w:tc>
        <w:tc>
          <w:tcPr>
            <w:tcW w:w="1735" w:type="dxa"/>
            <w:hideMark/>
          </w:tcPr>
          <w:p w14:paraId="7B2B702C" w14:textId="7D6797FA"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 xml:space="preserve">Locally advanced and </w:t>
            </w:r>
            <w:r w:rsidR="009329A5" w:rsidRPr="007B09E8">
              <w:rPr>
                <w:rFonts w:ascii="Book Antiqua" w:hAnsi="Book Antiqua" w:cstheme="majorBidi"/>
                <w:sz w:val="24"/>
                <w:szCs w:val="24"/>
              </w:rPr>
              <w:t>m</w:t>
            </w:r>
            <w:r w:rsidRPr="007B09E8">
              <w:rPr>
                <w:rFonts w:ascii="Book Antiqua" w:hAnsi="Book Antiqua" w:cstheme="majorBidi"/>
                <w:sz w:val="24"/>
                <w:szCs w:val="24"/>
              </w:rPr>
              <w:t>etastatic</w:t>
            </w:r>
          </w:p>
        </w:tc>
      </w:tr>
      <w:tr w:rsidR="007B09E8" w:rsidRPr="007B09E8" w14:paraId="2011DF0B" w14:textId="77777777" w:rsidTr="00EE68BF">
        <w:trPr>
          <w:trHeight w:val="144"/>
        </w:trPr>
        <w:tc>
          <w:tcPr>
            <w:tcW w:w="1848" w:type="dxa"/>
            <w:vMerge/>
            <w:hideMark/>
          </w:tcPr>
          <w:p w14:paraId="2E20471F"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2755320D" w14:textId="436E064D"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 xml:space="preserve">Metastatic </w:t>
            </w:r>
            <w:r w:rsidR="00EE68BF" w:rsidRPr="007B09E8">
              <w:rPr>
                <w:rFonts w:ascii="Book Antiqua" w:hAnsi="Book Antiqua" w:cstheme="majorBidi"/>
                <w:sz w:val="24"/>
                <w:szCs w:val="24"/>
              </w:rPr>
              <w:lastRenderedPageBreak/>
              <w:t>s</w:t>
            </w:r>
            <w:r w:rsidRPr="007B09E8">
              <w:rPr>
                <w:rFonts w:ascii="Book Antiqua" w:hAnsi="Book Antiqua" w:cstheme="majorBidi"/>
                <w:sz w:val="24"/>
                <w:szCs w:val="24"/>
              </w:rPr>
              <w:t>ites</w:t>
            </w:r>
          </w:p>
        </w:tc>
        <w:tc>
          <w:tcPr>
            <w:tcW w:w="1843" w:type="dxa"/>
            <w:hideMark/>
          </w:tcPr>
          <w:p w14:paraId="0A6DE2A2"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lastRenderedPageBreak/>
              <w:t>Liver (87.6%)</w:t>
            </w:r>
          </w:p>
          <w:p w14:paraId="349C2663"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lastRenderedPageBreak/>
              <w:t>Lung (19.4%)</w:t>
            </w:r>
          </w:p>
          <w:p w14:paraId="65796D05"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Peritoneum (19.4%)</w:t>
            </w:r>
          </w:p>
        </w:tc>
        <w:tc>
          <w:tcPr>
            <w:tcW w:w="1842" w:type="dxa"/>
            <w:hideMark/>
          </w:tcPr>
          <w:p w14:paraId="7E583679"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lastRenderedPageBreak/>
              <w:t>Liver (54.1%)</w:t>
            </w:r>
          </w:p>
          <w:p w14:paraId="192EC21C"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lastRenderedPageBreak/>
              <w:t>Lung (32.4%)</w:t>
            </w:r>
          </w:p>
          <w:p w14:paraId="31D97348"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Peritoneum (37.8%)</w:t>
            </w:r>
          </w:p>
        </w:tc>
        <w:tc>
          <w:tcPr>
            <w:tcW w:w="1667" w:type="dxa"/>
            <w:hideMark/>
          </w:tcPr>
          <w:p w14:paraId="7E285317" w14:textId="23FC82CA" w:rsidR="005F6F9B" w:rsidRPr="007B09E8" w:rsidRDefault="005F6F9B" w:rsidP="005F6F9B">
            <w:pPr>
              <w:snapToGrid w:val="0"/>
              <w:spacing w:line="360" w:lineRule="auto"/>
              <w:jc w:val="center"/>
              <w:rPr>
                <w:rFonts w:ascii="Book Antiqua" w:hAnsi="Book Antiqua" w:cstheme="majorBidi"/>
                <w:sz w:val="24"/>
                <w:szCs w:val="24"/>
              </w:rPr>
            </w:pPr>
          </w:p>
        </w:tc>
        <w:tc>
          <w:tcPr>
            <w:tcW w:w="1735" w:type="dxa"/>
            <w:hideMark/>
          </w:tcPr>
          <w:p w14:paraId="6C089390" w14:textId="293250AF" w:rsidR="005F6F9B" w:rsidRPr="007B09E8" w:rsidRDefault="005F6F9B" w:rsidP="005F6F9B">
            <w:pPr>
              <w:snapToGrid w:val="0"/>
              <w:spacing w:line="360" w:lineRule="auto"/>
              <w:jc w:val="center"/>
              <w:rPr>
                <w:rFonts w:ascii="Book Antiqua" w:hAnsi="Book Antiqua" w:cstheme="majorBidi"/>
                <w:sz w:val="24"/>
                <w:szCs w:val="24"/>
              </w:rPr>
            </w:pPr>
          </w:p>
        </w:tc>
      </w:tr>
      <w:tr w:rsidR="007B09E8" w:rsidRPr="007B09E8" w14:paraId="3801E546" w14:textId="77777777" w:rsidTr="00EE68BF">
        <w:trPr>
          <w:trHeight w:val="315"/>
        </w:trPr>
        <w:tc>
          <w:tcPr>
            <w:tcW w:w="1848" w:type="dxa"/>
            <w:vMerge/>
            <w:hideMark/>
          </w:tcPr>
          <w:p w14:paraId="68A679D7"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4A416173" w14:textId="110CA2EF" w:rsidR="005F6F9B" w:rsidRPr="007B09E8" w:rsidRDefault="005F6F9B" w:rsidP="00EE68BF">
            <w:pPr>
              <w:snapToGrid w:val="0"/>
              <w:spacing w:line="360" w:lineRule="auto"/>
              <w:jc w:val="center"/>
              <w:rPr>
                <w:rFonts w:ascii="Book Antiqua" w:hAnsi="Book Antiqua" w:cstheme="majorBidi"/>
                <w:sz w:val="24"/>
                <w:szCs w:val="24"/>
                <w:lang w:eastAsia="zh-CN"/>
              </w:rPr>
            </w:pPr>
            <w:r w:rsidRPr="007B09E8">
              <w:rPr>
                <w:rFonts w:ascii="Book Antiqua" w:hAnsi="Book Antiqua" w:cstheme="majorBidi"/>
                <w:sz w:val="24"/>
                <w:szCs w:val="24"/>
              </w:rPr>
              <w:t xml:space="preserve">Tumor </w:t>
            </w:r>
            <w:r w:rsidR="00EE68BF" w:rsidRPr="007B09E8">
              <w:rPr>
                <w:rFonts w:ascii="Book Antiqua" w:hAnsi="Book Antiqua" w:cstheme="majorBidi"/>
                <w:sz w:val="24"/>
                <w:szCs w:val="24"/>
              </w:rPr>
              <w:t>l</w:t>
            </w:r>
            <w:r w:rsidRPr="007B09E8">
              <w:rPr>
                <w:rFonts w:ascii="Book Antiqua" w:hAnsi="Book Antiqua" w:cstheme="majorBidi"/>
                <w:sz w:val="24"/>
                <w:szCs w:val="24"/>
              </w:rPr>
              <w:t>ocation</w:t>
            </w:r>
          </w:p>
        </w:tc>
        <w:tc>
          <w:tcPr>
            <w:tcW w:w="1843" w:type="dxa"/>
            <w:noWrap/>
            <w:hideMark/>
          </w:tcPr>
          <w:p w14:paraId="49444521"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Head (39.2%)</w:t>
            </w:r>
          </w:p>
        </w:tc>
        <w:tc>
          <w:tcPr>
            <w:tcW w:w="1842" w:type="dxa"/>
            <w:noWrap/>
            <w:hideMark/>
          </w:tcPr>
          <w:p w14:paraId="5B1CE059"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Head (54.8%)</w:t>
            </w:r>
          </w:p>
        </w:tc>
        <w:tc>
          <w:tcPr>
            <w:tcW w:w="1667" w:type="dxa"/>
            <w:noWrap/>
            <w:hideMark/>
          </w:tcPr>
          <w:p w14:paraId="7DD79C9B" w14:textId="0A4E0020"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NA</w:t>
            </w:r>
          </w:p>
        </w:tc>
        <w:tc>
          <w:tcPr>
            <w:tcW w:w="1735" w:type="dxa"/>
            <w:noWrap/>
            <w:hideMark/>
          </w:tcPr>
          <w:p w14:paraId="539FE430"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Head (566%)</w:t>
            </w:r>
          </w:p>
        </w:tc>
      </w:tr>
      <w:tr w:rsidR="007B09E8" w:rsidRPr="007B09E8" w14:paraId="7D647114" w14:textId="77777777" w:rsidTr="00EE68BF">
        <w:trPr>
          <w:trHeight w:val="144"/>
        </w:trPr>
        <w:tc>
          <w:tcPr>
            <w:tcW w:w="1848" w:type="dxa"/>
            <w:vMerge w:val="restart"/>
            <w:noWrap/>
            <w:hideMark/>
          </w:tcPr>
          <w:p w14:paraId="3BC56E1F" w14:textId="77777777" w:rsidR="005F6F9B" w:rsidRPr="007B09E8" w:rsidRDefault="005F6F9B" w:rsidP="00EE68BF">
            <w:pPr>
              <w:snapToGrid w:val="0"/>
              <w:spacing w:line="360" w:lineRule="auto"/>
              <w:rPr>
                <w:rFonts w:ascii="Book Antiqua" w:hAnsi="Book Antiqua" w:cstheme="majorBidi"/>
                <w:sz w:val="24"/>
                <w:szCs w:val="24"/>
              </w:rPr>
            </w:pPr>
            <w:r w:rsidRPr="007B09E8">
              <w:rPr>
                <w:rFonts w:ascii="Book Antiqua" w:hAnsi="Book Antiqua" w:cstheme="majorBidi"/>
                <w:sz w:val="24"/>
                <w:szCs w:val="24"/>
              </w:rPr>
              <w:t>Response</w:t>
            </w:r>
          </w:p>
        </w:tc>
        <w:tc>
          <w:tcPr>
            <w:tcW w:w="1697" w:type="dxa"/>
            <w:noWrap/>
            <w:hideMark/>
          </w:tcPr>
          <w:p w14:paraId="201E5DE0"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ORR (%)</w:t>
            </w:r>
          </w:p>
        </w:tc>
        <w:tc>
          <w:tcPr>
            <w:tcW w:w="1843" w:type="dxa"/>
            <w:noWrap/>
            <w:hideMark/>
          </w:tcPr>
          <w:p w14:paraId="48042035"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31.6</w:t>
            </w:r>
          </w:p>
        </w:tc>
        <w:tc>
          <w:tcPr>
            <w:tcW w:w="1842" w:type="dxa"/>
            <w:noWrap/>
            <w:hideMark/>
          </w:tcPr>
          <w:p w14:paraId="6154762E"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35.1</w:t>
            </w:r>
          </w:p>
        </w:tc>
        <w:tc>
          <w:tcPr>
            <w:tcW w:w="1667" w:type="dxa"/>
            <w:noWrap/>
            <w:hideMark/>
          </w:tcPr>
          <w:p w14:paraId="0046B641"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30</w:t>
            </w:r>
          </w:p>
        </w:tc>
        <w:tc>
          <w:tcPr>
            <w:tcW w:w="1735" w:type="dxa"/>
            <w:noWrap/>
            <w:hideMark/>
          </w:tcPr>
          <w:p w14:paraId="33CA9289"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47</w:t>
            </w:r>
          </w:p>
        </w:tc>
      </w:tr>
      <w:tr w:rsidR="007B09E8" w:rsidRPr="007B09E8" w14:paraId="69D0D526" w14:textId="77777777" w:rsidTr="00EE68BF">
        <w:trPr>
          <w:trHeight w:val="144"/>
        </w:trPr>
        <w:tc>
          <w:tcPr>
            <w:tcW w:w="1848" w:type="dxa"/>
            <w:vMerge/>
            <w:hideMark/>
          </w:tcPr>
          <w:p w14:paraId="1152F64B"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36BF4F9F"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PR (%)</w:t>
            </w:r>
          </w:p>
        </w:tc>
        <w:tc>
          <w:tcPr>
            <w:tcW w:w="1843" w:type="dxa"/>
            <w:noWrap/>
            <w:hideMark/>
          </w:tcPr>
          <w:p w14:paraId="645E5F53"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31</w:t>
            </w:r>
          </w:p>
        </w:tc>
        <w:tc>
          <w:tcPr>
            <w:tcW w:w="1842" w:type="dxa"/>
            <w:noWrap/>
            <w:hideMark/>
          </w:tcPr>
          <w:p w14:paraId="137BE7D2"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35.1</w:t>
            </w:r>
          </w:p>
        </w:tc>
        <w:tc>
          <w:tcPr>
            <w:tcW w:w="1667" w:type="dxa"/>
            <w:noWrap/>
            <w:hideMark/>
          </w:tcPr>
          <w:p w14:paraId="13790FA6"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NA</w:t>
            </w:r>
          </w:p>
        </w:tc>
        <w:tc>
          <w:tcPr>
            <w:tcW w:w="1735" w:type="dxa"/>
            <w:noWrap/>
            <w:hideMark/>
          </w:tcPr>
          <w:p w14:paraId="265A1B2A"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47</w:t>
            </w:r>
          </w:p>
        </w:tc>
      </w:tr>
      <w:tr w:rsidR="007B09E8" w:rsidRPr="007B09E8" w14:paraId="789DF136" w14:textId="77777777" w:rsidTr="00EE68BF">
        <w:trPr>
          <w:trHeight w:val="144"/>
        </w:trPr>
        <w:tc>
          <w:tcPr>
            <w:tcW w:w="1848" w:type="dxa"/>
            <w:vMerge/>
            <w:hideMark/>
          </w:tcPr>
          <w:p w14:paraId="0B8E0A2B"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6328D4A8"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SD (%)</w:t>
            </w:r>
          </w:p>
        </w:tc>
        <w:tc>
          <w:tcPr>
            <w:tcW w:w="1843" w:type="dxa"/>
            <w:noWrap/>
            <w:hideMark/>
          </w:tcPr>
          <w:p w14:paraId="30732459"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38.6</w:t>
            </w:r>
          </w:p>
        </w:tc>
        <w:tc>
          <w:tcPr>
            <w:tcW w:w="1842" w:type="dxa"/>
            <w:noWrap/>
            <w:hideMark/>
          </w:tcPr>
          <w:p w14:paraId="4C4632B6"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51.5</w:t>
            </w:r>
          </w:p>
        </w:tc>
        <w:tc>
          <w:tcPr>
            <w:tcW w:w="1667" w:type="dxa"/>
            <w:noWrap/>
            <w:hideMark/>
          </w:tcPr>
          <w:p w14:paraId="3C145BCA"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NA</w:t>
            </w:r>
          </w:p>
        </w:tc>
        <w:tc>
          <w:tcPr>
            <w:tcW w:w="1735" w:type="dxa"/>
            <w:noWrap/>
            <w:hideMark/>
          </w:tcPr>
          <w:p w14:paraId="74122EE5"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23</w:t>
            </w:r>
          </w:p>
        </w:tc>
      </w:tr>
      <w:tr w:rsidR="007B09E8" w:rsidRPr="007B09E8" w14:paraId="5C0A0583" w14:textId="77777777" w:rsidTr="00EE68BF">
        <w:trPr>
          <w:trHeight w:val="144"/>
        </w:trPr>
        <w:tc>
          <w:tcPr>
            <w:tcW w:w="1848" w:type="dxa"/>
            <w:vMerge/>
            <w:hideMark/>
          </w:tcPr>
          <w:p w14:paraId="5E3BA5B8"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31515C7C"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DCR (%)</w:t>
            </w:r>
          </w:p>
        </w:tc>
        <w:tc>
          <w:tcPr>
            <w:tcW w:w="1843" w:type="dxa"/>
            <w:noWrap/>
            <w:hideMark/>
          </w:tcPr>
          <w:p w14:paraId="1955D651"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70.2</w:t>
            </w:r>
          </w:p>
        </w:tc>
        <w:tc>
          <w:tcPr>
            <w:tcW w:w="1842" w:type="dxa"/>
            <w:noWrap/>
            <w:hideMark/>
          </w:tcPr>
          <w:p w14:paraId="0D0BB007"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86.6</w:t>
            </w:r>
          </w:p>
        </w:tc>
        <w:tc>
          <w:tcPr>
            <w:tcW w:w="1667" w:type="dxa"/>
            <w:noWrap/>
            <w:hideMark/>
          </w:tcPr>
          <w:p w14:paraId="146CC4C7"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NA</w:t>
            </w:r>
          </w:p>
        </w:tc>
        <w:tc>
          <w:tcPr>
            <w:tcW w:w="1735" w:type="dxa"/>
            <w:noWrap/>
            <w:hideMark/>
          </w:tcPr>
          <w:p w14:paraId="2BC5BDAB"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80</w:t>
            </w:r>
          </w:p>
        </w:tc>
      </w:tr>
      <w:tr w:rsidR="007B09E8" w:rsidRPr="007B09E8" w14:paraId="2D7E7ECF" w14:textId="77777777" w:rsidTr="00EE68BF">
        <w:trPr>
          <w:trHeight w:val="144"/>
        </w:trPr>
        <w:tc>
          <w:tcPr>
            <w:tcW w:w="1848" w:type="dxa"/>
            <w:vMerge/>
            <w:hideMark/>
          </w:tcPr>
          <w:p w14:paraId="07825BDE"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2F0B0EFE" w14:textId="03FA247A"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PFS (</w:t>
            </w:r>
            <w:r w:rsidR="00EE68BF" w:rsidRPr="007B09E8">
              <w:rPr>
                <w:rFonts w:ascii="Book Antiqua" w:hAnsi="Book Antiqua" w:cstheme="majorBidi"/>
                <w:sz w:val="24"/>
                <w:szCs w:val="24"/>
              </w:rPr>
              <w:t>mo</w:t>
            </w:r>
            <w:r w:rsidRPr="007B09E8">
              <w:rPr>
                <w:rFonts w:ascii="Book Antiqua" w:hAnsi="Book Antiqua" w:cstheme="majorBidi"/>
                <w:sz w:val="24"/>
                <w:szCs w:val="24"/>
              </w:rPr>
              <w:t>)</w:t>
            </w:r>
          </w:p>
        </w:tc>
        <w:tc>
          <w:tcPr>
            <w:tcW w:w="1843" w:type="dxa"/>
            <w:noWrap/>
            <w:hideMark/>
          </w:tcPr>
          <w:p w14:paraId="564AFAB7"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6.4</w:t>
            </w:r>
          </w:p>
        </w:tc>
        <w:tc>
          <w:tcPr>
            <w:tcW w:w="1842" w:type="dxa"/>
            <w:noWrap/>
            <w:hideMark/>
          </w:tcPr>
          <w:p w14:paraId="15813385"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6.1</w:t>
            </w:r>
          </w:p>
        </w:tc>
        <w:tc>
          <w:tcPr>
            <w:tcW w:w="1667" w:type="dxa"/>
            <w:noWrap/>
            <w:hideMark/>
          </w:tcPr>
          <w:p w14:paraId="18A24485"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8.5</w:t>
            </w:r>
          </w:p>
        </w:tc>
        <w:tc>
          <w:tcPr>
            <w:tcW w:w="1735" w:type="dxa"/>
            <w:noWrap/>
            <w:hideMark/>
          </w:tcPr>
          <w:p w14:paraId="242B5592"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7.2</w:t>
            </w:r>
          </w:p>
        </w:tc>
      </w:tr>
      <w:tr w:rsidR="007B09E8" w:rsidRPr="007B09E8" w14:paraId="5D2B4FB3" w14:textId="77777777" w:rsidTr="00EE68BF">
        <w:trPr>
          <w:trHeight w:val="144"/>
        </w:trPr>
        <w:tc>
          <w:tcPr>
            <w:tcW w:w="1848" w:type="dxa"/>
            <w:vMerge/>
            <w:hideMark/>
          </w:tcPr>
          <w:p w14:paraId="68D38A96"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16788FF6" w14:textId="7134D08F"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OS (</w:t>
            </w:r>
            <w:r w:rsidR="00EE68BF" w:rsidRPr="007B09E8">
              <w:rPr>
                <w:rFonts w:ascii="Book Antiqua" w:hAnsi="Book Antiqua" w:cstheme="majorBidi"/>
                <w:sz w:val="24"/>
                <w:szCs w:val="24"/>
              </w:rPr>
              <w:t>m</w:t>
            </w:r>
            <w:r w:rsidRPr="007B09E8">
              <w:rPr>
                <w:rFonts w:ascii="Book Antiqua" w:hAnsi="Book Antiqua" w:cstheme="majorBidi"/>
                <w:sz w:val="24"/>
                <w:szCs w:val="24"/>
              </w:rPr>
              <w:t>o)</w:t>
            </w:r>
          </w:p>
        </w:tc>
        <w:tc>
          <w:tcPr>
            <w:tcW w:w="1843" w:type="dxa"/>
            <w:noWrap/>
            <w:hideMark/>
          </w:tcPr>
          <w:p w14:paraId="2A378053"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11.1</w:t>
            </w:r>
          </w:p>
        </w:tc>
        <w:tc>
          <w:tcPr>
            <w:tcW w:w="1842" w:type="dxa"/>
            <w:noWrap/>
            <w:hideMark/>
          </w:tcPr>
          <w:p w14:paraId="2E42AD38"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10.2</w:t>
            </w:r>
          </w:p>
        </w:tc>
        <w:tc>
          <w:tcPr>
            <w:tcW w:w="1667" w:type="dxa"/>
            <w:noWrap/>
            <w:hideMark/>
          </w:tcPr>
          <w:p w14:paraId="4EFC189B"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9</w:t>
            </w:r>
          </w:p>
        </w:tc>
        <w:tc>
          <w:tcPr>
            <w:tcW w:w="1735" w:type="dxa"/>
            <w:noWrap/>
            <w:hideMark/>
          </w:tcPr>
          <w:p w14:paraId="3848D54A"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9.3</w:t>
            </w:r>
          </w:p>
        </w:tc>
      </w:tr>
      <w:tr w:rsidR="007B09E8" w:rsidRPr="007B09E8" w14:paraId="5862DC99" w14:textId="77777777" w:rsidTr="00EE68BF">
        <w:trPr>
          <w:trHeight w:val="144"/>
        </w:trPr>
        <w:tc>
          <w:tcPr>
            <w:tcW w:w="1848" w:type="dxa"/>
            <w:vMerge/>
            <w:hideMark/>
          </w:tcPr>
          <w:p w14:paraId="619D5B5E" w14:textId="77777777" w:rsidR="005F6F9B" w:rsidRPr="007B09E8" w:rsidRDefault="005F6F9B" w:rsidP="00EE68BF">
            <w:pPr>
              <w:snapToGrid w:val="0"/>
              <w:spacing w:line="360" w:lineRule="auto"/>
              <w:rPr>
                <w:rFonts w:ascii="Book Antiqua" w:hAnsi="Book Antiqua" w:cstheme="majorBidi"/>
                <w:sz w:val="24"/>
                <w:szCs w:val="24"/>
              </w:rPr>
            </w:pPr>
          </w:p>
        </w:tc>
        <w:tc>
          <w:tcPr>
            <w:tcW w:w="1697" w:type="dxa"/>
            <w:noWrap/>
            <w:hideMark/>
          </w:tcPr>
          <w:p w14:paraId="6CC72114" w14:textId="0702CC3D" w:rsidR="005F6F9B" w:rsidRPr="007B09E8" w:rsidRDefault="00EE68BF"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1-y</w:t>
            </w:r>
            <w:r w:rsidR="005F6F9B" w:rsidRPr="007B09E8">
              <w:rPr>
                <w:rFonts w:ascii="Book Antiqua" w:hAnsi="Book Antiqua" w:cstheme="majorBidi"/>
                <w:sz w:val="24"/>
                <w:szCs w:val="24"/>
              </w:rPr>
              <w:t>r OS (%)</w:t>
            </w:r>
          </w:p>
          <w:p w14:paraId="2E4CE6BD" w14:textId="77777777" w:rsidR="005F6F9B" w:rsidRPr="007B09E8" w:rsidRDefault="005F6F9B" w:rsidP="00EE68BF">
            <w:pPr>
              <w:snapToGrid w:val="0"/>
              <w:spacing w:line="360" w:lineRule="auto"/>
              <w:jc w:val="center"/>
              <w:rPr>
                <w:rFonts w:ascii="Book Antiqua" w:hAnsi="Book Antiqua" w:cstheme="majorBidi"/>
                <w:sz w:val="24"/>
                <w:szCs w:val="24"/>
              </w:rPr>
            </w:pPr>
          </w:p>
        </w:tc>
        <w:tc>
          <w:tcPr>
            <w:tcW w:w="1843" w:type="dxa"/>
            <w:noWrap/>
            <w:hideMark/>
          </w:tcPr>
          <w:p w14:paraId="573CBED8"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48.4</w:t>
            </w:r>
          </w:p>
        </w:tc>
        <w:tc>
          <w:tcPr>
            <w:tcW w:w="1842" w:type="dxa"/>
            <w:noWrap/>
            <w:hideMark/>
          </w:tcPr>
          <w:p w14:paraId="50724AAC"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38</w:t>
            </w:r>
          </w:p>
        </w:tc>
        <w:tc>
          <w:tcPr>
            <w:tcW w:w="1667" w:type="dxa"/>
            <w:noWrap/>
            <w:hideMark/>
          </w:tcPr>
          <w:p w14:paraId="4BA77908" w14:textId="6D67881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NA</w:t>
            </w:r>
          </w:p>
        </w:tc>
        <w:tc>
          <w:tcPr>
            <w:tcW w:w="1735" w:type="dxa"/>
            <w:noWrap/>
            <w:hideMark/>
          </w:tcPr>
          <w:p w14:paraId="72DB0BDC" w14:textId="37DCCA99"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NA</w:t>
            </w:r>
          </w:p>
        </w:tc>
      </w:tr>
      <w:tr w:rsidR="007B09E8" w:rsidRPr="007B09E8" w14:paraId="6045C830" w14:textId="77777777" w:rsidTr="00EE68BF">
        <w:trPr>
          <w:trHeight w:val="144"/>
        </w:trPr>
        <w:tc>
          <w:tcPr>
            <w:tcW w:w="1848" w:type="dxa"/>
            <w:vMerge w:val="restart"/>
            <w:hideMark/>
          </w:tcPr>
          <w:p w14:paraId="63B5C627" w14:textId="487BF992" w:rsidR="005F6F9B" w:rsidRPr="007B09E8" w:rsidRDefault="005F6F9B" w:rsidP="00EE68BF">
            <w:pPr>
              <w:snapToGrid w:val="0"/>
              <w:spacing w:line="360" w:lineRule="auto"/>
              <w:rPr>
                <w:rFonts w:ascii="Book Antiqua" w:hAnsi="Book Antiqua" w:cstheme="majorBidi"/>
                <w:sz w:val="24"/>
                <w:szCs w:val="24"/>
              </w:rPr>
            </w:pPr>
            <w:r w:rsidRPr="007B09E8">
              <w:rPr>
                <w:rFonts w:ascii="Book Antiqua" w:hAnsi="Book Antiqua" w:cstheme="majorBidi"/>
                <w:sz w:val="24"/>
                <w:szCs w:val="24"/>
              </w:rPr>
              <w:t>Safety</w:t>
            </w:r>
            <w:r w:rsidR="00EE68BF" w:rsidRPr="007B09E8">
              <w:rPr>
                <w:rFonts w:ascii="Book Antiqua" w:hAnsi="Book Antiqua" w:cstheme="majorBidi" w:hint="eastAsia"/>
                <w:sz w:val="24"/>
                <w:szCs w:val="24"/>
                <w:lang w:eastAsia="zh-CN"/>
              </w:rPr>
              <w:t xml:space="preserve"> </w:t>
            </w:r>
            <w:r w:rsidRPr="007B09E8">
              <w:rPr>
                <w:rFonts w:ascii="Book Antiqua" w:hAnsi="Book Antiqua" w:cstheme="majorBidi"/>
                <w:sz w:val="24"/>
                <w:szCs w:val="24"/>
              </w:rPr>
              <w:t xml:space="preserve">(Grade 3-4 </w:t>
            </w:r>
            <w:r w:rsidR="00EE68BF" w:rsidRPr="007B09E8">
              <w:rPr>
                <w:rFonts w:ascii="Book Antiqua" w:hAnsi="Book Antiqua" w:cstheme="majorBidi"/>
                <w:sz w:val="24"/>
                <w:szCs w:val="24"/>
              </w:rPr>
              <w:t>t</w:t>
            </w:r>
            <w:r w:rsidRPr="007B09E8">
              <w:rPr>
                <w:rFonts w:ascii="Book Antiqua" w:hAnsi="Book Antiqua" w:cstheme="majorBidi"/>
                <w:sz w:val="24"/>
                <w:szCs w:val="24"/>
              </w:rPr>
              <w:t>oxicities)</w:t>
            </w:r>
          </w:p>
        </w:tc>
        <w:tc>
          <w:tcPr>
            <w:tcW w:w="1697" w:type="dxa"/>
            <w:noWrap/>
            <w:hideMark/>
          </w:tcPr>
          <w:p w14:paraId="4F7FA793"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Neutropenia</w:t>
            </w:r>
          </w:p>
        </w:tc>
        <w:tc>
          <w:tcPr>
            <w:tcW w:w="1843" w:type="dxa"/>
            <w:noWrap/>
            <w:hideMark/>
          </w:tcPr>
          <w:p w14:paraId="6F4C9155"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45.7</w:t>
            </w:r>
          </w:p>
        </w:tc>
        <w:tc>
          <w:tcPr>
            <w:tcW w:w="1842" w:type="dxa"/>
            <w:noWrap/>
            <w:hideMark/>
          </w:tcPr>
          <w:p w14:paraId="67706F66"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12.2</w:t>
            </w:r>
          </w:p>
        </w:tc>
        <w:tc>
          <w:tcPr>
            <w:tcW w:w="1667" w:type="dxa"/>
            <w:noWrap/>
            <w:hideMark/>
          </w:tcPr>
          <w:p w14:paraId="5F6E9044"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3</w:t>
            </w:r>
          </w:p>
        </w:tc>
        <w:tc>
          <w:tcPr>
            <w:tcW w:w="1735" w:type="dxa"/>
            <w:noWrap/>
            <w:hideMark/>
          </w:tcPr>
          <w:p w14:paraId="2FA17658"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0</w:t>
            </w:r>
          </w:p>
        </w:tc>
      </w:tr>
      <w:tr w:rsidR="007B09E8" w:rsidRPr="007B09E8" w14:paraId="2B7EDC35" w14:textId="77777777" w:rsidTr="00EE68BF">
        <w:trPr>
          <w:trHeight w:val="144"/>
        </w:trPr>
        <w:tc>
          <w:tcPr>
            <w:tcW w:w="1848" w:type="dxa"/>
            <w:vMerge/>
            <w:hideMark/>
          </w:tcPr>
          <w:p w14:paraId="701DB872" w14:textId="77777777" w:rsidR="005F6F9B" w:rsidRPr="007B09E8" w:rsidRDefault="005F6F9B" w:rsidP="00330EB9">
            <w:pPr>
              <w:snapToGrid w:val="0"/>
              <w:spacing w:line="360" w:lineRule="auto"/>
              <w:jc w:val="both"/>
              <w:rPr>
                <w:rFonts w:ascii="Book Antiqua" w:hAnsi="Book Antiqua" w:cstheme="majorBidi"/>
                <w:sz w:val="24"/>
                <w:szCs w:val="24"/>
              </w:rPr>
            </w:pPr>
          </w:p>
        </w:tc>
        <w:tc>
          <w:tcPr>
            <w:tcW w:w="1697" w:type="dxa"/>
            <w:noWrap/>
            <w:hideMark/>
          </w:tcPr>
          <w:p w14:paraId="3F39D38B"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Febrile N.</w:t>
            </w:r>
          </w:p>
        </w:tc>
        <w:tc>
          <w:tcPr>
            <w:tcW w:w="1843" w:type="dxa"/>
            <w:noWrap/>
            <w:hideMark/>
          </w:tcPr>
          <w:p w14:paraId="28754527"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5.4</w:t>
            </w:r>
          </w:p>
        </w:tc>
        <w:tc>
          <w:tcPr>
            <w:tcW w:w="1842" w:type="dxa"/>
            <w:noWrap/>
            <w:hideMark/>
          </w:tcPr>
          <w:p w14:paraId="35EAB1D9"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4.1</w:t>
            </w:r>
          </w:p>
        </w:tc>
        <w:tc>
          <w:tcPr>
            <w:tcW w:w="1667" w:type="dxa"/>
            <w:noWrap/>
            <w:hideMark/>
          </w:tcPr>
          <w:p w14:paraId="07B5B305"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0</w:t>
            </w:r>
          </w:p>
        </w:tc>
        <w:tc>
          <w:tcPr>
            <w:tcW w:w="1735" w:type="dxa"/>
            <w:noWrap/>
            <w:hideMark/>
          </w:tcPr>
          <w:p w14:paraId="60A16A7B"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5.6</w:t>
            </w:r>
          </w:p>
        </w:tc>
      </w:tr>
      <w:tr w:rsidR="007B09E8" w:rsidRPr="007B09E8" w14:paraId="658FF824" w14:textId="77777777" w:rsidTr="00EE68BF">
        <w:trPr>
          <w:trHeight w:val="144"/>
        </w:trPr>
        <w:tc>
          <w:tcPr>
            <w:tcW w:w="1848" w:type="dxa"/>
            <w:vMerge/>
            <w:hideMark/>
          </w:tcPr>
          <w:p w14:paraId="3CD2A9D5" w14:textId="77777777" w:rsidR="005F6F9B" w:rsidRPr="007B09E8" w:rsidRDefault="005F6F9B" w:rsidP="00330EB9">
            <w:pPr>
              <w:snapToGrid w:val="0"/>
              <w:spacing w:line="360" w:lineRule="auto"/>
              <w:jc w:val="both"/>
              <w:rPr>
                <w:rFonts w:ascii="Book Antiqua" w:hAnsi="Book Antiqua" w:cstheme="majorBidi"/>
                <w:sz w:val="24"/>
                <w:szCs w:val="24"/>
              </w:rPr>
            </w:pPr>
          </w:p>
        </w:tc>
        <w:tc>
          <w:tcPr>
            <w:tcW w:w="1697" w:type="dxa"/>
            <w:noWrap/>
            <w:hideMark/>
          </w:tcPr>
          <w:p w14:paraId="78CA1C47"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Thrombocytopenia</w:t>
            </w:r>
          </w:p>
        </w:tc>
        <w:tc>
          <w:tcPr>
            <w:tcW w:w="1843" w:type="dxa"/>
            <w:noWrap/>
            <w:hideMark/>
          </w:tcPr>
          <w:p w14:paraId="7CABD011"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9.1</w:t>
            </w:r>
          </w:p>
        </w:tc>
        <w:tc>
          <w:tcPr>
            <w:tcW w:w="1842" w:type="dxa"/>
            <w:noWrap/>
            <w:hideMark/>
          </w:tcPr>
          <w:p w14:paraId="665A1B2D"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9.5</w:t>
            </w:r>
          </w:p>
        </w:tc>
        <w:tc>
          <w:tcPr>
            <w:tcW w:w="1667" w:type="dxa"/>
            <w:noWrap/>
            <w:hideMark/>
          </w:tcPr>
          <w:p w14:paraId="29D1890E"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4</w:t>
            </w:r>
          </w:p>
        </w:tc>
        <w:tc>
          <w:tcPr>
            <w:tcW w:w="1735" w:type="dxa"/>
            <w:noWrap/>
            <w:hideMark/>
          </w:tcPr>
          <w:p w14:paraId="6683B3A7"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0</w:t>
            </w:r>
          </w:p>
        </w:tc>
      </w:tr>
      <w:tr w:rsidR="007B09E8" w:rsidRPr="007B09E8" w14:paraId="4539B64C" w14:textId="77777777" w:rsidTr="00EE68BF">
        <w:trPr>
          <w:trHeight w:val="144"/>
        </w:trPr>
        <w:tc>
          <w:tcPr>
            <w:tcW w:w="1848" w:type="dxa"/>
            <w:vMerge/>
            <w:hideMark/>
          </w:tcPr>
          <w:p w14:paraId="5F2F5B30" w14:textId="77777777" w:rsidR="005F6F9B" w:rsidRPr="007B09E8" w:rsidRDefault="005F6F9B" w:rsidP="00330EB9">
            <w:pPr>
              <w:snapToGrid w:val="0"/>
              <w:spacing w:line="360" w:lineRule="auto"/>
              <w:jc w:val="both"/>
              <w:rPr>
                <w:rFonts w:ascii="Book Antiqua" w:hAnsi="Book Antiqua" w:cstheme="majorBidi"/>
                <w:sz w:val="24"/>
                <w:szCs w:val="24"/>
              </w:rPr>
            </w:pPr>
          </w:p>
        </w:tc>
        <w:tc>
          <w:tcPr>
            <w:tcW w:w="1697" w:type="dxa"/>
            <w:noWrap/>
            <w:hideMark/>
          </w:tcPr>
          <w:p w14:paraId="36CA1FAC"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Anemia</w:t>
            </w:r>
          </w:p>
        </w:tc>
        <w:tc>
          <w:tcPr>
            <w:tcW w:w="1843" w:type="dxa"/>
            <w:noWrap/>
            <w:hideMark/>
          </w:tcPr>
          <w:p w14:paraId="032DDE28"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7.8</w:t>
            </w:r>
          </w:p>
        </w:tc>
        <w:tc>
          <w:tcPr>
            <w:tcW w:w="1842" w:type="dxa"/>
            <w:noWrap/>
            <w:hideMark/>
          </w:tcPr>
          <w:p w14:paraId="11B061C0"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5.4</w:t>
            </w:r>
          </w:p>
        </w:tc>
        <w:tc>
          <w:tcPr>
            <w:tcW w:w="1667" w:type="dxa"/>
            <w:noWrap/>
            <w:hideMark/>
          </w:tcPr>
          <w:p w14:paraId="36A2C597" w14:textId="2C552D52" w:rsidR="005F6F9B" w:rsidRPr="007B09E8" w:rsidRDefault="005F6F9B" w:rsidP="005F6F9B">
            <w:pPr>
              <w:snapToGrid w:val="0"/>
              <w:spacing w:line="360" w:lineRule="auto"/>
              <w:jc w:val="center"/>
              <w:rPr>
                <w:rFonts w:ascii="Book Antiqua" w:hAnsi="Book Antiqua" w:cstheme="majorBidi"/>
                <w:sz w:val="24"/>
                <w:szCs w:val="24"/>
              </w:rPr>
            </w:pPr>
          </w:p>
        </w:tc>
        <w:tc>
          <w:tcPr>
            <w:tcW w:w="1735" w:type="dxa"/>
            <w:noWrap/>
            <w:hideMark/>
          </w:tcPr>
          <w:p w14:paraId="1D82FD3C"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0</w:t>
            </w:r>
          </w:p>
        </w:tc>
      </w:tr>
      <w:tr w:rsidR="007B09E8" w:rsidRPr="007B09E8" w14:paraId="3E755A27" w14:textId="77777777" w:rsidTr="00EE68BF">
        <w:trPr>
          <w:trHeight w:val="144"/>
        </w:trPr>
        <w:tc>
          <w:tcPr>
            <w:tcW w:w="1848" w:type="dxa"/>
            <w:vMerge/>
            <w:hideMark/>
          </w:tcPr>
          <w:p w14:paraId="521350BC" w14:textId="77777777" w:rsidR="005F6F9B" w:rsidRPr="007B09E8" w:rsidRDefault="005F6F9B" w:rsidP="00330EB9">
            <w:pPr>
              <w:snapToGrid w:val="0"/>
              <w:spacing w:line="360" w:lineRule="auto"/>
              <w:jc w:val="both"/>
              <w:rPr>
                <w:rFonts w:ascii="Book Antiqua" w:hAnsi="Book Antiqua" w:cstheme="majorBidi"/>
                <w:sz w:val="24"/>
                <w:szCs w:val="24"/>
              </w:rPr>
            </w:pPr>
          </w:p>
        </w:tc>
        <w:tc>
          <w:tcPr>
            <w:tcW w:w="1697" w:type="dxa"/>
            <w:noWrap/>
            <w:hideMark/>
          </w:tcPr>
          <w:p w14:paraId="4A0D0EF1"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Fatigue</w:t>
            </w:r>
          </w:p>
        </w:tc>
        <w:tc>
          <w:tcPr>
            <w:tcW w:w="1843" w:type="dxa"/>
            <w:noWrap/>
            <w:hideMark/>
          </w:tcPr>
          <w:p w14:paraId="72031ACD"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23.6</w:t>
            </w:r>
          </w:p>
        </w:tc>
        <w:tc>
          <w:tcPr>
            <w:tcW w:w="1842" w:type="dxa"/>
            <w:noWrap/>
            <w:hideMark/>
          </w:tcPr>
          <w:p w14:paraId="7C280FD9"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12.2</w:t>
            </w:r>
          </w:p>
        </w:tc>
        <w:tc>
          <w:tcPr>
            <w:tcW w:w="1667" w:type="dxa"/>
            <w:noWrap/>
            <w:hideMark/>
          </w:tcPr>
          <w:p w14:paraId="27F4EEE5"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13</w:t>
            </w:r>
          </w:p>
        </w:tc>
        <w:tc>
          <w:tcPr>
            <w:tcW w:w="1735" w:type="dxa"/>
            <w:noWrap/>
            <w:hideMark/>
          </w:tcPr>
          <w:p w14:paraId="7A7D92CA"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5.6</w:t>
            </w:r>
          </w:p>
        </w:tc>
      </w:tr>
      <w:tr w:rsidR="007B09E8" w:rsidRPr="007B09E8" w14:paraId="55C13CDE" w14:textId="77777777" w:rsidTr="00EE68BF">
        <w:trPr>
          <w:trHeight w:val="144"/>
        </w:trPr>
        <w:tc>
          <w:tcPr>
            <w:tcW w:w="1848" w:type="dxa"/>
            <w:vMerge/>
            <w:hideMark/>
          </w:tcPr>
          <w:p w14:paraId="37104CEE" w14:textId="77777777" w:rsidR="005F6F9B" w:rsidRPr="007B09E8" w:rsidRDefault="005F6F9B" w:rsidP="00330EB9">
            <w:pPr>
              <w:snapToGrid w:val="0"/>
              <w:spacing w:line="360" w:lineRule="auto"/>
              <w:jc w:val="both"/>
              <w:rPr>
                <w:rFonts w:ascii="Book Antiqua" w:hAnsi="Book Antiqua" w:cstheme="majorBidi"/>
                <w:sz w:val="24"/>
                <w:szCs w:val="24"/>
              </w:rPr>
            </w:pPr>
          </w:p>
        </w:tc>
        <w:tc>
          <w:tcPr>
            <w:tcW w:w="1697" w:type="dxa"/>
            <w:noWrap/>
            <w:hideMark/>
          </w:tcPr>
          <w:p w14:paraId="07641A3C" w14:textId="36205020"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 xml:space="preserve">Peripheral </w:t>
            </w:r>
            <w:r w:rsidR="00EE68BF" w:rsidRPr="007B09E8">
              <w:rPr>
                <w:rFonts w:ascii="Book Antiqua" w:hAnsi="Book Antiqua" w:cstheme="majorBidi"/>
                <w:sz w:val="24"/>
                <w:szCs w:val="24"/>
              </w:rPr>
              <w:t>n</w:t>
            </w:r>
            <w:r w:rsidRPr="007B09E8">
              <w:rPr>
                <w:rFonts w:ascii="Book Antiqua" w:hAnsi="Book Antiqua" w:cstheme="majorBidi"/>
                <w:sz w:val="24"/>
                <w:szCs w:val="24"/>
              </w:rPr>
              <w:t>europathy</w:t>
            </w:r>
          </w:p>
        </w:tc>
        <w:tc>
          <w:tcPr>
            <w:tcW w:w="1843" w:type="dxa"/>
            <w:noWrap/>
            <w:hideMark/>
          </w:tcPr>
          <w:p w14:paraId="264F261F"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9</w:t>
            </w:r>
          </w:p>
        </w:tc>
        <w:tc>
          <w:tcPr>
            <w:tcW w:w="1842" w:type="dxa"/>
            <w:noWrap/>
            <w:hideMark/>
          </w:tcPr>
          <w:p w14:paraId="45764130"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2.7</w:t>
            </w:r>
          </w:p>
        </w:tc>
        <w:tc>
          <w:tcPr>
            <w:tcW w:w="1667" w:type="dxa"/>
            <w:noWrap/>
            <w:hideMark/>
          </w:tcPr>
          <w:p w14:paraId="64AFA4AE"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4</w:t>
            </w:r>
          </w:p>
        </w:tc>
        <w:tc>
          <w:tcPr>
            <w:tcW w:w="1735" w:type="dxa"/>
            <w:noWrap/>
            <w:hideMark/>
          </w:tcPr>
          <w:p w14:paraId="414D83AC"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0</w:t>
            </w:r>
          </w:p>
        </w:tc>
      </w:tr>
      <w:tr w:rsidR="007B09E8" w:rsidRPr="007B09E8" w14:paraId="308527E5" w14:textId="77777777" w:rsidTr="00EE68BF">
        <w:trPr>
          <w:trHeight w:val="144"/>
        </w:trPr>
        <w:tc>
          <w:tcPr>
            <w:tcW w:w="1848" w:type="dxa"/>
            <w:vMerge/>
            <w:hideMark/>
          </w:tcPr>
          <w:p w14:paraId="7148F340" w14:textId="77777777" w:rsidR="005F6F9B" w:rsidRPr="007B09E8" w:rsidRDefault="005F6F9B" w:rsidP="00330EB9">
            <w:pPr>
              <w:snapToGrid w:val="0"/>
              <w:spacing w:line="360" w:lineRule="auto"/>
              <w:jc w:val="both"/>
              <w:rPr>
                <w:rFonts w:ascii="Book Antiqua" w:hAnsi="Book Antiqua" w:cstheme="majorBidi"/>
                <w:sz w:val="24"/>
                <w:szCs w:val="24"/>
              </w:rPr>
            </w:pPr>
          </w:p>
        </w:tc>
        <w:tc>
          <w:tcPr>
            <w:tcW w:w="1697" w:type="dxa"/>
            <w:noWrap/>
            <w:hideMark/>
          </w:tcPr>
          <w:p w14:paraId="16A8DFF4" w14:textId="77777777" w:rsidR="005F6F9B" w:rsidRPr="007B09E8" w:rsidRDefault="005F6F9B" w:rsidP="00330EB9">
            <w:pPr>
              <w:snapToGrid w:val="0"/>
              <w:spacing w:line="360" w:lineRule="auto"/>
              <w:jc w:val="both"/>
              <w:rPr>
                <w:rFonts w:ascii="Book Antiqua" w:hAnsi="Book Antiqua" w:cstheme="majorBidi"/>
                <w:sz w:val="24"/>
                <w:szCs w:val="24"/>
              </w:rPr>
            </w:pPr>
            <w:r w:rsidRPr="007B09E8">
              <w:rPr>
                <w:rFonts w:ascii="Book Antiqua" w:hAnsi="Book Antiqua" w:cstheme="majorBidi"/>
                <w:sz w:val="24"/>
                <w:szCs w:val="24"/>
              </w:rPr>
              <w:t>Diarrhea</w:t>
            </w:r>
          </w:p>
        </w:tc>
        <w:tc>
          <w:tcPr>
            <w:tcW w:w="1843" w:type="dxa"/>
            <w:noWrap/>
            <w:hideMark/>
          </w:tcPr>
          <w:p w14:paraId="67A4574C"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12.7</w:t>
            </w:r>
          </w:p>
        </w:tc>
        <w:tc>
          <w:tcPr>
            <w:tcW w:w="1842" w:type="dxa"/>
            <w:noWrap/>
            <w:hideMark/>
          </w:tcPr>
          <w:p w14:paraId="26B5FFA3"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16.2</w:t>
            </w:r>
          </w:p>
        </w:tc>
        <w:tc>
          <w:tcPr>
            <w:tcW w:w="1667" w:type="dxa"/>
            <w:noWrap/>
            <w:hideMark/>
          </w:tcPr>
          <w:p w14:paraId="2F1CE1D0"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13</w:t>
            </w:r>
          </w:p>
        </w:tc>
        <w:tc>
          <w:tcPr>
            <w:tcW w:w="1735" w:type="dxa"/>
            <w:noWrap/>
            <w:hideMark/>
          </w:tcPr>
          <w:p w14:paraId="020FBAFD"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16.7</w:t>
            </w:r>
          </w:p>
        </w:tc>
      </w:tr>
      <w:tr w:rsidR="007B09E8" w:rsidRPr="007B09E8" w14:paraId="646D9CB0" w14:textId="77777777" w:rsidTr="00EE68BF">
        <w:trPr>
          <w:trHeight w:val="144"/>
        </w:trPr>
        <w:tc>
          <w:tcPr>
            <w:tcW w:w="1848" w:type="dxa"/>
            <w:vMerge/>
            <w:hideMark/>
          </w:tcPr>
          <w:p w14:paraId="7F584791" w14:textId="77777777" w:rsidR="005F6F9B" w:rsidRPr="007B09E8" w:rsidRDefault="005F6F9B" w:rsidP="00330EB9">
            <w:pPr>
              <w:snapToGrid w:val="0"/>
              <w:spacing w:line="360" w:lineRule="auto"/>
              <w:jc w:val="both"/>
              <w:rPr>
                <w:rFonts w:ascii="Book Antiqua" w:hAnsi="Book Antiqua" w:cstheme="majorBidi"/>
                <w:sz w:val="24"/>
                <w:szCs w:val="24"/>
              </w:rPr>
            </w:pPr>
          </w:p>
        </w:tc>
        <w:tc>
          <w:tcPr>
            <w:tcW w:w="1697" w:type="dxa"/>
            <w:noWrap/>
            <w:hideMark/>
          </w:tcPr>
          <w:p w14:paraId="4208A48E" w14:textId="6E628A2F" w:rsidR="005F6F9B" w:rsidRPr="007B09E8" w:rsidRDefault="005F6F9B" w:rsidP="00330EB9">
            <w:pPr>
              <w:snapToGrid w:val="0"/>
              <w:spacing w:line="360" w:lineRule="auto"/>
              <w:jc w:val="both"/>
              <w:rPr>
                <w:rFonts w:ascii="Book Antiqua" w:hAnsi="Book Antiqua" w:cstheme="majorBidi"/>
                <w:sz w:val="24"/>
                <w:szCs w:val="24"/>
                <w:lang w:eastAsia="zh-CN"/>
              </w:rPr>
            </w:pPr>
            <w:r w:rsidRPr="007B09E8">
              <w:rPr>
                <w:rFonts w:ascii="Book Antiqua" w:hAnsi="Book Antiqua" w:cstheme="majorBidi"/>
                <w:sz w:val="24"/>
                <w:szCs w:val="24"/>
              </w:rPr>
              <w:t xml:space="preserve">Toxic </w:t>
            </w:r>
            <w:r w:rsidR="00EE68BF" w:rsidRPr="007B09E8">
              <w:rPr>
                <w:rFonts w:ascii="Book Antiqua" w:hAnsi="Book Antiqua" w:cstheme="majorBidi"/>
                <w:sz w:val="24"/>
                <w:szCs w:val="24"/>
              </w:rPr>
              <w:t>death</w:t>
            </w:r>
          </w:p>
        </w:tc>
        <w:tc>
          <w:tcPr>
            <w:tcW w:w="1843" w:type="dxa"/>
            <w:noWrap/>
            <w:hideMark/>
          </w:tcPr>
          <w:p w14:paraId="609DAF21" w14:textId="77777777" w:rsidR="005F6F9B" w:rsidRPr="007B09E8" w:rsidRDefault="005F6F9B" w:rsidP="005F6F9B">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0.6</w:t>
            </w:r>
          </w:p>
        </w:tc>
        <w:tc>
          <w:tcPr>
            <w:tcW w:w="1842" w:type="dxa"/>
            <w:noWrap/>
            <w:hideMark/>
          </w:tcPr>
          <w:p w14:paraId="1C547323" w14:textId="2966A84A" w:rsidR="005F6F9B" w:rsidRPr="007B09E8" w:rsidRDefault="000E0592" w:rsidP="005F6F9B">
            <w:pPr>
              <w:snapToGrid w:val="0"/>
              <w:spacing w:line="360" w:lineRule="auto"/>
              <w:jc w:val="center"/>
              <w:rPr>
                <w:rFonts w:ascii="Book Antiqua" w:hAnsi="Book Antiqua" w:cstheme="majorBidi"/>
                <w:sz w:val="24"/>
                <w:szCs w:val="24"/>
                <w:lang w:eastAsia="zh-CN"/>
              </w:rPr>
            </w:pPr>
            <w:r w:rsidRPr="007B09E8">
              <w:rPr>
                <w:rFonts w:ascii="Book Antiqua" w:hAnsi="Book Antiqua" w:cstheme="majorBidi"/>
                <w:sz w:val="24"/>
                <w:szCs w:val="24"/>
              </w:rPr>
              <w:t>0</w:t>
            </w:r>
          </w:p>
        </w:tc>
        <w:tc>
          <w:tcPr>
            <w:tcW w:w="1667" w:type="dxa"/>
            <w:noWrap/>
            <w:hideMark/>
          </w:tcPr>
          <w:p w14:paraId="6ED1B9A3" w14:textId="1F8AB784" w:rsidR="005F6F9B" w:rsidRPr="007B09E8" w:rsidRDefault="000E0592" w:rsidP="005F6F9B">
            <w:pPr>
              <w:snapToGrid w:val="0"/>
              <w:spacing w:line="360" w:lineRule="auto"/>
              <w:jc w:val="center"/>
              <w:rPr>
                <w:rFonts w:ascii="Book Antiqua" w:hAnsi="Book Antiqua" w:cstheme="majorBidi"/>
                <w:sz w:val="24"/>
                <w:szCs w:val="24"/>
                <w:lang w:eastAsia="zh-CN"/>
              </w:rPr>
            </w:pPr>
            <w:r w:rsidRPr="007B09E8">
              <w:rPr>
                <w:rFonts w:ascii="Book Antiqua" w:hAnsi="Book Antiqua" w:cstheme="majorBidi"/>
                <w:sz w:val="24"/>
                <w:szCs w:val="24"/>
              </w:rPr>
              <w:t>0</w:t>
            </w:r>
          </w:p>
        </w:tc>
        <w:tc>
          <w:tcPr>
            <w:tcW w:w="1735" w:type="dxa"/>
            <w:noWrap/>
            <w:hideMark/>
          </w:tcPr>
          <w:p w14:paraId="7ECB9DB1" w14:textId="02441CB1" w:rsidR="005F6F9B" w:rsidRPr="007B09E8" w:rsidRDefault="000E0592" w:rsidP="005F6F9B">
            <w:pPr>
              <w:snapToGrid w:val="0"/>
              <w:spacing w:line="360" w:lineRule="auto"/>
              <w:jc w:val="center"/>
              <w:rPr>
                <w:rFonts w:ascii="Book Antiqua" w:hAnsi="Book Antiqua" w:cstheme="majorBidi"/>
                <w:sz w:val="24"/>
                <w:szCs w:val="24"/>
                <w:lang w:eastAsia="zh-CN"/>
              </w:rPr>
            </w:pPr>
            <w:r w:rsidRPr="007B09E8">
              <w:rPr>
                <w:rFonts w:ascii="Book Antiqua" w:hAnsi="Book Antiqua" w:cstheme="majorBidi"/>
                <w:sz w:val="24"/>
                <w:szCs w:val="24"/>
              </w:rPr>
              <w:t>0</w:t>
            </w:r>
          </w:p>
        </w:tc>
      </w:tr>
      <w:tr w:rsidR="007B09E8" w:rsidRPr="007B09E8" w14:paraId="2E14A3D4" w14:textId="77777777" w:rsidTr="00EE68BF">
        <w:trPr>
          <w:trHeight w:val="600"/>
        </w:trPr>
        <w:tc>
          <w:tcPr>
            <w:tcW w:w="5388" w:type="dxa"/>
            <w:gridSpan w:val="3"/>
            <w:noWrap/>
            <w:hideMark/>
          </w:tcPr>
          <w:p w14:paraId="797722C8" w14:textId="5ECC7324" w:rsidR="005F6F9B" w:rsidRPr="007B09E8" w:rsidRDefault="00EE68BF" w:rsidP="00330EB9">
            <w:pPr>
              <w:snapToGrid w:val="0"/>
              <w:spacing w:line="360" w:lineRule="auto"/>
              <w:jc w:val="both"/>
              <w:rPr>
                <w:rFonts w:ascii="Book Antiqua" w:hAnsi="Book Antiqua" w:cstheme="majorBidi"/>
                <w:sz w:val="24"/>
                <w:szCs w:val="24"/>
                <w:lang w:eastAsia="zh-CN"/>
              </w:rPr>
            </w:pPr>
            <w:r w:rsidRPr="007B09E8">
              <w:rPr>
                <w:rFonts w:ascii="Book Antiqua" w:hAnsi="Book Antiqua" w:cstheme="majorBidi"/>
                <w:sz w:val="24"/>
                <w:szCs w:val="24"/>
              </w:rPr>
              <w:t>Additional information</w:t>
            </w:r>
          </w:p>
        </w:tc>
        <w:tc>
          <w:tcPr>
            <w:tcW w:w="1842" w:type="dxa"/>
            <w:hideMark/>
          </w:tcPr>
          <w:p w14:paraId="6A7E5EB2"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Pegfilgastrim on each cycle</w:t>
            </w:r>
          </w:p>
        </w:tc>
        <w:tc>
          <w:tcPr>
            <w:tcW w:w="1667" w:type="dxa"/>
            <w:hideMark/>
          </w:tcPr>
          <w:p w14:paraId="0D03BF3D"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Pegfilgastrim on each cycle</w:t>
            </w:r>
          </w:p>
        </w:tc>
        <w:tc>
          <w:tcPr>
            <w:tcW w:w="1735" w:type="dxa"/>
            <w:hideMark/>
          </w:tcPr>
          <w:p w14:paraId="63CC4234" w14:textId="77777777" w:rsidR="005F6F9B" w:rsidRPr="007B09E8" w:rsidRDefault="005F6F9B" w:rsidP="00EE68BF">
            <w:pPr>
              <w:snapToGrid w:val="0"/>
              <w:spacing w:line="360" w:lineRule="auto"/>
              <w:jc w:val="center"/>
              <w:rPr>
                <w:rFonts w:ascii="Book Antiqua" w:hAnsi="Book Antiqua" w:cstheme="majorBidi"/>
                <w:sz w:val="24"/>
                <w:szCs w:val="24"/>
              </w:rPr>
            </w:pPr>
            <w:r w:rsidRPr="007B09E8">
              <w:rPr>
                <w:rFonts w:ascii="Book Antiqua" w:hAnsi="Book Antiqua" w:cstheme="majorBidi"/>
                <w:sz w:val="24"/>
                <w:szCs w:val="24"/>
              </w:rPr>
              <w:t>Pegfilgastrim on each cycle</w:t>
            </w:r>
          </w:p>
        </w:tc>
      </w:tr>
    </w:tbl>
    <w:p w14:paraId="5E196CB6" w14:textId="77777777" w:rsidR="000E0592" w:rsidRPr="007B09E8" w:rsidRDefault="000E0592" w:rsidP="000E0592">
      <w:pPr>
        <w:snapToGrid w:val="0"/>
        <w:spacing w:after="0" w:line="360" w:lineRule="auto"/>
        <w:jc w:val="both"/>
        <w:rPr>
          <w:rFonts w:ascii="Book Antiqua" w:hAnsi="Book Antiqua" w:cstheme="majorBidi"/>
          <w:sz w:val="24"/>
          <w:szCs w:val="24"/>
          <w:lang w:eastAsia="zh-CN"/>
        </w:rPr>
      </w:pPr>
      <w:r w:rsidRPr="007B09E8">
        <w:rPr>
          <w:rFonts w:ascii="Book Antiqua" w:eastAsia="Times New Roman" w:hAnsi="Book Antiqua" w:cstheme="majorBidi"/>
          <w:sz w:val="24"/>
          <w:szCs w:val="24"/>
        </w:rPr>
        <w:t xml:space="preserve">DCR: </w:t>
      </w:r>
      <w:r w:rsidRPr="007B09E8">
        <w:rPr>
          <w:rFonts w:ascii="Book Antiqua" w:eastAsia="Times New Roman" w:hAnsi="Book Antiqua" w:cstheme="majorBidi"/>
          <w:caps/>
          <w:sz w:val="24"/>
          <w:szCs w:val="24"/>
        </w:rPr>
        <w:t>d</w:t>
      </w:r>
      <w:r w:rsidRPr="007B09E8">
        <w:rPr>
          <w:rFonts w:ascii="Book Antiqua" w:eastAsia="Times New Roman" w:hAnsi="Book Antiqua" w:cstheme="majorBidi"/>
          <w:sz w:val="24"/>
          <w:szCs w:val="24"/>
        </w:rPr>
        <w:t xml:space="preserve">isease control rate; PR: </w:t>
      </w:r>
      <w:r w:rsidRPr="007B09E8">
        <w:rPr>
          <w:rFonts w:ascii="Book Antiqua" w:eastAsia="Times New Roman" w:hAnsi="Book Antiqua" w:cstheme="majorBidi"/>
          <w:caps/>
          <w:sz w:val="24"/>
          <w:szCs w:val="24"/>
        </w:rPr>
        <w:t>p</w:t>
      </w:r>
      <w:r w:rsidRPr="007B09E8">
        <w:rPr>
          <w:rFonts w:ascii="Book Antiqua" w:eastAsia="Times New Roman" w:hAnsi="Book Antiqua" w:cstheme="majorBidi"/>
          <w:sz w:val="24"/>
          <w:szCs w:val="24"/>
        </w:rPr>
        <w:t xml:space="preserve">artial response; ORR: </w:t>
      </w:r>
      <w:r w:rsidRPr="007B09E8">
        <w:rPr>
          <w:rFonts w:ascii="Book Antiqua" w:eastAsia="Times New Roman" w:hAnsi="Book Antiqua" w:cstheme="majorBidi"/>
          <w:caps/>
          <w:sz w:val="24"/>
          <w:szCs w:val="24"/>
        </w:rPr>
        <w:t>o</w:t>
      </w:r>
      <w:r w:rsidRPr="007B09E8">
        <w:rPr>
          <w:rFonts w:ascii="Book Antiqua" w:eastAsia="Times New Roman" w:hAnsi="Book Antiqua" w:cstheme="majorBidi"/>
          <w:sz w:val="24"/>
          <w:szCs w:val="24"/>
        </w:rPr>
        <w:t xml:space="preserve">verall response rate; OS: </w:t>
      </w:r>
      <w:r w:rsidRPr="007B09E8">
        <w:rPr>
          <w:rFonts w:ascii="Book Antiqua" w:eastAsia="Times New Roman" w:hAnsi="Book Antiqua" w:cstheme="majorBidi"/>
          <w:caps/>
          <w:sz w:val="24"/>
          <w:szCs w:val="24"/>
        </w:rPr>
        <w:t>o</w:t>
      </w:r>
      <w:r w:rsidRPr="007B09E8">
        <w:rPr>
          <w:rFonts w:ascii="Book Antiqua" w:eastAsia="Times New Roman" w:hAnsi="Book Antiqua" w:cstheme="majorBidi"/>
          <w:sz w:val="24"/>
          <w:szCs w:val="24"/>
        </w:rPr>
        <w:t xml:space="preserve">verall survival; SD: </w:t>
      </w:r>
      <w:r w:rsidRPr="007B09E8">
        <w:rPr>
          <w:rFonts w:ascii="Book Antiqua" w:eastAsia="Times New Roman" w:hAnsi="Book Antiqua" w:cstheme="majorBidi"/>
          <w:caps/>
          <w:sz w:val="24"/>
          <w:szCs w:val="24"/>
        </w:rPr>
        <w:t>s</w:t>
      </w:r>
      <w:r w:rsidRPr="007B09E8">
        <w:rPr>
          <w:rFonts w:ascii="Book Antiqua" w:eastAsia="Times New Roman" w:hAnsi="Book Antiqua" w:cstheme="majorBidi"/>
          <w:sz w:val="24"/>
          <w:szCs w:val="24"/>
        </w:rPr>
        <w:t>table disease</w:t>
      </w:r>
      <w:r w:rsidRPr="007B09E8">
        <w:rPr>
          <w:rFonts w:ascii="Book Antiqua" w:hAnsi="Book Antiqua" w:cstheme="majorBidi" w:hint="eastAsia"/>
          <w:sz w:val="24"/>
          <w:szCs w:val="24"/>
          <w:lang w:eastAsia="zh-CN"/>
        </w:rPr>
        <w:t>.</w:t>
      </w:r>
    </w:p>
    <w:p w14:paraId="677A1A69" w14:textId="3A2CA742" w:rsidR="00CE681F" w:rsidRPr="007B09E8" w:rsidRDefault="00CE681F" w:rsidP="00E872CF">
      <w:pPr>
        <w:snapToGrid w:val="0"/>
        <w:spacing w:after="0" w:line="360" w:lineRule="auto"/>
        <w:jc w:val="both"/>
        <w:rPr>
          <w:rFonts w:ascii="Book Antiqua" w:hAnsi="Book Antiqua" w:cstheme="majorBidi"/>
          <w:sz w:val="24"/>
          <w:szCs w:val="24"/>
        </w:rPr>
      </w:pPr>
      <w:r w:rsidRPr="007B09E8">
        <w:rPr>
          <w:rFonts w:ascii="Book Antiqua" w:hAnsi="Book Antiqua" w:cstheme="majorBidi"/>
          <w:sz w:val="24"/>
          <w:szCs w:val="24"/>
        </w:rPr>
        <w:br w:type="page"/>
      </w:r>
    </w:p>
    <w:p w14:paraId="46CE753A" w14:textId="142A33E8" w:rsidR="00CE681F" w:rsidRPr="007B09E8" w:rsidRDefault="005B5850" w:rsidP="00E872CF">
      <w:pPr>
        <w:snapToGrid w:val="0"/>
        <w:spacing w:after="0" w:line="360" w:lineRule="auto"/>
        <w:jc w:val="both"/>
        <w:rPr>
          <w:rFonts w:ascii="Book Antiqua" w:hAnsi="Book Antiqua" w:cstheme="majorBidi"/>
          <w:b/>
          <w:sz w:val="24"/>
          <w:szCs w:val="24"/>
        </w:rPr>
      </w:pPr>
      <w:r w:rsidRPr="007B09E8">
        <w:rPr>
          <w:rFonts w:ascii="Book Antiqua" w:eastAsia="Times New Roman" w:hAnsi="Book Antiqua" w:cstheme="majorBidi"/>
          <w:b/>
          <w:sz w:val="24"/>
          <w:szCs w:val="24"/>
        </w:rPr>
        <w:lastRenderedPageBreak/>
        <w:t>Table 3</w:t>
      </w:r>
      <w:r w:rsidRPr="007B09E8">
        <w:rPr>
          <w:rFonts w:ascii="Book Antiqua" w:hAnsi="Book Antiqua" w:cstheme="majorBidi" w:hint="eastAsia"/>
          <w:b/>
          <w:sz w:val="24"/>
          <w:szCs w:val="24"/>
          <w:lang w:eastAsia="zh-CN"/>
        </w:rPr>
        <w:t xml:space="preserve"> </w:t>
      </w:r>
      <w:r w:rsidRPr="007B09E8">
        <w:rPr>
          <w:rFonts w:ascii="Book Antiqua" w:eastAsia="Times New Roman" w:hAnsi="Book Antiqua" w:cstheme="majorBidi"/>
          <w:b/>
          <w:sz w:val="24"/>
          <w:szCs w:val="24"/>
        </w:rPr>
        <w:t xml:space="preserve">Comparison of the </w:t>
      </w:r>
      <w:r w:rsidR="00E23A91" w:rsidRPr="007B09E8">
        <w:rPr>
          <w:rFonts w:ascii="Book Antiqua" w:eastAsia="Times New Roman" w:hAnsi="Book Antiqua" w:cstheme="majorBidi"/>
          <w:b/>
          <w:sz w:val="24"/>
          <w:szCs w:val="24"/>
        </w:rPr>
        <w:t>gemcitabine/nab-paclitaxel</w:t>
      </w:r>
      <w:r w:rsidRPr="007B09E8">
        <w:rPr>
          <w:rFonts w:ascii="Book Antiqua" w:eastAsia="Times New Roman" w:hAnsi="Book Antiqua" w:cstheme="majorBidi"/>
          <w:b/>
          <w:sz w:val="24"/>
          <w:szCs w:val="24"/>
        </w:rPr>
        <w:t xml:space="preserve"> and modified </w:t>
      </w:r>
      <w:r w:rsidR="00E23A91" w:rsidRPr="007B09E8">
        <w:rPr>
          <w:rFonts w:ascii="Book Antiqua" w:eastAsia="Times New Roman" w:hAnsi="Book Antiqua" w:cstheme="majorBidi"/>
          <w:b/>
          <w:sz w:val="24"/>
          <w:szCs w:val="24"/>
        </w:rPr>
        <w:t>gemcitabine/nab-paclitaxel</w:t>
      </w:r>
      <w:r w:rsidRPr="007B09E8">
        <w:rPr>
          <w:rFonts w:ascii="Book Antiqua" w:eastAsia="Times New Roman" w:hAnsi="Book Antiqua" w:cstheme="majorBidi"/>
          <w:b/>
          <w:sz w:val="24"/>
          <w:szCs w:val="24"/>
        </w:rPr>
        <w:t xml:space="preserve"> trials</w:t>
      </w:r>
    </w:p>
    <w:tbl>
      <w:tblPr>
        <w:tblStyle w:val="TableGrid"/>
        <w:tblW w:w="9752" w:type="dxa"/>
        <w:tblInd w:w="-176" w:type="dxa"/>
        <w:tblLook w:val="04A0" w:firstRow="1" w:lastRow="0" w:firstColumn="1" w:lastColumn="0" w:noHBand="0" w:noVBand="1"/>
      </w:tblPr>
      <w:tblGrid>
        <w:gridCol w:w="1844"/>
        <w:gridCol w:w="2347"/>
        <w:gridCol w:w="2584"/>
        <w:gridCol w:w="2977"/>
      </w:tblGrid>
      <w:tr w:rsidR="007B09E8" w:rsidRPr="007B09E8" w14:paraId="75F72C0B" w14:textId="77777777" w:rsidTr="00E23A91">
        <w:trPr>
          <w:trHeight w:val="288"/>
        </w:trPr>
        <w:tc>
          <w:tcPr>
            <w:tcW w:w="1844" w:type="dxa"/>
            <w:noWrap/>
            <w:hideMark/>
          </w:tcPr>
          <w:p w14:paraId="64A0C229" w14:textId="77777777" w:rsidR="005B5850" w:rsidRPr="007B09E8" w:rsidRDefault="005B5850" w:rsidP="00E23A91">
            <w:pPr>
              <w:snapToGrid w:val="0"/>
              <w:spacing w:line="360" w:lineRule="auto"/>
              <w:rPr>
                <w:rFonts w:ascii="Book Antiqua" w:eastAsia="Times New Roman" w:hAnsi="Book Antiqua" w:cstheme="majorBidi"/>
                <w:b/>
                <w:sz w:val="24"/>
                <w:szCs w:val="24"/>
              </w:rPr>
            </w:pPr>
          </w:p>
        </w:tc>
        <w:tc>
          <w:tcPr>
            <w:tcW w:w="2347" w:type="dxa"/>
            <w:noWrap/>
            <w:hideMark/>
          </w:tcPr>
          <w:p w14:paraId="06459DFA" w14:textId="097DF5EA" w:rsidR="005B5850" w:rsidRPr="007B09E8" w:rsidRDefault="005B5850" w:rsidP="00330EB9">
            <w:pPr>
              <w:snapToGrid w:val="0"/>
              <w:spacing w:line="360" w:lineRule="auto"/>
              <w:jc w:val="center"/>
              <w:rPr>
                <w:rFonts w:ascii="Book Antiqua" w:eastAsia="Times New Roman" w:hAnsi="Book Antiqua" w:cstheme="majorBidi"/>
                <w:b/>
                <w:sz w:val="24"/>
                <w:szCs w:val="24"/>
              </w:rPr>
            </w:pPr>
          </w:p>
        </w:tc>
        <w:tc>
          <w:tcPr>
            <w:tcW w:w="2584" w:type="dxa"/>
            <w:hideMark/>
          </w:tcPr>
          <w:p w14:paraId="37CA35B2" w14:textId="0068236E" w:rsidR="005B5850" w:rsidRPr="007B09E8" w:rsidRDefault="005B5850" w:rsidP="00330EB9">
            <w:pPr>
              <w:snapToGrid w:val="0"/>
              <w:spacing w:line="360" w:lineRule="auto"/>
              <w:jc w:val="center"/>
              <w:rPr>
                <w:rFonts w:ascii="Book Antiqua" w:eastAsia="Times New Roman" w:hAnsi="Book Antiqua" w:cstheme="majorBidi"/>
                <w:b/>
                <w:sz w:val="24"/>
                <w:szCs w:val="24"/>
              </w:rPr>
            </w:pPr>
            <w:r w:rsidRPr="007B09E8">
              <w:rPr>
                <w:rFonts w:ascii="Book Antiqua" w:eastAsia="Times New Roman" w:hAnsi="Book Antiqua" w:cstheme="majorBidi"/>
                <w:b/>
                <w:sz w:val="24"/>
                <w:szCs w:val="24"/>
              </w:rPr>
              <w:t>MPACT Trial</w:t>
            </w:r>
            <w:r w:rsidR="00330EB9" w:rsidRPr="007B09E8">
              <w:rPr>
                <w:rFonts w:ascii="Book Antiqua" w:eastAsia="Times New Roman" w:hAnsi="Book Antiqua" w:cstheme="majorBidi"/>
                <w:b/>
                <w:sz w:val="24"/>
                <w:szCs w:val="24"/>
                <w:vertAlign w:val="superscript"/>
              </w:rPr>
              <w:fldChar w:fldCharType="begin"/>
            </w:r>
            <w:r w:rsidR="00330EB9" w:rsidRPr="007B09E8">
              <w:rPr>
                <w:rFonts w:ascii="Book Antiqua" w:eastAsia="Times New Roman" w:hAnsi="Book Antiqua" w:cstheme="majorBidi"/>
                <w:b/>
                <w:sz w:val="24"/>
                <w:szCs w:val="24"/>
                <w:vertAlign w:val="superscript"/>
              </w:rPr>
              <w:instrText xml:space="preserve"> ADDIN ZOTERO_ITEM CSL_CITATION {"citationID":"e5NkMW2L","properties":{"formattedCitation":"(10)","plainCitation":"(10)"},"citationItems":[{"id":1928,"uris":["http://zotero.org/users/local/f5Q4Fz2E/items/MHXZFHH3"],"uri":["http://zotero.org/users/local/f5Q4Fz2E/items/MHXZFHH3"],"itemData":{"id":1928,"type":"article-journal","title":"Increased Survival in Pancreatic Cancer with nab-Paclitaxel plus Gemcitabine","container-title":"New England Journal of Medicine","page":"1691-1703","volume":"369","issue":"18","source":"Taylor and Francis+NEJM","abstract":"Pancreatic cancer is the fourth leading cause of cancer-related death in Europe and the United States.1,2 Since 1997, gemcitabine therapy has been the standard first-line treatment for patients with unresectable locally advanced or metastatic pancreatic cancer.3 Among patients with metastatic disease, the 5-year survival rate is only 2%,1 and 1-year survival rates of 17 to 23% have been reported with gemcitabine.3–5 Numerous phase 2 studies involving patients with advanced pancreatic cancer have shown promising results; however, most subsequent large phase 3 studies have not shown significantly improved survival,6–16 with the exception of a study involving patients who . . .","DOI":"10.1056/NEJMoa1304369","ISSN":"0028-4793","note":"PMID: 24131140","author":[{"family":"Von Hoff","given":"Daniel D."},{"family":"Ervin","given":"Thomas"},{"family":"Arena","given":"Francis P."},{"family":"Chiorean","given":"E. Gabriela"},{"family":"Infante","given":"Jeffrey"},{"family":"Moore","given":"Malcolm"},{"family":"Seay","given":"Thomas"},{"family":"Tjulandin","given":"Sergei A."},{"family":"Ma","given":"Wen Wee"},{"family":"Saleh","given":"Mansoor N."},{"family":"Harris","given":"Marion"},{"family":"Reni","given":"Michele"},{"family":"Dowden","given":"Scot"},{"family":"Laheru","given":"Daniel"},{"family":"Bahary","given":"Nathan"},{"family":"Ramanathan","given":"Ramesh K."},{"family":"Tabernero","given":"Josep"},{"family":"Hidalgo","given":"Manuel"},{"family":"Goldstein","given":"David"},{"family":"Van Cutsem","given":"Eric"},{"family":"Wei","given":"Xinyu"},{"family":"Iglesias","given":"Jose"},{"family":"Renschler","given":"Markus F."}],"issued":{"date-parts":[["2013",10,31]]},"PMID":"24131140"}}],"schema":"https://github.com/citation-style-language/schema/raw/master/csl-citation.json"} </w:instrText>
            </w:r>
            <w:r w:rsidR="00330EB9" w:rsidRPr="007B09E8">
              <w:rPr>
                <w:rFonts w:ascii="Book Antiqua" w:eastAsia="Times New Roman" w:hAnsi="Book Antiqua" w:cstheme="majorBidi"/>
                <w:b/>
                <w:sz w:val="24"/>
                <w:szCs w:val="24"/>
                <w:vertAlign w:val="superscript"/>
              </w:rPr>
              <w:fldChar w:fldCharType="separate"/>
            </w:r>
            <w:r w:rsidR="00330EB9" w:rsidRPr="007B09E8">
              <w:rPr>
                <w:rFonts w:ascii="Book Antiqua" w:hAnsi="Book Antiqua" w:cstheme="majorBidi"/>
                <w:b/>
                <w:sz w:val="24"/>
                <w:szCs w:val="24"/>
                <w:vertAlign w:val="superscript"/>
              </w:rPr>
              <w:t>[10</w:t>
            </w:r>
            <w:r w:rsidR="00330EB9" w:rsidRPr="007B09E8">
              <w:rPr>
                <w:rFonts w:ascii="Book Antiqua" w:eastAsia="Times New Roman" w:hAnsi="Book Antiqua" w:cstheme="majorBidi"/>
                <w:b/>
                <w:sz w:val="24"/>
                <w:szCs w:val="24"/>
                <w:vertAlign w:val="superscript"/>
              </w:rPr>
              <w:fldChar w:fldCharType="end"/>
            </w:r>
            <w:r w:rsidR="00330EB9" w:rsidRPr="007B09E8">
              <w:rPr>
                <w:rFonts w:ascii="Book Antiqua" w:eastAsia="Times New Roman" w:hAnsi="Book Antiqua" w:cstheme="majorBidi"/>
                <w:b/>
                <w:sz w:val="24"/>
                <w:szCs w:val="24"/>
                <w:vertAlign w:val="superscript"/>
              </w:rPr>
              <w:t>]</w:t>
            </w:r>
            <w:r w:rsidRPr="007B09E8">
              <w:rPr>
                <w:rFonts w:ascii="Book Antiqua" w:eastAsia="Times New Roman" w:hAnsi="Book Antiqua" w:cstheme="majorBidi"/>
                <w:b/>
                <w:sz w:val="24"/>
                <w:szCs w:val="24"/>
              </w:rPr>
              <w:t xml:space="preserve"> (GNP)</w:t>
            </w:r>
          </w:p>
        </w:tc>
        <w:tc>
          <w:tcPr>
            <w:tcW w:w="2977" w:type="dxa"/>
            <w:hideMark/>
          </w:tcPr>
          <w:p w14:paraId="637AB824" w14:textId="5C72EDDD" w:rsidR="005B5850" w:rsidRPr="007B09E8" w:rsidRDefault="005B5850" w:rsidP="00085C9A">
            <w:pPr>
              <w:snapToGrid w:val="0"/>
              <w:spacing w:line="360" w:lineRule="auto"/>
              <w:jc w:val="center"/>
              <w:rPr>
                <w:rFonts w:ascii="Book Antiqua" w:eastAsia="Times New Roman" w:hAnsi="Book Antiqua" w:cstheme="majorBidi"/>
                <w:b/>
                <w:sz w:val="24"/>
                <w:szCs w:val="24"/>
              </w:rPr>
            </w:pPr>
            <w:r w:rsidRPr="007B09E8">
              <w:rPr>
                <w:rFonts w:ascii="Book Antiqua" w:eastAsia="Times New Roman" w:hAnsi="Book Antiqua" w:cstheme="majorBidi"/>
                <w:b/>
                <w:sz w:val="24"/>
                <w:szCs w:val="24"/>
              </w:rPr>
              <w:t xml:space="preserve">Krishna </w:t>
            </w:r>
            <w:r w:rsidRPr="007B09E8">
              <w:rPr>
                <w:rFonts w:ascii="Book Antiqua" w:eastAsia="Times New Roman" w:hAnsi="Book Antiqua" w:cstheme="majorBidi"/>
                <w:b/>
                <w:i/>
                <w:sz w:val="24"/>
                <w:szCs w:val="24"/>
              </w:rPr>
              <w:t>et al</w:t>
            </w:r>
            <w:r w:rsidR="000434A9" w:rsidRPr="007B09E8">
              <w:rPr>
                <w:rFonts w:ascii="Book Antiqua" w:eastAsia="Times New Roman" w:hAnsi="Book Antiqua" w:cstheme="majorBidi"/>
                <w:b/>
                <w:sz w:val="24"/>
                <w:szCs w:val="24"/>
                <w:vertAlign w:val="superscript"/>
              </w:rPr>
              <w:t>[23]</w:t>
            </w:r>
            <w:r w:rsidR="00330EB9" w:rsidRPr="007B09E8">
              <w:rPr>
                <w:rFonts w:ascii="Book Antiqua" w:hAnsi="Book Antiqua" w:cstheme="majorBidi" w:hint="eastAsia"/>
                <w:b/>
                <w:sz w:val="24"/>
                <w:szCs w:val="24"/>
                <w:lang w:eastAsia="zh-CN"/>
              </w:rPr>
              <w:t xml:space="preserve"> </w:t>
            </w:r>
            <w:r w:rsidRPr="007B09E8">
              <w:rPr>
                <w:rFonts w:ascii="Book Antiqua" w:eastAsia="Times New Roman" w:hAnsi="Book Antiqua" w:cstheme="majorBidi"/>
                <w:b/>
                <w:sz w:val="24"/>
                <w:szCs w:val="24"/>
              </w:rPr>
              <w:t>(Modified GNP)</w:t>
            </w:r>
          </w:p>
        </w:tc>
      </w:tr>
      <w:tr w:rsidR="007B09E8" w:rsidRPr="007B09E8" w14:paraId="0750742F" w14:textId="77777777" w:rsidTr="00E23A91">
        <w:trPr>
          <w:trHeight w:val="144"/>
        </w:trPr>
        <w:tc>
          <w:tcPr>
            <w:tcW w:w="1844" w:type="dxa"/>
            <w:vMerge w:val="restart"/>
            <w:vAlign w:val="center"/>
            <w:hideMark/>
          </w:tcPr>
          <w:p w14:paraId="2661A293" w14:textId="77777777" w:rsidR="005B5850" w:rsidRPr="007B09E8" w:rsidRDefault="005B5850" w:rsidP="00E23A91">
            <w:pPr>
              <w:snapToGrid w:val="0"/>
              <w:spacing w:line="360" w:lineRule="auto"/>
              <w:rPr>
                <w:rFonts w:ascii="Book Antiqua" w:hAnsi="Book Antiqua" w:cstheme="majorBidi"/>
                <w:sz w:val="24"/>
                <w:szCs w:val="24"/>
              </w:rPr>
            </w:pPr>
            <w:r w:rsidRPr="007B09E8">
              <w:rPr>
                <w:rFonts w:ascii="Book Antiqua" w:hAnsi="Book Antiqua" w:cstheme="majorBidi"/>
                <w:sz w:val="24"/>
                <w:szCs w:val="24"/>
              </w:rPr>
              <w:t> Study design</w:t>
            </w:r>
          </w:p>
        </w:tc>
        <w:tc>
          <w:tcPr>
            <w:tcW w:w="2347" w:type="dxa"/>
            <w:noWrap/>
            <w:hideMark/>
          </w:tcPr>
          <w:p w14:paraId="0AA6AF8E"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Location</w:t>
            </w:r>
          </w:p>
        </w:tc>
        <w:tc>
          <w:tcPr>
            <w:tcW w:w="2584" w:type="dxa"/>
            <w:noWrap/>
            <w:hideMark/>
          </w:tcPr>
          <w:p w14:paraId="37A99F5F"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International</w:t>
            </w:r>
          </w:p>
        </w:tc>
        <w:tc>
          <w:tcPr>
            <w:tcW w:w="2977" w:type="dxa"/>
            <w:noWrap/>
            <w:hideMark/>
          </w:tcPr>
          <w:p w14:paraId="0153CF9D"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United States</w:t>
            </w:r>
          </w:p>
        </w:tc>
      </w:tr>
      <w:tr w:rsidR="007B09E8" w:rsidRPr="007B09E8" w14:paraId="4B16E50B" w14:textId="77777777" w:rsidTr="00E23A91">
        <w:trPr>
          <w:trHeight w:val="144"/>
        </w:trPr>
        <w:tc>
          <w:tcPr>
            <w:tcW w:w="1844" w:type="dxa"/>
            <w:vMerge/>
            <w:vAlign w:val="center"/>
            <w:hideMark/>
          </w:tcPr>
          <w:p w14:paraId="3485E0C1" w14:textId="77777777" w:rsidR="005B5850" w:rsidRPr="007B09E8" w:rsidRDefault="005B5850" w:rsidP="00E23A91">
            <w:pPr>
              <w:snapToGrid w:val="0"/>
              <w:spacing w:line="360" w:lineRule="auto"/>
              <w:rPr>
                <w:rFonts w:ascii="Book Antiqua" w:eastAsia="Times New Roman" w:hAnsi="Book Antiqua" w:cstheme="majorBidi"/>
                <w:sz w:val="24"/>
                <w:szCs w:val="24"/>
              </w:rPr>
            </w:pPr>
          </w:p>
        </w:tc>
        <w:tc>
          <w:tcPr>
            <w:tcW w:w="2347" w:type="dxa"/>
            <w:hideMark/>
          </w:tcPr>
          <w:p w14:paraId="0F0C1B81"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Number of patients</w:t>
            </w:r>
          </w:p>
        </w:tc>
        <w:tc>
          <w:tcPr>
            <w:tcW w:w="2584" w:type="dxa"/>
            <w:noWrap/>
            <w:hideMark/>
          </w:tcPr>
          <w:p w14:paraId="5E87D55A"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861</w:t>
            </w:r>
          </w:p>
        </w:tc>
        <w:tc>
          <w:tcPr>
            <w:tcW w:w="2977" w:type="dxa"/>
            <w:noWrap/>
            <w:hideMark/>
          </w:tcPr>
          <w:p w14:paraId="1C10C9B5"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49</w:t>
            </w:r>
          </w:p>
        </w:tc>
      </w:tr>
      <w:tr w:rsidR="007B09E8" w:rsidRPr="007B09E8" w14:paraId="77B628A0" w14:textId="77777777" w:rsidTr="00E23A91">
        <w:trPr>
          <w:trHeight w:val="144"/>
        </w:trPr>
        <w:tc>
          <w:tcPr>
            <w:tcW w:w="1844" w:type="dxa"/>
            <w:vMerge/>
            <w:vAlign w:val="center"/>
            <w:hideMark/>
          </w:tcPr>
          <w:p w14:paraId="485DAAFE" w14:textId="77777777" w:rsidR="005B5850" w:rsidRPr="007B09E8" w:rsidRDefault="005B5850" w:rsidP="00E23A91">
            <w:pPr>
              <w:snapToGrid w:val="0"/>
              <w:spacing w:line="360" w:lineRule="auto"/>
              <w:rPr>
                <w:rFonts w:ascii="Book Antiqua" w:eastAsia="Times New Roman" w:hAnsi="Book Antiqua" w:cstheme="majorBidi"/>
                <w:sz w:val="24"/>
                <w:szCs w:val="24"/>
              </w:rPr>
            </w:pPr>
          </w:p>
        </w:tc>
        <w:tc>
          <w:tcPr>
            <w:tcW w:w="2347" w:type="dxa"/>
            <w:hideMark/>
          </w:tcPr>
          <w:p w14:paraId="4C759D80"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Dosing</w:t>
            </w:r>
          </w:p>
        </w:tc>
        <w:tc>
          <w:tcPr>
            <w:tcW w:w="2584" w:type="dxa"/>
            <w:noWrap/>
            <w:hideMark/>
          </w:tcPr>
          <w:p w14:paraId="57281F6D" w14:textId="4E6C4253" w:rsidR="005B5850" w:rsidRPr="007B09E8" w:rsidRDefault="005B5850" w:rsidP="00330EB9">
            <w:pPr>
              <w:snapToGrid w:val="0"/>
              <w:spacing w:line="360" w:lineRule="auto"/>
              <w:jc w:val="center"/>
              <w:rPr>
                <w:rFonts w:ascii="Book Antiqua" w:eastAsia="Times New Roman" w:hAnsi="Book Antiqua" w:cstheme="majorBidi"/>
                <w:sz w:val="24"/>
                <w:szCs w:val="24"/>
              </w:rPr>
            </w:pPr>
          </w:p>
        </w:tc>
        <w:tc>
          <w:tcPr>
            <w:tcW w:w="2977" w:type="dxa"/>
            <w:hideMark/>
          </w:tcPr>
          <w:p w14:paraId="394A6FF7"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Omission of Day 7 doses</w:t>
            </w:r>
          </w:p>
        </w:tc>
      </w:tr>
      <w:tr w:rsidR="007B09E8" w:rsidRPr="007B09E8" w14:paraId="0156D623" w14:textId="77777777" w:rsidTr="00E23A91">
        <w:trPr>
          <w:trHeight w:val="144"/>
        </w:trPr>
        <w:tc>
          <w:tcPr>
            <w:tcW w:w="1844" w:type="dxa"/>
            <w:vMerge/>
            <w:vAlign w:val="center"/>
            <w:hideMark/>
          </w:tcPr>
          <w:p w14:paraId="2241706C" w14:textId="77777777" w:rsidR="005B5850" w:rsidRPr="007B09E8" w:rsidRDefault="005B5850" w:rsidP="00E23A91">
            <w:pPr>
              <w:snapToGrid w:val="0"/>
              <w:spacing w:line="360" w:lineRule="auto"/>
              <w:rPr>
                <w:rFonts w:ascii="Book Antiqua" w:eastAsia="Times New Roman" w:hAnsi="Book Antiqua" w:cstheme="majorBidi"/>
                <w:sz w:val="24"/>
                <w:szCs w:val="24"/>
              </w:rPr>
            </w:pPr>
          </w:p>
        </w:tc>
        <w:tc>
          <w:tcPr>
            <w:tcW w:w="2347" w:type="dxa"/>
            <w:noWrap/>
            <w:hideMark/>
          </w:tcPr>
          <w:p w14:paraId="056B08F6" w14:textId="04A1072F" w:rsidR="005B5850" w:rsidRPr="007B09E8" w:rsidRDefault="005B5850" w:rsidP="00330EB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 xml:space="preserve">Study </w:t>
            </w:r>
            <w:r w:rsidR="00330EB9" w:rsidRPr="007B09E8">
              <w:rPr>
                <w:rFonts w:ascii="Book Antiqua" w:eastAsia="Times New Roman" w:hAnsi="Book Antiqua" w:cstheme="majorBidi"/>
                <w:sz w:val="24"/>
                <w:szCs w:val="24"/>
              </w:rPr>
              <w:t>d</w:t>
            </w:r>
            <w:r w:rsidRPr="007B09E8">
              <w:rPr>
                <w:rFonts w:ascii="Book Antiqua" w:eastAsia="Times New Roman" w:hAnsi="Book Antiqua" w:cstheme="majorBidi"/>
                <w:sz w:val="24"/>
                <w:szCs w:val="24"/>
              </w:rPr>
              <w:t>esign</w:t>
            </w:r>
          </w:p>
        </w:tc>
        <w:tc>
          <w:tcPr>
            <w:tcW w:w="2584" w:type="dxa"/>
            <w:noWrap/>
            <w:hideMark/>
          </w:tcPr>
          <w:p w14:paraId="764386C7"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Phase 3</w:t>
            </w:r>
          </w:p>
        </w:tc>
        <w:tc>
          <w:tcPr>
            <w:tcW w:w="2977" w:type="dxa"/>
            <w:noWrap/>
            <w:hideMark/>
          </w:tcPr>
          <w:p w14:paraId="17967017"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Retrospective</w:t>
            </w:r>
          </w:p>
        </w:tc>
      </w:tr>
      <w:tr w:rsidR="007B09E8" w:rsidRPr="007B09E8" w14:paraId="31CC5FD2" w14:textId="77777777" w:rsidTr="00E23A91">
        <w:trPr>
          <w:trHeight w:val="144"/>
        </w:trPr>
        <w:tc>
          <w:tcPr>
            <w:tcW w:w="1844" w:type="dxa"/>
            <w:vMerge w:val="restart"/>
            <w:vAlign w:val="center"/>
            <w:hideMark/>
          </w:tcPr>
          <w:p w14:paraId="7B619D88" w14:textId="6316ACBE" w:rsidR="005B5850" w:rsidRPr="007B09E8" w:rsidRDefault="005B5850" w:rsidP="00E23A91">
            <w:pPr>
              <w:snapToGrid w:val="0"/>
              <w:spacing w:line="360" w:lineRule="auto"/>
              <w:rPr>
                <w:rFonts w:ascii="Book Antiqua" w:hAnsi="Book Antiqua" w:cstheme="majorBidi"/>
                <w:sz w:val="24"/>
                <w:szCs w:val="24"/>
              </w:rPr>
            </w:pPr>
            <w:r w:rsidRPr="007B09E8">
              <w:rPr>
                <w:rFonts w:ascii="Book Antiqua" w:hAnsi="Book Antiqua" w:cstheme="majorBidi"/>
                <w:sz w:val="24"/>
                <w:szCs w:val="24"/>
              </w:rPr>
              <w:t xml:space="preserve">Patient and </w:t>
            </w:r>
            <w:r w:rsidR="00E23A91" w:rsidRPr="007B09E8">
              <w:rPr>
                <w:rFonts w:ascii="Book Antiqua" w:hAnsi="Book Antiqua" w:cstheme="majorBidi"/>
                <w:sz w:val="24"/>
                <w:szCs w:val="24"/>
              </w:rPr>
              <w:t>t</w:t>
            </w:r>
            <w:r w:rsidRPr="007B09E8">
              <w:rPr>
                <w:rFonts w:ascii="Book Antiqua" w:hAnsi="Book Antiqua" w:cstheme="majorBidi"/>
                <w:sz w:val="24"/>
                <w:szCs w:val="24"/>
              </w:rPr>
              <w:t xml:space="preserve">umor </w:t>
            </w:r>
            <w:r w:rsidR="00E23A91" w:rsidRPr="007B09E8">
              <w:rPr>
                <w:rFonts w:ascii="Book Antiqua" w:hAnsi="Book Antiqua" w:cstheme="majorBidi"/>
                <w:sz w:val="24"/>
                <w:szCs w:val="24"/>
              </w:rPr>
              <w:t>c</w:t>
            </w:r>
            <w:r w:rsidRPr="007B09E8">
              <w:rPr>
                <w:rFonts w:ascii="Book Antiqua" w:hAnsi="Book Antiqua" w:cstheme="majorBidi"/>
                <w:sz w:val="24"/>
                <w:szCs w:val="24"/>
              </w:rPr>
              <w:t>haracteristics</w:t>
            </w:r>
          </w:p>
        </w:tc>
        <w:tc>
          <w:tcPr>
            <w:tcW w:w="2347" w:type="dxa"/>
            <w:noWrap/>
            <w:hideMark/>
          </w:tcPr>
          <w:p w14:paraId="6AE559AC" w14:textId="2B5F9BD7" w:rsidR="005B5850" w:rsidRPr="007B09E8" w:rsidRDefault="005B5850" w:rsidP="00330EB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 xml:space="preserve">Median </w:t>
            </w:r>
            <w:r w:rsidR="00330EB9" w:rsidRPr="007B09E8">
              <w:rPr>
                <w:rFonts w:ascii="Book Antiqua" w:eastAsia="Times New Roman" w:hAnsi="Book Antiqua" w:cstheme="majorBidi"/>
                <w:sz w:val="24"/>
                <w:szCs w:val="24"/>
              </w:rPr>
              <w:t>a</w:t>
            </w:r>
            <w:r w:rsidRPr="007B09E8">
              <w:rPr>
                <w:rFonts w:ascii="Book Antiqua" w:eastAsia="Times New Roman" w:hAnsi="Book Antiqua" w:cstheme="majorBidi"/>
                <w:sz w:val="24"/>
                <w:szCs w:val="24"/>
              </w:rPr>
              <w:t>ge</w:t>
            </w:r>
            <w:r w:rsidR="00330EB9" w:rsidRPr="007B09E8">
              <w:rPr>
                <w:rFonts w:ascii="Book Antiqua" w:hAnsi="Book Antiqua" w:cstheme="majorBidi" w:hint="eastAsia"/>
                <w:sz w:val="24"/>
                <w:szCs w:val="24"/>
                <w:lang w:eastAsia="zh-CN"/>
              </w:rPr>
              <w:t xml:space="preserve"> (yr)</w:t>
            </w:r>
          </w:p>
        </w:tc>
        <w:tc>
          <w:tcPr>
            <w:tcW w:w="2584" w:type="dxa"/>
            <w:noWrap/>
            <w:hideMark/>
          </w:tcPr>
          <w:p w14:paraId="7BAE1D2F" w14:textId="0DEA6046"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 xml:space="preserve">62 </w:t>
            </w:r>
          </w:p>
        </w:tc>
        <w:tc>
          <w:tcPr>
            <w:tcW w:w="2977" w:type="dxa"/>
            <w:noWrap/>
            <w:hideMark/>
          </w:tcPr>
          <w:p w14:paraId="61A27E19" w14:textId="59455E80" w:rsidR="005B5850" w:rsidRPr="007B09E8" w:rsidRDefault="00330EB9" w:rsidP="00330EB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65</w:t>
            </w:r>
          </w:p>
        </w:tc>
      </w:tr>
      <w:tr w:rsidR="007B09E8" w:rsidRPr="007B09E8" w14:paraId="62784870" w14:textId="77777777" w:rsidTr="00E23A91">
        <w:trPr>
          <w:trHeight w:val="144"/>
        </w:trPr>
        <w:tc>
          <w:tcPr>
            <w:tcW w:w="1844" w:type="dxa"/>
            <w:vMerge/>
            <w:vAlign w:val="center"/>
            <w:hideMark/>
          </w:tcPr>
          <w:p w14:paraId="0884D3DC" w14:textId="77777777" w:rsidR="005B5850" w:rsidRPr="007B09E8" w:rsidRDefault="005B5850" w:rsidP="00E23A91">
            <w:pPr>
              <w:snapToGrid w:val="0"/>
              <w:spacing w:line="360" w:lineRule="auto"/>
              <w:rPr>
                <w:rFonts w:ascii="Book Antiqua" w:eastAsia="Times New Roman" w:hAnsi="Book Antiqua" w:cstheme="majorBidi"/>
                <w:sz w:val="24"/>
                <w:szCs w:val="24"/>
              </w:rPr>
            </w:pPr>
          </w:p>
        </w:tc>
        <w:tc>
          <w:tcPr>
            <w:tcW w:w="2347" w:type="dxa"/>
            <w:noWrap/>
            <w:hideMark/>
          </w:tcPr>
          <w:p w14:paraId="6AC046DB" w14:textId="1C4C8135"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 xml:space="preserve">Sex </w:t>
            </w:r>
            <w:r w:rsidR="00330EB9" w:rsidRPr="007B09E8">
              <w:rPr>
                <w:rFonts w:ascii="Book Antiqua" w:eastAsia="Times New Roman" w:hAnsi="Book Antiqua" w:cstheme="majorBidi"/>
                <w:sz w:val="24"/>
                <w:szCs w:val="24"/>
              </w:rPr>
              <w:t>d</w:t>
            </w:r>
            <w:r w:rsidRPr="007B09E8">
              <w:rPr>
                <w:rFonts w:ascii="Book Antiqua" w:eastAsia="Times New Roman" w:hAnsi="Book Antiqua" w:cstheme="majorBidi"/>
                <w:sz w:val="24"/>
                <w:szCs w:val="24"/>
              </w:rPr>
              <w:t>istribution</w:t>
            </w:r>
          </w:p>
        </w:tc>
        <w:tc>
          <w:tcPr>
            <w:tcW w:w="2584" w:type="dxa"/>
            <w:noWrap/>
            <w:hideMark/>
          </w:tcPr>
          <w:p w14:paraId="6D6B38A4"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Male (57%)</w:t>
            </w:r>
          </w:p>
        </w:tc>
        <w:tc>
          <w:tcPr>
            <w:tcW w:w="2977" w:type="dxa"/>
            <w:noWrap/>
            <w:hideMark/>
          </w:tcPr>
          <w:p w14:paraId="4568D9CC"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Male (57%)</w:t>
            </w:r>
          </w:p>
        </w:tc>
      </w:tr>
      <w:tr w:rsidR="007B09E8" w:rsidRPr="007B09E8" w14:paraId="74B3BF4A" w14:textId="77777777" w:rsidTr="00E23A91">
        <w:trPr>
          <w:trHeight w:val="144"/>
        </w:trPr>
        <w:tc>
          <w:tcPr>
            <w:tcW w:w="1844" w:type="dxa"/>
            <w:vMerge/>
            <w:vAlign w:val="center"/>
            <w:hideMark/>
          </w:tcPr>
          <w:p w14:paraId="3B7FEF04" w14:textId="77777777" w:rsidR="005B5850" w:rsidRPr="007B09E8" w:rsidRDefault="005B5850" w:rsidP="00E23A91">
            <w:pPr>
              <w:snapToGrid w:val="0"/>
              <w:spacing w:line="360" w:lineRule="auto"/>
              <w:rPr>
                <w:rFonts w:ascii="Book Antiqua" w:eastAsia="Times New Roman" w:hAnsi="Book Antiqua" w:cstheme="majorBidi"/>
                <w:sz w:val="24"/>
                <w:szCs w:val="24"/>
              </w:rPr>
            </w:pPr>
          </w:p>
        </w:tc>
        <w:tc>
          <w:tcPr>
            <w:tcW w:w="2347" w:type="dxa"/>
            <w:noWrap/>
            <w:hideMark/>
          </w:tcPr>
          <w:p w14:paraId="36014FBC" w14:textId="296FF2C2"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 xml:space="preserve">Tumor </w:t>
            </w:r>
            <w:r w:rsidR="00330EB9" w:rsidRPr="007B09E8">
              <w:rPr>
                <w:rFonts w:ascii="Book Antiqua" w:eastAsia="Times New Roman" w:hAnsi="Book Antiqua" w:cstheme="majorBidi"/>
                <w:sz w:val="24"/>
                <w:szCs w:val="24"/>
              </w:rPr>
              <w:t>s</w:t>
            </w:r>
            <w:r w:rsidRPr="007B09E8">
              <w:rPr>
                <w:rFonts w:ascii="Book Antiqua" w:eastAsia="Times New Roman" w:hAnsi="Book Antiqua" w:cstheme="majorBidi"/>
                <w:sz w:val="24"/>
                <w:szCs w:val="24"/>
              </w:rPr>
              <w:t>tage</w:t>
            </w:r>
          </w:p>
        </w:tc>
        <w:tc>
          <w:tcPr>
            <w:tcW w:w="2584" w:type="dxa"/>
            <w:noWrap/>
            <w:hideMark/>
          </w:tcPr>
          <w:p w14:paraId="5D573AFC" w14:textId="46C0C861" w:rsidR="005B5850" w:rsidRPr="007B09E8" w:rsidRDefault="00330EB9" w:rsidP="00330EB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Metastatic</w:t>
            </w:r>
          </w:p>
        </w:tc>
        <w:tc>
          <w:tcPr>
            <w:tcW w:w="2977" w:type="dxa"/>
            <w:noWrap/>
            <w:hideMark/>
          </w:tcPr>
          <w:p w14:paraId="767EACAF"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Metastatic</w:t>
            </w:r>
          </w:p>
        </w:tc>
      </w:tr>
      <w:tr w:rsidR="007B09E8" w:rsidRPr="007B09E8" w14:paraId="54E6B530" w14:textId="77777777" w:rsidTr="00E23A91">
        <w:trPr>
          <w:trHeight w:val="144"/>
        </w:trPr>
        <w:tc>
          <w:tcPr>
            <w:tcW w:w="1844" w:type="dxa"/>
            <w:vMerge/>
            <w:vAlign w:val="center"/>
            <w:hideMark/>
          </w:tcPr>
          <w:p w14:paraId="2EBE74B1" w14:textId="77777777" w:rsidR="005B5850" w:rsidRPr="007B09E8" w:rsidRDefault="005B5850" w:rsidP="00E23A91">
            <w:pPr>
              <w:snapToGrid w:val="0"/>
              <w:spacing w:line="360" w:lineRule="auto"/>
              <w:rPr>
                <w:rFonts w:ascii="Book Antiqua" w:eastAsia="Times New Roman" w:hAnsi="Book Antiqua" w:cstheme="majorBidi"/>
                <w:sz w:val="24"/>
                <w:szCs w:val="24"/>
              </w:rPr>
            </w:pPr>
          </w:p>
        </w:tc>
        <w:tc>
          <w:tcPr>
            <w:tcW w:w="2347" w:type="dxa"/>
            <w:noWrap/>
            <w:hideMark/>
          </w:tcPr>
          <w:p w14:paraId="5B8F790D" w14:textId="6AB16D8A"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 xml:space="preserve">Metastatic </w:t>
            </w:r>
            <w:r w:rsidR="00330EB9" w:rsidRPr="007B09E8">
              <w:rPr>
                <w:rFonts w:ascii="Book Antiqua" w:eastAsia="Times New Roman" w:hAnsi="Book Antiqua" w:cstheme="majorBidi"/>
                <w:sz w:val="24"/>
                <w:szCs w:val="24"/>
              </w:rPr>
              <w:t>s</w:t>
            </w:r>
            <w:r w:rsidRPr="007B09E8">
              <w:rPr>
                <w:rFonts w:ascii="Book Antiqua" w:eastAsia="Times New Roman" w:hAnsi="Book Antiqua" w:cstheme="majorBidi"/>
                <w:sz w:val="24"/>
                <w:szCs w:val="24"/>
              </w:rPr>
              <w:t>ites</w:t>
            </w:r>
          </w:p>
        </w:tc>
        <w:tc>
          <w:tcPr>
            <w:tcW w:w="2584" w:type="dxa"/>
            <w:hideMark/>
          </w:tcPr>
          <w:p w14:paraId="2A23BDE4"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Liver (85%)</w:t>
            </w:r>
          </w:p>
          <w:p w14:paraId="3838A952"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Lung (35%)</w:t>
            </w:r>
          </w:p>
          <w:p w14:paraId="402D297A" w14:textId="6CD40B26" w:rsidR="005B5850" w:rsidRPr="007B09E8" w:rsidRDefault="00330EB9" w:rsidP="00330EB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Peritoneum (4%)</w:t>
            </w:r>
          </w:p>
        </w:tc>
        <w:tc>
          <w:tcPr>
            <w:tcW w:w="2977" w:type="dxa"/>
            <w:hideMark/>
          </w:tcPr>
          <w:p w14:paraId="1F9D0C42"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Liver (57%)</w:t>
            </w:r>
          </w:p>
          <w:p w14:paraId="66EBF8C5"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Lung (27%)</w:t>
            </w:r>
          </w:p>
          <w:p w14:paraId="05B391A2"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Peritoneum (43%)</w:t>
            </w:r>
          </w:p>
        </w:tc>
      </w:tr>
      <w:tr w:rsidR="007B09E8" w:rsidRPr="007B09E8" w14:paraId="3AC7C768" w14:textId="77777777" w:rsidTr="00E23A91">
        <w:trPr>
          <w:trHeight w:val="144"/>
        </w:trPr>
        <w:tc>
          <w:tcPr>
            <w:tcW w:w="1844" w:type="dxa"/>
            <w:vMerge/>
            <w:vAlign w:val="center"/>
            <w:hideMark/>
          </w:tcPr>
          <w:p w14:paraId="31C1DB43" w14:textId="77777777" w:rsidR="005B5850" w:rsidRPr="007B09E8" w:rsidRDefault="005B5850" w:rsidP="00E23A91">
            <w:pPr>
              <w:snapToGrid w:val="0"/>
              <w:spacing w:line="360" w:lineRule="auto"/>
              <w:rPr>
                <w:rFonts w:ascii="Book Antiqua" w:eastAsia="Times New Roman" w:hAnsi="Book Antiqua" w:cstheme="majorBidi"/>
                <w:sz w:val="24"/>
                <w:szCs w:val="24"/>
              </w:rPr>
            </w:pPr>
          </w:p>
        </w:tc>
        <w:tc>
          <w:tcPr>
            <w:tcW w:w="2347" w:type="dxa"/>
            <w:noWrap/>
            <w:hideMark/>
          </w:tcPr>
          <w:p w14:paraId="75057799"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Tumor Location</w:t>
            </w:r>
          </w:p>
        </w:tc>
        <w:tc>
          <w:tcPr>
            <w:tcW w:w="2584" w:type="dxa"/>
            <w:noWrap/>
            <w:hideMark/>
          </w:tcPr>
          <w:p w14:paraId="6DCA15C0"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Head (44%)</w:t>
            </w:r>
          </w:p>
        </w:tc>
        <w:tc>
          <w:tcPr>
            <w:tcW w:w="2977" w:type="dxa"/>
            <w:noWrap/>
            <w:hideMark/>
          </w:tcPr>
          <w:p w14:paraId="7CB1599D"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Head (51%)</w:t>
            </w:r>
          </w:p>
        </w:tc>
      </w:tr>
      <w:tr w:rsidR="007B09E8" w:rsidRPr="007B09E8" w14:paraId="2429D4DC" w14:textId="77777777" w:rsidTr="00E23A91">
        <w:trPr>
          <w:trHeight w:val="144"/>
        </w:trPr>
        <w:tc>
          <w:tcPr>
            <w:tcW w:w="1844" w:type="dxa"/>
            <w:vMerge w:val="restart"/>
            <w:noWrap/>
            <w:vAlign w:val="center"/>
            <w:hideMark/>
          </w:tcPr>
          <w:p w14:paraId="1D39C5DD" w14:textId="4E330B47" w:rsidR="005B5850" w:rsidRPr="007B09E8" w:rsidRDefault="005B5850" w:rsidP="00E23A91">
            <w:pPr>
              <w:snapToGrid w:val="0"/>
              <w:spacing w:line="360" w:lineRule="auto"/>
              <w:rPr>
                <w:rFonts w:ascii="Book Antiqua" w:hAnsi="Book Antiqua" w:cstheme="majorBidi"/>
                <w:sz w:val="24"/>
                <w:szCs w:val="24"/>
                <w:lang w:eastAsia="zh-CN"/>
              </w:rPr>
            </w:pPr>
          </w:p>
        </w:tc>
        <w:tc>
          <w:tcPr>
            <w:tcW w:w="2347" w:type="dxa"/>
            <w:noWrap/>
            <w:hideMark/>
          </w:tcPr>
          <w:p w14:paraId="4C686409" w14:textId="3D1779A1"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PFS (</w:t>
            </w:r>
            <w:r w:rsidR="00330EB9" w:rsidRPr="007B09E8">
              <w:rPr>
                <w:rFonts w:ascii="Book Antiqua" w:hAnsi="Book Antiqua" w:cstheme="majorBidi" w:hint="eastAsia"/>
                <w:sz w:val="24"/>
                <w:szCs w:val="24"/>
                <w:lang w:eastAsia="zh-CN"/>
              </w:rPr>
              <w:t>mo</w:t>
            </w:r>
            <w:r w:rsidRPr="007B09E8">
              <w:rPr>
                <w:rFonts w:ascii="Book Antiqua" w:eastAsia="Times New Roman" w:hAnsi="Book Antiqua" w:cstheme="majorBidi"/>
                <w:sz w:val="24"/>
                <w:szCs w:val="24"/>
              </w:rPr>
              <w:t>)</w:t>
            </w:r>
          </w:p>
        </w:tc>
        <w:tc>
          <w:tcPr>
            <w:tcW w:w="2584" w:type="dxa"/>
            <w:noWrap/>
            <w:hideMark/>
          </w:tcPr>
          <w:p w14:paraId="5BD28250"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5.5</w:t>
            </w:r>
          </w:p>
        </w:tc>
        <w:tc>
          <w:tcPr>
            <w:tcW w:w="2977" w:type="dxa"/>
            <w:noWrap/>
            <w:hideMark/>
          </w:tcPr>
          <w:p w14:paraId="35DE171F"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4.8</w:t>
            </w:r>
          </w:p>
        </w:tc>
      </w:tr>
      <w:tr w:rsidR="007B09E8" w:rsidRPr="007B09E8" w14:paraId="73078629" w14:textId="77777777" w:rsidTr="00E23A91">
        <w:trPr>
          <w:trHeight w:val="144"/>
        </w:trPr>
        <w:tc>
          <w:tcPr>
            <w:tcW w:w="1844" w:type="dxa"/>
            <w:vMerge/>
            <w:vAlign w:val="center"/>
            <w:hideMark/>
          </w:tcPr>
          <w:p w14:paraId="73D7B22B" w14:textId="77777777" w:rsidR="005B5850" w:rsidRPr="007B09E8" w:rsidRDefault="005B5850" w:rsidP="00E23A91">
            <w:pPr>
              <w:snapToGrid w:val="0"/>
              <w:spacing w:line="360" w:lineRule="auto"/>
              <w:rPr>
                <w:rFonts w:ascii="Book Antiqua" w:eastAsia="Times New Roman" w:hAnsi="Book Antiqua" w:cstheme="majorBidi"/>
                <w:sz w:val="24"/>
                <w:szCs w:val="24"/>
              </w:rPr>
            </w:pPr>
          </w:p>
        </w:tc>
        <w:tc>
          <w:tcPr>
            <w:tcW w:w="2347" w:type="dxa"/>
            <w:noWrap/>
            <w:hideMark/>
          </w:tcPr>
          <w:p w14:paraId="6D87CFF7" w14:textId="659010D7" w:rsidR="005B5850" w:rsidRPr="007B09E8" w:rsidRDefault="005B5850" w:rsidP="00330EB9">
            <w:pPr>
              <w:snapToGrid w:val="0"/>
              <w:spacing w:line="360" w:lineRule="auto"/>
              <w:jc w:val="center"/>
              <w:rPr>
                <w:rFonts w:ascii="Book Antiqua" w:hAnsi="Book Antiqua" w:cstheme="majorBidi"/>
                <w:sz w:val="24"/>
                <w:szCs w:val="24"/>
                <w:lang w:eastAsia="zh-CN"/>
              </w:rPr>
            </w:pPr>
            <w:r w:rsidRPr="007B09E8">
              <w:rPr>
                <w:rFonts w:ascii="Book Antiqua" w:eastAsia="Times New Roman" w:hAnsi="Book Antiqua" w:cstheme="majorBidi"/>
                <w:sz w:val="24"/>
                <w:szCs w:val="24"/>
              </w:rPr>
              <w:t>OS (</w:t>
            </w:r>
            <w:r w:rsidR="00330EB9" w:rsidRPr="007B09E8">
              <w:rPr>
                <w:rFonts w:ascii="Book Antiqua" w:hAnsi="Book Antiqua" w:cstheme="majorBidi" w:hint="eastAsia"/>
                <w:sz w:val="24"/>
                <w:szCs w:val="24"/>
                <w:lang w:eastAsia="zh-CN"/>
              </w:rPr>
              <w:t>mo</w:t>
            </w:r>
            <w:r w:rsidRPr="007B09E8">
              <w:rPr>
                <w:rFonts w:ascii="Book Antiqua" w:eastAsia="Times New Roman" w:hAnsi="Book Antiqua" w:cstheme="majorBidi"/>
                <w:sz w:val="24"/>
                <w:szCs w:val="24"/>
              </w:rPr>
              <w:t>)</w:t>
            </w:r>
          </w:p>
        </w:tc>
        <w:tc>
          <w:tcPr>
            <w:tcW w:w="2584" w:type="dxa"/>
            <w:noWrap/>
            <w:hideMark/>
          </w:tcPr>
          <w:p w14:paraId="0E421585"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8.5</w:t>
            </w:r>
          </w:p>
        </w:tc>
        <w:tc>
          <w:tcPr>
            <w:tcW w:w="2977" w:type="dxa"/>
            <w:noWrap/>
            <w:hideMark/>
          </w:tcPr>
          <w:p w14:paraId="18403A41"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11.1</w:t>
            </w:r>
          </w:p>
        </w:tc>
      </w:tr>
      <w:tr w:rsidR="007B09E8" w:rsidRPr="007B09E8" w14:paraId="6F56B4F5" w14:textId="77777777" w:rsidTr="00E23A91">
        <w:trPr>
          <w:trHeight w:val="144"/>
        </w:trPr>
        <w:tc>
          <w:tcPr>
            <w:tcW w:w="1844" w:type="dxa"/>
            <w:vMerge w:val="restart"/>
            <w:vAlign w:val="center"/>
            <w:hideMark/>
          </w:tcPr>
          <w:p w14:paraId="02B2B5BB" w14:textId="7BF1E1FE" w:rsidR="005B5850" w:rsidRPr="007B09E8" w:rsidRDefault="00E23A91" w:rsidP="00E23A91">
            <w:pPr>
              <w:snapToGrid w:val="0"/>
              <w:spacing w:line="360" w:lineRule="auto"/>
              <w:rPr>
                <w:rFonts w:ascii="Book Antiqua" w:hAnsi="Book Antiqua" w:cstheme="majorBidi"/>
                <w:sz w:val="24"/>
                <w:szCs w:val="24"/>
              </w:rPr>
            </w:pPr>
            <w:r w:rsidRPr="007B09E8">
              <w:rPr>
                <w:rFonts w:ascii="Book Antiqua" w:hAnsi="Book Antiqua" w:cstheme="majorBidi"/>
                <w:sz w:val="24"/>
                <w:szCs w:val="24"/>
              </w:rPr>
              <w:t>Safety</w:t>
            </w:r>
            <w:r w:rsidRPr="007B09E8">
              <w:rPr>
                <w:rFonts w:ascii="Book Antiqua" w:hAnsi="Book Antiqua" w:cstheme="majorBidi" w:hint="eastAsia"/>
                <w:sz w:val="24"/>
                <w:szCs w:val="24"/>
                <w:lang w:eastAsia="zh-CN"/>
              </w:rPr>
              <w:t xml:space="preserve"> </w:t>
            </w:r>
            <w:r w:rsidR="005B5850" w:rsidRPr="007B09E8">
              <w:rPr>
                <w:rFonts w:ascii="Book Antiqua" w:hAnsi="Book Antiqua" w:cstheme="majorBidi"/>
                <w:sz w:val="24"/>
                <w:szCs w:val="24"/>
              </w:rPr>
              <w:t xml:space="preserve">(Grade 3-4 </w:t>
            </w:r>
            <w:r w:rsidRPr="007B09E8">
              <w:rPr>
                <w:rFonts w:ascii="Book Antiqua" w:hAnsi="Book Antiqua" w:cstheme="majorBidi"/>
                <w:sz w:val="24"/>
                <w:szCs w:val="24"/>
              </w:rPr>
              <w:t>t</w:t>
            </w:r>
            <w:r w:rsidR="005B5850" w:rsidRPr="007B09E8">
              <w:rPr>
                <w:rFonts w:ascii="Book Antiqua" w:hAnsi="Book Antiqua" w:cstheme="majorBidi"/>
                <w:sz w:val="24"/>
                <w:szCs w:val="24"/>
              </w:rPr>
              <w:t>oxicities)</w:t>
            </w:r>
          </w:p>
        </w:tc>
        <w:tc>
          <w:tcPr>
            <w:tcW w:w="2347" w:type="dxa"/>
            <w:noWrap/>
            <w:hideMark/>
          </w:tcPr>
          <w:p w14:paraId="1CF26A87"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Neutropenia</w:t>
            </w:r>
          </w:p>
        </w:tc>
        <w:tc>
          <w:tcPr>
            <w:tcW w:w="2584" w:type="dxa"/>
            <w:noWrap/>
            <w:hideMark/>
          </w:tcPr>
          <w:p w14:paraId="1AED7B3D"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38</w:t>
            </w:r>
          </w:p>
        </w:tc>
        <w:tc>
          <w:tcPr>
            <w:tcW w:w="2977" w:type="dxa"/>
            <w:noWrap/>
            <w:hideMark/>
          </w:tcPr>
          <w:p w14:paraId="239D9480"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10</w:t>
            </w:r>
          </w:p>
        </w:tc>
      </w:tr>
      <w:tr w:rsidR="007B09E8" w:rsidRPr="007B09E8" w14:paraId="61268508" w14:textId="77777777" w:rsidTr="00E23A91">
        <w:trPr>
          <w:trHeight w:val="144"/>
        </w:trPr>
        <w:tc>
          <w:tcPr>
            <w:tcW w:w="1844" w:type="dxa"/>
            <w:vMerge/>
            <w:hideMark/>
          </w:tcPr>
          <w:p w14:paraId="6C691FA0" w14:textId="77777777" w:rsidR="005B5850" w:rsidRPr="007B09E8" w:rsidRDefault="005B5850" w:rsidP="00330EB9">
            <w:pPr>
              <w:snapToGrid w:val="0"/>
              <w:spacing w:line="360" w:lineRule="auto"/>
              <w:jc w:val="both"/>
              <w:rPr>
                <w:rFonts w:ascii="Book Antiqua" w:eastAsia="Times New Roman" w:hAnsi="Book Antiqua" w:cstheme="majorBidi"/>
                <w:sz w:val="24"/>
                <w:szCs w:val="24"/>
              </w:rPr>
            </w:pPr>
          </w:p>
        </w:tc>
        <w:tc>
          <w:tcPr>
            <w:tcW w:w="2347" w:type="dxa"/>
            <w:noWrap/>
            <w:hideMark/>
          </w:tcPr>
          <w:p w14:paraId="17EF2A73"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Thrombocytopenia</w:t>
            </w:r>
          </w:p>
        </w:tc>
        <w:tc>
          <w:tcPr>
            <w:tcW w:w="2584" w:type="dxa"/>
            <w:noWrap/>
            <w:hideMark/>
          </w:tcPr>
          <w:p w14:paraId="4D3C31DA"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13</w:t>
            </w:r>
          </w:p>
        </w:tc>
        <w:tc>
          <w:tcPr>
            <w:tcW w:w="2977" w:type="dxa"/>
            <w:noWrap/>
            <w:hideMark/>
          </w:tcPr>
          <w:p w14:paraId="19515B41"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4</w:t>
            </w:r>
          </w:p>
        </w:tc>
      </w:tr>
      <w:tr w:rsidR="007B09E8" w:rsidRPr="007B09E8" w14:paraId="25166DDE" w14:textId="77777777" w:rsidTr="00E23A91">
        <w:trPr>
          <w:trHeight w:val="144"/>
        </w:trPr>
        <w:tc>
          <w:tcPr>
            <w:tcW w:w="1844" w:type="dxa"/>
            <w:vMerge/>
            <w:hideMark/>
          </w:tcPr>
          <w:p w14:paraId="1DCA7B7F" w14:textId="77777777" w:rsidR="005B5850" w:rsidRPr="007B09E8" w:rsidRDefault="005B5850" w:rsidP="00330EB9">
            <w:pPr>
              <w:snapToGrid w:val="0"/>
              <w:spacing w:line="360" w:lineRule="auto"/>
              <w:jc w:val="both"/>
              <w:rPr>
                <w:rFonts w:ascii="Book Antiqua" w:eastAsia="Times New Roman" w:hAnsi="Book Antiqua" w:cstheme="majorBidi"/>
                <w:sz w:val="24"/>
                <w:szCs w:val="24"/>
              </w:rPr>
            </w:pPr>
          </w:p>
        </w:tc>
        <w:tc>
          <w:tcPr>
            <w:tcW w:w="2347" w:type="dxa"/>
            <w:noWrap/>
            <w:hideMark/>
          </w:tcPr>
          <w:p w14:paraId="7BF066B6"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Anemia</w:t>
            </w:r>
          </w:p>
        </w:tc>
        <w:tc>
          <w:tcPr>
            <w:tcW w:w="2584" w:type="dxa"/>
            <w:noWrap/>
            <w:hideMark/>
          </w:tcPr>
          <w:p w14:paraId="50A1616E"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13</w:t>
            </w:r>
          </w:p>
        </w:tc>
        <w:tc>
          <w:tcPr>
            <w:tcW w:w="2977" w:type="dxa"/>
            <w:noWrap/>
            <w:hideMark/>
          </w:tcPr>
          <w:p w14:paraId="5A23A8FA"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15</w:t>
            </w:r>
          </w:p>
        </w:tc>
      </w:tr>
      <w:tr w:rsidR="007B09E8" w:rsidRPr="007B09E8" w14:paraId="51121BFC" w14:textId="77777777" w:rsidTr="00E23A91">
        <w:trPr>
          <w:trHeight w:val="144"/>
        </w:trPr>
        <w:tc>
          <w:tcPr>
            <w:tcW w:w="1844" w:type="dxa"/>
            <w:vMerge/>
            <w:hideMark/>
          </w:tcPr>
          <w:p w14:paraId="68819877" w14:textId="77777777" w:rsidR="005B5850" w:rsidRPr="007B09E8" w:rsidRDefault="005B5850" w:rsidP="00330EB9">
            <w:pPr>
              <w:snapToGrid w:val="0"/>
              <w:spacing w:line="360" w:lineRule="auto"/>
              <w:jc w:val="both"/>
              <w:rPr>
                <w:rFonts w:ascii="Book Antiqua" w:eastAsia="Times New Roman" w:hAnsi="Book Antiqua" w:cstheme="majorBidi"/>
                <w:sz w:val="24"/>
                <w:szCs w:val="24"/>
              </w:rPr>
            </w:pPr>
          </w:p>
        </w:tc>
        <w:tc>
          <w:tcPr>
            <w:tcW w:w="2347" w:type="dxa"/>
            <w:noWrap/>
            <w:hideMark/>
          </w:tcPr>
          <w:p w14:paraId="4EC2FD9F"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Fatigue</w:t>
            </w:r>
          </w:p>
        </w:tc>
        <w:tc>
          <w:tcPr>
            <w:tcW w:w="2584" w:type="dxa"/>
            <w:noWrap/>
            <w:hideMark/>
          </w:tcPr>
          <w:p w14:paraId="2988A849"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17</w:t>
            </w:r>
          </w:p>
        </w:tc>
        <w:tc>
          <w:tcPr>
            <w:tcW w:w="2977" w:type="dxa"/>
            <w:noWrap/>
            <w:hideMark/>
          </w:tcPr>
          <w:p w14:paraId="7AACC518"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6</w:t>
            </w:r>
          </w:p>
        </w:tc>
      </w:tr>
      <w:tr w:rsidR="007B09E8" w:rsidRPr="007B09E8" w14:paraId="18B24F43" w14:textId="77777777" w:rsidTr="00E23A91">
        <w:trPr>
          <w:trHeight w:val="144"/>
        </w:trPr>
        <w:tc>
          <w:tcPr>
            <w:tcW w:w="1844" w:type="dxa"/>
            <w:vMerge/>
            <w:hideMark/>
          </w:tcPr>
          <w:p w14:paraId="3EC86C89" w14:textId="77777777" w:rsidR="005B5850" w:rsidRPr="007B09E8" w:rsidRDefault="005B5850" w:rsidP="00330EB9">
            <w:pPr>
              <w:snapToGrid w:val="0"/>
              <w:spacing w:line="360" w:lineRule="auto"/>
              <w:jc w:val="both"/>
              <w:rPr>
                <w:rFonts w:ascii="Book Antiqua" w:eastAsia="Times New Roman" w:hAnsi="Book Antiqua" w:cstheme="majorBidi"/>
                <w:sz w:val="24"/>
                <w:szCs w:val="24"/>
              </w:rPr>
            </w:pPr>
          </w:p>
        </w:tc>
        <w:tc>
          <w:tcPr>
            <w:tcW w:w="2347" w:type="dxa"/>
            <w:noWrap/>
            <w:hideMark/>
          </w:tcPr>
          <w:p w14:paraId="29F8A361" w14:textId="7CDD3B26"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 xml:space="preserve">Peripheral </w:t>
            </w:r>
            <w:r w:rsidR="00E23A91" w:rsidRPr="007B09E8">
              <w:rPr>
                <w:rFonts w:ascii="Book Antiqua" w:eastAsia="Times New Roman" w:hAnsi="Book Antiqua" w:cstheme="majorBidi"/>
                <w:sz w:val="24"/>
                <w:szCs w:val="24"/>
              </w:rPr>
              <w:t>n</w:t>
            </w:r>
            <w:r w:rsidRPr="007B09E8">
              <w:rPr>
                <w:rFonts w:ascii="Book Antiqua" w:eastAsia="Times New Roman" w:hAnsi="Book Antiqua" w:cstheme="majorBidi"/>
                <w:sz w:val="24"/>
                <w:szCs w:val="24"/>
              </w:rPr>
              <w:t>europathy</w:t>
            </w:r>
          </w:p>
        </w:tc>
        <w:tc>
          <w:tcPr>
            <w:tcW w:w="2584" w:type="dxa"/>
            <w:noWrap/>
            <w:hideMark/>
          </w:tcPr>
          <w:p w14:paraId="42A09163"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17</w:t>
            </w:r>
          </w:p>
        </w:tc>
        <w:tc>
          <w:tcPr>
            <w:tcW w:w="2977" w:type="dxa"/>
            <w:noWrap/>
            <w:hideMark/>
          </w:tcPr>
          <w:p w14:paraId="24F651F1"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2</w:t>
            </w:r>
          </w:p>
        </w:tc>
      </w:tr>
      <w:tr w:rsidR="007B09E8" w:rsidRPr="007B09E8" w14:paraId="1B8EA20B" w14:textId="77777777" w:rsidTr="00E23A91">
        <w:trPr>
          <w:trHeight w:val="144"/>
        </w:trPr>
        <w:tc>
          <w:tcPr>
            <w:tcW w:w="1844" w:type="dxa"/>
            <w:vMerge/>
            <w:hideMark/>
          </w:tcPr>
          <w:p w14:paraId="0B978679" w14:textId="77777777" w:rsidR="005B5850" w:rsidRPr="007B09E8" w:rsidRDefault="005B5850" w:rsidP="00330EB9">
            <w:pPr>
              <w:snapToGrid w:val="0"/>
              <w:spacing w:line="360" w:lineRule="auto"/>
              <w:jc w:val="both"/>
              <w:rPr>
                <w:rFonts w:ascii="Book Antiqua" w:eastAsia="Times New Roman" w:hAnsi="Book Antiqua" w:cstheme="majorBidi"/>
                <w:sz w:val="24"/>
                <w:szCs w:val="24"/>
              </w:rPr>
            </w:pPr>
          </w:p>
        </w:tc>
        <w:tc>
          <w:tcPr>
            <w:tcW w:w="2347" w:type="dxa"/>
            <w:noWrap/>
            <w:hideMark/>
          </w:tcPr>
          <w:p w14:paraId="4F0E8E39"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Diarrhea</w:t>
            </w:r>
          </w:p>
        </w:tc>
        <w:tc>
          <w:tcPr>
            <w:tcW w:w="2584" w:type="dxa"/>
            <w:noWrap/>
            <w:hideMark/>
          </w:tcPr>
          <w:p w14:paraId="7C72F85F"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6</w:t>
            </w:r>
          </w:p>
        </w:tc>
        <w:tc>
          <w:tcPr>
            <w:tcW w:w="2977" w:type="dxa"/>
            <w:noWrap/>
            <w:hideMark/>
          </w:tcPr>
          <w:p w14:paraId="61AF4248" w14:textId="77777777" w:rsidR="005B5850" w:rsidRPr="007B09E8" w:rsidRDefault="005B5850" w:rsidP="00330EB9">
            <w:pPr>
              <w:snapToGrid w:val="0"/>
              <w:spacing w:line="360" w:lineRule="auto"/>
              <w:jc w:val="center"/>
              <w:rPr>
                <w:rFonts w:ascii="Book Antiqua" w:eastAsia="Times New Roman" w:hAnsi="Book Antiqua" w:cstheme="majorBidi"/>
                <w:sz w:val="24"/>
                <w:szCs w:val="24"/>
              </w:rPr>
            </w:pPr>
            <w:r w:rsidRPr="007B09E8">
              <w:rPr>
                <w:rFonts w:ascii="Book Antiqua" w:eastAsia="Times New Roman" w:hAnsi="Book Antiqua" w:cstheme="majorBidi"/>
                <w:sz w:val="24"/>
                <w:szCs w:val="24"/>
              </w:rPr>
              <w:t>0</w:t>
            </w:r>
          </w:p>
        </w:tc>
      </w:tr>
    </w:tbl>
    <w:p w14:paraId="0CBB7691" w14:textId="55F9AF8A" w:rsidR="0046227E" w:rsidRPr="007B09E8" w:rsidRDefault="00E23A91" w:rsidP="00E872CF">
      <w:pPr>
        <w:snapToGrid w:val="0"/>
        <w:spacing w:after="0" w:line="360" w:lineRule="auto"/>
        <w:jc w:val="both"/>
        <w:rPr>
          <w:rFonts w:ascii="Book Antiqua" w:hAnsi="Book Antiqua" w:cstheme="majorBidi"/>
          <w:sz w:val="24"/>
          <w:szCs w:val="24"/>
          <w:lang w:eastAsia="zh-CN"/>
        </w:rPr>
      </w:pPr>
      <w:bookmarkStart w:id="187" w:name="OLE_LINK960"/>
      <w:bookmarkStart w:id="188" w:name="OLE_LINK961"/>
      <w:r w:rsidRPr="007B09E8">
        <w:rPr>
          <w:rFonts w:ascii="Book Antiqua" w:eastAsia="Times New Roman" w:hAnsi="Book Antiqua" w:cstheme="majorBidi"/>
          <w:sz w:val="24"/>
          <w:szCs w:val="24"/>
        </w:rPr>
        <w:t>GNP</w:t>
      </w:r>
      <w:r w:rsidRPr="007B09E8">
        <w:rPr>
          <w:rFonts w:ascii="Book Antiqua" w:hAnsi="Book Antiqua" w:cstheme="majorBidi" w:hint="eastAsia"/>
          <w:sz w:val="24"/>
          <w:szCs w:val="24"/>
          <w:lang w:eastAsia="zh-CN"/>
        </w:rPr>
        <w:t xml:space="preserve">: </w:t>
      </w:r>
      <w:r w:rsidRPr="007B09E8">
        <w:rPr>
          <w:rFonts w:ascii="Book Antiqua" w:hAnsi="Book Antiqua" w:cstheme="majorBidi"/>
          <w:caps/>
          <w:sz w:val="24"/>
          <w:szCs w:val="24"/>
          <w:lang w:eastAsia="zh-CN"/>
        </w:rPr>
        <w:t>g</w:t>
      </w:r>
      <w:r w:rsidRPr="007B09E8">
        <w:rPr>
          <w:rFonts w:ascii="Book Antiqua" w:hAnsi="Book Antiqua" w:cstheme="majorBidi"/>
          <w:sz w:val="24"/>
          <w:szCs w:val="24"/>
          <w:lang w:eastAsia="zh-CN"/>
        </w:rPr>
        <w:t>emcitabine/nab-paclitaxel</w:t>
      </w:r>
      <w:r w:rsidRPr="007B09E8">
        <w:rPr>
          <w:rFonts w:ascii="Book Antiqua" w:hAnsi="Book Antiqua" w:cstheme="majorBidi" w:hint="eastAsia"/>
          <w:sz w:val="24"/>
          <w:szCs w:val="24"/>
          <w:lang w:eastAsia="zh-CN"/>
        </w:rPr>
        <w:t>;</w:t>
      </w:r>
      <w:bookmarkEnd w:id="187"/>
      <w:bookmarkEnd w:id="188"/>
      <w:r w:rsidRPr="007B09E8">
        <w:rPr>
          <w:rFonts w:ascii="Book Antiqua" w:hAnsi="Book Antiqua" w:cstheme="majorBidi" w:hint="eastAsia"/>
          <w:sz w:val="24"/>
          <w:szCs w:val="24"/>
          <w:lang w:eastAsia="zh-CN"/>
        </w:rPr>
        <w:t xml:space="preserve"> </w:t>
      </w:r>
      <w:r w:rsidR="005B5850" w:rsidRPr="007B09E8">
        <w:rPr>
          <w:rFonts w:ascii="Book Antiqua" w:eastAsia="Times New Roman" w:hAnsi="Book Antiqua" w:cstheme="majorBidi"/>
          <w:sz w:val="24"/>
          <w:szCs w:val="24"/>
        </w:rPr>
        <w:t xml:space="preserve">OS: </w:t>
      </w:r>
      <w:r w:rsidR="005B5850" w:rsidRPr="007B09E8">
        <w:rPr>
          <w:rFonts w:ascii="Book Antiqua" w:eastAsia="Times New Roman" w:hAnsi="Book Antiqua" w:cstheme="majorBidi"/>
          <w:caps/>
          <w:sz w:val="24"/>
          <w:szCs w:val="24"/>
        </w:rPr>
        <w:t>o</w:t>
      </w:r>
      <w:r w:rsidR="005B5850" w:rsidRPr="007B09E8">
        <w:rPr>
          <w:rFonts w:ascii="Book Antiqua" w:eastAsia="Times New Roman" w:hAnsi="Book Antiqua" w:cstheme="majorBidi"/>
          <w:sz w:val="24"/>
          <w:szCs w:val="24"/>
        </w:rPr>
        <w:t xml:space="preserve">verall survival; PFS: </w:t>
      </w:r>
      <w:r w:rsidR="005B5850" w:rsidRPr="007B09E8">
        <w:rPr>
          <w:rFonts w:ascii="Book Antiqua" w:eastAsia="Times New Roman" w:hAnsi="Book Antiqua" w:cstheme="majorBidi"/>
          <w:caps/>
          <w:sz w:val="24"/>
          <w:szCs w:val="24"/>
        </w:rPr>
        <w:t>p</w:t>
      </w:r>
      <w:r w:rsidR="005B5850" w:rsidRPr="007B09E8">
        <w:rPr>
          <w:rFonts w:ascii="Book Antiqua" w:eastAsia="Times New Roman" w:hAnsi="Book Antiqua" w:cstheme="majorBidi"/>
          <w:sz w:val="24"/>
          <w:szCs w:val="24"/>
        </w:rPr>
        <w:t>rogression free survival</w:t>
      </w:r>
      <w:r w:rsidR="005B5850" w:rsidRPr="007B09E8">
        <w:rPr>
          <w:rFonts w:ascii="Book Antiqua" w:hAnsi="Book Antiqua" w:cstheme="majorBidi" w:hint="eastAsia"/>
          <w:sz w:val="24"/>
          <w:szCs w:val="24"/>
          <w:lang w:eastAsia="zh-CN"/>
        </w:rPr>
        <w:t>.</w:t>
      </w:r>
    </w:p>
    <w:sectPr w:rsidR="0046227E" w:rsidRPr="007B09E8" w:rsidSect="00590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B2FDC" w14:textId="77777777" w:rsidR="000F02FB" w:rsidRDefault="000F02FB" w:rsidP="007F427F">
      <w:pPr>
        <w:spacing w:after="0" w:line="240" w:lineRule="auto"/>
      </w:pPr>
      <w:r>
        <w:separator/>
      </w:r>
    </w:p>
  </w:endnote>
  <w:endnote w:type="continuationSeparator" w:id="0">
    <w:p w14:paraId="185A5903" w14:textId="77777777" w:rsidR="000F02FB" w:rsidRDefault="000F02FB" w:rsidP="007F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E594" w14:textId="77777777" w:rsidR="000F02FB" w:rsidRDefault="000F02FB" w:rsidP="007F427F">
      <w:pPr>
        <w:spacing w:after="0" w:line="240" w:lineRule="auto"/>
      </w:pPr>
      <w:r>
        <w:separator/>
      </w:r>
    </w:p>
  </w:footnote>
  <w:footnote w:type="continuationSeparator" w:id="0">
    <w:p w14:paraId="08294A2F" w14:textId="77777777" w:rsidR="000F02FB" w:rsidRDefault="000F02FB" w:rsidP="007F42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97"/>
    <w:rsid w:val="00000640"/>
    <w:rsid w:val="00001D87"/>
    <w:rsid w:val="0001055C"/>
    <w:rsid w:val="000135F8"/>
    <w:rsid w:val="000144A6"/>
    <w:rsid w:val="00017A38"/>
    <w:rsid w:val="00027F06"/>
    <w:rsid w:val="00030117"/>
    <w:rsid w:val="000311E8"/>
    <w:rsid w:val="000314C9"/>
    <w:rsid w:val="0004195D"/>
    <w:rsid w:val="000434A9"/>
    <w:rsid w:val="000465D3"/>
    <w:rsid w:val="0004721C"/>
    <w:rsid w:val="00047694"/>
    <w:rsid w:val="0005148A"/>
    <w:rsid w:val="00055B87"/>
    <w:rsid w:val="00057B95"/>
    <w:rsid w:val="00063F57"/>
    <w:rsid w:val="000667F2"/>
    <w:rsid w:val="00073651"/>
    <w:rsid w:val="0008021F"/>
    <w:rsid w:val="00080B26"/>
    <w:rsid w:val="00080E8E"/>
    <w:rsid w:val="00083A87"/>
    <w:rsid w:val="00085C9A"/>
    <w:rsid w:val="00086089"/>
    <w:rsid w:val="00087751"/>
    <w:rsid w:val="00090688"/>
    <w:rsid w:val="00090F65"/>
    <w:rsid w:val="00094423"/>
    <w:rsid w:val="000961DC"/>
    <w:rsid w:val="000974D0"/>
    <w:rsid w:val="00097C39"/>
    <w:rsid w:val="000A2A33"/>
    <w:rsid w:val="000B0131"/>
    <w:rsid w:val="000B0C7F"/>
    <w:rsid w:val="000B16D7"/>
    <w:rsid w:val="000B2317"/>
    <w:rsid w:val="000B62A9"/>
    <w:rsid w:val="000C0464"/>
    <w:rsid w:val="000C0A37"/>
    <w:rsid w:val="000C4286"/>
    <w:rsid w:val="000C6078"/>
    <w:rsid w:val="000C7496"/>
    <w:rsid w:val="000C7702"/>
    <w:rsid w:val="000D28A1"/>
    <w:rsid w:val="000E0592"/>
    <w:rsid w:val="000E1C32"/>
    <w:rsid w:val="000E20BD"/>
    <w:rsid w:val="000E470D"/>
    <w:rsid w:val="000E7963"/>
    <w:rsid w:val="000F02FB"/>
    <w:rsid w:val="000F2311"/>
    <w:rsid w:val="000F30F7"/>
    <w:rsid w:val="000F4FE0"/>
    <w:rsid w:val="000F6A81"/>
    <w:rsid w:val="00100ADA"/>
    <w:rsid w:val="00102BA6"/>
    <w:rsid w:val="001031A7"/>
    <w:rsid w:val="00106D84"/>
    <w:rsid w:val="00110C6E"/>
    <w:rsid w:val="00110EEB"/>
    <w:rsid w:val="001122E2"/>
    <w:rsid w:val="00113AE0"/>
    <w:rsid w:val="0011511F"/>
    <w:rsid w:val="00116F6F"/>
    <w:rsid w:val="00117349"/>
    <w:rsid w:val="001220D1"/>
    <w:rsid w:val="0012231D"/>
    <w:rsid w:val="00127D46"/>
    <w:rsid w:val="00127DDC"/>
    <w:rsid w:val="001320AD"/>
    <w:rsid w:val="001362FE"/>
    <w:rsid w:val="001407C7"/>
    <w:rsid w:val="0014755D"/>
    <w:rsid w:val="001537D4"/>
    <w:rsid w:val="001554CC"/>
    <w:rsid w:val="00161531"/>
    <w:rsid w:val="001656B0"/>
    <w:rsid w:val="001660B3"/>
    <w:rsid w:val="0016710C"/>
    <w:rsid w:val="00171F35"/>
    <w:rsid w:val="0017410A"/>
    <w:rsid w:val="00181536"/>
    <w:rsid w:val="001856A4"/>
    <w:rsid w:val="00186690"/>
    <w:rsid w:val="0019507F"/>
    <w:rsid w:val="001A0383"/>
    <w:rsid w:val="001A1B3B"/>
    <w:rsid w:val="001A377E"/>
    <w:rsid w:val="001A47C5"/>
    <w:rsid w:val="001A5450"/>
    <w:rsid w:val="001B0DAA"/>
    <w:rsid w:val="001B59C5"/>
    <w:rsid w:val="001C020A"/>
    <w:rsid w:val="001C1F72"/>
    <w:rsid w:val="001C32E4"/>
    <w:rsid w:val="001C44EF"/>
    <w:rsid w:val="001C4A00"/>
    <w:rsid w:val="001C5520"/>
    <w:rsid w:val="001D4065"/>
    <w:rsid w:val="001E4FA2"/>
    <w:rsid w:val="001F28F8"/>
    <w:rsid w:val="001F354B"/>
    <w:rsid w:val="001F50EC"/>
    <w:rsid w:val="0020249C"/>
    <w:rsid w:val="00204097"/>
    <w:rsid w:val="00207EFE"/>
    <w:rsid w:val="00215EE6"/>
    <w:rsid w:val="00215F20"/>
    <w:rsid w:val="00222255"/>
    <w:rsid w:val="00224317"/>
    <w:rsid w:val="00227435"/>
    <w:rsid w:val="00233E68"/>
    <w:rsid w:val="00234917"/>
    <w:rsid w:val="00240135"/>
    <w:rsid w:val="00240DCA"/>
    <w:rsid w:val="00241517"/>
    <w:rsid w:val="00242D73"/>
    <w:rsid w:val="00243213"/>
    <w:rsid w:val="002454A4"/>
    <w:rsid w:val="00255571"/>
    <w:rsid w:val="00262D12"/>
    <w:rsid w:val="00265D51"/>
    <w:rsid w:val="00266516"/>
    <w:rsid w:val="00272324"/>
    <w:rsid w:val="002733A9"/>
    <w:rsid w:val="00273BD7"/>
    <w:rsid w:val="00276248"/>
    <w:rsid w:val="002766AA"/>
    <w:rsid w:val="00277BEF"/>
    <w:rsid w:val="00280E9A"/>
    <w:rsid w:val="00283E73"/>
    <w:rsid w:val="00283FD1"/>
    <w:rsid w:val="00287E8D"/>
    <w:rsid w:val="00296494"/>
    <w:rsid w:val="002A0C67"/>
    <w:rsid w:val="002A75E3"/>
    <w:rsid w:val="002B1141"/>
    <w:rsid w:val="002B2C41"/>
    <w:rsid w:val="002B2D4E"/>
    <w:rsid w:val="002B667B"/>
    <w:rsid w:val="002B7248"/>
    <w:rsid w:val="002B7609"/>
    <w:rsid w:val="002C3259"/>
    <w:rsid w:val="002D44D0"/>
    <w:rsid w:val="002E4279"/>
    <w:rsid w:val="002F0132"/>
    <w:rsid w:val="002F5B39"/>
    <w:rsid w:val="002F7651"/>
    <w:rsid w:val="003019F1"/>
    <w:rsid w:val="00301E6C"/>
    <w:rsid w:val="00304193"/>
    <w:rsid w:val="003043DB"/>
    <w:rsid w:val="00307681"/>
    <w:rsid w:val="00311136"/>
    <w:rsid w:val="00311E6A"/>
    <w:rsid w:val="00317001"/>
    <w:rsid w:val="003226D7"/>
    <w:rsid w:val="00330EB9"/>
    <w:rsid w:val="00333AEB"/>
    <w:rsid w:val="00336AB5"/>
    <w:rsid w:val="00341020"/>
    <w:rsid w:val="00341BCD"/>
    <w:rsid w:val="00341F69"/>
    <w:rsid w:val="003520B5"/>
    <w:rsid w:val="00353079"/>
    <w:rsid w:val="00353904"/>
    <w:rsid w:val="003543A3"/>
    <w:rsid w:val="00354BDA"/>
    <w:rsid w:val="003566F7"/>
    <w:rsid w:val="0035670B"/>
    <w:rsid w:val="00357EFC"/>
    <w:rsid w:val="003606AD"/>
    <w:rsid w:val="003608A5"/>
    <w:rsid w:val="00361236"/>
    <w:rsid w:val="00361780"/>
    <w:rsid w:val="00367DDE"/>
    <w:rsid w:val="003747E7"/>
    <w:rsid w:val="00375F1F"/>
    <w:rsid w:val="00375FCE"/>
    <w:rsid w:val="00380DE1"/>
    <w:rsid w:val="00383437"/>
    <w:rsid w:val="00387066"/>
    <w:rsid w:val="003923DE"/>
    <w:rsid w:val="00392598"/>
    <w:rsid w:val="0039345D"/>
    <w:rsid w:val="00395B21"/>
    <w:rsid w:val="00395D8E"/>
    <w:rsid w:val="00396598"/>
    <w:rsid w:val="00397A3B"/>
    <w:rsid w:val="003A0036"/>
    <w:rsid w:val="003A146C"/>
    <w:rsid w:val="003A19C1"/>
    <w:rsid w:val="003A24D5"/>
    <w:rsid w:val="003A60CE"/>
    <w:rsid w:val="003B06ED"/>
    <w:rsid w:val="003B19C4"/>
    <w:rsid w:val="003B1AA5"/>
    <w:rsid w:val="003B7C42"/>
    <w:rsid w:val="003C00A7"/>
    <w:rsid w:val="003C370A"/>
    <w:rsid w:val="003C5852"/>
    <w:rsid w:val="003D1A33"/>
    <w:rsid w:val="003D3878"/>
    <w:rsid w:val="003E0215"/>
    <w:rsid w:val="003E2985"/>
    <w:rsid w:val="003E2B57"/>
    <w:rsid w:val="003E3DFD"/>
    <w:rsid w:val="003E5A2C"/>
    <w:rsid w:val="003E5FE2"/>
    <w:rsid w:val="003E61D6"/>
    <w:rsid w:val="003E71BE"/>
    <w:rsid w:val="003E733A"/>
    <w:rsid w:val="003F1015"/>
    <w:rsid w:val="003F314E"/>
    <w:rsid w:val="003F3AFA"/>
    <w:rsid w:val="003F41A4"/>
    <w:rsid w:val="003F442B"/>
    <w:rsid w:val="003F6AEC"/>
    <w:rsid w:val="00404B89"/>
    <w:rsid w:val="00404CC9"/>
    <w:rsid w:val="00405B1C"/>
    <w:rsid w:val="00410BFF"/>
    <w:rsid w:val="00413E13"/>
    <w:rsid w:val="00413EF7"/>
    <w:rsid w:val="004235BC"/>
    <w:rsid w:val="00427C5E"/>
    <w:rsid w:val="00431661"/>
    <w:rsid w:val="00440A8C"/>
    <w:rsid w:val="00441F1A"/>
    <w:rsid w:val="0044200A"/>
    <w:rsid w:val="004462FF"/>
    <w:rsid w:val="00450799"/>
    <w:rsid w:val="00452727"/>
    <w:rsid w:val="0045318F"/>
    <w:rsid w:val="00455745"/>
    <w:rsid w:val="0046227E"/>
    <w:rsid w:val="0046415F"/>
    <w:rsid w:val="004667BF"/>
    <w:rsid w:val="00470103"/>
    <w:rsid w:val="004741BF"/>
    <w:rsid w:val="0047566A"/>
    <w:rsid w:val="00475AC2"/>
    <w:rsid w:val="00486FC7"/>
    <w:rsid w:val="00487607"/>
    <w:rsid w:val="00491B1D"/>
    <w:rsid w:val="004936DC"/>
    <w:rsid w:val="00494467"/>
    <w:rsid w:val="00494AC0"/>
    <w:rsid w:val="004959B6"/>
    <w:rsid w:val="004A218C"/>
    <w:rsid w:val="004A228E"/>
    <w:rsid w:val="004A2F8D"/>
    <w:rsid w:val="004B2A8D"/>
    <w:rsid w:val="004B7144"/>
    <w:rsid w:val="004C3098"/>
    <w:rsid w:val="004C3B9B"/>
    <w:rsid w:val="004C65A7"/>
    <w:rsid w:val="004D2EFF"/>
    <w:rsid w:val="004D49A3"/>
    <w:rsid w:val="004D49EB"/>
    <w:rsid w:val="004D5824"/>
    <w:rsid w:val="004E0D61"/>
    <w:rsid w:val="004E0EB6"/>
    <w:rsid w:val="004E4021"/>
    <w:rsid w:val="004E59A3"/>
    <w:rsid w:val="004E7C6C"/>
    <w:rsid w:val="004F099C"/>
    <w:rsid w:val="004F2BF5"/>
    <w:rsid w:val="004F34A9"/>
    <w:rsid w:val="004F4744"/>
    <w:rsid w:val="004F5FF9"/>
    <w:rsid w:val="004F65DE"/>
    <w:rsid w:val="00502F40"/>
    <w:rsid w:val="005045DE"/>
    <w:rsid w:val="00510118"/>
    <w:rsid w:val="00511B88"/>
    <w:rsid w:val="00513B7C"/>
    <w:rsid w:val="005142EE"/>
    <w:rsid w:val="00516E1A"/>
    <w:rsid w:val="00521E9C"/>
    <w:rsid w:val="00526975"/>
    <w:rsid w:val="005304DA"/>
    <w:rsid w:val="0053363B"/>
    <w:rsid w:val="005354B6"/>
    <w:rsid w:val="0053758D"/>
    <w:rsid w:val="005409D5"/>
    <w:rsid w:val="00541759"/>
    <w:rsid w:val="005432CA"/>
    <w:rsid w:val="00551594"/>
    <w:rsid w:val="00552866"/>
    <w:rsid w:val="0055577B"/>
    <w:rsid w:val="0055709C"/>
    <w:rsid w:val="00560435"/>
    <w:rsid w:val="00560F78"/>
    <w:rsid w:val="00561F5C"/>
    <w:rsid w:val="005648E7"/>
    <w:rsid w:val="00567124"/>
    <w:rsid w:val="00571230"/>
    <w:rsid w:val="0057255A"/>
    <w:rsid w:val="00573C16"/>
    <w:rsid w:val="005762F3"/>
    <w:rsid w:val="0058005D"/>
    <w:rsid w:val="00582443"/>
    <w:rsid w:val="00582C76"/>
    <w:rsid w:val="00582D15"/>
    <w:rsid w:val="005837AE"/>
    <w:rsid w:val="00585217"/>
    <w:rsid w:val="00586126"/>
    <w:rsid w:val="00590D78"/>
    <w:rsid w:val="0059219A"/>
    <w:rsid w:val="00593AAA"/>
    <w:rsid w:val="00593D48"/>
    <w:rsid w:val="0059609F"/>
    <w:rsid w:val="00597915"/>
    <w:rsid w:val="00597F9B"/>
    <w:rsid w:val="005A1250"/>
    <w:rsid w:val="005A12DE"/>
    <w:rsid w:val="005A4DB9"/>
    <w:rsid w:val="005A5257"/>
    <w:rsid w:val="005A7B29"/>
    <w:rsid w:val="005B0E3F"/>
    <w:rsid w:val="005B1A6F"/>
    <w:rsid w:val="005B244C"/>
    <w:rsid w:val="005B540D"/>
    <w:rsid w:val="005B5850"/>
    <w:rsid w:val="005B5B36"/>
    <w:rsid w:val="005C0AFE"/>
    <w:rsid w:val="005C4981"/>
    <w:rsid w:val="005C571F"/>
    <w:rsid w:val="005C6286"/>
    <w:rsid w:val="005D1DE6"/>
    <w:rsid w:val="005D32A4"/>
    <w:rsid w:val="005D3E93"/>
    <w:rsid w:val="005D52C1"/>
    <w:rsid w:val="005D68B3"/>
    <w:rsid w:val="005D78EB"/>
    <w:rsid w:val="005E2E9B"/>
    <w:rsid w:val="005E3DD7"/>
    <w:rsid w:val="005E4F9C"/>
    <w:rsid w:val="005F0AE1"/>
    <w:rsid w:val="005F6F9B"/>
    <w:rsid w:val="00600184"/>
    <w:rsid w:val="00600E02"/>
    <w:rsid w:val="00601E18"/>
    <w:rsid w:val="00604D6E"/>
    <w:rsid w:val="00606F4D"/>
    <w:rsid w:val="00614997"/>
    <w:rsid w:val="00615167"/>
    <w:rsid w:val="00624FA1"/>
    <w:rsid w:val="00631AE3"/>
    <w:rsid w:val="00633167"/>
    <w:rsid w:val="00634B54"/>
    <w:rsid w:val="00640336"/>
    <w:rsid w:val="00641004"/>
    <w:rsid w:val="0064380E"/>
    <w:rsid w:val="00644ABE"/>
    <w:rsid w:val="00644FFE"/>
    <w:rsid w:val="00647762"/>
    <w:rsid w:val="00654C96"/>
    <w:rsid w:val="006558FB"/>
    <w:rsid w:val="006609D3"/>
    <w:rsid w:val="00664BD3"/>
    <w:rsid w:val="0066543B"/>
    <w:rsid w:val="00665D6C"/>
    <w:rsid w:val="00667F69"/>
    <w:rsid w:val="006730EC"/>
    <w:rsid w:val="00675FB7"/>
    <w:rsid w:val="006760C5"/>
    <w:rsid w:val="00676993"/>
    <w:rsid w:val="00677304"/>
    <w:rsid w:val="00677FFE"/>
    <w:rsid w:val="00682BEA"/>
    <w:rsid w:val="006862F1"/>
    <w:rsid w:val="00687245"/>
    <w:rsid w:val="00687989"/>
    <w:rsid w:val="00687BE1"/>
    <w:rsid w:val="00687BFA"/>
    <w:rsid w:val="00692514"/>
    <w:rsid w:val="0069363E"/>
    <w:rsid w:val="0069409A"/>
    <w:rsid w:val="0069481F"/>
    <w:rsid w:val="006956C1"/>
    <w:rsid w:val="00695D5F"/>
    <w:rsid w:val="006A19D9"/>
    <w:rsid w:val="006A1A78"/>
    <w:rsid w:val="006A31E9"/>
    <w:rsid w:val="006A38BB"/>
    <w:rsid w:val="006B0885"/>
    <w:rsid w:val="006B0DF0"/>
    <w:rsid w:val="006B27F7"/>
    <w:rsid w:val="006B369E"/>
    <w:rsid w:val="006B3978"/>
    <w:rsid w:val="006B3AF7"/>
    <w:rsid w:val="006B48D9"/>
    <w:rsid w:val="006C33E8"/>
    <w:rsid w:val="006C4497"/>
    <w:rsid w:val="006C4F26"/>
    <w:rsid w:val="006C5844"/>
    <w:rsid w:val="006D08EB"/>
    <w:rsid w:val="006D2093"/>
    <w:rsid w:val="006D352F"/>
    <w:rsid w:val="006D5B17"/>
    <w:rsid w:val="006D66A8"/>
    <w:rsid w:val="006D7DC4"/>
    <w:rsid w:val="006E10EE"/>
    <w:rsid w:val="006E3C0E"/>
    <w:rsid w:val="006E523A"/>
    <w:rsid w:val="006F1F13"/>
    <w:rsid w:val="00702758"/>
    <w:rsid w:val="00711AF0"/>
    <w:rsid w:val="00713D7E"/>
    <w:rsid w:val="0071691C"/>
    <w:rsid w:val="007207A7"/>
    <w:rsid w:val="00723863"/>
    <w:rsid w:val="00723FA1"/>
    <w:rsid w:val="0072481F"/>
    <w:rsid w:val="00727B4B"/>
    <w:rsid w:val="00731D08"/>
    <w:rsid w:val="00731DE2"/>
    <w:rsid w:val="00733953"/>
    <w:rsid w:val="0073595B"/>
    <w:rsid w:val="00741701"/>
    <w:rsid w:val="00741B31"/>
    <w:rsid w:val="00742A52"/>
    <w:rsid w:val="007467EE"/>
    <w:rsid w:val="007507E1"/>
    <w:rsid w:val="0075087B"/>
    <w:rsid w:val="007525C2"/>
    <w:rsid w:val="00755A8C"/>
    <w:rsid w:val="007576EA"/>
    <w:rsid w:val="00762380"/>
    <w:rsid w:val="00763823"/>
    <w:rsid w:val="0076545B"/>
    <w:rsid w:val="00765F50"/>
    <w:rsid w:val="007718CB"/>
    <w:rsid w:val="007732E2"/>
    <w:rsid w:val="007755A0"/>
    <w:rsid w:val="00777965"/>
    <w:rsid w:val="00794707"/>
    <w:rsid w:val="007A202C"/>
    <w:rsid w:val="007A39D6"/>
    <w:rsid w:val="007A6D8D"/>
    <w:rsid w:val="007B09E8"/>
    <w:rsid w:val="007B7854"/>
    <w:rsid w:val="007C01EB"/>
    <w:rsid w:val="007C190C"/>
    <w:rsid w:val="007C54A5"/>
    <w:rsid w:val="007C61D3"/>
    <w:rsid w:val="007C6E19"/>
    <w:rsid w:val="007D2B16"/>
    <w:rsid w:val="007D5F5C"/>
    <w:rsid w:val="007D790A"/>
    <w:rsid w:val="007F3FDB"/>
    <w:rsid w:val="007F427F"/>
    <w:rsid w:val="007F6B91"/>
    <w:rsid w:val="0080126E"/>
    <w:rsid w:val="00804A0B"/>
    <w:rsid w:val="008063CD"/>
    <w:rsid w:val="008141F3"/>
    <w:rsid w:val="008158FF"/>
    <w:rsid w:val="00823EC6"/>
    <w:rsid w:val="008260DC"/>
    <w:rsid w:val="0083346C"/>
    <w:rsid w:val="0083562C"/>
    <w:rsid w:val="00836554"/>
    <w:rsid w:val="00836703"/>
    <w:rsid w:val="00836F8F"/>
    <w:rsid w:val="00840462"/>
    <w:rsid w:val="008423BC"/>
    <w:rsid w:val="0084388F"/>
    <w:rsid w:val="0084626C"/>
    <w:rsid w:val="0084669B"/>
    <w:rsid w:val="0084701B"/>
    <w:rsid w:val="00847226"/>
    <w:rsid w:val="00850C99"/>
    <w:rsid w:val="00850CF6"/>
    <w:rsid w:val="00851CF3"/>
    <w:rsid w:val="00852315"/>
    <w:rsid w:val="00854DE0"/>
    <w:rsid w:val="0085756A"/>
    <w:rsid w:val="008601F8"/>
    <w:rsid w:val="00863EF7"/>
    <w:rsid w:val="008643EC"/>
    <w:rsid w:val="0086532F"/>
    <w:rsid w:val="00866EC7"/>
    <w:rsid w:val="00873EA6"/>
    <w:rsid w:val="0087483B"/>
    <w:rsid w:val="00875340"/>
    <w:rsid w:val="00875DC9"/>
    <w:rsid w:val="008763B5"/>
    <w:rsid w:val="0089042B"/>
    <w:rsid w:val="00894CEB"/>
    <w:rsid w:val="00894D83"/>
    <w:rsid w:val="00895EFD"/>
    <w:rsid w:val="008A0530"/>
    <w:rsid w:val="008A27F6"/>
    <w:rsid w:val="008A38BC"/>
    <w:rsid w:val="008A5E2E"/>
    <w:rsid w:val="008B22B2"/>
    <w:rsid w:val="008B42B1"/>
    <w:rsid w:val="008B4463"/>
    <w:rsid w:val="008B50B3"/>
    <w:rsid w:val="008B7BC3"/>
    <w:rsid w:val="008C5493"/>
    <w:rsid w:val="008C7923"/>
    <w:rsid w:val="008D0221"/>
    <w:rsid w:val="008D22F5"/>
    <w:rsid w:val="008D2FFC"/>
    <w:rsid w:val="008D630D"/>
    <w:rsid w:val="008D6D03"/>
    <w:rsid w:val="008D7153"/>
    <w:rsid w:val="008D73DF"/>
    <w:rsid w:val="008E0062"/>
    <w:rsid w:val="008E4AE4"/>
    <w:rsid w:val="008E5BAF"/>
    <w:rsid w:val="008E5FF4"/>
    <w:rsid w:val="008F2540"/>
    <w:rsid w:val="008F4268"/>
    <w:rsid w:val="008F7657"/>
    <w:rsid w:val="009015FE"/>
    <w:rsid w:val="009040F7"/>
    <w:rsid w:val="009043EA"/>
    <w:rsid w:val="00905E14"/>
    <w:rsid w:val="00906BF6"/>
    <w:rsid w:val="00910767"/>
    <w:rsid w:val="00911A0E"/>
    <w:rsid w:val="00912EA3"/>
    <w:rsid w:val="009145EB"/>
    <w:rsid w:val="00914CF2"/>
    <w:rsid w:val="0091789E"/>
    <w:rsid w:val="009218F1"/>
    <w:rsid w:val="00923C31"/>
    <w:rsid w:val="00927CDA"/>
    <w:rsid w:val="009310BE"/>
    <w:rsid w:val="009329A5"/>
    <w:rsid w:val="00932AD6"/>
    <w:rsid w:val="00941ADD"/>
    <w:rsid w:val="009423B9"/>
    <w:rsid w:val="00945C93"/>
    <w:rsid w:val="00945DB1"/>
    <w:rsid w:val="00947794"/>
    <w:rsid w:val="00947F12"/>
    <w:rsid w:val="009522BE"/>
    <w:rsid w:val="00955231"/>
    <w:rsid w:val="00962E53"/>
    <w:rsid w:val="00964145"/>
    <w:rsid w:val="00965039"/>
    <w:rsid w:val="009671D2"/>
    <w:rsid w:val="0097723E"/>
    <w:rsid w:val="0098305B"/>
    <w:rsid w:val="009875C2"/>
    <w:rsid w:val="00990742"/>
    <w:rsid w:val="00993706"/>
    <w:rsid w:val="00994BEB"/>
    <w:rsid w:val="00997057"/>
    <w:rsid w:val="009A4933"/>
    <w:rsid w:val="009A687F"/>
    <w:rsid w:val="009A71DA"/>
    <w:rsid w:val="009B1126"/>
    <w:rsid w:val="009B3A99"/>
    <w:rsid w:val="009D1E9F"/>
    <w:rsid w:val="009D407C"/>
    <w:rsid w:val="009D563A"/>
    <w:rsid w:val="009E6378"/>
    <w:rsid w:val="009F0419"/>
    <w:rsid w:val="009F0AFB"/>
    <w:rsid w:val="009F5161"/>
    <w:rsid w:val="009F641C"/>
    <w:rsid w:val="009F7BAE"/>
    <w:rsid w:val="00A0262F"/>
    <w:rsid w:val="00A03A6D"/>
    <w:rsid w:val="00A0419D"/>
    <w:rsid w:val="00A0649D"/>
    <w:rsid w:val="00A076ED"/>
    <w:rsid w:val="00A10C71"/>
    <w:rsid w:val="00A11F7E"/>
    <w:rsid w:val="00A132BE"/>
    <w:rsid w:val="00A24168"/>
    <w:rsid w:val="00A25234"/>
    <w:rsid w:val="00A25FD2"/>
    <w:rsid w:val="00A44976"/>
    <w:rsid w:val="00A46447"/>
    <w:rsid w:val="00A50E25"/>
    <w:rsid w:val="00A5108F"/>
    <w:rsid w:val="00A527A1"/>
    <w:rsid w:val="00A532C2"/>
    <w:rsid w:val="00A61305"/>
    <w:rsid w:val="00A61663"/>
    <w:rsid w:val="00A61DDE"/>
    <w:rsid w:val="00A62043"/>
    <w:rsid w:val="00A646E7"/>
    <w:rsid w:val="00A64A45"/>
    <w:rsid w:val="00A67256"/>
    <w:rsid w:val="00A72F6F"/>
    <w:rsid w:val="00A73273"/>
    <w:rsid w:val="00A75FA0"/>
    <w:rsid w:val="00A77DDF"/>
    <w:rsid w:val="00A80BDF"/>
    <w:rsid w:val="00A81A0B"/>
    <w:rsid w:val="00A85E3E"/>
    <w:rsid w:val="00A8677D"/>
    <w:rsid w:val="00A92069"/>
    <w:rsid w:val="00A9342C"/>
    <w:rsid w:val="00A972C8"/>
    <w:rsid w:val="00A97B08"/>
    <w:rsid w:val="00AA0BDD"/>
    <w:rsid w:val="00AA3E26"/>
    <w:rsid w:val="00AA7615"/>
    <w:rsid w:val="00AB3EF3"/>
    <w:rsid w:val="00AB42E0"/>
    <w:rsid w:val="00AB53AA"/>
    <w:rsid w:val="00AB6117"/>
    <w:rsid w:val="00AB7B7A"/>
    <w:rsid w:val="00AC09B9"/>
    <w:rsid w:val="00AC12CB"/>
    <w:rsid w:val="00AC1EBE"/>
    <w:rsid w:val="00AC4593"/>
    <w:rsid w:val="00AC5766"/>
    <w:rsid w:val="00AD3190"/>
    <w:rsid w:val="00AD38BB"/>
    <w:rsid w:val="00AD3FE0"/>
    <w:rsid w:val="00AD5985"/>
    <w:rsid w:val="00AD59C3"/>
    <w:rsid w:val="00AD5CAE"/>
    <w:rsid w:val="00AE4088"/>
    <w:rsid w:val="00AE4C39"/>
    <w:rsid w:val="00AE53B0"/>
    <w:rsid w:val="00AE572E"/>
    <w:rsid w:val="00AF1CEF"/>
    <w:rsid w:val="00AF5B82"/>
    <w:rsid w:val="00AF705F"/>
    <w:rsid w:val="00B018A1"/>
    <w:rsid w:val="00B04D7F"/>
    <w:rsid w:val="00B05F82"/>
    <w:rsid w:val="00B07919"/>
    <w:rsid w:val="00B13FA9"/>
    <w:rsid w:val="00B16C6A"/>
    <w:rsid w:val="00B17218"/>
    <w:rsid w:val="00B241BA"/>
    <w:rsid w:val="00B278B5"/>
    <w:rsid w:val="00B31FB0"/>
    <w:rsid w:val="00B33275"/>
    <w:rsid w:val="00B33A37"/>
    <w:rsid w:val="00B349E9"/>
    <w:rsid w:val="00B35388"/>
    <w:rsid w:val="00B445CE"/>
    <w:rsid w:val="00B46A31"/>
    <w:rsid w:val="00B50194"/>
    <w:rsid w:val="00B5111D"/>
    <w:rsid w:val="00B53961"/>
    <w:rsid w:val="00B54BC7"/>
    <w:rsid w:val="00B55321"/>
    <w:rsid w:val="00B56042"/>
    <w:rsid w:val="00B5730F"/>
    <w:rsid w:val="00B574DF"/>
    <w:rsid w:val="00B5773C"/>
    <w:rsid w:val="00B61991"/>
    <w:rsid w:val="00B62426"/>
    <w:rsid w:val="00B6296A"/>
    <w:rsid w:val="00B62D1C"/>
    <w:rsid w:val="00B66113"/>
    <w:rsid w:val="00B670F7"/>
    <w:rsid w:val="00B7089E"/>
    <w:rsid w:val="00B70BAD"/>
    <w:rsid w:val="00B75CBF"/>
    <w:rsid w:val="00B7799D"/>
    <w:rsid w:val="00B81641"/>
    <w:rsid w:val="00B81B29"/>
    <w:rsid w:val="00B87F37"/>
    <w:rsid w:val="00B9210C"/>
    <w:rsid w:val="00B93CB2"/>
    <w:rsid w:val="00B9588E"/>
    <w:rsid w:val="00BA1975"/>
    <w:rsid w:val="00BB5682"/>
    <w:rsid w:val="00BC02B0"/>
    <w:rsid w:val="00BC170F"/>
    <w:rsid w:val="00BC1C95"/>
    <w:rsid w:val="00BC1CFD"/>
    <w:rsid w:val="00BC35C9"/>
    <w:rsid w:val="00BD542E"/>
    <w:rsid w:val="00BD70EE"/>
    <w:rsid w:val="00BE1129"/>
    <w:rsid w:val="00BE1373"/>
    <w:rsid w:val="00BE2C2C"/>
    <w:rsid w:val="00BE2FF8"/>
    <w:rsid w:val="00BE5EA5"/>
    <w:rsid w:val="00BF02ED"/>
    <w:rsid w:val="00BF257A"/>
    <w:rsid w:val="00C03C8B"/>
    <w:rsid w:val="00C06C06"/>
    <w:rsid w:val="00C126C7"/>
    <w:rsid w:val="00C17968"/>
    <w:rsid w:val="00C20F0F"/>
    <w:rsid w:val="00C23899"/>
    <w:rsid w:val="00C33120"/>
    <w:rsid w:val="00C3422F"/>
    <w:rsid w:val="00C35099"/>
    <w:rsid w:val="00C354F6"/>
    <w:rsid w:val="00C365F6"/>
    <w:rsid w:val="00C4085C"/>
    <w:rsid w:val="00C4169B"/>
    <w:rsid w:val="00C42C4F"/>
    <w:rsid w:val="00C4634E"/>
    <w:rsid w:val="00C53B2C"/>
    <w:rsid w:val="00C569BA"/>
    <w:rsid w:val="00C60FA8"/>
    <w:rsid w:val="00C637D3"/>
    <w:rsid w:val="00C644B2"/>
    <w:rsid w:val="00C6457A"/>
    <w:rsid w:val="00C6615C"/>
    <w:rsid w:val="00C723A5"/>
    <w:rsid w:val="00C728E7"/>
    <w:rsid w:val="00C7372E"/>
    <w:rsid w:val="00C7386F"/>
    <w:rsid w:val="00C8511B"/>
    <w:rsid w:val="00C85592"/>
    <w:rsid w:val="00C972AC"/>
    <w:rsid w:val="00CB0F72"/>
    <w:rsid w:val="00CB15CC"/>
    <w:rsid w:val="00CC646C"/>
    <w:rsid w:val="00CC79A9"/>
    <w:rsid w:val="00CD00C7"/>
    <w:rsid w:val="00CD1B8A"/>
    <w:rsid w:val="00CD2C2E"/>
    <w:rsid w:val="00CD34A9"/>
    <w:rsid w:val="00CD65AF"/>
    <w:rsid w:val="00CE681F"/>
    <w:rsid w:val="00CE6FD5"/>
    <w:rsid w:val="00CF02D0"/>
    <w:rsid w:val="00CF489B"/>
    <w:rsid w:val="00CF495E"/>
    <w:rsid w:val="00CF641C"/>
    <w:rsid w:val="00CF74ED"/>
    <w:rsid w:val="00D028B1"/>
    <w:rsid w:val="00D03EBF"/>
    <w:rsid w:val="00D131EB"/>
    <w:rsid w:val="00D13944"/>
    <w:rsid w:val="00D15F4B"/>
    <w:rsid w:val="00D16219"/>
    <w:rsid w:val="00D21317"/>
    <w:rsid w:val="00D213A3"/>
    <w:rsid w:val="00D31A94"/>
    <w:rsid w:val="00D33F70"/>
    <w:rsid w:val="00D348A0"/>
    <w:rsid w:val="00D3512D"/>
    <w:rsid w:val="00D36139"/>
    <w:rsid w:val="00D447DA"/>
    <w:rsid w:val="00D45AA9"/>
    <w:rsid w:val="00D51A51"/>
    <w:rsid w:val="00D54EF1"/>
    <w:rsid w:val="00D63308"/>
    <w:rsid w:val="00D63D83"/>
    <w:rsid w:val="00D65110"/>
    <w:rsid w:val="00D6541A"/>
    <w:rsid w:val="00D6718D"/>
    <w:rsid w:val="00D72C8A"/>
    <w:rsid w:val="00D77678"/>
    <w:rsid w:val="00D77B00"/>
    <w:rsid w:val="00D81163"/>
    <w:rsid w:val="00D81191"/>
    <w:rsid w:val="00D85C8F"/>
    <w:rsid w:val="00D85DF8"/>
    <w:rsid w:val="00D86E9F"/>
    <w:rsid w:val="00D90901"/>
    <w:rsid w:val="00D91278"/>
    <w:rsid w:val="00D92A2B"/>
    <w:rsid w:val="00D9653E"/>
    <w:rsid w:val="00D96B92"/>
    <w:rsid w:val="00D9732E"/>
    <w:rsid w:val="00D97BC1"/>
    <w:rsid w:val="00DA088E"/>
    <w:rsid w:val="00DA1046"/>
    <w:rsid w:val="00DA5A40"/>
    <w:rsid w:val="00DA5C08"/>
    <w:rsid w:val="00DC709C"/>
    <w:rsid w:val="00DD1C1C"/>
    <w:rsid w:val="00DD250A"/>
    <w:rsid w:val="00DD27EB"/>
    <w:rsid w:val="00DD29E9"/>
    <w:rsid w:val="00DD45A5"/>
    <w:rsid w:val="00DE1855"/>
    <w:rsid w:val="00DE4072"/>
    <w:rsid w:val="00DE4672"/>
    <w:rsid w:val="00DE6D1E"/>
    <w:rsid w:val="00DF2627"/>
    <w:rsid w:val="00E015DB"/>
    <w:rsid w:val="00E02306"/>
    <w:rsid w:val="00E03028"/>
    <w:rsid w:val="00E03088"/>
    <w:rsid w:val="00E0488C"/>
    <w:rsid w:val="00E04FE4"/>
    <w:rsid w:val="00E05326"/>
    <w:rsid w:val="00E07538"/>
    <w:rsid w:val="00E115F6"/>
    <w:rsid w:val="00E118ED"/>
    <w:rsid w:val="00E12B62"/>
    <w:rsid w:val="00E14957"/>
    <w:rsid w:val="00E14E7E"/>
    <w:rsid w:val="00E20A6C"/>
    <w:rsid w:val="00E213A1"/>
    <w:rsid w:val="00E23A91"/>
    <w:rsid w:val="00E25247"/>
    <w:rsid w:val="00E25576"/>
    <w:rsid w:val="00E25B29"/>
    <w:rsid w:val="00E269AF"/>
    <w:rsid w:val="00E2771F"/>
    <w:rsid w:val="00E308A3"/>
    <w:rsid w:val="00E30F9C"/>
    <w:rsid w:val="00E32401"/>
    <w:rsid w:val="00E3494A"/>
    <w:rsid w:val="00E36FB4"/>
    <w:rsid w:val="00E372DC"/>
    <w:rsid w:val="00E418BD"/>
    <w:rsid w:val="00E41DC5"/>
    <w:rsid w:val="00E46703"/>
    <w:rsid w:val="00E46726"/>
    <w:rsid w:val="00E46DBA"/>
    <w:rsid w:val="00E5122E"/>
    <w:rsid w:val="00E57C0D"/>
    <w:rsid w:val="00E67C50"/>
    <w:rsid w:val="00E76DD5"/>
    <w:rsid w:val="00E802D4"/>
    <w:rsid w:val="00E8044B"/>
    <w:rsid w:val="00E81372"/>
    <w:rsid w:val="00E850FE"/>
    <w:rsid w:val="00E85CF0"/>
    <w:rsid w:val="00E872CF"/>
    <w:rsid w:val="00E87761"/>
    <w:rsid w:val="00E91D16"/>
    <w:rsid w:val="00E91EAF"/>
    <w:rsid w:val="00E9790A"/>
    <w:rsid w:val="00EA1925"/>
    <w:rsid w:val="00EA5DFA"/>
    <w:rsid w:val="00EB0C82"/>
    <w:rsid w:val="00EB2444"/>
    <w:rsid w:val="00EB5FD3"/>
    <w:rsid w:val="00ED1C75"/>
    <w:rsid w:val="00ED4053"/>
    <w:rsid w:val="00ED40BA"/>
    <w:rsid w:val="00ED52B4"/>
    <w:rsid w:val="00ED74F9"/>
    <w:rsid w:val="00EE0D38"/>
    <w:rsid w:val="00EE2492"/>
    <w:rsid w:val="00EE444B"/>
    <w:rsid w:val="00EE50B7"/>
    <w:rsid w:val="00EE5BF1"/>
    <w:rsid w:val="00EE68BF"/>
    <w:rsid w:val="00EE6A87"/>
    <w:rsid w:val="00EE7A83"/>
    <w:rsid w:val="00EF023E"/>
    <w:rsid w:val="00EF34B3"/>
    <w:rsid w:val="00EF50D5"/>
    <w:rsid w:val="00F064F7"/>
    <w:rsid w:val="00F06985"/>
    <w:rsid w:val="00F074E2"/>
    <w:rsid w:val="00F0775C"/>
    <w:rsid w:val="00F1195C"/>
    <w:rsid w:val="00F16436"/>
    <w:rsid w:val="00F16BAF"/>
    <w:rsid w:val="00F25CA1"/>
    <w:rsid w:val="00F353AC"/>
    <w:rsid w:val="00F35ACA"/>
    <w:rsid w:val="00F4070F"/>
    <w:rsid w:val="00F41A97"/>
    <w:rsid w:val="00F50A03"/>
    <w:rsid w:val="00F50EAD"/>
    <w:rsid w:val="00F53237"/>
    <w:rsid w:val="00F53787"/>
    <w:rsid w:val="00F60BDD"/>
    <w:rsid w:val="00F63039"/>
    <w:rsid w:val="00F739C0"/>
    <w:rsid w:val="00F764F6"/>
    <w:rsid w:val="00F765B7"/>
    <w:rsid w:val="00F814FB"/>
    <w:rsid w:val="00F8247F"/>
    <w:rsid w:val="00F8350C"/>
    <w:rsid w:val="00F85B05"/>
    <w:rsid w:val="00F86085"/>
    <w:rsid w:val="00F96C26"/>
    <w:rsid w:val="00F96C55"/>
    <w:rsid w:val="00FA1E09"/>
    <w:rsid w:val="00FA434A"/>
    <w:rsid w:val="00FB05C7"/>
    <w:rsid w:val="00FB1383"/>
    <w:rsid w:val="00FB7772"/>
    <w:rsid w:val="00FC1E42"/>
    <w:rsid w:val="00FD1462"/>
    <w:rsid w:val="00FD36A7"/>
    <w:rsid w:val="00FD6374"/>
    <w:rsid w:val="00FD7E67"/>
    <w:rsid w:val="00FE3748"/>
    <w:rsid w:val="00FE43EE"/>
    <w:rsid w:val="00FE76B1"/>
    <w:rsid w:val="00FF119E"/>
    <w:rsid w:val="00FF4A29"/>
    <w:rsid w:val="00FF4D59"/>
    <w:rsid w:val="00FF6D45"/>
    <w:rsid w:val="00FF7B1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8C429"/>
  <w15:docId w15:val="{2B5E7A8D-E83C-4D74-B972-C57D0B4B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5A0"/>
  </w:style>
  <w:style w:type="paragraph" w:styleId="Heading1">
    <w:name w:val="heading 1"/>
    <w:basedOn w:val="Normal"/>
    <w:next w:val="Normal"/>
    <w:link w:val="Heading1Char"/>
    <w:uiPriority w:val="9"/>
    <w:qFormat/>
    <w:rsid w:val="00731DE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55A0"/>
  </w:style>
  <w:style w:type="table" w:styleId="TableGrid">
    <w:name w:val="Table Grid"/>
    <w:basedOn w:val="TableNormal"/>
    <w:uiPriority w:val="59"/>
    <w:rsid w:val="00F5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1DE2"/>
    <w:rPr>
      <w:rFonts w:asciiTheme="majorHAnsi" w:eastAsiaTheme="majorEastAsia" w:hAnsiTheme="majorHAnsi" w:cstheme="majorBidi"/>
      <w:b/>
      <w:bCs/>
      <w:color w:val="2E74B5" w:themeColor="accent1" w:themeShade="BF"/>
      <w:sz w:val="28"/>
      <w:szCs w:val="28"/>
    </w:rPr>
  </w:style>
  <w:style w:type="paragraph" w:styleId="CommentText">
    <w:name w:val="annotation text"/>
    <w:basedOn w:val="Normal"/>
    <w:link w:val="CommentTextChar"/>
    <w:unhideWhenUsed/>
    <w:rsid w:val="00450799"/>
    <w:pPr>
      <w:spacing w:after="200" w:line="240" w:lineRule="auto"/>
    </w:pPr>
    <w:rPr>
      <w:sz w:val="20"/>
      <w:szCs w:val="20"/>
    </w:rPr>
  </w:style>
  <w:style w:type="character" w:customStyle="1" w:styleId="CommentTextChar">
    <w:name w:val="Comment Text Char"/>
    <w:basedOn w:val="DefaultParagraphFont"/>
    <w:link w:val="CommentText"/>
    <w:rsid w:val="00450799"/>
    <w:rPr>
      <w:rFonts w:eastAsiaTheme="minorEastAsia"/>
      <w:sz w:val="20"/>
      <w:szCs w:val="20"/>
    </w:rPr>
  </w:style>
  <w:style w:type="paragraph" w:styleId="Bibliography">
    <w:name w:val="Bibliography"/>
    <w:basedOn w:val="Normal"/>
    <w:next w:val="Normal"/>
    <w:uiPriority w:val="37"/>
    <w:unhideWhenUsed/>
    <w:rsid w:val="00EE7A83"/>
    <w:pPr>
      <w:tabs>
        <w:tab w:val="left" w:pos="504"/>
      </w:tabs>
      <w:spacing w:after="240" w:line="240" w:lineRule="auto"/>
      <w:ind w:left="504" w:hanging="504"/>
    </w:pPr>
  </w:style>
  <w:style w:type="paragraph" w:styleId="Revision">
    <w:name w:val="Revision"/>
    <w:hidden/>
    <w:uiPriority w:val="99"/>
    <w:semiHidden/>
    <w:rsid w:val="00B241BA"/>
    <w:pPr>
      <w:spacing w:after="0" w:line="240" w:lineRule="auto"/>
    </w:pPr>
  </w:style>
  <w:style w:type="paragraph" w:styleId="BalloonText">
    <w:name w:val="Balloon Text"/>
    <w:basedOn w:val="Normal"/>
    <w:link w:val="BalloonTextChar"/>
    <w:uiPriority w:val="99"/>
    <w:semiHidden/>
    <w:unhideWhenUsed/>
    <w:rsid w:val="00B24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1BA"/>
    <w:rPr>
      <w:rFonts w:ascii="Tahoma" w:hAnsi="Tahoma" w:cs="Tahoma"/>
      <w:sz w:val="16"/>
      <w:szCs w:val="16"/>
    </w:rPr>
  </w:style>
  <w:style w:type="character" w:styleId="CommentReference">
    <w:name w:val="annotation reference"/>
    <w:basedOn w:val="DefaultParagraphFont"/>
    <w:uiPriority w:val="99"/>
    <w:semiHidden/>
    <w:unhideWhenUsed/>
    <w:rsid w:val="00B241BA"/>
    <w:rPr>
      <w:sz w:val="16"/>
      <w:szCs w:val="16"/>
    </w:rPr>
  </w:style>
  <w:style w:type="paragraph" w:styleId="CommentSubject">
    <w:name w:val="annotation subject"/>
    <w:basedOn w:val="CommentText"/>
    <w:next w:val="CommentText"/>
    <w:link w:val="CommentSubjectChar"/>
    <w:uiPriority w:val="99"/>
    <w:semiHidden/>
    <w:unhideWhenUsed/>
    <w:rsid w:val="00B241BA"/>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241BA"/>
    <w:rPr>
      <w:rFonts w:eastAsiaTheme="minorEastAsia"/>
      <w:b/>
      <w:bCs/>
      <w:sz w:val="20"/>
      <w:szCs w:val="20"/>
    </w:rPr>
  </w:style>
  <w:style w:type="paragraph" w:styleId="HTMLPreformatted">
    <w:name w:val="HTML Preformatted"/>
    <w:basedOn w:val="Normal"/>
    <w:link w:val="HTMLPreformattedChar"/>
    <w:uiPriority w:val="99"/>
    <w:unhideWhenUsed/>
    <w:rsid w:val="00702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02758"/>
    <w:rPr>
      <w:rFonts w:ascii="Courier New" w:eastAsia="Times New Roman" w:hAnsi="Courier New" w:cs="Courier New"/>
      <w:sz w:val="20"/>
      <w:szCs w:val="20"/>
    </w:rPr>
  </w:style>
  <w:style w:type="paragraph" w:customStyle="1" w:styleId="1">
    <w:name w:val="正文1"/>
    <w:uiPriority w:val="99"/>
    <w:rsid w:val="00687BFA"/>
    <w:pPr>
      <w:spacing w:after="0" w:line="276" w:lineRule="auto"/>
    </w:pPr>
    <w:rPr>
      <w:rFonts w:ascii="Arial" w:eastAsia="SimSun" w:hAnsi="Arial" w:cs="Arial"/>
      <w:color w:val="000000"/>
      <w:szCs w:val="20"/>
      <w:lang w:val="pl-PL" w:eastAsia="pl-PL"/>
    </w:rPr>
  </w:style>
  <w:style w:type="character" w:styleId="Hyperlink">
    <w:name w:val="Hyperlink"/>
    <w:basedOn w:val="DefaultParagraphFont"/>
    <w:uiPriority w:val="99"/>
    <w:unhideWhenUsed/>
    <w:rsid w:val="00687BFA"/>
    <w:rPr>
      <w:color w:val="0563C1" w:themeColor="hyperlink"/>
      <w:u w:val="single"/>
    </w:rPr>
  </w:style>
  <w:style w:type="character" w:styleId="Emphasis">
    <w:name w:val="Emphasis"/>
    <w:basedOn w:val="DefaultParagraphFont"/>
    <w:uiPriority w:val="20"/>
    <w:qFormat/>
    <w:rsid w:val="0017410A"/>
    <w:rPr>
      <w:i/>
      <w:iCs/>
    </w:rPr>
  </w:style>
  <w:style w:type="paragraph" w:styleId="Header">
    <w:name w:val="header"/>
    <w:basedOn w:val="Normal"/>
    <w:link w:val="HeaderChar"/>
    <w:uiPriority w:val="99"/>
    <w:unhideWhenUsed/>
    <w:rsid w:val="007F427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F427F"/>
    <w:rPr>
      <w:sz w:val="18"/>
      <w:szCs w:val="18"/>
    </w:rPr>
  </w:style>
  <w:style w:type="paragraph" w:styleId="Footer">
    <w:name w:val="footer"/>
    <w:basedOn w:val="Normal"/>
    <w:link w:val="FooterChar"/>
    <w:uiPriority w:val="99"/>
    <w:unhideWhenUsed/>
    <w:rsid w:val="007F427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F42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7478">
      <w:bodyDiv w:val="1"/>
      <w:marLeft w:val="0"/>
      <w:marRight w:val="0"/>
      <w:marTop w:val="0"/>
      <w:marBottom w:val="0"/>
      <w:divBdr>
        <w:top w:val="none" w:sz="0" w:space="0" w:color="auto"/>
        <w:left w:val="none" w:sz="0" w:space="0" w:color="auto"/>
        <w:bottom w:val="none" w:sz="0" w:space="0" w:color="auto"/>
        <w:right w:val="none" w:sz="0" w:space="0" w:color="auto"/>
      </w:divBdr>
      <w:divsChild>
        <w:div w:id="235744836">
          <w:marLeft w:val="0"/>
          <w:marRight w:val="0"/>
          <w:marTop w:val="0"/>
          <w:marBottom w:val="0"/>
          <w:divBdr>
            <w:top w:val="none" w:sz="0" w:space="0" w:color="auto"/>
            <w:left w:val="none" w:sz="0" w:space="0" w:color="auto"/>
            <w:bottom w:val="none" w:sz="0" w:space="0" w:color="auto"/>
            <w:right w:val="none" w:sz="0" w:space="0" w:color="auto"/>
          </w:divBdr>
        </w:div>
      </w:divsChild>
    </w:div>
    <w:div w:id="109251725">
      <w:bodyDiv w:val="1"/>
      <w:marLeft w:val="0"/>
      <w:marRight w:val="0"/>
      <w:marTop w:val="0"/>
      <w:marBottom w:val="0"/>
      <w:divBdr>
        <w:top w:val="none" w:sz="0" w:space="0" w:color="auto"/>
        <w:left w:val="none" w:sz="0" w:space="0" w:color="auto"/>
        <w:bottom w:val="none" w:sz="0" w:space="0" w:color="auto"/>
        <w:right w:val="none" w:sz="0" w:space="0" w:color="auto"/>
      </w:divBdr>
      <w:divsChild>
        <w:div w:id="1796102464">
          <w:marLeft w:val="0"/>
          <w:marRight w:val="0"/>
          <w:marTop w:val="0"/>
          <w:marBottom w:val="0"/>
          <w:divBdr>
            <w:top w:val="none" w:sz="0" w:space="0" w:color="auto"/>
            <w:left w:val="none" w:sz="0" w:space="0" w:color="auto"/>
            <w:bottom w:val="none" w:sz="0" w:space="0" w:color="auto"/>
            <w:right w:val="none" w:sz="0" w:space="0" w:color="auto"/>
          </w:divBdr>
        </w:div>
      </w:divsChild>
    </w:div>
    <w:div w:id="703868495">
      <w:bodyDiv w:val="1"/>
      <w:marLeft w:val="0"/>
      <w:marRight w:val="0"/>
      <w:marTop w:val="0"/>
      <w:marBottom w:val="0"/>
      <w:divBdr>
        <w:top w:val="none" w:sz="0" w:space="0" w:color="auto"/>
        <w:left w:val="none" w:sz="0" w:space="0" w:color="auto"/>
        <w:bottom w:val="none" w:sz="0" w:space="0" w:color="auto"/>
        <w:right w:val="none" w:sz="0" w:space="0" w:color="auto"/>
      </w:divBdr>
    </w:div>
    <w:div w:id="1223978757">
      <w:bodyDiv w:val="1"/>
      <w:marLeft w:val="0"/>
      <w:marRight w:val="0"/>
      <w:marTop w:val="0"/>
      <w:marBottom w:val="0"/>
      <w:divBdr>
        <w:top w:val="none" w:sz="0" w:space="0" w:color="auto"/>
        <w:left w:val="none" w:sz="0" w:space="0" w:color="auto"/>
        <w:bottom w:val="none" w:sz="0" w:space="0" w:color="auto"/>
        <w:right w:val="none" w:sz="0" w:space="0" w:color="auto"/>
      </w:divBdr>
    </w:div>
    <w:div w:id="1264847604">
      <w:bodyDiv w:val="1"/>
      <w:marLeft w:val="0"/>
      <w:marRight w:val="0"/>
      <w:marTop w:val="0"/>
      <w:marBottom w:val="0"/>
      <w:divBdr>
        <w:top w:val="none" w:sz="0" w:space="0" w:color="auto"/>
        <w:left w:val="none" w:sz="0" w:space="0" w:color="auto"/>
        <w:bottom w:val="none" w:sz="0" w:space="0" w:color="auto"/>
        <w:right w:val="none" w:sz="0" w:space="0" w:color="auto"/>
      </w:divBdr>
      <w:divsChild>
        <w:div w:id="1768043359">
          <w:marLeft w:val="0"/>
          <w:marRight w:val="0"/>
          <w:marTop w:val="0"/>
          <w:marBottom w:val="0"/>
          <w:divBdr>
            <w:top w:val="none" w:sz="0" w:space="0" w:color="auto"/>
            <w:left w:val="none" w:sz="0" w:space="0" w:color="auto"/>
            <w:bottom w:val="none" w:sz="0" w:space="0" w:color="auto"/>
            <w:right w:val="none" w:sz="0" w:space="0" w:color="auto"/>
          </w:divBdr>
        </w:div>
      </w:divsChild>
    </w:div>
    <w:div w:id="1338188271">
      <w:bodyDiv w:val="1"/>
      <w:marLeft w:val="0"/>
      <w:marRight w:val="0"/>
      <w:marTop w:val="0"/>
      <w:marBottom w:val="0"/>
      <w:divBdr>
        <w:top w:val="none" w:sz="0" w:space="0" w:color="auto"/>
        <w:left w:val="none" w:sz="0" w:space="0" w:color="auto"/>
        <w:bottom w:val="none" w:sz="0" w:space="0" w:color="auto"/>
        <w:right w:val="none" w:sz="0" w:space="0" w:color="auto"/>
      </w:divBdr>
    </w:div>
    <w:div w:id="1355107928">
      <w:bodyDiv w:val="1"/>
      <w:marLeft w:val="0"/>
      <w:marRight w:val="0"/>
      <w:marTop w:val="0"/>
      <w:marBottom w:val="0"/>
      <w:divBdr>
        <w:top w:val="none" w:sz="0" w:space="0" w:color="auto"/>
        <w:left w:val="none" w:sz="0" w:space="0" w:color="auto"/>
        <w:bottom w:val="none" w:sz="0" w:space="0" w:color="auto"/>
        <w:right w:val="none" w:sz="0" w:space="0" w:color="auto"/>
      </w:divBdr>
    </w:div>
    <w:div w:id="1419980010">
      <w:bodyDiv w:val="1"/>
      <w:marLeft w:val="0"/>
      <w:marRight w:val="0"/>
      <w:marTop w:val="0"/>
      <w:marBottom w:val="0"/>
      <w:divBdr>
        <w:top w:val="none" w:sz="0" w:space="0" w:color="auto"/>
        <w:left w:val="none" w:sz="0" w:space="0" w:color="auto"/>
        <w:bottom w:val="none" w:sz="0" w:space="0" w:color="auto"/>
        <w:right w:val="none" w:sz="0" w:space="0" w:color="auto"/>
      </w:divBdr>
    </w:div>
    <w:div w:id="1660382994">
      <w:bodyDiv w:val="1"/>
      <w:marLeft w:val="0"/>
      <w:marRight w:val="0"/>
      <w:marTop w:val="0"/>
      <w:marBottom w:val="0"/>
      <w:divBdr>
        <w:top w:val="none" w:sz="0" w:space="0" w:color="auto"/>
        <w:left w:val="none" w:sz="0" w:space="0" w:color="auto"/>
        <w:bottom w:val="none" w:sz="0" w:space="0" w:color="auto"/>
        <w:right w:val="none" w:sz="0" w:space="0" w:color="auto"/>
      </w:divBdr>
      <w:divsChild>
        <w:div w:id="1230382499">
          <w:marLeft w:val="0"/>
          <w:marRight w:val="0"/>
          <w:marTop w:val="0"/>
          <w:marBottom w:val="0"/>
          <w:divBdr>
            <w:top w:val="none" w:sz="0" w:space="0" w:color="auto"/>
            <w:left w:val="none" w:sz="0" w:space="0" w:color="auto"/>
            <w:bottom w:val="none" w:sz="0" w:space="0" w:color="auto"/>
            <w:right w:val="none" w:sz="0" w:space="0" w:color="auto"/>
          </w:divBdr>
        </w:div>
      </w:divsChild>
    </w:div>
    <w:div w:id="1713841990">
      <w:bodyDiv w:val="1"/>
      <w:marLeft w:val="0"/>
      <w:marRight w:val="0"/>
      <w:marTop w:val="0"/>
      <w:marBottom w:val="0"/>
      <w:divBdr>
        <w:top w:val="none" w:sz="0" w:space="0" w:color="auto"/>
        <w:left w:val="none" w:sz="0" w:space="0" w:color="auto"/>
        <w:bottom w:val="none" w:sz="0" w:space="0" w:color="auto"/>
        <w:right w:val="none" w:sz="0" w:space="0" w:color="auto"/>
      </w:divBdr>
    </w:div>
    <w:div w:id="1773284067">
      <w:bodyDiv w:val="1"/>
      <w:marLeft w:val="0"/>
      <w:marRight w:val="0"/>
      <w:marTop w:val="0"/>
      <w:marBottom w:val="0"/>
      <w:divBdr>
        <w:top w:val="none" w:sz="0" w:space="0" w:color="auto"/>
        <w:left w:val="none" w:sz="0" w:space="0" w:color="auto"/>
        <w:bottom w:val="none" w:sz="0" w:space="0" w:color="auto"/>
        <w:right w:val="none" w:sz="0" w:space="0" w:color="auto"/>
      </w:divBdr>
      <w:divsChild>
        <w:div w:id="77536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960A-715C-4917-8810-BCB0E4D0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17835</Words>
  <Characters>101665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ibrahim</dc:creator>
  <cp:lastModifiedBy>LS Ma</cp:lastModifiedBy>
  <cp:revision>2</cp:revision>
  <dcterms:created xsi:type="dcterms:W3CDTF">2016-10-30T01:00:00Z</dcterms:created>
  <dcterms:modified xsi:type="dcterms:W3CDTF">2016-10-30T01:00:00Z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id="hyjqSG8J"/&gt;&lt;style id="http://www.zotero.org/styles/vancouver" locale="en-US"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