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E1" w:rsidRPr="00E82964" w:rsidRDefault="000854E1" w:rsidP="006611DD">
      <w:pPr>
        <w:spacing w:line="360" w:lineRule="auto"/>
        <w:ind w:right="-44"/>
        <w:rPr>
          <w:rFonts w:ascii="Book Antiqua"/>
          <w:b/>
          <w:i/>
          <w:w w:val="102"/>
          <w:sz w:val="24"/>
          <w:szCs w:val="24"/>
        </w:rPr>
      </w:pPr>
      <w:r w:rsidRPr="00E82964">
        <w:rPr>
          <w:rFonts w:ascii="Book Antiqua"/>
          <w:b/>
          <w:sz w:val="24"/>
          <w:szCs w:val="24"/>
        </w:rPr>
        <w:t xml:space="preserve">Name of Journal: </w:t>
      </w:r>
      <w:r w:rsidRPr="00E82964">
        <w:rPr>
          <w:rFonts w:ascii="Book Antiqua"/>
          <w:b/>
          <w:i/>
          <w:sz w:val="24"/>
          <w:szCs w:val="24"/>
        </w:rPr>
        <w:t xml:space="preserve">World Journal of </w:t>
      </w:r>
      <w:r w:rsidRPr="00E82964">
        <w:rPr>
          <w:rFonts w:ascii="Book Antiqua" w:hint="eastAsia"/>
          <w:b/>
          <w:i/>
          <w:sz w:val="24"/>
          <w:szCs w:val="24"/>
          <w:lang w:eastAsia="ja-JP"/>
        </w:rPr>
        <w:t>Hepatology</w:t>
      </w:r>
    </w:p>
    <w:p w:rsidR="000854E1" w:rsidRDefault="000854E1" w:rsidP="006611DD">
      <w:pPr>
        <w:spacing w:line="360" w:lineRule="auto"/>
        <w:ind w:right="-44"/>
        <w:rPr>
          <w:rFonts w:ascii="Book Antiqua" w:eastAsia="宋体"/>
          <w:b/>
          <w:sz w:val="24"/>
          <w:szCs w:val="24"/>
          <w:lang w:eastAsia="zh-CN"/>
        </w:rPr>
      </w:pPr>
      <w:r w:rsidRPr="00E82964">
        <w:rPr>
          <w:rFonts w:ascii="Book Antiqua" w:hint="eastAsia"/>
          <w:b/>
          <w:sz w:val="24"/>
          <w:szCs w:val="24"/>
          <w:lang w:eastAsia="ja-JP"/>
        </w:rPr>
        <w:t xml:space="preserve">ESPS Manuscript NO: </w:t>
      </w:r>
      <w:r w:rsidRPr="00E82964">
        <w:rPr>
          <w:rFonts w:ascii="Book Antiqua"/>
          <w:b/>
          <w:sz w:val="24"/>
          <w:szCs w:val="24"/>
          <w:lang w:eastAsia="ja-JP"/>
        </w:rPr>
        <w:t>29615</w:t>
      </w:r>
    </w:p>
    <w:p w:rsidR="000854E1" w:rsidRDefault="000854E1" w:rsidP="006611DD">
      <w:pPr>
        <w:spacing w:line="360" w:lineRule="auto"/>
        <w:ind w:right="-44"/>
        <w:rPr>
          <w:rFonts w:ascii="Book Antiqua" w:eastAsia="宋体"/>
          <w:b/>
          <w:sz w:val="24"/>
          <w:szCs w:val="24"/>
          <w:lang w:eastAsia="zh-CN"/>
        </w:rPr>
      </w:pPr>
      <w:r w:rsidRPr="00E82964">
        <w:rPr>
          <w:rFonts w:ascii="Book Antiqua"/>
          <w:b/>
          <w:sz w:val="24"/>
          <w:szCs w:val="24"/>
        </w:rPr>
        <w:t xml:space="preserve">Manuscript Type: </w:t>
      </w:r>
      <w:bookmarkStart w:id="0" w:name="OLE_LINK599"/>
      <w:bookmarkStart w:id="1" w:name="OLE_LINK600"/>
      <w:bookmarkStart w:id="2" w:name="OLE_LINK658"/>
      <w:bookmarkStart w:id="3" w:name="OLE_LINK659"/>
      <w:bookmarkStart w:id="4" w:name="OLE_LINK438"/>
      <w:bookmarkStart w:id="5" w:name="OLE_LINK533"/>
      <w:bookmarkStart w:id="6" w:name="OLE_LINK573"/>
      <w:r w:rsidRPr="00C52BCF">
        <w:rPr>
          <w:rFonts w:ascii="Book Antiqua" w:hAnsi="Book Antiqua"/>
          <w:b/>
          <w:sz w:val="24"/>
          <w:szCs w:val="24"/>
        </w:rPr>
        <w:t>Original Article</w:t>
      </w:r>
      <w:bookmarkEnd w:id="0"/>
      <w:bookmarkEnd w:id="1"/>
      <w:r w:rsidRPr="00C52BCF">
        <w:rPr>
          <w:rFonts w:ascii="Book Antiqua" w:hAnsi="Book Antiqua"/>
          <w:b/>
          <w:sz w:val="24"/>
          <w:szCs w:val="24"/>
        </w:rPr>
        <w:t xml:space="preserve">   </w:t>
      </w:r>
      <w:bookmarkEnd w:id="2"/>
      <w:bookmarkEnd w:id="3"/>
      <w:bookmarkEnd w:id="4"/>
      <w:bookmarkEnd w:id="5"/>
      <w:bookmarkEnd w:id="6"/>
    </w:p>
    <w:p w:rsidR="000854E1" w:rsidRPr="00E82964" w:rsidRDefault="000854E1" w:rsidP="006611DD">
      <w:pPr>
        <w:spacing w:line="360" w:lineRule="auto"/>
        <w:ind w:right="-44"/>
        <w:rPr>
          <w:rFonts w:ascii="Book Antiqua" w:eastAsia="宋体"/>
          <w:b/>
          <w:sz w:val="24"/>
          <w:szCs w:val="24"/>
          <w:lang w:eastAsia="zh-CN"/>
        </w:rPr>
      </w:pPr>
    </w:p>
    <w:p w:rsidR="000854E1" w:rsidRDefault="000854E1" w:rsidP="006611DD">
      <w:pPr>
        <w:spacing w:line="360" w:lineRule="auto"/>
        <w:ind w:right="-44"/>
        <w:rPr>
          <w:rFonts w:ascii="Book Antiqua" w:eastAsia="宋体"/>
          <w:b/>
          <w:i/>
          <w:sz w:val="24"/>
          <w:szCs w:val="24"/>
          <w:lang w:eastAsia="zh-CN"/>
        </w:rPr>
      </w:pPr>
      <w:bookmarkStart w:id="7" w:name="OLE_LINK3"/>
      <w:bookmarkStart w:id="8" w:name="OLE_LINK4"/>
      <w:r w:rsidRPr="00E82964">
        <w:rPr>
          <w:rFonts w:ascii="Book Antiqua"/>
          <w:b/>
          <w:i/>
          <w:sz w:val="24"/>
          <w:szCs w:val="24"/>
        </w:rPr>
        <w:t>Retrospective Study</w:t>
      </w:r>
    </w:p>
    <w:bookmarkEnd w:id="7"/>
    <w:bookmarkEnd w:id="8"/>
    <w:p w:rsidR="000854E1" w:rsidRPr="000854E1" w:rsidRDefault="000854E1" w:rsidP="006611DD">
      <w:pPr>
        <w:spacing w:line="360" w:lineRule="auto"/>
        <w:ind w:right="-44"/>
        <w:rPr>
          <w:rFonts w:ascii="Book Antiqua" w:eastAsia="宋体" w:hAnsi="Book Antiqua" w:cs="Book Antiqua"/>
          <w:b/>
          <w:sz w:val="24"/>
          <w:szCs w:val="24"/>
          <w:lang w:eastAsia="zh-CN"/>
        </w:rPr>
      </w:pPr>
    </w:p>
    <w:p w:rsidR="00C02DA9" w:rsidRPr="00D336AE" w:rsidRDefault="009A141B" w:rsidP="006611DD">
      <w:pPr>
        <w:spacing w:line="360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>E</w:t>
      </w:r>
      <w:r w:rsidR="00C02DA9" w:rsidRPr="00D336AE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fficacy and safety of </w:t>
      </w:r>
      <w:proofErr w:type="spellStart"/>
      <w:r w:rsidR="00C27E0A" w:rsidRPr="00D336AE">
        <w:rPr>
          <w:rFonts w:ascii="Book Antiqua" w:hAnsi="Book Antiqua" w:cs="Book Antiqua"/>
          <w:b/>
          <w:bCs/>
          <w:sz w:val="24"/>
          <w:szCs w:val="24"/>
          <w:lang w:eastAsia="ja-JP"/>
        </w:rPr>
        <w:t>telaprevir</w:t>
      </w:r>
      <w:proofErr w:type="spellEnd"/>
      <w:r w:rsidR="00C02DA9" w:rsidRPr="00D336AE">
        <w:rPr>
          <w:rFonts w:ascii="Book Antiqua" w:hAnsi="Book Antiqua" w:cs="Book Antiqua" w:hint="eastAsia"/>
          <w:b/>
          <w:bCs/>
          <w:sz w:val="24"/>
          <w:szCs w:val="24"/>
          <w:lang w:eastAsia="ja-JP"/>
        </w:rPr>
        <w:t xml:space="preserve">- and </w:t>
      </w:r>
      <w:proofErr w:type="spellStart"/>
      <w:r w:rsidR="00C27E0A" w:rsidRPr="00D336AE">
        <w:rPr>
          <w:rFonts w:ascii="Book Antiqua" w:eastAsia="Book Antiqua" w:hAnsi="Book Antiqua" w:cs="Book Antiqua"/>
          <w:b/>
          <w:bCs/>
          <w:sz w:val="24"/>
          <w:szCs w:val="24"/>
        </w:rPr>
        <w:t>simeprevir</w:t>
      </w:r>
      <w:proofErr w:type="spellEnd"/>
      <w:r w:rsidR="003C5EEE" w:rsidRPr="00D336AE">
        <w:rPr>
          <w:rFonts w:ascii="Book Antiqua" w:eastAsia="Book Antiqua" w:hAnsi="Book Antiqua" w:cs="Book Antiqua"/>
          <w:b/>
          <w:bCs/>
          <w:sz w:val="24"/>
          <w:szCs w:val="24"/>
        </w:rPr>
        <w:t>-based triple therapies</w:t>
      </w:r>
      <w:r w:rsidR="00C02DA9" w:rsidRPr="00D336AE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for </w:t>
      </w:r>
      <w:r w:rsidR="009027AE" w:rsidRPr="00D336AE">
        <w:rPr>
          <w:rFonts w:ascii="Book Antiqua" w:eastAsia="Book Antiqua" w:hAnsi="Book Antiqua" w:cs="Book Antiqua"/>
          <w:b/>
          <w:bCs/>
          <w:sz w:val="24"/>
          <w:szCs w:val="24"/>
        </w:rPr>
        <w:t>older</w:t>
      </w:r>
      <w:r w:rsidR="000E5D11" w:rsidRPr="00D336AE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="00C02DA9" w:rsidRPr="00D336AE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patients with </w:t>
      </w:r>
      <w:r w:rsidR="004C74C7" w:rsidRPr="00D336AE">
        <w:rPr>
          <w:rFonts w:ascii="Book Antiqua" w:hAnsi="Book Antiqua" w:cs="Book Antiqua"/>
          <w:b/>
          <w:bCs/>
          <w:sz w:val="24"/>
          <w:szCs w:val="24"/>
          <w:lang w:eastAsia="ja-JP"/>
        </w:rPr>
        <w:t>chronic hepatitis C</w:t>
      </w:r>
    </w:p>
    <w:p w:rsidR="00C02DA9" w:rsidRPr="00D336AE" w:rsidRDefault="00C02DA9" w:rsidP="006611DD">
      <w:pPr>
        <w:spacing w:line="360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C02DA9" w:rsidRPr="00D336AE" w:rsidRDefault="00C02DA9" w:rsidP="006611DD">
      <w:pPr>
        <w:pStyle w:val="BodyText"/>
        <w:spacing w:line="360" w:lineRule="auto"/>
        <w:ind w:left="0"/>
        <w:jc w:val="both"/>
        <w:rPr>
          <w:sz w:val="24"/>
          <w:szCs w:val="24"/>
        </w:rPr>
      </w:pPr>
      <w:proofErr w:type="spellStart"/>
      <w:r w:rsidRPr="00D336AE">
        <w:rPr>
          <w:color w:val="231F20"/>
          <w:sz w:val="24"/>
          <w:szCs w:val="24"/>
        </w:rPr>
        <w:t>Yamagiwa</w:t>
      </w:r>
      <w:proofErr w:type="spellEnd"/>
      <w:r w:rsidRPr="00D336AE">
        <w:rPr>
          <w:color w:val="231F20"/>
          <w:sz w:val="24"/>
          <w:szCs w:val="24"/>
        </w:rPr>
        <w:t xml:space="preserve"> S </w:t>
      </w:r>
      <w:r w:rsidRPr="00D336AE">
        <w:rPr>
          <w:i/>
          <w:color w:val="231F20"/>
          <w:sz w:val="24"/>
          <w:szCs w:val="24"/>
        </w:rPr>
        <w:t>et al.</w:t>
      </w:r>
      <w:r w:rsidRPr="00D336AE">
        <w:rPr>
          <w:color w:val="231F20"/>
          <w:sz w:val="24"/>
          <w:szCs w:val="24"/>
        </w:rPr>
        <w:t xml:space="preserve"> TVR- a</w:t>
      </w:r>
      <w:r w:rsidR="003C5EEE" w:rsidRPr="00D336AE">
        <w:rPr>
          <w:color w:val="231F20"/>
          <w:sz w:val="24"/>
          <w:szCs w:val="24"/>
        </w:rPr>
        <w:t>nd SMV-based therapies</w:t>
      </w:r>
      <w:r w:rsidRPr="00D336AE">
        <w:rPr>
          <w:color w:val="231F20"/>
          <w:sz w:val="24"/>
          <w:szCs w:val="24"/>
        </w:rPr>
        <w:t xml:space="preserve"> for </w:t>
      </w:r>
      <w:r w:rsidR="009027AE" w:rsidRPr="00D336AE">
        <w:rPr>
          <w:color w:val="231F20"/>
          <w:sz w:val="24"/>
          <w:szCs w:val="24"/>
        </w:rPr>
        <w:t>older</w:t>
      </w:r>
      <w:r w:rsidRPr="00D336AE">
        <w:rPr>
          <w:color w:val="231F20"/>
          <w:sz w:val="24"/>
          <w:szCs w:val="24"/>
        </w:rPr>
        <w:t xml:space="preserve"> patients</w:t>
      </w:r>
    </w:p>
    <w:p w:rsidR="00C02DA9" w:rsidRPr="00D336AE" w:rsidRDefault="00C02DA9" w:rsidP="006611DD">
      <w:pPr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</w:p>
    <w:p w:rsidR="00C02DA9" w:rsidRPr="00D336AE" w:rsidRDefault="00C02DA9" w:rsidP="006611DD">
      <w:pPr>
        <w:spacing w:line="360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Satoshi </w:t>
      </w:r>
      <w:proofErr w:type="spellStart"/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>Yamagiwa</w:t>
      </w:r>
      <w:proofErr w:type="spellEnd"/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, Toru Ishikawa, Nobuo </w:t>
      </w:r>
      <w:proofErr w:type="spellStart"/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>Waguri</w:t>
      </w:r>
      <w:proofErr w:type="spellEnd"/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, </w:t>
      </w:r>
      <w:proofErr w:type="spellStart"/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>Soichi</w:t>
      </w:r>
      <w:proofErr w:type="spellEnd"/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proofErr w:type="spellStart"/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>Sugitani</w:t>
      </w:r>
      <w:proofErr w:type="spellEnd"/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, </w:t>
      </w:r>
      <w:proofErr w:type="spellStart"/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>Hiroto</w:t>
      </w:r>
      <w:proofErr w:type="spellEnd"/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Wakabayashi, Shogo </w:t>
      </w:r>
      <w:proofErr w:type="spellStart"/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>Ohkoshi</w:t>
      </w:r>
      <w:proofErr w:type="spellEnd"/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, Takashi </w:t>
      </w:r>
      <w:proofErr w:type="spellStart"/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>Tsukishiro</w:t>
      </w:r>
      <w:proofErr w:type="spellEnd"/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, Toru Takahashi, Toshiaki Watanabe, Shuji </w:t>
      </w:r>
      <w:proofErr w:type="spellStart"/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>Terai</w:t>
      </w:r>
      <w:proofErr w:type="spellEnd"/>
    </w:p>
    <w:p w:rsidR="000F55D1" w:rsidRPr="000854E1" w:rsidRDefault="000F55D1" w:rsidP="006611DD">
      <w:pPr>
        <w:spacing w:before="11" w:line="360" w:lineRule="auto"/>
        <w:rPr>
          <w:rFonts w:ascii="Book Antiqua" w:eastAsia="宋体" w:hAnsi="Book Antiqua" w:cs="Book Antiqua"/>
          <w:b/>
          <w:bCs/>
          <w:sz w:val="24"/>
          <w:szCs w:val="24"/>
          <w:lang w:eastAsia="zh-CN"/>
        </w:rPr>
      </w:pPr>
    </w:p>
    <w:p w:rsidR="000F55D1" w:rsidRPr="00D336AE" w:rsidRDefault="001946BE" w:rsidP="006611DD">
      <w:pPr>
        <w:spacing w:line="360" w:lineRule="auto"/>
        <w:ind w:right="170"/>
        <w:jc w:val="both"/>
        <w:rPr>
          <w:rFonts w:ascii="Book Antiqua" w:eastAsia="Book Antiqua" w:hAnsi="Book Antiqua" w:cs="Book Antiqua"/>
          <w:sz w:val="24"/>
          <w:szCs w:val="24"/>
        </w:rPr>
      </w:pPr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Satoshi </w:t>
      </w:r>
      <w:proofErr w:type="spellStart"/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>Yamagiwa</w:t>
      </w:r>
      <w:proofErr w:type="spellEnd"/>
      <w:r w:rsidR="00E302E1" w:rsidRPr="00D336AE">
        <w:rPr>
          <w:rFonts w:ascii="Book Antiqua" w:eastAsia="Book Antiqua" w:hAnsi="Book Antiqua" w:cs="Book Antiqua"/>
          <w:sz w:val="24"/>
          <w:szCs w:val="24"/>
        </w:rPr>
        <w:t xml:space="preserve">, </w:t>
      </w:r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Shuji </w:t>
      </w:r>
      <w:proofErr w:type="spellStart"/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>Terai</w:t>
      </w:r>
      <w:proofErr w:type="spellEnd"/>
      <w:r w:rsidRPr="00D336AE">
        <w:rPr>
          <w:rFonts w:ascii="Book Antiqua" w:hAnsi="Book Antiqua" w:cs="Book Antiqua" w:hint="eastAsia"/>
          <w:sz w:val="24"/>
          <w:szCs w:val="24"/>
          <w:lang w:eastAsia="ja-JP"/>
        </w:rPr>
        <w:t xml:space="preserve">, </w:t>
      </w:r>
      <w:r w:rsidRPr="00D336AE">
        <w:rPr>
          <w:rFonts w:ascii="Book Antiqua" w:eastAsia="Book Antiqua" w:hAnsi="Book Antiqua" w:cs="Book Antiqua"/>
          <w:sz w:val="24"/>
          <w:szCs w:val="24"/>
        </w:rPr>
        <w:t>Division of Gastroenterology and Hepatology, Niigata University Graduate School of Medical and Dental Sciences, Niigata</w:t>
      </w:r>
      <w:r w:rsidR="00D337B1" w:rsidRPr="00D336AE">
        <w:rPr>
          <w:rFonts w:ascii="Book Antiqua" w:eastAsia="Book Antiqua" w:hAnsi="Book Antiqua" w:cs="Book Antiqua"/>
          <w:sz w:val="24"/>
          <w:szCs w:val="24"/>
        </w:rPr>
        <w:t xml:space="preserve"> 951-8510</w:t>
      </w:r>
      <w:r w:rsidRPr="00D336AE">
        <w:rPr>
          <w:rFonts w:ascii="Book Antiqua" w:eastAsia="Book Antiqua" w:hAnsi="Book Antiqua" w:cs="Book Antiqua"/>
          <w:sz w:val="24"/>
          <w:szCs w:val="24"/>
        </w:rPr>
        <w:t>, Japan</w:t>
      </w:r>
    </w:p>
    <w:p w:rsidR="000F55D1" w:rsidRPr="00D336AE" w:rsidRDefault="000F55D1" w:rsidP="006611DD">
      <w:pPr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</w:p>
    <w:p w:rsidR="000F55D1" w:rsidRPr="00D336AE" w:rsidRDefault="001946BE" w:rsidP="006611DD">
      <w:pPr>
        <w:spacing w:before="143" w:line="360" w:lineRule="auto"/>
        <w:ind w:right="168"/>
        <w:jc w:val="both"/>
        <w:rPr>
          <w:rFonts w:ascii="Book Antiqua" w:eastAsia="Book Antiqua" w:hAnsi="Book Antiqua" w:cs="Book Antiqua"/>
          <w:sz w:val="24"/>
          <w:szCs w:val="24"/>
        </w:rPr>
      </w:pPr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>Toru Ishikawa,</w:t>
      </w:r>
      <w:r w:rsidRPr="00D336AE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Pr="00D336AE">
        <w:rPr>
          <w:rFonts w:ascii="Book Antiqua" w:eastAsia="Book Antiqua" w:hAnsi="Book Antiqua" w:cs="Book Antiqua"/>
          <w:sz w:val="24"/>
          <w:szCs w:val="24"/>
        </w:rPr>
        <w:t xml:space="preserve">Department of Gastroenterology and Hepatology, </w:t>
      </w:r>
      <w:proofErr w:type="spellStart"/>
      <w:r w:rsidRPr="00D336AE">
        <w:rPr>
          <w:rFonts w:ascii="Book Antiqua" w:eastAsia="Book Antiqua" w:hAnsi="Book Antiqua" w:cs="Book Antiqua"/>
          <w:sz w:val="24"/>
          <w:szCs w:val="24"/>
        </w:rPr>
        <w:t>Saiseikai</w:t>
      </w:r>
      <w:proofErr w:type="spellEnd"/>
      <w:r w:rsidRPr="00D336AE">
        <w:rPr>
          <w:rFonts w:ascii="Book Antiqua" w:eastAsia="Book Antiqua" w:hAnsi="Book Antiqua" w:cs="Book Antiqua"/>
          <w:sz w:val="24"/>
          <w:szCs w:val="24"/>
        </w:rPr>
        <w:t xml:space="preserve"> Niigata </w:t>
      </w:r>
      <w:proofErr w:type="spellStart"/>
      <w:r w:rsidRPr="00D336AE">
        <w:rPr>
          <w:rFonts w:ascii="Book Antiqua" w:eastAsia="Book Antiqua" w:hAnsi="Book Antiqua" w:cs="Book Antiqua"/>
          <w:sz w:val="24"/>
          <w:szCs w:val="24"/>
        </w:rPr>
        <w:t>Daini</w:t>
      </w:r>
      <w:proofErr w:type="spellEnd"/>
      <w:r w:rsidRPr="00D336AE">
        <w:rPr>
          <w:rFonts w:ascii="Book Antiqua" w:eastAsia="Book Antiqua" w:hAnsi="Book Antiqua" w:cs="Book Antiqua"/>
          <w:sz w:val="24"/>
          <w:szCs w:val="24"/>
        </w:rPr>
        <w:t xml:space="preserve"> Hospital, Niigata</w:t>
      </w:r>
      <w:r w:rsidR="00D337B1" w:rsidRPr="00D336AE">
        <w:rPr>
          <w:rFonts w:ascii="Book Antiqua" w:eastAsia="Book Antiqua" w:hAnsi="Book Antiqua" w:cs="Book Antiqua"/>
          <w:sz w:val="24"/>
          <w:szCs w:val="24"/>
        </w:rPr>
        <w:t xml:space="preserve"> 950-1104</w:t>
      </w:r>
      <w:r w:rsidRPr="00D336AE">
        <w:rPr>
          <w:rFonts w:ascii="Book Antiqua" w:eastAsia="Book Antiqua" w:hAnsi="Book Antiqua" w:cs="Book Antiqua"/>
          <w:sz w:val="24"/>
          <w:szCs w:val="24"/>
        </w:rPr>
        <w:t>, Japan</w:t>
      </w:r>
    </w:p>
    <w:p w:rsidR="001946BE" w:rsidRPr="00D336AE" w:rsidRDefault="001946BE" w:rsidP="006611DD">
      <w:pPr>
        <w:spacing w:line="360" w:lineRule="auto"/>
        <w:ind w:right="170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1946BE" w:rsidRPr="00D336AE" w:rsidRDefault="001946BE" w:rsidP="006611DD">
      <w:pPr>
        <w:spacing w:before="143" w:line="360" w:lineRule="auto"/>
        <w:ind w:right="168"/>
        <w:jc w:val="both"/>
        <w:rPr>
          <w:rFonts w:ascii="Book Antiqua" w:eastAsia="Book Antiqua" w:hAnsi="Book Antiqua" w:cs="Book Antiqua"/>
          <w:bCs/>
          <w:sz w:val="24"/>
          <w:szCs w:val="24"/>
        </w:rPr>
      </w:pPr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Nobuo </w:t>
      </w:r>
      <w:proofErr w:type="spellStart"/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>Waguri</w:t>
      </w:r>
      <w:proofErr w:type="spellEnd"/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>,</w:t>
      </w:r>
      <w:r w:rsidRPr="00D336AE">
        <w:rPr>
          <w:rFonts w:ascii="Book Antiqua" w:eastAsia="Book Antiqua" w:hAnsi="Book Antiqua" w:cs="Book Antiqua"/>
          <w:bCs/>
          <w:sz w:val="24"/>
          <w:szCs w:val="24"/>
        </w:rPr>
        <w:t xml:space="preserve"> Department of Gastroenterology and Hepatology, Niigata City General Hospital, Niigata</w:t>
      </w:r>
      <w:r w:rsidR="00D337B1" w:rsidRPr="00D336AE">
        <w:rPr>
          <w:rFonts w:ascii="Book Antiqua" w:eastAsia="Book Antiqua" w:hAnsi="Book Antiqua" w:cs="Book Antiqua"/>
          <w:bCs/>
          <w:sz w:val="24"/>
          <w:szCs w:val="24"/>
        </w:rPr>
        <w:t xml:space="preserve"> 950-1197</w:t>
      </w:r>
      <w:r w:rsidRPr="00D336AE">
        <w:rPr>
          <w:rFonts w:ascii="Book Antiqua" w:eastAsia="Book Antiqua" w:hAnsi="Book Antiqua" w:cs="Book Antiqua"/>
          <w:bCs/>
          <w:sz w:val="24"/>
          <w:szCs w:val="24"/>
        </w:rPr>
        <w:t>, Japan</w:t>
      </w:r>
    </w:p>
    <w:p w:rsidR="001946BE" w:rsidRPr="00D336AE" w:rsidRDefault="001946BE" w:rsidP="006611DD">
      <w:pPr>
        <w:spacing w:line="360" w:lineRule="auto"/>
        <w:ind w:right="170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1946BE" w:rsidRPr="00D336AE" w:rsidRDefault="001946BE" w:rsidP="006611DD">
      <w:pPr>
        <w:spacing w:before="143" w:line="360" w:lineRule="auto"/>
        <w:ind w:right="168"/>
        <w:jc w:val="both"/>
        <w:rPr>
          <w:rFonts w:ascii="Book Antiqua" w:eastAsia="Book Antiqua" w:hAnsi="Book Antiqua" w:cs="Book Antiqua"/>
          <w:bCs/>
          <w:sz w:val="24"/>
          <w:szCs w:val="24"/>
        </w:rPr>
      </w:pPr>
      <w:proofErr w:type="spellStart"/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>Soichi</w:t>
      </w:r>
      <w:proofErr w:type="spellEnd"/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proofErr w:type="spellStart"/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>Sugitani</w:t>
      </w:r>
      <w:proofErr w:type="spellEnd"/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>,</w:t>
      </w:r>
      <w:r w:rsidRPr="00D336AE">
        <w:rPr>
          <w:rFonts w:ascii="Book Antiqua" w:eastAsia="Book Antiqua" w:hAnsi="Book Antiqua" w:cs="Book Antiqua"/>
          <w:bCs/>
          <w:sz w:val="24"/>
          <w:szCs w:val="24"/>
        </w:rPr>
        <w:t xml:space="preserve"> Department of Gastroenterology and Hepatology, </w:t>
      </w:r>
      <w:proofErr w:type="spellStart"/>
      <w:r w:rsidRPr="00D336AE">
        <w:rPr>
          <w:rFonts w:ascii="Book Antiqua" w:eastAsia="Book Antiqua" w:hAnsi="Book Antiqua" w:cs="Book Antiqua"/>
          <w:bCs/>
          <w:sz w:val="24"/>
          <w:szCs w:val="24"/>
        </w:rPr>
        <w:t>Tachikawa</w:t>
      </w:r>
      <w:proofErr w:type="spellEnd"/>
      <w:r w:rsidRPr="00D336AE">
        <w:rPr>
          <w:rFonts w:ascii="Book Antiqua" w:eastAsia="Book Antiqua" w:hAnsi="Book Antiqua" w:cs="Book Antiqua"/>
          <w:bCs/>
          <w:sz w:val="24"/>
          <w:szCs w:val="24"/>
        </w:rPr>
        <w:t xml:space="preserve"> General Hospital, Nagaoka</w:t>
      </w:r>
      <w:r w:rsidR="00D337B1" w:rsidRPr="00D336AE">
        <w:rPr>
          <w:rFonts w:ascii="Book Antiqua" w:eastAsia="Book Antiqua" w:hAnsi="Book Antiqua" w:cs="Book Antiqua"/>
          <w:bCs/>
          <w:sz w:val="24"/>
          <w:szCs w:val="24"/>
        </w:rPr>
        <w:t xml:space="preserve"> 940-8621</w:t>
      </w:r>
      <w:r w:rsidRPr="00D336AE">
        <w:rPr>
          <w:rFonts w:ascii="Book Antiqua" w:eastAsia="Book Antiqua" w:hAnsi="Book Antiqua" w:cs="Book Antiqua"/>
          <w:bCs/>
          <w:sz w:val="24"/>
          <w:szCs w:val="24"/>
        </w:rPr>
        <w:t>, Japan</w:t>
      </w:r>
    </w:p>
    <w:p w:rsidR="001946BE" w:rsidRPr="00D336AE" w:rsidRDefault="001946BE" w:rsidP="006611DD">
      <w:pPr>
        <w:spacing w:line="360" w:lineRule="auto"/>
        <w:ind w:right="170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1946BE" w:rsidRPr="00D336AE" w:rsidRDefault="001946BE" w:rsidP="006611DD">
      <w:pPr>
        <w:spacing w:before="143" w:line="360" w:lineRule="auto"/>
        <w:ind w:right="168"/>
        <w:jc w:val="both"/>
        <w:rPr>
          <w:rFonts w:ascii="Book Antiqua" w:eastAsia="Book Antiqua" w:hAnsi="Book Antiqua" w:cs="Book Antiqua"/>
          <w:bCs/>
          <w:sz w:val="24"/>
          <w:szCs w:val="24"/>
        </w:rPr>
      </w:pPr>
      <w:proofErr w:type="spellStart"/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>Hiroto</w:t>
      </w:r>
      <w:proofErr w:type="spellEnd"/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Wakabayashi,</w:t>
      </w:r>
      <w:r w:rsidRPr="00D336AE">
        <w:rPr>
          <w:rFonts w:ascii="Book Antiqua" w:eastAsia="Book Antiqua" w:hAnsi="Book Antiqua" w:cs="Book Antiqua"/>
          <w:bCs/>
          <w:sz w:val="24"/>
          <w:szCs w:val="24"/>
        </w:rPr>
        <w:t xml:space="preserve"> Department of Gastroenterology and Hepatology, Takeda </w:t>
      </w:r>
      <w:r w:rsidRPr="00D336AE">
        <w:rPr>
          <w:rFonts w:ascii="Book Antiqua" w:eastAsia="Book Antiqua" w:hAnsi="Book Antiqua" w:cs="Book Antiqua"/>
          <w:bCs/>
          <w:sz w:val="24"/>
          <w:szCs w:val="24"/>
        </w:rPr>
        <w:lastRenderedPageBreak/>
        <w:t xml:space="preserve">General Hospital, </w:t>
      </w:r>
      <w:proofErr w:type="spellStart"/>
      <w:r w:rsidRPr="00D336AE">
        <w:rPr>
          <w:rFonts w:ascii="Book Antiqua" w:eastAsia="Book Antiqua" w:hAnsi="Book Antiqua" w:cs="Book Antiqua"/>
          <w:bCs/>
          <w:sz w:val="24"/>
          <w:szCs w:val="24"/>
        </w:rPr>
        <w:t>Aizuwakamatsu</w:t>
      </w:r>
      <w:proofErr w:type="spellEnd"/>
      <w:r w:rsidR="00D337B1" w:rsidRPr="00D336AE">
        <w:rPr>
          <w:rFonts w:ascii="Book Antiqua" w:eastAsia="Book Antiqua" w:hAnsi="Book Antiqua" w:cs="Book Antiqua"/>
          <w:bCs/>
          <w:sz w:val="24"/>
          <w:szCs w:val="24"/>
        </w:rPr>
        <w:t xml:space="preserve"> 965-8585</w:t>
      </w:r>
      <w:r w:rsidRPr="00D336AE">
        <w:rPr>
          <w:rFonts w:ascii="Book Antiqua" w:eastAsia="Book Antiqua" w:hAnsi="Book Antiqua" w:cs="Book Antiqua"/>
          <w:bCs/>
          <w:sz w:val="24"/>
          <w:szCs w:val="24"/>
        </w:rPr>
        <w:t>, Japan</w:t>
      </w:r>
    </w:p>
    <w:p w:rsidR="001946BE" w:rsidRPr="00D336AE" w:rsidRDefault="001946BE" w:rsidP="006611DD">
      <w:pPr>
        <w:spacing w:line="360" w:lineRule="auto"/>
        <w:ind w:right="170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1946BE" w:rsidRPr="00D336AE" w:rsidRDefault="001946BE" w:rsidP="006611DD">
      <w:pPr>
        <w:spacing w:before="143" w:line="360" w:lineRule="auto"/>
        <w:ind w:right="168"/>
        <w:jc w:val="both"/>
        <w:rPr>
          <w:rFonts w:ascii="Book Antiqua" w:eastAsia="Book Antiqua" w:hAnsi="Book Antiqua" w:cs="Book Antiqua"/>
          <w:bCs/>
          <w:sz w:val="24"/>
          <w:szCs w:val="24"/>
        </w:rPr>
      </w:pPr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Shogo </w:t>
      </w:r>
      <w:proofErr w:type="spellStart"/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>Ohkoshi</w:t>
      </w:r>
      <w:proofErr w:type="spellEnd"/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>,</w:t>
      </w:r>
      <w:r w:rsidRPr="00D336AE">
        <w:rPr>
          <w:rFonts w:ascii="Book Antiqua" w:eastAsia="Book Antiqua" w:hAnsi="Book Antiqua" w:cs="Book Antiqua"/>
          <w:bCs/>
          <w:sz w:val="24"/>
          <w:szCs w:val="24"/>
        </w:rPr>
        <w:t xml:space="preserve"> Department of Internal Medicine, Nippon Dental University Medical Hospital, Niigata</w:t>
      </w:r>
      <w:r w:rsidR="00D337B1" w:rsidRPr="00D336AE">
        <w:rPr>
          <w:rFonts w:ascii="Book Antiqua" w:eastAsia="Book Antiqua" w:hAnsi="Book Antiqua" w:cs="Book Antiqua"/>
          <w:bCs/>
          <w:sz w:val="24"/>
          <w:szCs w:val="24"/>
        </w:rPr>
        <w:t xml:space="preserve"> 951-8580</w:t>
      </w:r>
      <w:r w:rsidRPr="00D336AE">
        <w:rPr>
          <w:rFonts w:ascii="Book Antiqua" w:eastAsia="Book Antiqua" w:hAnsi="Book Antiqua" w:cs="Book Antiqua"/>
          <w:bCs/>
          <w:sz w:val="24"/>
          <w:szCs w:val="24"/>
        </w:rPr>
        <w:t>, Japan</w:t>
      </w:r>
    </w:p>
    <w:p w:rsidR="004A2D50" w:rsidRPr="00D336AE" w:rsidRDefault="004A2D50" w:rsidP="006611DD">
      <w:pPr>
        <w:spacing w:line="360" w:lineRule="auto"/>
        <w:ind w:right="170"/>
        <w:jc w:val="both"/>
        <w:rPr>
          <w:rFonts w:ascii="Book Antiqua" w:eastAsia="Book Antiqua" w:hAnsi="Book Antiqua" w:cs="Book Antiqua"/>
          <w:bCs/>
          <w:sz w:val="24"/>
          <w:szCs w:val="24"/>
        </w:rPr>
      </w:pPr>
    </w:p>
    <w:p w:rsidR="001946BE" w:rsidRPr="00D336AE" w:rsidRDefault="001946BE" w:rsidP="006611DD">
      <w:pPr>
        <w:spacing w:before="143" w:line="360" w:lineRule="auto"/>
        <w:ind w:right="168"/>
        <w:jc w:val="both"/>
        <w:rPr>
          <w:rFonts w:ascii="Book Antiqua" w:eastAsia="Book Antiqua" w:hAnsi="Book Antiqua" w:cs="Book Antiqua"/>
          <w:bCs/>
          <w:sz w:val="24"/>
          <w:szCs w:val="24"/>
        </w:rPr>
      </w:pPr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Takashi </w:t>
      </w:r>
      <w:proofErr w:type="spellStart"/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>Tsukishiro</w:t>
      </w:r>
      <w:proofErr w:type="spellEnd"/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>,</w:t>
      </w:r>
      <w:r w:rsidRPr="00D336AE">
        <w:rPr>
          <w:rFonts w:ascii="Book Antiqua" w:eastAsia="Book Antiqua" w:hAnsi="Book Antiqua" w:cs="Book Antiqua"/>
          <w:bCs/>
          <w:sz w:val="24"/>
          <w:szCs w:val="24"/>
        </w:rPr>
        <w:t xml:space="preserve"> Department of Internal Medicine, </w:t>
      </w:r>
      <w:proofErr w:type="spellStart"/>
      <w:r w:rsidRPr="00D336AE">
        <w:rPr>
          <w:rFonts w:ascii="Book Antiqua" w:eastAsia="Book Antiqua" w:hAnsi="Book Antiqua" w:cs="Book Antiqua"/>
          <w:bCs/>
          <w:sz w:val="24"/>
          <w:szCs w:val="24"/>
        </w:rPr>
        <w:t>Itoigawa</w:t>
      </w:r>
      <w:proofErr w:type="spellEnd"/>
      <w:r w:rsidRPr="00D336AE">
        <w:rPr>
          <w:rFonts w:ascii="Book Antiqua" w:eastAsia="Book Antiqua" w:hAnsi="Book Antiqua" w:cs="Book Antiqua"/>
          <w:bCs/>
          <w:sz w:val="24"/>
          <w:szCs w:val="24"/>
        </w:rPr>
        <w:t xml:space="preserve"> General Hospital, </w:t>
      </w:r>
      <w:proofErr w:type="spellStart"/>
      <w:r w:rsidRPr="00D336AE">
        <w:rPr>
          <w:rFonts w:ascii="Book Antiqua" w:eastAsia="Book Antiqua" w:hAnsi="Book Antiqua" w:cs="Book Antiqua"/>
          <w:bCs/>
          <w:sz w:val="24"/>
          <w:szCs w:val="24"/>
        </w:rPr>
        <w:t>Itoigawa</w:t>
      </w:r>
      <w:proofErr w:type="spellEnd"/>
      <w:r w:rsidR="00D337B1" w:rsidRPr="00D336AE">
        <w:rPr>
          <w:rFonts w:ascii="Book Antiqua" w:eastAsia="Book Antiqua" w:hAnsi="Book Antiqua" w:cs="Book Antiqua"/>
          <w:bCs/>
          <w:sz w:val="24"/>
          <w:szCs w:val="24"/>
        </w:rPr>
        <w:t xml:space="preserve"> 941-8502</w:t>
      </w:r>
      <w:r w:rsidRPr="00D336AE">
        <w:rPr>
          <w:rFonts w:ascii="Book Antiqua" w:eastAsia="Book Antiqua" w:hAnsi="Book Antiqua" w:cs="Book Antiqua"/>
          <w:bCs/>
          <w:sz w:val="24"/>
          <w:szCs w:val="24"/>
        </w:rPr>
        <w:t>, Japan</w:t>
      </w:r>
    </w:p>
    <w:p w:rsidR="001946BE" w:rsidRPr="00D336AE" w:rsidRDefault="001946BE" w:rsidP="006611DD">
      <w:pPr>
        <w:spacing w:line="360" w:lineRule="auto"/>
        <w:ind w:right="170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1946BE" w:rsidRPr="00D336AE" w:rsidRDefault="001946BE" w:rsidP="006611DD">
      <w:pPr>
        <w:spacing w:before="143" w:line="360" w:lineRule="auto"/>
        <w:ind w:right="168"/>
        <w:jc w:val="both"/>
        <w:rPr>
          <w:rFonts w:ascii="Book Antiqua" w:eastAsia="Book Antiqua" w:hAnsi="Book Antiqua" w:cs="Book Antiqua"/>
          <w:sz w:val="24"/>
          <w:szCs w:val="24"/>
        </w:rPr>
      </w:pPr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>Toru Takahashi,</w:t>
      </w:r>
      <w:r w:rsidRPr="00D336AE">
        <w:rPr>
          <w:rFonts w:ascii="Book Antiqua" w:eastAsia="Book Antiqua" w:hAnsi="Book Antiqua" w:cs="Book Antiqua"/>
          <w:bCs/>
          <w:sz w:val="24"/>
          <w:szCs w:val="24"/>
        </w:rPr>
        <w:t xml:space="preserve"> Department of Internal Medicine, </w:t>
      </w:r>
      <w:proofErr w:type="spellStart"/>
      <w:r w:rsidRPr="00D336AE">
        <w:rPr>
          <w:rFonts w:ascii="Book Antiqua" w:eastAsia="Book Antiqua" w:hAnsi="Book Antiqua" w:cs="Book Antiqua"/>
          <w:bCs/>
          <w:sz w:val="24"/>
          <w:szCs w:val="24"/>
        </w:rPr>
        <w:t>Uonuma</w:t>
      </w:r>
      <w:proofErr w:type="spellEnd"/>
      <w:r w:rsidRPr="00D336AE">
        <w:rPr>
          <w:rFonts w:ascii="Book Antiqua" w:eastAsia="Book Antiqua" w:hAnsi="Book Antiqua" w:cs="Book Antiqua"/>
          <w:bCs/>
          <w:sz w:val="24"/>
          <w:szCs w:val="24"/>
        </w:rPr>
        <w:t xml:space="preserve"> Hospital, </w:t>
      </w:r>
      <w:proofErr w:type="spellStart"/>
      <w:r w:rsidRPr="00D336AE">
        <w:rPr>
          <w:rFonts w:ascii="Book Antiqua" w:eastAsia="Book Antiqua" w:hAnsi="Book Antiqua" w:cs="Book Antiqua"/>
          <w:bCs/>
          <w:sz w:val="24"/>
          <w:szCs w:val="24"/>
        </w:rPr>
        <w:t>Ojiya</w:t>
      </w:r>
      <w:proofErr w:type="spellEnd"/>
      <w:r w:rsidR="006D46D5" w:rsidRPr="00D336AE">
        <w:rPr>
          <w:rFonts w:ascii="Book Antiqua" w:eastAsia="Book Antiqua" w:hAnsi="Book Antiqua" w:cs="Book Antiqua"/>
          <w:bCs/>
          <w:sz w:val="24"/>
          <w:szCs w:val="24"/>
        </w:rPr>
        <w:t xml:space="preserve"> 947-0028</w:t>
      </w:r>
      <w:r w:rsidRPr="00D336AE">
        <w:rPr>
          <w:rFonts w:ascii="Book Antiqua" w:eastAsia="Book Antiqua" w:hAnsi="Book Antiqua" w:cs="Book Antiqua"/>
          <w:bCs/>
          <w:sz w:val="24"/>
          <w:szCs w:val="24"/>
        </w:rPr>
        <w:t>, Japan</w:t>
      </w:r>
    </w:p>
    <w:p w:rsidR="001946BE" w:rsidRPr="00D336AE" w:rsidRDefault="001946BE" w:rsidP="006611DD">
      <w:pPr>
        <w:spacing w:line="360" w:lineRule="auto"/>
        <w:ind w:right="170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1946BE" w:rsidRPr="00D336AE" w:rsidRDefault="001946BE" w:rsidP="006611DD">
      <w:pPr>
        <w:spacing w:before="143" w:line="360" w:lineRule="auto"/>
        <w:ind w:right="168"/>
        <w:jc w:val="both"/>
        <w:rPr>
          <w:rFonts w:ascii="Book Antiqua" w:eastAsia="Book Antiqua" w:hAnsi="Book Antiqua" w:cs="Book Antiqua"/>
          <w:sz w:val="24"/>
          <w:szCs w:val="24"/>
        </w:rPr>
      </w:pPr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>Toshiaki Watanabe,</w:t>
      </w:r>
      <w:r w:rsidRPr="00D336AE">
        <w:rPr>
          <w:rFonts w:ascii="Book Antiqua" w:eastAsia="Book Antiqua" w:hAnsi="Book Antiqua" w:cs="Book Antiqua"/>
          <w:bCs/>
          <w:sz w:val="24"/>
          <w:szCs w:val="24"/>
        </w:rPr>
        <w:t xml:space="preserve"> Watanabe Clinic, </w:t>
      </w:r>
      <w:proofErr w:type="spellStart"/>
      <w:r w:rsidRPr="00D336AE">
        <w:rPr>
          <w:rFonts w:ascii="Book Antiqua" w:eastAsia="Book Antiqua" w:hAnsi="Book Antiqua" w:cs="Book Antiqua"/>
          <w:bCs/>
          <w:sz w:val="24"/>
          <w:szCs w:val="24"/>
        </w:rPr>
        <w:t>Sanj</w:t>
      </w:r>
      <w:r w:rsidR="00F56DE7" w:rsidRPr="00D336AE">
        <w:rPr>
          <w:rFonts w:ascii="Book Antiqua" w:hAnsi="Book Antiqua" w:cs="Book Antiqua" w:hint="eastAsia"/>
          <w:bCs/>
          <w:sz w:val="24"/>
          <w:szCs w:val="24"/>
          <w:lang w:eastAsia="ja-JP"/>
        </w:rPr>
        <w:t>y</w:t>
      </w:r>
      <w:r w:rsidRPr="00D336AE">
        <w:rPr>
          <w:rFonts w:ascii="Book Antiqua" w:eastAsia="Book Antiqua" w:hAnsi="Book Antiqua" w:cs="Book Antiqua"/>
          <w:bCs/>
          <w:sz w:val="24"/>
          <w:szCs w:val="24"/>
        </w:rPr>
        <w:t>o</w:t>
      </w:r>
      <w:proofErr w:type="spellEnd"/>
      <w:r w:rsidR="006D46D5" w:rsidRPr="00D336AE">
        <w:rPr>
          <w:rFonts w:ascii="Book Antiqua" w:eastAsia="Book Antiqua" w:hAnsi="Book Antiqua" w:cs="Book Antiqua"/>
          <w:bCs/>
          <w:sz w:val="24"/>
          <w:szCs w:val="24"/>
        </w:rPr>
        <w:t xml:space="preserve"> 955-0845</w:t>
      </w:r>
      <w:r w:rsidRPr="00D336AE">
        <w:rPr>
          <w:rFonts w:ascii="Book Antiqua" w:eastAsia="Book Antiqua" w:hAnsi="Book Antiqua" w:cs="Book Antiqua"/>
          <w:bCs/>
          <w:sz w:val="24"/>
          <w:szCs w:val="24"/>
        </w:rPr>
        <w:t>, Japan</w:t>
      </w:r>
    </w:p>
    <w:p w:rsidR="001946BE" w:rsidRPr="00D336AE" w:rsidRDefault="001946BE" w:rsidP="006611DD">
      <w:pPr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</w:p>
    <w:p w:rsidR="000F55D1" w:rsidRPr="00D336AE" w:rsidRDefault="00E302E1" w:rsidP="006611DD">
      <w:pPr>
        <w:pStyle w:val="BodyText"/>
        <w:spacing w:before="146" w:line="360" w:lineRule="auto"/>
        <w:ind w:left="0" w:right="112"/>
        <w:jc w:val="both"/>
        <w:rPr>
          <w:sz w:val="24"/>
          <w:szCs w:val="24"/>
        </w:rPr>
      </w:pPr>
      <w:r w:rsidRPr="00D336AE">
        <w:rPr>
          <w:b/>
          <w:sz w:val="24"/>
          <w:szCs w:val="24"/>
        </w:rPr>
        <w:t>Author contributions</w:t>
      </w:r>
      <w:r w:rsidRPr="00D336AE">
        <w:rPr>
          <w:sz w:val="24"/>
          <w:szCs w:val="24"/>
        </w:rPr>
        <w:t xml:space="preserve">: </w:t>
      </w:r>
      <w:proofErr w:type="spellStart"/>
      <w:r w:rsidR="004A2D50" w:rsidRPr="00D336AE">
        <w:rPr>
          <w:sz w:val="24"/>
          <w:szCs w:val="24"/>
        </w:rPr>
        <w:t>Yamagiwa</w:t>
      </w:r>
      <w:proofErr w:type="spellEnd"/>
      <w:r w:rsidR="004A2D50" w:rsidRPr="00D336AE">
        <w:rPr>
          <w:sz w:val="24"/>
          <w:szCs w:val="24"/>
        </w:rPr>
        <w:t xml:space="preserve"> S</w:t>
      </w:r>
      <w:r w:rsidRPr="00D336AE">
        <w:rPr>
          <w:sz w:val="24"/>
          <w:szCs w:val="24"/>
        </w:rPr>
        <w:t xml:space="preserve">, </w:t>
      </w:r>
      <w:r w:rsidR="004A2D50" w:rsidRPr="00D336AE">
        <w:rPr>
          <w:sz w:val="24"/>
          <w:szCs w:val="24"/>
        </w:rPr>
        <w:t>Ishikawa T</w:t>
      </w:r>
      <w:r w:rsidRPr="00D336AE">
        <w:rPr>
          <w:sz w:val="24"/>
          <w:szCs w:val="24"/>
        </w:rPr>
        <w:t xml:space="preserve">, </w:t>
      </w:r>
      <w:proofErr w:type="spellStart"/>
      <w:r w:rsidR="004A2D50" w:rsidRPr="00D336AE">
        <w:rPr>
          <w:sz w:val="24"/>
          <w:szCs w:val="24"/>
        </w:rPr>
        <w:t>Waguri</w:t>
      </w:r>
      <w:proofErr w:type="spellEnd"/>
      <w:r w:rsidR="004A2D50" w:rsidRPr="00D336AE">
        <w:rPr>
          <w:sz w:val="24"/>
          <w:szCs w:val="24"/>
        </w:rPr>
        <w:t xml:space="preserve"> N</w:t>
      </w:r>
      <w:r w:rsidRPr="00D336AE">
        <w:rPr>
          <w:sz w:val="24"/>
          <w:szCs w:val="24"/>
        </w:rPr>
        <w:t xml:space="preserve"> and </w:t>
      </w:r>
      <w:proofErr w:type="spellStart"/>
      <w:r w:rsidR="004A2D50" w:rsidRPr="00D336AE">
        <w:rPr>
          <w:sz w:val="24"/>
          <w:szCs w:val="24"/>
        </w:rPr>
        <w:t>Terai</w:t>
      </w:r>
      <w:proofErr w:type="spellEnd"/>
      <w:r w:rsidR="004A2D50" w:rsidRPr="00D336AE">
        <w:rPr>
          <w:sz w:val="24"/>
          <w:szCs w:val="24"/>
        </w:rPr>
        <w:t xml:space="preserve"> S </w:t>
      </w:r>
      <w:r w:rsidRPr="00D336AE">
        <w:rPr>
          <w:sz w:val="24"/>
          <w:szCs w:val="24"/>
        </w:rPr>
        <w:t xml:space="preserve">contributed to study conception and design; </w:t>
      </w:r>
      <w:proofErr w:type="spellStart"/>
      <w:r w:rsidR="005F00E7">
        <w:rPr>
          <w:sz w:val="24"/>
          <w:szCs w:val="24"/>
        </w:rPr>
        <w:t>Yamagiwa</w:t>
      </w:r>
      <w:proofErr w:type="spellEnd"/>
      <w:r w:rsidR="005F00E7">
        <w:rPr>
          <w:sz w:val="24"/>
          <w:szCs w:val="24"/>
        </w:rPr>
        <w:t xml:space="preserve"> S, </w:t>
      </w:r>
      <w:proofErr w:type="spellStart"/>
      <w:r w:rsidR="004A2D50" w:rsidRPr="00D336AE">
        <w:rPr>
          <w:sz w:val="24"/>
          <w:szCs w:val="24"/>
        </w:rPr>
        <w:t>Sugitani</w:t>
      </w:r>
      <w:proofErr w:type="spellEnd"/>
      <w:r w:rsidR="004A2D50" w:rsidRPr="00D336AE">
        <w:rPr>
          <w:sz w:val="24"/>
          <w:szCs w:val="24"/>
        </w:rPr>
        <w:t xml:space="preserve"> S, Wakabayashi H, </w:t>
      </w:r>
      <w:proofErr w:type="spellStart"/>
      <w:r w:rsidR="004A2D50" w:rsidRPr="00D336AE">
        <w:rPr>
          <w:sz w:val="24"/>
          <w:szCs w:val="24"/>
        </w:rPr>
        <w:t>Ohkoshi</w:t>
      </w:r>
      <w:proofErr w:type="spellEnd"/>
      <w:r w:rsidR="004A2D50" w:rsidRPr="00D336AE">
        <w:rPr>
          <w:sz w:val="24"/>
          <w:szCs w:val="24"/>
        </w:rPr>
        <w:t xml:space="preserve"> S, </w:t>
      </w:r>
      <w:proofErr w:type="spellStart"/>
      <w:r w:rsidR="004A2D50" w:rsidRPr="00D336AE">
        <w:rPr>
          <w:sz w:val="24"/>
          <w:szCs w:val="24"/>
        </w:rPr>
        <w:t>Tsukishiro</w:t>
      </w:r>
      <w:proofErr w:type="spellEnd"/>
      <w:r w:rsidR="004A2D50" w:rsidRPr="00D336AE">
        <w:rPr>
          <w:sz w:val="24"/>
          <w:szCs w:val="24"/>
        </w:rPr>
        <w:t xml:space="preserve"> T, Takahashi T, and Watanabe T</w:t>
      </w:r>
      <w:r w:rsidRPr="00D336AE">
        <w:rPr>
          <w:sz w:val="24"/>
          <w:szCs w:val="24"/>
        </w:rPr>
        <w:t xml:space="preserve"> contributed to data acquisition,</w:t>
      </w:r>
      <w:r w:rsidRPr="00D336AE">
        <w:rPr>
          <w:w w:val="102"/>
          <w:sz w:val="24"/>
          <w:szCs w:val="24"/>
        </w:rPr>
        <w:t xml:space="preserve"> </w:t>
      </w:r>
      <w:r w:rsidRPr="00D336AE">
        <w:rPr>
          <w:sz w:val="24"/>
          <w:szCs w:val="24"/>
        </w:rPr>
        <w:t>data analysis and interpretation</w:t>
      </w:r>
      <w:r w:rsidR="004A2D50" w:rsidRPr="00D336AE">
        <w:rPr>
          <w:sz w:val="24"/>
          <w:szCs w:val="24"/>
        </w:rPr>
        <w:t xml:space="preserve">; </w:t>
      </w:r>
      <w:proofErr w:type="spellStart"/>
      <w:r w:rsidR="004A2D50" w:rsidRPr="00D336AE">
        <w:rPr>
          <w:sz w:val="24"/>
          <w:szCs w:val="24"/>
        </w:rPr>
        <w:t>Yamagiwa</w:t>
      </w:r>
      <w:proofErr w:type="spellEnd"/>
      <w:r w:rsidR="004A2D50" w:rsidRPr="00D336AE">
        <w:rPr>
          <w:sz w:val="24"/>
          <w:szCs w:val="24"/>
        </w:rPr>
        <w:t xml:space="preserve"> S and </w:t>
      </w:r>
      <w:proofErr w:type="spellStart"/>
      <w:r w:rsidR="004A2D50" w:rsidRPr="00D336AE">
        <w:rPr>
          <w:sz w:val="24"/>
          <w:szCs w:val="24"/>
        </w:rPr>
        <w:t>Terai</w:t>
      </w:r>
      <w:proofErr w:type="spellEnd"/>
      <w:r w:rsidR="004A2D50" w:rsidRPr="00D336AE">
        <w:rPr>
          <w:sz w:val="24"/>
          <w:szCs w:val="24"/>
        </w:rPr>
        <w:t xml:space="preserve"> S contributed to drafting the </w:t>
      </w:r>
      <w:r w:rsidRPr="00D336AE">
        <w:rPr>
          <w:sz w:val="24"/>
          <w:szCs w:val="24"/>
        </w:rPr>
        <w:t>article</w:t>
      </w:r>
      <w:r w:rsidR="004A2D50" w:rsidRPr="00D336AE">
        <w:rPr>
          <w:sz w:val="24"/>
          <w:szCs w:val="24"/>
        </w:rPr>
        <w:t>; all authors contributed to making critical revisions related to important intellectual content of the manuscript</w:t>
      </w:r>
      <w:r w:rsidRPr="00D336AE">
        <w:rPr>
          <w:sz w:val="24"/>
          <w:szCs w:val="24"/>
        </w:rPr>
        <w:t>;</w:t>
      </w:r>
      <w:r w:rsidR="004A2D50" w:rsidRPr="00D336AE">
        <w:rPr>
          <w:sz w:val="24"/>
          <w:szCs w:val="24"/>
        </w:rPr>
        <w:t xml:space="preserve"> all authors </w:t>
      </w:r>
      <w:r w:rsidRPr="00D336AE">
        <w:rPr>
          <w:sz w:val="24"/>
          <w:szCs w:val="24"/>
        </w:rPr>
        <w:t>contributed to final approval of</w:t>
      </w:r>
      <w:r w:rsidR="004A2D50" w:rsidRPr="00D336AE">
        <w:rPr>
          <w:w w:val="102"/>
          <w:sz w:val="24"/>
          <w:szCs w:val="24"/>
        </w:rPr>
        <w:t xml:space="preserve"> </w:t>
      </w:r>
      <w:r w:rsidR="004A2D50" w:rsidRPr="00D336AE">
        <w:rPr>
          <w:sz w:val="24"/>
          <w:szCs w:val="24"/>
        </w:rPr>
        <w:t>the version of the a</w:t>
      </w:r>
      <w:r w:rsidRPr="00D336AE">
        <w:rPr>
          <w:sz w:val="24"/>
          <w:szCs w:val="24"/>
        </w:rPr>
        <w:t>rticle</w:t>
      </w:r>
      <w:r w:rsidR="004A2D50" w:rsidRPr="00D336AE">
        <w:rPr>
          <w:sz w:val="24"/>
          <w:szCs w:val="24"/>
        </w:rPr>
        <w:t xml:space="preserve"> to be published</w:t>
      </w:r>
      <w:r w:rsidRPr="00D336AE">
        <w:rPr>
          <w:sz w:val="24"/>
          <w:szCs w:val="24"/>
        </w:rPr>
        <w:t>.</w:t>
      </w:r>
    </w:p>
    <w:p w:rsidR="000F55D1" w:rsidRPr="00D336AE" w:rsidRDefault="000F55D1" w:rsidP="006611DD">
      <w:pPr>
        <w:spacing w:before="10" w:line="360" w:lineRule="auto"/>
        <w:rPr>
          <w:rFonts w:ascii="Book Antiqua" w:eastAsia="Book Antiqua" w:hAnsi="Book Antiqua" w:cs="Book Antiqua"/>
          <w:sz w:val="24"/>
          <w:szCs w:val="24"/>
        </w:rPr>
      </w:pPr>
    </w:p>
    <w:p w:rsidR="000E5D11" w:rsidRPr="00F643C2" w:rsidRDefault="00E302E1" w:rsidP="006611DD">
      <w:pPr>
        <w:pStyle w:val="BodyText"/>
        <w:spacing w:line="360" w:lineRule="auto"/>
        <w:ind w:left="0" w:right="164"/>
        <w:jc w:val="both"/>
        <w:rPr>
          <w:rFonts w:eastAsia="宋体"/>
          <w:sz w:val="24"/>
          <w:szCs w:val="24"/>
          <w:lang w:eastAsia="zh-CN"/>
        </w:rPr>
      </w:pPr>
      <w:proofErr w:type="gramStart"/>
      <w:r w:rsidRPr="00D336AE">
        <w:rPr>
          <w:b/>
          <w:sz w:val="24"/>
          <w:szCs w:val="24"/>
        </w:rPr>
        <w:t xml:space="preserve">Supported by </w:t>
      </w:r>
      <w:r w:rsidR="00026159" w:rsidRPr="00D336AE">
        <w:rPr>
          <w:sz w:val="24"/>
          <w:szCs w:val="24"/>
        </w:rPr>
        <w:t>Grants-in-Aid for Scientific Research (C) (to S.Y.) from Japan Society for the Promotion of Science (JSPS)</w:t>
      </w:r>
      <w:r w:rsidR="00F643C2">
        <w:rPr>
          <w:rFonts w:eastAsia="宋体" w:hint="eastAsia"/>
          <w:sz w:val="24"/>
          <w:szCs w:val="24"/>
          <w:lang w:eastAsia="zh-CN"/>
        </w:rPr>
        <w:t xml:space="preserve">, No. </w:t>
      </w:r>
      <w:r w:rsidR="00F643C2" w:rsidRPr="00D336AE">
        <w:rPr>
          <w:sz w:val="24"/>
          <w:szCs w:val="24"/>
        </w:rPr>
        <w:t>15K08991</w:t>
      </w:r>
      <w:r w:rsidR="00F643C2">
        <w:rPr>
          <w:rFonts w:eastAsia="宋体" w:hint="eastAsia"/>
          <w:sz w:val="24"/>
          <w:szCs w:val="24"/>
          <w:lang w:eastAsia="zh-CN"/>
        </w:rPr>
        <w:t>.</w:t>
      </w:r>
      <w:proofErr w:type="gramEnd"/>
    </w:p>
    <w:p w:rsidR="000E5D11" w:rsidRPr="00D336AE" w:rsidRDefault="000E5D11" w:rsidP="006611DD">
      <w:pPr>
        <w:pStyle w:val="BodyText"/>
        <w:spacing w:line="360" w:lineRule="auto"/>
        <w:ind w:left="0" w:right="164"/>
        <w:jc w:val="both"/>
        <w:rPr>
          <w:sz w:val="24"/>
          <w:szCs w:val="24"/>
        </w:rPr>
      </w:pPr>
    </w:p>
    <w:p w:rsidR="000F55D1" w:rsidRPr="00D336AE" w:rsidRDefault="000E5D11" w:rsidP="006611DD">
      <w:pPr>
        <w:pStyle w:val="BodyText"/>
        <w:spacing w:line="360" w:lineRule="auto"/>
        <w:ind w:left="0" w:right="164"/>
        <w:jc w:val="both"/>
        <w:rPr>
          <w:b/>
          <w:sz w:val="24"/>
          <w:szCs w:val="24"/>
        </w:rPr>
      </w:pPr>
      <w:r w:rsidRPr="00D336AE">
        <w:rPr>
          <w:b/>
          <w:sz w:val="24"/>
          <w:szCs w:val="24"/>
        </w:rPr>
        <w:t xml:space="preserve">Institutional review board statement: </w:t>
      </w:r>
      <w:r w:rsidR="00206ACF" w:rsidRPr="00D336AE">
        <w:rPr>
          <w:sz w:val="24"/>
          <w:szCs w:val="24"/>
        </w:rPr>
        <w:t>The study was reviewed and approved by Niigata University Medical and Dental Hospital Institutional Review Board.</w:t>
      </w:r>
    </w:p>
    <w:p w:rsidR="000F55D1" w:rsidRPr="00D336AE" w:rsidRDefault="000F55D1" w:rsidP="006611DD">
      <w:pPr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</w:p>
    <w:p w:rsidR="000F55D1" w:rsidRPr="00D336AE" w:rsidRDefault="00E302E1" w:rsidP="006611DD">
      <w:pPr>
        <w:spacing w:before="46"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D336AE">
        <w:rPr>
          <w:rFonts w:ascii="Book Antiqua"/>
          <w:b/>
          <w:sz w:val="24"/>
          <w:szCs w:val="24"/>
        </w:rPr>
        <w:t>Informed consent statement:</w:t>
      </w:r>
      <w:r w:rsidR="00206ACF" w:rsidRPr="00D336AE">
        <w:rPr>
          <w:rFonts w:ascii="Book Antiqua"/>
          <w:b/>
          <w:sz w:val="24"/>
          <w:szCs w:val="24"/>
        </w:rPr>
        <w:t xml:space="preserve"> </w:t>
      </w:r>
      <w:r w:rsidR="00206ACF" w:rsidRPr="00D336AE">
        <w:rPr>
          <w:rFonts w:ascii="Book Antiqua"/>
          <w:sz w:val="24"/>
          <w:szCs w:val="24"/>
        </w:rPr>
        <w:t xml:space="preserve">Written informed consent under institutional review board-approved protocols (approval no. 1474) at Niigata University Medical and </w:t>
      </w:r>
      <w:r w:rsidR="00206ACF" w:rsidRPr="00D336AE">
        <w:rPr>
          <w:rFonts w:ascii="Book Antiqua"/>
          <w:sz w:val="24"/>
          <w:szCs w:val="24"/>
        </w:rPr>
        <w:lastRenderedPageBreak/>
        <w:t>Dental Hospital was appropriately obtained from all the individuals enrolled in the study.</w:t>
      </w:r>
    </w:p>
    <w:p w:rsidR="000F55D1" w:rsidRPr="00D336AE" w:rsidRDefault="000F55D1" w:rsidP="006611DD">
      <w:pPr>
        <w:spacing w:before="1" w:line="360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0F55D1" w:rsidRPr="00D336AE" w:rsidRDefault="00E302E1" w:rsidP="006611DD">
      <w:pPr>
        <w:spacing w:line="360" w:lineRule="auto"/>
        <w:jc w:val="both"/>
        <w:rPr>
          <w:rFonts w:ascii="Book Antiqua"/>
          <w:b/>
          <w:sz w:val="24"/>
          <w:szCs w:val="24"/>
        </w:rPr>
      </w:pPr>
      <w:r w:rsidRPr="00D336AE">
        <w:rPr>
          <w:rFonts w:ascii="Book Antiqua"/>
          <w:b/>
          <w:sz w:val="24"/>
          <w:szCs w:val="24"/>
        </w:rPr>
        <w:t>Conflict-of-interest statement:</w:t>
      </w:r>
      <w:r w:rsidR="00206ACF" w:rsidRPr="00D336AE">
        <w:rPr>
          <w:rFonts w:ascii="Book Antiqua"/>
          <w:sz w:val="24"/>
          <w:szCs w:val="24"/>
        </w:rPr>
        <w:t xml:space="preserve"> </w:t>
      </w:r>
      <w:r w:rsidR="000654E7" w:rsidRPr="00D336AE">
        <w:rPr>
          <w:rFonts w:ascii="Book Antiqua"/>
          <w:sz w:val="24"/>
          <w:szCs w:val="24"/>
        </w:rPr>
        <w:t>We have no financial relationships to disclose.</w:t>
      </w:r>
    </w:p>
    <w:p w:rsidR="000F55D1" w:rsidRPr="00D336AE" w:rsidRDefault="000F55D1" w:rsidP="006611DD">
      <w:pPr>
        <w:spacing w:before="10" w:line="360" w:lineRule="auto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0F55D1" w:rsidRPr="00D336AE" w:rsidRDefault="00E302E1" w:rsidP="006611DD">
      <w:pPr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D336AE">
        <w:rPr>
          <w:rFonts w:ascii="Book Antiqua"/>
          <w:b/>
          <w:sz w:val="24"/>
          <w:szCs w:val="24"/>
        </w:rPr>
        <w:t>Data sharing statement:</w:t>
      </w:r>
      <w:r w:rsidR="00206ACF" w:rsidRPr="00D336AE">
        <w:rPr>
          <w:rFonts w:ascii="Book Antiqua"/>
          <w:b/>
          <w:sz w:val="24"/>
          <w:szCs w:val="24"/>
        </w:rPr>
        <w:t xml:space="preserve"> </w:t>
      </w:r>
      <w:r w:rsidR="00206ACF" w:rsidRPr="00D336AE">
        <w:rPr>
          <w:rFonts w:ascii="Book Antiqua"/>
          <w:sz w:val="24"/>
          <w:szCs w:val="24"/>
        </w:rPr>
        <w:t>No additional data are available.</w:t>
      </w:r>
    </w:p>
    <w:p w:rsidR="000F55D1" w:rsidRDefault="000F55D1" w:rsidP="006611DD">
      <w:pPr>
        <w:spacing w:before="6" w:line="360" w:lineRule="auto"/>
        <w:rPr>
          <w:rFonts w:ascii="Book Antiqua" w:eastAsia="宋体" w:hAnsi="Book Antiqua" w:cs="Book Antiqua"/>
          <w:b/>
          <w:bCs/>
          <w:sz w:val="24"/>
          <w:szCs w:val="24"/>
          <w:lang w:eastAsia="zh-CN"/>
        </w:rPr>
      </w:pPr>
    </w:p>
    <w:p w:rsidR="000854E1" w:rsidRPr="00C52BCF" w:rsidRDefault="000854E1" w:rsidP="006611DD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9" w:name="OLE_LINK111"/>
      <w:bookmarkStart w:id="10" w:name="OLE_LINK112"/>
      <w:bookmarkStart w:id="11" w:name="OLE_LINK54"/>
      <w:bookmarkStart w:id="12" w:name="OLE_LINK70"/>
      <w:bookmarkStart w:id="13" w:name="OLE_LINK123"/>
      <w:bookmarkStart w:id="14" w:name="OLE_LINK183"/>
      <w:bookmarkStart w:id="15" w:name="OLE_LINK329"/>
      <w:bookmarkStart w:id="16" w:name="OLE_LINK424"/>
      <w:bookmarkStart w:id="17" w:name="OLE_LINK662"/>
      <w:bookmarkStart w:id="18" w:name="OLE_LINK268"/>
      <w:bookmarkStart w:id="19" w:name="OLE_LINK269"/>
      <w:bookmarkStart w:id="20" w:name="OLE_LINK439"/>
      <w:bookmarkStart w:id="21" w:name="OLE_LINK501"/>
      <w:bookmarkStart w:id="22" w:name="OLE_LINK594"/>
      <w:bookmarkStart w:id="23" w:name="OLE_LINK677"/>
      <w:bookmarkStart w:id="24" w:name="OLE_LINK693"/>
      <w:r w:rsidRPr="00C52BCF">
        <w:rPr>
          <w:rFonts w:ascii="Book Antiqua" w:hAnsi="Book Antiqua"/>
          <w:b/>
          <w:color w:val="000000"/>
          <w:sz w:val="24"/>
          <w:szCs w:val="24"/>
        </w:rPr>
        <w:t xml:space="preserve">Open-Access: </w:t>
      </w:r>
      <w:r w:rsidRPr="00C52BCF">
        <w:rPr>
          <w:rFonts w:ascii="Book Antiqua" w:hAnsi="Book Antiqua"/>
          <w:color w:val="000000"/>
          <w:sz w:val="24"/>
          <w:szCs w:val="24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Pr="00C52BCF">
        <w:rPr>
          <w:rFonts w:ascii="Book Antiqua" w:hAnsi="Book Antiqua"/>
          <w:sz w:val="24"/>
          <w:szCs w:val="24"/>
        </w:rPr>
        <w:t>http://creativecommons.org/licenses/by-nc/4.0/</w:t>
      </w:r>
      <w:bookmarkEnd w:id="9"/>
      <w:bookmarkEnd w:id="10"/>
    </w:p>
    <w:bookmarkEnd w:id="11"/>
    <w:bookmarkEnd w:id="12"/>
    <w:bookmarkEnd w:id="13"/>
    <w:bookmarkEnd w:id="14"/>
    <w:bookmarkEnd w:id="15"/>
    <w:bookmarkEnd w:id="16"/>
    <w:bookmarkEnd w:id="17"/>
    <w:p w:rsidR="000854E1" w:rsidRPr="00C52BCF" w:rsidRDefault="000854E1" w:rsidP="006611DD">
      <w:pPr>
        <w:snapToGrid w:val="0"/>
        <w:spacing w:line="360" w:lineRule="auto"/>
        <w:ind w:right="120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:rsidR="00F4672E" w:rsidRPr="00C52BCF" w:rsidRDefault="00F4672E" w:rsidP="00F4672E">
      <w:pPr>
        <w:snapToGrid w:val="0"/>
        <w:spacing w:line="360" w:lineRule="auto"/>
        <w:ind w:right="120"/>
        <w:jc w:val="both"/>
        <w:rPr>
          <w:rFonts w:ascii="Book Antiqua" w:hAnsi="Book Antiqua" w:cs="Times New Roman"/>
          <w:color w:val="000000"/>
          <w:sz w:val="24"/>
          <w:szCs w:val="24"/>
        </w:rPr>
      </w:pPr>
      <w:bookmarkStart w:id="25" w:name="OLE_LINK332"/>
      <w:bookmarkEnd w:id="18"/>
      <w:bookmarkEnd w:id="19"/>
      <w:bookmarkEnd w:id="20"/>
      <w:bookmarkEnd w:id="21"/>
      <w:bookmarkEnd w:id="22"/>
      <w:bookmarkEnd w:id="23"/>
      <w:bookmarkEnd w:id="24"/>
      <w:r w:rsidRPr="00C52BCF">
        <w:rPr>
          <w:rFonts w:ascii="Book Antiqua" w:hAnsi="Book Antiqua" w:cs="Times New Roman"/>
          <w:b/>
          <w:color w:val="000000"/>
          <w:sz w:val="24"/>
          <w:szCs w:val="24"/>
        </w:rPr>
        <w:t>Manuscript source:</w:t>
      </w:r>
      <w:r w:rsidRPr="00C52BCF">
        <w:rPr>
          <w:rFonts w:ascii="Book Antiqua" w:hAnsi="Book Antiqua" w:cs="Times New Roman"/>
          <w:color w:val="000000"/>
          <w:sz w:val="24"/>
          <w:szCs w:val="24"/>
        </w:rPr>
        <w:t xml:space="preserve"> Unsolicited manuscript</w:t>
      </w:r>
    </w:p>
    <w:bookmarkEnd w:id="25"/>
    <w:p w:rsidR="000854E1" w:rsidRPr="000854E1" w:rsidRDefault="000854E1" w:rsidP="006611DD">
      <w:pPr>
        <w:spacing w:before="6" w:line="360" w:lineRule="auto"/>
        <w:rPr>
          <w:rFonts w:ascii="Book Antiqua" w:eastAsia="宋体" w:hAnsi="Book Antiqua" w:cs="Book Antiqua"/>
          <w:b/>
          <w:bCs/>
          <w:sz w:val="24"/>
          <w:szCs w:val="24"/>
          <w:lang w:eastAsia="zh-CN"/>
        </w:rPr>
      </w:pPr>
    </w:p>
    <w:p w:rsidR="00026159" w:rsidRPr="00D336AE" w:rsidRDefault="00E302E1" w:rsidP="006611DD">
      <w:pPr>
        <w:spacing w:line="360" w:lineRule="auto"/>
        <w:ind w:right="102"/>
        <w:jc w:val="both"/>
        <w:rPr>
          <w:rFonts w:ascii="Book Antiqua"/>
          <w:sz w:val="24"/>
          <w:szCs w:val="24"/>
        </w:rPr>
      </w:pPr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>Correspondence to:</w:t>
      </w:r>
      <w:r w:rsidR="00026159" w:rsidRPr="00D336AE">
        <w:rPr>
          <w:sz w:val="24"/>
          <w:szCs w:val="24"/>
        </w:rPr>
        <w:t xml:space="preserve"> </w:t>
      </w:r>
      <w:r w:rsidR="000854E1" w:rsidRPr="00F643C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Satoshi </w:t>
      </w:r>
      <w:proofErr w:type="spellStart"/>
      <w:r w:rsidR="000854E1" w:rsidRPr="00F643C2">
        <w:rPr>
          <w:rFonts w:ascii="Book Antiqua" w:eastAsia="Book Antiqua" w:hAnsi="Book Antiqua" w:cs="Book Antiqua"/>
          <w:b/>
          <w:bCs/>
          <w:sz w:val="24"/>
          <w:szCs w:val="24"/>
        </w:rPr>
        <w:t>Yamagiwa</w:t>
      </w:r>
      <w:proofErr w:type="spellEnd"/>
      <w:r w:rsidR="000854E1" w:rsidRPr="00F643C2">
        <w:rPr>
          <w:rFonts w:ascii="Book Antiqua" w:eastAsia="Book Antiqua" w:hAnsi="Book Antiqua" w:cs="Book Antiqua"/>
          <w:b/>
          <w:bCs/>
          <w:sz w:val="24"/>
          <w:szCs w:val="24"/>
        </w:rPr>
        <w:t>, MD, PhD</w:t>
      </w:r>
      <w:r w:rsidR="000854E1" w:rsidRPr="00F643C2">
        <w:rPr>
          <w:rFonts w:ascii="Book Antiqua" w:eastAsia="宋体" w:hAnsi="Book Antiqua" w:cs="Book Antiqua" w:hint="eastAsia"/>
          <w:b/>
          <w:bCs/>
          <w:sz w:val="24"/>
          <w:szCs w:val="24"/>
          <w:lang w:eastAsia="zh-CN"/>
        </w:rPr>
        <w:t xml:space="preserve">, </w:t>
      </w:r>
      <w:r w:rsidR="000654E7" w:rsidRPr="00F643C2">
        <w:rPr>
          <w:rFonts w:ascii="Book Antiqua" w:eastAsia="Book Antiqua" w:hAnsi="Book Antiqua" w:cs="Book Antiqua"/>
          <w:b/>
          <w:bCs/>
          <w:sz w:val="24"/>
          <w:szCs w:val="24"/>
        </w:rPr>
        <w:t>Associate Professor</w:t>
      </w:r>
      <w:r w:rsidR="000854E1" w:rsidRPr="00F643C2">
        <w:rPr>
          <w:rFonts w:ascii="Book Antiqua" w:eastAsia="宋体" w:hAnsi="Book Antiqua" w:cs="Book Antiqua" w:hint="eastAsia"/>
          <w:b/>
          <w:bCs/>
          <w:sz w:val="24"/>
          <w:szCs w:val="24"/>
          <w:lang w:eastAsia="zh-CN"/>
        </w:rPr>
        <w:t>,</w:t>
      </w:r>
      <w:r w:rsidR="000854E1">
        <w:rPr>
          <w:rFonts w:ascii="Book Antiqua" w:eastAsia="宋体" w:hAnsi="Book Antiqua" w:cs="Book Antiqua" w:hint="eastAsia"/>
          <w:bCs/>
          <w:sz w:val="24"/>
          <w:szCs w:val="24"/>
          <w:lang w:eastAsia="zh-CN"/>
        </w:rPr>
        <w:t xml:space="preserve"> </w:t>
      </w:r>
      <w:r w:rsidR="00026159" w:rsidRPr="00D336AE">
        <w:rPr>
          <w:rFonts w:ascii="Book Antiqua" w:eastAsia="Book Antiqua" w:hAnsi="Book Antiqua" w:cs="Book Antiqua"/>
          <w:bCs/>
          <w:sz w:val="24"/>
          <w:szCs w:val="24"/>
        </w:rPr>
        <w:t>Division of Gastroenterology and Hepatology,</w:t>
      </w:r>
      <w:r w:rsidR="00026159" w:rsidRPr="00D336AE">
        <w:rPr>
          <w:rFonts w:ascii="Book Antiqua" w:hAnsi="Book Antiqua" w:cs="Book Antiqua" w:hint="eastAsia"/>
          <w:bCs/>
          <w:sz w:val="24"/>
          <w:szCs w:val="24"/>
          <w:lang w:eastAsia="ja-JP"/>
        </w:rPr>
        <w:t xml:space="preserve"> </w:t>
      </w:r>
      <w:r w:rsidR="00026159" w:rsidRPr="00D336AE">
        <w:rPr>
          <w:rFonts w:ascii="Book Antiqua" w:eastAsia="Book Antiqua" w:hAnsi="Book Antiqua" w:cs="Book Antiqua"/>
          <w:bCs/>
          <w:sz w:val="24"/>
          <w:szCs w:val="24"/>
        </w:rPr>
        <w:t>Niigata University Graduate School of Medical and Dental Sciences,</w:t>
      </w:r>
      <w:r w:rsidR="00026159" w:rsidRPr="00D336AE">
        <w:rPr>
          <w:rFonts w:ascii="Book Antiqua" w:hAnsi="Book Antiqua" w:cs="Book Antiqua" w:hint="eastAsia"/>
          <w:bCs/>
          <w:sz w:val="24"/>
          <w:szCs w:val="24"/>
          <w:lang w:eastAsia="ja-JP"/>
        </w:rPr>
        <w:t xml:space="preserve"> </w:t>
      </w:r>
      <w:r w:rsidR="009D6250" w:rsidRPr="00D336AE">
        <w:rPr>
          <w:rFonts w:ascii="Book Antiqua" w:hAnsi="Book Antiqua" w:cs="Book Antiqua"/>
          <w:bCs/>
          <w:sz w:val="24"/>
          <w:szCs w:val="24"/>
          <w:lang w:eastAsia="ja-JP"/>
        </w:rPr>
        <w:t>1-</w:t>
      </w:r>
      <w:r w:rsidR="00026159" w:rsidRPr="00D336AE">
        <w:rPr>
          <w:rFonts w:ascii="Book Antiqua" w:eastAsia="Book Antiqua" w:hAnsi="Book Antiqua" w:cs="Book Antiqua"/>
          <w:bCs/>
          <w:sz w:val="24"/>
          <w:szCs w:val="24"/>
        </w:rPr>
        <w:t xml:space="preserve">757 </w:t>
      </w:r>
      <w:proofErr w:type="spellStart"/>
      <w:r w:rsidR="00026159" w:rsidRPr="00D336AE">
        <w:rPr>
          <w:rFonts w:ascii="Book Antiqua" w:eastAsia="Book Antiqua" w:hAnsi="Book Antiqua" w:cs="Book Antiqua"/>
          <w:bCs/>
          <w:sz w:val="24"/>
          <w:szCs w:val="24"/>
        </w:rPr>
        <w:t>Asa</w:t>
      </w:r>
      <w:r w:rsidR="009D6250" w:rsidRPr="00D336AE">
        <w:rPr>
          <w:rFonts w:ascii="Book Antiqua" w:eastAsia="Book Antiqua" w:hAnsi="Book Antiqua" w:cs="Book Antiqua"/>
          <w:bCs/>
          <w:sz w:val="24"/>
          <w:szCs w:val="24"/>
        </w:rPr>
        <w:t>himachi-dori</w:t>
      </w:r>
      <w:proofErr w:type="spellEnd"/>
      <w:r w:rsidR="00026159" w:rsidRPr="00D336AE">
        <w:rPr>
          <w:rFonts w:ascii="Book Antiqua" w:eastAsia="Book Antiqua" w:hAnsi="Book Antiqua" w:cs="Book Antiqua"/>
          <w:bCs/>
          <w:sz w:val="24"/>
          <w:szCs w:val="24"/>
        </w:rPr>
        <w:t>, Chuo-</w:t>
      </w:r>
      <w:proofErr w:type="spellStart"/>
      <w:r w:rsidR="00026159" w:rsidRPr="00D336AE">
        <w:rPr>
          <w:rFonts w:ascii="Book Antiqua" w:eastAsia="Book Antiqua" w:hAnsi="Book Antiqua" w:cs="Book Antiqua"/>
          <w:bCs/>
          <w:sz w:val="24"/>
          <w:szCs w:val="24"/>
        </w:rPr>
        <w:t>ku</w:t>
      </w:r>
      <w:proofErr w:type="spellEnd"/>
      <w:r w:rsidR="00026159" w:rsidRPr="00D336AE">
        <w:rPr>
          <w:rFonts w:ascii="Book Antiqua" w:eastAsia="Book Antiqua" w:hAnsi="Book Antiqua" w:cs="Book Antiqua"/>
          <w:bCs/>
          <w:sz w:val="24"/>
          <w:szCs w:val="24"/>
        </w:rPr>
        <w:t>, Niigata</w:t>
      </w:r>
      <w:r w:rsidR="009D6250" w:rsidRPr="00D336AE">
        <w:rPr>
          <w:rFonts w:ascii="Book Antiqua" w:eastAsia="Book Antiqua" w:hAnsi="Book Antiqua" w:cs="Book Antiqua"/>
          <w:bCs/>
          <w:sz w:val="24"/>
          <w:szCs w:val="24"/>
        </w:rPr>
        <w:t xml:space="preserve"> 951-8510, Japan</w:t>
      </w:r>
      <w:r w:rsidR="000854E1">
        <w:rPr>
          <w:rFonts w:ascii="Book Antiqua" w:eastAsia="宋体" w:hAnsi="Book Antiqua" w:cs="Book Antiqua" w:hint="eastAsia"/>
          <w:bCs/>
          <w:sz w:val="24"/>
          <w:szCs w:val="24"/>
          <w:lang w:eastAsia="zh-CN"/>
        </w:rPr>
        <w:t xml:space="preserve">. </w:t>
      </w:r>
      <w:r w:rsidR="00026159" w:rsidRPr="00D336AE">
        <w:rPr>
          <w:rFonts w:ascii="Book Antiqua" w:eastAsia="Book Antiqua" w:hAnsi="Book Antiqua" w:cs="Book Antiqua"/>
          <w:bCs/>
          <w:sz w:val="24"/>
          <w:szCs w:val="24"/>
        </w:rPr>
        <w:t>syamagi@med.niigata-u.ac.jp</w:t>
      </w:r>
    </w:p>
    <w:p w:rsidR="00026159" w:rsidRPr="00D336AE" w:rsidRDefault="00026159" w:rsidP="006611DD">
      <w:pPr>
        <w:spacing w:line="360" w:lineRule="auto"/>
        <w:ind w:right="102"/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  <w:r w:rsidRPr="00D336AE">
        <w:rPr>
          <w:rFonts w:ascii="Book Antiqua"/>
          <w:b/>
          <w:sz w:val="24"/>
          <w:szCs w:val="24"/>
        </w:rPr>
        <w:t>Telephone:</w:t>
      </w:r>
      <w:r w:rsidR="000854E1">
        <w:rPr>
          <w:rFonts w:ascii="Book Antiqua" w:eastAsia="Book Antiqua" w:hAnsi="Book Antiqua" w:cs="Book Antiqua"/>
          <w:bCs/>
          <w:sz w:val="24"/>
          <w:szCs w:val="24"/>
        </w:rPr>
        <w:t xml:space="preserve"> +81-25-227</w:t>
      </w:r>
      <w:r w:rsidRPr="00D336AE">
        <w:rPr>
          <w:rFonts w:ascii="Book Antiqua" w:eastAsia="Book Antiqua" w:hAnsi="Book Antiqua" w:cs="Book Antiqua"/>
          <w:bCs/>
          <w:sz w:val="24"/>
          <w:szCs w:val="24"/>
        </w:rPr>
        <w:t>2207</w:t>
      </w:r>
    </w:p>
    <w:p w:rsidR="00026159" w:rsidRPr="00D336AE" w:rsidRDefault="00026159" w:rsidP="006611DD">
      <w:pPr>
        <w:spacing w:line="360" w:lineRule="auto"/>
        <w:ind w:right="102"/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  <w:r w:rsidRPr="00D336AE">
        <w:rPr>
          <w:rFonts w:ascii="Book Antiqua" w:eastAsia="Book Antiqua" w:hAnsi="Book Antiqua" w:cs="Book Antiqua"/>
          <w:b/>
          <w:bCs/>
          <w:sz w:val="24"/>
          <w:szCs w:val="24"/>
        </w:rPr>
        <w:t>Fax:</w:t>
      </w:r>
      <w:r w:rsidR="000854E1">
        <w:rPr>
          <w:rFonts w:ascii="Book Antiqua" w:eastAsia="Book Antiqua" w:hAnsi="Book Antiqua" w:cs="Book Antiqua"/>
          <w:bCs/>
          <w:sz w:val="24"/>
          <w:szCs w:val="24"/>
        </w:rPr>
        <w:t xml:space="preserve"> +81-25-227</w:t>
      </w:r>
      <w:r w:rsidRPr="00D336AE">
        <w:rPr>
          <w:rFonts w:ascii="Book Antiqua" w:eastAsia="Book Antiqua" w:hAnsi="Book Antiqua" w:cs="Book Antiqua"/>
          <w:bCs/>
          <w:sz w:val="24"/>
          <w:szCs w:val="24"/>
        </w:rPr>
        <w:t>0776</w:t>
      </w:r>
    </w:p>
    <w:p w:rsidR="000854E1" w:rsidRDefault="000854E1" w:rsidP="006611DD">
      <w:pPr>
        <w:pStyle w:val="Heading1"/>
        <w:spacing w:before="46" w:line="360" w:lineRule="auto"/>
        <w:ind w:left="0"/>
        <w:jc w:val="both"/>
        <w:rPr>
          <w:rFonts w:eastAsia="宋体"/>
          <w:sz w:val="24"/>
          <w:szCs w:val="24"/>
          <w:lang w:eastAsia="zh-CN"/>
        </w:rPr>
      </w:pPr>
    </w:p>
    <w:p w:rsidR="000854E1" w:rsidRPr="00C52BCF" w:rsidRDefault="000854E1" w:rsidP="006611DD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26" w:name="OLE_LINK140"/>
      <w:bookmarkStart w:id="27" w:name="OLE_LINK7"/>
      <w:bookmarkStart w:id="28" w:name="OLE_LINK8"/>
      <w:bookmarkStart w:id="29" w:name="OLE_LINK16"/>
      <w:bookmarkStart w:id="30" w:name="OLE_LINK36"/>
      <w:bookmarkStart w:id="31" w:name="OLE_LINK38"/>
      <w:bookmarkStart w:id="32" w:name="OLE_LINK47"/>
      <w:bookmarkStart w:id="33" w:name="OLE_LINK55"/>
      <w:bookmarkStart w:id="34" w:name="OLE_LINK77"/>
      <w:bookmarkStart w:id="35" w:name="OLE_LINK80"/>
      <w:bookmarkStart w:id="36" w:name="OLE_LINK83"/>
      <w:bookmarkStart w:id="37" w:name="OLE_LINK85"/>
      <w:bookmarkStart w:id="38" w:name="OLE_LINK153"/>
      <w:bookmarkStart w:id="39" w:name="OLE_LINK156"/>
      <w:bookmarkStart w:id="40" w:name="OLE_LINK224"/>
      <w:bookmarkStart w:id="41" w:name="OLE_LINK271"/>
      <w:bookmarkStart w:id="42" w:name="OLE_LINK321"/>
      <w:bookmarkStart w:id="43" w:name="OLE_LINK322"/>
      <w:bookmarkStart w:id="44" w:name="OLE_LINK330"/>
      <w:bookmarkStart w:id="45" w:name="OLE_LINK229"/>
      <w:bookmarkStart w:id="46" w:name="OLE_LINK230"/>
      <w:bookmarkStart w:id="47" w:name="OLE_LINK422"/>
      <w:bookmarkStart w:id="48" w:name="OLE_LINK464"/>
      <w:bookmarkStart w:id="49" w:name="OLE_LINK493"/>
      <w:bookmarkStart w:id="50" w:name="OLE_LINK535"/>
      <w:bookmarkStart w:id="51" w:name="OLE_LINK552"/>
      <w:bookmarkStart w:id="52" w:name="OLE_LINK578"/>
      <w:bookmarkStart w:id="53" w:name="OLE_LINK608"/>
      <w:bookmarkStart w:id="54" w:name="OLE_LINK632"/>
      <w:bookmarkStart w:id="55" w:name="OLE_LINK643"/>
      <w:bookmarkStart w:id="56" w:name="OLE_LINK678"/>
      <w:bookmarkStart w:id="57" w:name="OLE_LINK683"/>
      <w:bookmarkStart w:id="58" w:name="OLE_LINK694"/>
      <w:bookmarkStart w:id="59" w:name="OLE_LINK724"/>
      <w:r w:rsidRPr="00C52BCF">
        <w:rPr>
          <w:rFonts w:ascii="Book Antiqua" w:hAnsi="Book Antiqua"/>
          <w:b/>
          <w:sz w:val="24"/>
          <w:szCs w:val="24"/>
        </w:rPr>
        <w:t xml:space="preserve">Received: </w:t>
      </w:r>
      <w:r>
        <w:rPr>
          <w:rFonts w:ascii="Book Antiqua" w:hAnsi="Book Antiqua"/>
          <w:sz w:val="24"/>
          <w:szCs w:val="24"/>
        </w:rPr>
        <w:t>August</w:t>
      </w:r>
      <w:r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22</w:t>
      </w:r>
      <w:r w:rsidRPr="00C52BCF">
        <w:rPr>
          <w:rFonts w:ascii="Book Antiqua" w:hAnsi="Book Antiqua"/>
          <w:sz w:val="24"/>
          <w:szCs w:val="24"/>
        </w:rPr>
        <w:t>, 2016</w:t>
      </w:r>
    </w:p>
    <w:p w:rsidR="000854E1" w:rsidRPr="00C52BCF" w:rsidRDefault="000854E1" w:rsidP="006611DD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52BCF">
        <w:rPr>
          <w:rFonts w:ascii="Book Antiqua" w:hAnsi="Book Antiqua"/>
          <w:b/>
          <w:sz w:val="24"/>
          <w:szCs w:val="24"/>
        </w:rPr>
        <w:t xml:space="preserve">Peer-review started: </w:t>
      </w:r>
      <w:r>
        <w:rPr>
          <w:rFonts w:ascii="Book Antiqua" w:hAnsi="Book Antiqua"/>
          <w:sz w:val="24"/>
          <w:szCs w:val="24"/>
        </w:rPr>
        <w:t xml:space="preserve">August 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24</w:t>
      </w:r>
      <w:r w:rsidRPr="00C52BCF">
        <w:rPr>
          <w:rFonts w:ascii="Book Antiqua" w:hAnsi="Book Antiqua"/>
          <w:sz w:val="24"/>
          <w:szCs w:val="24"/>
        </w:rPr>
        <w:t>, 2016</w:t>
      </w:r>
    </w:p>
    <w:p w:rsidR="000854E1" w:rsidRPr="00C52BCF" w:rsidRDefault="000854E1" w:rsidP="006611DD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52BCF">
        <w:rPr>
          <w:rFonts w:ascii="Book Antiqua" w:hAnsi="Book Antiqua"/>
          <w:b/>
          <w:sz w:val="24"/>
          <w:szCs w:val="24"/>
        </w:rPr>
        <w:t>First decision:</w:t>
      </w:r>
      <w:r w:rsidRPr="00C52BC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>September 27, 2016</w:t>
      </w:r>
    </w:p>
    <w:p w:rsidR="000854E1" w:rsidRPr="00C52BCF" w:rsidRDefault="000854E1" w:rsidP="006611DD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52BCF">
        <w:rPr>
          <w:rFonts w:ascii="Book Antiqua" w:hAnsi="Book Antiqua"/>
          <w:b/>
          <w:sz w:val="24"/>
          <w:szCs w:val="24"/>
        </w:rPr>
        <w:t>Revised:</w:t>
      </w:r>
      <w:r w:rsidRPr="00C52BCF">
        <w:rPr>
          <w:rFonts w:ascii="Book Antiqua" w:hAnsi="Book Antiqua"/>
          <w:sz w:val="24"/>
          <w:szCs w:val="24"/>
        </w:rPr>
        <w:t xml:space="preserve"> </w:t>
      </w:r>
      <w:r w:rsidR="00F643C2">
        <w:rPr>
          <w:rFonts w:ascii="Book Antiqua" w:eastAsia="宋体" w:hAnsi="Book Antiqua" w:hint="eastAsia"/>
          <w:sz w:val="24"/>
          <w:szCs w:val="24"/>
          <w:lang w:eastAsia="zh-CN"/>
        </w:rPr>
        <w:t>December</w:t>
      </w:r>
      <w:r w:rsidRPr="00FE5E1A">
        <w:rPr>
          <w:rFonts w:ascii="Book Antiqua" w:hAnsi="Book Antiqua" w:hint="eastAsia"/>
          <w:sz w:val="24"/>
          <w:szCs w:val="24"/>
        </w:rPr>
        <w:t xml:space="preserve"> </w:t>
      </w:r>
      <w:r w:rsidR="00F643C2">
        <w:rPr>
          <w:rFonts w:ascii="Book Antiqua" w:eastAsia="宋体" w:hAnsi="Book Antiqua" w:hint="eastAsia"/>
          <w:sz w:val="24"/>
          <w:szCs w:val="24"/>
          <w:lang w:eastAsia="zh-CN"/>
        </w:rPr>
        <w:t>29</w:t>
      </w:r>
      <w:r w:rsidRPr="00FE5E1A">
        <w:rPr>
          <w:rFonts w:ascii="Book Antiqua" w:hAnsi="Book Antiqua" w:hint="eastAsia"/>
          <w:sz w:val="24"/>
          <w:szCs w:val="24"/>
        </w:rPr>
        <w:t>, 2016</w:t>
      </w:r>
    </w:p>
    <w:p w:rsidR="000854E1" w:rsidRPr="001A1FDC" w:rsidRDefault="000854E1" w:rsidP="001A1FDC">
      <w:pPr>
        <w:rPr>
          <w:rFonts w:ascii="Book Antiqua" w:hAnsi="Book Antiqua"/>
          <w:iCs/>
          <w:sz w:val="24"/>
        </w:rPr>
      </w:pPr>
      <w:r w:rsidRPr="00C52BCF">
        <w:rPr>
          <w:rFonts w:ascii="Book Antiqua" w:hAnsi="Book Antiqua"/>
          <w:b/>
          <w:sz w:val="24"/>
          <w:szCs w:val="24"/>
        </w:rPr>
        <w:t>Accepted:</w:t>
      </w:r>
      <w:r>
        <w:rPr>
          <w:rFonts w:ascii="Book Antiqua" w:hAnsi="Book Antiqua" w:hint="eastAsia"/>
          <w:b/>
          <w:sz w:val="24"/>
          <w:szCs w:val="24"/>
        </w:rPr>
        <w:t xml:space="preserve"> </w:t>
      </w:r>
      <w:r w:rsidR="001A1FDC">
        <w:rPr>
          <w:rStyle w:val="Emphasis"/>
        </w:rPr>
        <w:t>January</w:t>
      </w:r>
      <w:r w:rsidR="001A1FDC">
        <w:rPr>
          <w:rStyle w:val="Emphasis"/>
          <w:rFonts w:ascii="宋体" w:hAnsi="宋体" w:cs="宋体" w:hint="eastAsia"/>
        </w:rPr>
        <w:t xml:space="preserve"> 11</w:t>
      </w:r>
      <w:r w:rsidR="001A1FDC">
        <w:rPr>
          <w:rStyle w:val="Emphasis"/>
          <w:rFonts w:cs="宋体"/>
        </w:rPr>
        <w:t>,</w:t>
      </w:r>
      <w:r w:rsidR="001A1FDC">
        <w:rPr>
          <w:rStyle w:val="Emphasis"/>
        </w:rPr>
        <w:t xml:space="preserve"> 2017</w:t>
      </w:r>
      <w:bookmarkStart w:id="60" w:name="_GoBack"/>
      <w:bookmarkEnd w:id="60"/>
    </w:p>
    <w:p w:rsidR="000854E1" w:rsidRPr="00FE5E1A" w:rsidRDefault="000854E1" w:rsidP="006611DD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52BCF">
        <w:rPr>
          <w:rFonts w:ascii="Book Antiqua" w:hAnsi="Book Antiqua"/>
          <w:b/>
          <w:sz w:val="24"/>
          <w:szCs w:val="24"/>
        </w:rPr>
        <w:t>Article in press:</w:t>
      </w:r>
      <w:r>
        <w:rPr>
          <w:rFonts w:ascii="Book Antiqua" w:hAnsi="Book Antiqua" w:hint="eastAsia"/>
          <w:sz w:val="24"/>
          <w:szCs w:val="24"/>
        </w:rPr>
        <w:t xml:space="preserve"> </w:t>
      </w:r>
    </w:p>
    <w:p w:rsidR="000854E1" w:rsidRPr="00FE5E1A" w:rsidRDefault="000854E1" w:rsidP="006611DD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52BCF">
        <w:rPr>
          <w:rFonts w:ascii="Book Antiqua" w:hAnsi="Book Antiqua"/>
          <w:b/>
          <w:sz w:val="24"/>
          <w:szCs w:val="24"/>
        </w:rPr>
        <w:t>Published online:</w:t>
      </w:r>
      <w:bookmarkEnd w:id="26"/>
      <w:r>
        <w:rPr>
          <w:rFonts w:ascii="Book Antiqua" w:hAnsi="Book Antiqua" w:hint="eastAsia"/>
          <w:sz w:val="24"/>
          <w:szCs w:val="24"/>
        </w:rPr>
        <w:t xml:space="preserve"> </w:t>
      </w:r>
    </w:p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p w:rsidR="000854E1" w:rsidRDefault="000854E1" w:rsidP="006611DD">
      <w:pPr>
        <w:pStyle w:val="Heading1"/>
        <w:spacing w:before="46" w:line="360" w:lineRule="auto"/>
        <w:ind w:left="0"/>
        <w:jc w:val="both"/>
        <w:rPr>
          <w:rFonts w:eastAsia="宋体"/>
          <w:sz w:val="24"/>
          <w:szCs w:val="24"/>
          <w:lang w:eastAsia="zh-CN"/>
        </w:rPr>
      </w:pPr>
    </w:p>
    <w:p w:rsidR="000854E1" w:rsidRDefault="000854E1" w:rsidP="006611DD">
      <w:pPr>
        <w:spacing w:line="360" w:lineRule="auto"/>
        <w:rPr>
          <w:rFonts w:ascii="Book Antiqua" w:eastAsia="Book Antiqua" w:hAnsi="Book Antiqua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0F55D1" w:rsidRPr="00D336AE" w:rsidRDefault="00E302E1" w:rsidP="006611DD">
      <w:pPr>
        <w:pStyle w:val="Heading1"/>
        <w:spacing w:before="46" w:line="360" w:lineRule="auto"/>
        <w:ind w:left="0"/>
        <w:jc w:val="both"/>
        <w:rPr>
          <w:b w:val="0"/>
          <w:bCs w:val="0"/>
          <w:sz w:val="24"/>
          <w:szCs w:val="24"/>
        </w:rPr>
      </w:pPr>
      <w:r w:rsidRPr="00D336AE">
        <w:rPr>
          <w:sz w:val="24"/>
          <w:szCs w:val="24"/>
        </w:rPr>
        <w:lastRenderedPageBreak/>
        <w:t>Abstract</w:t>
      </w:r>
    </w:p>
    <w:p w:rsidR="000854E1" w:rsidRPr="000854E1" w:rsidRDefault="000854E1" w:rsidP="006611DD">
      <w:pPr>
        <w:pStyle w:val="BodyText"/>
        <w:spacing w:line="360" w:lineRule="auto"/>
        <w:ind w:left="0" w:right="108"/>
        <w:jc w:val="both"/>
        <w:rPr>
          <w:rFonts w:eastAsia="宋体"/>
          <w:b/>
          <w:i/>
          <w:sz w:val="24"/>
          <w:szCs w:val="24"/>
          <w:lang w:eastAsia="zh-CN"/>
        </w:rPr>
      </w:pPr>
      <w:r w:rsidRPr="000854E1">
        <w:rPr>
          <w:b/>
          <w:i/>
          <w:sz w:val="24"/>
          <w:szCs w:val="24"/>
        </w:rPr>
        <w:t>AIM</w:t>
      </w:r>
    </w:p>
    <w:p w:rsidR="000F55D1" w:rsidRPr="00D336AE" w:rsidRDefault="004A3785" w:rsidP="006611DD">
      <w:pPr>
        <w:pStyle w:val="BodyText"/>
        <w:spacing w:line="360" w:lineRule="auto"/>
        <w:ind w:left="0" w:right="108"/>
        <w:jc w:val="both"/>
        <w:rPr>
          <w:sz w:val="24"/>
          <w:szCs w:val="24"/>
        </w:rPr>
      </w:pPr>
      <w:r w:rsidRPr="00D336AE">
        <w:rPr>
          <w:sz w:val="24"/>
          <w:szCs w:val="24"/>
        </w:rPr>
        <w:t>To eval</w:t>
      </w:r>
      <w:r w:rsidR="00A30769" w:rsidRPr="00D336AE">
        <w:rPr>
          <w:sz w:val="24"/>
          <w:szCs w:val="24"/>
        </w:rPr>
        <w:t xml:space="preserve">uate </w:t>
      </w:r>
      <w:r w:rsidR="000976D7">
        <w:rPr>
          <w:sz w:val="24"/>
          <w:szCs w:val="24"/>
        </w:rPr>
        <w:t xml:space="preserve">and compare </w:t>
      </w:r>
      <w:r w:rsidR="00A30769" w:rsidRPr="00D336AE">
        <w:rPr>
          <w:sz w:val="24"/>
          <w:szCs w:val="24"/>
        </w:rPr>
        <w:t xml:space="preserve">the efficacy and safety of </w:t>
      </w:r>
      <w:proofErr w:type="spellStart"/>
      <w:r w:rsidR="00A30769" w:rsidRPr="00D336AE">
        <w:rPr>
          <w:sz w:val="24"/>
          <w:szCs w:val="24"/>
        </w:rPr>
        <w:t>telaprevir</w:t>
      </w:r>
      <w:proofErr w:type="spellEnd"/>
      <w:r w:rsidR="00A30769" w:rsidRPr="00D336AE">
        <w:rPr>
          <w:sz w:val="24"/>
          <w:szCs w:val="24"/>
        </w:rPr>
        <w:t xml:space="preserve"> (TVR)-and </w:t>
      </w:r>
      <w:proofErr w:type="spellStart"/>
      <w:r w:rsidR="00A30769" w:rsidRPr="00D336AE">
        <w:rPr>
          <w:sz w:val="24"/>
          <w:szCs w:val="24"/>
        </w:rPr>
        <w:t>simeprevir</w:t>
      </w:r>
      <w:proofErr w:type="spellEnd"/>
      <w:r w:rsidR="00A30769" w:rsidRPr="00D336AE">
        <w:rPr>
          <w:sz w:val="24"/>
          <w:szCs w:val="24"/>
        </w:rPr>
        <w:t xml:space="preserve"> (</w:t>
      </w:r>
      <w:r w:rsidRPr="00D336AE">
        <w:rPr>
          <w:sz w:val="24"/>
          <w:szCs w:val="24"/>
        </w:rPr>
        <w:t>SMV</w:t>
      </w:r>
      <w:r w:rsidR="00A30769" w:rsidRPr="00D336AE">
        <w:rPr>
          <w:sz w:val="24"/>
          <w:szCs w:val="24"/>
        </w:rPr>
        <w:t>)</w:t>
      </w:r>
      <w:r w:rsidR="003C5EEE" w:rsidRPr="00D336AE">
        <w:rPr>
          <w:sz w:val="24"/>
          <w:szCs w:val="24"/>
        </w:rPr>
        <w:t>-based triple therapies</w:t>
      </w:r>
      <w:r w:rsidRPr="00D336AE">
        <w:rPr>
          <w:sz w:val="24"/>
          <w:szCs w:val="24"/>
        </w:rPr>
        <w:t xml:space="preserve"> in </w:t>
      </w:r>
      <w:r w:rsidR="00405E40">
        <w:rPr>
          <w:sz w:val="24"/>
          <w:szCs w:val="24"/>
        </w:rPr>
        <w:t>elder</w:t>
      </w:r>
      <w:r w:rsidR="006976B3">
        <w:rPr>
          <w:sz w:val="24"/>
          <w:szCs w:val="24"/>
        </w:rPr>
        <w:t>ly</w:t>
      </w:r>
      <w:r w:rsidRPr="00D336AE">
        <w:rPr>
          <w:sz w:val="24"/>
          <w:szCs w:val="24"/>
        </w:rPr>
        <w:t xml:space="preserve"> patients, specifically </w:t>
      </w:r>
      <w:r w:rsidR="00D33293" w:rsidRPr="00D336AE">
        <w:rPr>
          <w:sz w:val="24"/>
          <w:szCs w:val="24"/>
        </w:rPr>
        <w:t xml:space="preserve">patients </w:t>
      </w:r>
      <w:r w:rsidRPr="00D336AE">
        <w:rPr>
          <w:sz w:val="24"/>
          <w:szCs w:val="24"/>
        </w:rPr>
        <w:t xml:space="preserve">aged 66 years </w:t>
      </w:r>
      <w:r w:rsidR="00D33293" w:rsidRPr="00D336AE">
        <w:rPr>
          <w:sz w:val="24"/>
          <w:szCs w:val="24"/>
        </w:rPr>
        <w:t>or older</w:t>
      </w:r>
      <w:r w:rsidRPr="00D336AE">
        <w:rPr>
          <w:sz w:val="24"/>
          <w:szCs w:val="24"/>
        </w:rPr>
        <w:t>.</w:t>
      </w:r>
    </w:p>
    <w:p w:rsidR="000F55D1" w:rsidRPr="00D336AE" w:rsidRDefault="000F55D1" w:rsidP="006611DD">
      <w:pPr>
        <w:spacing w:before="12" w:line="360" w:lineRule="auto"/>
        <w:rPr>
          <w:rFonts w:ascii="Book Antiqua" w:eastAsia="Book Antiqua" w:hAnsi="Book Antiqua" w:cs="Book Antiqua"/>
          <w:sz w:val="24"/>
          <w:szCs w:val="24"/>
        </w:rPr>
      </w:pPr>
    </w:p>
    <w:p w:rsidR="000854E1" w:rsidRPr="00D31DE5" w:rsidRDefault="000854E1" w:rsidP="00D31DE5">
      <w:pPr>
        <w:pStyle w:val="BodyText"/>
        <w:spacing w:line="360" w:lineRule="auto"/>
        <w:ind w:left="0" w:right="108"/>
        <w:jc w:val="both"/>
        <w:rPr>
          <w:b/>
          <w:i/>
          <w:sz w:val="24"/>
          <w:szCs w:val="24"/>
        </w:rPr>
      </w:pPr>
      <w:r w:rsidRPr="00D31DE5">
        <w:rPr>
          <w:b/>
          <w:i/>
          <w:sz w:val="24"/>
          <w:szCs w:val="24"/>
        </w:rPr>
        <w:t>METHODS</w:t>
      </w:r>
    </w:p>
    <w:p w:rsidR="000F55D1" w:rsidRPr="00D336AE" w:rsidRDefault="003A3002" w:rsidP="006611DD">
      <w:pPr>
        <w:pStyle w:val="BodyText"/>
        <w:spacing w:line="360" w:lineRule="auto"/>
        <w:ind w:left="0" w:right="108"/>
        <w:jc w:val="both"/>
        <w:rPr>
          <w:sz w:val="24"/>
          <w:szCs w:val="24"/>
        </w:rPr>
      </w:pPr>
      <w:r>
        <w:rPr>
          <w:sz w:val="24"/>
          <w:szCs w:val="24"/>
        </w:rPr>
        <w:t>The present st</w:t>
      </w:r>
      <w:r w:rsidR="004A3785" w:rsidRPr="00D336AE">
        <w:rPr>
          <w:sz w:val="24"/>
          <w:szCs w:val="24"/>
        </w:rPr>
        <w:t>udy enrolled 1</w:t>
      </w:r>
      <w:r w:rsidR="00A30769" w:rsidRPr="00D336AE">
        <w:rPr>
          <w:sz w:val="24"/>
          <w:szCs w:val="24"/>
        </w:rPr>
        <w:t>12 and 76</w:t>
      </w:r>
      <w:r w:rsidR="004A3785" w:rsidRPr="00D336AE">
        <w:rPr>
          <w:sz w:val="24"/>
          <w:szCs w:val="24"/>
        </w:rPr>
        <w:t xml:space="preserve"> Japanese patients with chronic hepatitis C </w:t>
      </w:r>
      <w:r w:rsidR="00802FE3">
        <w:rPr>
          <w:sz w:val="24"/>
          <w:szCs w:val="24"/>
        </w:rPr>
        <w:t xml:space="preserve">virus genotype 1b infection </w:t>
      </w:r>
      <w:r w:rsidR="004A3785" w:rsidRPr="00D336AE">
        <w:rPr>
          <w:sz w:val="24"/>
          <w:szCs w:val="24"/>
        </w:rPr>
        <w:t xml:space="preserve">who </w:t>
      </w:r>
      <w:r w:rsidR="00802FE3">
        <w:rPr>
          <w:sz w:val="24"/>
          <w:szCs w:val="24"/>
        </w:rPr>
        <w:t>were treated with</w:t>
      </w:r>
      <w:r w:rsidR="004A3785" w:rsidRPr="00D336AE">
        <w:rPr>
          <w:sz w:val="24"/>
          <w:szCs w:val="24"/>
        </w:rPr>
        <w:t xml:space="preserve"> </w:t>
      </w:r>
      <w:r w:rsidR="00115943">
        <w:rPr>
          <w:sz w:val="24"/>
          <w:szCs w:val="24"/>
        </w:rPr>
        <w:t xml:space="preserve">a 12-week </w:t>
      </w:r>
      <w:r w:rsidR="00A30769" w:rsidRPr="00D336AE">
        <w:rPr>
          <w:sz w:val="24"/>
          <w:szCs w:val="24"/>
        </w:rPr>
        <w:t xml:space="preserve">TVR-based </w:t>
      </w:r>
      <w:r w:rsidR="00D33293" w:rsidRPr="00D336AE">
        <w:rPr>
          <w:sz w:val="24"/>
          <w:szCs w:val="24"/>
        </w:rPr>
        <w:t>or</w:t>
      </w:r>
      <w:r w:rsidR="00A30769" w:rsidRPr="00D336AE">
        <w:rPr>
          <w:sz w:val="24"/>
          <w:szCs w:val="24"/>
        </w:rPr>
        <w:t xml:space="preserve"> SMV-based </w:t>
      </w:r>
      <w:r w:rsidR="004A3785" w:rsidRPr="00D336AE">
        <w:rPr>
          <w:sz w:val="24"/>
          <w:szCs w:val="24"/>
        </w:rPr>
        <w:t>triple therapy</w:t>
      </w:r>
      <w:r w:rsidR="00D33293" w:rsidRPr="00D336AE">
        <w:rPr>
          <w:sz w:val="24"/>
          <w:szCs w:val="24"/>
        </w:rPr>
        <w:t>, respectively,</w:t>
      </w:r>
      <w:r w:rsidR="004A3785" w:rsidRPr="00D336AE">
        <w:rPr>
          <w:sz w:val="24"/>
          <w:szCs w:val="24"/>
        </w:rPr>
        <w:t xml:space="preserve"> followed by a dual therapy that included </w:t>
      </w:r>
      <w:proofErr w:type="spellStart"/>
      <w:r w:rsidR="00A30769" w:rsidRPr="00D336AE">
        <w:rPr>
          <w:sz w:val="24"/>
          <w:szCs w:val="24"/>
        </w:rPr>
        <w:t>pegylated</w:t>
      </w:r>
      <w:proofErr w:type="spellEnd"/>
      <w:r w:rsidR="00A30769" w:rsidRPr="00D336AE">
        <w:rPr>
          <w:sz w:val="24"/>
          <w:szCs w:val="24"/>
        </w:rPr>
        <w:t xml:space="preserve"> interferon (</w:t>
      </w:r>
      <w:proofErr w:type="spellStart"/>
      <w:r w:rsidR="004A3785" w:rsidRPr="00D336AE">
        <w:rPr>
          <w:sz w:val="24"/>
          <w:szCs w:val="24"/>
        </w:rPr>
        <w:t>PegIFN</w:t>
      </w:r>
      <w:proofErr w:type="spellEnd"/>
      <w:r w:rsidR="00A30769" w:rsidRPr="00D336AE">
        <w:rPr>
          <w:sz w:val="24"/>
          <w:szCs w:val="24"/>
        </w:rPr>
        <w:t xml:space="preserve">) α </w:t>
      </w:r>
      <w:r w:rsidR="009027AE" w:rsidRPr="00D336AE">
        <w:rPr>
          <w:sz w:val="24"/>
          <w:szCs w:val="24"/>
        </w:rPr>
        <w:t>and</w:t>
      </w:r>
      <w:r w:rsidR="004A3785" w:rsidRPr="00D336AE">
        <w:rPr>
          <w:sz w:val="24"/>
          <w:szCs w:val="24"/>
        </w:rPr>
        <w:t xml:space="preserve"> </w:t>
      </w:r>
      <w:r w:rsidR="00A30769" w:rsidRPr="00D336AE">
        <w:rPr>
          <w:sz w:val="24"/>
          <w:szCs w:val="24"/>
        </w:rPr>
        <w:t>ribavirin (</w:t>
      </w:r>
      <w:r w:rsidR="004A3785" w:rsidRPr="00D336AE">
        <w:rPr>
          <w:sz w:val="24"/>
          <w:szCs w:val="24"/>
        </w:rPr>
        <w:t>RBV</w:t>
      </w:r>
      <w:r w:rsidR="00D33293" w:rsidRPr="00D336AE">
        <w:rPr>
          <w:sz w:val="24"/>
          <w:szCs w:val="24"/>
        </w:rPr>
        <w:t>)</w:t>
      </w:r>
      <w:r>
        <w:rPr>
          <w:sz w:val="24"/>
          <w:szCs w:val="24"/>
        </w:rPr>
        <w:t xml:space="preserve"> for 12 weeks</w:t>
      </w:r>
      <w:r w:rsidR="008763FB">
        <w:rPr>
          <w:sz w:val="24"/>
          <w:szCs w:val="24"/>
        </w:rPr>
        <w:t xml:space="preserve">. The patients were categorized </w:t>
      </w:r>
      <w:r w:rsidR="00D33293" w:rsidRPr="00D336AE">
        <w:rPr>
          <w:sz w:val="24"/>
          <w:szCs w:val="24"/>
        </w:rPr>
        <w:t xml:space="preserve">into two groups </w:t>
      </w:r>
      <w:r w:rsidR="004A3785" w:rsidRPr="00D336AE">
        <w:rPr>
          <w:sz w:val="24"/>
          <w:szCs w:val="24"/>
        </w:rPr>
        <w:t>according to age</w:t>
      </w:r>
      <w:r w:rsidR="00D33293" w:rsidRPr="00D336AE">
        <w:rPr>
          <w:sz w:val="24"/>
          <w:szCs w:val="24"/>
        </w:rPr>
        <w:t xml:space="preserve"> as follows</w:t>
      </w:r>
      <w:r w:rsidR="004A3785" w:rsidRPr="00D336AE">
        <w:rPr>
          <w:sz w:val="24"/>
          <w:szCs w:val="24"/>
        </w:rPr>
        <w:t xml:space="preserve">: </w:t>
      </w:r>
      <w:r w:rsidR="00115943" w:rsidRPr="00D336AE">
        <w:rPr>
          <w:sz w:val="24"/>
          <w:szCs w:val="24"/>
        </w:rPr>
        <w:t>a younger group of patients aged ≤65 years old</w:t>
      </w:r>
      <w:r w:rsidR="00115943">
        <w:rPr>
          <w:sz w:val="24"/>
          <w:szCs w:val="24"/>
        </w:rPr>
        <w:t xml:space="preserve"> and </w:t>
      </w:r>
      <w:r w:rsidR="00D33293" w:rsidRPr="00D336AE">
        <w:rPr>
          <w:sz w:val="24"/>
          <w:szCs w:val="24"/>
        </w:rPr>
        <w:t xml:space="preserve">an </w:t>
      </w:r>
      <w:r w:rsidR="004A3785" w:rsidRPr="00D336AE">
        <w:rPr>
          <w:sz w:val="24"/>
          <w:szCs w:val="24"/>
        </w:rPr>
        <w:t xml:space="preserve">older group </w:t>
      </w:r>
      <w:r w:rsidR="00D33293" w:rsidRPr="00D336AE">
        <w:rPr>
          <w:sz w:val="24"/>
          <w:szCs w:val="24"/>
        </w:rPr>
        <w:t xml:space="preserve">of </w:t>
      </w:r>
      <w:r w:rsidR="00A30769" w:rsidRPr="00D336AE">
        <w:rPr>
          <w:sz w:val="24"/>
          <w:szCs w:val="24"/>
        </w:rPr>
        <w:t>patients aged &gt;</w:t>
      </w:r>
      <w:r w:rsidR="000854E1" w:rsidRPr="006611DD">
        <w:rPr>
          <w:rFonts w:hint="eastAsia"/>
          <w:sz w:val="24"/>
          <w:szCs w:val="24"/>
        </w:rPr>
        <w:t xml:space="preserve"> </w:t>
      </w:r>
      <w:r w:rsidR="00A30769" w:rsidRPr="00D336AE">
        <w:rPr>
          <w:sz w:val="24"/>
          <w:szCs w:val="24"/>
        </w:rPr>
        <w:t xml:space="preserve">65 </w:t>
      </w:r>
      <w:r w:rsidR="00D33293" w:rsidRPr="00D336AE">
        <w:rPr>
          <w:sz w:val="24"/>
          <w:szCs w:val="24"/>
        </w:rPr>
        <w:t>years old</w:t>
      </w:r>
      <w:r w:rsidR="00115943">
        <w:rPr>
          <w:sz w:val="24"/>
          <w:szCs w:val="24"/>
        </w:rPr>
        <w:t xml:space="preserve">. </w:t>
      </w:r>
      <w:r w:rsidR="00414989" w:rsidRPr="00D336AE">
        <w:rPr>
          <w:sz w:val="24"/>
          <w:szCs w:val="24"/>
        </w:rPr>
        <w:t xml:space="preserve">Among the patients treated with TVR-based triple therapy, </w:t>
      </w:r>
      <w:r w:rsidR="00C124D7" w:rsidRPr="00D336AE">
        <w:rPr>
          <w:sz w:val="24"/>
          <w:szCs w:val="24"/>
        </w:rPr>
        <w:t>34</w:t>
      </w:r>
      <w:r w:rsidR="00414989" w:rsidRPr="00D336AE">
        <w:rPr>
          <w:sz w:val="24"/>
          <w:szCs w:val="24"/>
        </w:rPr>
        <w:t xml:space="preserve"> patients were included in the older group. </w:t>
      </w:r>
      <w:r w:rsidR="003C5EEE" w:rsidRPr="00D336AE">
        <w:rPr>
          <w:sz w:val="24"/>
          <w:szCs w:val="24"/>
        </w:rPr>
        <w:t>The median ages were</w:t>
      </w:r>
      <w:r w:rsidR="00414989" w:rsidRPr="00D336AE">
        <w:rPr>
          <w:sz w:val="24"/>
          <w:szCs w:val="24"/>
        </w:rPr>
        <w:t xml:space="preserve"> </w:t>
      </w:r>
      <w:r w:rsidR="00115943" w:rsidRPr="00D336AE">
        <w:rPr>
          <w:sz w:val="24"/>
          <w:szCs w:val="24"/>
        </w:rPr>
        <w:t xml:space="preserve">56 years (range: 28-65 years) in the younger group </w:t>
      </w:r>
      <w:r w:rsidR="00115943">
        <w:rPr>
          <w:sz w:val="24"/>
          <w:szCs w:val="24"/>
        </w:rPr>
        <w:t xml:space="preserve">and </w:t>
      </w:r>
      <w:r w:rsidR="00414989" w:rsidRPr="00D336AE">
        <w:rPr>
          <w:sz w:val="24"/>
          <w:szCs w:val="24"/>
        </w:rPr>
        <w:t>69 years (</w:t>
      </w:r>
      <w:r w:rsidR="00D33293" w:rsidRPr="00D336AE">
        <w:rPr>
          <w:sz w:val="24"/>
          <w:szCs w:val="24"/>
        </w:rPr>
        <w:t xml:space="preserve">range: </w:t>
      </w:r>
      <w:r w:rsidR="00414989" w:rsidRPr="00D336AE">
        <w:rPr>
          <w:sz w:val="24"/>
          <w:szCs w:val="24"/>
        </w:rPr>
        <w:t>66-81</w:t>
      </w:r>
      <w:r w:rsidR="00D33293" w:rsidRPr="00D336AE">
        <w:rPr>
          <w:sz w:val="24"/>
          <w:szCs w:val="24"/>
        </w:rPr>
        <w:t xml:space="preserve"> years</w:t>
      </w:r>
      <w:r w:rsidR="00115943">
        <w:rPr>
          <w:sz w:val="24"/>
          <w:szCs w:val="24"/>
        </w:rPr>
        <w:t>) in the older group</w:t>
      </w:r>
      <w:r w:rsidR="00414989" w:rsidRPr="00D336AE">
        <w:rPr>
          <w:sz w:val="24"/>
          <w:szCs w:val="24"/>
        </w:rPr>
        <w:t xml:space="preserve">. </w:t>
      </w:r>
      <w:r w:rsidR="003C5EEE" w:rsidRPr="00D336AE">
        <w:rPr>
          <w:sz w:val="24"/>
          <w:szCs w:val="24"/>
        </w:rPr>
        <w:t xml:space="preserve">Among the patients treated with SMV-based triple therapy, 39 patients were included in the older group. The median ages were </w:t>
      </w:r>
      <w:r w:rsidR="00115943" w:rsidRPr="00D336AE">
        <w:rPr>
          <w:sz w:val="24"/>
          <w:szCs w:val="24"/>
        </w:rPr>
        <w:t xml:space="preserve">59 years (range: 36-65 years) in the younger group </w:t>
      </w:r>
      <w:r w:rsidR="00115943">
        <w:rPr>
          <w:sz w:val="24"/>
          <w:szCs w:val="24"/>
        </w:rPr>
        <w:t xml:space="preserve">and </w:t>
      </w:r>
      <w:r w:rsidR="003C5EEE" w:rsidRPr="00D336AE">
        <w:rPr>
          <w:sz w:val="24"/>
          <w:szCs w:val="24"/>
        </w:rPr>
        <w:t>71 years (</w:t>
      </w:r>
      <w:r w:rsidR="00D33293" w:rsidRPr="00D336AE">
        <w:rPr>
          <w:sz w:val="24"/>
          <w:szCs w:val="24"/>
        </w:rPr>
        <w:t xml:space="preserve">range: </w:t>
      </w:r>
      <w:r w:rsidR="003C5EEE" w:rsidRPr="00D336AE">
        <w:rPr>
          <w:sz w:val="24"/>
          <w:szCs w:val="24"/>
        </w:rPr>
        <w:t>66-86</w:t>
      </w:r>
      <w:r w:rsidR="00D33293" w:rsidRPr="00D336AE">
        <w:rPr>
          <w:sz w:val="24"/>
          <w:szCs w:val="24"/>
        </w:rPr>
        <w:t xml:space="preserve"> years</w:t>
      </w:r>
      <w:r w:rsidR="00115943">
        <w:rPr>
          <w:sz w:val="24"/>
          <w:szCs w:val="24"/>
        </w:rPr>
        <w:t>) in the older group</w:t>
      </w:r>
      <w:r w:rsidR="003C5EEE" w:rsidRPr="00D336AE">
        <w:rPr>
          <w:sz w:val="24"/>
          <w:szCs w:val="24"/>
        </w:rPr>
        <w:t xml:space="preserve">. </w:t>
      </w:r>
      <w:r w:rsidR="00802FE3">
        <w:rPr>
          <w:sz w:val="24"/>
          <w:szCs w:val="24"/>
        </w:rPr>
        <w:t xml:space="preserve">The </w:t>
      </w:r>
      <w:r w:rsidR="004A3785" w:rsidRPr="00D336AE">
        <w:rPr>
          <w:sz w:val="24"/>
          <w:szCs w:val="24"/>
        </w:rPr>
        <w:t xml:space="preserve">clinical, biochemical and </w:t>
      </w:r>
      <w:proofErr w:type="spellStart"/>
      <w:r w:rsidR="004A3785" w:rsidRPr="00D336AE">
        <w:rPr>
          <w:sz w:val="24"/>
          <w:szCs w:val="24"/>
        </w:rPr>
        <w:t>virological</w:t>
      </w:r>
      <w:proofErr w:type="spellEnd"/>
      <w:r w:rsidR="004A3785" w:rsidRPr="00D336AE">
        <w:rPr>
          <w:sz w:val="24"/>
          <w:szCs w:val="24"/>
        </w:rPr>
        <w:t xml:space="preserve"> data were </w:t>
      </w:r>
      <w:r w:rsidR="00405E40">
        <w:rPr>
          <w:sz w:val="24"/>
          <w:szCs w:val="24"/>
        </w:rPr>
        <w:t>analyzed</w:t>
      </w:r>
      <w:r w:rsidR="004A3785" w:rsidRPr="00D336AE">
        <w:rPr>
          <w:sz w:val="24"/>
          <w:szCs w:val="24"/>
        </w:rPr>
        <w:t xml:space="preserve"> </w:t>
      </w:r>
      <w:r w:rsidR="00802FE3">
        <w:rPr>
          <w:sz w:val="24"/>
          <w:szCs w:val="24"/>
        </w:rPr>
        <w:t>before</w:t>
      </w:r>
      <w:r w:rsidR="004A3785" w:rsidRPr="00D336AE">
        <w:rPr>
          <w:sz w:val="24"/>
          <w:szCs w:val="24"/>
        </w:rPr>
        <w:t xml:space="preserve"> and during t</w:t>
      </w:r>
      <w:r w:rsidR="00D33293" w:rsidRPr="00D336AE">
        <w:rPr>
          <w:sz w:val="24"/>
          <w:szCs w:val="24"/>
        </w:rPr>
        <w:t>reatment</w:t>
      </w:r>
      <w:r w:rsidR="004A3785" w:rsidRPr="00D336AE">
        <w:rPr>
          <w:sz w:val="24"/>
          <w:szCs w:val="24"/>
        </w:rPr>
        <w:t>.</w:t>
      </w:r>
    </w:p>
    <w:p w:rsidR="000F55D1" w:rsidRPr="00D336AE" w:rsidRDefault="000F55D1" w:rsidP="006611DD">
      <w:pPr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</w:p>
    <w:p w:rsidR="000854E1" w:rsidRPr="00D31DE5" w:rsidRDefault="000854E1" w:rsidP="00D31DE5">
      <w:pPr>
        <w:pStyle w:val="BodyText"/>
        <w:spacing w:line="360" w:lineRule="auto"/>
        <w:ind w:left="0" w:right="108"/>
        <w:jc w:val="both"/>
        <w:rPr>
          <w:b/>
          <w:i/>
          <w:sz w:val="24"/>
          <w:szCs w:val="24"/>
        </w:rPr>
      </w:pPr>
      <w:r w:rsidRPr="00D31DE5">
        <w:rPr>
          <w:b/>
          <w:i/>
          <w:sz w:val="24"/>
          <w:szCs w:val="24"/>
        </w:rPr>
        <w:t>RESULTS</w:t>
      </w:r>
    </w:p>
    <w:p w:rsidR="000F55D1" w:rsidRPr="00D336AE" w:rsidRDefault="003C5EEE" w:rsidP="00D31DE5">
      <w:pPr>
        <w:pStyle w:val="BodyText"/>
        <w:spacing w:line="360" w:lineRule="auto"/>
        <w:ind w:left="0" w:right="102"/>
        <w:jc w:val="both"/>
        <w:rPr>
          <w:sz w:val="24"/>
          <w:szCs w:val="24"/>
        </w:rPr>
      </w:pPr>
      <w:r w:rsidRPr="00D31DE5">
        <w:rPr>
          <w:sz w:val="24"/>
          <w:szCs w:val="24"/>
        </w:rPr>
        <w:t xml:space="preserve">Among the </w:t>
      </w:r>
      <w:r w:rsidRPr="00D336AE">
        <w:rPr>
          <w:sz w:val="24"/>
          <w:szCs w:val="24"/>
        </w:rPr>
        <w:t xml:space="preserve">patients treated with </w:t>
      </w:r>
      <w:r w:rsidR="00B409B4" w:rsidRPr="00D336AE">
        <w:rPr>
          <w:sz w:val="24"/>
          <w:szCs w:val="24"/>
        </w:rPr>
        <w:t xml:space="preserve">the </w:t>
      </w:r>
      <w:r w:rsidRPr="00D336AE">
        <w:rPr>
          <w:sz w:val="24"/>
          <w:szCs w:val="24"/>
        </w:rPr>
        <w:t xml:space="preserve">TVR-based triple therapy, </w:t>
      </w:r>
      <w:r w:rsidR="00080D01" w:rsidRPr="00D336AE">
        <w:rPr>
          <w:sz w:val="24"/>
          <w:szCs w:val="24"/>
        </w:rPr>
        <w:t xml:space="preserve">no </w:t>
      </w:r>
      <w:r w:rsidR="00115943">
        <w:rPr>
          <w:sz w:val="24"/>
          <w:szCs w:val="24"/>
        </w:rPr>
        <w:t>significant difference</w:t>
      </w:r>
      <w:r w:rsidR="00080D01" w:rsidRPr="00D336AE">
        <w:rPr>
          <w:sz w:val="24"/>
          <w:szCs w:val="24"/>
        </w:rPr>
        <w:t xml:space="preserve"> in the sustained</w:t>
      </w:r>
      <w:r w:rsidR="00E464E4" w:rsidRPr="00D336AE">
        <w:rPr>
          <w:sz w:val="24"/>
          <w:szCs w:val="24"/>
        </w:rPr>
        <w:t xml:space="preserve"> </w:t>
      </w:r>
      <w:proofErr w:type="spellStart"/>
      <w:r w:rsidR="00E464E4" w:rsidRPr="00D336AE">
        <w:rPr>
          <w:sz w:val="24"/>
          <w:szCs w:val="24"/>
        </w:rPr>
        <w:t>virological</w:t>
      </w:r>
      <w:proofErr w:type="spellEnd"/>
      <w:r w:rsidR="00E464E4" w:rsidRPr="00D336AE">
        <w:rPr>
          <w:sz w:val="24"/>
          <w:szCs w:val="24"/>
        </w:rPr>
        <w:t xml:space="preserve"> response</w:t>
      </w:r>
      <w:r w:rsidR="00080D01" w:rsidRPr="00D336AE">
        <w:rPr>
          <w:sz w:val="24"/>
          <w:szCs w:val="24"/>
        </w:rPr>
        <w:t xml:space="preserve"> (SVR) w</w:t>
      </w:r>
      <w:r w:rsidR="00115943">
        <w:rPr>
          <w:sz w:val="24"/>
          <w:szCs w:val="24"/>
        </w:rPr>
        <w:t>as</w:t>
      </w:r>
      <w:r w:rsidR="00080D01" w:rsidRPr="00D336AE">
        <w:rPr>
          <w:sz w:val="24"/>
          <w:szCs w:val="24"/>
        </w:rPr>
        <w:t xml:space="preserve"> found between the </w:t>
      </w:r>
      <w:r w:rsidR="00937389" w:rsidRPr="00D336AE">
        <w:rPr>
          <w:sz w:val="24"/>
          <w:szCs w:val="24"/>
        </w:rPr>
        <w:t xml:space="preserve">younger (80.8%) </w:t>
      </w:r>
      <w:r w:rsidR="00080D01" w:rsidRPr="00D336AE">
        <w:rPr>
          <w:sz w:val="24"/>
          <w:szCs w:val="24"/>
        </w:rPr>
        <w:t xml:space="preserve">and </w:t>
      </w:r>
      <w:r w:rsidR="00937389" w:rsidRPr="00D336AE">
        <w:rPr>
          <w:sz w:val="24"/>
          <w:szCs w:val="24"/>
        </w:rPr>
        <w:t xml:space="preserve">older (88.2%) </w:t>
      </w:r>
      <w:r w:rsidR="00080D01" w:rsidRPr="00D336AE">
        <w:rPr>
          <w:sz w:val="24"/>
          <w:szCs w:val="24"/>
        </w:rPr>
        <w:t xml:space="preserve">groups. The SVR rates </w:t>
      </w:r>
      <w:r w:rsidR="00CD5BA5">
        <w:rPr>
          <w:sz w:val="24"/>
          <w:szCs w:val="24"/>
        </w:rPr>
        <w:t>for</w:t>
      </w:r>
      <w:r w:rsidR="00080D01" w:rsidRPr="00D336AE">
        <w:rPr>
          <w:sz w:val="24"/>
          <w:szCs w:val="24"/>
        </w:rPr>
        <w:t xml:space="preserve"> patients with the interl</w:t>
      </w:r>
      <w:r w:rsidR="00F23D0D" w:rsidRPr="00D336AE">
        <w:rPr>
          <w:sz w:val="24"/>
          <w:szCs w:val="24"/>
        </w:rPr>
        <w:t xml:space="preserve">eukin 28B (IL28B) (rs8099917) </w:t>
      </w:r>
      <w:r w:rsidR="00CD5BA5" w:rsidRPr="00D336AE">
        <w:rPr>
          <w:sz w:val="24"/>
          <w:szCs w:val="24"/>
        </w:rPr>
        <w:t>TG/GG-genotypes (73.9% and</w:t>
      </w:r>
      <w:r w:rsidR="00CD5BA5">
        <w:rPr>
          <w:sz w:val="24"/>
          <w:szCs w:val="24"/>
        </w:rPr>
        <w:t xml:space="preserve"> </w:t>
      </w:r>
      <w:r w:rsidR="00CD5BA5" w:rsidRPr="00D336AE">
        <w:rPr>
          <w:sz w:val="24"/>
          <w:szCs w:val="24"/>
        </w:rPr>
        <w:t>60.0%</w:t>
      </w:r>
      <w:r w:rsidR="00CD5BA5" w:rsidRPr="00CD5BA5">
        <w:rPr>
          <w:sz w:val="24"/>
          <w:szCs w:val="24"/>
        </w:rPr>
        <w:t xml:space="preserve"> </w:t>
      </w:r>
      <w:r w:rsidR="00351A0A">
        <w:rPr>
          <w:sz w:val="24"/>
          <w:szCs w:val="24"/>
        </w:rPr>
        <w:t xml:space="preserve">in the </w:t>
      </w:r>
      <w:r w:rsidR="00CD5BA5" w:rsidRPr="00D336AE">
        <w:rPr>
          <w:sz w:val="24"/>
          <w:szCs w:val="24"/>
        </w:rPr>
        <w:t>younger and older groups, respectively)</w:t>
      </w:r>
      <w:r w:rsidR="00CD5BA5" w:rsidRPr="00CD5BA5">
        <w:rPr>
          <w:sz w:val="24"/>
          <w:szCs w:val="24"/>
        </w:rPr>
        <w:t xml:space="preserve"> </w:t>
      </w:r>
      <w:r w:rsidR="00CD5BA5" w:rsidRPr="00D336AE">
        <w:rPr>
          <w:sz w:val="24"/>
          <w:szCs w:val="24"/>
        </w:rPr>
        <w:t>wer</w:t>
      </w:r>
      <w:r w:rsidR="00CD5BA5">
        <w:rPr>
          <w:sz w:val="24"/>
          <w:szCs w:val="24"/>
        </w:rPr>
        <w:t xml:space="preserve">e significantly lower than for </w:t>
      </w:r>
      <w:r w:rsidR="00CD5BA5" w:rsidRPr="00D336AE">
        <w:rPr>
          <w:sz w:val="24"/>
          <w:szCs w:val="24"/>
        </w:rPr>
        <w:t>patients with the IL28B</w:t>
      </w:r>
      <w:r w:rsidR="00CD5BA5">
        <w:rPr>
          <w:sz w:val="24"/>
          <w:szCs w:val="24"/>
        </w:rPr>
        <w:t xml:space="preserve"> </w:t>
      </w:r>
      <w:r w:rsidR="00F23D0D" w:rsidRPr="00D336AE">
        <w:rPr>
          <w:sz w:val="24"/>
          <w:szCs w:val="24"/>
        </w:rPr>
        <w:t>TT-genotype</w:t>
      </w:r>
      <w:r w:rsidR="00080D01" w:rsidRPr="00D336AE">
        <w:rPr>
          <w:sz w:val="24"/>
          <w:szCs w:val="24"/>
        </w:rPr>
        <w:t xml:space="preserve"> (</w:t>
      </w:r>
      <w:r w:rsidR="00CD5BA5" w:rsidRPr="00D336AE">
        <w:rPr>
          <w:sz w:val="24"/>
          <w:szCs w:val="24"/>
        </w:rPr>
        <w:t xml:space="preserve">86.3% </w:t>
      </w:r>
      <w:r w:rsidR="00080D01" w:rsidRPr="00D336AE">
        <w:rPr>
          <w:sz w:val="24"/>
          <w:szCs w:val="24"/>
        </w:rPr>
        <w:t>and</w:t>
      </w:r>
      <w:r w:rsidR="00CD5BA5">
        <w:rPr>
          <w:sz w:val="24"/>
          <w:szCs w:val="24"/>
        </w:rPr>
        <w:t xml:space="preserve"> </w:t>
      </w:r>
      <w:r w:rsidR="00CD5BA5" w:rsidRPr="00D336AE">
        <w:rPr>
          <w:sz w:val="24"/>
          <w:szCs w:val="24"/>
        </w:rPr>
        <w:t>92.9%, respectively)</w:t>
      </w:r>
      <w:r w:rsidR="00080D01" w:rsidRPr="00D336AE">
        <w:rPr>
          <w:sz w:val="24"/>
          <w:szCs w:val="24"/>
        </w:rPr>
        <w:t>.</w:t>
      </w:r>
      <w:r w:rsidR="00C124D7" w:rsidRPr="00D336AE">
        <w:rPr>
          <w:sz w:val="24"/>
          <w:szCs w:val="24"/>
        </w:rPr>
        <w:t xml:space="preserve"> </w:t>
      </w:r>
      <w:r w:rsidR="00CD5BA5">
        <w:rPr>
          <w:sz w:val="24"/>
          <w:szCs w:val="24"/>
        </w:rPr>
        <w:t>T</w:t>
      </w:r>
      <w:r w:rsidR="00C124D7" w:rsidRPr="00D336AE">
        <w:rPr>
          <w:sz w:val="24"/>
          <w:szCs w:val="24"/>
        </w:rPr>
        <w:t xml:space="preserve">he cumulative exposure to RBV for the </w:t>
      </w:r>
      <w:r w:rsidR="00D33293" w:rsidRPr="00D336AE">
        <w:rPr>
          <w:sz w:val="24"/>
          <w:szCs w:val="24"/>
        </w:rPr>
        <w:t>entire</w:t>
      </w:r>
      <w:r w:rsidR="00C124D7" w:rsidRPr="00D336AE">
        <w:rPr>
          <w:sz w:val="24"/>
          <w:szCs w:val="24"/>
        </w:rPr>
        <w:t xml:space="preserve"> 24-week treatment period (as </w:t>
      </w:r>
      <w:r w:rsidR="00B409B4" w:rsidRPr="00D336AE">
        <w:rPr>
          <w:sz w:val="24"/>
          <w:szCs w:val="24"/>
        </w:rPr>
        <w:t>a percentage of the target dos</w:t>
      </w:r>
      <w:r w:rsidR="00C124D7" w:rsidRPr="00D336AE">
        <w:rPr>
          <w:sz w:val="24"/>
          <w:szCs w:val="24"/>
        </w:rPr>
        <w:t xml:space="preserve">e) was significantly </w:t>
      </w:r>
      <w:r w:rsidR="00CD5BA5">
        <w:rPr>
          <w:sz w:val="24"/>
          <w:szCs w:val="24"/>
        </w:rPr>
        <w:t>high</w:t>
      </w:r>
      <w:r w:rsidR="00C124D7" w:rsidRPr="00D336AE">
        <w:rPr>
          <w:sz w:val="24"/>
          <w:szCs w:val="24"/>
        </w:rPr>
        <w:t xml:space="preserve">er </w:t>
      </w:r>
      <w:r w:rsidR="00CD5BA5" w:rsidRPr="00D336AE">
        <w:rPr>
          <w:sz w:val="24"/>
          <w:szCs w:val="24"/>
        </w:rPr>
        <w:t xml:space="preserve">in the younger group </w:t>
      </w:r>
      <w:r w:rsidR="00C124D7" w:rsidRPr="00D336AE">
        <w:rPr>
          <w:sz w:val="24"/>
          <w:szCs w:val="24"/>
        </w:rPr>
        <w:t xml:space="preserve">than </w:t>
      </w:r>
      <w:r w:rsidR="00CD5BA5" w:rsidRPr="00D336AE">
        <w:rPr>
          <w:sz w:val="24"/>
          <w:szCs w:val="24"/>
        </w:rPr>
        <w:t xml:space="preserve">in the older group </w:t>
      </w:r>
      <w:r w:rsidR="00C124D7" w:rsidRPr="00D336AE">
        <w:rPr>
          <w:sz w:val="24"/>
          <w:szCs w:val="24"/>
        </w:rPr>
        <w:t>(</w:t>
      </w:r>
      <w:r w:rsidR="00CD5BA5" w:rsidRPr="00D336AE">
        <w:rPr>
          <w:sz w:val="24"/>
          <w:szCs w:val="24"/>
        </w:rPr>
        <w:t>91.7%</w:t>
      </w:r>
      <w:r w:rsidR="00E464E4" w:rsidRPr="00D336AE">
        <w:rPr>
          <w:sz w:val="24"/>
          <w:szCs w:val="24"/>
        </w:rPr>
        <w:t xml:space="preserve"> vs. </w:t>
      </w:r>
      <w:r w:rsidR="00CD5BA5" w:rsidRPr="00D336AE">
        <w:rPr>
          <w:sz w:val="24"/>
          <w:szCs w:val="24"/>
        </w:rPr>
        <w:t>66.7%</w:t>
      </w:r>
      <w:r w:rsidR="00CD5BA5">
        <w:rPr>
          <w:sz w:val="24"/>
          <w:szCs w:val="24"/>
        </w:rPr>
        <w:t xml:space="preserve">, </w:t>
      </w:r>
      <w:r w:rsidR="00D33293" w:rsidRPr="00D336AE">
        <w:rPr>
          <w:sz w:val="24"/>
          <w:szCs w:val="24"/>
        </w:rPr>
        <w:t xml:space="preserve">respectively, </w:t>
      </w:r>
      <w:r w:rsidR="00E464E4" w:rsidRPr="00D336AE">
        <w:rPr>
          <w:i/>
          <w:sz w:val="24"/>
          <w:szCs w:val="24"/>
        </w:rPr>
        <w:t>P</w:t>
      </w:r>
      <w:r w:rsidR="00E464E4" w:rsidRPr="00D336AE">
        <w:rPr>
          <w:sz w:val="24"/>
          <w:szCs w:val="24"/>
        </w:rPr>
        <w:t xml:space="preserve"> &lt;0.01</w:t>
      </w:r>
      <w:r w:rsidR="00C124D7" w:rsidRPr="00D336AE">
        <w:rPr>
          <w:sz w:val="24"/>
          <w:szCs w:val="24"/>
        </w:rPr>
        <w:t xml:space="preserve">), </w:t>
      </w:r>
      <w:r w:rsidR="00CD5BA5">
        <w:rPr>
          <w:sz w:val="24"/>
          <w:szCs w:val="24"/>
        </w:rPr>
        <w:t xml:space="preserve">but </w:t>
      </w:r>
      <w:r w:rsidR="00C124D7" w:rsidRPr="00D336AE">
        <w:rPr>
          <w:sz w:val="24"/>
          <w:szCs w:val="24"/>
        </w:rPr>
        <w:t xml:space="preserve">the cumulative exposure to TVR was not </w:t>
      </w:r>
      <w:r w:rsidR="00C124D7" w:rsidRPr="00D336AE">
        <w:rPr>
          <w:sz w:val="24"/>
          <w:szCs w:val="24"/>
        </w:rPr>
        <w:lastRenderedPageBreak/>
        <w:t>significant</w:t>
      </w:r>
      <w:r w:rsidR="00E464E4" w:rsidRPr="00D336AE">
        <w:rPr>
          <w:sz w:val="24"/>
          <w:szCs w:val="24"/>
        </w:rPr>
        <w:t xml:space="preserve">ly different between the </w:t>
      </w:r>
      <w:r w:rsidR="00CD5BA5" w:rsidRPr="00D336AE">
        <w:rPr>
          <w:sz w:val="24"/>
          <w:szCs w:val="24"/>
        </w:rPr>
        <w:t xml:space="preserve">younger </w:t>
      </w:r>
      <w:r w:rsidR="00E464E4" w:rsidRPr="00D336AE">
        <w:rPr>
          <w:sz w:val="24"/>
          <w:szCs w:val="24"/>
        </w:rPr>
        <w:t xml:space="preserve">and </w:t>
      </w:r>
      <w:r w:rsidR="00CD5BA5" w:rsidRPr="00D336AE">
        <w:rPr>
          <w:sz w:val="24"/>
          <w:szCs w:val="24"/>
        </w:rPr>
        <w:t xml:space="preserve">older </w:t>
      </w:r>
      <w:r w:rsidR="00C124D7" w:rsidRPr="00D336AE">
        <w:rPr>
          <w:sz w:val="24"/>
          <w:szCs w:val="24"/>
        </w:rPr>
        <w:t>groups</w:t>
      </w:r>
      <w:r w:rsidR="00E464E4" w:rsidRPr="00D336AE">
        <w:rPr>
          <w:sz w:val="24"/>
          <w:szCs w:val="24"/>
        </w:rPr>
        <w:t xml:space="preserve"> (</w:t>
      </w:r>
      <w:r w:rsidR="00CD5BA5" w:rsidRPr="00D336AE">
        <w:rPr>
          <w:sz w:val="24"/>
          <w:szCs w:val="24"/>
        </w:rPr>
        <w:t>91.6%</w:t>
      </w:r>
      <w:r w:rsidR="00E464E4" w:rsidRPr="00D336AE">
        <w:rPr>
          <w:sz w:val="24"/>
          <w:szCs w:val="24"/>
        </w:rPr>
        <w:t xml:space="preserve"> vs.</w:t>
      </w:r>
      <w:r w:rsidR="00CD5BA5" w:rsidRPr="00CD5BA5">
        <w:rPr>
          <w:sz w:val="24"/>
          <w:szCs w:val="24"/>
        </w:rPr>
        <w:t xml:space="preserve"> </w:t>
      </w:r>
      <w:r w:rsidR="00CD5BA5" w:rsidRPr="00D336AE">
        <w:rPr>
          <w:sz w:val="24"/>
          <w:szCs w:val="24"/>
        </w:rPr>
        <w:t>81.9%</w:t>
      </w:r>
      <w:r w:rsidR="00D33293" w:rsidRPr="00D336AE">
        <w:rPr>
          <w:sz w:val="24"/>
          <w:szCs w:val="24"/>
        </w:rPr>
        <w:t>, respectively</w:t>
      </w:r>
      <w:r w:rsidR="00E464E4" w:rsidRPr="00D336AE">
        <w:rPr>
          <w:sz w:val="24"/>
          <w:szCs w:val="24"/>
        </w:rPr>
        <w:t>)</w:t>
      </w:r>
      <w:r w:rsidR="00C124D7" w:rsidRPr="00D336AE">
        <w:rPr>
          <w:sz w:val="24"/>
          <w:szCs w:val="24"/>
        </w:rPr>
        <w:t xml:space="preserve">. A multivariate analysis identified the </w:t>
      </w:r>
      <w:r w:rsidR="00CD5BA5" w:rsidRPr="00D336AE">
        <w:rPr>
          <w:sz w:val="24"/>
          <w:szCs w:val="24"/>
        </w:rPr>
        <w:t xml:space="preserve">TT-genotype </w:t>
      </w:r>
      <w:r w:rsidR="00CD5BA5">
        <w:rPr>
          <w:sz w:val="24"/>
          <w:szCs w:val="24"/>
        </w:rPr>
        <w:t xml:space="preserve">of </w:t>
      </w:r>
      <w:r w:rsidR="00C124D7" w:rsidRPr="00D336AE">
        <w:rPr>
          <w:sz w:val="24"/>
          <w:szCs w:val="24"/>
        </w:rPr>
        <w:t xml:space="preserve">IL28B </w:t>
      </w:r>
      <w:r w:rsidR="00F23D0D" w:rsidRPr="00D336AE">
        <w:rPr>
          <w:sz w:val="24"/>
          <w:szCs w:val="24"/>
        </w:rPr>
        <w:t xml:space="preserve">(OR = 8.160; </w:t>
      </w:r>
      <w:r w:rsidR="00D31DE5">
        <w:rPr>
          <w:sz w:val="24"/>
          <w:szCs w:val="24"/>
        </w:rPr>
        <w:t>95%CI</w:t>
      </w:r>
      <w:r w:rsidR="00F23D0D" w:rsidRPr="00D336AE">
        <w:rPr>
          <w:sz w:val="24"/>
          <w:szCs w:val="24"/>
        </w:rPr>
        <w:t xml:space="preserve">: 1.593-41.804, </w:t>
      </w:r>
      <w:r w:rsidR="00F23D0D" w:rsidRPr="00D336AE">
        <w:rPr>
          <w:i/>
          <w:sz w:val="24"/>
          <w:szCs w:val="24"/>
        </w:rPr>
        <w:t>P</w:t>
      </w:r>
      <w:r w:rsidR="00F23D0D" w:rsidRPr="00D336AE">
        <w:rPr>
          <w:sz w:val="24"/>
          <w:szCs w:val="24"/>
        </w:rPr>
        <w:t xml:space="preserve"> = 0.012) and the adherence of RBV (&gt;60%) (OR = 11.052; </w:t>
      </w:r>
      <w:r w:rsidR="00D31DE5">
        <w:rPr>
          <w:sz w:val="24"/>
          <w:szCs w:val="24"/>
        </w:rPr>
        <w:t>95%CI</w:t>
      </w:r>
      <w:r w:rsidR="00F23D0D" w:rsidRPr="00D336AE">
        <w:rPr>
          <w:sz w:val="24"/>
          <w:szCs w:val="24"/>
        </w:rPr>
        <w:t>: 1.160-105-273</w:t>
      </w:r>
      <w:r w:rsidR="00A71E37" w:rsidRPr="00D336AE">
        <w:rPr>
          <w:sz w:val="24"/>
          <w:szCs w:val="24"/>
        </w:rPr>
        <w:t xml:space="preserve">, </w:t>
      </w:r>
      <w:r w:rsidR="00A71E37" w:rsidRPr="00D336AE">
        <w:rPr>
          <w:i/>
          <w:sz w:val="24"/>
          <w:szCs w:val="24"/>
        </w:rPr>
        <w:t>P</w:t>
      </w:r>
      <w:r w:rsidR="00A71E37" w:rsidRPr="00D336AE">
        <w:rPr>
          <w:sz w:val="24"/>
          <w:szCs w:val="24"/>
        </w:rPr>
        <w:t xml:space="preserve"> = 0.037</w:t>
      </w:r>
      <w:r w:rsidR="00F23D0D" w:rsidRPr="00D336AE">
        <w:rPr>
          <w:sz w:val="24"/>
          <w:szCs w:val="24"/>
        </w:rPr>
        <w:t xml:space="preserve">) </w:t>
      </w:r>
      <w:r w:rsidR="00CD5BA5">
        <w:rPr>
          <w:sz w:val="24"/>
          <w:szCs w:val="24"/>
        </w:rPr>
        <w:t xml:space="preserve">as </w:t>
      </w:r>
      <w:r w:rsidR="00C124D7" w:rsidRPr="00D336AE">
        <w:rPr>
          <w:sz w:val="24"/>
          <w:szCs w:val="24"/>
        </w:rPr>
        <w:t>independent factor</w:t>
      </w:r>
      <w:r w:rsidR="00CD5BA5">
        <w:rPr>
          <w:sz w:val="24"/>
          <w:szCs w:val="24"/>
        </w:rPr>
        <w:t>s</w:t>
      </w:r>
      <w:r w:rsidR="00C124D7" w:rsidRPr="00D336AE">
        <w:rPr>
          <w:sz w:val="24"/>
          <w:szCs w:val="24"/>
        </w:rPr>
        <w:t xml:space="preserve"> associated with the SVR. Adverse e</w:t>
      </w:r>
      <w:r w:rsidR="00CD5BA5">
        <w:rPr>
          <w:sz w:val="24"/>
          <w:szCs w:val="24"/>
        </w:rPr>
        <w:t>vents</w:t>
      </w:r>
      <w:r w:rsidR="00C124D7" w:rsidRPr="00D336AE">
        <w:rPr>
          <w:sz w:val="24"/>
          <w:szCs w:val="24"/>
        </w:rPr>
        <w:t xml:space="preserve"> resulted in </w:t>
      </w:r>
      <w:r w:rsidR="00CD5BA5" w:rsidRPr="00D336AE">
        <w:rPr>
          <w:sz w:val="24"/>
          <w:szCs w:val="24"/>
        </w:rPr>
        <w:t xml:space="preserve">discontinuation </w:t>
      </w:r>
      <w:r w:rsidR="00CD5BA5">
        <w:rPr>
          <w:sz w:val="24"/>
          <w:szCs w:val="24"/>
        </w:rPr>
        <w:t xml:space="preserve">of the </w:t>
      </w:r>
      <w:r w:rsidR="00C124D7" w:rsidRPr="00D336AE">
        <w:rPr>
          <w:sz w:val="24"/>
          <w:szCs w:val="24"/>
        </w:rPr>
        <w:t xml:space="preserve">treatment </w:t>
      </w:r>
      <w:r w:rsidR="00F9152F" w:rsidRPr="00D336AE">
        <w:rPr>
          <w:sz w:val="24"/>
          <w:szCs w:val="24"/>
        </w:rPr>
        <w:t>in</w:t>
      </w:r>
      <w:r w:rsidR="00C124D7" w:rsidRPr="00D336AE">
        <w:rPr>
          <w:sz w:val="24"/>
          <w:szCs w:val="24"/>
        </w:rPr>
        <w:t xml:space="preserve"> </w:t>
      </w:r>
      <w:r w:rsidR="00083EF9" w:rsidRPr="00D336AE">
        <w:rPr>
          <w:sz w:val="24"/>
          <w:szCs w:val="24"/>
        </w:rPr>
        <w:t xml:space="preserve">11.3% </w:t>
      </w:r>
      <w:r w:rsidR="00C124D7" w:rsidRPr="00D336AE">
        <w:rPr>
          <w:sz w:val="24"/>
          <w:szCs w:val="24"/>
        </w:rPr>
        <w:t xml:space="preserve">and </w:t>
      </w:r>
      <w:r w:rsidR="00083EF9" w:rsidRPr="00D336AE">
        <w:rPr>
          <w:sz w:val="24"/>
          <w:szCs w:val="24"/>
        </w:rPr>
        <w:t>14.7%</w:t>
      </w:r>
      <w:r w:rsidR="00083EF9">
        <w:rPr>
          <w:sz w:val="24"/>
          <w:szCs w:val="24"/>
        </w:rPr>
        <w:t xml:space="preserve"> </w:t>
      </w:r>
      <w:r w:rsidR="00F9152F" w:rsidRPr="00D336AE">
        <w:rPr>
          <w:sz w:val="24"/>
          <w:szCs w:val="24"/>
        </w:rPr>
        <w:t>of</w:t>
      </w:r>
      <w:r w:rsidR="00C124D7" w:rsidRPr="00D336AE">
        <w:rPr>
          <w:sz w:val="24"/>
          <w:szCs w:val="24"/>
        </w:rPr>
        <w:t xml:space="preserve"> the </w:t>
      </w:r>
      <w:r w:rsidR="00083EF9" w:rsidRPr="00D336AE">
        <w:rPr>
          <w:sz w:val="24"/>
          <w:szCs w:val="24"/>
        </w:rPr>
        <w:t xml:space="preserve">younger </w:t>
      </w:r>
      <w:r w:rsidR="00C124D7" w:rsidRPr="00D336AE">
        <w:rPr>
          <w:sz w:val="24"/>
          <w:szCs w:val="24"/>
        </w:rPr>
        <w:t>and</w:t>
      </w:r>
      <w:r w:rsidR="00083EF9" w:rsidRPr="00083EF9">
        <w:rPr>
          <w:sz w:val="24"/>
          <w:szCs w:val="24"/>
        </w:rPr>
        <w:t xml:space="preserve"> </w:t>
      </w:r>
      <w:r w:rsidR="00083EF9" w:rsidRPr="00D336AE">
        <w:rPr>
          <w:sz w:val="24"/>
          <w:szCs w:val="24"/>
        </w:rPr>
        <w:t>older</w:t>
      </w:r>
      <w:r w:rsidR="00C124D7" w:rsidRPr="00D336AE">
        <w:rPr>
          <w:sz w:val="24"/>
          <w:szCs w:val="24"/>
        </w:rPr>
        <w:t xml:space="preserve"> groups, respectively. Among the patients treated with </w:t>
      </w:r>
      <w:r w:rsidR="00B409B4" w:rsidRPr="00D336AE">
        <w:rPr>
          <w:sz w:val="24"/>
          <w:szCs w:val="24"/>
        </w:rPr>
        <w:t xml:space="preserve">the </w:t>
      </w:r>
      <w:r w:rsidR="00C124D7" w:rsidRPr="00D336AE">
        <w:rPr>
          <w:sz w:val="24"/>
          <w:szCs w:val="24"/>
        </w:rPr>
        <w:t>SMV-based triple therapy, n</w:t>
      </w:r>
      <w:r w:rsidR="00083EF9">
        <w:rPr>
          <w:sz w:val="24"/>
          <w:szCs w:val="24"/>
        </w:rPr>
        <w:t>o significant difference</w:t>
      </w:r>
      <w:r w:rsidR="004A3785" w:rsidRPr="00D336AE">
        <w:rPr>
          <w:sz w:val="24"/>
          <w:szCs w:val="24"/>
        </w:rPr>
        <w:t xml:space="preserve"> in the SVR </w:t>
      </w:r>
      <w:r w:rsidR="00083EF9">
        <w:rPr>
          <w:sz w:val="24"/>
          <w:szCs w:val="24"/>
        </w:rPr>
        <w:t xml:space="preserve">rare </w:t>
      </w:r>
      <w:r w:rsidR="004A3785" w:rsidRPr="00D336AE">
        <w:rPr>
          <w:sz w:val="24"/>
          <w:szCs w:val="24"/>
        </w:rPr>
        <w:t>w</w:t>
      </w:r>
      <w:r w:rsidR="00083EF9">
        <w:rPr>
          <w:sz w:val="24"/>
          <w:szCs w:val="24"/>
        </w:rPr>
        <w:t>as</w:t>
      </w:r>
      <w:r w:rsidR="004A3785" w:rsidRPr="00D336AE">
        <w:rPr>
          <w:sz w:val="24"/>
          <w:szCs w:val="24"/>
        </w:rPr>
        <w:t xml:space="preserve"> found between the </w:t>
      </w:r>
      <w:r w:rsidR="00083EF9" w:rsidRPr="00D336AE">
        <w:rPr>
          <w:sz w:val="24"/>
          <w:szCs w:val="24"/>
        </w:rPr>
        <w:t xml:space="preserve">younger (81.1%) </w:t>
      </w:r>
      <w:r w:rsidR="004A3785" w:rsidRPr="00D336AE">
        <w:rPr>
          <w:sz w:val="24"/>
          <w:szCs w:val="24"/>
        </w:rPr>
        <w:t>and</w:t>
      </w:r>
      <w:r w:rsidR="00083EF9" w:rsidRPr="00083EF9">
        <w:rPr>
          <w:sz w:val="24"/>
          <w:szCs w:val="24"/>
        </w:rPr>
        <w:t xml:space="preserve"> </w:t>
      </w:r>
      <w:r w:rsidR="00083EF9" w:rsidRPr="00D336AE">
        <w:rPr>
          <w:sz w:val="24"/>
          <w:szCs w:val="24"/>
        </w:rPr>
        <w:t xml:space="preserve">older (82.1%) </w:t>
      </w:r>
      <w:r w:rsidR="004A3785" w:rsidRPr="00D336AE">
        <w:rPr>
          <w:sz w:val="24"/>
          <w:szCs w:val="24"/>
        </w:rPr>
        <w:t xml:space="preserve">groups. The SVR rates for patients with </w:t>
      </w:r>
      <w:r w:rsidR="00083EF9" w:rsidRPr="00D336AE">
        <w:rPr>
          <w:sz w:val="24"/>
          <w:szCs w:val="24"/>
        </w:rPr>
        <w:t>the IL28B TG/GG-genotypes (77.8% and 64.7%</w:t>
      </w:r>
      <w:r w:rsidR="00351A0A">
        <w:rPr>
          <w:sz w:val="24"/>
          <w:szCs w:val="24"/>
        </w:rPr>
        <w:t xml:space="preserve"> </w:t>
      </w:r>
      <w:r w:rsidR="00083EF9" w:rsidRPr="00D336AE">
        <w:rPr>
          <w:sz w:val="24"/>
          <w:szCs w:val="24"/>
        </w:rPr>
        <w:t>in the younger and</w:t>
      </w:r>
      <w:r w:rsidR="00083EF9" w:rsidRPr="00083EF9">
        <w:rPr>
          <w:sz w:val="24"/>
          <w:szCs w:val="24"/>
        </w:rPr>
        <w:t xml:space="preserve"> </w:t>
      </w:r>
      <w:r w:rsidR="00083EF9" w:rsidRPr="00D336AE">
        <w:rPr>
          <w:sz w:val="24"/>
          <w:szCs w:val="24"/>
        </w:rPr>
        <w:t>older groups, respectively)</w:t>
      </w:r>
      <w:r w:rsidR="004A3785" w:rsidRPr="00D336AE">
        <w:rPr>
          <w:sz w:val="24"/>
          <w:szCs w:val="24"/>
        </w:rPr>
        <w:t xml:space="preserve"> were significantly </w:t>
      </w:r>
      <w:r w:rsidR="00083EF9">
        <w:rPr>
          <w:sz w:val="24"/>
          <w:szCs w:val="24"/>
        </w:rPr>
        <w:t>lower</w:t>
      </w:r>
      <w:r w:rsidR="004A3785" w:rsidRPr="00D336AE">
        <w:rPr>
          <w:sz w:val="24"/>
          <w:szCs w:val="24"/>
        </w:rPr>
        <w:t xml:space="preserve"> than for patients with</w:t>
      </w:r>
      <w:r w:rsidR="00083EF9" w:rsidRPr="00083EF9">
        <w:rPr>
          <w:sz w:val="24"/>
          <w:szCs w:val="24"/>
        </w:rPr>
        <w:t xml:space="preserve"> </w:t>
      </w:r>
      <w:r w:rsidR="00083EF9" w:rsidRPr="00D336AE">
        <w:rPr>
          <w:sz w:val="24"/>
          <w:szCs w:val="24"/>
        </w:rPr>
        <w:t>the IL28B TT-genotype (88.2% and</w:t>
      </w:r>
      <w:r w:rsidR="00083EF9">
        <w:rPr>
          <w:sz w:val="24"/>
          <w:szCs w:val="24"/>
        </w:rPr>
        <w:t xml:space="preserve"> </w:t>
      </w:r>
      <w:r w:rsidR="00083EF9" w:rsidRPr="00D336AE">
        <w:rPr>
          <w:sz w:val="24"/>
          <w:szCs w:val="24"/>
        </w:rPr>
        <w:t>100%, respectively)</w:t>
      </w:r>
      <w:r w:rsidR="004A3785" w:rsidRPr="00D336AE">
        <w:rPr>
          <w:sz w:val="24"/>
          <w:szCs w:val="24"/>
        </w:rPr>
        <w:t xml:space="preserve">. A multivariate analysis identified the </w:t>
      </w:r>
      <w:r w:rsidR="00083EF9" w:rsidRPr="00D336AE">
        <w:rPr>
          <w:sz w:val="24"/>
          <w:szCs w:val="24"/>
        </w:rPr>
        <w:t xml:space="preserve">TT-genotype </w:t>
      </w:r>
      <w:r w:rsidR="00083EF9">
        <w:rPr>
          <w:sz w:val="24"/>
          <w:szCs w:val="24"/>
        </w:rPr>
        <w:t xml:space="preserve">of </w:t>
      </w:r>
      <w:r w:rsidR="004A3785" w:rsidRPr="00D336AE">
        <w:rPr>
          <w:sz w:val="24"/>
          <w:szCs w:val="24"/>
        </w:rPr>
        <w:t>IL28B as an independent factor associated with the SVR</w:t>
      </w:r>
      <w:r w:rsidR="00A71E37" w:rsidRPr="00D336AE">
        <w:rPr>
          <w:sz w:val="24"/>
          <w:szCs w:val="24"/>
        </w:rPr>
        <w:t xml:space="preserve"> (OR = 9.677; </w:t>
      </w:r>
      <w:r w:rsidR="00D31DE5">
        <w:rPr>
          <w:sz w:val="24"/>
          <w:szCs w:val="24"/>
        </w:rPr>
        <w:t>95%CI</w:t>
      </w:r>
      <w:r w:rsidR="00A71E37" w:rsidRPr="00D336AE">
        <w:rPr>
          <w:sz w:val="24"/>
          <w:szCs w:val="24"/>
        </w:rPr>
        <w:t xml:space="preserve">: 1.114-84.087, </w:t>
      </w:r>
      <w:r w:rsidR="00A71E37" w:rsidRPr="00D336AE">
        <w:rPr>
          <w:i/>
          <w:sz w:val="24"/>
          <w:szCs w:val="24"/>
        </w:rPr>
        <w:t>P</w:t>
      </w:r>
      <w:r w:rsidR="00A71E37" w:rsidRPr="00D336AE">
        <w:rPr>
          <w:sz w:val="24"/>
          <w:szCs w:val="24"/>
        </w:rPr>
        <w:t xml:space="preserve"> = 0.040)</w:t>
      </w:r>
      <w:r w:rsidR="004A3785" w:rsidRPr="00D336AE">
        <w:rPr>
          <w:sz w:val="24"/>
          <w:szCs w:val="24"/>
        </w:rPr>
        <w:t>. Adverse events resulted in discontinuation</w:t>
      </w:r>
      <w:r w:rsidR="00083EF9" w:rsidRPr="00083EF9">
        <w:rPr>
          <w:sz w:val="24"/>
          <w:szCs w:val="24"/>
        </w:rPr>
        <w:t xml:space="preserve"> </w:t>
      </w:r>
      <w:r w:rsidR="00083EF9">
        <w:rPr>
          <w:sz w:val="24"/>
          <w:szCs w:val="24"/>
        </w:rPr>
        <w:t xml:space="preserve">of the </w:t>
      </w:r>
      <w:r w:rsidR="00083EF9" w:rsidRPr="00D336AE">
        <w:rPr>
          <w:sz w:val="24"/>
          <w:szCs w:val="24"/>
        </w:rPr>
        <w:t>treatment</w:t>
      </w:r>
      <w:r w:rsidR="004A3785" w:rsidRPr="00D336AE">
        <w:rPr>
          <w:sz w:val="24"/>
          <w:szCs w:val="24"/>
        </w:rPr>
        <w:t xml:space="preserve"> </w:t>
      </w:r>
      <w:r w:rsidR="00F9152F" w:rsidRPr="00D336AE">
        <w:rPr>
          <w:sz w:val="24"/>
          <w:szCs w:val="24"/>
        </w:rPr>
        <w:t>in</w:t>
      </w:r>
      <w:r w:rsidR="004A3785" w:rsidRPr="00D336AE">
        <w:rPr>
          <w:sz w:val="24"/>
          <w:szCs w:val="24"/>
        </w:rPr>
        <w:t xml:space="preserve"> </w:t>
      </w:r>
      <w:r w:rsidR="00083EF9" w:rsidRPr="00D336AE">
        <w:rPr>
          <w:sz w:val="24"/>
          <w:szCs w:val="24"/>
        </w:rPr>
        <w:t>7.0%</w:t>
      </w:r>
      <w:r w:rsidR="004A3785" w:rsidRPr="00D336AE">
        <w:rPr>
          <w:sz w:val="24"/>
          <w:szCs w:val="24"/>
        </w:rPr>
        <w:t xml:space="preserve"> and </w:t>
      </w:r>
      <w:r w:rsidR="00083EF9" w:rsidRPr="00D336AE">
        <w:rPr>
          <w:sz w:val="24"/>
          <w:szCs w:val="24"/>
        </w:rPr>
        <w:t>14.3%</w:t>
      </w:r>
      <w:r w:rsidR="004A3785" w:rsidRPr="00D336AE">
        <w:rPr>
          <w:sz w:val="24"/>
          <w:szCs w:val="24"/>
        </w:rPr>
        <w:t xml:space="preserve"> </w:t>
      </w:r>
      <w:r w:rsidR="00F9152F" w:rsidRPr="00D336AE">
        <w:rPr>
          <w:sz w:val="24"/>
          <w:szCs w:val="24"/>
        </w:rPr>
        <w:t>of</w:t>
      </w:r>
      <w:r w:rsidR="004A3785" w:rsidRPr="00D336AE">
        <w:rPr>
          <w:sz w:val="24"/>
          <w:szCs w:val="24"/>
        </w:rPr>
        <w:t xml:space="preserve"> </w:t>
      </w:r>
      <w:r w:rsidR="00F9152F" w:rsidRPr="00D336AE">
        <w:rPr>
          <w:sz w:val="24"/>
          <w:szCs w:val="24"/>
        </w:rPr>
        <w:t xml:space="preserve">patients in </w:t>
      </w:r>
      <w:r w:rsidR="004A3785" w:rsidRPr="00D336AE">
        <w:rPr>
          <w:sz w:val="24"/>
          <w:szCs w:val="24"/>
        </w:rPr>
        <w:t xml:space="preserve">the </w:t>
      </w:r>
      <w:r w:rsidR="00083EF9" w:rsidRPr="00D336AE">
        <w:rPr>
          <w:sz w:val="24"/>
          <w:szCs w:val="24"/>
        </w:rPr>
        <w:t xml:space="preserve">younger </w:t>
      </w:r>
      <w:r w:rsidR="004A3785" w:rsidRPr="00D336AE">
        <w:rPr>
          <w:sz w:val="24"/>
          <w:szCs w:val="24"/>
        </w:rPr>
        <w:t>and</w:t>
      </w:r>
      <w:r w:rsidR="00083EF9" w:rsidRPr="00083EF9">
        <w:rPr>
          <w:sz w:val="24"/>
          <w:szCs w:val="24"/>
        </w:rPr>
        <w:t xml:space="preserve"> </w:t>
      </w:r>
      <w:r w:rsidR="00083EF9" w:rsidRPr="00D336AE">
        <w:rPr>
          <w:sz w:val="24"/>
          <w:szCs w:val="24"/>
        </w:rPr>
        <w:t>older</w:t>
      </w:r>
      <w:r w:rsidR="004A3785" w:rsidRPr="00D336AE">
        <w:rPr>
          <w:sz w:val="24"/>
          <w:szCs w:val="24"/>
        </w:rPr>
        <w:t xml:space="preserve"> groups, respectively.</w:t>
      </w:r>
    </w:p>
    <w:p w:rsidR="000F55D1" w:rsidRPr="00D336AE" w:rsidRDefault="000F55D1" w:rsidP="006611DD">
      <w:pPr>
        <w:spacing w:before="9" w:line="360" w:lineRule="auto"/>
        <w:rPr>
          <w:rFonts w:ascii="Book Antiqua" w:eastAsia="Book Antiqua" w:hAnsi="Book Antiqua" w:cs="Book Antiqua"/>
          <w:sz w:val="24"/>
          <w:szCs w:val="24"/>
        </w:rPr>
      </w:pPr>
    </w:p>
    <w:p w:rsidR="000854E1" w:rsidRPr="000854E1" w:rsidRDefault="000854E1" w:rsidP="006611DD">
      <w:pPr>
        <w:pStyle w:val="BodyText"/>
        <w:spacing w:line="360" w:lineRule="auto"/>
        <w:ind w:left="0" w:right="106"/>
        <w:jc w:val="both"/>
        <w:rPr>
          <w:rFonts w:eastAsia="宋体" w:cs="Book Antiqua"/>
          <w:b/>
          <w:bCs/>
          <w:i/>
          <w:sz w:val="24"/>
          <w:szCs w:val="24"/>
          <w:lang w:eastAsia="zh-CN"/>
        </w:rPr>
      </w:pPr>
      <w:r w:rsidRPr="000854E1">
        <w:rPr>
          <w:rFonts w:cs="Book Antiqua"/>
          <w:b/>
          <w:bCs/>
          <w:i/>
          <w:sz w:val="24"/>
          <w:szCs w:val="24"/>
        </w:rPr>
        <w:t>CONCLUSION</w:t>
      </w:r>
    </w:p>
    <w:p w:rsidR="000F55D1" w:rsidRPr="00D336AE" w:rsidRDefault="003C5EEE" w:rsidP="006611DD">
      <w:pPr>
        <w:pStyle w:val="BodyText"/>
        <w:spacing w:line="360" w:lineRule="auto"/>
        <w:ind w:left="0" w:right="106"/>
        <w:jc w:val="both"/>
        <w:rPr>
          <w:sz w:val="24"/>
          <w:szCs w:val="24"/>
        </w:rPr>
      </w:pPr>
      <w:r w:rsidRPr="00D336AE">
        <w:rPr>
          <w:rFonts w:cs="Book Antiqua"/>
          <w:bCs/>
          <w:sz w:val="24"/>
          <w:szCs w:val="24"/>
        </w:rPr>
        <w:t xml:space="preserve">Both </w:t>
      </w:r>
      <w:r w:rsidR="004A3785" w:rsidRPr="00D336AE">
        <w:rPr>
          <w:sz w:val="24"/>
          <w:szCs w:val="24"/>
        </w:rPr>
        <w:t>TVR-</w:t>
      </w:r>
      <w:r w:rsidRPr="00D336AE">
        <w:rPr>
          <w:sz w:val="24"/>
          <w:szCs w:val="24"/>
        </w:rPr>
        <w:t xml:space="preserve"> and SMV-based triple therapies</w:t>
      </w:r>
      <w:r w:rsidR="004A3785" w:rsidRPr="00D336AE">
        <w:rPr>
          <w:sz w:val="24"/>
          <w:szCs w:val="24"/>
        </w:rPr>
        <w:t xml:space="preserve"> can be successfully used to treat patients aged 66 years </w:t>
      </w:r>
      <w:r w:rsidR="00F9152F" w:rsidRPr="00D336AE">
        <w:rPr>
          <w:sz w:val="24"/>
          <w:szCs w:val="24"/>
        </w:rPr>
        <w:t>or older</w:t>
      </w:r>
      <w:r w:rsidR="004A3785" w:rsidRPr="00D336AE">
        <w:rPr>
          <w:sz w:val="24"/>
          <w:szCs w:val="24"/>
        </w:rPr>
        <w:t xml:space="preserve"> with genotype 1b </w:t>
      </w:r>
      <w:r w:rsidR="00AD5087" w:rsidRPr="00AD5087">
        <w:rPr>
          <w:bCs/>
          <w:sz w:val="24"/>
          <w:szCs w:val="24"/>
        </w:rPr>
        <w:t>chronic hepatitis C</w:t>
      </w:r>
      <w:r w:rsidR="004A3785" w:rsidRPr="00D336AE">
        <w:rPr>
          <w:sz w:val="24"/>
          <w:szCs w:val="24"/>
        </w:rPr>
        <w:t xml:space="preserve">. </w:t>
      </w:r>
      <w:r w:rsidR="00083EF9">
        <w:rPr>
          <w:sz w:val="24"/>
          <w:szCs w:val="24"/>
        </w:rPr>
        <w:t>G</w:t>
      </w:r>
      <w:r w:rsidR="00083EF9" w:rsidRPr="00D336AE">
        <w:rPr>
          <w:sz w:val="24"/>
          <w:szCs w:val="24"/>
        </w:rPr>
        <w:t>enotyping</w:t>
      </w:r>
      <w:r w:rsidR="00083EF9">
        <w:rPr>
          <w:sz w:val="24"/>
          <w:szCs w:val="24"/>
        </w:rPr>
        <w:t xml:space="preserve"> of</w:t>
      </w:r>
      <w:r w:rsidR="00083EF9" w:rsidRPr="00D336AE">
        <w:rPr>
          <w:sz w:val="24"/>
          <w:szCs w:val="24"/>
        </w:rPr>
        <w:t xml:space="preserve"> </w:t>
      </w:r>
      <w:r w:rsidR="009A5373">
        <w:rPr>
          <w:sz w:val="24"/>
          <w:szCs w:val="24"/>
        </w:rPr>
        <w:t xml:space="preserve">the </w:t>
      </w:r>
      <w:r w:rsidR="004A3785" w:rsidRPr="00D336AE">
        <w:rPr>
          <w:sz w:val="24"/>
          <w:szCs w:val="24"/>
        </w:rPr>
        <w:t>IL28B indic</w:t>
      </w:r>
      <w:r w:rsidR="004C5B17" w:rsidRPr="00D336AE">
        <w:rPr>
          <w:sz w:val="24"/>
          <w:szCs w:val="24"/>
        </w:rPr>
        <w:t xml:space="preserve">ates </w:t>
      </w:r>
      <w:r w:rsidR="00F9152F" w:rsidRPr="00D336AE">
        <w:rPr>
          <w:sz w:val="24"/>
          <w:szCs w:val="24"/>
        </w:rPr>
        <w:t>a</w:t>
      </w:r>
      <w:r w:rsidR="004C5B17" w:rsidRPr="00D336AE">
        <w:rPr>
          <w:sz w:val="24"/>
          <w:szCs w:val="24"/>
        </w:rPr>
        <w:t xml:space="preserve"> potential to achieve </w:t>
      </w:r>
      <w:r w:rsidR="004A3785" w:rsidRPr="00D336AE">
        <w:rPr>
          <w:sz w:val="24"/>
          <w:szCs w:val="24"/>
        </w:rPr>
        <w:t xml:space="preserve">SVR in these difficult-to-treat </w:t>
      </w:r>
      <w:r w:rsidR="00083EF9">
        <w:rPr>
          <w:sz w:val="24"/>
          <w:szCs w:val="24"/>
        </w:rPr>
        <w:t>eld</w:t>
      </w:r>
      <w:r w:rsidR="004A3785" w:rsidRPr="00D336AE">
        <w:rPr>
          <w:sz w:val="24"/>
          <w:szCs w:val="24"/>
        </w:rPr>
        <w:t>er</w:t>
      </w:r>
      <w:r w:rsidR="006976B3">
        <w:rPr>
          <w:sz w:val="24"/>
          <w:szCs w:val="24"/>
        </w:rPr>
        <w:t>ly</w:t>
      </w:r>
      <w:r w:rsidR="004A3785" w:rsidRPr="00D336AE">
        <w:rPr>
          <w:sz w:val="24"/>
          <w:szCs w:val="24"/>
        </w:rPr>
        <w:t xml:space="preserve"> patients.</w:t>
      </w:r>
    </w:p>
    <w:p w:rsidR="000F55D1" w:rsidRPr="00D336AE" w:rsidRDefault="000F55D1" w:rsidP="006611DD">
      <w:pPr>
        <w:spacing w:before="3" w:line="360" w:lineRule="auto"/>
        <w:rPr>
          <w:rFonts w:ascii="Book Antiqua" w:eastAsia="Book Antiqua" w:hAnsi="Book Antiqua" w:cs="Book Antiqua"/>
          <w:sz w:val="24"/>
          <w:szCs w:val="24"/>
        </w:rPr>
      </w:pPr>
    </w:p>
    <w:p w:rsidR="000F55D1" w:rsidRDefault="00E302E1" w:rsidP="006611DD">
      <w:pPr>
        <w:pStyle w:val="BodyText"/>
        <w:spacing w:line="360" w:lineRule="auto"/>
        <w:ind w:left="0" w:right="106"/>
        <w:jc w:val="both"/>
        <w:rPr>
          <w:rFonts w:eastAsia="宋体"/>
          <w:sz w:val="24"/>
          <w:szCs w:val="24"/>
          <w:lang w:eastAsia="zh-CN"/>
        </w:rPr>
      </w:pPr>
      <w:r w:rsidRPr="00D336AE">
        <w:rPr>
          <w:b/>
          <w:sz w:val="24"/>
          <w:szCs w:val="24"/>
        </w:rPr>
        <w:t xml:space="preserve">Key words: </w:t>
      </w:r>
      <w:proofErr w:type="spellStart"/>
      <w:r w:rsidR="003C5EEE" w:rsidRPr="00D336AE">
        <w:rPr>
          <w:sz w:val="24"/>
          <w:szCs w:val="24"/>
        </w:rPr>
        <w:t>Telaprevir</w:t>
      </w:r>
      <w:proofErr w:type="spellEnd"/>
      <w:r w:rsidR="003C5EEE" w:rsidRPr="00D336AE">
        <w:rPr>
          <w:sz w:val="24"/>
          <w:szCs w:val="24"/>
        </w:rPr>
        <w:t xml:space="preserve">; </w:t>
      </w:r>
      <w:proofErr w:type="spellStart"/>
      <w:r w:rsidR="003C5EEE" w:rsidRPr="00D336AE">
        <w:rPr>
          <w:sz w:val="24"/>
          <w:szCs w:val="24"/>
        </w:rPr>
        <w:t>Simeprevir</w:t>
      </w:r>
      <w:proofErr w:type="spellEnd"/>
      <w:r w:rsidR="003C5EEE" w:rsidRPr="00D336AE">
        <w:rPr>
          <w:sz w:val="24"/>
          <w:szCs w:val="24"/>
        </w:rPr>
        <w:t xml:space="preserve">; </w:t>
      </w:r>
      <w:r w:rsidR="000854E1" w:rsidRPr="00D336AE">
        <w:rPr>
          <w:sz w:val="24"/>
          <w:szCs w:val="24"/>
        </w:rPr>
        <w:t>A</w:t>
      </w:r>
      <w:r w:rsidR="003C5EEE" w:rsidRPr="00D336AE">
        <w:rPr>
          <w:sz w:val="24"/>
          <w:szCs w:val="24"/>
        </w:rPr>
        <w:t xml:space="preserve">ged patients; </w:t>
      </w:r>
      <w:r w:rsidR="000854E1" w:rsidRPr="000854E1">
        <w:rPr>
          <w:sz w:val="24"/>
          <w:szCs w:val="24"/>
        </w:rPr>
        <w:t>Hepatitis C</w:t>
      </w:r>
      <w:r w:rsidR="000854E1">
        <w:rPr>
          <w:rFonts w:eastAsia="宋体" w:hint="eastAsia"/>
          <w:sz w:val="24"/>
          <w:szCs w:val="24"/>
          <w:lang w:eastAsia="zh-CN"/>
        </w:rPr>
        <w:t xml:space="preserve"> </w:t>
      </w:r>
      <w:r w:rsidR="000854E1" w:rsidRPr="000854E1">
        <w:rPr>
          <w:sz w:val="24"/>
          <w:szCs w:val="24"/>
        </w:rPr>
        <w:t>virus </w:t>
      </w:r>
      <w:r w:rsidR="003C5EEE" w:rsidRPr="00D336AE">
        <w:rPr>
          <w:sz w:val="24"/>
          <w:szCs w:val="24"/>
        </w:rPr>
        <w:t xml:space="preserve">genotype 1b; </w:t>
      </w:r>
      <w:r w:rsidR="000854E1" w:rsidRPr="00D336AE">
        <w:rPr>
          <w:sz w:val="24"/>
          <w:szCs w:val="24"/>
        </w:rPr>
        <w:t>I</w:t>
      </w:r>
      <w:r w:rsidR="000854E1">
        <w:rPr>
          <w:sz w:val="24"/>
          <w:szCs w:val="24"/>
        </w:rPr>
        <w:t>nterleukin 28B</w:t>
      </w:r>
    </w:p>
    <w:p w:rsidR="000854E1" w:rsidRDefault="000854E1" w:rsidP="006611DD">
      <w:pPr>
        <w:pStyle w:val="BodyText"/>
        <w:spacing w:line="360" w:lineRule="auto"/>
        <w:ind w:left="0" w:right="106"/>
        <w:jc w:val="both"/>
        <w:rPr>
          <w:rFonts w:eastAsia="宋体"/>
          <w:sz w:val="24"/>
          <w:szCs w:val="24"/>
          <w:lang w:eastAsia="zh-CN"/>
        </w:rPr>
      </w:pPr>
    </w:p>
    <w:p w:rsidR="000854E1" w:rsidRPr="00C52BCF" w:rsidRDefault="000854E1" w:rsidP="006611DD">
      <w:pPr>
        <w:adjustRightInd w:val="0"/>
        <w:snapToGrid w:val="0"/>
        <w:spacing w:line="360" w:lineRule="auto"/>
        <w:jc w:val="both"/>
        <w:rPr>
          <w:rFonts w:ascii="Book Antiqua" w:hAnsi="Book Antiqua" w:cs="Tahoma"/>
          <w:color w:val="000000"/>
          <w:kern w:val="2"/>
          <w:sz w:val="24"/>
          <w:szCs w:val="24"/>
        </w:rPr>
      </w:pPr>
      <w:bookmarkStart w:id="61" w:name="OLE_LINK148"/>
      <w:bookmarkStart w:id="62" w:name="OLE_LINK149"/>
      <w:bookmarkStart w:id="63" w:name="OLE_LINK200"/>
      <w:bookmarkStart w:id="64" w:name="OLE_LINK288"/>
      <w:bookmarkStart w:id="65" w:name="OLE_LINK1864"/>
      <w:bookmarkStart w:id="66" w:name="OLE_LINK382"/>
      <w:bookmarkStart w:id="67" w:name="OLE_LINK306"/>
      <w:bookmarkStart w:id="68" w:name="OLE_LINK569"/>
      <w:bookmarkStart w:id="69" w:name="OLE_LINK682"/>
      <w:bookmarkStart w:id="70" w:name="OLE_LINK78"/>
      <w:bookmarkStart w:id="71" w:name="OLE_LINK79"/>
      <w:bookmarkStart w:id="72" w:name="OLE_LINK86"/>
      <w:bookmarkStart w:id="73" w:name="OLE_LINK99"/>
      <w:bookmarkStart w:id="74" w:name="OLE_LINK217"/>
      <w:bookmarkStart w:id="75" w:name="OLE_LINK245"/>
      <w:bookmarkStart w:id="76" w:name="OLE_LINK246"/>
      <w:bookmarkStart w:id="77" w:name="OLE_LINK274"/>
      <w:bookmarkStart w:id="78" w:name="OLE_LINK320"/>
      <w:bookmarkStart w:id="79" w:name="OLE_LINK333"/>
      <w:bookmarkStart w:id="80" w:name="OLE_LINK456"/>
      <w:bookmarkStart w:id="81" w:name="OLE_LINK494"/>
      <w:bookmarkStart w:id="82" w:name="OLE_LINK596"/>
      <w:bookmarkStart w:id="83" w:name="OLE_LINK686"/>
      <w:proofErr w:type="gramStart"/>
      <w:r w:rsidRPr="00C52BCF">
        <w:rPr>
          <w:rFonts w:ascii="Book Antiqua" w:hAnsi="Book Antiqua" w:cs="Tahoma"/>
          <w:b/>
          <w:color w:val="000000"/>
          <w:kern w:val="2"/>
          <w:sz w:val="24"/>
          <w:szCs w:val="24"/>
          <w:lang w:eastAsia="ja-JP"/>
        </w:rPr>
        <w:t>© The Author(s) 201</w:t>
      </w:r>
      <w:r w:rsidR="00A910D9">
        <w:rPr>
          <w:rFonts w:ascii="Book Antiqua" w:eastAsia="宋体" w:hAnsi="Book Antiqua" w:cs="Tahoma" w:hint="eastAsia"/>
          <w:b/>
          <w:color w:val="000000"/>
          <w:kern w:val="2"/>
          <w:sz w:val="24"/>
          <w:szCs w:val="24"/>
          <w:lang w:eastAsia="zh-CN"/>
        </w:rPr>
        <w:t>7</w:t>
      </w:r>
      <w:r w:rsidRPr="00C52BCF">
        <w:rPr>
          <w:rFonts w:ascii="Book Antiqua" w:hAnsi="Book Antiqua" w:cs="Tahoma"/>
          <w:b/>
          <w:color w:val="000000"/>
          <w:kern w:val="2"/>
          <w:sz w:val="24"/>
          <w:szCs w:val="24"/>
          <w:lang w:eastAsia="ja-JP"/>
        </w:rPr>
        <w:t>.</w:t>
      </w:r>
      <w:proofErr w:type="gramEnd"/>
      <w:r w:rsidRPr="00C52BCF">
        <w:rPr>
          <w:rFonts w:ascii="Book Antiqua" w:hAnsi="Book Antiqua" w:cs="Tahoma"/>
          <w:color w:val="000000"/>
          <w:kern w:val="2"/>
          <w:sz w:val="24"/>
          <w:szCs w:val="24"/>
          <w:lang w:eastAsia="ja-JP"/>
        </w:rPr>
        <w:t xml:space="preserve"> Published by </w:t>
      </w:r>
      <w:proofErr w:type="spellStart"/>
      <w:r w:rsidRPr="00C52BCF">
        <w:rPr>
          <w:rFonts w:ascii="Book Antiqua" w:hAnsi="Book Antiqua" w:cs="Tahoma"/>
          <w:color w:val="000000"/>
          <w:kern w:val="2"/>
          <w:sz w:val="24"/>
          <w:szCs w:val="24"/>
          <w:lang w:eastAsia="ja-JP"/>
        </w:rPr>
        <w:t>Baishideng</w:t>
      </w:r>
      <w:proofErr w:type="spellEnd"/>
      <w:r w:rsidRPr="00C52BCF">
        <w:rPr>
          <w:rFonts w:ascii="Book Antiqua" w:hAnsi="Book Antiqua" w:cs="Tahoma"/>
          <w:color w:val="000000"/>
          <w:kern w:val="2"/>
          <w:sz w:val="24"/>
          <w:szCs w:val="24"/>
          <w:lang w:eastAsia="ja-JP"/>
        </w:rPr>
        <w:t xml:space="preserve"> Publishing Group Inc. All rights reserved.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p w:rsidR="000854E1" w:rsidRPr="000854E1" w:rsidRDefault="000854E1" w:rsidP="006611DD">
      <w:pPr>
        <w:pStyle w:val="BodyText"/>
        <w:spacing w:line="360" w:lineRule="auto"/>
        <w:ind w:left="0" w:right="106"/>
        <w:jc w:val="both"/>
        <w:rPr>
          <w:rFonts w:eastAsia="宋体"/>
          <w:sz w:val="24"/>
          <w:szCs w:val="24"/>
          <w:lang w:eastAsia="zh-CN"/>
        </w:rPr>
      </w:pPr>
    </w:p>
    <w:p w:rsidR="000F55D1" w:rsidRPr="00D336AE" w:rsidRDefault="00E302E1" w:rsidP="006611DD">
      <w:pPr>
        <w:pStyle w:val="BodyText"/>
        <w:spacing w:before="43" w:line="360" w:lineRule="auto"/>
        <w:ind w:left="0" w:right="104"/>
        <w:jc w:val="both"/>
        <w:rPr>
          <w:sz w:val="24"/>
          <w:szCs w:val="24"/>
        </w:rPr>
      </w:pPr>
      <w:r w:rsidRPr="00D336AE">
        <w:rPr>
          <w:b/>
          <w:sz w:val="24"/>
          <w:szCs w:val="24"/>
        </w:rPr>
        <w:t>Core tip:</w:t>
      </w:r>
      <w:r w:rsidRPr="00D336AE">
        <w:rPr>
          <w:sz w:val="24"/>
          <w:szCs w:val="24"/>
        </w:rPr>
        <w:t xml:space="preserve"> </w:t>
      </w:r>
      <w:r w:rsidR="00DF6F67" w:rsidRPr="00D336AE">
        <w:rPr>
          <w:sz w:val="24"/>
          <w:szCs w:val="24"/>
        </w:rPr>
        <w:t xml:space="preserve">We evaluated the efficacy </w:t>
      </w:r>
      <w:r w:rsidR="000854E1">
        <w:rPr>
          <w:sz w:val="24"/>
          <w:szCs w:val="24"/>
        </w:rPr>
        <w:t xml:space="preserve">and safety of </w:t>
      </w:r>
      <w:proofErr w:type="spellStart"/>
      <w:r w:rsidR="000854E1">
        <w:rPr>
          <w:sz w:val="24"/>
          <w:szCs w:val="24"/>
        </w:rPr>
        <w:t>telaprevir</w:t>
      </w:r>
      <w:proofErr w:type="spellEnd"/>
      <w:r w:rsidR="000854E1">
        <w:rPr>
          <w:sz w:val="24"/>
          <w:szCs w:val="24"/>
        </w:rPr>
        <w:t xml:space="preserve"> (TVR)-</w:t>
      </w:r>
      <w:r w:rsidR="00DF6F67" w:rsidRPr="00D336AE">
        <w:rPr>
          <w:sz w:val="24"/>
          <w:szCs w:val="24"/>
        </w:rPr>
        <w:t xml:space="preserve">and </w:t>
      </w:r>
      <w:proofErr w:type="spellStart"/>
      <w:r w:rsidR="00DF6F67" w:rsidRPr="00D336AE">
        <w:rPr>
          <w:sz w:val="24"/>
          <w:szCs w:val="24"/>
        </w:rPr>
        <w:t>simeprevir</w:t>
      </w:r>
      <w:proofErr w:type="spellEnd"/>
      <w:r w:rsidR="00DF6F67" w:rsidRPr="00D336AE">
        <w:rPr>
          <w:sz w:val="24"/>
          <w:szCs w:val="24"/>
        </w:rPr>
        <w:t xml:space="preserve"> (SMV)-based triple therapies </w:t>
      </w:r>
      <w:r w:rsidR="00DE02C5" w:rsidRPr="00D336AE">
        <w:rPr>
          <w:sz w:val="24"/>
          <w:szCs w:val="24"/>
        </w:rPr>
        <w:t>for</w:t>
      </w:r>
      <w:r w:rsidR="00DF6F67" w:rsidRPr="00D336AE">
        <w:rPr>
          <w:sz w:val="24"/>
          <w:szCs w:val="24"/>
        </w:rPr>
        <w:t xml:space="preserve"> </w:t>
      </w:r>
      <w:r w:rsidR="006976B3">
        <w:rPr>
          <w:sz w:val="24"/>
          <w:szCs w:val="24"/>
        </w:rPr>
        <w:t>el</w:t>
      </w:r>
      <w:r w:rsidR="00DF6F67" w:rsidRPr="00D336AE">
        <w:rPr>
          <w:sz w:val="24"/>
          <w:szCs w:val="24"/>
        </w:rPr>
        <w:t>der</w:t>
      </w:r>
      <w:r w:rsidR="006976B3">
        <w:rPr>
          <w:sz w:val="24"/>
          <w:szCs w:val="24"/>
        </w:rPr>
        <w:t>ly</w:t>
      </w:r>
      <w:r w:rsidR="00DF6F67" w:rsidRPr="00D336AE">
        <w:rPr>
          <w:sz w:val="24"/>
          <w:szCs w:val="24"/>
        </w:rPr>
        <w:t xml:space="preserve"> patients</w:t>
      </w:r>
      <w:r w:rsidR="00DE02C5" w:rsidRPr="00D336AE">
        <w:rPr>
          <w:sz w:val="24"/>
          <w:szCs w:val="24"/>
        </w:rPr>
        <w:t xml:space="preserve"> with </w:t>
      </w:r>
      <w:r w:rsidR="00AD5087" w:rsidRPr="00AD5087">
        <w:rPr>
          <w:bCs/>
          <w:sz w:val="24"/>
          <w:szCs w:val="24"/>
        </w:rPr>
        <w:t>chronic hepatitis C</w:t>
      </w:r>
      <w:r w:rsidR="00DF6F67" w:rsidRPr="00D336AE">
        <w:rPr>
          <w:sz w:val="24"/>
          <w:szCs w:val="24"/>
        </w:rPr>
        <w:t xml:space="preserve">, </w:t>
      </w:r>
      <w:r w:rsidR="006976B3">
        <w:rPr>
          <w:sz w:val="24"/>
          <w:szCs w:val="24"/>
        </w:rPr>
        <w:t>especial</w:t>
      </w:r>
      <w:r w:rsidR="006976B3" w:rsidRPr="00D336AE">
        <w:rPr>
          <w:sz w:val="24"/>
          <w:szCs w:val="24"/>
        </w:rPr>
        <w:t>ly</w:t>
      </w:r>
      <w:r w:rsidR="00DF6F67" w:rsidRPr="00D336AE">
        <w:rPr>
          <w:sz w:val="24"/>
          <w:szCs w:val="24"/>
        </w:rPr>
        <w:t xml:space="preserve"> </w:t>
      </w:r>
      <w:r w:rsidR="00F9152F" w:rsidRPr="00D336AE">
        <w:rPr>
          <w:sz w:val="24"/>
          <w:szCs w:val="24"/>
        </w:rPr>
        <w:t xml:space="preserve">patients </w:t>
      </w:r>
      <w:r w:rsidR="00DF6F67" w:rsidRPr="00D336AE">
        <w:rPr>
          <w:sz w:val="24"/>
          <w:szCs w:val="24"/>
        </w:rPr>
        <w:t xml:space="preserve">aged 66 years </w:t>
      </w:r>
      <w:r w:rsidR="00F9152F" w:rsidRPr="00D336AE">
        <w:rPr>
          <w:sz w:val="24"/>
          <w:szCs w:val="24"/>
        </w:rPr>
        <w:t>or older</w:t>
      </w:r>
      <w:r w:rsidR="00DF6F67" w:rsidRPr="00D336AE">
        <w:rPr>
          <w:sz w:val="24"/>
          <w:szCs w:val="24"/>
        </w:rPr>
        <w:t xml:space="preserve">, in </w:t>
      </w:r>
      <w:r w:rsidR="00F9152F" w:rsidRPr="00D336AE">
        <w:rPr>
          <w:sz w:val="24"/>
          <w:szCs w:val="24"/>
        </w:rPr>
        <w:t>a real-world clinical setting</w:t>
      </w:r>
      <w:r w:rsidR="00DF6F67" w:rsidRPr="00D336AE">
        <w:rPr>
          <w:sz w:val="24"/>
          <w:szCs w:val="24"/>
        </w:rPr>
        <w:t xml:space="preserve">. In both the TVR and SMV groups, no significant differences in the </w:t>
      </w:r>
      <w:r w:rsidR="00DE02C5" w:rsidRPr="00D336AE">
        <w:rPr>
          <w:sz w:val="24"/>
          <w:szCs w:val="24"/>
        </w:rPr>
        <w:t>SVR</w:t>
      </w:r>
      <w:r w:rsidR="00DF6F67" w:rsidRPr="00D336AE">
        <w:rPr>
          <w:sz w:val="24"/>
          <w:szCs w:val="24"/>
        </w:rPr>
        <w:t xml:space="preserve"> and adverse events result</w:t>
      </w:r>
      <w:r w:rsidR="00F9152F" w:rsidRPr="00D336AE">
        <w:rPr>
          <w:sz w:val="24"/>
          <w:szCs w:val="24"/>
        </w:rPr>
        <w:t>ing</w:t>
      </w:r>
      <w:r w:rsidR="00DF6F67" w:rsidRPr="00D336AE">
        <w:rPr>
          <w:sz w:val="24"/>
          <w:szCs w:val="24"/>
        </w:rPr>
        <w:t xml:space="preserve"> in </w:t>
      </w:r>
      <w:r w:rsidR="00DF6F67" w:rsidRPr="00D336AE">
        <w:rPr>
          <w:sz w:val="24"/>
          <w:szCs w:val="24"/>
        </w:rPr>
        <w:lastRenderedPageBreak/>
        <w:t xml:space="preserve">treatment discontinuation were found between the </w:t>
      </w:r>
      <w:r w:rsidR="00351A0A" w:rsidRPr="00D336AE">
        <w:rPr>
          <w:sz w:val="24"/>
          <w:szCs w:val="24"/>
        </w:rPr>
        <w:t>younger (aged ≤</w:t>
      </w:r>
      <w:r w:rsidR="000854E1">
        <w:rPr>
          <w:rFonts w:eastAsia="宋体" w:hint="eastAsia"/>
          <w:sz w:val="24"/>
          <w:szCs w:val="24"/>
          <w:lang w:eastAsia="zh-CN"/>
        </w:rPr>
        <w:t xml:space="preserve"> </w:t>
      </w:r>
      <w:r w:rsidR="00351A0A" w:rsidRPr="00D336AE">
        <w:rPr>
          <w:sz w:val="24"/>
          <w:szCs w:val="24"/>
        </w:rPr>
        <w:t xml:space="preserve">65) </w:t>
      </w:r>
      <w:r w:rsidR="00DF6F67" w:rsidRPr="00D336AE">
        <w:rPr>
          <w:sz w:val="24"/>
          <w:szCs w:val="24"/>
        </w:rPr>
        <w:t xml:space="preserve">and </w:t>
      </w:r>
      <w:r w:rsidR="00351A0A" w:rsidRPr="00D336AE">
        <w:rPr>
          <w:sz w:val="24"/>
          <w:szCs w:val="24"/>
        </w:rPr>
        <w:t>older (aged &gt;</w:t>
      </w:r>
      <w:r w:rsidR="000854E1">
        <w:rPr>
          <w:rFonts w:eastAsia="宋体" w:hint="eastAsia"/>
          <w:sz w:val="24"/>
          <w:szCs w:val="24"/>
          <w:lang w:eastAsia="zh-CN"/>
        </w:rPr>
        <w:t xml:space="preserve"> </w:t>
      </w:r>
      <w:r w:rsidR="00351A0A" w:rsidRPr="00D336AE">
        <w:rPr>
          <w:sz w:val="24"/>
          <w:szCs w:val="24"/>
        </w:rPr>
        <w:t xml:space="preserve">65) </w:t>
      </w:r>
      <w:r w:rsidR="00DF6F67" w:rsidRPr="00D336AE">
        <w:rPr>
          <w:sz w:val="24"/>
          <w:szCs w:val="24"/>
        </w:rPr>
        <w:t xml:space="preserve">patients. Both the TVR- and SMV-based triple therapies can be successfully used to treat patients aged 66 years </w:t>
      </w:r>
      <w:r w:rsidR="00F9152F" w:rsidRPr="00D336AE">
        <w:rPr>
          <w:sz w:val="24"/>
          <w:szCs w:val="24"/>
        </w:rPr>
        <w:t>or older</w:t>
      </w:r>
      <w:r w:rsidR="00DF6F67" w:rsidRPr="00D336AE">
        <w:rPr>
          <w:sz w:val="24"/>
          <w:szCs w:val="24"/>
        </w:rPr>
        <w:t xml:space="preserve"> with </w:t>
      </w:r>
      <w:r w:rsidR="006976B3">
        <w:rPr>
          <w:sz w:val="24"/>
          <w:szCs w:val="24"/>
        </w:rPr>
        <w:t xml:space="preserve">chronic </w:t>
      </w:r>
      <w:r w:rsidR="000854E1" w:rsidRPr="000854E1">
        <w:rPr>
          <w:sz w:val="24"/>
          <w:szCs w:val="24"/>
        </w:rPr>
        <w:t>hepatitis C</w:t>
      </w:r>
      <w:r w:rsidR="000854E1">
        <w:rPr>
          <w:rFonts w:eastAsia="宋体" w:hint="eastAsia"/>
          <w:sz w:val="24"/>
          <w:szCs w:val="24"/>
          <w:lang w:eastAsia="zh-CN"/>
        </w:rPr>
        <w:t xml:space="preserve"> </w:t>
      </w:r>
      <w:r w:rsidR="000854E1" w:rsidRPr="000854E1">
        <w:rPr>
          <w:sz w:val="24"/>
          <w:szCs w:val="24"/>
        </w:rPr>
        <w:t>virus </w:t>
      </w:r>
      <w:r w:rsidR="00DF6F67" w:rsidRPr="00D336AE">
        <w:rPr>
          <w:sz w:val="24"/>
          <w:szCs w:val="24"/>
        </w:rPr>
        <w:t xml:space="preserve">genotype 1b </w:t>
      </w:r>
      <w:r w:rsidR="006976B3">
        <w:rPr>
          <w:sz w:val="24"/>
          <w:szCs w:val="24"/>
        </w:rPr>
        <w:t>infection</w:t>
      </w:r>
      <w:r w:rsidR="00DF6F67" w:rsidRPr="00D336AE">
        <w:rPr>
          <w:sz w:val="24"/>
          <w:szCs w:val="24"/>
        </w:rPr>
        <w:t xml:space="preserve">. </w:t>
      </w:r>
      <w:r w:rsidR="006976B3">
        <w:rPr>
          <w:sz w:val="24"/>
          <w:szCs w:val="24"/>
        </w:rPr>
        <w:t>G</w:t>
      </w:r>
      <w:r w:rsidR="006976B3" w:rsidRPr="00D336AE">
        <w:rPr>
          <w:sz w:val="24"/>
          <w:szCs w:val="24"/>
        </w:rPr>
        <w:t xml:space="preserve">enotyping </w:t>
      </w:r>
      <w:r w:rsidR="006976B3">
        <w:rPr>
          <w:sz w:val="24"/>
          <w:szCs w:val="24"/>
        </w:rPr>
        <w:t xml:space="preserve">of </w:t>
      </w:r>
      <w:r w:rsidR="009A5373">
        <w:rPr>
          <w:sz w:val="24"/>
          <w:szCs w:val="24"/>
        </w:rPr>
        <w:t xml:space="preserve">the </w:t>
      </w:r>
      <w:r w:rsidR="006976B3">
        <w:rPr>
          <w:sz w:val="24"/>
          <w:szCs w:val="24"/>
        </w:rPr>
        <w:t>i</w:t>
      </w:r>
      <w:r w:rsidR="00DE02C5" w:rsidRPr="00D336AE">
        <w:rPr>
          <w:sz w:val="24"/>
          <w:szCs w:val="24"/>
        </w:rPr>
        <w:t>nterleukin-</w:t>
      </w:r>
      <w:r w:rsidR="00DF6F67" w:rsidRPr="00D336AE">
        <w:rPr>
          <w:sz w:val="24"/>
          <w:szCs w:val="24"/>
        </w:rPr>
        <w:t xml:space="preserve">28B indicates </w:t>
      </w:r>
      <w:r w:rsidR="00F9152F" w:rsidRPr="00D336AE">
        <w:rPr>
          <w:sz w:val="24"/>
          <w:szCs w:val="24"/>
        </w:rPr>
        <w:t>a</w:t>
      </w:r>
      <w:r w:rsidR="00DF6F67" w:rsidRPr="00D336AE">
        <w:rPr>
          <w:sz w:val="24"/>
          <w:szCs w:val="24"/>
        </w:rPr>
        <w:t xml:space="preserve"> potential to achieve SVR in these difficult-to-treat </w:t>
      </w:r>
      <w:r w:rsidR="006976B3">
        <w:rPr>
          <w:sz w:val="24"/>
          <w:szCs w:val="24"/>
        </w:rPr>
        <w:t>e</w:t>
      </w:r>
      <w:r w:rsidR="00DF6F67" w:rsidRPr="00D336AE">
        <w:rPr>
          <w:sz w:val="24"/>
          <w:szCs w:val="24"/>
        </w:rPr>
        <w:t>lder</w:t>
      </w:r>
      <w:r w:rsidR="006976B3">
        <w:rPr>
          <w:sz w:val="24"/>
          <w:szCs w:val="24"/>
        </w:rPr>
        <w:t>ly</w:t>
      </w:r>
      <w:r w:rsidR="00DF6F67" w:rsidRPr="00D336AE">
        <w:rPr>
          <w:sz w:val="24"/>
          <w:szCs w:val="24"/>
        </w:rPr>
        <w:t xml:space="preserve"> patients.</w:t>
      </w:r>
    </w:p>
    <w:p w:rsidR="00C27E0A" w:rsidRPr="00AD5087" w:rsidRDefault="00C27E0A" w:rsidP="006611DD">
      <w:pPr>
        <w:pStyle w:val="BodyText"/>
        <w:spacing w:before="43" w:line="360" w:lineRule="auto"/>
        <w:ind w:left="0" w:right="104"/>
        <w:jc w:val="both"/>
        <w:rPr>
          <w:rFonts w:eastAsia="宋体"/>
          <w:sz w:val="24"/>
          <w:szCs w:val="24"/>
          <w:lang w:eastAsia="zh-CN"/>
        </w:rPr>
      </w:pPr>
    </w:p>
    <w:p w:rsidR="00F643C2" w:rsidRPr="00F643C2" w:rsidRDefault="00C27E0A" w:rsidP="00F643C2">
      <w:pPr>
        <w:pStyle w:val="ListParagraph"/>
        <w:snapToGrid w:val="0"/>
        <w:spacing w:line="360" w:lineRule="auto"/>
        <w:jc w:val="both"/>
        <w:rPr>
          <w:rFonts w:ascii="Book Antiqua" w:eastAsia="Book Antiqua" w:hAnsi="Book Antiqua"/>
          <w:sz w:val="24"/>
          <w:szCs w:val="24"/>
        </w:rPr>
      </w:pPr>
      <w:proofErr w:type="spellStart"/>
      <w:r w:rsidRPr="00F643C2">
        <w:rPr>
          <w:rFonts w:ascii="Book Antiqua" w:eastAsia="Book Antiqua" w:hAnsi="Book Antiqua"/>
          <w:sz w:val="24"/>
          <w:szCs w:val="24"/>
        </w:rPr>
        <w:t>Yamagiwa</w:t>
      </w:r>
      <w:proofErr w:type="spellEnd"/>
      <w:r w:rsidRPr="00F643C2">
        <w:rPr>
          <w:rFonts w:ascii="Book Antiqua" w:eastAsia="Book Antiqua" w:hAnsi="Book Antiqua"/>
          <w:sz w:val="24"/>
          <w:szCs w:val="24"/>
        </w:rPr>
        <w:t xml:space="preserve"> S, Ishikawa T, </w:t>
      </w:r>
      <w:proofErr w:type="spellStart"/>
      <w:r w:rsidRPr="00F643C2">
        <w:rPr>
          <w:rFonts w:ascii="Book Antiqua" w:eastAsia="Book Antiqua" w:hAnsi="Book Antiqua"/>
          <w:sz w:val="24"/>
          <w:szCs w:val="24"/>
        </w:rPr>
        <w:t>Waguri</w:t>
      </w:r>
      <w:proofErr w:type="spellEnd"/>
      <w:r w:rsidRPr="00F643C2">
        <w:rPr>
          <w:rFonts w:ascii="Book Antiqua" w:eastAsia="Book Antiqua" w:hAnsi="Book Antiqua"/>
          <w:sz w:val="24"/>
          <w:szCs w:val="24"/>
        </w:rPr>
        <w:t xml:space="preserve"> N, </w:t>
      </w:r>
      <w:proofErr w:type="spellStart"/>
      <w:r w:rsidRPr="00F643C2">
        <w:rPr>
          <w:rFonts w:ascii="Book Antiqua" w:eastAsia="Book Antiqua" w:hAnsi="Book Antiqua"/>
          <w:sz w:val="24"/>
          <w:szCs w:val="24"/>
        </w:rPr>
        <w:t>Sugitani</w:t>
      </w:r>
      <w:proofErr w:type="spellEnd"/>
      <w:r w:rsidRPr="00F643C2">
        <w:rPr>
          <w:rFonts w:ascii="Book Antiqua" w:eastAsia="Book Antiqua" w:hAnsi="Book Antiqua"/>
          <w:sz w:val="24"/>
          <w:szCs w:val="24"/>
        </w:rPr>
        <w:t xml:space="preserve"> S, Wakabayashi H, </w:t>
      </w:r>
      <w:proofErr w:type="spellStart"/>
      <w:r w:rsidRPr="00F643C2">
        <w:rPr>
          <w:rFonts w:ascii="Book Antiqua" w:eastAsia="Book Antiqua" w:hAnsi="Book Antiqua"/>
          <w:sz w:val="24"/>
          <w:szCs w:val="24"/>
        </w:rPr>
        <w:t>Ohkoshi</w:t>
      </w:r>
      <w:proofErr w:type="spellEnd"/>
      <w:r w:rsidRPr="00F643C2">
        <w:rPr>
          <w:rFonts w:ascii="Book Antiqua" w:eastAsia="Book Antiqua" w:hAnsi="Book Antiqua"/>
          <w:sz w:val="24"/>
          <w:szCs w:val="24"/>
        </w:rPr>
        <w:t xml:space="preserve"> S, </w:t>
      </w:r>
      <w:proofErr w:type="spellStart"/>
      <w:r w:rsidRPr="00F643C2">
        <w:rPr>
          <w:rFonts w:ascii="Book Antiqua" w:eastAsia="Book Antiqua" w:hAnsi="Book Antiqua"/>
          <w:sz w:val="24"/>
          <w:szCs w:val="24"/>
        </w:rPr>
        <w:t>Tsukishiro</w:t>
      </w:r>
      <w:proofErr w:type="spellEnd"/>
      <w:r w:rsidRPr="00F643C2">
        <w:rPr>
          <w:rFonts w:ascii="Book Antiqua" w:eastAsia="Book Antiqua" w:hAnsi="Book Antiqua"/>
          <w:sz w:val="24"/>
          <w:szCs w:val="24"/>
        </w:rPr>
        <w:t xml:space="preserve"> T, Takahashi T, Watanabe T, </w:t>
      </w:r>
      <w:proofErr w:type="spellStart"/>
      <w:r w:rsidRPr="00F643C2">
        <w:rPr>
          <w:rFonts w:ascii="Book Antiqua" w:eastAsia="Book Antiqua" w:hAnsi="Book Antiqua"/>
          <w:sz w:val="24"/>
          <w:szCs w:val="24"/>
        </w:rPr>
        <w:t>Terai</w:t>
      </w:r>
      <w:proofErr w:type="spellEnd"/>
      <w:r w:rsidRPr="00F643C2">
        <w:rPr>
          <w:rFonts w:ascii="Book Antiqua" w:eastAsia="Book Antiqua" w:hAnsi="Book Antiqua"/>
          <w:sz w:val="24"/>
          <w:szCs w:val="24"/>
        </w:rPr>
        <w:t xml:space="preserve"> S. Efficacy and safety of </w:t>
      </w:r>
      <w:proofErr w:type="spellStart"/>
      <w:r w:rsidRPr="00F643C2">
        <w:rPr>
          <w:rFonts w:ascii="Book Antiqua" w:eastAsia="Book Antiqua" w:hAnsi="Book Antiqua"/>
          <w:sz w:val="24"/>
          <w:szCs w:val="24"/>
        </w:rPr>
        <w:t>telaprevir</w:t>
      </w:r>
      <w:proofErr w:type="spellEnd"/>
      <w:r w:rsidRPr="00F643C2">
        <w:rPr>
          <w:rFonts w:ascii="Book Antiqua" w:eastAsia="Book Antiqua" w:hAnsi="Book Antiqua"/>
          <w:sz w:val="24"/>
          <w:szCs w:val="24"/>
        </w:rPr>
        <w:t xml:space="preserve">- and </w:t>
      </w:r>
      <w:proofErr w:type="spellStart"/>
      <w:r w:rsidRPr="00F643C2">
        <w:rPr>
          <w:rFonts w:ascii="Book Antiqua" w:eastAsia="Book Antiqua" w:hAnsi="Book Antiqua"/>
          <w:sz w:val="24"/>
          <w:szCs w:val="24"/>
        </w:rPr>
        <w:t>simeprevir</w:t>
      </w:r>
      <w:proofErr w:type="spellEnd"/>
      <w:r w:rsidRPr="00F643C2">
        <w:rPr>
          <w:rFonts w:ascii="Book Antiqua" w:eastAsia="Book Antiqua" w:hAnsi="Book Antiqua"/>
          <w:sz w:val="24"/>
          <w:szCs w:val="24"/>
        </w:rPr>
        <w:t xml:space="preserve">-based triple therapies for aged patients with </w:t>
      </w:r>
      <w:r w:rsidR="00AD5087" w:rsidRPr="00F643C2">
        <w:rPr>
          <w:rFonts w:ascii="Book Antiqua" w:eastAsia="Book Antiqua" w:hAnsi="Book Antiqua"/>
          <w:sz w:val="24"/>
          <w:szCs w:val="24"/>
        </w:rPr>
        <w:t>chronic hepatitis C</w:t>
      </w:r>
      <w:r w:rsidRPr="00F643C2">
        <w:rPr>
          <w:rFonts w:ascii="Book Antiqua" w:eastAsia="Book Antiqua" w:hAnsi="Book Antiqua"/>
          <w:sz w:val="24"/>
          <w:szCs w:val="24"/>
        </w:rPr>
        <w:t>.</w:t>
      </w:r>
      <w:bookmarkStart w:id="84" w:name="OLE_LINK490"/>
      <w:bookmarkStart w:id="85" w:name="OLE_LINK491"/>
      <w:bookmarkStart w:id="86" w:name="OLE_LINK553"/>
      <w:bookmarkStart w:id="87" w:name="OLE_LINK687"/>
      <w:r w:rsidR="00F643C2" w:rsidRPr="00F643C2">
        <w:rPr>
          <w:rFonts w:ascii="Book Antiqua" w:eastAsia="Book Antiqua" w:hAnsi="Book Antiqua"/>
          <w:sz w:val="24"/>
          <w:szCs w:val="24"/>
        </w:rPr>
        <w:t xml:space="preserve"> </w:t>
      </w:r>
      <w:r w:rsidR="00F643C2" w:rsidRPr="00F643C2">
        <w:rPr>
          <w:rFonts w:ascii="Book Antiqua" w:eastAsia="Book Antiqua" w:hAnsi="Book Antiqua"/>
          <w:i/>
          <w:sz w:val="24"/>
          <w:szCs w:val="24"/>
        </w:rPr>
        <w:t xml:space="preserve">World J </w:t>
      </w:r>
      <w:proofErr w:type="spellStart"/>
      <w:r w:rsidR="00F643C2" w:rsidRPr="00F643C2">
        <w:rPr>
          <w:rFonts w:ascii="Book Antiqua" w:eastAsia="Book Antiqua" w:hAnsi="Book Antiqua"/>
          <w:i/>
          <w:sz w:val="24"/>
          <w:szCs w:val="24"/>
        </w:rPr>
        <w:t>Hepatol</w:t>
      </w:r>
      <w:proofErr w:type="spellEnd"/>
      <w:r w:rsidR="00F643C2" w:rsidRPr="00F643C2">
        <w:rPr>
          <w:rFonts w:ascii="Book Antiqua" w:eastAsia="Book Antiqua" w:hAnsi="Book Antiqua"/>
          <w:sz w:val="24"/>
          <w:szCs w:val="24"/>
        </w:rPr>
        <w:t xml:space="preserve"> 201</w:t>
      </w:r>
      <w:r w:rsidR="00A910D9">
        <w:rPr>
          <w:rFonts w:ascii="Book Antiqua" w:eastAsia="宋体" w:hAnsi="Book Antiqua" w:hint="eastAsia"/>
          <w:sz w:val="24"/>
          <w:szCs w:val="24"/>
          <w:lang w:eastAsia="zh-CN"/>
        </w:rPr>
        <w:t>7</w:t>
      </w:r>
      <w:r w:rsidR="00F643C2" w:rsidRPr="00F643C2">
        <w:rPr>
          <w:rFonts w:ascii="Book Antiqua" w:eastAsia="Book Antiqua" w:hAnsi="Book Antiqua"/>
          <w:sz w:val="24"/>
          <w:szCs w:val="24"/>
        </w:rPr>
        <w:t>; In press</w:t>
      </w:r>
    </w:p>
    <w:bookmarkEnd w:id="84"/>
    <w:bookmarkEnd w:id="85"/>
    <w:bookmarkEnd w:id="86"/>
    <w:bookmarkEnd w:id="87"/>
    <w:p w:rsidR="00C27E0A" w:rsidRPr="00D336AE" w:rsidRDefault="00C27E0A" w:rsidP="006611DD">
      <w:pPr>
        <w:pStyle w:val="BodyText"/>
        <w:spacing w:before="43" w:line="360" w:lineRule="auto"/>
        <w:ind w:left="0" w:right="104"/>
        <w:jc w:val="both"/>
        <w:rPr>
          <w:sz w:val="24"/>
          <w:szCs w:val="24"/>
        </w:rPr>
      </w:pPr>
    </w:p>
    <w:p w:rsidR="000F55D1" w:rsidRPr="00D336AE" w:rsidRDefault="000F55D1" w:rsidP="006611DD">
      <w:pPr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</w:p>
    <w:p w:rsidR="00C27E0A" w:rsidRPr="00D336AE" w:rsidRDefault="00C27E0A" w:rsidP="006611DD">
      <w:pPr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</w:p>
    <w:p w:rsidR="000F55D1" w:rsidRPr="00D336AE" w:rsidRDefault="000F55D1" w:rsidP="006611DD">
      <w:pPr>
        <w:spacing w:line="360" w:lineRule="auto"/>
        <w:jc w:val="both"/>
        <w:rPr>
          <w:sz w:val="24"/>
          <w:szCs w:val="24"/>
        </w:rPr>
        <w:sectPr w:rsidR="000F55D1" w:rsidRPr="00D336AE" w:rsidSect="006611DD">
          <w:footerReference w:type="default" r:id="rId8"/>
          <w:pgSz w:w="11910" w:h="16840"/>
          <w:pgMar w:top="1300" w:right="1240" w:bottom="2100" w:left="1560" w:header="0" w:footer="1918" w:gutter="0"/>
          <w:cols w:space="720"/>
        </w:sectPr>
      </w:pPr>
    </w:p>
    <w:p w:rsidR="000F55D1" w:rsidRPr="00D336AE" w:rsidRDefault="00E302E1" w:rsidP="006611DD">
      <w:pPr>
        <w:pStyle w:val="Heading1"/>
        <w:spacing w:before="40" w:line="360" w:lineRule="auto"/>
        <w:ind w:left="0"/>
        <w:jc w:val="both"/>
        <w:rPr>
          <w:b w:val="0"/>
          <w:bCs w:val="0"/>
          <w:sz w:val="24"/>
          <w:szCs w:val="24"/>
        </w:rPr>
      </w:pPr>
      <w:r w:rsidRPr="00D336AE">
        <w:rPr>
          <w:sz w:val="24"/>
          <w:szCs w:val="24"/>
        </w:rPr>
        <w:lastRenderedPageBreak/>
        <w:t>INTRODUCTION</w:t>
      </w:r>
    </w:p>
    <w:p w:rsidR="00591FF8" w:rsidRPr="00D336AE" w:rsidRDefault="00591FF8" w:rsidP="006611DD">
      <w:pPr>
        <w:pStyle w:val="BodyText"/>
        <w:spacing w:before="145" w:line="360" w:lineRule="auto"/>
        <w:ind w:left="0" w:right="104"/>
        <w:jc w:val="both"/>
        <w:rPr>
          <w:sz w:val="24"/>
          <w:szCs w:val="24"/>
        </w:rPr>
      </w:pPr>
      <w:r w:rsidRPr="00D336AE">
        <w:rPr>
          <w:sz w:val="24"/>
          <w:szCs w:val="24"/>
        </w:rPr>
        <w:t>Chronic hepatitis C virus (HCV) infection</w:t>
      </w:r>
      <w:r w:rsidR="00CF6E4B" w:rsidRPr="00D336AE">
        <w:rPr>
          <w:sz w:val="24"/>
          <w:szCs w:val="24"/>
        </w:rPr>
        <w:t>s affect</w:t>
      </w:r>
      <w:r w:rsidRPr="00D336AE">
        <w:rPr>
          <w:sz w:val="24"/>
          <w:szCs w:val="24"/>
        </w:rPr>
        <w:t xml:space="preserve"> approximately 130-170 million people worldwide and </w:t>
      </w:r>
      <w:r w:rsidR="00CF6E4B" w:rsidRPr="00D336AE">
        <w:rPr>
          <w:sz w:val="24"/>
          <w:szCs w:val="24"/>
        </w:rPr>
        <w:t>are</w:t>
      </w:r>
      <w:r w:rsidRPr="00D336AE">
        <w:rPr>
          <w:sz w:val="24"/>
          <w:szCs w:val="24"/>
        </w:rPr>
        <w:t xml:space="preserve"> associated with a</w:t>
      </w:r>
      <w:r w:rsidR="00393D59">
        <w:rPr>
          <w:sz w:val="24"/>
          <w:szCs w:val="24"/>
        </w:rPr>
        <w:t xml:space="preserve">n </w:t>
      </w:r>
      <w:r w:rsidRPr="00D336AE">
        <w:rPr>
          <w:sz w:val="24"/>
          <w:szCs w:val="24"/>
        </w:rPr>
        <w:t>increased risk of</w:t>
      </w:r>
      <w:r w:rsidR="00CF6E4B" w:rsidRPr="00D336AE">
        <w:rPr>
          <w:sz w:val="24"/>
          <w:szCs w:val="24"/>
        </w:rPr>
        <w:t xml:space="preserve"> developing</w:t>
      </w:r>
      <w:r w:rsidRPr="00D336AE">
        <w:rPr>
          <w:sz w:val="24"/>
          <w:szCs w:val="24"/>
        </w:rPr>
        <w:t xml:space="preserve"> liver cirrhosis and hepatocellular carcinoma</w:t>
      </w:r>
      <w:r w:rsidR="00DA1FB8" w:rsidRPr="00D336AE">
        <w:rPr>
          <w:sz w:val="24"/>
          <w:szCs w:val="24"/>
        </w:rPr>
        <w:t xml:space="preserve"> (HCC)</w:t>
      </w:r>
      <w:r w:rsidRPr="00D336AE">
        <w:rPr>
          <w:position w:val="6"/>
          <w:sz w:val="16"/>
          <w:szCs w:val="16"/>
        </w:rPr>
        <w:t>[</w:t>
      </w:r>
      <w:r w:rsidR="0018774D" w:rsidRPr="00D336AE">
        <w:rPr>
          <w:position w:val="6"/>
          <w:sz w:val="16"/>
          <w:szCs w:val="16"/>
        </w:rPr>
        <w:t>1,2</w:t>
      </w:r>
      <w:r w:rsidRPr="00D336AE">
        <w:rPr>
          <w:position w:val="6"/>
          <w:sz w:val="16"/>
          <w:szCs w:val="16"/>
        </w:rPr>
        <w:t>]</w:t>
      </w:r>
      <w:r w:rsidRPr="00D336AE">
        <w:rPr>
          <w:sz w:val="16"/>
          <w:szCs w:val="16"/>
        </w:rPr>
        <w:t>.</w:t>
      </w:r>
      <w:r w:rsidR="00A07534" w:rsidRPr="00D336AE">
        <w:rPr>
          <w:sz w:val="24"/>
          <w:szCs w:val="24"/>
        </w:rPr>
        <w:t xml:space="preserve"> </w:t>
      </w:r>
      <w:r w:rsidR="00A07534" w:rsidRPr="00D336AE">
        <w:rPr>
          <w:rFonts w:eastAsiaTheme="minorEastAsia" w:hint="eastAsia"/>
          <w:sz w:val="24"/>
          <w:szCs w:val="24"/>
          <w:lang w:eastAsia="ja-JP"/>
        </w:rPr>
        <w:t xml:space="preserve">In Japan, </w:t>
      </w:r>
      <w:r w:rsidR="00A07534" w:rsidRPr="00D336AE">
        <w:rPr>
          <w:rFonts w:eastAsiaTheme="minorEastAsia"/>
          <w:sz w:val="24"/>
          <w:szCs w:val="24"/>
          <w:lang w:eastAsia="ja-JP"/>
        </w:rPr>
        <w:t xml:space="preserve">an estimated 1.5-2 million people </w:t>
      </w:r>
      <w:r w:rsidR="00A811F9">
        <w:rPr>
          <w:rFonts w:eastAsiaTheme="minorEastAsia"/>
          <w:sz w:val="24"/>
          <w:szCs w:val="24"/>
          <w:lang w:eastAsia="ja-JP"/>
        </w:rPr>
        <w:t xml:space="preserve">are </w:t>
      </w:r>
      <w:r w:rsidR="00A07534" w:rsidRPr="00D336AE">
        <w:rPr>
          <w:rFonts w:eastAsiaTheme="minorEastAsia"/>
          <w:sz w:val="24"/>
          <w:szCs w:val="24"/>
          <w:lang w:eastAsia="ja-JP"/>
        </w:rPr>
        <w:t>infected with HCV</w:t>
      </w:r>
      <w:r w:rsidR="00A07534" w:rsidRPr="00D336AE">
        <w:rPr>
          <w:position w:val="6"/>
          <w:sz w:val="16"/>
          <w:szCs w:val="16"/>
        </w:rPr>
        <w:t>[</w:t>
      </w:r>
      <w:r w:rsidR="00574F01" w:rsidRPr="00D336AE">
        <w:rPr>
          <w:position w:val="6"/>
          <w:sz w:val="16"/>
          <w:szCs w:val="16"/>
        </w:rPr>
        <w:t>3</w:t>
      </w:r>
      <w:r w:rsidR="00A07534" w:rsidRPr="00D336AE">
        <w:rPr>
          <w:position w:val="6"/>
          <w:sz w:val="16"/>
          <w:szCs w:val="16"/>
        </w:rPr>
        <w:t>]</w:t>
      </w:r>
      <w:r w:rsidR="00A07534" w:rsidRPr="00D336AE">
        <w:rPr>
          <w:rFonts w:eastAsiaTheme="minorEastAsia"/>
          <w:sz w:val="24"/>
          <w:szCs w:val="24"/>
          <w:lang w:eastAsia="ja-JP"/>
        </w:rPr>
        <w:t xml:space="preserve">. </w:t>
      </w:r>
      <w:r w:rsidR="00D24673" w:rsidRPr="00D336AE">
        <w:rPr>
          <w:rFonts w:eastAsiaTheme="minorEastAsia"/>
          <w:sz w:val="24"/>
          <w:szCs w:val="24"/>
          <w:lang w:eastAsia="ja-JP"/>
        </w:rPr>
        <w:t>Most</w:t>
      </w:r>
      <w:r w:rsidR="00A07534" w:rsidRPr="00D336AE">
        <w:rPr>
          <w:rFonts w:eastAsiaTheme="minorEastAsia" w:hint="eastAsia"/>
          <w:sz w:val="24"/>
          <w:szCs w:val="24"/>
          <w:lang w:eastAsia="ja-JP"/>
        </w:rPr>
        <w:t xml:space="preserve"> of </w:t>
      </w:r>
      <w:r w:rsidR="00D24673" w:rsidRPr="00D336AE">
        <w:rPr>
          <w:rFonts w:eastAsiaTheme="minorEastAsia"/>
          <w:sz w:val="24"/>
          <w:szCs w:val="24"/>
          <w:lang w:eastAsia="ja-JP"/>
        </w:rPr>
        <w:t xml:space="preserve">infected </w:t>
      </w:r>
      <w:r w:rsidR="00A07534" w:rsidRPr="00D336AE">
        <w:rPr>
          <w:rFonts w:eastAsiaTheme="minorEastAsia" w:hint="eastAsia"/>
          <w:sz w:val="24"/>
          <w:szCs w:val="24"/>
          <w:lang w:eastAsia="ja-JP"/>
        </w:rPr>
        <w:t xml:space="preserve">patients </w:t>
      </w:r>
      <w:r w:rsidR="00D24673" w:rsidRPr="00D336AE">
        <w:rPr>
          <w:rFonts w:eastAsiaTheme="minorEastAsia"/>
          <w:sz w:val="24"/>
          <w:szCs w:val="24"/>
          <w:lang w:eastAsia="ja-JP"/>
        </w:rPr>
        <w:t xml:space="preserve">in Japan </w:t>
      </w:r>
      <w:r w:rsidR="00A07534" w:rsidRPr="00D336AE">
        <w:rPr>
          <w:rFonts w:eastAsiaTheme="minorEastAsia" w:hint="eastAsia"/>
          <w:sz w:val="24"/>
          <w:szCs w:val="24"/>
          <w:lang w:eastAsia="ja-JP"/>
        </w:rPr>
        <w:t xml:space="preserve">are infected with </w:t>
      </w:r>
      <w:r w:rsidR="00E6765F" w:rsidRPr="00D336AE">
        <w:rPr>
          <w:rFonts w:eastAsiaTheme="minorEastAsia" w:hint="eastAsia"/>
          <w:sz w:val="24"/>
          <w:szCs w:val="24"/>
          <w:lang w:eastAsia="ja-JP"/>
        </w:rPr>
        <w:t>genotype 1</w:t>
      </w:r>
      <w:r w:rsidR="00E6765F">
        <w:rPr>
          <w:rFonts w:eastAsiaTheme="minorEastAsia"/>
          <w:sz w:val="24"/>
          <w:szCs w:val="24"/>
          <w:lang w:eastAsia="ja-JP"/>
        </w:rPr>
        <w:t xml:space="preserve"> </w:t>
      </w:r>
      <w:r w:rsidR="00A07534" w:rsidRPr="00D336AE">
        <w:rPr>
          <w:rFonts w:eastAsiaTheme="minorEastAsia" w:hint="eastAsia"/>
          <w:sz w:val="24"/>
          <w:szCs w:val="24"/>
          <w:lang w:eastAsia="ja-JP"/>
        </w:rPr>
        <w:t xml:space="preserve">HCV </w:t>
      </w:r>
      <w:r w:rsidR="0018774D" w:rsidRPr="00D336AE">
        <w:rPr>
          <w:rFonts w:eastAsiaTheme="minorEastAsia" w:hint="eastAsia"/>
          <w:sz w:val="24"/>
          <w:szCs w:val="24"/>
          <w:lang w:eastAsia="ja-JP"/>
        </w:rPr>
        <w:t xml:space="preserve">and </w:t>
      </w:r>
      <w:r w:rsidR="00A07534" w:rsidRPr="00D336AE">
        <w:rPr>
          <w:rFonts w:eastAsiaTheme="minorEastAsia" w:hint="eastAsia"/>
          <w:sz w:val="24"/>
          <w:szCs w:val="24"/>
          <w:lang w:eastAsia="ja-JP"/>
        </w:rPr>
        <w:t xml:space="preserve">are older than </w:t>
      </w:r>
      <w:r w:rsidR="00D24673" w:rsidRPr="00D336AE">
        <w:rPr>
          <w:rFonts w:eastAsiaTheme="minorEastAsia"/>
          <w:sz w:val="24"/>
          <w:szCs w:val="24"/>
          <w:lang w:eastAsia="ja-JP"/>
        </w:rPr>
        <w:t xml:space="preserve">the infected </w:t>
      </w:r>
      <w:r w:rsidR="00A07534" w:rsidRPr="00D336AE">
        <w:rPr>
          <w:rFonts w:eastAsiaTheme="minorEastAsia" w:hint="eastAsia"/>
          <w:sz w:val="24"/>
          <w:szCs w:val="24"/>
          <w:lang w:eastAsia="ja-JP"/>
        </w:rPr>
        <w:t>patient</w:t>
      </w:r>
      <w:r w:rsidR="00083524" w:rsidRPr="00D336AE">
        <w:rPr>
          <w:rFonts w:eastAsiaTheme="minorEastAsia"/>
          <w:sz w:val="24"/>
          <w:szCs w:val="24"/>
          <w:lang w:eastAsia="ja-JP"/>
        </w:rPr>
        <w:t>s</w:t>
      </w:r>
      <w:r w:rsidR="00A07534" w:rsidRPr="00D336AE">
        <w:rPr>
          <w:rFonts w:eastAsiaTheme="minorEastAsia" w:hint="eastAsia"/>
          <w:sz w:val="24"/>
          <w:szCs w:val="24"/>
          <w:lang w:eastAsia="ja-JP"/>
        </w:rPr>
        <w:t xml:space="preserve"> in </w:t>
      </w:r>
      <w:r w:rsidR="00E6765F" w:rsidRPr="00D336AE">
        <w:rPr>
          <w:rFonts w:eastAsiaTheme="minorEastAsia" w:hint="eastAsia"/>
          <w:sz w:val="24"/>
          <w:szCs w:val="24"/>
          <w:lang w:eastAsia="ja-JP"/>
        </w:rPr>
        <w:t xml:space="preserve">Europe and </w:t>
      </w:r>
      <w:r w:rsidR="00A07534" w:rsidRPr="00D336AE">
        <w:rPr>
          <w:rFonts w:eastAsiaTheme="minorEastAsia" w:hint="eastAsia"/>
          <w:sz w:val="24"/>
          <w:szCs w:val="24"/>
          <w:lang w:eastAsia="ja-JP"/>
        </w:rPr>
        <w:t>the United States</w:t>
      </w:r>
      <w:r w:rsidR="00574F01" w:rsidRPr="00D336AE">
        <w:rPr>
          <w:position w:val="6"/>
          <w:sz w:val="16"/>
          <w:szCs w:val="16"/>
        </w:rPr>
        <w:t>[4]</w:t>
      </w:r>
      <w:r w:rsidR="00A07534" w:rsidRPr="00D336AE">
        <w:rPr>
          <w:rFonts w:eastAsiaTheme="minorEastAsia" w:hint="eastAsia"/>
          <w:sz w:val="24"/>
          <w:szCs w:val="24"/>
          <w:lang w:eastAsia="ja-JP"/>
        </w:rPr>
        <w:t xml:space="preserve">. </w:t>
      </w:r>
      <w:r w:rsidR="00D24673" w:rsidRPr="00D336AE">
        <w:rPr>
          <w:rFonts w:eastAsiaTheme="minorEastAsia"/>
          <w:sz w:val="24"/>
          <w:szCs w:val="24"/>
          <w:lang w:eastAsia="ja-JP"/>
        </w:rPr>
        <w:t xml:space="preserve">Although </w:t>
      </w:r>
      <w:r w:rsidR="00DA1FB8" w:rsidRPr="00D336AE">
        <w:rPr>
          <w:rFonts w:eastAsiaTheme="minorEastAsia"/>
          <w:sz w:val="24"/>
          <w:szCs w:val="24"/>
          <w:lang w:eastAsia="ja-JP"/>
        </w:rPr>
        <w:t xml:space="preserve">older patients with chronic HCV infection have </w:t>
      </w:r>
      <w:r w:rsidR="00D24673" w:rsidRPr="00D336AE">
        <w:rPr>
          <w:rFonts w:eastAsiaTheme="minorEastAsia"/>
          <w:sz w:val="24"/>
          <w:szCs w:val="24"/>
          <w:lang w:eastAsia="ja-JP"/>
        </w:rPr>
        <w:t xml:space="preserve">a </w:t>
      </w:r>
      <w:r w:rsidR="00336B83" w:rsidRPr="00D336AE">
        <w:rPr>
          <w:rFonts w:eastAsiaTheme="minorEastAsia"/>
          <w:sz w:val="24"/>
          <w:szCs w:val="24"/>
          <w:lang w:eastAsia="ja-JP"/>
        </w:rPr>
        <w:t>higher</w:t>
      </w:r>
      <w:r w:rsidR="00DA1FB8" w:rsidRPr="00D336AE">
        <w:rPr>
          <w:rFonts w:eastAsiaTheme="minorEastAsia"/>
          <w:sz w:val="24"/>
          <w:szCs w:val="24"/>
          <w:lang w:eastAsia="ja-JP"/>
        </w:rPr>
        <w:t xml:space="preserve"> risk of developing HCC than younger patients even at the same liver fibrosis stage</w:t>
      </w:r>
      <w:r w:rsidR="00CE285C" w:rsidRPr="00D336AE">
        <w:rPr>
          <w:position w:val="6"/>
          <w:sz w:val="16"/>
          <w:szCs w:val="16"/>
        </w:rPr>
        <w:t>[5]</w:t>
      </w:r>
      <w:r w:rsidR="00DA1FB8" w:rsidRPr="00D336AE">
        <w:rPr>
          <w:rFonts w:eastAsiaTheme="minorEastAsia"/>
          <w:sz w:val="24"/>
          <w:szCs w:val="24"/>
          <w:lang w:eastAsia="ja-JP"/>
        </w:rPr>
        <w:t xml:space="preserve">, </w:t>
      </w:r>
      <w:r w:rsidR="00A07534" w:rsidRPr="00D336AE">
        <w:rPr>
          <w:rFonts w:eastAsiaTheme="minorEastAsia"/>
          <w:sz w:val="24"/>
          <w:szCs w:val="24"/>
          <w:lang w:eastAsia="ja-JP"/>
        </w:rPr>
        <w:t xml:space="preserve">older patients have </w:t>
      </w:r>
      <w:r w:rsidR="00DA1FB8" w:rsidRPr="00D336AE">
        <w:rPr>
          <w:rFonts w:eastAsiaTheme="minorEastAsia"/>
          <w:sz w:val="24"/>
          <w:szCs w:val="24"/>
          <w:lang w:eastAsia="ja-JP"/>
        </w:rPr>
        <w:t xml:space="preserve">been reported to show </w:t>
      </w:r>
      <w:r w:rsidR="00A07534" w:rsidRPr="00D336AE">
        <w:rPr>
          <w:rFonts w:eastAsiaTheme="minorEastAsia"/>
          <w:sz w:val="24"/>
          <w:szCs w:val="24"/>
          <w:lang w:eastAsia="ja-JP"/>
        </w:rPr>
        <w:t xml:space="preserve">poor </w:t>
      </w:r>
      <w:proofErr w:type="spellStart"/>
      <w:r w:rsidR="00A07534" w:rsidRPr="00D336AE">
        <w:rPr>
          <w:rFonts w:eastAsiaTheme="minorEastAsia"/>
          <w:sz w:val="24"/>
          <w:szCs w:val="24"/>
          <w:lang w:eastAsia="ja-JP"/>
        </w:rPr>
        <w:t>virological</w:t>
      </w:r>
      <w:proofErr w:type="spellEnd"/>
      <w:r w:rsidR="00A07534" w:rsidRPr="00D336AE">
        <w:rPr>
          <w:rFonts w:eastAsiaTheme="minorEastAsia"/>
          <w:sz w:val="24"/>
          <w:szCs w:val="24"/>
          <w:lang w:eastAsia="ja-JP"/>
        </w:rPr>
        <w:t xml:space="preserve"> response</w:t>
      </w:r>
      <w:r w:rsidR="00D24673" w:rsidRPr="00D336AE">
        <w:rPr>
          <w:rFonts w:eastAsiaTheme="minorEastAsia"/>
          <w:sz w:val="24"/>
          <w:szCs w:val="24"/>
          <w:lang w:eastAsia="ja-JP"/>
        </w:rPr>
        <w:t>s</w:t>
      </w:r>
      <w:r w:rsidR="00A07534" w:rsidRPr="00D336AE">
        <w:rPr>
          <w:rFonts w:eastAsiaTheme="minorEastAsia"/>
          <w:sz w:val="24"/>
          <w:szCs w:val="24"/>
          <w:lang w:eastAsia="ja-JP"/>
        </w:rPr>
        <w:t xml:space="preserve"> to antiviral treatment</w:t>
      </w:r>
      <w:r w:rsidR="00336B83" w:rsidRPr="00D336AE">
        <w:rPr>
          <w:rFonts w:eastAsiaTheme="minorEastAsia"/>
          <w:sz w:val="24"/>
          <w:szCs w:val="24"/>
          <w:lang w:eastAsia="ja-JP"/>
        </w:rPr>
        <w:t>s</w:t>
      </w:r>
      <w:r w:rsidR="00A07534" w:rsidRPr="00D336AE">
        <w:rPr>
          <w:rFonts w:eastAsiaTheme="minorEastAsia"/>
          <w:sz w:val="24"/>
          <w:szCs w:val="24"/>
          <w:lang w:eastAsia="ja-JP"/>
        </w:rPr>
        <w:t>, especially postmenopausal women</w:t>
      </w:r>
      <w:r w:rsidR="00A07534" w:rsidRPr="00D336AE">
        <w:rPr>
          <w:position w:val="6"/>
          <w:sz w:val="16"/>
          <w:szCs w:val="16"/>
        </w:rPr>
        <w:t>[</w:t>
      </w:r>
      <w:r w:rsidR="00CE285C" w:rsidRPr="00D336AE">
        <w:rPr>
          <w:position w:val="6"/>
          <w:sz w:val="16"/>
          <w:szCs w:val="16"/>
        </w:rPr>
        <w:t>6</w:t>
      </w:r>
      <w:r w:rsidR="00F32FE6" w:rsidRPr="00D336AE">
        <w:rPr>
          <w:position w:val="6"/>
          <w:sz w:val="16"/>
          <w:szCs w:val="16"/>
        </w:rPr>
        <w:t>-8</w:t>
      </w:r>
      <w:r w:rsidR="00A07534" w:rsidRPr="00D336AE">
        <w:rPr>
          <w:position w:val="6"/>
          <w:sz w:val="16"/>
          <w:szCs w:val="16"/>
        </w:rPr>
        <w:t>]</w:t>
      </w:r>
      <w:r w:rsidR="00A07534" w:rsidRPr="00D336AE">
        <w:rPr>
          <w:rFonts w:eastAsiaTheme="minorEastAsia"/>
          <w:sz w:val="24"/>
          <w:szCs w:val="24"/>
          <w:lang w:eastAsia="ja-JP"/>
        </w:rPr>
        <w:t>.</w:t>
      </w:r>
      <w:r w:rsidR="00FB346E" w:rsidRPr="00D336AE">
        <w:rPr>
          <w:rFonts w:eastAsiaTheme="minorEastAsia"/>
          <w:sz w:val="24"/>
          <w:szCs w:val="24"/>
          <w:lang w:eastAsia="ja-JP"/>
        </w:rPr>
        <w:t xml:space="preserve"> </w:t>
      </w:r>
      <w:r w:rsidR="004948DD" w:rsidRPr="00D336AE">
        <w:rPr>
          <w:rFonts w:eastAsiaTheme="minorEastAsia"/>
          <w:sz w:val="24"/>
          <w:szCs w:val="24"/>
          <w:lang w:eastAsia="ja-JP"/>
        </w:rPr>
        <w:t>Because older patients often have reduced cardiovascular, pulmonary, and renal funct</w:t>
      </w:r>
      <w:r w:rsidR="008062E8" w:rsidRPr="00D336AE">
        <w:rPr>
          <w:rFonts w:eastAsiaTheme="minorEastAsia"/>
          <w:sz w:val="24"/>
          <w:szCs w:val="24"/>
          <w:lang w:eastAsia="ja-JP"/>
        </w:rPr>
        <w:t>ion</w:t>
      </w:r>
      <w:r w:rsidR="004948DD" w:rsidRPr="00D336AE">
        <w:rPr>
          <w:rFonts w:eastAsiaTheme="minorEastAsia"/>
          <w:sz w:val="24"/>
          <w:szCs w:val="24"/>
          <w:lang w:eastAsia="ja-JP"/>
        </w:rPr>
        <w:t xml:space="preserve"> </w:t>
      </w:r>
      <w:r w:rsidR="00D24673" w:rsidRPr="00D336AE">
        <w:rPr>
          <w:rFonts w:eastAsiaTheme="minorEastAsia"/>
          <w:sz w:val="24"/>
          <w:szCs w:val="24"/>
          <w:lang w:eastAsia="ja-JP"/>
        </w:rPr>
        <w:t xml:space="preserve">and a decreased blood count, </w:t>
      </w:r>
      <w:r w:rsidR="004948DD" w:rsidRPr="00D336AE">
        <w:rPr>
          <w:rFonts w:eastAsiaTheme="minorEastAsia"/>
          <w:sz w:val="24"/>
          <w:szCs w:val="24"/>
          <w:lang w:eastAsia="ja-JP"/>
        </w:rPr>
        <w:t xml:space="preserve">they are </w:t>
      </w:r>
      <w:r w:rsidR="00D24673" w:rsidRPr="00D336AE">
        <w:rPr>
          <w:rFonts w:eastAsiaTheme="minorEastAsia"/>
          <w:sz w:val="24"/>
          <w:szCs w:val="24"/>
          <w:lang w:eastAsia="ja-JP"/>
        </w:rPr>
        <w:t xml:space="preserve">usually more susceptible to the toxic effects of </w:t>
      </w:r>
      <w:r w:rsidR="004948DD" w:rsidRPr="00D336AE">
        <w:rPr>
          <w:rFonts w:eastAsiaTheme="minorEastAsia"/>
          <w:sz w:val="24"/>
          <w:szCs w:val="24"/>
          <w:lang w:eastAsia="ja-JP"/>
        </w:rPr>
        <w:t>antiviral treatment</w:t>
      </w:r>
      <w:r w:rsidR="00336B83" w:rsidRPr="00D336AE">
        <w:rPr>
          <w:rFonts w:eastAsiaTheme="minorEastAsia"/>
          <w:sz w:val="24"/>
          <w:szCs w:val="24"/>
          <w:lang w:eastAsia="ja-JP"/>
        </w:rPr>
        <w:t>s</w:t>
      </w:r>
      <w:r w:rsidR="00D24673" w:rsidRPr="00D336AE">
        <w:rPr>
          <w:rFonts w:eastAsiaTheme="minorEastAsia"/>
          <w:sz w:val="24"/>
          <w:szCs w:val="24"/>
          <w:lang w:eastAsia="ja-JP"/>
        </w:rPr>
        <w:t xml:space="preserve">, which </w:t>
      </w:r>
      <w:r w:rsidR="004948DD" w:rsidRPr="00D336AE">
        <w:rPr>
          <w:rFonts w:eastAsiaTheme="minorEastAsia"/>
          <w:sz w:val="24"/>
          <w:szCs w:val="24"/>
          <w:lang w:eastAsia="ja-JP"/>
        </w:rPr>
        <w:t xml:space="preserve">may lead to </w:t>
      </w:r>
      <w:r w:rsidR="00D24673" w:rsidRPr="00D336AE">
        <w:rPr>
          <w:rFonts w:eastAsiaTheme="minorEastAsia"/>
          <w:sz w:val="24"/>
          <w:szCs w:val="24"/>
          <w:lang w:eastAsia="ja-JP"/>
        </w:rPr>
        <w:t xml:space="preserve">a </w:t>
      </w:r>
      <w:r w:rsidR="004948DD" w:rsidRPr="00D336AE">
        <w:rPr>
          <w:rFonts w:eastAsiaTheme="minorEastAsia"/>
          <w:sz w:val="24"/>
          <w:szCs w:val="24"/>
          <w:lang w:eastAsia="ja-JP"/>
        </w:rPr>
        <w:t xml:space="preserve">higher rate and severity of adverse events and </w:t>
      </w:r>
      <w:r w:rsidR="00D24673" w:rsidRPr="00D336AE">
        <w:rPr>
          <w:rFonts w:eastAsiaTheme="minorEastAsia"/>
          <w:sz w:val="24"/>
          <w:szCs w:val="24"/>
          <w:lang w:eastAsia="ja-JP"/>
        </w:rPr>
        <w:t>a poor</w:t>
      </w:r>
      <w:r w:rsidR="004948DD" w:rsidRPr="00D336AE">
        <w:rPr>
          <w:rFonts w:eastAsiaTheme="minorEastAsia"/>
          <w:sz w:val="24"/>
          <w:szCs w:val="24"/>
          <w:lang w:eastAsia="ja-JP"/>
        </w:rPr>
        <w:t xml:space="preserve"> adherence </w:t>
      </w:r>
      <w:r w:rsidR="00D24673" w:rsidRPr="00D336AE">
        <w:rPr>
          <w:rFonts w:eastAsiaTheme="minorEastAsia"/>
          <w:sz w:val="24"/>
          <w:szCs w:val="24"/>
          <w:lang w:eastAsia="ja-JP"/>
        </w:rPr>
        <w:t>to the treatment</w:t>
      </w:r>
      <w:r w:rsidR="004948DD" w:rsidRPr="00D336AE">
        <w:rPr>
          <w:position w:val="6"/>
          <w:sz w:val="16"/>
          <w:szCs w:val="16"/>
        </w:rPr>
        <w:t>[</w:t>
      </w:r>
      <w:r w:rsidR="00D30872" w:rsidRPr="00D336AE">
        <w:rPr>
          <w:position w:val="6"/>
          <w:sz w:val="16"/>
          <w:szCs w:val="16"/>
        </w:rPr>
        <w:t>4</w:t>
      </w:r>
      <w:r w:rsidR="004948DD" w:rsidRPr="00D336AE">
        <w:rPr>
          <w:position w:val="6"/>
          <w:sz w:val="16"/>
          <w:szCs w:val="16"/>
        </w:rPr>
        <w:t>]</w:t>
      </w:r>
      <w:r w:rsidR="004948DD" w:rsidRPr="00D336AE">
        <w:rPr>
          <w:rFonts w:eastAsiaTheme="minorEastAsia"/>
          <w:sz w:val="24"/>
          <w:szCs w:val="24"/>
          <w:lang w:eastAsia="ja-JP"/>
        </w:rPr>
        <w:t xml:space="preserve">. Therefore, an evaluation of </w:t>
      </w:r>
      <w:r w:rsidR="00D24673" w:rsidRPr="00D336AE">
        <w:rPr>
          <w:rFonts w:eastAsiaTheme="minorEastAsia"/>
          <w:sz w:val="24"/>
          <w:szCs w:val="24"/>
          <w:lang w:eastAsia="ja-JP"/>
        </w:rPr>
        <w:t xml:space="preserve">the safety and efficacy </w:t>
      </w:r>
      <w:r w:rsidR="004948DD" w:rsidRPr="00D336AE">
        <w:rPr>
          <w:rFonts w:eastAsiaTheme="minorEastAsia"/>
          <w:sz w:val="24"/>
          <w:szCs w:val="24"/>
          <w:lang w:eastAsia="ja-JP"/>
        </w:rPr>
        <w:t>of antiviral treatments</w:t>
      </w:r>
      <w:r w:rsidR="00D24673" w:rsidRPr="00D336AE">
        <w:rPr>
          <w:rFonts w:eastAsiaTheme="minorEastAsia"/>
          <w:sz w:val="24"/>
          <w:szCs w:val="24"/>
          <w:lang w:eastAsia="ja-JP"/>
        </w:rPr>
        <w:t>,</w:t>
      </w:r>
      <w:r w:rsidR="004948DD" w:rsidRPr="00D336AE">
        <w:rPr>
          <w:rFonts w:eastAsiaTheme="minorEastAsia"/>
          <w:sz w:val="24"/>
          <w:szCs w:val="24"/>
          <w:lang w:eastAsia="ja-JP"/>
        </w:rPr>
        <w:t xml:space="preserve"> especially </w:t>
      </w:r>
      <w:r w:rsidR="00D24673" w:rsidRPr="00D336AE">
        <w:rPr>
          <w:rFonts w:eastAsiaTheme="minorEastAsia"/>
          <w:sz w:val="24"/>
          <w:szCs w:val="24"/>
          <w:lang w:eastAsia="ja-JP"/>
        </w:rPr>
        <w:t>in</w:t>
      </w:r>
      <w:r w:rsidR="004948DD" w:rsidRPr="00D336AE">
        <w:rPr>
          <w:rFonts w:eastAsiaTheme="minorEastAsia"/>
          <w:sz w:val="24"/>
          <w:szCs w:val="24"/>
          <w:lang w:eastAsia="ja-JP"/>
        </w:rPr>
        <w:t xml:space="preserve"> </w:t>
      </w:r>
      <w:r w:rsidR="006976B3">
        <w:rPr>
          <w:rFonts w:eastAsiaTheme="minorEastAsia"/>
          <w:sz w:val="24"/>
          <w:szCs w:val="24"/>
          <w:lang w:eastAsia="ja-JP"/>
        </w:rPr>
        <w:t>el</w:t>
      </w:r>
      <w:r w:rsidR="004948DD" w:rsidRPr="00D336AE">
        <w:rPr>
          <w:rFonts w:eastAsiaTheme="minorEastAsia"/>
          <w:sz w:val="24"/>
          <w:szCs w:val="24"/>
          <w:lang w:eastAsia="ja-JP"/>
        </w:rPr>
        <w:t>der</w:t>
      </w:r>
      <w:r w:rsidR="006976B3">
        <w:rPr>
          <w:rFonts w:eastAsiaTheme="minorEastAsia"/>
          <w:sz w:val="24"/>
          <w:szCs w:val="24"/>
          <w:lang w:eastAsia="ja-JP"/>
        </w:rPr>
        <w:t>ly</w:t>
      </w:r>
      <w:r w:rsidR="004948DD" w:rsidRPr="00D336AE">
        <w:rPr>
          <w:rFonts w:eastAsiaTheme="minorEastAsia"/>
          <w:sz w:val="24"/>
          <w:szCs w:val="24"/>
          <w:lang w:eastAsia="ja-JP"/>
        </w:rPr>
        <w:t xml:space="preserve"> patients with chronic HCV infection</w:t>
      </w:r>
      <w:r w:rsidR="00D24673" w:rsidRPr="00D336AE">
        <w:rPr>
          <w:rFonts w:eastAsiaTheme="minorEastAsia"/>
          <w:sz w:val="24"/>
          <w:szCs w:val="24"/>
          <w:lang w:eastAsia="ja-JP"/>
        </w:rPr>
        <w:t>s, is s</w:t>
      </w:r>
      <w:r w:rsidR="004948DD" w:rsidRPr="00D336AE">
        <w:rPr>
          <w:rFonts w:eastAsiaTheme="minorEastAsia"/>
          <w:sz w:val="24"/>
          <w:szCs w:val="24"/>
          <w:lang w:eastAsia="ja-JP"/>
        </w:rPr>
        <w:t>till necessary.</w:t>
      </w:r>
    </w:p>
    <w:p w:rsidR="000F55D1" w:rsidRPr="00D336AE" w:rsidRDefault="00A07534" w:rsidP="00D31DE5">
      <w:pPr>
        <w:pStyle w:val="BodyText"/>
        <w:spacing w:line="360" w:lineRule="auto"/>
        <w:ind w:left="0" w:right="104" w:firstLine="720"/>
        <w:jc w:val="both"/>
        <w:rPr>
          <w:rFonts w:eastAsiaTheme="minorEastAsia"/>
          <w:sz w:val="24"/>
          <w:szCs w:val="24"/>
          <w:lang w:eastAsia="ja-JP"/>
        </w:rPr>
      </w:pPr>
      <w:r w:rsidRPr="00D336AE">
        <w:rPr>
          <w:sz w:val="24"/>
          <w:szCs w:val="24"/>
        </w:rPr>
        <w:t>Before the introduction of direct-acting antiviral agents</w:t>
      </w:r>
      <w:r w:rsidR="00336B83" w:rsidRPr="00D336AE">
        <w:rPr>
          <w:sz w:val="24"/>
          <w:szCs w:val="24"/>
        </w:rPr>
        <w:t xml:space="preserve"> (DAA)</w:t>
      </w:r>
      <w:r w:rsidRPr="00D336AE">
        <w:rPr>
          <w:sz w:val="24"/>
          <w:szCs w:val="24"/>
        </w:rPr>
        <w:t xml:space="preserve">, </w:t>
      </w:r>
      <w:proofErr w:type="spellStart"/>
      <w:r w:rsidRPr="00D336AE">
        <w:rPr>
          <w:sz w:val="24"/>
          <w:szCs w:val="24"/>
        </w:rPr>
        <w:t>pegylated</w:t>
      </w:r>
      <w:proofErr w:type="spellEnd"/>
      <w:r w:rsidRPr="00D336AE">
        <w:rPr>
          <w:sz w:val="24"/>
          <w:szCs w:val="24"/>
        </w:rPr>
        <w:t xml:space="preserve"> interferon (</w:t>
      </w:r>
      <w:proofErr w:type="spellStart"/>
      <w:r w:rsidRPr="00D336AE">
        <w:rPr>
          <w:sz w:val="24"/>
          <w:szCs w:val="24"/>
        </w:rPr>
        <w:t>PegIFN</w:t>
      </w:r>
      <w:proofErr w:type="spellEnd"/>
      <w:r w:rsidRPr="00D336AE">
        <w:rPr>
          <w:sz w:val="24"/>
          <w:szCs w:val="24"/>
        </w:rPr>
        <w:t xml:space="preserve">) α and ribavirin (RBV) </w:t>
      </w:r>
      <w:r w:rsidR="00357B58" w:rsidRPr="00D336AE">
        <w:rPr>
          <w:sz w:val="24"/>
          <w:szCs w:val="24"/>
        </w:rPr>
        <w:t>were</w:t>
      </w:r>
      <w:r w:rsidRPr="00D336AE">
        <w:rPr>
          <w:sz w:val="24"/>
          <w:szCs w:val="24"/>
        </w:rPr>
        <w:t xml:space="preserve"> </w:t>
      </w:r>
      <w:r w:rsidR="00357B58" w:rsidRPr="00D336AE">
        <w:rPr>
          <w:sz w:val="24"/>
          <w:szCs w:val="24"/>
        </w:rPr>
        <w:t xml:space="preserve">the </w:t>
      </w:r>
      <w:r w:rsidRPr="00D336AE">
        <w:rPr>
          <w:sz w:val="24"/>
          <w:szCs w:val="24"/>
        </w:rPr>
        <w:t xml:space="preserve">standard </w:t>
      </w:r>
      <w:r w:rsidR="00357B58" w:rsidRPr="00D336AE">
        <w:rPr>
          <w:sz w:val="24"/>
          <w:szCs w:val="24"/>
        </w:rPr>
        <w:t xml:space="preserve">of </w:t>
      </w:r>
      <w:r w:rsidRPr="00D336AE">
        <w:rPr>
          <w:sz w:val="24"/>
          <w:szCs w:val="24"/>
        </w:rPr>
        <w:t>care for HCV genotype 1 infection</w:t>
      </w:r>
      <w:r w:rsidR="00357B58" w:rsidRPr="00D336AE">
        <w:rPr>
          <w:sz w:val="24"/>
          <w:szCs w:val="24"/>
        </w:rPr>
        <w:t>s</w:t>
      </w:r>
      <w:r w:rsidRPr="00D336AE">
        <w:rPr>
          <w:sz w:val="24"/>
          <w:szCs w:val="24"/>
        </w:rPr>
        <w:t xml:space="preserve">. However, with </w:t>
      </w:r>
      <w:r w:rsidR="00357B58" w:rsidRPr="00D336AE">
        <w:rPr>
          <w:sz w:val="24"/>
          <w:szCs w:val="24"/>
        </w:rPr>
        <w:t xml:space="preserve">the </w:t>
      </w:r>
      <w:r w:rsidR="00E6765F">
        <w:rPr>
          <w:sz w:val="24"/>
          <w:szCs w:val="24"/>
        </w:rPr>
        <w:t xml:space="preserve">approval of </w:t>
      </w:r>
      <w:proofErr w:type="spellStart"/>
      <w:r w:rsidR="00E6765F">
        <w:rPr>
          <w:sz w:val="24"/>
          <w:szCs w:val="24"/>
        </w:rPr>
        <w:t>telaprevir</w:t>
      </w:r>
      <w:proofErr w:type="spellEnd"/>
      <w:r w:rsidR="00E6765F">
        <w:rPr>
          <w:sz w:val="24"/>
          <w:szCs w:val="24"/>
        </w:rPr>
        <w:t xml:space="preserve"> (TVR) that is </w:t>
      </w:r>
      <w:r w:rsidR="00CA5F49">
        <w:rPr>
          <w:sz w:val="24"/>
          <w:szCs w:val="24"/>
        </w:rPr>
        <w:t xml:space="preserve">an HCV non-structural (NS) 3/4A </w:t>
      </w:r>
      <w:r w:rsidR="000F750A" w:rsidRPr="00D336AE">
        <w:rPr>
          <w:sz w:val="24"/>
          <w:szCs w:val="24"/>
        </w:rPr>
        <w:t>protease inhibitor, the optimum treatment regimen for chronic HCV genotype 1 infection</w:t>
      </w:r>
      <w:r w:rsidR="00357B58" w:rsidRPr="00D336AE">
        <w:rPr>
          <w:sz w:val="24"/>
          <w:szCs w:val="24"/>
        </w:rPr>
        <w:t>s</w:t>
      </w:r>
      <w:r w:rsidR="000F750A" w:rsidRPr="00D336AE">
        <w:rPr>
          <w:sz w:val="24"/>
          <w:szCs w:val="24"/>
        </w:rPr>
        <w:t xml:space="preserve"> was changed to </w:t>
      </w:r>
      <w:r w:rsidR="00357B58" w:rsidRPr="00D336AE">
        <w:rPr>
          <w:sz w:val="24"/>
          <w:szCs w:val="24"/>
        </w:rPr>
        <w:t xml:space="preserve">a </w:t>
      </w:r>
      <w:r w:rsidR="000F750A" w:rsidRPr="00D336AE">
        <w:rPr>
          <w:sz w:val="24"/>
          <w:szCs w:val="24"/>
        </w:rPr>
        <w:t xml:space="preserve">triple therapy with a protease inhibitor plus </w:t>
      </w:r>
      <w:proofErr w:type="spellStart"/>
      <w:r w:rsidR="000F750A" w:rsidRPr="00D336AE">
        <w:rPr>
          <w:sz w:val="24"/>
          <w:szCs w:val="24"/>
        </w:rPr>
        <w:t>PegIFN</w:t>
      </w:r>
      <w:proofErr w:type="spellEnd"/>
      <w:r w:rsidR="000F750A" w:rsidRPr="00D336AE">
        <w:rPr>
          <w:sz w:val="24"/>
          <w:szCs w:val="24"/>
        </w:rPr>
        <w:t xml:space="preserve"> α and RBV for 24 weeks</w:t>
      </w:r>
      <w:r w:rsidR="000F750A" w:rsidRPr="00D336AE">
        <w:rPr>
          <w:position w:val="6"/>
          <w:sz w:val="16"/>
          <w:szCs w:val="16"/>
        </w:rPr>
        <w:t>[</w:t>
      </w:r>
      <w:r w:rsidR="00D30872" w:rsidRPr="00D336AE">
        <w:rPr>
          <w:position w:val="6"/>
          <w:sz w:val="16"/>
          <w:szCs w:val="16"/>
        </w:rPr>
        <w:t>9</w:t>
      </w:r>
      <w:r w:rsidR="000F750A" w:rsidRPr="00D336AE">
        <w:rPr>
          <w:position w:val="6"/>
          <w:sz w:val="16"/>
          <w:szCs w:val="16"/>
        </w:rPr>
        <w:t>]</w:t>
      </w:r>
      <w:r w:rsidR="000F750A" w:rsidRPr="00D336AE">
        <w:rPr>
          <w:sz w:val="24"/>
          <w:szCs w:val="24"/>
        </w:rPr>
        <w:t xml:space="preserve">. </w:t>
      </w:r>
      <w:r w:rsidR="00357B58" w:rsidRPr="00D336AE">
        <w:rPr>
          <w:sz w:val="24"/>
          <w:szCs w:val="24"/>
        </w:rPr>
        <w:t xml:space="preserve">The </w:t>
      </w:r>
      <w:r w:rsidR="000F750A" w:rsidRPr="00D336AE">
        <w:rPr>
          <w:sz w:val="24"/>
          <w:szCs w:val="24"/>
        </w:rPr>
        <w:t xml:space="preserve">TVR-based triple therapy has </w:t>
      </w:r>
      <w:r w:rsidR="00E6765F">
        <w:rPr>
          <w:sz w:val="24"/>
          <w:szCs w:val="24"/>
        </w:rPr>
        <w:t xml:space="preserve">achieved </w:t>
      </w:r>
      <w:r w:rsidR="000F750A" w:rsidRPr="00D336AE">
        <w:rPr>
          <w:sz w:val="24"/>
          <w:szCs w:val="24"/>
        </w:rPr>
        <w:t xml:space="preserve">an improved </w:t>
      </w:r>
      <w:r w:rsidR="002B3BB7" w:rsidRPr="00D336AE">
        <w:rPr>
          <w:sz w:val="24"/>
          <w:szCs w:val="24"/>
        </w:rPr>
        <w:t xml:space="preserve">sustained </w:t>
      </w:r>
      <w:proofErr w:type="spellStart"/>
      <w:r w:rsidR="002B3BB7" w:rsidRPr="00D336AE">
        <w:rPr>
          <w:sz w:val="24"/>
          <w:szCs w:val="24"/>
        </w:rPr>
        <w:t>virological</w:t>
      </w:r>
      <w:proofErr w:type="spellEnd"/>
      <w:r w:rsidR="002B3BB7" w:rsidRPr="00D336AE">
        <w:rPr>
          <w:sz w:val="24"/>
          <w:szCs w:val="24"/>
        </w:rPr>
        <w:t xml:space="preserve"> response (</w:t>
      </w:r>
      <w:r w:rsidR="000F750A" w:rsidRPr="00D336AE">
        <w:rPr>
          <w:sz w:val="24"/>
          <w:szCs w:val="24"/>
        </w:rPr>
        <w:t>SVR</w:t>
      </w:r>
      <w:r w:rsidR="002B3BB7" w:rsidRPr="00D336AE">
        <w:rPr>
          <w:sz w:val="24"/>
          <w:szCs w:val="24"/>
        </w:rPr>
        <w:t>)</w:t>
      </w:r>
      <w:r w:rsidR="000F750A" w:rsidRPr="00D336AE">
        <w:rPr>
          <w:sz w:val="24"/>
          <w:szCs w:val="24"/>
        </w:rPr>
        <w:t xml:space="preserve"> rate compared to </w:t>
      </w:r>
      <w:proofErr w:type="spellStart"/>
      <w:r w:rsidR="000F750A" w:rsidRPr="00D336AE">
        <w:rPr>
          <w:sz w:val="24"/>
          <w:szCs w:val="24"/>
        </w:rPr>
        <w:t>PegIFN</w:t>
      </w:r>
      <w:proofErr w:type="spellEnd"/>
      <w:r w:rsidR="000F750A" w:rsidRPr="00D336AE">
        <w:rPr>
          <w:sz w:val="24"/>
          <w:szCs w:val="24"/>
        </w:rPr>
        <w:t xml:space="preserve"> monotherapy</w:t>
      </w:r>
      <w:r w:rsidR="00E6765F">
        <w:rPr>
          <w:sz w:val="24"/>
          <w:szCs w:val="24"/>
        </w:rPr>
        <w:t xml:space="preserve"> or</w:t>
      </w:r>
      <w:r w:rsidR="000F750A" w:rsidRPr="00D336AE">
        <w:rPr>
          <w:sz w:val="24"/>
          <w:szCs w:val="24"/>
        </w:rPr>
        <w:t xml:space="preserve"> </w:t>
      </w:r>
      <w:proofErr w:type="spellStart"/>
      <w:r w:rsidR="000F750A" w:rsidRPr="00D336AE">
        <w:rPr>
          <w:sz w:val="24"/>
          <w:szCs w:val="24"/>
        </w:rPr>
        <w:t>PegIFN</w:t>
      </w:r>
      <w:proofErr w:type="spellEnd"/>
      <w:r w:rsidR="000F750A" w:rsidRPr="00D336AE">
        <w:rPr>
          <w:sz w:val="24"/>
          <w:szCs w:val="24"/>
        </w:rPr>
        <w:t xml:space="preserve"> α plus RBV dual therapy</w:t>
      </w:r>
      <w:r w:rsidR="00357B58" w:rsidRPr="00D336AE">
        <w:rPr>
          <w:position w:val="6"/>
          <w:sz w:val="16"/>
          <w:szCs w:val="16"/>
        </w:rPr>
        <w:t>[</w:t>
      </w:r>
      <w:r w:rsidR="00D30872" w:rsidRPr="00D336AE">
        <w:rPr>
          <w:position w:val="6"/>
          <w:sz w:val="16"/>
          <w:szCs w:val="16"/>
        </w:rPr>
        <w:t>10,11</w:t>
      </w:r>
      <w:r w:rsidR="00357B58" w:rsidRPr="00D336AE">
        <w:rPr>
          <w:position w:val="6"/>
          <w:sz w:val="16"/>
          <w:szCs w:val="16"/>
        </w:rPr>
        <w:t>]</w:t>
      </w:r>
      <w:r w:rsidR="000F750A" w:rsidRPr="00D336AE">
        <w:rPr>
          <w:sz w:val="24"/>
          <w:szCs w:val="24"/>
        </w:rPr>
        <w:t xml:space="preserve">. However, </w:t>
      </w:r>
      <w:r w:rsidR="00B91640" w:rsidRPr="00D336AE">
        <w:rPr>
          <w:sz w:val="24"/>
          <w:szCs w:val="24"/>
        </w:rPr>
        <w:t xml:space="preserve">the </w:t>
      </w:r>
      <w:r w:rsidR="000F750A" w:rsidRPr="00D336AE">
        <w:rPr>
          <w:sz w:val="24"/>
          <w:szCs w:val="24"/>
        </w:rPr>
        <w:t xml:space="preserve">TVR-based triple therapy is associated with </w:t>
      </w:r>
      <w:r w:rsidR="00B91640" w:rsidRPr="00D336AE">
        <w:rPr>
          <w:sz w:val="24"/>
          <w:szCs w:val="24"/>
        </w:rPr>
        <w:t xml:space="preserve">an </w:t>
      </w:r>
      <w:r w:rsidR="000F750A" w:rsidRPr="00D336AE">
        <w:rPr>
          <w:sz w:val="24"/>
          <w:szCs w:val="24"/>
        </w:rPr>
        <w:t xml:space="preserve">increased </w:t>
      </w:r>
      <w:r w:rsidR="00CA5F49" w:rsidRPr="00D336AE">
        <w:rPr>
          <w:sz w:val="24"/>
          <w:szCs w:val="24"/>
        </w:rPr>
        <w:t xml:space="preserve">rate </w:t>
      </w:r>
      <w:r w:rsidR="00B91640" w:rsidRPr="00D336AE">
        <w:rPr>
          <w:sz w:val="24"/>
          <w:szCs w:val="24"/>
        </w:rPr>
        <w:t xml:space="preserve">and </w:t>
      </w:r>
      <w:r w:rsidR="00CA5F49" w:rsidRPr="00D336AE">
        <w:rPr>
          <w:sz w:val="24"/>
          <w:szCs w:val="24"/>
        </w:rPr>
        <w:t xml:space="preserve">severity </w:t>
      </w:r>
      <w:r w:rsidR="000F750A" w:rsidRPr="00D336AE">
        <w:rPr>
          <w:sz w:val="24"/>
          <w:szCs w:val="24"/>
        </w:rPr>
        <w:t>of adverse events</w:t>
      </w:r>
      <w:r w:rsidR="00B91640" w:rsidRPr="00D336AE">
        <w:rPr>
          <w:sz w:val="24"/>
          <w:szCs w:val="24"/>
        </w:rPr>
        <w:t>,</w:t>
      </w:r>
      <w:r w:rsidR="000F750A" w:rsidRPr="00D336AE">
        <w:rPr>
          <w:sz w:val="24"/>
          <w:szCs w:val="24"/>
        </w:rPr>
        <w:t xml:space="preserve"> including </w:t>
      </w:r>
      <w:r w:rsidR="00CA5F49" w:rsidRPr="00D336AE">
        <w:rPr>
          <w:sz w:val="24"/>
          <w:szCs w:val="24"/>
        </w:rPr>
        <w:t xml:space="preserve">pruritus, </w:t>
      </w:r>
      <w:r w:rsidR="000F750A" w:rsidRPr="00D336AE">
        <w:rPr>
          <w:sz w:val="24"/>
          <w:szCs w:val="24"/>
        </w:rPr>
        <w:t>skin rash, anemia, and anorectal disease</w:t>
      </w:r>
      <w:r w:rsidR="00B91640" w:rsidRPr="00D336AE">
        <w:rPr>
          <w:sz w:val="24"/>
          <w:szCs w:val="24"/>
        </w:rPr>
        <w:t>s</w:t>
      </w:r>
      <w:r w:rsidR="000F750A" w:rsidRPr="00D336AE">
        <w:rPr>
          <w:sz w:val="24"/>
          <w:szCs w:val="24"/>
        </w:rPr>
        <w:t xml:space="preserve">, </w:t>
      </w:r>
      <w:r w:rsidR="00B91640" w:rsidRPr="00D336AE">
        <w:rPr>
          <w:sz w:val="24"/>
          <w:szCs w:val="24"/>
        </w:rPr>
        <w:t>as well as</w:t>
      </w:r>
      <w:r w:rsidR="000F750A" w:rsidRPr="00D336AE">
        <w:rPr>
          <w:sz w:val="24"/>
          <w:szCs w:val="24"/>
        </w:rPr>
        <w:t xml:space="preserve"> increased rates of treatment discontinuation compared </w:t>
      </w:r>
      <w:r w:rsidR="00B91640" w:rsidRPr="00D336AE">
        <w:rPr>
          <w:sz w:val="24"/>
          <w:szCs w:val="24"/>
        </w:rPr>
        <w:t>to patients receiving</w:t>
      </w:r>
      <w:r w:rsidR="000F750A" w:rsidRPr="00D336AE">
        <w:rPr>
          <w:sz w:val="24"/>
          <w:szCs w:val="24"/>
        </w:rPr>
        <w:t xml:space="preserve"> </w:t>
      </w:r>
      <w:proofErr w:type="spellStart"/>
      <w:r w:rsidR="000F750A" w:rsidRPr="00D336AE">
        <w:rPr>
          <w:sz w:val="24"/>
          <w:szCs w:val="24"/>
        </w:rPr>
        <w:t>PegIFN</w:t>
      </w:r>
      <w:proofErr w:type="spellEnd"/>
      <w:r w:rsidR="00CD5F10" w:rsidRPr="00D336AE">
        <w:rPr>
          <w:sz w:val="24"/>
          <w:szCs w:val="24"/>
        </w:rPr>
        <w:t>α plus</w:t>
      </w:r>
      <w:r w:rsidR="000F750A" w:rsidRPr="00D336AE">
        <w:rPr>
          <w:sz w:val="24"/>
          <w:szCs w:val="24"/>
        </w:rPr>
        <w:t xml:space="preserve"> RBV </w:t>
      </w:r>
      <w:r w:rsidR="00CD5F10" w:rsidRPr="00D336AE">
        <w:rPr>
          <w:sz w:val="24"/>
          <w:szCs w:val="24"/>
        </w:rPr>
        <w:t>dual therapy</w:t>
      </w:r>
      <w:r w:rsidR="00336BFA" w:rsidRPr="00D336AE">
        <w:rPr>
          <w:position w:val="6"/>
          <w:sz w:val="16"/>
          <w:szCs w:val="16"/>
        </w:rPr>
        <w:t>[</w:t>
      </w:r>
      <w:r w:rsidR="003401D7" w:rsidRPr="00D336AE">
        <w:rPr>
          <w:position w:val="6"/>
          <w:sz w:val="16"/>
          <w:szCs w:val="16"/>
        </w:rPr>
        <w:t>10,11</w:t>
      </w:r>
      <w:r w:rsidR="00336BFA" w:rsidRPr="00D336AE">
        <w:rPr>
          <w:position w:val="6"/>
          <w:sz w:val="16"/>
          <w:szCs w:val="16"/>
        </w:rPr>
        <w:t>]</w:t>
      </w:r>
      <w:r w:rsidR="000F750A" w:rsidRPr="00D336AE">
        <w:rPr>
          <w:sz w:val="24"/>
          <w:szCs w:val="24"/>
        </w:rPr>
        <w:t>.</w:t>
      </w:r>
      <w:r w:rsidR="00CD5F10" w:rsidRPr="00D336AE">
        <w:rPr>
          <w:sz w:val="24"/>
          <w:szCs w:val="24"/>
        </w:rPr>
        <w:t xml:space="preserve"> </w:t>
      </w:r>
      <w:r w:rsidR="00B91640" w:rsidRPr="00D336AE">
        <w:rPr>
          <w:sz w:val="24"/>
          <w:szCs w:val="24"/>
        </w:rPr>
        <w:t xml:space="preserve">Because of the </w:t>
      </w:r>
      <w:r w:rsidR="00CD5F10" w:rsidRPr="00D336AE">
        <w:rPr>
          <w:sz w:val="24"/>
          <w:szCs w:val="24"/>
        </w:rPr>
        <w:t xml:space="preserve">increased risk and severity of adverse events </w:t>
      </w:r>
      <w:r w:rsidR="00B91640" w:rsidRPr="00D336AE">
        <w:rPr>
          <w:sz w:val="24"/>
          <w:szCs w:val="24"/>
        </w:rPr>
        <w:t xml:space="preserve">associated with </w:t>
      </w:r>
      <w:r w:rsidR="00CD5F10" w:rsidRPr="00D336AE">
        <w:rPr>
          <w:sz w:val="24"/>
          <w:szCs w:val="24"/>
        </w:rPr>
        <w:t>the TVR-based triple therapy</w:t>
      </w:r>
      <w:r w:rsidR="00B91640" w:rsidRPr="00D336AE">
        <w:rPr>
          <w:sz w:val="24"/>
          <w:szCs w:val="24"/>
        </w:rPr>
        <w:t xml:space="preserve">, it is </w:t>
      </w:r>
      <w:r w:rsidR="00CD5F10" w:rsidRPr="00D336AE">
        <w:rPr>
          <w:sz w:val="24"/>
          <w:szCs w:val="24"/>
        </w:rPr>
        <w:t xml:space="preserve">difficult </w:t>
      </w:r>
      <w:r w:rsidR="00B91640" w:rsidRPr="00D336AE">
        <w:rPr>
          <w:sz w:val="24"/>
          <w:szCs w:val="24"/>
        </w:rPr>
        <w:t xml:space="preserve">to use this therapy in </w:t>
      </w:r>
      <w:r w:rsidR="00CD5F10" w:rsidRPr="00D336AE">
        <w:rPr>
          <w:sz w:val="24"/>
          <w:szCs w:val="24"/>
        </w:rPr>
        <w:t>older patients, and</w:t>
      </w:r>
      <w:r w:rsidR="00B91640" w:rsidRPr="00D336AE">
        <w:rPr>
          <w:sz w:val="24"/>
          <w:szCs w:val="24"/>
        </w:rPr>
        <w:t xml:space="preserve">, therefore, </w:t>
      </w:r>
      <w:r w:rsidR="00CD5F10" w:rsidRPr="00D336AE">
        <w:rPr>
          <w:sz w:val="24"/>
          <w:szCs w:val="24"/>
        </w:rPr>
        <w:t xml:space="preserve">reports describing the </w:t>
      </w:r>
      <w:r w:rsidR="00CA5F49" w:rsidRPr="00D336AE">
        <w:rPr>
          <w:sz w:val="24"/>
          <w:szCs w:val="24"/>
        </w:rPr>
        <w:lastRenderedPageBreak/>
        <w:t xml:space="preserve">safety </w:t>
      </w:r>
      <w:r w:rsidR="00CD5F10" w:rsidRPr="00D336AE">
        <w:rPr>
          <w:sz w:val="24"/>
          <w:szCs w:val="24"/>
        </w:rPr>
        <w:t>and</w:t>
      </w:r>
      <w:r w:rsidR="00CA5F49" w:rsidRPr="00CA5F49">
        <w:rPr>
          <w:sz w:val="24"/>
          <w:szCs w:val="24"/>
        </w:rPr>
        <w:t xml:space="preserve"> </w:t>
      </w:r>
      <w:r w:rsidR="00CA5F49" w:rsidRPr="00D336AE">
        <w:rPr>
          <w:sz w:val="24"/>
          <w:szCs w:val="24"/>
        </w:rPr>
        <w:t>efficacy</w:t>
      </w:r>
      <w:r w:rsidR="00CD5F10" w:rsidRPr="00D336AE">
        <w:rPr>
          <w:sz w:val="24"/>
          <w:szCs w:val="24"/>
        </w:rPr>
        <w:t xml:space="preserve"> of TVR-based triple therapy </w:t>
      </w:r>
      <w:r w:rsidR="00B91640" w:rsidRPr="00D336AE">
        <w:rPr>
          <w:sz w:val="24"/>
          <w:szCs w:val="24"/>
        </w:rPr>
        <w:t>in</w:t>
      </w:r>
      <w:r w:rsidR="00CD5F10" w:rsidRPr="00D336AE">
        <w:rPr>
          <w:sz w:val="24"/>
          <w:szCs w:val="24"/>
        </w:rPr>
        <w:t xml:space="preserve"> </w:t>
      </w:r>
      <w:r w:rsidR="00CA5F49">
        <w:rPr>
          <w:sz w:val="24"/>
          <w:szCs w:val="24"/>
        </w:rPr>
        <w:t>el</w:t>
      </w:r>
      <w:r w:rsidR="00CD5F10" w:rsidRPr="00D336AE">
        <w:rPr>
          <w:sz w:val="24"/>
          <w:szCs w:val="24"/>
        </w:rPr>
        <w:t>der</w:t>
      </w:r>
      <w:r w:rsidR="00CA5F49">
        <w:rPr>
          <w:sz w:val="24"/>
          <w:szCs w:val="24"/>
        </w:rPr>
        <w:t>ly</w:t>
      </w:r>
      <w:r w:rsidR="00CD5F10" w:rsidRPr="00D336AE">
        <w:rPr>
          <w:sz w:val="24"/>
          <w:szCs w:val="24"/>
        </w:rPr>
        <w:t xml:space="preserve"> patients</w:t>
      </w:r>
      <w:r w:rsidR="00B91640" w:rsidRPr="00D336AE">
        <w:rPr>
          <w:sz w:val="24"/>
          <w:szCs w:val="24"/>
        </w:rPr>
        <w:t xml:space="preserve"> are</w:t>
      </w:r>
      <w:r w:rsidR="00CD5F10" w:rsidRPr="00D336AE">
        <w:rPr>
          <w:sz w:val="24"/>
          <w:szCs w:val="24"/>
        </w:rPr>
        <w:t xml:space="preserve"> limited</w:t>
      </w:r>
      <w:r w:rsidR="00336BFA" w:rsidRPr="00D336AE">
        <w:rPr>
          <w:spacing w:val="-2"/>
          <w:position w:val="6"/>
          <w:sz w:val="16"/>
          <w:szCs w:val="16"/>
        </w:rPr>
        <w:t>[</w:t>
      </w:r>
      <w:r w:rsidR="003401D7" w:rsidRPr="00D336AE">
        <w:rPr>
          <w:spacing w:val="-2"/>
          <w:position w:val="6"/>
          <w:sz w:val="16"/>
          <w:szCs w:val="16"/>
        </w:rPr>
        <w:t>4</w:t>
      </w:r>
      <w:r w:rsidR="00336BFA" w:rsidRPr="00D336AE">
        <w:rPr>
          <w:spacing w:val="-2"/>
          <w:position w:val="6"/>
          <w:sz w:val="16"/>
          <w:szCs w:val="16"/>
        </w:rPr>
        <w:t>]</w:t>
      </w:r>
      <w:r w:rsidR="00CD5F10" w:rsidRPr="00D336AE">
        <w:rPr>
          <w:sz w:val="24"/>
          <w:szCs w:val="24"/>
        </w:rPr>
        <w:t>.</w:t>
      </w:r>
    </w:p>
    <w:p w:rsidR="00336BFA" w:rsidRPr="00D336AE" w:rsidRDefault="007070F7" w:rsidP="00D31DE5">
      <w:pPr>
        <w:pStyle w:val="BodyText"/>
        <w:spacing w:before="2" w:line="360" w:lineRule="auto"/>
        <w:ind w:left="0" w:right="105" w:firstLine="720"/>
        <w:jc w:val="both"/>
        <w:rPr>
          <w:rFonts w:eastAsiaTheme="minorEastAsia"/>
          <w:sz w:val="24"/>
          <w:szCs w:val="24"/>
          <w:lang w:eastAsia="ja-JP"/>
        </w:rPr>
      </w:pPr>
      <w:proofErr w:type="spellStart"/>
      <w:r w:rsidRPr="00D336AE">
        <w:rPr>
          <w:rFonts w:eastAsiaTheme="minorEastAsia" w:hint="eastAsia"/>
          <w:sz w:val="24"/>
          <w:szCs w:val="24"/>
          <w:lang w:eastAsia="ja-JP"/>
        </w:rPr>
        <w:t>Simeprevir</w:t>
      </w:r>
      <w:proofErr w:type="spellEnd"/>
      <w:r w:rsidRPr="00D336AE">
        <w:rPr>
          <w:rFonts w:eastAsiaTheme="minorEastAsia" w:hint="eastAsia"/>
          <w:sz w:val="24"/>
          <w:szCs w:val="24"/>
          <w:lang w:eastAsia="ja-JP"/>
        </w:rPr>
        <w:t xml:space="preserve"> (</w:t>
      </w:r>
      <w:r w:rsidRPr="00D336AE">
        <w:rPr>
          <w:rFonts w:eastAsiaTheme="minorEastAsia"/>
          <w:sz w:val="24"/>
          <w:szCs w:val="24"/>
          <w:lang w:eastAsia="ja-JP"/>
        </w:rPr>
        <w:t>SMV</w:t>
      </w:r>
      <w:r w:rsidRPr="00D336AE">
        <w:rPr>
          <w:rFonts w:eastAsiaTheme="minorEastAsia" w:hint="eastAsia"/>
          <w:sz w:val="24"/>
          <w:szCs w:val="24"/>
          <w:lang w:eastAsia="ja-JP"/>
        </w:rPr>
        <w:t>)</w:t>
      </w:r>
      <w:r w:rsidRPr="00D336AE">
        <w:rPr>
          <w:rFonts w:eastAsiaTheme="minorEastAsia"/>
          <w:sz w:val="24"/>
          <w:szCs w:val="24"/>
          <w:lang w:eastAsia="ja-JP"/>
        </w:rPr>
        <w:t xml:space="preserve"> is a</w:t>
      </w:r>
      <w:r w:rsidR="00336BFA" w:rsidRPr="00D336AE">
        <w:rPr>
          <w:rFonts w:eastAsiaTheme="minorEastAsia"/>
          <w:sz w:val="24"/>
          <w:szCs w:val="24"/>
          <w:lang w:eastAsia="ja-JP"/>
        </w:rPr>
        <w:t xml:space="preserve"> second-generation </w:t>
      </w:r>
      <w:r w:rsidRPr="00D336AE">
        <w:rPr>
          <w:rFonts w:eastAsiaTheme="minorEastAsia"/>
          <w:sz w:val="24"/>
          <w:szCs w:val="24"/>
          <w:lang w:eastAsia="ja-JP"/>
        </w:rPr>
        <w:t>oral HCV NS3/4A protease inhibitor with antiviral activity against HCV genotype 1, 2, 4, 5, and 6 infection</w:t>
      </w:r>
      <w:r w:rsidR="00B91640" w:rsidRPr="00D336AE">
        <w:rPr>
          <w:rFonts w:eastAsiaTheme="minorEastAsia"/>
          <w:sz w:val="24"/>
          <w:szCs w:val="24"/>
          <w:lang w:eastAsia="ja-JP"/>
        </w:rPr>
        <w:t>s</w:t>
      </w:r>
      <w:r w:rsidRPr="00D336AE">
        <w:rPr>
          <w:position w:val="6"/>
          <w:sz w:val="16"/>
          <w:szCs w:val="16"/>
        </w:rPr>
        <w:t>[</w:t>
      </w:r>
      <w:r w:rsidR="003401D7" w:rsidRPr="00D336AE">
        <w:rPr>
          <w:position w:val="6"/>
          <w:sz w:val="16"/>
          <w:szCs w:val="16"/>
        </w:rPr>
        <w:t>1</w:t>
      </w:r>
      <w:r w:rsidR="00182EB9" w:rsidRPr="00D336AE">
        <w:rPr>
          <w:position w:val="6"/>
          <w:sz w:val="16"/>
          <w:szCs w:val="16"/>
        </w:rPr>
        <w:t>2</w:t>
      </w:r>
      <w:r w:rsidRPr="00D336AE">
        <w:rPr>
          <w:position w:val="6"/>
          <w:sz w:val="16"/>
          <w:szCs w:val="16"/>
        </w:rPr>
        <w:t>]</w:t>
      </w:r>
      <w:r w:rsidR="002B3BB7" w:rsidRPr="00D336AE">
        <w:rPr>
          <w:rFonts w:eastAsiaTheme="minorEastAsia"/>
          <w:sz w:val="24"/>
          <w:szCs w:val="24"/>
          <w:lang w:eastAsia="ja-JP"/>
        </w:rPr>
        <w:t xml:space="preserve">. The QUEST 1 and QUEST 2 phase 3 clinical trials demonstrated </w:t>
      </w:r>
      <w:r w:rsidR="00CA5F49">
        <w:rPr>
          <w:rFonts w:eastAsiaTheme="minorEastAsia"/>
          <w:sz w:val="24"/>
          <w:szCs w:val="24"/>
          <w:lang w:eastAsia="ja-JP"/>
        </w:rPr>
        <w:t xml:space="preserve">the </w:t>
      </w:r>
      <w:r w:rsidR="00FF2DF3" w:rsidRPr="00D336AE">
        <w:rPr>
          <w:rFonts w:eastAsiaTheme="minorEastAsia"/>
          <w:sz w:val="24"/>
          <w:szCs w:val="24"/>
          <w:lang w:eastAsia="ja-JP"/>
        </w:rPr>
        <w:t>SVR</w:t>
      </w:r>
      <w:r w:rsidR="00CA5F49">
        <w:rPr>
          <w:rFonts w:eastAsiaTheme="minorEastAsia"/>
          <w:sz w:val="24"/>
          <w:szCs w:val="24"/>
          <w:lang w:eastAsia="ja-JP"/>
        </w:rPr>
        <w:t xml:space="preserve"> rate</w:t>
      </w:r>
      <w:r w:rsidR="00FF2DF3" w:rsidRPr="00D336AE">
        <w:rPr>
          <w:rFonts w:eastAsiaTheme="minorEastAsia"/>
          <w:sz w:val="24"/>
          <w:szCs w:val="24"/>
          <w:lang w:eastAsia="ja-JP"/>
        </w:rPr>
        <w:t>s of 80% and 81%</w:t>
      </w:r>
      <w:r w:rsidR="00B91640" w:rsidRPr="00D336AE">
        <w:rPr>
          <w:rFonts w:eastAsiaTheme="minorEastAsia"/>
          <w:sz w:val="24"/>
          <w:szCs w:val="24"/>
          <w:lang w:eastAsia="ja-JP"/>
        </w:rPr>
        <w:t>, respectively,</w:t>
      </w:r>
      <w:r w:rsidR="00FF2DF3" w:rsidRPr="00D336AE">
        <w:rPr>
          <w:rFonts w:eastAsiaTheme="minorEastAsia"/>
          <w:sz w:val="24"/>
          <w:szCs w:val="24"/>
          <w:lang w:eastAsia="ja-JP"/>
        </w:rPr>
        <w:t xml:space="preserve"> in patients treated with SMV-based triple therapy combined with </w:t>
      </w:r>
      <w:proofErr w:type="spellStart"/>
      <w:r w:rsidR="00FF2DF3" w:rsidRPr="00D336AE">
        <w:rPr>
          <w:rFonts w:eastAsiaTheme="minorEastAsia"/>
          <w:sz w:val="24"/>
          <w:szCs w:val="24"/>
          <w:lang w:eastAsia="ja-JP"/>
        </w:rPr>
        <w:t>PegIFN</w:t>
      </w:r>
      <w:proofErr w:type="spellEnd"/>
      <w:r w:rsidR="00FF2DF3" w:rsidRPr="00D336AE">
        <w:rPr>
          <w:sz w:val="24"/>
          <w:szCs w:val="24"/>
        </w:rPr>
        <w:t xml:space="preserve">α </w:t>
      </w:r>
      <w:r w:rsidR="00FF2DF3" w:rsidRPr="00D336AE">
        <w:rPr>
          <w:rFonts w:eastAsiaTheme="minorEastAsia"/>
          <w:sz w:val="24"/>
          <w:szCs w:val="24"/>
          <w:lang w:eastAsia="ja-JP"/>
        </w:rPr>
        <w:t>and RBV</w:t>
      </w:r>
      <w:r w:rsidR="009F3E00" w:rsidRPr="00D336AE">
        <w:rPr>
          <w:position w:val="6"/>
          <w:sz w:val="16"/>
          <w:szCs w:val="16"/>
        </w:rPr>
        <w:t>[</w:t>
      </w:r>
      <w:r w:rsidR="00182EB9" w:rsidRPr="00D336AE">
        <w:rPr>
          <w:position w:val="6"/>
          <w:sz w:val="16"/>
          <w:szCs w:val="16"/>
        </w:rPr>
        <w:t>13</w:t>
      </w:r>
      <w:r w:rsidR="009F3E00" w:rsidRPr="00D336AE">
        <w:rPr>
          <w:position w:val="6"/>
          <w:sz w:val="16"/>
          <w:szCs w:val="16"/>
        </w:rPr>
        <w:t>]</w:t>
      </w:r>
      <w:r w:rsidR="00FF2DF3" w:rsidRPr="00D336AE">
        <w:rPr>
          <w:rFonts w:eastAsiaTheme="minorEastAsia"/>
          <w:sz w:val="24"/>
          <w:szCs w:val="24"/>
          <w:lang w:eastAsia="ja-JP"/>
        </w:rPr>
        <w:t xml:space="preserve">. </w:t>
      </w:r>
      <w:r w:rsidR="002B3BB7" w:rsidRPr="00D336AE">
        <w:rPr>
          <w:rFonts w:eastAsiaTheme="minorEastAsia"/>
          <w:sz w:val="24"/>
          <w:szCs w:val="24"/>
          <w:lang w:eastAsia="ja-JP"/>
        </w:rPr>
        <w:t xml:space="preserve">In Japan, </w:t>
      </w:r>
      <w:r w:rsidR="00FF2DF3" w:rsidRPr="00D336AE">
        <w:rPr>
          <w:rFonts w:eastAsiaTheme="minorEastAsia"/>
          <w:sz w:val="24"/>
          <w:szCs w:val="24"/>
          <w:lang w:eastAsia="ja-JP"/>
        </w:rPr>
        <w:t>4 phase 3 clinical trials (CONCERTO) were conducted, and the SVR rates were 88.6% and 91.7% for treatment-naïve patients; 35.8%, 50.9%, and 38.5% for non-responders; and 89.8% and 96.6% for patients</w:t>
      </w:r>
      <w:r w:rsidR="00B91640" w:rsidRPr="00D336AE">
        <w:rPr>
          <w:rFonts w:eastAsiaTheme="minorEastAsia"/>
          <w:sz w:val="24"/>
          <w:szCs w:val="24"/>
          <w:lang w:eastAsia="ja-JP"/>
        </w:rPr>
        <w:t xml:space="preserve"> that relapsed</w:t>
      </w:r>
      <w:r w:rsidR="00FF2DF3" w:rsidRPr="00D336AE">
        <w:rPr>
          <w:position w:val="6"/>
          <w:sz w:val="16"/>
          <w:szCs w:val="16"/>
        </w:rPr>
        <w:t>[</w:t>
      </w:r>
      <w:r w:rsidR="00182EB9" w:rsidRPr="00D336AE">
        <w:rPr>
          <w:position w:val="6"/>
          <w:sz w:val="16"/>
          <w:szCs w:val="16"/>
        </w:rPr>
        <w:t>14-16</w:t>
      </w:r>
      <w:r w:rsidR="00FF2DF3" w:rsidRPr="00D336AE">
        <w:rPr>
          <w:position w:val="6"/>
          <w:sz w:val="16"/>
          <w:szCs w:val="16"/>
        </w:rPr>
        <w:t>]</w:t>
      </w:r>
      <w:r w:rsidR="00FF2DF3" w:rsidRPr="00D336AE">
        <w:rPr>
          <w:rFonts w:eastAsiaTheme="minorEastAsia"/>
          <w:sz w:val="24"/>
          <w:szCs w:val="24"/>
          <w:lang w:eastAsia="ja-JP"/>
        </w:rPr>
        <w:t xml:space="preserve">. </w:t>
      </w:r>
      <w:r w:rsidR="00A976A1" w:rsidRPr="00D336AE">
        <w:rPr>
          <w:rFonts w:eastAsiaTheme="minorEastAsia"/>
          <w:sz w:val="24"/>
          <w:szCs w:val="24"/>
          <w:lang w:eastAsia="ja-JP"/>
        </w:rPr>
        <w:t xml:space="preserve">Although </w:t>
      </w:r>
      <w:r w:rsidR="00B91640" w:rsidRPr="00D336AE">
        <w:rPr>
          <w:rFonts w:eastAsiaTheme="minorEastAsia"/>
          <w:sz w:val="24"/>
          <w:szCs w:val="24"/>
          <w:lang w:eastAsia="ja-JP"/>
        </w:rPr>
        <w:t xml:space="preserve">the </w:t>
      </w:r>
      <w:r w:rsidR="00A976A1" w:rsidRPr="00D336AE">
        <w:rPr>
          <w:rFonts w:eastAsiaTheme="minorEastAsia"/>
          <w:sz w:val="24"/>
          <w:szCs w:val="24"/>
          <w:lang w:eastAsia="ja-JP"/>
        </w:rPr>
        <w:t xml:space="preserve">SMV-based triple therapy </w:t>
      </w:r>
      <w:r w:rsidR="0018774D" w:rsidRPr="00D336AE">
        <w:rPr>
          <w:rFonts w:eastAsiaTheme="minorEastAsia"/>
          <w:sz w:val="24"/>
          <w:szCs w:val="24"/>
          <w:lang w:eastAsia="ja-JP"/>
        </w:rPr>
        <w:t>shows</w:t>
      </w:r>
      <w:r w:rsidR="00A976A1" w:rsidRPr="00D336AE">
        <w:rPr>
          <w:rFonts w:eastAsiaTheme="minorEastAsia"/>
          <w:sz w:val="24"/>
          <w:szCs w:val="24"/>
          <w:lang w:eastAsia="ja-JP"/>
        </w:rPr>
        <w:t xml:space="preserve"> </w:t>
      </w:r>
      <w:r w:rsidR="0018774D" w:rsidRPr="00D336AE">
        <w:rPr>
          <w:rFonts w:eastAsiaTheme="minorEastAsia"/>
          <w:sz w:val="24"/>
          <w:szCs w:val="24"/>
          <w:lang w:eastAsia="ja-JP"/>
        </w:rPr>
        <w:t xml:space="preserve">a </w:t>
      </w:r>
      <w:r w:rsidR="00A976A1" w:rsidRPr="00D336AE">
        <w:rPr>
          <w:rFonts w:eastAsiaTheme="minorEastAsia"/>
          <w:sz w:val="24"/>
          <w:szCs w:val="24"/>
          <w:lang w:eastAsia="ja-JP"/>
        </w:rPr>
        <w:t>favorable efficacy without inducing severe derma</w:t>
      </w:r>
      <w:r w:rsidR="00B91640" w:rsidRPr="00D336AE">
        <w:rPr>
          <w:rFonts w:eastAsiaTheme="minorEastAsia"/>
          <w:sz w:val="24"/>
          <w:szCs w:val="24"/>
          <w:lang w:eastAsia="ja-JP"/>
        </w:rPr>
        <w:t>tologic and hematologic toxicities</w:t>
      </w:r>
      <w:r w:rsidR="00A976A1" w:rsidRPr="00D336AE">
        <w:rPr>
          <w:rFonts w:eastAsiaTheme="minorEastAsia"/>
          <w:sz w:val="24"/>
          <w:szCs w:val="24"/>
          <w:lang w:eastAsia="ja-JP"/>
        </w:rPr>
        <w:t xml:space="preserve">, the </w:t>
      </w:r>
      <w:r w:rsidR="00CA5F49" w:rsidRPr="00D336AE">
        <w:rPr>
          <w:rFonts w:eastAsiaTheme="minorEastAsia"/>
          <w:sz w:val="24"/>
          <w:szCs w:val="24"/>
          <w:lang w:eastAsia="ja-JP"/>
        </w:rPr>
        <w:t xml:space="preserve">safety </w:t>
      </w:r>
      <w:r w:rsidR="00A976A1" w:rsidRPr="00D336AE">
        <w:rPr>
          <w:rFonts w:eastAsiaTheme="minorEastAsia"/>
          <w:sz w:val="24"/>
          <w:szCs w:val="24"/>
          <w:lang w:eastAsia="ja-JP"/>
        </w:rPr>
        <w:t>and</w:t>
      </w:r>
      <w:r w:rsidR="00CA5F49" w:rsidRPr="00CA5F49">
        <w:rPr>
          <w:rFonts w:eastAsiaTheme="minorEastAsia"/>
          <w:sz w:val="24"/>
          <w:szCs w:val="24"/>
          <w:lang w:eastAsia="ja-JP"/>
        </w:rPr>
        <w:t xml:space="preserve"> </w:t>
      </w:r>
      <w:r w:rsidR="00CA5F49" w:rsidRPr="00D336AE">
        <w:rPr>
          <w:rFonts w:eastAsiaTheme="minorEastAsia"/>
          <w:sz w:val="24"/>
          <w:szCs w:val="24"/>
          <w:lang w:eastAsia="ja-JP"/>
        </w:rPr>
        <w:t>efficacy</w:t>
      </w:r>
      <w:r w:rsidR="00A976A1" w:rsidRPr="00D336AE">
        <w:rPr>
          <w:rFonts w:eastAsiaTheme="minorEastAsia"/>
          <w:sz w:val="24"/>
          <w:szCs w:val="24"/>
          <w:lang w:eastAsia="ja-JP"/>
        </w:rPr>
        <w:t xml:space="preserve"> of </w:t>
      </w:r>
      <w:r w:rsidR="00B91640" w:rsidRPr="00D336AE">
        <w:rPr>
          <w:rFonts w:eastAsiaTheme="minorEastAsia"/>
          <w:sz w:val="24"/>
          <w:szCs w:val="24"/>
          <w:lang w:eastAsia="ja-JP"/>
        </w:rPr>
        <w:t xml:space="preserve">the </w:t>
      </w:r>
      <w:r w:rsidR="00A976A1" w:rsidRPr="00D336AE">
        <w:rPr>
          <w:rFonts w:eastAsiaTheme="minorEastAsia"/>
          <w:sz w:val="24"/>
          <w:szCs w:val="24"/>
          <w:lang w:eastAsia="ja-JP"/>
        </w:rPr>
        <w:t xml:space="preserve">SMV-based triple therapy for </w:t>
      </w:r>
      <w:r w:rsidR="00CA5F49">
        <w:rPr>
          <w:rFonts w:eastAsiaTheme="minorEastAsia"/>
          <w:sz w:val="24"/>
          <w:szCs w:val="24"/>
          <w:lang w:eastAsia="ja-JP"/>
        </w:rPr>
        <w:t>elderly</w:t>
      </w:r>
      <w:r w:rsidR="00A976A1" w:rsidRPr="00D336AE">
        <w:rPr>
          <w:rFonts w:eastAsiaTheme="minorEastAsia"/>
          <w:sz w:val="24"/>
          <w:szCs w:val="24"/>
          <w:lang w:eastAsia="ja-JP"/>
        </w:rPr>
        <w:t xml:space="preserve"> patients has not </w:t>
      </w:r>
      <w:r w:rsidR="00B91640" w:rsidRPr="00D336AE">
        <w:rPr>
          <w:rFonts w:eastAsiaTheme="minorEastAsia"/>
          <w:sz w:val="24"/>
          <w:szCs w:val="24"/>
          <w:lang w:eastAsia="ja-JP"/>
        </w:rPr>
        <w:t xml:space="preserve">yet </w:t>
      </w:r>
      <w:r w:rsidR="00A976A1" w:rsidRPr="00D336AE">
        <w:rPr>
          <w:rFonts w:eastAsiaTheme="minorEastAsia"/>
          <w:sz w:val="24"/>
          <w:szCs w:val="24"/>
          <w:lang w:eastAsia="ja-JP"/>
        </w:rPr>
        <w:t xml:space="preserve">been </w:t>
      </w:r>
      <w:r w:rsidR="00B91640" w:rsidRPr="00D336AE">
        <w:rPr>
          <w:rFonts w:eastAsiaTheme="minorEastAsia" w:hint="eastAsia"/>
          <w:sz w:val="24"/>
          <w:szCs w:val="24"/>
          <w:lang w:eastAsia="ja-JP"/>
        </w:rPr>
        <w:t>fully evaluated</w:t>
      </w:r>
      <w:r w:rsidR="00A976A1" w:rsidRPr="00D336AE">
        <w:rPr>
          <w:rFonts w:eastAsiaTheme="minorEastAsia" w:hint="eastAsia"/>
          <w:sz w:val="24"/>
          <w:szCs w:val="24"/>
          <w:lang w:eastAsia="ja-JP"/>
        </w:rPr>
        <w:t xml:space="preserve">. </w:t>
      </w:r>
      <w:r w:rsidR="00A976A1" w:rsidRPr="00D336AE">
        <w:rPr>
          <w:rFonts w:eastAsiaTheme="minorEastAsia"/>
          <w:sz w:val="24"/>
          <w:szCs w:val="24"/>
          <w:lang w:eastAsia="ja-JP"/>
        </w:rPr>
        <w:t>Therefore, i</w:t>
      </w:r>
      <w:r w:rsidR="00336BFA" w:rsidRPr="00D336AE">
        <w:rPr>
          <w:rFonts w:eastAsiaTheme="minorEastAsia"/>
          <w:sz w:val="24"/>
          <w:szCs w:val="24"/>
          <w:lang w:eastAsia="ja-JP"/>
        </w:rPr>
        <w:t>n the present study, we aimed to</w:t>
      </w:r>
      <w:r w:rsidR="00405E40">
        <w:rPr>
          <w:rFonts w:eastAsiaTheme="minorEastAsia"/>
          <w:sz w:val="24"/>
          <w:szCs w:val="24"/>
          <w:lang w:eastAsia="ja-JP"/>
        </w:rPr>
        <w:t xml:space="preserve"> assess</w:t>
      </w:r>
      <w:r w:rsidR="00336BFA" w:rsidRPr="00D336AE">
        <w:rPr>
          <w:rFonts w:eastAsiaTheme="minorEastAsia"/>
          <w:sz w:val="24"/>
          <w:szCs w:val="24"/>
          <w:lang w:eastAsia="ja-JP"/>
        </w:rPr>
        <w:t xml:space="preserve"> the efficacy and safety of TVR- and SMV-based triple therapies in </w:t>
      </w:r>
      <w:r w:rsidR="00405E40">
        <w:rPr>
          <w:rFonts w:eastAsiaTheme="minorEastAsia"/>
          <w:sz w:val="24"/>
          <w:szCs w:val="24"/>
          <w:lang w:eastAsia="ja-JP"/>
        </w:rPr>
        <w:t>elder</w:t>
      </w:r>
      <w:r w:rsidR="006976B3">
        <w:rPr>
          <w:rFonts w:eastAsiaTheme="minorEastAsia"/>
          <w:sz w:val="24"/>
          <w:szCs w:val="24"/>
          <w:lang w:eastAsia="ja-JP"/>
        </w:rPr>
        <w:t>ly</w:t>
      </w:r>
      <w:r w:rsidR="00336BFA" w:rsidRPr="00D336AE">
        <w:rPr>
          <w:rFonts w:eastAsiaTheme="minorEastAsia"/>
          <w:sz w:val="24"/>
          <w:szCs w:val="24"/>
          <w:lang w:eastAsia="ja-JP"/>
        </w:rPr>
        <w:t xml:space="preserve"> patients, specifically </w:t>
      </w:r>
      <w:r w:rsidR="00B91640" w:rsidRPr="00D336AE">
        <w:rPr>
          <w:rFonts w:eastAsiaTheme="minorEastAsia"/>
          <w:sz w:val="24"/>
          <w:szCs w:val="24"/>
          <w:lang w:eastAsia="ja-JP"/>
        </w:rPr>
        <w:t xml:space="preserve">patients </w:t>
      </w:r>
      <w:r w:rsidR="00336BFA" w:rsidRPr="00D336AE">
        <w:rPr>
          <w:rFonts w:eastAsiaTheme="minorEastAsia"/>
          <w:sz w:val="24"/>
          <w:szCs w:val="24"/>
          <w:lang w:eastAsia="ja-JP"/>
        </w:rPr>
        <w:t xml:space="preserve">aged 66 years </w:t>
      </w:r>
      <w:r w:rsidR="00B91640" w:rsidRPr="00D336AE">
        <w:rPr>
          <w:rFonts w:eastAsiaTheme="minorEastAsia"/>
          <w:sz w:val="24"/>
          <w:szCs w:val="24"/>
          <w:lang w:eastAsia="ja-JP"/>
        </w:rPr>
        <w:t xml:space="preserve">or older, </w:t>
      </w:r>
      <w:r w:rsidR="00B91640" w:rsidRPr="00D336AE">
        <w:rPr>
          <w:sz w:val="24"/>
          <w:szCs w:val="24"/>
        </w:rPr>
        <w:t>in a real-world clinical setting.</w:t>
      </w:r>
    </w:p>
    <w:p w:rsidR="00B6692C" w:rsidRPr="00D336AE" w:rsidRDefault="00B6692C" w:rsidP="006611DD">
      <w:pPr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</w:p>
    <w:p w:rsidR="000F55D1" w:rsidRPr="00D336AE" w:rsidRDefault="00E302E1" w:rsidP="006611DD">
      <w:pPr>
        <w:pStyle w:val="Heading1"/>
        <w:spacing w:before="145" w:line="360" w:lineRule="auto"/>
        <w:ind w:left="0"/>
        <w:jc w:val="both"/>
        <w:rPr>
          <w:b w:val="0"/>
          <w:bCs w:val="0"/>
          <w:sz w:val="24"/>
          <w:szCs w:val="24"/>
        </w:rPr>
      </w:pPr>
      <w:r w:rsidRPr="00D336AE">
        <w:rPr>
          <w:sz w:val="24"/>
          <w:szCs w:val="24"/>
        </w:rPr>
        <w:t>MATERIALS AND METHODS</w:t>
      </w:r>
    </w:p>
    <w:p w:rsidR="000F55D1" w:rsidRPr="00D336AE" w:rsidRDefault="00C27E0A" w:rsidP="006611DD">
      <w:pPr>
        <w:pStyle w:val="Heading2"/>
        <w:spacing w:before="144" w:line="360" w:lineRule="auto"/>
        <w:ind w:left="0"/>
        <w:jc w:val="both"/>
        <w:rPr>
          <w:b w:val="0"/>
          <w:bCs w:val="0"/>
          <w:i w:val="0"/>
          <w:sz w:val="24"/>
          <w:szCs w:val="24"/>
        </w:rPr>
      </w:pPr>
      <w:r w:rsidRPr="00D336AE">
        <w:rPr>
          <w:sz w:val="24"/>
          <w:szCs w:val="24"/>
        </w:rPr>
        <w:t>Patients</w:t>
      </w:r>
    </w:p>
    <w:p w:rsidR="00AC515E" w:rsidRPr="00D336AE" w:rsidRDefault="00635F90" w:rsidP="006611DD">
      <w:pPr>
        <w:pStyle w:val="BodyText"/>
        <w:spacing w:before="144" w:line="360" w:lineRule="auto"/>
        <w:ind w:left="0" w:right="105"/>
        <w:jc w:val="both"/>
        <w:rPr>
          <w:sz w:val="24"/>
          <w:szCs w:val="24"/>
        </w:rPr>
      </w:pPr>
      <w:r w:rsidRPr="00D336AE">
        <w:rPr>
          <w:sz w:val="24"/>
          <w:szCs w:val="24"/>
        </w:rPr>
        <w:t>This prospective</w:t>
      </w:r>
      <w:r w:rsidR="00A13CD5" w:rsidRPr="00D336AE">
        <w:rPr>
          <w:sz w:val="24"/>
          <w:szCs w:val="24"/>
        </w:rPr>
        <w:t xml:space="preserve"> and multicenter</w:t>
      </w:r>
      <w:r w:rsidRPr="00D336AE">
        <w:rPr>
          <w:sz w:val="24"/>
          <w:szCs w:val="24"/>
        </w:rPr>
        <w:t xml:space="preserve"> study enrolled 112 and 76 </w:t>
      </w:r>
      <w:r w:rsidR="00A13CD5" w:rsidRPr="00D336AE">
        <w:rPr>
          <w:sz w:val="24"/>
          <w:szCs w:val="24"/>
        </w:rPr>
        <w:t xml:space="preserve">HCV </w:t>
      </w:r>
      <w:r w:rsidRPr="00D336AE">
        <w:rPr>
          <w:sz w:val="24"/>
          <w:szCs w:val="24"/>
        </w:rPr>
        <w:t>genotype 1b Japanese patients who received 12 weeks of TVR-ba</w:t>
      </w:r>
      <w:r w:rsidR="00A57413" w:rsidRPr="00D336AE">
        <w:rPr>
          <w:sz w:val="24"/>
          <w:szCs w:val="24"/>
        </w:rPr>
        <w:t>sed and SMV-based triple therapies</w:t>
      </w:r>
      <w:r w:rsidR="006359A7" w:rsidRPr="00D336AE">
        <w:rPr>
          <w:rFonts w:eastAsiaTheme="minorEastAsia" w:hint="eastAsia"/>
          <w:sz w:val="24"/>
          <w:szCs w:val="24"/>
          <w:lang w:eastAsia="ja-JP"/>
        </w:rPr>
        <w:t xml:space="preserve">, respectively, </w:t>
      </w:r>
      <w:r w:rsidRPr="00D336AE">
        <w:rPr>
          <w:sz w:val="24"/>
          <w:szCs w:val="24"/>
        </w:rPr>
        <w:t xml:space="preserve">followed by a </w:t>
      </w:r>
      <w:r w:rsidR="00863E54" w:rsidRPr="00D336AE">
        <w:rPr>
          <w:sz w:val="24"/>
          <w:szCs w:val="24"/>
        </w:rPr>
        <w:t xml:space="preserve">dual therapy that included </w:t>
      </w:r>
      <w:proofErr w:type="spellStart"/>
      <w:r w:rsidRPr="00D336AE">
        <w:rPr>
          <w:sz w:val="24"/>
          <w:szCs w:val="24"/>
        </w:rPr>
        <w:t>PegIFN</w:t>
      </w:r>
      <w:proofErr w:type="spellEnd"/>
      <w:r w:rsidRPr="00D336AE">
        <w:rPr>
          <w:sz w:val="24"/>
          <w:szCs w:val="24"/>
        </w:rPr>
        <w:t xml:space="preserve"> α </w:t>
      </w:r>
      <w:r w:rsidR="00BC45B3" w:rsidRPr="00D336AE">
        <w:rPr>
          <w:sz w:val="24"/>
          <w:szCs w:val="24"/>
        </w:rPr>
        <w:t xml:space="preserve">and </w:t>
      </w:r>
      <w:r w:rsidR="00863E54" w:rsidRPr="00D336AE">
        <w:rPr>
          <w:sz w:val="24"/>
          <w:szCs w:val="24"/>
        </w:rPr>
        <w:t>RBV</w:t>
      </w:r>
      <w:r w:rsidR="00CA5F49">
        <w:rPr>
          <w:sz w:val="24"/>
          <w:szCs w:val="24"/>
        </w:rPr>
        <w:t xml:space="preserve"> for 12 weeks</w:t>
      </w:r>
      <w:r w:rsidRPr="00D336AE">
        <w:rPr>
          <w:sz w:val="24"/>
          <w:szCs w:val="24"/>
        </w:rPr>
        <w:t xml:space="preserve">. </w:t>
      </w:r>
      <w:r w:rsidR="00F47C5D" w:rsidRPr="00D336AE">
        <w:rPr>
          <w:sz w:val="24"/>
          <w:szCs w:val="24"/>
        </w:rPr>
        <w:t xml:space="preserve">Nine hospitals in Niigata, Japan, including Niigata University Hospital, </w:t>
      </w:r>
      <w:r w:rsidR="006359A7" w:rsidRPr="00D336AE">
        <w:rPr>
          <w:sz w:val="24"/>
          <w:szCs w:val="24"/>
        </w:rPr>
        <w:t>participat</w:t>
      </w:r>
      <w:r w:rsidR="00F47C5D" w:rsidRPr="00D336AE">
        <w:rPr>
          <w:sz w:val="24"/>
          <w:szCs w:val="24"/>
        </w:rPr>
        <w:t xml:space="preserve">ed in this study. </w:t>
      </w:r>
      <w:r w:rsidR="00A13CD5" w:rsidRPr="00D336AE">
        <w:rPr>
          <w:sz w:val="24"/>
          <w:szCs w:val="24"/>
        </w:rPr>
        <w:t xml:space="preserve">The patients were </w:t>
      </w:r>
      <w:r w:rsidR="00351A0A">
        <w:rPr>
          <w:sz w:val="24"/>
          <w:szCs w:val="24"/>
        </w:rPr>
        <w:t>categorized</w:t>
      </w:r>
      <w:r w:rsidR="00A13CD5" w:rsidRPr="00D336AE">
        <w:rPr>
          <w:sz w:val="24"/>
          <w:szCs w:val="24"/>
        </w:rPr>
        <w:t xml:space="preserve"> </w:t>
      </w:r>
      <w:r w:rsidR="006359A7" w:rsidRPr="00D336AE">
        <w:rPr>
          <w:sz w:val="24"/>
          <w:szCs w:val="24"/>
        </w:rPr>
        <w:t xml:space="preserve">into two groups </w:t>
      </w:r>
      <w:r w:rsidR="00A13CD5" w:rsidRPr="00D336AE">
        <w:rPr>
          <w:sz w:val="24"/>
          <w:szCs w:val="24"/>
        </w:rPr>
        <w:t>according to age</w:t>
      </w:r>
      <w:r w:rsidR="006359A7" w:rsidRPr="00D336AE">
        <w:rPr>
          <w:sz w:val="24"/>
          <w:szCs w:val="24"/>
        </w:rPr>
        <w:t xml:space="preserve"> as follows</w:t>
      </w:r>
      <w:r w:rsidR="00A13CD5" w:rsidRPr="00D336AE">
        <w:rPr>
          <w:sz w:val="24"/>
          <w:szCs w:val="24"/>
        </w:rPr>
        <w:t xml:space="preserve">: </w:t>
      </w:r>
      <w:r w:rsidR="00CA5F49" w:rsidRPr="00D336AE">
        <w:rPr>
          <w:sz w:val="24"/>
          <w:szCs w:val="24"/>
        </w:rPr>
        <w:t xml:space="preserve">a younger group of patients aged ≤65 years old </w:t>
      </w:r>
      <w:r w:rsidR="00A13CD5" w:rsidRPr="00D336AE">
        <w:rPr>
          <w:sz w:val="24"/>
          <w:szCs w:val="24"/>
        </w:rPr>
        <w:t>and</w:t>
      </w:r>
      <w:r w:rsidR="00CA5F49" w:rsidRPr="00CA5F49">
        <w:rPr>
          <w:sz w:val="24"/>
          <w:szCs w:val="24"/>
        </w:rPr>
        <w:t xml:space="preserve"> </w:t>
      </w:r>
      <w:r w:rsidR="00CA5F49" w:rsidRPr="00D336AE">
        <w:rPr>
          <w:sz w:val="24"/>
          <w:szCs w:val="24"/>
        </w:rPr>
        <w:t>an older group of patients aged &gt;65 years old</w:t>
      </w:r>
      <w:r w:rsidR="00A13CD5" w:rsidRPr="00D336AE">
        <w:rPr>
          <w:sz w:val="24"/>
          <w:szCs w:val="24"/>
        </w:rPr>
        <w:t xml:space="preserve">. Among the patients treated with </w:t>
      </w:r>
      <w:r w:rsidR="006359A7" w:rsidRPr="00D336AE">
        <w:rPr>
          <w:sz w:val="24"/>
          <w:szCs w:val="24"/>
        </w:rPr>
        <w:t xml:space="preserve">the </w:t>
      </w:r>
      <w:r w:rsidR="00A13CD5" w:rsidRPr="00D336AE">
        <w:rPr>
          <w:sz w:val="24"/>
          <w:szCs w:val="24"/>
        </w:rPr>
        <w:t xml:space="preserve">TVR-based triple therapy, 34 patients were included in the older group. The median ages were </w:t>
      </w:r>
      <w:r w:rsidR="00351A0A" w:rsidRPr="00D336AE">
        <w:rPr>
          <w:sz w:val="24"/>
          <w:szCs w:val="24"/>
        </w:rPr>
        <w:t xml:space="preserve">56 years (range: 28-65 years) in the younger group </w:t>
      </w:r>
      <w:r w:rsidR="00A13CD5" w:rsidRPr="00D336AE">
        <w:rPr>
          <w:sz w:val="24"/>
          <w:szCs w:val="24"/>
        </w:rPr>
        <w:t xml:space="preserve">and </w:t>
      </w:r>
      <w:r w:rsidR="00351A0A" w:rsidRPr="00D336AE">
        <w:rPr>
          <w:sz w:val="24"/>
          <w:szCs w:val="24"/>
        </w:rPr>
        <w:t>69 years (range: 66-81 years) in the older group</w:t>
      </w:r>
      <w:r w:rsidR="00351A0A">
        <w:rPr>
          <w:sz w:val="24"/>
          <w:szCs w:val="24"/>
        </w:rPr>
        <w:t xml:space="preserve">. </w:t>
      </w:r>
      <w:r w:rsidR="00A13CD5" w:rsidRPr="00D336AE">
        <w:rPr>
          <w:sz w:val="24"/>
          <w:szCs w:val="24"/>
        </w:rPr>
        <w:t xml:space="preserve">Among the patients treated with </w:t>
      </w:r>
      <w:r w:rsidR="006359A7" w:rsidRPr="00D336AE">
        <w:rPr>
          <w:sz w:val="24"/>
          <w:szCs w:val="24"/>
        </w:rPr>
        <w:t xml:space="preserve">the </w:t>
      </w:r>
      <w:r w:rsidR="00A13CD5" w:rsidRPr="00D336AE">
        <w:rPr>
          <w:sz w:val="24"/>
          <w:szCs w:val="24"/>
        </w:rPr>
        <w:t xml:space="preserve">SMV-based triple therapy, </w:t>
      </w:r>
      <w:r w:rsidR="00E05D67" w:rsidRPr="00D336AE">
        <w:rPr>
          <w:rFonts w:eastAsiaTheme="minorEastAsia" w:hint="eastAsia"/>
          <w:sz w:val="24"/>
          <w:szCs w:val="24"/>
          <w:lang w:eastAsia="ja-JP"/>
        </w:rPr>
        <w:t>t</w:t>
      </w:r>
      <w:r w:rsidR="00A13CD5" w:rsidRPr="00D336AE">
        <w:rPr>
          <w:sz w:val="24"/>
          <w:szCs w:val="24"/>
        </w:rPr>
        <w:t>he older group</w:t>
      </w:r>
      <w:r w:rsidR="00E05D67" w:rsidRPr="00D336AE">
        <w:rPr>
          <w:sz w:val="24"/>
          <w:szCs w:val="24"/>
        </w:rPr>
        <w:t xml:space="preserve"> consists of 39 patients</w:t>
      </w:r>
      <w:r w:rsidR="00A13CD5" w:rsidRPr="00D336AE">
        <w:rPr>
          <w:sz w:val="24"/>
          <w:szCs w:val="24"/>
        </w:rPr>
        <w:t xml:space="preserve">. The median ages were </w:t>
      </w:r>
      <w:r w:rsidR="00351A0A" w:rsidRPr="00D336AE">
        <w:rPr>
          <w:sz w:val="24"/>
          <w:szCs w:val="24"/>
        </w:rPr>
        <w:t xml:space="preserve">59 years (range: 36-65 years) in the younger group </w:t>
      </w:r>
      <w:r w:rsidR="00A13CD5" w:rsidRPr="00D336AE">
        <w:rPr>
          <w:sz w:val="24"/>
          <w:szCs w:val="24"/>
        </w:rPr>
        <w:t>and</w:t>
      </w:r>
      <w:r w:rsidR="00351A0A">
        <w:rPr>
          <w:sz w:val="24"/>
          <w:szCs w:val="24"/>
        </w:rPr>
        <w:t xml:space="preserve"> </w:t>
      </w:r>
      <w:r w:rsidR="00351A0A" w:rsidRPr="00D336AE">
        <w:rPr>
          <w:sz w:val="24"/>
          <w:szCs w:val="24"/>
        </w:rPr>
        <w:t>71 years (range: 66-86 years) in the older group</w:t>
      </w:r>
      <w:r w:rsidR="00F47C5D" w:rsidRPr="00D336AE">
        <w:rPr>
          <w:sz w:val="24"/>
          <w:szCs w:val="24"/>
        </w:rPr>
        <w:t xml:space="preserve">. </w:t>
      </w:r>
      <w:r w:rsidR="00167147" w:rsidRPr="00D336AE">
        <w:rPr>
          <w:sz w:val="24"/>
          <w:szCs w:val="24"/>
        </w:rPr>
        <w:t xml:space="preserve">Liver biopsy samples </w:t>
      </w:r>
      <w:r w:rsidR="00F46C35" w:rsidRPr="00D336AE">
        <w:rPr>
          <w:sz w:val="24"/>
          <w:szCs w:val="24"/>
        </w:rPr>
        <w:t xml:space="preserve">were </w:t>
      </w:r>
      <w:r w:rsidR="00167147" w:rsidRPr="00D336AE">
        <w:rPr>
          <w:sz w:val="24"/>
          <w:szCs w:val="24"/>
        </w:rPr>
        <w:t xml:space="preserve">obtained from 34 (30.6%) and 42 patients </w:t>
      </w:r>
      <w:r w:rsidR="00167147" w:rsidRPr="00D336AE">
        <w:rPr>
          <w:sz w:val="24"/>
          <w:szCs w:val="24"/>
        </w:rPr>
        <w:lastRenderedPageBreak/>
        <w:t>(55.2%) in the TVR and SMV group</w:t>
      </w:r>
      <w:r w:rsidR="00F46C35" w:rsidRPr="00D336AE">
        <w:rPr>
          <w:sz w:val="24"/>
          <w:szCs w:val="24"/>
        </w:rPr>
        <w:t>s</w:t>
      </w:r>
      <w:r w:rsidR="00BD1C5B" w:rsidRPr="00D336AE">
        <w:rPr>
          <w:sz w:val="24"/>
          <w:szCs w:val="24"/>
        </w:rPr>
        <w:t>, respectively</w:t>
      </w:r>
      <w:r w:rsidR="00167147" w:rsidRPr="00D336AE">
        <w:rPr>
          <w:sz w:val="24"/>
          <w:szCs w:val="24"/>
        </w:rPr>
        <w:t>. For each s</w:t>
      </w:r>
      <w:r w:rsidR="00BD1C5B" w:rsidRPr="00D336AE">
        <w:rPr>
          <w:sz w:val="24"/>
          <w:szCs w:val="24"/>
        </w:rPr>
        <w:t>ample</w:t>
      </w:r>
      <w:r w:rsidR="00BC28CD">
        <w:rPr>
          <w:sz w:val="24"/>
          <w:szCs w:val="24"/>
        </w:rPr>
        <w:t xml:space="preserve">, the </w:t>
      </w:r>
      <w:r w:rsidR="00167147" w:rsidRPr="00D336AE">
        <w:rPr>
          <w:sz w:val="24"/>
          <w:szCs w:val="24"/>
        </w:rPr>
        <w:t xml:space="preserve">fibrosis </w:t>
      </w:r>
      <w:r w:rsidR="00BC28CD">
        <w:rPr>
          <w:sz w:val="24"/>
          <w:szCs w:val="24"/>
        </w:rPr>
        <w:t xml:space="preserve">stage (F0-4) and </w:t>
      </w:r>
      <w:r w:rsidR="00167147" w:rsidRPr="00D336AE">
        <w:rPr>
          <w:sz w:val="24"/>
          <w:szCs w:val="24"/>
        </w:rPr>
        <w:t xml:space="preserve">activity </w:t>
      </w:r>
      <w:r w:rsidR="00BC28CD">
        <w:rPr>
          <w:sz w:val="24"/>
          <w:szCs w:val="24"/>
        </w:rPr>
        <w:t xml:space="preserve">grade </w:t>
      </w:r>
      <w:r w:rsidR="00167147" w:rsidRPr="00D336AE">
        <w:rPr>
          <w:sz w:val="24"/>
          <w:szCs w:val="24"/>
        </w:rPr>
        <w:t>(A0-3) were e</w:t>
      </w:r>
      <w:r w:rsidR="00BC28CD">
        <w:rPr>
          <w:sz w:val="24"/>
          <w:szCs w:val="24"/>
        </w:rPr>
        <w:t>valuated</w:t>
      </w:r>
      <w:r w:rsidR="00167147" w:rsidRPr="00D336AE">
        <w:rPr>
          <w:sz w:val="24"/>
          <w:szCs w:val="24"/>
        </w:rPr>
        <w:t xml:space="preserve"> according to </w:t>
      </w:r>
      <w:r w:rsidR="00F46C35" w:rsidRPr="00D336AE">
        <w:rPr>
          <w:sz w:val="24"/>
          <w:szCs w:val="24"/>
        </w:rPr>
        <w:t xml:space="preserve">the </w:t>
      </w:r>
      <w:proofErr w:type="spellStart"/>
      <w:r w:rsidR="00167147" w:rsidRPr="00D336AE">
        <w:rPr>
          <w:sz w:val="24"/>
          <w:szCs w:val="24"/>
        </w:rPr>
        <w:t>Metavir</w:t>
      </w:r>
      <w:proofErr w:type="spellEnd"/>
      <w:r w:rsidR="00167147" w:rsidRPr="00D336AE">
        <w:rPr>
          <w:sz w:val="24"/>
          <w:szCs w:val="24"/>
        </w:rPr>
        <w:t xml:space="preserve"> score</w:t>
      </w:r>
      <w:r w:rsidR="00167147" w:rsidRPr="00D336AE">
        <w:rPr>
          <w:spacing w:val="-2"/>
          <w:position w:val="6"/>
          <w:sz w:val="16"/>
          <w:szCs w:val="16"/>
        </w:rPr>
        <w:t>[</w:t>
      </w:r>
      <w:r w:rsidR="00BD1C5B" w:rsidRPr="00D336AE">
        <w:rPr>
          <w:spacing w:val="-2"/>
          <w:position w:val="6"/>
          <w:sz w:val="16"/>
          <w:szCs w:val="16"/>
        </w:rPr>
        <w:t>17</w:t>
      </w:r>
      <w:r w:rsidR="00167147" w:rsidRPr="00D336AE">
        <w:rPr>
          <w:spacing w:val="-2"/>
          <w:position w:val="6"/>
          <w:sz w:val="16"/>
          <w:szCs w:val="16"/>
        </w:rPr>
        <w:t>]</w:t>
      </w:r>
      <w:r w:rsidR="00167147" w:rsidRPr="00D336AE">
        <w:rPr>
          <w:sz w:val="24"/>
          <w:szCs w:val="24"/>
        </w:rPr>
        <w:t>.</w:t>
      </w:r>
    </w:p>
    <w:p w:rsidR="00C27E0A" w:rsidRPr="00D336AE" w:rsidRDefault="00A42931" w:rsidP="006611DD">
      <w:pPr>
        <w:pStyle w:val="BodyText"/>
        <w:spacing w:line="360" w:lineRule="auto"/>
        <w:ind w:left="0" w:right="108" w:firstLineChars="188" w:firstLine="451"/>
        <w:jc w:val="both"/>
        <w:rPr>
          <w:sz w:val="24"/>
          <w:szCs w:val="24"/>
        </w:rPr>
      </w:pPr>
      <w:r w:rsidRPr="00D336AE">
        <w:rPr>
          <w:sz w:val="24"/>
          <w:szCs w:val="24"/>
        </w:rPr>
        <w:t xml:space="preserve">According to </w:t>
      </w:r>
      <w:r w:rsidR="007343A7" w:rsidRPr="00D336AE">
        <w:rPr>
          <w:sz w:val="24"/>
          <w:szCs w:val="24"/>
        </w:rPr>
        <w:t>response</w:t>
      </w:r>
      <w:r w:rsidR="007343A7">
        <w:rPr>
          <w:sz w:val="24"/>
          <w:szCs w:val="24"/>
        </w:rPr>
        <w:t>s to</w:t>
      </w:r>
      <w:r w:rsidR="007343A7" w:rsidRPr="00D336AE">
        <w:rPr>
          <w:sz w:val="24"/>
          <w:szCs w:val="24"/>
        </w:rPr>
        <w:t xml:space="preserve"> </w:t>
      </w:r>
      <w:r w:rsidRPr="00D336AE">
        <w:rPr>
          <w:sz w:val="24"/>
          <w:szCs w:val="24"/>
        </w:rPr>
        <w:t>pr</w:t>
      </w:r>
      <w:r w:rsidR="001312D6" w:rsidRPr="00D336AE">
        <w:rPr>
          <w:sz w:val="24"/>
          <w:szCs w:val="24"/>
        </w:rPr>
        <w:t>ior</w:t>
      </w:r>
      <w:r w:rsidRPr="00D336AE">
        <w:rPr>
          <w:sz w:val="24"/>
          <w:szCs w:val="24"/>
        </w:rPr>
        <w:t xml:space="preserve"> treatment</w:t>
      </w:r>
      <w:r w:rsidR="007343A7">
        <w:rPr>
          <w:sz w:val="24"/>
          <w:szCs w:val="24"/>
        </w:rPr>
        <w:t>s</w:t>
      </w:r>
      <w:r w:rsidRPr="00D336AE">
        <w:rPr>
          <w:sz w:val="24"/>
          <w:szCs w:val="24"/>
        </w:rPr>
        <w:t>, relapse was defied as undetectable HCV during and at t</w:t>
      </w:r>
      <w:r w:rsidR="00405E40">
        <w:rPr>
          <w:sz w:val="24"/>
          <w:szCs w:val="24"/>
        </w:rPr>
        <w:t xml:space="preserve">he end of treatment </w:t>
      </w:r>
      <w:r w:rsidRPr="00D336AE">
        <w:rPr>
          <w:sz w:val="24"/>
          <w:szCs w:val="24"/>
        </w:rPr>
        <w:t xml:space="preserve">with </w:t>
      </w:r>
      <w:r w:rsidR="00162BFC">
        <w:rPr>
          <w:sz w:val="24"/>
          <w:szCs w:val="24"/>
        </w:rPr>
        <w:t xml:space="preserve">positive HCV RNA </w:t>
      </w:r>
      <w:r w:rsidR="007343A7">
        <w:rPr>
          <w:sz w:val="24"/>
          <w:szCs w:val="24"/>
        </w:rPr>
        <w:t>detecting</w:t>
      </w:r>
      <w:r w:rsidRPr="00D336AE">
        <w:rPr>
          <w:sz w:val="24"/>
          <w:szCs w:val="24"/>
        </w:rPr>
        <w:t xml:space="preserve"> later on. Non-responder was defined as detectable HCV RNA for more than 24 weeks. </w:t>
      </w:r>
      <w:r w:rsidR="00AC515E" w:rsidRPr="00D336AE">
        <w:rPr>
          <w:sz w:val="24"/>
          <w:szCs w:val="24"/>
        </w:rPr>
        <w:t xml:space="preserve">Patients with decompensated liver cirrhosis, </w:t>
      </w:r>
      <w:r w:rsidR="00BD3198" w:rsidRPr="00D336AE">
        <w:rPr>
          <w:sz w:val="24"/>
          <w:szCs w:val="24"/>
        </w:rPr>
        <w:t xml:space="preserve">hepatocellular carcinoma, </w:t>
      </w:r>
      <w:r w:rsidR="00863E54" w:rsidRPr="00D336AE">
        <w:rPr>
          <w:sz w:val="24"/>
          <w:szCs w:val="24"/>
        </w:rPr>
        <w:t xml:space="preserve">co-infection with </w:t>
      </w:r>
      <w:r w:rsidR="00BD3198" w:rsidRPr="00D336AE">
        <w:rPr>
          <w:sz w:val="24"/>
          <w:szCs w:val="24"/>
        </w:rPr>
        <w:t>hepatitis B</w:t>
      </w:r>
      <w:r w:rsidR="00863E54" w:rsidRPr="00D336AE">
        <w:rPr>
          <w:sz w:val="24"/>
          <w:szCs w:val="24"/>
        </w:rPr>
        <w:t xml:space="preserve"> virus or</w:t>
      </w:r>
      <w:r w:rsidR="00BD3198" w:rsidRPr="00D336AE">
        <w:rPr>
          <w:sz w:val="24"/>
          <w:szCs w:val="24"/>
        </w:rPr>
        <w:t xml:space="preserve"> </w:t>
      </w:r>
      <w:r w:rsidR="00AC515E" w:rsidRPr="00D336AE">
        <w:rPr>
          <w:sz w:val="24"/>
          <w:szCs w:val="24"/>
        </w:rPr>
        <w:t xml:space="preserve">human immunodeficiency virus, autoimmune hepatitis, primary biliary cirrhosis, hemochromatosis, or Wilson’s disease were excluded. Patients with uncontrollable diabetes mellitus, </w:t>
      </w:r>
      <w:r w:rsidR="00BD3198" w:rsidRPr="00D336AE">
        <w:rPr>
          <w:sz w:val="24"/>
          <w:szCs w:val="24"/>
        </w:rPr>
        <w:t xml:space="preserve">chronic renal failure, depression, </w:t>
      </w:r>
      <w:r w:rsidR="00AC515E" w:rsidRPr="00D336AE">
        <w:rPr>
          <w:sz w:val="24"/>
          <w:szCs w:val="24"/>
        </w:rPr>
        <w:t xml:space="preserve">and those with a history of alcohol abuse, were also excluded. </w:t>
      </w:r>
      <w:r w:rsidR="00C27E0A" w:rsidRPr="00D336AE">
        <w:rPr>
          <w:sz w:val="24"/>
          <w:szCs w:val="24"/>
        </w:rPr>
        <w:t>Information regarding patient profiles was shown in Table</w:t>
      </w:r>
      <w:r w:rsidR="00BC45B3" w:rsidRPr="00D336AE">
        <w:rPr>
          <w:sz w:val="24"/>
          <w:szCs w:val="24"/>
        </w:rPr>
        <w:t>s</w:t>
      </w:r>
      <w:r w:rsidR="00C27E0A" w:rsidRPr="00D336AE">
        <w:rPr>
          <w:sz w:val="24"/>
          <w:szCs w:val="24"/>
        </w:rPr>
        <w:t xml:space="preserve"> 1</w:t>
      </w:r>
      <w:r w:rsidRPr="00D336AE">
        <w:rPr>
          <w:sz w:val="24"/>
          <w:szCs w:val="24"/>
        </w:rPr>
        <w:t xml:space="preserve"> and 2</w:t>
      </w:r>
      <w:r w:rsidR="00C27E0A" w:rsidRPr="00D336AE">
        <w:rPr>
          <w:sz w:val="24"/>
          <w:szCs w:val="24"/>
        </w:rPr>
        <w:t>.</w:t>
      </w:r>
    </w:p>
    <w:p w:rsidR="000F55D1" w:rsidRPr="00D336AE" w:rsidRDefault="000F55D1" w:rsidP="006611DD">
      <w:pPr>
        <w:spacing w:before="8" w:line="360" w:lineRule="auto"/>
        <w:rPr>
          <w:rFonts w:ascii="Book Antiqua" w:eastAsia="Book Antiqua" w:hAnsi="Book Antiqua" w:cs="Book Antiqua"/>
          <w:sz w:val="24"/>
          <w:szCs w:val="24"/>
        </w:rPr>
      </w:pPr>
    </w:p>
    <w:p w:rsidR="000F55D1" w:rsidRPr="00D336AE" w:rsidRDefault="00C27E0A" w:rsidP="006611DD">
      <w:pPr>
        <w:pStyle w:val="Heading2"/>
        <w:spacing w:line="360" w:lineRule="auto"/>
        <w:ind w:left="0"/>
        <w:jc w:val="both"/>
        <w:rPr>
          <w:b w:val="0"/>
          <w:bCs w:val="0"/>
          <w:i w:val="0"/>
          <w:sz w:val="24"/>
          <w:szCs w:val="24"/>
        </w:rPr>
      </w:pPr>
      <w:r w:rsidRPr="00D336AE">
        <w:rPr>
          <w:sz w:val="24"/>
          <w:szCs w:val="24"/>
        </w:rPr>
        <w:t>Study design</w:t>
      </w:r>
    </w:p>
    <w:p w:rsidR="006426CB" w:rsidRPr="00D336AE" w:rsidRDefault="00106644" w:rsidP="006611DD">
      <w:pPr>
        <w:pStyle w:val="BodyText"/>
        <w:spacing w:before="144" w:line="360" w:lineRule="auto"/>
        <w:ind w:left="0" w:right="105"/>
        <w:jc w:val="both"/>
        <w:rPr>
          <w:sz w:val="24"/>
          <w:szCs w:val="24"/>
        </w:rPr>
      </w:pPr>
      <w:r w:rsidRPr="00D336AE">
        <w:rPr>
          <w:sz w:val="24"/>
          <w:szCs w:val="24"/>
        </w:rPr>
        <w:t xml:space="preserve">All patients received </w:t>
      </w:r>
      <w:r w:rsidR="006359A7" w:rsidRPr="00D336AE">
        <w:rPr>
          <w:sz w:val="24"/>
          <w:szCs w:val="24"/>
        </w:rPr>
        <w:t xml:space="preserve">a </w:t>
      </w:r>
      <w:r w:rsidRPr="00D336AE">
        <w:rPr>
          <w:sz w:val="24"/>
          <w:szCs w:val="24"/>
        </w:rPr>
        <w:t xml:space="preserve">12-week triple therapy that included </w:t>
      </w:r>
      <w:r w:rsidR="006359A7" w:rsidRPr="00D336AE">
        <w:rPr>
          <w:sz w:val="24"/>
          <w:szCs w:val="24"/>
        </w:rPr>
        <w:t xml:space="preserve">either </w:t>
      </w:r>
      <w:r w:rsidRPr="00D336AE">
        <w:rPr>
          <w:sz w:val="24"/>
          <w:szCs w:val="24"/>
        </w:rPr>
        <w:t>TVR</w:t>
      </w:r>
      <w:r w:rsidR="005B7682" w:rsidRPr="00D336AE">
        <w:rPr>
          <w:sz w:val="24"/>
          <w:szCs w:val="24"/>
        </w:rPr>
        <w:t xml:space="preserve"> [1500 or 2250 mg/day; the initial dose of TVR was determined by each attending physician based on each patient’s baseline characteristics such as bodyweight (BW)]</w:t>
      </w:r>
      <w:r w:rsidR="00D42BFE" w:rsidRPr="00D336AE">
        <w:rPr>
          <w:sz w:val="24"/>
          <w:szCs w:val="24"/>
        </w:rPr>
        <w:t xml:space="preserve"> </w:t>
      </w:r>
      <w:r w:rsidR="002700B9" w:rsidRPr="00D336AE">
        <w:rPr>
          <w:sz w:val="24"/>
          <w:szCs w:val="24"/>
        </w:rPr>
        <w:t xml:space="preserve">(the dose of TVR was also reduced by each attending physician based on each patient’s adverse events such as anemia, malaise, and anorexia) </w:t>
      </w:r>
      <w:r w:rsidR="006504C9" w:rsidRPr="00D336AE">
        <w:rPr>
          <w:sz w:val="24"/>
          <w:szCs w:val="24"/>
        </w:rPr>
        <w:t>(</w:t>
      </w:r>
      <w:proofErr w:type="spellStart"/>
      <w:r w:rsidR="006504C9" w:rsidRPr="00D336AE">
        <w:rPr>
          <w:sz w:val="24"/>
          <w:szCs w:val="24"/>
        </w:rPr>
        <w:t>Telavic</w:t>
      </w:r>
      <w:proofErr w:type="spellEnd"/>
      <w:r w:rsidR="006504C9" w:rsidRPr="00D336AE">
        <w:rPr>
          <w:sz w:val="24"/>
          <w:szCs w:val="24"/>
        </w:rPr>
        <w:t xml:space="preserve">; Mitsubishi Tanabe Pharma, Osaka, Japan) </w:t>
      </w:r>
      <w:r w:rsidR="00D42BFE" w:rsidRPr="00D336AE">
        <w:rPr>
          <w:sz w:val="24"/>
          <w:szCs w:val="24"/>
        </w:rPr>
        <w:t>or SMV (100 mg/day)</w:t>
      </w:r>
      <w:r w:rsidR="006504C9" w:rsidRPr="00D336AE">
        <w:rPr>
          <w:sz w:val="24"/>
          <w:szCs w:val="24"/>
        </w:rPr>
        <w:t xml:space="preserve"> (</w:t>
      </w:r>
      <w:proofErr w:type="spellStart"/>
      <w:r w:rsidR="006504C9" w:rsidRPr="00D336AE">
        <w:rPr>
          <w:sz w:val="24"/>
          <w:szCs w:val="24"/>
        </w:rPr>
        <w:t>Sovriad</w:t>
      </w:r>
      <w:proofErr w:type="spellEnd"/>
      <w:r w:rsidR="006504C9" w:rsidRPr="00D336AE">
        <w:rPr>
          <w:sz w:val="24"/>
          <w:szCs w:val="24"/>
        </w:rPr>
        <w:t>; Janssen Pharmaceutical K.K., Tokyo, Japan)</w:t>
      </w:r>
      <w:r w:rsidR="006359A7" w:rsidRPr="00D336AE">
        <w:rPr>
          <w:sz w:val="24"/>
          <w:szCs w:val="24"/>
        </w:rPr>
        <w:t xml:space="preserve"> combined with</w:t>
      </w:r>
      <w:r w:rsidRPr="00D336AE">
        <w:rPr>
          <w:sz w:val="24"/>
          <w:szCs w:val="24"/>
        </w:rPr>
        <w:t xml:space="preserve"> </w:t>
      </w:r>
      <w:proofErr w:type="spellStart"/>
      <w:r w:rsidR="00E05D67" w:rsidRPr="00D336AE">
        <w:rPr>
          <w:sz w:val="24"/>
          <w:szCs w:val="24"/>
        </w:rPr>
        <w:t>PegIFN</w:t>
      </w:r>
      <w:proofErr w:type="spellEnd"/>
      <w:r w:rsidR="00E05D67" w:rsidRPr="00D336AE">
        <w:rPr>
          <w:sz w:val="24"/>
          <w:szCs w:val="24"/>
        </w:rPr>
        <w:t xml:space="preserve">α2a (180μg/week) </w:t>
      </w:r>
      <w:r w:rsidR="006504C9" w:rsidRPr="00D336AE">
        <w:rPr>
          <w:sz w:val="24"/>
          <w:szCs w:val="24"/>
        </w:rPr>
        <w:t>(</w:t>
      </w:r>
      <w:proofErr w:type="spellStart"/>
      <w:r w:rsidR="006504C9" w:rsidRPr="00D336AE">
        <w:rPr>
          <w:sz w:val="24"/>
          <w:szCs w:val="24"/>
        </w:rPr>
        <w:t>Pegasys</w:t>
      </w:r>
      <w:proofErr w:type="spellEnd"/>
      <w:r w:rsidR="006504C9" w:rsidRPr="00D336AE">
        <w:rPr>
          <w:sz w:val="24"/>
          <w:szCs w:val="24"/>
        </w:rPr>
        <w:t xml:space="preserve">; Chugai Pharmaceutical Co., Ltd., Tokyo, Japan) </w:t>
      </w:r>
      <w:r w:rsidR="00E05D67" w:rsidRPr="00D336AE">
        <w:rPr>
          <w:sz w:val="24"/>
          <w:szCs w:val="24"/>
        </w:rPr>
        <w:t xml:space="preserve">or </w:t>
      </w:r>
      <w:proofErr w:type="spellStart"/>
      <w:r w:rsidRPr="00D336AE">
        <w:rPr>
          <w:sz w:val="24"/>
          <w:szCs w:val="24"/>
        </w:rPr>
        <w:t>PegIFN</w:t>
      </w:r>
      <w:proofErr w:type="spellEnd"/>
      <w:r w:rsidRPr="00D336AE">
        <w:rPr>
          <w:sz w:val="24"/>
          <w:szCs w:val="24"/>
        </w:rPr>
        <w:t xml:space="preserve">α2b (1.5μg/BW kg/week) </w:t>
      </w:r>
      <w:r w:rsidR="006504C9" w:rsidRPr="00D336AE">
        <w:rPr>
          <w:sz w:val="24"/>
          <w:szCs w:val="24"/>
        </w:rPr>
        <w:t xml:space="preserve">(Peg-Intron; MSD, Tokyo, Japan) </w:t>
      </w:r>
      <w:r w:rsidRPr="00D336AE">
        <w:rPr>
          <w:sz w:val="24"/>
          <w:szCs w:val="24"/>
        </w:rPr>
        <w:t>and RBV (600-1000</w:t>
      </w:r>
      <w:r w:rsidR="00F46C35" w:rsidRPr="00D336AE">
        <w:rPr>
          <w:sz w:val="24"/>
          <w:szCs w:val="24"/>
        </w:rPr>
        <w:t xml:space="preserve"> </w:t>
      </w:r>
      <w:r w:rsidRPr="00D336AE">
        <w:rPr>
          <w:sz w:val="24"/>
          <w:szCs w:val="24"/>
        </w:rPr>
        <w:t>mg/day according to BW</w:t>
      </w:r>
      <w:r w:rsidR="006359A7" w:rsidRPr="00D336AE">
        <w:rPr>
          <w:sz w:val="24"/>
          <w:szCs w:val="24"/>
        </w:rPr>
        <w:t xml:space="preserve"> as follows</w:t>
      </w:r>
      <w:r w:rsidRPr="00D336AE">
        <w:rPr>
          <w:sz w:val="24"/>
          <w:szCs w:val="24"/>
        </w:rPr>
        <w:t>: &lt;60</w:t>
      </w:r>
      <w:r w:rsidR="00F46C35" w:rsidRPr="00D336AE">
        <w:rPr>
          <w:sz w:val="24"/>
          <w:szCs w:val="24"/>
        </w:rPr>
        <w:t xml:space="preserve"> </w:t>
      </w:r>
      <w:r w:rsidRPr="00D336AE">
        <w:rPr>
          <w:sz w:val="24"/>
          <w:szCs w:val="24"/>
        </w:rPr>
        <w:t>kg: 600</w:t>
      </w:r>
      <w:r w:rsidR="00F46C35" w:rsidRPr="00D336AE">
        <w:rPr>
          <w:sz w:val="24"/>
          <w:szCs w:val="24"/>
        </w:rPr>
        <w:t xml:space="preserve"> </w:t>
      </w:r>
      <w:r w:rsidRPr="00D336AE">
        <w:rPr>
          <w:sz w:val="24"/>
          <w:szCs w:val="24"/>
        </w:rPr>
        <w:t>mg/day; 60-80 kg: 800</w:t>
      </w:r>
      <w:r w:rsidR="00F46C35" w:rsidRPr="00D336AE">
        <w:rPr>
          <w:sz w:val="24"/>
          <w:szCs w:val="24"/>
        </w:rPr>
        <w:t xml:space="preserve"> </w:t>
      </w:r>
      <w:r w:rsidRPr="00D336AE">
        <w:rPr>
          <w:sz w:val="24"/>
          <w:szCs w:val="24"/>
        </w:rPr>
        <w:t>mg/day; &gt;80</w:t>
      </w:r>
      <w:r w:rsidR="00F46C35" w:rsidRPr="00D336AE">
        <w:rPr>
          <w:sz w:val="24"/>
          <w:szCs w:val="24"/>
        </w:rPr>
        <w:t xml:space="preserve"> </w:t>
      </w:r>
      <w:r w:rsidRPr="00D336AE">
        <w:rPr>
          <w:sz w:val="24"/>
          <w:szCs w:val="24"/>
        </w:rPr>
        <w:t>kg: 1000</w:t>
      </w:r>
      <w:r w:rsidR="00F46C35" w:rsidRPr="00D336AE">
        <w:rPr>
          <w:sz w:val="24"/>
          <w:szCs w:val="24"/>
        </w:rPr>
        <w:t xml:space="preserve"> </w:t>
      </w:r>
      <w:r w:rsidRPr="00D336AE">
        <w:rPr>
          <w:sz w:val="24"/>
          <w:szCs w:val="24"/>
        </w:rPr>
        <w:t>mg/day; if the patient’s hemoglobin was &lt;13</w:t>
      </w:r>
      <w:r w:rsidR="00F46C35" w:rsidRPr="00D336AE">
        <w:rPr>
          <w:sz w:val="24"/>
          <w:szCs w:val="24"/>
        </w:rPr>
        <w:t xml:space="preserve"> </w:t>
      </w:r>
      <w:r w:rsidRPr="00D336AE">
        <w:rPr>
          <w:sz w:val="24"/>
          <w:szCs w:val="24"/>
        </w:rPr>
        <w:t>g/</w:t>
      </w:r>
      <w:proofErr w:type="spellStart"/>
      <w:r w:rsidRPr="00D336AE">
        <w:rPr>
          <w:sz w:val="24"/>
          <w:szCs w:val="24"/>
        </w:rPr>
        <w:t>dL</w:t>
      </w:r>
      <w:proofErr w:type="spellEnd"/>
      <w:r w:rsidRPr="00D336AE">
        <w:rPr>
          <w:sz w:val="24"/>
          <w:szCs w:val="24"/>
        </w:rPr>
        <w:t xml:space="preserve"> at the start of therapy, RBV was reduced by 200</w:t>
      </w:r>
      <w:r w:rsidR="00F46C35" w:rsidRPr="00D336AE">
        <w:rPr>
          <w:sz w:val="24"/>
          <w:szCs w:val="24"/>
        </w:rPr>
        <w:t xml:space="preserve"> </w:t>
      </w:r>
      <w:r w:rsidRPr="00D336AE">
        <w:rPr>
          <w:sz w:val="24"/>
          <w:szCs w:val="24"/>
        </w:rPr>
        <w:t>mg)</w:t>
      </w:r>
      <w:r w:rsidR="006504C9" w:rsidRPr="00D336AE">
        <w:rPr>
          <w:sz w:val="24"/>
          <w:szCs w:val="24"/>
        </w:rPr>
        <w:t xml:space="preserve"> (</w:t>
      </w:r>
      <w:proofErr w:type="spellStart"/>
      <w:r w:rsidR="007343A7" w:rsidRPr="00D336AE">
        <w:rPr>
          <w:sz w:val="24"/>
          <w:szCs w:val="24"/>
        </w:rPr>
        <w:t>Rebetol</w:t>
      </w:r>
      <w:proofErr w:type="spellEnd"/>
      <w:r w:rsidR="007343A7" w:rsidRPr="00D336AE">
        <w:rPr>
          <w:sz w:val="24"/>
          <w:szCs w:val="24"/>
        </w:rPr>
        <w:t xml:space="preserve">; MSD </w:t>
      </w:r>
      <w:r w:rsidR="007343A7">
        <w:rPr>
          <w:sz w:val="24"/>
          <w:szCs w:val="24"/>
        </w:rPr>
        <w:t xml:space="preserve">or </w:t>
      </w:r>
      <w:proofErr w:type="spellStart"/>
      <w:r w:rsidR="006504C9" w:rsidRPr="00D336AE">
        <w:rPr>
          <w:sz w:val="24"/>
          <w:szCs w:val="24"/>
        </w:rPr>
        <w:t>Copegus</w:t>
      </w:r>
      <w:proofErr w:type="spellEnd"/>
      <w:r w:rsidR="006504C9" w:rsidRPr="00D336AE">
        <w:rPr>
          <w:sz w:val="24"/>
          <w:szCs w:val="24"/>
        </w:rPr>
        <w:t>; Chugai Pharma</w:t>
      </w:r>
      <w:r w:rsidR="007343A7">
        <w:rPr>
          <w:sz w:val="24"/>
          <w:szCs w:val="24"/>
        </w:rPr>
        <w:t>ceutical Co., Ltd.</w:t>
      </w:r>
      <w:r w:rsidR="006504C9" w:rsidRPr="00D336AE">
        <w:rPr>
          <w:sz w:val="24"/>
          <w:szCs w:val="24"/>
        </w:rPr>
        <w:t>)</w:t>
      </w:r>
      <w:r w:rsidR="006359A7" w:rsidRPr="00D336AE">
        <w:rPr>
          <w:sz w:val="24"/>
          <w:szCs w:val="24"/>
        </w:rPr>
        <w:t xml:space="preserve">, </w:t>
      </w:r>
      <w:r w:rsidR="007343A7">
        <w:rPr>
          <w:sz w:val="24"/>
          <w:szCs w:val="24"/>
        </w:rPr>
        <w:t xml:space="preserve">followed by </w:t>
      </w:r>
      <w:r w:rsidRPr="00D336AE">
        <w:rPr>
          <w:sz w:val="24"/>
          <w:szCs w:val="24"/>
        </w:rPr>
        <w:t xml:space="preserve">dual therapy </w:t>
      </w:r>
      <w:r w:rsidR="007343A7">
        <w:rPr>
          <w:sz w:val="24"/>
          <w:szCs w:val="24"/>
        </w:rPr>
        <w:t xml:space="preserve">of </w:t>
      </w:r>
      <w:proofErr w:type="spellStart"/>
      <w:r w:rsidRPr="00D336AE">
        <w:rPr>
          <w:sz w:val="24"/>
          <w:szCs w:val="24"/>
        </w:rPr>
        <w:t>PegIFN</w:t>
      </w:r>
      <w:proofErr w:type="spellEnd"/>
      <w:r w:rsidR="00D42BFE" w:rsidRPr="00D336AE">
        <w:rPr>
          <w:sz w:val="24"/>
          <w:szCs w:val="24"/>
        </w:rPr>
        <w:t xml:space="preserve">α2a or </w:t>
      </w:r>
      <w:proofErr w:type="spellStart"/>
      <w:r w:rsidR="00D42BFE" w:rsidRPr="00D336AE">
        <w:rPr>
          <w:sz w:val="24"/>
          <w:szCs w:val="24"/>
        </w:rPr>
        <w:t>PegIFN</w:t>
      </w:r>
      <w:proofErr w:type="spellEnd"/>
      <w:r w:rsidRPr="00D336AE">
        <w:rPr>
          <w:sz w:val="24"/>
          <w:szCs w:val="24"/>
        </w:rPr>
        <w:t xml:space="preserve">α2b </w:t>
      </w:r>
      <w:r w:rsidR="007343A7">
        <w:rPr>
          <w:sz w:val="24"/>
          <w:szCs w:val="24"/>
        </w:rPr>
        <w:t>with</w:t>
      </w:r>
      <w:r w:rsidRPr="00D336AE">
        <w:rPr>
          <w:sz w:val="24"/>
          <w:szCs w:val="24"/>
        </w:rPr>
        <w:t xml:space="preserve"> RBV</w:t>
      </w:r>
      <w:r w:rsidR="007343A7">
        <w:rPr>
          <w:sz w:val="24"/>
          <w:szCs w:val="24"/>
        </w:rPr>
        <w:t xml:space="preserve"> for 12 weeks</w:t>
      </w:r>
      <w:r w:rsidRPr="00D336AE">
        <w:rPr>
          <w:sz w:val="24"/>
          <w:szCs w:val="24"/>
        </w:rPr>
        <w:t>.</w:t>
      </w:r>
      <w:r w:rsidR="00D42BFE" w:rsidRPr="00D336AE">
        <w:rPr>
          <w:sz w:val="24"/>
          <w:szCs w:val="24"/>
        </w:rPr>
        <w:t xml:space="preserve"> </w:t>
      </w:r>
    </w:p>
    <w:p w:rsidR="006426CB" w:rsidRPr="00D336AE" w:rsidRDefault="004011F4" w:rsidP="00D31DE5">
      <w:pPr>
        <w:pStyle w:val="BodyText"/>
        <w:spacing w:line="360" w:lineRule="auto"/>
        <w:ind w:left="0" w:right="102" w:firstLine="720"/>
        <w:jc w:val="both"/>
        <w:rPr>
          <w:sz w:val="24"/>
          <w:szCs w:val="24"/>
        </w:rPr>
      </w:pPr>
      <w:r w:rsidRPr="004011F4">
        <w:rPr>
          <w:rFonts w:cs="Book Antiqua"/>
          <w:sz w:val="24"/>
          <w:szCs w:val="24"/>
        </w:rPr>
        <w:t xml:space="preserve">This study was conducted in accordance with the Declaration of Helsinki. </w:t>
      </w:r>
      <w:r w:rsidR="00A13CD5" w:rsidRPr="00D336AE">
        <w:rPr>
          <w:rFonts w:cs="Book Antiqua"/>
          <w:sz w:val="24"/>
          <w:szCs w:val="24"/>
        </w:rPr>
        <w:t xml:space="preserve">The study was reviewed and approved by </w:t>
      </w:r>
      <w:r w:rsidR="006359A7" w:rsidRPr="00D336AE">
        <w:rPr>
          <w:rFonts w:cs="Book Antiqua"/>
          <w:sz w:val="24"/>
          <w:szCs w:val="24"/>
        </w:rPr>
        <w:t xml:space="preserve">the </w:t>
      </w:r>
      <w:r w:rsidR="00A13CD5" w:rsidRPr="00D336AE">
        <w:rPr>
          <w:rFonts w:cs="Book Antiqua"/>
          <w:sz w:val="24"/>
          <w:szCs w:val="24"/>
        </w:rPr>
        <w:t xml:space="preserve">Niigata University Medical and Dental Hospital Institutional Review Board. Written informed consent </w:t>
      </w:r>
      <w:r w:rsidR="006359A7" w:rsidRPr="00D336AE">
        <w:rPr>
          <w:rFonts w:cs="Book Antiqua"/>
          <w:sz w:val="24"/>
          <w:szCs w:val="24"/>
        </w:rPr>
        <w:t xml:space="preserve">was appropriately obtained from all </w:t>
      </w:r>
      <w:r w:rsidR="00260773" w:rsidRPr="00D336AE">
        <w:rPr>
          <w:rFonts w:cs="Book Antiqua"/>
          <w:sz w:val="24"/>
          <w:szCs w:val="24"/>
        </w:rPr>
        <w:t xml:space="preserve">of </w:t>
      </w:r>
      <w:r w:rsidR="006359A7" w:rsidRPr="00D336AE">
        <w:rPr>
          <w:rFonts w:cs="Book Antiqua"/>
          <w:sz w:val="24"/>
          <w:szCs w:val="24"/>
        </w:rPr>
        <w:t xml:space="preserve">the individuals who enrolled in the study according to the </w:t>
      </w:r>
      <w:r w:rsidR="006359A7" w:rsidRPr="00D336AE">
        <w:rPr>
          <w:rFonts w:cs="Book Antiqua"/>
          <w:sz w:val="24"/>
          <w:szCs w:val="24"/>
        </w:rPr>
        <w:lastRenderedPageBreak/>
        <w:t xml:space="preserve">institutional review board’s </w:t>
      </w:r>
      <w:r w:rsidR="00A13CD5" w:rsidRPr="00D336AE">
        <w:rPr>
          <w:rFonts w:cs="Book Antiqua"/>
          <w:sz w:val="24"/>
          <w:szCs w:val="24"/>
        </w:rPr>
        <w:t xml:space="preserve">approved protocols (approval no. 1474) at </w:t>
      </w:r>
      <w:r w:rsidR="006359A7" w:rsidRPr="00D336AE">
        <w:rPr>
          <w:rFonts w:cs="Book Antiqua"/>
          <w:sz w:val="24"/>
          <w:szCs w:val="24"/>
        </w:rPr>
        <w:t xml:space="preserve">the </w:t>
      </w:r>
      <w:r w:rsidR="00A13CD5" w:rsidRPr="00D336AE">
        <w:rPr>
          <w:rFonts w:cs="Book Antiqua"/>
          <w:sz w:val="24"/>
          <w:szCs w:val="24"/>
        </w:rPr>
        <w:t>Niigata University Medical and Dental Hospital</w:t>
      </w:r>
      <w:r w:rsidR="006359A7" w:rsidRPr="00D336AE">
        <w:rPr>
          <w:sz w:val="24"/>
          <w:szCs w:val="24"/>
        </w:rPr>
        <w:t>.</w:t>
      </w:r>
    </w:p>
    <w:p w:rsidR="00E05D67" w:rsidRPr="00D336AE" w:rsidRDefault="00E05D67" w:rsidP="006611DD">
      <w:pPr>
        <w:pStyle w:val="BodyText"/>
        <w:spacing w:line="360" w:lineRule="auto"/>
        <w:ind w:left="0" w:right="104"/>
        <w:jc w:val="both"/>
        <w:rPr>
          <w:sz w:val="24"/>
          <w:szCs w:val="24"/>
        </w:rPr>
      </w:pPr>
    </w:p>
    <w:p w:rsidR="000F55D1" w:rsidRPr="00D336AE" w:rsidRDefault="00C27E0A" w:rsidP="006611DD">
      <w:pPr>
        <w:pStyle w:val="Heading2"/>
        <w:spacing w:line="360" w:lineRule="auto"/>
        <w:ind w:left="0"/>
        <w:jc w:val="both"/>
        <w:rPr>
          <w:b w:val="0"/>
          <w:bCs w:val="0"/>
          <w:i w:val="0"/>
          <w:sz w:val="24"/>
          <w:szCs w:val="24"/>
        </w:rPr>
      </w:pPr>
      <w:r w:rsidRPr="00D336AE">
        <w:rPr>
          <w:sz w:val="24"/>
          <w:szCs w:val="24"/>
        </w:rPr>
        <w:t xml:space="preserve">Laboratory </w:t>
      </w:r>
      <w:r w:rsidR="00AC515E" w:rsidRPr="00D336AE">
        <w:rPr>
          <w:sz w:val="24"/>
          <w:szCs w:val="24"/>
        </w:rPr>
        <w:t xml:space="preserve">and safety </w:t>
      </w:r>
      <w:r w:rsidRPr="00D336AE">
        <w:rPr>
          <w:sz w:val="24"/>
          <w:szCs w:val="24"/>
        </w:rPr>
        <w:t>assessments</w:t>
      </w:r>
    </w:p>
    <w:p w:rsidR="000F55D1" w:rsidRPr="00D336AE" w:rsidRDefault="00AC515E" w:rsidP="006611DD">
      <w:pPr>
        <w:pStyle w:val="BodyText"/>
        <w:spacing w:before="142" w:line="360" w:lineRule="auto"/>
        <w:ind w:left="0" w:right="102"/>
        <w:jc w:val="both"/>
        <w:rPr>
          <w:sz w:val="24"/>
          <w:szCs w:val="24"/>
        </w:rPr>
      </w:pPr>
      <w:r w:rsidRPr="00D336AE">
        <w:rPr>
          <w:sz w:val="24"/>
          <w:szCs w:val="24"/>
        </w:rPr>
        <w:t xml:space="preserve">Laboratory and safety assessments were performed at </w:t>
      </w:r>
      <w:r w:rsidR="00BC28CD">
        <w:rPr>
          <w:sz w:val="24"/>
          <w:szCs w:val="24"/>
        </w:rPr>
        <w:t xml:space="preserve">initiation of </w:t>
      </w:r>
      <w:r w:rsidRPr="00D336AE">
        <w:rPr>
          <w:sz w:val="24"/>
          <w:szCs w:val="24"/>
        </w:rPr>
        <w:t>treat</w:t>
      </w:r>
      <w:r w:rsidR="00BC28CD">
        <w:rPr>
          <w:sz w:val="24"/>
          <w:szCs w:val="24"/>
        </w:rPr>
        <w:t>ment</w:t>
      </w:r>
      <w:r w:rsidR="00260773" w:rsidRPr="00D336AE">
        <w:rPr>
          <w:sz w:val="24"/>
          <w:szCs w:val="24"/>
        </w:rPr>
        <w:t>;</w:t>
      </w:r>
      <w:r w:rsidRPr="00D336AE">
        <w:rPr>
          <w:sz w:val="24"/>
          <w:szCs w:val="24"/>
        </w:rPr>
        <w:t xml:space="preserve"> </w:t>
      </w:r>
      <w:r w:rsidR="00260773" w:rsidRPr="00D336AE">
        <w:rPr>
          <w:sz w:val="24"/>
          <w:szCs w:val="24"/>
        </w:rPr>
        <w:t>at</w:t>
      </w:r>
      <w:r w:rsidRPr="00D336AE">
        <w:rPr>
          <w:sz w:val="24"/>
          <w:szCs w:val="24"/>
        </w:rPr>
        <w:t xml:space="preserve"> treatment weeks 2, 4, 8, 12, 16, 20, </w:t>
      </w:r>
      <w:r w:rsidR="00260773" w:rsidRPr="00D336AE">
        <w:rPr>
          <w:sz w:val="24"/>
          <w:szCs w:val="24"/>
        </w:rPr>
        <w:t xml:space="preserve">and </w:t>
      </w:r>
      <w:r w:rsidRPr="00D336AE">
        <w:rPr>
          <w:sz w:val="24"/>
          <w:szCs w:val="24"/>
        </w:rPr>
        <w:t>24</w:t>
      </w:r>
      <w:r w:rsidR="00260773" w:rsidRPr="00D336AE">
        <w:rPr>
          <w:sz w:val="24"/>
          <w:szCs w:val="24"/>
        </w:rPr>
        <w:t>;</w:t>
      </w:r>
      <w:r w:rsidRPr="00D336AE">
        <w:rPr>
          <w:sz w:val="24"/>
          <w:szCs w:val="24"/>
        </w:rPr>
        <w:t xml:space="preserve"> at the end of treatment</w:t>
      </w:r>
      <w:r w:rsidR="00260773" w:rsidRPr="00D336AE">
        <w:rPr>
          <w:sz w:val="24"/>
          <w:szCs w:val="24"/>
        </w:rPr>
        <w:t>;</w:t>
      </w:r>
      <w:r w:rsidRPr="00D336AE">
        <w:rPr>
          <w:sz w:val="24"/>
          <w:szCs w:val="24"/>
        </w:rPr>
        <w:t xml:space="preserve"> and at 12 and 24 weeks after </w:t>
      </w:r>
      <w:r w:rsidR="001500F4" w:rsidRPr="00D336AE">
        <w:rPr>
          <w:sz w:val="24"/>
          <w:szCs w:val="24"/>
        </w:rPr>
        <w:t>the end of treatment.</w:t>
      </w:r>
      <w:r w:rsidRPr="00D336AE">
        <w:rPr>
          <w:sz w:val="24"/>
          <w:szCs w:val="24"/>
        </w:rPr>
        <w:t xml:space="preserve"> </w:t>
      </w:r>
      <w:r w:rsidR="00260773" w:rsidRPr="00D336AE">
        <w:rPr>
          <w:sz w:val="24"/>
          <w:szCs w:val="24"/>
        </w:rPr>
        <w:t xml:space="preserve">Data on </w:t>
      </w:r>
      <w:r w:rsidR="0089225A" w:rsidRPr="00D336AE">
        <w:rPr>
          <w:sz w:val="24"/>
          <w:szCs w:val="24"/>
        </w:rPr>
        <w:t>adverse events were collected, and physical examinations were performed at each visit, if clinically indicated.</w:t>
      </w:r>
    </w:p>
    <w:p w:rsidR="000F55D1" w:rsidRPr="00D336AE" w:rsidRDefault="000F55D1" w:rsidP="006611DD">
      <w:pPr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</w:p>
    <w:p w:rsidR="00014028" w:rsidRPr="00D336AE" w:rsidRDefault="00014028" w:rsidP="006611DD">
      <w:pPr>
        <w:pStyle w:val="Heading2"/>
        <w:spacing w:line="360" w:lineRule="auto"/>
        <w:ind w:left="0"/>
        <w:jc w:val="both"/>
        <w:rPr>
          <w:b w:val="0"/>
          <w:bCs w:val="0"/>
          <w:i w:val="0"/>
          <w:sz w:val="24"/>
          <w:szCs w:val="24"/>
        </w:rPr>
      </w:pPr>
      <w:r w:rsidRPr="00D336AE">
        <w:rPr>
          <w:sz w:val="24"/>
          <w:szCs w:val="24"/>
        </w:rPr>
        <w:t>Dete</w:t>
      </w:r>
      <w:r w:rsidR="007343A7">
        <w:rPr>
          <w:sz w:val="24"/>
          <w:szCs w:val="24"/>
        </w:rPr>
        <w:t xml:space="preserve">ction </w:t>
      </w:r>
      <w:r w:rsidRPr="00D336AE">
        <w:rPr>
          <w:sz w:val="24"/>
          <w:szCs w:val="24"/>
        </w:rPr>
        <w:t>of HCV markers</w:t>
      </w:r>
    </w:p>
    <w:p w:rsidR="00014028" w:rsidRPr="00D336AE" w:rsidRDefault="00014028" w:rsidP="006611DD">
      <w:pPr>
        <w:pStyle w:val="BodyText"/>
        <w:spacing w:before="142" w:line="360" w:lineRule="auto"/>
        <w:ind w:left="0" w:right="102"/>
        <w:jc w:val="both"/>
        <w:rPr>
          <w:sz w:val="24"/>
          <w:szCs w:val="24"/>
        </w:rPr>
      </w:pPr>
      <w:r w:rsidRPr="00D336AE">
        <w:rPr>
          <w:sz w:val="24"/>
          <w:szCs w:val="24"/>
        </w:rPr>
        <w:t xml:space="preserve">The </w:t>
      </w:r>
      <w:r w:rsidR="007343A7">
        <w:rPr>
          <w:sz w:val="24"/>
          <w:szCs w:val="24"/>
        </w:rPr>
        <w:t xml:space="preserve">detection of </w:t>
      </w:r>
      <w:r w:rsidRPr="00D336AE">
        <w:rPr>
          <w:sz w:val="24"/>
          <w:szCs w:val="24"/>
        </w:rPr>
        <w:t>HCV viremia w</w:t>
      </w:r>
      <w:r w:rsidR="007343A7">
        <w:rPr>
          <w:sz w:val="24"/>
          <w:szCs w:val="24"/>
        </w:rPr>
        <w:t>as</w:t>
      </w:r>
      <w:r w:rsidRPr="00D336AE">
        <w:rPr>
          <w:sz w:val="24"/>
          <w:szCs w:val="24"/>
        </w:rPr>
        <w:t xml:space="preserve"> </w:t>
      </w:r>
      <w:r w:rsidR="00DB1D12" w:rsidRPr="00D336AE">
        <w:rPr>
          <w:sz w:val="24"/>
          <w:szCs w:val="24"/>
        </w:rPr>
        <w:t xml:space="preserve">performed using a </w:t>
      </w:r>
      <w:r w:rsidRPr="00D336AE">
        <w:rPr>
          <w:sz w:val="24"/>
          <w:szCs w:val="24"/>
        </w:rPr>
        <w:t xml:space="preserve">real-time polymerase chain reaction (PCR) assay (COBAS </w:t>
      </w:r>
      <w:proofErr w:type="spellStart"/>
      <w:r w:rsidRPr="00D336AE">
        <w:rPr>
          <w:sz w:val="24"/>
          <w:szCs w:val="24"/>
        </w:rPr>
        <w:t>TaqMan</w:t>
      </w:r>
      <w:proofErr w:type="spellEnd"/>
      <w:r w:rsidRPr="00D336AE">
        <w:rPr>
          <w:sz w:val="24"/>
          <w:szCs w:val="24"/>
        </w:rPr>
        <w:t xml:space="preserve"> HCV test, Roche Diagnostic, Tokyo, Japan) with a lower lim</w:t>
      </w:r>
      <w:r w:rsidR="000C35FA" w:rsidRPr="00D336AE">
        <w:rPr>
          <w:sz w:val="24"/>
          <w:szCs w:val="24"/>
        </w:rPr>
        <w:t xml:space="preserve">it of quantitation of 15 IU/mL and </w:t>
      </w:r>
      <w:r w:rsidR="00DB1D12" w:rsidRPr="00D336AE">
        <w:rPr>
          <w:sz w:val="24"/>
          <w:szCs w:val="24"/>
        </w:rPr>
        <w:t>a</w:t>
      </w:r>
      <w:r w:rsidR="000C35FA" w:rsidRPr="00D336AE">
        <w:rPr>
          <w:sz w:val="24"/>
          <w:szCs w:val="24"/>
        </w:rPr>
        <w:t xml:space="preserve"> linear dynamic range of 1.2-7.8 log IU/</w:t>
      </w:r>
      <w:proofErr w:type="spellStart"/>
      <w:r w:rsidR="000C35FA" w:rsidRPr="00D336AE">
        <w:rPr>
          <w:sz w:val="24"/>
          <w:szCs w:val="24"/>
        </w:rPr>
        <w:t>mL.</w:t>
      </w:r>
      <w:proofErr w:type="spellEnd"/>
      <w:r w:rsidR="000C35FA" w:rsidRPr="00D336AE">
        <w:rPr>
          <w:sz w:val="24"/>
          <w:szCs w:val="24"/>
        </w:rPr>
        <w:t xml:space="preserve"> </w:t>
      </w:r>
      <w:r w:rsidR="00BF198B" w:rsidRPr="00D336AE">
        <w:rPr>
          <w:sz w:val="24"/>
          <w:szCs w:val="24"/>
        </w:rPr>
        <w:t>The number of amino acid substitutions in the interferon sensitivity-determining region (ISDR) (in the range of 2209-2248 in the HCV NS5A) was determined using a direct sequencing method as reported previously</w:t>
      </w:r>
      <w:r w:rsidR="00591FF8" w:rsidRPr="00D336AE">
        <w:rPr>
          <w:position w:val="6"/>
          <w:sz w:val="16"/>
          <w:szCs w:val="16"/>
        </w:rPr>
        <w:t>[1</w:t>
      </w:r>
      <w:r w:rsidR="00A777CA" w:rsidRPr="00D336AE">
        <w:rPr>
          <w:position w:val="6"/>
          <w:sz w:val="16"/>
          <w:szCs w:val="16"/>
        </w:rPr>
        <w:t>8</w:t>
      </w:r>
      <w:r w:rsidR="00591FF8" w:rsidRPr="00D336AE">
        <w:rPr>
          <w:position w:val="6"/>
          <w:sz w:val="16"/>
          <w:szCs w:val="16"/>
        </w:rPr>
        <w:t>]</w:t>
      </w:r>
      <w:r w:rsidR="00BF198B" w:rsidRPr="00D336AE">
        <w:rPr>
          <w:sz w:val="24"/>
          <w:szCs w:val="24"/>
        </w:rPr>
        <w:t xml:space="preserve">. </w:t>
      </w:r>
      <w:r w:rsidR="000C35FA" w:rsidRPr="00D336AE">
        <w:rPr>
          <w:sz w:val="24"/>
          <w:szCs w:val="24"/>
        </w:rPr>
        <w:t>The core amino acid substitution</w:t>
      </w:r>
      <w:r w:rsidR="00DB1D12" w:rsidRPr="00D336AE">
        <w:rPr>
          <w:sz w:val="24"/>
          <w:szCs w:val="24"/>
        </w:rPr>
        <w:t>s</w:t>
      </w:r>
      <w:r w:rsidR="000C35FA" w:rsidRPr="00D336AE">
        <w:rPr>
          <w:sz w:val="24"/>
          <w:szCs w:val="24"/>
        </w:rPr>
        <w:t xml:space="preserve"> at position</w:t>
      </w:r>
      <w:r w:rsidR="00DB1D12" w:rsidRPr="00D336AE">
        <w:rPr>
          <w:sz w:val="24"/>
          <w:szCs w:val="24"/>
        </w:rPr>
        <w:t>s</w:t>
      </w:r>
      <w:r w:rsidR="000C35FA" w:rsidRPr="00D336AE">
        <w:rPr>
          <w:sz w:val="24"/>
          <w:szCs w:val="24"/>
        </w:rPr>
        <w:t xml:space="preserve"> 70 and 91 of the HCV genome were determined by direct sequencing as reported previously</w:t>
      </w:r>
      <w:r w:rsidR="00591FF8" w:rsidRPr="00D336AE">
        <w:rPr>
          <w:position w:val="6"/>
          <w:sz w:val="16"/>
          <w:szCs w:val="16"/>
        </w:rPr>
        <w:t>[1</w:t>
      </w:r>
      <w:r w:rsidR="00A777CA" w:rsidRPr="00D336AE">
        <w:rPr>
          <w:position w:val="6"/>
          <w:sz w:val="16"/>
          <w:szCs w:val="16"/>
        </w:rPr>
        <w:t>9</w:t>
      </w:r>
      <w:r w:rsidR="00591FF8" w:rsidRPr="00D336AE">
        <w:rPr>
          <w:position w:val="6"/>
          <w:sz w:val="16"/>
          <w:szCs w:val="16"/>
        </w:rPr>
        <w:t>]</w:t>
      </w:r>
      <w:r w:rsidR="000C35FA" w:rsidRPr="00D336AE">
        <w:rPr>
          <w:sz w:val="24"/>
          <w:szCs w:val="24"/>
        </w:rPr>
        <w:t xml:space="preserve">. </w:t>
      </w:r>
    </w:p>
    <w:p w:rsidR="00014028" w:rsidRPr="00D336AE" w:rsidRDefault="00014028" w:rsidP="006611DD">
      <w:pPr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</w:p>
    <w:p w:rsidR="001500F4" w:rsidRPr="00D336AE" w:rsidRDefault="007343A7" w:rsidP="006611DD">
      <w:pPr>
        <w:pStyle w:val="Heading2"/>
        <w:spacing w:line="360" w:lineRule="auto"/>
        <w:ind w:left="0"/>
        <w:jc w:val="both"/>
        <w:rPr>
          <w:b w:val="0"/>
          <w:bCs w:val="0"/>
          <w:i w:val="0"/>
          <w:sz w:val="24"/>
          <w:szCs w:val="24"/>
        </w:rPr>
      </w:pPr>
      <w:r>
        <w:rPr>
          <w:sz w:val="24"/>
          <w:szCs w:val="24"/>
        </w:rPr>
        <w:t>T</w:t>
      </w:r>
      <w:r w:rsidR="001500F4" w:rsidRPr="00D336AE">
        <w:rPr>
          <w:sz w:val="24"/>
          <w:szCs w:val="24"/>
        </w:rPr>
        <w:t>reatment</w:t>
      </w:r>
      <w:r w:rsidRPr="007343A7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D336AE">
        <w:rPr>
          <w:sz w:val="24"/>
          <w:szCs w:val="24"/>
        </w:rPr>
        <w:t>fficacy</w:t>
      </w:r>
    </w:p>
    <w:p w:rsidR="001500F4" w:rsidRPr="00D336AE" w:rsidRDefault="007343A7" w:rsidP="006611DD">
      <w:pPr>
        <w:pStyle w:val="BodyText"/>
        <w:spacing w:before="142" w:line="360" w:lineRule="auto"/>
        <w:ind w:left="0" w:right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SVR that is </w:t>
      </w:r>
      <w:r w:rsidR="001500F4" w:rsidRPr="00D336AE">
        <w:rPr>
          <w:sz w:val="24"/>
          <w:szCs w:val="24"/>
        </w:rPr>
        <w:t>defined as undetectable serum HCV RNA at 24 weeks after the end of treatment</w:t>
      </w:r>
      <w:r>
        <w:rPr>
          <w:sz w:val="24"/>
          <w:szCs w:val="24"/>
        </w:rPr>
        <w:t xml:space="preserve"> was successful treatment</w:t>
      </w:r>
      <w:r w:rsidR="001500F4" w:rsidRPr="00D336AE">
        <w:rPr>
          <w:sz w:val="24"/>
          <w:szCs w:val="24"/>
        </w:rPr>
        <w:t xml:space="preserve">. Early </w:t>
      </w:r>
      <w:proofErr w:type="spellStart"/>
      <w:r w:rsidR="001500F4" w:rsidRPr="00D336AE">
        <w:rPr>
          <w:sz w:val="24"/>
          <w:szCs w:val="24"/>
        </w:rPr>
        <w:t>virological</w:t>
      </w:r>
      <w:proofErr w:type="spellEnd"/>
      <w:r w:rsidR="001500F4" w:rsidRPr="00D336AE">
        <w:rPr>
          <w:sz w:val="24"/>
          <w:szCs w:val="24"/>
        </w:rPr>
        <w:t xml:space="preserve"> response</w:t>
      </w:r>
      <w:r w:rsidR="00BC28CD">
        <w:rPr>
          <w:sz w:val="24"/>
          <w:szCs w:val="24"/>
        </w:rPr>
        <w:t>s</w:t>
      </w:r>
      <w:r w:rsidR="001500F4" w:rsidRPr="00D336AE">
        <w:rPr>
          <w:sz w:val="24"/>
          <w:szCs w:val="24"/>
        </w:rPr>
        <w:t xml:space="preserve"> during the first 12 weeks of treatment w</w:t>
      </w:r>
      <w:r w:rsidR="00BC28CD">
        <w:rPr>
          <w:sz w:val="24"/>
          <w:szCs w:val="24"/>
        </w:rPr>
        <w:t>ere</w:t>
      </w:r>
      <w:r w:rsidR="001500F4" w:rsidRPr="00D336AE">
        <w:rPr>
          <w:sz w:val="24"/>
          <w:szCs w:val="24"/>
        </w:rPr>
        <w:t xml:space="preserve"> </w:t>
      </w:r>
      <w:r>
        <w:rPr>
          <w:sz w:val="24"/>
          <w:szCs w:val="24"/>
        </w:rPr>
        <w:t>defined</w:t>
      </w:r>
      <w:r w:rsidR="001500F4" w:rsidRPr="00D336AE">
        <w:rPr>
          <w:sz w:val="24"/>
          <w:szCs w:val="24"/>
        </w:rPr>
        <w:t xml:space="preserve"> as rapid </w:t>
      </w:r>
      <w:proofErr w:type="spellStart"/>
      <w:r w:rsidR="001500F4" w:rsidRPr="00D336AE">
        <w:rPr>
          <w:sz w:val="24"/>
          <w:szCs w:val="24"/>
        </w:rPr>
        <w:t>virological</w:t>
      </w:r>
      <w:proofErr w:type="spellEnd"/>
      <w:r w:rsidR="001500F4" w:rsidRPr="00D336AE">
        <w:rPr>
          <w:sz w:val="24"/>
          <w:szCs w:val="24"/>
        </w:rPr>
        <w:t xml:space="preserve"> response (RVR), </w:t>
      </w:r>
      <w:r w:rsidR="00BC28CD">
        <w:rPr>
          <w:sz w:val="24"/>
          <w:szCs w:val="24"/>
        </w:rPr>
        <w:t xml:space="preserve">which was undetectable HCV RNA at week 4, and </w:t>
      </w:r>
      <w:r w:rsidR="001500F4" w:rsidRPr="00D336AE">
        <w:rPr>
          <w:sz w:val="24"/>
          <w:szCs w:val="24"/>
        </w:rPr>
        <w:t xml:space="preserve">complete early </w:t>
      </w:r>
      <w:proofErr w:type="spellStart"/>
      <w:r w:rsidR="001500F4" w:rsidRPr="00D336AE">
        <w:rPr>
          <w:sz w:val="24"/>
          <w:szCs w:val="24"/>
        </w:rPr>
        <w:t>virological</w:t>
      </w:r>
      <w:proofErr w:type="spellEnd"/>
      <w:r w:rsidR="001500F4" w:rsidRPr="00D336AE">
        <w:rPr>
          <w:sz w:val="24"/>
          <w:szCs w:val="24"/>
        </w:rPr>
        <w:t xml:space="preserve"> response (</w:t>
      </w:r>
      <w:proofErr w:type="spellStart"/>
      <w:r w:rsidR="001500F4" w:rsidRPr="00D336AE">
        <w:rPr>
          <w:sz w:val="24"/>
          <w:szCs w:val="24"/>
        </w:rPr>
        <w:t>cEVR</w:t>
      </w:r>
      <w:proofErr w:type="spellEnd"/>
      <w:r w:rsidR="001500F4" w:rsidRPr="00D336AE">
        <w:rPr>
          <w:sz w:val="24"/>
          <w:szCs w:val="24"/>
        </w:rPr>
        <w:t xml:space="preserve">), </w:t>
      </w:r>
      <w:r w:rsidR="00BC28CD">
        <w:rPr>
          <w:sz w:val="24"/>
          <w:szCs w:val="24"/>
        </w:rPr>
        <w:t xml:space="preserve">which was </w:t>
      </w:r>
      <w:r w:rsidR="001500F4" w:rsidRPr="00D336AE">
        <w:rPr>
          <w:sz w:val="24"/>
          <w:szCs w:val="24"/>
        </w:rPr>
        <w:t>undetectable at week 12. End of treatment response (</w:t>
      </w:r>
      <w:r w:rsidR="00A71E37" w:rsidRPr="00D336AE">
        <w:rPr>
          <w:sz w:val="24"/>
          <w:szCs w:val="24"/>
        </w:rPr>
        <w:t>ETR</w:t>
      </w:r>
      <w:r w:rsidR="001500F4" w:rsidRPr="00D336AE">
        <w:rPr>
          <w:sz w:val="24"/>
          <w:szCs w:val="24"/>
        </w:rPr>
        <w:t>) was defined as undetectable HCV RNA at the end of treatment. Relapse was defined as an E</w:t>
      </w:r>
      <w:r w:rsidR="00A71E37" w:rsidRPr="00D336AE">
        <w:rPr>
          <w:sz w:val="24"/>
          <w:szCs w:val="24"/>
        </w:rPr>
        <w:t>TR</w:t>
      </w:r>
      <w:r w:rsidR="001500F4" w:rsidRPr="00D336AE">
        <w:rPr>
          <w:sz w:val="24"/>
          <w:szCs w:val="24"/>
        </w:rPr>
        <w:t xml:space="preserve"> response but non-SVR.</w:t>
      </w:r>
    </w:p>
    <w:p w:rsidR="001500F4" w:rsidRPr="00D336AE" w:rsidRDefault="001500F4" w:rsidP="006611DD">
      <w:pPr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</w:p>
    <w:p w:rsidR="00C27E0A" w:rsidRPr="00D336AE" w:rsidRDefault="00C27E0A" w:rsidP="006611DD">
      <w:pPr>
        <w:pStyle w:val="Heading2"/>
        <w:spacing w:line="360" w:lineRule="auto"/>
        <w:ind w:left="0"/>
        <w:jc w:val="both"/>
        <w:rPr>
          <w:b w:val="0"/>
          <w:bCs w:val="0"/>
          <w:i w:val="0"/>
          <w:sz w:val="24"/>
          <w:szCs w:val="24"/>
        </w:rPr>
      </w:pPr>
      <w:r w:rsidRPr="00D336AE">
        <w:rPr>
          <w:sz w:val="24"/>
          <w:szCs w:val="24"/>
        </w:rPr>
        <w:t>Interleukin 28B</w:t>
      </w:r>
      <w:r w:rsidR="00106644" w:rsidRPr="00D336AE">
        <w:rPr>
          <w:sz w:val="24"/>
          <w:szCs w:val="24"/>
        </w:rPr>
        <w:t xml:space="preserve"> single-nucleotide polymorphism</w:t>
      </w:r>
    </w:p>
    <w:p w:rsidR="00106644" w:rsidRPr="00D336AE" w:rsidRDefault="00106644" w:rsidP="006611DD">
      <w:pPr>
        <w:pStyle w:val="BodyText"/>
        <w:spacing w:before="142" w:line="360" w:lineRule="auto"/>
        <w:ind w:left="0" w:right="102"/>
        <w:jc w:val="both"/>
        <w:rPr>
          <w:sz w:val="24"/>
          <w:szCs w:val="24"/>
        </w:rPr>
      </w:pPr>
      <w:r w:rsidRPr="00D336AE">
        <w:rPr>
          <w:sz w:val="24"/>
          <w:szCs w:val="24"/>
        </w:rPr>
        <w:lastRenderedPageBreak/>
        <w:t xml:space="preserve">Human genomic DNA was extracted from </w:t>
      </w:r>
      <w:r w:rsidR="00DB1D12" w:rsidRPr="00D336AE">
        <w:rPr>
          <w:sz w:val="24"/>
          <w:szCs w:val="24"/>
        </w:rPr>
        <w:t xml:space="preserve">the </w:t>
      </w:r>
      <w:r w:rsidRPr="00D336AE">
        <w:rPr>
          <w:sz w:val="24"/>
          <w:szCs w:val="24"/>
        </w:rPr>
        <w:t xml:space="preserve">peripheral blood. </w:t>
      </w:r>
      <w:r w:rsidR="00DB1D12" w:rsidRPr="00D336AE">
        <w:rPr>
          <w:sz w:val="24"/>
          <w:szCs w:val="24"/>
        </w:rPr>
        <w:t>S</w:t>
      </w:r>
      <w:r w:rsidRPr="00D336AE">
        <w:rPr>
          <w:sz w:val="24"/>
          <w:szCs w:val="24"/>
        </w:rPr>
        <w:t xml:space="preserve">ingle-nucleotide polymorphism (SNP) </w:t>
      </w:r>
      <w:r w:rsidR="00DB1D12" w:rsidRPr="00D336AE">
        <w:rPr>
          <w:sz w:val="24"/>
          <w:szCs w:val="24"/>
        </w:rPr>
        <w:t xml:space="preserve">genotyping </w:t>
      </w:r>
      <w:r w:rsidRPr="00D336AE">
        <w:rPr>
          <w:sz w:val="24"/>
          <w:szCs w:val="24"/>
        </w:rPr>
        <w:t xml:space="preserve">of the interleukin 28B (IL28B) (rs8099917) gene was </w:t>
      </w:r>
      <w:r w:rsidR="00DB1D12" w:rsidRPr="00D336AE">
        <w:rPr>
          <w:sz w:val="24"/>
          <w:szCs w:val="24"/>
        </w:rPr>
        <w:t>performed</w:t>
      </w:r>
      <w:r w:rsidRPr="00D336AE">
        <w:rPr>
          <w:sz w:val="24"/>
          <w:szCs w:val="24"/>
        </w:rPr>
        <w:t xml:space="preserve"> using the </w:t>
      </w:r>
      <w:proofErr w:type="spellStart"/>
      <w:r w:rsidRPr="00D336AE">
        <w:rPr>
          <w:sz w:val="24"/>
          <w:szCs w:val="24"/>
        </w:rPr>
        <w:t>TaqMan</w:t>
      </w:r>
      <w:proofErr w:type="spellEnd"/>
      <w:r w:rsidRPr="00D336AE">
        <w:rPr>
          <w:sz w:val="24"/>
          <w:szCs w:val="24"/>
        </w:rPr>
        <w:t xml:space="preserve"> </w:t>
      </w:r>
      <w:r w:rsidR="009A5373">
        <w:rPr>
          <w:sz w:val="24"/>
          <w:szCs w:val="24"/>
        </w:rPr>
        <w:t>a</w:t>
      </w:r>
      <w:r w:rsidRPr="00D336AE">
        <w:rPr>
          <w:sz w:val="24"/>
          <w:szCs w:val="24"/>
        </w:rPr>
        <w:t xml:space="preserve">llelic </w:t>
      </w:r>
      <w:r w:rsidR="009A5373">
        <w:rPr>
          <w:sz w:val="24"/>
          <w:szCs w:val="24"/>
        </w:rPr>
        <w:t>d</w:t>
      </w:r>
      <w:r w:rsidRPr="00D336AE">
        <w:rPr>
          <w:sz w:val="24"/>
          <w:szCs w:val="24"/>
        </w:rPr>
        <w:t xml:space="preserve">iscrimination </w:t>
      </w:r>
      <w:r w:rsidR="009A5373">
        <w:rPr>
          <w:sz w:val="24"/>
          <w:szCs w:val="24"/>
        </w:rPr>
        <w:t>d</w:t>
      </w:r>
      <w:r w:rsidRPr="00D336AE">
        <w:rPr>
          <w:sz w:val="24"/>
          <w:szCs w:val="24"/>
        </w:rPr>
        <w:t xml:space="preserve">emonstration </w:t>
      </w:r>
      <w:r w:rsidR="009A5373">
        <w:rPr>
          <w:sz w:val="24"/>
          <w:szCs w:val="24"/>
        </w:rPr>
        <w:t>k</w:t>
      </w:r>
      <w:r w:rsidRPr="00D336AE">
        <w:rPr>
          <w:sz w:val="24"/>
          <w:szCs w:val="24"/>
        </w:rPr>
        <w:t xml:space="preserve">it (Applied Biosystems, Foster City, CA). The rs8099917 genotype was classified into </w:t>
      </w:r>
      <w:r w:rsidR="00DB1D12" w:rsidRPr="00D336AE">
        <w:rPr>
          <w:sz w:val="24"/>
          <w:szCs w:val="24"/>
        </w:rPr>
        <w:t xml:space="preserve">the following </w:t>
      </w:r>
      <w:r w:rsidRPr="00D336AE">
        <w:rPr>
          <w:sz w:val="24"/>
          <w:szCs w:val="24"/>
        </w:rPr>
        <w:t>2 categories: TT (major genotype) and non-TT (minor genotype, TG or GG).</w:t>
      </w:r>
    </w:p>
    <w:p w:rsidR="000F55D1" w:rsidRPr="00D336AE" w:rsidRDefault="000F55D1" w:rsidP="006611DD">
      <w:pPr>
        <w:spacing w:before="11" w:line="360" w:lineRule="auto"/>
        <w:rPr>
          <w:rFonts w:ascii="Book Antiqua" w:eastAsia="Book Antiqua" w:hAnsi="Book Antiqua" w:cs="Book Antiqua"/>
          <w:sz w:val="24"/>
          <w:szCs w:val="24"/>
        </w:rPr>
      </w:pPr>
    </w:p>
    <w:p w:rsidR="000F55D1" w:rsidRPr="00D336AE" w:rsidRDefault="00C27E0A" w:rsidP="006611DD">
      <w:pPr>
        <w:pStyle w:val="Heading2"/>
        <w:spacing w:line="360" w:lineRule="auto"/>
        <w:ind w:left="0"/>
        <w:jc w:val="both"/>
        <w:rPr>
          <w:b w:val="0"/>
          <w:bCs w:val="0"/>
          <w:i w:val="0"/>
          <w:sz w:val="24"/>
          <w:szCs w:val="24"/>
        </w:rPr>
      </w:pPr>
      <w:r w:rsidRPr="00D336AE">
        <w:rPr>
          <w:sz w:val="24"/>
          <w:szCs w:val="24"/>
        </w:rPr>
        <w:t>Statistical</w:t>
      </w:r>
      <w:r w:rsidR="00E302E1" w:rsidRPr="00D336AE">
        <w:rPr>
          <w:sz w:val="24"/>
          <w:szCs w:val="24"/>
        </w:rPr>
        <w:t xml:space="preserve"> analysis</w:t>
      </w:r>
    </w:p>
    <w:p w:rsidR="000F55D1" w:rsidRPr="00D336AE" w:rsidRDefault="00106644" w:rsidP="006611DD">
      <w:pPr>
        <w:pStyle w:val="BodyText"/>
        <w:spacing w:before="144" w:line="360" w:lineRule="auto"/>
        <w:ind w:left="0" w:right="105"/>
        <w:jc w:val="both"/>
        <w:rPr>
          <w:sz w:val="24"/>
          <w:szCs w:val="24"/>
        </w:rPr>
      </w:pPr>
      <w:r w:rsidRPr="00D336AE">
        <w:rPr>
          <w:sz w:val="24"/>
          <w:szCs w:val="24"/>
        </w:rPr>
        <w:t xml:space="preserve">Continuous data </w:t>
      </w:r>
      <w:r w:rsidR="00DB1D12" w:rsidRPr="00D336AE">
        <w:rPr>
          <w:sz w:val="24"/>
          <w:szCs w:val="24"/>
        </w:rPr>
        <w:t>from</w:t>
      </w:r>
      <w:r w:rsidRPr="00D336AE">
        <w:rPr>
          <w:sz w:val="24"/>
          <w:szCs w:val="24"/>
        </w:rPr>
        <w:t xml:space="preserve"> patients are expressed as </w:t>
      </w:r>
      <w:r w:rsidR="00DB1D12" w:rsidRPr="00D336AE">
        <w:rPr>
          <w:sz w:val="24"/>
          <w:szCs w:val="24"/>
        </w:rPr>
        <w:t xml:space="preserve">the </w:t>
      </w:r>
      <w:r w:rsidRPr="00D336AE">
        <w:rPr>
          <w:sz w:val="24"/>
          <w:szCs w:val="24"/>
        </w:rPr>
        <w:t xml:space="preserve">median with </w:t>
      </w:r>
      <w:r w:rsidR="00DB1D12" w:rsidRPr="00D336AE">
        <w:rPr>
          <w:sz w:val="24"/>
          <w:szCs w:val="24"/>
        </w:rPr>
        <w:t xml:space="preserve">the </w:t>
      </w:r>
      <w:r w:rsidRPr="00D336AE">
        <w:rPr>
          <w:sz w:val="24"/>
          <w:szCs w:val="24"/>
        </w:rPr>
        <w:t xml:space="preserve">interquartile range. The significance of </w:t>
      </w:r>
      <w:r w:rsidR="00DB1D12" w:rsidRPr="00D336AE">
        <w:rPr>
          <w:sz w:val="24"/>
          <w:szCs w:val="24"/>
        </w:rPr>
        <w:t xml:space="preserve">the </w:t>
      </w:r>
      <w:r w:rsidRPr="00D336AE">
        <w:rPr>
          <w:sz w:val="24"/>
          <w:szCs w:val="24"/>
        </w:rPr>
        <w:t xml:space="preserve">differences was analyzed statistically by the Chi-square, Fisher’s exact test, or Mann-Whitney U test, as appropriate, using SPSS software (Ver.18, SPSS Inc., Chicago, IL). To </w:t>
      </w:r>
      <w:r w:rsidR="00BC28CD">
        <w:rPr>
          <w:sz w:val="24"/>
          <w:szCs w:val="24"/>
        </w:rPr>
        <w:t>evaluate</w:t>
      </w:r>
      <w:r w:rsidRPr="00D336AE">
        <w:rPr>
          <w:sz w:val="24"/>
          <w:szCs w:val="24"/>
        </w:rPr>
        <w:t xml:space="preserve"> independent factors for predicting an SVR, variables that reached the </w:t>
      </w:r>
      <w:r w:rsidR="008A2B60" w:rsidRPr="00D336AE">
        <w:rPr>
          <w:i/>
          <w:sz w:val="24"/>
          <w:szCs w:val="24"/>
        </w:rPr>
        <w:t>P</w:t>
      </w:r>
      <w:r w:rsidR="00FB7996">
        <w:rPr>
          <w:sz w:val="24"/>
          <w:szCs w:val="24"/>
        </w:rPr>
        <w:t xml:space="preserve"> </w:t>
      </w:r>
      <w:r w:rsidRPr="00D336AE">
        <w:rPr>
          <w:sz w:val="24"/>
          <w:szCs w:val="24"/>
        </w:rPr>
        <w:t xml:space="preserve">&lt;0.1 level in </w:t>
      </w:r>
      <w:r w:rsidR="00DB1D12" w:rsidRPr="00D336AE">
        <w:rPr>
          <w:sz w:val="24"/>
          <w:szCs w:val="24"/>
        </w:rPr>
        <w:t xml:space="preserve">the </w:t>
      </w:r>
      <w:r w:rsidRPr="00D336AE">
        <w:rPr>
          <w:sz w:val="24"/>
          <w:szCs w:val="24"/>
        </w:rPr>
        <w:t>univariate tests were used</w:t>
      </w:r>
      <w:r w:rsidR="00F952DA" w:rsidRPr="00D336AE">
        <w:rPr>
          <w:sz w:val="24"/>
          <w:szCs w:val="24"/>
        </w:rPr>
        <w:t xml:space="preserve"> as candidate factors </w:t>
      </w:r>
      <w:r w:rsidR="00DB1D12" w:rsidRPr="00D336AE">
        <w:rPr>
          <w:sz w:val="24"/>
          <w:szCs w:val="24"/>
        </w:rPr>
        <w:t xml:space="preserve">in a </w:t>
      </w:r>
      <w:r w:rsidR="00F952DA" w:rsidRPr="00D336AE">
        <w:rPr>
          <w:sz w:val="24"/>
          <w:szCs w:val="24"/>
        </w:rPr>
        <w:t xml:space="preserve">multivariate </w:t>
      </w:r>
      <w:r w:rsidRPr="00D336AE">
        <w:rPr>
          <w:sz w:val="24"/>
          <w:szCs w:val="24"/>
        </w:rPr>
        <w:t xml:space="preserve">logistic regression analysis. In all </w:t>
      </w:r>
      <w:r w:rsidR="00DB1D12" w:rsidRPr="00D336AE">
        <w:rPr>
          <w:sz w:val="24"/>
          <w:szCs w:val="24"/>
        </w:rPr>
        <w:t xml:space="preserve">of the </w:t>
      </w:r>
      <w:r w:rsidRPr="00D336AE">
        <w:rPr>
          <w:sz w:val="24"/>
          <w:szCs w:val="24"/>
        </w:rPr>
        <w:t>cases, the level of significance was set a</w:t>
      </w:r>
      <w:r w:rsidR="00DB1D12" w:rsidRPr="00D336AE">
        <w:rPr>
          <w:sz w:val="24"/>
          <w:szCs w:val="24"/>
        </w:rPr>
        <w:t>s</w:t>
      </w:r>
      <w:r w:rsidRPr="00D336AE">
        <w:rPr>
          <w:sz w:val="24"/>
          <w:szCs w:val="24"/>
        </w:rPr>
        <w:t xml:space="preserve"> </w:t>
      </w:r>
      <w:r w:rsidR="008A2B60" w:rsidRPr="00D336AE">
        <w:rPr>
          <w:i/>
          <w:sz w:val="24"/>
          <w:szCs w:val="24"/>
        </w:rPr>
        <w:t>P</w:t>
      </w:r>
      <w:r w:rsidRPr="00D336AE">
        <w:rPr>
          <w:sz w:val="24"/>
          <w:szCs w:val="24"/>
        </w:rPr>
        <w:t xml:space="preserve"> </w:t>
      </w:r>
      <w:r w:rsidR="00FB7996">
        <w:rPr>
          <w:sz w:val="24"/>
          <w:szCs w:val="24"/>
        </w:rPr>
        <w:t xml:space="preserve">value </w:t>
      </w:r>
      <w:r w:rsidRPr="00D336AE">
        <w:rPr>
          <w:sz w:val="24"/>
          <w:szCs w:val="24"/>
        </w:rPr>
        <w:t>&lt;0.05.</w:t>
      </w:r>
    </w:p>
    <w:p w:rsidR="00B6692C" w:rsidRPr="00D336AE" w:rsidRDefault="00B6692C" w:rsidP="006611DD">
      <w:pPr>
        <w:spacing w:before="3" w:line="360" w:lineRule="auto"/>
        <w:rPr>
          <w:rFonts w:ascii="Book Antiqua" w:eastAsia="Book Antiqua" w:hAnsi="Book Antiqua" w:cs="Book Antiqua"/>
          <w:bCs/>
          <w:sz w:val="24"/>
          <w:szCs w:val="24"/>
        </w:rPr>
      </w:pPr>
    </w:p>
    <w:p w:rsidR="000F55D1" w:rsidRPr="00D336AE" w:rsidRDefault="00E302E1" w:rsidP="006611DD">
      <w:pPr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D336AE">
        <w:rPr>
          <w:rFonts w:ascii="Book Antiqua"/>
          <w:b/>
          <w:sz w:val="24"/>
          <w:szCs w:val="24"/>
        </w:rPr>
        <w:t>RESULTS</w:t>
      </w:r>
    </w:p>
    <w:p w:rsidR="00D40C8B" w:rsidRPr="00D336AE" w:rsidRDefault="00D40C8B" w:rsidP="006611DD">
      <w:pPr>
        <w:pStyle w:val="Heading2"/>
        <w:spacing w:before="69" w:line="360" w:lineRule="auto"/>
        <w:ind w:left="0"/>
        <w:jc w:val="both"/>
        <w:rPr>
          <w:b w:val="0"/>
          <w:bCs w:val="0"/>
          <w:i w:val="0"/>
          <w:sz w:val="24"/>
          <w:szCs w:val="24"/>
        </w:rPr>
      </w:pPr>
      <w:r w:rsidRPr="00D336AE">
        <w:rPr>
          <w:sz w:val="24"/>
          <w:szCs w:val="24"/>
        </w:rPr>
        <w:t>Patient characteristics</w:t>
      </w:r>
    </w:p>
    <w:p w:rsidR="000F55D1" w:rsidRPr="00D336AE" w:rsidRDefault="006E2430" w:rsidP="006611DD">
      <w:pPr>
        <w:pStyle w:val="BodyText"/>
        <w:spacing w:before="145" w:line="360" w:lineRule="auto"/>
        <w:ind w:left="0" w:right="105"/>
        <w:jc w:val="both"/>
        <w:rPr>
          <w:sz w:val="24"/>
          <w:szCs w:val="24"/>
        </w:rPr>
      </w:pPr>
      <w:r w:rsidRPr="00D336AE">
        <w:rPr>
          <w:sz w:val="24"/>
          <w:szCs w:val="24"/>
        </w:rPr>
        <w:t xml:space="preserve">The patient characteristics in the TVR group (n = 112) and SMV group (n = 76) are summarized by age in </w:t>
      </w:r>
      <w:r w:rsidR="00E80091" w:rsidRPr="00D336AE">
        <w:rPr>
          <w:sz w:val="24"/>
          <w:szCs w:val="24"/>
        </w:rPr>
        <w:t>T</w:t>
      </w:r>
      <w:r w:rsidRPr="00D336AE">
        <w:rPr>
          <w:sz w:val="24"/>
          <w:szCs w:val="24"/>
        </w:rPr>
        <w:t>able</w:t>
      </w:r>
      <w:r w:rsidR="00E80091" w:rsidRPr="00D336AE">
        <w:rPr>
          <w:sz w:val="24"/>
          <w:szCs w:val="24"/>
        </w:rPr>
        <w:t>s</w:t>
      </w:r>
      <w:r w:rsidRPr="00D336AE">
        <w:rPr>
          <w:sz w:val="24"/>
          <w:szCs w:val="24"/>
        </w:rPr>
        <w:t xml:space="preserve"> 1 and 2.  </w:t>
      </w:r>
      <w:r w:rsidR="00E80091" w:rsidRPr="00D336AE">
        <w:rPr>
          <w:sz w:val="24"/>
          <w:szCs w:val="24"/>
        </w:rPr>
        <w:t>The a</w:t>
      </w:r>
      <w:r w:rsidRPr="00D336AE">
        <w:rPr>
          <w:sz w:val="24"/>
          <w:szCs w:val="24"/>
        </w:rPr>
        <w:t xml:space="preserve">nalysis of the pretreatment factors </w:t>
      </w:r>
      <w:r w:rsidR="00E80091" w:rsidRPr="00D336AE">
        <w:rPr>
          <w:sz w:val="24"/>
          <w:szCs w:val="24"/>
        </w:rPr>
        <w:t>revealed</w:t>
      </w:r>
      <w:r w:rsidRPr="00D336AE">
        <w:rPr>
          <w:sz w:val="24"/>
          <w:szCs w:val="24"/>
        </w:rPr>
        <w:t xml:space="preserve"> </w:t>
      </w:r>
      <w:r w:rsidR="00F22339" w:rsidRPr="00D336AE">
        <w:rPr>
          <w:sz w:val="24"/>
          <w:szCs w:val="24"/>
        </w:rPr>
        <w:t xml:space="preserve">that </w:t>
      </w:r>
      <w:r w:rsidRPr="00D336AE">
        <w:rPr>
          <w:sz w:val="24"/>
          <w:szCs w:val="24"/>
        </w:rPr>
        <w:t>serum albumin, γ-</w:t>
      </w:r>
      <w:proofErr w:type="spellStart"/>
      <w:r w:rsidRPr="00D336AE">
        <w:rPr>
          <w:sz w:val="24"/>
          <w:szCs w:val="24"/>
        </w:rPr>
        <w:t>glutamyl</w:t>
      </w:r>
      <w:proofErr w:type="spellEnd"/>
      <w:r w:rsidRPr="00D336AE">
        <w:rPr>
          <w:sz w:val="24"/>
          <w:szCs w:val="24"/>
        </w:rPr>
        <w:t>-</w:t>
      </w:r>
      <w:proofErr w:type="spellStart"/>
      <w:r w:rsidRPr="00D336AE">
        <w:rPr>
          <w:sz w:val="24"/>
          <w:szCs w:val="24"/>
        </w:rPr>
        <w:t>transpeptidase</w:t>
      </w:r>
      <w:proofErr w:type="spellEnd"/>
      <w:r w:rsidRPr="00D336AE">
        <w:rPr>
          <w:sz w:val="24"/>
          <w:szCs w:val="24"/>
        </w:rPr>
        <w:t xml:space="preserve"> (</w:t>
      </w:r>
      <w:proofErr w:type="spellStart"/>
      <w:r w:rsidRPr="00D336AE">
        <w:rPr>
          <w:sz w:val="24"/>
          <w:szCs w:val="24"/>
        </w:rPr>
        <w:t>γ</w:t>
      </w:r>
      <w:r w:rsidR="00F22339" w:rsidRPr="00D336AE">
        <w:rPr>
          <w:sz w:val="24"/>
          <w:szCs w:val="24"/>
        </w:rPr>
        <w:t>GTP</w:t>
      </w:r>
      <w:proofErr w:type="spellEnd"/>
      <w:r w:rsidR="00F22339" w:rsidRPr="00D336AE">
        <w:rPr>
          <w:sz w:val="24"/>
          <w:szCs w:val="24"/>
        </w:rPr>
        <w:t xml:space="preserve">), </w:t>
      </w:r>
      <w:r w:rsidR="00E80091" w:rsidRPr="00D336AE">
        <w:rPr>
          <w:sz w:val="24"/>
          <w:szCs w:val="24"/>
        </w:rPr>
        <w:t>and the e</w:t>
      </w:r>
      <w:r w:rsidR="00F22339" w:rsidRPr="00D336AE">
        <w:rPr>
          <w:sz w:val="24"/>
          <w:szCs w:val="24"/>
        </w:rPr>
        <w:t>stimated glomerular filtration rate (</w:t>
      </w:r>
      <w:proofErr w:type="spellStart"/>
      <w:r w:rsidR="00F22339" w:rsidRPr="00D336AE">
        <w:rPr>
          <w:sz w:val="24"/>
          <w:szCs w:val="24"/>
        </w:rPr>
        <w:t>eGFR</w:t>
      </w:r>
      <w:proofErr w:type="spellEnd"/>
      <w:r w:rsidR="00F22339" w:rsidRPr="00D336AE">
        <w:rPr>
          <w:sz w:val="24"/>
          <w:szCs w:val="24"/>
        </w:rPr>
        <w:t xml:space="preserve">) </w:t>
      </w:r>
      <w:r w:rsidR="00E80091" w:rsidRPr="00D336AE">
        <w:rPr>
          <w:sz w:val="24"/>
          <w:szCs w:val="24"/>
        </w:rPr>
        <w:t>in</w:t>
      </w:r>
      <w:r w:rsidR="00F22339" w:rsidRPr="00D336AE">
        <w:rPr>
          <w:sz w:val="24"/>
          <w:szCs w:val="24"/>
        </w:rPr>
        <w:t xml:space="preserve"> the older patients were significantly lower than those of the younger patients i</w:t>
      </w:r>
      <w:r w:rsidRPr="00D336AE">
        <w:rPr>
          <w:sz w:val="24"/>
          <w:szCs w:val="24"/>
        </w:rPr>
        <w:t>n the TVR group</w:t>
      </w:r>
      <w:r w:rsidR="00F22339" w:rsidRPr="00D336AE">
        <w:rPr>
          <w:sz w:val="24"/>
          <w:szCs w:val="24"/>
        </w:rPr>
        <w:t xml:space="preserve"> (Table 1). </w:t>
      </w:r>
      <w:r w:rsidR="00FB7996">
        <w:rPr>
          <w:sz w:val="24"/>
          <w:szCs w:val="24"/>
        </w:rPr>
        <w:t>Pretreatment serum chemokine C-X-C motif</w:t>
      </w:r>
      <w:r w:rsidR="000F62C4" w:rsidRPr="00D336AE">
        <w:rPr>
          <w:sz w:val="24"/>
          <w:szCs w:val="24"/>
        </w:rPr>
        <w:t xml:space="preserve"> ligand 10 (CXCL10) levels were not significantly different between the </w:t>
      </w:r>
      <w:r w:rsidR="00FB7996" w:rsidRPr="00D336AE">
        <w:rPr>
          <w:sz w:val="24"/>
          <w:szCs w:val="24"/>
        </w:rPr>
        <w:t xml:space="preserve">younger (543 </w:t>
      </w:r>
      <w:proofErr w:type="spellStart"/>
      <w:r w:rsidR="00FB7996" w:rsidRPr="00D336AE">
        <w:rPr>
          <w:sz w:val="24"/>
          <w:szCs w:val="24"/>
        </w:rPr>
        <w:t>pg</w:t>
      </w:r>
      <w:proofErr w:type="spellEnd"/>
      <w:r w:rsidR="00FB7996" w:rsidRPr="00D336AE">
        <w:rPr>
          <w:sz w:val="24"/>
          <w:szCs w:val="24"/>
        </w:rPr>
        <w:t xml:space="preserve">/ml, range: 118-1218 </w:t>
      </w:r>
      <w:proofErr w:type="spellStart"/>
      <w:r w:rsidR="00FB7996" w:rsidRPr="00D336AE">
        <w:rPr>
          <w:sz w:val="24"/>
          <w:szCs w:val="24"/>
        </w:rPr>
        <w:t>pg</w:t>
      </w:r>
      <w:proofErr w:type="spellEnd"/>
      <w:r w:rsidR="00FB7996" w:rsidRPr="00D336AE">
        <w:rPr>
          <w:sz w:val="24"/>
          <w:szCs w:val="24"/>
        </w:rPr>
        <w:t>/ml)</w:t>
      </w:r>
      <w:r w:rsidR="000F62C4" w:rsidRPr="00D336AE">
        <w:rPr>
          <w:sz w:val="24"/>
          <w:szCs w:val="24"/>
        </w:rPr>
        <w:t xml:space="preserve"> and</w:t>
      </w:r>
      <w:r w:rsidR="00FB7996" w:rsidRPr="00D336AE">
        <w:rPr>
          <w:sz w:val="24"/>
          <w:szCs w:val="24"/>
        </w:rPr>
        <w:t xml:space="preserve"> older (510 </w:t>
      </w:r>
      <w:proofErr w:type="spellStart"/>
      <w:r w:rsidR="00FB7996" w:rsidRPr="00D336AE">
        <w:rPr>
          <w:sz w:val="24"/>
          <w:szCs w:val="24"/>
        </w:rPr>
        <w:t>pg</w:t>
      </w:r>
      <w:proofErr w:type="spellEnd"/>
      <w:r w:rsidR="00FB7996" w:rsidRPr="00D336AE">
        <w:rPr>
          <w:sz w:val="24"/>
          <w:szCs w:val="24"/>
        </w:rPr>
        <w:t xml:space="preserve">/ml, range: 95-1794 </w:t>
      </w:r>
      <w:proofErr w:type="spellStart"/>
      <w:r w:rsidR="00FB7996" w:rsidRPr="00D336AE">
        <w:rPr>
          <w:sz w:val="24"/>
          <w:szCs w:val="24"/>
        </w:rPr>
        <w:t>pg</w:t>
      </w:r>
      <w:proofErr w:type="spellEnd"/>
      <w:r w:rsidR="00FB7996" w:rsidRPr="00D336AE">
        <w:rPr>
          <w:sz w:val="24"/>
          <w:szCs w:val="24"/>
        </w:rPr>
        <w:t xml:space="preserve">/ml) </w:t>
      </w:r>
      <w:r w:rsidR="000F62C4" w:rsidRPr="00D336AE">
        <w:rPr>
          <w:sz w:val="24"/>
          <w:szCs w:val="24"/>
        </w:rPr>
        <w:t xml:space="preserve">groups. </w:t>
      </w:r>
      <w:r w:rsidR="00F22339" w:rsidRPr="00D336AE">
        <w:rPr>
          <w:sz w:val="24"/>
          <w:szCs w:val="24"/>
        </w:rPr>
        <w:t xml:space="preserve">In the SMV group, BW, white blood cell count, hemoglobin, serum albumin, </w:t>
      </w:r>
      <w:r w:rsidR="00E80091" w:rsidRPr="00D336AE">
        <w:rPr>
          <w:sz w:val="24"/>
          <w:szCs w:val="24"/>
        </w:rPr>
        <w:t xml:space="preserve">and </w:t>
      </w:r>
      <w:r w:rsidR="00F22339" w:rsidRPr="00D336AE">
        <w:rPr>
          <w:sz w:val="24"/>
          <w:szCs w:val="24"/>
        </w:rPr>
        <w:t xml:space="preserve">serum alanine aminotransferase (ALT) </w:t>
      </w:r>
      <w:r w:rsidR="00E80091" w:rsidRPr="00D336AE">
        <w:rPr>
          <w:sz w:val="24"/>
          <w:szCs w:val="24"/>
        </w:rPr>
        <w:t>in</w:t>
      </w:r>
      <w:r w:rsidR="00F22339" w:rsidRPr="00D336AE">
        <w:rPr>
          <w:sz w:val="24"/>
          <w:szCs w:val="24"/>
        </w:rPr>
        <w:t xml:space="preserve"> the older patients were significantly lower than those of the younger patients (Table 2). No significant difference</w:t>
      </w:r>
      <w:r w:rsidR="00E80091" w:rsidRPr="00D336AE">
        <w:rPr>
          <w:sz w:val="24"/>
          <w:szCs w:val="24"/>
        </w:rPr>
        <w:t>s</w:t>
      </w:r>
      <w:r w:rsidR="00F22339" w:rsidRPr="00D336AE">
        <w:rPr>
          <w:sz w:val="24"/>
          <w:szCs w:val="24"/>
        </w:rPr>
        <w:t xml:space="preserve"> in </w:t>
      </w:r>
      <w:r w:rsidR="00E80091" w:rsidRPr="00D336AE">
        <w:rPr>
          <w:sz w:val="24"/>
          <w:szCs w:val="24"/>
        </w:rPr>
        <w:t xml:space="preserve">the </w:t>
      </w:r>
      <w:r w:rsidR="00F22339" w:rsidRPr="00D336AE">
        <w:rPr>
          <w:sz w:val="24"/>
          <w:szCs w:val="24"/>
        </w:rPr>
        <w:t>pr</w:t>
      </w:r>
      <w:r w:rsidR="00E80091" w:rsidRPr="00D336AE">
        <w:rPr>
          <w:sz w:val="24"/>
          <w:szCs w:val="24"/>
        </w:rPr>
        <w:t>ior</w:t>
      </w:r>
      <w:r w:rsidR="00F22339" w:rsidRPr="00D336AE">
        <w:rPr>
          <w:sz w:val="24"/>
          <w:szCs w:val="24"/>
        </w:rPr>
        <w:t xml:space="preserve"> treatment response, HCV core 70/91 mutations, or IL28B SNPs w</w:t>
      </w:r>
      <w:r w:rsidR="00E80091" w:rsidRPr="00D336AE">
        <w:rPr>
          <w:sz w:val="24"/>
          <w:szCs w:val="24"/>
        </w:rPr>
        <w:t>ere</w:t>
      </w:r>
      <w:r w:rsidR="00F22339" w:rsidRPr="00D336AE">
        <w:rPr>
          <w:sz w:val="24"/>
          <w:szCs w:val="24"/>
        </w:rPr>
        <w:t xml:space="preserve"> found between the</w:t>
      </w:r>
      <w:r w:rsidR="00E80091" w:rsidRPr="00D336AE">
        <w:rPr>
          <w:sz w:val="24"/>
          <w:szCs w:val="24"/>
        </w:rPr>
        <w:t xml:space="preserve"> </w:t>
      </w:r>
      <w:r w:rsidR="00FB7996" w:rsidRPr="00D336AE">
        <w:rPr>
          <w:sz w:val="24"/>
          <w:szCs w:val="24"/>
        </w:rPr>
        <w:t xml:space="preserve">younger </w:t>
      </w:r>
      <w:r w:rsidR="00E80091" w:rsidRPr="00D336AE">
        <w:rPr>
          <w:sz w:val="24"/>
          <w:szCs w:val="24"/>
        </w:rPr>
        <w:t xml:space="preserve">and </w:t>
      </w:r>
      <w:r w:rsidR="00FB7996" w:rsidRPr="00D336AE">
        <w:rPr>
          <w:sz w:val="24"/>
          <w:szCs w:val="24"/>
        </w:rPr>
        <w:t xml:space="preserve">older </w:t>
      </w:r>
      <w:r w:rsidR="00E80091" w:rsidRPr="00D336AE">
        <w:rPr>
          <w:sz w:val="24"/>
          <w:szCs w:val="24"/>
        </w:rPr>
        <w:t xml:space="preserve">group in </w:t>
      </w:r>
      <w:r w:rsidR="00F22339" w:rsidRPr="00D336AE">
        <w:rPr>
          <w:sz w:val="24"/>
          <w:szCs w:val="24"/>
        </w:rPr>
        <w:t xml:space="preserve">both TVR and </w:t>
      </w:r>
      <w:r w:rsidR="00F22339" w:rsidRPr="00D336AE">
        <w:rPr>
          <w:sz w:val="24"/>
          <w:szCs w:val="24"/>
        </w:rPr>
        <w:lastRenderedPageBreak/>
        <w:t>SMV group</w:t>
      </w:r>
      <w:r w:rsidR="00E80091" w:rsidRPr="00D336AE">
        <w:rPr>
          <w:sz w:val="24"/>
          <w:szCs w:val="24"/>
        </w:rPr>
        <w:t>s</w:t>
      </w:r>
      <w:r w:rsidR="00F22339" w:rsidRPr="00D336AE">
        <w:rPr>
          <w:sz w:val="24"/>
          <w:szCs w:val="24"/>
        </w:rPr>
        <w:t>.</w:t>
      </w:r>
    </w:p>
    <w:p w:rsidR="007033CB" w:rsidRPr="00D336AE" w:rsidRDefault="007033CB" w:rsidP="006611DD">
      <w:pPr>
        <w:spacing w:before="3" w:line="360" w:lineRule="auto"/>
        <w:rPr>
          <w:rFonts w:ascii="Book Antiqua" w:eastAsia="Book Antiqua" w:hAnsi="Book Antiqua" w:cs="Book Antiqua"/>
          <w:bCs/>
          <w:sz w:val="24"/>
          <w:szCs w:val="24"/>
        </w:rPr>
      </w:pPr>
    </w:p>
    <w:p w:rsidR="000F55D1" w:rsidRPr="00D336AE" w:rsidRDefault="00D40C8B" w:rsidP="006611DD">
      <w:pPr>
        <w:pStyle w:val="Heading2"/>
        <w:spacing w:before="69" w:line="360" w:lineRule="auto"/>
        <w:ind w:left="0"/>
        <w:jc w:val="both"/>
        <w:rPr>
          <w:b w:val="0"/>
          <w:bCs w:val="0"/>
          <w:i w:val="0"/>
          <w:sz w:val="24"/>
          <w:szCs w:val="24"/>
        </w:rPr>
      </w:pPr>
      <w:proofErr w:type="spellStart"/>
      <w:r w:rsidRPr="00D336AE">
        <w:rPr>
          <w:sz w:val="24"/>
          <w:szCs w:val="24"/>
        </w:rPr>
        <w:t>Virological</w:t>
      </w:r>
      <w:proofErr w:type="spellEnd"/>
      <w:r w:rsidRPr="00D336AE">
        <w:rPr>
          <w:sz w:val="24"/>
          <w:szCs w:val="24"/>
        </w:rPr>
        <w:t xml:space="preserve"> response</w:t>
      </w:r>
      <w:r w:rsidR="00FB7996">
        <w:rPr>
          <w:sz w:val="24"/>
          <w:szCs w:val="24"/>
        </w:rPr>
        <w:t xml:space="preserve"> and outcome</w:t>
      </w:r>
    </w:p>
    <w:p w:rsidR="00460B18" w:rsidRPr="00D336AE" w:rsidRDefault="006504C9" w:rsidP="006611DD">
      <w:pPr>
        <w:pStyle w:val="BodyText"/>
        <w:spacing w:before="144" w:line="360" w:lineRule="auto"/>
        <w:ind w:left="0" w:right="108"/>
        <w:jc w:val="both"/>
        <w:rPr>
          <w:sz w:val="24"/>
          <w:szCs w:val="24"/>
        </w:rPr>
      </w:pPr>
      <w:r w:rsidRPr="00D336AE">
        <w:rPr>
          <w:sz w:val="24"/>
          <w:szCs w:val="24"/>
        </w:rPr>
        <w:t xml:space="preserve">Figure 1 shows the </w:t>
      </w:r>
      <w:proofErr w:type="spellStart"/>
      <w:r w:rsidRPr="00D336AE">
        <w:rPr>
          <w:sz w:val="24"/>
          <w:szCs w:val="24"/>
        </w:rPr>
        <w:t>virological</w:t>
      </w:r>
      <w:proofErr w:type="spellEnd"/>
      <w:r w:rsidRPr="00D336AE">
        <w:rPr>
          <w:sz w:val="24"/>
          <w:szCs w:val="24"/>
        </w:rPr>
        <w:t xml:space="preserve"> responses by age. </w:t>
      </w:r>
      <w:r w:rsidR="00460B18" w:rsidRPr="00D336AE">
        <w:rPr>
          <w:sz w:val="24"/>
          <w:szCs w:val="24"/>
        </w:rPr>
        <w:t xml:space="preserve">RVR, </w:t>
      </w:r>
      <w:proofErr w:type="spellStart"/>
      <w:r w:rsidR="00460B18" w:rsidRPr="00D336AE">
        <w:rPr>
          <w:sz w:val="24"/>
          <w:szCs w:val="24"/>
        </w:rPr>
        <w:t>cEVR</w:t>
      </w:r>
      <w:proofErr w:type="spellEnd"/>
      <w:r w:rsidR="00460B18" w:rsidRPr="00D336AE">
        <w:rPr>
          <w:sz w:val="24"/>
          <w:szCs w:val="24"/>
        </w:rPr>
        <w:t>, E</w:t>
      </w:r>
      <w:r w:rsidR="00A71E37" w:rsidRPr="00D336AE">
        <w:rPr>
          <w:sz w:val="24"/>
          <w:szCs w:val="24"/>
        </w:rPr>
        <w:t>TR</w:t>
      </w:r>
      <w:r w:rsidR="00460B18" w:rsidRPr="00D336AE">
        <w:rPr>
          <w:sz w:val="24"/>
          <w:szCs w:val="24"/>
        </w:rPr>
        <w:t xml:space="preserve">, and SVR did not significantly differ between the </w:t>
      </w:r>
      <w:r w:rsidR="00FB7996" w:rsidRPr="00D336AE">
        <w:rPr>
          <w:sz w:val="24"/>
          <w:szCs w:val="24"/>
        </w:rPr>
        <w:t xml:space="preserve">younger </w:t>
      </w:r>
      <w:r w:rsidR="00460B18" w:rsidRPr="00D336AE">
        <w:rPr>
          <w:sz w:val="24"/>
          <w:szCs w:val="24"/>
        </w:rPr>
        <w:t xml:space="preserve">and </w:t>
      </w:r>
      <w:r w:rsidR="00FB7996" w:rsidRPr="00D336AE">
        <w:rPr>
          <w:sz w:val="24"/>
          <w:szCs w:val="24"/>
        </w:rPr>
        <w:t xml:space="preserve">older </w:t>
      </w:r>
      <w:r w:rsidR="00460B18" w:rsidRPr="00D336AE">
        <w:rPr>
          <w:sz w:val="24"/>
          <w:szCs w:val="24"/>
        </w:rPr>
        <w:t>patients in the TVR group (</w:t>
      </w:r>
      <w:r w:rsidR="00FB7996" w:rsidRPr="00D336AE">
        <w:rPr>
          <w:sz w:val="24"/>
          <w:szCs w:val="24"/>
        </w:rPr>
        <w:t>60.2%</w:t>
      </w:r>
      <w:r w:rsidR="00460B18" w:rsidRPr="00D336AE">
        <w:rPr>
          <w:sz w:val="24"/>
          <w:szCs w:val="24"/>
        </w:rPr>
        <w:t xml:space="preserve"> vs.</w:t>
      </w:r>
      <w:r w:rsidR="00FB7996" w:rsidRPr="00FB7996">
        <w:rPr>
          <w:sz w:val="24"/>
          <w:szCs w:val="24"/>
        </w:rPr>
        <w:t xml:space="preserve"> </w:t>
      </w:r>
      <w:r w:rsidR="00FB7996" w:rsidRPr="00D336AE">
        <w:rPr>
          <w:sz w:val="24"/>
          <w:szCs w:val="24"/>
        </w:rPr>
        <w:t>58.8%</w:t>
      </w:r>
      <w:r w:rsidR="00460B18" w:rsidRPr="00D336AE">
        <w:rPr>
          <w:sz w:val="24"/>
          <w:szCs w:val="24"/>
        </w:rPr>
        <w:t xml:space="preserve">, </w:t>
      </w:r>
      <w:r w:rsidR="00FB7996" w:rsidRPr="00D336AE">
        <w:rPr>
          <w:sz w:val="24"/>
          <w:szCs w:val="24"/>
        </w:rPr>
        <w:t>92.3%</w:t>
      </w:r>
      <w:r w:rsidR="00460B18" w:rsidRPr="00D336AE">
        <w:rPr>
          <w:sz w:val="24"/>
          <w:szCs w:val="24"/>
        </w:rPr>
        <w:t xml:space="preserve"> vs.</w:t>
      </w:r>
      <w:r w:rsidR="00FB7996" w:rsidRPr="00FB7996">
        <w:rPr>
          <w:sz w:val="24"/>
          <w:szCs w:val="24"/>
        </w:rPr>
        <w:t xml:space="preserve"> </w:t>
      </w:r>
      <w:r w:rsidR="00FB7996" w:rsidRPr="00D336AE">
        <w:rPr>
          <w:sz w:val="24"/>
          <w:szCs w:val="24"/>
        </w:rPr>
        <w:t>94.1%</w:t>
      </w:r>
      <w:r w:rsidR="00460B18" w:rsidRPr="00D336AE">
        <w:rPr>
          <w:sz w:val="24"/>
          <w:szCs w:val="24"/>
        </w:rPr>
        <w:t xml:space="preserve">, </w:t>
      </w:r>
      <w:r w:rsidR="00FB7996" w:rsidRPr="00D336AE">
        <w:rPr>
          <w:sz w:val="24"/>
          <w:szCs w:val="24"/>
        </w:rPr>
        <w:t>87.2%</w:t>
      </w:r>
      <w:r w:rsidR="00460B18" w:rsidRPr="00D336AE">
        <w:rPr>
          <w:sz w:val="24"/>
          <w:szCs w:val="24"/>
        </w:rPr>
        <w:t xml:space="preserve"> vs.</w:t>
      </w:r>
      <w:r w:rsidR="00FB7996" w:rsidRPr="00FB7996">
        <w:rPr>
          <w:sz w:val="24"/>
          <w:szCs w:val="24"/>
        </w:rPr>
        <w:t xml:space="preserve"> </w:t>
      </w:r>
      <w:r w:rsidR="00FB7996" w:rsidRPr="00D336AE">
        <w:rPr>
          <w:sz w:val="24"/>
          <w:szCs w:val="24"/>
        </w:rPr>
        <w:t>88.2%</w:t>
      </w:r>
      <w:r w:rsidR="00E314AB" w:rsidRPr="00D336AE">
        <w:rPr>
          <w:sz w:val="24"/>
          <w:szCs w:val="24"/>
        </w:rPr>
        <w:t xml:space="preserve">, and </w:t>
      </w:r>
      <w:r w:rsidR="00FB7996" w:rsidRPr="00D336AE">
        <w:rPr>
          <w:sz w:val="24"/>
          <w:szCs w:val="24"/>
        </w:rPr>
        <w:t>80.8%</w:t>
      </w:r>
      <w:r w:rsidR="00E314AB" w:rsidRPr="00D336AE">
        <w:rPr>
          <w:sz w:val="24"/>
          <w:szCs w:val="24"/>
        </w:rPr>
        <w:t xml:space="preserve"> vs.</w:t>
      </w:r>
      <w:r w:rsidR="00FB7996" w:rsidRPr="00FB7996">
        <w:rPr>
          <w:sz w:val="24"/>
          <w:szCs w:val="24"/>
        </w:rPr>
        <w:t xml:space="preserve"> </w:t>
      </w:r>
      <w:r w:rsidR="00FB7996" w:rsidRPr="00D336AE">
        <w:rPr>
          <w:sz w:val="24"/>
          <w:szCs w:val="24"/>
        </w:rPr>
        <w:t>88.2%</w:t>
      </w:r>
      <w:r w:rsidR="00E314AB" w:rsidRPr="00D336AE">
        <w:rPr>
          <w:sz w:val="24"/>
          <w:szCs w:val="24"/>
        </w:rPr>
        <w:t>, respectively</w:t>
      </w:r>
      <w:r w:rsidR="00460B18" w:rsidRPr="00D336AE">
        <w:rPr>
          <w:sz w:val="24"/>
          <w:szCs w:val="24"/>
        </w:rPr>
        <w:t>)</w:t>
      </w:r>
      <w:r w:rsidR="00E314AB" w:rsidRPr="00D336AE">
        <w:rPr>
          <w:sz w:val="24"/>
          <w:szCs w:val="24"/>
        </w:rPr>
        <w:t>. Similar to the T</w:t>
      </w:r>
      <w:r w:rsidR="009014FF" w:rsidRPr="00D336AE">
        <w:rPr>
          <w:sz w:val="24"/>
          <w:szCs w:val="24"/>
        </w:rPr>
        <w:t>VR</w:t>
      </w:r>
      <w:r w:rsidR="00E314AB" w:rsidRPr="00D336AE">
        <w:rPr>
          <w:sz w:val="24"/>
          <w:szCs w:val="24"/>
        </w:rPr>
        <w:t xml:space="preserve"> group, RVR, </w:t>
      </w:r>
      <w:proofErr w:type="spellStart"/>
      <w:r w:rsidR="00E314AB" w:rsidRPr="00D336AE">
        <w:rPr>
          <w:sz w:val="24"/>
          <w:szCs w:val="24"/>
        </w:rPr>
        <w:t>cEVR</w:t>
      </w:r>
      <w:proofErr w:type="spellEnd"/>
      <w:r w:rsidR="00E314AB" w:rsidRPr="00D336AE">
        <w:rPr>
          <w:sz w:val="24"/>
          <w:szCs w:val="24"/>
        </w:rPr>
        <w:t>, E</w:t>
      </w:r>
      <w:r w:rsidR="00A71E37" w:rsidRPr="00D336AE">
        <w:rPr>
          <w:sz w:val="24"/>
          <w:szCs w:val="24"/>
        </w:rPr>
        <w:t>TR</w:t>
      </w:r>
      <w:r w:rsidR="00E314AB" w:rsidRPr="00D336AE">
        <w:rPr>
          <w:sz w:val="24"/>
          <w:szCs w:val="24"/>
        </w:rPr>
        <w:t xml:space="preserve">, and SVR did not significantly differ between the </w:t>
      </w:r>
      <w:r w:rsidR="00FB7996" w:rsidRPr="00D336AE">
        <w:rPr>
          <w:sz w:val="24"/>
          <w:szCs w:val="24"/>
        </w:rPr>
        <w:t xml:space="preserve">younger </w:t>
      </w:r>
      <w:r w:rsidR="00E314AB" w:rsidRPr="00D336AE">
        <w:rPr>
          <w:sz w:val="24"/>
          <w:szCs w:val="24"/>
        </w:rPr>
        <w:t xml:space="preserve">and </w:t>
      </w:r>
      <w:r w:rsidR="00FB7996" w:rsidRPr="00D336AE">
        <w:rPr>
          <w:sz w:val="24"/>
          <w:szCs w:val="24"/>
        </w:rPr>
        <w:t xml:space="preserve">older </w:t>
      </w:r>
      <w:r w:rsidR="00E314AB" w:rsidRPr="00D336AE">
        <w:rPr>
          <w:sz w:val="24"/>
          <w:szCs w:val="24"/>
        </w:rPr>
        <w:t>patients in the SMV group (</w:t>
      </w:r>
      <w:r w:rsidR="00FB7996" w:rsidRPr="00D336AE">
        <w:rPr>
          <w:sz w:val="24"/>
          <w:szCs w:val="24"/>
        </w:rPr>
        <w:t>81.1%</w:t>
      </w:r>
      <w:r w:rsidR="00E314AB" w:rsidRPr="00D336AE">
        <w:rPr>
          <w:sz w:val="24"/>
          <w:szCs w:val="24"/>
        </w:rPr>
        <w:t xml:space="preserve"> vs.</w:t>
      </w:r>
      <w:r w:rsidR="00FB7996" w:rsidRPr="00FB7996">
        <w:rPr>
          <w:sz w:val="24"/>
          <w:szCs w:val="24"/>
        </w:rPr>
        <w:t xml:space="preserve"> </w:t>
      </w:r>
      <w:r w:rsidR="00FB7996" w:rsidRPr="00D336AE">
        <w:rPr>
          <w:sz w:val="24"/>
          <w:szCs w:val="24"/>
        </w:rPr>
        <w:t>92.3%</w:t>
      </w:r>
      <w:r w:rsidR="00E314AB" w:rsidRPr="00D336AE">
        <w:rPr>
          <w:sz w:val="24"/>
          <w:szCs w:val="24"/>
        </w:rPr>
        <w:t xml:space="preserve">, </w:t>
      </w:r>
      <w:r w:rsidR="00FB7996" w:rsidRPr="00D336AE">
        <w:rPr>
          <w:sz w:val="24"/>
          <w:szCs w:val="24"/>
        </w:rPr>
        <w:t>94.6%</w:t>
      </w:r>
      <w:r w:rsidR="00E314AB" w:rsidRPr="00D336AE">
        <w:rPr>
          <w:sz w:val="24"/>
          <w:szCs w:val="24"/>
        </w:rPr>
        <w:t xml:space="preserve"> vs.</w:t>
      </w:r>
      <w:r w:rsidR="00FB7996" w:rsidRPr="00FB7996">
        <w:rPr>
          <w:sz w:val="24"/>
          <w:szCs w:val="24"/>
        </w:rPr>
        <w:t xml:space="preserve"> </w:t>
      </w:r>
      <w:r w:rsidR="00FB7996" w:rsidRPr="00D336AE">
        <w:rPr>
          <w:sz w:val="24"/>
          <w:szCs w:val="24"/>
        </w:rPr>
        <w:t>94.9%</w:t>
      </w:r>
      <w:r w:rsidR="00E314AB" w:rsidRPr="00D336AE">
        <w:rPr>
          <w:sz w:val="24"/>
          <w:szCs w:val="24"/>
        </w:rPr>
        <w:t xml:space="preserve">, </w:t>
      </w:r>
      <w:r w:rsidR="00FB7996" w:rsidRPr="00D336AE">
        <w:rPr>
          <w:sz w:val="24"/>
          <w:szCs w:val="24"/>
        </w:rPr>
        <w:t>94.6%</w:t>
      </w:r>
      <w:r w:rsidR="00E314AB" w:rsidRPr="00D336AE">
        <w:rPr>
          <w:sz w:val="24"/>
          <w:szCs w:val="24"/>
        </w:rPr>
        <w:t xml:space="preserve"> vs.</w:t>
      </w:r>
      <w:r w:rsidR="00FB7996" w:rsidRPr="00FB7996">
        <w:rPr>
          <w:sz w:val="24"/>
          <w:szCs w:val="24"/>
        </w:rPr>
        <w:t xml:space="preserve"> </w:t>
      </w:r>
      <w:r w:rsidR="00FB7996" w:rsidRPr="00D336AE">
        <w:rPr>
          <w:sz w:val="24"/>
          <w:szCs w:val="24"/>
        </w:rPr>
        <w:t>100%</w:t>
      </w:r>
      <w:r w:rsidR="00E314AB" w:rsidRPr="00D336AE">
        <w:rPr>
          <w:sz w:val="24"/>
          <w:szCs w:val="24"/>
        </w:rPr>
        <w:t xml:space="preserve">, and </w:t>
      </w:r>
      <w:r w:rsidR="00FB7996" w:rsidRPr="00D336AE">
        <w:rPr>
          <w:sz w:val="24"/>
          <w:szCs w:val="24"/>
        </w:rPr>
        <w:t>81.1%</w:t>
      </w:r>
      <w:r w:rsidR="00E314AB" w:rsidRPr="00D336AE">
        <w:rPr>
          <w:sz w:val="24"/>
          <w:szCs w:val="24"/>
        </w:rPr>
        <w:t xml:space="preserve"> vs</w:t>
      </w:r>
      <w:r w:rsidR="00FB7996" w:rsidRPr="00D336AE">
        <w:rPr>
          <w:sz w:val="24"/>
          <w:szCs w:val="24"/>
        </w:rPr>
        <w:t>82.1%</w:t>
      </w:r>
      <w:r w:rsidR="00E314AB" w:rsidRPr="00D336AE">
        <w:rPr>
          <w:sz w:val="24"/>
          <w:szCs w:val="24"/>
        </w:rPr>
        <w:t xml:space="preserve">., respectively). </w:t>
      </w:r>
      <w:r w:rsidR="008A2B60" w:rsidRPr="00D336AE">
        <w:rPr>
          <w:sz w:val="24"/>
          <w:szCs w:val="24"/>
        </w:rPr>
        <w:t xml:space="preserve">In the older patients, </w:t>
      </w:r>
      <w:r w:rsidR="000B2612" w:rsidRPr="00D336AE">
        <w:rPr>
          <w:sz w:val="24"/>
          <w:szCs w:val="24"/>
        </w:rPr>
        <w:t xml:space="preserve">SVR </w:t>
      </w:r>
      <w:r w:rsidR="008A2B60" w:rsidRPr="00D336AE">
        <w:rPr>
          <w:sz w:val="24"/>
          <w:szCs w:val="24"/>
        </w:rPr>
        <w:t>did not significantly differ between the TVR and SMV group</w:t>
      </w:r>
      <w:r w:rsidR="00E80091" w:rsidRPr="00D336AE">
        <w:rPr>
          <w:sz w:val="24"/>
          <w:szCs w:val="24"/>
        </w:rPr>
        <w:t>s,</w:t>
      </w:r>
      <w:r w:rsidR="008A2B60" w:rsidRPr="00D336AE">
        <w:rPr>
          <w:sz w:val="24"/>
          <w:szCs w:val="24"/>
        </w:rPr>
        <w:t xml:space="preserve"> a</w:t>
      </w:r>
      <w:r w:rsidR="00E314AB" w:rsidRPr="00D336AE">
        <w:rPr>
          <w:sz w:val="24"/>
          <w:szCs w:val="24"/>
        </w:rPr>
        <w:t xml:space="preserve">lthough RVR was significantly higher in the </w:t>
      </w:r>
      <w:r w:rsidR="008A2B60" w:rsidRPr="00D336AE">
        <w:rPr>
          <w:sz w:val="24"/>
          <w:szCs w:val="24"/>
        </w:rPr>
        <w:t xml:space="preserve">SMV group </w:t>
      </w:r>
      <w:r w:rsidR="00E314AB" w:rsidRPr="00D336AE">
        <w:rPr>
          <w:sz w:val="24"/>
          <w:szCs w:val="24"/>
        </w:rPr>
        <w:t xml:space="preserve">than </w:t>
      </w:r>
      <w:r w:rsidR="00E80091" w:rsidRPr="00D336AE">
        <w:rPr>
          <w:sz w:val="24"/>
          <w:szCs w:val="24"/>
        </w:rPr>
        <w:t xml:space="preserve">in </w:t>
      </w:r>
      <w:r w:rsidR="00E314AB" w:rsidRPr="00D336AE">
        <w:rPr>
          <w:sz w:val="24"/>
          <w:szCs w:val="24"/>
        </w:rPr>
        <w:t xml:space="preserve">the </w:t>
      </w:r>
      <w:r w:rsidR="008A2B60" w:rsidRPr="00D336AE">
        <w:rPr>
          <w:sz w:val="24"/>
          <w:szCs w:val="24"/>
        </w:rPr>
        <w:t>TVR group</w:t>
      </w:r>
      <w:r w:rsidR="00E314AB" w:rsidRPr="00D336AE">
        <w:rPr>
          <w:sz w:val="24"/>
          <w:szCs w:val="24"/>
        </w:rPr>
        <w:t xml:space="preserve"> (</w:t>
      </w:r>
      <w:r w:rsidR="008A2B60" w:rsidRPr="00D336AE">
        <w:rPr>
          <w:sz w:val="24"/>
          <w:szCs w:val="24"/>
        </w:rPr>
        <w:t xml:space="preserve">92.3% vs. 58.5%, </w:t>
      </w:r>
      <w:r w:rsidR="008A2B60" w:rsidRPr="00D336AE">
        <w:rPr>
          <w:i/>
          <w:sz w:val="24"/>
          <w:szCs w:val="24"/>
        </w:rPr>
        <w:t>P</w:t>
      </w:r>
      <w:r w:rsidR="008A2B60" w:rsidRPr="00D336AE">
        <w:rPr>
          <w:sz w:val="24"/>
          <w:szCs w:val="24"/>
        </w:rPr>
        <w:t xml:space="preserve"> &lt;0.01</w:t>
      </w:r>
      <w:r w:rsidR="000B2612" w:rsidRPr="00D336AE">
        <w:rPr>
          <w:sz w:val="24"/>
          <w:szCs w:val="24"/>
        </w:rPr>
        <w:t xml:space="preserve">). </w:t>
      </w:r>
    </w:p>
    <w:p w:rsidR="00D40C8B" w:rsidRPr="00D336AE" w:rsidRDefault="00CC6D91" w:rsidP="006611DD">
      <w:pPr>
        <w:pStyle w:val="BodyText"/>
        <w:spacing w:line="360" w:lineRule="auto"/>
        <w:ind w:left="0" w:right="108" w:firstLineChars="189" w:firstLine="454"/>
        <w:jc w:val="both"/>
        <w:rPr>
          <w:sz w:val="24"/>
          <w:szCs w:val="24"/>
        </w:rPr>
      </w:pPr>
      <w:r w:rsidRPr="00D336AE">
        <w:rPr>
          <w:rFonts w:eastAsiaTheme="minorEastAsia" w:hint="eastAsia"/>
          <w:sz w:val="24"/>
          <w:szCs w:val="24"/>
          <w:lang w:eastAsia="ja-JP"/>
        </w:rPr>
        <w:t xml:space="preserve">Figure 2 shows </w:t>
      </w:r>
      <w:r w:rsidR="00D07891" w:rsidRPr="00D336AE">
        <w:rPr>
          <w:sz w:val="24"/>
          <w:szCs w:val="24"/>
        </w:rPr>
        <w:t xml:space="preserve">the </w:t>
      </w:r>
      <w:proofErr w:type="spellStart"/>
      <w:r w:rsidR="00D07891" w:rsidRPr="00D336AE">
        <w:rPr>
          <w:sz w:val="24"/>
          <w:szCs w:val="24"/>
        </w:rPr>
        <w:t>virological</w:t>
      </w:r>
      <w:proofErr w:type="spellEnd"/>
      <w:r w:rsidR="00D07891" w:rsidRPr="00D336AE">
        <w:rPr>
          <w:sz w:val="24"/>
          <w:szCs w:val="24"/>
        </w:rPr>
        <w:t xml:space="preserve"> responses </w:t>
      </w:r>
      <w:r w:rsidR="00E80091" w:rsidRPr="00D336AE">
        <w:rPr>
          <w:sz w:val="24"/>
          <w:szCs w:val="24"/>
        </w:rPr>
        <w:t>according to</w:t>
      </w:r>
      <w:r w:rsidR="00D07891" w:rsidRPr="00D336AE">
        <w:rPr>
          <w:sz w:val="24"/>
          <w:szCs w:val="24"/>
        </w:rPr>
        <w:t xml:space="preserve"> pr</w:t>
      </w:r>
      <w:r w:rsidR="001312D6" w:rsidRPr="00D336AE">
        <w:rPr>
          <w:sz w:val="24"/>
          <w:szCs w:val="24"/>
        </w:rPr>
        <w:t>ior</w:t>
      </w:r>
      <w:r w:rsidR="00D07891" w:rsidRPr="00D336AE">
        <w:rPr>
          <w:sz w:val="24"/>
          <w:szCs w:val="24"/>
        </w:rPr>
        <w:t xml:space="preserve"> treatment responses. In both the TVR and SMV group</w:t>
      </w:r>
      <w:r w:rsidR="00E80091" w:rsidRPr="00D336AE">
        <w:rPr>
          <w:sz w:val="24"/>
          <w:szCs w:val="24"/>
        </w:rPr>
        <w:t>s</w:t>
      </w:r>
      <w:r w:rsidR="00D07891" w:rsidRPr="00D336AE">
        <w:rPr>
          <w:sz w:val="24"/>
          <w:szCs w:val="24"/>
        </w:rPr>
        <w:t>, SVR did not significantly differ between</w:t>
      </w:r>
      <w:r w:rsidR="001312D6" w:rsidRPr="00D336AE">
        <w:rPr>
          <w:sz w:val="24"/>
          <w:szCs w:val="24"/>
        </w:rPr>
        <w:t xml:space="preserve"> the </w:t>
      </w:r>
      <w:r w:rsidR="00FB7996" w:rsidRPr="00D336AE">
        <w:rPr>
          <w:sz w:val="24"/>
          <w:szCs w:val="24"/>
        </w:rPr>
        <w:t xml:space="preserve">younger </w:t>
      </w:r>
      <w:r w:rsidR="001312D6" w:rsidRPr="00D336AE">
        <w:rPr>
          <w:sz w:val="24"/>
          <w:szCs w:val="24"/>
        </w:rPr>
        <w:t xml:space="preserve">and </w:t>
      </w:r>
      <w:r w:rsidR="00FB7996" w:rsidRPr="00D336AE">
        <w:rPr>
          <w:sz w:val="24"/>
          <w:szCs w:val="24"/>
        </w:rPr>
        <w:t xml:space="preserve">older </w:t>
      </w:r>
      <w:r w:rsidR="001312D6" w:rsidRPr="00D336AE">
        <w:rPr>
          <w:sz w:val="24"/>
          <w:szCs w:val="24"/>
        </w:rPr>
        <w:t xml:space="preserve">patients </w:t>
      </w:r>
      <w:r w:rsidR="00E80091" w:rsidRPr="00D336AE">
        <w:rPr>
          <w:sz w:val="24"/>
          <w:szCs w:val="24"/>
        </w:rPr>
        <w:t>with</w:t>
      </w:r>
      <w:r w:rsidR="001312D6" w:rsidRPr="00D336AE">
        <w:rPr>
          <w:sz w:val="24"/>
          <w:szCs w:val="24"/>
        </w:rPr>
        <w:t xml:space="preserve"> the same treatment responses. In the older patients in</w:t>
      </w:r>
      <w:r w:rsidR="00E80091" w:rsidRPr="00D336AE">
        <w:rPr>
          <w:sz w:val="24"/>
          <w:szCs w:val="24"/>
        </w:rPr>
        <w:t xml:space="preserve"> the</w:t>
      </w:r>
      <w:r w:rsidR="001312D6" w:rsidRPr="00D336AE">
        <w:rPr>
          <w:sz w:val="24"/>
          <w:szCs w:val="24"/>
        </w:rPr>
        <w:t xml:space="preserve"> SMV group, SVR was significantly lower in the prior non-responders</w:t>
      </w:r>
      <w:r w:rsidR="00FB1F7A" w:rsidRPr="00D336AE">
        <w:rPr>
          <w:sz w:val="24"/>
          <w:szCs w:val="24"/>
        </w:rPr>
        <w:t xml:space="preserve"> than the prior </w:t>
      </w:r>
      <w:proofErr w:type="spellStart"/>
      <w:r w:rsidR="00FB1F7A" w:rsidRPr="00D336AE">
        <w:rPr>
          <w:sz w:val="24"/>
          <w:szCs w:val="24"/>
        </w:rPr>
        <w:t>relapsers</w:t>
      </w:r>
      <w:proofErr w:type="spellEnd"/>
      <w:r w:rsidR="00FB1F7A" w:rsidRPr="00D336AE">
        <w:rPr>
          <w:sz w:val="24"/>
          <w:szCs w:val="24"/>
        </w:rPr>
        <w:t xml:space="preserve"> (60% vs. 93.8%, </w:t>
      </w:r>
      <w:r w:rsidR="00FB1F7A" w:rsidRPr="00D336AE">
        <w:rPr>
          <w:i/>
          <w:sz w:val="24"/>
          <w:szCs w:val="24"/>
        </w:rPr>
        <w:t>P</w:t>
      </w:r>
      <w:r w:rsidR="00FB1F7A" w:rsidRPr="00D336AE">
        <w:rPr>
          <w:sz w:val="24"/>
          <w:szCs w:val="24"/>
        </w:rPr>
        <w:t xml:space="preserve"> = 0.033). </w:t>
      </w:r>
      <w:r w:rsidR="00FB1F7A" w:rsidRPr="00D336AE">
        <w:rPr>
          <w:rFonts w:eastAsiaTheme="minorEastAsia" w:hint="eastAsia"/>
          <w:sz w:val="24"/>
          <w:szCs w:val="24"/>
          <w:lang w:eastAsia="ja-JP"/>
        </w:rPr>
        <w:t xml:space="preserve">Figure </w:t>
      </w:r>
      <w:r w:rsidR="00FB1F7A" w:rsidRPr="00D336AE">
        <w:rPr>
          <w:rFonts w:eastAsiaTheme="minorEastAsia"/>
          <w:sz w:val="24"/>
          <w:szCs w:val="24"/>
          <w:lang w:eastAsia="ja-JP"/>
        </w:rPr>
        <w:t>3</w:t>
      </w:r>
      <w:r w:rsidR="00FB1F7A" w:rsidRPr="00D336AE">
        <w:rPr>
          <w:rFonts w:eastAsiaTheme="minorEastAsia" w:hint="eastAsia"/>
          <w:sz w:val="24"/>
          <w:szCs w:val="24"/>
          <w:lang w:eastAsia="ja-JP"/>
        </w:rPr>
        <w:t xml:space="preserve"> shows </w:t>
      </w:r>
      <w:r w:rsidR="00FB1F7A" w:rsidRPr="00D336AE">
        <w:rPr>
          <w:sz w:val="24"/>
          <w:szCs w:val="24"/>
        </w:rPr>
        <w:t xml:space="preserve">the </w:t>
      </w:r>
      <w:proofErr w:type="spellStart"/>
      <w:r w:rsidR="00FB1F7A" w:rsidRPr="00D336AE">
        <w:rPr>
          <w:sz w:val="24"/>
          <w:szCs w:val="24"/>
        </w:rPr>
        <w:t>virological</w:t>
      </w:r>
      <w:proofErr w:type="spellEnd"/>
      <w:r w:rsidR="00FB1F7A" w:rsidRPr="00D336AE">
        <w:rPr>
          <w:sz w:val="24"/>
          <w:szCs w:val="24"/>
        </w:rPr>
        <w:t xml:space="preserve"> responses </w:t>
      </w:r>
      <w:r w:rsidR="00E80091" w:rsidRPr="00D336AE">
        <w:rPr>
          <w:sz w:val="24"/>
          <w:szCs w:val="24"/>
        </w:rPr>
        <w:t xml:space="preserve">according to </w:t>
      </w:r>
      <w:r w:rsidR="00FB1F7A" w:rsidRPr="00D336AE">
        <w:rPr>
          <w:sz w:val="24"/>
          <w:szCs w:val="24"/>
        </w:rPr>
        <w:t xml:space="preserve">IL28B </w:t>
      </w:r>
      <w:r w:rsidR="00A34F3B" w:rsidRPr="00D336AE">
        <w:rPr>
          <w:sz w:val="24"/>
          <w:szCs w:val="24"/>
        </w:rPr>
        <w:t xml:space="preserve">(rs8099917) </w:t>
      </w:r>
      <w:r w:rsidR="00FB1F7A" w:rsidRPr="00D336AE">
        <w:rPr>
          <w:sz w:val="24"/>
          <w:szCs w:val="24"/>
        </w:rPr>
        <w:t>SNP</w:t>
      </w:r>
      <w:r w:rsidR="00E80091" w:rsidRPr="00D336AE">
        <w:rPr>
          <w:sz w:val="24"/>
          <w:szCs w:val="24"/>
        </w:rPr>
        <w:t xml:space="preserve"> statu</w:t>
      </w:r>
      <w:r w:rsidR="00FB1F7A" w:rsidRPr="00D336AE">
        <w:rPr>
          <w:sz w:val="24"/>
          <w:szCs w:val="24"/>
        </w:rPr>
        <w:t>s. In the TVR group, t</w:t>
      </w:r>
      <w:r w:rsidR="00A34F3B" w:rsidRPr="00D336AE">
        <w:rPr>
          <w:sz w:val="24"/>
          <w:szCs w:val="24"/>
        </w:rPr>
        <w:t>he SVR rate</w:t>
      </w:r>
      <w:r w:rsidR="00FB1F7A" w:rsidRPr="00D336AE">
        <w:rPr>
          <w:sz w:val="24"/>
          <w:szCs w:val="24"/>
        </w:rPr>
        <w:t xml:space="preserve"> for </w:t>
      </w:r>
      <w:r w:rsidR="000F62C4" w:rsidRPr="00D336AE">
        <w:rPr>
          <w:sz w:val="24"/>
          <w:szCs w:val="24"/>
        </w:rPr>
        <w:t xml:space="preserve">the older </w:t>
      </w:r>
      <w:r w:rsidR="00FB1F7A" w:rsidRPr="00D336AE">
        <w:rPr>
          <w:sz w:val="24"/>
          <w:szCs w:val="24"/>
        </w:rPr>
        <w:t>patients with the IL28B TT</w:t>
      </w:r>
      <w:r w:rsidR="00F23D0D" w:rsidRPr="00D336AE">
        <w:rPr>
          <w:sz w:val="24"/>
          <w:szCs w:val="24"/>
        </w:rPr>
        <w:t>-genotype</w:t>
      </w:r>
      <w:r w:rsidR="000F62C4" w:rsidRPr="00D336AE">
        <w:rPr>
          <w:sz w:val="24"/>
          <w:szCs w:val="24"/>
        </w:rPr>
        <w:t xml:space="preserve"> </w:t>
      </w:r>
      <w:r w:rsidR="00FB1F7A" w:rsidRPr="00D336AE">
        <w:rPr>
          <w:sz w:val="24"/>
          <w:szCs w:val="24"/>
        </w:rPr>
        <w:t>w</w:t>
      </w:r>
      <w:r w:rsidR="00A34F3B" w:rsidRPr="00D336AE">
        <w:rPr>
          <w:sz w:val="24"/>
          <w:szCs w:val="24"/>
        </w:rPr>
        <w:t>as</w:t>
      </w:r>
      <w:r w:rsidR="00FB1F7A" w:rsidRPr="00D336AE">
        <w:rPr>
          <w:sz w:val="24"/>
          <w:szCs w:val="24"/>
        </w:rPr>
        <w:t xml:space="preserve"> significantly higher than for </w:t>
      </w:r>
      <w:r w:rsidR="000F62C4" w:rsidRPr="00D336AE">
        <w:rPr>
          <w:sz w:val="24"/>
          <w:szCs w:val="24"/>
        </w:rPr>
        <w:t xml:space="preserve">the older </w:t>
      </w:r>
      <w:r w:rsidR="00FB1F7A" w:rsidRPr="00D336AE">
        <w:rPr>
          <w:sz w:val="24"/>
          <w:szCs w:val="24"/>
        </w:rPr>
        <w:t>patients with the IL28B TG/GG</w:t>
      </w:r>
      <w:r w:rsidR="00F23D0D" w:rsidRPr="00D336AE">
        <w:rPr>
          <w:sz w:val="24"/>
          <w:szCs w:val="24"/>
        </w:rPr>
        <w:t>-genotypes</w:t>
      </w:r>
      <w:r w:rsidR="00FB1F7A" w:rsidRPr="00D336AE">
        <w:rPr>
          <w:sz w:val="24"/>
          <w:szCs w:val="24"/>
        </w:rPr>
        <w:t xml:space="preserve"> (</w:t>
      </w:r>
      <w:r w:rsidR="000F62C4" w:rsidRPr="00D336AE">
        <w:rPr>
          <w:sz w:val="24"/>
          <w:szCs w:val="24"/>
        </w:rPr>
        <w:t>92.9</w:t>
      </w:r>
      <w:r w:rsidR="00FB1F7A" w:rsidRPr="00D336AE">
        <w:rPr>
          <w:sz w:val="24"/>
          <w:szCs w:val="24"/>
        </w:rPr>
        <w:t xml:space="preserve">% and </w:t>
      </w:r>
      <w:r w:rsidR="000F62C4" w:rsidRPr="00D336AE">
        <w:rPr>
          <w:sz w:val="24"/>
          <w:szCs w:val="24"/>
        </w:rPr>
        <w:t>60</w:t>
      </w:r>
      <w:r w:rsidR="00FB1F7A" w:rsidRPr="00D336AE">
        <w:rPr>
          <w:sz w:val="24"/>
          <w:szCs w:val="24"/>
        </w:rPr>
        <w:t>%,</w:t>
      </w:r>
      <w:r w:rsidR="000F62C4" w:rsidRPr="00D336AE">
        <w:rPr>
          <w:sz w:val="24"/>
          <w:szCs w:val="24"/>
        </w:rPr>
        <w:t xml:space="preserve"> </w:t>
      </w:r>
      <w:r w:rsidR="000F62C4" w:rsidRPr="00D336AE">
        <w:rPr>
          <w:i/>
          <w:sz w:val="24"/>
          <w:szCs w:val="24"/>
        </w:rPr>
        <w:t>P</w:t>
      </w:r>
      <w:r w:rsidR="000F62C4" w:rsidRPr="00D336AE">
        <w:rPr>
          <w:sz w:val="24"/>
          <w:szCs w:val="24"/>
        </w:rPr>
        <w:t xml:space="preserve"> = 0.038</w:t>
      </w:r>
      <w:r w:rsidR="00FB1F7A" w:rsidRPr="00D336AE">
        <w:rPr>
          <w:sz w:val="24"/>
          <w:szCs w:val="24"/>
        </w:rPr>
        <w:t xml:space="preserve">). </w:t>
      </w:r>
      <w:r w:rsidR="00A126AE" w:rsidRPr="00D336AE">
        <w:rPr>
          <w:sz w:val="24"/>
          <w:szCs w:val="24"/>
        </w:rPr>
        <w:t>In the SMV group, t</w:t>
      </w:r>
      <w:r w:rsidR="00A34F3B" w:rsidRPr="00D336AE">
        <w:rPr>
          <w:sz w:val="24"/>
          <w:szCs w:val="24"/>
        </w:rPr>
        <w:t>he SVR rate</w:t>
      </w:r>
      <w:r w:rsidR="00FB1F7A" w:rsidRPr="00D336AE">
        <w:rPr>
          <w:sz w:val="24"/>
          <w:szCs w:val="24"/>
        </w:rPr>
        <w:t xml:space="preserve"> for </w:t>
      </w:r>
      <w:r w:rsidR="00A34F3B" w:rsidRPr="00D336AE">
        <w:rPr>
          <w:sz w:val="24"/>
          <w:szCs w:val="24"/>
        </w:rPr>
        <w:t xml:space="preserve">the older </w:t>
      </w:r>
      <w:r w:rsidR="00FB1F7A" w:rsidRPr="00D336AE">
        <w:rPr>
          <w:sz w:val="24"/>
          <w:szCs w:val="24"/>
        </w:rPr>
        <w:t xml:space="preserve">patients with the IL28B </w:t>
      </w:r>
      <w:r w:rsidR="00A34F3B" w:rsidRPr="00D336AE">
        <w:rPr>
          <w:sz w:val="24"/>
          <w:szCs w:val="24"/>
        </w:rPr>
        <w:t>TT</w:t>
      </w:r>
      <w:r w:rsidR="00F23D0D" w:rsidRPr="00D336AE">
        <w:rPr>
          <w:sz w:val="24"/>
          <w:szCs w:val="24"/>
        </w:rPr>
        <w:t>-genotype</w:t>
      </w:r>
      <w:r w:rsidR="00A34F3B" w:rsidRPr="00D336AE">
        <w:rPr>
          <w:sz w:val="24"/>
          <w:szCs w:val="24"/>
        </w:rPr>
        <w:t xml:space="preserve"> </w:t>
      </w:r>
      <w:r w:rsidR="00FB1F7A" w:rsidRPr="00D336AE">
        <w:rPr>
          <w:sz w:val="24"/>
          <w:szCs w:val="24"/>
        </w:rPr>
        <w:t>w</w:t>
      </w:r>
      <w:r w:rsidR="00E80091" w:rsidRPr="00D336AE">
        <w:rPr>
          <w:sz w:val="24"/>
          <w:szCs w:val="24"/>
        </w:rPr>
        <w:t>as</w:t>
      </w:r>
      <w:r w:rsidR="00FB1F7A" w:rsidRPr="00D336AE">
        <w:rPr>
          <w:sz w:val="24"/>
          <w:szCs w:val="24"/>
        </w:rPr>
        <w:t xml:space="preserve"> </w:t>
      </w:r>
      <w:r w:rsidR="00A34F3B" w:rsidRPr="00D336AE">
        <w:rPr>
          <w:sz w:val="24"/>
          <w:szCs w:val="24"/>
        </w:rPr>
        <w:t xml:space="preserve">also </w:t>
      </w:r>
      <w:r w:rsidR="00FB1F7A" w:rsidRPr="00D336AE">
        <w:rPr>
          <w:sz w:val="24"/>
          <w:szCs w:val="24"/>
        </w:rPr>
        <w:t xml:space="preserve">significantly higher than for </w:t>
      </w:r>
      <w:r w:rsidR="00A34F3B" w:rsidRPr="00D336AE">
        <w:rPr>
          <w:sz w:val="24"/>
          <w:szCs w:val="24"/>
        </w:rPr>
        <w:t xml:space="preserve">the older </w:t>
      </w:r>
      <w:r w:rsidR="00FB1F7A" w:rsidRPr="00D336AE">
        <w:rPr>
          <w:sz w:val="24"/>
          <w:szCs w:val="24"/>
        </w:rPr>
        <w:t>patients with the IL28B TG/GG</w:t>
      </w:r>
      <w:r w:rsidR="00F23D0D" w:rsidRPr="00D336AE">
        <w:rPr>
          <w:sz w:val="24"/>
          <w:szCs w:val="24"/>
        </w:rPr>
        <w:t>-genotypes</w:t>
      </w:r>
      <w:r w:rsidR="00FB1F7A" w:rsidRPr="00D336AE">
        <w:rPr>
          <w:sz w:val="24"/>
          <w:szCs w:val="24"/>
        </w:rPr>
        <w:t xml:space="preserve"> (</w:t>
      </w:r>
      <w:r w:rsidR="00A34F3B" w:rsidRPr="00D336AE">
        <w:rPr>
          <w:sz w:val="24"/>
          <w:szCs w:val="24"/>
        </w:rPr>
        <w:t>100</w:t>
      </w:r>
      <w:r w:rsidR="00FB1F7A" w:rsidRPr="00D336AE">
        <w:rPr>
          <w:sz w:val="24"/>
          <w:szCs w:val="24"/>
        </w:rPr>
        <w:t xml:space="preserve">% and </w:t>
      </w:r>
      <w:r w:rsidR="00A34F3B" w:rsidRPr="00D336AE">
        <w:rPr>
          <w:sz w:val="24"/>
          <w:szCs w:val="24"/>
        </w:rPr>
        <w:t>64.7</w:t>
      </w:r>
      <w:r w:rsidR="00FB1F7A" w:rsidRPr="00D336AE">
        <w:rPr>
          <w:sz w:val="24"/>
          <w:szCs w:val="24"/>
        </w:rPr>
        <w:t>%,</w:t>
      </w:r>
      <w:r w:rsidR="00A34F3B" w:rsidRPr="00D336AE">
        <w:rPr>
          <w:sz w:val="24"/>
          <w:szCs w:val="24"/>
        </w:rPr>
        <w:t xml:space="preserve"> </w:t>
      </w:r>
      <w:r w:rsidR="00A34F3B" w:rsidRPr="00D336AE">
        <w:rPr>
          <w:i/>
          <w:sz w:val="24"/>
          <w:szCs w:val="24"/>
        </w:rPr>
        <w:t>P</w:t>
      </w:r>
      <w:r w:rsidR="00A34F3B" w:rsidRPr="00D336AE">
        <w:rPr>
          <w:sz w:val="24"/>
          <w:szCs w:val="24"/>
        </w:rPr>
        <w:t xml:space="preserve"> &lt;0.01)</w:t>
      </w:r>
      <w:r w:rsidR="00FB1F7A" w:rsidRPr="00D336AE">
        <w:rPr>
          <w:sz w:val="24"/>
          <w:szCs w:val="24"/>
        </w:rPr>
        <w:t>.</w:t>
      </w:r>
    </w:p>
    <w:p w:rsidR="000F55D1" w:rsidRPr="00D336AE" w:rsidRDefault="000F55D1" w:rsidP="006611DD">
      <w:pPr>
        <w:spacing w:before="8" w:line="360" w:lineRule="auto"/>
        <w:rPr>
          <w:rFonts w:ascii="Book Antiqua" w:eastAsia="Book Antiqua" w:hAnsi="Book Antiqua" w:cs="Book Antiqua"/>
          <w:sz w:val="24"/>
          <w:szCs w:val="24"/>
        </w:rPr>
      </w:pPr>
    </w:p>
    <w:p w:rsidR="000F55D1" w:rsidRPr="00D336AE" w:rsidRDefault="00FB1F7A" w:rsidP="006611DD">
      <w:pPr>
        <w:pStyle w:val="Heading2"/>
        <w:spacing w:line="360" w:lineRule="auto"/>
        <w:ind w:left="0"/>
        <w:jc w:val="both"/>
        <w:rPr>
          <w:b w:val="0"/>
          <w:bCs w:val="0"/>
          <w:i w:val="0"/>
          <w:sz w:val="24"/>
          <w:szCs w:val="24"/>
        </w:rPr>
      </w:pPr>
      <w:r w:rsidRPr="00D336AE">
        <w:rPr>
          <w:sz w:val="24"/>
          <w:szCs w:val="24"/>
        </w:rPr>
        <w:t>Safety and tolerability</w:t>
      </w:r>
    </w:p>
    <w:p w:rsidR="006F03FB" w:rsidRPr="00D336AE" w:rsidRDefault="000E5242" w:rsidP="006611DD">
      <w:pPr>
        <w:pStyle w:val="BodyText"/>
        <w:spacing w:before="144" w:line="360" w:lineRule="auto"/>
        <w:ind w:left="0" w:right="106"/>
        <w:jc w:val="both"/>
        <w:rPr>
          <w:sz w:val="24"/>
          <w:szCs w:val="24"/>
        </w:rPr>
      </w:pPr>
      <w:r w:rsidRPr="00D336AE">
        <w:rPr>
          <w:sz w:val="24"/>
          <w:szCs w:val="24"/>
        </w:rPr>
        <w:t>Treatment tolerability was summarized in Table</w:t>
      </w:r>
      <w:r w:rsidR="00E80091" w:rsidRPr="00D336AE">
        <w:rPr>
          <w:sz w:val="24"/>
          <w:szCs w:val="24"/>
        </w:rPr>
        <w:t>s</w:t>
      </w:r>
      <w:r w:rsidRPr="00D336AE">
        <w:rPr>
          <w:sz w:val="24"/>
          <w:szCs w:val="24"/>
        </w:rPr>
        <w:t xml:space="preserve"> 3 and 4. In the TVR group, </w:t>
      </w:r>
      <w:r w:rsidR="00C549EA" w:rsidRPr="00D336AE">
        <w:rPr>
          <w:sz w:val="24"/>
          <w:szCs w:val="24"/>
        </w:rPr>
        <w:t>adverse e</w:t>
      </w:r>
      <w:r w:rsidR="00977E2E" w:rsidRPr="00D336AE">
        <w:rPr>
          <w:sz w:val="24"/>
          <w:szCs w:val="24"/>
        </w:rPr>
        <w:t>vents</w:t>
      </w:r>
      <w:r w:rsidR="00C549EA" w:rsidRPr="00D336AE">
        <w:rPr>
          <w:sz w:val="24"/>
          <w:szCs w:val="24"/>
        </w:rPr>
        <w:t xml:space="preserve"> resulted in treatment discontinuation </w:t>
      </w:r>
      <w:r w:rsidR="00E80091" w:rsidRPr="00D336AE">
        <w:rPr>
          <w:sz w:val="24"/>
          <w:szCs w:val="24"/>
        </w:rPr>
        <w:t>in</w:t>
      </w:r>
      <w:r w:rsidR="00C549EA" w:rsidRPr="00D336AE">
        <w:rPr>
          <w:sz w:val="24"/>
          <w:szCs w:val="24"/>
        </w:rPr>
        <w:t xml:space="preserve"> 16.7% (13/78 cases) </w:t>
      </w:r>
      <w:r w:rsidR="00FB7996" w:rsidRPr="00D336AE">
        <w:rPr>
          <w:sz w:val="24"/>
          <w:szCs w:val="24"/>
        </w:rPr>
        <w:t xml:space="preserve">and 11.8% (4/34 cases) </w:t>
      </w:r>
      <w:r w:rsidR="00E80091" w:rsidRPr="00D336AE">
        <w:rPr>
          <w:sz w:val="24"/>
          <w:szCs w:val="24"/>
        </w:rPr>
        <w:t xml:space="preserve">of patients </w:t>
      </w:r>
      <w:r w:rsidR="00C549EA" w:rsidRPr="00D336AE">
        <w:rPr>
          <w:sz w:val="24"/>
          <w:szCs w:val="24"/>
        </w:rPr>
        <w:t xml:space="preserve">in the </w:t>
      </w:r>
      <w:r w:rsidR="00FB7996" w:rsidRPr="00D336AE">
        <w:rPr>
          <w:sz w:val="24"/>
          <w:szCs w:val="24"/>
        </w:rPr>
        <w:t xml:space="preserve">younger </w:t>
      </w:r>
      <w:r w:rsidR="00C549EA" w:rsidRPr="00D336AE">
        <w:rPr>
          <w:sz w:val="24"/>
          <w:szCs w:val="24"/>
        </w:rPr>
        <w:t xml:space="preserve">and </w:t>
      </w:r>
      <w:r w:rsidR="00FB7996" w:rsidRPr="00D336AE">
        <w:rPr>
          <w:sz w:val="24"/>
          <w:szCs w:val="24"/>
        </w:rPr>
        <w:t xml:space="preserve">older </w:t>
      </w:r>
      <w:r w:rsidR="00C549EA" w:rsidRPr="00D336AE">
        <w:rPr>
          <w:sz w:val="24"/>
          <w:szCs w:val="24"/>
        </w:rPr>
        <w:t>groups, respectively. A</w:t>
      </w:r>
      <w:r w:rsidRPr="00D336AE">
        <w:rPr>
          <w:sz w:val="24"/>
          <w:szCs w:val="24"/>
        </w:rPr>
        <w:t xml:space="preserve">lthough </w:t>
      </w:r>
      <w:r w:rsidR="00E80091" w:rsidRPr="00D336AE">
        <w:rPr>
          <w:sz w:val="24"/>
          <w:szCs w:val="24"/>
        </w:rPr>
        <w:t xml:space="preserve">a greater number of older patients in the TVR group </w:t>
      </w:r>
      <w:proofErr w:type="gramStart"/>
      <w:r w:rsidR="00E80091" w:rsidRPr="00D336AE">
        <w:rPr>
          <w:sz w:val="24"/>
          <w:szCs w:val="24"/>
        </w:rPr>
        <w:t>was</w:t>
      </w:r>
      <w:proofErr w:type="gramEnd"/>
      <w:r w:rsidR="00E80091" w:rsidRPr="00D336AE">
        <w:rPr>
          <w:sz w:val="24"/>
          <w:szCs w:val="24"/>
        </w:rPr>
        <w:t xml:space="preserve"> </w:t>
      </w:r>
      <w:r w:rsidRPr="00D336AE">
        <w:rPr>
          <w:sz w:val="24"/>
          <w:szCs w:val="24"/>
        </w:rPr>
        <w:t xml:space="preserve">treated with the lower initial dose of TVR </w:t>
      </w:r>
      <w:r w:rsidR="00E80091" w:rsidRPr="00D336AE">
        <w:rPr>
          <w:sz w:val="24"/>
          <w:szCs w:val="24"/>
        </w:rPr>
        <w:t xml:space="preserve">(1500mg/day) </w:t>
      </w:r>
      <w:r w:rsidRPr="00D336AE">
        <w:rPr>
          <w:sz w:val="24"/>
          <w:szCs w:val="24"/>
        </w:rPr>
        <w:t>than the younger patients (</w:t>
      </w:r>
      <w:r w:rsidRPr="00D336AE">
        <w:rPr>
          <w:i/>
          <w:sz w:val="24"/>
          <w:szCs w:val="24"/>
        </w:rPr>
        <w:t>P</w:t>
      </w:r>
      <w:r w:rsidRPr="00D336AE">
        <w:rPr>
          <w:sz w:val="24"/>
          <w:szCs w:val="24"/>
        </w:rPr>
        <w:t xml:space="preserve"> &lt;0.01)</w:t>
      </w:r>
      <w:r w:rsidR="007A5CCB" w:rsidRPr="00D336AE">
        <w:rPr>
          <w:position w:val="6"/>
          <w:sz w:val="16"/>
          <w:szCs w:val="16"/>
        </w:rPr>
        <w:t>[</w:t>
      </w:r>
      <w:r w:rsidR="00A777CA" w:rsidRPr="00D336AE">
        <w:rPr>
          <w:position w:val="6"/>
          <w:sz w:val="16"/>
          <w:szCs w:val="16"/>
        </w:rPr>
        <w:t>20</w:t>
      </w:r>
      <w:r w:rsidR="007A5CCB" w:rsidRPr="00D336AE">
        <w:rPr>
          <w:position w:val="6"/>
          <w:sz w:val="16"/>
          <w:szCs w:val="16"/>
        </w:rPr>
        <w:t>]</w:t>
      </w:r>
      <w:r w:rsidRPr="00D336AE">
        <w:rPr>
          <w:sz w:val="24"/>
          <w:szCs w:val="24"/>
        </w:rPr>
        <w:t xml:space="preserve">, 9 patients (26.4%) </w:t>
      </w:r>
      <w:r w:rsidRPr="00D336AE">
        <w:rPr>
          <w:sz w:val="24"/>
          <w:szCs w:val="24"/>
        </w:rPr>
        <w:lastRenderedPageBreak/>
        <w:t>discontinued TVR because of adverse events</w:t>
      </w:r>
      <w:r w:rsidR="005D754B" w:rsidRPr="00D336AE">
        <w:rPr>
          <w:sz w:val="24"/>
          <w:szCs w:val="24"/>
        </w:rPr>
        <w:t xml:space="preserve"> (</w:t>
      </w:r>
      <w:r w:rsidR="004B602B" w:rsidRPr="00D336AE">
        <w:rPr>
          <w:sz w:val="24"/>
          <w:szCs w:val="24"/>
        </w:rPr>
        <w:t xml:space="preserve">four </w:t>
      </w:r>
      <w:r w:rsidR="00E80091" w:rsidRPr="00D336AE">
        <w:rPr>
          <w:sz w:val="24"/>
          <w:szCs w:val="24"/>
        </w:rPr>
        <w:t xml:space="preserve">patients experienced </w:t>
      </w:r>
      <w:r w:rsidR="004B602B" w:rsidRPr="00D336AE">
        <w:rPr>
          <w:sz w:val="24"/>
          <w:szCs w:val="24"/>
        </w:rPr>
        <w:t xml:space="preserve">skin rush, four </w:t>
      </w:r>
      <w:r w:rsidR="00E80091" w:rsidRPr="00D336AE">
        <w:rPr>
          <w:sz w:val="24"/>
          <w:szCs w:val="24"/>
        </w:rPr>
        <w:t xml:space="preserve">patients experienced </w:t>
      </w:r>
      <w:r w:rsidR="004B602B" w:rsidRPr="00D336AE">
        <w:rPr>
          <w:sz w:val="24"/>
          <w:szCs w:val="24"/>
        </w:rPr>
        <w:t xml:space="preserve">anemia, and one </w:t>
      </w:r>
      <w:r w:rsidR="00E80091" w:rsidRPr="00D336AE">
        <w:rPr>
          <w:sz w:val="24"/>
          <w:szCs w:val="24"/>
        </w:rPr>
        <w:t xml:space="preserve">patient experienced </w:t>
      </w:r>
      <w:r w:rsidR="004B602B" w:rsidRPr="00D336AE">
        <w:rPr>
          <w:sz w:val="24"/>
          <w:szCs w:val="24"/>
        </w:rPr>
        <w:t>renal dysfunction</w:t>
      </w:r>
      <w:r w:rsidR="005D754B" w:rsidRPr="00D336AE">
        <w:rPr>
          <w:sz w:val="24"/>
          <w:szCs w:val="24"/>
        </w:rPr>
        <w:t xml:space="preserve">). </w:t>
      </w:r>
      <w:r w:rsidR="003F40FE" w:rsidRPr="00D336AE">
        <w:rPr>
          <w:sz w:val="24"/>
          <w:szCs w:val="24"/>
        </w:rPr>
        <w:t xml:space="preserve">However, the rate of discontinuation of TVR did not significantly differ between the </w:t>
      </w:r>
      <w:r w:rsidR="00FB7996" w:rsidRPr="00D336AE">
        <w:rPr>
          <w:sz w:val="24"/>
          <w:szCs w:val="24"/>
        </w:rPr>
        <w:t xml:space="preserve">younger </w:t>
      </w:r>
      <w:r w:rsidR="003F40FE" w:rsidRPr="00D336AE">
        <w:rPr>
          <w:sz w:val="24"/>
          <w:szCs w:val="24"/>
        </w:rPr>
        <w:t>and</w:t>
      </w:r>
      <w:r w:rsidR="00FB7996" w:rsidRPr="00FB7996">
        <w:rPr>
          <w:sz w:val="24"/>
          <w:szCs w:val="24"/>
        </w:rPr>
        <w:t xml:space="preserve"> </w:t>
      </w:r>
      <w:r w:rsidR="00FB7996" w:rsidRPr="00D336AE">
        <w:rPr>
          <w:sz w:val="24"/>
          <w:szCs w:val="24"/>
        </w:rPr>
        <w:t>older</w:t>
      </w:r>
      <w:r w:rsidR="003F40FE" w:rsidRPr="00D336AE">
        <w:rPr>
          <w:sz w:val="24"/>
          <w:szCs w:val="24"/>
        </w:rPr>
        <w:t xml:space="preserve"> patients (Table 3). </w:t>
      </w:r>
      <w:r w:rsidR="00FB7996">
        <w:rPr>
          <w:sz w:val="24"/>
          <w:szCs w:val="24"/>
        </w:rPr>
        <w:t>T</w:t>
      </w:r>
      <w:r w:rsidR="00FB1F7A" w:rsidRPr="00D336AE">
        <w:rPr>
          <w:sz w:val="24"/>
          <w:szCs w:val="24"/>
        </w:rPr>
        <w:t>he cumulative exposure to RBV for the whole 24-week treatment period (as a percentage of the target d</w:t>
      </w:r>
      <w:r w:rsidR="005D754B" w:rsidRPr="00D336AE">
        <w:rPr>
          <w:sz w:val="24"/>
          <w:szCs w:val="24"/>
        </w:rPr>
        <w:t xml:space="preserve">ose) was significantly </w:t>
      </w:r>
      <w:r w:rsidR="00FB7996">
        <w:rPr>
          <w:sz w:val="24"/>
          <w:szCs w:val="24"/>
        </w:rPr>
        <w:t>high</w:t>
      </w:r>
      <w:r w:rsidR="005D754B" w:rsidRPr="00D336AE">
        <w:rPr>
          <w:sz w:val="24"/>
          <w:szCs w:val="24"/>
        </w:rPr>
        <w:t xml:space="preserve">er </w:t>
      </w:r>
      <w:r w:rsidR="00FB1F7A" w:rsidRPr="00D336AE">
        <w:rPr>
          <w:sz w:val="24"/>
          <w:szCs w:val="24"/>
        </w:rPr>
        <w:t xml:space="preserve">in the </w:t>
      </w:r>
      <w:r w:rsidR="00FB7996" w:rsidRPr="00D336AE">
        <w:rPr>
          <w:sz w:val="24"/>
          <w:szCs w:val="24"/>
        </w:rPr>
        <w:t>younger</w:t>
      </w:r>
      <w:r w:rsidR="00FB7996">
        <w:rPr>
          <w:sz w:val="24"/>
          <w:szCs w:val="24"/>
        </w:rPr>
        <w:t xml:space="preserve"> patients</w:t>
      </w:r>
      <w:r w:rsidR="00FB1F7A" w:rsidRPr="00D336AE">
        <w:rPr>
          <w:sz w:val="24"/>
          <w:szCs w:val="24"/>
        </w:rPr>
        <w:t xml:space="preserve"> than in the </w:t>
      </w:r>
      <w:r w:rsidR="00FB7996" w:rsidRPr="00D336AE">
        <w:rPr>
          <w:sz w:val="24"/>
          <w:szCs w:val="24"/>
        </w:rPr>
        <w:t xml:space="preserve">older </w:t>
      </w:r>
      <w:r w:rsidR="00FB7996">
        <w:rPr>
          <w:sz w:val="24"/>
          <w:szCs w:val="24"/>
        </w:rPr>
        <w:t>patients</w:t>
      </w:r>
      <w:r w:rsidR="00FB1F7A" w:rsidRPr="00D336AE">
        <w:rPr>
          <w:sz w:val="24"/>
          <w:szCs w:val="24"/>
        </w:rPr>
        <w:t xml:space="preserve"> (</w:t>
      </w:r>
      <w:r w:rsidR="00FB7996" w:rsidRPr="00D336AE">
        <w:rPr>
          <w:sz w:val="24"/>
          <w:szCs w:val="24"/>
        </w:rPr>
        <w:t>79.3±26.2%</w:t>
      </w:r>
      <w:r w:rsidR="005D754B" w:rsidRPr="00D336AE">
        <w:rPr>
          <w:sz w:val="24"/>
          <w:szCs w:val="24"/>
        </w:rPr>
        <w:t xml:space="preserve"> vs.</w:t>
      </w:r>
      <w:r w:rsidR="00FB7996" w:rsidRPr="00FB7996">
        <w:rPr>
          <w:sz w:val="24"/>
          <w:szCs w:val="24"/>
        </w:rPr>
        <w:t xml:space="preserve"> </w:t>
      </w:r>
      <w:r w:rsidR="00FB7996" w:rsidRPr="00D336AE">
        <w:rPr>
          <w:sz w:val="24"/>
          <w:szCs w:val="24"/>
        </w:rPr>
        <w:t>62.7±25.3%</w:t>
      </w:r>
      <w:r w:rsidR="005D754B" w:rsidRPr="00D336AE">
        <w:rPr>
          <w:sz w:val="24"/>
          <w:szCs w:val="24"/>
        </w:rPr>
        <w:t xml:space="preserve">, </w:t>
      </w:r>
      <w:r w:rsidR="005D754B" w:rsidRPr="00D336AE">
        <w:rPr>
          <w:i/>
          <w:sz w:val="24"/>
          <w:szCs w:val="24"/>
        </w:rPr>
        <w:t>P</w:t>
      </w:r>
      <w:r w:rsidR="005D754B" w:rsidRPr="00D336AE">
        <w:rPr>
          <w:sz w:val="24"/>
          <w:szCs w:val="24"/>
        </w:rPr>
        <w:t xml:space="preserve"> &lt;0.01</w:t>
      </w:r>
      <w:r w:rsidR="00FB1F7A" w:rsidRPr="00D336AE">
        <w:rPr>
          <w:sz w:val="24"/>
          <w:szCs w:val="24"/>
        </w:rPr>
        <w:t xml:space="preserve">), </w:t>
      </w:r>
      <w:r w:rsidR="00A811F9">
        <w:rPr>
          <w:sz w:val="24"/>
          <w:szCs w:val="24"/>
        </w:rPr>
        <w:t xml:space="preserve">but </w:t>
      </w:r>
      <w:r w:rsidR="00FB1F7A" w:rsidRPr="00D336AE">
        <w:rPr>
          <w:sz w:val="24"/>
          <w:szCs w:val="24"/>
        </w:rPr>
        <w:t>the cumulative exposure to TVR was not significant</w:t>
      </w:r>
      <w:r w:rsidR="003F40FE" w:rsidRPr="00D336AE">
        <w:rPr>
          <w:sz w:val="24"/>
          <w:szCs w:val="24"/>
        </w:rPr>
        <w:t xml:space="preserve">ly different between the </w:t>
      </w:r>
      <w:r w:rsidR="00FB7996" w:rsidRPr="00D336AE">
        <w:rPr>
          <w:sz w:val="24"/>
          <w:szCs w:val="24"/>
        </w:rPr>
        <w:t xml:space="preserve">younger </w:t>
      </w:r>
      <w:r w:rsidR="00FB1F7A" w:rsidRPr="00D336AE">
        <w:rPr>
          <w:sz w:val="24"/>
          <w:szCs w:val="24"/>
        </w:rPr>
        <w:t xml:space="preserve">and </w:t>
      </w:r>
      <w:r w:rsidR="00FB7996" w:rsidRPr="00D336AE">
        <w:rPr>
          <w:sz w:val="24"/>
          <w:szCs w:val="24"/>
        </w:rPr>
        <w:t xml:space="preserve">older </w:t>
      </w:r>
      <w:r w:rsidR="00DE6888" w:rsidRPr="00D336AE">
        <w:rPr>
          <w:sz w:val="24"/>
          <w:szCs w:val="24"/>
        </w:rPr>
        <w:t>patient</w:t>
      </w:r>
      <w:r w:rsidR="00FB1F7A" w:rsidRPr="00D336AE">
        <w:rPr>
          <w:sz w:val="24"/>
          <w:szCs w:val="24"/>
        </w:rPr>
        <w:t>s</w:t>
      </w:r>
      <w:r w:rsidR="003F40FE" w:rsidRPr="00D336AE">
        <w:rPr>
          <w:sz w:val="24"/>
          <w:szCs w:val="24"/>
        </w:rPr>
        <w:t xml:space="preserve"> (</w:t>
      </w:r>
      <w:r w:rsidR="00FB7996" w:rsidRPr="00D336AE">
        <w:rPr>
          <w:sz w:val="24"/>
          <w:szCs w:val="24"/>
        </w:rPr>
        <w:t>88.8±22.8%</w:t>
      </w:r>
      <w:r w:rsidR="003F40FE" w:rsidRPr="00D336AE">
        <w:rPr>
          <w:sz w:val="24"/>
          <w:szCs w:val="24"/>
        </w:rPr>
        <w:t xml:space="preserve"> vs.</w:t>
      </w:r>
      <w:r w:rsidR="00FB7996" w:rsidRPr="00FB7996">
        <w:rPr>
          <w:sz w:val="24"/>
          <w:szCs w:val="24"/>
        </w:rPr>
        <w:t xml:space="preserve"> </w:t>
      </w:r>
      <w:r w:rsidR="00FB7996" w:rsidRPr="00D336AE">
        <w:rPr>
          <w:sz w:val="24"/>
          <w:szCs w:val="24"/>
        </w:rPr>
        <w:t>83.5±25.5%</w:t>
      </w:r>
      <w:r w:rsidR="003F40FE" w:rsidRPr="00D336AE">
        <w:rPr>
          <w:sz w:val="24"/>
          <w:szCs w:val="24"/>
        </w:rPr>
        <w:t xml:space="preserve">, </w:t>
      </w:r>
      <w:r w:rsidR="003F40FE" w:rsidRPr="00D336AE">
        <w:rPr>
          <w:i/>
          <w:sz w:val="24"/>
          <w:szCs w:val="24"/>
        </w:rPr>
        <w:t>P</w:t>
      </w:r>
      <w:r w:rsidR="003F40FE" w:rsidRPr="00D336AE">
        <w:rPr>
          <w:sz w:val="24"/>
          <w:szCs w:val="24"/>
        </w:rPr>
        <w:t xml:space="preserve"> = 0.103)</w:t>
      </w:r>
      <w:r w:rsidR="00143298" w:rsidRPr="00D336AE">
        <w:rPr>
          <w:sz w:val="24"/>
          <w:szCs w:val="24"/>
        </w:rPr>
        <w:t xml:space="preserve">. </w:t>
      </w:r>
      <w:r w:rsidR="00DE6888" w:rsidRPr="00D336AE">
        <w:rPr>
          <w:rFonts w:eastAsiaTheme="minorEastAsia"/>
          <w:sz w:val="24"/>
          <w:szCs w:val="24"/>
          <w:lang w:eastAsia="ja-JP"/>
        </w:rPr>
        <w:t>Conversely</w:t>
      </w:r>
      <w:r w:rsidR="00903EF4" w:rsidRPr="00D336AE">
        <w:rPr>
          <w:rFonts w:eastAsiaTheme="minorEastAsia" w:hint="eastAsia"/>
          <w:sz w:val="24"/>
          <w:szCs w:val="24"/>
          <w:lang w:eastAsia="ja-JP"/>
        </w:rPr>
        <w:t xml:space="preserve">, </w:t>
      </w:r>
      <w:r w:rsidR="00143298" w:rsidRPr="00D336AE">
        <w:rPr>
          <w:rFonts w:eastAsiaTheme="minorEastAsia"/>
          <w:sz w:val="24"/>
          <w:szCs w:val="24"/>
          <w:lang w:eastAsia="ja-JP"/>
        </w:rPr>
        <w:t xml:space="preserve">SMV was not discontinued in </w:t>
      </w:r>
      <w:r w:rsidR="00DE6888" w:rsidRPr="00D336AE">
        <w:rPr>
          <w:rFonts w:eastAsiaTheme="minorEastAsia"/>
          <w:sz w:val="24"/>
          <w:szCs w:val="24"/>
          <w:lang w:eastAsia="ja-JP"/>
        </w:rPr>
        <w:t>either</w:t>
      </w:r>
      <w:r w:rsidR="00143298" w:rsidRPr="00D336AE">
        <w:rPr>
          <w:rFonts w:eastAsiaTheme="minorEastAsia"/>
          <w:sz w:val="24"/>
          <w:szCs w:val="24"/>
          <w:lang w:eastAsia="ja-JP"/>
        </w:rPr>
        <w:t xml:space="preserve"> the </w:t>
      </w:r>
      <w:r w:rsidR="00800F49" w:rsidRPr="00D336AE">
        <w:rPr>
          <w:rFonts w:eastAsiaTheme="minorEastAsia"/>
          <w:sz w:val="24"/>
          <w:szCs w:val="24"/>
          <w:lang w:eastAsia="ja-JP"/>
        </w:rPr>
        <w:t xml:space="preserve">younger </w:t>
      </w:r>
      <w:r w:rsidR="00DE6888" w:rsidRPr="00D336AE">
        <w:rPr>
          <w:rFonts w:eastAsiaTheme="minorEastAsia"/>
          <w:sz w:val="24"/>
          <w:szCs w:val="24"/>
          <w:lang w:eastAsia="ja-JP"/>
        </w:rPr>
        <w:t>or</w:t>
      </w:r>
      <w:r w:rsidR="00800F49" w:rsidRPr="00800F49">
        <w:rPr>
          <w:rFonts w:eastAsiaTheme="minorEastAsia"/>
          <w:sz w:val="24"/>
          <w:szCs w:val="24"/>
          <w:lang w:eastAsia="ja-JP"/>
        </w:rPr>
        <w:t xml:space="preserve"> </w:t>
      </w:r>
      <w:r w:rsidR="00800F49" w:rsidRPr="00D336AE">
        <w:rPr>
          <w:rFonts w:eastAsiaTheme="minorEastAsia"/>
          <w:sz w:val="24"/>
          <w:szCs w:val="24"/>
          <w:lang w:eastAsia="ja-JP"/>
        </w:rPr>
        <w:t>older</w:t>
      </w:r>
      <w:r w:rsidR="00DE6888" w:rsidRPr="00D336AE">
        <w:rPr>
          <w:rFonts w:eastAsiaTheme="minorEastAsia"/>
          <w:sz w:val="24"/>
          <w:szCs w:val="24"/>
          <w:lang w:eastAsia="ja-JP"/>
        </w:rPr>
        <w:t xml:space="preserve"> patients, </w:t>
      </w:r>
      <w:r w:rsidR="00143298" w:rsidRPr="00D336AE">
        <w:rPr>
          <w:rFonts w:eastAsiaTheme="minorEastAsia"/>
          <w:sz w:val="24"/>
          <w:szCs w:val="24"/>
          <w:lang w:eastAsia="ja-JP"/>
        </w:rPr>
        <w:t xml:space="preserve">although the rate of discontinuation of RBV was significantly higher in the older patients than the younger patients in the SMV group (58.9% vs. 29.7%, </w:t>
      </w:r>
      <w:r w:rsidR="00143298" w:rsidRPr="00D336AE">
        <w:rPr>
          <w:rFonts w:eastAsiaTheme="minorEastAsia"/>
          <w:i/>
          <w:sz w:val="24"/>
          <w:szCs w:val="24"/>
          <w:lang w:eastAsia="ja-JP"/>
        </w:rPr>
        <w:t>P</w:t>
      </w:r>
      <w:r w:rsidR="00143298" w:rsidRPr="00D336AE">
        <w:rPr>
          <w:rFonts w:eastAsiaTheme="minorEastAsia"/>
          <w:sz w:val="24"/>
          <w:szCs w:val="24"/>
          <w:lang w:eastAsia="ja-JP"/>
        </w:rPr>
        <w:t xml:space="preserve"> = 0.012) because of anemia.</w:t>
      </w:r>
      <w:r w:rsidR="00C549EA" w:rsidRPr="00D336AE">
        <w:rPr>
          <w:rFonts w:eastAsiaTheme="minorEastAsia"/>
          <w:sz w:val="24"/>
          <w:szCs w:val="24"/>
          <w:lang w:eastAsia="ja-JP"/>
        </w:rPr>
        <w:t xml:space="preserve"> Adverse e</w:t>
      </w:r>
      <w:r w:rsidR="00A26121" w:rsidRPr="00D336AE">
        <w:rPr>
          <w:rFonts w:eastAsiaTheme="minorEastAsia"/>
          <w:sz w:val="24"/>
          <w:szCs w:val="24"/>
          <w:lang w:eastAsia="ja-JP"/>
        </w:rPr>
        <w:t>vents</w:t>
      </w:r>
      <w:r w:rsidR="00C549EA" w:rsidRPr="00D336AE">
        <w:rPr>
          <w:rFonts w:eastAsiaTheme="minorEastAsia"/>
          <w:sz w:val="24"/>
          <w:szCs w:val="24"/>
          <w:lang w:eastAsia="ja-JP"/>
        </w:rPr>
        <w:t xml:space="preserve"> resulted in treatment discontinuation </w:t>
      </w:r>
      <w:r w:rsidR="00DE6888" w:rsidRPr="00D336AE">
        <w:rPr>
          <w:rFonts w:eastAsiaTheme="minorEastAsia"/>
          <w:sz w:val="24"/>
          <w:szCs w:val="24"/>
          <w:lang w:eastAsia="ja-JP"/>
        </w:rPr>
        <w:t>in</w:t>
      </w:r>
      <w:r w:rsidR="00C549EA" w:rsidRPr="00D336AE">
        <w:rPr>
          <w:rFonts w:eastAsiaTheme="minorEastAsia"/>
          <w:sz w:val="24"/>
          <w:szCs w:val="24"/>
          <w:lang w:eastAsia="ja-JP"/>
        </w:rPr>
        <w:t xml:space="preserve"> 8.1% (3/37 cases) </w:t>
      </w:r>
      <w:r w:rsidR="00800F49" w:rsidRPr="00D336AE">
        <w:rPr>
          <w:rFonts w:eastAsiaTheme="minorEastAsia"/>
          <w:sz w:val="24"/>
          <w:szCs w:val="24"/>
          <w:lang w:eastAsia="ja-JP"/>
        </w:rPr>
        <w:t xml:space="preserve">and 7.6% (3/39 cases) </w:t>
      </w:r>
      <w:r w:rsidR="00DE6888" w:rsidRPr="00D336AE">
        <w:rPr>
          <w:rFonts w:eastAsiaTheme="minorEastAsia"/>
          <w:sz w:val="24"/>
          <w:szCs w:val="24"/>
          <w:lang w:eastAsia="ja-JP"/>
        </w:rPr>
        <w:t xml:space="preserve">of patients </w:t>
      </w:r>
      <w:r w:rsidR="00C549EA" w:rsidRPr="00D336AE">
        <w:rPr>
          <w:rFonts w:eastAsiaTheme="minorEastAsia"/>
          <w:sz w:val="24"/>
          <w:szCs w:val="24"/>
          <w:lang w:eastAsia="ja-JP"/>
        </w:rPr>
        <w:t xml:space="preserve">in the </w:t>
      </w:r>
      <w:r w:rsidR="00800F49" w:rsidRPr="00D336AE">
        <w:rPr>
          <w:rFonts w:eastAsiaTheme="minorEastAsia"/>
          <w:sz w:val="24"/>
          <w:szCs w:val="24"/>
          <w:lang w:eastAsia="ja-JP"/>
        </w:rPr>
        <w:t xml:space="preserve">younger </w:t>
      </w:r>
      <w:r w:rsidR="00C549EA" w:rsidRPr="00D336AE">
        <w:rPr>
          <w:rFonts w:eastAsiaTheme="minorEastAsia"/>
          <w:sz w:val="24"/>
          <w:szCs w:val="24"/>
          <w:lang w:eastAsia="ja-JP"/>
        </w:rPr>
        <w:t xml:space="preserve">and </w:t>
      </w:r>
      <w:r w:rsidR="00800F49" w:rsidRPr="00D336AE">
        <w:rPr>
          <w:rFonts w:eastAsiaTheme="minorEastAsia"/>
          <w:sz w:val="24"/>
          <w:szCs w:val="24"/>
          <w:lang w:eastAsia="ja-JP"/>
        </w:rPr>
        <w:t>older</w:t>
      </w:r>
      <w:r w:rsidR="00C549EA" w:rsidRPr="00D336AE">
        <w:rPr>
          <w:rFonts w:eastAsiaTheme="minorEastAsia"/>
          <w:sz w:val="24"/>
          <w:szCs w:val="24"/>
          <w:lang w:eastAsia="ja-JP"/>
        </w:rPr>
        <w:t xml:space="preserve"> groups, respectively.</w:t>
      </w:r>
    </w:p>
    <w:p w:rsidR="000F55D1" w:rsidRPr="00D336AE" w:rsidRDefault="000F55D1" w:rsidP="006611DD">
      <w:pPr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</w:p>
    <w:p w:rsidR="00D40C8B" w:rsidRPr="00D336AE" w:rsidRDefault="00D40C8B" w:rsidP="006611DD">
      <w:pPr>
        <w:pStyle w:val="Heading2"/>
        <w:spacing w:line="360" w:lineRule="auto"/>
        <w:ind w:left="0"/>
        <w:jc w:val="both"/>
        <w:rPr>
          <w:b w:val="0"/>
          <w:bCs w:val="0"/>
          <w:i w:val="0"/>
          <w:sz w:val="24"/>
          <w:szCs w:val="24"/>
        </w:rPr>
      </w:pPr>
      <w:r w:rsidRPr="00D336AE">
        <w:rPr>
          <w:sz w:val="24"/>
          <w:szCs w:val="24"/>
        </w:rPr>
        <w:t>Predictive factors correlated with SVR24</w:t>
      </w:r>
    </w:p>
    <w:p w:rsidR="00D40C8B" w:rsidRPr="00D336AE" w:rsidRDefault="00570D16" w:rsidP="006611DD">
      <w:pPr>
        <w:pStyle w:val="BodyText"/>
        <w:spacing w:before="144" w:line="360" w:lineRule="auto"/>
        <w:ind w:left="0" w:right="106"/>
        <w:jc w:val="both"/>
        <w:rPr>
          <w:sz w:val="24"/>
          <w:szCs w:val="24"/>
        </w:rPr>
      </w:pPr>
      <w:r w:rsidRPr="00D336AE">
        <w:rPr>
          <w:sz w:val="24"/>
          <w:szCs w:val="24"/>
        </w:rPr>
        <w:t xml:space="preserve">To </w:t>
      </w:r>
      <w:r w:rsidR="00BC28CD">
        <w:rPr>
          <w:sz w:val="24"/>
          <w:szCs w:val="24"/>
        </w:rPr>
        <w:t>identify</w:t>
      </w:r>
      <w:r w:rsidRPr="00D336AE">
        <w:rPr>
          <w:sz w:val="24"/>
          <w:szCs w:val="24"/>
        </w:rPr>
        <w:t xml:space="preserve"> pretreatment and treatment factors </w:t>
      </w:r>
      <w:r w:rsidR="00A811F9">
        <w:rPr>
          <w:sz w:val="24"/>
          <w:szCs w:val="24"/>
        </w:rPr>
        <w:t>that contribute to</w:t>
      </w:r>
      <w:r w:rsidRPr="00D336AE">
        <w:rPr>
          <w:sz w:val="24"/>
          <w:szCs w:val="24"/>
        </w:rPr>
        <w:t xml:space="preserve"> SVR, univariate and multivariate analyses were performed in the TVR and SMV groups including the following variables: </w:t>
      </w:r>
      <w:r w:rsidR="000976D7" w:rsidRPr="00D336AE">
        <w:rPr>
          <w:sz w:val="24"/>
          <w:szCs w:val="24"/>
        </w:rPr>
        <w:t xml:space="preserve">gender, </w:t>
      </w:r>
      <w:r w:rsidRPr="00D336AE">
        <w:rPr>
          <w:sz w:val="24"/>
          <w:szCs w:val="24"/>
        </w:rPr>
        <w:t xml:space="preserve">age, body mass index, baseline HCV viral load, serum ALT, hemoglobin, platelet counts, IL28B SNP, initial dose of TVR, TVR/BW (mg/kg/day), SMV/BW (mg/kg/day), dose reduction of treatments, and RVR (Tables 5 and 6). In the TVR group, the IL28B SNP significantly correlated with SVR according to the univariate analysis. A multivariate logistic regression analysis identified the IL28B TT-genotype (OR = 8.160; </w:t>
      </w:r>
      <w:r w:rsidR="00D31DE5">
        <w:rPr>
          <w:sz w:val="24"/>
          <w:szCs w:val="24"/>
        </w:rPr>
        <w:t>95%CI</w:t>
      </w:r>
      <w:r w:rsidRPr="00D336AE">
        <w:rPr>
          <w:sz w:val="24"/>
          <w:szCs w:val="24"/>
        </w:rPr>
        <w:t xml:space="preserve">: 1.593-41.804, </w:t>
      </w:r>
      <w:r w:rsidRPr="00D336AE">
        <w:rPr>
          <w:i/>
          <w:sz w:val="24"/>
          <w:szCs w:val="24"/>
        </w:rPr>
        <w:t>P</w:t>
      </w:r>
      <w:r w:rsidRPr="00D336AE">
        <w:rPr>
          <w:sz w:val="24"/>
          <w:szCs w:val="24"/>
        </w:rPr>
        <w:t xml:space="preserve"> = 0.012) and the adherence of RBV (&gt;60%) (OR = 11.052; </w:t>
      </w:r>
      <w:r w:rsidR="00D31DE5">
        <w:rPr>
          <w:sz w:val="24"/>
          <w:szCs w:val="24"/>
        </w:rPr>
        <w:t>95%CI</w:t>
      </w:r>
      <w:r w:rsidRPr="00D336AE">
        <w:rPr>
          <w:sz w:val="24"/>
          <w:szCs w:val="24"/>
        </w:rPr>
        <w:t xml:space="preserve">: 1.160-105.273, </w:t>
      </w:r>
      <w:r w:rsidRPr="00D336AE">
        <w:rPr>
          <w:i/>
          <w:sz w:val="24"/>
          <w:szCs w:val="24"/>
        </w:rPr>
        <w:t>P</w:t>
      </w:r>
      <w:r w:rsidRPr="00D336AE">
        <w:rPr>
          <w:sz w:val="24"/>
          <w:szCs w:val="24"/>
        </w:rPr>
        <w:t xml:space="preserve"> = 0.037) as independent factors associated with the SVR (Table 5). In the SMV group, the IL28B SNP and the absence of a dose reduction in </w:t>
      </w:r>
      <w:proofErr w:type="spellStart"/>
      <w:r w:rsidRPr="00D336AE">
        <w:rPr>
          <w:sz w:val="24"/>
          <w:szCs w:val="24"/>
        </w:rPr>
        <w:t>PegIFN</w:t>
      </w:r>
      <w:proofErr w:type="spellEnd"/>
      <w:r w:rsidRPr="00D336AE">
        <w:rPr>
          <w:sz w:val="24"/>
          <w:szCs w:val="24"/>
        </w:rPr>
        <w:t xml:space="preserve"> significantly correlated with SVR according to the univariate analysis. In the multivariate logistic regression analysis, the independent factors associated with the SVR were IL28B TT-genotype (OR = 9.677; </w:t>
      </w:r>
      <w:r w:rsidR="00D31DE5">
        <w:rPr>
          <w:sz w:val="24"/>
          <w:szCs w:val="24"/>
        </w:rPr>
        <w:t>95%CI</w:t>
      </w:r>
      <w:r w:rsidRPr="00D336AE">
        <w:rPr>
          <w:sz w:val="24"/>
          <w:szCs w:val="24"/>
        </w:rPr>
        <w:t xml:space="preserve">: 1.114-84.087, P = 0.040) and the absence of a dose reduction in </w:t>
      </w:r>
      <w:proofErr w:type="spellStart"/>
      <w:r w:rsidRPr="00D336AE">
        <w:rPr>
          <w:sz w:val="24"/>
          <w:szCs w:val="24"/>
        </w:rPr>
        <w:lastRenderedPageBreak/>
        <w:t>PegIFN</w:t>
      </w:r>
      <w:proofErr w:type="spellEnd"/>
      <w:r w:rsidRPr="00D336AE">
        <w:rPr>
          <w:sz w:val="24"/>
          <w:szCs w:val="24"/>
        </w:rPr>
        <w:t xml:space="preserve"> (OR = 6.557; </w:t>
      </w:r>
      <w:r w:rsidR="00D31DE5">
        <w:rPr>
          <w:sz w:val="24"/>
          <w:szCs w:val="24"/>
        </w:rPr>
        <w:t>95%CI</w:t>
      </w:r>
      <w:r w:rsidRPr="00D336AE">
        <w:rPr>
          <w:sz w:val="24"/>
          <w:szCs w:val="24"/>
        </w:rPr>
        <w:t xml:space="preserve">: 1.328-32.377, </w:t>
      </w:r>
      <w:r w:rsidRPr="00D336AE">
        <w:rPr>
          <w:i/>
          <w:sz w:val="24"/>
          <w:szCs w:val="24"/>
        </w:rPr>
        <w:t>P</w:t>
      </w:r>
      <w:r w:rsidRPr="00D336AE">
        <w:rPr>
          <w:sz w:val="24"/>
          <w:szCs w:val="24"/>
        </w:rPr>
        <w:t xml:space="preserve"> = 0.021) (Table 6).</w:t>
      </w:r>
    </w:p>
    <w:p w:rsidR="00D40C8B" w:rsidRPr="00D336AE" w:rsidRDefault="00D40C8B" w:rsidP="006611DD">
      <w:pPr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</w:p>
    <w:p w:rsidR="000F55D1" w:rsidRPr="00D336AE" w:rsidRDefault="00E302E1" w:rsidP="006611DD">
      <w:pPr>
        <w:pStyle w:val="Heading1"/>
        <w:spacing w:before="142" w:line="360" w:lineRule="auto"/>
        <w:ind w:left="0"/>
        <w:jc w:val="both"/>
        <w:rPr>
          <w:b w:val="0"/>
          <w:bCs w:val="0"/>
          <w:sz w:val="24"/>
          <w:szCs w:val="24"/>
        </w:rPr>
      </w:pPr>
      <w:r w:rsidRPr="00D336AE">
        <w:rPr>
          <w:sz w:val="24"/>
          <w:szCs w:val="24"/>
        </w:rPr>
        <w:t>DISCUSSION</w:t>
      </w:r>
    </w:p>
    <w:p w:rsidR="000F55D1" w:rsidRPr="00D336AE" w:rsidRDefault="00A169F0" w:rsidP="006611DD">
      <w:pPr>
        <w:pStyle w:val="BodyText"/>
        <w:spacing w:before="144" w:line="360" w:lineRule="auto"/>
        <w:ind w:left="0" w:right="104"/>
        <w:jc w:val="both"/>
        <w:rPr>
          <w:sz w:val="24"/>
          <w:szCs w:val="24"/>
        </w:rPr>
      </w:pPr>
      <w:r w:rsidRPr="00D336AE">
        <w:rPr>
          <w:sz w:val="24"/>
          <w:szCs w:val="24"/>
        </w:rPr>
        <w:t>In th</w:t>
      </w:r>
      <w:r w:rsidR="00A811F9">
        <w:rPr>
          <w:sz w:val="24"/>
          <w:szCs w:val="24"/>
        </w:rPr>
        <w:t xml:space="preserve">is </w:t>
      </w:r>
      <w:r w:rsidRPr="00D336AE">
        <w:rPr>
          <w:sz w:val="24"/>
          <w:szCs w:val="24"/>
        </w:rPr>
        <w:t xml:space="preserve">study, we evaluated and compared the efficacy and safety of TVR- and SMV-based triple therapies in combination with </w:t>
      </w:r>
      <w:proofErr w:type="spellStart"/>
      <w:r w:rsidRPr="00D336AE">
        <w:rPr>
          <w:sz w:val="24"/>
          <w:szCs w:val="24"/>
        </w:rPr>
        <w:t>PegIFN</w:t>
      </w:r>
      <w:proofErr w:type="spellEnd"/>
      <w:r w:rsidRPr="00D336AE">
        <w:rPr>
          <w:sz w:val="24"/>
          <w:szCs w:val="24"/>
        </w:rPr>
        <w:t xml:space="preserve"> </w:t>
      </w:r>
      <w:r w:rsidR="00CC2FAE" w:rsidRPr="00D336AE">
        <w:rPr>
          <w:sz w:val="24"/>
          <w:szCs w:val="24"/>
        </w:rPr>
        <w:t>and</w:t>
      </w:r>
      <w:r w:rsidRPr="00D336AE">
        <w:rPr>
          <w:sz w:val="24"/>
          <w:szCs w:val="24"/>
        </w:rPr>
        <w:t xml:space="preserve"> RBV in </w:t>
      </w:r>
      <w:r w:rsidR="00A811F9">
        <w:rPr>
          <w:sz w:val="24"/>
          <w:szCs w:val="24"/>
        </w:rPr>
        <w:t>elderly</w:t>
      </w:r>
      <w:r w:rsidRPr="00D336AE">
        <w:rPr>
          <w:sz w:val="24"/>
          <w:szCs w:val="24"/>
        </w:rPr>
        <w:t xml:space="preserve"> Japanese patients with </w:t>
      </w:r>
      <w:r w:rsidR="00AD5087" w:rsidRPr="00AD5087">
        <w:rPr>
          <w:bCs/>
          <w:sz w:val="24"/>
          <w:szCs w:val="24"/>
        </w:rPr>
        <w:t>chronic hepatitis C</w:t>
      </w:r>
      <w:r w:rsidR="00AD5087" w:rsidRPr="00D336AE">
        <w:rPr>
          <w:sz w:val="24"/>
          <w:szCs w:val="24"/>
        </w:rPr>
        <w:t xml:space="preserve"> </w:t>
      </w:r>
      <w:r w:rsidR="00AD5087">
        <w:rPr>
          <w:rFonts w:eastAsia="宋体" w:hint="eastAsia"/>
          <w:sz w:val="24"/>
          <w:szCs w:val="24"/>
          <w:lang w:eastAsia="zh-CN"/>
        </w:rPr>
        <w:t>(</w:t>
      </w:r>
      <w:r w:rsidRPr="00D336AE">
        <w:rPr>
          <w:sz w:val="24"/>
          <w:szCs w:val="24"/>
        </w:rPr>
        <w:t>CHC</w:t>
      </w:r>
      <w:r w:rsidR="00AD5087">
        <w:rPr>
          <w:rFonts w:eastAsia="宋体" w:hint="eastAsia"/>
          <w:sz w:val="24"/>
          <w:szCs w:val="24"/>
          <w:lang w:eastAsia="zh-CN"/>
        </w:rPr>
        <w:t>)</w:t>
      </w:r>
      <w:r w:rsidRPr="00D336AE">
        <w:rPr>
          <w:sz w:val="24"/>
          <w:szCs w:val="24"/>
        </w:rPr>
        <w:t xml:space="preserve">, specifically </w:t>
      </w:r>
      <w:r w:rsidR="00CC2FAE" w:rsidRPr="00D336AE">
        <w:rPr>
          <w:sz w:val="24"/>
          <w:szCs w:val="24"/>
        </w:rPr>
        <w:t xml:space="preserve">patients </w:t>
      </w:r>
      <w:r w:rsidRPr="00D336AE">
        <w:rPr>
          <w:sz w:val="24"/>
          <w:szCs w:val="24"/>
        </w:rPr>
        <w:t xml:space="preserve">aged 66 years </w:t>
      </w:r>
      <w:r w:rsidR="00CC2FAE" w:rsidRPr="00D336AE">
        <w:rPr>
          <w:sz w:val="24"/>
          <w:szCs w:val="24"/>
        </w:rPr>
        <w:t>or older</w:t>
      </w:r>
      <w:r w:rsidRPr="00D336AE">
        <w:rPr>
          <w:sz w:val="24"/>
          <w:szCs w:val="24"/>
        </w:rPr>
        <w:t xml:space="preserve">. </w:t>
      </w:r>
      <w:r w:rsidR="00A26121" w:rsidRPr="00D336AE">
        <w:rPr>
          <w:sz w:val="24"/>
          <w:szCs w:val="24"/>
        </w:rPr>
        <w:t xml:space="preserve">The rate of SVR did not differ </w:t>
      </w:r>
      <w:r w:rsidR="00F46C35" w:rsidRPr="00D336AE">
        <w:rPr>
          <w:sz w:val="24"/>
          <w:szCs w:val="24"/>
        </w:rPr>
        <w:t xml:space="preserve">significantly between </w:t>
      </w:r>
      <w:r w:rsidR="00800F49" w:rsidRPr="00D336AE">
        <w:rPr>
          <w:sz w:val="24"/>
          <w:szCs w:val="24"/>
        </w:rPr>
        <w:t xml:space="preserve">younger </w:t>
      </w:r>
      <w:r w:rsidR="00A26121" w:rsidRPr="00D336AE">
        <w:rPr>
          <w:sz w:val="24"/>
          <w:szCs w:val="24"/>
        </w:rPr>
        <w:t>and</w:t>
      </w:r>
      <w:r w:rsidR="00800F49" w:rsidRPr="00800F49">
        <w:rPr>
          <w:sz w:val="24"/>
          <w:szCs w:val="24"/>
        </w:rPr>
        <w:t xml:space="preserve"> </w:t>
      </w:r>
      <w:r w:rsidR="00800F49" w:rsidRPr="00D336AE">
        <w:rPr>
          <w:sz w:val="24"/>
          <w:szCs w:val="24"/>
        </w:rPr>
        <w:t>older</w:t>
      </w:r>
      <w:r w:rsidR="00A26121" w:rsidRPr="00D336AE">
        <w:rPr>
          <w:sz w:val="24"/>
          <w:szCs w:val="24"/>
        </w:rPr>
        <w:t xml:space="preserve"> patients in </w:t>
      </w:r>
      <w:r w:rsidR="00F46C35" w:rsidRPr="00D336AE">
        <w:rPr>
          <w:sz w:val="24"/>
          <w:szCs w:val="24"/>
        </w:rPr>
        <w:t>either</w:t>
      </w:r>
      <w:r w:rsidR="00A26121" w:rsidRPr="00D336AE">
        <w:rPr>
          <w:sz w:val="24"/>
          <w:szCs w:val="24"/>
        </w:rPr>
        <w:t xml:space="preserve"> the TVR </w:t>
      </w:r>
      <w:r w:rsidR="00F46C35" w:rsidRPr="00D336AE">
        <w:rPr>
          <w:sz w:val="24"/>
          <w:szCs w:val="24"/>
        </w:rPr>
        <w:t xml:space="preserve">or the </w:t>
      </w:r>
      <w:r w:rsidR="00A26121" w:rsidRPr="00D336AE">
        <w:rPr>
          <w:sz w:val="24"/>
          <w:szCs w:val="24"/>
        </w:rPr>
        <w:t>SMV group</w:t>
      </w:r>
      <w:r w:rsidR="00CC2FAE" w:rsidRPr="00D336AE">
        <w:rPr>
          <w:sz w:val="24"/>
          <w:szCs w:val="24"/>
        </w:rPr>
        <w:t>s</w:t>
      </w:r>
      <w:r w:rsidR="00A26121" w:rsidRPr="00D336AE">
        <w:rPr>
          <w:sz w:val="24"/>
          <w:szCs w:val="24"/>
        </w:rPr>
        <w:t xml:space="preserve">. </w:t>
      </w:r>
      <w:r w:rsidR="00CC2FAE" w:rsidRPr="00D336AE">
        <w:rPr>
          <w:sz w:val="24"/>
          <w:szCs w:val="24"/>
        </w:rPr>
        <w:t xml:space="preserve">Among the older patients who </w:t>
      </w:r>
      <w:r w:rsidR="00F46C35" w:rsidRPr="00D336AE">
        <w:rPr>
          <w:sz w:val="24"/>
          <w:szCs w:val="24"/>
        </w:rPr>
        <w:t>were</w:t>
      </w:r>
      <w:r w:rsidR="00CC2FAE" w:rsidRPr="00D336AE">
        <w:rPr>
          <w:sz w:val="24"/>
          <w:szCs w:val="24"/>
        </w:rPr>
        <w:t xml:space="preserve"> </w:t>
      </w:r>
      <w:r w:rsidR="00AB0957" w:rsidRPr="00D336AE">
        <w:rPr>
          <w:sz w:val="24"/>
          <w:szCs w:val="24"/>
        </w:rPr>
        <w:t xml:space="preserve">more </w:t>
      </w:r>
      <w:r w:rsidR="005128B1" w:rsidRPr="00D336AE">
        <w:rPr>
          <w:sz w:val="24"/>
          <w:szCs w:val="24"/>
        </w:rPr>
        <w:t>difficult</w:t>
      </w:r>
      <w:r w:rsidR="00F46C35" w:rsidRPr="00D336AE">
        <w:rPr>
          <w:sz w:val="24"/>
          <w:szCs w:val="24"/>
        </w:rPr>
        <w:t xml:space="preserve"> to </w:t>
      </w:r>
      <w:r w:rsidR="005128B1" w:rsidRPr="00D336AE">
        <w:rPr>
          <w:sz w:val="24"/>
          <w:szCs w:val="24"/>
        </w:rPr>
        <w:t xml:space="preserve">treat, </w:t>
      </w:r>
      <w:r w:rsidR="00CC2FAE" w:rsidRPr="00D336AE">
        <w:rPr>
          <w:sz w:val="24"/>
          <w:szCs w:val="24"/>
        </w:rPr>
        <w:t xml:space="preserve">more patients </w:t>
      </w:r>
      <w:r w:rsidR="00AB0957" w:rsidRPr="00D336AE">
        <w:rPr>
          <w:sz w:val="24"/>
          <w:szCs w:val="24"/>
        </w:rPr>
        <w:t xml:space="preserve">carrying </w:t>
      </w:r>
      <w:r w:rsidR="00CC2FAE" w:rsidRPr="00D336AE">
        <w:rPr>
          <w:sz w:val="24"/>
          <w:szCs w:val="24"/>
        </w:rPr>
        <w:t xml:space="preserve">the </w:t>
      </w:r>
      <w:r w:rsidR="00AB0957" w:rsidRPr="00D336AE">
        <w:rPr>
          <w:sz w:val="24"/>
          <w:szCs w:val="24"/>
        </w:rPr>
        <w:t xml:space="preserve">IL28B </w:t>
      </w:r>
      <w:r w:rsidR="00E464E4" w:rsidRPr="00D336AE">
        <w:rPr>
          <w:sz w:val="24"/>
          <w:szCs w:val="24"/>
        </w:rPr>
        <w:t>TG/GG</w:t>
      </w:r>
      <w:r w:rsidR="00F46C35" w:rsidRPr="00D336AE">
        <w:rPr>
          <w:sz w:val="24"/>
          <w:szCs w:val="24"/>
        </w:rPr>
        <w:t xml:space="preserve"> </w:t>
      </w:r>
      <w:r w:rsidR="00F23D0D" w:rsidRPr="00D336AE">
        <w:rPr>
          <w:sz w:val="24"/>
          <w:szCs w:val="24"/>
        </w:rPr>
        <w:t>genotypes</w:t>
      </w:r>
      <w:r w:rsidR="00AB0957" w:rsidRPr="00D336AE">
        <w:rPr>
          <w:sz w:val="24"/>
          <w:szCs w:val="24"/>
        </w:rPr>
        <w:t xml:space="preserve"> and prior non-responders</w:t>
      </w:r>
      <w:r w:rsidR="00CC2FAE" w:rsidRPr="00D336AE">
        <w:rPr>
          <w:sz w:val="24"/>
          <w:szCs w:val="24"/>
        </w:rPr>
        <w:t xml:space="preserve"> </w:t>
      </w:r>
      <w:r w:rsidR="00AB0957" w:rsidRPr="00D336AE">
        <w:rPr>
          <w:sz w:val="24"/>
          <w:szCs w:val="24"/>
        </w:rPr>
        <w:t xml:space="preserve">were enrolled in the SMV group than the TVR group. However, the rate of </w:t>
      </w:r>
      <w:r w:rsidR="00A26121" w:rsidRPr="00D336AE">
        <w:rPr>
          <w:sz w:val="24"/>
          <w:szCs w:val="24"/>
        </w:rPr>
        <w:t xml:space="preserve">SVR did not differ </w:t>
      </w:r>
      <w:r w:rsidR="00F46C35" w:rsidRPr="00D336AE">
        <w:rPr>
          <w:sz w:val="24"/>
          <w:szCs w:val="24"/>
        </w:rPr>
        <w:t xml:space="preserve">significantly </w:t>
      </w:r>
      <w:r w:rsidR="00A26121" w:rsidRPr="00D336AE">
        <w:rPr>
          <w:sz w:val="24"/>
          <w:szCs w:val="24"/>
        </w:rPr>
        <w:t>between the TVR and SMV group</w:t>
      </w:r>
      <w:r w:rsidR="00CC2FAE" w:rsidRPr="00D336AE">
        <w:rPr>
          <w:sz w:val="24"/>
          <w:szCs w:val="24"/>
        </w:rPr>
        <w:t>,</w:t>
      </w:r>
      <w:r w:rsidR="00A26121" w:rsidRPr="00D336AE">
        <w:rPr>
          <w:sz w:val="24"/>
          <w:szCs w:val="24"/>
        </w:rPr>
        <w:t xml:space="preserve"> although </w:t>
      </w:r>
      <w:r w:rsidR="00C5405A" w:rsidRPr="00D336AE">
        <w:rPr>
          <w:sz w:val="24"/>
          <w:szCs w:val="24"/>
        </w:rPr>
        <w:t>the rate</w:t>
      </w:r>
      <w:r w:rsidR="00F46C35" w:rsidRPr="00D336AE">
        <w:rPr>
          <w:sz w:val="24"/>
          <w:szCs w:val="24"/>
        </w:rPr>
        <w:t>s</w:t>
      </w:r>
      <w:r w:rsidR="00C5405A" w:rsidRPr="00D336AE">
        <w:rPr>
          <w:sz w:val="24"/>
          <w:szCs w:val="24"/>
        </w:rPr>
        <w:t xml:space="preserve"> of </w:t>
      </w:r>
      <w:r w:rsidR="00A26121" w:rsidRPr="00D336AE">
        <w:rPr>
          <w:sz w:val="24"/>
          <w:szCs w:val="24"/>
        </w:rPr>
        <w:t xml:space="preserve">RVR </w:t>
      </w:r>
      <w:r w:rsidR="00EC171A" w:rsidRPr="00D336AE">
        <w:rPr>
          <w:sz w:val="24"/>
          <w:szCs w:val="24"/>
        </w:rPr>
        <w:t xml:space="preserve">and relapse </w:t>
      </w:r>
      <w:r w:rsidR="00A26121" w:rsidRPr="00D336AE">
        <w:rPr>
          <w:sz w:val="24"/>
          <w:szCs w:val="24"/>
        </w:rPr>
        <w:t>w</w:t>
      </w:r>
      <w:r w:rsidR="00F46C35" w:rsidRPr="00D336AE">
        <w:rPr>
          <w:sz w:val="24"/>
          <w:szCs w:val="24"/>
        </w:rPr>
        <w:t>ere</w:t>
      </w:r>
      <w:r w:rsidR="00A26121" w:rsidRPr="00D336AE">
        <w:rPr>
          <w:sz w:val="24"/>
          <w:szCs w:val="24"/>
        </w:rPr>
        <w:t xml:space="preserve"> significantly higher in the SMV group than the TVR group. </w:t>
      </w:r>
      <w:r w:rsidR="00816989" w:rsidRPr="00D336AE">
        <w:rPr>
          <w:sz w:val="24"/>
          <w:szCs w:val="24"/>
        </w:rPr>
        <w:t xml:space="preserve">When </w:t>
      </w:r>
      <w:r w:rsidR="00F46C35" w:rsidRPr="00D336AE">
        <w:rPr>
          <w:sz w:val="24"/>
          <w:szCs w:val="24"/>
        </w:rPr>
        <w:t xml:space="preserve">we performed univariate </w:t>
      </w:r>
      <w:r w:rsidR="00800F49" w:rsidRPr="00D336AE">
        <w:rPr>
          <w:sz w:val="24"/>
          <w:szCs w:val="24"/>
        </w:rPr>
        <w:t>analyses</w:t>
      </w:r>
      <w:r w:rsidR="00816989" w:rsidRPr="00D336AE">
        <w:rPr>
          <w:sz w:val="24"/>
          <w:szCs w:val="24"/>
        </w:rPr>
        <w:t xml:space="preserve"> </w:t>
      </w:r>
      <w:r w:rsidR="00552499" w:rsidRPr="00D336AE">
        <w:rPr>
          <w:sz w:val="24"/>
          <w:szCs w:val="24"/>
        </w:rPr>
        <w:t>of factors associated with SVR i</w:t>
      </w:r>
      <w:r w:rsidR="00816989" w:rsidRPr="00D336AE">
        <w:rPr>
          <w:sz w:val="24"/>
          <w:szCs w:val="24"/>
        </w:rPr>
        <w:t xml:space="preserve">n all the enrolled patients, </w:t>
      </w:r>
      <w:r w:rsidR="00552499" w:rsidRPr="00D336AE">
        <w:rPr>
          <w:sz w:val="24"/>
          <w:szCs w:val="24"/>
        </w:rPr>
        <w:t xml:space="preserve">we did not find any significance </w:t>
      </w:r>
      <w:r w:rsidR="00F46C35" w:rsidRPr="00D336AE">
        <w:rPr>
          <w:sz w:val="24"/>
          <w:szCs w:val="24"/>
        </w:rPr>
        <w:t>in</w:t>
      </w:r>
      <w:r w:rsidR="00552499" w:rsidRPr="00D336AE">
        <w:rPr>
          <w:sz w:val="24"/>
          <w:szCs w:val="24"/>
        </w:rPr>
        <w:t xml:space="preserve"> the type of treatment (TVR vs. SMV) (</w:t>
      </w:r>
      <w:r w:rsidR="00F46C35" w:rsidRPr="00D336AE">
        <w:rPr>
          <w:sz w:val="24"/>
          <w:szCs w:val="24"/>
        </w:rPr>
        <w:t>o</w:t>
      </w:r>
      <w:r w:rsidR="00552499" w:rsidRPr="00D336AE">
        <w:rPr>
          <w:sz w:val="24"/>
          <w:szCs w:val="24"/>
        </w:rPr>
        <w:t>dds ratio</w:t>
      </w:r>
      <w:r w:rsidR="00F46C35" w:rsidRPr="00D336AE">
        <w:rPr>
          <w:sz w:val="24"/>
          <w:szCs w:val="24"/>
        </w:rPr>
        <w:t>:</w:t>
      </w:r>
      <w:r w:rsidR="00552499" w:rsidRPr="00D336AE">
        <w:rPr>
          <w:sz w:val="24"/>
          <w:szCs w:val="24"/>
        </w:rPr>
        <w:t xml:space="preserve"> 1.115, </w:t>
      </w:r>
      <w:r w:rsidR="00D31DE5">
        <w:rPr>
          <w:sz w:val="24"/>
          <w:szCs w:val="24"/>
        </w:rPr>
        <w:t>95%CI</w:t>
      </w:r>
      <w:r w:rsidR="00552499" w:rsidRPr="00D336AE">
        <w:rPr>
          <w:sz w:val="24"/>
          <w:szCs w:val="24"/>
        </w:rPr>
        <w:t xml:space="preserve">: 0.415-3.192, </w:t>
      </w:r>
      <w:r w:rsidR="00552499" w:rsidRPr="00D336AE">
        <w:rPr>
          <w:i/>
          <w:sz w:val="24"/>
          <w:szCs w:val="24"/>
        </w:rPr>
        <w:t>P</w:t>
      </w:r>
      <w:r w:rsidR="00552499" w:rsidRPr="00D336AE">
        <w:rPr>
          <w:sz w:val="24"/>
          <w:szCs w:val="24"/>
        </w:rPr>
        <w:t xml:space="preserve"> = 0.787). </w:t>
      </w:r>
      <w:r w:rsidR="002C19B1" w:rsidRPr="00D336AE">
        <w:rPr>
          <w:sz w:val="24"/>
          <w:szCs w:val="24"/>
        </w:rPr>
        <w:t xml:space="preserve">Ogawa </w:t>
      </w:r>
      <w:r w:rsidR="002C19B1" w:rsidRPr="00D336AE">
        <w:rPr>
          <w:i/>
          <w:sz w:val="24"/>
          <w:szCs w:val="24"/>
        </w:rPr>
        <w:t>et al.</w:t>
      </w:r>
      <w:r w:rsidR="002C19B1" w:rsidRPr="00D336AE">
        <w:rPr>
          <w:sz w:val="24"/>
          <w:szCs w:val="24"/>
        </w:rPr>
        <w:t xml:space="preserve"> reported that the rates of SVR were similar for </w:t>
      </w:r>
      <w:r w:rsidR="00E938A0" w:rsidRPr="00D336AE">
        <w:rPr>
          <w:sz w:val="24"/>
          <w:szCs w:val="24"/>
        </w:rPr>
        <w:t xml:space="preserve">patients with </w:t>
      </w:r>
      <w:r w:rsidR="002C19B1" w:rsidRPr="00D336AE">
        <w:rPr>
          <w:sz w:val="24"/>
          <w:szCs w:val="24"/>
        </w:rPr>
        <w:t xml:space="preserve">HCV genotype 1b </w:t>
      </w:r>
      <w:r w:rsidR="00E938A0" w:rsidRPr="00D336AE">
        <w:rPr>
          <w:sz w:val="24"/>
          <w:szCs w:val="24"/>
        </w:rPr>
        <w:t xml:space="preserve">who were </w:t>
      </w:r>
      <w:r w:rsidR="002C19B1" w:rsidRPr="00D336AE">
        <w:rPr>
          <w:sz w:val="24"/>
          <w:szCs w:val="24"/>
        </w:rPr>
        <w:t>treated with TVR- and SMV-based triple therapies, although patients treated with TVR-based triple therapy had more frequent severe adverse events than those treated with SMV-based triple therapy</w:t>
      </w:r>
      <w:r w:rsidR="002C19B1" w:rsidRPr="00D336AE">
        <w:rPr>
          <w:position w:val="6"/>
          <w:sz w:val="16"/>
          <w:szCs w:val="16"/>
        </w:rPr>
        <w:t>[</w:t>
      </w:r>
      <w:r w:rsidR="00A777CA" w:rsidRPr="00D336AE">
        <w:rPr>
          <w:position w:val="6"/>
          <w:sz w:val="16"/>
          <w:szCs w:val="16"/>
        </w:rPr>
        <w:t>21</w:t>
      </w:r>
      <w:r w:rsidR="002C19B1" w:rsidRPr="00D336AE">
        <w:rPr>
          <w:position w:val="6"/>
          <w:sz w:val="16"/>
          <w:szCs w:val="16"/>
        </w:rPr>
        <w:t>]</w:t>
      </w:r>
      <w:r w:rsidR="002C19B1" w:rsidRPr="00D336AE">
        <w:rPr>
          <w:sz w:val="24"/>
          <w:szCs w:val="24"/>
        </w:rPr>
        <w:t xml:space="preserve">. </w:t>
      </w:r>
      <w:r w:rsidR="00B80F7E" w:rsidRPr="00D336AE">
        <w:rPr>
          <w:sz w:val="24"/>
          <w:szCs w:val="24"/>
        </w:rPr>
        <w:t>I</w:t>
      </w:r>
      <w:r w:rsidR="002C19B1" w:rsidRPr="00D336AE">
        <w:rPr>
          <w:sz w:val="24"/>
          <w:szCs w:val="24"/>
        </w:rPr>
        <w:t>n this study, t</w:t>
      </w:r>
      <w:r w:rsidR="00977E2E" w:rsidRPr="00D336AE">
        <w:rPr>
          <w:sz w:val="24"/>
          <w:szCs w:val="24"/>
        </w:rPr>
        <w:t xml:space="preserve">he rate of adverse events </w:t>
      </w:r>
      <w:r w:rsidR="00992F6A" w:rsidRPr="00D336AE">
        <w:rPr>
          <w:sz w:val="24"/>
          <w:szCs w:val="24"/>
        </w:rPr>
        <w:t xml:space="preserve">that </w:t>
      </w:r>
      <w:r w:rsidR="00977E2E" w:rsidRPr="00D336AE">
        <w:rPr>
          <w:sz w:val="24"/>
          <w:szCs w:val="24"/>
        </w:rPr>
        <w:t xml:space="preserve">resulted in treatment discontinuation did not differ between the </w:t>
      </w:r>
      <w:r w:rsidR="00800F49" w:rsidRPr="00D336AE">
        <w:rPr>
          <w:sz w:val="24"/>
          <w:szCs w:val="24"/>
        </w:rPr>
        <w:t xml:space="preserve">younger </w:t>
      </w:r>
      <w:r w:rsidR="00977E2E" w:rsidRPr="00D336AE">
        <w:rPr>
          <w:sz w:val="24"/>
          <w:szCs w:val="24"/>
        </w:rPr>
        <w:t>and</w:t>
      </w:r>
      <w:r w:rsidR="00800F49" w:rsidRPr="00800F49">
        <w:rPr>
          <w:sz w:val="24"/>
          <w:szCs w:val="24"/>
        </w:rPr>
        <w:t xml:space="preserve"> </w:t>
      </w:r>
      <w:r w:rsidR="00800F49" w:rsidRPr="00D336AE">
        <w:rPr>
          <w:sz w:val="24"/>
          <w:szCs w:val="24"/>
        </w:rPr>
        <w:t>older</w:t>
      </w:r>
      <w:r w:rsidR="00977E2E" w:rsidRPr="00D336AE">
        <w:rPr>
          <w:sz w:val="24"/>
          <w:szCs w:val="24"/>
        </w:rPr>
        <w:t xml:space="preserve"> patients</w:t>
      </w:r>
      <w:r w:rsidR="004134CE" w:rsidRPr="00D336AE">
        <w:rPr>
          <w:sz w:val="24"/>
          <w:szCs w:val="24"/>
        </w:rPr>
        <w:t xml:space="preserve"> in </w:t>
      </w:r>
      <w:r w:rsidR="00992F6A" w:rsidRPr="00D336AE">
        <w:rPr>
          <w:sz w:val="24"/>
          <w:szCs w:val="24"/>
        </w:rPr>
        <w:t>either the</w:t>
      </w:r>
      <w:r w:rsidR="004134CE" w:rsidRPr="00D336AE">
        <w:rPr>
          <w:sz w:val="24"/>
          <w:szCs w:val="24"/>
        </w:rPr>
        <w:t xml:space="preserve"> TVR </w:t>
      </w:r>
      <w:r w:rsidR="00992F6A" w:rsidRPr="00D336AE">
        <w:rPr>
          <w:sz w:val="24"/>
          <w:szCs w:val="24"/>
        </w:rPr>
        <w:t>or the</w:t>
      </w:r>
      <w:r w:rsidR="004134CE" w:rsidRPr="00D336AE">
        <w:rPr>
          <w:sz w:val="24"/>
          <w:szCs w:val="24"/>
        </w:rPr>
        <w:t xml:space="preserve"> SMV group</w:t>
      </w:r>
      <w:r w:rsidR="009D7676" w:rsidRPr="00D336AE">
        <w:rPr>
          <w:sz w:val="24"/>
          <w:szCs w:val="24"/>
        </w:rPr>
        <w:t>,</w:t>
      </w:r>
      <w:r w:rsidR="004134CE" w:rsidRPr="00D336AE">
        <w:rPr>
          <w:sz w:val="24"/>
          <w:szCs w:val="24"/>
        </w:rPr>
        <w:t xml:space="preserve"> although </w:t>
      </w:r>
      <w:r w:rsidR="009D7676" w:rsidRPr="00D336AE">
        <w:rPr>
          <w:sz w:val="24"/>
          <w:szCs w:val="24"/>
        </w:rPr>
        <w:t xml:space="preserve">a </w:t>
      </w:r>
      <w:r w:rsidR="004134CE" w:rsidRPr="00D336AE">
        <w:rPr>
          <w:sz w:val="24"/>
          <w:szCs w:val="24"/>
        </w:rPr>
        <w:t>higher frequency and severity of adverse events h</w:t>
      </w:r>
      <w:r w:rsidR="00E938A0" w:rsidRPr="00D336AE">
        <w:rPr>
          <w:sz w:val="24"/>
          <w:szCs w:val="24"/>
        </w:rPr>
        <w:t>ave</w:t>
      </w:r>
      <w:r w:rsidR="004134CE" w:rsidRPr="00D336AE">
        <w:rPr>
          <w:sz w:val="24"/>
          <w:szCs w:val="24"/>
        </w:rPr>
        <w:t xml:space="preserve"> been reported in patients treated with TVR-based triple therapy </w:t>
      </w:r>
      <w:r w:rsidR="009D7676" w:rsidRPr="00D336AE">
        <w:rPr>
          <w:sz w:val="24"/>
          <w:szCs w:val="24"/>
        </w:rPr>
        <w:t xml:space="preserve">compared to </w:t>
      </w:r>
      <w:r w:rsidR="004134CE" w:rsidRPr="00D336AE">
        <w:rPr>
          <w:sz w:val="24"/>
          <w:szCs w:val="24"/>
        </w:rPr>
        <w:t xml:space="preserve">patients treated with </w:t>
      </w:r>
      <w:proofErr w:type="spellStart"/>
      <w:r w:rsidR="004134CE" w:rsidRPr="00D336AE">
        <w:rPr>
          <w:sz w:val="24"/>
          <w:szCs w:val="24"/>
        </w:rPr>
        <w:t>PegIFN</w:t>
      </w:r>
      <w:proofErr w:type="spellEnd"/>
      <w:r w:rsidR="004134CE" w:rsidRPr="00D336AE">
        <w:rPr>
          <w:sz w:val="24"/>
          <w:szCs w:val="24"/>
        </w:rPr>
        <w:t xml:space="preserve"> and RBV dual therapy</w:t>
      </w:r>
      <w:r w:rsidR="00DD47F0" w:rsidRPr="00D336AE">
        <w:rPr>
          <w:position w:val="6"/>
          <w:sz w:val="16"/>
          <w:szCs w:val="16"/>
        </w:rPr>
        <w:t>[</w:t>
      </w:r>
      <w:r w:rsidR="00AE5BA6" w:rsidRPr="00D336AE">
        <w:rPr>
          <w:position w:val="6"/>
          <w:sz w:val="16"/>
          <w:szCs w:val="16"/>
        </w:rPr>
        <w:t>10,11</w:t>
      </w:r>
      <w:r w:rsidR="00DD47F0" w:rsidRPr="00D336AE">
        <w:rPr>
          <w:position w:val="6"/>
          <w:sz w:val="16"/>
          <w:szCs w:val="16"/>
        </w:rPr>
        <w:t>]</w:t>
      </w:r>
      <w:r w:rsidR="004134CE" w:rsidRPr="00D336AE">
        <w:rPr>
          <w:sz w:val="24"/>
          <w:szCs w:val="24"/>
        </w:rPr>
        <w:t>.</w:t>
      </w:r>
      <w:r w:rsidR="00E938A0" w:rsidRPr="00D336AE">
        <w:rPr>
          <w:sz w:val="24"/>
          <w:szCs w:val="24"/>
        </w:rPr>
        <w:t xml:space="preserve"> </w:t>
      </w:r>
      <w:r w:rsidR="004134CE" w:rsidRPr="00D336AE">
        <w:rPr>
          <w:sz w:val="24"/>
          <w:szCs w:val="24"/>
        </w:rPr>
        <w:t>We found that both TVR- and SMV-based triple therapy w</w:t>
      </w:r>
      <w:r w:rsidR="009D7676" w:rsidRPr="00D336AE">
        <w:rPr>
          <w:sz w:val="24"/>
          <w:szCs w:val="24"/>
        </w:rPr>
        <w:t>ere</w:t>
      </w:r>
      <w:r w:rsidR="004134CE" w:rsidRPr="00D336AE">
        <w:rPr>
          <w:sz w:val="24"/>
          <w:szCs w:val="24"/>
        </w:rPr>
        <w:t xml:space="preserve"> effective and tolerable </w:t>
      </w:r>
      <w:r w:rsidR="00E938A0" w:rsidRPr="00D336AE">
        <w:rPr>
          <w:sz w:val="24"/>
          <w:szCs w:val="24"/>
        </w:rPr>
        <w:t>among</w:t>
      </w:r>
      <w:r w:rsidR="004134CE" w:rsidRPr="00D336AE">
        <w:rPr>
          <w:sz w:val="24"/>
          <w:szCs w:val="24"/>
        </w:rPr>
        <w:t xml:space="preserve"> </w:t>
      </w:r>
      <w:r w:rsidR="004134CE" w:rsidRPr="00D336AE">
        <w:rPr>
          <w:rFonts w:eastAsiaTheme="minorEastAsia"/>
          <w:sz w:val="24"/>
          <w:szCs w:val="24"/>
          <w:lang w:eastAsia="ja-JP"/>
        </w:rPr>
        <w:t xml:space="preserve">older patients aged 66 years </w:t>
      </w:r>
      <w:r w:rsidR="009D7676" w:rsidRPr="00D336AE">
        <w:rPr>
          <w:rFonts w:eastAsiaTheme="minorEastAsia"/>
          <w:sz w:val="24"/>
          <w:szCs w:val="24"/>
          <w:lang w:eastAsia="ja-JP"/>
        </w:rPr>
        <w:t>or older</w:t>
      </w:r>
      <w:r w:rsidR="004134CE" w:rsidRPr="00D336AE">
        <w:rPr>
          <w:rFonts w:eastAsiaTheme="minorEastAsia"/>
          <w:sz w:val="24"/>
          <w:szCs w:val="24"/>
          <w:lang w:eastAsia="ja-JP"/>
        </w:rPr>
        <w:t>.</w:t>
      </w:r>
    </w:p>
    <w:p w:rsidR="00C11CF5" w:rsidRPr="00D336AE" w:rsidRDefault="005900D4" w:rsidP="006611DD">
      <w:pPr>
        <w:pStyle w:val="BodyText"/>
        <w:spacing w:before="2" w:line="360" w:lineRule="auto"/>
        <w:ind w:left="0" w:right="105"/>
        <w:jc w:val="both"/>
        <w:rPr>
          <w:rFonts w:eastAsiaTheme="minorEastAsia"/>
          <w:sz w:val="24"/>
          <w:szCs w:val="24"/>
          <w:lang w:eastAsia="ja-JP"/>
        </w:rPr>
      </w:pPr>
      <w:r w:rsidRPr="00D336AE">
        <w:rPr>
          <w:rFonts w:eastAsiaTheme="minorEastAsia" w:hint="eastAsia"/>
          <w:sz w:val="24"/>
          <w:szCs w:val="24"/>
          <w:lang w:eastAsia="ja-JP"/>
        </w:rPr>
        <w:t xml:space="preserve">In Japan, </w:t>
      </w:r>
      <w:r w:rsidRPr="00D336AE">
        <w:rPr>
          <w:rFonts w:eastAsiaTheme="minorEastAsia"/>
          <w:sz w:val="24"/>
          <w:szCs w:val="24"/>
          <w:lang w:eastAsia="ja-JP"/>
        </w:rPr>
        <w:t xml:space="preserve">an estimated 1.5-2 million people </w:t>
      </w:r>
      <w:r w:rsidR="00384527">
        <w:rPr>
          <w:rFonts w:eastAsiaTheme="minorEastAsia"/>
          <w:sz w:val="24"/>
          <w:szCs w:val="24"/>
          <w:lang w:eastAsia="ja-JP"/>
        </w:rPr>
        <w:t xml:space="preserve">are </w:t>
      </w:r>
      <w:r w:rsidRPr="00D336AE">
        <w:rPr>
          <w:rFonts w:eastAsiaTheme="minorEastAsia"/>
          <w:sz w:val="24"/>
          <w:szCs w:val="24"/>
          <w:lang w:eastAsia="ja-JP"/>
        </w:rPr>
        <w:t>infected with HCV</w:t>
      </w:r>
      <w:r w:rsidR="00CC3A26" w:rsidRPr="00D336AE">
        <w:rPr>
          <w:rFonts w:eastAsiaTheme="minorEastAsia"/>
          <w:sz w:val="24"/>
          <w:szCs w:val="24"/>
          <w:lang w:eastAsia="ja-JP"/>
        </w:rPr>
        <w:t>, and the</w:t>
      </w:r>
      <w:r w:rsidR="009D7676" w:rsidRPr="00D336AE">
        <w:rPr>
          <w:rFonts w:eastAsiaTheme="minorEastAsia"/>
          <w:sz w:val="24"/>
          <w:szCs w:val="24"/>
          <w:lang w:eastAsia="ja-JP"/>
        </w:rPr>
        <w:t>se patients</w:t>
      </w:r>
      <w:r w:rsidR="00CC3A26" w:rsidRPr="00D336AE">
        <w:rPr>
          <w:rFonts w:eastAsiaTheme="minorEastAsia"/>
          <w:sz w:val="24"/>
          <w:szCs w:val="24"/>
          <w:lang w:eastAsia="ja-JP"/>
        </w:rPr>
        <w:t xml:space="preserve"> </w:t>
      </w:r>
      <w:r w:rsidRPr="00D336AE">
        <w:rPr>
          <w:rFonts w:eastAsiaTheme="minorEastAsia" w:hint="eastAsia"/>
          <w:sz w:val="24"/>
          <w:szCs w:val="24"/>
          <w:lang w:eastAsia="ja-JP"/>
        </w:rPr>
        <w:t xml:space="preserve">are older than </w:t>
      </w:r>
      <w:r w:rsidR="009D7676" w:rsidRPr="00D336AE">
        <w:rPr>
          <w:rFonts w:eastAsiaTheme="minorEastAsia"/>
          <w:sz w:val="24"/>
          <w:szCs w:val="24"/>
          <w:lang w:eastAsia="ja-JP"/>
        </w:rPr>
        <w:t>those infected</w:t>
      </w:r>
      <w:r w:rsidRPr="00D336AE">
        <w:rPr>
          <w:rFonts w:eastAsiaTheme="minorEastAsia" w:hint="eastAsia"/>
          <w:sz w:val="24"/>
          <w:szCs w:val="24"/>
          <w:lang w:eastAsia="ja-JP"/>
        </w:rPr>
        <w:t xml:space="preserve"> in </w:t>
      </w:r>
      <w:r w:rsidR="00800F49" w:rsidRPr="00D336AE">
        <w:rPr>
          <w:rFonts w:eastAsiaTheme="minorEastAsia" w:hint="eastAsia"/>
          <w:sz w:val="24"/>
          <w:szCs w:val="24"/>
          <w:lang w:eastAsia="ja-JP"/>
        </w:rPr>
        <w:t>Europe</w:t>
      </w:r>
      <w:r w:rsidR="00800F49">
        <w:rPr>
          <w:rFonts w:eastAsiaTheme="minorEastAsia"/>
          <w:sz w:val="24"/>
          <w:szCs w:val="24"/>
          <w:lang w:eastAsia="ja-JP"/>
        </w:rPr>
        <w:t xml:space="preserve"> </w:t>
      </w:r>
      <w:r w:rsidR="00800F49" w:rsidRPr="00D336AE">
        <w:rPr>
          <w:rFonts w:eastAsiaTheme="minorEastAsia" w:hint="eastAsia"/>
          <w:sz w:val="24"/>
          <w:szCs w:val="24"/>
          <w:lang w:eastAsia="ja-JP"/>
        </w:rPr>
        <w:t xml:space="preserve">and </w:t>
      </w:r>
      <w:r w:rsidRPr="00D336AE">
        <w:rPr>
          <w:rFonts w:eastAsiaTheme="minorEastAsia" w:hint="eastAsia"/>
          <w:sz w:val="24"/>
          <w:szCs w:val="24"/>
          <w:lang w:eastAsia="ja-JP"/>
        </w:rPr>
        <w:t>the United States</w:t>
      </w:r>
      <w:r w:rsidR="00CC3A26" w:rsidRPr="00D336AE">
        <w:rPr>
          <w:position w:val="6"/>
          <w:sz w:val="16"/>
          <w:szCs w:val="16"/>
        </w:rPr>
        <w:t>[</w:t>
      </w:r>
      <w:r w:rsidR="00AE5BA6" w:rsidRPr="00D336AE">
        <w:rPr>
          <w:position w:val="6"/>
          <w:sz w:val="16"/>
          <w:szCs w:val="16"/>
        </w:rPr>
        <w:t>3,2</w:t>
      </w:r>
      <w:r w:rsidR="00A777CA" w:rsidRPr="00D336AE">
        <w:rPr>
          <w:position w:val="6"/>
          <w:sz w:val="16"/>
          <w:szCs w:val="16"/>
        </w:rPr>
        <w:t>2</w:t>
      </w:r>
      <w:r w:rsidR="00CC3A26" w:rsidRPr="00D336AE">
        <w:rPr>
          <w:position w:val="6"/>
          <w:sz w:val="16"/>
          <w:szCs w:val="16"/>
        </w:rPr>
        <w:t>]</w:t>
      </w:r>
      <w:r w:rsidRPr="00D336AE">
        <w:rPr>
          <w:rFonts w:eastAsiaTheme="minorEastAsia" w:hint="eastAsia"/>
          <w:sz w:val="24"/>
          <w:szCs w:val="24"/>
          <w:lang w:eastAsia="ja-JP"/>
        </w:rPr>
        <w:t>.</w:t>
      </w:r>
      <w:r w:rsidR="009D7676" w:rsidRPr="00D336AE">
        <w:rPr>
          <w:rFonts w:eastAsiaTheme="minorEastAsia"/>
          <w:sz w:val="24"/>
          <w:szCs w:val="24"/>
          <w:lang w:eastAsia="ja-JP"/>
        </w:rPr>
        <w:t xml:space="preserve"> However, </w:t>
      </w:r>
      <w:r w:rsidRPr="00D336AE">
        <w:rPr>
          <w:rFonts w:eastAsiaTheme="minorEastAsia"/>
          <w:sz w:val="24"/>
          <w:szCs w:val="24"/>
          <w:lang w:eastAsia="ja-JP"/>
        </w:rPr>
        <w:t xml:space="preserve">previous studies describing the </w:t>
      </w:r>
      <w:r w:rsidR="00A811F9" w:rsidRPr="00D336AE">
        <w:rPr>
          <w:rFonts w:eastAsiaTheme="minorEastAsia"/>
          <w:sz w:val="24"/>
          <w:szCs w:val="24"/>
          <w:lang w:eastAsia="ja-JP"/>
        </w:rPr>
        <w:t xml:space="preserve">safety and </w:t>
      </w:r>
      <w:r w:rsidRPr="00D336AE">
        <w:rPr>
          <w:rFonts w:eastAsiaTheme="minorEastAsia"/>
          <w:sz w:val="24"/>
          <w:szCs w:val="24"/>
          <w:lang w:eastAsia="ja-JP"/>
        </w:rPr>
        <w:t>efficacy of TVR- and SMV-based tripl</w:t>
      </w:r>
      <w:r w:rsidR="00961066" w:rsidRPr="00D336AE">
        <w:rPr>
          <w:rFonts w:eastAsiaTheme="minorEastAsia"/>
          <w:sz w:val="24"/>
          <w:szCs w:val="24"/>
          <w:lang w:eastAsia="ja-JP"/>
        </w:rPr>
        <w:t xml:space="preserve">e therapies, especially in </w:t>
      </w:r>
      <w:r w:rsidR="00384527">
        <w:rPr>
          <w:rFonts w:eastAsiaTheme="minorEastAsia"/>
          <w:sz w:val="24"/>
          <w:szCs w:val="24"/>
          <w:lang w:eastAsia="ja-JP"/>
        </w:rPr>
        <w:t>elder</w:t>
      </w:r>
      <w:r w:rsidR="006976B3">
        <w:rPr>
          <w:rFonts w:eastAsiaTheme="minorEastAsia"/>
          <w:sz w:val="24"/>
          <w:szCs w:val="24"/>
          <w:lang w:eastAsia="ja-JP"/>
        </w:rPr>
        <w:t>ly</w:t>
      </w:r>
      <w:r w:rsidR="00961066" w:rsidRPr="00D336AE">
        <w:rPr>
          <w:rFonts w:eastAsiaTheme="minorEastAsia"/>
          <w:sz w:val="24"/>
          <w:szCs w:val="24"/>
          <w:lang w:eastAsia="ja-JP"/>
        </w:rPr>
        <w:t xml:space="preserve"> patients with </w:t>
      </w:r>
      <w:r w:rsidR="00A811F9">
        <w:rPr>
          <w:rFonts w:eastAsiaTheme="minorEastAsia"/>
          <w:sz w:val="24"/>
          <w:szCs w:val="24"/>
          <w:lang w:eastAsia="ja-JP"/>
        </w:rPr>
        <w:t>CHC</w:t>
      </w:r>
      <w:r w:rsidR="00961066" w:rsidRPr="00D336AE">
        <w:rPr>
          <w:rFonts w:eastAsiaTheme="minorEastAsia"/>
          <w:sz w:val="24"/>
          <w:szCs w:val="24"/>
          <w:lang w:eastAsia="ja-JP"/>
        </w:rPr>
        <w:t xml:space="preserve">, </w:t>
      </w:r>
      <w:r w:rsidR="00CC3A26" w:rsidRPr="00D336AE">
        <w:rPr>
          <w:rFonts w:eastAsiaTheme="minorEastAsia"/>
          <w:sz w:val="24"/>
          <w:szCs w:val="24"/>
          <w:lang w:eastAsia="ja-JP"/>
        </w:rPr>
        <w:t xml:space="preserve">are limited. </w:t>
      </w:r>
      <w:r w:rsidR="00DE3D16" w:rsidRPr="00D336AE">
        <w:rPr>
          <w:rFonts w:eastAsiaTheme="minorEastAsia"/>
          <w:sz w:val="24"/>
          <w:szCs w:val="24"/>
          <w:lang w:eastAsia="ja-JP"/>
        </w:rPr>
        <w:t xml:space="preserve">One of the reasons may be that the inclusion criteria for clinical trials were usually set to </w:t>
      </w:r>
      <w:r w:rsidR="009D7676" w:rsidRPr="00D336AE">
        <w:rPr>
          <w:rFonts w:eastAsiaTheme="minorEastAsia"/>
          <w:sz w:val="24"/>
          <w:szCs w:val="24"/>
          <w:lang w:eastAsia="ja-JP"/>
        </w:rPr>
        <w:t xml:space="preserve">a </w:t>
      </w:r>
      <w:r w:rsidR="00DE3D16" w:rsidRPr="00D336AE">
        <w:rPr>
          <w:rFonts w:eastAsiaTheme="minorEastAsia"/>
          <w:sz w:val="24"/>
          <w:szCs w:val="24"/>
          <w:lang w:eastAsia="ja-JP"/>
        </w:rPr>
        <w:t xml:space="preserve">maximum </w:t>
      </w:r>
      <w:r w:rsidR="00DE3D16" w:rsidRPr="00D336AE">
        <w:rPr>
          <w:rFonts w:eastAsiaTheme="minorEastAsia"/>
          <w:sz w:val="24"/>
          <w:szCs w:val="24"/>
          <w:lang w:eastAsia="ja-JP"/>
        </w:rPr>
        <w:lastRenderedPageBreak/>
        <w:t>age of 65 years</w:t>
      </w:r>
      <w:r w:rsidR="00E92B43" w:rsidRPr="00D336AE">
        <w:rPr>
          <w:position w:val="6"/>
          <w:sz w:val="16"/>
          <w:szCs w:val="16"/>
        </w:rPr>
        <w:t>[11,2</w:t>
      </w:r>
      <w:r w:rsidR="00A777CA" w:rsidRPr="00D336AE">
        <w:rPr>
          <w:position w:val="6"/>
          <w:sz w:val="16"/>
          <w:szCs w:val="16"/>
        </w:rPr>
        <w:t>3</w:t>
      </w:r>
      <w:r w:rsidR="00E92B43" w:rsidRPr="00D336AE">
        <w:rPr>
          <w:position w:val="6"/>
          <w:sz w:val="16"/>
          <w:szCs w:val="16"/>
        </w:rPr>
        <w:t>]</w:t>
      </w:r>
      <w:r w:rsidR="00DE3D16" w:rsidRPr="00D336AE">
        <w:rPr>
          <w:rFonts w:eastAsiaTheme="minorEastAsia"/>
          <w:sz w:val="24"/>
          <w:szCs w:val="24"/>
          <w:lang w:eastAsia="ja-JP"/>
        </w:rPr>
        <w:t xml:space="preserve">. </w:t>
      </w:r>
      <w:proofErr w:type="spellStart"/>
      <w:r w:rsidR="00DE3D16" w:rsidRPr="00D336AE">
        <w:rPr>
          <w:rFonts w:eastAsiaTheme="minorEastAsia"/>
          <w:sz w:val="24"/>
          <w:szCs w:val="24"/>
          <w:lang w:eastAsia="ja-JP"/>
        </w:rPr>
        <w:t>Furusyo</w:t>
      </w:r>
      <w:proofErr w:type="spellEnd"/>
      <w:r w:rsidR="00DE3D16" w:rsidRPr="00D336AE">
        <w:rPr>
          <w:rFonts w:eastAsiaTheme="minorEastAsia"/>
          <w:sz w:val="24"/>
          <w:szCs w:val="24"/>
          <w:lang w:eastAsia="ja-JP"/>
        </w:rPr>
        <w:t xml:space="preserve"> </w:t>
      </w:r>
      <w:r w:rsidR="00DE3D16" w:rsidRPr="00D336AE">
        <w:rPr>
          <w:rFonts w:eastAsiaTheme="minorEastAsia"/>
          <w:i/>
          <w:sz w:val="24"/>
          <w:szCs w:val="24"/>
          <w:lang w:eastAsia="ja-JP"/>
        </w:rPr>
        <w:t>et al.</w:t>
      </w:r>
      <w:r w:rsidR="00DE3D16" w:rsidRPr="00D336AE">
        <w:rPr>
          <w:rFonts w:eastAsiaTheme="minorEastAsia"/>
          <w:sz w:val="24"/>
          <w:szCs w:val="24"/>
          <w:lang w:eastAsia="ja-JP"/>
        </w:rPr>
        <w:t xml:space="preserve"> reported that </w:t>
      </w:r>
      <w:r w:rsidR="00A975C9" w:rsidRPr="00D336AE">
        <w:rPr>
          <w:rFonts w:eastAsiaTheme="minorEastAsia"/>
          <w:sz w:val="24"/>
          <w:szCs w:val="24"/>
          <w:lang w:eastAsia="ja-JP"/>
        </w:rPr>
        <w:t>there w</w:t>
      </w:r>
      <w:r w:rsidR="009D7676" w:rsidRPr="00D336AE">
        <w:rPr>
          <w:rFonts w:eastAsiaTheme="minorEastAsia"/>
          <w:sz w:val="24"/>
          <w:szCs w:val="24"/>
          <w:lang w:eastAsia="ja-JP"/>
        </w:rPr>
        <w:t>ere</w:t>
      </w:r>
      <w:r w:rsidR="00A975C9" w:rsidRPr="00D336AE">
        <w:rPr>
          <w:rFonts w:eastAsiaTheme="minorEastAsia"/>
          <w:sz w:val="24"/>
          <w:szCs w:val="24"/>
          <w:lang w:eastAsia="ja-JP"/>
        </w:rPr>
        <w:t xml:space="preserve"> no difference</w:t>
      </w:r>
      <w:r w:rsidR="009F6734" w:rsidRPr="00D336AE">
        <w:rPr>
          <w:rFonts w:eastAsiaTheme="minorEastAsia"/>
          <w:sz w:val="24"/>
          <w:szCs w:val="24"/>
          <w:lang w:eastAsia="ja-JP"/>
        </w:rPr>
        <w:t>s</w:t>
      </w:r>
      <w:r w:rsidR="00A975C9" w:rsidRPr="00D336AE">
        <w:rPr>
          <w:rFonts w:eastAsiaTheme="minorEastAsia"/>
          <w:sz w:val="24"/>
          <w:szCs w:val="24"/>
          <w:lang w:eastAsia="ja-JP"/>
        </w:rPr>
        <w:t xml:space="preserve"> in </w:t>
      </w:r>
      <w:r w:rsidR="009F6734" w:rsidRPr="00D336AE">
        <w:rPr>
          <w:rFonts w:eastAsiaTheme="minorEastAsia"/>
          <w:sz w:val="24"/>
          <w:szCs w:val="24"/>
          <w:lang w:eastAsia="ja-JP"/>
        </w:rPr>
        <w:t xml:space="preserve">the </w:t>
      </w:r>
      <w:r w:rsidR="00A975C9" w:rsidRPr="00D336AE">
        <w:rPr>
          <w:rFonts w:eastAsiaTheme="minorEastAsia"/>
          <w:sz w:val="24"/>
          <w:szCs w:val="24"/>
          <w:lang w:eastAsia="ja-JP"/>
        </w:rPr>
        <w:t>efficacy</w:t>
      </w:r>
      <w:r w:rsidR="009D7676" w:rsidRPr="00D336AE">
        <w:rPr>
          <w:rFonts w:eastAsiaTheme="minorEastAsia"/>
          <w:sz w:val="24"/>
          <w:szCs w:val="24"/>
          <w:lang w:eastAsia="ja-JP"/>
        </w:rPr>
        <w:t xml:space="preserve">, </w:t>
      </w:r>
      <w:r w:rsidR="00A975C9" w:rsidRPr="00D336AE">
        <w:rPr>
          <w:rFonts w:eastAsiaTheme="minorEastAsia"/>
          <w:sz w:val="24"/>
          <w:szCs w:val="24"/>
          <w:lang w:eastAsia="ja-JP"/>
        </w:rPr>
        <w:t>frequency and severity of adver</w:t>
      </w:r>
      <w:r w:rsidR="009D7676" w:rsidRPr="00D336AE">
        <w:rPr>
          <w:rFonts w:eastAsiaTheme="minorEastAsia"/>
          <w:sz w:val="24"/>
          <w:szCs w:val="24"/>
          <w:lang w:eastAsia="ja-JP"/>
        </w:rPr>
        <w:t xml:space="preserve">se events between </w:t>
      </w:r>
      <w:r w:rsidR="00A975C9" w:rsidRPr="00D336AE">
        <w:rPr>
          <w:rFonts w:eastAsiaTheme="minorEastAsia"/>
          <w:sz w:val="24"/>
          <w:szCs w:val="24"/>
          <w:lang w:eastAsia="ja-JP"/>
        </w:rPr>
        <w:t xml:space="preserve">patients aged &gt;60 years and those aged </w:t>
      </w:r>
      <w:r w:rsidR="00A975C9" w:rsidRPr="00D336AE">
        <w:rPr>
          <w:sz w:val="24"/>
          <w:szCs w:val="24"/>
        </w:rPr>
        <w:t>≤</w:t>
      </w:r>
      <w:r w:rsidR="009D7676" w:rsidRPr="00D336AE">
        <w:rPr>
          <w:sz w:val="24"/>
          <w:szCs w:val="24"/>
        </w:rPr>
        <w:t>60 years</w:t>
      </w:r>
      <w:r w:rsidR="00A975C9" w:rsidRPr="00D336AE">
        <w:rPr>
          <w:sz w:val="24"/>
          <w:szCs w:val="24"/>
        </w:rPr>
        <w:t xml:space="preserve"> who w</w:t>
      </w:r>
      <w:r w:rsidR="009F6734" w:rsidRPr="00D336AE">
        <w:rPr>
          <w:sz w:val="24"/>
          <w:szCs w:val="24"/>
        </w:rPr>
        <w:t>ere</w:t>
      </w:r>
      <w:r w:rsidR="00A975C9" w:rsidRPr="00D336AE">
        <w:rPr>
          <w:sz w:val="24"/>
          <w:szCs w:val="24"/>
        </w:rPr>
        <w:t xml:space="preserve"> treated with TVR-based triple therapy</w:t>
      </w:r>
      <w:r w:rsidR="00A975C9" w:rsidRPr="00D336AE">
        <w:rPr>
          <w:position w:val="6"/>
          <w:sz w:val="16"/>
          <w:szCs w:val="16"/>
        </w:rPr>
        <w:t>[</w:t>
      </w:r>
      <w:r w:rsidR="00E92B43" w:rsidRPr="00D336AE">
        <w:rPr>
          <w:position w:val="6"/>
          <w:sz w:val="16"/>
          <w:szCs w:val="16"/>
        </w:rPr>
        <w:t>4</w:t>
      </w:r>
      <w:r w:rsidR="00A975C9" w:rsidRPr="00D336AE">
        <w:rPr>
          <w:position w:val="6"/>
          <w:sz w:val="16"/>
          <w:szCs w:val="16"/>
        </w:rPr>
        <w:t>]</w:t>
      </w:r>
      <w:r w:rsidR="00A975C9" w:rsidRPr="00D336AE">
        <w:rPr>
          <w:sz w:val="24"/>
          <w:szCs w:val="24"/>
        </w:rPr>
        <w:t xml:space="preserve">. </w:t>
      </w:r>
      <w:r w:rsidR="009F6734" w:rsidRPr="00D336AE">
        <w:rPr>
          <w:sz w:val="24"/>
          <w:szCs w:val="24"/>
        </w:rPr>
        <w:t xml:space="preserve">Consistent with our study, they reported that </w:t>
      </w:r>
      <w:r w:rsidR="009D7676" w:rsidRPr="00D336AE">
        <w:rPr>
          <w:sz w:val="24"/>
          <w:szCs w:val="24"/>
        </w:rPr>
        <w:t xml:space="preserve">a </w:t>
      </w:r>
      <w:r w:rsidR="009F6734" w:rsidRPr="00D336AE">
        <w:rPr>
          <w:sz w:val="24"/>
          <w:szCs w:val="24"/>
        </w:rPr>
        <w:t xml:space="preserve">multivariate analysis </w:t>
      </w:r>
      <w:r w:rsidR="009D7676" w:rsidRPr="00D336AE">
        <w:rPr>
          <w:sz w:val="24"/>
          <w:szCs w:val="24"/>
        </w:rPr>
        <w:t>revealed</w:t>
      </w:r>
      <w:r w:rsidR="009F6734" w:rsidRPr="00D336AE">
        <w:rPr>
          <w:sz w:val="24"/>
          <w:szCs w:val="24"/>
        </w:rPr>
        <w:t xml:space="preserve"> </w:t>
      </w:r>
      <w:r w:rsidR="009D7676" w:rsidRPr="00D336AE">
        <w:rPr>
          <w:sz w:val="24"/>
          <w:szCs w:val="24"/>
        </w:rPr>
        <w:t xml:space="preserve">that the </w:t>
      </w:r>
      <w:r w:rsidR="009F6734" w:rsidRPr="00D336AE">
        <w:rPr>
          <w:sz w:val="24"/>
          <w:szCs w:val="24"/>
        </w:rPr>
        <w:t>IL28B TT</w:t>
      </w:r>
      <w:r w:rsidR="00F23D0D" w:rsidRPr="00D336AE">
        <w:rPr>
          <w:sz w:val="24"/>
          <w:szCs w:val="24"/>
        </w:rPr>
        <w:t>-genotype</w:t>
      </w:r>
      <w:r w:rsidR="009F6734" w:rsidRPr="00D336AE">
        <w:rPr>
          <w:sz w:val="24"/>
          <w:szCs w:val="24"/>
        </w:rPr>
        <w:t xml:space="preserve"> and the achievement of RVR </w:t>
      </w:r>
      <w:r w:rsidR="009D7676" w:rsidRPr="00D336AE">
        <w:rPr>
          <w:sz w:val="24"/>
          <w:szCs w:val="24"/>
        </w:rPr>
        <w:t xml:space="preserve">were </w:t>
      </w:r>
      <w:r w:rsidR="009F6734" w:rsidRPr="00D336AE">
        <w:rPr>
          <w:sz w:val="24"/>
          <w:szCs w:val="24"/>
        </w:rPr>
        <w:t>independent factor</w:t>
      </w:r>
      <w:r w:rsidR="009D7676" w:rsidRPr="00D336AE">
        <w:rPr>
          <w:sz w:val="24"/>
          <w:szCs w:val="24"/>
        </w:rPr>
        <w:t>s</w:t>
      </w:r>
      <w:r w:rsidR="009F6734" w:rsidRPr="00D336AE">
        <w:rPr>
          <w:sz w:val="24"/>
          <w:szCs w:val="24"/>
        </w:rPr>
        <w:t xml:space="preserve"> associated with SVR. </w:t>
      </w:r>
      <w:r w:rsidR="00345AA6" w:rsidRPr="00D336AE">
        <w:rPr>
          <w:sz w:val="24"/>
          <w:szCs w:val="24"/>
        </w:rPr>
        <w:t xml:space="preserve">Although </w:t>
      </w:r>
      <w:r w:rsidR="009D7676" w:rsidRPr="00D336AE">
        <w:rPr>
          <w:sz w:val="24"/>
          <w:szCs w:val="24"/>
        </w:rPr>
        <w:t xml:space="preserve">the decrease in hemoglobin was significantly higher in </w:t>
      </w:r>
      <w:r w:rsidR="00345AA6" w:rsidRPr="00D336AE">
        <w:rPr>
          <w:sz w:val="24"/>
          <w:szCs w:val="24"/>
        </w:rPr>
        <w:t xml:space="preserve">patients aged &gt;60 years </w:t>
      </w:r>
      <w:r w:rsidR="009D7676" w:rsidRPr="00D336AE">
        <w:rPr>
          <w:sz w:val="24"/>
          <w:szCs w:val="24"/>
        </w:rPr>
        <w:t>compared to younger patients</w:t>
      </w:r>
      <w:r w:rsidR="00345AA6" w:rsidRPr="00D336AE">
        <w:rPr>
          <w:sz w:val="24"/>
          <w:szCs w:val="24"/>
        </w:rPr>
        <w:t xml:space="preserve"> aged ≤60 years, the rate of adverse events </w:t>
      </w:r>
      <w:r w:rsidR="009D7676" w:rsidRPr="00D336AE">
        <w:rPr>
          <w:sz w:val="24"/>
          <w:szCs w:val="24"/>
        </w:rPr>
        <w:t xml:space="preserve">that </w:t>
      </w:r>
      <w:r w:rsidR="00345AA6" w:rsidRPr="00D336AE">
        <w:rPr>
          <w:sz w:val="24"/>
          <w:szCs w:val="24"/>
        </w:rPr>
        <w:t xml:space="preserve">resulted in treatment discontinuation was similar between the </w:t>
      </w:r>
      <w:r w:rsidR="009D7676" w:rsidRPr="00D336AE">
        <w:rPr>
          <w:sz w:val="24"/>
          <w:szCs w:val="24"/>
        </w:rPr>
        <w:t>two groups</w:t>
      </w:r>
      <w:r w:rsidR="00345AA6" w:rsidRPr="00D336AE">
        <w:rPr>
          <w:position w:val="6"/>
          <w:sz w:val="16"/>
          <w:szCs w:val="16"/>
        </w:rPr>
        <w:t>[</w:t>
      </w:r>
      <w:r w:rsidR="00E92B43" w:rsidRPr="00D336AE">
        <w:rPr>
          <w:position w:val="6"/>
          <w:sz w:val="16"/>
          <w:szCs w:val="16"/>
        </w:rPr>
        <w:t>4</w:t>
      </w:r>
      <w:r w:rsidR="00345AA6" w:rsidRPr="00D336AE">
        <w:rPr>
          <w:position w:val="6"/>
          <w:sz w:val="16"/>
          <w:szCs w:val="16"/>
        </w:rPr>
        <w:t>]</w:t>
      </w:r>
      <w:r w:rsidR="00345AA6" w:rsidRPr="00D336AE">
        <w:rPr>
          <w:sz w:val="24"/>
          <w:szCs w:val="24"/>
        </w:rPr>
        <w:t xml:space="preserve">. Abe </w:t>
      </w:r>
      <w:r w:rsidR="00345AA6" w:rsidRPr="00D336AE">
        <w:rPr>
          <w:i/>
          <w:sz w:val="24"/>
          <w:szCs w:val="24"/>
        </w:rPr>
        <w:t>et al.</w:t>
      </w:r>
      <w:r w:rsidR="00345AA6" w:rsidRPr="00D336AE">
        <w:rPr>
          <w:sz w:val="24"/>
          <w:szCs w:val="24"/>
        </w:rPr>
        <w:t xml:space="preserve"> also reported that </w:t>
      </w:r>
      <w:r w:rsidR="009D7676" w:rsidRPr="00D336AE">
        <w:rPr>
          <w:sz w:val="24"/>
          <w:szCs w:val="24"/>
        </w:rPr>
        <w:t xml:space="preserve">in </w:t>
      </w:r>
      <w:r w:rsidR="002B3F41" w:rsidRPr="00D336AE">
        <w:rPr>
          <w:sz w:val="24"/>
          <w:szCs w:val="24"/>
        </w:rPr>
        <w:t xml:space="preserve">patients treated with TVR-based triple therapy, </w:t>
      </w:r>
      <w:r w:rsidR="00345AA6" w:rsidRPr="00D336AE">
        <w:rPr>
          <w:sz w:val="24"/>
          <w:szCs w:val="24"/>
        </w:rPr>
        <w:t xml:space="preserve">the SVR rate </w:t>
      </w:r>
      <w:r w:rsidR="009D7676" w:rsidRPr="00D336AE">
        <w:rPr>
          <w:sz w:val="24"/>
          <w:szCs w:val="24"/>
        </w:rPr>
        <w:t>in</w:t>
      </w:r>
      <w:r w:rsidR="00345AA6" w:rsidRPr="00D336AE">
        <w:rPr>
          <w:sz w:val="24"/>
          <w:szCs w:val="24"/>
        </w:rPr>
        <w:t xml:space="preserve"> patients aged &gt;65 </w:t>
      </w:r>
      <w:r w:rsidR="009D7676" w:rsidRPr="00D336AE">
        <w:rPr>
          <w:sz w:val="24"/>
          <w:szCs w:val="24"/>
        </w:rPr>
        <w:t xml:space="preserve">years </w:t>
      </w:r>
      <w:r w:rsidR="00345AA6" w:rsidRPr="00D336AE">
        <w:rPr>
          <w:sz w:val="24"/>
          <w:szCs w:val="24"/>
        </w:rPr>
        <w:t>was similar to that of patients aged ≤</w:t>
      </w:r>
      <w:r w:rsidR="009D7676" w:rsidRPr="00D336AE">
        <w:rPr>
          <w:sz w:val="24"/>
          <w:szCs w:val="24"/>
        </w:rPr>
        <w:t xml:space="preserve">65 years and that there was no </w:t>
      </w:r>
      <w:r w:rsidR="00345AA6" w:rsidRPr="00D336AE">
        <w:rPr>
          <w:sz w:val="24"/>
          <w:szCs w:val="24"/>
        </w:rPr>
        <w:t xml:space="preserve">notable increase </w:t>
      </w:r>
      <w:r w:rsidR="009D7676" w:rsidRPr="00D336AE">
        <w:rPr>
          <w:sz w:val="24"/>
          <w:szCs w:val="24"/>
        </w:rPr>
        <w:t>of</w:t>
      </w:r>
      <w:r w:rsidR="00345AA6" w:rsidRPr="00D336AE">
        <w:rPr>
          <w:sz w:val="24"/>
          <w:szCs w:val="24"/>
        </w:rPr>
        <w:t xml:space="preserve"> the </w:t>
      </w:r>
      <w:r w:rsidR="009D7676" w:rsidRPr="00D336AE">
        <w:rPr>
          <w:sz w:val="24"/>
          <w:szCs w:val="24"/>
        </w:rPr>
        <w:t>rate</w:t>
      </w:r>
      <w:r w:rsidR="00345AA6" w:rsidRPr="00D336AE">
        <w:rPr>
          <w:sz w:val="24"/>
          <w:szCs w:val="24"/>
        </w:rPr>
        <w:t xml:space="preserve"> of treatment </w:t>
      </w:r>
      <w:r w:rsidR="002B3F41" w:rsidRPr="00D336AE">
        <w:rPr>
          <w:sz w:val="24"/>
          <w:szCs w:val="24"/>
        </w:rPr>
        <w:t>discontinuation</w:t>
      </w:r>
      <w:r w:rsidR="002B3F41" w:rsidRPr="00D336AE">
        <w:rPr>
          <w:position w:val="6"/>
          <w:sz w:val="16"/>
          <w:szCs w:val="16"/>
        </w:rPr>
        <w:t>[</w:t>
      </w:r>
      <w:r w:rsidR="00E92B43" w:rsidRPr="00D336AE">
        <w:rPr>
          <w:position w:val="6"/>
          <w:sz w:val="16"/>
          <w:szCs w:val="16"/>
        </w:rPr>
        <w:t>2</w:t>
      </w:r>
      <w:r w:rsidR="00A777CA" w:rsidRPr="00D336AE">
        <w:rPr>
          <w:position w:val="6"/>
          <w:sz w:val="16"/>
          <w:szCs w:val="16"/>
        </w:rPr>
        <w:t>3</w:t>
      </w:r>
      <w:r w:rsidR="002B3F41" w:rsidRPr="00D336AE">
        <w:rPr>
          <w:position w:val="6"/>
          <w:sz w:val="16"/>
          <w:szCs w:val="16"/>
        </w:rPr>
        <w:t>]</w:t>
      </w:r>
      <w:r w:rsidR="002B3F41" w:rsidRPr="00D336AE">
        <w:rPr>
          <w:sz w:val="24"/>
          <w:szCs w:val="24"/>
        </w:rPr>
        <w:t>.</w:t>
      </w:r>
      <w:r w:rsidR="00A92CFB" w:rsidRPr="00D336AE">
        <w:rPr>
          <w:sz w:val="24"/>
          <w:szCs w:val="24"/>
        </w:rPr>
        <w:t xml:space="preserve"> </w:t>
      </w:r>
      <w:r w:rsidR="00233476" w:rsidRPr="00D336AE">
        <w:rPr>
          <w:sz w:val="24"/>
          <w:szCs w:val="24"/>
        </w:rPr>
        <w:t xml:space="preserve">In our study, the rate of adverse events </w:t>
      </w:r>
      <w:r w:rsidR="009D7676" w:rsidRPr="00D336AE">
        <w:rPr>
          <w:sz w:val="24"/>
          <w:szCs w:val="24"/>
        </w:rPr>
        <w:t xml:space="preserve">that </w:t>
      </w:r>
      <w:r w:rsidR="00233476" w:rsidRPr="00D336AE">
        <w:rPr>
          <w:sz w:val="24"/>
          <w:szCs w:val="24"/>
        </w:rPr>
        <w:t xml:space="preserve">resulted in treatment discontinuation </w:t>
      </w:r>
      <w:r w:rsidR="00C5405A" w:rsidRPr="00D336AE">
        <w:rPr>
          <w:sz w:val="24"/>
          <w:szCs w:val="24"/>
        </w:rPr>
        <w:t xml:space="preserve">in the older patients </w:t>
      </w:r>
      <w:r w:rsidR="00233476" w:rsidRPr="00D336AE">
        <w:rPr>
          <w:sz w:val="24"/>
          <w:szCs w:val="24"/>
        </w:rPr>
        <w:t xml:space="preserve">was lower in </w:t>
      </w:r>
      <w:r w:rsidR="009D7676" w:rsidRPr="00D336AE">
        <w:rPr>
          <w:sz w:val="24"/>
          <w:szCs w:val="24"/>
        </w:rPr>
        <w:t xml:space="preserve">the </w:t>
      </w:r>
      <w:r w:rsidR="00233476" w:rsidRPr="00D336AE">
        <w:rPr>
          <w:sz w:val="24"/>
          <w:szCs w:val="24"/>
        </w:rPr>
        <w:t xml:space="preserve">SMV group than </w:t>
      </w:r>
      <w:r w:rsidR="009D7676" w:rsidRPr="00D336AE">
        <w:rPr>
          <w:sz w:val="24"/>
          <w:szCs w:val="24"/>
        </w:rPr>
        <w:t xml:space="preserve">in the </w:t>
      </w:r>
      <w:r w:rsidR="00233476" w:rsidRPr="00D336AE">
        <w:rPr>
          <w:sz w:val="24"/>
          <w:szCs w:val="24"/>
        </w:rPr>
        <w:t>TVR group, but the difference was not statistically significant.</w:t>
      </w:r>
      <w:r w:rsidR="00552499" w:rsidRPr="00D336AE">
        <w:rPr>
          <w:sz w:val="24"/>
          <w:szCs w:val="24"/>
        </w:rPr>
        <w:t xml:space="preserve"> However, considering the risk of higher frequency and severity of adverse events </w:t>
      </w:r>
      <w:r w:rsidR="007F6A83" w:rsidRPr="00D336AE">
        <w:rPr>
          <w:sz w:val="24"/>
          <w:szCs w:val="24"/>
        </w:rPr>
        <w:t xml:space="preserve">associated with </w:t>
      </w:r>
      <w:r w:rsidR="00552499" w:rsidRPr="00D336AE">
        <w:rPr>
          <w:sz w:val="24"/>
          <w:szCs w:val="24"/>
        </w:rPr>
        <w:t>TVR-based triple therapy, we recommend the use of SMV rather than TVR.</w:t>
      </w:r>
    </w:p>
    <w:p w:rsidR="000F55D1" w:rsidRPr="00D336AE" w:rsidRDefault="009D7676" w:rsidP="006611DD">
      <w:pPr>
        <w:pStyle w:val="BodyText"/>
        <w:spacing w:before="2" w:line="360" w:lineRule="auto"/>
        <w:ind w:left="0" w:right="105"/>
        <w:jc w:val="both"/>
        <w:rPr>
          <w:rFonts w:eastAsiaTheme="minorEastAsia"/>
          <w:spacing w:val="-2"/>
          <w:position w:val="6"/>
          <w:sz w:val="16"/>
          <w:szCs w:val="16"/>
          <w:lang w:eastAsia="ja-JP"/>
        </w:rPr>
      </w:pPr>
      <w:r w:rsidRPr="00D336AE">
        <w:rPr>
          <w:rFonts w:eastAsiaTheme="minorEastAsia"/>
          <w:sz w:val="24"/>
          <w:szCs w:val="24"/>
          <w:lang w:eastAsia="ja-JP"/>
        </w:rPr>
        <w:t xml:space="preserve">The </w:t>
      </w:r>
      <w:r w:rsidR="00B70B18" w:rsidRPr="00D336AE">
        <w:rPr>
          <w:rFonts w:eastAsiaTheme="minorEastAsia" w:hint="eastAsia"/>
          <w:sz w:val="24"/>
          <w:szCs w:val="24"/>
          <w:lang w:eastAsia="ja-JP"/>
        </w:rPr>
        <w:t xml:space="preserve">IL28B SNP genotype had a limited impact on </w:t>
      </w:r>
      <w:r w:rsidRPr="00D336AE">
        <w:rPr>
          <w:rFonts w:eastAsiaTheme="minorEastAsia"/>
          <w:sz w:val="24"/>
          <w:szCs w:val="24"/>
          <w:lang w:eastAsia="ja-JP"/>
        </w:rPr>
        <w:t xml:space="preserve">the </w:t>
      </w:r>
      <w:r w:rsidR="00B70B18" w:rsidRPr="00D336AE">
        <w:rPr>
          <w:rFonts w:eastAsiaTheme="minorEastAsia" w:hint="eastAsia"/>
          <w:sz w:val="24"/>
          <w:szCs w:val="24"/>
          <w:lang w:eastAsia="ja-JP"/>
        </w:rPr>
        <w:t>SVR rate with triple therapy in treatment-experienced patients</w:t>
      </w:r>
      <w:r w:rsidR="00DD47F0" w:rsidRPr="00D336AE">
        <w:rPr>
          <w:position w:val="6"/>
          <w:sz w:val="16"/>
          <w:szCs w:val="16"/>
        </w:rPr>
        <w:t>[</w:t>
      </w:r>
      <w:r w:rsidR="00E92B43" w:rsidRPr="00D336AE">
        <w:rPr>
          <w:position w:val="6"/>
          <w:sz w:val="16"/>
          <w:szCs w:val="16"/>
        </w:rPr>
        <w:t>2</w:t>
      </w:r>
      <w:r w:rsidR="00A777CA" w:rsidRPr="00D336AE">
        <w:rPr>
          <w:position w:val="6"/>
          <w:sz w:val="16"/>
          <w:szCs w:val="16"/>
        </w:rPr>
        <w:t>4</w:t>
      </w:r>
      <w:r w:rsidR="00DD47F0" w:rsidRPr="00D336AE">
        <w:rPr>
          <w:position w:val="6"/>
          <w:sz w:val="16"/>
          <w:szCs w:val="16"/>
        </w:rPr>
        <w:t>]</w:t>
      </w:r>
      <w:r w:rsidR="00B70B18" w:rsidRPr="00D336AE">
        <w:rPr>
          <w:rFonts w:eastAsiaTheme="minorEastAsia" w:hint="eastAsia"/>
          <w:sz w:val="24"/>
          <w:szCs w:val="24"/>
          <w:lang w:eastAsia="ja-JP"/>
        </w:rPr>
        <w:t xml:space="preserve">, and the </w:t>
      </w:r>
      <w:r w:rsidR="00B70B18" w:rsidRPr="00D336AE">
        <w:rPr>
          <w:rFonts w:eastAsiaTheme="minorEastAsia"/>
          <w:sz w:val="24"/>
          <w:szCs w:val="24"/>
          <w:lang w:eastAsia="ja-JP"/>
        </w:rPr>
        <w:t xml:space="preserve">strength of </w:t>
      </w:r>
      <w:r w:rsidRPr="00D336AE">
        <w:rPr>
          <w:rFonts w:eastAsiaTheme="minorEastAsia"/>
          <w:sz w:val="24"/>
          <w:szCs w:val="24"/>
          <w:lang w:eastAsia="ja-JP"/>
        </w:rPr>
        <w:t xml:space="preserve">the </w:t>
      </w:r>
      <w:r w:rsidR="00B70B18" w:rsidRPr="00D336AE">
        <w:rPr>
          <w:rFonts w:eastAsiaTheme="minorEastAsia"/>
          <w:sz w:val="24"/>
          <w:szCs w:val="24"/>
          <w:lang w:eastAsia="ja-JP"/>
        </w:rPr>
        <w:t>association</w:t>
      </w:r>
      <w:r w:rsidRPr="00D336AE">
        <w:rPr>
          <w:rFonts w:eastAsiaTheme="minorEastAsia"/>
          <w:sz w:val="24"/>
          <w:szCs w:val="24"/>
          <w:lang w:eastAsia="ja-JP"/>
        </w:rPr>
        <w:t xml:space="preserve"> between the </w:t>
      </w:r>
      <w:r w:rsidR="00B70B18" w:rsidRPr="00D336AE">
        <w:rPr>
          <w:rFonts w:eastAsiaTheme="minorEastAsia"/>
          <w:sz w:val="24"/>
          <w:szCs w:val="24"/>
          <w:lang w:eastAsia="ja-JP"/>
        </w:rPr>
        <w:t xml:space="preserve">IL28B genotype and </w:t>
      </w:r>
      <w:r w:rsidRPr="00D336AE">
        <w:rPr>
          <w:rFonts w:eastAsiaTheme="minorEastAsia"/>
          <w:sz w:val="24"/>
          <w:szCs w:val="24"/>
          <w:lang w:eastAsia="ja-JP"/>
        </w:rPr>
        <w:t xml:space="preserve">the </w:t>
      </w:r>
      <w:r w:rsidR="00B70B18" w:rsidRPr="00D336AE">
        <w:rPr>
          <w:rFonts w:eastAsiaTheme="minorEastAsia"/>
          <w:sz w:val="24"/>
          <w:szCs w:val="24"/>
          <w:lang w:eastAsia="ja-JP"/>
        </w:rPr>
        <w:t>treatment outcome was attenuated in the triple therapy compared to the dual therapy</w:t>
      </w:r>
      <w:r w:rsidR="00DD47F0" w:rsidRPr="00D336AE">
        <w:rPr>
          <w:position w:val="6"/>
          <w:sz w:val="16"/>
          <w:szCs w:val="16"/>
        </w:rPr>
        <w:t>[</w:t>
      </w:r>
      <w:r w:rsidR="00E92B43" w:rsidRPr="00D336AE">
        <w:rPr>
          <w:position w:val="6"/>
          <w:sz w:val="16"/>
          <w:szCs w:val="16"/>
        </w:rPr>
        <w:t>2</w:t>
      </w:r>
      <w:r w:rsidR="00A777CA" w:rsidRPr="00D336AE">
        <w:rPr>
          <w:position w:val="6"/>
          <w:sz w:val="16"/>
          <w:szCs w:val="16"/>
        </w:rPr>
        <w:t>3</w:t>
      </w:r>
      <w:r w:rsidR="00E92B43" w:rsidRPr="00D336AE">
        <w:rPr>
          <w:position w:val="6"/>
          <w:sz w:val="16"/>
          <w:szCs w:val="16"/>
        </w:rPr>
        <w:t>,2</w:t>
      </w:r>
      <w:r w:rsidR="00A777CA" w:rsidRPr="00D336AE">
        <w:rPr>
          <w:position w:val="6"/>
          <w:sz w:val="16"/>
          <w:szCs w:val="16"/>
        </w:rPr>
        <w:t>5</w:t>
      </w:r>
      <w:r w:rsidR="00DD47F0" w:rsidRPr="00D336AE">
        <w:rPr>
          <w:position w:val="6"/>
          <w:sz w:val="16"/>
          <w:szCs w:val="16"/>
        </w:rPr>
        <w:t>]</w:t>
      </w:r>
      <w:r w:rsidR="00B70B18" w:rsidRPr="00D336AE">
        <w:rPr>
          <w:rFonts w:eastAsiaTheme="minorEastAsia"/>
          <w:sz w:val="24"/>
          <w:szCs w:val="24"/>
          <w:lang w:eastAsia="ja-JP"/>
        </w:rPr>
        <w:t xml:space="preserve">. In the present study, </w:t>
      </w:r>
      <w:r w:rsidRPr="00D336AE">
        <w:rPr>
          <w:rFonts w:eastAsiaTheme="minorEastAsia"/>
          <w:sz w:val="24"/>
          <w:szCs w:val="24"/>
          <w:lang w:eastAsia="ja-JP"/>
        </w:rPr>
        <w:t xml:space="preserve">the </w:t>
      </w:r>
      <w:r w:rsidR="00B70B18" w:rsidRPr="00D336AE">
        <w:rPr>
          <w:rFonts w:eastAsiaTheme="minorEastAsia"/>
          <w:sz w:val="24"/>
          <w:szCs w:val="24"/>
          <w:lang w:eastAsia="ja-JP"/>
        </w:rPr>
        <w:t>IL28B SNP genotype displayed a striking influence on the outcome of both TVR- and SMV-based triple therapy</w:t>
      </w:r>
      <w:r w:rsidRPr="00D336AE">
        <w:rPr>
          <w:rFonts w:eastAsiaTheme="minorEastAsia"/>
          <w:sz w:val="24"/>
          <w:szCs w:val="24"/>
          <w:lang w:eastAsia="ja-JP"/>
        </w:rPr>
        <w:t>,</w:t>
      </w:r>
      <w:r w:rsidR="004C1CD1" w:rsidRPr="00D336AE">
        <w:rPr>
          <w:rFonts w:eastAsiaTheme="minorEastAsia"/>
          <w:sz w:val="24"/>
          <w:szCs w:val="24"/>
          <w:lang w:eastAsia="ja-JP"/>
        </w:rPr>
        <w:t xml:space="preserve"> especially </w:t>
      </w:r>
      <w:r w:rsidRPr="00D336AE">
        <w:rPr>
          <w:rFonts w:eastAsiaTheme="minorEastAsia"/>
          <w:sz w:val="24"/>
          <w:szCs w:val="24"/>
          <w:lang w:eastAsia="ja-JP"/>
        </w:rPr>
        <w:t>in</w:t>
      </w:r>
      <w:r w:rsidR="004C1CD1" w:rsidRPr="00D336AE">
        <w:rPr>
          <w:rFonts w:eastAsiaTheme="minorEastAsia"/>
          <w:sz w:val="24"/>
          <w:szCs w:val="24"/>
          <w:lang w:eastAsia="ja-JP"/>
        </w:rPr>
        <w:t xml:space="preserve"> older patients</w:t>
      </w:r>
      <w:r w:rsidR="00B70B18" w:rsidRPr="00D336AE">
        <w:rPr>
          <w:rFonts w:eastAsiaTheme="minorEastAsia"/>
          <w:sz w:val="24"/>
          <w:szCs w:val="24"/>
          <w:lang w:eastAsia="ja-JP"/>
        </w:rPr>
        <w:t xml:space="preserve">. </w:t>
      </w:r>
      <w:r w:rsidR="001F214B" w:rsidRPr="00D336AE">
        <w:rPr>
          <w:rFonts w:eastAsiaTheme="minorEastAsia"/>
          <w:sz w:val="24"/>
          <w:szCs w:val="24"/>
          <w:lang w:eastAsia="ja-JP"/>
        </w:rPr>
        <w:t xml:space="preserve">In the older patients carrying </w:t>
      </w:r>
      <w:r w:rsidR="005672A6" w:rsidRPr="00D336AE">
        <w:rPr>
          <w:rFonts w:eastAsiaTheme="minorEastAsia"/>
          <w:sz w:val="24"/>
          <w:szCs w:val="24"/>
          <w:lang w:eastAsia="ja-JP"/>
        </w:rPr>
        <w:t xml:space="preserve">the </w:t>
      </w:r>
      <w:r w:rsidR="001F214B" w:rsidRPr="00D336AE">
        <w:rPr>
          <w:rFonts w:eastAsiaTheme="minorEastAsia"/>
          <w:sz w:val="24"/>
          <w:szCs w:val="24"/>
          <w:lang w:eastAsia="ja-JP"/>
        </w:rPr>
        <w:t>IL28B TT</w:t>
      </w:r>
      <w:r w:rsidR="00F23D0D" w:rsidRPr="00D336AE">
        <w:rPr>
          <w:rFonts w:eastAsiaTheme="minorEastAsia"/>
          <w:sz w:val="24"/>
          <w:szCs w:val="24"/>
          <w:lang w:eastAsia="ja-JP"/>
        </w:rPr>
        <w:t>-genotype</w:t>
      </w:r>
      <w:r w:rsidR="001F214B" w:rsidRPr="00D336AE">
        <w:rPr>
          <w:rFonts w:eastAsiaTheme="minorEastAsia"/>
          <w:sz w:val="24"/>
          <w:szCs w:val="24"/>
          <w:lang w:eastAsia="ja-JP"/>
        </w:rPr>
        <w:t>, the rates of SVR were 92.9% and 100% in the TVR and SMV group</w:t>
      </w:r>
      <w:r w:rsidR="005672A6" w:rsidRPr="00D336AE">
        <w:rPr>
          <w:rFonts w:eastAsiaTheme="minorEastAsia"/>
          <w:sz w:val="24"/>
          <w:szCs w:val="24"/>
          <w:lang w:eastAsia="ja-JP"/>
        </w:rPr>
        <w:t>s</w:t>
      </w:r>
      <w:r w:rsidR="001F214B" w:rsidRPr="00D336AE">
        <w:rPr>
          <w:rFonts w:eastAsiaTheme="minorEastAsia"/>
          <w:sz w:val="24"/>
          <w:szCs w:val="24"/>
          <w:lang w:eastAsia="ja-JP"/>
        </w:rPr>
        <w:t xml:space="preserve">, respectively. In contrast, in the older patients carrying </w:t>
      </w:r>
      <w:r w:rsidR="00992F6A" w:rsidRPr="00D336AE">
        <w:rPr>
          <w:rFonts w:eastAsiaTheme="minorEastAsia"/>
          <w:sz w:val="24"/>
          <w:szCs w:val="24"/>
          <w:lang w:eastAsia="ja-JP"/>
        </w:rPr>
        <w:t xml:space="preserve">the </w:t>
      </w:r>
      <w:r w:rsidR="001F214B" w:rsidRPr="00D336AE">
        <w:rPr>
          <w:rFonts w:eastAsiaTheme="minorEastAsia"/>
          <w:sz w:val="24"/>
          <w:szCs w:val="24"/>
          <w:lang w:eastAsia="ja-JP"/>
        </w:rPr>
        <w:t>IL28B TG or GG</w:t>
      </w:r>
      <w:r w:rsidR="00F23D0D" w:rsidRPr="00D336AE">
        <w:rPr>
          <w:rFonts w:eastAsiaTheme="minorEastAsia"/>
          <w:sz w:val="24"/>
          <w:szCs w:val="24"/>
          <w:lang w:eastAsia="ja-JP"/>
        </w:rPr>
        <w:t>-genotype</w:t>
      </w:r>
      <w:r w:rsidR="001F214B" w:rsidRPr="00D336AE">
        <w:rPr>
          <w:rFonts w:eastAsiaTheme="minorEastAsia"/>
          <w:sz w:val="24"/>
          <w:szCs w:val="24"/>
          <w:lang w:eastAsia="ja-JP"/>
        </w:rPr>
        <w:t>, the rates of SVR w</w:t>
      </w:r>
      <w:r w:rsidR="00992F6A" w:rsidRPr="00D336AE">
        <w:rPr>
          <w:rFonts w:eastAsiaTheme="minorEastAsia"/>
          <w:sz w:val="24"/>
          <w:szCs w:val="24"/>
          <w:lang w:eastAsia="ja-JP"/>
        </w:rPr>
        <w:t>ere</w:t>
      </w:r>
      <w:r w:rsidR="001F214B" w:rsidRPr="00D336AE">
        <w:rPr>
          <w:rFonts w:eastAsiaTheme="minorEastAsia"/>
          <w:sz w:val="24"/>
          <w:szCs w:val="24"/>
          <w:lang w:eastAsia="ja-JP"/>
        </w:rPr>
        <w:t xml:space="preserve"> significantly decreased to 60% and 64.7% in the TVR and SMV group</w:t>
      </w:r>
      <w:r w:rsidR="005672A6" w:rsidRPr="00D336AE">
        <w:rPr>
          <w:rFonts w:eastAsiaTheme="minorEastAsia"/>
          <w:sz w:val="24"/>
          <w:szCs w:val="24"/>
          <w:lang w:eastAsia="ja-JP"/>
        </w:rPr>
        <w:t>s</w:t>
      </w:r>
      <w:r w:rsidR="001F214B" w:rsidRPr="00D336AE">
        <w:rPr>
          <w:rFonts w:eastAsiaTheme="minorEastAsia"/>
          <w:sz w:val="24"/>
          <w:szCs w:val="24"/>
          <w:lang w:eastAsia="ja-JP"/>
        </w:rPr>
        <w:t xml:space="preserve"> (</w:t>
      </w:r>
      <w:r w:rsidR="001F214B" w:rsidRPr="00D336AE">
        <w:rPr>
          <w:rFonts w:eastAsiaTheme="minorEastAsia"/>
          <w:i/>
          <w:sz w:val="24"/>
          <w:szCs w:val="24"/>
          <w:lang w:eastAsia="ja-JP"/>
        </w:rPr>
        <w:t>P</w:t>
      </w:r>
      <w:r w:rsidR="001F214B" w:rsidRPr="00D336AE">
        <w:rPr>
          <w:rFonts w:eastAsiaTheme="minorEastAsia"/>
          <w:sz w:val="24"/>
          <w:szCs w:val="24"/>
          <w:lang w:eastAsia="ja-JP"/>
        </w:rPr>
        <w:t xml:space="preserve"> = 0.038 and </w:t>
      </w:r>
      <w:r w:rsidR="001F214B" w:rsidRPr="00D336AE">
        <w:rPr>
          <w:rFonts w:eastAsiaTheme="minorEastAsia"/>
          <w:i/>
          <w:sz w:val="24"/>
          <w:szCs w:val="24"/>
          <w:lang w:eastAsia="ja-JP"/>
        </w:rPr>
        <w:t>P</w:t>
      </w:r>
      <w:r w:rsidR="001F214B" w:rsidRPr="00D336AE">
        <w:rPr>
          <w:rFonts w:eastAsiaTheme="minorEastAsia"/>
          <w:sz w:val="24"/>
          <w:szCs w:val="24"/>
          <w:lang w:eastAsia="ja-JP"/>
        </w:rPr>
        <w:t xml:space="preserve"> &lt;0.01), respectively. Although the substitutions in the core aa70 of </w:t>
      </w:r>
      <w:r w:rsidR="005672A6" w:rsidRPr="00D336AE">
        <w:rPr>
          <w:rFonts w:eastAsiaTheme="minorEastAsia"/>
          <w:sz w:val="24"/>
          <w:szCs w:val="24"/>
          <w:lang w:eastAsia="ja-JP"/>
        </w:rPr>
        <w:t xml:space="preserve">the </w:t>
      </w:r>
      <w:r w:rsidR="001F214B" w:rsidRPr="00D336AE">
        <w:rPr>
          <w:rFonts w:eastAsiaTheme="minorEastAsia"/>
          <w:sz w:val="24"/>
          <w:szCs w:val="24"/>
          <w:lang w:eastAsia="ja-JP"/>
        </w:rPr>
        <w:t>HCV genotype 1b were reported to be important predictors of the efficacy of dual therapy</w:t>
      </w:r>
      <w:r w:rsidR="00DD47F0" w:rsidRPr="00D336AE">
        <w:rPr>
          <w:rFonts w:eastAsiaTheme="minorEastAsia"/>
          <w:sz w:val="24"/>
          <w:szCs w:val="24"/>
          <w:lang w:eastAsia="ja-JP"/>
        </w:rPr>
        <w:t xml:space="preserve"> and triple therapy</w:t>
      </w:r>
      <w:r w:rsidR="00C11CF5" w:rsidRPr="00D336AE">
        <w:rPr>
          <w:position w:val="6"/>
          <w:sz w:val="16"/>
          <w:szCs w:val="16"/>
        </w:rPr>
        <w:t>[</w:t>
      </w:r>
      <w:r w:rsidR="002556F0" w:rsidRPr="00D336AE">
        <w:rPr>
          <w:position w:val="6"/>
          <w:sz w:val="16"/>
          <w:szCs w:val="16"/>
        </w:rPr>
        <w:t>2</w:t>
      </w:r>
      <w:r w:rsidR="00A777CA" w:rsidRPr="00D336AE">
        <w:rPr>
          <w:position w:val="6"/>
          <w:sz w:val="16"/>
          <w:szCs w:val="16"/>
        </w:rPr>
        <w:t>6</w:t>
      </w:r>
      <w:r w:rsidR="002556F0" w:rsidRPr="00D336AE">
        <w:rPr>
          <w:position w:val="6"/>
          <w:sz w:val="16"/>
          <w:szCs w:val="16"/>
        </w:rPr>
        <w:t>,2</w:t>
      </w:r>
      <w:r w:rsidR="00A777CA" w:rsidRPr="00D336AE">
        <w:rPr>
          <w:position w:val="6"/>
          <w:sz w:val="16"/>
          <w:szCs w:val="16"/>
        </w:rPr>
        <w:t>7</w:t>
      </w:r>
      <w:r w:rsidR="00C11CF5" w:rsidRPr="00D336AE">
        <w:rPr>
          <w:position w:val="6"/>
          <w:sz w:val="16"/>
          <w:szCs w:val="16"/>
        </w:rPr>
        <w:t>]</w:t>
      </w:r>
      <w:r w:rsidR="00DD47F0" w:rsidRPr="00D336AE">
        <w:rPr>
          <w:rFonts w:eastAsiaTheme="minorEastAsia"/>
          <w:sz w:val="24"/>
          <w:szCs w:val="24"/>
          <w:lang w:eastAsia="ja-JP"/>
        </w:rPr>
        <w:t xml:space="preserve">, our study </w:t>
      </w:r>
      <w:r w:rsidR="004C1CD1" w:rsidRPr="00D336AE">
        <w:rPr>
          <w:rFonts w:eastAsiaTheme="minorEastAsia"/>
          <w:sz w:val="24"/>
          <w:szCs w:val="24"/>
          <w:lang w:eastAsia="ja-JP"/>
        </w:rPr>
        <w:t>revealed that the substitutions in the HCV core aa70 were not associated with the achievement of SVR (data not shown).</w:t>
      </w:r>
      <w:r w:rsidR="00C11CF5" w:rsidRPr="00D336AE">
        <w:rPr>
          <w:rFonts w:eastAsiaTheme="minorEastAsia"/>
          <w:sz w:val="24"/>
          <w:szCs w:val="24"/>
          <w:lang w:eastAsia="ja-JP"/>
        </w:rPr>
        <w:t xml:space="preserve"> This discrepancy may be explained </w:t>
      </w:r>
      <w:r w:rsidR="005672A6" w:rsidRPr="00D336AE">
        <w:rPr>
          <w:rFonts w:eastAsiaTheme="minorEastAsia"/>
          <w:sz w:val="24"/>
          <w:szCs w:val="24"/>
          <w:lang w:eastAsia="ja-JP"/>
        </w:rPr>
        <w:t>by</w:t>
      </w:r>
      <w:r w:rsidR="00C11CF5" w:rsidRPr="00D336AE">
        <w:rPr>
          <w:rFonts w:eastAsiaTheme="minorEastAsia"/>
          <w:sz w:val="24"/>
          <w:szCs w:val="24"/>
          <w:lang w:eastAsia="ja-JP"/>
        </w:rPr>
        <w:t xml:space="preserve"> the differences in the study population, as our study consisted of </w:t>
      </w:r>
      <w:r w:rsidR="005672A6" w:rsidRPr="00D336AE">
        <w:rPr>
          <w:rFonts w:eastAsiaTheme="minorEastAsia"/>
          <w:sz w:val="24"/>
          <w:szCs w:val="24"/>
          <w:lang w:eastAsia="ja-JP"/>
        </w:rPr>
        <w:t xml:space="preserve">a </w:t>
      </w:r>
      <w:r w:rsidR="00C11CF5" w:rsidRPr="00D336AE">
        <w:rPr>
          <w:rFonts w:eastAsiaTheme="minorEastAsia"/>
          <w:sz w:val="24"/>
          <w:szCs w:val="24"/>
          <w:lang w:eastAsia="ja-JP"/>
        </w:rPr>
        <w:t>relatively higher number of aged patients.</w:t>
      </w:r>
      <w:r w:rsidR="002910C8" w:rsidRPr="00D336AE">
        <w:rPr>
          <w:rFonts w:eastAsiaTheme="minorEastAsia"/>
          <w:sz w:val="24"/>
          <w:szCs w:val="24"/>
          <w:lang w:eastAsia="ja-JP"/>
        </w:rPr>
        <w:t xml:space="preserve"> </w:t>
      </w:r>
      <w:r w:rsidR="002910C8" w:rsidRPr="00D336AE">
        <w:rPr>
          <w:rFonts w:eastAsiaTheme="minorEastAsia"/>
          <w:sz w:val="24"/>
          <w:szCs w:val="24"/>
          <w:lang w:eastAsia="ja-JP"/>
        </w:rPr>
        <w:lastRenderedPageBreak/>
        <w:t xml:space="preserve">We also measured serum CXCL10 in patients treated with TVR-based triple therapy because previous studies have reported that pretreatment serum CXCL10 concentrations were associated with </w:t>
      </w:r>
      <w:r w:rsidR="006906D5" w:rsidRPr="00D336AE">
        <w:rPr>
          <w:rFonts w:eastAsiaTheme="minorEastAsia"/>
          <w:sz w:val="24"/>
          <w:szCs w:val="24"/>
          <w:lang w:eastAsia="ja-JP"/>
        </w:rPr>
        <w:t xml:space="preserve">early </w:t>
      </w:r>
      <w:proofErr w:type="spellStart"/>
      <w:r w:rsidR="002910C8" w:rsidRPr="00D336AE">
        <w:rPr>
          <w:rFonts w:eastAsiaTheme="minorEastAsia"/>
          <w:sz w:val="24"/>
          <w:szCs w:val="24"/>
          <w:lang w:eastAsia="ja-JP"/>
        </w:rPr>
        <w:t>virological</w:t>
      </w:r>
      <w:proofErr w:type="spellEnd"/>
      <w:r w:rsidR="002910C8" w:rsidRPr="00D336AE">
        <w:rPr>
          <w:rFonts w:eastAsiaTheme="minorEastAsia"/>
          <w:sz w:val="24"/>
          <w:szCs w:val="24"/>
          <w:lang w:eastAsia="ja-JP"/>
        </w:rPr>
        <w:t xml:space="preserve"> response and treatment efficacy in patients treated with </w:t>
      </w:r>
      <w:r w:rsidR="007F6A83" w:rsidRPr="00D336AE">
        <w:rPr>
          <w:rFonts w:eastAsiaTheme="minorEastAsia"/>
          <w:sz w:val="24"/>
          <w:szCs w:val="24"/>
          <w:lang w:eastAsia="ja-JP"/>
        </w:rPr>
        <w:t>this</w:t>
      </w:r>
      <w:r w:rsidR="002910C8" w:rsidRPr="00D336AE">
        <w:rPr>
          <w:rFonts w:eastAsiaTheme="minorEastAsia"/>
          <w:sz w:val="24"/>
          <w:szCs w:val="24"/>
          <w:lang w:eastAsia="ja-JP"/>
        </w:rPr>
        <w:t xml:space="preserve"> therapy</w:t>
      </w:r>
      <w:r w:rsidR="002910C8" w:rsidRPr="00D336AE">
        <w:rPr>
          <w:rFonts w:eastAsiaTheme="minorEastAsia"/>
          <w:spacing w:val="-2"/>
          <w:position w:val="6"/>
          <w:sz w:val="16"/>
          <w:szCs w:val="16"/>
          <w:lang w:eastAsia="ja-JP"/>
        </w:rPr>
        <w:t>[</w:t>
      </w:r>
      <w:r w:rsidR="00A777CA" w:rsidRPr="00D336AE">
        <w:rPr>
          <w:rFonts w:eastAsiaTheme="minorEastAsia"/>
          <w:spacing w:val="-2"/>
          <w:position w:val="6"/>
          <w:sz w:val="16"/>
          <w:szCs w:val="16"/>
          <w:lang w:eastAsia="ja-JP"/>
        </w:rPr>
        <w:t>28,29</w:t>
      </w:r>
      <w:r w:rsidR="002910C8" w:rsidRPr="00D336AE">
        <w:rPr>
          <w:rFonts w:eastAsiaTheme="minorEastAsia"/>
          <w:spacing w:val="-2"/>
          <w:position w:val="6"/>
          <w:sz w:val="16"/>
          <w:szCs w:val="16"/>
          <w:lang w:eastAsia="ja-JP"/>
        </w:rPr>
        <w:t>]</w:t>
      </w:r>
      <w:r w:rsidR="002910C8" w:rsidRPr="00D336AE">
        <w:rPr>
          <w:rFonts w:eastAsiaTheme="minorEastAsia"/>
          <w:sz w:val="24"/>
          <w:szCs w:val="24"/>
          <w:lang w:eastAsia="ja-JP"/>
        </w:rPr>
        <w:t xml:space="preserve">. However, we did not </w:t>
      </w:r>
      <w:r w:rsidR="007F6A83" w:rsidRPr="00D336AE">
        <w:rPr>
          <w:rFonts w:eastAsiaTheme="minorEastAsia"/>
          <w:sz w:val="24"/>
          <w:szCs w:val="24"/>
          <w:lang w:eastAsia="ja-JP"/>
        </w:rPr>
        <w:t>confirm</w:t>
      </w:r>
      <w:r w:rsidR="002910C8" w:rsidRPr="00D336AE">
        <w:rPr>
          <w:rFonts w:eastAsiaTheme="minorEastAsia"/>
          <w:sz w:val="24"/>
          <w:szCs w:val="24"/>
          <w:lang w:eastAsia="ja-JP"/>
        </w:rPr>
        <w:t xml:space="preserve"> </w:t>
      </w:r>
      <w:r w:rsidR="007F6A83" w:rsidRPr="00D336AE">
        <w:rPr>
          <w:rFonts w:eastAsiaTheme="minorEastAsia"/>
          <w:sz w:val="24"/>
          <w:szCs w:val="24"/>
          <w:lang w:eastAsia="ja-JP"/>
        </w:rPr>
        <w:t>the</w:t>
      </w:r>
      <w:r w:rsidR="002910C8" w:rsidRPr="00D336AE">
        <w:rPr>
          <w:rFonts w:eastAsiaTheme="minorEastAsia"/>
          <w:sz w:val="24"/>
          <w:szCs w:val="24"/>
          <w:lang w:eastAsia="ja-JP"/>
        </w:rPr>
        <w:t xml:space="preserve"> u</w:t>
      </w:r>
      <w:r w:rsidR="007F6A83" w:rsidRPr="00D336AE">
        <w:rPr>
          <w:rFonts w:eastAsiaTheme="minorEastAsia"/>
          <w:sz w:val="24"/>
          <w:szCs w:val="24"/>
          <w:lang w:eastAsia="ja-JP"/>
        </w:rPr>
        <w:t>tility</w:t>
      </w:r>
      <w:r w:rsidR="002910C8" w:rsidRPr="00D336AE">
        <w:rPr>
          <w:rFonts w:eastAsiaTheme="minorEastAsia"/>
          <w:sz w:val="24"/>
          <w:szCs w:val="24"/>
          <w:lang w:eastAsia="ja-JP"/>
        </w:rPr>
        <w:t xml:space="preserve"> of pretreatment CXCL10 concentrations as a predictor of </w:t>
      </w:r>
      <w:proofErr w:type="spellStart"/>
      <w:r w:rsidR="002910C8" w:rsidRPr="00D336AE">
        <w:rPr>
          <w:rFonts w:eastAsiaTheme="minorEastAsia"/>
          <w:sz w:val="24"/>
          <w:szCs w:val="24"/>
          <w:lang w:eastAsia="ja-JP"/>
        </w:rPr>
        <w:t>virological</w:t>
      </w:r>
      <w:proofErr w:type="spellEnd"/>
      <w:r w:rsidR="002910C8" w:rsidRPr="00D336AE">
        <w:rPr>
          <w:rFonts w:eastAsiaTheme="minorEastAsia"/>
          <w:sz w:val="24"/>
          <w:szCs w:val="24"/>
          <w:lang w:eastAsia="ja-JP"/>
        </w:rPr>
        <w:t xml:space="preserve"> response in patients </w:t>
      </w:r>
      <w:r w:rsidR="007F6A83" w:rsidRPr="00D336AE">
        <w:rPr>
          <w:rFonts w:eastAsiaTheme="minorEastAsia"/>
          <w:sz w:val="24"/>
          <w:szCs w:val="24"/>
          <w:lang w:eastAsia="ja-JP"/>
        </w:rPr>
        <w:t xml:space="preserve">treated </w:t>
      </w:r>
      <w:r w:rsidR="002910C8" w:rsidRPr="00D336AE">
        <w:rPr>
          <w:rFonts w:eastAsiaTheme="minorEastAsia"/>
          <w:sz w:val="24"/>
          <w:szCs w:val="24"/>
          <w:lang w:eastAsia="ja-JP"/>
        </w:rPr>
        <w:t>with TVR-based triple therapy.</w:t>
      </w:r>
    </w:p>
    <w:p w:rsidR="004C52D4" w:rsidRPr="00D336AE" w:rsidRDefault="004C52D4" w:rsidP="006611DD">
      <w:pPr>
        <w:pStyle w:val="BodyText"/>
        <w:spacing w:before="2" w:line="360" w:lineRule="auto"/>
        <w:ind w:left="0" w:right="105"/>
        <w:jc w:val="both"/>
        <w:rPr>
          <w:rFonts w:eastAsiaTheme="minorEastAsia"/>
          <w:sz w:val="24"/>
          <w:szCs w:val="24"/>
          <w:lang w:eastAsia="ja-JP"/>
        </w:rPr>
      </w:pPr>
      <w:r w:rsidRPr="00D336AE">
        <w:rPr>
          <w:rFonts w:eastAsiaTheme="minorEastAsia" w:hint="eastAsia"/>
          <w:sz w:val="24"/>
          <w:szCs w:val="24"/>
          <w:lang w:eastAsia="ja-JP"/>
        </w:rPr>
        <w:t xml:space="preserve">The present study has a number of limitations. </w:t>
      </w:r>
      <w:r w:rsidRPr="00D336AE">
        <w:rPr>
          <w:rFonts w:eastAsiaTheme="minorEastAsia"/>
          <w:sz w:val="24"/>
          <w:szCs w:val="24"/>
          <w:lang w:eastAsia="ja-JP"/>
        </w:rPr>
        <w:t xml:space="preserve">First, the sample size might </w:t>
      </w:r>
      <w:r w:rsidR="005672A6" w:rsidRPr="00D336AE">
        <w:rPr>
          <w:rFonts w:eastAsiaTheme="minorEastAsia"/>
          <w:sz w:val="24"/>
          <w:szCs w:val="24"/>
          <w:lang w:eastAsia="ja-JP"/>
        </w:rPr>
        <w:t xml:space="preserve">have </w:t>
      </w:r>
      <w:r w:rsidRPr="00D336AE">
        <w:rPr>
          <w:rFonts w:eastAsiaTheme="minorEastAsia"/>
          <w:sz w:val="24"/>
          <w:szCs w:val="24"/>
          <w:lang w:eastAsia="ja-JP"/>
        </w:rPr>
        <w:t>provide</w:t>
      </w:r>
      <w:r w:rsidR="005672A6" w:rsidRPr="00D336AE">
        <w:rPr>
          <w:rFonts w:eastAsiaTheme="minorEastAsia"/>
          <w:sz w:val="24"/>
          <w:szCs w:val="24"/>
          <w:lang w:eastAsia="ja-JP"/>
        </w:rPr>
        <w:t>d</w:t>
      </w:r>
      <w:r w:rsidRPr="00D336AE">
        <w:rPr>
          <w:rFonts w:eastAsiaTheme="minorEastAsia"/>
          <w:sz w:val="24"/>
          <w:szCs w:val="24"/>
          <w:lang w:eastAsia="ja-JP"/>
        </w:rPr>
        <w:t xml:space="preserve"> inadequate statistical power to detect definitive differences between the SVR and no-SVR data </w:t>
      </w:r>
      <w:r w:rsidR="005672A6" w:rsidRPr="00D336AE">
        <w:rPr>
          <w:rFonts w:eastAsiaTheme="minorEastAsia"/>
          <w:sz w:val="24"/>
          <w:szCs w:val="24"/>
          <w:lang w:eastAsia="ja-JP"/>
        </w:rPr>
        <w:t>in</w:t>
      </w:r>
      <w:r w:rsidRPr="00D336AE">
        <w:rPr>
          <w:rFonts w:eastAsiaTheme="minorEastAsia"/>
          <w:sz w:val="24"/>
          <w:szCs w:val="24"/>
          <w:lang w:eastAsia="ja-JP"/>
        </w:rPr>
        <w:t xml:space="preserve"> both the older and younger patients. </w:t>
      </w:r>
      <w:r w:rsidR="00A54672" w:rsidRPr="00D336AE">
        <w:rPr>
          <w:rFonts w:eastAsiaTheme="minorEastAsia"/>
          <w:sz w:val="24"/>
          <w:szCs w:val="24"/>
          <w:lang w:eastAsia="ja-JP"/>
        </w:rPr>
        <w:t xml:space="preserve">However, </w:t>
      </w:r>
      <w:r w:rsidR="005672A6" w:rsidRPr="00D336AE">
        <w:rPr>
          <w:rFonts w:eastAsiaTheme="minorEastAsia"/>
          <w:sz w:val="24"/>
          <w:szCs w:val="24"/>
          <w:lang w:eastAsia="ja-JP"/>
        </w:rPr>
        <w:t>the best of our knowledge</w:t>
      </w:r>
      <w:r w:rsidR="00A54672" w:rsidRPr="00D336AE">
        <w:rPr>
          <w:rFonts w:eastAsiaTheme="minorEastAsia"/>
          <w:sz w:val="24"/>
          <w:szCs w:val="24"/>
          <w:lang w:eastAsia="ja-JP"/>
        </w:rPr>
        <w:t xml:space="preserve">, this is the first study </w:t>
      </w:r>
      <w:r w:rsidR="005672A6" w:rsidRPr="00D336AE">
        <w:rPr>
          <w:rFonts w:eastAsiaTheme="minorEastAsia"/>
          <w:sz w:val="24"/>
          <w:szCs w:val="24"/>
          <w:lang w:eastAsia="ja-JP"/>
        </w:rPr>
        <w:t>to</w:t>
      </w:r>
      <w:r w:rsidR="00A54672" w:rsidRPr="00D336AE">
        <w:rPr>
          <w:rFonts w:eastAsiaTheme="minorEastAsia"/>
          <w:sz w:val="24"/>
          <w:szCs w:val="24"/>
          <w:lang w:eastAsia="ja-JP"/>
        </w:rPr>
        <w:t xml:space="preserve"> compar</w:t>
      </w:r>
      <w:r w:rsidR="005672A6" w:rsidRPr="00D336AE">
        <w:rPr>
          <w:rFonts w:eastAsiaTheme="minorEastAsia"/>
          <w:sz w:val="24"/>
          <w:szCs w:val="24"/>
          <w:lang w:eastAsia="ja-JP"/>
        </w:rPr>
        <w:t>e</w:t>
      </w:r>
      <w:r w:rsidR="00A54672" w:rsidRPr="00D336AE">
        <w:rPr>
          <w:rFonts w:eastAsiaTheme="minorEastAsia"/>
          <w:sz w:val="24"/>
          <w:szCs w:val="24"/>
          <w:lang w:eastAsia="ja-JP"/>
        </w:rPr>
        <w:t xml:space="preserve"> </w:t>
      </w:r>
      <w:r w:rsidR="005672A6" w:rsidRPr="00D336AE">
        <w:rPr>
          <w:rFonts w:eastAsiaTheme="minorEastAsia"/>
          <w:sz w:val="24"/>
          <w:szCs w:val="24"/>
          <w:lang w:eastAsia="ja-JP"/>
        </w:rPr>
        <w:t xml:space="preserve">the efficacy and safety of </w:t>
      </w:r>
      <w:r w:rsidR="00A54672" w:rsidRPr="00D336AE">
        <w:rPr>
          <w:rFonts w:eastAsiaTheme="minorEastAsia"/>
          <w:sz w:val="24"/>
          <w:szCs w:val="24"/>
          <w:lang w:eastAsia="ja-JP"/>
        </w:rPr>
        <w:t xml:space="preserve">TVR- and SMV-based triple therapies for </w:t>
      </w:r>
      <w:r w:rsidR="00A811F9">
        <w:rPr>
          <w:rFonts w:eastAsiaTheme="minorEastAsia"/>
          <w:sz w:val="24"/>
          <w:szCs w:val="24"/>
          <w:lang w:eastAsia="ja-JP"/>
        </w:rPr>
        <w:t>elderly</w:t>
      </w:r>
      <w:r w:rsidR="00A54672" w:rsidRPr="00D336AE">
        <w:rPr>
          <w:rFonts w:eastAsiaTheme="minorEastAsia"/>
          <w:sz w:val="24"/>
          <w:szCs w:val="24"/>
          <w:lang w:eastAsia="ja-JP"/>
        </w:rPr>
        <w:t xml:space="preserve"> patients aged 66 years </w:t>
      </w:r>
      <w:r w:rsidR="005672A6" w:rsidRPr="00D336AE">
        <w:rPr>
          <w:rFonts w:eastAsiaTheme="minorEastAsia"/>
          <w:sz w:val="24"/>
          <w:szCs w:val="24"/>
          <w:lang w:eastAsia="ja-JP"/>
        </w:rPr>
        <w:t>or older</w:t>
      </w:r>
      <w:r w:rsidR="00A54672" w:rsidRPr="00D336AE">
        <w:rPr>
          <w:rFonts w:eastAsiaTheme="minorEastAsia"/>
          <w:sz w:val="24"/>
          <w:szCs w:val="24"/>
          <w:lang w:eastAsia="ja-JP"/>
        </w:rPr>
        <w:t xml:space="preserve">. Second, we </w:t>
      </w:r>
      <w:r w:rsidR="005672A6" w:rsidRPr="00D336AE">
        <w:rPr>
          <w:rFonts w:eastAsiaTheme="minorEastAsia"/>
          <w:sz w:val="24"/>
          <w:szCs w:val="24"/>
          <w:lang w:eastAsia="ja-JP"/>
        </w:rPr>
        <w:t xml:space="preserve">only </w:t>
      </w:r>
      <w:r w:rsidR="00A54672" w:rsidRPr="00D336AE">
        <w:rPr>
          <w:rFonts w:eastAsiaTheme="minorEastAsia"/>
          <w:sz w:val="24"/>
          <w:szCs w:val="24"/>
          <w:lang w:eastAsia="ja-JP"/>
        </w:rPr>
        <w:t>investigate</w:t>
      </w:r>
      <w:r w:rsidR="005672A6" w:rsidRPr="00D336AE">
        <w:rPr>
          <w:rFonts w:eastAsiaTheme="minorEastAsia"/>
          <w:sz w:val="24"/>
          <w:szCs w:val="24"/>
          <w:lang w:eastAsia="ja-JP"/>
        </w:rPr>
        <w:t xml:space="preserve">d </w:t>
      </w:r>
      <w:r w:rsidR="00A54672" w:rsidRPr="00D336AE">
        <w:rPr>
          <w:rFonts w:eastAsiaTheme="minorEastAsia"/>
          <w:sz w:val="24"/>
          <w:szCs w:val="24"/>
          <w:lang w:eastAsia="ja-JP"/>
        </w:rPr>
        <w:t xml:space="preserve">Japanese patients with </w:t>
      </w:r>
      <w:r w:rsidR="005672A6" w:rsidRPr="00D336AE">
        <w:rPr>
          <w:rFonts w:eastAsiaTheme="minorEastAsia"/>
          <w:sz w:val="24"/>
          <w:szCs w:val="24"/>
          <w:lang w:eastAsia="ja-JP"/>
        </w:rPr>
        <w:t xml:space="preserve">the </w:t>
      </w:r>
      <w:r w:rsidR="00A54672" w:rsidRPr="00D336AE">
        <w:rPr>
          <w:rFonts w:eastAsiaTheme="minorEastAsia"/>
          <w:sz w:val="24"/>
          <w:szCs w:val="24"/>
          <w:lang w:eastAsia="ja-JP"/>
        </w:rPr>
        <w:t xml:space="preserve">HCV genotype 1b. Among </w:t>
      </w:r>
      <w:r w:rsidR="005672A6" w:rsidRPr="00D336AE">
        <w:rPr>
          <w:rFonts w:eastAsiaTheme="minorEastAsia"/>
          <w:sz w:val="24"/>
          <w:szCs w:val="24"/>
          <w:lang w:eastAsia="ja-JP"/>
        </w:rPr>
        <w:t xml:space="preserve">the </w:t>
      </w:r>
      <w:r w:rsidR="00A54672" w:rsidRPr="00D336AE">
        <w:rPr>
          <w:rFonts w:eastAsiaTheme="minorEastAsia"/>
          <w:sz w:val="24"/>
          <w:szCs w:val="24"/>
          <w:lang w:eastAsia="ja-JP"/>
        </w:rPr>
        <w:t>Japanese</w:t>
      </w:r>
      <w:r w:rsidR="005672A6" w:rsidRPr="00D336AE">
        <w:rPr>
          <w:rFonts w:eastAsiaTheme="minorEastAsia"/>
          <w:sz w:val="24"/>
          <w:szCs w:val="24"/>
          <w:lang w:eastAsia="ja-JP"/>
        </w:rPr>
        <w:t xml:space="preserve"> populat</w:t>
      </w:r>
      <w:r w:rsidR="00992F6A" w:rsidRPr="00D336AE">
        <w:rPr>
          <w:rFonts w:eastAsiaTheme="minorEastAsia"/>
          <w:sz w:val="24"/>
          <w:szCs w:val="24"/>
          <w:lang w:eastAsia="ja-JP"/>
        </w:rPr>
        <w:t>io</w:t>
      </w:r>
      <w:r w:rsidR="005672A6" w:rsidRPr="00D336AE">
        <w:rPr>
          <w:rFonts w:eastAsiaTheme="minorEastAsia"/>
          <w:sz w:val="24"/>
          <w:szCs w:val="24"/>
          <w:lang w:eastAsia="ja-JP"/>
        </w:rPr>
        <w:t>n</w:t>
      </w:r>
      <w:r w:rsidR="00A54672" w:rsidRPr="00D336AE">
        <w:rPr>
          <w:rFonts w:eastAsiaTheme="minorEastAsia"/>
          <w:sz w:val="24"/>
          <w:szCs w:val="24"/>
          <w:lang w:eastAsia="ja-JP"/>
        </w:rPr>
        <w:t>, the favorable IL28B SNP is found in the majority of the population (</w:t>
      </w:r>
      <w:r w:rsidR="005672A6" w:rsidRPr="00D336AE">
        <w:rPr>
          <w:rFonts w:eastAsiaTheme="minorEastAsia"/>
          <w:sz w:val="24"/>
          <w:szCs w:val="24"/>
          <w:lang w:eastAsia="ja-JP"/>
        </w:rPr>
        <w:t xml:space="preserve">approximately </w:t>
      </w:r>
      <w:r w:rsidR="00A54672" w:rsidRPr="00D336AE">
        <w:rPr>
          <w:rFonts w:eastAsiaTheme="minorEastAsia"/>
          <w:sz w:val="24"/>
          <w:szCs w:val="24"/>
          <w:lang w:eastAsia="ja-JP"/>
        </w:rPr>
        <w:t>75%)</w:t>
      </w:r>
      <w:r w:rsidR="002556F0" w:rsidRPr="00D336AE">
        <w:rPr>
          <w:position w:val="6"/>
          <w:sz w:val="16"/>
          <w:szCs w:val="16"/>
        </w:rPr>
        <w:t>[</w:t>
      </w:r>
      <w:r w:rsidR="007A5CCB" w:rsidRPr="00D336AE">
        <w:rPr>
          <w:position w:val="6"/>
          <w:sz w:val="16"/>
          <w:szCs w:val="16"/>
        </w:rPr>
        <w:t>4</w:t>
      </w:r>
      <w:r w:rsidR="002556F0" w:rsidRPr="00D336AE">
        <w:rPr>
          <w:position w:val="6"/>
          <w:sz w:val="16"/>
          <w:szCs w:val="16"/>
        </w:rPr>
        <w:t>]</w:t>
      </w:r>
      <w:r w:rsidR="00A54672" w:rsidRPr="00D336AE">
        <w:rPr>
          <w:rFonts w:eastAsiaTheme="minorEastAsia"/>
          <w:sz w:val="24"/>
          <w:szCs w:val="24"/>
          <w:lang w:eastAsia="ja-JP"/>
        </w:rPr>
        <w:t xml:space="preserve">. Therefore, our results may not be </w:t>
      </w:r>
      <w:r w:rsidR="005672A6" w:rsidRPr="00D336AE">
        <w:rPr>
          <w:rFonts w:eastAsiaTheme="minorEastAsia"/>
          <w:sz w:val="24"/>
          <w:szCs w:val="24"/>
          <w:lang w:eastAsia="ja-JP"/>
        </w:rPr>
        <w:t>generalizable</w:t>
      </w:r>
      <w:r w:rsidR="00A54672" w:rsidRPr="00D336AE">
        <w:rPr>
          <w:rFonts w:eastAsiaTheme="minorEastAsia"/>
          <w:sz w:val="24"/>
          <w:szCs w:val="24"/>
          <w:lang w:eastAsia="ja-JP"/>
        </w:rPr>
        <w:t xml:space="preserve"> to other racial cohort</w:t>
      </w:r>
      <w:r w:rsidR="005672A6" w:rsidRPr="00D336AE">
        <w:rPr>
          <w:rFonts w:eastAsiaTheme="minorEastAsia"/>
          <w:sz w:val="24"/>
          <w:szCs w:val="24"/>
          <w:lang w:eastAsia="ja-JP"/>
        </w:rPr>
        <w:t>s</w:t>
      </w:r>
      <w:r w:rsidR="00A54672" w:rsidRPr="00D336AE">
        <w:rPr>
          <w:rFonts w:eastAsiaTheme="minorEastAsia"/>
          <w:sz w:val="24"/>
          <w:szCs w:val="24"/>
          <w:lang w:eastAsia="ja-JP"/>
        </w:rPr>
        <w:t xml:space="preserve">. Third, </w:t>
      </w:r>
      <w:r w:rsidR="005672A6" w:rsidRPr="00D336AE">
        <w:rPr>
          <w:rFonts w:eastAsiaTheme="minorEastAsia"/>
          <w:sz w:val="24"/>
          <w:szCs w:val="24"/>
          <w:lang w:eastAsia="ja-JP"/>
        </w:rPr>
        <w:t xml:space="preserve">the </w:t>
      </w:r>
      <w:r w:rsidR="00C31F7D" w:rsidRPr="00D336AE">
        <w:rPr>
          <w:rFonts w:eastAsiaTheme="minorEastAsia"/>
          <w:sz w:val="24"/>
          <w:szCs w:val="24"/>
          <w:lang w:eastAsia="ja-JP"/>
        </w:rPr>
        <w:t xml:space="preserve">older patients </w:t>
      </w:r>
      <w:r w:rsidR="005672A6" w:rsidRPr="00D336AE">
        <w:rPr>
          <w:rFonts w:eastAsiaTheme="minorEastAsia"/>
          <w:sz w:val="24"/>
          <w:szCs w:val="24"/>
          <w:lang w:eastAsia="ja-JP"/>
        </w:rPr>
        <w:t>who enrolled in the study did not have any</w:t>
      </w:r>
      <w:r w:rsidR="00C31F7D" w:rsidRPr="00D336AE">
        <w:rPr>
          <w:rFonts w:eastAsiaTheme="minorEastAsia"/>
          <w:sz w:val="24"/>
          <w:szCs w:val="24"/>
          <w:lang w:eastAsia="ja-JP"/>
        </w:rPr>
        <w:t xml:space="preserve"> severe baseline complications</w:t>
      </w:r>
      <w:r w:rsidR="005672A6" w:rsidRPr="00D336AE">
        <w:rPr>
          <w:rFonts w:eastAsiaTheme="minorEastAsia"/>
          <w:sz w:val="24"/>
          <w:szCs w:val="24"/>
          <w:lang w:eastAsia="ja-JP"/>
        </w:rPr>
        <w:t>,</w:t>
      </w:r>
      <w:r w:rsidR="00C31F7D" w:rsidRPr="00D336AE">
        <w:rPr>
          <w:rFonts w:eastAsiaTheme="minorEastAsia"/>
          <w:sz w:val="24"/>
          <w:szCs w:val="24"/>
          <w:lang w:eastAsia="ja-JP"/>
        </w:rPr>
        <w:t xml:space="preserve"> such as renal and hematological diseases</w:t>
      </w:r>
      <w:r w:rsidR="005672A6" w:rsidRPr="00D336AE">
        <w:rPr>
          <w:rFonts w:eastAsiaTheme="minorEastAsia"/>
          <w:sz w:val="24"/>
          <w:szCs w:val="24"/>
          <w:lang w:eastAsia="ja-JP"/>
        </w:rPr>
        <w:t xml:space="preserve">. Therefore, </w:t>
      </w:r>
      <w:r w:rsidR="00C31F7D" w:rsidRPr="00D336AE">
        <w:rPr>
          <w:rFonts w:eastAsiaTheme="minorEastAsia"/>
          <w:sz w:val="24"/>
          <w:szCs w:val="24"/>
          <w:lang w:eastAsia="ja-JP"/>
        </w:rPr>
        <w:t>the conclusion</w:t>
      </w:r>
      <w:r w:rsidR="005672A6" w:rsidRPr="00D336AE">
        <w:rPr>
          <w:rFonts w:eastAsiaTheme="minorEastAsia"/>
          <w:sz w:val="24"/>
          <w:szCs w:val="24"/>
          <w:lang w:eastAsia="ja-JP"/>
        </w:rPr>
        <w:t>s</w:t>
      </w:r>
      <w:r w:rsidR="00C31F7D" w:rsidRPr="00D336AE">
        <w:rPr>
          <w:rFonts w:eastAsiaTheme="minorEastAsia"/>
          <w:sz w:val="24"/>
          <w:szCs w:val="24"/>
          <w:lang w:eastAsia="ja-JP"/>
        </w:rPr>
        <w:t xml:space="preserve"> </w:t>
      </w:r>
      <w:r w:rsidR="005672A6" w:rsidRPr="00D336AE">
        <w:rPr>
          <w:rFonts w:eastAsiaTheme="minorEastAsia"/>
          <w:sz w:val="24"/>
          <w:szCs w:val="24"/>
          <w:lang w:eastAsia="ja-JP"/>
        </w:rPr>
        <w:t>drawn regarding</w:t>
      </w:r>
      <w:r w:rsidR="00C31F7D" w:rsidRPr="00D336AE">
        <w:rPr>
          <w:rFonts w:eastAsiaTheme="minorEastAsia"/>
          <w:sz w:val="24"/>
          <w:szCs w:val="24"/>
          <w:lang w:eastAsia="ja-JP"/>
        </w:rPr>
        <w:t xml:space="preserve"> the safety of triple therapies may be limited. </w:t>
      </w:r>
      <w:r w:rsidR="004678DC" w:rsidRPr="00D336AE">
        <w:rPr>
          <w:rFonts w:eastAsiaTheme="minorEastAsia"/>
          <w:sz w:val="24"/>
          <w:szCs w:val="24"/>
          <w:lang w:eastAsia="ja-JP"/>
        </w:rPr>
        <w:t xml:space="preserve">However, we believe that our selection of older patients for </w:t>
      </w:r>
      <w:r w:rsidR="005672A6" w:rsidRPr="00D336AE">
        <w:rPr>
          <w:rFonts w:eastAsiaTheme="minorEastAsia"/>
          <w:sz w:val="24"/>
          <w:szCs w:val="24"/>
          <w:lang w:eastAsia="ja-JP"/>
        </w:rPr>
        <w:t xml:space="preserve">the </w:t>
      </w:r>
      <w:r w:rsidR="004678DC" w:rsidRPr="00D336AE">
        <w:rPr>
          <w:rFonts w:eastAsiaTheme="minorEastAsia"/>
          <w:sz w:val="24"/>
          <w:szCs w:val="24"/>
          <w:lang w:eastAsia="ja-JP"/>
        </w:rPr>
        <w:t xml:space="preserve">triple therapies was appropriate and </w:t>
      </w:r>
      <w:r w:rsidR="00510C5A" w:rsidRPr="00D336AE">
        <w:rPr>
          <w:rFonts w:eastAsiaTheme="minorEastAsia"/>
          <w:sz w:val="24"/>
          <w:szCs w:val="24"/>
          <w:lang w:eastAsia="ja-JP"/>
        </w:rPr>
        <w:t>acceptable. The</w:t>
      </w:r>
      <w:r w:rsidR="005672A6" w:rsidRPr="00D336AE">
        <w:rPr>
          <w:rFonts w:eastAsiaTheme="minorEastAsia"/>
          <w:sz w:val="24"/>
          <w:szCs w:val="24"/>
          <w:lang w:eastAsia="ja-JP"/>
        </w:rPr>
        <w:t>refore</w:t>
      </w:r>
      <w:r w:rsidR="00510C5A" w:rsidRPr="00D336AE">
        <w:rPr>
          <w:rFonts w:eastAsiaTheme="minorEastAsia"/>
          <w:sz w:val="24"/>
          <w:szCs w:val="24"/>
          <w:lang w:eastAsia="ja-JP"/>
        </w:rPr>
        <w:t xml:space="preserve">, </w:t>
      </w:r>
      <w:r w:rsidR="004678DC" w:rsidRPr="00D336AE">
        <w:rPr>
          <w:rFonts w:eastAsiaTheme="minorEastAsia"/>
          <w:sz w:val="24"/>
          <w:szCs w:val="24"/>
          <w:lang w:eastAsia="ja-JP"/>
        </w:rPr>
        <w:t xml:space="preserve">our findings </w:t>
      </w:r>
      <w:r w:rsidR="005672A6" w:rsidRPr="00D336AE">
        <w:rPr>
          <w:rFonts w:eastAsiaTheme="minorEastAsia"/>
          <w:sz w:val="24"/>
          <w:szCs w:val="24"/>
          <w:lang w:eastAsia="ja-JP"/>
        </w:rPr>
        <w:t xml:space="preserve">regarding the absence of </w:t>
      </w:r>
      <w:r w:rsidR="004678DC" w:rsidRPr="00D336AE">
        <w:rPr>
          <w:rFonts w:eastAsiaTheme="minorEastAsia"/>
          <w:sz w:val="24"/>
          <w:szCs w:val="24"/>
          <w:lang w:eastAsia="ja-JP"/>
        </w:rPr>
        <w:t>severe adverse events</w:t>
      </w:r>
      <w:r w:rsidR="005672A6" w:rsidRPr="00D336AE">
        <w:rPr>
          <w:rFonts w:eastAsiaTheme="minorEastAsia"/>
          <w:sz w:val="24"/>
          <w:szCs w:val="24"/>
          <w:lang w:eastAsia="ja-JP"/>
        </w:rPr>
        <w:t>, e</w:t>
      </w:r>
      <w:r w:rsidR="004678DC" w:rsidRPr="00D336AE">
        <w:rPr>
          <w:rFonts w:eastAsiaTheme="minorEastAsia"/>
          <w:sz w:val="24"/>
          <w:szCs w:val="24"/>
          <w:lang w:eastAsia="ja-JP"/>
        </w:rPr>
        <w:t>ven in th</w:t>
      </w:r>
      <w:r w:rsidR="00510C5A" w:rsidRPr="00D336AE">
        <w:rPr>
          <w:rFonts w:eastAsiaTheme="minorEastAsia"/>
          <w:sz w:val="24"/>
          <w:szCs w:val="24"/>
          <w:lang w:eastAsia="ja-JP"/>
        </w:rPr>
        <w:t>e older patients</w:t>
      </w:r>
      <w:r w:rsidR="005672A6" w:rsidRPr="00D336AE">
        <w:rPr>
          <w:rFonts w:eastAsiaTheme="minorEastAsia"/>
          <w:sz w:val="24"/>
          <w:szCs w:val="24"/>
          <w:lang w:eastAsia="ja-JP"/>
        </w:rPr>
        <w:t>,</w:t>
      </w:r>
      <w:r w:rsidR="00510C5A" w:rsidRPr="00D336AE">
        <w:rPr>
          <w:rFonts w:eastAsiaTheme="minorEastAsia"/>
          <w:sz w:val="24"/>
          <w:szCs w:val="24"/>
          <w:lang w:eastAsia="ja-JP"/>
        </w:rPr>
        <w:t xml:space="preserve"> are important.</w:t>
      </w:r>
    </w:p>
    <w:p w:rsidR="000F55D1" w:rsidRPr="00D336AE" w:rsidRDefault="00F4402C" w:rsidP="006611DD">
      <w:pPr>
        <w:pStyle w:val="BodyText"/>
        <w:spacing w:line="360" w:lineRule="auto"/>
        <w:ind w:left="0" w:right="105"/>
        <w:jc w:val="both"/>
        <w:rPr>
          <w:rFonts w:eastAsiaTheme="minorEastAsia"/>
          <w:sz w:val="24"/>
          <w:szCs w:val="24"/>
          <w:lang w:eastAsia="ja-JP"/>
        </w:rPr>
      </w:pPr>
      <w:r w:rsidRPr="00D336AE">
        <w:rPr>
          <w:rFonts w:eastAsiaTheme="minorEastAsia" w:hint="eastAsia"/>
          <w:sz w:val="24"/>
          <w:szCs w:val="24"/>
          <w:lang w:eastAsia="ja-JP"/>
        </w:rPr>
        <w:t>Treatment for CHC has been chan</w:t>
      </w:r>
      <w:r w:rsidR="0031073E" w:rsidRPr="00D336AE">
        <w:rPr>
          <w:rFonts w:eastAsiaTheme="minorEastAsia" w:hint="eastAsia"/>
          <w:sz w:val="24"/>
          <w:szCs w:val="24"/>
          <w:lang w:eastAsia="ja-JP"/>
        </w:rPr>
        <w:t>ging world</w:t>
      </w:r>
      <w:r w:rsidR="0023081E" w:rsidRPr="00D336AE">
        <w:rPr>
          <w:rFonts w:eastAsiaTheme="minorEastAsia" w:hint="eastAsia"/>
          <w:sz w:val="24"/>
          <w:szCs w:val="24"/>
          <w:lang w:eastAsia="ja-JP"/>
        </w:rPr>
        <w:t>wide</w:t>
      </w:r>
      <w:r w:rsidR="009D328C" w:rsidRPr="00D336AE">
        <w:rPr>
          <w:position w:val="6"/>
          <w:sz w:val="16"/>
          <w:szCs w:val="16"/>
        </w:rPr>
        <w:t>[</w:t>
      </w:r>
      <w:r w:rsidR="008303E5" w:rsidRPr="00D336AE">
        <w:rPr>
          <w:position w:val="6"/>
          <w:sz w:val="16"/>
          <w:szCs w:val="16"/>
        </w:rPr>
        <w:t>30,31</w:t>
      </w:r>
      <w:r w:rsidR="00A01C25" w:rsidRPr="00D336AE">
        <w:rPr>
          <w:position w:val="6"/>
          <w:sz w:val="16"/>
          <w:szCs w:val="16"/>
        </w:rPr>
        <w:t>]</w:t>
      </w:r>
      <w:r w:rsidR="0023081E" w:rsidRPr="00D336AE">
        <w:rPr>
          <w:rFonts w:eastAsiaTheme="minorEastAsia" w:hint="eastAsia"/>
          <w:sz w:val="24"/>
          <w:szCs w:val="24"/>
          <w:lang w:eastAsia="ja-JP"/>
        </w:rPr>
        <w:t>, and</w:t>
      </w:r>
      <w:r w:rsidR="0023081E" w:rsidRPr="00D336AE">
        <w:rPr>
          <w:rFonts w:eastAsiaTheme="minorEastAsia"/>
          <w:sz w:val="24"/>
          <w:szCs w:val="24"/>
          <w:lang w:eastAsia="ja-JP"/>
        </w:rPr>
        <w:t xml:space="preserve"> </w:t>
      </w:r>
      <w:r w:rsidRPr="00D336AE">
        <w:rPr>
          <w:rFonts w:eastAsiaTheme="minorEastAsia" w:hint="eastAsia"/>
          <w:sz w:val="24"/>
          <w:szCs w:val="24"/>
          <w:lang w:eastAsia="ja-JP"/>
        </w:rPr>
        <w:t xml:space="preserve">IFN-free DAA combination therapies are </w:t>
      </w:r>
      <w:r w:rsidR="0023081E" w:rsidRPr="00D336AE">
        <w:rPr>
          <w:rFonts w:eastAsiaTheme="minorEastAsia"/>
          <w:sz w:val="24"/>
          <w:szCs w:val="24"/>
          <w:lang w:eastAsia="ja-JP"/>
        </w:rPr>
        <w:t xml:space="preserve">now </w:t>
      </w:r>
      <w:r w:rsidRPr="00D336AE">
        <w:rPr>
          <w:rFonts w:eastAsiaTheme="minorEastAsia" w:hint="eastAsia"/>
          <w:sz w:val="24"/>
          <w:szCs w:val="24"/>
          <w:lang w:eastAsia="ja-JP"/>
        </w:rPr>
        <w:t>ava</w:t>
      </w:r>
      <w:r w:rsidRPr="00D336AE">
        <w:rPr>
          <w:rFonts w:eastAsiaTheme="minorEastAsia"/>
          <w:sz w:val="24"/>
          <w:szCs w:val="24"/>
          <w:lang w:eastAsia="ja-JP"/>
        </w:rPr>
        <w:t>ilable</w:t>
      </w:r>
      <w:r w:rsidR="0023081E" w:rsidRPr="00D336AE">
        <w:rPr>
          <w:rFonts w:eastAsiaTheme="minorEastAsia"/>
          <w:sz w:val="24"/>
          <w:szCs w:val="24"/>
          <w:lang w:eastAsia="ja-JP"/>
        </w:rPr>
        <w:t xml:space="preserve"> </w:t>
      </w:r>
      <w:r w:rsidRPr="00D336AE">
        <w:rPr>
          <w:rFonts w:eastAsiaTheme="minorEastAsia"/>
          <w:sz w:val="24"/>
          <w:szCs w:val="24"/>
          <w:lang w:eastAsia="ja-JP"/>
        </w:rPr>
        <w:t xml:space="preserve">in Japan. Although the majority of </w:t>
      </w:r>
      <w:r w:rsidR="00384527">
        <w:rPr>
          <w:rFonts w:eastAsiaTheme="minorEastAsia"/>
          <w:sz w:val="24"/>
          <w:szCs w:val="24"/>
          <w:lang w:eastAsia="ja-JP"/>
        </w:rPr>
        <w:t xml:space="preserve">CHC </w:t>
      </w:r>
      <w:r w:rsidRPr="00D336AE">
        <w:rPr>
          <w:rFonts w:eastAsiaTheme="minorEastAsia"/>
          <w:sz w:val="24"/>
          <w:szCs w:val="24"/>
          <w:lang w:eastAsia="ja-JP"/>
        </w:rPr>
        <w:t xml:space="preserve">patients </w:t>
      </w:r>
      <w:r w:rsidR="0031073E" w:rsidRPr="00D336AE">
        <w:rPr>
          <w:rFonts w:eastAsiaTheme="minorEastAsia"/>
          <w:sz w:val="24"/>
          <w:szCs w:val="24"/>
          <w:lang w:eastAsia="ja-JP"/>
        </w:rPr>
        <w:t xml:space="preserve">are usually </w:t>
      </w:r>
      <w:r w:rsidRPr="00D336AE">
        <w:rPr>
          <w:rFonts w:eastAsiaTheme="minorEastAsia"/>
          <w:sz w:val="24"/>
          <w:szCs w:val="24"/>
          <w:lang w:eastAsia="ja-JP"/>
        </w:rPr>
        <w:t>treated with I</w:t>
      </w:r>
      <w:r w:rsidR="00691BDF" w:rsidRPr="00D336AE">
        <w:rPr>
          <w:rFonts w:eastAsiaTheme="minorEastAsia"/>
          <w:sz w:val="24"/>
          <w:szCs w:val="24"/>
          <w:lang w:eastAsia="ja-JP"/>
        </w:rPr>
        <w:t>FN</w:t>
      </w:r>
      <w:r w:rsidRPr="00D336AE">
        <w:rPr>
          <w:rFonts w:eastAsiaTheme="minorEastAsia"/>
          <w:sz w:val="24"/>
          <w:szCs w:val="24"/>
          <w:lang w:eastAsia="ja-JP"/>
        </w:rPr>
        <w:t xml:space="preserve">-free DAA combination </w:t>
      </w:r>
      <w:r w:rsidR="00384527">
        <w:rPr>
          <w:rFonts w:eastAsiaTheme="minorEastAsia"/>
          <w:sz w:val="24"/>
          <w:szCs w:val="24"/>
          <w:lang w:eastAsia="ja-JP"/>
        </w:rPr>
        <w:t>therapies</w:t>
      </w:r>
      <w:r w:rsidRPr="00D336AE">
        <w:rPr>
          <w:rFonts w:eastAsiaTheme="minorEastAsia"/>
          <w:sz w:val="24"/>
          <w:szCs w:val="24"/>
          <w:lang w:eastAsia="ja-JP"/>
        </w:rPr>
        <w:t xml:space="preserve">, </w:t>
      </w:r>
      <w:proofErr w:type="spellStart"/>
      <w:r w:rsidRPr="00D336AE">
        <w:rPr>
          <w:rFonts w:eastAsiaTheme="minorEastAsia"/>
          <w:sz w:val="24"/>
          <w:szCs w:val="24"/>
          <w:lang w:eastAsia="ja-JP"/>
        </w:rPr>
        <w:t>PegIFN</w:t>
      </w:r>
      <w:proofErr w:type="spellEnd"/>
      <w:r w:rsidRPr="00D336AE">
        <w:rPr>
          <w:rFonts w:eastAsiaTheme="minorEastAsia"/>
          <w:sz w:val="24"/>
          <w:szCs w:val="24"/>
          <w:lang w:eastAsia="ja-JP"/>
        </w:rPr>
        <w:t xml:space="preserve"> and RBV-based t</w:t>
      </w:r>
      <w:r w:rsidR="00A811F9">
        <w:rPr>
          <w:rFonts w:eastAsiaTheme="minorEastAsia"/>
          <w:sz w:val="24"/>
          <w:szCs w:val="24"/>
          <w:lang w:eastAsia="ja-JP"/>
        </w:rPr>
        <w:t>herapy</w:t>
      </w:r>
      <w:r w:rsidRPr="00D336AE">
        <w:rPr>
          <w:rFonts w:eastAsiaTheme="minorEastAsia"/>
          <w:sz w:val="24"/>
          <w:szCs w:val="24"/>
          <w:lang w:eastAsia="ja-JP"/>
        </w:rPr>
        <w:t xml:space="preserve"> may still have utility in a small number of patients </w:t>
      </w:r>
      <w:r w:rsidR="0023081E" w:rsidRPr="00D336AE">
        <w:rPr>
          <w:rFonts w:eastAsiaTheme="minorEastAsia"/>
          <w:sz w:val="24"/>
          <w:szCs w:val="24"/>
          <w:lang w:eastAsia="ja-JP"/>
        </w:rPr>
        <w:t>who</w:t>
      </w:r>
      <w:r w:rsidRPr="00D336AE">
        <w:rPr>
          <w:rFonts w:eastAsiaTheme="minorEastAsia"/>
          <w:sz w:val="24"/>
          <w:szCs w:val="24"/>
          <w:lang w:eastAsia="ja-JP"/>
        </w:rPr>
        <w:t xml:space="preserve"> do not show a favorable effect </w:t>
      </w:r>
      <w:r w:rsidR="0031073E" w:rsidRPr="00D336AE">
        <w:rPr>
          <w:rFonts w:eastAsiaTheme="minorEastAsia"/>
          <w:sz w:val="24"/>
          <w:szCs w:val="24"/>
          <w:lang w:eastAsia="ja-JP"/>
        </w:rPr>
        <w:t>after the treatment with</w:t>
      </w:r>
      <w:r w:rsidRPr="00D336AE">
        <w:rPr>
          <w:rFonts w:eastAsiaTheme="minorEastAsia"/>
          <w:sz w:val="24"/>
          <w:szCs w:val="24"/>
          <w:lang w:eastAsia="ja-JP"/>
        </w:rPr>
        <w:t xml:space="preserve"> IFN-free DAA therapies.</w:t>
      </w:r>
      <w:r w:rsidR="000F4673" w:rsidRPr="00D336AE">
        <w:rPr>
          <w:rFonts w:eastAsiaTheme="minorEastAsia"/>
          <w:sz w:val="24"/>
          <w:szCs w:val="24"/>
          <w:lang w:eastAsia="ja-JP"/>
        </w:rPr>
        <w:t xml:space="preserve"> </w:t>
      </w:r>
      <w:r w:rsidR="00FC0CA3" w:rsidRPr="00D336AE">
        <w:rPr>
          <w:rFonts w:eastAsiaTheme="minorEastAsia"/>
          <w:sz w:val="24"/>
          <w:szCs w:val="24"/>
          <w:lang w:eastAsia="ja-JP"/>
        </w:rPr>
        <w:t>Moreover, c</w:t>
      </w:r>
      <w:r w:rsidR="000F4673" w:rsidRPr="00D336AE">
        <w:rPr>
          <w:rFonts w:eastAsiaTheme="minorEastAsia"/>
          <w:sz w:val="24"/>
          <w:szCs w:val="24"/>
          <w:lang w:eastAsia="ja-JP"/>
        </w:rPr>
        <w:t xml:space="preserve">onsidering the effect of preventing HCC by an eradication of HCV, </w:t>
      </w:r>
      <w:r w:rsidR="00837EFC" w:rsidRPr="00D336AE">
        <w:rPr>
          <w:rFonts w:eastAsiaTheme="minorEastAsia"/>
          <w:sz w:val="24"/>
          <w:szCs w:val="24"/>
          <w:lang w:eastAsia="ja-JP"/>
        </w:rPr>
        <w:t>long</w:t>
      </w:r>
      <w:r w:rsidR="0031073E" w:rsidRPr="00D336AE">
        <w:rPr>
          <w:rFonts w:eastAsiaTheme="minorEastAsia"/>
          <w:sz w:val="24"/>
          <w:szCs w:val="24"/>
          <w:lang w:eastAsia="ja-JP"/>
        </w:rPr>
        <w:t>-</w:t>
      </w:r>
      <w:r w:rsidR="00837EFC" w:rsidRPr="00D336AE">
        <w:rPr>
          <w:rFonts w:eastAsiaTheme="minorEastAsia"/>
          <w:sz w:val="24"/>
          <w:szCs w:val="24"/>
          <w:lang w:eastAsia="ja-JP"/>
        </w:rPr>
        <w:t xml:space="preserve">term prevention of HCC has been shown only </w:t>
      </w:r>
      <w:r w:rsidR="0031073E" w:rsidRPr="00D336AE">
        <w:rPr>
          <w:rFonts w:eastAsiaTheme="minorEastAsia"/>
          <w:sz w:val="24"/>
          <w:szCs w:val="24"/>
          <w:lang w:eastAsia="ja-JP"/>
        </w:rPr>
        <w:t xml:space="preserve">through the use of </w:t>
      </w:r>
      <w:r w:rsidR="00837EFC" w:rsidRPr="00D336AE">
        <w:rPr>
          <w:rFonts w:eastAsiaTheme="minorEastAsia"/>
          <w:sz w:val="24"/>
          <w:szCs w:val="24"/>
          <w:lang w:eastAsia="ja-JP"/>
        </w:rPr>
        <w:t xml:space="preserve">IFN-based therapies </w:t>
      </w:r>
      <w:r w:rsidR="0031073E" w:rsidRPr="00D336AE">
        <w:rPr>
          <w:rFonts w:eastAsiaTheme="minorEastAsia"/>
          <w:sz w:val="24"/>
          <w:szCs w:val="24"/>
          <w:lang w:eastAsia="ja-JP"/>
        </w:rPr>
        <w:t>thus</w:t>
      </w:r>
      <w:r w:rsidR="00837EFC" w:rsidRPr="00D336AE">
        <w:rPr>
          <w:rFonts w:eastAsiaTheme="minorEastAsia"/>
          <w:sz w:val="24"/>
          <w:szCs w:val="24"/>
          <w:lang w:eastAsia="ja-JP"/>
        </w:rPr>
        <w:t xml:space="preserve"> far</w:t>
      </w:r>
      <w:r w:rsidR="00EE6F43" w:rsidRPr="00D336AE">
        <w:rPr>
          <w:position w:val="6"/>
          <w:sz w:val="16"/>
          <w:szCs w:val="16"/>
        </w:rPr>
        <w:t>[</w:t>
      </w:r>
      <w:r w:rsidR="00A01C25" w:rsidRPr="00D336AE">
        <w:rPr>
          <w:position w:val="6"/>
          <w:sz w:val="16"/>
          <w:szCs w:val="16"/>
        </w:rPr>
        <w:t>3</w:t>
      </w:r>
      <w:r w:rsidR="008303E5" w:rsidRPr="00D336AE">
        <w:rPr>
          <w:position w:val="6"/>
          <w:sz w:val="16"/>
          <w:szCs w:val="16"/>
        </w:rPr>
        <w:t>2,33</w:t>
      </w:r>
      <w:r w:rsidR="00EE6F43" w:rsidRPr="00D336AE">
        <w:rPr>
          <w:position w:val="6"/>
          <w:sz w:val="16"/>
          <w:szCs w:val="16"/>
        </w:rPr>
        <w:t>]</w:t>
      </w:r>
      <w:r w:rsidR="00837EFC" w:rsidRPr="00D336AE">
        <w:rPr>
          <w:rFonts w:eastAsiaTheme="minorEastAsia"/>
          <w:sz w:val="24"/>
          <w:szCs w:val="24"/>
          <w:lang w:eastAsia="ja-JP"/>
        </w:rPr>
        <w:t>.</w:t>
      </w:r>
      <w:r w:rsidR="00FC0CA3" w:rsidRPr="00D336AE">
        <w:rPr>
          <w:rFonts w:eastAsiaTheme="minorEastAsia"/>
          <w:sz w:val="24"/>
          <w:szCs w:val="24"/>
          <w:lang w:eastAsia="ja-JP"/>
        </w:rPr>
        <w:t xml:space="preserve"> Therefore, we believe that the present study w</w:t>
      </w:r>
      <w:r w:rsidR="0031073E" w:rsidRPr="00D336AE">
        <w:rPr>
          <w:rFonts w:eastAsiaTheme="minorEastAsia"/>
          <w:sz w:val="24"/>
          <w:szCs w:val="24"/>
          <w:lang w:eastAsia="ja-JP"/>
        </w:rPr>
        <w:t>ill</w:t>
      </w:r>
      <w:r w:rsidR="00FC0CA3" w:rsidRPr="00D336AE">
        <w:rPr>
          <w:rFonts w:eastAsiaTheme="minorEastAsia"/>
          <w:sz w:val="24"/>
          <w:szCs w:val="24"/>
          <w:lang w:eastAsia="ja-JP"/>
        </w:rPr>
        <w:t xml:space="preserve"> provide useful information </w:t>
      </w:r>
      <w:r w:rsidR="0031073E" w:rsidRPr="00D336AE">
        <w:rPr>
          <w:rFonts w:eastAsiaTheme="minorEastAsia"/>
          <w:sz w:val="24"/>
          <w:szCs w:val="24"/>
          <w:lang w:eastAsia="ja-JP"/>
        </w:rPr>
        <w:t xml:space="preserve">regarding </w:t>
      </w:r>
      <w:r w:rsidR="00FC0CA3" w:rsidRPr="00D336AE">
        <w:rPr>
          <w:rFonts w:eastAsiaTheme="minorEastAsia"/>
          <w:sz w:val="24"/>
          <w:szCs w:val="24"/>
          <w:lang w:eastAsia="ja-JP"/>
        </w:rPr>
        <w:t xml:space="preserve">antiviral treatment for </w:t>
      </w:r>
      <w:r w:rsidR="0031073E" w:rsidRPr="00D336AE">
        <w:rPr>
          <w:rFonts w:eastAsiaTheme="minorEastAsia"/>
          <w:sz w:val="24"/>
          <w:szCs w:val="24"/>
          <w:lang w:eastAsia="ja-JP"/>
        </w:rPr>
        <w:t>older</w:t>
      </w:r>
      <w:r w:rsidR="00FC0CA3" w:rsidRPr="00D336AE">
        <w:rPr>
          <w:rFonts w:eastAsiaTheme="minorEastAsia"/>
          <w:sz w:val="24"/>
          <w:szCs w:val="24"/>
          <w:lang w:eastAsia="ja-JP"/>
        </w:rPr>
        <w:t xml:space="preserve"> patients with CHC.</w:t>
      </w:r>
    </w:p>
    <w:p w:rsidR="000F55D1" w:rsidRPr="00D336AE" w:rsidRDefault="00207555" w:rsidP="006611DD">
      <w:pPr>
        <w:pStyle w:val="BodyText"/>
        <w:spacing w:line="360" w:lineRule="auto"/>
        <w:ind w:left="0" w:right="103"/>
        <w:jc w:val="both"/>
        <w:rPr>
          <w:sz w:val="24"/>
          <w:szCs w:val="24"/>
        </w:rPr>
      </w:pPr>
      <w:r w:rsidRPr="00D336AE">
        <w:rPr>
          <w:rFonts w:cs="Book Antiqua"/>
          <w:bCs/>
          <w:sz w:val="24"/>
          <w:szCs w:val="24"/>
        </w:rPr>
        <w:t xml:space="preserve">In conclusion, we found that both </w:t>
      </w:r>
      <w:r w:rsidRPr="00D336AE">
        <w:rPr>
          <w:sz w:val="24"/>
          <w:szCs w:val="24"/>
        </w:rPr>
        <w:t xml:space="preserve">TVR- and SMV-based triple therapies can be successfully used to treat patients aged 66 years </w:t>
      </w:r>
      <w:r w:rsidR="0031073E" w:rsidRPr="00D336AE">
        <w:rPr>
          <w:sz w:val="24"/>
          <w:szCs w:val="24"/>
        </w:rPr>
        <w:t>or older</w:t>
      </w:r>
      <w:r w:rsidRPr="00D336AE">
        <w:rPr>
          <w:sz w:val="24"/>
          <w:szCs w:val="24"/>
        </w:rPr>
        <w:t xml:space="preserve"> with genotype 1b CHC. </w:t>
      </w:r>
      <w:r w:rsidR="0031073E" w:rsidRPr="00D336AE">
        <w:rPr>
          <w:sz w:val="24"/>
          <w:szCs w:val="24"/>
        </w:rPr>
        <w:t xml:space="preserve">The </w:t>
      </w:r>
      <w:r w:rsidR="0031073E" w:rsidRPr="00D336AE">
        <w:rPr>
          <w:sz w:val="24"/>
          <w:szCs w:val="24"/>
        </w:rPr>
        <w:lastRenderedPageBreak/>
        <w:t>IL28B genotype</w:t>
      </w:r>
      <w:r w:rsidRPr="00D336AE">
        <w:rPr>
          <w:sz w:val="24"/>
          <w:szCs w:val="24"/>
        </w:rPr>
        <w:t xml:space="preserve"> indicates </w:t>
      </w:r>
      <w:r w:rsidR="0031073E" w:rsidRPr="00D336AE">
        <w:rPr>
          <w:sz w:val="24"/>
          <w:szCs w:val="24"/>
        </w:rPr>
        <w:t>a</w:t>
      </w:r>
      <w:r w:rsidRPr="00D336AE">
        <w:rPr>
          <w:sz w:val="24"/>
          <w:szCs w:val="24"/>
        </w:rPr>
        <w:t xml:space="preserve"> potential to achieve SVR in these difficult-to-treat older patients.</w:t>
      </w:r>
    </w:p>
    <w:p w:rsidR="00207555" w:rsidRPr="00D336AE" w:rsidRDefault="00207555" w:rsidP="006611DD">
      <w:pPr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</w:p>
    <w:p w:rsidR="00034A66" w:rsidRPr="00D336AE" w:rsidRDefault="00034A66" w:rsidP="006611DD">
      <w:pPr>
        <w:pStyle w:val="Heading1"/>
        <w:spacing w:before="145" w:line="360" w:lineRule="auto"/>
        <w:ind w:left="0"/>
        <w:jc w:val="both"/>
        <w:rPr>
          <w:b w:val="0"/>
          <w:bCs w:val="0"/>
          <w:sz w:val="24"/>
          <w:szCs w:val="24"/>
        </w:rPr>
      </w:pPr>
      <w:r w:rsidRPr="00D336AE">
        <w:rPr>
          <w:sz w:val="24"/>
          <w:szCs w:val="24"/>
        </w:rPr>
        <w:t>COMMENTS</w:t>
      </w:r>
    </w:p>
    <w:p w:rsidR="00034A66" w:rsidRPr="00D336AE" w:rsidRDefault="00034A66" w:rsidP="006611DD">
      <w:pPr>
        <w:pStyle w:val="Heading2"/>
        <w:spacing w:before="144" w:line="360" w:lineRule="auto"/>
        <w:ind w:left="0"/>
        <w:jc w:val="both"/>
        <w:rPr>
          <w:b w:val="0"/>
          <w:bCs w:val="0"/>
          <w:i w:val="0"/>
          <w:sz w:val="24"/>
          <w:szCs w:val="24"/>
        </w:rPr>
      </w:pPr>
      <w:r w:rsidRPr="00D336AE">
        <w:rPr>
          <w:sz w:val="24"/>
          <w:szCs w:val="24"/>
        </w:rPr>
        <w:t>Background</w:t>
      </w:r>
    </w:p>
    <w:p w:rsidR="00691BDF" w:rsidRPr="00384527" w:rsidRDefault="00961066" w:rsidP="006611DD">
      <w:pPr>
        <w:pStyle w:val="BodyText"/>
        <w:spacing w:before="144" w:line="360" w:lineRule="auto"/>
        <w:ind w:left="0" w:right="104"/>
        <w:jc w:val="both"/>
        <w:rPr>
          <w:rFonts w:eastAsiaTheme="minorEastAsia"/>
          <w:sz w:val="24"/>
          <w:szCs w:val="24"/>
          <w:lang w:eastAsia="ja-JP"/>
        </w:rPr>
      </w:pPr>
      <w:r w:rsidRPr="00D336AE">
        <w:rPr>
          <w:rFonts w:eastAsiaTheme="minorEastAsia" w:hint="eastAsia"/>
          <w:sz w:val="24"/>
          <w:szCs w:val="24"/>
          <w:lang w:eastAsia="ja-JP"/>
        </w:rPr>
        <w:t xml:space="preserve">In Japan, </w:t>
      </w:r>
      <w:r w:rsidRPr="00D336AE">
        <w:rPr>
          <w:rFonts w:eastAsiaTheme="minorEastAsia"/>
          <w:sz w:val="24"/>
          <w:szCs w:val="24"/>
          <w:lang w:eastAsia="ja-JP"/>
        </w:rPr>
        <w:t>an estimated 1.5-2 million people</w:t>
      </w:r>
      <w:r w:rsidR="00384527">
        <w:rPr>
          <w:rFonts w:eastAsiaTheme="minorEastAsia"/>
          <w:sz w:val="24"/>
          <w:szCs w:val="24"/>
          <w:lang w:eastAsia="ja-JP"/>
        </w:rPr>
        <w:t xml:space="preserve"> are</w:t>
      </w:r>
      <w:r w:rsidRPr="00D336AE">
        <w:rPr>
          <w:rFonts w:eastAsiaTheme="minorEastAsia"/>
          <w:sz w:val="24"/>
          <w:szCs w:val="24"/>
          <w:lang w:eastAsia="ja-JP"/>
        </w:rPr>
        <w:t xml:space="preserve"> infected with hepatitis C virus (HCV), and these patients </w:t>
      </w:r>
      <w:r w:rsidRPr="00D336AE">
        <w:rPr>
          <w:rFonts w:eastAsiaTheme="minorEastAsia" w:hint="eastAsia"/>
          <w:sz w:val="24"/>
          <w:szCs w:val="24"/>
          <w:lang w:eastAsia="ja-JP"/>
        </w:rPr>
        <w:t xml:space="preserve">are older than </w:t>
      </w:r>
      <w:r w:rsidRPr="00D336AE">
        <w:rPr>
          <w:rFonts w:eastAsiaTheme="minorEastAsia"/>
          <w:sz w:val="24"/>
          <w:szCs w:val="24"/>
          <w:lang w:eastAsia="ja-JP"/>
        </w:rPr>
        <w:t>those infected</w:t>
      </w:r>
      <w:r w:rsidRPr="00D336AE">
        <w:rPr>
          <w:rFonts w:eastAsiaTheme="minorEastAsia" w:hint="eastAsia"/>
          <w:sz w:val="24"/>
          <w:szCs w:val="24"/>
          <w:lang w:eastAsia="ja-JP"/>
        </w:rPr>
        <w:t xml:space="preserve"> in </w:t>
      </w:r>
      <w:r w:rsidR="00800F49" w:rsidRPr="00D336AE">
        <w:rPr>
          <w:rFonts w:eastAsiaTheme="minorEastAsia" w:hint="eastAsia"/>
          <w:sz w:val="24"/>
          <w:szCs w:val="24"/>
          <w:lang w:eastAsia="ja-JP"/>
        </w:rPr>
        <w:t xml:space="preserve">Europe </w:t>
      </w:r>
      <w:r w:rsidRPr="00D336AE">
        <w:rPr>
          <w:rFonts w:eastAsiaTheme="minorEastAsia" w:hint="eastAsia"/>
          <w:sz w:val="24"/>
          <w:szCs w:val="24"/>
          <w:lang w:eastAsia="ja-JP"/>
        </w:rPr>
        <w:t>and</w:t>
      </w:r>
      <w:r w:rsidR="00800F49" w:rsidRPr="00800F49">
        <w:rPr>
          <w:rFonts w:eastAsiaTheme="minorEastAsia" w:hint="eastAsia"/>
          <w:sz w:val="24"/>
          <w:szCs w:val="24"/>
          <w:lang w:eastAsia="ja-JP"/>
        </w:rPr>
        <w:t xml:space="preserve"> </w:t>
      </w:r>
      <w:r w:rsidR="00800F49" w:rsidRPr="00D336AE">
        <w:rPr>
          <w:rFonts w:eastAsiaTheme="minorEastAsia" w:hint="eastAsia"/>
          <w:sz w:val="24"/>
          <w:szCs w:val="24"/>
          <w:lang w:eastAsia="ja-JP"/>
        </w:rPr>
        <w:t>the United States</w:t>
      </w:r>
      <w:r w:rsidRPr="00D336AE">
        <w:rPr>
          <w:rFonts w:eastAsiaTheme="minorEastAsia" w:hint="eastAsia"/>
          <w:sz w:val="24"/>
          <w:szCs w:val="24"/>
          <w:lang w:eastAsia="ja-JP"/>
        </w:rPr>
        <w:t>.</w:t>
      </w:r>
      <w:r w:rsidRPr="00D336AE">
        <w:rPr>
          <w:rFonts w:eastAsiaTheme="minorEastAsia"/>
          <w:sz w:val="24"/>
          <w:szCs w:val="24"/>
          <w:lang w:eastAsia="ja-JP"/>
        </w:rPr>
        <w:t xml:space="preserve"> However, previous studies describing the </w:t>
      </w:r>
      <w:r w:rsidR="00393D59" w:rsidRPr="00D336AE">
        <w:rPr>
          <w:rFonts w:eastAsiaTheme="minorEastAsia"/>
          <w:sz w:val="24"/>
          <w:szCs w:val="24"/>
          <w:lang w:eastAsia="ja-JP"/>
        </w:rPr>
        <w:t xml:space="preserve">safety </w:t>
      </w:r>
      <w:r w:rsidRPr="00D336AE">
        <w:rPr>
          <w:rFonts w:eastAsiaTheme="minorEastAsia"/>
          <w:sz w:val="24"/>
          <w:szCs w:val="24"/>
          <w:lang w:eastAsia="ja-JP"/>
        </w:rPr>
        <w:t xml:space="preserve">and </w:t>
      </w:r>
      <w:r w:rsidR="00393D59" w:rsidRPr="00D336AE">
        <w:rPr>
          <w:rFonts w:eastAsiaTheme="minorEastAsia"/>
          <w:sz w:val="24"/>
          <w:szCs w:val="24"/>
          <w:lang w:eastAsia="ja-JP"/>
        </w:rPr>
        <w:t xml:space="preserve">efficacy </w:t>
      </w:r>
      <w:r w:rsidRPr="00D336AE">
        <w:rPr>
          <w:rFonts w:eastAsiaTheme="minorEastAsia"/>
          <w:sz w:val="24"/>
          <w:szCs w:val="24"/>
          <w:lang w:eastAsia="ja-JP"/>
        </w:rPr>
        <w:t xml:space="preserve">of </w:t>
      </w:r>
      <w:proofErr w:type="spellStart"/>
      <w:r w:rsidRPr="00D336AE">
        <w:rPr>
          <w:rFonts w:eastAsiaTheme="minorEastAsia"/>
          <w:sz w:val="24"/>
          <w:szCs w:val="24"/>
          <w:lang w:eastAsia="ja-JP"/>
        </w:rPr>
        <w:t>telaprevir</w:t>
      </w:r>
      <w:proofErr w:type="spellEnd"/>
      <w:r w:rsidRPr="00D336AE">
        <w:rPr>
          <w:rFonts w:eastAsiaTheme="minorEastAsia"/>
          <w:sz w:val="24"/>
          <w:szCs w:val="24"/>
          <w:lang w:eastAsia="ja-JP"/>
        </w:rPr>
        <w:t xml:space="preserve"> (TVR)- and </w:t>
      </w:r>
      <w:proofErr w:type="spellStart"/>
      <w:r w:rsidRPr="00D336AE">
        <w:rPr>
          <w:rFonts w:eastAsiaTheme="minorEastAsia"/>
          <w:sz w:val="24"/>
          <w:szCs w:val="24"/>
          <w:lang w:eastAsia="ja-JP"/>
        </w:rPr>
        <w:t>simeprevir</w:t>
      </w:r>
      <w:proofErr w:type="spellEnd"/>
      <w:r w:rsidRPr="00D336AE">
        <w:rPr>
          <w:rFonts w:eastAsiaTheme="minorEastAsia"/>
          <w:sz w:val="24"/>
          <w:szCs w:val="24"/>
          <w:lang w:eastAsia="ja-JP"/>
        </w:rPr>
        <w:t xml:space="preserve"> (SMV)-based triple therapies, especially in </w:t>
      </w:r>
      <w:r w:rsidR="00393D59">
        <w:rPr>
          <w:rFonts w:eastAsiaTheme="minorEastAsia"/>
          <w:sz w:val="24"/>
          <w:szCs w:val="24"/>
          <w:lang w:eastAsia="ja-JP"/>
        </w:rPr>
        <w:t>elderly</w:t>
      </w:r>
      <w:r w:rsidRPr="00D336AE">
        <w:rPr>
          <w:rFonts w:eastAsiaTheme="minorEastAsia"/>
          <w:sz w:val="24"/>
          <w:szCs w:val="24"/>
          <w:lang w:eastAsia="ja-JP"/>
        </w:rPr>
        <w:t xml:space="preserve"> patients with chronic HCV infections, are limited.</w:t>
      </w:r>
      <w:r w:rsidR="00691BDF" w:rsidRPr="00D336AE">
        <w:rPr>
          <w:sz w:val="24"/>
          <w:szCs w:val="24"/>
        </w:rPr>
        <w:t xml:space="preserve"> </w:t>
      </w:r>
    </w:p>
    <w:p w:rsidR="00034A66" w:rsidRPr="00D336AE" w:rsidRDefault="00034A66" w:rsidP="006611DD">
      <w:pPr>
        <w:pStyle w:val="BodyText"/>
        <w:spacing w:before="2" w:line="360" w:lineRule="auto"/>
        <w:ind w:left="0" w:right="105"/>
        <w:jc w:val="both"/>
        <w:rPr>
          <w:sz w:val="24"/>
          <w:szCs w:val="24"/>
        </w:rPr>
      </w:pPr>
    </w:p>
    <w:p w:rsidR="00034A66" w:rsidRPr="00D336AE" w:rsidRDefault="00034A66" w:rsidP="006611DD">
      <w:pPr>
        <w:pStyle w:val="Heading2"/>
        <w:spacing w:before="144" w:line="360" w:lineRule="auto"/>
        <w:ind w:left="0"/>
        <w:jc w:val="both"/>
        <w:rPr>
          <w:b w:val="0"/>
          <w:bCs w:val="0"/>
          <w:i w:val="0"/>
          <w:sz w:val="24"/>
          <w:szCs w:val="24"/>
        </w:rPr>
      </w:pPr>
      <w:r w:rsidRPr="00D336AE">
        <w:rPr>
          <w:sz w:val="24"/>
          <w:szCs w:val="24"/>
        </w:rPr>
        <w:t>Research frontiers</w:t>
      </w:r>
    </w:p>
    <w:p w:rsidR="00691BDF" w:rsidRPr="00D336AE" w:rsidRDefault="00EE57E4" w:rsidP="006611DD">
      <w:pPr>
        <w:pStyle w:val="BodyText"/>
        <w:spacing w:before="144" w:line="360" w:lineRule="auto"/>
        <w:ind w:left="0" w:right="104"/>
        <w:jc w:val="both"/>
        <w:rPr>
          <w:sz w:val="24"/>
          <w:szCs w:val="24"/>
        </w:rPr>
      </w:pPr>
      <w:r w:rsidRPr="00D336AE">
        <w:rPr>
          <w:sz w:val="24"/>
          <w:szCs w:val="24"/>
        </w:rPr>
        <w:t xml:space="preserve">The patients were </w:t>
      </w:r>
      <w:r w:rsidR="00800F49">
        <w:rPr>
          <w:sz w:val="24"/>
          <w:szCs w:val="24"/>
        </w:rPr>
        <w:t>categorized</w:t>
      </w:r>
      <w:r w:rsidRPr="00D336AE">
        <w:rPr>
          <w:sz w:val="24"/>
          <w:szCs w:val="24"/>
        </w:rPr>
        <w:t xml:space="preserve"> into two groups according to age as follows: </w:t>
      </w:r>
      <w:r w:rsidR="00393D59" w:rsidRPr="00D336AE">
        <w:rPr>
          <w:sz w:val="24"/>
          <w:szCs w:val="24"/>
        </w:rPr>
        <w:t xml:space="preserve">a younger group of patients aged ≤65 years old </w:t>
      </w:r>
      <w:r w:rsidRPr="00D336AE">
        <w:rPr>
          <w:sz w:val="24"/>
          <w:szCs w:val="24"/>
        </w:rPr>
        <w:t>and</w:t>
      </w:r>
      <w:r w:rsidR="00393D59" w:rsidRPr="00393D59">
        <w:rPr>
          <w:sz w:val="24"/>
          <w:szCs w:val="24"/>
        </w:rPr>
        <w:t xml:space="preserve"> </w:t>
      </w:r>
      <w:r w:rsidR="00393D59" w:rsidRPr="00D336AE">
        <w:rPr>
          <w:sz w:val="24"/>
          <w:szCs w:val="24"/>
        </w:rPr>
        <w:t>an older group of patients aged &gt;65 years old</w:t>
      </w:r>
      <w:r w:rsidRPr="00D336AE">
        <w:rPr>
          <w:sz w:val="24"/>
          <w:szCs w:val="24"/>
        </w:rPr>
        <w:t xml:space="preserve">. </w:t>
      </w:r>
      <w:r w:rsidR="003A2A4D" w:rsidRPr="00D336AE">
        <w:rPr>
          <w:sz w:val="24"/>
          <w:szCs w:val="24"/>
        </w:rPr>
        <w:t xml:space="preserve">The rate of </w:t>
      </w:r>
      <w:r w:rsidRPr="00D336AE">
        <w:rPr>
          <w:sz w:val="24"/>
          <w:szCs w:val="24"/>
        </w:rPr>
        <w:t xml:space="preserve">sustained </w:t>
      </w:r>
      <w:proofErr w:type="spellStart"/>
      <w:r w:rsidRPr="00D336AE">
        <w:rPr>
          <w:sz w:val="24"/>
          <w:szCs w:val="24"/>
        </w:rPr>
        <w:t>virological</w:t>
      </w:r>
      <w:proofErr w:type="spellEnd"/>
      <w:r w:rsidRPr="00D336AE">
        <w:rPr>
          <w:sz w:val="24"/>
          <w:szCs w:val="24"/>
        </w:rPr>
        <w:t xml:space="preserve"> response (</w:t>
      </w:r>
      <w:r w:rsidR="003A2A4D" w:rsidRPr="00D336AE">
        <w:rPr>
          <w:sz w:val="24"/>
          <w:szCs w:val="24"/>
        </w:rPr>
        <w:t>SVR</w:t>
      </w:r>
      <w:r w:rsidRPr="00D336AE">
        <w:rPr>
          <w:sz w:val="24"/>
          <w:szCs w:val="24"/>
        </w:rPr>
        <w:t>)</w:t>
      </w:r>
      <w:r w:rsidR="003A2A4D" w:rsidRPr="00D336AE">
        <w:rPr>
          <w:sz w:val="24"/>
          <w:szCs w:val="24"/>
        </w:rPr>
        <w:t xml:space="preserve"> did not significantly differ between the </w:t>
      </w:r>
      <w:r w:rsidR="00800F49" w:rsidRPr="00D336AE">
        <w:rPr>
          <w:sz w:val="24"/>
          <w:szCs w:val="24"/>
        </w:rPr>
        <w:t xml:space="preserve">younger </w:t>
      </w:r>
      <w:r w:rsidR="003A2A4D" w:rsidRPr="00D336AE">
        <w:rPr>
          <w:sz w:val="24"/>
          <w:szCs w:val="24"/>
        </w:rPr>
        <w:t>and</w:t>
      </w:r>
      <w:r w:rsidR="00800F49" w:rsidRPr="00800F49">
        <w:rPr>
          <w:sz w:val="24"/>
          <w:szCs w:val="24"/>
        </w:rPr>
        <w:t xml:space="preserve"> </w:t>
      </w:r>
      <w:r w:rsidR="00800F49" w:rsidRPr="00D336AE">
        <w:rPr>
          <w:sz w:val="24"/>
          <w:szCs w:val="24"/>
        </w:rPr>
        <w:t>older</w:t>
      </w:r>
      <w:r w:rsidR="003A2A4D" w:rsidRPr="00D336AE">
        <w:rPr>
          <w:sz w:val="24"/>
          <w:szCs w:val="24"/>
        </w:rPr>
        <w:t xml:space="preserve"> patients in both the TVR and SMV groups. </w:t>
      </w:r>
      <w:r w:rsidRPr="00D336AE">
        <w:rPr>
          <w:sz w:val="24"/>
          <w:szCs w:val="24"/>
        </w:rPr>
        <w:t>T</w:t>
      </w:r>
      <w:r w:rsidR="003A2A4D" w:rsidRPr="00D336AE">
        <w:rPr>
          <w:sz w:val="24"/>
          <w:szCs w:val="24"/>
        </w:rPr>
        <w:t xml:space="preserve">he rate of SVR did not significantly differ between the TVR and SMV group, although the rate of </w:t>
      </w:r>
      <w:r w:rsidRPr="00D336AE">
        <w:rPr>
          <w:sz w:val="24"/>
          <w:szCs w:val="24"/>
        </w:rPr>
        <w:t xml:space="preserve">rapid </w:t>
      </w:r>
      <w:proofErr w:type="spellStart"/>
      <w:r w:rsidRPr="00D336AE">
        <w:rPr>
          <w:sz w:val="24"/>
          <w:szCs w:val="24"/>
        </w:rPr>
        <w:t>virological</w:t>
      </w:r>
      <w:proofErr w:type="spellEnd"/>
      <w:r w:rsidRPr="00D336AE">
        <w:rPr>
          <w:sz w:val="24"/>
          <w:szCs w:val="24"/>
        </w:rPr>
        <w:t xml:space="preserve"> response (</w:t>
      </w:r>
      <w:r w:rsidR="003A2A4D" w:rsidRPr="00D336AE">
        <w:rPr>
          <w:sz w:val="24"/>
          <w:szCs w:val="24"/>
        </w:rPr>
        <w:t>RVR</w:t>
      </w:r>
      <w:r w:rsidRPr="00D336AE">
        <w:rPr>
          <w:sz w:val="24"/>
          <w:szCs w:val="24"/>
        </w:rPr>
        <w:t>)</w:t>
      </w:r>
      <w:r w:rsidR="003A2A4D" w:rsidRPr="00D336AE">
        <w:rPr>
          <w:sz w:val="24"/>
          <w:szCs w:val="24"/>
        </w:rPr>
        <w:t xml:space="preserve"> was significantly higher in the SMV group than the TVR group. The rate of adverse events resulted in treatment discontinuation did not differ between the </w:t>
      </w:r>
      <w:r w:rsidR="00800F49" w:rsidRPr="00D336AE">
        <w:rPr>
          <w:sz w:val="24"/>
          <w:szCs w:val="24"/>
        </w:rPr>
        <w:t xml:space="preserve">younger </w:t>
      </w:r>
      <w:r w:rsidR="003A2A4D" w:rsidRPr="00D336AE">
        <w:rPr>
          <w:sz w:val="24"/>
          <w:szCs w:val="24"/>
        </w:rPr>
        <w:t xml:space="preserve">and </w:t>
      </w:r>
      <w:r w:rsidR="00800F49" w:rsidRPr="00D336AE">
        <w:rPr>
          <w:sz w:val="24"/>
          <w:szCs w:val="24"/>
        </w:rPr>
        <w:t xml:space="preserve">older </w:t>
      </w:r>
      <w:r w:rsidR="003A2A4D" w:rsidRPr="00D336AE">
        <w:rPr>
          <w:sz w:val="24"/>
          <w:szCs w:val="24"/>
        </w:rPr>
        <w:t>patients in both TVR and SMV group, although a higher frequency and severity of adverse events has been reported in patients treated with TVR-based triple therapy compared to patients treated wi</w:t>
      </w:r>
      <w:r w:rsidRPr="00D336AE">
        <w:rPr>
          <w:sz w:val="24"/>
          <w:szCs w:val="24"/>
        </w:rPr>
        <w:t xml:space="preserve">th </w:t>
      </w:r>
      <w:proofErr w:type="spellStart"/>
      <w:r w:rsidRPr="00D336AE">
        <w:rPr>
          <w:sz w:val="24"/>
          <w:szCs w:val="24"/>
        </w:rPr>
        <w:t>PegIFN</w:t>
      </w:r>
      <w:proofErr w:type="spellEnd"/>
      <w:r w:rsidRPr="00D336AE">
        <w:rPr>
          <w:sz w:val="24"/>
          <w:szCs w:val="24"/>
        </w:rPr>
        <w:t xml:space="preserve"> and RBV dual therapy</w:t>
      </w:r>
      <w:r w:rsidR="003A2A4D" w:rsidRPr="00D336AE">
        <w:rPr>
          <w:sz w:val="24"/>
          <w:szCs w:val="24"/>
        </w:rPr>
        <w:t>.</w:t>
      </w:r>
    </w:p>
    <w:p w:rsidR="00034A66" w:rsidRPr="00D336AE" w:rsidRDefault="00034A66" w:rsidP="006611DD">
      <w:pPr>
        <w:pStyle w:val="BodyText"/>
        <w:spacing w:before="2" w:line="360" w:lineRule="auto"/>
        <w:ind w:left="0" w:right="105"/>
        <w:jc w:val="both"/>
        <w:rPr>
          <w:sz w:val="24"/>
          <w:szCs w:val="24"/>
        </w:rPr>
      </w:pPr>
    </w:p>
    <w:p w:rsidR="00034A66" w:rsidRPr="00D336AE" w:rsidRDefault="00034A66" w:rsidP="006611DD">
      <w:pPr>
        <w:pStyle w:val="Heading2"/>
        <w:spacing w:before="144" w:line="360" w:lineRule="auto"/>
        <w:ind w:left="0"/>
        <w:jc w:val="both"/>
        <w:rPr>
          <w:b w:val="0"/>
          <w:bCs w:val="0"/>
          <w:i w:val="0"/>
          <w:sz w:val="24"/>
          <w:szCs w:val="24"/>
        </w:rPr>
      </w:pPr>
      <w:r w:rsidRPr="00D336AE">
        <w:rPr>
          <w:sz w:val="24"/>
          <w:szCs w:val="24"/>
        </w:rPr>
        <w:t>Innovations and breakthrough</w:t>
      </w:r>
    </w:p>
    <w:p w:rsidR="00034A66" w:rsidRPr="00D336AE" w:rsidRDefault="00691BDF" w:rsidP="006611DD">
      <w:pPr>
        <w:pStyle w:val="BodyText"/>
        <w:spacing w:before="144" w:line="360" w:lineRule="auto"/>
        <w:ind w:left="0" w:right="104"/>
        <w:jc w:val="both"/>
        <w:rPr>
          <w:sz w:val="24"/>
          <w:szCs w:val="24"/>
        </w:rPr>
      </w:pPr>
      <w:r w:rsidRPr="00D336AE">
        <w:rPr>
          <w:rFonts w:cs="Book Antiqua"/>
          <w:bCs/>
          <w:sz w:val="24"/>
          <w:szCs w:val="24"/>
        </w:rPr>
        <w:t xml:space="preserve">In this study, we found that both </w:t>
      </w:r>
      <w:r w:rsidRPr="00D336AE">
        <w:rPr>
          <w:sz w:val="24"/>
          <w:szCs w:val="24"/>
        </w:rPr>
        <w:t xml:space="preserve">TVR- and SMV-based triple therapies can be successfully used to treat patients aged 66 years or older with genotype 1b CHC. The IL28B genotype indicates a potential to achieve SVR in these difficult-to-treat </w:t>
      </w:r>
      <w:r w:rsidR="0059360D">
        <w:rPr>
          <w:sz w:val="24"/>
          <w:szCs w:val="24"/>
        </w:rPr>
        <w:t>elderly</w:t>
      </w:r>
      <w:r w:rsidRPr="00D336AE">
        <w:rPr>
          <w:sz w:val="24"/>
          <w:szCs w:val="24"/>
        </w:rPr>
        <w:t xml:space="preserve"> </w:t>
      </w:r>
      <w:r w:rsidRPr="00D336AE">
        <w:rPr>
          <w:sz w:val="24"/>
          <w:szCs w:val="24"/>
        </w:rPr>
        <w:lastRenderedPageBreak/>
        <w:t xml:space="preserve">patients. </w:t>
      </w:r>
    </w:p>
    <w:p w:rsidR="00034A66" w:rsidRPr="00D336AE" w:rsidRDefault="00034A66" w:rsidP="006611DD">
      <w:pPr>
        <w:spacing w:line="360" w:lineRule="auto"/>
        <w:rPr>
          <w:sz w:val="24"/>
          <w:szCs w:val="24"/>
        </w:rPr>
      </w:pPr>
    </w:p>
    <w:p w:rsidR="00034A66" w:rsidRPr="00D336AE" w:rsidRDefault="00034A66" w:rsidP="006611DD">
      <w:pPr>
        <w:pStyle w:val="Heading2"/>
        <w:spacing w:before="144" w:line="360" w:lineRule="auto"/>
        <w:ind w:left="0"/>
        <w:jc w:val="both"/>
        <w:rPr>
          <w:b w:val="0"/>
          <w:bCs w:val="0"/>
          <w:i w:val="0"/>
          <w:sz w:val="24"/>
          <w:szCs w:val="24"/>
        </w:rPr>
      </w:pPr>
      <w:r w:rsidRPr="00D336AE">
        <w:rPr>
          <w:sz w:val="24"/>
          <w:szCs w:val="24"/>
        </w:rPr>
        <w:t>Applications</w:t>
      </w:r>
    </w:p>
    <w:p w:rsidR="00691BDF" w:rsidRPr="00D336AE" w:rsidRDefault="00691BDF" w:rsidP="006611DD">
      <w:pPr>
        <w:pStyle w:val="BodyText"/>
        <w:spacing w:before="144" w:line="360" w:lineRule="auto"/>
        <w:ind w:left="0" w:right="104"/>
        <w:jc w:val="both"/>
        <w:rPr>
          <w:sz w:val="24"/>
          <w:szCs w:val="24"/>
        </w:rPr>
      </w:pPr>
      <w:r w:rsidRPr="00D336AE">
        <w:rPr>
          <w:sz w:val="24"/>
          <w:szCs w:val="24"/>
        </w:rPr>
        <w:t xml:space="preserve">Treatment for CHC has been changing worldwide, and </w:t>
      </w:r>
      <w:r w:rsidR="00EE57E4" w:rsidRPr="00D336AE">
        <w:rPr>
          <w:sz w:val="24"/>
          <w:szCs w:val="24"/>
        </w:rPr>
        <w:t>interferon (</w:t>
      </w:r>
      <w:r w:rsidRPr="00D336AE">
        <w:rPr>
          <w:sz w:val="24"/>
          <w:szCs w:val="24"/>
        </w:rPr>
        <w:t>IFN</w:t>
      </w:r>
      <w:r w:rsidR="00EE57E4" w:rsidRPr="00D336AE">
        <w:rPr>
          <w:sz w:val="24"/>
          <w:szCs w:val="24"/>
        </w:rPr>
        <w:t>)</w:t>
      </w:r>
      <w:r w:rsidRPr="00D336AE">
        <w:rPr>
          <w:sz w:val="24"/>
          <w:szCs w:val="24"/>
        </w:rPr>
        <w:t xml:space="preserve">-free </w:t>
      </w:r>
      <w:r w:rsidR="00EE57E4" w:rsidRPr="00D336AE">
        <w:rPr>
          <w:sz w:val="24"/>
          <w:szCs w:val="24"/>
        </w:rPr>
        <w:t>direct-acting antiviral agents (DAA)</w:t>
      </w:r>
      <w:r w:rsidRPr="00D336AE">
        <w:rPr>
          <w:sz w:val="24"/>
          <w:szCs w:val="24"/>
        </w:rPr>
        <w:t xml:space="preserve"> combination therapies are now available in. Although the majority of </w:t>
      </w:r>
      <w:r w:rsidR="00384527">
        <w:rPr>
          <w:sz w:val="24"/>
          <w:szCs w:val="24"/>
        </w:rPr>
        <w:t xml:space="preserve">CHC </w:t>
      </w:r>
      <w:r w:rsidRPr="00D336AE">
        <w:rPr>
          <w:sz w:val="24"/>
          <w:szCs w:val="24"/>
        </w:rPr>
        <w:t xml:space="preserve">patients are usually treated with IFN-free DAA combination </w:t>
      </w:r>
      <w:r w:rsidR="00384527">
        <w:rPr>
          <w:sz w:val="24"/>
          <w:szCs w:val="24"/>
        </w:rPr>
        <w:t>therapies</w:t>
      </w:r>
      <w:r w:rsidRPr="00D336AE">
        <w:rPr>
          <w:sz w:val="24"/>
          <w:szCs w:val="24"/>
        </w:rPr>
        <w:t xml:space="preserve">, </w:t>
      </w:r>
      <w:proofErr w:type="spellStart"/>
      <w:r w:rsidRPr="00D336AE">
        <w:rPr>
          <w:sz w:val="24"/>
          <w:szCs w:val="24"/>
        </w:rPr>
        <w:t>pegylated</w:t>
      </w:r>
      <w:proofErr w:type="spellEnd"/>
      <w:r w:rsidRPr="00D336AE">
        <w:rPr>
          <w:sz w:val="24"/>
          <w:szCs w:val="24"/>
        </w:rPr>
        <w:t xml:space="preserve"> interferon (</w:t>
      </w:r>
      <w:proofErr w:type="spellStart"/>
      <w:r w:rsidRPr="00D336AE">
        <w:rPr>
          <w:sz w:val="24"/>
          <w:szCs w:val="24"/>
        </w:rPr>
        <w:t>PegIFN</w:t>
      </w:r>
      <w:proofErr w:type="spellEnd"/>
      <w:r w:rsidRPr="00D336AE">
        <w:rPr>
          <w:sz w:val="24"/>
          <w:szCs w:val="24"/>
        </w:rPr>
        <w:t xml:space="preserve">) α and ribavirin (RBV)-based </w:t>
      </w:r>
      <w:r w:rsidR="0059360D">
        <w:rPr>
          <w:sz w:val="24"/>
          <w:szCs w:val="24"/>
        </w:rPr>
        <w:t>therapy</w:t>
      </w:r>
      <w:r w:rsidRPr="00D336AE">
        <w:rPr>
          <w:sz w:val="24"/>
          <w:szCs w:val="24"/>
        </w:rPr>
        <w:t xml:space="preserve"> may still have utility in a small number of patients who do not show a favorable effect after the treatment with IFN-free DAA therapies. Importantly, HCV mutants that are resistant to multiple IFN-free DAA therapies have been shown to be sensitive to IFN-based therapies. Moreover, considering the effect of preventing HCC by an eradication of HCV, long-term prevention of HCC has been shown only through the use of IFN-based therapies thus far. Therefore, we believe that the present study will still provide useful information regarding antiviral treatment for older patients with CHC.</w:t>
      </w:r>
    </w:p>
    <w:p w:rsidR="00034A66" w:rsidRPr="00AD5087" w:rsidRDefault="00034A66" w:rsidP="006611DD">
      <w:pPr>
        <w:pStyle w:val="BodyText"/>
        <w:spacing w:before="2" w:line="360" w:lineRule="auto"/>
        <w:ind w:left="0" w:right="105"/>
        <w:jc w:val="both"/>
        <w:rPr>
          <w:rFonts w:eastAsia="宋体"/>
          <w:sz w:val="24"/>
          <w:szCs w:val="24"/>
          <w:lang w:eastAsia="zh-CN"/>
        </w:rPr>
      </w:pPr>
    </w:p>
    <w:p w:rsidR="00034A66" w:rsidRPr="00D336AE" w:rsidRDefault="00034A66" w:rsidP="006611DD">
      <w:pPr>
        <w:pStyle w:val="Heading2"/>
        <w:spacing w:before="144" w:line="360" w:lineRule="auto"/>
        <w:ind w:left="0"/>
        <w:jc w:val="both"/>
        <w:rPr>
          <w:b w:val="0"/>
          <w:bCs w:val="0"/>
          <w:i w:val="0"/>
          <w:sz w:val="24"/>
          <w:szCs w:val="24"/>
        </w:rPr>
      </w:pPr>
      <w:r w:rsidRPr="00D336AE">
        <w:rPr>
          <w:sz w:val="24"/>
          <w:szCs w:val="24"/>
        </w:rPr>
        <w:t>Terminology</w:t>
      </w:r>
    </w:p>
    <w:p w:rsidR="00691BDF" w:rsidRPr="00D336AE" w:rsidRDefault="00691BDF" w:rsidP="006611DD">
      <w:pPr>
        <w:pStyle w:val="BodyText"/>
        <w:spacing w:before="144" w:line="360" w:lineRule="auto"/>
        <w:ind w:left="0" w:right="104"/>
        <w:jc w:val="both"/>
        <w:rPr>
          <w:sz w:val="24"/>
          <w:szCs w:val="24"/>
        </w:rPr>
      </w:pPr>
      <w:r w:rsidRPr="00D336AE">
        <w:rPr>
          <w:sz w:val="24"/>
          <w:szCs w:val="24"/>
        </w:rPr>
        <w:t>TVR: An HCV non-structural 3/4A (NS3/4A) protease inhibitor. SMV: A second-generation oral HCV NS3/4A protease inhibitor with antiviral activity against HCV genotype 1, 2, 4, 5, and 6 infections.</w:t>
      </w:r>
    </w:p>
    <w:p w:rsidR="00034A66" w:rsidRPr="00D336AE" w:rsidRDefault="00034A66" w:rsidP="006611DD">
      <w:pPr>
        <w:pStyle w:val="BodyText"/>
        <w:spacing w:before="2" w:line="360" w:lineRule="auto"/>
        <w:ind w:left="0" w:right="105"/>
        <w:jc w:val="both"/>
        <w:rPr>
          <w:sz w:val="24"/>
          <w:szCs w:val="24"/>
        </w:rPr>
      </w:pPr>
    </w:p>
    <w:p w:rsidR="00D31DE5" w:rsidRDefault="00D31DE5" w:rsidP="00D31DE5">
      <w:pPr>
        <w:pStyle w:val="Heading2"/>
        <w:spacing w:before="144" w:line="360" w:lineRule="auto"/>
        <w:ind w:left="0"/>
        <w:jc w:val="both"/>
        <w:rPr>
          <w:rFonts w:eastAsia="宋体"/>
          <w:sz w:val="24"/>
          <w:szCs w:val="24"/>
          <w:lang w:eastAsia="zh-CN"/>
        </w:rPr>
      </w:pPr>
      <w:r w:rsidRPr="00D31DE5">
        <w:rPr>
          <w:rFonts w:hint="eastAsia"/>
          <w:sz w:val="24"/>
          <w:szCs w:val="24"/>
        </w:rPr>
        <w:t>Peer-review</w:t>
      </w:r>
    </w:p>
    <w:p w:rsidR="003A2A4D" w:rsidRPr="00D31DE5" w:rsidRDefault="00D31DE5" w:rsidP="00D31DE5">
      <w:pPr>
        <w:pStyle w:val="Heading2"/>
        <w:spacing w:before="144" w:line="360" w:lineRule="auto"/>
        <w:ind w:left="0"/>
        <w:jc w:val="both"/>
        <w:rPr>
          <w:b w:val="0"/>
          <w:i w:val="0"/>
          <w:sz w:val="24"/>
          <w:szCs w:val="24"/>
        </w:rPr>
      </w:pPr>
      <w:r w:rsidRPr="00D31DE5">
        <w:rPr>
          <w:b w:val="0"/>
          <w:i w:val="0"/>
          <w:sz w:val="24"/>
          <w:szCs w:val="24"/>
        </w:rPr>
        <w:t xml:space="preserve">The manuscript is well written and it is clear. </w:t>
      </w:r>
      <w:r w:rsidR="003A2A4D" w:rsidRPr="00D31DE5">
        <w:rPr>
          <w:b w:val="0"/>
          <w:i w:val="0"/>
          <w:sz w:val="24"/>
          <w:szCs w:val="24"/>
        </w:rPr>
        <w:br w:type="page"/>
      </w:r>
    </w:p>
    <w:p w:rsidR="00525284" w:rsidRPr="00D31DE5" w:rsidRDefault="00525284" w:rsidP="00D31DE5">
      <w:pPr>
        <w:pStyle w:val="Heading2"/>
        <w:spacing w:before="144" w:line="360" w:lineRule="auto"/>
        <w:ind w:left="0"/>
        <w:jc w:val="both"/>
        <w:rPr>
          <w:b w:val="0"/>
          <w:i w:val="0"/>
          <w:sz w:val="24"/>
          <w:szCs w:val="24"/>
        </w:rPr>
        <w:sectPr w:rsidR="00525284" w:rsidRPr="00D31DE5" w:rsidSect="006611DD">
          <w:footerReference w:type="default" r:id="rId9"/>
          <w:pgSz w:w="11910" w:h="16840"/>
          <w:pgMar w:top="1300" w:right="1240" w:bottom="2100" w:left="1560" w:header="0" w:footer="1918" w:gutter="0"/>
          <w:cols w:space="720"/>
        </w:sectPr>
      </w:pPr>
    </w:p>
    <w:p w:rsidR="0087331B" w:rsidRPr="0087331B" w:rsidRDefault="00E302E1" w:rsidP="006611DD">
      <w:pPr>
        <w:pStyle w:val="Heading1"/>
        <w:spacing w:before="40" w:line="360" w:lineRule="auto"/>
        <w:ind w:left="0"/>
        <w:jc w:val="both"/>
        <w:rPr>
          <w:rFonts w:eastAsia="宋体"/>
          <w:sz w:val="24"/>
          <w:szCs w:val="24"/>
          <w:lang w:eastAsia="zh-CN"/>
        </w:rPr>
      </w:pPr>
      <w:r w:rsidRPr="00D336AE">
        <w:rPr>
          <w:sz w:val="24"/>
          <w:szCs w:val="24"/>
        </w:rPr>
        <w:lastRenderedPageBreak/>
        <w:t>REFERENCES</w:t>
      </w:r>
    </w:p>
    <w:p w:rsidR="0087331B" w:rsidRPr="0087331B" w:rsidRDefault="0087331B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proofErr w:type="spellStart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Seeff</w:t>
      </w:r>
      <w:proofErr w:type="spellEnd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 xml:space="preserve"> LB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Buskell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-Bales Z, Wright EC,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Durako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SJ, Alter HJ,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Iber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FL, Hollinger FB,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Gitnick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G,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Knodell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RG,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Perrillo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RP. Long-term mortality after transfusion-associated non-A, non-B hepatitis. The National Heart, Lung, and Blood Institute Study Group. </w:t>
      </w:r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 xml:space="preserve">N </w:t>
      </w:r>
      <w:proofErr w:type="spellStart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Engl</w:t>
      </w:r>
      <w:proofErr w:type="spellEnd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 xml:space="preserve"> J Med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1992; </w:t>
      </w: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327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1906-1911 [PMID: 1454085 DOI: 10.1056/NEJM199212313272703]</w:t>
      </w:r>
    </w:p>
    <w:p w:rsidR="0087331B" w:rsidRPr="0087331B" w:rsidRDefault="0087331B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proofErr w:type="spellStart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Mohd</w:t>
      </w:r>
      <w:proofErr w:type="spellEnd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 xml:space="preserve"> </w:t>
      </w:r>
      <w:proofErr w:type="spellStart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Hanafiah</w:t>
      </w:r>
      <w:proofErr w:type="spellEnd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 xml:space="preserve"> K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Groeger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J, Flaxman AD,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Wiersma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ST. Global epidemiology of hepatitis C virus infection: new estimates of age-specific antibody to HCV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seroprevalence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. </w:t>
      </w:r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Hepatology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2013; </w:t>
      </w: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57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1333-1342 [PMID: 23172780 DOI: 10.1002/hep.26141]</w:t>
      </w:r>
    </w:p>
    <w:p w:rsidR="0087331B" w:rsidRPr="0087331B" w:rsidRDefault="0087331B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proofErr w:type="spellStart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Namiki</w:t>
      </w:r>
      <w:proofErr w:type="spellEnd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 xml:space="preserve"> I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Nishiguchi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S, Hino K, Suzuki F,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Kumada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H, Itoh Y,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Asahina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Y,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Tamori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A,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Hiramatsu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N, Hayashi N, Kudo M. Management of hepatitis C; Report of the Consensus Meeting at the 45th Annual Meeting of the Japan Society of Hepatology (2009). </w:t>
      </w:r>
      <w:proofErr w:type="spellStart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Hepatol</w:t>
      </w:r>
      <w:proofErr w:type="spellEnd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 xml:space="preserve"> Res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2010; </w:t>
      </w: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40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347-368 [PMID: 20394674]</w:t>
      </w:r>
    </w:p>
    <w:p w:rsidR="0087331B" w:rsidRPr="0087331B" w:rsidRDefault="0087331B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proofErr w:type="spellStart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Furusyo</w:t>
      </w:r>
      <w:proofErr w:type="spellEnd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 xml:space="preserve"> N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, Ogawa E,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Nakamuta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M,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Kajiwara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E, Nomura H,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Dohmen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K, Takahashi K, Satoh T, Azuma K, Kawano A, Tanabe Y,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Kotoh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K,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Shimoda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S, Hayashi J.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Telaprevir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can be successfully and safely used to treat older patients with genotype 1b chronic hepatitis C. </w:t>
      </w:r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 xml:space="preserve">J </w:t>
      </w:r>
      <w:proofErr w:type="spellStart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Hepatol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2013; </w:t>
      </w: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59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205-212 [PMID: 23542346 DOI: 10.1016/j.jhep.2013.03.020]</w:t>
      </w:r>
    </w:p>
    <w:p w:rsidR="0087331B" w:rsidRPr="0087331B" w:rsidRDefault="0087331B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proofErr w:type="spellStart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Asahina</w:t>
      </w:r>
      <w:proofErr w:type="spellEnd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 xml:space="preserve"> Y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, Tsuchiya K, Tamaki N, Hirayama I, Tanaka T, Sato M,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Yasui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Y, Hosokawa T, Ueda K,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Kuzuya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T, Nakanishi H,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Itakura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J, Takahashi Y, Kurosaki M,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Enomoto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N, Izumi N. Effect of aging on risk for hepatocellular carcinoma in chronic hepatitis C virus infection. </w:t>
      </w:r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Hepatology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2010; </w:t>
      </w: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52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518-527 [PMID: 20683951 DOI: 10.1002/hep.23691]</w:t>
      </w:r>
    </w:p>
    <w:p w:rsidR="0087331B" w:rsidRPr="0087331B" w:rsidRDefault="0087331B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proofErr w:type="spellStart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Zeuzem</w:t>
      </w:r>
      <w:proofErr w:type="spellEnd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 xml:space="preserve"> S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. Heterogeneous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virologic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response rates to interferon-based therapy in patients with chronic hepatitis C: who responds less well? </w:t>
      </w:r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Ann Intern Med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2004; </w:t>
      </w: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140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370-381 [PMID: 14996679]</w:t>
      </w:r>
    </w:p>
    <w:p w:rsidR="0087331B" w:rsidRPr="0087331B" w:rsidRDefault="0087331B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Honda T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, Katano Y, Shimizu J,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Ishizu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Y,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Doizaki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M, Hayashi K,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Ishigami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M, Itoh A,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Hirooka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Y, Nakano I,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Urano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F, Yoshioka K, Toyoda H,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Kumada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T,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Goto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H. Efficacy of peginterferon-alpha-2b plus ribavirin in patients aged 65 years and 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lastRenderedPageBreak/>
        <w:t>older with chronic hepatitis C. </w:t>
      </w:r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 xml:space="preserve">Liver </w:t>
      </w:r>
      <w:proofErr w:type="spellStart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Int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2010; </w:t>
      </w: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30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527-537 [PMID: 19523048 DOI: 10.1111/j.1478-3231.2009.02064.x]</w:t>
      </w:r>
    </w:p>
    <w:p w:rsidR="0087331B" w:rsidRPr="0087331B" w:rsidRDefault="0087331B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proofErr w:type="spellStart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Furusyo</w:t>
      </w:r>
      <w:proofErr w:type="spellEnd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 xml:space="preserve"> N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, Ogawa E,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Sudoh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M, Murata M, Ihara T, Hayashi T,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Ikezaki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H,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Hiramine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S,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Mukae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H, Toyoda K,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Taniai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H, Okada K,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Kainuma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M,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Kajiwara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E, Hayashi J.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Raloxifene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hydrochloride is an adjuvant antiviral treatment of postmenopausal women with chronic hepatitis C: a randomized trial. </w:t>
      </w:r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 xml:space="preserve">J </w:t>
      </w:r>
      <w:proofErr w:type="spellStart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Hepatol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2012; </w:t>
      </w: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57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1186-1192 [PMID: 22889955 DOI: 10.1016/j.jhep.2012.08.003]</w:t>
      </w:r>
    </w:p>
    <w:p w:rsidR="0087331B" w:rsidRPr="0087331B" w:rsidRDefault="0087331B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Reddy KR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Zeuzem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S,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Zoulim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F, Weiland O,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Horban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A,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Stanciu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C,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Villamil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FG,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Andreone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P, George J,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Dammers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E, Fu M, Kurland D, Lenz O,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Ouwerkerk-Mahadevan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S,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Verbinnen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T, Scott J,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Jessner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W.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Simeprevir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versus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telaprevir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with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peginterferon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and ribavirin in previous null or partial responders with chronic hepatitis C virus genotype 1 infection (ATTAIN): a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randomised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, double-blind, non-inferiority phase 3 trial. </w:t>
      </w:r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Lancet Infect Dis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2015; </w:t>
      </w: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15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27-35 [PMID: 25482330 DOI: 10.1016/S1473-3099(14)71002-3]</w:t>
      </w:r>
    </w:p>
    <w:p w:rsidR="0087331B" w:rsidRPr="0087331B" w:rsidRDefault="0087331B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Jacobson IM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McHutchison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JG,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Dusheiko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G, Di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Bisceglie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AM, Reddy KR,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Bzowej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NH, Marcellin P, Muir AJ,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Ferenci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P,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Flisiak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R, George J,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Rizzetto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M,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Shouval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D, Sola R,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Terg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RA, Yoshida EM,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Adda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N,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Bengtsson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L,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Sankoh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AJ,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Kieffer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TL, George S, Kauffman RS,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Zeuzem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S.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Telaprevir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for previously untreated chronic hepatitis C virus infection. </w:t>
      </w:r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 xml:space="preserve">N </w:t>
      </w:r>
      <w:proofErr w:type="spellStart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Engl</w:t>
      </w:r>
      <w:proofErr w:type="spellEnd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 xml:space="preserve"> J Med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2011; </w:t>
      </w: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364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2405-2416 [PMID: 21696307 DOI: 10.1056/NEJMoa1012912]</w:t>
      </w:r>
    </w:p>
    <w:p w:rsidR="0087331B" w:rsidRPr="0087331B" w:rsidRDefault="0087331B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proofErr w:type="spellStart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Zeuzem</w:t>
      </w:r>
      <w:proofErr w:type="spellEnd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 xml:space="preserve"> S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Andreone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P, Pol S,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Lawitz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E,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Diago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M, Roberts S, Focaccia R,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Younossi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Z, Foster GR,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Horban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A,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Ferenci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P,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Nevens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F,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Müllhaupt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B,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Pockros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P,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Terg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R,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Shouval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D, van Hoek B, Weiland O, Van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Heeswijk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R, De Meyer S, Luo D,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Boogaerts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G, Polo R,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Picchio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G,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Beumont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M.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Telaprevir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for retreatment of HCV infection. </w:t>
      </w:r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 xml:space="preserve">N </w:t>
      </w:r>
      <w:proofErr w:type="spellStart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Engl</w:t>
      </w:r>
      <w:proofErr w:type="spellEnd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 xml:space="preserve"> J Med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2011; </w:t>
      </w: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364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2417-2428 [PMID: 21696308 DOI: 10.1056/NEJMoa1013086]</w:t>
      </w:r>
    </w:p>
    <w:p w:rsidR="0087331B" w:rsidRPr="0087331B" w:rsidRDefault="0087331B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Fried MW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Buti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M, Dore GJ,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Flisiak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R,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Ferenci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P, Jacobson I, Marcellin P,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Manns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M,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Nikitin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I,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Poordad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F, Sherman M,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Zeuzem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S, Scott J, Gilles L, Lenz O,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Peeters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M,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Sekar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V, De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Smedt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G,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Beumont-Mauviel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M. Once-daily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simeprevir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(TMC435) with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pegylated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interferon and ribavirin in treatment-naïve genotype 1 hepatitis C: the 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lastRenderedPageBreak/>
        <w:t>randomized PILLAR study. </w:t>
      </w:r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Hepatology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2013; </w:t>
      </w: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58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1918-1929 [PMID: 23907700 DOI: 10.1002/hep.26641]</w:t>
      </w:r>
    </w:p>
    <w:p w:rsidR="0087331B" w:rsidRPr="0087331B" w:rsidRDefault="0087331B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Jacobson IM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, Dore GJ, Foster GR, Fried MW,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Radu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M,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Rafalsky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VV,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Moroz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L,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Craxi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A,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Peeters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M, Lenz O,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Ouwerkerk-Mahadevan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S, De La Rosa G,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Kalmeijer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R, Scott J, Sinha R,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Beumont-Mauviel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M.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Simeprevir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with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pegylated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interferon alfa 2a plus ribavirin in treatment-naive patients with chronic hepatitis C virus genotype 1 infection (QUEST-1): a phase 3,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randomised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, double-blind, placebo-controlled trial. </w:t>
      </w:r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Lancet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2014; </w:t>
      </w: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384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403-413 [PMID: 24907225 DOI: 10.1016/S0140-6736(14)60494-3]</w:t>
      </w:r>
    </w:p>
    <w:p w:rsidR="0087331B" w:rsidRPr="0087331B" w:rsidRDefault="0087331B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Hayashi N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, Izumi N,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Kumada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H,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Okanoue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T,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Tsubouchi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H,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Yatsuhashi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H, Kato M, Ki R,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Komada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Y,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Seto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C,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Goto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S.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Simeprevir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with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peginterferon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/ribavirin for treatment-naïve hepatitis C genotype 1 patients in Japan: CONCERTO-1, a phase III trial. </w:t>
      </w:r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 xml:space="preserve">J </w:t>
      </w:r>
      <w:proofErr w:type="spellStart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Hepatol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2014; </w:t>
      </w: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61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219-227 [PMID: 24727123]</w:t>
      </w:r>
    </w:p>
    <w:p w:rsidR="0087331B" w:rsidRPr="0087331B" w:rsidRDefault="0087331B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Izumi N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, Hayashi N,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Kumada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H,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Okanoue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T,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Tsubouchi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H,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Yatsuhashi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H, Kato M, Ki R,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Komada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Y,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Seto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C,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Goto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S. Once-daily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simeprevir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with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peginterferon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and ribavirin for treatment-experienced HCV genotype 1-infected patients in Japan: the CONCERTO-2 and CONCERTO-3 studies. </w:t>
      </w:r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 xml:space="preserve">J </w:t>
      </w:r>
      <w:proofErr w:type="spellStart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Gastroenterol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2014; </w:t>
      </w: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49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941-953 [PMID: 24626851 DOI: 10.1007/s00535-014-0949-8]</w:t>
      </w:r>
    </w:p>
    <w:p w:rsidR="0087331B" w:rsidRPr="0087331B" w:rsidRDefault="0087331B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proofErr w:type="spellStart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Kumada</w:t>
      </w:r>
      <w:proofErr w:type="spellEnd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 xml:space="preserve"> H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, Hayashi N, Izumi N,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Okanoue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T,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Tsubouchi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H,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Yatsuhashi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H, Kato M,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Rito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K,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Komada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Y,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Seto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C,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Goto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S.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Simeprevir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(TMC435) once daily with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peginterferon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-α-2b and ribavirin in patients with genotype 1 hepatitis C virus infection: The CONCERTO-4 study. </w:t>
      </w:r>
      <w:proofErr w:type="spellStart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Hepatol</w:t>
      </w:r>
      <w:proofErr w:type="spellEnd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 xml:space="preserve"> Res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2015; </w:t>
      </w: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45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501-513 [PMID: 24961662 DOI: 10.1111/hepr.12375]</w:t>
      </w:r>
    </w:p>
    <w:p w:rsidR="0087331B" w:rsidRPr="0087331B" w:rsidRDefault="0087331B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proofErr w:type="spellStart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Bedossa</w:t>
      </w:r>
      <w:proofErr w:type="spellEnd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 xml:space="preserve"> P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Poynard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T. An algorithm for the grading of activity in chronic hepatitis C. The METAVIR Cooperative Study Group. </w:t>
      </w:r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Hepatology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1996; </w:t>
      </w: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24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289-293 [PMID: 8690394 DOI: 10.1002/hep.510240201]</w:t>
      </w:r>
    </w:p>
    <w:p w:rsidR="0087331B" w:rsidRPr="0087331B" w:rsidRDefault="0087331B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proofErr w:type="spellStart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Enomoto</w:t>
      </w:r>
      <w:proofErr w:type="spellEnd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 xml:space="preserve"> N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, Sakuma I,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Asahina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Y, Kurosaki M, Murakami T, Yamamoto C, Ogura Y, Izumi N,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Marumo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F, Sato C. Mutations in the nonstructural protein 5A gene and response to interferon in patients with chronic hepatitis C virus 1b infection. </w:t>
      </w:r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 xml:space="preserve">N </w:t>
      </w:r>
      <w:proofErr w:type="spellStart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Engl</w:t>
      </w:r>
      <w:proofErr w:type="spellEnd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 xml:space="preserve"> J Med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1996; </w:t>
      </w: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334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77-81 [PMID: 8531962 DOI: 10.1056/NEJM199601113340203]</w:t>
      </w:r>
    </w:p>
    <w:p w:rsidR="0087331B" w:rsidRPr="0087331B" w:rsidRDefault="0087331B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proofErr w:type="spellStart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lastRenderedPageBreak/>
        <w:t>Akuta</w:t>
      </w:r>
      <w:proofErr w:type="spellEnd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 xml:space="preserve"> N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, Suzuki F,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Sezaki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H, Suzuki Y,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Hosaka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T,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Someya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T, Kobayashi M,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Saitoh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S,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Watahiki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S, Sato J, Matsuda M, Kobayashi M, Arase Y, Ikeda K,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Kumada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H. Association of amino acid substitution pattern in core protein of hepatitis C virus genotype 1b high viral load and non-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virological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response to interferon-ribavirin combination therapy. </w:t>
      </w:r>
      <w:proofErr w:type="spellStart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Intervirology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2005; </w:t>
      </w: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48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372-380 [PMID: 16024941 DOI: 10.1159/000086064]</w:t>
      </w:r>
    </w:p>
    <w:p w:rsidR="0087331B" w:rsidRPr="0087331B" w:rsidRDefault="0087331B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Hara T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Akuta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N, Suzuki F,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Sezaki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H, Suzuki Y,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Hosaka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T, Kobayashi M, Kobayashi M,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Saitoh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S,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Kumada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H. A pilot study of triple therapy with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telaprevir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peginterferon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and ribavirin for elderly patients with genotype 1 chronic hepatitis C. </w:t>
      </w:r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 xml:space="preserve">J Med </w:t>
      </w:r>
      <w:proofErr w:type="spellStart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Virol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2013; </w:t>
      </w: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85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1746-1753 [PMID: 23861088 DOI: 10.1002/jmv.23673]</w:t>
      </w:r>
    </w:p>
    <w:p w:rsidR="0087331B" w:rsidRPr="0087331B" w:rsidRDefault="0087331B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Ogawa E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Furusyo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N,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Kajiwara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E, Nomura H, Kawano A, Takahashi K,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Dohmen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K, Satoh T, Azuma K,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Nakamuta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M,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Koyanagi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T,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Kotoh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K,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Shimoda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S, Hayashi J. Comparative effectiveness and safety study of triple therapy with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simeprevir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or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telaprevir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for non-cirrhotic patients with chronic hepatitis C virus genotype 1b infection. </w:t>
      </w:r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 xml:space="preserve">J </w:t>
      </w:r>
      <w:proofErr w:type="spellStart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Gastroenterol</w:t>
      </w:r>
      <w:proofErr w:type="spellEnd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 xml:space="preserve"> </w:t>
      </w:r>
      <w:proofErr w:type="spellStart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Hepatol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2015; </w:t>
      </w: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30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1759-1767 [PMID: 26095167 DOI: 10.1111/jgh.13016]</w:t>
      </w:r>
    </w:p>
    <w:p w:rsidR="0087331B" w:rsidRPr="0087331B" w:rsidRDefault="0087331B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proofErr w:type="spellStart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Yoshizawa</w:t>
      </w:r>
      <w:proofErr w:type="spellEnd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 xml:space="preserve"> H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, Tanaka J,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Miyakawa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Y. National prevention of hepatocellular carcinoma in Japan based on epidemiology of hepatitis C virus infection in the general population. </w:t>
      </w:r>
      <w:proofErr w:type="spellStart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Intervirology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2006; </w:t>
      </w: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49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7-17 [PMID: 16166783]</w:t>
      </w:r>
    </w:p>
    <w:p w:rsidR="0087331B" w:rsidRPr="0087331B" w:rsidRDefault="0087331B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Abe H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Tsubota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A, Shimada N,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Atsukawa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M, Kato K,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Takaguchi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K, Asano T,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Chuganji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Y, Sakamoto C, Toyoda H,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Kumada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T, Ide T,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Sata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M,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Aizawa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Y. Predictors of response to 24-week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telaprevir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-based triple therapy for treatment-naïve genotype 1b chronic hepatitis C patients. </w:t>
      </w:r>
      <w:proofErr w:type="spellStart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Gastroenterol</w:t>
      </w:r>
      <w:proofErr w:type="spellEnd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 xml:space="preserve"> Res </w:t>
      </w:r>
      <w:proofErr w:type="spellStart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Pract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2014; </w:t>
      </w: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2014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549709 [PMID: 25197269 DOI: 10.1155/2014/549709]</w:t>
      </w:r>
    </w:p>
    <w:p w:rsidR="0087331B" w:rsidRPr="0087331B" w:rsidRDefault="0087331B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Pol S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Aerssens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J,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Zeuzem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S,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Andreone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P,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Lawitz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EJ, Roberts S,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Younossi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Z, Foster GR, Focaccia R,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Horban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A,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Pockros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PJ, Van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Heeswijk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RP, De Meyer S, Luo D,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Botfield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M,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Beumont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M,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Picchio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G. Limited impact of IL28B genotype on response rates in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telaprevir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-treated patients with prior treatment failure. </w:t>
      </w:r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 xml:space="preserve">J </w:t>
      </w:r>
      <w:proofErr w:type="spellStart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Hepatol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2013; </w:t>
      </w: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58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883-889 [PMID: 23321318 DOI: 10.1016/j.jhep.2012.12.023]</w:t>
      </w:r>
    </w:p>
    <w:p w:rsidR="0087331B" w:rsidRPr="0087331B" w:rsidRDefault="0087331B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lastRenderedPageBreak/>
        <w:t>Holmes JA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, Desmond PV, Thompson AJ. Does IL28B genotyping still have a role in the era of direct-acting antiviral therapy for chronic hepatitis C infection? </w:t>
      </w:r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 xml:space="preserve">J Viral </w:t>
      </w:r>
      <w:proofErr w:type="spellStart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Hepat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2012; </w:t>
      </w: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19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677-684 [PMID: 22967098 DOI: 10.1111/jvh.12003]</w:t>
      </w:r>
    </w:p>
    <w:p w:rsidR="0087331B" w:rsidRPr="0087331B" w:rsidRDefault="0087331B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proofErr w:type="spellStart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Akuta</w:t>
      </w:r>
      <w:proofErr w:type="spellEnd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 xml:space="preserve"> N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, Suzuki F,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Hirakawa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M, Kawamura Y,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Sezaki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H, Suzuki Y,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Hosaka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T, Kobayashi M, Kobayashi M,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Saitoh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S, Arase Y, Ikeda K,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Chayama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K, Nakamura Y,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Kumada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H. Amino acid substitution in HCV core/NS5A region and genetic variation near IL28B gene affect treatment efficacy to interferon plus ribavirin combination therapy. </w:t>
      </w:r>
      <w:proofErr w:type="spellStart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Intervirology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2012; </w:t>
      </w: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55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231-241 [PMID: 21734353 DOI: 10.1159/000328327]</w:t>
      </w:r>
    </w:p>
    <w:p w:rsidR="0087331B" w:rsidRPr="0087331B" w:rsidRDefault="0087331B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proofErr w:type="spellStart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Akuta</w:t>
      </w:r>
      <w:proofErr w:type="spellEnd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 xml:space="preserve"> N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, Suzuki F,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Hirakawa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M, Kawamura Y,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Yatsuji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H,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Sezaki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H, Suzuki Y,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Hosaka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T, Kobayashi M, Kobayashi M,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Saitoh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S, Arase Y, Ikeda K,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Chayama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K, Nakamura Y,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Kumada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H. Amino acid substitution in hepatitis C virus core region and genetic variation near the interleukin 28B gene predict viral response to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telaprevir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with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peginterferon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and ribavirin. </w:t>
      </w:r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Hepatology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2010; </w:t>
      </w: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52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421-429 [PMID: 20648473 DOI: 10.1002/hep.23690]</w:t>
      </w:r>
    </w:p>
    <w:p w:rsidR="0087331B" w:rsidRPr="0087331B" w:rsidRDefault="0087331B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Matsuura K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, Watanabe T,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Iijima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S, Murakami S, Fujiwara K,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Orito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E,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Iio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E, Endo M,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Kusakabe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A,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Shinkai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N,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Miyaki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T,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Nojiri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S, Joh T, Tanaka Y. Serum interferon-gamma-inducible protein-10 concentrations and IL28B genotype associated with responses to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pegylated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interferon plus ribavirin with and without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telaprevir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for chronic hepatitis C. </w:t>
      </w:r>
      <w:proofErr w:type="spellStart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Hepatol</w:t>
      </w:r>
      <w:proofErr w:type="spellEnd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 xml:space="preserve"> Res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2014; </w:t>
      </w: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44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1208-1216 [PMID: 24372894 DOI: 10.1111/hepr.12294]</w:t>
      </w:r>
    </w:p>
    <w:p w:rsidR="0087331B" w:rsidRPr="0087331B" w:rsidRDefault="0087331B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Nishikawa H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Enomoto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H,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Nasu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A,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Aizawa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N, Saito M,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Tamori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A, Kawada N, Kimura T, Osaki Y,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Nishiguchi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S. Clinical significance of pretreatment serum interferon-gamma-inducible protein 10 concentrations in chronic hepatitis C patients treated with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telaprevir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-based triple therapy. </w:t>
      </w:r>
      <w:proofErr w:type="spellStart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Hepatol</w:t>
      </w:r>
      <w:proofErr w:type="spellEnd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 xml:space="preserve"> Res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2014; </w:t>
      </w: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44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E397-E407 [PMID: 24628684 DOI: 10.1111/hepr.12326]</w:t>
      </w:r>
    </w:p>
    <w:p w:rsidR="0087331B" w:rsidRPr="0087331B" w:rsidRDefault="0087331B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Webster DP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Klenerman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P,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Dusheiko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GM. Hepatitis C. </w:t>
      </w:r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Lancet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2015; </w:t>
      </w: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385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1124-1135 [PMID: 25687730]</w:t>
      </w:r>
    </w:p>
    <w:p w:rsidR="0087331B" w:rsidRPr="0087331B" w:rsidRDefault="0087331B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proofErr w:type="spellStart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Fujii</w:t>
      </w:r>
      <w:proofErr w:type="spellEnd"/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 xml:space="preserve"> H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, Nishimura T,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Umemura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A, Nishikawa T, Yamaguchi K,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Moriguchi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M, Sumida Y,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Mitsuyoshi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H,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Yokomizo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C, Tanaka S, Ishikawa H,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Nishioji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K, Kimura H,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Takami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S, Nagao Y, Takeuchi T,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Shima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T,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Sawa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Y, Minami M,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Yasui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K, Itoh Y. 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lastRenderedPageBreak/>
        <w:t xml:space="preserve">Comparison of peg-interferon, ribavirin plus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telaprevir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vs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simeprevir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by propensity score matching. </w:t>
      </w:r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 xml:space="preserve">World J </w:t>
      </w:r>
      <w:proofErr w:type="spellStart"/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Hepatol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2015; </w:t>
      </w: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7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2841-2848 [PMID: 26668696 DOI: 10.4254/wjh.v7.i28.2841]</w:t>
      </w:r>
    </w:p>
    <w:p w:rsidR="000219B0" w:rsidRPr="000219B0" w:rsidRDefault="000219B0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r w:rsidRPr="000219B0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Cardoso AC</w:t>
      </w:r>
      <w:r w:rsidRPr="000219B0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, </w:t>
      </w:r>
      <w:proofErr w:type="spellStart"/>
      <w:r w:rsidRPr="000219B0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Moucari</w:t>
      </w:r>
      <w:proofErr w:type="spellEnd"/>
      <w:r w:rsidRPr="000219B0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R, </w:t>
      </w:r>
      <w:proofErr w:type="spellStart"/>
      <w:r w:rsidRPr="000219B0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Figueiredo</w:t>
      </w:r>
      <w:proofErr w:type="spellEnd"/>
      <w:r w:rsidRPr="000219B0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-Mendes C, </w:t>
      </w:r>
      <w:proofErr w:type="spellStart"/>
      <w:r w:rsidRPr="000219B0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Ripault</w:t>
      </w:r>
      <w:proofErr w:type="spellEnd"/>
      <w:r w:rsidRPr="000219B0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MP, </w:t>
      </w:r>
      <w:proofErr w:type="spellStart"/>
      <w:r w:rsidRPr="000219B0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Giuily</w:t>
      </w:r>
      <w:proofErr w:type="spellEnd"/>
      <w:r w:rsidRPr="000219B0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N, </w:t>
      </w:r>
      <w:proofErr w:type="spellStart"/>
      <w:r w:rsidRPr="000219B0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Castelnau</w:t>
      </w:r>
      <w:proofErr w:type="spellEnd"/>
      <w:r w:rsidRPr="000219B0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C, Boyer N, </w:t>
      </w:r>
      <w:proofErr w:type="spellStart"/>
      <w:r w:rsidRPr="000219B0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Asselah</w:t>
      </w:r>
      <w:proofErr w:type="spellEnd"/>
      <w:r w:rsidRPr="000219B0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T, </w:t>
      </w:r>
      <w:proofErr w:type="spellStart"/>
      <w:r w:rsidRPr="000219B0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Martinot-Peignoux</w:t>
      </w:r>
      <w:proofErr w:type="spellEnd"/>
      <w:r w:rsidRPr="000219B0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M, </w:t>
      </w:r>
      <w:proofErr w:type="spellStart"/>
      <w:r w:rsidRPr="000219B0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Maylin</w:t>
      </w:r>
      <w:proofErr w:type="spellEnd"/>
      <w:r w:rsidRPr="000219B0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S, </w:t>
      </w:r>
      <w:proofErr w:type="spellStart"/>
      <w:r w:rsidRPr="000219B0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Carvalho-Filho</w:t>
      </w:r>
      <w:proofErr w:type="spellEnd"/>
      <w:r w:rsidRPr="000219B0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RJ, Valla D, </w:t>
      </w:r>
      <w:proofErr w:type="spellStart"/>
      <w:r w:rsidRPr="000219B0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Bedossa</w:t>
      </w:r>
      <w:proofErr w:type="spellEnd"/>
      <w:r w:rsidRPr="000219B0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P, Marcellin P. Impact of </w:t>
      </w:r>
      <w:proofErr w:type="spellStart"/>
      <w:r w:rsidRPr="000219B0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peginterferon</w:t>
      </w:r>
      <w:proofErr w:type="spellEnd"/>
      <w:r w:rsidRPr="000219B0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and ribavirin therapy on hepatocellular carcinoma: incidence and survival in hepatitis C patients with advanced fibrosis. </w:t>
      </w:r>
      <w:r w:rsidRPr="000219B0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 xml:space="preserve">J </w:t>
      </w:r>
      <w:proofErr w:type="spellStart"/>
      <w:r w:rsidRPr="000219B0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Hepatol</w:t>
      </w:r>
      <w:proofErr w:type="spellEnd"/>
      <w:r w:rsidRPr="000219B0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2010; </w:t>
      </w:r>
      <w:r w:rsidRPr="000219B0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52</w:t>
      </w:r>
      <w:r w:rsidRPr="000219B0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652-657 [PMID: 20346533 DOI: 10.1016/j.jhep.2009.12.028]</w:t>
      </w:r>
      <w:r w:rsidRPr="000219B0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 xml:space="preserve"> </w:t>
      </w:r>
    </w:p>
    <w:p w:rsidR="0087331B" w:rsidRPr="0087331B" w:rsidRDefault="0087331B" w:rsidP="0087331B">
      <w:pPr>
        <w:pStyle w:val="ListParagraph"/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</w:pP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Ikeda K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Saitoh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S, Arase Y,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Chayama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K, Suzuki Y, Kobayashi M,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Tsubota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A, Nakamura I,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Murashima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N,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Kumada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H, </w:t>
      </w:r>
      <w:proofErr w:type="spellStart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Kawanishi</w:t>
      </w:r>
      <w:proofErr w:type="spellEnd"/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 xml:space="preserve"> M. Effect of interferon therapy on hepatocellular carcinogenesis in patients with chronic hepatitis type C: A long-term observation study of 1,643 patients using statistical bias correction with proportional hazard analysis. </w:t>
      </w:r>
      <w:r w:rsidRPr="0087331B">
        <w:rPr>
          <w:rFonts w:ascii="Book Antiqua" w:eastAsia="Times New Roman" w:hAnsi="Book Antiqua" w:cs="Times New Roman"/>
          <w:i/>
          <w:iCs/>
          <w:color w:val="000000"/>
          <w:sz w:val="24"/>
          <w:szCs w:val="27"/>
          <w:lang w:eastAsia="zh-CN"/>
        </w:rPr>
        <w:t>Hepatology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 1999; </w:t>
      </w:r>
      <w:r w:rsidRPr="0087331B">
        <w:rPr>
          <w:rFonts w:ascii="Book Antiqua" w:eastAsia="Times New Roman" w:hAnsi="Book Antiqua" w:cs="Times New Roman"/>
          <w:b/>
          <w:bCs/>
          <w:color w:val="000000"/>
          <w:sz w:val="24"/>
          <w:szCs w:val="27"/>
          <w:lang w:eastAsia="zh-CN"/>
        </w:rPr>
        <w:t>29</w:t>
      </w:r>
      <w:r w:rsidRPr="0087331B">
        <w:rPr>
          <w:rFonts w:ascii="Book Antiqua" w:eastAsia="Times New Roman" w:hAnsi="Book Antiqua" w:cs="Times New Roman"/>
          <w:color w:val="000000"/>
          <w:sz w:val="24"/>
          <w:szCs w:val="27"/>
          <w:lang w:eastAsia="zh-CN"/>
        </w:rPr>
        <w:t>: 1124-1130 [PMID: 10094956]</w:t>
      </w:r>
    </w:p>
    <w:p w:rsidR="00660C6E" w:rsidRDefault="00660C6E" w:rsidP="00660C6E">
      <w:pPr>
        <w:snapToGrid w:val="0"/>
        <w:spacing w:line="360" w:lineRule="auto"/>
        <w:jc w:val="right"/>
        <w:rPr>
          <w:rFonts w:ascii="Book Antiqua" w:eastAsia="宋体" w:hAnsi="Book Antiqua" w:cs="Times New Roman"/>
          <w:b/>
          <w:color w:val="000000"/>
          <w:sz w:val="24"/>
          <w:szCs w:val="24"/>
          <w:lang w:eastAsia="zh-CN"/>
        </w:rPr>
      </w:pPr>
      <w:bookmarkStart w:id="88" w:name="OLE_LINK307"/>
      <w:bookmarkStart w:id="89" w:name="OLE_LINK308"/>
      <w:bookmarkStart w:id="90" w:name="OLE_LINK319"/>
      <w:bookmarkStart w:id="91" w:name="OLE_LINK338"/>
      <w:bookmarkStart w:id="92" w:name="OLE_LINK384"/>
      <w:bookmarkStart w:id="93" w:name="OLE_LINK370"/>
      <w:bookmarkStart w:id="94" w:name="OLE_LINK393"/>
      <w:bookmarkStart w:id="95" w:name="OLE_LINK429"/>
      <w:bookmarkStart w:id="96" w:name="OLE_LINK430"/>
      <w:bookmarkStart w:id="97" w:name="OLE_LINK444"/>
      <w:bookmarkStart w:id="98" w:name="OLE_LINK447"/>
      <w:bookmarkStart w:id="99" w:name="OLE_LINK479"/>
      <w:bookmarkStart w:id="100" w:name="OLE_LINK480"/>
      <w:bookmarkStart w:id="101" w:name="OLE_LINK502"/>
      <w:bookmarkStart w:id="102" w:name="OLE_LINK538"/>
      <w:bookmarkStart w:id="103" w:name="OLE_LINK554"/>
      <w:bookmarkStart w:id="104" w:name="OLE_LINK567"/>
      <w:bookmarkStart w:id="105" w:name="OLE_LINK595"/>
      <w:bookmarkStart w:id="106" w:name="OLE_LINK605"/>
      <w:bookmarkStart w:id="107" w:name="OLE_LINK623"/>
      <w:bookmarkStart w:id="108" w:name="OLE_LINK675"/>
      <w:bookmarkStart w:id="109" w:name="OLE_LINK690"/>
      <w:bookmarkStart w:id="110" w:name="OLE_LINK696"/>
    </w:p>
    <w:p w:rsidR="00660C6E" w:rsidRPr="00C52BCF" w:rsidRDefault="00660C6E" w:rsidP="00660C6E">
      <w:pPr>
        <w:snapToGrid w:val="0"/>
        <w:spacing w:line="360" w:lineRule="auto"/>
        <w:jc w:val="right"/>
        <w:rPr>
          <w:rFonts w:ascii="Book Antiqua" w:hAnsi="Book Antiqua" w:cs="Times New Roman"/>
          <w:b/>
          <w:color w:val="000000"/>
          <w:sz w:val="24"/>
          <w:szCs w:val="24"/>
        </w:rPr>
      </w:pPr>
      <w:r w:rsidRPr="00C52BCF">
        <w:rPr>
          <w:rFonts w:ascii="Book Antiqua" w:hAnsi="Book Antiqua" w:cs="Times New Roman"/>
          <w:b/>
          <w:color w:val="000000"/>
          <w:sz w:val="24"/>
          <w:szCs w:val="24"/>
        </w:rPr>
        <w:t>P-Reviewer:</w:t>
      </w:r>
      <w:r w:rsidRPr="00C52BCF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2268D4" w:rsidRPr="002268D4">
        <w:rPr>
          <w:rFonts w:ascii="Book Antiqua" w:hAnsi="Book Antiqua" w:cs="Times New Roman"/>
          <w:color w:val="000000"/>
          <w:sz w:val="24"/>
          <w:szCs w:val="24"/>
        </w:rPr>
        <w:t>Conti</w:t>
      </w:r>
      <w:r w:rsidR="002268D4" w:rsidRPr="002268D4">
        <w:rPr>
          <w:rFonts w:ascii="Book Antiqua" w:hAnsi="Book Antiqua" w:cs="Times New Roman" w:hint="eastAsia"/>
          <w:color w:val="000000"/>
          <w:sz w:val="24"/>
          <w:szCs w:val="24"/>
        </w:rPr>
        <w:t xml:space="preserve"> B, </w:t>
      </w:r>
      <w:r w:rsidR="002268D4" w:rsidRPr="002268D4">
        <w:rPr>
          <w:rFonts w:ascii="Book Antiqua" w:hAnsi="Book Antiqua" w:cs="Times New Roman"/>
          <w:color w:val="000000"/>
          <w:sz w:val="24"/>
          <w:szCs w:val="24"/>
        </w:rPr>
        <w:t>Kawakami</w:t>
      </w:r>
      <w:r w:rsidR="002268D4" w:rsidRPr="002268D4">
        <w:rPr>
          <w:rFonts w:ascii="Book Antiqua" w:hAnsi="Book Antiqua" w:cs="Times New Roman" w:hint="eastAsia"/>
          <w:color w:val="000000"/>
          <w:sz w:val="24"/>
          <w:szCs w:val="24"/>
        </w:rPr>
        <w:t xml:space="preserve"> Y, </w:t>
      </w:r>
      <w:proofErr w:type="spellStart"/>
      <w:r w:rsidR="002268D4" w:rsidRPr="002268D4">
        <w:rPr>
          <w:rFonts w:ascii="Book Antiqua" w:hAnsi="Book Antiqua" w:cs="Times New Roman"/>
          <w:color w:val="000000"/>
          <w:sz w:val="24"/>
          <w:szCs w:val="24"/>
        </w:rPr>
        <w:t>Larrubia</w:t>
      </w:r>
      <w:proofErr w:type="spellEnd"/>
      <w:r w:rsidR="002268D4" w:rsidRPr="002268D4">
        <w:rPr>
          <w:rFonts w:ascii="Book Antiqua" w:hAnsi="Book Antiqua" w:cs="Times New Roman" w:hint="eastAsia"/>
          <w:color w:val="000000"/>
          <w:sz w:val="24"/>
          <w:szCs w:val="24"/>
        </w:rPr>
        <w:t xml:space="preserve"> JR, </w:t>
      </w:r>
      <w:r w:rsidR="002268D4" w:rsidRPr="002268D4">
        <w:rPr>
          <w:rFonts w:ascii="Book Antiqua" w:hAnsi="Book Antiqua" w:cs="Times New Roman"/>
          <w:color w:val="000000"/>
          <w:sz w:val="24"/>
          <w:szCs w:val="24"/>
        </w:rPr>
        <w:t>Liang</w:t>
      </w:r>
      <w:r w:rsidR="002268D4" w:rsidRPr="002268D4">
        <w:rPr>
          <w:rFonts w:ascii="Book Antiqua" w:hAnsi="Book Antiqua" w:cs="Times New Roman" w:hint="eastAsia"/>
          <w:color w:val="000000"/>
          <w:sz w:val="24"/>
          <w:szCs w:val="24"/>
        </w:rPr>
        <w:t xml:space="preserve"> XS</w:t>
      </w:r>
      <w:r w:rsidR="002268D4">
        <w:rPr>
          <w:rFonts w:ascii="Verdana" w:eastAsia="宋体" w:hAnsi="Verdana" w:hint="eastAsia"/>
          <w:color w:val="000000"/>
          <w:sz w:val="17"/>
          <w:szCs w:val="17"/>
          <w:shd w:val="clear" w:color="auto" w:fill="FFFFFF"/>
          <w:lang w:eastAsia="zh-CN"/>
        </w:rPr>
        <w:t xml:space="preserve"> </w:t>
      </w:r>
      <w:r w:rsidRPr="00C52BCF">
        <w:rPr>
          <w:rFonts w:ascii="Book Antiqua" w:hAnsi="Book Antiqua" w:cs="Times New Roman"/>
          <w:b/>
          <w:color w:val="000000"/>
          <w:sz w:val="24"/>
          <w:szCs w:val="24"/>
        </w:rPr>
        <w:t xml:space="preserve">S-Editor: </w:t>
      </w:r>
      <w:r w:rsidRPr="00C52BCF">
        <w:rPr>
          <w:rFonts w:ascii="Book Antiqua" w:hAnsi="Book Antiqua" w:cs="Times New Roman"/>
          <w:color w:val="000000"/>
          <w:sz w:val="24"/>
          <w:szCs w:val="24"/>
        </w:rPr>
        <w:t xml:space="preserve">Kong JX </w:t>
      </w:r>
      <w:r w:rsidRPr="00C52BCF">
        <w:rPr>
          <w:rFonts w:ascii="Book Antiqua" w:hAnsi="Book Antiqua" w:cs="Times New Roman"/>
          <w:b/>
          <w:color w:val="000000"/>
          <w:sz w:val="24"/>
          <w:szCs w:val="24"/>
        </w:rPr>
        <w:t>L-Editor: E-Editor:</w:t>
      </w:r>
    </w:p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p w:rsidR="000219B0" w:rsidRDefault="000219B0">
      <w:pPr>
        <w:rPr>
          <w:rFonts w:ascii="Book Antiqua" w:eastAsia="宋体" w:hAnsi="Book Antiqua"/>
          <w:bCs/>
          <w:sz w:val="24"/>
          <w:szCs w:val="24"/>
          <w:lang w:eastAsia="zh-CN"/>
        </w:rPr>
      </w:pPr>
    </w:p>
    <w:p w:rsidR="0087331B" w:rsidRPr="0087331B" w:rsidRDefault="0087331B" w:rsidP="006611DD">
      <w:pPr>
        <w:pStyle w:val="Heading1"/>
        <w:spacing w:before="40" w:line="360" w:lineRule="auto"/>
        <w:ind w:left="0"/>
        <w:jc w:val="both"/>
        <w:rPr>
          <w:rFonts w:eastAsia="宋体"/>
          <w:b w:val="0"/>
          <w:sz w:val="24"/>
          <w:szCs w:val="24"/>
          <w:lang w:eastAsia="zh-CN"/>
        </w:rPr>
      </w:pPr>
    </w:p>
    <w:p w:rsidR="00660C6E" w:rsidRDefault="00660C6E">
      <w:pPr>
        <w:rPr>
          <w:rFonts w:ascii="Book Antiqua" w:eastAsia="Book Antiqua" w:hAnsi="Book Antiqua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052317" w:rsidRDefault="00052317" w:rsidP="006611DD">
      <w:pPr>
        <w:pStyle w:val="BodyText"/>
        <w:spacing w:before="144" w:line="360" w:lineRule="auto"/>
        <w:ind w:left="0" w:right="104"/>
        <w:jc w:val="both"/>
        <w:rPr>
          <w:rFonts w:eastAsia="宋体"/>
          <w:b/>
          <w:sz w:val="24"/>
          <w:szCs w:val="24"/>
          <w:lang w:eastAsia="zh-CN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4835057" cy="1699260"/>
            <wp:effectExtent l="0" t="0" r="3810" b="0"/>
            <wp:docPr id="3" name="图片 3" descr="C:\Users\Administrator\Desktop\待编辑\已查重\29615\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istrator\Desktop\待编辑\已查重\29615\Figure 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8" t="29716" r="6901" b="28377"/>
                    <a:stretch/>
                  </pic:blipFill>
                  <pic:spPr bwMode="auto">
                    <a:xfrm>
                      <a:off x="0" y="0"/>
                      <a:ext cx="4835057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7B7E" w:rsidRPr="00D336AE" w:rsidRDefault="00680E49" w:rsidP="006611DD">
      <w:pPr>
        <w:pStyle w:val="BodyText"/>
        <w:spacing w:before="144" w:line="360" w:lineRule="auto"/>
        <w:ind w:left="0" w:right="104"/>
        <w:jc w:val="both"/>
        <w:rPr>
          <w:sz w:val="24"/>
          <w:szCs w:val="24"/>
        </w:rPr>
      </w:pPr>
      <w:r w:rsidRPr="00D336AE">
        <w:rPr>
          <w:b/>
          <w:sz w:val="24"/>
          <w:szCs w:val="24"/>
        </w:rPr>
        <w:t xml:space="preserve">Figure 1 Rates of </w:t>
      </w:r>
      <w:proofErr w:type="spellStart"/>
      <w:r w:rsidRPr="00D336AE">
        <w:rPr>
          <w:b/>
          <w:sz w:val="24"/>
          <w:szCs w:val="24"/>
        </w:rPr>
        <w:t>virological</w:t>
      </w:r>
      <w:proofErr w:type="spellEnd"/>
      <w:r w:rsidRPr="00D336AE">
        <w:rPr>
          <w:b/>
          <w:sz w:val="24"/>
          <w:szCs w:val="24"/>
        </w:rPr>
        <w:t xml:space="preserve"> responses to </w:t>
      </w:r>
      <w:proofErr w:type="spellStart"/>
      <w:r w:rsidRPr="00D336AE">
        <w:rPr>
          <w:b/>
          <w:sz w:val="24"/>
          <w:szCs w:val="24"/>
        </w:rPr>
        <w:t>telaprevir</w:t>
      </w:r>
      <w:proofErr w:type="spellEnd"/>
      <w:r w:rsidRPr="00D336AE">
        <w:rPr>
          <w:b/>
          <w:sz w:val="24"/>
          <w:szCs w:val="24"/>
        </w:rPr>
        <w:t xml:space="preserve"> and </w:t>
      </w:r>
      <w:proofErr w:type="spellStart"/>
      <w:r w:rsidRPr="00D336AE">
        <w:rPr>
          <w:b/>
          <w:sz w:val="24"/>
          <w:szCs w:val="24"/>
        </w:rPr>
        <w:t>simeprevir</w:t>
      </w:r>
      <w:proofErr w:type="spellEnd"/>
      <w:r w:rsidRPr="00D336AE">
        <w:rPr>
          <w:b/>
          <w:sz w:val="24"/>
          <w:szCs w:val="24"/>
        </w:rPr>
        <w:t xml:space="preserve"> by age.  </w:t>
      </w:r>
      <w:r w:rsidRPr="00D336AE">
        <w:rPr>
          <w:rFonts w:eastAsiaTheme="minorEastAsia" w:hint="eastAsia"/>
          <w:sz w:val="24"/>
          <w:szCs w:val="24"/>
          <w:lang w:eastAsia="ja-JP"/>
        </w:rPr>
        <w:t>P</w:t>
      </w:r>
      <w:r w:rsidRPr="00D336AE">
        <w:rPr>
          <w:rFonts w:eastAsiaTheme="minorEastAsia"/>
          <w:sz w:val="24"/>
          <w:szCs w:val="24"/>
          <w:lang w:eastAsia="ja-JP"/>
        </w:rPr>
        <w:t xml:space="preserve">ercentages indicate the proportion of patients with undetectable serum hepatitis C virus (HCV) RNA levels. Patient numbers are shown in parenthesis. RVR, </w:t>
      </w:r>
      <w:r w:rsidR="00A36E78" w:rsidRPr="00D336AE">
        <w:rPr>
          <w:sz w:val="24"/>
          <w:szCs w:val="24"/>
        </w:rPr>
        <w:t xml:space="preserve">rapid </w:t>
      </w:r>
      <w:proofErr w:type="spellStart"/>
      <w:r w:rsidR="00A36E78" w:rsidRPr="00D336AE">
        <w:rPr>
          <w:sz w:val="24"/>
          <w:szCs w:val="24"/>
        </w:rPr>
        <w:t>virological</w:t>
      </w:r>
      <w:proofErr w:type="spellEnd"/>
      <w:r w:rsidR="00A36E78" w:rsidRPr="00D336AE">
        <w:rPr>
          <w:sz w:val="24"/>
          <w:szCs w:val="24"/>
        </w:rPr>
        <w:t xml:space="preserve"> response; </w:t>
      </w:r>
      <w:proofErr w:type="spellStart"/>
      <w:r w:rsidR="00A36E78" w:rsidRPr="00D336AE">
        <w:rPr>
          <w:sz w:val="24"/>
          <w:szCs w:val="24"/>
        </w:rPr>
        <w:t>cEVR</w:t>
      </w:r>
      <w:proofErr w:type="spellEnd"/>
      <w:r w:rsidR="00A36E78" w:rsidRPr="00D336AE">
        <w:rPr>
          <w:sz w:val="24"/>
          <w:szCs w:val="24"/>
        </w:rPr>
        <w:t xml:space="preserve">, complete early </w:t>
      </w:r>
      <w:proofErr w:type="spellStart"/>
      <w:r w:rsidR="00A36E78" w:rsidRPr="00D336AE">
        <w:rPr>
          <w:sz w:val="24"/>
          <w:szCs w:val="24"/>
        </w:rPr>
        <w:t>virological</w:t>
      </w:r>
      <w:proofErr w:type="spellEnd"/>
      <w:r w:rsidR="00A36E78" w:rsidRPr="00D336AE">
        <w:rPr>
          <w:sz w:val="24"/>
          <w:szCs w:val="24"/>
        </w:rPr>
        <w:t xml:space="preserve"> response; E</w:t>
      </w:r>
      <w:r w:rsidR="00A71E37" w:rsidRPr="00D336AE">
        <w:rPr>
          <w:sz w:val="24"/>
          <w:szCs w:val="24"/>
        </w:rPr>
        <w:t>TR</w:t>
      </w:r>
      <w:r w:rsidR="00A36E78" w:rsidRPr="00D336AE">
        <w:rPr>
          <w:sz w:val="24"/>
          <w:szCs w:val="24"/>
        </w:rPr>
        <w:t xml:space="preserve">, end of treatment response; SVR24, sustained </w:t>
      </w:r>
      <w:proofErr w:type="spellStart"/>
      <w:r w:rsidR="00A36E78" w:rsidRPr="00D336AE">
        <w:rPr>
          <w:sz w:val="24"/>
          <w:szCs w:val="24"/>
        </w:rPr>
        <w:t>virological</w:t>
      </w:r>
      <w:proofErr w:type="spellEnd"/>
      <w:r w:rsidR="00A36E78" w:rsidRPr="00D336AE">
        <w:rPr>
          <w:sz w:val="24"/>
          <w:szCs w:val="24"/>
        </w:rPr>
        <w:t xml:space="preserve"> response defined as undetectable serum HCV RNA at 24 </w:t>
      </w:r>
      <w:proofErr w:type="spellStart"/>
      <w:r w:rsidR="00A36E78" w:rsidRPr="00D336AE">
        <w:rPr>
          <w:sz w:val="24"/>
          <w:szCs w:val="24"/>
        </w:rPr>
        <w:t>wk</w:t>
      </w:r>
      <w:proofErr w:type="spellEnd"/>
      <w:r w:rsidR="00A36E78" w:rsidRPr="00D336AE">
        <w:rPr>
          <w:sz w:val="24"/>
          <w:szCs w:val="24"/>
        </w:rPr>
        <w:t xml:space="preserve"> after the end of treatment.</w:t>
      </w:r>
      <w:r w:rsidR="00057B7E" w:rsidRPr="00D336AE">
        <w:rPr>
          <w:sz w:val="24"/>
          <w:szCs w:val="24"/>
        </w:rPr>
        <w:t xml:space="preserve"> </w:t>
      </w:r>
    </w:p>
    <w:p w:rsidR="00057B7E" w:rsidRPr="00D336AE" w:rsidRDefault="00057B7E" w:rsidP="006611DD">
      <w:pPr>
        <w:spacing w:line="360" w:lineRule="auto"/>
        <w:rPr>
          <w:sz w:val="24"/>
          <w:szCs w:val="24"/>
        </w:rPr>
      </w:pPr>
    </w:p>
    <w:p w:rsidR="00052317" w:rsidRDefault="00052317">
      <w:pPr>
        <w:rPr>
          <w:rFonts w:ascii="Book Antiqua" w:eastAsia="Book Antiqua" w:hAnsi="Book Antiqua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52317" w:rsidRDefault="00052317" w:rsidP="006611DD">
      <w:pPr>
        <w:pStyle w:val="BodyText"/>
        <w:spacing w:before="144" w:line="360" w:lineRule="auto"/>
        <w:ind w:left="0" w:right="104"/>
        <w:jc w:val="both"/>
        <w:rPr>
          <w:rFonts w:eastAsia="宋体"/>
          <w:b/>
          <w:noProof/>
          <w:sz w:val="24"/>
          <w:szCs w:val="24"/>
          <w:lang w:eastAsia="zh-CN"/>
        </w:rPr>
      </w:pPr>
    </w:p>
    <w:p w:rsidR="00052317" w:rsidRDefault="00052317" w:rsidP="006611DD">
      <w:pPr>
        <w:pStyle w:val="BodyText"/>
        <w:spacing w:before="144" w:line="360" w:lineRule="auto"/>
        <w:ind w:left="0" w:right="104"/>
        <w:jc w:val="both"/>
        <w:rPr>
          <w:rFonts w:eastAsia="宋体"/>
          <w:b/>
          <w:sz w:val="24"/>
          <w:szCs w:val="24"/>
          <w:lang w:eastAsia="zh-CN"/>
        </w:rPr>
      </w:pPr>
      <w:r>
        <w:rPr>
          <w:rFonts w:eastAsia="宋体"/>
          <w:b/>
          <w:noProof/>
          <w:sz w:val="24"/>
          <w:szCs w:val="24"/>
        </w:rPr>
        <w:drawing>
          <wp:inline distT="0" distB="0" distL="0" distR="0">
            <wp:extent cx="4465320" cy="1661160"/>
            <wp:effectExtent l="0" t="0" r="0" b="0"/>
            <wp:docPr id="4" name="图片 4" descr="C:\Users\Administrator\Desktop\待编辑\已查重\29615\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istrator\Desktop\待编辑\已查重\29615\Figure 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3" t="30845" r="9506" b="28154"/>
                    <a:stretch/>
                  </pic:blipFill>
                  <pic:spPr bwMode="auto">
                    <a:xfrm>
                      <a:off x="0" y="0"/>
                      <a:ext cx="4462413" cy="166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7B7E" w:rsidRPr="00D336AE" w:rsidRDefault="00A36E78" w:rsidP="006611DD">
      <w:pPr>
        <w:pStyle w:val="BodyText"/>
        <w:spacing w:before="144" w:line="360" w:lineRule="auto"/>
        <w:ind w:left="0" w:right="104"/>
        <w:jc w:val="both"/>
        <w:rPr>
          <w:sz w:val="24"/>
          <w:szCs w:val="24"/>
        </w:rPr>
      </w:pPr>
      <w:r w:rsidRPr="00D336AE">
        <w:rPr>
          <w:b/>
          <w:sz w:val="24"/>
          <w:szCs w:val="24"/>
        </w:rPr>
        <w:t xml:space="preserve">Figure 2 </w:t>
      </w:r>
      <w:r w:rsidR="00D14A62" w:rsidRPr="00D336AE">
        <w:rPr>
          <w:b/>
          <w:sz w:val="24"/>
          <w:szCs w:val="24"/>
        </w:rPr>
        <w:t xml:space="preserve">Rates of sustained </w:t>
      </w:r>
      <w:proofErr w:type="spellStart"/>
      <w:r w:rsidR="00D14A62" w:rsidRPr="00D336AE">
        <w:rPr>
          <w:b/>
          <w:sz w:val="24"/>
          <w:szCs w:val="24"/>
        </w:rPr>
        <w:t>virological</w:t>
      </w:r>
      <w:proofErr w:type="spellEnd"/>
      <w:r w:rsidR="00D14A62" w:rsidRPr="00D336AE">
        <w:rPr>
          <w:b/>
          <w:sz w:val="24"/>
          <w:szCs w:val="24"/>
        </w:rPr>
        <w:t xml:space="preserve"> response </w:t>
      </w:r>
      <w:r w:rsidRPr="00D336AE">
        <w:rPr>
          <w:b/>
          <w:sz w:val="24"/>
          <w:szCs w:val="24"/>
        </w:rPr>
        <w:t xml:space="preserve">to </w:t>
      </w:r>
      <w:proofErr w:type="spellStart"/>
      <w:r w:rsidRPr="00D336AE">
        <w:rPr>
          <w:b/>
          <w:sz w:val="24"/>
          <w:szCs w:val="24"/>
        </w:rPr>
        <w:t>telaprevir</w:t>
      </w:r>
      <w:proofErr w:type="spellEnd"/>
      <w:r w:rsidRPr="00D336AE">
        <w:rPr>
          <w:b/>
          <w:sz w:val="24"/>
          <w:szCs w:val="24"/>
        </w:rPr>
        <w:t xml:space="preserve"> and </w:t>
      </w:r>
      <w:proofErr w:type="spellStart"/>
      <w:r w:rsidRPr="00D336AE">
        <w:rPr>
          <w:b/>
          <w:sz w:val="24"/>
          <w:szCs w:val="24"/>
        </w:rPr>
        <w:t>simeprevir</w:t>
      </w:r>
      <w:proofErr w:type="spellEnd"/>
      <w:r w:rsidRPr="00D336AE">
        <w:rPr>
          <w:b/>
          <w:sz w:val="24"/>
          <w:szCs w:val="24"/>
        </w:rPr>
        <w:t xml:space="preserve"> by </w:t>
      </w:r>
      <w:r w:rsidR="00D14A62" w:rsidRPr="00D336AE">
        <w:rPr>
          <w:b/>
          <w:sz w:val="24"/>
          <w:szCs w:val="24"/>
        </w:rPr>
        <w:t>prior treatment responses</w:t>
      </w:r>
      <w:r w:rsidRPr="00D336AE">
        <w:rPr>
          <w:b/>
          <w:sz w:val="24"/>
          <w:szCs w:val="24"/>
        </w:rPr>
        <w:t xml:space="preserve">. </w:t>
      </w:r>
      <w:r w:rsidRPr="00D336AE">
        <w:rPr>
          <w:rFonts w:eastAsiaTheme="minorEastAsia" w:hint="eastAsia"/>
          <w:sz w:val="24"/>
          <w:szCs w:val="24"/>
          <w:lang w:eastAsia="ja-JP"/>
        </w:rPr>
        <w:t>P</w:t>
      </w:r>
      <w:r w:rsidRPr="00D336AE">
        <w:rPr>
          <w:rFonts w:eastAsiaTheme="minorEastAsia"/>
          <w:sz w:val="24"/>
          <w:szCs w:val="24"/>
          <w:lang w:eastAsia="ja-JP"/>
        </w:rPr>
        <w:t>ercentages indicate the proportion of patients with undetectable serum hepatitis C virus (HCV) RNA levels</w:t>
      </w:r>
      <w:r w:rsidR="00D14A62" w:rsidRPr="00D336AE">
        <w:rPr>
          <w:rFonts w:eastAsiaTheme="minorEastAsia"/>
          <w:sz w:val="24"/>
          <w:szCs w:val="24"/>
          <w:lang w:eastAsia="ja-JP"/>
        </w:rPr>
        <w:t xml:space="preserve"> at 24 weeks after the end of treatment</w:t>
      </w:r>
      <w:r w:rsidRPr="00D336AE">
        <w:rPr>
          <w:rFonts w:eastAsiaTheme="minorEastAsia"/>
          <w:sz w:val="24"/>
          <w:szCs w:val="24"/>
          <w:lang w:eastAsia="ja-JP"/>
        </w:rPr>
        <w:t xml:space="preserve">. Patient numbers are shown in parenthesis. </w:t>
      </w:r>
      <w:proofErr w:type="gramStart"/>
      <w:r w:rsidR="00D14A62" w:rsidRPr="00D336AE">
        <w:rPr>
          <w:rFonts w:eastAsiaTheme="minorEastAsia"/>
          <w:sz w:val="24"/>
          <w:szCs w:val="24"/>
          <w:lang w:eastAsia="ja-JP"/>
        </w:rPr>
        <w:t>NR, non-responders.</w:t>
      </w:r>
      <w:proofErr w:type="gramEnd"/>
      <w:r w:rsidR="00D14A62" w:rsidRPr="00D336AE">
        <w:rPr>
          <w:rFonts w:eastAsiaTheme="minorEastAsia"/>
          <w:sz w:val="24"/>
          <w:szCs w:val="24"/>
          <w:lang w:eastAsia="ja-JP"/>
        </w:rPr>
        <w:t xml:space="preserve"> *</w:t>
      </w:r>
      <w:r w:rsidR="00D14A62" w:rsidRPr="00D336AE">
        <w:rPr>
          <w:rFonts w:eastAsiaTheme="minorEastAsia"/>
          <w:i/>
          <w:sz w:val="24"/>
          <w:szCs w:val="24"/>
          <w:lang w:eastAsia="ja-JP"/>
        </w:rPr>
        <w:t>P</w:t>
      </w:r>
      <w:r w:rsidR="00D14A62" w:rsidRPr="00D336AE">
        <w:rPr>
          <w:rFonts w:eastAsiaTheme="minorEastAsia"/>
          <w:sz w:val="24"/>
          <w:szCs w:val="24"/>
          <w:lang w:eastAsia="ja-JP"/>
        </w:rPr>
        <w:t xml:space="preserve"> = 0.0</w:t>
      </w:r>
      <w:r w:rsidR="00D97188" w:rsidRPr="00D336AE">
        <w:rPr>
          <w:rFonts w:eastAsiaTheme="minorEastAsia"/>
          <w:sz w:val="24"/>
          <w:szCs w:val="24"/>
          <w:lang w:eastAsia="ja-JP"/>
        </w:rPr>
        <w:t>3</w:t>
      </w:r>
      <w:r w:rsidR="00D14A62" w:rsidRPr="00D336AE">
        <w:rPr>
          <w:rFonts w:eastAsiaTheme="minorEastAsia"/>
          <w:sz w:val="24"/>
          <w:szCs w:val="24"/>
          <w:lang w:eastAsia="ja-JP"/>
        </w:rPr>
        <w:t xml:space="preserve">3 (compared to </w:t>
      </w:r>
      <w:proofErr w:type="spellStart"/>
      <w:r w:rsidR="00D14A62" w:rsidRPr="00D336AE">
        <w:rPr>
          <w:rFonts w:eastAsiaTheme="minorEastAsia"/>
          <w:sz w:val="24"/>
          <w:szCs w:val="24"/>
          <w:lang w:eastAsia="ja-JP"/>
        </w:rPr>
        <w:t>relapsers</w:t>
      </w:r>
      <w:proofErr w:type="spellEnd"/>
      <w:r w:rsidR="00D14A62" w:rsidRPr="00D336AE">
        <w:rPr>
          <w:rFonts w:eastAsiaTheme="minorEastAsia"/>
          <w:sz w:val="24"/>
          <w:szCs w:val="24"/>
          <w:lang w:eastAsia="ja-JP"/>
        </w:rPr>
        <w:t xml:space="preserve"> in the older patients).</w:t>
      </w:r>
      <w:r w:rsidR="00057B7E" w:rsidRPr="00D336AE">
        <w:rPr>
          <w:sz w:val="24"/>
          <w:szCs w:val="24"/>
        </w:rPr>
        <w:t xml:space="preserve"> </w:t>
      </w:r>
    </w:p>
    <w:p w:rsidR="00057B7E" w:rsidRDefault="00057B7E" w:rsidP="006611DD">
      <w:pPr>
        <w:spacing w:line="360" w:lineRule="auto"/>
        <w:rPr>
          <w:rFonts w:eastAsia="宋体"/>
          <w:sz w:val="24"/>
          <w:szCs w:val="24"/>
          <w:lang w:eastAsia="zh-CN"/>
        </w:rPr>
      </w:pPr>
    </w:p>
    <w:p w:rsidR="00052317" w:rsidRDefault="00052317">
      <w:pPr>
        <w:rPr>
          <w:rFonts w:eastAsia="宋体"/>
          <w:sz w:val="24"/>
          <w:szCs w:val="24"/>
          <w:lang w:eastAsia="zh-CN"/>
        </w:rPr>
      </w:pPr>
      <w:r>
        <w:rPr>
          <w:rFonts w:eastAsia="宋体"/>
          <w:sz w:val="24"/>
          <w:szCs w:val="24"/>
          <w:lang w:eastAsia="zh-CN"/>
        </w:rPr>
        <w:br w:type="page"/>
      </w:r>
    </w:p>
    <w:p w:rsidR="00052317" w:rsidRDefault="00052317" w:rsidP="006611DD">
      <w:pPr>
        <w:spacing w:line="360" w:lineRule="auto"/>
        <w:rPr>
          <w:rFonts w:eastAsia="宋体"/>
          <w:noProof/>
          <w:sz w:val="24"/>
          <w:szCs w:val="24"/>
          <w:lang w:eastAsia="zh-CN"/>
        </w:rPr>
      </w:pPr>
    </w:p>
    <w:p w:rsidR="00052317" w:rsidRPr="00052317" w:rsidRDefault="00052317" w:rsidP="006611DD">
      <w:pPr>
        <w:spacing w:line="360" w:lineRule="auto"/>
        <w:rPr>
          <w:rFonts w:eastAsia="宋体"/>
          <w:sz w:val="24"/>
          <w:szCs w:val="24"/>
          <w:lang w:eastAsia="zh-CN"/>
        </w:rPr>
      </w:pPr>
      <w:r>
        <w:rPr>
          <w:rFonts w:eastAsia="宋体"/>
          <w:noProof/>
          <w:sz w:val="24"/>
          <w:szCs w:val="24"/>
        </w:rPr>
        <w:drawing>
          <wp:inline distT="0" distB="0" distL="0" distR="0">
            <wp:extent cx="3749040" cy="1706880"/>
            <wp:effectExtent l="0" t="0" r="3810" b="7620"/>
            <wp:docPr id="6" name="图片 6" descr="C:\Users\Administrator\Desktop\待编辑\已查重\29615\Figure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istrator\Desktop\待编辑\已查重\29615\Figure 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24" t="29529" r="14714" b="28342"/>
                    <a:stretch/>
                  </pic:blipFill>
                  <pic:spPr bwMode="auto">
                    <a:xfrm>
                      <a:off x="0" y="0"/>
                      <a:ext cx="3746600" cy="170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7B7E" w:rsidRPr="00D336AE" w:rsidRDefault="00A36E78" w:rsidP="006611DD">
      <w:pPr>
        <w:pStyle w:val="BodyText"/>
        <w:spacing w:before="144" w:line="360" w:lineRule="auto"/>
        <w:ind w:left="0" w:right="104"/>
        <w:jc w:val="both"/>
        <w:rPr>
          <w:sz w:val="24"/>
          <w:szCs w:val="24"/>
        </w:rPr>
      </w:pPr>
      <w:r w:rsidRPr="00D336AE">
        <w:rPr>
          <w:b/>
          <w:sz w:val="24"/>
          <w:szCs w:val="24"/>
        </w:rPr>
        <w:t xml:space="preserve">Figure 3 Rates of </w:t>
      </w:r>
      <w:r w:rsidR="00D14A62" w:rsidRPr="00D336AE">
        <w:rPr>
          <w:b/>
          <w:sz w:val="24"/>
          <w:szCs w:val="24"/>
        </w:rPr>
        <w:t xml:space="preserve">sustained </w:t>
      </w:r>
      <w:proofErr w:type="spellStart"/>
      <w:r w:rsidR="00D14A62" w:rsidRPr="00D336AE">
        <w:rPr>
          <w:b/>
          <w:sz w:val="24"/>
          <w:szCs w:val="24"/>
        </w:rPr>
        <w:t>virological</w:t>
      </w:r>
      <w:proofErr w:type="spellEnd"/>
      <w:r w:rsidR="00D14A62" w:rsidRPr="00D336AE">
        <w:rPr>
          <w:b/>
          <w:sz w:val="24"/>
          <w:szCs w:val="24"/>
        </w:rPr>
        <w:t xml:space="preserve"> response to </w:t>
      </w:r>
      <w:proofErr w:type="spellStart"/>
      <w:r w:rsidR="00D14A62" w:rsidRPr="00D336AE">
        <w:rPr>
          <w:b/>
          <w:sz w:val="24"/>
          <w:szCs w:val="24"/>
        </w:rPr>
        <w:t>telaprevir</w:t>
      </w:r>
      <w:proofErr w:type="spellEnd"/>
      <w:r w:rsidR="00D14A62" w:rsidRPr="00D336AE">
        <w:rPr>
          <w:b/>
          <w:sz w:val="24"/>
          <w:szCs w:val="24"/>
        </w:rPr>
        <w:t xml:space="preserve"> and </w:t>
      </w:r>
      <w:proofErr w:type="spellStart"/>
      <w:r w:rsidR="00D14A62" w:rsidRPr="00D336AE">
        <w:rPr>
          <w:b/>
          <w:sz w:val="24"/>
          <w:szCs w:val="24"/>
        </w:rPr>
        <w:t>simeprevir</w:t>
      </w:r>
      <w:proofErr w:type="spellEnd"/>
      <w:r w:rsidR="00D14A62" w:rsidRPr="00D336AE">
        <w:rPr>
          <w:b/>
          <w:sz w:val="24"/>
          <w:szCs w:val="24"/>
        </w:rPr>
        <w:t xml:space="preserve"> by interleukin 28B single-nucleotide polymorphism.</w:t>
      </w:r>
      <w:r w:rsidR="00D14A62" w:rsidRPr="00D336AE">
        <w:rPr>
          <w:sz w:val="24"/>
          <w:szCs w:val="24"/>
        </w:rPr>
        <w:t xml:space="preserve"> </w:t>
      </w:r>
      <w:r w:rsidRPr="00D336AE">
        <w:rPr>
          <w:rFonts w:eastAsiaTheme="minorEastAsia" w:hint="eastAsia"/>
          <w:sz w:val="24"/>
          <w:szCs w:val="24"/>
          <w:lang w:eastAsia="ja-JP"/>
        </w:rPr>
        <w:t>P</w:t>
      </w:r>
      <w:r w:rsidRPr="00D336AE">
        <w:rPr>
          <w:rFonts w:eastAsiaTheme="minorEastAsia"/>
          <w:sz w:val="24"/>
          <w:szCs w:val="24"/>
          <w:lang w:eastAsia="ja-JP"/>
        </w:rPr>
        <w:t>ercentages indicate the proportion of patients with undetectable serum hepatitis C virus RNA levels</w:t>
      </w:r>
      <w:r w:rsidR="00D14A62" w:rsidRPr="00D336AE">
        <w:rPr>
          <w:rFonts w:eastAsiaTheme="minorEastAsia"/>
          <w:sz w:val="24"/>
          <w:szCs w:val="24"/>
          <w:lang w:eastAsia="ja-JP"/>
        </w:rPr>
        <w:t xml:space="preserve"> at 24 weeks after the end of treatment</w:t>
      </w:r>
      <w:r w:rsidRPr="00D336AE">
        <w:rPr>
          <w:rFonts w:eastAsiaTheme="minorEastAsia"/>
          <w:sz w:val="24"/>
          <w:szCs w:val="24"/>
          <w:lang w:eastAsia="ja-JP"/>
        </w:rPr>
        <w:t xml:space="preserve">. Patient numbers are shown in parenthesis. </w:t>
      </w:r>
      <w:r w:rsidR="00D97188" w:rsidRPr="00D336AE">
        <w:rPr>
          <w:rFonts w:eastAsiaTheme="minorEastAsia"/>
          <w:sz w:val="24"/>
          <w:szCs w:val="24"/>
          <w:lang w:eastAsia="ja-JP"/>
        </w:rPr>
        <w:t xml:space="preserve">TT, </w:t>
      </w:r>
      <w:r w:rsidR="00052317" w:rsidRPr="00052317">
        <w:rPr>
          <w:rFonts w:eastAsiaTheme="minorEastAsia"/>
          <w:sz w:val="24"/>
          <w:szCs w:val="24"/>
          <w:lang w:eastAsia="ja-JP"/>
        </w:rPr>
        <w:t xml:space="preserve">interleukin 28B (IL28B) </w:t>
      </w:r>
      <w:r w:rsidR="00D97188" w:rsidRPr="00D336AE">
        <w:rPr>
          <w:rFonts w:eastAsiaTheme="minorEastAsia"/>
          <w:sz w:val="24"/>
          <w:szCs w:val="24"/>
          <w:lang w:eastAsia="ja-JP"/>
        </w:rPr>
        <w:t>(rs8099917) TT</w:t>
      </w:r>
      <w:r w:rsidR="00F23D0D" w:rsidRPr="00D336AE">
        <w:rPr>
          <w:rFonts w:eastAsiaTheme="minorEastAsia"/>
          <w:sz w:val="24"/>
          <w:szCs w:val="24"/>
          <w:lang w:eastAsia="ja-JP"/>
        </w:rPr>
        <w:t>-genotype</w:t>
      </w:r>
      <w:r w:rsidR="00D97188" w:rsidRPr="00D336AE">
        <w:rPr>
          <w:rFonts w:eastAsiaTheme="minorEastAsia"/>
          <w:sz w:val="24"/>
          <w:szCs w:val="24"/>
          <w:lang w:eastAsia="ja-JP"/>
        </w:rPr>
        <w:t>; non-TT, IL28B TG/GG</w:t>
      </w:r>
      <w:r w:rsidR="00F23D0D" w:rsidRPr="00D336AE">
        <w:rPr>
          <w:rFonts w:eastAsiaTheme="minorEastAsia"/>
          <w:sz w:val="24"/>
          <w:szCs w:val="24"/>
          <w:lang w:eastAsia="ja-JP"/>
        </w:rPr>
        <w:t>-genotypes</w:t>
      </w:r>
      <w:r w:rsidR="00D97188" w:rsidRPr="00D336AE">
        <w:rPr>
          <w:rFonts w:eastAsiaTheme="minorEastAsia"/>
          <w:sz w:val="24"/>
          <w:szCs w:val="24"/>
          <w:lang w:eastAsia="ja-JP"/>
        </w:rPr>
        <w:t xml:space="preserve"> *</w:t>
      </w:r>
      <w:r w:rsidR="00D97188" w:rsidRPr="00D336AE">
        <w:rPr>
          <w:rFonts w:eastAsiaTheme="minorEastAsia"/>
          <w:i/>
          <w:sz w:val="24"/>
          <w:szCs w:val="24"/>
          <w:lang w:eastAsia="ja-JP"/>
        </w:rPr>
        <w:t>P</w:t>
      </w:r>
      <w:r w:rsidR="00D97188" w:rsidRPr="00D336AE">
        <w:rPr>
          <w:rFonts w:eastAsiaTheme="minorEastAsia"/>
          <w:sz w:val="24"/>
          <w:szCs w:val="24"/>
          <w:lang w:eastAsia="ja-JP"/>
        </w:rPr>
        <w:t xml:space="preserve"> = 0.038 (compared to older patients with the IL28B TT</w:t>
      </w:r>
      <w:r w:rsidR="00F23D0D" w:rsidRPr="00D336AE">
        <w:rPr>
          <w:rFonts w:eastAsiaTheme="minorEastAsia"/>
          <w:sz w:val="24"/>
          <w:szCs w:val="24"/>
          <w:lang w:eastAsia="ja-JP"/>
        </w:rPr>
        <w:t>-genotype</w:t>
      </w:r>
      <w:r w:rsidR="00D97188" w:rsidRPr="00D336AE">
        <w:rPr>
          <w:rFonts w:eastAsiaTheme="minorEastAsia"/>
          <w:sz w:val="24"/>
          <w:szCs w:val="24"/>
          <w:lang w:eastAsia="ja-JP"/>
        </w:rPr>
        <w:t>). **</w:t>
      </w:r>
      <w:r w:rsidR="00D97188" w:rsidRPr="00D336AE">
        <w:rPr>
          <w:rFonts w:eastAsiaTheme="minorEastAsia"/>
          <w:i/>
          <w:sz w:val="24"/>
          <w:szCs w:val="24"/>
          <w:lang w:eastAsia="ja-JP"/>
        </w:rPr>
        <w:t>P</w:t>
      </w:r>
      <w:r w:rsidR="00D97188" w:rsidRPr="00D336AE">
        <w:rPr>
          <w:rFonts w:eastAsiaTheme="minorEastAsia"/>
          <w:sz w:val="24"/>
          <w:szCs w:val="24"/>
          <w:lang w:eastAsia="ja-JP"/>
        </w:rPr>
        <w:t xml:space="preserve"> = 0.005 (compared to older patients with the IL28B TT</w:t>
      </w:r>
      <w:r w:rsidR="00F23D0D" w:rsidRPr="00D336AE">
        <w:rPr>
          <w:rFonts w:eastAsiaTheme="minorEastAsia"/>
          <w:sz w:val="24"/>
          <w:szCs w:val="24"/>
          <w:lang w:eastAsia="ja-JP"/>
        </w:rPr>
        <w:t>-genotype</w:t>
      </w:r>
      <w:r w:rsidR="00D97188" w:rsidRPr="00D336AE">
        <w:rPr>
          <w:rFonts w:eastAsiaTheme="minorEastAsia"/>
          <w:sz w:val="24"/>
          <w:szCs w:val="24"/>
          <w:lang w:eastAsia="ja-JP"/>
        </w:rPr>
        <w:t>).</w:t>
      </w:r>
      <w:r w:rsidR="00057B7E" w:rsidRPr="00D336AE">
        <w:rPr>
          <w:sz w:val="24"/>
          <w:szCs w:val="24"/>
        </w:rPr>
        <w:t xml:space="preserve"> </w:t>
      </w:r>
    </w:p>
    <w:p w:rsidR="00052317" w:rsidRDefault="00052317" w:rsidP="006611DD">
      <w:pPr>
        <w:spacing w:line="360" w:lineRule="auto"/>
        <w:rPr>
          <w:rFonts w:eastAsia="宋体"/>
          <w:b/>
          <w:sz w:val="24"/>
          <w:szCs w:val="24"/>
          <w:lang w:eastAsia="zh-CN"/>
        </w:rPr>
      </w:pPr>
    </w:p>
    <w:p w:rsidR="00052317" w:rsidRDefault="00052317" w:rsidP="006611DD">
      <w:pPr>
        <w:spacing w:line="360" w:lineRule="auto"/>
        <w:rPr>
          <w:rFonts w:eastAsia="宋体"/>
          <w:b/>
          <w:sz w:val="24"/>
          <w:szCs w:val="24"/>
          <w:lang w:eastAsia="zh-CN"/>
        </w:rPr>
      </w:pPr>
    </w:p>
    <w:p w:rsidR="00052317" w:rsidRDefault="00052317">
      <w:pPr>
        <w:rPr>
          <w:rFonts w:eastAsia="宋体"/>
          <w:b/>
          <w:sz w:val="24"/>
          <w:szCs w:val="24"/>
          <w:lang w:eastAsia="zh-CN"/>
        </w:rPr>
      </w:pPr>
      <w:r>
        <w:rPr>
          <w:rFonts w:eastAsia="宋体"/>
          <w:b/>
          <w:sz w:val="24"/>
          <w:szCs w:val="24"/>
          <w:lang w:eastAsia="zh-CN"/>
        </w:rPr>
        <w:br w:type="page"/>
      </w:r>
    </w:p>
    <w:p w:rsidR="00052317" w:rsidRDefault="00052317" w:rsidP="006611DD">
      <w:pPr>
        <w:spacing w:line="360" w:lineRule="auto"/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</w:pPr>
      <w:r w:rsidRPr="00052317">
        <w:rPr>
          <w:rFonts w:ascii="Book Antiqua" w:eastAsia="Times New Roman" w:hAnsi="Book Antiqua" w:cs="Times New Roman"/>
          <w:b/>
          <w:bCs/>
          <w:sz w:val="24"/>
          <w:szCs w:val="24"/>
        </w:rPr>
        <w:lastRenderedPageBreak/>
        <w:t xml:space="preserve">Table 1 Patient </w:t>
      </w:r>
      <w:proofErr w:type="gramStart"/>
      <w:r w:rsidRPr="00052317">
        <w:rPr>
          <w:rFonts w:ascii="Book Antiqua" w:eastAsia="Times New Roman" w:hAnsi="Book Antiqua" w:cs="Times New Roman"/>
          <w:b/>
          <w:bCs/>
          <w:sz w:val="24"/>
          <w:szCs w:val="24"/>
        </w:rPr>
        <w:t>characteristics</w:t>
      </w:r>
      <w:proofErr w:type="gramEnd"/>
      <w:r w:rsidRPr="00052317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by age (</w:t>
      </w:r>
      <w:proofErr w:type="spellStart"/>
      <w:r w:rsidRPr="00052317">
        <w:rPr>
          <w:rFonts w:ascii="Book Antiqua" w:eastAsia="Times New Roman" w:hAnsi="Book Antiqua" w:cs="Times New Roman"/>
          <w:b/>
          <w:bCs/>
          <w:sz w:val="24"/>
          <w:szCs w:val="24"/>
        </w:rPr>
        <w:t>telaprevir</w:t>
      </w:r>
      <w:proofErr w:type="spellEnd"/>
      <w:r w:rsidRPr="00052317">
        <w:rPr>
          <w:rFonts w:ascii="Book Antiqua" w:eastAsia="Times New Roman" w:hAnsi="Book Antiqua" w:cs="Times New Roman"/>
          <w:b/>
          <w:bCs/>
          <w:sz w:val="24"/>
          <w:szCs w:val="24"/>
        </w:rPr>
        <w:t>)</w:t>
      </w:r>
    </w:p>
    <w:tbl>
      <w:tblPr>
        <w:tblW w:w="9640" w:type="dxa"/>
        <w:tblInd w:w="-2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69"/>
        <w:gridCol w:w="2268"/>
        <w:gridCol w:w="2268"/>
        <w:gridCol w:w="1135"/>
      </w:tblGrid>
      <w:tr w:rsidR="004C5B17" w:rsidRPr="00D336AE" w:rsidTr="00052317">
        <w:trPr>
          <w:trHeight w:val="56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beforeLines="50" w:before="120" w:line="36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hAnsi="Book Antiqua"/>
                <w:b/>
                <w:bCs/>
                <w:sz w:val="24"/>
                <w:szCs w:val="24"/>
              </w:rPr>
              <w:t>Factors (Median, range)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C5B17" w:rsidRPr="00D336AE" w:rsidRDefault="004C5B17" w:rsidP="00052317">
            <w:pPr>
              <w:snapToGrid w:val="0"/>
              <w:spacing w:beforeLines="50" w:before="120"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Patients aged &lt;</w:t>
            </w:r>
            <w:r w:rsidR="00052317">
              <w:rPr>
                <w:rFonts w:ascii="Book Antiqua" w:eastAsia="宋体" w:hAnsi="Book Antiqua" w:cs="Times New Roman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D336A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beforeLines="50" w:before="12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Patients aged ≥</w:t>
            </w:r>
            <w:r w:rsidR="00052317">
              <w:rPr>
                <w:rFonts w:ascii="Book Antiqua" w:eastAsia="宋体" w:hAnsi="Book Antiqua" w:cs="Times New Roman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D336A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8A2B60" w:rsidP="00052317">
            <w:pPr>
              <w:snapToGrid w:val="0"/>
              <w:spacing w:beforeLines="50" w:before="12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="004C5B17" w:rsidRPr="00D336A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</w:tr>
      <w:tr w:rsidR="004C5B17" w:rsidRPr="00D336AE" w:rsidTr="00052317">
        <w:trPr>
          <w:trHeight w:val="364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052317" w:rsidRDefault="00052317" w:rsidP="00052317">
            <w:pPr>
              <w:snapToGrid w:val="0"/>
              <w:spacing w:beforeLines="50" w:before="120" w:line="360" w:lineRule="auto"/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</w:pPr>
            <w:r w:rsidRPr="00052317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C5B17" w:rsidRPr="00D336AE" w:rsidRDefault="004C5B17" w:rsidP="00052317">
            <w:pPr>
              <w:snapToGrid w:val="0"/>
              <w:spacing w:beforeLines="50" w:before="12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beforeLines="50" w:before="12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beforeLines="50" w:before="120"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4C5B17" w:rsidRPr="00D336AE" w:rsidTr="00052317">
        <w:trPr>
          <w:trHeight w:val="364"/>
        </w:trPr>
        <w:tc>
          <w:tcPr>
            <w:tcW w:w="3969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5B7682" w:rsidP="00052317">
            <w:pPr>
              <w:snapToGrid w:val="0"/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Gender, </w:t>
            </w:r>
            <w:r w:rsidRPr="00052317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n</w:t>
            </w:r>
            <w:r w:rsidR="004C5B17"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(Male</w:t>
            </w:r>
            <w:r w:rsidR="00052317">
              <w:rPr>
                <w:rFonts w:ascii="Book Antiqua" w:eastAsia="Times New Roman" w:hAnsi="Book Antiqua" w:cs="Times New Roman"/>
                <w:sz w:val="24"/>
                <w:szCs w:val="24"/>
              </w:rPr>
              <w:t>/</w:t>
            </w:r>
            <w:r w:rsidR="004C5B17"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Female)</w:t>
            </w:r>
          </w:p>
        </w:tc>
        <w:tc>
          <w:tcPr>
            <w:tcW w:w="2268" w:type="dxa"/>
            <w:vAlign w:val="center"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41</w:t>
            </w:r>
            <w:r w:rsidR="00052317">
              <w:rPr>
                <w:rFonts w:ascii="Book Antiqua" w:eastAsia="Times New Roman" w:hAnsi="Book Antiqua" w:cs="Times New Roman"/>
                <w:sz w:val="24"/>
                <w:szCs w:val="24"/>
              </w:rPr>
              <w:t>/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20</w:t>
            </w:r>
            <w:r w:rsidR="00052317">
              <w:rPr>
                <w:rFonts w:ascii="Book Antiqua" w:eastAsia="Times New Roman" w:hAnsi="Book Antiqua" w:cs="Times New Roman"/>
                <w:sz w:val="24"/>
                <w:szCs w:val="24"/>
              </w:rPr>
              <w:t>/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0.680</w:t>
            </w:r>
          </w:p>
        </w:tc>
      </w:tr>
      <w:tr w:rsidR="004C5B17" w:rsidRPr="00D336AE" w:rsidTr="00052317">
        <w:trPr>
          <w:trHeight w:val="364"/>
        </w:trPr>
        <w:tc>
          <w:tcPr>
            <w:tcW w:w="3969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Age (years)</w:t>
            </w:r>
          </w:p>
        </w:tc>
        <w:tc>
          <w:tcPr>
            <w:tcW w:w="2268" w:type="dxa"/>
            <w:vAlign w:val="center"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56</w:t>
            </w:r>
            <w:r w:rsidRPr="00D336AE">
              <w:rPr>
                <w:rFonts w:ascii="Book Antiqua" w:eastAsia="MS Mincho" w:hAnsi="Book Antiqua" w:cs="MS Mincho" w:hint="eastAsia"/>
                <w:sz w:val="24"/>
                <w:szCs w:val="24"/>
                <w:lang w:eastAsia="ja-JP"/>
              </w:rPr>
              <w:t xml:space="preserve"> (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28-65</w:t>
            </w:r>
            <w:r w:rsidRPr="00D336AE">
              <w:rPr>
                <w:rFonts w:ascii="Book Antiqua" w:eastAsia="MS Mincho" w:hAnsi="Book Antiqua" w:cs="MS Mincho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69 (66-81)</w:t>
            </w:r>
          </w:p>
        </w:tc>
        <w:tc>
          <w:tcPr>
            <w:tcW w:w="1135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&lt;0.001</w:t>
            </w:r>
          </w:p>
        </w:tc>
      </w:tr>
      <w:tr w:rsidR="004C5B17" w:rsidRPr="00D336AE" w:rsidTr="00052317">
        <w:trPr>
          <w:trHeight w:val="364"/>
        </w:trPr>
        <w:tc>
          <w:tcPr>
            <w:tcW w:w="3969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Body weight (kg)</w:t>
            </w:r>
          </w:p>
        </w:tc>
        <w:tc>
          <w:tcPr>
            <w:tcW w:w="2268" w:type="dxa"/>
            <w:vAlign w:val="center"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61.1 (35.0-97.4)</w:t>
            </w:r>
          </w:p>
        </w:tc>
        <w:tc>
          <w:tcPr>
            <w:tcW w:w="2268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57.8 (41.0-74.8)</w:t>
            </w:r>
          </w:p>
        </w:tc>
        <w:tc>
          <w:tcPr>
            <w:tcW w:w="1135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0.105</w:t>
            </w:r>
          </w:p>
        </w:tc>
      </w:tr>
      <w:tr w:rsidR="004C5B17" w:rsidRPr="00D336AE" w:rsidTr="00052317">
        <w:trPr>
          <w:trHeight w:val="364"/>
        </w:trPr>
        <w:tc>
          <w:tcPr>
            <w:tcW w:w="3969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Body mass index (kg/m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  <w:vertAlign w:val="superscript"/>
              </w:rPr>
              <w:t>2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22.7 (15.8-32.2)</w:t>
            </w:r>
          </w:p>
        </w:tc>
        <w:tc>
          <w:tcPr>
            <w:tcW w:w="2268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22.9 (17.9-28.9)</w:t>
            </w:r>
          </w:p>
        </w:tc>
        <w:tc>
          <w:tcPr>
            <w:tcW w:w="1135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0.892</w:t>
            </w:r>
          </w:p>
        </w:tc>
      </w:tr>
      <w:tr w:rsidR="004C5B17" w:rsidRPr="00D336AE" w:rsidTr="00052317">
        <w:trPr>
          <w:trHeight w:val="364"/>
        </w:trPr>
        <w:tc>
          <w:tcPr>
            <w:tcW w:w="3969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Baseline HCV-RNA (log IU/mL)</w:t>
            </w:r>
          </w:p>
        </w:tc>
        <w:tc>
          <w:tcPr>
            <w:tcW w:w="2268" w:type="dxa"/>
            <w:vAlign w:val="center"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6.7</w:t>
            </w:r>
            <w:r w:rsidRPr="00D336AE">
              <w:rPr>
                <w:rFonts w:ascii="Book Antiqua" w:eastAsia="MS Mincho" w:hAnsi="Book Antiqua" w:cs="MS Mincho"/>
                <w:sz w:val="24"/>
                <w:szCs w:val="24"/>
              </w:rPr>
              <w:t xml:space="preserve"> (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3.9-7.7</w:t>
            </w:r>
            <w:r w:rsidRPr="00D336AE">
              <w:rPr>
                <w:rFonts w:ascii="Book Antiqua" w:eastAsia="MS Mincho" w:hAnsi="Book Antiqua" w:cs="MS Mincho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6.7 (3.1-7.8)</w:t>
            </w:r>
          </w:p>
        </w:tc>
        <w:tc>
          <w:tcPr>
            <w:tcW w:w="1135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0.766</w:t>
            </w:r>
          </w:p>
        </w:tc>
      </w:tr>
      <w:tr w:rsidR="004C5B17" w:rsidRPr="00D336AE" w:rsidTr="00052317">
        <w:trPr>
          <w:trHeight w:val="364"/>
        </w:trPr>
        <w:tc>
          <w:tcPr>
            <w:tcW w:w="3969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White blood cell (/mm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  <w:vertAlign w:val="superscript"/>
              </w:rPr>
              <w:t>3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5000</w:t>
            </w:r>
            <w:r w:rsidRPr="00D336AE">
              <w:rPr>
                <w:rFonts w:ascii="Book Antiqua" w:eastAsia="MS Mincho" w:hAnsi="Book Antiqua" w:cs="MS Mincho"/>
                <w:sz w:val="24"/>
                <w:szCs w:val="24"/>
              </w:rPr>
              <w:t xml:space="preserve"> (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1900-8720</w:t>
            </w:r>
            <w:r w:rsidRPr="00D336AE">
              <w:rPr>
                <w:rFonts w:ascii="Book Antiqua" w:eastAsia="MS Mincho" w:hAnsi="Book Antiqua" w:cs="MS Mincho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4500 (2700-7700)</w:t>
            </w:r>
          </w:p>
        </w:tc>
        <w:tc>
          <w:tcPr>
            <w:tcW w:w="1135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0.245</w:t>
            </w:r>
          </w:p>
        </w:tc>
      </w:tr>
      <w:tr w:rsidR="004C5B17" w:rsidRPr="00D336AE" w:rsidTr="00052317">
        <w:trPr>
          <w:trHeight w:val="364"/>
        </w:trPr>
        <w:tc>
          <w:tcPr>
            <w:tcW w:w="3969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Hemoglobin (g/</w:t>
            </w:r>
            <w:proofErr w:type="spellStart"/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dL</w:t>
            </w:r>
            <w:proofErr w:type="spellEnd"/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14.0</w:t>
            </w:r>
            <w:r w:rsidRPr="00D336AE">
              <w:rPr>
                <w:rFonts w:ascii="Book Antiqua" w:eastAsia="MS Mincho" w:hAnsi="Book Antiqua" w:cs="MS Mincho"/>
                <w:sz w:val="24"/>
                <w:szCs w:val="24"/>
              </w:rPr>
              <w:t xml:space="preserve"> (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9.1-18.6</w:t>
            </w:r>
            <w:r w:rsidRPr="00D336AE">
              <w:rPr>
                <w:rFonts w:ascii="Book Antiqua" w:eastAsia="MS Mincho" w:hAnsi="Book Antiqua" w:cs="MS Mincho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13.5 (9.5-16.3)</w:t>
            </w:r>
          </w:p>
        </w:tc>
        <w:tc>
          <w:tcPr>
            <w:tcW w:w="1135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0.121</w:t>
            </w:r>
          </w:p>
        </w:tc>
      </w:tr>
      <w:tr w:rsidR="004C5B17" w:rsidRPr="00D336AE" w:rsidTr="00052317">
        <w:trPr>
          <w:trHeight w:val="364"/>
        </w:trPr>
        <w:tc>
          <w:tcPr>
            <w:tcW w:w="3969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Platelets (</w:t>
            </w:r>
            <w:r w:rsidR="00052317">
              <w:rPr>
                <w:rFonts w:ascii="Book Antiqua" w:eastAsia="Times New Roman" w:hAnsi="Book Antiqua" w:cs="Times New Roman"/>
                <w:sz w:val="24"/>
                <w:szCs w:val="24"/>
              </w:rPr>
              <w:t>×</w:t>
            </w:r>
            <w:r w:rsidR="00052317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10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  <w:vertAlign w:val="superscript"/>
              </w:rPr>
              <w:t xml:space="preserve">4 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/mm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  <w:vertAlign w:val="superscript"/>
              </w:rPr>
              <w:t>3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15.8</w:t>
            </w:r>
            <w:r w:rsidRPr="00D336AE">
              <w:rPr>
                <w:rFonts w:ascii="Book Antiqua" w:eastAsia="MS Mincho" w:hAnsi="Book Antiqua" w:cs="MS Mincho"/>
                <w:sz w:val="24"/>
                <w:szCs w:val="24"/>
              </w:rPr>
              <w:t xml:space="preserve"> (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6.5-28.7</w:t>
            </w:r>
            <w:r w:rsidRPr="00D336AE">
              <w:rPr>
                <w:rFonts w:ascii="Book Antiqua" w:eastAsia="MS Mincho" w:hAnsi="Book Antiqua" w:cs="MS Mincho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13.4 (8.3-29.0)</w:t>
            </w:r>
          </w:p>
        </w:tc>
        <w:tc>
          <w:tcPr>
            <w:tcW w:w="1135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0.068</w:t>
            </w:r>
          </w:p>
        </w:tc>
      </w:tr>
      <w:tr w:rsidR="004C5B17" w:rsidRPr="00D336AE" w:rsidTr="00052317">
        <w:trPr>
          <w:trHeight w:val="364"/>
        </w:trPr>
        <w:tc>
          <w:tcPr>
            <w:tcW w:w="3969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Albumin (mg/</w:t>
            </w:r>
            <w:proofErr w:type="spellStart"/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dL</w:t>
            </w:r>
            <w:proofErr w:type="spellEnd"/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4.1 (2.7-5.9)</w:t>
            </w:r>
          </w:p>
        </w:tc>
        <w:tc>
          <w:tcPr>
            <w:tcW w:w="2268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3.9 (2.4-4.4)</w:t>
            </w:r>
          </w:p>
        </w:tc>
        <w:tc>
          <w:tcPr>
            <w:tcW w:w="1135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0.007</w:t>
            </w:r>
          </w:p>
        </w:tc>
      </w:tr>
      <w:tr w:rsidR="004C5B17" w:rsidRPr="00D336AE" w:rsidTr="00052317">
        <w:trPr>
          <w:trHeight w:val="364"/>
        </w:trPr>
        <w:tc>
          <w:tcPr>
            <w:tcW w:w="3969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AST</w:t>
            </w:r>
            <w:r w:rsidRPr="00D336AE">
              <w:rPr>
                <w:rFonts w:ascii="Book Antiqua" w:eastAsia="MS Mincho" w:hAnsi="Book Antiqua" w:cs="MS Mincho" w:hint="eastAsia"/>
                <w:sz w:val="24"/>
                <w:szCs w:val="24"/>
                <w:lang w:eastAsia="ja-JP"/>
              </w:rPr>
              <w:t xml:space="preserve"> (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IU/L</w:t>
            </w:r>
            <w:r w:rsidRPr="00D336AE">
              <w:rPr>
                <w:rFonts w:ascii="Book Antiqua" w:eastAsia="MS Mincho" w:hAnsi="Book Antiqua" w:cs="MS Mincho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40 (17-249)</w:t>
            </w:r>
          </w:p>
        </w:tc>
        <w:tc>
          <w:tcPr>
            <w:tcW w:w="2268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45 (20-163)</w:t>
            </w:r>
          </w:p>
        </w:tc>
        <w:tc>
          <w:tcPr>
            <w:tcW w:w="1135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0.909</w:t>
            </w:r>
          </w:p>
        </w:tc>
      </w:tr>
      <w:tr w:rsidR="004C5B17" w:rsidRPr="00D336AE" w:rsidTr="00052317">
        <w:trPr>
          <w:trHeight w:val="364"/>
        </w:trPr>
        <w:tc>
          <w:tcPr>
            <w:tcW w:w="3969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ALT</w:t>
            </w:r>
            <w:r w:rsidRPr="00D336AE">
              <w:rPr>
                <w:rFonts w:ascii="Book Antiqua" w:eastAsia="MS Mincho" w:hAnsi="Book Antiqua" w:cs="MS Mincho"/>
                <w:sz w:val="24"/>
                <w:szCs w:val="24"/>
              </w:rPr>
              <w:t xml:space="preserve"> (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IU/L</w:t>
            </w:r>
            <w:r w:rsidRPr="00D336AE">
              <w:rPr>
                <w:rFonts w:ascii="Book Antiqua" w:eastAsia="MS Mincho" w:hAnsi="Book Antiqua" w:cs="MS Mincho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48 (15-278)</w:t>
            </w:r>
          </w:p>
        </w:tc>
        <w:tc>
          <w:tcPr>
            <w:tcW w:w="2268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38 (15-189)</w:t>
            </w:r>
          </w:p>
        </w:tc>
        <w:tc>
          <w:tcPr>
            <w:tcW w:w="1135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0.486</w:t>
            </w:r>
          </w:p>
        </w:tc>
      </w:tr>
      <w:tr w:rsidR="004C5B17" w:rsidRPr="00D336AE" w:rsidTr="00052317">
        <w:trPr>
          <w:trHeight w:val="364"/>
        </w:trPr>
        <w:tc>
          <w:tcPr>
            <w:tcW w:w="3969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  <w:lang w:val="el-GR"/>
              </w:rPr>
              <w:t>γ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-GTP (IU/L)</w:t>
            </w:r>
          </w:p>
        </w:tc>
        <w:tc>
          <w:tcPr>
            <w:tcW w:w="2268" w:type="dxa"/>
            <w:vAlign w:val="center"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39 (11-717)</w:t>
            </w:r>
          </w:p>
        </w:tc>
        <w:tc>
          <w:tcPr>
            <w:tcW w:w="2268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25 (11-144)</w:t>
            </w:r>
          </w:p>
        </w:tc>
        <w:tc>
          <w:tcPr>
            <w:tcW w:w="1135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0.034</w:t>
            </w:r>
          </w:p>
        </w:tc>
      </w:tr>
      <w:tr w:rsidR="004C5B17" w:rsidRPr="00D336AE" w:rsidTr="00052317">
        <w:trPr>
          <w:trHeight w:val="364"/>
        </w:trPr>
        <w:tc>
          <w:tcPr>
            <w:tcW w:w="3969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Serum creatinine (mg/</w:t>
            </w:r>
            <w:proofErr w:type="spellStart"/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dL</w:t>
            </w:r>
            <w:proofErr w:type="spellEnd"/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0.7 (0.4-1.2)</w:t>
            </w:r>
          </w:p>
        </w:tc>
        <w:tc>
          <w:tcPr>
            <w:tcW w:w="2268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0.8 (0.4-1.0)</w:t>
            </w:r>
          </w:p>
        </w:tc>
        <w:tc>
          <w:tcPr>
            <w:tcW w:w="1135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0.036</w:t>
            </w:r>
          </w:p>
        </w:tc>
      </w:tr>
      <w:tr w:rsidR="004C5B17" w:rsidRPr="00D336AE" w:rsidTr="00052317">
        <w:trPr>
          <w:trHeight w:val="364"/>
        </w:trPr>
        <w:tc>
          <w:tcPr>
            <w:tcW w:w="3969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Estimated GFR (mL/min)</w:t>
            </w:r>
          </w:p>
        </w:tc>
        <w:tc>
          <w:tcPr>
            <w:tcW w:w="2268" w:type="dxa"/>
            <w:vAlign w:val="center"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79.0 (44.0-134.0)</w:t>
            </w:r>
          </w:p>
        </w:tc>
        <w:tc>
          <w:tcPr>
            <w:tcW w:w="2268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71.5 (39.0-101.9)</w:t>
            </w:r>
          </w:p>
        </w:tc>
        <w:tc>
          <w:tcPr>
            <w:tcW w:w="1135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0.006</w:t>
            </w:r>
          </w:p>
        </w:tc>
      </w:tr>
      <w:tr w:rsidR="004C5B17" w:rsidRPr="00D336AE" w:rsidTr="00052317">
        <w:trPr>
          <w:trHeight w:val="364"/>
        </w:trPr>
        <w:tc>
          <w:tcPr>
            <w:tcW w:w="3969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Pr</w:t>
            </w:r>
            <w:r w:rsidR="00FB1F7A"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ior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treatment response, n</w:t>
            </w:r>
          </w:p>
          <w:p w:rsidR="004C5B17" w:rsidRPr="00D336AE" w:rsidRDefault="00052317" w:rsidP="00052317">
            <w:pPr>
              <w:snapToGrid w:val="0"/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(naïve/relapse/</w:t>
            </w:r>
            <w:r w:rsidR="004C5B17"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non-responder)</w:t>
            </w:r>
          </w:p>
        </w:tc>
        <w:tc>
          <w:tcPr>
            <w:tcW w:w="2268" w:type="dxa"/>
            <w:vAlign w:val="center"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45</w:t>
            </w:r>
            <w:r w:rsidR="00052317">
              <w:rPr>
                <w:rFonts w:ascii="Book Antiqua" w:eastAsia="Times New Roman" w:hAnsi="Book Antiqua" w:cs="Times New Roman"/>
                <w:sz w:val="24"/>
                <w:szCs w:val="24"/>
              </w:rPr>
              <w:t>/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26</w:t>
            </w:r>
            <w:r w:rsidR="00052317">
              <w:rPr>
                <w:rFonts w:ascii="Book Antiqua" w:eastAsia="Times New Roman" w:hAnsi="Book Antiqua" w:cs="Times New Roman"/>
                <w:sz w:val="24"/>
                <w:szCs w:val="24"/>
              </w:rPr>
              <w:t>/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15</w:t>
            </w:r>
            <w:r w:rsidR="00052317">
              <w:rPr>
                <w:rFonts w:ascii="Book Antiqua" w:eastAsia="Times New Roman" w:hAnsi="Book Antiqua" w:cs="Times New Roman"/>
                <w:sz w:val="24"/>
                <w:szCs w:val="24"/>
              </w:rPr>
              <w:t>/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15</w:t>
            </w:r>
            <w:r w:rsidR="00052317">
              <w:rPr>
                <w:rFonts w:ascii="Book Antiqua" w:eastAsia="Times New Roman" w:hAnsi="Book Antiqua" w:cs="Times New Roman"/>
                <w:sz w:val="24"/>
                <w:szCs w:val="24"/>
              </w:rPr>
              <w:t>/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0.403</w:t>
            </w:r>
          </w:p>
        </w:tc>
      </w:tr>
      <w:tr w:rsidR="00167147" w:rsidRPr="00D336AE" w:rsidTr="00052317">
        <w:trPr>
          <w:trHeight w:val="364"/>
        </w:trPr>
        <w:tc>
          <w:tcPr>
            <w:tcW w:w="3969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</w:tcPr>
          <w:p w:rsidR="00167147" w:rsidRPr="00D336AE" w:rsidRDefault="00167147" w:rsidP="00052317">
            <w:pPr>
              <w:snapToGrid w:val="0"/>
              <w:spacing w:beforeLines="50" w:before="120" w:line="360" w:lineRule="auto"/>
              <w:rPr>
                <w:rFonts w:ascii="Book Antiqua" w:hAnsi="Book Antiqua" w:cs="Times New Roman"/>
                <w:sz w:val="24"/>
                <w:szCs w:val="24"/>
                <w:lang w:eastAsia="ja-JP"/>
              </w:rPr>
            </w:pPr>
            <w:r w:rsidRPr="00D336AE">
              <w:rPr>
                <w:rFonts w:ascii="Book Antiqua" w:hAnsi="Book Antiqua" w:cs="Times New Roman" w:hint="eastAsia"/>
                <w:sz w:val="24"/>
                <w:szCs w:val="24"/>
                <w:lang w:eastAsia="ja-JP"/>
              </w:rPr>
              <w:t xml:space="preserve">Liver histology </w:t>
            </w:r>
            <w:r w:rsidR="00052317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(F0-2/3-4/</w:t>
            </w:r>
            <w:r w:rsidRPr="00D336AE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ND)</w:t>
            </w:r>
          </w:p>
        </w:tc>
        <w:tc>
          <w:tcPr>
            <w:tcW w:w="2268" w:type="dxa"/>
            <w:vAlign w:val="center"/>
          </w:tcPr>
          <w:p w:rsidR="00167147" w:rsidRPr="00D336AE" w:rsidRDefault="00167147" w:rsidP="00052317">
            <w:pPr>
              <w:snapToGrid w:val="0"/>
              <w:spacing w:beforeLines="50" w:before="120"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eastAsia="ja-JP"/>
              </w:rPr>
            </w:pPr>
            <w:r w:rsidRPr="00D336AE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21</w:t>
            </w:r>
            <w:r w:rsidR="00052317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/</w:t>
            </w:r>
            <w:r w:rsidRPr="00D336AE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6</w:t>
            </w:r>
            <w:r w:rsidR="00052317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/</w:t>
            </w:r>
            <w:r w:rsidRPr="00D336AE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51</w:t>
            </w:r>
          </w:p>
        </w:tc>
        <w:tc>
          <w:tcPr>
            <w:tcW w:w="2268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</w:tcPr>
          <w:p w:rsidR="00167147" w:rsidRPr="00D336AE" w:rsidRDefault="00167147" w:rsidP="00052317">
            <w:pPr>
              <w:snapToGrid w:val="0"/>
              <w:spacing w:beforeLines="50" w:before="120"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eastAsia="ja-JP"/>
              </w:rPr>
            </w:pPr>
            <w:r w:rsidRPr="00D336AE">
              <w:rPr>
                <w:rFonts w:ascii="Book Antiqua" w:hAnsi="Book Antiqua" w:cs="Times New Roman" w:hint="eastAsia"/>
                <w:sz w:val="24"/>
                <w:szCs w:val="24"/>
                <w:lang w:eastAsia="ja-JP"/>
              </w:rPr>
              <w:t>4</w:t>
            </w:r>
            <w:r w:rsidR="00052317">
              <w:rPr>
                <w:rFonts w:ascii="Book Antiqua" w:hAnsi="Book Antiqua" w:cs="Times New Roman" w:hint="eastAsia"/>
                <w:sz w:val="24"/>
                <w:szCs w:val="24"/>
                <w:lang w:eastAsia="ja-JP"/>
              </w:rPr>
              <w:t>/</w:t>
            </w:r>
            <w:r w:rsidRPr="00D336AE">
              <w:rPr>
                <w:rFonts w:ascii="Book Antiqua" w:hAnsi="Book Antiqua" w:cs="Times New Roman" w:hint="eastAsia"/>
                <w:sz w:val="24"/>
                <w:szCs w:val="24"/>
                <w:lang w:eastAsia="ja-JP"/>
              </w:rPr>
              <w:t>3</w:t>
            </w:r>
            <w:r w:rsidR="00052317">
              <w:rPr>
                <w:rFonts w:ascii="Book Antiqua" w:hAnsi="Book Antiqua" w:cs="Times New Roman" w:hint="eastAsia"/>
                <w:sz w:val="24"/>
                <w:szCs w:val="24"/>
                <w:lang w:eastAsia="ja-JP"/>
              </w:rPr>
              <w:t>/</w:t>
            </w:r>
            <w:r w:rsidRPr="00D336AE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1135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</w:tcPr>
          <w:p w:rsidR="00167147" w:rsidRPr="00D336AE" w:rsidRDefault="00D334CA" w:rsidP="00052317">
            <w:pPr>
              <w:snapToGrid w:val="0"/>
              <w:spacing w:beforeLines="50" w:before="120"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eastAsia="ja-JP"/>
              </w:rPr>
            </w:pPr>
            <w:r w:rsidRPr="00D336AE">
              <w:rPr>
                <w:rFonts w:ascii="Book Antiqua" w:hAnsi="Book Antiqua" w:cs="Times New Roman" w:hint="eastAsia"/>
                <w:sz w:val="24"/>
                <w:szCs w:val="24"/>
                <w:lang w:eastAsia="ja-JP"/>
              </w:rPr>
              <w:t>0.348</w:t>
            </w:r>
          </w:p>
        </w:tc>
      </w:tr>
      <w:tr w:rsidR="004C5B17" w:rsidRPr="00D336AE" w:rsidTr="00052317">
        <w:trPr>
          <w:trHeight w:val="364"/>
        </w:trPr>
        <w:tc>
          <w:tcPr>
            <w:tcW w:w="3969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IL28B SNP (rs8099917), </w:t>
            </w:r>
            <w:r w:rsidRPr="00052317">
              <w:rPr>
                <w:rFonts w:ascii="Book Antiqua" w:eastAsia="Times New Roman" w:hAnsi="Book Antiqua" w:cs="Times New Roman"/>
                <w:i/>
                <w:sz w:val="24"/>
                <w:szCs w:val="24"/>
              </w:rPr>
              <w:t>n</w:t>
            </w:r>
          </w:p>
          <w:p w:rsidR="004C5B17" w:rsidRPr="00D336AE" w:rsidRDefault="00052317" w:rsidP="00052317">
            <w:pPr>
              <w:snapToGrid w:val="0"/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(TT/non-TT/</w:t>
            </w:r>
            <w:r w:rsidR="004C5B17"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ND)</w:t>
            </w:r>
          </w:p>
        </w:tc>
        <w:tc>
          <w:tcPr>
            <w:tcW w:w="2268" w:type="dxa"/>
            <w:vAlign w:val="center"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51</w:t>
            </w:r>
            <w:r w:rsidR="00052317">
              <w:rPr>
                <w:rFonts w:ascii="Book Antiqua" w:eastAsia="Times New Roman" w:hAnsi="Book Antiqua" w:cs="Times New Roman"/>
                <w:sz w:val="24"/>
                <w:szCs w:val="24"/>
              </w:rPr>
              <w:t>/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22</w:t>
            </w:r>
            <w:r w:rsidR="00052317">
              <w:rPr>
                <w:rFonts w:ascii="Book Antiqua" w:eastAsia="Times New Roman" w:hAnsi="Book Antiqua" w:cs="Times New Roman"/>
                <w:sz w:val="24"/>
                <w:szCs w:val="24"/>
              </w:rPr>
              <w:t>/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28</w:t>
            </w:r>
            <w:r w:rsidR="00052317">
              <w:rPr>
                <w:rFonts w:ascii="Book Antiqua" w:eastAsia="Times New Roman" w:hAnsi="Book Antiqua" w:cs="Times New Roman"/>
                <w:sz w:val="24"/>
                <w:szCs w:val="24"/>
              </w:rPr>
              <w:t>/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5</w:t>
            </w:r>
            <w:r w:rsidR="00052317">
              <w:rPr>
                <w:rFonts w:ascii="Book Antiqua" w:eastAsia="Times New Roman" w:hAnsi="Book Antiqua" w:cs="Times New Roman"/>
                <w:sz w:val="24"/>
                <w:szCs w:val="24"/>
              </w:rPr>
              <w:t>/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0.235</w:t>
            </w:r>
          </w:p>
        </w:tc>
      </w:tr>
      <w:tr w:rsidR="004C5B17" w:rsidRPr="00D336AE" w:rsidTr="00052317">
        <w:trPr>
          <w:trHeight w:val="364"/>
        </w:trPr>
        <w:tc>
          <w:tcPr>
            <w:tcW w:w="3969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052317" w:rsidP="00052317">
            <w:pPr>
              <w:snapToGrid w:val="0"/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>HCV ISDR, n (0 /1-3 /4-/</w:t>
            </w:r>
            <w:r w:rsidR="004C5B17"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NT)</w:t>
            </w:r>
          </w:p>
        </w:tc>
        <w:tc>
          <w:tcPr>
            <w:tcW w:w="2268" w:type="dxa"/>
            <w:vAlign w:val="center"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32</w:t>
            </w:r>
            <w:r w:rsidR="00052317">
              <w:rPr>
                <w:rFonts w:ascii="Book Antiqua" w:eastAsia="Times New Roman" w:hAnsi="Book Antiqua" w:cs="Times New Roman"/>
                <w:sz w:val="24"/>
                <w:szCs w:val="24"/>
              </w:rPr>
              <w:t>/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26</w:t>
            </w:r>
            <w:r w:rsidR="00052317">
              <w:rPr>
                <w:rFonts w:ascii="Book Antiqua" w:eastAsia="Times New Roman" w:hAnsi="Book Antiqua" w:cs="Times New Roman"/>
                <w:sz w:val="24"/>
                <w:szCs w:val="24"/>
              </w:rPr>
              <w:t>/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6</w:t>
            </w:r>
            <w:r w:rsidR="00052317">
              <w:rPr>
                <w:rFonts w:ascii="Book Antiqua" w:eastAsia="Times New Roman" w:hAnsi="Book Antiqua" w:cs="Times New Roman"/>
                <w:sz w:val="24"/>
                <w:szCs w:val="24"/>
              </w:rPr>
              <w:t>/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15</w:t>
            </w:r>
            <w:r w:rsidR="00052317">
              <w:rPr>
                <w:rFonts w:ascii="Book Antiqua" w:eastAsia="Times New Roman" w:hAnsi="Book Antiqua" w:cs="Times New Roman"/>
                <w:sz w:val="24"/>
                <w:szCs w:val="24"/>
              </w:rPr>
              <w:t>/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10</w:t>
            </w:r>
            <w:r w:rsidR="00052317">
              <w:rPr>
                <w:rFonts w:ascii="Book Antiqua" w:eastAsia="Times New Roman" w:hAnsi="Book Antiqua" w:cs="Times New Roman"/>
                <w:sz w:val="24"/>
                <w:szCs w:val="24"/>
              </w:rPr>
              <w:t>/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2</w:t>
            </w:r>
            <w:r w:rsidR="00052317">
              <w:rPr>
                <w:rFonts w:ascii="Book Antiqua" w:eastAsia="Times New Roman" w:hAnsi="Book Antiqua" w:cs="Times New Roman"/>
                <w:sz w:val="24"/>
                <w:szCs w:val="24"/>
              </w:rPr>
              <w:t>/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0.955</w:t>
            </w:r>
          </w:p>
        </w:tc>
      </w:tr>
      <w:tr w:rsidR="004C5B17" w:rsidRPr="00D336AE" w:rsidTr="00052317">
        <w:trPr>
          <w:trHeight w:val="364"/>
        </w:trPr>
        <w:tc>
          <w:tcPr>
            <w:tcW w:w="3969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HCV Core 70, n</w:t>
            </w:r>
          </w:p>
          <w:p w:rsidR="004C5B17" w:rsidRPr="00D336AE" w:rsidRDefault="004C5B17" w:rsidP="00052317">
            <w:pPr>
              <w:snapToGrid w:val="0"/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>(Wild</w:t>
            </w:r>
            <w:r w:rsidR="00052317">
              <w:rPr>
                <w:rFonts w:ascii="Book Antiqua" w:eastAsia="Times New Roman" w:hAnsi="Book Antiqua" w:cs="Times New Roman"/>
                <w:sz w:val="24"/>
                <w:szCs w:val="24"/>
              </w:rPr>
              <w:t>/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Mutant</w:t>
            </w:r>
            <w:r w:rsidR="00052317">
              <w:rPr>
                <w:rFonts w:ascii="Book Antiqua" w:eastAsia="Times New Roman" w:hAnsi="Book Antiqua" w:cs="Times New Roman"/>
                <w:sz w:val="24"/>
                <w:szCs w:val="24"/>
              </w:rPr>
              <w:t>/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ND)</w:t>
            </w:r>
          </w:p>
        </w:tc>
        <w:tc>
          <w:tcPr>
            <w:tcW w:w="2268" w:type="dxa"/>
            <w:vAlign w:val="center"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>46</w:t>
            </w:r>
            <w:r w:rsidR="00052317">
              <w:rPr>
                <w:rFonts w:ascii="Book Antiqua" w:eastAsia="Times New Roman" w:hAnsi="Book Antiqua" w:cs="Times New Roman"/>
                <w:sz w:val="24"/>
                <w:szCs w:val="24"/>
              </w:rPr>
              <w:t>/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18</w:t>
            </w:r>
            <w:r w:rsidR="00052317">
              <w:rPr>
                <w:rFonts w:ascii="Book Antiqua" w:eastAsia="Times New Roman" w:hAnsi="Book Antiqua" w:cs="Times New Roman"/>
                <w:sz w:val="24"/>
                <w:szCs w:val="24"/>
              </w:rPr>
              <w:t>/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18</w:t>
            </w:r>
            <w:r w:rsidR="00052317">
              <w:rPr>
                <w:rFonts w:ascii="Book Antiqua" w:eastAsia="Times New Roman" w:hAnsi="Book Antiqua" w:cs="Times New Roman"/>
                <w:sz w:val="24"/>
                <w:szCs w:val="24"/>
              </w:rPr>
              <w:t>/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10</w:t>
            </w:r>
            <w:r w:rsidR="00052317">
              <w:rPr>
                <w:rFonts w:ascii="Book Antiqua" w:eastAsia="Times New Roman" w:hAnsi="Book Antiqua" w:cs="Times New Roman"/>
                <w:sz w:val="24"/>
                <w:szCs w:val="24"/>
              </w:rPr>
              <w:t>/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0.751</w:t>
            </w:r>
          </w:p>
        </w:tc>
      </w:tr>
      <w:tr w:rsidR="004C5B17" w:rsidRPr="00D336AE" w:rsidTr="00052317">
        <w:trPr>
          <w:trHeight w:val="364"/>
        </w:trPr>
        <w:tc>
          <w:tcPr>
            <w:tcW w:w="3969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lastRenderedPageBreak/>
              <w:t>HCV Core 91, n</w:t>
            </w:r>
          </w:p>
          <w:p w:rsidR="004C5B17" w:rsidRPr="00D336AE" w:rsidRDefault="004C5B17" w:rsidP="00052317">
            <w:pPr>
              <w:snapToGrid w:val="0"/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(Wild</w:t>
            </w:r>
            <w:r w:rsidR="00052317">
              <w:rPr>
                <w:rFonts w:ascii="Book Antiqua" w:eastAsia="Times New Roman" w:hAnsi="Book Antiqua" w:cs="Times New Roman"/>
                <w:sz w:val="24"/>
                <w:szCs w:val="24"/>
              </w:rPr>
              <w:t>/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Mutant</w:t>
            </w:r>
            <w:r w:rsidR="00052317">
              <w:rPr>
                <w:rFonts w:ascii="Book Antiqua" w:eastAsia="Times New Roman" w:hAnsi="Book Antiqua" w:cs="Times New Roman"/>
                <w:sz w:val="24"/>
                <w:szCs w:val="24"/>
              </w:rPr>
              <w:t>/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ND)</w:t>
            </w:r>
          </w:p>
        </w:tc>
        <w:tc>
          <w:tcPr>
            <w:tcW w:w="2268" w:type="dxa"/>
            <w:vAlign w:val="center"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42</w:t>
            </w:r>
            <w:r w:rsidR="00052317">
              <w:rPr>
                <w:rFonts w:ascii="Book Antiqua" w:eastAsia="Times New Roman" w:hAnsi="Book Antiqua" w:cs="Times New Roman"/>
                <w:sz w:val="24"/>
                <w:szCs w:val="24"/>
              </w:rPr>
              <w:t>/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22</w:t>
            </w:r>
            <w:r w:rsidR="00052317">
              <w:rPr>
                <w:rFonts w:ascii="Book Antiqua" w:eastAsia="Times New Roman" w:hAnsi="Book Antiqua" w:cs="Times New Roman"/>
                <w:sz w:val="24"/>
                <w:szCs w:val="24"/>
              </w:rPr>
              <w:t>/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19</w:t>
            </w:r>
            <w:r w:rsidR="00052317">
              <w:rPr>
                <w:rFonts w:ascii="Book Antiqua" w:eastAsia="Times New Roman" w:hAnsi="Book Antiqua" w:cs="Times New Roman"/>
                <w:sz w:val="24"/>
                <w:szCs w:val="24"/>
              </w:rPr>
              <w:t>/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9</w:t>
            </w:r>
            <w:r w:rsidR="00052317">
              <w:rPr>
                <w:rFonts w:ascii="Book Antiqua" w:eastAsia="Times New Roman" w:hAnsi="Book Antiqua" w:cs="Times New Roman"/>
                <w:sz w:val="24"/>
                <w:szCs w:val="24"/>
              </w:rPr>
              <w:t>/</w:t>
            </w: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1</w:t>
            </w:r>
          </w:p>
        </w:tc>
      </w:tr>
      <w:tr w:rsidR="004C5B17" w:rsidRPr="00D336AE" w:rsidTr="00052317">
        <w:trPr>
          <w:trHeight w:val="364"/>
        </w:trPr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Serum CXCL10 (</w:t>
            </w:r>
            <w:proofErr w:type="spellStart"/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pg</w:t>
            </w:r>
            <w:proofErr w:type="spellEnd"/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/mL)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510 (95-1794)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543 (118-1218)</w:t>
            </w:r>
          </w:p>
        </w:tc>
        <w:tc>
          <w:tcPr>
            <w:tcW w:w="1135" w:type="dxa"/>
            <w:tcBorders>
              <w:bottom w:val="single" w:sz="18" w:space="0" w:color="auto"/>
            </w:tcBorders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4C5B17" w:rsidRPr="00D336AE" w:rsidRDefault="004C5B17" w:rsidP="00052317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336AE">
              <w:rPr>
                <w:rFonts w:ascii="Book Antiqua" w:eastAsia="Times New Roman" w:hAnsi="Book Antiqua" w:cs="Times New Roman"/>
                <w:sz w:val="24"/>
                <w:szCs w:val="24"/>
              </w:rPr>
              <w:t>0.445</w:t>
            </w:r>
          </w:p>
        </w:tc>
      </w:tr>
      <w:tr w:rsidR="00A114C7" w:rsidRPr="00D336AE" w:rsidTr="00052317">
        <w:trPr>
          <w:trHeight w:val="364"/>
        </w:trPr>
        <w:tc>
          <w:tcPr>
            <w:tcW w:w="9640" w:type="dxa"/>
            <w:gridSpan w:val="4"/>
            <w:tcBorders>
              <w:top w:val="single" w:sz="18" w:space="0" w:color="auto"/>
            </w:tcBorders>
            <w:vAlign w:val="bottom"/>
          </w:tcPr>
          <w:p w:rsidR="00A114C7" w:rsidRPr="00D336AE" w:rsidRDefault="00A114C7" w:rsidP="000553E1">
            <w:pPr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eastAsia="ja-JP"/>
              </w:rPr>
            </w:pPr>
            <w:r w:rsidRPr="00D336AE">
              <w:rPr>
                <w:rFonts w:ascii="Book Antiqua" w:hAnsi="Book Antiqua" w:cs="Times New Roman" w:hint="eastAsia"/>
                <w:sz w:val="24"/>
                <w:szCs w:val="24"/>
                <w:lang w:eastAsia="ja-JP"/>
              </w:rPr>
              <w:t>GFR</w:t>
            </w:r>
            <w:r w:rsidR="00052317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: </w:t>
            </w:r>
            <w:r w:rsidR="00052317" w:rsidRPr="00D336AE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G</w:t>
            </w:r>
            <w:r w:rsidRPr="00D336AE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lomerular filtration rate; IL28B SNP</w:t>
            </w:r>
            <w:r w:rsidR="00052317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:</w:t>
            </w:r>
            <w:r w:rsidRPr="00D336AE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 xml:space="preserve"> </w:t>
            </w:r>
            <w:r w:rsidR="00052317" w:rsidRPr="00D336AE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I</w:t>
            </w:r>
            <w:r w:rsidRPr="00D336AE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nterleukin-28B single nucleotide polymorphism; ND</w:t>
            </w:r>
            <w:r w:rsidR="00052317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:</w:t>
            </w:r>
            <w:r w:rsidRPr="00D336AE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 xml:space="preserve"> </w:t>
            </w:r>
            <w:r w:rsidR="00052317" w:rsidRPr="00D336AE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N</w:t>
            </w:r>
            <w:r w:rsidRPr="00D336AE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ot determined; ISDR</w:t>
            </w:r>
            <w:r w:rsidR="00052317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:</w:t>
            </w:r>
            <w:r w:rsidRPr="00D336AE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 xml:space="preserve"> </w:t>
            </w:r>
            <w:r w:rsidR="00052317" w:rsidRPr="00D336AE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I</w:t>
            </w:r>
            <w:r w:rsidRPr="00D336AE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nterferon sensitivity-determining region; HCV Core 70 or 91</w:t>
            </w:r>
            <w:r w:rsidR="000553E1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:</w:t>
            </w:r>
            <w:r w:rsidRPr="00D336AE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 xml:space="preserve"> </w:t>
            </w:r>
            <w:r w:rsidR="000553E1" w:rsidRPr="00D336AE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A</w:t>
            </w:r>
            <w:r w:rsidRPr="00D336AE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t position 70 or 91 of the HCV core protein; CXCL10</w:t>
            </w:r>
            <w:r w:rsidR="000553E1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:</w:t>
            </w:r>
            <w:r w:rsidRPr="00D336AE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 xml:space="preserve"> </w:t>
            </w:r>
            <w:r w:rsidR="000553E1" w:rsidRPr="00D336AE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C</w:t>
            </w:r>
            <w:r w:rsidRPr="00D336AE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hemokine (C-X-C motif) ligand 10.</w:t>
            </w:r>
          </w:p>
        </w:tc>
      </w:tr>
    </w:tbl>
    <w:p w:rsidR="00917870" w:rsidRPr="00D336AE" w:rsidRDefault="00917870" w:rsidP="006611DD">
      <w:pPr>
        <w:pStyle w:val="BodyText"/>
        <w:tabs>
          <w:tab w:val="left" w:pos="2225"/>
          <w:tab w:val="left" w:pos="4191"/>
          <w:tab w:val="left" w:pos="6099"/>
        </w:tabs>
        <w:spacing w:line="360" w:lineRule="auto"/>
        <w:ind w:left="0"/>
        <w:rPr>
          <w:sz w:val="24"/>
          <w:szCs w:val="24"/>
        </w:rPr>
        <w:sectPr w:rsidR="00917870" w:rsidRPr="00D336AE" w:rsidSect="006611DD">
          <w:footerReference w:type="default" r:id="rId13"/>
          <w:type w:val="continuous"/>
          <w:pgSz w:w="11910" w:h="16840"/>
          <w:pgMar w:top="1420" w:right="1140" w:bottom="2100" w:left="1560" w:header="720" w:footer="720" w:gutter="0"/>
          <w:cols w:space="720"/>
        </w:sectPr>
      </w:pPr>
    </w:p>
    <w:tbl>
      <w:tblPr>
        <w:tblW w:w="9679" w:type="dxa"/>
        <w:tblInd w:w="-28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2268"/>
        <w:gridCol w:w="2268"/>
        <w:gridCol w:w="1134"/>
        <w:gridCol w:w="40"/>
      </w:tblGrid>
      <w:tr w:rsidR="00754369" w:rsidRPr="00D336AE" w:rsidTr="005F0F11">
        <w:trPr>
          <w:trHeight w:val="454"/>
        </w:trPr>
        <w:tc>
          <w:tcPr>
            <w:tcW w:w="967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0553E1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D336AE">
              <w:rPr>
                <w:b/>
                <w:sz w:val="24"/>
                <w:szCs w:val="24"/>
              </w:rPr>
              <w:lastRenderedPageBreak/>
              <w:t xml:space="preserve">Table </w:t>
            </w:r>
            <w:r w:rsidR="00BE2692" w:rsidRPr="00D336AE">
              <w:rPr>
                <w:b/>
                <w:sz w:val="24"/>
                <w:szCs w:val="24"/>
              </w:rPr>
              <w:t>2</w:t>
            </w:r>
            <w:r w:rsidRPr="00D336AE">
              <w:rPr>
                <w:b/>
                <w:sz w:val="24"/>
                <w:szCs w:val="24"/>
              </w:rPr>
              <w:t xml:space="preserve"> Patient characteristics</w:t>
            </w:r>
            <w:r w:rsidR="00734917" w:rsidRPr="00D336AE">
              <w:rPr>
                <w:b/>
                <w:sz w:val="24"/>
                <w:szCs w:val="24"/>
              </w:rPr>
              <w:t xml:space="preserve"> </w:t>
            </w:r>
            <w:r w:rsidR="00C91782" w:rsidRPr="00D336AE">
              <w:rPr>
                <w:b/>
                <w:sz w:val="24"/>
                <w:szCs w:val="24"/>
              </w:rPr>
              <w:t>by age (</w:t>
            </w:r>
            <w:proofErr w:type="spellStart"/>
            <w:r w:rsidR="000553E1" w:rsidRPr="000553E1">
              <w:rPr>
                <w:b/>
                <w:sz w:val="24"/>
                <w:szCs w:val="24"/>
              </w:rPr>
              <w:t>simeprevir</w:t>
            </w:r>
            <w:proofErr w:type="spellEnd"/>
            <w:r w:rsidR="00C91782" w:rsidRPr="00D336AE">
              <w:rPr>
                <w:b/>
                <w:sz w:val="24"/>
                <w:szCs w:val="24"/>
              </w:rPr>
              <w:t>)</w:t>
            </w:r>
          </w:p>
        </w:tc>
      </w:tr>
      <w:tr w:rsidR="00754369" w:rsidRPr="00D336AE" w:rsidTr="005F0F11">
        <w:trPr>
          <w:gridAfter w:val="1"/>
          <w:wAfter w:w="40" w:type="dxa"/>
          <w:trHeight w:val="567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5F0F11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beforeLines="50" w:before="120" w:line="360" w:lineRule="auto"/>
              <w:ind w:leftChars="-1" w:left="-2"/>
              <w:rPr>
                <w:sz w:val="24"/>
                <w:szCs w:val="24"/>
              </w:rPr>
            </w:pPr>
            <w:r w:rsidRPr="00D336AE">
              <w:rPr>
                <w:b/>
                <w:bCs/>
                <w:sz w:val="24"/>
                <w:szCs w:val="24"/>
              </w:rPr>
              <w:t>Factors (Median, range)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beforeLines="50" w:before="120"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b/>
                <w:bCs/>
                <w:sz w:val="24"/>
                <w:szCs w:val="24"/>
              </w:rPr>
              <w:t xml:space="preserve">Patients aged </w:t>
            </w:r>
            <w:r w:rsidR="00710EAA" w:rsidRPr="00D336AE">
              <w:rPr>
                <w:b/>
                <w:bCs/>
                <w:sz w:val="24"/>
                <w:szCs w:val="24"/>
              </w:rPr>
              <w:t>&lt;</w:t>
            </w:r>
            <w:r w:rsidRPr="00D336AE">
              <w:rPr>
                <w:b/>
                <w:bCs/>
                <w:sz w:val="24"/>
                <w:szCs w:val="24"/>
              </w:rPr>
              <w:t>6</w:t>
            </w:r>
            <w:r w:rsidR="00710EAA" w:rsidRPr="00D336A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beforeLines="50" w:before="120" w:line="360" w:lineRule="auto"/>
              <w:ind w:leftChars="4" w:left="9" w:firstLineChars="4" w:firstLine="10"/>
              <w:jc w:val="center"/>
              <w:rPr>
                <w:sz w:val="24"/>
                <w:szCs w:val="24"/>
              </w:rPr>
            </w:pPr>
            <w:r w:rsidRPr="00D336AE">
              <w:rPr>
                <w:b/>
                <w:bCs/>
                <w:sz w:val="24"/>
                <w:szCs w:val="24"/>
              </w:rPr>
              <w:t xml:space="preserve">Patients aged </w:t>
            </w:r>
            <w:r w:rsidR="00710EAA" w:rsidRPr="00D336AE">
              <w:rPr>
                <w:b/>
                <w:bCs/>
                <w:sz w:val="24"/>
                <w:szCs w:val="24"/>
              </w:rPr>
              <w:t>≥</w:t>
            </w:r>
            <w:r w:rsidRPr="00D336AE">
              <w:rPr>
                <w:b/>
                <w:bCs/>
                <w:sz w:val="24"/>
                <w:szCs w:val="24"/>
              </w:rPr>
              <w:t>6</w:t>
            </w:r>
            <w:r w:rsidR="00710EAA" w:rsidRPr="00D336A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8A2B60" w:rsidP="006611DD">
            <w:pPr>
              <w:pStyle w:val="BodyText"/>
              <w:tabs>
                <w:tab w:val="left" w:pos="196"/>
                <w:tab w:val="left" w:pos="2225"/>
                <w:tab w:val="left" w:pos="4191"/>
                <w:tab w:val="left" w:pos="6099"/>
              </w:tabs>
              <w:spacing w:beforeLines="50" w:before="120" w:line="360" w:lineRule="auto"/>
              <w:ind w:leftChars="4" w:left="9"/>
              <w:jc w:val="center"/>
              <w:rPr>
                <w:sz w:val="24"/>
                <w:szCs w:val="24"/>
              </w:rPr>
            </w:pPr>
            <w:r w:rsidRPr="00D336AE">
              <w:rPr>
                <w:b/>
                <w:bCs/>
                <w:i/>
                <w:iCs/>
                <w:sz w:val="24"/>
                <w:szCs w:val="24"/>
              </w:rPr>
              <w:t>P</w:t>
            </w:r>
            <w:r w:rsidRPr="00D336AE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754369" w:rsidRPr="00D336AE">
              <w:rPr>
                <w:b/>
                <w:bCs/>
                <w:sz w:val="24"/>
                <w:szCs w:val="24"/>
              </w:rPr>
              <w:t>value</w:t>
            </w:r>
          </w:p>
        </w:tc>
      </w:tr>
      <w:tr w:rsidR="00754369" w:rsidRPr="00D336AE" w:rsidTr="005F0F11">
        <w:trPr>
          <w:gridAfter w:val="1"/>
          <w:wAfter w:w="40" w:type="dxa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754369" w:rsidRPr="005F0F11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beforeLines="50" w:before="120" w:line="360" w:lineRule="auto"/>
              <w:ind w:leftChars="-1" w:left="-2"/>
              <w:jc w:val="both"/>
              <w:rPr>
                <w:i/>
                <w:sz w:val="24"/>
                <w:szCs w:val="24"/>
              </w:rPr>
            </w:pPr>
            <w:r w:rsidRPr="005F0F11">
              <w:rPr>
                <w:i/>
                <w:sz w:val="24"/>
                <w:szCs w:val="24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634DF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beforeLines="50" w:before="120"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634DF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beforeLines="50" w:before="120" w:line="360" w:lineRule="auto"/>
              <w:ind w:leftChars="4" w:left="9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beforeLines="50" w:before="120"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-</w:t>
            </w:r>
          </w:p>
        </w:tc>
      </w:tr>
      <w:tr w:rsidR="00754369" w:rsidRPr="00D336AE" w:rsidTr="00D628C3">
        <w:trPr>
          <w:gridAfter w:val="1"/>
          <w:wAfter w:w="4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" w:type="dxa"/>
              <w:left w:w="113" w:type="dxa"/>
              <w:bottom w:w="27" w:type="dxa"/>
              <w:right w:w="15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-1" w:left="-2"/>
              <w:jc w:val="both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Gender, n (%)</w:t>
            </w:r>
            <w:r w:rsidR="007B6D1D" w:rsidRPr="00D336AE">
              <w:rPr>
                <w:sz w:val="24"/>
                <w:szCs w:val="24"/>
              </w:rPr>
              <w:t xml:space="preserve"> (Male</w:t>
            </w:r>
            <w:r w:rsidR="00052317">
              <w:rPr>
                <w:sz w:val="24"/>
                <w:szCs w:val="24"/>
              </w:rPr>
              <w:t>/</w:t>
            </w:r>
            <w:r w:rsidR="007B6D1D" w:rsidRPr="00D336AE">
              <w:rPr>
                <w:sz w:val="24"/>
                <w:szCs w:val="24"/>
              </w:rPr>
              <w:t>Female)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634DF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19</w:t>
            </w:r>
            <w:r w:rsidR="00052317">
              <w:rPr>
                <w:sz w:val="24"/>
                <w:szCs w:val="24"/>
              </w:rPr>
              <w:t>/</w:t>
            </w:r>
            <w:r w:rsidRPr="00D336AE">
              <w:rPr>
                <w:sz w:val="24"/>
                <w:szCs w:val="24"/>
              </w:rPr>
              <w:t>18</w:t>
            </w:r>
            <w:r w:rsidR="00754369" w:rsidRPr="00D336AE">
              <w:rPr>
                <w:sz w:val="24"/>
                <w:szCs w:val="24"/>
              </w:rPr>
              <w:t xml:space="preserve"> (48.</w:t>
            </w:r>
            <w:r w:rsidRPr="00D336AE">
              <w:rPr>
                <w:sz w:val="24"/>
                <w:szCs w:val="24"/>
              </w:rPr>
              <w:t>6</w:t>
            </w:r>
            <w:r w:rsidR="00754369" w:rsidRPr="00D336AE">
              <w:rPr>
                <w:sz w:val="24"/>
                <w:szCs w:val="24"/>
              </w:rPr>
              <w:t>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4" w:left="9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14</w:t>
            </w:r>
            <w:r w:rsidR="00052317">
              <w:rPr>
                <w:sz w:val="24"/>
                <w:szCs w:val="24"/>
              </w:rPr>
              <w:t>/</w:t>
            </w:r>
            <w:r w:rsidRPr="00D336AE">
              <w:rPr>
                <w:sz w:val="24"/>
                <w:szCs w:val="24"/>
              </w:rPr>
              <w:t>2</w:t>
            </w:r>
            <w:r w:rsidR="0077025A" w:rsidRPr="00D336AE">
              <w:rPr>
                <w:sz w:val="24"/>
                <w:szCs w:val="24"/>
              </w:rPr>
              <w:t>5</w:t>
            </w:r>
            <w:r w:rsidRPr="00D336AE">
              <w:rPr>
                <w:sz w:val="24"/>
                <w:szCs w:val="24"/>
              </w:rPr>
              <w:t xml:space="preserve"> (6</w:t>
            </w:r>
            <w:r w:rsidR="0077025A" w:rsidRPr="00D336AE">
              <w:rPr>
                <w:sz w:val="24"/>
                <w:szCs w:val="24"/>
              </w:rPr>
              <w:t>4.1</w:t>
            </w:r>
            <w:r w:rsidRPr="00D336AE">
              <w:rPr>
                <w:sz w:val="24"/>
                <w:szCs w:val="24"/>
              </w:rPr>
              <w:t>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0.123</w:t>
            </w:r>
          </w:p>
        </w:tc>
      </w:tr>
      <w:tr w:rsidR="00754369" w:rsidRPr="00D336AE" w:rsidTr="00D628C3">
        <w:trPr>
          <w:gridAfter w:val="1"/>
          <w:wAfter w:w="4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" w:type="dxa"/>
              <w:left w:w="113" w:type="dxa"/>
              <w:bottom w:w="27" w:type="dxa"/>
              <w:right w:w="15" w:type="dxa"/>
            </w:tcMar>
            <w:vAlign w:val="center"/>
            <w:hideMark/>
          </w:tcPr>
          <w:p w:rsidR="00754369" w:rsidRPr="00D336AE" w:rsidRDefault="005F0F11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-1" w:lef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(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 w:rsidR="00754369" w:rsidRPr="00D336AE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59 (36-65)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4" w:left="9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71 (66-86)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&lt;0.001</w:t>
            </w:r>
          </w:p>
        </w:tc>
      </w:tr>
      <w:tr w:rsidR="00754369" w:rsidRPr="00D336AE" w:rsidTr="00D628C3">
        <w:trPr>
          <w:gridAfter w:val="1"/>
          <w:wAfter w:w="4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-1" w:left="-2"/>
              <w:jc w:val="both"/>
              <w:rPr>
                <w:sz w:val="24"/>
                <w:szCs w:val="24"/>
              </w:rPr>
            </w:pPr>
            <w:r w:rsidRPr="00D336AE">
              <w:rPr>
                <w:bCs/>
                <w:sz w:val="24"/>
                <w:szCs w:val="24"/>
              </w:rPr>
              <w:t>B</w:t>
            </w:r>
            <w:r w:rsidR="007B6D1D" w:rsidRPr="00D336AE">
              <w:rPr>
                <w:bCs/>
                <w:sz w:val="24"/>
                <w:szCs w:val="24"/>
              </w:rPr>
              <w:t>ody weight</w:t>
            </w:r>
            <w:r w:rsidRPr="00D336AE">
              <w:rPr>
                <w:sz w:val="24"/>
                <w:szCs w:val="24"/>
              </w:rPr>
              <w:t xml:space="preserve"> (kg)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bCs/>
                <w:sz w:val="24"/>
                <w:szCs w:val="24"/>
              </w:rPr>
              <w:t>62.0</w:t>
            </w:r>
            <w:r w:rsidRPr="00D336AE">
              <w:rPr>
                <w:sz w:val="24"/>
                <w:szCs w:val="24"/>
              </w:rPr>
              <w:t xml:space="preserve"> (39.8-94.0)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4" w:left="9"/>
              <w:jc w:val="center"/>
              <w:rPr>
                <w:sz w:val="24"/>
                <w:szCs w:val="24"/>
              </w:rPr>
            </w:pPr>
            <w:r w:rsidRPr="00D336AE">
              <w:rPr>
                <w:bCs/>
                <w:sz w:val="24"/>
                <w:szCs w:val="24"/>
              </w:rPr>
              <w:t>5</w:t>
            </w:r>
            <w:r w:rsidR="0077025A" w:rsidRPr="00D336AE">
              <w:rPr>
                <w:bCs/>
                <w:sz w:val="24"/>
                <w:szCs w:val="24"/>
              </w:rPr>
              <w:t>6.0</w:t>
            </w:r>
            <w:r w:rsidRPr="00D336AE">
              <w:rPr>
                <w:sz w:val="24"/>
                <w:szCs w:val="24"/>
              </w:rPr>
              <w:t xml:space="preserve"> (37.5-76.6)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0.011</w:t>
            </w:r>
          </w:p>
        </w:tc>
      </w:tr>
      <w:tr w:rsidR="00754369" w:rsidRPr="00D336AE" w:rsidTr="00D628C3">
        <w:trPr>
          <w:gridAfter w:val="1"/>
          <w:wAfter w:w="4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-1" w:left="-2"/>
              <w:jc w:val="both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Body mass index (kg/m</w:t>
            </w:r>
            <w:r w:rsidRPr="00D336AE">
              <w:rPr>
                <w:sz w:val="24"/>
                <w:szCs w:val="24"/>
                <w:vertAlign w:val="superscript"/>
              </w:rPr>
              <w:t>2</w:t>
            </w:r>
            <w:r w:rsidRPr="00D336AE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2</w:t>
            </w:r>
            <w:r w:rsidR="007634DF" w:rsidRPr="00D336AE">
              <w:rPr>
                <w:sz w:val="24"/>
                <w:szCs w:val="24"/>
              </w:rPr>
              <w:t>2.8</w:t>
            </w:r>
            <w:r w:rsidRPr="00D336AE">
              <w:rPr>
                <w:sz w:val="24"/>
                <w:szCs w:val="24"/>
              </w:rPr>
              <w:t xml:space="preserve"> (17.2-30.3)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4" w:left="9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22.7 (17.8-32.1)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0.287</w:t>
            </w:r>
          </w:p>
        </w:tc>
      </w:tr>
      <w:tr w:rsidR="00754369" w:rsidRPr="00D336AE" w:rsidTr="00D628C3">
        <w:trPr>
          <w:gridAfter w:val="1"/>
          <w:wAfter w:w="4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-1" w:left="-2"/>
              <w:jc w:val="both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Baseline HCV-RNA (log IU/m</w:t>
            </w:r>
            <w:r w:rsidR="007B6D1D" w:rsidRPr="00D336AE">
              <w:rPr>
                <w:sz w:val="24"/>
                <w:szCs w:val="24"/>
              </w:rPr>
              <w:t>L</w:t>
            </w:r>
            <w:r w:rsidRPr="00D336AE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6.7 (</w:t>
            </w:r>
            <w:r w:rsidR="007634DF" w:rsidRPr="00D336AE">
              <w:rPr>
                <w:sz w:val="24"/>
                <w:szCs w:val="24"/>
              </w:rPr>
              <w:t>5.4</w:t>
            </w:r>
            <w:r w:rsidRPr="00D336AE">
              <w:rPr>
                <w:sz w:val="24"/>
                <w:szCs w:val="24"/>
              </w:rPr>
              <w:t>-7.8)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4" w:left="9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6.6 (4.7-7.6)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0.631</w:t>
            </w:r>
          </w:p>
        </w:tc>
      </w:tr>
      <w:tr w:rsidR="00754369" w:rsidRPr="00D336AE" w:rsidTr="00D628C3">
        <w:trPr>
          <w:gridAfter w:val="1"/>
          <w:wAfter w:w="4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-1" w:left="-2"/>
              <w:jc w:val="both"/>
              <w:rPr>
                <w:sz w:val="24"/>
                <w:szCs w:val="24"/>
              </w:rPr>
            </w:pPr>
            <w:r w:rsidRPr="00D336AE">
              <w:rPr>
                <w:bCs/>
                <w:sz w:val="24"/>
                <w:szCs w:val="24"/>
              </w:rPr>
              <w:t xml:space="preserve">White blood cells </w:t>
            </w:r>
            <w:r w:rsidRPr="00D336AE">
              <w:rPr>
                <w:sz w:val="24"/>
                <w:szCs w:val="24"/>
              </w:rPr>
              <w:t>(/mm</w:t>
            </w:r>
            <w:r w:rsidRPr="00D336AE">
              <w:rPr>
                <w:sz w:val="24"/>
                <w:szCs w:val="24"/>
                <w:vertAlign w:val="superscript"/>
              </w:rPr>
              <w:t>3</w:t>
            </w:r>
            <w:r w:rsidRPr="00D336AE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bCs/>
                <w:sz w:val="24"/>
                <w:szCs w:val="24"/>
              </w:rPr>
              <w:t>4</w:t>
            </w:r>
            <w:r w:rsidR="007634DF" w:rsidRPr="00D336AE">
              <w:rPr>
                <w:bCs/>
                <w:sz w:val="24"/>
                <w:szCs w:val="24"/>
              </w:rPr>
              <w:t>620</w:t>
            </w:r>
            <w:r w:rsidRPr="00D336AE">
              <w:rPr>
                <w:sz w:val="24"/>
                <w:szCs w:val="24"/>
              </w:rPr>
              <w:t xml:space="preserve"> (2600-7800)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4" w:left="9"/>
              <w:jc w:val="center"/>
              <w:rPr>
                <w:sz w:val="24"/>
                <w:szCs w:val="24"/>
              </w:rPr>
            </w:pPr>
            <w:r w:rsidRPr="00D336AE">
              <w:rPr>
                <w:bCs/>
                <w:sz w:val="24"/>
                <w:szCs w:val="24"/>
              </w:rPr>
              <w:t>4300</w:t>
            </w:r>
            <w:r w:rsidRPr="00D336AE">
              <w:rPr>
                <w:sz w:val="24"/>
                <w:szCs w:val="24"/>
              </w:rPr>
              <w:t xml:space="preserve"> (</w:t>
            </w:r>
            <w:r w:rsidR="0077025A" w:rsidRPr="00D336AE">
              <w:rPr>
                <w:sz w:val="24"/>
                <w:szCs w:val="24"/>
              </w:rPr>
              <w:t>24</w:t>
            </w:r>
            <w:r w:rsidRPr="00D336AE">
              <w:rPr>
                <w:sz w:val="24"/>
                <w:szCs w:val="24"/>
              </w:rPr>
              <w:t>00-8100)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0.010</w:t>
            </w:r>
          </w:p>
        </w:tc>
      </w:tr>
      <w:tr w:rsidR="00754369" w:rsidRPr="00D336AE" w:rsidTr="00D628C3">
        <w:trPr>
          <w:gridAfter w:val="1"/>
          <w:wAfter w:w="4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-1" w:left="-2"/>
              <w:jc w:val="both"/>
              <w:rPr>
                <w:sz w:val="24"/>
                <w:szCs w:val="24"/>
              </w:rPr>
            </w:pPr>
            <w:r w:rsidRPr="00D336AE">
              <w:rPr>
                <w:bCs/>
                <w:sz w:val="24"/>
                <w:szCs w:val="24"/>
              </w:rPr>
              <w:t xml:space="preserve">Hemoglobin </w:t>
            </w:r>
            <w:r w:rsidR="00D628C3" w:rsidRPr="00D336AE">
              <w:rPr>
                <w:sz w:val="24"/>
                <w:szCs w:val="24"/>
              </w:rPr>
              <w:t>(g/</w:t>
            </w:r>
            <w:proofErr w:type="spellStart"/>
            <w:r w:rsidR="00D628C3" w:rsidRPr="00D336AE">
              <w:rPr>
                <w:sz w:val="24"/>
                <w:szCs w:val="24"/>
              </w:rPr>
              <w:t>dL</w:t>
            </w:r>
            <w:proofErr w:type="spellEnd"/>
            <w:r w:rsidRPr="00D336AE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bCs/>
                <w:sz w:val="24"/>
                <w:szCs w:val="24"/>
              </w:rPr>
              <w:t>13.8</w:t>
            </w:r>
            <w:r w:rsidRPr="00D336AE">
              <w:rPr>
                <w:sz w:val="24"/>
                <w:szCs w:val="24"/>
              </w:rPr>
              <w:t xml:space="preserve"> (11.0-16.7)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4" w:left="9"/>
              <w:jc w:val="center"/>
              <w:rPr>
                <w:sz w:val="24"/>
                <w:szCs w:val="24"/>
              </w:rPr>
            </w:pPr>
            <w:r w:rsidRPr="00D336AE">
              <w:rPr>
                <w:bCs/>
                <w:sz w:val="24"/>
                <w:szCs w:val="24"/>
              </w:rPr>
              <w:t>13.</w:t>
            </w:r>
            <w:r w:rsidR="0077025A" w:rsidRPr="00D336AE">
              <w:rPr>
                <w:bCs/>
                <w:sz w:val="24"/>
                <w:szCs w:val="24"/>
              </w:rPr>
              <w:t>1</w:t>
            </w:r>
            <w:r w:rsidRPr="00D336AE">
              <w:rPr>
                <w:sz w:val="24"/>
                <w:szCs w:val="24"/>
              </w:rPr>
              <w:t xml:space="preserve"> (9.</w:t>
            </w:r>
            <w:r w:rsidR="0077025A" w:rsidRPr="00D336AE">
              <w:rPr>
                <w:sz w:val="24"/>
                <w:szCs w:val="24"/>
              </w:rPr>
              <w:t>8</w:t>
            </w:r>
            <w:r w:rsidRPr="00D336AE">
              <w:rPr>
                <w:sz w:val="24"/>
                <w:szCs w:val="24"/>
              </w:rPr>
              <w:t>-16.8)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&lt;0.001</w:t>
            </w:r>
          </w:p>
        </w:tc>
      </w:tr>
      <w:tr w:rsidR="00754369" w:rsidRPr="00D336AE" w:rsidTr="00D628C3">
        <w:trPr>
          <w:gridAfter w:val="1"/>
          <w:wAfter w:w="4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754369" w:rsidRPr="00D336AE" w:rsidRDefault="00754369" w:rsidP="005F0F11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-1" w:left="-2"/>
              <w:jc w:val="both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Platelets (</w:t>
            </w:r>
            <w:r w:rsidR="005F0F11">
              <w:rPr>
                <w:sz w:val="24"/>
                <w:szCs w:val="24"/>
              </w:rPr>
              <w:t>×</w:t>
            </w:r>
            <w:r w:rsidRPr="00D336AE">
              <w:rPr>
                <w:sz w:val="24"/>
                <w:szCs w:val="24"/>
              </w:rPr>
              <w:t>10</w:t>
            </w:r>
            <w:r w:rsidRPr="00D336AE">
              <w:rPr>
                <w:sz w:val="24"/>
                <w:szCs w:val="24"/>
                <w:vertAlign w:val="superscript"/>
              </w:rPr>
              <w:t>4</w:t>
            </w:r>
            <w:r w:rsidRPr="00D336AE">
              <w:rPr>
                <w:sz w:val="24"/>
                <w:szCs w:val="24"/>
              </w:rPr>
              <w:t>/mm</w:t>
            </w:r>
            <w:r w:rsidRPr="00D336AE">
              <w:rPr>
                <w:sz w:val="24"/>
                <w:szCs w:val="24"/>
                <w:vertAlign w:val="superscript"/>
              </w:rPr>
              <w:t>3</w:t>
            </w:r>
            <w:r w:rsidRPr="00D336AE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16.4 (8.7-28.8)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4" w:left="9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16.</w:t>
            </w:r>
            <w:r w:rsidR="0077025A" w:rsidRPr="00D336AE">
              <w:rPr>
                <w:sz w:val="24"/>
                <w:szCs w:val="24"/>
              </w:rPr>
              <w:t>3</w:t>
            </w:r>
            <w:r w:rsidRPr="00D336AE">
              <w:rPr>
                <w:sz w:val="24"/>
                <w:szCs w:val="24"/>
              </w:rPr>
              <w:t xml:space="preserve"> (</w:t>
            </w:r>
            <w:r w:rsidR="0077025A" w:rsidRPr="00D336AE">
              <w:rPr>
                <w:sz w:val="24"/>
                <w:szCs w:val="24"/>
              </w:rPr>
              <w:t>7.3</w:t>
            </w:r>
            <w:r w:rsidRPr="00D336AE">
              <w:rPr>
                <w:sz w:val="24"/>
                <w:szCs w:val="24"/>
              </w:rPr>
              <w:t>-31.7)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0.291</w:t>
            </w:r>
          </w:p>
        </w:tc>
      </w:tr>
      <w:tr w:rsidR="00754369" w:rsidRPr="00D336AE" w:rsidTr="00D628C3">
        <w:trPr>
          <w:gridAfter w:val="1"/>
          <w:wAfter w:w="4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-1" w:left="-2"/>
              <w:jc w:val="both"/>
              <w:rPr>
                <w:sz w:val="24"/>
                <w:szCs w:val="24"/>
              </w:rPr>
            </w:pPr>
            <w:r w:rsidRPr="00D336AE">
              <w:rPr>
                <w:bCs/>
                <w:sz w:val="24"/>
                <w:szCs w:val="24"/>
              </w:rPr>
              <w:t>Albumin</w:t>
            </w:r>
            <w:r w:rsidR="00D628C3" w:rsidRPr="00D336AE">
              <w:rPr>
                <w:bCs/>
                <w:sz w:val="24"/>
                <w:szCs w:val="24"/>
              </w:rPr>
              <w:t xml:space="preserve"> (mg/</w:t>
            </w:r>
            <w:proofErr w:type="spellStart"/>
            <w:r w:rsidR="00D628C3" w:rsidRPr="00D336AE">
              <w:rPr>
                <w:bCs/>
                <w:sz w:val="24"/>
                <w:szCs w:val="24"/>
              </w:rPr>
              <w:t>dL</w:t>
            </w:r>
            <w:proofErr w:type="spellEnd"/>
            <w:r w:rsidR="00D628C3" w:rsidRPr="00D336AE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bCs/>
                <w:sz w:val="24"/>
                <w:szCs w:val="24"/>
              </w:rPr>
              <w:t>4.2</w:t>
            </w:r>
            <w:r w:rsidRPr="00D336AE">
              <w:rPr>
                <w:sz w:val="24"/>
                <w:szCs w:val="24"/>
              </w:rPr>
              <w:t xml:space="preserve"> (2.8-4.8)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4" w:left="9"/>
              <w:jc w:val="center"/>
              <w:rPr>
                <w:sz w:val="24"/>
                <w:szCs w:val="24"/>
              </w:rPr>
            </w:pPr>
            <w:r w:rsidRPr="00D336AE">
              <w:rPr>
                <w:bCs/>
                <w:sz w:val="24"/>
                <w:szCs w:val="24"/>
              </w:rPr>
              <w:t>4.0</w:t>
            </w:r>
            <w:r w:rsidRPr="00D336AE">
              <w:rPr>
                <w:sz w:val="24"/>
                <w:szCs w:val="24"/>
              </w:rPr>
              <w:t xml:space="preserve"> (</w:t>
            </w:r>
            <w:r w:rsidR="0077025A" w:rsidRPr="00D336AE">
              <w:rPr>
                <w:sz w:val="24"/>
                <w:szCs w:val="24"/>
              </w:rPr>
              <w:t>3.1</w:t>
            </w:r>
            <w:r w:rsidRPr="00D336AE">
              <w:rPr>
                <w:sz w:val="24"/>
                <w:szCs w:val="24"/>
              </w:rPr>
              <w:t>-4.6)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0.002</w:t>
            </w:r>
          </w:p>
        </w:tc>
      </w:tr>
      <w:tr w:rsidR="00754369" w:rsidRPr="00D336AE" w:rsidTr="00D628C3">
        <w:trPr>
          <w:gridAfter w:val="1"/>
          <w:wAfter w:w="4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754369" w:rsidRPr="00D336AE" w:rsidRDefault="00D628C3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-1" w:left="-2"/>
              <w:jc w:val="both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AST (IU/L</w:t>
            </w:r>
            <w:r w:rsidR="00754369" w:rsidRPr="00D336AE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1F03C5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45</w:t>
            </w:r>
            <w:r w:rsidR="00754369" w:rsidRPr="00D336AE">
              <w:rPr>
                <w:sz w:val="24"/>
                <w:szCs w:val="24"/>
              </w:rPr>
              <w:t xml:space="preserve"> (</w:t>
            </w:r>
            <w:r w:rsidRPr="00D336AE">
              <w:rPr>
                <w:sz w:val="24"/>
                <w:szCs w:val="24"/>
              </w:rPr>
              <w:t>21</w:t>
            </w:r>
            <w:r w:rsidR="007634DF" w:rsidRPr="00D336AE">
              <w:rPr>
                <w:sz w:val="24"/>
                <w:szCs w:val="24"/>
              </w:rPr>
              <w:t>-1</w:t>
            </w:r>
            <w:r w:rsidRPr="00D336AE">
              <w:rPr>
                <w:sz w:val="24"/>
                <w:szCs w:val="24"/>
              </w:rPr>
              <w:t>59</w:t>
            </w:r>
            <w:r w:rsidR="00754369" w:rsidRPr="00D336AE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4" w:left="9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3</w:t>
            </w:r>
            <w:r w:rsidR="0077025A" w:rsidRPr="00D336AE">
              <w:rPr>
                <w:sz w:val="24"/>
                <w:szCs w:val="24"/>
              </w:rPr>
              <w:t>4</w:t>
            </w:r>
            <w:r w:rsidRPr="00D336AE">
              <w:rPr>
                <w:sz w:val="24"/>
                <w:szCs w:val="24"/>
              </w:rPr>
              <w:t xml:space="preserve"> (19-128)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0.056</w:t>
            </w:r>
          </w:p>
        </w:tc>
      </w:tr>
      <w:tr w:rsidR="00754369" w:rsidRPr="00D336AE" w:rsidTr="00D628C3">
        <w:trPr>
          <w:gridAfter w:val="1"/>
          <w:wAfter w:w="4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-1" w:left="-2"/>
              <w:jc w:val="both"/>
              <w:rPr>
                <w:sz w:val="24"/>
                <w:szCs w:val="24"/>
              </w:rPr>
            </w:pPr>
            <w:r w:rsidRPr="00D336AE">
              <w:rPr>
                <w:bCs/>
                <w:sz w:val="24"/>
                <w:szCs w:val="24"/>
              </w:rPr>
              <w:t>ALT</w:t>
            </w:r>
            <w:r w:rsidR="00D628C3" w:rsidRPr="00D336AE">
              <w:rPr>
                <w:sz w:val="24"/>
                <w:szCs w:val="24"/>
              </w:rPr>
              <w:t xml:space="preserve"> (IU/L</w:t>
            </w:r>
            <w:r w:rsidRPr="00D336AE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1F03C5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bCs/>
                <w:sz w:val="24"/>
                <w:szCs w:val="24"/>
              </w:rPr>
              <w:t>42</w:t>
            </w:r>
            <w:r w:rsidR="00754369" w:rsidRPr="00D336AE">
              <w:rPr>
                <w:sz w:val="24"/>
                <w:szCs w:val="24"/>
              </w:rPr>
              <w:t xml:space="preserve"> (</w:t>
            </w:r>
            <w:r w:rsidRPr="00D336AE">
              <w:rPr>
                <w:sz w:val="24"/>
                <w:szCs w:val="24"/>
              </w:rPr>
              <w:t>16</w:t>
            </w:r>
            <w:r w:rsidR="00754369" w:rsidRPr="00D336AE">
              <w:rPr>
                <w:sz w:val="24"/>
                <w:szCs w:val="24"/>
              </w:rPr>
              <w:t>-</w:t>
            </w:r>
            <w:r w:rsidRPr="00D336AE">
              <w:rPr>
                <w:sz w:val="24"/>
                <w:szCs w:val="24"/>
              </w:rPr>
              <w:t>316</w:t>
            </w:r>
            <w:r w:rsidR="00754369" w:rsidRPr="00D336AE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7025A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4" w:left="9"/>
              <w:jc w:val="center"/>
              <w:rPr>
                <w:sz w:val="24"/>
                <w:szCs w:val="24"/>
              </w:rPr>
            </w:pPr>
            <w:r w:rsidRPr="00D336AE">
              <w:rPr>
                <w:bCs/>
                <w:sz w:val="24"/>
                <w:szCs w:val="24"/>
              </w:rPr>
              <w:t>29</w:t>
            </w:r>
            <w:r w:rsidR="00754369" w:rsidRPr="00D336AE">
              <w:rPr>
                <w:sz w:val="24"/>
                <w:szCs w:val="24"/>
              </w:rPr>
              <w:t xml:space="preserve"> (12-112)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0.006</w:t>
            </w:r>
          </w:p>
        </w:tc>
      </w:tr>
      <w:tr w:rsidR="00754369" w:rsidRPr="00D336AE" w:rsidTr="00D628C3">
        <w:trPr>
          <w:gridAfter w:val="1"/>
          <w:wAfter w:w="4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-1" w:left="-2"/>
              <w:jc w:val="both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  <w:lang w:val="el-GR"/>
              </w:rPr>
              <w:t>γ</w:t>
            </w:r>
            <w:r w:rsidRPr="00D336AE">
              <w:rPr>
                <w:sz w:val="24"/>
                <w:szCs w:val="24"/>
              </w:rPr>
              <w:t>-GTP (IU/L)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634DF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29</w:t>
            </w:r>
            <w:r w:rsidR="00754369" w:rsidRPr="00D336AE">
              <w:rPr>
                <w:sz w:val="24"/>
                <w:szCs w:val="24"/>
              </w:rPr>
              <w:t xml:space="preserve"> (13-260)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4" w:left="9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27 (9-171)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0.388</w:t>
            </w:r>
          </w:p>
        </w:tc>
      </w:tr>
      <w:tr w:rsidR="00754369" w:rsidRPr="00D336AE" w:rsidTr="00D628C3">
        <w:trPr>
          <w:gridAfter w:val="1"/>
          <w:wAfter w:w="4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-1" w:left="-2"/>
              <w:jc w:val="both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Serum creatinine</w:t>
            </w:r>
            <w:r w:rsidR="00D628C3" w:rsidRPr="00D336AE">
              <w:rPr>
                <w:sz w:val="24"/>
                <w:szCs w:val="24"/>
              </w:rPr>
              <w:t xml:space="preserve"> (mg/</w:t>
            </w:r>
            <w:proofErr w:type="spellStart"/>
            <w:r w:rsidR="00D628C3" w:rsidRPr="00D336AE">
              <w:rPr>
                <w:sz w:val="24"/>
                <w:szCs w:val="24"/>
              </w:rPr>
              <w:t>dL</w:t>
            </w:r>
            <w:proofErr w:type="spellEnd"/>
            <w:r w:rsidR="00D628C3" w:rsidRPr="00D336AE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0.</w:t>
            </w:r>
            <w:r w:rsidR="007634DF" w:rsidRPr="00D336AE">
              <w:rPr>
                <w:sz w:val="24"/>
                <w:szCs w:val="24"/>
              </w:rPr>
              <w:t>70</w:t>
            </w:r>
            <w:r w:rsidRPr="00D336AE">
              <w:rPr>
                <w:sz w:val="24"/>
                <w:szCs w:val="24"/>
              </w:rPr>
              <w:t xml:space="preserve"> (0.44-1.01)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4" w:left="9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0.</w:t>
            </w:r>
            <w:r w:rsidR="0077025A" w:rsidRPr="00D336AE">
              <w:rPr>
                <w:sz w:val="24"/>
                <w:szCs w:val="24"/>
              </w:rPr>
              <w:t>70</w:t>
            </w:r>
            <w:r w:rsidRPr="00D336AE">
              <w:rPr>
                <w:sz w:val="24"/>
                <w:szCs w:val="24"/>
              </w:rPr>
              <w:t xml:space="preserve"> (0.42-1.36)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0.689</w:t>
            </w:r>
          </w:p>
        </w:tc>
      </w:tr>
      <w:tr w:rsidR="00754369" w:rsidRPr="00D336AE" w:rsidTr="00D628C3">
        <w:trPr>
          <w:gridAfter w:val="1"/>
          <w:wAfter w:w="4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754369" w:rsidRPr="00D336AE" w:rsidRDefault="00D628C3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-1" w:left="-2"/>
              <w:jc w:val="both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Estimated GFR (mL</w:t>
            </w:r>
            <w:r w:rsidR="00754369" w:rsidRPr="00D336AE">
              <w:rPr>
                <w:sz w:val="24"/>
                <w:szCs w:val="24"/>
              </w:rPr>
              <w:t>/min)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7</w:t>
            </w:r>
            <w:r w:rsidR="007634DF" w:rsidRPr="00D336AE">
              <w:rPr>
                <w:sz w:val="24"/>
                <w:szCs w:val="24"/>
              </w:rPr>
              <w:t>8.7</w:t>
            </w:r>
            <w:r w:rsidRPr="00D336AE">
              <w:rPr>
                <w:sz w:val="24"/>
                <w:szCs w:val="24"/>
              </w:rPr>
              <w:t xml:space="preserve"> (50.0-112.6)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4" w:left="9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7</w:t>
            </w:r>
            <w:r w:rsidR="001F03C5" w:rsidRPr="00D336AE">
              <w:rPr>
                <w:sz w:val="24"/>
                <w:szCs w:val="24"/>
              </w:rPr>
              <w:t>7.4</w:t>
            </w:r>
            <w:r w:rsidRPr="00D336AE">
              <w:rPr>
                <w:sz w:val="24"/>
                <w:szCs w:val="24"/>
              </w:rPr>
              <w:t xml:space="preserve"> (41.3-109.0)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0.221</w:t>
            </w:r>
          </w:p>
        </w:tc>
      </w:tr>
      <w:tr w:rsidR="00754369" w:rsidRPr="00D336AE" w:rsidTr="00D628C3">
        <w:trPr>
          <w:gridAfter w:val="1"/>
          <w:wAfter w:w="4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" w:type="dxa"/>
              <w:left w:w="113" w:type="dxa"/>
              <w:bottom w:w="27" w:type="dxa"/>
              <w:right w:w="15" w:type="dxa"/>
            </w:tcMar>
            <w:vAlign w:val="center"/>
            <w:hideMark/>
          </w:tcPr>
          <w:p w:rsidR="00D628C3" w:rsidRPr="00D336AE" w:rsidRDefault="00D628C3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-1" w:left="-2"/>
              <w:jc w:val="both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Pr</w:t>
            </w:r>
            <w:r w:rsidR="00FB1F7A" w:rsidRPr="00D336AE">
              <w:rPr>
                <w:sz w:val="24"/>
                <w:szCs w:val="24"/>
              </w:rPr>
              <w:t>ior</w:t>
            </w:r>
            <w:r w:rsidRPr="00D336AE">
              <w:rPr>
                <w:sz w:val="24"/>
                <w:szCs w:val="24"/>
              </w:rPr>
              <w:t xml:space="preserve"> treatment response, </w:t>
            </w:r>
            <w:r w:rsidRPr="005F0F11">
              <w:rPr>
                <w:i/>
                <w:sz w:val="24"/>
                <w:szCs w:val="24"/>
              </w:rPr>
              <w:t>n</w:t>
            </w:r>
          </w:p>
          <w:p w:rsidR="00754369" w:rsidRPr="00D336AE" w:rsidRDefault="00D628C3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-1" w:left="-2"/>
              <w:jc w:val="both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 xml:space="preserve"> (</w:t>
            </w:r>
            <w:r w:rsidR="00754369" w:rsidRPr="00D336AE">
              <w:rPr>
                <w:sz w:val="24"/>
                <w:szCs w:val="24"/>
              </w:rPr>
              <w:t>naïve</w:t>
            </w:r>
            <w:r w:rsidR="00052317">
              <w:rPr>
                <w:sz w:val="24"/>
                <w:szCs w:val="24"/>
              </w:rPr>
              <w:t>/</w:t>
            </w:r>
            <w:r w:rsidR="00754369" w:rsidRPr="00D336AE">
              <w:rPr>
                <w:sz w:val="24"/>
                <w:szCs w:val="24"/>
              </w:rPr>
              <w:t>relapse</w:t>
            </w:r>
            <w:r w:rsidR="00052317">
              <w:rPr>
                <w:sz w:val="24"/>
                <w:szCs w:val="24"/>
              </w:rPr>
              <w:t>/</w:t>
            </w:r>
            <w:r w:rsidR="00754369" w:rsidRPr="00D336AE">
              <w:rPr>
                <w:sz w:val="24"/>
                <w:szCs w:val="24"/>
              </w:rPr>
              <w:t>non-responder</w:t>
            </w:r>
            <w:r w:rsidRPr="00D336AE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2</w:t>
            </w:r>
            <w:r w:rsidR="00BA20BF" w:rsidRPr="00D336AE">
              <w:rPr>
                <w:sz w:val="24"/>
                <w:szCs w:val="24"/>
              </w:rPr>
              <w:t>0</w:t>
            </w:r>
            <w:r w:rsidR="00052317">
              <w:rPr>
                <w:sz w:val="24"/>
                <w:szCs w:val="24"/>
              </w:rPr>
              <w:t>/</w:t>
            </w:r>
            <w:r w:rsidRPr="00D336AE">
              <w:rPr>
                <w:sz w:val="24"/>
                <w:szCs w:val="24"/>
              </w:rPr>
              <w:t>1</w:t>
            </w:r>
            <w:r w:rsidR="00BA20BF" w:rsidRPr="00D336AE">
              <w:rPr>
                <w:sz w:val="24"/>
                <w:szCs w:val="24"/>
              </w:rPr>
              <w:t>0</w:t>
            </w:r>
            <w:r w:rsidR="00052317">
              <w:rPr>
                <w:sz w:val="24"/>
                <w:szCs w:val="24"/>
              </w:rPr>
              <w:t>/</w:t>
            </w:r>
            <w:r w:rsidRPr="00D336AE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754369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4" w:left="9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1</w:t>
            </w:r>
            <w:r w:rsidR="001F03C5" w:rsidRPr="00D336AE">
              <w:rPr>
                <w:sz w:val="24"/>
                <w:szCs w:val="24"/>
              </w:rPr>
              <w:t>3</w:t>
            </w:r>
            <w:r w:rsidR="00052317">
              <w:rPr>
                <w:sz w:val="24"/>
                <w:szCs w:val="24"/>
              </w:rPr>
              <w:t>/</w:t>
            </w:r>
            <w:r w:rsidR="00D628C3" w:rsidRPr="00D336AE">
              <w:rPr>
                <w:sz w:val="24"/>
                <w:szCs w:val="24"/>
              </w:rPr>
              <w:t>16</w:t>
            </w:r>
            <w:r w:rsidR="00052317">
              <w:rPr>
                <w:sz w:val="24"/>
                <w:szCs w:val="24"/>
              </w:rPr>
              <w:t>/</w:t>
            </w:r>
            <w:r w:rsidRPr="00D336AE">
              <w:rPr>
                <w:sz w:val="24"/>
                <w:szCs w:val="24"/>
              </w:rPr>
              <w:t>1</w:t>
            </w:r>
            <w:r w:rsidR="001F03C5" w:rsidRPr="00D336A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754369" w:rsidRPr="00D336AE" w:rsidRDefault="008A2B60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D336AE">
              <w:rPr>
                <w:rFonts w:eastAsiaTheme="minorEastAsia" w:hint="eastAsia"/>
                <w:sz w:val="24"/>
                <w:szCs w:val="24"/>
                <w:lang w:eastAsia="ja-JP"/>
              </w:rPr>
              <w:t>0.197</w:t>
            </w:r>
          </w:p>
        </w:tc>
      </w:tr>
      <w:tr w:rsidR="001F336A" w:rsidRPr="00D336AE" w:rsidTr="00D628C3">
        <w:trPr>
          <w:gridAfter w:val="1"/>
          <w:wAfter w:w="4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" w:type="dxa"/>
              <w:left w:w="113" w:type="dxa"/>
              <w:bottom w:w="27" w:type="dxa"/>
              <w:right w:w="15" w:type="dxa"/>
            </w:tcMar>
            <w:vAlign w:val="center"/>
          </w:tcPr>
          <w:p w:rsidR="001F336A" w:rsidRPr="00D336AE" w:rsidRDefault="001F336A" w:rsidP="006611DD">
            <w:pPr>
              <w:snapToGrid w:val="0"/>
              <w:spacing w:beforeLines="50" w:before="120"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eastAsia="ja-JP"/>
              </w:rPr>
            </w:pPr>
            <w:r w:rsidRPr="00D336AE">
              <w:rPr>
                <w:rFonts w:ascii="Book Antiqua" w:hAnsi="Book Antiqua" w:cs="Times New Roman" w:hint="eastAsia"/>
                <w:sz w:val="24"/>
                <w:szCs w:val="24"/>
                <w:lang w:eastAsia="ja-JP"/>
              </w:rPr>
              <w:t xml:space="preserve">Liver histology </w:t>
            </w:r>
            <w:r w:rsidRPr="00D336AE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(F0-2</w:t>
            </w:r>
            <w:r w:rsidR="00052317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/</w:t>
            </w:r>
            <w:r w:rsidRPr="00D336AE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3-4</w:t>
            </w:r>
            <w:r w:rsidR="00052317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/</w:t>
            </w:r>
            <w:r w:rsidRPr="00D336AE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ND)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1F336A" w:rsidRPr="00D336AE" w:rsidRDefault="001F336A" w:rsidP="006611DD">
            <w:pPr>
              <w:snapToGrid w:val="0"/>
              <w:spacing w:beforeLines="50" w:before="120"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eastAsia="ja-JP"/>
              </w:rPr>
            </w:pPr>
            <w:r w:rsidRPr="00D336AE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12</w:t>
            </w:r>
            <w:r w:rsidR="00052317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/</w:t>
            </w:r>
            <w:r w:rsidRPr="00D336AE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6</w:t>
            </w:r>
            <w:r w:rsidR="00052317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/</w:t>
            </w:r>
            <w:r w:rsidRPr="00D336AE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1F336A" w:rsidRPr="00D336AE" w:rsidRDefault="001F336A" w:rsidP="006611DD">
            <w:pPr>
              <w:snapToGrid w:val="0"/>
              <w:spacing w:beforeLines="50" w:before="120"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eastAsia="ja-JP"/>
              </w:rPr>
            </w:pPr>
            <w:r w:rsidRPr="00D336AE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19</w:t>
            </w:r>
            <w:r w:rsidR="00052317">
              <w:rPr>
                <w:rFonts w:ascii="Book Antiqua" w:hAnsi="Book Antiqua" w:cs="Times New Roman" w:hint="eastAsia"/>
                <w:sz w:val="24"/>
                <w:szCs w:val="24"/>
                <w:lang w:eastAsia="ja-JP"/>
              </w:rPr>
              <w:t>/</w:t>
            </w:r>
            <w:r w:rsidRPr="00D336AE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5</w:t>
            </w:r>
            <w:r w:rsidR="00052317">
              <w:rPr>
                <w:rFonts w:ascii="Book Antiqua" w:hAnsi="Book Antiqua" w:cs="Times New Roman" w:hint="eastAsia"/>
                <w:sz w:val="24"/>
                <w:szCs w:val="24"/>
                <w:lang w:eastAsia="ja-JP"/>
              </w:rPr>
              <w:t>/</w:t>
            </w:r>
            <w:r w:rsidRPr="00D336AE">
              <w:rPr>
                <w:rFonts w:ascii="Book Antiqua" w:hAnsi="Book Antiqua" w:cs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1F336A" w:rsidRPr="00D336AE" w:rsidRDefault="001F336A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beforeLines="50" w:before="120" w:line="360" w:lineRule="auto"/>
              <w:ind w:left="0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  <w:r w:rsidRPr="00D336AE">
              <w:rPr>
                <w:rFonts w:eastAsiaTheme="minorEastAsia" w:hint="eastAsia"/>
                <w:sz w:val="24"/>
                <w:szCs w:val="24"/>
                <w:lang w:eastAsia="ja-JP"/>
              </w:rPr>
              <w:t>0.483</w:t>
            </w:r>
          </w:p>
        </w:tc>
      </w:tr>
      <w:tr w:rsidR="001F336A" w:rsidRPr="00D336AE" w:rsidTr="00D628C3">
        <w:trPr>
          <w:gridAfter w:val="1"/>
          <w:wAfter w:w="4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1F336A" w:rsidRPr="00D336AE" w:rsidRDefault="001F336A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-1" w:left="-2"/>
              <w:jc w:val="both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 xml:space="preserve">IL28B SNP (rs8099917), </w:t>
            </w:r>
            <w:r w:rsidRPr="005F0F11">
              <w:rPr>
                <w:i/>
                <w:sz w:val="24"/>
                <w:szCs w:val="24"/>
              </w:rPr>
              <w:t>n</w:t>
            </w:r>
          </w:p>
          <w:p w:rsidR="001F336A" w:rsidRPr="00D336AE" w:rsidRDefault="001F336A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-1" w:left="-2"/>
              <w:jc w:val="both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(TT</w:t>
            </w:r>
            <w:r w:rsidR="00052317">
              <w:rPr>
                <w:sz w:val="24"/>
                <w:szCs w:val="24"/>
              </w:rPr>
              <w:t>/</w:t>
            </w:r>
            <w:r w:rsidRPr="00D336AE">
              <w:rPr>
                <w:sz w:val="24"/>
                <w:szCs w:val="24"/>
              </w:rPr>
              <w:t>non-TT</w:t>
            </w:r>
            <w:r w:rsidR="00052317">
              <w:rPr>
                <w:sz w:val="24"/>
                <w:szCs w:val="24"/>
              </w:rPr>
              <w:t>/</w:t>
            </w:r>
            <w:r w:rsidRPr="00D336AE">
              <w:rPr>
                <w:sz w:val="24"/>
                <w:szCs w:val="24"/>
              </w:rPr>
              <w:t>ND)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1F336A" w:rsidRPr="00D336AE" w:rsidRDefault="001F336A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17</w:t>
            </w:r>
            <w:r w:rsidR="00052317">
              <w:rPr>
                <w:sz w:val="24"/>
                <w:szCs w:val="24"/>
              </w:rPr>
              <w:t>/</w:t>
            </w:r>
            <w:r w:rsidRPr="00D336AE">
              <w:rPr>
                <w:sz w:val="24"/>
                <w:szCs w:val="24"/>
              </w:rPr>
              <w:t>19</w:t>
            </w:r>
            <w:r w:rsidR="00052317">
              <w:rPr>
                <w:sz w:val="24"/>
                <w:szCs w:val="24"/>
              </w:rPr>
              <w:t>/</w:t>
            </w:r>
            <w:r w:rsidRPr="00D336AE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1F336A" w:rsidRPr="00D336AE" w:rsidRDefault="001F336A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4" w:left="9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18</w:t>
            </w:r>
            <w:r w:rsidR="00052317">
              <w:rPr>
                <w:sz w:val="24"/>
                <w:szCs w:val="24"/>
              </w:rPr>
              <w:t>/</w:t>
            </w:r>
            <w:r w:rsidRPr="00D336AE">
              <w:rPr>
                <w:sz w:val="24"/>
                <w:szCs w:val="24"/>
              </w:rPr>
              <w:t>17</w:t>
            </w:r>
            <w:r w:rsidR="00052317">
              <w:rPr>
                <w:sz w:val="24"/>
                <w:szCs w:val="24"/>
              </w:rPr>
              <w:t>/</w:t>
            </w:r>
            <w:r w:rsidRPr="00D336A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1F336A" w:rsidRPr="00D336AE" w:rsidRDefault="001F336A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1</w:t>
            </w:r>
          </w:p>
        </w:tc>
      </w:tr>
      <w:tr w:rsidR="001F336A" w:rsidRPr="00D336AE" w:rsidTr="00D628C3">
        <w:trPr>
          <w:gridAfter w:val="1"/>
          <w:wAfter w:w="40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1F336A" w:rsidRPr="00D336AE" w:rsidRDefault="001F336A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-1" w:left="-2"/>
              <w:jc w:val="both"/>
              <w:rPr>
                <w:sz w:val="24"/>
                <w:szCs w:val="24"/>
              </w:rPr>
            </w:pPr>
            <w:r w:rsidRPr="00D336AE">
              <w:rPr>
                <w:bCs/>
                <w:sz w:val="24"/>
                <w:szCs w:val="24"/>
              </w:rPr>
              <w:t>HCV ISDR</w:t>
            </w:r>
            <w:r w:rsidRPr="00D336AE">
              <w:rPr>
                <w:sz w:val="24"/>
                <w:szCs w:val="24"/>
              </w:rPr>
              <w:t xml:space="preserve">, </w:t>
            </w:r>
            <w:r w:rsidRPr="005F0F11">
              <w:rPr>
                <w:i/>
                <w:sz w:val="24"/>
                <w:szCs w:val="24"/>
              </w:rPr>
              <w:t>n</w:t>
            </w:r>
            <w:r w:rsidRPr="00D336AE">
              <w:rPr>
                <w:bCs/>
                <w:sz w:val="24"/>
                <w:szCs w:val="24"/>
              </w:rPr>
              <w:t xml:space="preserve"> </w:t>
            </w:r>
            <w:r w:rsidRPr="00D336AE">
              <w:rPr>
                <w:sz w:val="24"/>
                <w:szCs w:val="24"/>
              </w:rPr>
              <w:t>(0</w:t>
            </w:r>
            <w:r w:rsidR="00052317">
              <w:rPr>
                <w:sz w:val="24"/>
                <w:szCs w:val="24"/>
              </w:rPr>
              <w:t>/</w:t>
            </w:r>
            <w:r w:rsidRPr="00D336AE">
              <w:rPr>
                <w:sz w:val="24"/>
                <w:szCs w:val="24"/>
              </w:rPr>
              <w:t>1-3</w:t>
            </w:r>
            <w:r w:rsidR="00052317">
              <w:rPr>
                <w:sz w:val="24"/>
                <w:szCs w:val="24"/>
              </w:rPr>
              <w:t>/</w:t>
            </w:r>
            <w:r w:rsidRPr="00D336AE">
              <w:rPr>
                <w:sz w:val="24"/>
                <w:szCs w:val="24"/>
              </w:rPr>
              <w:t>4-</w:t>
            </w:r>
            <w:r w:rsidR="00052317">
              <w:rPr>
                <w:sz w:val="24"/>
                <w:szCs w:val="24"/>
              </w:rPr>
              <w:t>/</w:t>
            </w:r>
            <w:r w:rsidRPr="00D336AE">
              <w:rPr>
                <w:sz w:val="24"/>
                <w:szCs w:val="24"/>
              </w:rPr>
              <w:t>ND)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1F336A" w:rsidRPr="00D336AE" w:rsidRDefault="001F336A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9</w:t>
            </w:r>
            <w:r w:rsidR="00052317">
              <w:rPr>
                <w:sz w:val="24"/>
                <w:szCs w:val="24"/>
              </w:rPr>
              <w:t>/</w:t>
            </w:r>
            <w:r w:rsidRPr="00D336AE">
              <w:rPr>
                <w:sz w:val="24"/>
                <w:szCs w:val="24"/>
              </w:rPr>
              <w:t>13</w:t>
            </w:r>
            <w:r w:rsidR="00052317">
              <w:rPr>
                <w:sz w:val="24"/>
                <w:szCs w:val="24"/>
              </w:rPr>
              <w:t>/</w:t>
            </w:r>
            <w:r w:rsidRPr="00D336AE">
              <w:rPr>
                <w:sz w:val="24"/>
                <w:szCs w:val="24"/>
              </w:rPr>
              <w:t>5</w:t>
            </w:r>
            <w:r w:rsidR="00052317">
              <w:rPr>
                <w:sz w:val="24"/>
                <w:szCs w:val="24"/>
              </w:rPr>
              <w:t>/</w:t>
            </w:r>
            <w:r w:rsidRPr="00D336AE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1F336A" w:rsidRPr="00D336AE" w:rsidRDefault="001F336A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4" w:left="9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11</w:t>
            </w:r>
            <w:r w:rsidR="00052317">
              <w:rPr>
                <w:sz w:val="24"/>
                <w:szCs w:val="24"/>
              </w:rPr>
              <w:t>/</w:t>
            </w:r>
            <w:r w:rsidRPr="00D336AE">
              <w:rPr>
                <w:sz w:val="24"/>
                <w:szCs w:val="24"/>
              </w:rPr>
              <w:t>12</w:t>
            </w:r>
            <w:r w:rsidR="00052317">
              <w:rPr>
                <w:sz w:val="24"/>
                <w:szCs w:val="24"/>
              </w:rPr>
              <w:t>/</w:t>
            </w:r>
            <w:r w:rsidRPr="00D336AE">
              <w:rPr>
                <w:sz w:val="24"/>
                <w:szCs w:val="24"/>
              </w:rPr>
              <w:t>2</w:t>
            </w:r>
            <w:r w:rsidR="00052317">
              <w:rPr>
                <w:sz w:val="24"/>
                <w:szCs w:val="24"/>
              </w:rPr>
              <w:t>/</w:t>
            </w:r>
            <w:r w:rsidRPr="00D336AE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1F336A" w:rsidRPr="00D336AE" w:rsidRDefault="001F336A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0.044</w:t>
            </w:r>
          </w:p>
        </w:tc>
      </w:tr>
      <w:tr w:rsidR="001F336A" w:rsidRPr="00D336AE" w:rsidTr="00D628C3">
        <w:trPr>
          <w:gridAfter w:val="1"/>
          <w:wAfter w:w="40" w:type="dxa"/>
        </w:trPr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1F336A" w:rsidRPr="00D336AE" w:rsidRDefault="001F336A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-1" w:left="-2"/>
              <w:jc w:val="both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lastRenderedPageBreak/>
              <w:t xml:space="preserve">HCV Core 70, </w:t>
            </w:r>
            <w:r w:rsidRPr="005F0F11">
              <w:rPr>
                <w:i/>
                <w:sz w:val="24"/>
                <w:szCs w:val="24"/>
              </w:rPr>
              <w:t>n</w:t>
            </w:r>
          </w:p>
          <w:p w:rsidR="001F336A" w:rsidRPr="00D336AE" w:rsidRDefault="001F336A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-1" w:left="-2"/>
              <w:jc w:val="both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(Wild</w:t>
            </w:r>
            <w:r w:rsidR="00052317">
              <w:rPr>
                <w:sz w:val="24"/>
                <w:szCs w:val="24"/>
              </w:rPr>
              <w:t>/</w:t>
            </w:r>
            <w:r w:rsidRPr="00D336AE">
              <w:rPr>
                <w:sz w:val="24"/>
                <w:szCs w:val="24"/>
              </w:rPr>
              <w:t>Mutant</w:t>
            </w:r>
            <w:r w:rsidR="00052317">
              <w:rPr>
                <w:sz w:val="24"/>
                <w:szCs w:val="24"/>
              </w:rPr>
              <w:t>/</w:t>
            </w:r>
            <w:r w:rsidRPr="00D336AE">
              <w:rPr>
                <w:sz w:val="24"/>
                <w:szCs w:val="24"/>
              </w:rPr>
              <w:t>ND)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1F336A" w:rsidRPr="00D336AE" w:rsidRDefault="001F336A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17</w:t>
            </w:r>
            <w:r w:rsidR="00052317">
              <w:rPr>
                <w:sz w:val="24"/>
                <w:szCs w:val="24"/>
              </w:rPr>
              <w:t>/</w:t>
            </w:r>
            <w:r w:rsidRPr="00D336AE">
              <w:rPr>
                <w:sz w:val="24"/>
                <w:szCs w:val="24"/>
              </w:rPr>
              <w:t>13</w:t>
            </w:r>
            <w:r w:rsidR="00052317">
              <w:rPr>
                <w:sz w:val="24"/>
                <w:szCs w:val="24"/>
              </w:rPr>
              <w:t>/</w:t>
            </w:r>
            <w:r w:rsidRPr="00D336AE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1F336A" w:rsidRPr="00D336AE" w:rsidRDefault="001F336A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4" w:left="9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15</w:t>
            </w:r>
            <w:r w:rsidR="00052317">
              <w:rPr>
                <w:sz w:val="24"/>
                <w:szCs w:val="24"/>
              </w:rPr>
              <w:t>/</w:t>
            </w:r>
            <w:r w:rsidRPr="00D336AE">
              <w:rPr>
                <w:sz w:val="24"/>
                <w:szCs w:val="24"/>
              </w:rPr>
              <w:t>8</w:t>
            </w:r>
            <w:r w:rsidR="00052317">
              <w:rPr>
                <w:sz w:val="24"/>
                <w:szCs w:val="24"/>
              </w:rPr>
              <w:t>/</w:t>
            </w:r>
            <w:r w:rsidRPr="00D336AE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1F336A" w:rsidRPr="00D336AE" w:rsidRDefault="001F336A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1</w:t>
            </w:r>
          </w:p>
        </w:tc>
      </w:tr>
      <w:tr w:rsidR="001F336A" w:rsidRPr="00D336AE" w:rsidTr="00D628C3">
        <w:trPr>
          <w:gridAfter w:val="1"/>
          <w:wAfter w:w="40" w:type="dxa"/>
        </w:trPr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tcMar>
              <w:top w:w="72" w:type="dxa"/>
              <w:left w:w="113" w:type="dxa"/>
              <w:bottom w:w="72" w:type="dxa"/>
              <w:right w:w="15" w:type="dxa"/>
            </w:tcMar>
            <w:vAlign w:val="center"/>
            <w:hideMark/>
          </w:tcPr>
          <w:p w:rsidR="001F336A" w:rsidRPr="00D336AE" w:rsidRDefault="001F336A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-1" w:left="-2"/>
              <w:jc w:val="both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 xml:space="preserve">HCV Core 91, </w:t>
            </w:r>
            <w:r w:rsidRPr="005F0F11">
              <w:rPr>
                <w:i/>
                <w:sz w:val="24"/>
                <w:szCs w:val="24"/>
              </w:rPr>
              <w:t>n</w:t>
            </w:r>
          </w:p>
          <w:p w:rsidR="001F336A" w:rsidRPr="00D336AE" w:rsidRDefault="001F336A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-1" w:left="-2"/>
              <w:jc w:val="both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(Wild</w:t>
            </w:r>
            <w:r w:rsidR="00052317">
              <w:rPr>
                <w:sz w:val="24"/>
                <w:szCs w:val="24"/>
              </w:rPr>
              <w:t>/</w:t>
            </w:r>
            <w:r w:rsidRPr="00D336AE">
              <w:rPr>
                <w:sz w:val="24"/>
                <w:szCs w:val="24"/>
              </w:rPr>
              <w:t>Mutant</w:t>
            </w:r>
            <w:r w:rsidR="00052317">
              <w:rPr>
                <w:sz w:val="24"/>
                <w:szCs w:val="24"/>
              </w:rPr>
              <w:t>/</w:t>
            </w:r>
            <w:r w:rsidRPr="00D336AE">
              <w:rPr>
                <w:sz w:val="24"/>
                <w:szCs w:val="24"/>
              </w:rPr>
              <w:t>ND)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1F336A" w:rsidRPr="00D336AE" w:rsidRDefault="001F336A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18</w:t>
            </w:r>
            <w:r w:rsidR="00052317">
              <w:rPr>
                <w:sz w:val="24"/>
                <w:szCs w:val="24"/>
              </w:rPr>
              <w:t>/</w:t>
            </w:r>
            <w:r w:rsidRPr="00D336AE">
              <w:rPr>
                <w:sz w:val="24"/>
                <w:szCs w:val="24"/>
              </w:rPr>
              <w:t>12</w:t>
            </w:r>
            <w:r w:rsidR="00052317">
              <w:rPr>
                <w:sz w:val="24"/>
                <w:szCs w:val="24"/>
              </w:rPr>
              <w:t>/</w:t>
            </w:r>
            <w:r w:rsidRPr="00D336AE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1F336A" w:rsidRPr="00D336AE" w:rsidRDefault="001F336A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Chars="4" w:left="9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18</w:t>
            </w:r>
            <w:r w:rsidR="00052317">
              <w:rPr>
                <w:sz w:val="24"/>
                <w:szCs w:val="24"/>
              </w:rPr>
              <w:t>/</w:t>
            </w:r>
            <w:r w:rsidRPr="00D336AE">
              <w:rPr>
                <w:sz w:val="24"/>
                <w:szCs w:val="24"/>
              </w:rPr>
              <w:t>5</w:t>
            </w:r>
            <w:r w:rsidR="00052317">
              <w:rPr>
                <w:sz w:val="24"/>
                <w:szCs w:val="24"/>
              </w:rPr>
              <w:t>/</w:t>
            </w:r>
            <w:r w:rsidRPr="00D336AE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1F336A" w:rsidRPr="00D336AE" w:rsidRDefault="001F336A" w:rsidP="006611DD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0.385</w:t>
            </w:r>
          </w:p>
        </w:tc>
      </w:tr>
      <w:tr w:rsidR="001F336A" w:rsidRPr="00D336AE" w:rsidTr="00B55E9F">
        <w:trPr>
          <w:gridAfter w:val="1"/>
          <w:wAfter w:w="40" w:type="dxa"/>
        </w:trPr>
        <w:tc>
          <w:tcPr>
            <w:tcW w:w="963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5" w:type="dxa"/>
            </w:tcMar>
            <w:vAlign w:val="bottom"/>
            <w:hideMark/>
          </w:tcPr>
          <w:p w:rsidR="001F336A" w:rsidRPr="00D336AE" w:rsidRDefault="001F336A" w:rsidP="005F0F11">
            <w:pPr>
              <w:pStyle w:val="BodyText"/>
              <w:tabs>
                <w:tab w:val="left" w:pos="2225"/>
                <w:tab w:val="left" w:pos="4191"/>
                <w:tab w:val="left" w:pos="6099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D336AE">
              <w:rPr>
                <w:sz w:val="24"/>
                <w:szCs w:val="24"/>
              </w:rPr>
              <w:t>GFR</w:t>
            </w:r>
            <w:r w:rsidR="005F0F11">
              <w:rPr>
                <w:rFonts w:eastAsia="宋体" w:hint="eastAsia"/>
                <w:sz w:val="24"/>
                <w:szCs w:val="24"/>
                <w:lang w:eastAsia="zh-CN"/>
              </w:rPr>
              <w:t xml:space="preserve">: </w:t>
            </w:r>
            <w:r w:rsidR="005F0F11" w:rsidRPr="00D336AE">
              <w:rPr>
                <w:sz w:val="24"/>
                <w:szCs w:val="24"/>
              </w:rPr>
              <w:t>G</w:t>
            </w:r>
            <w:r w:rsidRPr="00D336AE">
              <w:rPr>
                <w:sz w:val="24"/>
                <w:szCs w:val="24"/>
              </w:rPr>
              <w:t>lomerular filtration rate; IL28B SNP</w:t>
            </w:r>
            <w:r w:rsidR="005F0F11">
              <w:rPr>
                <w:rFonts w:eastAsia="宋体" w:hint="eastAsia"/>
                <w:sz w:val="24"/>
                <w:szCs w:val="24"/>
                <w:lang w:eastAsia="zh-CN"/>
              </w:rPr>
              <w:t>:</w:t>
            </w:r>
            <w:r w:rsidRPr="00D336AE">
              <w:rPr>
                <w:sz w:val="24"/>
                <w:szCs w:val="24"/>
              </w:rPr>
              <w:t xml:space="preserve"> </w:t>
            </w:r>
            <w:r w:rsidR="005F0F11" w:rsidRPr="00D336AE">
              <w:rPr>
                <w:sz w:val="24"/>
                <w:szCs w:val="24"/>
              </w:rPr>
              <w:t>I</w:t>
            </w:r>
            <w:r w:rsidRPr="00D336AE">
              <w:rPr>
                <w:sz w:val="24"/>
                <w:szCs w:val="24"/>
              </w:rPr>
              <w:t>nterleukin-28B single nucleotide polymorphism; ND</w:t>
            </w:r>
            <w:r w:rsidR="005F0F11">
              <w:rPr>
                <w:rFonts w:eastAsia="宋体" w:hint="eastAsia"/>
                <w:sz w:val="24"/>
                <w:szCs w:val="24"/>
                <w:lang w:eastAsia="zh-CN"/>
              </w:rPr>
              <w:t>:</w:t>
            </w:r>
            <w:r w:rsidRPr="00D336AE">
              <w:rPr>
                <w:sz w:val="24"/>
                <w:szCs w:val="24"/>
              </w:rPr>
              <w:t xml:space="preserve"> </w:t>
            </w:r>
            <w:r w:rsidR="005F0F11" w:rsidRPr="00D336AE">
              <w:rPr>
                <w:sz w:val="24"/>
                <w:szCs w:val="24"/>
              </w:rPr>
              <w:t>N</w:t>
            </w:r>
            <w:r w:rsidRPr="00D336AE">
              <w:rPr>
                <w:sz w:val="24"/>
                <w:szCs w:val="24"/>
              </w:rPr>
              <w:t>ot determined; ISDR</w:t>
            </w:r>
            <w:r w:rsidR="005F0F11">
              <w:rPr>
                <w:rFonts w:eastAsia="宋体" w:hint="eastAsia"/>
                <w:sz w:val="24"/>
                <w:szCs w:val="24"/>
                <w:lang w:eastAsia="zh-CN"/>
              </w:rPr>
              <w:t>:</w:t>
            </w:r>
            <w:r w:rsidRPr="00D336AE">
              <w:rPr>
                <w:sz w:val="24"/>
                <w:szCs w:val="24"/>
              </w:rPr>
              <w:t xml:space="preserve"> </w:t>
            </w:r>
            <w:r w:rsidR="005F0F11" w:rsidRPr="00D336AE">
              <w:rPr>
                <w:sz w:val="24"/>
                <w:szCs w:val="24"/>
              </w:rPr>
              <w:t>I</w:t>
            </w:r>
            <w:r w:rsidRPr="00D336AE">
              <w:rPr>
                <w:sz w:val="24"/>
                <w:szCs w:val="24"/>
              </w:rPr>
              <w:t>nterferon sensitivity-determining region; HCV Core 70 or 91</w:t>
            </w:r>
            <w:r w:rsidR="005F0F11">
              <w:rPr>
                <w:rFonts w:eastAsia="宋体" w:hint="eastAsia"/>
                <w:sz w:val="24"/>
                <w:szCs w:val="24"/>
                <w:lang w:eastAsia="zh-CN"/>
              </w:rPr>
              <w:t>:</w:t>
            </w:r>
            <w:r w:rsidRPr="00D336AE">
              <w:rPr>
                <w:sz w:val="24"/>
                <w:szCs w:val="24"/>
              </w:rPr>
              <w:t xml:space="preserve"> </w:t>
            </w:r>
            <w:r w:rsidR="005F0F11" w:rsidRPr="00D336AE">
              <w:rPr>
                <w:sz w:val="24"/>
                <w:szCs w:val="24"/>
              </w:rPr>
              <w:t>A</w:t>
            </w:r>
            <w:r w:rsidRPr="00D336AE">
              <w:rPr>
                <w:sz w:val="24"/>
                <w:szCs w:val="24"/>
              </w:rPr>
              <w:t>t position 70 or 91 of the HCV core protein.</w:t>
            </w:r>
          </w:p>
        </w:tc>
      </w:tr>
    </w:tbl>
    <w:p w:rsidR="0073516B" w:rsidRPr="00D336AE" w:rsidRDefault="0073516B" w:rsidP="006611DD">
      <w:pPr>
        <w:pStyle w:val="BodyText"/>
        <w:tabs>
          <w:tab w:val="left" w:pos="2225"/>
          <w:tab w:val="left" w:pos="4191"/>
          <w:tab w:val="left" w:pos="6099"/>
        </w:tabs>
        <w:spacing w:line="360" w:lineRule="auto"/>
        <w:ind w:left="0"/>
        <w:rPr>
          <w:rFonts w:cs="Book Antiqua"/>
          <w:sz w:val="24"/>
          <w:szCs w:val="24"/>
        </w:rPr>
        <w:sectPr w:rsidR="0073516B" w:rsidRPr="00D336AE" w:rsidSect="006611DD">
          <w:pgSz w:w="11910" w:h="16840"/>
          <w:pgMar w:top="1420" w:right="1140" w:bottom="2100" w:left="1560" w:header="720" w:footer="720" w:gutter="0"/>
          <w:cols w:space="720"/>
        </w:sectPr>
      </w:pPr>
    </w:p>
    <w:tbl>
      <w:tblPr>
        <w:tblW w:w="9694" w:type="dxa"/>
        <w:tblInd w:w="-28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52"/>
        <w:gridCol w:w="2154"/>
        <w:gridCol w:w="2154"/>
        <w:gridCol w:w="1134"/>
      </w:tblGrid>
      <w:tr w:rsidR="00BC303B" w:rsidRPr="00D336AE" w:rsidTr="004271AC">
        <w:trPr>
          <w:trHeight w:val="454"/>
        </w:trPr>
        <w:tc>
          <w:tcPr>
            <w:tcW w:w="9694" w:type="dxa"/>
            <w:gridSpan w:val="4"/>
            <w:tcBorders>
              <w:bottom w:val="single" w:sz="4" w:space="0" w:color="auto"/>
            </w:tcBorders>
            <w:vAlign w:val="center"/>
          </w:tcPr>
          <w:p w:rsidR="00BC303B" w:rsidRPr="00D336AE" w:rsidRDefault="00BC303B" w:rsidP="00052317">
            <w:pPr>
              <w:spacing w:line="360" w:lineRule="auto"/>
              <w:jc w:val="both"/>
              <w:rPr>
                <w:rFonts w:ascii="Book Antiqua" w:eastAsia="MS PMincho" w:hAnsi="Book Antiqua"/>
                <w:b/>
                <w:bCs/>
                <w:sz w:val="24"/>
                <w:szCs w:val="24"/>
              </w:rPr>
            </w:pPr>
            <w:r w:rsidRPr="00D336AE">
              <w:rPr>
                <w:rFonts w:ascii="Book Antiqua" w:hAnsi="Book Antiqua"/>
                <w:b/>
                <w:sz w:val="24"/>
                <w:szCs w:val="24"/>
              </w:rPr>
              <w:lastRenderedPageBreak/>
              <w:t>Table 3 Treatment tolerability (</w:t>
            </w:r>
            <w:proofErr w:type="spellStart"/>
            <w:r w:rsidR="00052317" w:rsidRPr="00052317">
              <w:rPr>
                <w:rFonts w:ascii="Book Antiqua" w:hAnsi="Book Antiqua"/>
                <w:b/>
                <w:sz w:val="24"/>
                <w:szCs w:val="24"/>
              </w:rPr>
              <w:t>telaprevir</w:t>
            </w:r>
            <w:proofErr w:type="spellEnd"/>
            <w:r w:rsidRPr="00D336AE">
              <w:rPr>
                <w:rFonts w:ascii="Book Antiqua" w:hAnsi="Book Antiqua"/>
                <w:b/>
                <w:sz w:val="24"/>
                <w:szCs w:val="24"/>
              </w:rPr>
              <w:t>)</w:t>
            </w:r>
          </w:p>
        </w:tc>
      </w:tr>
      <w:tr w:rsidR="00BC303B" w:rsidRPr="004271AC" w:rsidTr="004271AC">
        <w:trPr>
          <w:trHeight w:val="300"/>
        </w:trPr>
        <w:tc>
          <w:tcPr>
            <w:tcW w:w="425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BC303B" w:rsidRPr="004271AC" w:rsidRDefault="00BC303B" w:rsidP="006611DD">
            <w:pPr>
              <w:spacing w:beforeLines="50" w:before="120" w:line="360" w:lineRule="auto"/>
              <w:jc w:val="both"/>
              <w:rPr>
                <w:rFonts w:ascii="Book Antiqua" w:eastAsia="MS PMincho" w:hAnsi="Book Antiqua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</w:tcPr>
          <w:p w:rsidR="00BC303B" w:rsidRPr="004271AC" w:rsidRDefault="00BC303B" w:rsidP="006611DD">
            <w:pPr>
              <w:spacing w:beforeLines="50" w:before="120"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4271AC">
              <w:rPr>
                <w:rFonts w:ascii="Book Antiqua" w:eastAsia="MS PMincho" w:hAnsi="Book Antiqua"/>
                <w:bCs/>
                <w:sz w:val="24"/>
                <w:szCs w:val="24"/>
              </w:rPr>
              <w:t>Patients aged &lt;66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C303B" w:rsidRPr="004271AC" w:rsidRDefault="00BC303B" w:rsidP="006611DD">
            <w:pPr>
              <w:spacing w:beforeLines="50" w:before="120"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4271AC">
              <w:rPr>
                <w:rFonts w:ascii="Book Antiqua" w:eastAsia="MS PMincho" w:hAnsi="Book Antiqua"/>
                <w:bCs/>
                <w:sz w:val="24"/>
                <w:szCs w:val="24"/>
              </w:rPr>
              <w:t xml:space="preserve">Patients aged </w:t>
            </w:r>
            <w:r w:rsidRPr="004271AC">
              <w:rPr>
                <w:rFonts w:ascii="Book Antiqua" w:hAnsi="Book Antiqua"/>
                <w:bCs/>
                <w:sz w:val="24"/>
                <w:szCs w:val="24"/>
              </w:rPr>
              <w:t>≥</w:t>
            </w:r>
            <w:r w:rsidR="004271AC">
              <w:rPr>
                <w:rFonts w:ascii="Book Antiqua" w:eastAsia="宋体" w:hAnsi="Book Antiqua" w:hint="eastAsia"/>
                <w:bCs/>
                <w:sz w:val="24"/>
                <w:szCs w:val="24"/>
                <w:lang w:eastAsia="zh-CN"/>
              </w:rPr>
              <w:t xml:space="preserve"> </w:t>
            </w:r>
            <w:r w:rsidRPr="004271AC">
              <w:rPr>
                <w:rFonts w:ascii="Book Antiqua" w:eastAsia="MS PMincho" w:hAnsi="Book Antiqua"/>
                <w:bCs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BC303B" w:rsidRPr="004271AC" w:rsidRDefault="008A2B60" w:rsidP="006611DD">
            <w:pPr>
              <w:spacing w:beforeLines="50" w:before="120"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4271AC">
              <w:rPr>
                <w:rFonts w:ascii="Book Antiqua" w:eastAsia="MS PMincho" w:hAnsi="Book Antiqua"/>
                <w:bCs/>
                <w:i/>
                <w:iCs/>
                <w:sz w:val="24"/>
                <w:szCs w:val="24"/>
              </w:rPr>
              <w:t>P</w:t>
            </w:r>
            <w:r w:rsidR="00BC303B" w:rsidRPr="004271AC">
              <w:rPr>
                <w:rFonts w:ascii="Book Antiqua" w:eastAsia="MS PMincho" w:hAnsi="Book Antiqua"/>
                <w:bCs/>
                <w:sz w:val="24"/>
                <w:szCs w:val="24"/>
              </w:rPr>
              <w:t xml:space="preserve"> value</w:t>
            </w:r>
          </w:p>
        </w:tc>
      </w:tr>
      <w:tr w:rsidR="00BC303B" w:rsidRPr="004271AC" w:rsidTr="00550564">
        <w:trPr>
          <w:trHeight w:val="454"/>
        </w:trPr>
        <w:tc>
          <w:tcPr>
            <w:tcW w:w="4252" w:type="dxa"/>
            <w:tcBorders>
              <w:top w:val="single" w:sz="8" w:space="0" w:color="auto"/>
            </w:tcBorders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BC303B" w:rsidRPr="004271AC" w:rsidRDefault="00BC303B" w:rsidP="006611DD">
            <w:pPr>
              <w:spacing w:beforeLines="50" w:before="120" w:line="360" w:lineRule="auto"/>
              <w:jc w:val="both"/>
              <w:rPr>
                <w:rFonts w:ascii="Book Antiqua" w:eastAsia="MS PMincho" w:hAnsi="Book Antiqua"/>
                <w:sz w:val="24"/>
                <w:szCs w:val="24"/>
              </w:rPr>
            </w:pPr>
            <w:r w:rsidRPr="004271AC">
              <w:rPr>
                <w:rFonts w:ascii="Book Antiqua" w:eastAsia="MS PMincho" w:hAnsi="Book Antiqua"/>
                <w:sz w:val="24"/>
                <w:szCs w:val="24"/>
              </w:rPr>
              <w:t xml:space="preserve">Initial doses </w:t>
            </w:r>
            <w:r w:rsidRPr="004271AC">
              <w:rPr>
                <w:rFonts w:ascii="Book Antiqua" w:hAnsi="Book Antiqua"/>
                <w:bCs/>
                <w:sz w:val="24"/>
                <w:szCs w:val="24"/>
              </w:rPr>
              <w:t xml:space="preserve"> (Median, range)</w:t>
            </w:r>
          </w:p>
        </w:tc>
        <w:tc>
          <w:tcPr>
            <w:tcW w:w="2154" w:type="dxa"/>
            <w:tcBorders>
              <w:top w:val="single" w:sz="8" w:space="0" w:color="auto"/>
            </w:tcBorders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</w:tcPr>
          <w:p w:rsidR="00BC303B" w:rsidRPr="004271AC" w:rsidRDefault="00BC303B" w:rsidP="006611DD">
            <w:pPr>
              <w:spacing w:beforeLines="50" w:before="120"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  <w:vAlign w:val="center"/>
          </w:tcPr>
          <w:p w:rsidR="00BC303B" w:rsidRPr="004271AC" w:rsidRDefault="00BC303B" w:rsidP="006611DD">
            <w:pPr>
              <w:spacing w:beforeLines="50" w:before="120"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BC303B" w:rsidRPr="004271AC" w:rsidRDefault="00BC303B" w:rsidP="006611DD">
            <w:pPr>
              <w:spacing w:beforeLines="50" w:before="120"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</w:p>
        </w:tc>
      </w:tr>
      <w:tr w:rsidR="00BC303B" w:rsidRPr="00D336AE" w:rsidTr="00550564">
        <w:trPr>
          <w:trHeight w:val="454"/>
        </w:trPr>
        <w:tc>
          <w:tcPr>
            <w:tcW w:w="4252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BC303B" w:rsidRPr="00D336AE" w:rsidRDefault="00BC303B" w:rsidP="006611DD">
            <w:pPr>
              <w:spacing w:line="360" w:lineRule="auto"/>
              <w:ind w:firstLineChars="76" w:firstLine="182"/>
              <w:jc w:val="both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PEG-IFN</w:t>
            </w:r>
            <w:r w:rsidR="00052317">
              <w:rPr>
                <w:rFonts w:ascii="Book Antiqua" w:eastAsia="MS PMincho" w:hAnsi="Book Antiqua"/>
                <w:sz w:val="24"/>
                <w:szCs w:val="24"/>
              </w:rPr>
              <w:t>/</w:t>
            </w:r>
            <w:r w:rsidRPr="00D336AE">
              <w:rPr>
                <w:rFonts w:ascii="Book Antiqua" w:eastAsia="MS PMincho" w:hAnsi="Book Antiqua"/>
                <w:sz w:val="24"/>
                <w:szCs w:val="24"/>
              </w:rPr>
              <w:t>BW (</w:t>
            </w:r>
            <w:r w:rsidRPr="00D336AE">
              <w:rPr>
                <w:rFonts w:ascii="Book Antiqua" w:eastAsia="MS PMincho" w:hAnsi="Book Antiqua"/>
                <w:sz w:val="24"/>
                <w:szCs w:val="24"/>
                <w:lang w:val="el-GR"/>
              </w:rPr>
              <w:t>μ</w:t>
            </w:r>
            <w:r w:rsidRPr="00D336AE">
              <w:rPr>
                <w:rFonts w:ascii="Book Antiqua" w:eastAsia="MS PMincho" w:hAnsi="Book Antiqua"/>
                <w:sz w:val="24"/>
                <w:szCs w:val="24"/>
              </w:rPr>
              <w:t>g/kg/week)</w:t>
            </w:r>
          </w:p>
        </w:tc>
        <w:tc>
          <w:tcPr>
            <w:tcW w:w="2154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</w:tcPr>
          <w:p w:rsidR="00BC303B" w:rsidRPr="00D336AE" w:rsidRDefault="00BC303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1.48 (0.98-2.00)</w:t>
            </w:r>
          </w:p>
        </w:tc>
        <w:tc>
          <w:tcPr>
            <w:tcW w:w="2154" w:type="dxa"/>
            <w:vAlign w:val="center"/>
          </w:tcPr>
          <w:p w:rsidR="00BC303B" w:rsidRPr="00D336AE" w:rsidRDefault="00BC303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1.49 (1.15-1.87)</w:t>
            </w:r>
          </w:p>
        </w:tc>
        <w:tc>
          <w:tcPr>
            <w:tcW w:w="1134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BC303B" w:rsidRPr="00D336AE" w:rsidRDefault="00BC303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0.859</w:t>
            </w:r>
          </w:p>
        </w:tc>
      </w:tr>
      <w:tr w:rsidR="00BC303B" w:rsidRPr="00D336AE" w:rsidTr="00550564">
        <w:trPr>
          <w:trHeight w:val="454"/>
        </w:trPr>
        <w:tc>
          <w:tcPr>
            <w:tcW w:w="4252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BC303B" w:rsidRPr="00D336AE" w:rsidRDefault="00BC303B" w:rsidP="006611DD">
            <w:pPr>
              <w:spacing w:line="360" w:lineRule="auto"/>
              <w:ind w:firstLineChars="76" w:firstLine="182"/>
              <w:jc w:val="both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TVR</w:t>
            </w:r>
            <w:r w:rsidR="00052317">
              <w:rPr>
                <w:rFonts w:ascii="Book Antiqua" w:eastAsia="MS PMincho" w:hAnsi="Book Antiqua"/>
                <w:sz w:val="24"/>
                <w:szCs w:val="24"/>
              </w:rPr>
              <w:t>/</w:t>
            </w:r>
            <w:r w:rsidRPr="00D336AE">
              <w:rPr>
                <w:rFonts w:ascii="Book Antiqua" w:eastAsia="MS PMincho" w:hAnsi="Book Antiqua"/>
                <w:sz w:val="24"/>
                <w:szCs w:val="24"/>
              </w:rPr>
              <w:t>BW (mg/kg/day)</w:t>
            </w:r>
          </w:p>
        </w:tc>
        <w:tc>
          <w:tcPr>
            <w:tcW w:w="2154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</w:tcPr>
          <w:p w:rsidR="00BC303B" w:rsidRPr="00D336AE" w:rsidRDefault="00BC303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33.0 (19.2-64.3)</w:t>
            </w:r>
          </w:p>
        </w:tc>
        <w:tc>
          <w:tcPr>
            <w:tcW w:w="2154" w:type="dxa"/>
            <w:vAlign w:val="center"/>
          </w:tcPr>
          <w:p w:rsidR="00BC303B" w:rsidRPr="00D336AE" w:rsidRDefault="00BC303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29.2 (7.5-54.2)</w:t>
            </w:r>
          </w:p>
        </w:tc>
        <w:tc>
          <w:tcPr>
            <w:tcW w:w="1134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BC303B" w:rsidRPr="00D336AE" w:rsidRDefault="00BC303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0.044</w:t>
            </w:r>
          </w:p>
        </w:tc>
      </w:tr>
      <w:tr w:rsidR="00BC303B" w:rsidRPr="00D336AE" w:rsidTr="00550564">
        <w:trPr>
          <w:trHeight w:val="454"/>
        </w:trPr>
        <w:tc>
          <w:tcPr>
            <w:tcW w:w="4252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BC303B" w:rsidRPr="00D336AE" w:rsidRDefault="00BC303B" w:rsidP="006611DD">
            <w:pPr>
              <w:spacing w:line="360" w:lineRule="auto"/>
              <w:ind w:firstLineChars="76" w:firstLine="182"/>
              <w:jc w:val="both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TVR (2250</w:t>
            </w:r>
            <w:r w:rsidR="004271AC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336AE">
              <w:rPr>
                <w:rFonts w:ascii="Book Antiqua" w:eastAsia="MS PMincho" w:hAnsi="Book Antiqua"/>
                <w:sz w:val="24"/>
                <w:szCs w:val="24"/>
              </w:rPr>
              <w:t>mg</w:t>
            </w:r>
            <w:r w:rsidR="00052317">
              <w:rPr>
                <w:rFonts w:ascii="Book Antiqua" w:eastAsia="MS PMincho" w:hAnsi="Book Antiqua"/>
                <w:sz w:val="24"/>
                <w:szCs w:val="24"/>
              </w:rPr>
              <w:t>/</w:t>
            </w:r>
            <w:r w:rsidRPr="00D336AE">
              <w:rPr>
                <w:rFonts w:ascii="Book Antiqua" w:eastAsia="MS PMincho" w:hAnsi="Book Antiqua"/>
                <w:sz w:val="24"/>
                <w:szCs w:val="24"/>
              </w:rPr>
              <w:t>1500</w:t>
            </w:r>
            <w:r w:rsidR="004271AC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D336AE">
              <w:rPr>
                <w:rFonts w:ascii="Book Antiqua" w:eastAsia="MS PMincho" w:hAnsi="Book Antiqua"/>
                <w:sz w:val="24"/>
                <w:szCs w:val="24"/>
              </w:rPr>
              <w:t>mg</w:t>
            </w:r>
            <w:r w:rsidR="00052317">
              <w:rPr>
                <w:rFonts w:ascii="Book Antiqua" w:eastAsia="MS PMincho" w:hAnsi="Book Antiqua"/>
                <w:sz w:val="24"/>
                <w:szCs w:val="24"/>
              </w:rPr>
              <w:t>/</w:t>
            </w:r>
            <w:r w:rsidRPr="00D336AE">
              <w:rPr>
                <w:rFonts w:ascii="Book Antiqua" w:eastAsia="MS PMincho" w:hAnsi="Book Antiqua"/>
                <w:sz w:val="24"/>
                <w:szCs w:val="24"/>
              </w:rPr>
              <w:t xml:space="preserve">others), </w:t>
            </w:r>
            <w:r w:rsidRPr="004271AC">
              <w:rPr>
                <w:rFonts w:ascii="Book Antiqua" w:eastAsia="MS PMincho" w:hAnsi="Book Antiqua"/>
                <w:i/>
                <w:sz w:val="24"/>
                <w:szCs w:val="24"/>
              </w:rPr>
              <w:t>n</w:t>
            </w:r>
          </w:p>
        </w:tc>
        <w:tc>
          <w:tcPr>
            <w:tcW w:w="2154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</w:tcPr>
          <w:p w:rsidR="00BC303B" w:rsidRPr="00D336AE" w:rsidRDefault="00BC303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5</w:t>
            </w:r>
            <w:r w:rsidR="00F56DE7" w:rsidRPr="00D336AE">
              <w:rPr>
                <w:rFonts w:ascii="Book Antiqua" w:eastAsia="MS PMincho" w:hAnsi="Book Antiqua"/>
                <w:sz w:val="24"/>
                <w:szCs w:val="24"/>
              </w:rPr>
              <w:t>5</w:t>
            </w:r>
            <w:r w:rsidR="00052317">
              <w:rPr>
                <w:rFonts w:ascii="Book Antiqua" w:eastAsia="MS PMincho" w:hAnsi="Book Antiqua"/>
                <w:sz w:val="24"/>
                <w:szCs w:val="24"/>
              </w:rPr>
              <w:t>/</w:t>
            </w:r>
            <w:r w:rsidRPr="00D336AE">
              <w:rPr>
                <w:rFonts w:ascii="Book Antiqua" w:eastAsia="MS PMincho" w:hAnsi="Book Antiqua"/>
                <w:sz w:val="24"/>
                <w:szCs w:val="24"/>
              </w:rPr>
              <w:t>2</w:t>
            </w:r>
            <w:r w:rsidR="00F56DE7" w:rsidRPr="00D336AE">
              <w:rPr>
                <w:rFonts w:ascii="Book Antiqua" w:eastAsia="MS PMincho" w:hAnsi="Book Antiqua"/>
                <w:sz w:val="24"/>
                <w:szCs w:val="24"/>
              </w:rPr>
              <w:t>3</w:t>
            </w:r>
            <w:r w:rsidR="00052317">
              <w:rPr>
                <w:rFonts w:ascii="Book Antiqua" w:eastAsia="MS PMincho" w:hAnsi="Book Antiqua"/>
                <w:sz w:val="24"/>
                <w:szCs w:val="24"/>
              </w:rPr>
              <w:t>/</w:t>
            </w:r>
            <w:r w:rsidRPr="00D336AE">
              <w:rPr>
                <w:rFonts w:ascii="Book Antiqua" w:eastAsia="MS PMincho" w:hAnsi="Book Antiqua"/>
                <w:sz w:val="24"/>
                <w:szCs w:val="24"/>
              </w:rPr>
              <w:t>0</w:t>
            </w:r>
          </w:p>
        </w:tc>
        <w:tc>
          <w:tcPr>
            <w:tcW w:w="2154" w:type="dxa"/>
            <w:vAlign w:val="center"/>
          </w:tcPr>
          <w:p w:rsidR="00BC303B" w:rsidRPr="00D336AE" w:rsidRDefault="00BC303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11</w:t>
            </w:r>
            <w:r w:rsidR="00052317">
              <w:rPr>
                <w:rFonts w:ascii="Book Antiqua" w:eastAsia="MS PMincho" w:hAnsi="Book Antiqua"/>
                <w:sz w:val="24"/>
                <w:szCs w:val="24"/>
              </w:rPr>
              <w:t>/</w:t>
            </w:r>
            <w:r w:rsidRPr="00D336AE">
              <w:rPr>
                <w:rFonts w:ascii="Book Antiqua" w:eastAsia="MS PMincho" w:hAnsi="Book Antiqua"/>
                <w:sz w:val="24"/>
                <w:szCs w:val="24"/>
              </w:rPr>
              <w:t>21</w:t>
            </w:r>
            <w:r w:rsidR="00052317">
              <w:rPr>
                <w:rFonts w:ascii="Book Antiqua" w:eastAsia="MS PMincho" w:hAnsi="Book Antiqua"/>
                <w:sz w:val="24"/>
                <w:szCs w:val="24"/>
              </w:rPr>
              <w:t>/</w:t>
            </w:r>
            <w:r w:rsidRPr="00D336AE">
              <w:rPr>
                <w:rFonts w:ascii="Book Antiqua" w:eastAsia="MS PMincho" w:hAnsi="Book Antiqua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BC303B" w:rsidRPr="00D336AE" w:rsidRDefault="00BC303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&lt;0.001</w:t>
            </w:r>
          </w:p>
        </w:tc>
      </w:tr>
      <w:tr w:rsidR="00BC303B" w:rsidRPr="00D336AE" w:rsidTr="00550564">
        <w:trPr>
          <w:trHeight w:val="454"/>
        </w:trPr>
        <w:tc>
          <w:tcPr>
            <w:tcW w:w="4252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BC303B" w:rsidRPr="00D336AE" w:rsidRDefault="00BC303B" w:rsidP="006611DD">
            <w:pPr>
              <w:spacing w:line="360" w:lineRule="auto"/>
              <w:ind w:firstLineChars="76" w:firstLine="182"/>
              <w:jc w:val="both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RBV</w:t>
            </w:r>
            <w:r w:rsidR="00052317">
              <w:rPr>
                <w:rFonts w:ascii="Book Antiqua" w:eastAsia="MS PMincho" w:hAnsi="Book Antiqua"/>
                <w:sz w:val="24"/>
                <w:szCs w:val="24"/>
              </w:rPr>
              <w:t>/</w:t>
            </w:r>
            <w:r w:rsidR="004271AC">
              <w:rPr>
                <w:rFonts w:ascii="Book Antiqua" w:eastAsia="MS PMincho" w:hAnsi="Book Antiqua"/>
                <w:sz w:val="24"/>
                <w:szCs w:val="24"/>
              </w:rPr>
              <w:t>BW (mg/kg/d</w:t>
            </w:r>
            <w:r w:rsidRPr="00D336AE">
              <w:rPr>
                <w:rFonts w:ascii="Book Antiqua" w:eastAsia="MS PMincho" w:hAnsi="Book Antiqua"/>
                <w:sz w:val="24"/>
                <w:szCs w:val="24"/>
              </w:rPr>
              <w:t>)</w:t>
            </w:r>
          </w:p>
        </w:tc>
        <w:tc>
          <w:tcPr>
            <w:tcW w:w="2154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</w:tcPr>
          <w:p w:rsidR="00BC303B" w:rsidRPr="00D336AE" w:rsidRDefault="00BC303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11.4 (6.8-20.0)</w:t>
            </w:r>
          </w:p>
        </w:tc>
        <w:tc>
          <w:tcPr>
            <w:tcW w:w="2154" w:type="dxa"/>
            <w:vAlign w:val="center"/>
          </w:tcPr>
          <w:p w:rsidR="00BC303B" w:rsidRPr="00D336AE" w:rsidRDefault="00BC303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11.4 (5.7-28.0)</w:t>
            </w:r>
          </w:p>
        </w:tc>
        <w:tc>
          <w:tcPr>
            <w:tcW w:w="1134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BC303B" w:rsidRPr="00D336AE" w:rsidRDefault="00BC303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0.103</w:t>
            </w:r>
          </w:p>
        </w:tc>
      </w:tr>
      <w:tr w:rsidR="005D754B" w:rsidRPr="004271AC" w:rsidTr="00550564">
        <w:trPr>
          <w:trHeight w:val="454"/>
        </w:trPr>
        <w:tc>
          <w:tcPr>
            <w:tcW w:w="4252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5D754B" w:rsidRPr="004271AC" w:rsidRDefault="005D754B" w:rsidP="006611DD">
            <w:pPr>
              <w:spacing w:beforeLines="50" w:before="120" w:line="360" w:lineRule="auto"/>
              <w:jc w:val="both"/>
              <w:rPr>
                <w:rFonts w:ascii="Book Antiqua" w:eastAsia="MS PMincho" w:hAnsi="Book Antiqua"/>
                <w:sz w:val="24"/>
                <w:szCs w:val="24"/>
              </w:rPr>
            </w:pPr>
            <w:r w:rsidRPr="004271AC">
              <w:rPr>
                <w:rFonts w:ascii="Book Antiqua" w:eastAsia="MS PMincho" w:hAnsi="Book Antiqua"/>
                <w:sz w:val="24"/>
                <w:szCs w:val="24"/>
              </w:rPr>
              <w:t xml:space="preserve">Dose reduction, </w:t>
            </w:r>
            <w:r w:rsidRPr="004271AC">
              <w:rPr>
                <w:rFonts w:ascii="Book Antiqua" w:eastAsia="MS PMincho" w:hAnsi="Book Antiqua"/>
                <w:i/>
                <w:sz w:val="24"/>
                <w:szCs w:val="24"/>
              </w:rPr>
              <w:t>n</w:t>
            </w:r>
          </w:p>
        </w:tc>
        <w:tc>
          <w:tcPr>
            <w:tcW w:w="2154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</w:tcPr>
          <w:p w:rsidR="005D754B" w:rsidRPr="004271AC" w:rsidRDefault="005D754B" w:rsidP="006611DD">
            <w:pPr>
              <w:spacing w:beforeLines="50" w:before="120"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5D754B" w:rsidRPr="004271AC" w:rsidRDefault="005D754B" w:rsidP="006611DD">
            <w:pPr>
              <w:spacing w:beforeLines="50" w:before="120"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5D754B" w:rsidRPr="004271AC" w:rsidRDefault="005D754B" w:rsidP="006611DD">
            <w:pPr>
              <w:spacing w:beforeLines="50" w:before="120"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</w:p>
        </w:tc>
      </w:tr>
      <w:tr w:rsidR="005D754B" w:rsidRPr="00D336AE" w:rsidTr="00550564">
        <w:trPr>
          <w:trHeight w:val="454"/>
        </w:trPr>
        <w:tc>
          <w:tcPr>
            <w:tcW w:w="4252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5D754B" w:rsidRPr="00D336AE" w:rsidRDefault="005D754B" w:rsidP="006611DD">
            <w:pPr>
              <w:spacing w:line="360" w:lineRule="auto"/>
              <w:ind w:firstLineChars="76" w:firstLine="182"/>
              <w:jc w:val="both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PEG-IFN</w:t>
            </w:r>
          </w:p>
        </w:tc>
        <w:tc>
          <w:tcPr>
            <w:tcW w:w="2154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</w:tcPr>
          <w:p w:rsidR="005D754B" w:rsidRPr="00D336AE" w:rsidRDefault="005D754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7 (8.9</w:t>
            </w:r>
            <w:r w:rsidR="00BD6AE9" w:rsidRPr="00D336AE">
              <w:rPr>
                <w:rFonts w:ascii="Book Antiqua" w:eastAsia="MS PMincho" w:hAnsi="Book Antiqua"/>
                <w:sz w:val="24"/>
                <w:szCs w:val="24"/>
              </w:rPr>
              <w:t>%</w:t>
            </w:r>
            <w:r w:rsidRPr="00D336AE">
              <w:rPr>
                <w:rFonts w:ascii="Book Antiqua" w:eastAsia="MS PMincho" w:hAnsi="Book Antiqua"/>
                <w:sz w:val="24"/>
                <w:szCs w:val="24"/>
              </w:rPr>
              <w:t>)</w:t>
            </w:r>
          </w:p>
        </w:tc>
        <w:tc>
          <w:tcPr>
            <w:tcW w:w="2154" w:type="dxa"/>
            <w:vAlign w:val="center"/>
          </w:tcPr>
          <w:p w:rsidR="005D754B" w:rsidRPr="00D336AE" w:rsidRDefault="005D754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6</w:t>
            </w:r>
            <w:r w:rsidR="00BD6AE9" w:rsidRPr="00D336AE">
              <w:rPr>
                <w:rFonts w:ascii="Book Antiqua" w:eastAsia="MS PMincho" w:hAnsi="Book Antiqua"/>
                <w:sz w:val="24"/>
                <w:szCs w:val="24"/>
              </w:rPr>
              <w:t xml:space="preserve"> (17.6%)</w:t>
            </w:r>
          </w:p>
        </w:tc>
        <w:tc>
          <w:tcPr>
            <w:tcW w:w="1134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5D754B" w:rsidRPr="00D336AE" w:rsidRDefault="005D754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0.</w:t>
            </w:r>
            <w:r w:rsidR="00750D00" w:rsidRPr="00D336AE">
              <w:rPr>
                <w:rFonts w:ascii="Book Antiqua" w:eastAsia="MS PMincho" w:hAnsi="Book Antiqua"/>
                <w:sz w:val="24"/>
                <w:szCs w:val="24"/>
              </w:rPr>
              <w:t>209</w:t>
            </w:r>
          </w:p>
        </w:tc>
      </w:tr>
      <w:tr w:rsidR="005D754B" w:rsidRPr="00D336AE" w:rsidTr="00550564">
        <w:trPr>
          <w:trHeight w:val="454"/>
        </w:trPr>
        <w:tc>
          <w:tcPr>
            <w:tcW w:w="4252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5D754B" w:rsidRPr="00D336AE" w:rsidRDefault="005D754B" w:rsidP="006611DD">
            <w:pPr>
              <w:spacing w:line="360" w:lineRule="auto"/>
              <w:ind w:firstLineChars="76" w:firstLine="182"/>
              <w:jc w:val="both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TVR</w:t>
            </w:r>
          </w:p>
        </w:tc>
        <w:tc>
          <w:tcPr>
            <w:tcW w:w="2154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</w:tcPr>
          <w:p w:rsidR="005D754B" w:rsidRPr="00D336AE" w:rsidRDefault="005D754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19</w:t>
            </w:r>
            <w:r w:rsidR="00BD6AE9" w:rsidRPr="00D336AE">
              <w:rPr>
                <w:rFonts w:ascii="Book Antiqua" w:eastAsia="MS PMincho" w:hAnsi="Book Antiqua"/>
                <w:sz w:val="24"/>
                <w:szCs w:val="24"/>
              </w:rPr>
              <w:t xml:space="preserve"> (24.3%)</w:t>
            </w:r>
          </w:p>
        </w:tc>
        <w:tc>
          <w:tcPr>
            <w:tcW w:w="2154" w:type="dxa"/>
            <w:vAlign w:val="center"/>
          </w:tcPr>
          <w:p w:rsidR="005D754B" w:rsidRPr="00D336AE" w:rsidRDefault="005D754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12</w:t>
            </w:r>
            <w:r w:rsidR="00BD6AE9" w:rsidRPr="00D336AE">
              <w:rPr>
                <w:rFonts w:ascii="Book Antiqua" w:eastAsia="MS PMincho" w:hAnsi="Book Antiqua"/>
                <w:sz w:val="24"/>
                <w:szCs w:val="24"/>
              </w:rPr>
              <w:t xml:space="preserve"> (35.3%)</w:t>
            </w:r>
          </w:p>
        </w:tc>
        <w:tc>
          <w:tcPr>
            <w:tcW w:w="1134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5D754B" w:rsidRPr="00D336AE" w:rsidRDefault="005D754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0.</w:t>
            </w:r>
            <w:r w:rsidR="00750D00" w:rsidRPr="00D336AE">
              <w:rPr>
                <w:rFonts w:ascii="Book Antiqua" w:eastAsia="MS PMincho" w:hAnsi="Book Antiqua"/>
                <w:sz w:val="24"/>
                <w:szCs w:val="24"/>
              </w:rPr>
              <w:t>256</w:t>
            </w:r>
          </w:p>
        </w:tc>
      </w:tr>
      <w:tr w:rsidR="005D754B" w:rsidRPr="00D336AE" w:rsidTr="00550564">
        <w:trPr>
          <w:trHeight w:val="454"/>
        </w:trPr>
        <w:tc>
          <w:tcPr>
            <w:tcW w:w="4252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5D754B" w:rsidRPr="00D336AE" w:rsidRDefault="005D754B" w:rsidP="006611DD">
            <w:pPr>
              <w:spacing w:line="360" w:lineRule="auto"/>
              <w:ind w:firstLineChars="76" w:firstLine="182"/>
              <w:jc w:val="both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RBV</w:t>
            </w:r>
          </w:p>
        </w:tc>
        <w:tc>
          <w:tcPr>
            <w:tcW w:w="2154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</w:tcPr>
          <w:p w:rsidR="005D754B" w:rsidRPr="00D336AE" w:rsidRDefault="005D754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40</w:t>
            </w:r>
            <w:r w:rsidR="00BD6AE9" w:rsidRPr="00D336AE">
              <w:rPr>
                <w:rFonts w:ascii="Book Antiqua" w:eastAsia="MS PMincho" w:hAnsi="Book Antiqua"/>
                <w:sz w:val="24"/>
                <w:szCs w:val="24"/>
              </w:rPr>
              <w:t xml:space="preserve"> (51.2%)</w:t>
            </w:r>
          </w:p>
        </w:tc>
        <w:tc>
          <w:tcPr>
            <w:tcW w:w="2154" w:type="dxa"/>
            <w:vAlign w:val="center"/>
          </w:tcPr>
          <w:p w:rsidR="005D754B" w:rsidRPr="00D336AE" w:rsidRDefault="005D754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27</w:t>
            </w:r>
            <w:r w:rsidR="00BD6AE9" w:rsidRPr="00D336AE">
              <w:rPr>
                <w:rFonts w:ascii="Book Antiqua" w:eastAsia="MS PMincho" w:hAnsi="Book Antiqua"/>
                <w:sz w:val="24"/>
                <w:szCs w:val="24"/>
              </w:rPr>
              <w:t xml:space="preserve"> (79.4%)</w:t>
            </w:r>
          </w:p>
        </w:tc>
        <w:tc>
          <w:tcPr>
            <w:tcW w:w="1134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5D754B" w:rsidRPr="00D336AE" w:rsidRDefault="00750D00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0.006</w:t>
            </w:r>
          </w:p>
        </w:tc>
      </w:tr>
      <w:tr w:rsidR="00BC303B" w:rsidRPr="004271AC" w:rsidTr="00550564">
        <w:trPr>
          <w:trHeight w:val="454"/>
        </w:trPr>
        <w:tc>
          <w:tcPr>
            <w:tcW w:w="4252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BC303B" w:rsidRPr="004271AC" w:rsidRDefault="00BC303B" w:rsidP="006611DD">
            <w:pPr>
              <w:spacing w:beforeLines="50" w:before="120" w:line="360" w:lineRule="auto"/>
              <w:jc w:val="both"/>
              <w:rPr>
                <w:rFonts w:ascii="Book Antiqua" w:eastAsia="MS PMincho" w:hAnsi="Book Antiqua"/>
                <w:sz w:val="24"/>
                <w:szCs w:val="24"/>
              </w:rPr>
            </w:pPr>
            <w:r w:rsidRPr="004271AC">
              <w:rPr>
                <w:rFonts w:ascii="Book Antiqua" w:eastAsia="MS PMincho" w:hAnsi="Book Antiqua"/>
                <w:sz w:val="24"/>
                <w:szCs w:val="24"/>
              </w:rPr>
              <w:t xml:space="preserve">Discontinuation, </w:t>
            </w:r>
            <w:r w:rsidRPr="004271AC">
              <w:rPr>
                <w:rFonts w:ascii="Book Antiqua" w:eastAsia="MS PMincho" w:hAnsi="Book Antiqua"/>
                <w:i/>
                <w:sz w:val="24"/>
                <w:szCs w:val="24"/>
              </w:rPr>
              <w:t>n</w:t>
            </w:r>
          </w:p>
        </w:tc>
        <w:tc>
          <w:tcPr>
            <w:tcW w:w="2154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</w:tcPr>
          <w:p w:rsidR="00BC303B" w:rsidRPr="004271AC" w:rsidRDefault="00BC303B" w:rsidP="006611DD">
            <w:pPr>
              <w:spacing w:beforeLines="50" w:before="120"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BC303B" w:rsidRPr="004271AC" w:rsidRDefault="00BC303B" w:rsidP="006611DD">
            <w:pPr>
              <w:spacing w:beforeLines="50" w:before="120"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BC303B" w:rsidRPr="004271AC" w:rsidRDefault="00BC303B" w:rsidP="006611DD">
            <w:pPr>
              <w:spacing w:beforeLines="50" w:before="120"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</w:p>
        </w:tc>
      </w:tr>
      <w:tr w:rsidR="00BC303B" w:rsidRPr="00D336AE" w:rsidTr="00550564">
        <w:trPr>
          <w:trHeight w:val="454"/>
        </w:trPr>
        <w:tc>
          <w:tcPr>
            <w:tcW w:w="4252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BC303B" w:rsidRPr="00D336AE" w:rsidRDefault="00BC303B" w:rsidP="006611DD">
            <w:pPr>
              <w:spacing w:line="360" w:lineRule="auto"/>
              <w:ind w:firstLineChars="76" w:firstLine="182"/>
              <w:jc w:val="both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PEG-IFN</w:t>
            </w:r>
          </w:p>
        </w:tc>
        <w:tc>
          <w:tcPr>
            <w:tcW w:w="2154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</w:tcPr>
          <w:p w:rsidR="00BC303B" w:rsidRPr="00D336AE" w:rsidRDefault="00BC303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13</w:t>
            </w:r>
            <w:r w:rsidR="00BD6AE9" w:rsidRPr="00D336AE">
              <w:rPr>
                <w:rFonts w:ascii="Book Antiqua" w:eastAsia="MS PMincho" w:hAnsi="Book Antiqua"/>
                <w:sz w:val="24"/>
                <w:szCs w:val="24"/>
              </w:rPr>
              <w:t xml:space="preserve"> (16.7%)</w:t>
            </w:r>
          </w:p>
        </w:tc>
        <w:tc>
          <w:tcPr>
            <w:tcW w:w="2154" w:type="dxa"/>
            <w:vAlign w:val="center"/>
          </w:tcPr>
          <w:p w:rsidR="00BC303B" w:rsidRPr="00D336AE" w:rsidRDefault="00BC303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4</w:t>
            </w:r>
            <w:r w:rsidR="00BD6AE9" w:rsidRPr="00D336AE">
              <w:rPr>
                <w:rFonts w:ascii="Book Antiqua" w:eastAsia="MS PMincho" w:hAnsi="Book Antiqua"/>
                <w:sz w:val="24"/>
                <w:szCs w:val="24"/>
              </w:rPr>
              <w:t xml:space="preserve"> (11.8%)</w:t>
            </w:r>
          </w:p>
        </w:tc>
        <w:tc>
          <w:tcPr>
            <w:tcW w:w="1134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BC303B" w:rsidRPr="00D336AE" w:rsidRDefault="00BC303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0.</w:t>
            </w:r>
            <w:r w:rsidR="00750D00" w:rsidRPr="00D336AE">
              <w:rPr>
                <w:rFonts w:ascii="Book Antiqua" w:eastAsia="MS PMincho" w:hAnsi="Book Antiqua"/>
                <w:sz w:val="24"/>
                <w:szCs w:val="24"/>
              </w:rPr>
              <w:t>580</w:t>
            </w:r>
          </w:p>
        </w:tc>
      </w:tr>
      <w:tr w:rsidR="00BC303B" w:rsidRPr="00D336AE" w:rsidTr="00550564">
        <w:trPr>
          <w:trHeight w:val="454"/>
        </w:trPr>
        <w:tc>
          <w:tcPr>
            <w:tcW w:w="4252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BC303B" w:rsidRPr="00D336AE" w:rsidRDefault="00BC303B" w:rsidP="006611DD">
            <w:pPr>
              <w:spacing w:line="360" w:lineRule="auto"/>
              <w:ind w:firstLineChars="76" w:firstLine="182"/>
              <w:jc w:val="both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TVR</w:t>
            </w:r>
          </w:p>
        </w:tc>
        <w:tc>
          <w:tcPr>
            <w:tcW w:w="2154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</w:tcPr>
          <w:p w:rsidR="00BC303B" w:rsidRPr="00D336AE" w:rsidRDefault="00BC303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12</w:t>
            </w:r>
            <w:r w:rsidR="00BD6AE9" w:rsidRPr="00D336AE">
              <w:rPr>
                <w:rFonts w:ascii="Book Antiqua" w:eastAsia="MS PMincho" w:hAnsi="Book Antiqua"/>
                <w:sz w:val="24"/>
                <w:szCs w:val="24"/>
              </w:rPr>
              <w:t xml:space="preserve"> (15.4%)</w:t>
            </w:r>
          </w:p>
        </w:tc>
        <w:tc>
          <w:tcPr>
            <w:tcW w:w="2154" w:type="dxa"/>
            <w:vAlign w:val="center"/>
          </w:tcPr>
          <w:p w:rsidR="00BC303B" w:rsidRPr="00D336AE" w:rsidRDefault="00BC303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9</w:t>
            </w:r>
            <w:r w:rsidR="00BD6AE9" w:rsidRPr="00D336AE">
              <w:rPr>
                <w:rFonts w:ascii="Book Antiqua" w:eastAsia="MS PMincho" w:hAnsi="Book Antiqua"/>
                <w:sz w:val="24"/>
                <w:szCs w:val="24"/>
              </w:rPr>
              <w:t xml:space="preserve"> (26.5%)</w:t>
            </w:r>
          </w:p>
        </w:tc>
        <w:tc>
          <w:tcPr>
            <w:tcW w:w="1134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BC303B" w:rsidRPr="00D336AE" w:rsidRDefault="00BC303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0.</w:t>
            </w:r>
            <w:r w:rsidR="00750D00" w:rsidRPr="00D336AE">
              <w:rPr>
                <w:rFonts w:ascii="Book Antiqua" w:eastAsia="MS PMincho" w:hAnsi="Book Antiqua"/>
                <w:sz w:val="24"/>
                <w:szCs w:val="24"/>
              </w:rPr>
              <w:t>192</w:t>
            </w:r>
          </w:p>
        </w:tc>
      </w:tr>
      <w:tr w:rsidR="00BC303B" w:rsidRPr="00D336AE" w:rsidTr="00550564">
        <w:trPr>
          <w:trHeight w:val="454"/>
        </w:trPr>
        <w:tc>
          <w:tcPr>
            <w:tcW w:w="4252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BC303B" w:rsidRPr="00D336AE" w:rsidRDefault="00BC303B" w:rsidP="006611DD">
            <w:pPr>
              <w:spacing w:line="360" w:lineRule="auto"/>
              <w:ind w:firstLineChars="76" w:firstLine="182"/>
              <w:jc w:val="both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RBV</w:t>
            </w:r>
          </w:p>
        </w:tc>
        <w:tc>
          <w:tcPr>
            <w:tcW w:w="2154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</w:tcPr>
          <w:p w:rsidR="00BC303B" w:rsidRPr="00D336AE" w:rsidRDefault="00BC303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12</w:t>
            </w:r>
            <w:r w:rsidR="00BD6AE9" w:rsidRPr="00D336AE">
              <w:rPr>
                <w:rFonts w:ascii="Book Antiqua" w:eastAsia="MS PMincho" w:hAnsi="Book Antiqua"/>
                <w:sz w:val="24"/>
                <w:szCs w:val="24"/>
              </w:rPr>
              <w:t xml:space="preserve"> (15.4%)</w:t>
            </w:r>
          </w:p>
        </w:tc>
        <w:tc>
          <w:tcPr>
            <w:tcW w:w="2154" w:type="dxa"/>
            <w:vAlign w:val="center"/>
          </w:tcPr>
          <w:p w:rsidR="00BC303B" w:rsidRPr="00D336AE" w:rsidRDefault="00BC303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7</w:t>
            </w:r>
            <w:r w:rsidR="00BD6AE9" w:rsidRPr="00D336AE">
              <w:rPr>
                <w:rFonts w:ascii="Book Antiqua" w:eastAsia="MS PMincho" w:hAnsi="Book Antiqua"/>
                <w:sz w:val="24"/>
                <w:szCs w:val="24"/>
              </w:rPr>
              <w:t xml:space="preserve"> (20.6%)</w:t>
            </w:r>
          </w:p>
        </w:tc>
        <w:tc>
          <w:tcPr>
            <w:tcW w:w="1134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BC303B" w:rsidRPr="00D336AE" w:rsidRDefault="00BC303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0.</w:t>
            </w:r>
            <w:r w:rsidR="00750D00" w:rsidRPr="00D336AE">
              <w:rPr>
                <w:rFonts w:ascii="Book Antiqua" w:eastAsia="MS PMincho" w:hAnsi="Book Antiqua"/>
                <w:sz w:val="24"/>
                <w:szCs w:val="24"/>
              </w:rPr>
              <w:t>5</w:t>
            </w:r>
            <w:r w:rsidRPr="00D336AE">
              <w:rPr>
                <w:rFonts w:ascii="Book Antiqua" w:eastAsia="MS PMincho" w:hAnsi="Book Antiqua"/>
                <w:sz w:val="24"/>
                <w:szCs w:val="24"/>
              </w:rPr>
              <w:t>85</w:t>
            </w:r>
          </w:p>
        </w:tc>
      </w:tr>
      <w:tr w:rsidR="00BC303B" w:rsidRPr="004271AC" w:rsidTr="00550564">
        <w:trPr>
          <w:trHeight w:val="454"/>
        </w:trPr>
        <w:tc>
          <w:tcPr>
            <w:tcW w:w="4252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BC303B" w:rsidRPr="004271AC" w:rsidRDefault="00BC303B" w:rsidP="006611DD">
            <w:pPr>
              <w:spacing w:beforeLines="50" w:before="120" w:line="360" w:lineRule="auto"/>
              <w:jc w:val="both"/>
              <w:rPr>
                <w:rFonts w:ascii="Book Antiqua" w:eastAsia="MS PMincho" w:hAnsi="Book Antiqua"/>
                <w:sz w:val="24"/>
                <w:szCs w:val="24"/>
              </w:rPr>
            </w:pPr>
            <w:r w:rsidRPr="004271AC">
              <w:rPr>
                <w:rFonts w:ascii="Book Antiqua" w:eastAsia="MS PMincho" w:hAnsi="Book Antiqua"/>
                <w:sz w:val="24"/>
                <w:szCs w:val="24"/>
              </w:rPr>
              <w:t>Adherence, mean ± SD (%)</w:t>
            </w:r>
          </w:p>
        </w:tc>
        <w:tc>
          <w:tcPr>
            <w:tcW w:w="2154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</w:tcPr>
          <w:p w:rsidR="00BC303B" w:rsidRPr="004271AC" w:rsidRDefault="00BC303B" w:rsidP="006611DD">
            <w:pPr>
              <w:spacing w:beforeLines="50" w:before="120"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BC303B" w:rsidRPr="004271AC" w:rsidRDefault="00BC303B" w:rsidP="006611DD">
            <w:pPr>
              <w:spacing w:beforeLines="50" w:before="120"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BC303B" w:rsidRPr="004271AC" w:rsidRDefault="00BC303B" w:rsidP="006611DD">
            <w:pPr>
              <w:spacing w:beforeLines="50" w:before="120"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</w:p>
        </w:tc>
      </w:tr>
      <w:tr w:rsidR="00BC303B" w:rsidRPr="00D336AE" w:rsidTr="00550564">
        <w:trPr>
          <w:trHeight w:val="454"/>
        </w:trPr>
        <w:tc>
          <w:tcPr>
            <w:tcW w:w="4252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BC303B" w:rsidRPr="00D336AE" w:rsidRDefault="00BC303B" w:rsidP="006611DD">
            <w:pPr>
              <w:spacing w:line="360" w:lineRule="auto"/>
              <w:ind w:firstLineChars="76" w:firstLine="182"/>
              <w:jc w:val="both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PEG-IFN</w:t>
            </w:r>
          </w:p>
        </w:tc>
        <w:tc>
          <w:tcPr>
            <w:tcW w:w="2154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</w:tcPr>
          <w:p w:rsidR="00BC303B" w:rsidRPr="00D336AE" w:rsidRDefault="00BC303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88.2 ± 25.7</w:t>
            </w:r>
          </w:p>
        </w:tc>
        <w:tc>
          <w:tcPr>
            <w:tcW w:w="2154" w:type="dxa"/>
            <w:vAlign w:val="center"/>
          </w:tcPr>
          <w:p w:rsidR="00BC303B" w:rsidRPr="00D336AE" w:rsidRDefault="00BC303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90.1 ± 19.8</w:t>
            </w:r>
          </w:p>
        </w:tc>
        <w:tc>
          <w:tcPr>
            <w:tcW w:w="1134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BC303B" w:rsidRPr="00D336AE" w:rsidRDefault="00BC303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0.606</w:t>
            </w:r>
          </w:p>
        </w:tc>
      </w:tr>
      <w:tr w:rsidR="00BC303B" w:rsidRPr="00D336AE" w:rsidTr="00550564">
        <w:trPr>
          <w:trHeight w:val="454"/>
        </w:trPr>
        <w:tc>
          <w:tcPr>
            <w:tcW w:w="4252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BC303B" w:rsidRPr="00D336AE" w:rsidRDefault="00BC303B" w:rsidP="006611DD">
            <w:pPr>
              <w:spacing w:line="360" w:lineRule="auto"/>
              <w:ind w:firstLineChars="76" w:firstLine="182"/>
              <w:jc w:val="both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TVR</w:t>
            </w:r>
          </w:p>
        </w:tc>
        <w:tc>
          <w:tcPr>
            <w:tcW w:w="2154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</w:tcPr>
          <w:p w:rsidR="00BC303B" w:rsidRPr="00D336AE" w:rsidRDefault="00BC303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88.8 ± 22.8</w:t>
            </w:r>
          </w:p>
        </w:tc>
        <w:tc>
          <w:tcPr>
            <w:tcW w:w="2154" w:type="dxa"/>
            <w:vAlign w:val="center"/>
          </w:tcPr>
          <w:p w:rsidR="00BC303B" w:rsidRPr="00D336AE" w:rsidRDefault="00BC303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83.5 ± 25.5</w:t>
            </w:r>
          </w:p>
        </w:tc>
        <w:tc>
          <w:tcPr>
            <w:tcW w:w="1134" w:type="dxa"/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BC303B" w:rsidRPr="00D336AE" w:rsidRDefault="00BC303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0.103</w:t>
            </w:r>
          </w:p>
        </w:tc>
      </w:tr>
      <w:tr w:rsidR="00BC303B" w:rsidRPr="00D336AE" w:rsidTr="00550564">
        <w:trPr>
          <w:trHeight w:val="454"/>
        </w:trPr>
        <w:tc>
          <w:tcPr>
            <w:tcW w:w="4252" w:type="dxa"/>
            <w:tcBorders>
              <w:bottom w:val="single" w:sz="18" w:space="0" w:color="auto"/>
            </w:tcBorders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BC303B" w:rsidRPr="00D336AE" w:rsidRDefault="00BC303B" w:rsidP="006611DD">
            <w:pPr>
              <w:spacing w:line="360" w:lineRule="auto"/>
              <w:ind w:firstLineChars="76" w:firstLine="182"/>
              <w:jc w:val="both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RBV</w:t>
            </w:r>
          </w:p>
        </w:tc>
        <w:tc>
          <w:tcPr>
            <w:tcW w:w="2154" w:type="dxa"/>
            <w:tcBorders>
              <w:bottom w:val="single" w:sz="18" w:space="0" w:color="auto"/>
            </w:tcBorders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</w:tcPr>
          <w:p w:rsidR="00BC303B" w:rsidRPr="00D336AE" w:rsidRDefault="00BC303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79.3 ± 26.2</w:t>
            </w:r>
          </w:p>
        </w:tc>
        <w:tc>
          <w:tcPr>
            <w:tcW w:w="2154" w:type="dxa"/>
            <w:tcBorders>
              <w:bottom w:val="single" w:sz="18" w:space="0" w:color="auto"/>
            </w:tcBorders>
            <w:vAlign w:val="center"/>
          </w:tcPr>
          <w:p w:rsidR="00BC303B" w:rsidRPr="00D336AE" w:rsidRDefault="00BC303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sz w:val="24"/>
                <w:szCs w:val="24"/>
              </w:rPr>
              <w:t>62.7 ± 25.3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  <w:hideMark/>
          </w:tcPr>
          <w:p w:rsidR="00BC303B" w:rsidRPr="00D336AE" w:rsidRDefault="00BC303B" w:rsidP="006611DD">
            <w:pPr>
              <w:spacing w:line="360" w:lineRule="auto"/>
              <w:jc w:val="center"/>
              <w:rPr>
                <w:rFonts w:ascii="Book Antiqua" w:eastAsia="MS PMincho" w:hAnsi="Book Antiqua"/>
                <w:sz w:val="24"/>
                <w:szCs w:val="24"/>
              </w:rPr>
            </w:pPr>
            <w:r w:rsidRPr="00D336AE">
              <w:rPr>
                <w:rFonts w:ascii="Book Antiqua" w:eastAsia="MS PMincho" w:hAnsi="Book Antiqua"/>
                <w:b/>
                <w:sz w:val="24"/>
                <w:szCs w:val="24"/>
              </w:rPr>
              <w:t>&lt;</w:t>
            </w:r>
            <w:r w:rsidRPr="00D336AE">
              <w:rPr>
                <w:rFonts w:ascii="Book Antiqua" w:eastAsia="MS PMincho" w:hAnsi="Book Antiqua"/>
                <w:sz w:val="24"/>
                <w:szCs w:val="24"/>
              </w:rPr>
              <w:t>0.001</w:t>
            </w:r>
          </w:p>
        </w:tc>
      </w:tr>
      <w:tr w:rsidR="00B55E9F" w:rsidRPr="00D336AE" w:rsidTr="00897BAE">
        <w:trPr>
          <w:trHeight w:val="300"/>
        </w:trPr>
        <w:tc>
          <w:tcPr>
            <w:tcW w:w="9694" w:type="dxa"/>
            <w:gridSpan w:val="4"/>
            <w:tcBorders>
              <w:top w:val="single" w:sz="18" w:space="0" w:color="auto"/>
            </w:tcBorders>
            <w:shd w:val="clear" w:color="auto" w:fill="auto"/>
            <w:tcMar>
              <w:top w:w="54" w:type="dxa"/>
              <w:left w:w="100" w:type="dxa"/>
              <w:bottom w:w="54" w:type="dxa"/>
              <w:right w:w="100" w:type="dxa"/>
            </w:tcMar>
            <w:vAlign w:val="center"/>
          </w:tcPr>
          <w:p w:rsidR="00B55E9F" w:rsidRPr="00D336AE" w:rsidRDefault="00B55E9F" w:rsidP="006611DD">
            <w:pPr>
              <w:spacing w:beforeLines="50" w:before="120" w:line="360" w:lineRule="auto"/>
              <w:jc w:val="center"/>
              <w:rPr>
                <w:rFonts w:ascii="Book Antiqua" w:eastAsia="MS PMincho" w:hAnsi="Book Antiqua"/>
                <w:b/>
                <w:sz w:val="24"/>
                <w:szCs w:val="24"/>
              </w:rPr>
            </w:pPr>
          </w:p>
        </w:tc>
      </w:tr>
    </w:tbl>
    <w:p w:rsidR="00BC4F5C" w:rsidRPr="00D336AE" w:rsidRDefault="00BC4F5C" w:rsidP="006611DD">
      <w:pPr>
        <w:spacing w:line="360" w:lineRule="auto"/>
        <w:sectPr w:rsidR="00BC4F5C" w:rsidRPr="00D336AE" w:rsidSect="006611DD">
          <w:footerReference w:type="default" r:id="rId14"/>
          <w:pgSz w:w="11910" w:h="16840"/>
          <w:pgMar w:top="1418" w:right="1418" w:bottom="1985" w:left="1560" w:header="0" w:footer="1917" w:gutter="0"/>
          <w:cols w:space="720"/>
        </w:sectPr>
      </w:pPr>
    </w:p>
    <w:tbl>
      <w:tblPr>
        <w:tblW w:w="9923" w:type="dxa"/>
        <w:tblInd w:w="-42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52"/>
        <w:gridCol w:w="2211"/>
        <w:gridCol w:w="2211"/>
        <w:gridCol w:w="1135"/>
        <w:gridCol w:w="114"/>
      </w:tblGrid>
      <w:tr w:rsidR="00BC4F5C" w:rsidRPr="00D336AE" w:rsidTr="00BA61A8">
        <w:trPr>
          <w:trHeight w:val="397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BC4F5C" w:rsidP="000553E1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336AE">
              <w:rPr>
                <w:rFonts w:ascii="Book Antiqua" w:hAnsi="Book Antiqua"/>
                <w:b/>
                <w:sz w:val="24"/>
                <w:szCs w:val="24"/>
              </w:rPr>
              <w:lastRenderedPageBreak/>
              <w:t xml:space="preserve">Table </w:t>
            </w:r>
            <w:r w:rsidR="00504471" w:rsidRPr="00D336AE"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Pr="00D336AE">
              <w:rPr>
                <w:rFonts w:ascii="Book Antiqua" w:hAnsi="Book Antiqua"/>
                <w:b/>
                <w:sz w:val="24"/>
                <w:szCs w:val="24"/>
              </w:rPr>
              <w:t xml:space="preserve"> Treatment tolerability</w:t>
            </w:r>
            <w:r w:rsidR="00C91782" w:rsidRPr="00D336AE">
              <w:rPr>
                <w:rFonts w:ascii="Book Antiqua" w:hAnsi="Book Antiqua"/>
                <w:b/>
                <w:sz w:val="24"/>
                <w:szCs w:val="24"/>
              </w:rPr>
              <w:t xml:space="preserve"> (</w:t>
            </w:r>
            <w:proofErr w:type="spellStart"/>
            <w:r w:rsidR="000553E1" w:rsidRPr="000553E1">
              <w:rPr>
                <w:rFonts w:ascii="Book Antiqua" w:hAnsi="Book Antiqua"/>
                <w:b/>
                <w:sz w:val="24"/>
                <w:szCs w:val="24"/>
              </w:rPr>
              <w:t>simeprevir</w:t>
            </w:r>
            <w:proofErr w:type="spellEnd"/>
            <w:r w:rsidR="00C91782" w:rsidRPr="00D336AE">
              <w:rPr>
                <w:rFonts w:ascii="Book Antiqua" w:hAnsi="Book Antiqua"/>
                <w:b/>
                <w:sz w:val="24"/>
                <w:szCs w:val="24"/>
              </w:rPr>
              <w:t>)</w:t>
            </w:r>
          </w:p>
        </w:tc>
      </w:tr>
      <w:tr w:rsidR="004D3360" w:rsidRPr="00D336AE" w:rsidTr="00BA61A8">
        <w:trPr>
          <w:gridAfter w:val="1"/>
          <w:wAfter w:w="114" w:type="dxa"/>
          <w:trHeight w:val="567"/>
        </w:trPr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BC4F5C" w:rsidP="006611DD">
            <w:pPr>
              <w:spacing w:beforeLines="50" w:before="12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A87C12" w:rsidP="006611DD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b/>
                <w:bCs/>
                <w:sz w:val="24"/>
                <w:szCs w:val="24"/>
              </w:rPr>
              <w:t>Patients aged &lt;66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BC4F5C" w:rsidP="006611DD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Patients aged </w:t>
            </w:r>
            <w:r w:rsidR="00A87C12" w:rsidRPr="00D336AE">
              <w:rPr>
                <w:rFonts w:ascii="Book Antiqua" w:hAnsi="Book Antiqua"/>
                <w:b/>
                <w:bCs/>
                <w:sz w:val="24"/>
                <w:szCs w:val="24"/>
              </w:rPr>
              <w:t>≥</w:t>
            </w:r>
            <w:r w:rsidRPr="00D336AE">
              <w:rPr>
                <w:rFonts w:ascii="Book Antiqua" w:hAnsi="Book Antiqua"/>
                <w:b/>
                <w:bCs/>
                <w:sz w:val="24"/>
                <w:szCs w:val="24"/>
              </w:rPr>
              <w:t>6</w:t>
            </w:r>
            <w:r w:rsidR="00A87C12" w:rsidRPr="00D336AE">
              <w:rPr>
                <w:rFonts w:ascii="Book Antiqua" w:hAnsi="Book Antiqu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8A2B60" w:rsidP="006611DD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P</w:t>
            </w:r>
            <w:r w:rsidR="00BC4F5C" w:rsidRPr="00D336AE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C4F5C" w:rsidRPr="00D336AE">
              <w:rPr>
                <w:rFonts w:ascii="Book Antiqua" w:hAnsi="Book Antiqua"/>
                <w:b/>
                <w:bCs/>
                <w:sz w:val="24"/>
                <w:szCs w:val="24"/>
              </w:rPr>
              <w:t>value</w:t>
            </w:r>
          </w:p>
        </w:tc>
      </w:tr>
      <w:tr w:rsidR="004D3360" w:rsidRPr="00BA61A8" w:rsidTr="00BA61A8">
        <w:trPr>
          <w:gridAfter w:val="1"/>
          <w:wAfter w:w="114" w:type="dxa"/>
          <w:trHeight w:val="454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BA61A8" w:rsidRDefault="00BC4F5C" w:rsidP="006611DD">
            <w:pPr>
              <w:spacing w:beforeLines="50" w:before="12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A61A8">
              <w:rPr>
                <w:rFonts w:ascii="Book Antiqua" w:hAnsi="Book Antiqua"/>
                <w:sz w:val="24"/>
                <w:szCs w:val="24"/>
              </w:rPr>
              <w:t>Initial doses</w:t>
            </w:r>
            <w:r w:rsidR="00BC303B" w:rsidRPr="00BA61A8">
              <w:rPr>
                <w:rFonts w:ascii="Book Antiqua" w:hAnsi="Book Antiqua"/>
                <w:bCs/>
                <w:sz w:val="24"/>
                <w:szCs w:val="24"/>
              </w:rPr>
              <w:t xml:space="preserve"> (Median, range)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BA61A8" w:rsidRDefault="00BC4F5C" w:rsidP="006611DD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BA61A8" w:rsidRDefault="00BC4F5C" w:rsidP="006611DD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BA61A8" w:rsidRDefault="00BC4F5C" w:rsidP="006611DD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D3360" w:rsidRPr="00D336AE" w:rsidTr="00897BAE">
        <w:trPr>
          <w:gridAfter w:val="1"/>
          <w:wAfter w:w="114" w:type="dxa"/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BC4F5C" w:rsidP="006611DD">
            <w:pPr>
              <w:spacing w:line="360" w:lineRule="auto"/>
              <w:ind w:firstLineChars="62" w:firstLine="149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PEG-IFN</w:t>
            </w:r>
            <w:r w:rsidRPr="00D336AE">
              <w:rPr>
                <w:rFonts w:ascii="Book Antiqua" w:hAnsi="Book Antiqua"/>
                <w:sz w:val="24"/>
                <w:szCs w:val="24"/>
                <w:lang w:val="el-GR"/>
              </w:rPr>
              <w:t>α</w:t>
            </w:r>
            <w:r w:rsidRPr="00D336AE">
              <w:rPr>
                <w:rFonts w:ascii="Book Antiqua" w:hAnsi="Book Antiqua"/>
                <w:sz w:val="24"/>
                <w:szCs w:val="24"/>
              </w:rPr>
              <w:t>2a (180/90) (</w:t>
            </w:r>
            <w:r w:rsidRPr="00D336AE">
              <w:rPr>
                <w:rFonts w:ascii="Book Antiqua" w:hAnsi="Book Antiqua"/>
                <w:sz w:val="24"/>
                <w:szCs w:val="24"/>
                <w:lang w:val="el-GR"/>
              </w:rPr>
              <w:t>μ</w:t>
            </w:r>
            <w:r w:rsidRPr="00D336AE">
              <w:rPr>
                <w:rFonts w:ascii="Book Antiqua" w:hAnsi="Book Antiqua"/>
                <w:sz w:val="24"/>
                <w:szCs w:val="24"/>
              </w:rPr>
              <w:t>g/</w:t>
            </w:r>
            <w:proofErr w:type="spellStart"/>
            <w:r w:rsidRPr="00D336AE">
              <w:rPr>
                <w:rFonts w:ascii="Book Antiqua" w:hAnsi="Book Antiqua"/>
                <w:sz w:val="24"/>
                <w:szCs w:val="24"/>
              </w:rPr>
              <w:t>w</w:t>
            </w:r>
            <w:r w:rsidR="00A87C12" w:rsidRPr="00D336AE">
              <w:rPr>
                <w:rFonts w:ascii="Book Antiqua" w:hAnsi="Book Antiqua"/>
                <w:sz w:val="24"/>
                <w:szCs w:val="24"/>
              </w:rPr>
              <w:t>k</w:t>
            </w:r>
            <w:proofErr w:type="spellEnd"/>
            <w:r w:rsidRPr="00D336AE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A87C12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19</w:t>
            </w:r>
            <w:r w:rsidR="00052317">
              <w:rPr>
                <w:rFonts w:ascii="Book Antiqua" w:hAnsi="Book Antiqua"/>
                <w:sz w:val="24"/>
                <w:szCs w:val="24"/>
              </w:rPr>
              <w:t>/</w:t>
            </w:r>
            <w:r w:rsidR="00BC4F5C" w:rsidRPr="00D336AE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A87C12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10</w:t>
            </w:r>
            <w:r w:rsidR="00052317">
              <w:rPr>
                <w:rFonts w:ascii="Book Antiqua" w:hAnsi="Book Antiqua"/>
                <w:sz w:val="24"/>
                <w:szCs w:val="24"/>
              </w:rPr>
              <w:t>/</w:t>
            </w:r>
            <w:r w:rsidR="00BC4F5C" w:rsidRPr="00D336AE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BC4F5C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0.366</w:t>
            </w:r>
          </w:p>
        </w:tc>
      </w:tr>
      <w:tr w:rsidR="004D3360" w:rsidRPr="00D336AE" w:rsidTr="00897BAE">
        <w:trPr>
          <w:gridAfter w:val="1"/>
          <w:wAfter w:w="114" w:type="dxa"/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A87C12" w:rsidRPr="00D336AE" w:rsidRDefault="00BC4F5C" w:rsidP="006611DD">
            <w:pPr>
              <w:spacing w:line="360" w:lineRule="auto"/>
              <w:ind w:firstLineChars="62" w:firstLine="149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PEG-IFN</w:t>
            </w:r>
            <w:r w:rsidRPr="00D336AE">
              <w:rPr>
                <w:rFonts w:ascii="Book Antiqua" w:hAnsi="Book Antiqua"/>
                <w:sz w:val="24"/>
                <w:szCs w:val="24"/>
                <w:lang w:val="el-GR"/>
              </w:rPr>
              <w:t>α</w:t>
            </w:r>
            <w:r w:rsidRPr="00D336AE">
              <w:rPr>
                <w:rFonts w:ascii="Book Antiqua" w:hAnsi="Book Antiqua"/>
                <w:sz w:val="24"/>
                <w:szCs w:val="24"/>
              </w:rPr>
              <w:t>2b (120/100/80/others)</w:t>
            </w:r>
          </w:p>
          <w:p w:rsidR="00BC4F5C" w:rsidRPr="00D336AE" w:rsidRDefault="00A87C12" w:rsidP="006611DD">
            <w:pPr>
              <w:spacing w:line="360" w:lineRule="auto"/>
              <w:ind w:firstLineChars="62" w:firstLine="149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(</w:t>
            </w:r>
            <w:r w:rsidRPr="00D336AE">
              <w:rPr>
                <w:rFonts w:ascii="Book Antiqua" w:hAnsi="Book Antiqua"/>
                <w:sz w:val="24"/>
                <w:szCs w:val="24"/>
                <w:lang w:val="el-GR"/>
              </w:rPr>
              <w:t>μ</w:t>
            </w:r>
            <w:r w:rsidR="00BA61A8">
              <w:rPr>
                <w:rFonts w:ascii="Book Antiqua" w:hAnsi="Book Antiqua"/>
                <w:sz w:val="24"/>
                <w:szCs w:val="24"/>
              </w:rPr>
              <w:t>g/</w:t>
            </w:r>
            <w:proofErr w:type="spellStart"/>
            <w:r w:rsidR="00BA61A8">
              <w:rPr>
                <w:rFonts w:ascii="Book Antiqua" w:hAnsi="Book Antiqua"/>
                <w:sz w:val="24"/>
                <w:szCs w:val="24"/>
              </w:rPr>
              <w:t>w</w:t>
            </w:r>
            <w:r w:rsidRPr="00D336AE">
              <w:rPr>
                <w:rFonts w:ascii="Book Antiqua" w:hAnsi="Book Antiqua"/>
                <w:sz w:val="24"/>
                <w:szCs w:val="24"/>
              </w:rPr>
              <w:t>k</w:t>
            </w:r>
            <w:proofErr w:type="spellEnd"/>
            <w:r w:rsidRPr="00D336AE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A87C12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2</w:t>
            </w:r>
            <w:r w:rsidR="00052317">
              <w:rPr>
                <w:rFonts w:ascii="Book Antiqua" w:hAnsi="Book Antiqua"/>
                <w:sz w:val="24"/>
                <w:szCs w:val="24"/>
              </w:rPr>
              <w:t>/</w:t>
            </w:r>
            <w:r w:rsidRPr="00D336AE">
              <w:rPr>
                <w:rFonts w:ascii="Book Antiqua" w:hAnsi="Book Antiqua"/>
                <w:sz w:val="24"/>
                <w:szCs w:val="24"/>
              </w:rPr>
              <w:t>16</w:t>
            </w:r>
            <w:r w:rsidR="00052317">
              <w:rPr>
                <w:rFonts w:ascii="Book Antiqua" w:hAnsi="Book Antiqua"/>
                <w:sz w:val="24"/>
                <w:szCs w:val="24"/>
              </w:rPr>
              <w:t>/</w:t>
            </w:r>
            <w:r w:rsidR="00BC4F5C" w:rsidRPr="00D336AE">
              <w:rPr>
                <w:rFonts w:ascii="Book Antiqua" w:hAnsi="Book Antiqua"/>
                <w:sz w:val="24"/>
                <w:szCs w:val="24"/>
              </w:rPr>
              <w:t>5</w:t>
            </w:r>
            <w:r w:rsidR="00052317">
              <w:rPr>
                <w:rFonts w:ascii="Book Antiqua" w:hAnsi="Book Antiqua"/>
                <w:sz w:val="24"/>
                <w:szCs w:val="24"/>
              </w:rPr>
              <w:t>/</w:t>
            </w:r>
            <w:r w:rsidR="00BC4F5C" w:rsidRPr="00D336AE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A87C12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</w:t>
            </w:r>
            <w:r w:rsidR="00052317">
              <w:rPr>
                <w:rFonts w:ascii="Book Antiqua" w:hAnsi="Book Antiqua"/>
                <w:sz w:val="24"/>
                <w:szCs w:val="24"/>
              </w:rPr>
              <w:t>/</w:t>
            </w:r>
            <w:r w:rsidRPr="00D336AE">
              <w:rPr>
                <w:rFonts w:ascii="Book Antiqua" w:hAnsi="Book Antiqua"/>
                <w:sz w:val="24"/>
                <w:szCs w:val="24"/>
              </w:rPr>
              <w:t>25</w:t>
            </w:r>
            <w:r w:rsidR="00052317">
              <w:rPr>
                <w:rFonts w:ascii="Book Antiqua" w:hAnsi="Book Antiqua"/>
                <w:sz w:val="24"/>
                <w:szCs w:val="24"/>
              </w:rPr>
              <w:t>/</w:t>
            </w:r>
            <w:r w:rsidR="00BC4F5C" w:rsidRPr="00D336AE">
              <w:rPr>
                <w:rFonts w:ascii="Book Antiqua" w:hAnsi="Book Antiqua"/>
                <w:sz w:val="24"/>
                <w:szCs w:val="24"/>
              </w:rPr>
              <w:t>5</w:t>
            </w:r>
            <w:r w:rsidR="00052317">
              <w:rPr>
                <w:rFonts w:ascii="Book Antiqua" w:hAnsi="Book Antiqua"/>
                <w:sz w:val="24"/>
                <w:szCs w:val="24"/>
              </w:rPr>
              <w:t>/</w:t>
            </w:r>
            <w:r w:rsidR="00BC4F5C" w:rsidRPr="00D336AE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BC4F5C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0.422</w:t>
            </w:r>
          </w:p>
        </w:tc>
      </w:tr>
      <w:tr w:rsidR="004D3360" w:rsidRPr="00D336AE" w:rsidTr="00897BAE">
        <w:trPr>
          <w:gridAfter w:val="1"/>
          <w:wAfter w:w="114" w:type="dxa"/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BC4F5C" w:rsidP="00BA61A8">
            <w:pPr>
              <w:spacing w:line="360" w:lineRule="auto"/>
              <w:ind w:firstLineChars="62" w:firstLine="149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bCs/>
                <w:sz w:val="24"/>
                <w:szCs w:val="24"/>
              </w:rPr>
              <w:t>SMV</w:t>
            </w:r>
            <w:r w:rsidR="00052317">
              <w:rPr>
                <w:rFonts w:ascii="Book Antiqua" w:hAnsi="Book Antiqua"/>
                <w:bCs/>
                <w:sz w:val="24"/>
                <w:szCs w:val="24"/>
              </w:rPr>
              <w:t>/</w:t>
            </w:r>
            <w:r w:rsidRPr="00D336AE">
              <w:rPr>
                <w:rFonts w:ascii="Book Antiqua" w:hAnsi="Book Antiqua"/>
                <w:bCs/>
                <w:sz w:val="24"/>
                <w:szCs w:val="24"/>
              </w:rPr>
              <w:t xml:space="preserve">BW </w:t>
            </w:r>
            <w:r w:rsidRPr="00D336AE">
              <w:rPr>
                <w:rFonts w:ascii="Book Antiqua" w:hAnsi="Book Antiqua"/>
                <w:sz w:val="24"/>
                <w:szCs w:val="24"/>
              </w:rPr>
              <w:t>(mg/kg/d)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BC4F5C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eastAsia="ja-JP"/>
              </w:rPr>
            </w:pPr>
            <w:r w:rsidRPr="00D336AE">
              <w:rPr>
                <w:rFonts w:ascii="Book Antiqua" w:hAnsi="Book Antiqua"/>
                <w:bCs/>
                <w:sz w:val="24"/>
                <w:szCs w:val="24"/>
              </w:rPr>
              <w:t>1.6</w:t>
            </w:r>
            <w:r w:rsidRPr="00D336AE">
              <w:rPr>
                <w:rFonts w:ascii="Book Antiqua" w:hAnsi="Book Antiqua"/>
                <w:sz w:val="24"/>
                <w:szCs w:val="24"/>
              </w:rPr>
              <w:t xml:space="preserve"> (1.1-2.5</w:t>
            </w:r>
            <w:r w:rsidR="00BC303B" w:rsidRPr="00D336AE">
              <w:rPr>
                <w:rFonts w:ascii="Book Antiqua" w:hAnsi="Book Antiqua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BC4F5C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eastAsia="ja-JP"/>
              </w:rPr>
            </w:pPr>
            <w:r w:rsidRPr="00D336AE">
              <w:rPr>
                <w:rFonts w:ascii="Book Antiqua" w:hAnsi="Book Antiqua"/>
                <w:bCs/>
                <w:sz w:val="24"/>
                <w:szCs w:val="24"/>
              </w:rPr>
              <w:t>1.8</w:t>
            </w:r>
            <w:r w:rsidRPr="00D336AE">
              <w:rPr>
                <w:rFonts w:ascii="Book Antiqua" w:hAnsi="Book Antiqua"/>
                <w:sz w:val="24"/>
                <w:szCs w:val="24"/>
              </w:rPr>
              <w:t xml:space="preserve"> (1.3-2.7</w:t>
            </w:r>
            <w:r w:rsidR="00BC303B" w:rsidRPr="00D336AE">
              <w:rPr>
                <w:rFonts w:ascii="Book Antiqua" w:hAnsi="Book Antiqua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BC4F5C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bCs/>
                <w:sz w:val="24"/>
                <w:szCs w:val="24"/>
              </w:rPr>
              <w:t>0.011</w:t>
            </w:r>
          </w:p>
        </w:tc>
      </w:tr>
      <w:tr w:rsidR="004D3360" w:rsidRPr="00D336AE" w:rsidTr="00897BAE">
        <w:trPr>
          <w:gridAfter w:val="1"/>
          <w:wAfter w:w="114" w:type="dxa"/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BC4F5C" w:rsidP="00BA61A8">
            <w:pPr>
              <w:spacing w:line="360" w:lineRule="auto"/>
              <w:ind w:firstLineChars="62" w:firstLine="149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RBV</w:t>
            </w:r>
            <w:r w:rsidR="00052317">
              <w:rPr>
                <w:rFonts w:ascii="Book Antiqua" w:hAnsi="Book Antiqua"/>
                <w:sz w:val="24"/>
                <w:szCs w:val="24"/>
              </w:rPr>
              <w:t>/</w:t>
            </w:r>
            <w:r w:rsidRPr="00D336AE">
              <w:rPr>
                <w:rFonts w:ascii="Book Antiqua" w:hAnsi="Book Antiqua"/>
                <w:sz w:val="24"/>
                <w:szCs w:val="24"/>
              </w:rPr>
              <w:t>BW (mg/kg/d)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BC4F5C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eastAsia="ja-JP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11.6 (6.8-17.1</w:t>
            </w:r>
            <w:r w:rsidR="00BC303B" w:rsidRPr="00D336AE">
              <w:rPr>
                <w:rFonts w:ascii="Book Antiqua" w:hAnsi="Book Antiqua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BC4F5C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eastAsia="ja-JP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12.3 (6.0-20.6</w:t>
            </w:r>
            <w:r w:rsidR="00BC303B" w:rsidRPr="00D336AE">
              <w:rPr>
                <w:rFonts w:ascii="Book Antiqua" w:hAnsi="Book Antiqua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BC4F5C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0.166</w:t>
            </w:r>
          </w:p>
        </w:tc>
      </w:tr>
      <w:tr w:rsidR="00897BAE" w:rsidRPr="00BA61A8" w:rsidTr="00897BAE">
        <w:trPr>
          <w:gridAfter w:val="1"/>
          <w:wAfter w:w="114" w:type="dxa"/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897BAE" w:rsidRPr="00BA61A8" w:rsidRDefault="00897BAE" w:rsidP="006611DD">
            <w:pPr>
              <w:spacing w:beforeLines="50" w:before="12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A61A8">
              <w:rPr>
                <w:rFonts w:ascii="Book Antiqua" w:hAnsi="Book Antiqua"/>
                <w:sz w:val="24"/>
                <w:szCs w:val="24"/>
              </w:rPr>
              <w:t xml:space="preserve">Dose reduction, </w:t>
            </w:r>
            <w:r w:rsidRPr="00BA61A8">
              <w:rPr>
                <w:rFonts w:ascii="Book Antiqua" w:hAnsi="Book Antiqua"/>
                <w:i/>
                <w:sz w:val="24"/>
                <w:szCs w:val="24"/>
              </w:rPr>
              <w:t>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897BAE" w:rsidRPr="00BA61A8" w:rsidRDefault="00897BAE" w:rsidP="006611DD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897BAE" w:rsidRPr="00BA61A8" w:rsidRDefault="00897BAE" w:rsidP="006611DD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897BAE" w:rsidRPr="00BA61A8" w:rsidRDefault="00897BAE" w:rsidP="006611DD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97BAE" w:rsidRPr="00D336AE" w:rsidTr="00897BAE">
        <w:trPr>
          <w:gridAfter w:val="1"/>
          <w:wAfter w:w="114" w:type="dxa"/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897BAE" w:rsidRPr="00D336AE" w:rsidRDefault="00897BAE" w:rsidP="006611DD">
            <w:pPr>
              <w:spacing w:line="360" w:lineRule="auto"/>
              <w:ind w:firstLineChars="62" w:firstLine="149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PEG-IFN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897BAE" w:rsidRPr="00D336AE" w:rsidRDefault="00576029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5 (13.5%)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897BAE" w:rsidRPr="00D336AE" w:rsidRDefault="00576029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6 (15.3%)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897BAE" w:rsidRPr="00D336AE" w:rsidRDefault="00897BAE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897BAE" w:rsidRPr="00D336AE" w:rsidTr="00897BAE">
        <w:trPr>
          <w:gridAfter w:val="1"/>
          <w:wAfter w:w="114" w:type="dxa"/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897BAE" w:rsidRPr="00D336AE" w:rsidRDefault="00897BAE" w:rsidP="006611DD">
            <w:pPr>
              <w:spacing w:line="360" w:lineRule="auto"/>
              <w:ind w:firstLineChars="62" w:firstLine="149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SMV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897BAE" w:rsidRPr="00D336AE" w:rsidRDefault="005D5692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897BAE" w:rsidRPr="00D336AE" w:rsidRDefault="005D5692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897BAE" w:rsidRPr="00D336AE" w:rsidRDefault="00897BAE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897BAE" w:rsidRPr="00D336AE" w:rsidTr="00897BAE">
        <w:trPr>
          <w:gridAfter w:val="1"/>
          <w:wAfter w:w="114" w:type="dxa"/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897BAE" w:rsidRPr="00D336AE" w:rsidRDefault="00897BAE" w:rsidP="006611DD">
            <w:pPr>
              <w:spacing w:line="360" w:lineRule="auto"/>
              <w:ind w:firstLineChars="62" w:firstLine="149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RBV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897BAE" w:rsidRPr="00D336AE" w:rsidRDefault="00576029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3 (8.1%)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897BAE" w:rsidRPr="00D336AE" w:rsidRDefault="00576029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6 (15.3% 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897BAE" w:rsidRPr="00D336AE" w:rsidRDefault="00B413D5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0.481</w:t>
            </w:r>
          </w:p>
        </w:tc>
      </w:tr>
      <w:tr w:rsidR="004D3360" w:rsidRPr="00BA61A8" w:rsidTr="00897BAE">
        <w:trPr>
          <w:gridAfter w:val="1"/>
          <w:wAfter w:w="114" w:type="dxa"/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BA61A8" w:rsidRDefault="00BC4F5C" w:rsidP="006611DD">
            <w:pPr>
              <w:spacing w:beforeLines="50" w:before="12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A61A8">
              <w:rPr>
                <w:rFonts w:ascii="Book Antiqua" w:hAnsi="Book Antiqua"/>
                <w:sz w:val="24"/>
                <w:szCs w:val="24"/>
              </w:rPr>
              <w:t xml:space="preserve">Discontinuation, </w:t>
            </w:r>
            <w:r w:rsidRPr="00BA61A8">
              <w:rPr>
                <w:rFonts w:ascii="Book Antiqua" w:hAnsi="Book Antiqua"/>
                <w:i/>
                <w:sz w:val="24"/>
                <w:szCs w:val="24"/>
              </w:rPr>
              <w:t>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BA61A8" w:rsidRDefault="00BC4F5C" w:rsidP="006611DD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BA61A8" w:rsidRDefault="00BC4F5C" w:rsidP="006611DD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BA61A8" w:rsidRDefault="00BC4F5C" w:rsidP="006611DD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D3360" w:rsidRPr="00D336AE" w:rsidTr="00897BAE">
        <w:trPr>
          <w:gridAfter w:val="1"/>
          <w:wAfter w:w="114" w:type="dxa"/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BC4F5C" w:rsidP="006611DD">
            <w:pPr>
              <w:spacing w:line="360" w:lineRule="auto"/>
              <w:ind w:firstLineChars="62" w:firstLine="149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PEG-IFN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A87C12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5</w:t>
            </w:r>
            <w:r w:rsidR="00576029" w:rsidRPr="00D336AE">
              <w:rPr>
                <w:rFonts w:ascii="Book Antiqua" w:hAnsi="Book Antiqua"/>
                <w:sz w:val="24"/>
                <w:szCs w:val="24"/>
              </w:rPr>
              <w:t xml:space="preserve"> (13.5%)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A87C12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5</w:t>
            </w:r>
            <w:r w:rsidR="00576029" w:rsidRPr="00D336AE">
              <w:rPr>
                <w:rFonts w:ascii="Book Antiqua" w:hAnsi="Book Antiqua"/>
                <w:sz w:val="24"/>
                <w:szCs w:val="24"/>
              </w:rPr>
              <w:t xml:space="preserve"> (12.8%)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BC4F5C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4D3360" w:rsidRPr="00D336AE" w:rsidTr="00897BAE">
        <w:trPr>
          <w:gridAfter w:val="1"/>
          <w:wAfter w:w="114" w:type="dxa"/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BC4F5C" w:rsidP="006611DD">
            <w:pPr>
              <w:spacing w:line="360" w:lineRule="auto"/>
              <w:ind w:firstLineChars="62" w:firstLine="149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SMV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5D5692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2 (5.4%)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5D5692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2 (5.1%)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BC4F5C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4D3360" w:rsidRPr="00D336AE" w:rsidTr="00897BAE">
        <w:trPr>
          <w:gridAfter w:val="1"/>
          <w:wAfter w:w="114" w:type="dxa"/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BC4F5C" w:rsidP="006611DD">
            <w:pPr>
              <w:spacing w:line="360" w:lineRule="auto"/>
              <w:ind w:firstLineChars="62" w:firstLine="149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RBV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A87C12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11</w:t>
            </w:r>
            <w:r w:rsidR="00576029" w:rsidRPr="00D336AE">
              <w:rPr>
                <w:rFonts w:ascii="Book Antiqua" w:hAnsi="Book Antiqua"/>
                <w:sz w:val="24"/>
                <w:szCs w:val="24"/>
              </w:rPr>
              <w:t xml:space="preserve"> (29.7%)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A87C12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23</w:t>
            </w:r>
            <w:r w:rsidR="00576029" w:rsidRPr="00D336AE">
              <w:rPr>
                <w:rFonts w:ascii="Book Antiqua" w:hAnsi="Book Antiqua"/>
                <w:sz w:val="24"/>
                <w:szCs w:val="24"/>
              </w:rPr>
              <w:t xml:space="preserve"> (58.9%)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B413D5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0.012</w:t>
            </w:r>
          </w:p>
        </w:tc>
      </w:tr>
      <w:tr w:rsidR="004D3360" w:rsidRPr="00BA61A8" w:rsidTr="00897BAE">
        <w:trPr>
          <w:gridAfter w:val="1"/>
          <w:wAfter w:w="114" w:type="dxa"/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BA61A8" w:rsidRDefault="00BC4F5C" w:rsidP="006611DD">
            <w:pPr>
              <w:spacing w:beforeLines="50" w:before="12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A61A8">
              <w:rPr>
                <w:rFonts w:ascii="Book Antiqua" w:hAnsi="Book Antiqua"/>
                <w:sz w:val="24"/>
                <w:szCs w:val="24"/>
              </w:rPr>
              <w:t>Adherence, mean ± SD (%)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BA61A8" w:rsidRDefault="00BC4F5C" w:rsidP="006611DD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BA61A8" w:rsidRDefault="00BC4F5C" w:rsidP="006611DD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BA61A8" w:rsidRDefault="00BC4F5C" w:rsidP="006611DD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D3360" w:rsidRPr="00D336AE" w:rsidTr="00897BAE">
        <w:trPr>
          <w:gridAfter w:val="1"/>
          <w:wAfter w:w="114" w:type="dxa"/>
          <w:trHeight w:val="4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BC4F5C" w:rsidP="006611DD">
            <w:pPr>
              <w:spacing w:line="360" w:lineRule="auto"/>
              <w:ind w:firstLineChars="62" w:firstLine="149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PEG-IFN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BC4F5C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93.6 ± 16.8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BC4F5C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92.3 ± 19.5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BC4F5C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0.592</w:t>
            </w:r>
          </w:p>
        </w:tc>
      </w:tr>
      <w:tr w:rsidR="004D3360" w:rsidRPr="00D336AE" w:rsidTr="00897BAE">
        <w:trPr>
          <w:gridAfter w:val="1"/>
          <w:wAfter w:w="114" w:type="dxa"/>
          <w:trHeight w:val="454"/>
        </w:trPr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BC4F5C" w:rsidP="006611DD">
            <w:pPr>
              <w:spacing w:line="360" w:lineRule="auto"/>
              <w:ind w:firstLineChars="62" w:firstLine="149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SMV</w:t>
            </w: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BC4F5C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98.1 ± 7.2</w:t>
            </w: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BC4F5C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93.9 ± 18.1</w:t>
            </w: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BC4F5C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0.079</w:t>
            </w:r>
          </w:p>
        </w:tc>
      </w:tr>
      <w:tr w:rsidR="004D3360" w:rsidRPr="00D336AE" w:rsidTr="00897BAE">
        <w:trPr>
          <w:gridAfter w:val="1"/>
          <w:wAfter w:w="114" w:type="dxa"/>
          <w:trHeight w:val="454"/>
        </w:trPr>
        <w:tc>
          <w:tcPr>
            <w:tcW w:w="425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BC4F5C" w:rsidP="006611DD">
            <w:pPr>
              <w:spacing w:line="360" w:lineRule="auto"/>
              <w:ind w:firstLineChars="62" w:firstLine="149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RBV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BC4F5C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91.0 ± 16.1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BC4F5C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86.8 ± 20.2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BC4F5C" w:rsidRPr="00D336AE" w:rsidRDefault="00BC4F5C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0.126</w:t>
            </w:r>
          </w:p>
        </w:tc>
      </w:tr>
      <w:tr w:rsidR="001307BC" w:rsidRPr="00D336AE" w:rsidTr="00897BAE">
        <w:trPr>
          <w:gridAfter w:val="1"/>
          <w:wAfter w:w="114" w:type="dxa"/>
          <w:trHeight w:val="205"/>
        </w:trPr>
        <w:tc>
          <w:tcPr>
            <w:tcW w:w="9809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vAlign w:val="center"/>
          </w:tcPr>
          <w:p w:rsidR="001307BC" w:rsidRPr="00D336AE" w:rsidRDefault="001307BC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BF0BA6" w:rsidRPr="00D336AE" w:rsidRDefault="00BF0BA6" w:rsidP="006611DD">
      <w:pPr>
        <w:spacing w:line="360" w:lineRule="auto"/>
      </w:pPr>
      <w:r w:rsidRPr="00D336AE">
        <w:br w:type="page"/>
      </w:r>
    </w:p>
    <w:tbl>
      <w:tblPr>
        <w:tblW w:w="10787" w:type="dxa"/>
        <w:tblInd w:w="-70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68"/>
        <w:gridCol w:w="2354"/>
        <w:gridCol w:w="1141"/>
        <w:gridCol w:w="268"/>
        <w:gridCol w:w="40"/>
        <w:gridCol w:w="2669"/>
        <w:gridCol w:w="1006"/>
        <w:gridCol w:w="94"/>
        <w:gridCol w:w="7"/>
        <w:gridCol w:w="40"/>
      </w:tblGrid>
      <w:tr w:rsidR="00BF0BA6" w:rsidRPr="00D336AE" w:rsidTr="00570D16">
        <w:trPr>
          <w:gridAfter w:val="3"/>
          <w:wAfter w:w="141" w:type="dxa"/>
          <w:trHeight w:val="340"/>
        </w:trPr>
        <w:tc>
          <w:tcPr>
            <w:tcW w:w="10646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052317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D336AE">
              <w:rPr>
                <w:rFonts w:ascii="Book Antiqua" w:hAnsi="Book Antiqua"/>
                <w:b/>
                <w:sz w:val="24"/>
                <w:szCs w:val="24"/>
              </w:rPr>
              <w:lastRenderedPageBreak/>
              <w:t xml:space="preserve">Table </w:t>
            </w:r>
            <w:r w:rsidRPr="00D336AE">
              <w:rPr>
                <w:rFonts w:ascii="Book Antiqua" w:hAnsi="Book Antiqua"/>
                <w:b/>
                <w:sz w:val="24"/>
                <w:szCs w:val="24"/>
                <w:lang w:eastAsia="ja-JP"/>
              </w:rPr>
              <w:t>5</w:t>
            </w:r>
            <w:r w:rsidRPr="00D336AE">
              <w:rPr>
                <w:rFonts w:ascii="Book Antiqua" w:hAnsi="Book Antiqua"/>
                <w:b/>
                <w:sz w:val="24"/>
                <w:szCs w:val="24"/>
              </w:rPr>
              <w:t xml:space="preserve"> Univariate and multivariate analysis of factors contributing to SVR24 (</w:t>
            </w:r>
            <w:proofErr w:type="spellStart"/>
            <w:r w:rsidR="00052317" w:rsidRPr="00BA61A8">
              <w:rPr>
                <w:rFonts w:ascii="Book Antiqua" w:hAnsi="Book Antiqua"/>
                <w:b/>
                <w:sz w:val="24"/>
                <w:szCs w:val="24"/>
              </w:rPr>
              <w:t>telaprevir</w:t>
            </w:r>
            <w:proofErr w:type="spellEnd"/>
            <w:r w:rsidRPr="00D336AE">
              <w:rPr>
                <w:rFonts w:ascii="Book Antiqua" w:hAnsi="Book Antiqua"/>
                <w:b/>
                <w:sz w:val="24"/>
                <w:szCs w:val="24"/>
              </w:rPr>
              <w:t>)</w:t>
            </w:r>
          </w:p>
        </w:tc>
      </w:tr>
      <w:tr w:rsidR="00490DE3" w:rsidRPr="00D336AE" w:rsidTr="00570D16">
        <w:trPr>
          <w:gridAfter w:val="2"/>
          <w:wAfter w:w="47" w:type="dxa"/>
          <w:trHeight w:val="397"/>
        </w:trPr>
        <w:tc>
          <w:tcPr>
            <w:tcW w:w="3168" w:type="dxa"/>
            <w:vMerge w:val="restart"/>
            <w:tcBorders>
              <w:top w:val="single" w:sz="18" w:space="0" w:color="auto"/>
              <w:left w:val="nil"/>
              <w:bottom w:val="single" w:sz="8" w:space="0" w:color="D96B77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D336AE">
              <w:rPr>
                <w:rFonts w:ascii="Book Antiqua" w:hAnsi="Book Antiqua"/>
                <w:b/>
                <w:bCs/>
                <w:sz w:val="24"/>
                <w:szCs w:val="24"/>
              </w:rPr>
              <w:t>Factors</w:t>
            </w:r>
          </w:p>
        </w:tc>
        <w:tc>
          <w:tcPr>
            <w:tcW w:w="3495" w:type="dxa"/>
            <w:gridSpan w:val="2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336AE">
              <w:rPr>
                <w:rFonts w:ascii="Book Antiqua" w:hAnsi="Book Antiqua"/>
                <w:b/>
                <w:bCs/>
                <w:sz w:val="24"/>
                <w:szCs w:val="24"/>
              </w:rPr>
              <w:t>Univariate analysis</w:t>
            </w:r>
          </w:p>
        </w:tc>
        <w:tc>
          <w:tcPr>
            <w:tcW w:w="30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769" w:type="dxa"/>
            <w:gridSpan w:val="3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336AE">
              <w:rPr>
                <w:rFonts w:ascii="Book Antiqua" w:hAnsi="Book Antiqua"/>
                <w:b/>
                <w:bCs/>
                <w:sz w:val="24"/>
                <w:szCs w:val="24"/>
              </w:rPr>
              <w:t>Multivariate analysis</w:t>
            </w:r>
          </w:p>
        </w:tc>
      </w:tr>
      <w:tr w:rsidR="00B672DE" w:rsidRPr="00D336AE" w:rsidTr="00570D16">
        <w:trPr>
          <w:trHeight w:val="397"/>
        </w:trPr>
        <w:tc>
          <w:tcPr>
            <w:tcW w:w="3168" w:type="dxa"/>
            <w:vMerge/>
            <w:tcBorders>
              <w:top w:val="single" w:sz="18" w:space="0" w:color="C0504D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672DE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bCs/>
                <w:sz w:val="24"/>
                <w:szCs w:val="24"/>
              </w:rPr>
              <w:t>Odds ratio (95%</w:t>
            </w:r>
            <w:r w:rsidR="00BF0BA6" w:rsidRPr="00D336AE">
              <w:rPr>
                <w:rFonts w:ascii="Book Antiqua" w:hAnsi="Book Antiqua"/>
                <w:bCs/>
                <w:sz w:val="24"/>
                <w:szCs w:val="24"/>
              </w:rPr>
              <w:t>CI)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8A2B60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bCs/>
                <w:i/>
                <w:iCs/>
                <w:sz w:val="24"/>
                <w:szCs w:val="24"/>
              </w:rPr>
              <w:t>P</w:t>
            </w:r>
            <w:r w:rsidR="00BF0BA6" w:rsidRPr="00D336AE">
              <w:rPr>
                <w:rFonts w:ascii="Book Antiqua" w:hAnsi="Book Antiqua"/>
                <w:bCs/>
                <w:sz w:val="24"/>
                <w:szCs w:val="24"/>
              </w:rPr>
              <w:t xml:space="preserve"> value</w:t>
            </w:r>
          </w:p>
        </w:tc>
        <w:tc>
          <w:tcPr>
            <w:tcW w:w="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672DE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bCs/>
                <w:sz w:val="24"/>
                <w:szCs w:val="24"/>
              </w:rPr>
              <w:t>Odds ratio (95%</w:t>
            </w:r>
            <w:r w:rsidR="00BF0BA6" w:rsidRPr="00D336AE">
              <w:rPr>
                <w:rFonts w:ascii="Book Antiqua" w:hAnsi="Book Antiqua"/>
                <w:bCs/>
                <w:sz w:val="24"/>
                <w:szCs w:val="24"/>
              </w:rPr>
              <w:t>CI)</w:t>
            </w:r>
          </w:p>
        </w:tc>
        <w:tc>
          <w:tcPr>
            <w:tcW w:w="11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8A2B60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bCs/>
                <w:i/>
                <w:iCs/>
                <w:sz w:val="24"/>
                <w:szCs w:val="24"/>
              </w:rPr>
              <w:t>P</w:t>
            </w:r>
            <w:r w:rsidR="00BF0BA6" w:rsidRPr="00D336AE">
              <w:rPr>
                <w:rFonts w:ascii="Book Antiqua" w:hAnsi="Book Antiqua"/>
                <w:bCs/>
                <w:sz w:val="24"/>
                <w:szCs w:val="24"/>
              </w:rPr>
              <w:t xml:space="preserve"> value</w:t>
            </w:r>
          </w:p>
        </w:tc>
      </w:tr>
      <w:tr w:rsidR="00B672DE" w:rsidRPr="00D336AE" w:rsidTr="00570D16">
        <w:trPr>
          <w:trHeight w:val="528"/>
        </w:trPr>
        <w:tc>
          <w:tcPr>
            <w:tcW w:w="31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beforeLines="50" w:before="120"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Age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1.012 (0.955-1.072)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0.689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672DE" w:rsidRPr="00D336AE" w:rsidTr="00570D16">
        <w:trPr>
          <w:trHeight w:val="52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Gender (Female)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0.784 (0.262-2.342)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0.663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672DE" w:rsidRPr="00D336AE" w:rsidTr="00570D16">
        <w:trPr>
          <w:trHeight w:val="52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590A47" w:rsidP="006611D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Body mass index (kg/m</w:t>
            </w:r>
            <w:r w:rsidRPr="00D336AE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  <w:r w:rsidRPr="00D336AE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1.074 (0.875-1.318)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0.495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672DE" w:rsidRPr="00D336AE" w:rsidTr="00570D16">
        <w:trPr>
          <w:trHeight w:val="52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204D7" w:rsidRPr="00D336AE" w:rsidRDefault="00BF0BA6" w:rsidP="006611D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 xml:space="preserve">Prior </w:t>
            </w:r>
            <w:r w:rsidR="00590A47" w:rsidRPr="00D336AE">
              <w:rPr>
                <w:rFonts w:ascii="Book Antiqua" w:hAnsi="Book Antiqua"/>
                <w:sz w:val="24"/>
                <w:szCs w:val="24"/>
              </w:rPr>
              <w:t xml:space="preserve">treatment </w:t>
            </w:r>
            <w:r w:rsidRPr="00D336AE">
              <w:rPr>
                <w:rFonts w:ascii="Book Antiqua" w:hAnsi="Book Antiqua"/>
                <w:sz w:val="24"/>
                <w:szCs w:val="24"/>
              </w:rPr>
              <w:t>response</w:t>
            </w:r>
          </w:p>
          <w:p w:rsidR="00BF0BA6" w:rsidRPr="00D336AE" w:rsidRDefault="00BF0BA6" w:rsidP="006611D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 xml:space="preserve"> (non-NR)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3.850 (0.830-17.861)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0.085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672DE" w:rsidRPr="00D336AE" w:rsidTr="00570D16">
        <w:trPr>
          <w:trHeight w:val="52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1C6823" w:rsidP="006611D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 w:hint="eastAsia"/>
                <w:sz w:val="24"/>
                <w:szCs w:val="24"/>
                <w:lang w:eastAsia="ja-JP"/>
              </w:rPr>
              <w:t>Ba</w:t>
            </w:r>
            <w:r w:rsidRPr="00D336AE">
              <w:rPr>
                <w:rFonts w:ascii="Book Antiqua" w:hAnsi="Book Antiqua"/>
                <w:sz w:val="24"/>
                <w:szCs w:val="24"/>
              </w:rPr>
              <w:t xml:space="preserve">seline </w:t>
            </w:r>
            <w:r w:rsidR="00BF0BA6" w:rsidRPr="00D336AE">
              <w:rPr>
                <w:rFonts w:ascii="Book Antiqua" w:hAnsi="Book Antiqua"/>
                <w:sz w:val="24"/>
                <w:szCs w:val="24"/>
              </w:rPr>
              <w:t>HCV-RNA</w:t>
            </w:r>
          </w:p>
          <w:p w:rsidR="001C6823" w:rsidRPr="00D336AE" w:rsidRDefault="001C6823" w:rsidP="006611D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(log IU/mL)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1.264 (0.457-3.495)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0.652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672DE" w:rsidRPr="00D336AE" w:rsidTr="00570D16">
        <w:trPr>
          <w:trHeight w:val="52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1C6823" w:rsidP="006611D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 xml:space="preserve">Baseline </w:t>
            </w:r>
            <w:r w:rsidR="00BF0BA6" w:rsidRPr="00D336AE">
              <w:rPr>
                <w:rFonts w:ascii="Book Antiqua" w:hAnsi="Book Antiqua"/>
                <w:sz w:val="24"/>
                <w:szCs w:val="24"/>
              </w:rPr>
              <w:t>ALT</w:t>
            </w:r>
            <w:r w:rsidRPr="00D336AE">
              <w:rPr>
                <w:rFonts w:ascii="Book Antiqua" w:hAnsi="Book Antiqua"/>
                <w:sz w:val="24"/>
                <w:szCs w:val="24"/>
              </w:rPr>
              <w:t xml:space="preserve"> (IU/mL)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1.008 (0.998-1.017)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0.105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672DE" w:rsidRPr="00D336AE" w:rsidTr="00570D16">
        <w:trPr>
          <w:trHeight w:val="52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6823" w:rsidRPr="00D336AE" w:rsidRDefault="001C6823" w:rsidP="006611D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 xml:space="preserve">Baseline </w:t>
            </w:r>
            <w:r w:rsidR="00590A47" w:rsidRPr="00D336AE">
              <w:rPr>
                <w:rFonts w:ascii="Book Antiqua" w:hAnsi="Book Antiqua"/>
                <w:sz w:val="24"/>
                <w:szCs w:val="24"/>
              </w:rPr>
              <w:t>Platelets</w:t>
            </w:r>
          </w:p>
          <w:p w:rsidR="00BF0BA6" w:rsidRPr="00D336AE" w:rsidRDefault="00590A47" w:rsidP="006611D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(x10</w:t>
            </w:r>
            <w:r w:rsidRPr="00D336AE">
              <w:rPr>
                <w:rFonts w:ascii="Book Antiqua" w:hAnsi="Book Antiqua"/>
                <w:sz w:val="24"/>
                <w:szCs w:val="24"/>
                <w:vertAlign w:val="superscript"/>
              </w:rPr>
              <w:t>4</w:t>
            </w:r>
            <w:r w:rsidRPr="00D336AE">
              <w:rPr>
                <w:rFonts w:ascii="Book Antiqua" w:hAnsi="Book Antiqua"/>
                <w:sz w:val="24"/>
                <w:szCs w:val="24"/>
              </w:rPr>
              <w:t>/mm</w:t>
            </w:r>
            <w:r w:rsidRPr="00D336AE">
              <w:rPr>
                <w:rFonts w:ascii="Book Antiqua" w:hAnsi="Book Antiqua"/>
                <w:sz w:val="24"/>
                <w:szCs w:val="24"/>
                <w:vertAlign w:val="superscript"/>
              </w:rPr>
              <w:t>3</w:t>
            </w:r>
            <w:r w:rsidRPr="00D336AE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1.017 (0.906</w:t>
            </w:r>
            <w:r w:rsidR="0054603B" w:rsidRPr="00D336AE">
              <w:rPr>
                <w:rFonts w:ascii="Book Antiqua" w:hAnsi="Book Antiqua"/>
                <w:sz w:val="24"/>
                <w:szCs w:val="24"/>
              </w:rPr>
              <w:t>-1.142</w:t>
            </w:r>
            <w:r w:rsidRPr="00D336AE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0.775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672DE" w:rsidRPr="00D336AE" w:rsidTr="00570D16">
        <w:trPr>
          <w:trHeight w:val="52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6823" w:rsidRPr="00D336AE" w:rsidRDefault="001C6823" w:rsidP="006611DD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D336AE">
              <w:rPr>
                <w:rFonts w:ascii="Book Antiqua" w:hAnsi="Book Antiqua"/>
                <w:bCs/>
                <w:sz w:val="24"/>
                <w:szCs w:val="24"/>
              </w:rPr>
              <w:t xml:space="preserve">Baseline </w:t>
            </w:r>
            <w:r w:rsidR="00590A47" w:rsidRPr="00D336AE">
              <w:rPr>
                <w:rFonts w:ascii="Book Antiqua" w:hAnsi="Book Antiqua"/>
                <w:bCs/>
                <w:sz w:val="24"/>
                <w:szCs w:val="24"/>
              </w:rPr>
              <w:t>Hemoglobin</w:t>
            </w:r>
          </w:p>
          <w:p w:rsidR="00BF0BA6" w:rsidRPr="00D336AE" w:rsidRDefault="00590A47" w:rsidP="006611D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(g/</w:t>
            </w:r>
            <w:proofErr w:type="spellStart"/>
            <w:r w:rsidRPr="00D336AE">
              <w:rPr>
                <w:rFonts w:ascii="Book Antiqua" w:hAnsi="Book Antiqua"/>
                <w:sz w:val="24"/>
                <w:szCs w:val="24"/>
              </w:rPr>
              <w:t>dL</w:t>
            </w:r>
            <w:proofErr w:type="spellEnd"/>
            <w:r w:rsidRPr="00D336AE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1.038 (0.736-1.464</w:t>
            </w:r>
            <w:r w:rsidR="00BF0BA6" w:rsidRPr="00D336AE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0.830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672DE" w:rsidRPr="00D336AE" w:rsidTr="00570D16">
        <w:trPr>
          <w:trHeight w:val="52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bCs/>
                <w:sz w:val="24"/>
                <w:szCs w:val="24"/>
              </w:rPr>
              <w:t xml:space="preserve">IL28B SNP </w:t>
            </w:r>
            <w:r w:rsidRPr="00D336AE">
              <w:rPr>
                <w:rFonts w:ascii="Book Antiqua" w:hAnsi="Book Antiqua"/>
                <w:sz w:val="24"/>
                <w:szCs w:val="24"/>
              </w:rPr>
              <w:t>(</w:t>
            </w:r>
            <w:r w:rsidRPr="00D336AE">
              <w:rPr>
                <w:rFonts w:ascii="Book Antiqua" w:hAnsi="Book Antiqua"/>
                <w:bCs/>
                <w:sz w:val="24"/>
                <w:szCs w:val="24"/>
              </w:rPr>
              <w:t>TT</w:t>
            </w:r>
            <w:r w:rsidRPr="00D336AE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6.700 (1.826-24.584</w:t>
            </w:r>
            <w:r w:rsidR="00BF0BA6" w:rsidRPr="00D336AE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0.004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BF0BA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570D1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8.160</w:t>
            </w:r>
            <w:r w:rsidR="0054603B" w:rsidRPr="00D336AE">
              <w:rPr>
                <w:rFonts w:ascii="Book Antiqua" w:hAnsi="Book Antiqua"/>
                <w:sz w:val="24"/>
                <w:szCs w:val="24"/>
              </w:rPr>
              <w:t xml:space="preserve"> (1.</w:t>
            </w:r>
            <w:r w:rsidRPr="00D336AE">
              <w:rPr>
                <w:rFonts w:ascii="Book Antiqua" w:hAnsi="Book Antiqua"/>
                <w:sz w:val="24"/>
                <w:szCs w:val="24"/>
              </w:rPr>
              <w:t>593</w:t>
            </w:r>
            <w:r w:rsidR="0054603B" w:rsidRPr="00D336AE">
              <w:rPr>
                <w:rFonts w:ascii="Book Antiqua" w:hAnsi="Book Antiqua"/>
                <w:sz w:val="24"/>
                <w:szCs w:val="24"/>
              </w:rPr>
              <w:t>-</w:t>
            </w:r>
            <w:r w:rsidRPr="00D336AE">
              <w:rPr>
                <w:rFonts w:ascii="Book Antiqua" w:hAnsi="Book Antiqua"/>
                <w:sz w:val="24"/>
                <w:szCs w:val="24"/>
              </w:rPr>
              <w:t>41.804</w:t>
            </w:r>
            <w:r w:rsidR="00BF0BA6" w:rsidRPr="00D336AE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BA6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bCs/>
                <w:sz w:val="24"/>
                <w:szCs w:val="24"/>
              </w:rPr>
              <w:t>0.0</w:t>
            </w:r>
            <w:r w:rsidR="00570D16" w:rsidRPr="00D336AE">
              <w:rPr>
                <w:rFonts w:ascii="Book Antiqua" w:hAnsi="Book Antiqua"/>
                <w:bCs/>
                <w:sz w:val="24"/>
                <w:szCs w:val="24"/>
              </w:rPr>
              <w:t>12</w:t>
            </w:r>
          </w:p>
        </w:tc>
      </w:tr>
      <w:tr w:rsidR="001C6823" w:rsidRPr="00D336AE" w:rsidTr="00570D16">
        <w:trPr>
          <w:trHeight w:val="52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6823" w:rsidRPr="00D336AE" w:rsidRDefault="001C6823" w:rsidP="006611D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Initial dose of TVR</w:t>
            </w:r>
          </w:p>
          <w:p w:rsidR="001C6823" w:rsidRPr="00D336AE" w:rsidRDefault="001C6823" w:rsidP="006611D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(2250mg/day)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6823" w:rsidRPr="00D336AE" w:rsidRDefault="001C6823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2.069</w:t>
            </w:r>
            <w:r w:rsidR="00A71E37" w:rsidRPr="00D336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336AE">
              <w:rPr>
                <w:rFonts w:ascii="Book Antiqua" w:hAnsi="Book Antiqua"/>
                <w:sz w:val="24"/>
                <w:szCs w:val="24"/>
              </w:rPr>
              <w:t>(0.670-6.553)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6823" w:rsidRPr="00D336AE" w:rsidRDefault="001C6823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0.204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6823" w:rsidRPr="00D336AE" w:rsidRDefault="001C6823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6823" w:rsidRPr="00D336AE" w:rsidRDefault="001C6823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6823" w:rsidRPr="00D336AE" w:rsidRDefault="001C6823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672DE" w:rsidRPr="00D336AE" w:rsidTr="00570D16">
        <w:trPr>
          <w:trHeight w:val="52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03B" w:rsidRPr="00D336AE" w:rsidRDefault="0054603B" w:rsidP="006611D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TVR</w:t>
            </w:r>
            <w:r w:rsidR="00052317">
              <w:rPr>
                <w:rFonts w:ascii="Book Antiqua" w:hAnsi="Book Antiqua"/>
                <w:sz w:val="24"/>
                <w:szCs w:val="24"/>
              </w:rPr>
              <w:t>/</w:t>
            </w:r>
            <w:r w:rsidRPr="00D336AE">
              <w:rPr>
                <w:rFonts w:ascii="Book Antiqua" w:hAnsi="Book Antiqua"/>
                <w:sz w:val="24"/>
                <w:szCs w:val="24"/>
              </w:rPr>
              <w:t>BW (mg/kg/d)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03B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0.938 (0.870-1.011)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03B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0.093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03B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03B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03B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672DE" w:rsidRPr="00D336AE" w:rsidTr="00570D16">
        <w:trPr>
          <w:trHeight w:val="52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603B" w:rsidRPr="00D336AE" w:rsidRDefault="0054603B" w:rsidP="006611D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RBV</w:t>
            </w:r>
            <w:r w:rsidR="00052317">
              <w:rPr>
                <w:rFonts w:ascii="Book Antiqua" w:hAnsi="Book Antiqua"/>
                <w:sz w:val="24"/>
                <w:szCs w:val="24"/>
              </w:rPr>
              <w:t>/</w:t>
            </w:r>
            <w:r w:rsidRPr="00D336AE">
              <w:rPr>
                <w:rFonts w:ascii="Book Antiqua" w:hAnsi="Book Antiqua"/>
                <w:sz w:val="24"/>
                <w:szCs w:val="24"/>
              </w:rPr>
              <w:t>BW (mg/kg/d)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603B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0.811 (0.617-1.066)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603B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0.133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603B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603B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603B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672DE" w:rsidRPr="00D336AE" w:rsidTr="00570D16">
        <w:trPr>
          <w:trHeight w:val="52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204D7" w:rsidRPr="00D336AE" w:rsidRDefault="0054603B" w:rsidP="006611DD">
            <w:pPr>
              <w:spacing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D336AE">
              <w:rPr>
                <w:rFonts w:ascii="Book Antiqua" w:hAnsi="Book Antiqua"/>
                <w:bCs/>
                <w:sz w:val="24"/>
                <w:szCs w:val="24"/>
              </w:rPr>
              <w:t>PEG-IFN dose reduction</w:t>
            </w:r>
          </w:p>
          <w:p w:rsidR="0054603B" w:rsidRPr="00D336AE" w:rsidRDefault="0054603B" w:rsidP="006611D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bCs/>
                <w:sz w:val="24"/>
                <w:szCs w:val="24"/>
              </w:rPr>
              <w:t xml:space="preserve"> (none)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03B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2.134 (0.253-17.988)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03B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0.486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603B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03B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03B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672DE" w:rsidRPr="00D336AE" w:rsidTr="00570D16">
        <w:trPr>
          <w:trHeight w:val="528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03B" w:rsidRPr="00D336AE" w:rsidRDefault="0054603B" w:rsidP="006611D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bCs/>
                <w:sz w:val="24"/>
                <w:szCs w:val="24"/>
              </w:rPr>
              <w:t>TVR dose reduction</w:t>
            </w:r>
            <w:r w:rsidR="00BE3330" w:rsidRPr="00D336AE">
              <w:rPr>
                <w:rFonts w:ascii="Book Antiqua" w:hAnsi="Book Antiqua"/>
                <w:sz w:val="24"/>
                <w:szCs w:val="24"/>
                <w:lang w:eastAsia="ja-JP"/>
              </w:rPr>
              <w:t xml:space="preserve"> </w:t>
            </w:r>
            <w:r w:rsidRPr="00D336AE">
              <w:rPr>
                <w:rFonts w:ascii="Book Antiqua" w:hAnsi="Book Antiqua"/>
                <w:bCs/>
                <w:sz w:val="24"/>
                <w:szCs w:val="24"/>
              </w:rPr>
              <w:t>(none)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03B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1.020 (0.281-3.703)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03B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0.976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03B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03B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03B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672DE" w:rsidRPr="00D336AE" w:rsidTr="00570D16">
        <w:trPr>
          <w:trHeight w:val="528"/>
        </w:trPr>
        <w:tc>
          <w:tcPr>
            <w:tcW w:w="31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03B" w:rsidRPr="00D336AE" w:rsidRDefault="0054603B" w:rsidP="006611D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bCs/>
                <w:sz w:val="24"/>
                <w:szCs w:val="24"/>
              </w:rPr>
              <w:lastRenderedPageBreak/>
              <w:t>RBV dose reduction</w:t>
            </w:r>
            <w:r w:rsidR="00BE3330" w:rsidRPr="00D336AE">
              <w:rPr>
                <w:rFonts w:ascii="Book Antiqua" w:hAnsi="Book Antiqua"/>
                <w:sz w:val="24"/>
                <w:szCs w:val="24"/>
                <w:lang w:eastAsia="ja-JP"/>
              </w:rPr>
              <w:t xml:space="preserve"> </w:t>
            </w:r>
            <w:r w:rsidRPr="00D336AE">
              <w:rPr>
                <w:rFonts w:ascii="Book Antiqua" w:hAnsi="Book Antiqua"/>
                <w:bCs/>
                <w:sz w:val="24"/>
                <w:szCs w:val="24"/>
              </w:rPr>
              <w:t>(none)</w:t>
            </w:r>
          </w:p>
        </w:tc>
        <w:tc>
          <w:tcPr>
            <w:tcW w:w="235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03B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1.548 (0.433-5.525)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03B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0.501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03B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03B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4603B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6823" w:rsidRPr="00D336AE" w:rsidTr="00570D16">
        <w:trPr>
          <w:trHeight w:val="528"/>
        </w:trPr>
        <w:tc>
          <w:tcPr>
            <w:tcW w:w="316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6823" w:rsidRPr="00D336AE" w:rsidRDefault="001C6823" w:rsidP="006611D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Adherence of R</w:t>
            </w:r>
            <w:r w:rsidR="00F23D0D" w:rsidRPr="00D336AE">
              <w:rPr>
                <w:rFonts w:ascii="Book Antiqua" w:hAnsi="Book Antiqua"/>
                <w:sz w:val="24"/>
                <w:szCs w:val="24"/>
              </w:rPr>
              <w:t>BV</w:t>
            </w:r>
          </w:p>
          <w:p w:rsidR="001C6823" w:rsidRPr="00D336AE" w:rsidRDefault="00570D16" w:rsidP="006611D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(&gt;60%)</w:t>
            </w:r>
          </w:p>
        </w:tc>
        <w:tc>
          <w:tcPr>
            <w:tcW w:w="235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6823" w:rsidRPr="00D336AE" w:rsidRDefault="001C6823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6.873</w:t>
            </w:r>
            <w:r w:rsidR="00570D16" w:rsidRPr="00D336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336AE">
              <w:rPr>
                <w:rFonts w:ascii="Book Antiqua" w:hAnsi="Book Antiqua"/>
                <w:sz w:val="24"/>
                <w:szCs w:val="24"/>
              </w:rPr>
              <w:t>(1.784-26.474)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6823" w:rsidRPr="00D336AE" w:rsidRDefault="001C6823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0.005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6823" w:rsidRPr="00D336AE" w:rsidRDefault="001C6823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6823" w:rsidRPr="00D336AE" w:rsidRDefault="001C6823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11.052</w:t>
            </w:r>
            <w:r w:rsidR="00570D16" w:rsidRPr="00D336AE">
              <w:rPr>
                <w:rFonts w:ascii="Book Antiqua" w:hAnsi="Book Antiqua"/>
                <w:sz w:val="24"/>
                <w:szCs w:val="24"/>
              </w:rPr>
              <w:t xml:space="preserve"> (1.160-105.273)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C6823" w:rsidRPr="00D336AE" w:rsidRDefault="00570D16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0.037</w:t>
            </w:r>
          </w:p>
        </w:tc>
      </w:tr>
      <w:tr w:rsidR="001307BC" w:rsidRPr="00D336AE" w:rsidTr="00570D16">
        <w:trPr>
          <w:trHeight w:val="528"/>
        </w:trPr>
        <w:tc>
          <w:tcPr>
            <w:tcW w:w="3168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603B" w:rsidRPr="00D336AE" w:rsidRDefault="0054603B" w:rsidP="006611DD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 xml:space="preserve">RVR </w:t>
            </w:r>
            <w:r w:rsidR="009C73AB" w:rsidRPr="00D336AE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D336AE">
              <w:rPr>
                <w:rFonts w:ascii="Book Antiqua" w:hAnsi="Book Antiqua"/>
                <w:sz w:val="24"/>
                <w:szCs w:val="24"/>
              </w:rPr>
              <w:t>none</w:t>
            </w:r>
            <w:r w:rsidR="009C73AB" w:rsidRPr="00D336AE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354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603B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0.88 (0.123-1.216)</w:t>
            </w:r>
          </w:p>
        </w:tc>
        <w:tc>
          <w:tcPr>
            <w:tcW w:w="1141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603B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0.104</w:t>
            </w:r>
          </w:p>
        </w:tc>
        <w:tc>
          <w:tcPr>
            <w:tcW w:w="308" w:type="dxa"/>
            <w:gridSpan w:val="2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603B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69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603B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4603B" w:rsidRPr="00D336AE" w:rsidRDefault="0054603B" w:rsidP="006611DD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307BC" w:rsidRPr="00D336AE" w:rsidTr="00570D16">
        <w:trPr>
          <w:gridAfter w:val="1"/>
          <w:wAfter w:w="40" w:type="dxa"/>
          <w:trHeight w:val="528"/>
        </w:trPr>
        <w:tc>
          <w:tcPr>
            <w:tcW w:w="10747" w:type="dxa"/>
            <w:gridSpan w:val="9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07BC" w:rsidRPr="00D336AE" w:rsidRDefault="00590A47" w:rsidP="00BA61A8">
            <w:pPr>
              <w:spacing w:beforeLines="50" w:before="120" w:line="360" w:lineRule="auto"/>
              <w:jc w:val="both"/>
              <w:rPr>
                <w:rFonts w:ascii="Book Antiqua" w:hAnsi="Book Antiqua"/>
                <w:sz w:val="24"/>
                <w:szCs w:val="24"/>
                <w:lang w:eastAsia="ja-JP"/>
              </w:rPr>
            </w:pPr>
            <w:r w:rsidRPr="00D336AE">
              <w:rPr>
                <w:rFonts w:ascii="Book Antiqua" w:hAnsi="Book Antiqua"/>
                <w:sz w:val="24"/>
                <w:szCs w:val="24"/>
                <w:lang w:eastAsia="ja-JP"/>
              </w:rPr>
              <w:t>NR</w:t>
            </w:r>
            <w:r w:rsidR="00BA61A8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:</w:t>
            </w:r>
            <w:r w:rsidRPr="00D336AE">
              <w:rPr>
                <w:rFonts w:ascii="Book Antiqua" w:hAnsi="Book Antiqua"/>
                <w:sz w:val="24"/>
                <w:szCs w:val="24"/>
                <w:lang w:eastAsia="ja-JP"/>
              </w:rPr>
              <w:t xml:space="preserve"> </w:t>
            </w:r>
            <w:r w:rsidR="00BA61A8" w:rsidRPr="00D336AE">
              <w:rPr>
                <w:rFonts w:ascii="Book Antiqua" w:hAnsi="Book Antiqua"/>
                <w:sz w:val="24"/>
                <w:szCs w:val="24"/>
                <w:lang w:eastAsia="ja-JP"/>
              </w:rPr>
              <w:t>N</w:t>
            </w:r>
            <w:r w:rsidRPr="00D336AE">
              <w:rPr>
                <w:rFonts w:ascii="Book Antiqua" w:hAnsi="Book Antiqua"/>
                <w:sz w:val="24"/>
                <w:szCs w:val="24"/>
                <w:lang w:eastAsia="ja-JP"/>
              </w:rPr>
              <w:t xml:space="preserve">on-responder; </w:t>
            </w:r>
            <w:r w:rsidR="009C73AB" w:rsidRPr="00D336AE">
              <w:rPr>
                <w:rFonts w:ascii="Book Antiqua" w:hAnsi="Book Antiqua"/>
                <w:sz w:val="24"/>
                <w:szCs w:val="24"/>
                <w:lang w:eastAsia="ja-JP"/>
              </w:rPr>
              <w:t>IL28B SNP</w:t>
            </w:r>
            <w:r w:rsidR="00BA61A8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:</w:t>
            </w:r>
            <w:r w:rsidR="009C73AB" w:rsidRPr="00D336AE">
              <w:rPr>
                <w:rFonts w:ascii="Book Antiqua" w:hAnsi="Book Antiqua"/>
                <w:sz w:val="24"/>
                <w:szCs w:val="24"/>
                <w:lang w:eastAsia="ja-JP"/>
              </w:rPr>
              <w:t xml:space="preserve"> </w:t>
            </w:r>
            <w:r w:rsidR="00BA61A8" w:rsidRPr="00D336AE">
              <w:rPr>
                <w:rFonts w:ascii="Book Antiqua" w:hAnsi="Book Antiqua"/>
                <w:sz w:val="24"/>
                <w:szCs w:val="24"/>
                <w:lang w:eastAsia="ja-JP"/>
              </w:rPr>
              <w:t>I</w:t>
            </w:r>
            <w:r w:rsidR="009C73AB" w:rsidRPr="00D336AE">
              <w:rPr>
                <w:rFonts w:ascii="Book Antiqua" w:hAnsi="Book Antiqua"/>
                <w:sz w:val="24"/>
                <w:szCs w:val="24"/>
                <w:lang w:eastAsia="ja-JP"/>
              </w:rPr>
              <w:t>nterleukin-28B single nucleotide polymorphism; RVR</w:t>
            </w:r>
            <w:r w:rsidR="00BA61A8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:</w:t>
            </w:r>
            <w:r w:rsidR="009C73AB" w:rsidRPr="00D336AE">
              <w:rPr>
                <w:rFonts w:ascii="Book Antiqua" w:hAnsi="Book Antiqua"/>
                <w:sz w:val="24"/>
                <w:szCs w:val="24"/>
                <w:lang w:eastAsia="ja-JP"/>
              </w:rPr>
              <w:t xml:space="preserve"> </w:t>
            </w:r>
            <w:r w:rsidR="00BA61A8" w:rsidRPr="00D336AE">
              <w:rPr>
                <w:rFonts w:ascii="Book Antiqua" w:hAnsi="Book Antiqua"/>
                <w:sz w:val="24"/>
                <w:szCs w:val="24"/>
                <w:lang w:eastAsia="ja-JP"/>
              </w:rPr>
              <w:t>R</w:t>
            </w:r>
            <w:r w:rsidR="009C73AB" w:rsidRPr="00D336AE">
              <w:rPr>
                <w:rFonts w:ascii="Book Antiqua" w:hAnsi="Book Antiqua"/>
                <w:sz w:val="24"/>
                <w:szCs w:val="24"/>
                <w:lang w:eastAsia="ja-JP"/>
              </w:rPr>
              <w:t xml:space="preserve">apid </w:t>
            </w:r>
            <w:proofErr w:type="spellStart"/>
            <w:r w:rsidR="009C73AB" w:rsidRPr="00D336AE">
              <w:rPr>
                <w:rFonts w:ascii="Book Antiqua" w:hAnsi="Book Antiqua"/>
                <w:sz w:val="24"/>
                <w:szCs w:val="24"/>
                <w:lang w:eastAsia="ja-JP"/>
              </w:rPr>
              <w:t>virological</w:t>
            </w:r>
            <w:proofErr w:type="spellEnd"/>
            <w:r w:rsidR="009C73AB" w:rsidRPr="00D336AE">
              <w:rPr>
                <w:rFonts w:ascii="Book Antiqua" w:hAnsi="Book Antiqua"/>
                <w:sz w:val="24"/>
                <w:szCs w:val="24"/>
                <w:lang w:eastAsia="ja-JP"/>
              </w:rPr>
              <w:t xml:space="preserve"> response.</w:t>
            </w:r>
          </w:p>
        </w:tc>
      </w:tr>
    </w:tbl>
    <w:p w:rsidR="00BF0BA6" w:rsidRPr="00D336AE" w:rsidRDefault="00BF0BA6" w:rsidP="006611DD">
      <w:pPr>
        <w:spacing w:line="360" w:lineRule="auto"/>
      </w:pPr>
      <w:r w:rsidRPr="00D336AE">
        <w:br w:type="page"/>
      </w:r>
    </w:p>
    <w:p w:rsidR="00085F23" w:rsidRPr="00D336AE" w:rsidRDefault="00085F23" w:rsidP="006611DD">
      <w:pPr>
        <w:spacing w:line="360" w:lineRule="auto"/>
        <w:sectPr w:rsidR="00085F23" w:rsidRPr="00D336AE" w:rsidSect="006611DD">
          <w:pgSz w:w="11910" w:h="16840"/>
          <w:pgMar w:top="1418" w:right="1418" w:bottom="1985" w:left="1560" w:header="0" w:footer="1917" w:gutter="0"/>
          <w:cols w:space="720"/>
        </w:sectPr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75"/>
        <w:gridCol w:w="2381"/>
        <w:gridCol w:w="1107"/>
        <w:gridCol w:w="310"/>
        <w:gridCol w:w="2381"/>
        <w:gridCol w:w="994"/>
        <w:gridCol w:w="142"/>
      </w:tblGrid>
      <w:tr w:rsidR="00085F23" w:rsidRPr="00D336AE" w:rsidTr="000553E1">
        <w:trPr>
          <w:gridAfter w:val="1"/>
          <w:wAfter w:w="142" w:type="dxa"/>
          <w:trHeight w:val="454"/>
        </w:trPr>
        <w:tc>
          <w:tcPr>
            <w:tcW w:w="1034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336AE">
              <w:rPr>
                <w:rFonts w:ascii="Book Antiqua" w:hAnsi="Book Antiqua"/>
                <w:b/>
                <w:sz w:val="24"/>
                <w:szCs w:val="24"/>
              </w:rPr>
              <w:lastRenderedPageBreak/>
              <w:t xml:space="preserve">Table </w:t>
            </w:r>
            <w:r w:rsidR="00504471" w:rsidRPr="00D336AE">
              <w:rPr>
                <w:rFonts w:ascii="Book Antiqua" w:hAnsi="Book Antiqua"/>
                <w:b/>
                <w:sz w:val="24"/>
                <w:szCs w:val="24"/>
              </w:rPr>
              <w:t>6</w:t>
            </w:r>
            <w:r w:rsidRPr="00D336AE">
              <w:rPr>
                <w:rFonts w:ascii="Book Antiqua" w:hAnsi="Book Antiqua"/>
                <w:b/>
                <w:sz w:val="24"/>
                <w:szCs w:val="24"/>
              </w:rPr>
              <w:t xml:space="preserve"> Univariate and multivariate analysis of factors contributing to SVR24</w:t>
            </w:r>
            <w:r w:rsidR="00504471" w:rsidRPr="00D336AE">
              <w:rPr>
                <w:rFonts w:ascii="Book Antiqua" w:hAnsi="Book Antiqua"/>
                <w:b/>
                <w:sz w:val="24"/>
                <w:szCs w:val="24"/>
              </w:rPr>
              <w:t xml:space="preserve"> (</w:t>
            </w:r>
            <w:proofErr w:type="spellStart"/>
            <w:r w:rsidR="000553E1" w:rsidRPr="000553E1">
              <w:rPr>
                <w:rFonts w:ascii="Book Antiqua" w:hAnsi="Book Antiqua"/>
                <w:b/>
                <w:sz w:val="24"/>
                <w:szCs w:val="24"/>
              </w:rPr>
              <w:t>simeprevir</w:t>
            </w:r>
            <w:proofErr w:type="spellEnd"/>
            <w:r w:rsidR="00504471" w:rsidRPr="00D336AE">
              <w:rPr>
                <w:rFonts w:ascii="Book Antiqua" w:hAnsi="Book Antiqua"/>
                <w:b/>
                <w:sz w:val="24"/>
                <w:szCs w:val="24"/>
              </w:rPr>
              <w:t>)</w:t>
            </w:r>
          </w:p>
        </w:tc>
      </w:tr>
      <w:tr w:rsidR="00085F23" w:rsidRPr="000553E1" w:rsidTr="000553E1">
        <w:trPr>
          <w:trHeight w:val="397"/>
        </w:trPr>
        <w:tc>
          <w:tcPr>
            <w:tcW w:w="3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0553E1" w:rsidRDefault="00085F23" w:rsidP="000553E1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0553E1">
              <w:rPr>
                <w:rFonts w:ascii="Book Antiqua" w:hAnsi="Book Antiqua"/>
                <w:b/>
                <w:bCs/>
                <w:sz w:val="24"/>
                <w:szCs w:val="24"/>
              </w:rPr>
              <w:t>Factors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0553E1" w:rsidRDefault="00085F23" w:rsidP="000553E1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553E1">
              <w:rPr>
                <w:rFonts w:ascii="Book Antiqua" w:hAnsi="Book Antiqua"/>
                <w:b/>
                <w:bCs/>
                <w:sz w:val="24"/>
                <w:szCs w:val="24"/>
              </w:rPr>
              <w:t>Univariate analysis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0553E1" w:rsidRDefault="00085F23" w:rsidP="000553E1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0553E1" w:rsidRDefault="00085F23" w:rsidP="000553E1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553E1">
              <w:rPr>
                <w:rFonts w:ascii="Book Antiqua" w:hAnsi="Book Antiqua"/>
                <w:b/>
                <w:bCs/>
                <w:sz w:val="24"/>
                <w:szCs w:val="24"/>
              </w:rPr>
              <w:t>Multivariate analysis</w:t>
            </w:r>
          </w:p>
        </w:tc>
      </w:tr>
      <w:tr w:rsidR="00085F23" w:rsidRPr="000553E1" w:rsidTr="000553E1">
        <w:trPr>
          <w:trHeight w:val="397"/>
        </w:trPr>
        <w:tc>
          <w:tcPr>
            <w:tcW w:w="3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F23" w:rsidRPr="000553E1" w:rsidRDefault="00085F23" w:rsidP="000553E1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0553E1" w:rsidRDefault="00490DE3" w:rsidP="000553E1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553E1">
              <w:rPr>
                <w:rFonts w:ascii="Book Antiqua" w:hAnsi="Book Antiqua"/>
                <w:b/>
                <w:bCs/>
                <w:sz w:val="24"/>
                <w:szCs w:val="24"/>
              </w:rPr>
              <w:t>Odds ratio (95%</w:t>
            </w:r>
            <w:r w:rsidR="00085F23" w:rsidRPr="000553E1">
              <w:rPr>
                <w:rFonts w:ascii="Book Antiqua" w:hAnsi="Book Antiqua"/>
                <w:b/>
                <w:bCs/>
                <w:sz w:val="24"/>
                <w:szCs w:val="24"/>
              </w:rPr>
              <w:t>CI)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0553E1" w:rsidRDefault="008A2B60" w:rsidP="000553E1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553E1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P</w:t>
            </w:r>
            <w:r w:rsidR="00085F23" w:rsidRPr="000553E1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value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F23" w:rsidRPr="000553E1" w:rsidRDefault="00085F23" w:rsidP="000553E1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0553E1" w:rsidRDefault="00490DE3" w:rsidP="000553E1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553E1">
              <w:rPr>
                <w:rFonts w:ascii="Book Antiqua" w:hAnsi="Book Antiqua"/>
                <w:b/>
                <w:bCs/>
                <w:sz w:val="24"/>
                <w:szCs w:val="24"/>
              </w:rPr>
              <w:t>Odds ratio (95%</w:t>
            </w:r>
            <w:r w:rsidR="00085F23" w:rsidRPr="000553E1">
              <w:rPr>
                <w:rFonts w:ascii="Book Antiqua" w:hAnsi="Book Antiqua"/>
                <w:b/>
                <w:bCs/>
                <w:sz w:val="24"/>
                <w:szCs w:val="24"/>
              </w:rPr>
              <w:t>CI)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0553E1" w:rsidRDefault="008A2B60" w:rsidP="000553E1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553E1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P</w:t>
            </w:r>
            <w:r w:rsidR="00085F23" w:rsidRPr="000553E1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value</w:t>
            </w:r>
          </w:p>
        </w:tc>
      </w:tr>
      <w:tr w:rsidR="00085F23" w:rsidRPr="00D336AE" w:rsidTr="000553E1">
        <w:trPr>
          <w:trHeight w:val="528"/>
        </w:trPr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Age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0.998 (0.942-1.058)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0.953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85F23" w:rsidRPr="00D336AE" w:rsidTr="000553E1">
        <w:trPr>
          <w:trHeight w:val="52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Gender (Female)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0.330 (0.083-1.314)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0.116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85F23" w:rsidRPr="00D336AE" w:rsidTr="000553E1">
        <w:trPr>
          <w:trHeight w:val="52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9C73AB" w:rsidP="000553E1">
            <w:pPr>
              <w:spacing w:beforeLines="50" w:before="120"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Body mass index (kg/m</w:t>
            </w:r>
            <w:r w:rsidRPr="00D336AE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  <w:r w:rsidRPr="00D336AE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1.164 (0.934-1.450)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0.175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85F23" w:rsidRPr="00D336AE" w:rsidTr="000553E1">
        <w:trPr>
          <w:trHeight w:val="52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4D7" w:rsidRPr="00D336AE" w:rsidRDefault="00085F23" w:rsidP="000553E1">
            <w:pPr>
              <w:spacing w:beforeLines="50" w:before="120"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 xml:space="preserve">Prior </w:t>
            </w:r>
            <w:r w:rsidR="00590A47" w:rsidRPr="00D336AE">
              <w:rPr>
                <w:rFonts w:ascii="Book Antiqua" w:hAnsi="Book Antiqua"/>
                <w:sz w:val="24"/>
                <w:szCs w:val="24"/>
              </w:rPr>
              <w:t xml:space="preserve">treatment </w:t>
            </w:r>
            <w:r w:rsidRPr="00D336AE">
              <w:rPr>
                <w:rFonts w:ascii="Book Antiqua" w:hAnsi="Book Antiqua"/>
                <w:sz w:val="24"/>
                <w:szCs w:val="24"/>
              </w:rPr>
              <w:t>response</w:t>
            </w:r>
          </w:p>
          <w:p w:rsidR="00085F23" w:rsidRPr="00D336AE" w:rsidRDefault="00085F23" w:rsidP="000553E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(non-NR)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2.955 (0.811-10.764)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0.101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85F23" w:rsidRPr="00D336AE" w:rsidTr="000553E1">
        <w:trPr>
          <w:trHeight w:val="52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570D16" w:rsidP="000553E1">
            <w:pPr>
              <w:spacing w:beforeLines="50" w:before="120"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 xml:space="preserve">Baseline </w:t>
            </w:r>
            <w:r w:rsidR="00085F23" w:rsidRPr="00D336AE">
              <w:rPr>
                <w:rFonts w:ascii="Book Antiqua" w:hAnsi="Book Antiqua"/>
                <w:sz w:val="24"/>
                <w:szCs w:val="24"/>
              </w:rPr>
              <w:t>HCV-RNA</w:t>
            </w:r>
          </w:p>
          <w:p w:rsidR="00570D16" w:rsidRPr="00D336AE" w:rsidRDefault="00570D16" w:rsidP="000553E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(log IU/mL)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0.767 (0.328-1.791)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0.540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85F23" w:rsidRPr="00D336AE" w:rsidTr="000553E1">
        <w:trPr>
          <w:trHeight w:val="52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570D16" w:rsidP="000553E1">
            <w:pPr>
              <w:spacing w:beforeLines="50" w:before="120"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 xml:space="preserve">Baseline </w:t>
            </w:r>
            <w:r w:rsidR="00085F23" w:rsidRPr="00D336AE">
              <w:rPr>
                <w:rFonts w:ascii="Book Antiqua" w:hAnsi="Book Antiqua"/>
                <w:sz w:val="24"/>
                <w:szCs w:val="24"/>
              </w:rPr>
              <w:t>ALT</w:t>
            </w:r>
            <w:r w:rsidRPr="00D336AE">
              <w:rPr>
                <w:rFonts w:ascii="Book Antiqua" w:hAnsi="Book Antiqua"/>
                <w:sz w:val="24"/>
                <w:szCs w:val="24"/>
              </w:rPr>
              <w:t xml:space="preserve"> (IU/mL)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0.998 (0.985-1.012)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0.785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85F23" w:rsidRPr="00D336AE" w:rsidTr="000553E1">
        <w:trPr>
          <w:trHeight w:val="52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D16" w:rsidRPr="00D336AE" w:rsidRDefault="00570D16" w:rsidP="000553E1">
            <w:pPr>
              <w:spacing w:beforeLines="50" w:before="120"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Baseline Platelets</w:t>
            </w:r>
          </w:p>
          <w:p w:rsidR="00085F23" w:rsidRPr="00D336AE" w:rsidRDefault="00590A47" w:rsidP="000553E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(x10</w:t>
            </w:r>
            <w:r w:rsidRPr="00D336AE">
              <w:rPr>
                <w:rFonts w:ascii="Book Antiqua" w:hAnsi="Book Antiqua"/>
                <w:sz w:val="24"/>
                <w:szCs w:val="24"/>
                <w:vertAlign w:val="superscript"/>
              </w:rPr>
              <w:t>4</w:t>
            </w:r>
            <w:r w:rsidRPr="00D336AE">
              <w:rPr>
                <w:rFonts w:ascii="Book Antiqua" w:hAnsi="Book Antiqua"/>
                <w:sz w:val="24"/>
                <w:szCs w:val="24"/>
              </w:rPr>
              <w:t>/mm</w:t>
            </w:r>
            <w:r w:rsidRPr="00D336AE">
              <w:rPr>
                <w:rFonts w:ascii="Book Antiqua" w:hAnsi="Book Antiqua"/>
                <w:sz w:val="24"/>
                <w:szCs w:val="24"/>
                <w:vertAlign w:val="superscript"/>
              </w:rPr>
              <w:t>3</w:t>
            </w:r>
            <w:r w:rsidRPr="00D336AE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1.082 (0.953-1.228)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0.224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85F23" w:rsidRPr="00D336AE" w:rsidTr="000553E1">
        <w:trPr>
          <w:trHeight w:val="52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D16" w:rsidRPr="00D336AE" w:rsidRDefault="00570D16" w:rsidP="000553E1">
            <w:pPr>
              <w:spacing w:beforeLines="50" w:before="120"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 xml:space="preserve">Baseline </w:t>
            </w:r>
            <w:r w:rsidR="00590A47" w:rsidRPr="00D336AE">
              <w:rPr>
                <w:rFonts w:ascii="Book Antiqua" w:hAnsi="Book Antiqua"/>
                <w:sz w:val="24"/>
                <w:szCs w:val="24"/>
              </w:rPr>
              <w:t>Hemoglobin</w:t>
            </w:r>
          </w:p>
          <w:p w:rsidR="00085F23" w:rsidRPr="00D336AE" w:rsidRDefault="00590A47" w:rsidP="000553E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(g/</w:t>
            </w:r>
            <w:proofErr w:type="spellStart"/>
            <w:r w:rsidRPr="00D336AE">
              <w:rPr>
                <w:rFonts w:ascii="Book Antiqua" w:hAnsi="Book Antiqua"/>
                <w:sz w:val="24"/>
                <w:szCs w:val="24"/>
              </w:rPr>
              <w:t>dL</w:t>
            </w:r>
            <w:proofErr w:type="spellEnd"/>
            <w:r w:rsidRPr="00D336AE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1.257 (0.827-1.910)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0.285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85F23" w:rsidRPr="00D336AE" w:rsidTr="000553E1">
        <w:trPr>
          <w:trHeight w:val="52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bCs/>
                <w:sz w:val="24"/>
                <w:szCs w:val="24"/>
              </w:rPr>
              <w:t xml:space="preserve">IL28B SNP </w:t>
            </w:r>
            <w:r w:rsidRPr="00D336AE">
              <w:rPr>
                <w:rFonts w:ascii="Book Antiqua" w:hAnsi="Book Antiqua"/>
                <w:sz w:val="24"/>
                <w:szCs w:val="24"/>
              </w:rPr>
              <w:t>(</w:t>
            </w:r>
            <w:r w:rsidRPr="00D336AE">
              <w:rPr>
                <w:rFonts w:ascii="Book Antiqua" w:hAnsi="Book Antiqua"/>
                <w:bCs/>
                <w:sz w:val="24"/>
                <w:szCs w:val="24"/>
              </w:rPr>
              <w:t>TT</w:t>
            </w:r>
            <w:r w:rsidRPr="00D336AE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0D16" w:rsidRPr="00D336AE" w:rsidRDefault="00570D16" w:rsidP="000553E1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12</w:t>
            </w:r>
            <w:r w:rsidR="00085F23" w:rsidRPr="00D336AE">
              <w:rPr>
                <w:rFonts w:ascii="Book Antiqua" w:hAnsi="Book Antiqua"/>
                <w:sz w:val="24"/>
                <w:szCs w:val="24"/>
              </w:rPr>
              <w:t>.</w:t>
            </w:r>
            <w:r w:rsidRPr="00D336AE">
              <w:rPr>
                <w:rFonts w:ascii="Book Antiqua" w:hAnsi="Book Antiqua"/>
                <w:sz w:val="24"/>
                <w:szCs w:val="24"/>
              </w:rPr>
              <w:t>593</w:t>
            </w:r>
          </w:p>
          <w:p w:rsidR="00085F23" w:rsidRPr="00D336AE" w:rsidRDefault="00085F23" w:rsidP="000553E1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(1.</w:t>
            </w:r>
            <w:r w:rsidR="00570D16" w:rsidRPr="00D336AE">
              <w:rPr>
                <w:rFonts w:ascii="Book Antiqua" w:hAnsi="Book Antiqua"/>
                <w:sz w:val="24"/>
                <w:szCs w:val="24"/>
              </w:rPr>
              <w:t>516</w:t>
            </w:r>
            <w:r w:rsidRPr="00D336AE">
              <w:rPr>
                <w:rFonts w:ascii="Book Antiqua" w:hAnsi="Book Antiqua"/>
                <w:sz w:val="24"/>
                <w:szCs w:val="24"/>
              </w:rPr>
              <w:t>-</w:t>
            </w:r>
            <w:r w:rsidR="00570D16" w:rsidRPr="00D336AE">
              <w:rPr>
                <w:rFonts w:ascii="Book Antiqua" w:hAnsi="Book Antiqua"/>
                <w:sz w:val="24"/>
                <w:szCs w:val="24"/>
              </w:rPr>
              <w:t>104.576</w:t>
            </w:r>
            <w:r w:rsidRPr="00D336AE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0.0</w:t>
            </w:r>
            <w:r w:rsidR="00570D16" w:rsidRPr="00D336AE">
              <w:rPr>
                <w:rFonts w:ascii="Book Antiqua" w:hAnsi="Book Antiqua"/>
                <w:sz w:val="24"/>
                <w:szCs w:val="24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570D16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9.677</w:t>
            </w:r>
            <w:r w:rsidR="00085F23" w:rsidRPr="00D336AE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D336AE">
              <w:rPr>
                <w:rFonts w:ascii="Book Antiqua" w:hAnsi="Book Antiqua"/>
                <w:sz w:val="24"/>
                <w:szCs w:val="24"/>
              </w:rPr>
              <w:t>1.114</w:t>
            </w:r>
            <w:r w:rsidR="00085F23" w:rsidRPr="00D336AE">
              <w:rPr>
                <w:rFonts w:ascii="Book Antiqua" w:hAnsi="Book Antiqua"/>
                <w:sz w:val="24"/>
                <w:szCs w:val="24"/>
              </w:rPr>
              <w:t>-</w:t>
            </w:r>
            <w:r w:rsidRPr="00D336AE">
              <w:rPr>
                <w:rFonts w:ascii="Book Antiqua" w:hAnsi="Book Antiqua"/>
                <w:sz w:val="24"/>
                <w:szCs w:val="24"/>
              </w:rPr>
              <w:t>84.087)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bCs/>
                <w:sz w:val="24"/>
                <w:szCs w:val="24"/>
              </w:rPr>
              <w:t>0.04</w:t>
            </w:r>
            <w:r w:rsidR="00570D16" w:rsidRPr="00D336AE">
              <w:rPr>
                <w:rFonts w:ascii="Book Antiqua" w:hAnsi="Book Antiqua"/>
                <w:bCs/>
                <w:sz w:val="24"/>
                <w:szCs w:val="24"/>
              </w:rPr>
              <w:t>0</w:t>
            </w:r>
          </w:p>
        </w:tc>
      </w:tr>
      <w:tr w:rsidR="00085F23" w:rsidRPr="00D336AE" w:rsidTr="000553E1">
        <w:trPr>
          <w:trHeight w:val="52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SMV</w:t>
            </w:r>
            <w:r w:rsidR="00052317">
              <w:rPr>
                <w:rFonts w:ascii="Book Antiqua" w:hAnsi="Book Antiqua"/>
                <w:sz w:val="24"/>
                <w:szCs w:val="24"/>
              </w:rPr>
              <w:t>/</w:t>
            </w:r>
            <w:r w:rsidRPr="00D336AE">
              <w:rPr>
                <w:rFonts w:ascii="Book Antiqua" w:hAnsi="Book Antiqua"/>
                <w:sz w:val="24"/>
                <w:szCs w:val="24"/>
              </w:rPr>
              <w:t>BW (mg/kg/d)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0.306 (0.054-1.742)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0.182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F23" w:rsidRPr="00D336AE" w:rsidRDefault="00085F23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B702E" w:rsidRPr="00D336AE" w:rsidTr="000553E1">
        <w:trPr>
          <w:trHeight w:val="52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702E" w:rsidRPr="00D336AE" w:rsidRDefault="00BB702E" w:rsidP="000553E1">
            <w:pPr>
              <w:spacing w:beforeLines="50" w:before="120"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RBV</w:t>
            </w:r>
            <w:r w:rsidR="00052317">
              <w:rPr>
                <w:rFonts w:ascii="Book Antiqua" w:hAnsi="Book Antiqua"/>
                <w:sz w:val="24"/>
                <w:szCs w:val="24"/>
              </w:rPr>
              <w:t>/</w:t>
            </w:r>
            <w:r w:rsidRPr="00D336AE">
              <w:rPr>
                <w:rFonts w:ascii="Book Antiqua" w:hAnsi="Book Antiqua"/>
                <w:sz w:val="24"/>
                <w:szCs w:val="24"/>
              </w:rPr>
              <w:t>BW (mg/kg/d)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702E" w:rsidRPr="00D336AE" w:rsidRDefault="00BB702E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1.085 (1.138-3.913)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702E" w:rsidRPr="00D336AE" w:rsidRDefault="00BB702E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0.501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702E" w:rsidRPr="00D336AE" w:rsidRDefault="00BB702E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702E" w:rsidRPr="00D336AE" w:rsidRDefault="00BB702E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702E" w:rsidRPr="00D336AE" w:rsidRDefault="00BB702E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B702E" w:rsidRPr="00D336AE" w:rsidTr="000553E1">
        <w:trPr>
          <w:trHeight w:val="528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4D7" w:rsidRPr="00D336AE" w:rsidRDefault="00BB702E" w:rsidP="000553E1">
            <w:pPr>
              <w:spacing w:beforeLines="50" w:before="120" w:line="36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D336AE">
              <w:rPr>
                <w:rFonts w:ascii="Book Antiqua" w:hAnsi="Book Antiqua"/>
                <w:bCs/>
                <w:sz w:val="24"/>
                <w:szCs w:val="24"/>
              </w:rPr>
              <w:t>PEG-IFN dose reduction</w:t>
            </w:r>
          </w:p>
          <w:p w:rsidR="00BB702E" w:rsidRPr="00D336AE" w:rsidRDefault="00BB702E" w:rsidP="000553E1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bCs/>
                <w:sz w:val="24"/>
                <w:szCs w:val="24"/>
              </w:rPr>
              <w:t>(none)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702E" w:rsidRPr="00D336AE" w:rsidRDefault="00BB702E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7.250 (1.712-30.700)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702E" w:rsidRPr="00D336AE" w:rsidRDefault="00BB702E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0.007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702E" w:rsidRPr="00D336AE" w:rsidRDefault="00BB702E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702E" w:rsidRPr="00D336AE" w:rsidRDefault="00570D16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6.557</w:t>
            </w:r>
            <w:r w:rsidR="00BB702E" w:rsidRPr="00D336AE">
              <w:rPr>
                <w:rFonts w:ascii="Book Antiqua" w:hAnsi="Book Antiqua"/>
                <w:sz w:val="24"/>
                <w:szCs w:val="24"/>
              </w:rPr>
              <w:t xml:space="preserve"> (1.</w:t>
            </w:r>
            <w:r w:rsidRPr="00D336AE">
              <w:rPr>
                <w:rFonts w:ascii="Book Antiqua" w:hAnsi="Book Antiqua"/>
                <w:sz w:val="24"/>
                <w:szCs w:val="24"/>
              </w:rPr>
              <w:t>328</w:t>
            </w:r>
            <w:r w:rsidR="00BB702E" w:rsidRPr="00D336AE">
              <w:rPr>
                <w:rFonts w:ascii="Book Antiqua" w:hAnsi="Book Antiqua"/>
                <w:sz w:val="24"/>
                <w:szCs w:val="24"/>
              </w:rPr>
              <w:t>-</w:t>
            </w:r>
            <w:r w:rsidRPr="00D336AE">
              <w:rPr>
                <w:rFonts w:ascii="Book Antiqua" w:hAnsi="Book Antiqua"/>
                <w:sz w:val="24"/>
                <w:szCs w:val="24"/>
              </w:rPr>
              <w:t>32.377</w:t>
            </w:r>
            <w:r w:rsidR="00BB702E" w:rsidRPr="00D336AE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702E" w:rsidRPr="00D336AE" w:rsidRDefault="00BB702E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bCs/>
                <w:sz w:val="24"/>
                <w:szCs w:val="24"/>
              </w:rPr>
              <w:t>0.02</w:t>
            </w:r>
            <w:r w:rsidR="00570D16" w:rsidRPr="00D336AE">
              <w:rPr>
                <w:rFonts w:ascii="Book Antiqua" w:hAnsi="Book Antiqua"/>
                <w:bCs/>
                <w:sz w:val="24"/>
                <w:szCs w:val="24"/>
              </w:rPr>
              <w:t>1</w:t>
            </w:r>
          </w:p>
        </w:tc>
      </w:tr>
      <w:tr w:rsidR="00BB702E" w:rsidRPr="00D336AE" w:rsidTr="000553E1">
        <w:trPr>
          <w:trHeight w:val="528"/>
        </w:trPr>
        <w:tc>
          <w:tcPr>
            <w:tcW w:w="317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702E" w:rsidRPr="00D336AE" w:rsidRDefault="00BB702E" w:rsidP="000553E1">
            <w:pPr>
              <w:spacing w:beforeLines="50" w:before="120"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bCs/>
                <w:sz w:val="24"/>
                <w:szCs w:val="24"/>
              </w:rPr>
              <w:lastRenderedPageBreak/>
              <w:t>RBV dose reduction</w:t>
            </w:r>
            <w:r w:rsidRPr="00D336AE">
              <w:rPr>
                <w:rFonts w:ascii="Book Antiqua" w:hAnsi="Book Antiqua"/>
                <w:sz w:val="24"/>
                <w:szCs w:val="24"/>
                <w:lang w:eastAsia="ja-JP"/>
              </w:rPr>
              <w:t xml:space="preserve"> </w:t>
            </w:r>
            <w:r w:rsidRPr="00D336AE">
              <w:rPr>
                <w:rFonts w:ascii="Book Antiqua" w:hAnsi="Book Antiqua"/>
                <w:bCs/>
                <w:sz w:val="24"/>
                <w:szCs w:val="24"/>
              </w:rPr>
              <w:t>(none)</w:t>
            </w: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702E" w:rsidRPr="00D336AE" w:rsidRDefault="00BB702E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1.556 (0.470-5.160)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702E" w:rsidRPr="00D336AE" w:rsidRDefault="00BB702E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0.470</w:t>
            </w: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702E" w:rsidRPr="00D336AE" w:rsidRDefault="00BB702E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702E" w:rsidRPr="00D336AE" w:rsidRDefault="00BB702E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702E" w:rsidRPr="00D336AE" w:rsidRDefault="00BB702E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</w:tr>
      <w:tr w:rsidR="00BB702E" w:rsidRPr="00D336AE" w:rsidTr="000553E1">
        <w:trPr>
          <w:trHeight w:val="528"/>
        </w:trPr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702E" w:rsidRPr="00D336AE" w:rsidRDefault="00BB702E" w:rsidP="000553E1">
            <w:pPr>
              <w:spacing w:beforeLines="50" w:before="120"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 xml:space="preserve">RVR </w:t>
            </w:r>
            <w:r w:rsidRPr="00D336AE">
              <w:rPr>
                <w:rFonts w:ascii="Book Antiqua" w:hAnsi="Book Antiqua"/>
                <w:sz w:val="24"/>
                <w:szCs w:val="24"/>
                <w:lang w:eastAsia="ja-JP"/>
              </w:rPr>
              <w:t xml:space="preserve"> (</w:t>
            </w:r>
            <w:r w:rsidRPr="00D336AE">
              <w:rPr>
                <w:rFonts w:ascii="Book Antiqua" w:hAnsi="Book Antiqua"/>
                <w:sz w:val="24"/>
                <w:szCs w:val="24"/>
              </w:rPr>
              <w:t>none)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702E" w:rsidRPr="00D336AE" w:rsidRDefault="00BB702E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0.351 (0.075-1.637)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702E" w:rsidRPr="00D336AE" w:rsidRDefault="00BB702E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0.183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702E" w:rsidRPr="00D336AE" w:rsidRDefault="00BB702E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702E" w:rsidRPr="00D336AE" w:rsidRDefault="00BB702E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702E" w:rsidRPr="00D336AE" w:rsidRDefault="00BB702E" w:rsidP="000553E1">
            <w:pPr>
              <w:spacing w:beforeLines="50" w:before="120"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B702E" w:rsidRPr="00D336AE" w:rsidTr="000553E1">
        <w:trPr>
          <w:trHeight w:val="528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702E" w:rsidRPr="00D336AE" w:rsidRDefault="00BB702E" w:rsidP="00750AC5">
            <w:pPr>
              <w:spacing w:beforeLines="50" w:before="120" w:line="360" w:lineRule="auto"/>
              <w:rPr>
                <w:rFonts w:ascii="Book Antiqua" w:hAnsi="Book Antiqua"/>
                <w:sz w:val="24"/>
                <w:szCs w:val="24"/>
              </w:rPr>
            </w:pPr>
            <w:r w:rsidRPr="00D336AE">
              <w:rPr>
                <w:rFonts w:ascii="Book Antiqua" w:hAnsi="Book Antiqua"/>
                <w:sz w:val="24"/>
                <w:szCs w:val="24"/>
              </w:rPr>
              <w:t>NR</w:t>
            </w:r>
            <w:r w:rsidR="000553E1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:</w:t>
            </w:r>
            <w:r w:rsidRPr="00D336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553E1" w:rsidRPr="00D336AE">
              <w:rPr>
                <w:rFonts w:ascii="Book Antiqua" w:hAnsi="Book Antiqua"/>
                <w:sz w:val="24"/>
                <w:szCs w:val="24"/>
              </w:rPr>
              <w:t>N</w:t>
            </w:r>
            <w:r w:rsidRPr="00D336AE">
              <w:rPr>
                <w:rFonts w:ascii="Book Antiqua" w:hAnsi="Book Antiqua"/>
                <w:sz w:val="24"/>
                <w:szCs w:val="24"/>
              </w:rPr>
              <w:t>on-responder; IL28B SNP</w:t>
            </w:r>
            <w:r w:rsidR="000553E1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:</w:t>
            </w:r>
            <w:r w:rsidRPr="00D336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553E1" w:rsidRPr="00D336AE">
              <w:rPr>
                <w:rFonts w:ascii="Book Antiqua" w:hAnsi="Book Antiqua"/>
                <w:sz w:val="24"/>
                <w:szCs w:val="24"/>
              </w:rPr>
              <w:t>I</w:t>
            </w:r>
            <w:r w:rsidRPr="00D336AE">
              <w:rPr>
                <w:rFonts w:ascii="Book Antiqua" w:hAnsi="Book Antiqua"/>
                <w:sz w:val="24"/>
                <w:szCs w:val="24"/>
              </w:rPr>
              <w:t>nterleukin-28B single nucleotide polymorphism; RVR</w:t>
            </w:r>
            <w:r w:rsidR="000553E1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>:</w:t>
            </w:r>
            <w:r w:rsidRPr="00D336A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553E1" w:rsidRPr="00D336AE">
              <w:rPr>
                <w:rFonts w:ascii="Book Antiqua" w:hAnsi="Book Antiqua"/>
                <w:sz w:val="24"/>
                <w:szCs w:val="24"/>
              </w:rPr>
              <w:t>R</w:t>
            </w:r>
            <w:r w:rsidRPr="00D336AE">
              <w:rPr>
                <w:rFonts w:ascii="Book Antiqua" w:hAnsi="Book Antiqua"/>
                <w:sz w:val="24"/>
                <w:szCs w:val="24"/>
              </w:rPr>
              <w:t xml:space="preserve">apid </w:t>
            </w:r>
            <w:proofErr w:type="spellStart"/>
            <w:r w:rsidRPr="00D336AE">
              <w:rPr>
                <w:rFonts w:ascii="Book Antiqua" w:hAnsi="Book Antiqua"/>
                <w:sz w:val="24"/>
                <w:szCs w:val="24"/>
              </w:rPr>
              <w:t>virological</w:t>
            </w:r>
            <w:proofErr w:type="spellEnd"/>
            <w:r w:rsidRPr="00D336AE">
              <w:rPr>
                <w:rFonts w:ascii="Book Antiqua" w:hAnsi="Book Antiqua"/>
                <w:sz w:val="24"/>
                <w:szCs w:val="24"/>
              </w:rPr>
              <w:t xml:space="preserve"> response.</w:t>
            </w:r>
          </w:p>
        </w:tc>
      </w:tr>
    </w:tbl>
    <w:p w:rsidR="00085F23" w:rsidRPr="000553E1" w:rsidRDefault="00085F23" w:rsidP="006611DD">
      <w:pPr>
        <w:spacing w:line="360" w:lineRule="auto"/>
        <w:rPr>
          <w:rFonts w:eastAsia="宋体"/>
          <w:lang w:eastAsia="zh-CN"/>
        </w:rPr>
        <w:sectPr w:rsidR="00085F23" w:rsidRPr="000553E1" w:rsidSect="006611DD">
          <w:pgSz w:w="11910" w:h="16840"/>
          <w:pgMar w:top="1418" w:right="1418" w:bottom="1985" w:left="1560" w:header="0" w:footer="1917" w:gutter="0"/>
          <w:cols w:space="720"/>
        </w:sectPr>
      </w:pPr>
    </w:p>
    <w:p w:rsidR="009D6250" w:rsidRPr="000553E1" w:rsidRDefault="009D6250" w:rsidP="006611DD">
      <w:pPr>
        <w:spacing w:line="360" w:lineRule="auto"/>
        <w:rPr>
          <w:rFonts w:ascii="Book Antiqua" w:eastAsia="宋体" w:hAnsi="Book Antiqua"/>
          <w:b/>
          <w:lang w:eastAsia="zh-CN"/>
        </w:rPr>
      </w:pPr>
    </w:p>
    <w:sectPr w:rsidR="009D6250" w:rsidRPr="000553E1" w:rsidSect="006611DD">
      <w:pgSz w:w="11910" w:h="16840"/>
      <w:pgMar w:top="1418" w:right="1418" w:bottom="1985" w:left="1560" w:header="0" w:footer="191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FA" w:rsidRDefault="00BD6EFA">
      <w:r>
        <w:separator/>
      </w:r>
    </w:p>
  </w:endnote>
  <w:endnote w:type="continuationSeparator" w:id="0">
    <w:p w:rsidR="00BD6EFA" w:rsidRDefault="00BD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E5" w:rsidRDefault="00D31DE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280" behindDoc="1" locked="0" layoutInCell="1" allowOverlap="1" wp14:anchorId="10C82235" wp14:editId="68D51834">
              <wp:simplePos x="0" y="0"/>
              <wp:positionH relativeFrom="page">
                <wp:posOffset>6622415</wp:posOffset>
              </wp:positionH>
              <wp:positionV relativeFrom="page">
                <wp:posOffset>9334500</wp:posOffset>
              </wp:positionV>
              <wp:extent cx="104775" cy="133350"/>
              <wp:effectExtent l="254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DE5" w:rsidRDefault="00D31DE5">
                          <w:pPr>
                            <w:spacing w:line="19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1FDC">
                            <w:rPr>
                              <w:rFonts w:ascii="Times New Roman"/>
                              <w:noProof/>
                              <w:sz w:val="17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21.45pt;margin-top:735pt;width:8.25pt;height:10.5pt;z-index:-2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" filled="f" stroked="f">
              <v:textbox inset="0,0,0,0">
                <w:txbxContent>
                  <w:p w:rsidR="00D31DE5" w:rsidRDefault="00D31DE5">
                    <w:pPr>
                      <w:spacing w:line="193" w:lineRule="exact"/>
                      <w:ind w:left="4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0AC5">
                      <w:rPr>
                        <w:rFonts w:ascii="Times New Roman"/>
                        <w:noProof/>
                        <w:sz w:val="17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E5" w:rsidRDefault="00D31DE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328" behindDoc="1" locked="0" layoutInCell="1" allowOverlap="1" wp14:anchorId="346753FB" wp14:editId="7B0D97E0">
              <wp:simplePos x="0" y="0"/>
              <wp:positionH relativeFrom="page">
                <wp:posOffset>6569075</wp:posOffset>
              </wp:positionH>
              <wp:positionV relativeFrom="page">
                <wp:posOffset>9334500</wp:posOffset>
              </wp:positionV>
              <wp:extent cx="158750" cy="1333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DE5" w:rsidRDefault="00D31DE5">
                          <w:pPr>
                            <w:spacing w:line="19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1FDC">
                            <w:rPr>
                              <w:rFonts w:ascii="Times New Roman"/>
                              <w:noProof/>
                              <w:sz w:val="17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17.25pt;margin-top:735pt;width:12.5pt;height:10.5pt;z-index:-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xFrQIAAK8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" filled="f" stroked="f">
              <v:textbox inset="0,0,0,0">
                <w:txbxContent>
                  <w:p w:rsidR="00D31DE5" w:rsidRDefault="00D31DE5">
                    <w:pPr>
                      <w:spacing w:line="193" w:lineRule="exact"/>
                      <w:ind w:left="4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0AC5">
                      <w:rPr>
                        <w:rFonts w:ascii="Times New Roman"/>
                        <w:noProof/>
                        <w:sz w:val="17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E5" w:rsidRDefault="00D31DE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376" behindDoc="1" locked="0" layoutInCell="1" allowOverlap="1" wp14:anchorId="67EA163F" wp14:editId="1A646A4C">
              <wp:simplePos x="0" y="0"/>
              <wp:positionH relativeFrom="page">
                <wp:posOffset>6569075</wp:posOffset>
              </wp:positionH>
              <wp:positionV relativeFrom="page">
                <wp:posOffset>9334500</wp:posOffset>
              </wp:positionV>
              <wp:extent cx="158750" cy="1333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DE5" w:rsidRDefault="00D31DE5">
                          <w:pPr>
                            <w:spacing w:line="19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1FDC">
                            <w:rPr>
                              <w:rFonts w:ascii="Times New Roman"/>
                              <w:noProof/>
                              <w:sz w:val="17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17.25pt;margin-top:735pt;width:12.5pt;height:10.5pt;z-index:-2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pmrgIAAK8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" filled="f" stroked="f">
              <v:textbox inset="0,0,0,0">
                <w:txbxContent>
                  <w:p w:rsidR="00D31DE5" w:rsidRDefault="00D31DE5">
                    <w:pPr>
                      <w:spacing w:line="193" w:lineRule="exact"/>
                      <w:ind w:left="4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0AC5">
                      <w:rPr>
                        <w:rFonts w:ascii="Times New Roman"/>
                        <w:noProof/>
                        <w:sz w:val="17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E5" w:rsidRDefault="00D31DE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7448" behindDoc="1" locked="0" layoutInCell="1" allowOverlap="1" wp14:anchorId="25573077" wp14:editId="1CEB0380">
              <wp:simplePos x="0" y="0"/>
              <wp:positionH relativeFrom="page">
                <wp:posOffset>6569075</wp:posOffset>
              </wp:positionH>
              <wp:positionV relativeFrom="page">
                <wp:posOffset>9334500</wp:posOffset>
              </wp:positionV>
              <wp:extent cx="158750" cy="1333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DE5" w:rsidRDefault="00D31DE5">
                          <w:pPr>
                            <w:spacing w:line="19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1FDC">
                            <w:rPr>
                              <w:rFonts w:ascii="Times New Roman"/>
                              <w:noProof/>
                              <w:sz w:val="17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7.25pt;margin-top:735pt;width:12.5pt;height:10.5pt;z-index:-29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" filled="f" stroked="f">
              <v:textbox inset="0,0,0,0">
                <w:txbxContent>
                  <w:p w:rsidR="00D31DE5" w:rsidRDefault="00D31DE5">
                    <w:pPr>
                      <w:spacing w:line="193" w:lineRule="exact"/>
                      <w:ind w:left="4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0AC5">
                      <w:rPr>
                        <w:rFonts w:ascii="Times New Roman"/>
                        <w:noProof/>
                        <w:sz w:val="17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FA" w:rsidRDefault="00BD6EFA">
      <w:r>
        <w:separator/>
      </w:r>
    </w:p>
  </w:footnote>
  <w:footnote w:type="continuationSeparator" w:id="0">
    <w:p w:rsidR="00BD6EFA" w:rsidRDefault="00BD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18F9"/>
    <w:multiLevelType w:val="hybridMultilevel"/>
    <w:tmpl w:val="631A410E"/>
    <w:lvl w:ilvl="0" w:tplc="4B321012">
      <w:start w:val="28"/>
      <w:numFmt w:val="decimal"/>
      <w:lvlText w:val="%1"/>
      <w:lvlJc w:val="left"/>
      <w:pPr>
        <w:ind w:left="115" w:hanging="286"/>
      </w:pPr>
      <w:rPr>
        <w:rFonts w:ascii="Book Antiqua" w:eastAsia="Book Antiqua" w:hAnsi="Book Antiqua" w:hint="default"/>
        <w:w w:val="102"/>
        <w:sz w:val="22"/>
        <w:szCs w:val="22"/>
      </w:rPr>
    </w:lvl>
    <w:lvl w:ilvl="1" w:tplc="DFD22372">
      <w:start w:val="1"/>
      <w:numFmt w:val="bullet"/>
      <w:lvlText w:val="•"/>
      <w:lvlJc w:val="left"/>
      <w:pPr>
        <w:ind w:left="369" w:hanging="286"/>
      </w:pPr>
      <w:rPr>
        <w:rFonts w:hint="default"/>
      </w:rPr>
    </w:lvl>
    <w:lvl w:ilvl="2" w:tplc="19F65122">
      <w:start w:val="1"/>
      <w:numFmt w:val="bullet"/>
      <w:lvlText w:val="•"/>
      <w:lvlJc w:val="left"/>
      <w:pPr>
        <w:ind w:left="1339" w:hanging="286"/>
      </w:pPr>
      <w:rPr>
        <w:rFonts w:hint="default"/>
      </w:rPr>
    </w:lvl>
    <w:lvl w:ilvl="3" w:tplc="F3EA20CA">
      <w:start w:val="1"/>
      <w:numFmt w:val="bullet"/>
      <w:lvlText w:val="•"/>
      <w:lvlJc w:val="left"/>
      <w:pPr>
        <w:ind w:left="2310" w:hanging="286"/>
      </w:pPr>
      <w:rPr>
        <w:rFonts w:hint="default"/>
      </w:rPr>
    </w:lvl>
    <w:lvl w:ilvl="4" w:tplc="6BA65EBC">
      <w:start w:val="1"/>
      <w:numFmt w:val="bullet"/>
      <w:lvlText w:val="•"/>
      <w:lvlJc w:val="left"/>
      <w:pPr>
        <w:ind w:left="3281" w:hanging="286"/>
      </w:pPr>
      <w:rPr>
        <w:rFonts w:hint="default"/>
      </w:rPr>
    </w:lvl>
    <w:lvl w:ilvl="5" w:tplc="C630A0A4">
      <w:start w:val="1"/>
      <w:numFmt w:val="bullet"/>
      <w:lvlText w:val="•"/>
      <w:lvlJc w:val="left"/>
      <w:pPr>
        <w:ind w:left="4252" w:hanging="286"/>
      </w:pPr>
      <w:rPr>
        <w:rFonts w:hint="default"/>
      </w:rPr>
    </w:lvl>
    <w:lvl w:ilvl="6" w:tplc="253E23DE">
      <w:start w:val="1"/>
      <w:numFmt w:val="bullet"/>
      <w:lvlText w:val="•"/>
      <w:lvlJc w:val="left"/>
      <w:pPr>
        <w:ind w:left="5222" w:hanging="286"/>
      </w:pPr>
      <w:rPr>
        <w:rFonts w:hint="default"/>
      </w:rPr>
    </w:lvl>
    <w:lvl w:ilvl="7" w:tplc="7E063A34">
      <w:start w:val="1"/>
      <w:numFmt w:val="bullet"/>
      <w:lvlText w:val="•"/>
      <w:lvlJc w:val="left"/>
      <w:pPr>
        <w:ind w:left="6193" w:hanging="286"/>
      </w:pPr>
      <w:rPr>
        <w:rFonts w:hint="default"/>
      </w:rPr>
    </w:lvl>
    <w:lvl w:ilvl="8" w:tplc="5F268B62">
      <w:start w:val="1"/>
      <w:numFmt w:val="bullet"/>
      <w:lvlText w:val="•"/>
      <w:lvlJc w:val="left"/>
      <w:pPr>
        <w:ind w:left="7164" w:hanging="286"/>
      </w:pPr>
      <w:rPr>
        <w:rFonts w:hint="default"/>
      </w:rPr>
    </w:lvl>
  </w:abstractNum>
  <w:abstractNum w:abstractNumId="1">
    <w:nsid w:val="43EC76C9"/>
    <w:multiLevelType w:val="hybridMultilevel"/>
    <w:tmpl w:val="91A8764E"/>
    <w:lvl w:ilvl="0" w:tplc="C0A045D0">
      <w:start w:val="1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A2187"/>
    <w:multiLevelType w:val="hybridMultilevel"/>
    <w:tmpl w:val="C9404D3C"/>
    <w:lvl w:ilvl="0" w:tplc="7FDED2C2">
      <w:start w:val="1"/>
      <w:numFmt w:val="decimal"/>
      <w:lvlText w:val="%1"/>
      <w:lvlJc w:val="left"/>
      <w:pPr>
        <w:ind w:left="115" w:hanging="173"/>
      </w:pPr>
      <w:rPr>
        <w:rFonts w:ascii="Book Antiqua" w:eastAsia="Book Antiqua" w:hAnsi="Book Antiqua" w:hint="default"/>
        <w:w w:val="102"/>
        <w:sz w:val="22"/>
        <w:szCs w:val="22"/>
      </w:rPr>
    </w:lvl>
    <w:lvl w:ilvl="1" w:tplc="0D54C6B0">
      <w:start w:val="1"/>
      <w:numFmt w:val="bullet"/>
      <w:lvlText w:val="•"/>
      <w:lvlJc w:val="left"/>
      <w:pPr>
        <w:ind w:left="1020" w:hanging="173"/>
      </w:pPr>
      <w:rPr>
        <w:rFonts w:hint="default"/>
      </w:rPr>
    </w:lvl>
    <w:lvl w:ilvl="2" w:tplc="E89404F2">
      <w:start w:val="1"/>
      <w:numFmt w:val="bullet"/>
      <w:lvlText w:val="•"/>
      <w:lvlJc w:val="left"/>
      <w:pPr>
        <w:ind w:left="1925" w:hanging="173"/>
      </w:pPr>
      <w:rPr>
        <w:rFonts w:hint="default"/>
      </w:rPr>
    </w:lvl>
    <w:lvl w:ilvl="3" w:tplc="165046DA">
      <w:start w:val="1"/>
      <w:numFmt w:val="bullet"/>
      <w:lvlText w:val="•"/>
      <w:lvlJc w:val="left"/>
      <w:pPr>
        <w:ind w:left="2830" w:hanging="173"/>
      </w:pPr>
      <w:rPr>
        <w:rFonts w:hint="default"/>
      </w:rPr>
    </w:lvl>
    <w:lvl w:ilvl="4" w:tplc="977E335C">
      <w:start w:val="1"/>
      <w:numFmt w:val="bullet"/>
      <w:lvlText w:val="•"/>
      <w:lvlJc w:val="left"/>
      <w:pPr>
        <w:ind w:left="3735" w:hanging="173"/>
      </w:pPr>
      <w:rPr>
        <w:rFonts w:hint="default"/>
      </w:rPr>
    </w:lvl>
    <w:lvl w:ilvl="5" w:tplc="C0749BE0">
      <w:start w:val="1"/>
      <w:numFmt w:val="bullet"/>
      <w:lvlText w:val="•"/>
      <w:lvlJc w:val="left"/>
      <w:pPr>
        <w:ind w:left="4640" w:hanging="173"/>
      </w:pPr>
      <w:rPr>
        <w:rFonts w:hint="default"/>
      </w:rPr>
    </w:lvl>
    <w:lvl w:ilvl="6" w:tplc="7362FFA8">
      <w:start w:val="1"/>
      <w:numFmt w:val="bullet"/>
      <w:lvlText w:val="•"/>
      <w:lvlJc w:val="left"/>
      <w:pPr>
        <w:ind w:left="5545" w:hanging="173"/>
      </w:pPr>
      <w:rPr>
        <w:rFonts w:hint="default"/>
      </w:rPr>
    </w:lvl>
    <w:lvl w:ilvl="7" w:tplc="6C94E7F8">
      <w:start w:val="1"/>
      <w:numFmt w:val="bullet"/>
      <w:lvlText w:val="•"/>
      <w:lvlJc w:val="left"/>
      <w:pPr>
        <w:ind w:left="6450" w:hanging="173"/>
      </w:pPr>
      <w:rPr>
        <w:rFonts w:hint="default"/>
      </w:rPr>
    </w:lvl>
    <w:lvl w:ilvl="8" w:tplc="DC204552">
      <w:start w:val="1"/>
      <w:numFmt w:val="bullet"/>
      <w:lvlText w:val="•"/>
      <w:lvlJc w:val="left"/>
      <w:pPr>
        <w:ind w:left="7355" w:hanging="17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D1"/>
    <w:rsid w:val="00014028"/>
    <w:rsid w:val="00014578"/>
    <w:rsid w:val="000219B0"/>
    <w:rsid w:val="00026159"/>
    <w:rsid w:val="00034A66"/>
    <w:rsid w:val="0003672A"/>
    <w:rsid w:val="00052317"/>
    <w:rsid w:val="000553E1"/>
    <w:rsid w:val="00057B7E"/>
    <w:rsid w:val="000654E7"/>
    <w:rsid w:val="00080D01"/>
    <w:rsid w:val="00083524"/>
    <w:rsid w:val="00083EF9"/>
    <w:rsid w:val="000854E1"/>
    <w:rsid w:val="00085F23"/>
    <w:rsid w:val="00086FE2"/>
    <w:rsid w:val="00094FCD"/>
    <w:rsid w:val="000976D7"/>
    <w:rsid w:val="000A7D04"/>
    <w:rsid w:val="000B2612"/>
    <w:rsid w:val="000C35FA"/>
    <w:rsid w:val="000E5242"/>
    <w:rsid w:val="000E5D11"/>
    <w:rsid w:val="000F4673"/>
    <w:rsid w:val="000F55D1"/>
    <w:rsid w:val="000F62C4"/>
    <w:rsid w:val="000F750A"/>
    <w:rsid w:val="00106644"/>
    <w:rsid w:val="00115943"/>
    <w:rsid w:val="001307BC"/>
    <w:rsid w:val="001312D6"/>
    <w:rsid w:val="00143298"/>
    <w:rsid w:val="001500F4"/>
    <w:rsid w:val="001511D6"/>
    <w:rsid w:val="00162BFC"/>
    <w:rsid w:val="00167147"/>
    <w:rsid w:val="00177A2D"/>
    <w:rsid w:val="00182EB9"/>
    <w:rsid w:val="0018774D"/>
    <w:rsid w:val="001946BE"/>
    <w:rsid w:val="001A1FDC"/>
    <w:rsid w:val="001B17B7"/>
    <w:rsid w:val="001C2195"/>
    <w:rsid w:val="001C312C"/>
    <w:rsid w:val="001C6823"/>
    <w:rsid w:val="001D131B"/>
    <w:rsid w:val="001F03C5"/>
    <w:rsid w:val="001F214B"/>
    <w:rsid w:val="001F336A"/>
    <w:rsid w:val="00206ACF"/>
    <w:rsid w:val="00207555"/>
    <w:rsid w:val="0021464F"/>
    <w:rsid w:val="002268D4"/>
    <w:rsid w:val="0023081E"/>
    <w:rsid w:val="0023084A"/>
    <w:rsid w:val="00233476"/>
    <w:rsid w:val="002556F0"/>
    <w:rsid w:val="00260773"/>
    <w:rsid w:val="002653E8"/>
    <w:rsid w:val="002700B9"/>
    <w:rsid w:val="00287CE0"/>
    <w:rsid w:val="002910C8"/>
    <w:rsid w:val="00294EBF"/>
    <w:rsid w:val="00295875"/>
    <w:rsid w:val="002A68DD"/>
    <w:rsid w:val="002B0D54"/>
    <w:rsid w:val="002B0EF2"/>
    <w:rsid w:val="002B3BB7"/>
    <w:rsid w:val="002B3F41"/>
    <w:rsid w:val="002C19B1"/>
    <w:rsid w:val="002E0AA6"/>
    <w:rsid w:val="00305916"/>
    <w:rsid w:val="0031073E"/>
    <w:rsid w:val="003312E6"/>
    <w:rsid w:val="00336B83"/>
    <w:rsid w:val="00336BFA"/>
    <w:rsid w:val="003401D7"/>
    <w:rsid w:val="00345AA6"/>
    <w:rsid w:val="00351A0A"/>
    <w:rsid w:val="00353910"/>
    <w:rsid w:val="00357B58"/>
    <w:rsid w:val="00357C5D"/>
    <w:rsid w:val="00360B7D"/>
    <w:rsid w:val="00366D09"/>
    <w:rsid w:val="00384527"/>
    <w:rsid w:val="00393D59"/>
    <w:rsid w:val="003A2A4D"/>
    <w:rsid w:val="003A3002"/>
    <w:rsid w:val="003A5493"/>
    <w:rsid w:val="003C3264"/>
    <w:rsid w:val="003C5EEE"/>
    <w:rsid w:val="003F2FF4"/>
    <w:rsid w:val="003F40FE"/>
    <w:rsid w:val="004011F4"/>
    <w:rsid w:val="00405E40"/>
    <w:rsid w:val="004134CE"/>
    <w:rsid w:val="00414989"/>
    <w:rsid w:val="00422CD6"/>
    <w:rsid w:val="004271AC"/>
    <w:rsid w:val="004344B3"/>
    <w:rsid w:val="00460B18"/>
    <w:rsid w:val="004678DC"/>
    <w:rsid w:val="0048694D"/>
    <w:rsid w:val="00490DE3"/>
    <w:rsid w:val="004948DD"/>
    <w:rsid w:val="004A2D50"/>
    <w:rsid w:val="004A3785"/>
    <w:rsid w:val="004A4ECF"/>
    <w:rsid w:val="004A6103"/>
    <w:rsid w:val="004B602B"/>
    <w:rsid w:val="004C1CD1"/>
    <w:rsid w:val="004C52D4"/>
    <w:rsid w:val="004C5B17"/>
    <w:rsid w:val="004C65DC"/>
    <w:rsid w:val="004C74C7"/>
    <w:rsid w:val="004D3360"/>
    <w:rsid w:val="004E5E57"/>
    <w:rsid w:val="004F2546"/>
    <w:rsid w:val="00504471"/>
    <w:rsid w:val="00510C5A"/>
    <w:rsid w:val="005128B1"/>
    <w:rsid w:val="00525284"/>
    <w:rsid w:val="00530D4D"/>
    <w:rsid w:val="0054355A"/>
    <w:rsid w:val="00543A06"/>
    <w:rsid w:val="0054603B"/>
    <w:rsid w:val="00550564"/>
    <w:rsid w:val="00552499"/>
    <w:rsid w:val="005672A6"/>
    <w:rsid w:val="00570D16"/>
    <w:rsid w:val="005740AC"/>
    <w:rsid w:val="00574F01"/>
    <w:rsid w:val="00576029"/>
    <w:rsid w:val="00586939"/>
    <w:rsid w:val="005900D4"/>
    <w:rsid w:val="00590A47"/>
    <w:rsid w:val="00591FF8"/>
    <w:rsid w:val="0059360D"/>
    <w:rsid w:val="00594163"/>
    <w:rsid w:val="005B1193"/>
    <w:rsid w:val="005B7682"/>
    <w:rsid w:val="005C1F83"/>
    <w:rsid w:val="005C56D7"/>
    <w:rsid w:val="005D5692"/>
    <w:rsid w:val="005D754B"/>
    <w:rsid w:val="005D7B02"/>
    <w:rsid w:val="005F00E7"/>
    <w:rsid w:val="005F0F11"/>
    <w:rsid w:val="005F20B6"/>
    <w:rsid w:val="00604FF7"/>
    <w:rsid w:val="00615444"/>
    <w:rsid w:val="006359A7"/>
    <w:rsid w:val="00635F90"/>
    <w:rsid w:val="006426CB"/>
    <w:rsid w:val="006504C9"/>
    <w:rsid w:val="00660C6E"/>
    <w:rsid w:val="006611DD"/>
    <w:rsid w:val="00667516"/>
    <w:rsid w:val="00667C57"/>
    <w:rsid w:val="00674926"/>
    <w:rsid w:val="00680E49"/>
    <w:rsid w:val="00681D3F"/>
    <w:rsid w:val="006906D5"/>
    <w:rsid w:val="00691BDF"/>
    <w:rsid w:val="006976B3"/>
    <w:rsid w:val="00697CFC"/>
    <w:rsid w:val="006D2FE7"/>
    <w:rsid w:val="006D454F"/>
    <w:rsid w:val="006D46D5"/>
    <w:rsid w:val="006D6570"/>
    <w:rsid w:val="006E2430"/>
    <w:rsid w:val="006F03FB"/>
    <w:rsid w:val="007033CB"/>
    <w:rsid w:val="007070F7"/>
    <w:rsid w:val="00710EAA"/>
    <w:rsid w:val="0071750D"/>
    <w:rsid w:val="00722AB1"/>
    <w:rsid w:val="007343A7"/>
    <w:rsid w:val="00734917"/>
    <w:rsid w:val="0073516B"/>
    <w:rsid w:val="00747958"/>
    <w:rsid w:val="00750AC5"/>
    <w:rsid w:val="00750D00"/>
    <w:rsid w:val="00752745"/>
    <w:rsid w:val="00754369"/>
    <w:rsid w:val="007634DF"/>
    <w:rsid w:val="0077025A"/>
    <w:rsid w:val="007A5CCB"/>
    <w:rsid w:val="007B6AA1"/>
    <w:rsid w:val="007B6D1D"/>
    <w:rsid w:val="007F4A9A"/>
    <w:rsid w:val="007F6A83"/>
    <w:rsid w:val="00800F49"/>
    <w:rsid w:val="00802FE3"/>
    <w:rsid w:val="008062E8"/>
    <w:rsid w:val="00816989"/>
    <w:rsid w:val="008204D7"/>
    <w:rsid w:val="008303E5"/>
    <w:rsid w:val="00831AFF"/>
    <w:rsid w:val="00833BE2"/>
    <w:rsid w:val="00837EFC"/>
    <w:rsid w:val="00863E54"/>
    <w:rsid w:val="0087331B"/>
    <w:rsid w:val="008763FB"/>
    <w:rsid w:val="008822EC"/>
    <w:rsid w:val="0089225A"/>
    <w:rsid w:val="00897BAE"/>
    <w:rsid w:val="008A2B60"/>
    <w:rsid w:val="008B794F"/>
    <w:rsid w:val="008C1B58"/>
    <w:rsid w:val="008D0022"/>
    <w:rsid w:val="009014FF"/>
    <w:rsid w:val="009027AE"/>
    <w:rsid w:val="00903EF4"/>
    <w:rsid w:val="00917870"/>
    <w:rsid w:val="00937389"/>
    <w:rsid w:val="00961066"/>
    <w:rsid w:val="00970265"/>
    <w:rsid w:val="0097628C"/>
    <w:rsid w:val="00977E2E"/>
    <w:rsid w:val="00992F6A"/>
    <w:rsid w:val="00996174"/>
    <w:rsid w:val="00996C5D"/>
    <w:rsid w:val="009A10CE"/>
    <w:rsid w:val="009A141B"/>
    <w:rsid w:val="009A5373"/>
    <w:rsid w:val="009C73AB"/>
    <w:rsid w:val="009D328C"/>
    <w:rsid w:val="009D6250"/>
    <w:rsid w:val="009D7676"/>
    <w:rsid w:val="009E7DE3"/>
    <w:rsid w:val="009F088D"/>
    <w:rsid w:val="009F3E00"/>
    <w:rsid w:val="009F6734"/>
    <w:rsid w:val="00A01C25"/>
    <w:rsid w:val="00A07534"/>
    <w:rsid w:val="00A114C7"/>
    <w:rsid w:val="00A126AE"/>
    <w:rsid w:val="00A13CD5"/>
    <w:rsid w:val="00A169F0"/>
    <w:rsid w:val="00A26121"/>
    <w:rsid w:val="00A30769"/>
    <w:rsid w:val="00A34F3B"/>
    <w:rsid w:val="00A360C0"/>
    <w:rsid w:val="00A36E78"/>
    <w:rsid w:val="00A42931"/>
    <w:rsid w:val="00A54672"/>
    <w:rsid w:val="00A57413"/>
    <w:rsid w:val="00A71E37"/>
    <w:rsid w:val="00A777CA"/>
    <w:rsid w:val="00A811F9"/>
    <w:rsid w:val="00A87C12"/>
    <w:rsid w:val="00A910D9"/>
    <w:rsid w:val="00A92CFB"/>
    <w:rsid w:val="00A975C9"/>
    <w:rsid w:val="00A976A1"/>
    <w:rsid w:val="00AA60A8"/>
    <w:rsid w:val="00AB0957"/>
    <w:rsid w:val="00AC515E"/>
    <w:rsid w:val="00AD5087"/>
    <w:rsid w:val="00AD7B60"/>
    <w:rsid w:val="00AE09D3"/>
    <w:rsid w:val="00AE5BA6"/>
    <w:rsid w:val="00AF1A03"/>
    <w:rsid w:val="00B409B4"/>
    <w:rsid w:val="00B413D5"/>
    <w:rsid w:val="00B55E9F"/>
    <w:rsid w:val="00B611A0"/>
    <w:rsid w:val="00B6692C"/>
    <w:rsid w:val="00B672DE"/>
    <w:rsid w:val="00B70B18"/>
    <w:rsid w:val="00B80F7E"/>
    <w:rsid w:val="00B91640"/>
    <w:rsid w:val="00BA20BF"/>
    <w:rsid w:val="00BA61A8"/>
    <w:rsid w:val="00BA69AE"/>
    <w:rsid w:val="00BB702E"/>
    <w:rsid w:val="00BC28CD"/>
    <w:rsid w:val="00BC303B"/>
    <w:rsid w:val="00BC45B3"/>
    <w:rsid w:val="00BC4F5C"/>
    <w:rsid w:val="00BD1C5B"/>
    <w:rsid w:val="00BD3198"/>
    <w:rsid w:val="00BD36C8"/>
    <w:rsid w:val="00BD6AE9"/>
    <w:rsid w:val="00BD6EFA"/>
    <w:rsid w:val="00BE2692"/>
    <w:rsid w:val="00BE3330"/>
    <w:rsid w:val="00BF0BA6"/>
    <w:rsid w:val="00BF198B"/>
    <w:rsid w:val="00C02DA9"/>
    <w:rsid w:val="00C11CF5"/>
    <w:rsid w:val="00C124D7"/>
    <w:rsid w:val="00C27E0A"/>
    <w:rsid w:val="00C31F7D"/>
    <w:rsid w:val="00C33AAB"/>
    <w:rsid w:val="00C3550E"/>
    <w:rsid w:val="00C5405A"/>
    <w:rsid w:val="00C549EA"/>
    <w:rsid w:val="00C62A61"/>
    <w:rsid w:val="00C7515A"/>
    <w:rsid w:val="00C91782"/>
    <w:rsid w:val="00C97579"/>
    <w:rsid w:val="00CA5F49"/>
    <w:rsid w:val="00CA6DE5"/>
    <w:rsid w:val="00CC2FAE"/>
    <w:rsid w:val="00CC39CD"/>
    <w:rsid w:val="00CC3A26"/>
    <w:rsid w:val="00CC6D91"/>
    <w:rsid w:val="00CD5BA5"/>
    <w:rsid w:val="00CD5F10"/>
    <w:rsid w:val="00CE285C"/>
    <w:rsid w:val="00CE4D4E"/>
    <w:rsid w:val="00CE56D8"/>
    <w:rsid w:val="00CF6E4B"/>
    <w:rsid w:val="00D07891"/>
    <w:rsid w:val="00D1039D"/>
    <w:rsid w:val="00D148A3"/>
    <w:rsid w:val="00D14A62"/>
    <w:rsid w:val="00D229D3"/>
    <w:rsid w:val="00D24673"/>
    <w:rsid w:val="00D26DF5"/>
    <w:rsid w:val="00D30872"/>
    <w:rsid w:val="00D31DE5"/>
    <w:rsid w:val="00D33293"/>
    <w:rsid w:val="00D334CA"/>
    <w:rsid w:val="00D336AE"/>
    <w:rsid w:val="00D337B1"/>
    <w:rsid w:val="00D34099"/>
    <w:rsid w:val="00D37898"/>
    <w:rsid w:val="00D40C8B"/>
    <w:rsid w:val="00D42BFE"/>
    <w:rsid w:val="00D628C3"/>
    <w:rsid w:val="00D62A38"/>
    <w:rsid w:val="00D97188"/>
    <w:rsid w:val="00DA1FB8"/>
    <w:rsid w:val="00DB1D12"/>
    <w:rsid w:val="00DC449E"/>
    <w:rsid w:val="00DD47F0"/>
    <w:rsid w:val="00DE02C5"/>
    <w:rsid w:val="00DE3D16"/>
    <w:rsid w:val="00DE6888"/>
    <w:rsid w:val="00DE71E7"/>
    <w:rsid w:val="00DE78A6"/>
    <w:rsid w:val="00DF11D1"/>
    <w:rsid w:val="00DF6F67"/>
    <w:rsid w:val="00E05D67"/>
    <w:rsid w:val="00E20294"/>
    <w:rsid w:val="00E230B8"/>
    <w:rsid w:val="00E302E1"/>
    <w:rsid w:val="00E314AB"/>
    <w:rsid w:val="00E36969"/>
    <w:rsid w:val="00E43537"/>
    <w:rsid w:val="00E464E4"/>
    <w:rsid w:val="00E6556B"/>
    <w:rsid w:val="00E6765F"/>
    <w:rsid w:val="00E71FFC"/>
    <w:rsid w:val="00E74082"/>
    <w:rsid w:val="00E80091"/>
    <w:rsid w:val="00E87E8E"/>
    <w:rsid w:val="00E92B43"/>
    <w:rsid w:val="00E938A0"/>
    <w:rsid w:val="00EA0FEE"/>
    <w:rsid w:val="00EA7642"/>
    <w:rsid w:val="00EB0782"/>
    <w:rsid w:val="00EC171A"/>
    <w:rsid w:val="00ED7E3A"/>
    <w:rsid w:val="00EE57E4"/>
    <w:rsid w:val="00EE6F43"/>
    <w:rsid w:val="00EF17DB"/>
    <w:rsid w:val="00EF1C4F"/>
    <w:rsid w:val="00F03DEE"/>
    <w:rsid w:val="00F21B3D"/>
    <w:rsid w:val="00F22339"/>
    <w:rsid w:val="00F23D0D"/>
    <w:rsid w:val="00F32FE6"/>
    <w:rsid w:val="00F4402C"/>
    <w:rsid w:val="00F4672E"/>
    <w:rsid w:val="00F46C35"/>
    <w:rsid w:val="00F47C5D"/>
    <w:rsid w:val="00F56DE7"/>
    <w:rsid w:val="00F5700C"/>
    <w:rsid w:val="00F630B8"/>
    <w:rsid w:val="00F643C2"/>
    <w:rsid w:val="00F9152F"/>
    <w:rsid w:val="00F952DA"/>
    <w:rsid w:val="00FB1F7A"/>
    <w:rsid w:val="00FB346E"/>
    <w:rsid w:val="00FB5DEE"/>
    <w:rsid w:val="00FB7996"/>
    <w:rsid w:val="00FC0CA3"/>
    <w:rsid w:val="00FD5B00"/>
    <w:rsid w:val="00FE3ED8"/>
    <w:rsid w:val="00FE6AE7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Book Antiqua" w:eastAsia="Book Antiqua" w:hAnsi="Book Antiqua"/>
      <w:b/>
      <w:bCs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Book Antiqua" w:eastAsia="Book Antiqua" w:hAnsi="Book Antiqu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5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2DA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02DA9"/>
  </w:style>
  <w:style w:type="paragraph" w:styleId="Footer">
    <w:name w:val="footer"/>
    <w:basedOn w:val="Normal"/>
    <w:link w:val="FooterChar"/>
    <w:uiPriority w:val="99"/>
    <w:unhideWhenUsed/>
    <w:rsid w:val="00C02DA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02DA9"/>
  </w:style>
  <w:style w:type="character" w:styleId="Hyperlink">
    <w:name w:val="Hyperlink"/>
    <w:basedOn w:val="DefaultParagraphFont"/>
    <w:uiPriority w:val="99"/>
    <w:unhideWhenUsed/>
    <w:rsid w:val="000261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317"/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17"/>
    <w:rPr>
      <w:rFonts w:ascii="宋体" w:eastAsia="宋体"/>
      <w:sz w:val="18"/>
      <w:szCs w:val="18"/>
    </w:rPr>
  </w:style>
  <w:style w:type="character" w:styleId="Emphasis">
    <w:name w:val="Emphasis"/>
    <w:qFormat/>
    <w:rsid w:val="001A1FDC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Book Antiqua" w:eastAsia="Book Antiqua" w:hAnsi="Book Antiqua"/>
      <w:b/>
      <w:bCs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Book Antiqua" w:eastAsia="Book Antiqua" w:hAnsi="Book Antiqu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5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02DA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02DA9"/>
  </w:style>
  <w:style w:type="paragraph" w:styleId="Footer">
    <w:name w:val="footer"/>
    <w:basedOn w:val="Normal"/>
    <w:link w:val="FooterChar"/>
    <w:uiPriority w:val="99"/>
    <w:unhideWhenUsed/>
    <w:rsid w:val="00C02DA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02DA9"/>
  </w:style>
  <w:style w:type="character" w:styleId="Hyperlink">
    <w:name w:val="Hyperlink"/>
    <w:basedOn w:val="DefaultParagraphFont"/>
    <w:uiPriority w:val="99"/>
    <w:unhideWhenUsed/>
    <w:rsid w:val="000261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317"/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17"/>
    <w:rPr>
      <w:rFonts w:ascii="宋体" w:eastAsia="宋体"/>
      <w:sz w:val="18"/>
      <w:szCs w:val="18"/>
    </w:rPr>
  </w:style>
  <w:style w:type="character" w:styleId="Emphasis">
    <w:name w:val="Emphasis"/>
    <w:qFormat/>
    <w:rsid w:val="001A1FDC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tiff"/><Relationship Id="rId12" Type="http://schemas.openxmlformats.org/officeDocument/2006/relationships/image" Target="media/image3.tiff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7846</Words>
  <Characters>44726</Characters>
  <Application>Microsoft Macintosh Word</Application>
  <DocSecurity>0</DocSecurity>
  <Lines>372</Lines>
  <Paragraphs>104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23</vt:i4>
      </vt:variant>
    </vt:vector>
  </HeadingPairs>
  <TitlesOfParts>
    <vt:vector size="24" baseType="lpstr">
      <vt:lpstr/>
      <vt:lpstr>Abstract</vt:lpstr>
      <vt:lpstr>INTRODUCTION</vt:lpstr>
      <vt:lpstr>MATERIALS AND METHODS</vt:lpstr>
      <vt:lpstr>    Patients</vt:lpstr>
      <vt:lpstr>    Study design</vt:lpstr>
      <vt:lpstr>    Laboratory and safety assessments</vt:lpstr>
      <vt:lpstr>    Detection of HCV markers</vt:lpstr>
      <vt:lpstr>    Treatment efficacy</vt:lpstr>
      <vt:lpstr>    Interleukin 28B single-nucleotide polymorphism</vt:lpstr>
      <vt:lpstr>    Statistical analysis</vt:lpstr>
      <vt:lpstr>    Patient characteristics</vt:lpstr>
      <vt:lpstr>    Virological response and outcome</vt:lpstr>
      <vt:lpstr>    Safety and tolerability</vt:lpstr>
      <vt:lpstr>    Predictive factors correlated with SVR24</vt:lpstr>
      <vt:lpstr>DISCUSSION</vt:lpstr>
      <vt:lpstr>COMMENTS</vt:lpstr>
      <vt:lpstr>    Background</vt:lpstr>
      <vt:lpstr>    Research frontiers</vt:lpstr>
      <vt:lpstr>    Innovations and breakthrough</vt:lpstr>
      <vt:lpstr>    Applications</vt:lpstr>
      <vt:lpstr>    Terminology</vt:lpstr>
      <vt:lpstr>REFERENCES</vt:lpstr>
      <vt:lpstr>FIGURE LEGENDS</vt:lpstr>
    </vt:vector>
  </TitlesOfParts>
  <Company>微软中国</Company>
  <LinksUpToDate>false</LinksUpToDate>
  <CharactersWithSpaces>52468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山際訓</dc:creator>
  <cp:lastModifiedBy>Na Ma</cp:lastModifiedBy>
  <cp:revision>2</cp:revision>
  <cp:lastPrinted>2016-06-19T03:09:00Z</cp:lastPrinted>
  <dcterms:created xsi:type="dcterms:W3CDTF">2017-01-13T02:25:00Z</dcterms:created>
  <dcterms:modified xsi:type="dcterms:W3CDTF">2017-01-13T02:25:00Z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2015-06-29T00:00:00Z</vt:filetime>
  </property>
  <property fmtid="{D5CDD505-2E9C-101B-9397-08002B2CF9AE}" pid="3" name="LastSaved">
    <vt:filetime>2016-02-28T00:00:00Z</vt:filetime>
  </property>
</Properties>
</file>