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3D82"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b/>
          <w:lang w:val="en" w:eastAsia="zh-CN"/>
        </w:rPr>
      </w:pPr>
      <w:r w:rsidRPr="006A15C2">
        <w:rPr>
          <w:rFonts w:ascii="Book Antiqua" w:hAnsi="Book Antiqua" w:cs="Book Antiqua"/>
          <w:b/>
          <w:bCs/>
          <w:lang w:val="en"/>
        </w:rPr>
        <w:t xml:space="preserve">Name of Journal: </w:t>
      </w:r>
      <w:r w:rsidRPr="006A15C2">
        <w:rPr>
          <w:rFonts w:ascii="Book Antiqua" w:hAnsi="Book Antiqua" w:cs="Book Antiqua"/>
          <w:b/>
          <w:i/>
          <w:lang w:val="en"/>
        </w:rPr>
        <w:t>World Journal of Gastroenterology</w:t>
      </w:r>
    </w:p>
    <w:p w14:paraId="6E270F60" w14:textId="4E7FAC15" w:rsidR="006D69E6" w:rsidRPr="006A15C2" w:rsidRDefault="006D69E6" w:rsidP="006A15C2">
      <w:pPr>
        <w:widowControl w:val="0"/>
        <w:autoSpaceDE w:val="0"/>
        <w:autoSpaceDN w:val="0"/>
        <w:adjustRightInd w:val="0"/>
        <w:snapToGrid w:val="0"/>
        <w:spacing w:line="360" w:lineRule="auto"/>
        <w:jc w:val="both"/>
        <w:rPr>
          <w:rFonts w:ascii="Book Antiqua" w:hAnsi="Book Antiqua" w:cs="Book Antiqua"/>
          <w:b/>
          <w:bCs/>
          <w:lang w:val="en" w:eastAsia="zh-CN"/>
        </w:rPr>
      </w:pPr>
      <w:bookmarkStart w:id="0" w:name="OLE_LINK485"/>
      <w:bookmarkStart w:id="1" w:name="OLE_LINK486"/>
      <w:bookmarkStart w:id="2" w:name="OLE_LINK661"/>
      <w:bookmarkStart w:id="3" w:name="OLE_LINK768"/>
      <w:r w:rsidRPr="006A15C2">
        <w:rPr>
          <w:rFonts w:ascii="Book Antiqua" w:hAnsi="Book Antiqua"/>
          <w:b/>
          <w:lang w:eastAsia="zh-CN"/>
        </w:rPr>
        <w:t>ESPS Manuscript NO:</w:t>
      </w:r>
      <w:bookmarkEnd w:id="0"/>
      <w:bookmarkEnd w:id="1"/>
      <w:bookmarkEnd w:id="2"/>
      <w:bookmarkEnd w:id="3"/>
      <w:r w:rsidR="009860C7" w:rsidRPr="006A15C2">
        <w:rPr>
          <w:rFonts w:ascii="Book Antiqua" w:hAnsi="Book Antiqua"/>
          <w:b/>
          <w:lang w:eastAsia="zh-CN"/>
        </w:rPr>
        <w:t xml:space="preserve"> 29800</w:t>
      </w:r>
    </w:p>
    <w:p w14:paraId="2DC27BF8"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b/>
          <w:bCs/>
          <w:lang w:val="en"/>
        </w:rPr>
      </w:pPr>
      <w:r w:rsidRPr="006A15C2">
        <w:rPr>
          <w:rFonts w:ascii="Book Antiqua" w:hAnsi="Book Antiqua" w:cs="Book Antiqua"/>
          <w:b/>
          <w:bCs/>
          <w:lang w:val="en"/>
        </w:rPr>
        <w:t>Manuscript Type: EDITORIAL</w:t>
      </w:r>
    </w:p>
    <w:p w14:paraId="6FDD8312" w14:textId="77777777" w:rsidR="006D69E6" w:rsidRPr="006A15C2" w:rsidRDefault="006D69E6" w:rsidP="006A15C2">
      <w:pPr>
        <w:widowControl w:val="0"/>
        <w:autoSpaceDE w:val="0"/>
        <w:autoSpaceDN w:val="0"/>
        <w:adjustRightInd w:val="0"/>
        <w:snapToGrid w:val="0"/>
        <w:spacing w:line="360" w:lineRule="auto"/>
        <w:jc w:val="both"/>
        <w:rPr>
          <w:rFonts w:ascii="Book Antiqua" w:hAnsi="Book Antiqua" w:cs="Book Antiqua"/>
          <w:b/>
          <w:bCs/>
          <w:color w:val="222222"/>
          <w:lang w:val="en" w:eastAsia="zh-CN"/>
        </w:rPr>
      </w:pPr>
    </w:p>
    <w:p w14:paraId="191AA779" w14:textId="25217F8A"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b/>
          <w:lang w:val="en"/>
        </w:rPr>
      </w:pPr>
      <w:r w:rsidRPr="006A15C2">
        <w:rPr>
          <w:rFonts w:ascii="Book Antiqua" w:hAnsi="Book Antiqua" w:cs="Book Antiqua"/>
          <w:b/>
          <w:lang w:val="en"/>
        </w:rPr>
        <w:t xml:space="preserve">Micronutrient deficiencies in patients with chronic atrophic autoimmune gastritis: </w:t>
      </w:r>
      <w:r w:rsidRPr="006A15C2">
        <w:rPr>
          <w:rFonts w:ascii="Book Antiqua" w:hAnsi="Book Antiqua" w:cs="Book Antiqua"/>
          <w:b/>
          <w:caps/>
          <w:lang w:val="en"/>
        </w:rPr>
        <w:t>a</w:t>
      </w:r>
      <w:r w:rsidRPr="006A15C2">
        <w:rPr>
          <w:rFonts w:ascii="Book Antiqua" w:hAnsi="Book Antiqua" w:cs="Book Antiqua"/>
          <w:b/>
          <w:lang w:val="en"/>
        </w:rPr>
        <w:t xml:space="preserve"> review</w:t>
      </w:r>
    </w:p>
    <w:p w14:paraId="1FFA4B04" w14:textId="77777777" w:rsidR="006D69E6" w:rsidRPr="006A15C2" w:rsidRDefault="006D69E6" w:rsidP="006A15C2">
      <w:pPr>
        <w:widowControl w:val="0"/>
        <w:autoSpaceDE w:val="0"/>
        <w:autoSpaceDN w:val="0"/>
        <w:adjustRightInd w:val="0"/>
        <w:snapToGrid w:val="0"/>
        <w:spacing w:line="360" w:lineRule="auto"/>
        <w:jc w:val="both"/>
        <w:rPr>
          <w:rFonts w:ascii="Book Antiqua" w:hAnsi="Book Antiqua" w:cs="Book Antiqua"/>
          <w:b/>
          <w:bCs/>
          <w:lang w:val="en" w:eastAsia="zh-CN"/>
        </w:rPr>
      </w:pPr>
    </w:p>
    <w:p w14:paraId="2E978049" w14:textId="209582D9" w:rsidR="00687605" w:rsidRPr="006A15C2" w:rsidRDefault="006A15C2" w:rsidP="006A15C2">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Cavalcoli</w:t>
      </w:r>
      <w:r w:rsidRPr="006A15C2">
        <w:rPr>
          <w:rFonts w:ascii="Book Antiqua" w:hAnsi="Book Antiqua" w:cs="Book Antiqua"/>
          <w:b/>
          <w:bCs/>
          <w:lang w:val="en"/>
        </w:rPr>
        <w:t xml:space="preserve"> </w:t>
      </w:r>
      <w:r w:rsidRPr="006A15C2">
        <w:rPr>
          <w:rFonts w:ascii="Book Antiqua" w:hAnsi="Book Antiqua" w:cs="Book Antiqua"/>
          <w:lang w:val="en"/>
        </w:rPr>
        <w:t>F</w:t>
      </w:r>
      <w:r>
        <w:rPr>
          <w:rFonts w:ascii="Book Antiqua" w:hAnsi="Book Antiqua" w:cs="Book Antiqua" w:hint="eastAsia"/>
          <w:lang w:val="en" w:eastAsia="zh-CN"/>
        </w:rPr>
        <w:t xml:space="preserve"> </w:t>
      </w:r>
      <w:r w:rsidRPr="006A15C2">
        <w:rPr>
          <w:rFonts w:ascii="Book Antiqua" w:hAnsi="Book Antiqua" w:cs="Book Antiqua" w:hint="eastAsia"/>
          <w:i/>
          <w:lang w:val="en" w:eastAsia="zh-CN"/>
        </w:rPr>
        <w:t>et al</w:t>
      </w:r>
      <w:r>
        <w:rPr>
          <w:rFonts w:ascii="Book Antiqua" w:hAnsi="Book Antiqua" w:cs="Book Antiqua" w:hint="eastAsia"/>
          <w:lang w:val="en" w:eastAsia="zh-CN"/>
        </w:rPr>
        <w:t>.</w:t>
      </w:r>
      <w:r w:rsidRPr="006A15C2">
        <w:rPr>
          <w:rFonts w:ascii="Book Antiqua" w:hAnsi="Book Antiqua" w:cs="Book Antiqua"/>
          <w:lang w:val="en"/>
        </w:rPr>
        <w:t xml:space="preserve"> </w:t>
      </w:r>
      <w:r w:rsidR="00687605" w:rsidRPr="006A15C2">
        <w:rPr>
          <w:rFonts w:ascii="Book Antiqua" w:hAnsi="Book Antiqua" w:cs="Book Antiqua"/>
          <w:lang w:val="en"/>
        </w:rPr>
        <w:t>Nutritional deficiency in atrophic autoimmune gastritis</w:t>
      </w:r>
    </w:p>
    <w:p w14:paraId="245DD55D"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b/>
          <w:bCs/>
          <w:lang w:val="en"/>
        </w:rPr>
      </w:pPr>
    </w:p>
    <w:p w14:paraId="22C97130" w14:textId="54DBE2C2" w:rsidR="006A15C2" w:rsidRDefault="006A15C2" w:rsidP="006A15C2">
      <w:pPr>
        <w:widowControl w:val="0"/>
        <w:autoSpaceDE w:val="0"/>
        <w:autoSpaceDN w:val="0"/>
        <w:adjustRightInd w:val="0"/>
        <w:snapToGrid w:val="0"/>
        <w:spacing w:line="360" w:lineRule="auto"/>
        <w:jc w:val="both"/>
        <w:rPr>
          <w:rFonts w:ascii="Book Antiqua" w:hAnsi="Book Antiqua" w:cs="Book Antiqua"/>
          <w:b/>
          <w:lang w:val="en" w:eastAsia="zh-CN"/>
        </w:rPr>
      </w:pPr>
      <w:r w:rsidRPr="006A15C2">
        <w:rPr>
          <w:rFonts w:ascii="Book Antiqua" w:hAnsi="Book Antiqua" w:cs="Book Antiqua"/>
          <w:b/>
          <w:lang w:val="en"/>
        </w:rPr>
        <w:t>Federica Cavalcoli, Alessandra Zilli, Dario Conte, Sara Massironi</w:t>
      </w:r>
    </w:p>
    <w:p w14:paraId="129713BB" w14:textId="77777777" w:rsidR="006A15C2" w:rsidRDefault="006A15C2" w:rsidP="006A15C2">
      <w:pPr>
        <w:widowControl w:val="0"/>
        <w:autoSpaceDE w:val="0"/>
        <w:autoSpaceDN w:val="0"/>
        <w:adjustRightInd w:val="0"/>
        <w:snapToGrid w:val="0"/>
        <w:spacing w:line="360" w:lineRule="auto"/>
        <w:jc w:val="both"/>
        <w:rPr>
          <w:rFonts w:ascii="Book Antiqua" w:hAnsi="Book Antiqua" w:cs="Book Antiqua"/>
          <w:vertAlign w:val="superscript"/>
          <w:lang w:val="en" w:eastAsia="zh-CN"/>
        </w:rPr>
      </w:pPr>
    </w:p>
    <w:p w14:paraId="2B94D9F4" w14:textId="7DDCB252" w:rsidR="00687605" w:rsidRPr="006A15C2" w:rsidRDefault="006A15C2" w:rsidP="006A15C2">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b/>
          <w:lang w:val="en"/>
        </w:rPr>
        <w:t>Federica Cavalcoli, Alessandra Zilli, Dario Conte, Sara Massironi</w:t>
      </w:r>
      <w:r w:rsidRPr="006A15C2">
        <w:rPr>
          <w:rFonts w:ascii="Book Antiqua" w:hAnsi="Book Antiqua" w:cs="Book Antiqua" w:hint="eastAsia"/>
          <w:b/>
          <w:lang w:val="en" w:eastAsia="zh-CN"/>
        </w:rPr>
        <w:t>,</w:t>
      </w:r>
      <w:r>
        <w:rPr>
          <w:rFonts w:ascii="Book Antiqua" w:hAnsi="Book Antiqua" w:cs="Book Antiqua" w:hint="eastAsia"/>
          <w:vertAlign w:val="superscript"/>
          <w:lang w:val="en" w:eastAsia="zh-CN"/>
        </w:rPr>
        <w:t xml:space="preserve"> </w:t>
      </w:r>
      <w:r w:rsidR="00687605" w:rsidRPr="006A15C2">
        <w:rPr>
          <w:rFonts w:ascii="Book Antiqua" w:hAnsi="Book Antiqua" w:cs="Book Antiqua"/>
          <w:lang w:val="en"/>
        </w:rPr>
        <w:t>Gastroenterology and Endoscopy Unit, Fondazione IRCCS Ca’ Granda Ospedale Maggiore Policlinico,</w:t>
      </w:r>
      <w:r w:rsidR="00336B61" w:rsidRPr="006A15C2">
        <w:rPr>
          <w:rFonts w:ascii="Book Antiqua" w:hAnsi="Book Antiqua" w:cs="Book Antiqua"/>
          <w:lang w:val="en"/>
        </w:rPr>
        <w:t xml:space="preserve"> 20122</w:t>
      </w:r>
      <w:r w:rsidR="00687605" w:rsidRPr="006A15C2">
        <w:rPr>
          <w:rFonts w:ascii="Book Antiqua" w:hAnsi="Book Antiqua" w:cs="Book Antiqua"/>
          <w:lang w:val="en"/>
        </w:rPr>
        <w:t xml:space="preserve"> Milan, Italy</w:t>
      </w:r>
    </w:p>
    <w:p w14:paraId="2507F450" w14:textId="77777777" w:rsidR="006A15C2" w:rsidRDefault="006A15C2" w:rsidP="006A15C2">
      <w:pPr>
        <w:widowControl w:val="0"/>
        <w:autoSpaceDE w:val="0"/>
        <w:autoSpaceDN w:val="0"/>
        <w:adjustRightInd w:val="0"/>
        <w:snapToGrid w:val="0"/>
        <w:spacing w:line="360" w:lineRule="auto"/>
        <w:jc w:val="both"/>
        <w:rPr>
          <w:rFonts w:ascii="Book Antiqua" w:hAnsi="Book Antiqua" w:cs="Book Antiqua"/>
          <w:vertAlign w:val="superscript"/>
          <w:lang w:val="en" w:eastAsia="zh-CN"/>
        </w:rPr>
      </w:pPr>
    </w:p>
    <w:p w14:paraId="087A42C8" w14:textId="05B17199" w:rsidR="00687605" w:rsidRPr="006A15C2" w:rsidRDefault="006A15C2" w:rsidP="006A15C2">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b/>
          <w:lang w:val="en"/>
        </w:rPr>
        <w:t>Federica Cavalcoli, Alessandra Zilli, Dario Conte,</w:t>
      </w:r>
      <w:r>
        <w:rPr>
          <w:rFonts w:ascii="Book Antiqua" w:hAnsi="Book Antiqua" w:cs="Book Antiqua" w:hint="eastAsia"/>
          <w:vertAlign w:val="superscript"/>
          <w:lang w:val="en" w:eastAsia="zh-CN"/>
        </w:rPr>
        <w:t xml:space="preserve"> </w:t>
      </w:r>
      <w:r w:rsidR="00687605" w:rsidRPr="006A15C2">
        <w:rPr>
          <w:rFonts w:ascii="Book Antiqua" w:hAnsi="Book Antiqua" w:cs="Book Antiqua"/>
          <w:lang w:val="en"/>
        </w:rPr>
        <w:t xml:space="preserve">Postgraduate School of Gastroenterology, Department of Pathophysiology and Transplantation, Università degli Studi di Milano, </w:t>
      </w:r>
      <w:r w:rsidRPr="006A15C2">
        <w:rPr>
          <w:rFonts w:ascii="Book Antiqua" w:hAnsi="Book Antiqua" w:cs="Book Antiqua"/>
          <w:lang w:val="en"/>
        </w:rPr>
        <w:t>20122</w:t>
      </w:r>
      <w:r>
        <w:rPr>
          <w:rFonts w:ascii="Book Antiqua" w:hAnsi="Book Antiqua" w:cs="Book Antiqua" w:hint="eastAsia"/>
          <w:lang w:val="en" w:eastAsia="zh-CN"/>
        </w:rPr>
        <w:t xml:space="preserve"> </w:t>
      </w:r>
      <w:r w:rsidR="00687605" w:rsidRPr="006A15C2">
        <w:rPr>
          <w:rFonts w:ascii="Book Antiqua" w:hAnsi="Book Antiqua" w:cs="Book Antiqua"/>
          <w:lang w:val="en"/>
        </w:rPr>
        <w:t>Milan, Italy</w:t>
      </w:r>
    </w:p>
    <w:p w14:paraId="1B40A1C1" w14:textId="77777777" w:rsidR="00476E61" w:rsidRPr="006A15C2" w:rsidRDefault="00476E61" w:rsidP="006A15C2">
      <w:pPr>
        <w:snapToGrid w:val="0"/>
        <w:spacing w:line="360" w:lineRule="auto"/>
        <w:jc w:val="both"/>
        <w:rPr>
          <w:rFonts w:ascii="Book Antiqua" w:hAnsi="Book Antiqua"/>
          <w:b/>
        </w:rPr>
      </w:pPr>
    </w:p>
    <w:p w14:paraId="22330B2E" w14:textId="75496E37" w:rsidR="00476E61" w:rsidRPr="006A15C2" w:rsidRDefault="00476E61" w:rsidP="006A15C2">
      <w:pPr>
        <w:snapToGrid w:val="0"/>
        <w:spacing w:line="360" w:lineRule="auto"/>
        <w:jc w:val="both"/>
        <w:rPr>
          <w:rFonts w:ascii="Book Antiqua" w:hAnsi="Book Antiqua"/>
        </w:rPr>
      </w:pPr>
      <w:r w:rsidRPr="006A15C2">
        <w:rPr>
          <w:rFonts w:ascii="Book Antiqua" w:hAnsi="Book Antiqua"/>
          <w:b/>
        </w:rPr>
        <w:t>Author contributions:</w:t>
      </w:r>
      <w:r w:rsidRPr="006A15C2">
        <w:rPr>
          <w:rFonts w:ascii="Book Antiqua" w:hAnsi="Book Antiqua"/>
        </w:rPr>
        <w:t xml:space="preserve"> </w:t>
      </w:r>
      <w:proofErr w:type="spellStart"/>
      <w:r w:rsidRPr="006A15C2">
        <w:rPr>
          <w:rFonts w:ascii="Book Antiqua" w:hAnsi="Book Antiqua"/>
        </w:rPr>
        <w:t>Cavalcoli</w:t>
      </w:r>
      <w:proofErr w:type="spellEnd"/>
      <w:r w:rsidRPr="006A15C2">
        <w:rPr>
          <w:rFonts w:ascii="Book Antiqua" w:hAnsi="Book Antiqua"/>
        </w:rPr>
        <w:t xml:space="preserve"> F and </w:t>
      </w:r>
      <w:proofErr w:type="spellStart"/>
      <w:r w:rsidRPr="006A15C2">
        <w:rPr>
          <w:rFonts w:ascii="Book Antiqua" w:hAnsi="Book Antiqua"/>
        </w:rPr>
        <w:t>Massironi</w:t>
      </w:r>
      <w:proofErr w:type="spellEnd"/>
      <w:r w:rsidRPr="006A15C2">
        <w:rPr>
          <w:rFonts w:ascii="Book Antiqua" w:hAnsi="Book Antiqua"/>
        </w:rPr>
        <w:t xml:space="preserve"> S planned the work; </w:t>
      </w:r>
      <w:proofErr w:type="spellStart"/>
      <w:r w:rsidRPr="006A15C2">
        <w:rPr>
          <w:rFonts w:ascii="Book Antiqua" w:hAnsi="Book Antiqua"/>
        </w:rPr>
        <w:t>Zilli</w:t>
      </w:r>
      <w:proofErr w:type="spellEnd"/>
      <w:r w:rsidRPr="006A15C2">
        <w:rPr>
          <w:rFonts w:ascii="Book Antiqua" w:hAnsi="Book Antiqua"/>
        </w:rPr>
        <w:t xml:space="preserve"> A performed the literature search; </w:t>
      </w:r>
      <w:proofErr w:type="spellStart"/>
      <w:r w:rsidRPr="006A15C2">
        <w:rPr>
          <w:rFonts w:ascii="Book Antiqua" w:hAnsi="Book Antiqua"/>
        </w:rPr>
        <w:t>Zilli</w:t>
      </w:r>
      <w:proofErr w:type="spellEnd"/>
      <w:r w:rsidRPr="006A15C2">
        <w:rPr>
          <w:rFonts w:ascii="Book Antiqua" w:hAnsi="Book Antiqua"/>
        </w:rPr>
        <w:t xml:space="preserve"> A </w:t>
      </w:r>
      <w:r w:rsidR="006A15C2">
        <w:rPr>
          <w:rFonts w:ascii="Book Antiqua" w:hAnsi="Book Antiqua" w:hint="eastAsia"/>
          <w:lang w:eastAsia="zh-CN"/>
        </w:rPr>
        <w:t>and</w:t>
      </w:r>
      <w:r w:rsidRPr="006A15C2">
        <w:rPr>
          <w:rFonts w:ascii="Book Antiqua" w:hAnsi="Book Antiqua"/>
        </w:rPr>
        <w:t xml:space="preserve"> </w:t>
      </w:r>
      <w:proofErr w:type="spellStart"/>
      <w:r w:rsidRPr="006A15C2">
        <w:rPr>
          <w:rFonts w:ascii="Book Antiqua" w:hAnsi="Book Antiqua"/>
        </w:rPr>
        <w:t>Cavalcoli</w:t>
      </w:r>
      <w:proofErr w:type="spellEnd"/>
      <w:r w:rsidRPr="006A15C2">
        <w:rPr>
          <w:rFonts w:ascii="Book Antiqua" w:hAnsi="Book Antiqua"/>
        </w:rPr>
        <w:t xml:space="preserve"> F wrote the first draft of the manuscript; </w:t>
      </w:r>
      <w:proofErr w:type="spellStart"/>
      <w:r w:rsidRPr="006A15C2">
        <w:rPr>
          <w:rFonts w:ascii="Book Antiqua" w:hAnsi="Book Antiqua"/>
        </w:rPr>
        <w:t>Massironi</w:t>
      </w:r>
      <w:proofErr w:type="spellEnd"/>
      <w:r w:rsidRPr="006A15C2">
        <w:rPr>
          <w:rFonts w:ascii="Book Antiqua" w:hAnsi="Book Antiqua"/>
        </w:rPr>
        <w:t xml:space="preserve"> S, </w:t>
      </w:r>
      <w:proofErr w:type="spellStart"/>
      <w:r w:rsidRPr="006A15C2">
        <w:rPr>
          <w:rFonts w:ascii="Book Antiqua" w:hAnsi="Book Antiqua"/>
        </w:rPr>
        <w:t>Cavalcoli</w:t>
      </w:r>
      <w:proofErr w:type="spellEnd"/>
      <w:r w:rsidRPr="006A15C2">
        <w:rPr>
          <w:rFonts w:ascii="Book Antiqua" w:hAnsi="Book Antiqua"/>
        </w:rPr>
        <w:t xml:space="preserve"> F and </w:t>
      </w:r>
      <w:proofErr w:type="spellStart"/>
      <w:r w:rsidRPr="006A15C2">
        <w:rPr>
          <w:rFonts w:ascii="Book Antiqua" w:hAnsi="Book Antiqua"/>
        </w:rPr>
        <w:t>Zilli</w:t>
      </w:r>
      <w:proofErr w:type="spellEnd"/>
      <w:r w:rsidRPr="006A15C2">
        <w:rPr>
          <w:rFonts w:ascii="Book Antiqua" w:hAnsi="Book Antiqua"/>
        </w:rPr>
        <w:t xml:space="preserve"> A edited the subsequent versions of the manuscript; Conte D critically revised the manuscript for relevant intellectual content</w:t>
      </w:r>
      <w:r w:rsidR="006A15C2">
        <w:rPr>
          <w:rFonts w:ascii="Book Antiqua" w:hAnsi="Book Antiqua" w:hint="eastAsia"/>
          <w:lang w:eastAsia="zh-CN"/>
        </w:rPr>
        <w:t>;</w:t>
      </w:r>
      <w:r w:rsidRPr="006A15C2">
        <w:rPr>
          <w:rFonts w:ascii="Book Antiqua" w:hAnsi="Book Antiqua"/>
        </w:rPr>
        <w:t xml:space="preserve"> </w:t>
      </w:r>
      <w:r w:rsidR="006A15C2" w:rsidRPr="006A15C2">
        <w:rPr>
          <w:rFonts w:ascii="Book Antiqua" w:hAnsi="Book Antiqua"/>
        </w:rPr>
        <w:t>f</w:t>
      </w:r>
      <w:r w:rsidRPr="006A15C2">
        <w:rPr>
          <w:rFonts w:ascii="Book Antiqua" w:hAnsi="Book Antiqua"/>
        </w:rPr>
        <w:t>inally, all authors read and approved the final manuscript.</w:t>
      </w:r>
    </w:p>
    <w:p w14:paraId="31D53505" w14:textId="77777777" w:rsidR="006D69E6" w:rsidRPr="006A15C2" w:rsidRDefault="006D69E6" w:rsidP="006A15C2">
      <w:pPr>
        <w:widowControl w:val="0"/>
        <w:autoSpaceDE w:val="0"/>
        <w:autoSpaceDN w:val="0"/>
        <w:adjustRightInd w:val="0"/>
        <w:snapToGrid w:val="0"/>
        <w:spacing w:line="360" w:lineRule="auto"/>
        <w:jc w:val="both"/>
        <w:rPr>
          <w:rFonts w:ascii="Book Antiqua" w:hAnsi="Book Antiqua" w:cs="Book Antiqua"/>
          <w:b/>
          <w:bCs/>
          <w:lang w:val="en" w:eastAsia="zh-CN"/>
        </w:rPr>
      </w:pPr>
    </w:p>
    <w:p w14:paraId="29A759ED"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b/>
          <w:bCs/>
          <w:lang w:val="en"/>
        </w:rPr>
        <w:t>Conflict-of-interest statement:</w:t>
      </w:r>
      <w:r w:rsidRPr="006A15C2">
        <w:rPr>
          <w:rFonts w:ascii="Book Antiqua" w:hAnsi="Book Antiqua" w:cs="Book Antiqua"/>
          <w:lang w:val="en"/>
        </w:rPr>
        <w:t xml:space="preserve"> No conflict</w:t>
      </w:r>
      <w:r w:rsidR="00A81F67" w:rsidRPr="006A15C2">
        <w:rPr>
          <w:rFonts w:ascii="Book Antiqua" w:hAnsi="Book Antiqua" w:cs="Book Antiqua"/>
          <w:lang w:val="en"/>
        </w:rPr>
        <w:t xml:space="preserve"> of </w:t>
      </w:r>
      <w:r w:rsidRPr="006A15C2">
        <w:rPr>
          <w:rFonts w:ascii="Book Antiqua" w:hAnsi="Book Antiqua" w:cs="Book Antiqua"/>
          <w:lang w:val="en"/>
        </w:rPr>
        <w:t>interests (including but not limited to commercial, personal, political, intellectual, or religious interests) to declare.</w:t>
      </w:r>
    </w:p>
    <w:p w14:paraId="12587C88" w14:textId="77777777" w:rsidR="00773E2E" w:rsidRDefault="00773E2E" w:rsidP="006A15C2">
      <w:pPr>
        <w:widowControl w:val="0"/>
        <w:autoSpaceDE w:val="0"/>
        <w:autoSpaceDN w:val="0"/>
        <w:adjustRightInd w:val="0"/>
        <w:snapToGrid w:val="0"/>
        <w:spacing w:line="360" w:lineRule="auto"/>
        <w:jc w:val="both"/>
        <w:rPr>
          <w:rFonts w:ascii="Book Antiqua" w:hAnsi="Book Antiqua" w:cs="Book Antiqua"/>
          <w:lang w:val="en" w:eastAsia="zh-CN"/>
        </w:rPr>
      </w:pPr>
    </w:p>
    <w:p w14:paraId="7E4A1D68" w14:textId="77777777" w:rsidR="006A15C2" w:rsidRPr="00005305" w:rsidRDefault="006A15C2" w:rsidP="006A15C2">
      <w:pPr>
        <w:pStyle w:val="1"/>
        <w:snapToGrid w:val="0"/>
        <w:spacing w:line="360" w:lineRule="auto"/>
        <w:jc w:val="both"/>
        <w:rPr>
          <w:rFonts w:ascii="Book Antiqua" w:hAnsi="Book Antiqua" w:cs="Times New Roman"/>
          <w:bCs/>
          <w:color w:val="auto"/>
          <w:sz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0" w:name="OLE_LINK479"/>
      <w:bookmarkStart w:id="11" w:name="OLE_LINK496"/>
      <w:bookmarkStart w:id="12" w:name="OLE_LINK506"/>
      <w:bookmarkStart w:id="1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14:paraId="7C572AF8" w14:textId="77777777" w:rsidR="006A15C2" w:rsidRDefault="006A15C2" w:rsidP="006A15C2">
      <w:pPr>
        <w:pStyle w:val="1"/>
        <w:snapToGrid w:val="0"/>
        <w:spacing w:line="360" w:lineRule="auto"/>
        <w:jc w:val="both"/>
        <w:rPr>
          <w:rFonts w:ascii="Book Antiqua" w:hAnsi="Book Antiqua" w:cs="Times New Roman"/>
          <w:b/>
          <w:bCs/>
          <w:color w:val="FF0000"/>
          <w:sz w:val="24"/>
          <w:highlight w:val="white"/>
          <w:lang w:val="en-US" w:eastAsia="zh-CN"/>
        </w:rPr>
      </w:pPr>
    </w:p>
    <w:p w14:paraId="3718669A" w14:textId="77777777" w:rsidR="006A15C2" w:rsidRDefault="006A15C2" w:rsidP="006A15C2">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4850C9B6" w14:textId="77777777" w:rsidR="006A15C2" w:rsidRPr="006A15C2" w:rsidRDefault="006A15C2" w:rsidP="006A15C2">
      <w:pPr>
        <w:widowControl w:val="0"/>
        <w:autoSpaceDE w:val="0"/>
        <w:autoSpaceDN w:val="0"/>
        <w:adjustRightInd w:val="0"/>
        <w:snapToGrid w:val="0"/>
        <w:spacing w:line="360" w:lineRule="auto"/>
        <w:jc w:val="both"/>
        <w:rPr>
          <w:rFonts w:ascii="Book Antiqua" w:hAnsi="Book Antiqua" w:cs="Book Antiqua"/>
          <w:lang w:val="en-US" w:eastAsia="zh-CN"/>
        </w:rPr>
      </w:pPr>
    </w:p>
    <w:p w14:paraId="0F36F7E3" w14:textId="3DB0F26B" w:rsidR="00687605" w:rsidRPr="006A15C2" w:rsidRDefault="006A15C2" w:rsidP="006A15C2">
      <w:pPr>
        <w:widowControl w:val="0"/>
        <w:autoSpaceDE w:val="0"/>
        <w:autoSpaceDN w:val="0"/>
        <w:adjustRightInd w:val="0"/>
        <w:snapToGrid w:val="0"/>
        <w:spacing w:line="360" w:lineRule="auto"/>
        <w:jc w:val="both"/>
        <w:rPr>
          <w:rFonts w:ascii="Book Antiqua" w:hAnsi="Book Antiqua" w:cs="Book Antiqua"/>
          <w:b/>
          <w:bCs/>
          <w:lang w:val="de-DE"/>
        </w:rPr>
      </w:pPr>
      <w:r w:rsidRPr="006A15C2">
        <w:rPr>
          <w:rFonts w:ascii="Book Antiqua" w:hAnsi="Book Antiqua" w:cs="Book Antiqua"/>
          <w:b/>
          <w:bCs/>
          <w:lang w:val="en-US"/>
        </w:rPr>
        <w:t>Correspondence to:</w:t>
      </w:r>
      <w:r>
        <w:rPr>
          <w:rFonts w:ascii="Book Antiqua" w:hAnsi="Book Antiqua" w:cs="Book Antiqua" w:hint="eastAsia"/>
          <w:b/>
          <w:bCs/>
          <w:lang w:val="de-DE" w:eastAsia="zh-CN"/>
        </w:rPr>
        <w:t xml:space="preserve"> </w:t>
      </w:r>
      <w:r w:rsidRPr="006A15C2">
        <w:rPr>
          <w:rFonts w:ascii="Book Antiqua" w:hAnsi="Book Antiqua" w:cs="Book Antiqua"/>
          <w:b/>
          <w:lang w:val="en"/>
        </w:rPr>
        <w:t>Federica Cavalcoli, MD</w:t>
      </w:r>
      <w:r w:rsidRPr="006A15C2">
        <w:rPr>
          <w:rFonts w:ascii="Book Antiqua" w:hAnsi="Book Antiqua" w:cs="Book Antiqua" w:hint="eastAsia"/>
          <w:b/>
          <w:lang w:val="en" w:eastAsia="zh-CN"/>
        </w:rPr>
        <w:t>,</w:t>
      </w:r>
      <w:r>
        <w:rPr>
          <w:rFonts w:ascii="Book Antiqua" w:hAnsi="Book Antiqua" w:cs="Book Antiqua" w:hint="eastAsia"/>
          <w:lang w:val="en" w:eastAsia="zh-CN"/>
        </w:rPr>
        <w:t xml:space="preserve"> </w:t>
      </w:r>
      <w:r w:rsidR="00687605" w:rsidRPr="006A15C2">
        <w:rPr>
          <w:rFonts w:ascii="Book Antiqua" w:hAnsi="Book Antiqua" w:cs="Book Antiqua"/>
          <w:lang w:val="en"/>
        </w:rPr>
        <w:t>Gastroenterology and Endoscopy Unit, Fondazione IRCCS Ca’ Granda Ospedale Maggiore Policlinico</w:t>
      </w:r>
      <w:r>
        <w:rPr>
          <w:rFonts w:ascii="Book Antiqua" w:hAnsi="Book Antiqua" w:cs="Book Antiqua" w:hint="eastAsia"/>
          <w:lang w:val="en" w:eastAsia="zh-CN"/>
        </w:rPr>
        <w:t xml:space="preserve">, </w:t>
      </w:r>
      <w:r w:rsidR="00687605" w:rsidRPr="006A15C2">
        <w:rPr>
          <w:rFonts w:ascii="Book Antiqua" w:hAnsi="Book Antiqua" w:cs="Book Antiqua"/>
          <w:lang w:val="en"/>
        </w:rPr>
        <w:t>Via F. Sforza 35, 20122 Milano, Italy</w:t>
      </w:r>
      <w:r>
        <w:rPr>
          <w:rFonts w:ascii="Book Antiqua" w:hAnsi="Book Antiqua" w:cs="Book Antiqua" w:hint="eastAsia"/>
          <w:lang w:val="en" w:eastAsia="zh-CN"/>
        </w:rPr>
        <w:t xml:space="preserve">. </w:t>
      </w:r>
      <w:r w:rsidRPr="006A15C2">
        <w:rPr>
          <w:rFonts w:ascii="Book Antiqua" w:hAnsi="Book Antiqua" w:cs="Book Antiqua"/>
          <w:lang w:val="en"/>
        </w:rPr>
        <w:t>cavalcoli.federica@gmail.com</w:t>
      </w:r>
    </w:p>
    <w:p w14:paraId="5B5FDAA7" w14:textId="6F800569" w:rsidR="006D69E6" w:rsidRPr="006A15C2" w:rsidRDefault="006A15C2"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hint="eastAsia"/>
          <w:b/>
          <w:lang w:val="en-US"/>
        </w:rPr>
        <w:t>Telephone:</w:t>
      </w:r>
      <w:r w:rsidR="00BB240F">
        <w:rPr>
          <w:rFonts w:ascii="Book Antiqua" w:hAnsi="Book Antiqua" w:cs="Book Antiqua"/>
          <w:lang w:val="en"/>
        </w:rPr>
        <w:t xml:space="preserve"> +39-</w:t>
      </w:r>
      <w:r>
        <w:rPr>
          <w:rFonts w:ascii="Book Antiqua" w:hAnsi="Book Antiqua" w:cs="Book Antiqua"/>
          <w:lang w:val="en"/>
        </w:rPr>
        <w:t>2-55033445</w:t>
      </w:r>
    </w:p>
    <w:p w14:paraId="4AD080A7" w14:textId="07BDAB82" w:rsidR="00687605"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b/>
          <w:lang w:val="en"/>
        </w:rPr>
        <w:t>Fax:</w:t>
      </w:r>
      <w:r w:rsidR="00BB240F">
        <w:rPr>
          <w:rFonts w:ascii="Book Antiqua" w:hAnsi="Book Antiqua" w:cs="Book Antiqua"/>
          <w:lang w:val="en"/>
        </w:rPr>
        <w:t xml:space="preserve"> +39-</w:t>
      </w:r>
      <w:r w:rsidRPr="006A15C2">
        <w:rPr>
          <w:rFonts w:ascii="Book Antiqua" w:hAnsi="Book Antiqua" w:cs="Book Antiqua"/>
          <w:lang w:val="en"/>
        </w:rPr>
        <w:t>2-55033644</w:t>
      </w:r>
    </w:p>
    <w:p w14:paraId="41F1E409" w14:textId="77777777" w:rsidR="006A15C2" w:rsidRDefault="006A15C2" w:rsidP="006A15C2">
      <w:pPr>
        <w:widowControl w:val="0"/>
        <w:autoSpaceDE w:val="0"/>
        <w:autoSpaceDN w:val="0"/>
        <w:adjustRightInd w:val="0"/>
        <w:snapToGrid w:val="0"/>
        <w:spacing w:line="360" w:lineRule="auto"/>
        <w:jc w:val="both"/>
        <w:rPr>
          <w:rFonts w:ascii="Book Antiqua" w:hAnsi="Book Antiqua" w:cs="Book Antiqua"/>
          <w:lang w:val="en" w:eastAsia="zh-CN"/>
        </w:rPr>
      </w:pPr>
    </w:p>
    <w:p w14:paraId="75B275E2" w14:textId="7A02BB6E" w:rsidR="006A15C2" w:rsidRPr="006A15C2" w:rsidRDefault="006A15C2" w:rsidP="006A15C2">
      <w:pPr>
        <w:widowControl w:val="0"/>
        <w:autoSpaceDE w:val="0"/>
        <w:autoSpaceDN w:val="0"/>
        <w:adjustRightInd w:val="0"/>
        <w:snapToGrid w:val="0"/>
        <w:spacing w:line="360" w:lineRule="auto"/>
        <w:jc w:val="both"/>
        <w:rPr>
          <w:rFonts w:ascii="Book Antiqua" w:hAnsi="Book Antiqua" w:cs="Book Antiqua"/>
          <w:b/>
          <w:lang w:val="en-US" w:eastAsia="zh-CN"/>
        </w:rPr>
      </w:pPr>
      <w:bookmarkStart w:id="14" w:name="OLE_LINK952"/>
      <w:r w:rsidRPr="006A15C2">
        <w:rPr>
          <w:rFonts w:ascii="Book Antiqua" w:hAnsi="Book Antiqua" w:cs="Book Antiqua"/>
          <w:b/>
          <w:lang w:val="en-US" w:eastAsia="zh-CN"/>
        </w:rPr>
        <w:t>Received:</w:t>
      </w:r>
      <w:r>
        <w:rPr>
          <w:rFonts w:ascii="Book Antiqua" w:hAnsi="Book Antiqua" w:cs="Book Antiqua" w:hint="eastAsia"/>
          <w:b/>
          <w:lang w:val="en-US" w:eastAsia="zh-CN"/>
        </w:rPr>
        <w:t xml:space="preserve"> </w:t>
      </w:r>
      <w:r w:rsidRPr="006A15C2">
        <w:rPr>
          <w:rFonts w:ascii="Book Antiqua" w:hAnsi="Book Antiqua" w:cs="Book Antiqua" w:hint="eastAsia"/>
          <w:lang w:val="en-US" w:eastAsia="zh-CN"/>
        </w:rPr>
        <w:t>August 28, 2016</w:t>
      </w:r>
    </w:p>
    <w:p w14:paraId="5A615A95" w14:textId="10FC5732" w:rsidR="006A15C2" w:rsidRPr="006A15C2" w:rsidRDefault="006A15C2" w:rsidP="006A15C2">
      <w:pPr>
        <w:widowControl w:val="0"/>
        <w:autoSpaceDE w:val="0"/>
        <w:autoSpaceDN w:val="0"/>
        <w:adjustRightInd w:val="0"/>
        <w:snapToGrid w:val="0"/>
        <w:spacing w:line="360" w:lineRule="auto"/>
        <w:jc w:val="both"/>
        <w:rPr>
          <w:rFonts w:ascii="Book Antiqua" w:hAnsi="Book Antiqua" w:cs="Book Antiqua"/>
          <w:b/>
          <w:lang w:val="en-US" w:eastAsia="zh-CN"/>
        </w:rPr>
      </w:pPr>
      <w:r w:rsidRPr="006A15C2">
        <w:rPr>
          <w:rFonts w:ascii="Book Antiqua" w:hAnsi="Book Antiqua" w:cs="Book Antiqua"/>
          <w:b/>
          <w:lang w:val="en-US" w:eastAsia="zh-CN"/>
        </w:rPr>
        <w:t>Peer-review started:</w:t>
      </w:r>
      <w:r w:rsidRPr="006A15C2">
        <w:rPr>
          <w:rFonts w:ascii="Book Antiqua" w:hAnsi="Book Antiqua" w:cs="Book Antiqua" w:hint="eastAsia"/>
          <w:b/>
          <w:lang w:val="en-US" w:eastAsia="zh-CN"/>
        </w:rPr>
        <w:t xml:space="preserve"> </w:t>
      </w:r>
      <w:r w:rsidRPr="006A15C2">
        <w:rPr>
          <w:rFonts w:ascii="Book Antiqua" w:hAnsi="Book Antiqua" w:cs="Book Antiqua" w:hint="eastAsia"/>
          <w:lang w:val="en-US" w:eastAsia="zh-CN"/>
        </w:rPr>
        <w:t xml:space="preserve">August </w:t>
      </w:r>
      <w:r>
        <w:rPr>
          <w:rFonts w:ascii="Book Antiqua" w:hAnsi="Book Antiqua" w:cs="Book Antiqua" w:hint="eastAsia"/>
          <w:lang w:val="en-US" w:eastAsia="zh-CN"/>
        </w:rPr>
        <w:t>31</w:t>
      </w:r>
      <w:r w:rsidRPr="006A15C2">
        <w:rPr>
          <w:rFonts w:ascii="Book Antiqua" w:hAnsi="Book Antiqua" w:cs="Book Antiqua" w:hint="eastAsia"/>
          <w:lang w:val="en-US" w:eastAsia="zh-CN"/>
        </w:rPr>
        <w:t>, 2016</w:t>
      </w:r>
    </w:p>
    <w:p w14:paraId="63DCED27" w14:textId="3BA9E61E" w:rsidR="006A15C2" w:rsidRPr="006A15C2" w:rsidRDefault="006A15C2" w:rsidP="006A15C2">
      <w:pPr>
        <w:widowControl w:val="0"/>
        <w:autoSpaceDE w:val="0"/>
        <w:autoSpaceDN w:val="0"/>
        <w:adjustRightInd w:val="0"/>
        <w:snapToGrid w:val="0"/>
        <w:spacing w:line="360" w:lineRule="auto"/>
        <w:jc w:val="both"/>
        <w:rPr>
          <w:rFonts w:ascii="Book Antiqua" w:hAnsi="Book Antiqua" w:cs="Book Antiqua"/>
          <w:b/>
          <w:lang w:val="en-US" w:eastAsia="zh-CN"/>
        </w:rPr>
      </w:pPr>
      <w:r w:rsidRPr="006A15C2">
        <w:rPr>
          <w:rFonts w:ascii="Book Antiqua" w:hAnsi="Book Antiqua" w:cs="Book Antiqua"/>
          <w:b/>
          <w:lang w:val="en-US" w:eastAsia="zh-CN"/>
        </w:rPr>
        <w:t>First decision:</w:t>
      </w:r>
      <w:r w:rsidRPr="006A15C2">
        <w:rPr>
          <w:rFonts w:ascii="Book Antiqua" w:hAnsi="Book Antiqua" w:cs="Book Antiqua" w:hint="eastAsia"/>
          <w:b/>
          <w:lang w:val="en-US" w:eastAsia="zh-CN"/>
        </w:rPr>
        <w:t xml:space="preserve"> </w:t>
      </w:r>
      <w:r w:rsidRPr="006A15C2">
        <w:rPr>
          <w:rFonts w:ascii="Book Antiqua" w:hAnsi="Book Antiqua" w:cs="Book Antiqua" w:hint="eastAsia"/>
          <w:lang w:val="en-US" w:eastAsia="zh-CN"/>
        </w:rPr>
        <w:t>September 30, 2016</w:t>
      </w:r>
    </w:p>
    <w:p w14:paraId="2D82E801" w14:textId="621BF077" w:rsidR="006A15C2" w:rsidRPr="006A15C2" w:rsidRDefault="006A15C2" w:rsidP="006A15C2">
      <w:pPr>
        <w:widowControl w:val="0"/>
        <w:autoSpaceDE w:val="0"/>
        <w:autoSpaceDN w:val="0"/>
        <w:adjustRightInd w:val="0"/>
        <w:snapToGrid w:val="0"/>
        <w:spacing w:line="360" w:lineRule="auto"/>
        <w:jc w:val="both"/>
        <w:rPr>
          <w:rFonts w:ascii="Book Antiqua" w:hAnsi="Book Antiqua" w:cs="Book Antiqua"/>
          <w:b/>
          <w:lang w:val="en-US" w:eastAsia="zh-CN"/>
        </w:rPr>
      </w:pPr>
      <w:r w:rsidRPr="006A15C2">
        <w:rPr>
          <w:rFonts w:ascii="Book Antiqua" w:hAnsi="Book Antiqua" w:cs="Book Antiqua"/>
          <w:b/>
          <w:lang w:val="en-US" w:eastAsia="zh-CN"/>
        </w:rPr>
        <w:t>Revised:</w:t>
      </w:r>
      <w:r w:rsidRPr="006A15C2">
        <w:rPr>
          <w:rFonts w:ascii="Book Antiqua" w:hAnsi="Book Antiqua" w:cs="Book Antiqua" w:hint="eastAsia"/>
          <w:b/>
          <w:lang w:val="en-US" w:eastAsia="zh-CN"/>
        </w:rPr>
        <w:t xml:space="preserve"> </w:t>
      </w:r>
      <w:r w:rsidRPr="006A15C2">
        <w:rPr>
          <w:rFonts w:ascii="Book Antiqua" w:hAnsi="Book Antiqua" w:cs="Book Antiqua" w:hint="eastAsia"/>
          <w:lang w:val="en-US" w:eastAsia="zh-CN"/>
        </w:rPr>
        <w:t>October 8, 2016</w:t>
      </w:r>
    </w:p>
    <w:p w14:paraId="120B4B5A" w14:textId="46383FB8" w:rsidR="006A15C2" w:rsidRPr="00B17F4E" w:rsidRDefault="006A15C2" w:rsidP="00B17F4E">
      <w:pPr>
        <w:rPr>
          <w:rFonts w:ascii="Book Antiqua" w:hAnsi="Book Antiqua"/>
          <w:iCs/>
        </w:rPr>
      </w:pPr>
      <w:r w:rsidRPr="006A15C2">
        <w:rPr>
          <w:rFonts w:ascii="Book Antiqua" w:hAnsi="Book Antiqua" w:cs="Book Antiqua"/>
          <w:b/>
          <w:lang w:val="en-US" w:eastAsia="zh-CN"/>
        </w:rPr>
        <w:t>Accepted:</w:t>
      </w:r>
      <w:r w:rsidR="00B17F4E">
        <w:rPr>
          <w:rFonts w:ascii="Book Antiqua" w:hAnsi="Book Antiqua" w:cs="Book Antiqua"/>
          <w:b/>
          <w:lang w:val="en-US" w:eastAsia="zh-CN"/>
        </w:rPr>
        <w:t xml:space="preserve"> </w:t>
      </w:r>
      <w:r w:rsidR="00B17F4E">
        <w:rPr>
          <w:rStyle w:val="Emphasis"/>
        </w:rPr>
        <w:t>November</w:t>
      </w:r>
      <w:r w:rsidR="00B17F4E">
        <w:rPr>
          <w:rStyle w:val="Emphasis"/>
          <w:rFonts w:ascii="宋体" w:hAnsi="宋体" w:cs="宋体" w:hint="eastAsia"/>
        </w:rPr>
        <w:t xml:space="preserve"> 12</w:t>
      </w:r>
      <w:r w:rsidR="00B17F4E" w:rsidRPr="00235CD4">
        <w:rPr>
          <w:rStyle w:val="Emphasis"/>
        </w:rPr>
        <w:t>,</w:t>
      </w:r>
      <w:r w:rsidR="00B17F4E">
        <w:rPr>
          <w:rStyle w:val="Emphasis"/>
        </w:rPr>
        <w:t xml:space="preserve"> 2016</w:t>
      </w:r>
      <w:bookmarkStart w:id="15" w:name="_GoBack"/>
      <w:bookmarkEnd w:id="15"/>
    </w:p>
    <w:p w14:paraId="56567F21" w14:textId="77777777" w:rsidR="006A15C2" w:rsidRPr="006A15C2" w:rsidRDefault="006A15C2" w:rsidP="006A15C2">
      <w:pPr>
        <w:widowControl w:val="0"/>
        <w:autoSpaceDE w:val="0"/>
        <w:autoSpaceDN w:val="0"/>
        <w:adjustRightInd w:val="0"/>
        <w:snapToGrid w:val="0"/>
        <w:spacing w:line="360" w:lineRule="auto"/>
        <w:jc w:val="both"/>
        <w:rPr>
          <w:rFonts w:ascii="Book Antiqua" w:hAnsi="Book Antiqua" w:cs="Book Antiqua"/>
          <w:b/>
          <w:lang w:val="en-US" w:eastAsia="zh-CN"/>
        </w:rPr>
      </w:pPr>
      <w:r w:rsidRPr="006A15C2">
        <w:rPr>
          <w:rFonts w:ascii="Book Antiqua" w:hAnsi="Book Antiqua" w:cs="Book Antiqua"/>
          <w:b/>
          <w:lang w:val="en-US" w:eastAsia="zh-CN"/>
        </w:rPr>
        <w:t>Article in press:</w:t>
      </w:r>
    </w:p>
    <w:p w14:paraId="4F58011C" w14:textId="77777777" w:rsidR="006A15C2" w:rsidRPr="006A15C2" w:rsidRDefault="006A15C2" w:rsidP="006A15C2">
      <w:pPr>
        <w:widowControl w:val="0"/>
        <w:autoSpaceDE w:val="0"/>
        <w:autoSpaceDN w:val="0"/>
        <w:adjustRightInd w:val="0"/>
        <w:snapToGrid w:val="0"/>
        <w:spacing w:line="360" w:lineRule="auto"/>
        <w:jc w:val="both"/>
        <w:rPr>
          <w:rFonts w:ascii="Book Antiqua" w:hAnsi="Book Antiqua" w:cs="Book Antiqua"/>
          <w:b/>
          <w:lang w:val="pl-PL" w:eastAsia="zh-CN"/>
        </w:rPr>
      </w:pPr>
      <w:r w:rsidRPr="006A15C2">
        <w:rPr>
          <w:rFonts w:ascii="Book Antiqua" w:hAnsi="Book Antiqua" w:cs="Book Antiqua"/>
          <w:b/>
          <w:lang w:val="pl-PL" w:eastAsia="zh-CN"/>
        </w:rPr>
        <w:t>Published online</w:t>
      </w:r>
      <w:r w:rsidRPr="006A15C2">
        <w:rPr>
          <w:rFonts w:ascii="Book Antiqua" w:hAnsi="Book Antiqua" w:cs="Book Antiqua" w:hint="eastAsia"/>
          <w:b/>
          <w:lang w:val="pl-PL" w:eastAsia="zh-CN"/>
        </w:rPr>
        <w:t>:</w:t>
      </w:r>
    </w:p>
    <w:bookmarkEnd w:id="14"/>
    <w:p w14:paraId="77C61471" w14:textId="77777777" w:rsidR="006A15C2" w:rsidRPr="006A15C2" w:rsidRDefault="006A15C2" w:rsidP="006A15C2">
      <w:pPr>
        <w:widowControl w:val="0"/>
        <w:autoSpaceDE w:val="0"/>
        <w:autoSpaceDN w:val="0"/>
        <w:adjustRightInd w:val="0"/>
        <w:snapToGrid w:val="0"/>
        <w:spacing w:line="360" w:lineRule="auto"/>
        <w:jc w:val="both"/>
        <w:rPr>
          <w:rFonts w:ascii="Book Antiqua" w:hAnsi="Book Antiqua" w:cs="Book Antiqua"/>
          <w:lang w:val="en" w:eastAsia="zh-CN"/>
        </w:rPr>
      </w:pPr>
    </w:p>
    <w:p w14:paraId="3BE4618E"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b/>
          <w:lang w:val="en"/>
        </w:rPr>
      </w:pPr>
      <w:r w:rsidRPr="006A15C2">
        <w:rPr>
          <w:rFonts w:ascii="Book Antiqua" w:hAnsi="Book Antiqua" w:cs="Book Antiqua"/>
          <w:lang w:val="en"/>
        </w:rPr>
        <w:br w:type="page"/>
      </w:r>
    </w:p>
    <w:p w14:paraId="437F6B17" w14:textId="1A57C0E2"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b/>
          <w:lang w:val="en"/>
        </w:rPr>
      </w:pPr>
      <w:r w:rsidRPr="006A15C2">
        <w:rPr>
          <w:rFonts w:ascii="Book Antiqua" w:hAnsi="Book Antiqua" w:cs="Book Antiqua"/>
          <w:b/>
          <w:lang w:val="en"/>
        </w:rPr>
        <w:lastRenderedPageBreak/>
        <w:t>A</w:t>
      </w:r>
      <w:r w:rsidR="006D69E6" w:rsidRPr="006A15C2">
        <w:rPr>
          <w:rFonts w:ascii="Book Antiqua" w:hAnsi="Book Antiqua" w:cs="Book Antiqua"/>
          <w:b/>
          <w:lang w:val="en"/>
        </w:rPr>
        <w:t>bstract</w:t>
      </w:r>
    </w:p>
    <w:p w14:paraId="0A3C176B"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color w:val="000000"/>
          <w:lang w:val="en"/>
        </w:rPr>
      </w:pPr>
      <w:r w:rsidRPr="006A15C2">
        <w:rPr>
          <w:rFonts w:ascii="Book Antiqua" w:hAnsi="Book Antiqua" w:cs="Book Antiqua"/>
          <w:lang w:val="en"/>
        </w:rPr>
        <w:t>Chronic atrophic a</w:t>
      </w:r>
      <w:r w:rsidRPr="006A15C2">
        <w:rPr>
          <w:rFonts w:ascii="Book Antiqua" w:hAnsi="Book Antiqua" w:cs="Book Antiqua"/>
          <w:color w:val="000000"/>
          <w:lang w:val="en"/>
        </w:rPr>
        <w:t xml:space="preserve">utoimmune gastritis (CAAG) </w:t>
      </w:r>
      <w:r w:rsidRPr="006A15C2">
        <w:rPr>
          <w:rFonts w:ascii="Book Antiqua" w:hAnsi="Book Antiqua" w:cs="Book Antiqua"/>
          <w:lang w:val="en"/>
        </w:rPr>
        <w:t>is an organ-specific autoimmune disease characterized by</w:t>
      </w:r>
      <w:r w:rsidRPr="006A15C2">
        <w:rPr>
          <w:rFonts w:ascii="Book Antiqua" w:hAnsi="Book Antiqua" w:cs="Book Antiqua"/>
          <w:color w:val="000000"/>
          <w:lang w:val="en"/>
        </w:rPr>
        <w:t xml:space="preserve"> </w:t>
      </w:r>
      <w:r w:rsidRPr="006A15C2">
        <w:rPr>
          <w:rFonts w:ascii="Book Antiqua" w:hAnsi="Book Antiqua" w:cs="Book Antiqua"/>
          <w:color w:val="252525"/>
          <w:lang w:val="en"/>
        </w:rPr>
        <w:t>an immune response</w:t>
      </w:r>
      <w:r w:rsidR="009F4996" w:rsidRPr="006A15C2">
        <w:rPr>
          <w:rFonts w:ascii="Book Antiqua" w:hAnsi="Book Antiqua" w:cs="Book Antiqua"/>
          <w:color w:val="252525"/>
          <w:lang w:val="en"/>
        </w:rPr>
        <w:t>, which is</w:t>
      </w:r>
      <w:r w:rsidRPr="006A15C2">
        <w:rPr>
          <w:rFonts w:ascii="Book Antiqua" w:hAnsi="Book Antiqua" w:cs="Book Antiqua"/>
          <w:color w:val="252525"/>
          <w:lang w:val="en"/>
        </w:rPr>
        <w:t xml:space="preserve"> directed toward</w:t>
      </w:r>
      <w:r w:rsidR="009F4996" w:rsidRPr="006A15C2">
        <w:rPr>
          <w:rFonts w:ascii="Book Antiqua" w:hAnsi="Book Antiqua" w:cs="Book Antiqua"/>
          <w:color w:val="252525"/>
          <w:lang w:val="en"/>
        </w:rPr>
        <w:t>s the</w:t>
      </w:r>
      <w:r w:rsidRPr="006A15C2">
        <w:rPr>
          <w:rFonts w:ascii="Book Antiqua" w:hAnsi="Book Antiqua" w:cs="Book Antiqua"/>
          <w:color w:val="252525"/>
          <w:lang w:val="en"/>
        </w:rPr>
        <w:t xml:space="preserve"> parietal cells and intrinsic factor of the gastric body and fundus</w:t>
      </w:r>
      <w:r w:rsidR="009F4996" w:rsidRPr="006A15C2">
        <w:rPr>
          <w:rFonts w:ascii="Book Antiqua" w:hAnsi="Book Antiqua" w:cs="Book Antiqua"/>
          <w:color w:val="252525"/>
          <w:lang w:val="en"/>
        </w:rPr>
        <w:t xml:space="preserve"> and </w:t>
      </w:r>
      <w:r w:rsidRPr="006A15C2">
        <w:rPr>
          <w:rFonts w:ascii="Book Antiqua" w:hAnsi="Book Antiqua" w:cs="Book Antiqua"/>
          <w:color w:val="252525"/>
          <w:lang w:val="en"/>
        </w:rPr>
        <w:t>leads to </w:t>
      </w:r>
      <w:r w:rsidRPr="006A15C2">
        <w:rPr>
          <w:rFonts w:ascii="Book Antiqua" w:hAnsi="Book Antiqua" w:cs="Book Antiqua"/>
          <w:lang w:val="en"/>
        </w:rPr>
        <w:t>hypochlorhydria, hypergastrinemia</w:t>
      </w:r>
      <w:r w:rsidRPr="006A15C2">
        <w:rPr>
          <w:rFonts w:ascii="Book Antiqua" w:hAnsi="Book Antiqua" w:cs="Book Antiqua"/>
          <w:color w:val="252525"/>
          <w:lang w:val="en"/>
        </w:rPr>
        <w:t xml:space="preserve"> and inadequate production of </w:t>
      </w:r>
      <w:r w:rsidR="009F4996" w:rsidRPr="006A15C2">
        <w:rPr>
          <w:rFonts w:ascii="Book Antiqua" w:hAnsi="Book Antiqua" w:cs="Book Antiqua"/>
          <w:color w:val="252525"/>
          <w:lang w:val="en"/>
        </w:rPr>
        <w:t xml:space="preserve">the </w:t>
      </w:r>
      <w:r w:rsidRPr="006A15C2">
        <w:rPr>
          <w:rFonts w:ascii="Book Antiqua" w:hAnsi="Book Antiqua" w:cs="Book Antiqua"/>
          <w:color w:val="252525"/>
          <w:lang w:val="en"/>
        </w:rPr>
        <w:t xml:space="preserve">intrinsic factor. </w:t>
      </w:r>
      <w:r w:rsidRPr="006A15C2">
        <w:rPr>
          <w:rFonts w:ascii="Book Antiqua" w:hAnsi="Book Antiqua" w:cs="Book Antiqua"/>
          <w:color w:val="000000"/>
          <w:lang w:val="en"/>
        </w:rPr>
        <w:t>As a result, the stomach's secretion of essential substances</w:t>
      </w:r>
      <w:r w:rsidR="006C7F26" w:rsidRPr="006A15C2">
        <w:rPr>
          <w:rFonts w:ascii="Book Antiqua" w:hAnsi="Book Antiqua" w:cs="Book Antiqua"/>
          <w:color w:val="000000"/>
          <w:lang w:val="en"/>
        </w:rPr>
        <w:t>,</w:t>
      </w:r>
      <w:r w:rsidRPr="006A15C2">
        <w:rPr>
          <w:rFonts w:ascii="Book Antiqua" w:hAnsi="Book Antiqua" w:cs="Book Antiqua"/>
          <w:color w:val="000000"/>
          <w:lang w:val="en"/>
        </w:rPr>
        <w:t xml:space="preserve"> such as hydrochloric acid and intrinsic factor</w:t>
      </w:r>
      <w:r w:rsidR="006C7F26" w:rsidRPr="006A15C2">
        <w:rPr>
          <w:rFonts w:ascii="Book Antiqua" w:hAnsi="Book Antiqua" w:cs="Book Antiqua"/>
          <w:color w:val="000000"/>
          <w:lang w:val="en"/>
        </w:rPr>
        <w:t>,</w:t>
      </w:r>
      <w:r w:rsidRPr="006A15C2">
        <w:rPr>
          <w:rFonts w:ascii="Book Antiqua" w:hAnsi="Book Antiqua" w:cs="Book Antiqua"/>
          <w:color w:val="000000"/>
          <w:lang w:val="en"/>
        </w:rPr>
        <w:t xml:space="preserve"> is reduced, leading to digestive impairments. The most common </w:t>
      </w:r>
      <w:r w:rsidR="006C7F26" w:rsidRPr="006A15C2">
        <w:rPr>
          <w:rFonts w:ascii="Book Antiqua" w:hAnsi="Book Antiqua" w:cs="Book Antiqua"/>
          <w:color w:val="000000"/>
          <w:lang w:val="en"/>
        </w:rPr>
        <w:t xml:space="preserve">is </w:t>
      </w:r>
      <w:r w:rsidRPr="006A15C2">
        <w:rPr>
          <w:rFonts w:ascii="Book Antiqua" w:hAnsi="Book Antiqua" w:cs="Book Antiqua"/>
          <w:color w:val="000000"/>
          <w:lang w:val="en"/>
        </w:rPr>
        <w:t xml:space="preserve">vitamin B12 deficiency, which results in a megaloblastic anemia and </w:t>
      </w:r>
      <w:r w:rsidR="006C7F26" w:rsidRPr="006A15C2">
        <w:rPr>
          <w:rFonts w:ascii="Book Antiqua" w:hAnsi="Book Antiqua" w:cs="Book Antiqua"/>
          <w:color w:val="000000"/>
          <w:lang w:val="en"/>
        </w:rPr>
        <w:t xml:space="preserve">iron </w:t>
      </w:r>
      <w:r w:rsidRPr="006A15C2">
        <w:rPr>
          <w:rFonts w:ascii="Book Antiqua" w:hAnsi="Book Antiqua" w:cs="Book Antiqua"/>
          <w:color w:val="000000"/>
          <w:lang w:val="en"/>
        </w:rPr>
        <w:t>malabsorption</w:t>
      </w:r>
      <w:r w:rsidR="006C7F26" w:rsidRPr="006A15C2">
        <w:rPr>
          <w:rFonts w:ascii="Book Antiqua" w:hAnsi="Book Antiqua" w:cs="Book Antiqua"/>
          <w:color w:val="000000"/>
          <w:lang w:val="en"/>
        </w:rPr>
        <w:t xml:space="preserve">, </w:t>
      </w:r>
      <w:r w:rsidRPr="006A15C2">
        <w:rPr>
          <w:rFonts w:ascii="Book Antiqua" w:hAnsi="Book Antiqua" w:cs="Book Antiqua"/>
          <w:color w:val="000000"/>
          <w:lang w:val="en"/>
        </w:rPr>
        <w:t>leading to iron deficiency anemia.</w:t>
      </w:r>
    </w:p>
    <w:p w14:paraId="169C6E0D" w14:textId="5161B5CB" w:rsidR="00687605" w:rsidRPr="006A15C2" w:rsidRDefault="00336B61" w:rsidP="00970972">
      <w:pPr>
        <w:pStyle w:val="NormalWeb"/>
        <w:shd w:val="clear" w:color="auto" w:fill="FFFFFF"/>
        <w:snapToGrid w:val="0"/>
        <w:spacing w:before="0" w:beforeAutospacing="0" w:after="0" w:afterAutospacing="0" w:line="360" w:lineRule="auto"/>
        <w:jc w:val="both"/>
        <w:rPr>
          <w:rFonts w:ascii="Book Antiqua" w:hAnsi="Book Antiqua" w:cs="Book Antiqua"/>
          <w:lang w:val="en"/>
        </w:rPr>
      </w:pPr>
      <w:r w:rsidRPr="006A15C2">
        <w:rPr>
          <w:rFonts w:ascii="Book Antiqua" w:hAnsi="Book Antiqua" w:cs="Book Antiqua"/>
          <w:lang w:val="en"/>
        </w:rPr>
        <w:t>However, in the last the last years t</w:t>
      </w:r>
      <w:r w:rsidR="006C7F26" w:rsidRPr="006A15C2">
        <w:rPr>
          <w:rFonts w:ascii="Book Antiqua" w:hAnsi="Book Antiqua" w:cs="Book Antiqua"/>
          <w:lang w:val="en"/>
        </w:rPr>
        <w:t>he deficiency of s</w:t>
      </w:r>
      <w:r w:rsidR="00687605" w:rsidRPr="006A15C2">
        <w:rPr>
          <w:rFonts w:ascii="Book Antiqua" w:hAnsi="Book Antiqua" w:cs="Book Antiqua"/>
          <w:lang w:val="en"/>
        </w:rPr>
        <w:t>everal other vitamin</w:t>
      </w:r>
      <w:r w:rsidR="006C7F26" w:rsidRPr="006A15C2">
        <w:rPr>
          <w:rFonts w:ascii="Book Antiqua" w:hAnsi="Book Antiqua" w:cs="Book Antiqua"/>
          <w:lang w:val="en"/>
        </w:rPr>
        <w:t>s</w:t>
      </w:r>
      <w:r w:rsidR="00687605" w:rsidRPr="006A15C2">
        <w:rPr>
          <w:rFonts w:ascii="Book Antiqua" w:hAnsi="Book Antiqua" w:cs="Book Antiqua"/>
          <w:lang w:val="en"/>
        </w:rPr>
        <w:t xml:space="preserve"> and micronutrient</w:t>
      </w:r>
      <w:r w:rsidR="006C7F26" w:rsidRPr="006A15C2">
        <w:rPr>
          <w:rFonts w:ascii="Book Antiqua" w:hAnsi="Book Antiqua" w:cs="Book Antiqua"/>
          <w:lang w:val="en"/>
        </w:rPr>
        <w:t>s</w:t>
      </w:r>
      <w:r w:rsidR="00687605" w:rsidRPr="006A15C2">
        <w:rPr>
          <w:rFonts w:ascii="Book Antiqua" w:hAnsi="Book Antiqua" w:cs="Book Antiqua"/>
          <w:lang w:val="en"/>
        </w:rPr>
        <w:t>, such as vitamin C, vitamin D, folic acid and calcium, ha</w:t>
      </w:r>
      <w:r w:rsidR="006C7F26" w:rsidRPr="006A15C2">
        <w:rPr>
          <w:rFonts w:ascii="Book Antiqua" w:hAnsi="Book Antiqua" w:cs="Book Antiqua"/>
          <w:lang w:val="en"/>
        </w:rPr>
        <w:t>s</w:t>
      </w:r>
      <w:r w:rsidR="00687605" w:rsidRPr="006A15C2">
        <w:rPr>
          <w:rFonts w:ascii="Book Antiqua" w:hAnsi="Book Antiqua" w:cs="Book Antiqua"/>
          <w:lang w:val="en"/>
        </w:rPr>
        <w:t xml:space="preserve"> been</w:t>
      </w:r>
      <w:r w:rsidRPr="006A15C2">
        <w:rPr>
          <w:rFonts w:ascii="Book Antiqua" w:hAnsi="Book Antiqua" w:cs="Book Antiqua"/>
          <w:lang w:val="en"/>
        </w:rPr>
        <w:t xml:space="preserve"> increasingly</w:t>
      </w:r>
      <w:r w:rsidR="00687605" w:rsidRPr="006A15C2">
        <w:rPr>
          <w:rFonts w:ascii="Book Antiqua" w:hAnsi="Book Antiqua" w:cs="Book Antiqua"/>
          <w:lang w:val="en"/>
        </w:rPr>
        <w:t xml:space="preserve"> described in patients with CAAG.</w:t>
      </w:r>
      <w:r w:rsidR="00921E01" w:rsidRPr="006A15C2">
        <w:rPr>
          <w:rFonts w:ascii="Book Antiqua" w:hAnsi="Book Antiqua" w:cs="Book Antiqua"/>
          <w:lang w:val="en"/>
        </w:rPr>
        <w:t xml:space="preserve"> In addition the occurrence of mu</w:t>
      </w:r>
      <w:r w:rsidR="00921E01" w:rsidRPr="006A15C2">
        <w:rPr>
          <w:rFonts w:ascii="Book Antiqua" w:hAnsi="Book Antiqua" w:cs="Arial"/>
          <w:color w:val="222222"/>
        </w:rPr>
        <w:t>ltiple vitamin deficiencies may lead to severe to hematological,</w:t>
      </w:r>
      <w:r w:rsidR="00921E01" w:rsidRPr="006A15C2">
        <w:rPr>
          <w:rFonts w:ascii="Book Antiqua" w:hAnsi="Book Antiqua" w:cs="Arial"/>
          <w:color w:val="222222"/>
          <w:lang w:val="en-US"/>
        </w:rPr>
        <w:t xml:space="preserve"> neurological and skeletal manifestations in CAAG patients and</w:t>
      </w:r>
      <w:r w:rsidR="00921E01" w:rsidRPr="006A15C2">
        <w:rPr>
          <w:rFonts w:ascii="Book Antiqua" w:hAnsi="Book Antiqua" w:cs="Arial"/>
          <w:color w:val="222222"/>
        </w:rPr>
        <w:t xml:space="preserve"> highlights the importance of an integrated evaluation of these patients.</w:t>
      </w:r>
      <w:r w:rsidR="00921E01" w:rsidRPr="006A15C2" w:rsidDel="00074570">
        <w:rPr>
          <w:rFonts w:ascii="Book Antiqua" w:hAnsi="Book Antiqua" w:cs="Book Antiqua"/>
          <w:lang w:val="en"/>
        </w:rPr>
        <w:t xml:space="preserve"> </w:t>
      </w:r>
      <w:r w:rsidR="00687605" w:rsidRPr="006A15C2">
        <w:rPr>
          <w:rFonts w:ascii="Book Antiqua" w:hAnsi="Book Antiqua" w:cs="Book Antiqua"/>
          <w:lang w:val="en"/>
        </w:rPr>
        <w:t xml:space="preserve">Nevertheless, </w:t>
      </w:r>
      <w:r w:rsidR="006C7F26" w:rsidRPr="006A15C2">
        <w:rPr>
          <w:rFonts w:ascii="Book Antiqua" w:hAnsi="Book Antiqua" w:cs="Book Antiqua"/>
          <w:lang w:val="en"/>
        </w:rPr>
        <w:t xml:space="preserve">the </w:t>
      </w:r>
      <w:r w:rsidR="00687605" w:rsidRPr="006A15C2">
        <w:rPr>
          <w:rFonts w:ascii="Book Antiqua" w:hAnsi="Book Antiqua" w:cs="Book Antiqua"/>
          <w:lang w:val="en"/>
        </w:rPr>
        <w:t>nutritional deficiencies in CAAG are largely understudied.</w:t>
      </w:r>
      <w:r w:rsidR="00970972">
        <w:rPr>
          <w:rFonts w:ascii="Book Antiqua" w:hAnsi="Book Antiqua" w:cs="Book Antiqua" w:hint="eastAsia"/>
          <w:lang w:val="en" w:eastAsia="zh-CN"/>
        </w:rPr>
        <w:t xml:space="preserve"> </w:t>
      </w:r>
      <w:r w:rsidR="00687605" w:rsidRPr="006A15C2">
        <w:rPr>
          <w:rFonts w:ascii="Book Antiqua" w:hAnsi="Book Antiqua" w:cs="Book Antiqua"/>
          <w:color w:val="000000"/>
          <w:lang w:val="en"/>
        </w:rPr>
        <w:t xml:space="preserve">We </w:t>
      </w:r>
      <w:r w:rsidR="006C7F26" w:rsidRPr="006A15C2">
        <w:rPr>
          <w:rFonts w:ascii="Book Antiqua" w:hAnsi="Book Antiqua" w:cs="Book Antiqua"/>
          <w:color w:val="000000"/>
          <w:lang w:val="en"/>
        </w:rPr>
        <w:t xml:space="preserve">have </w:t>
      </w:r>
      <w:r w:rsidR="00687605" w:rsidRPr="006A15C2">
        <w:rPr>
          <w:rFonts w:ascii="Book Antiqua" w:hAnsi="Book Antiqua" w:cs="Book Antiqua"/>
          <w:color w:val="000000"/>
          <w:lang w:val="en"/>
        </w:rPr>
        <w:t>investigated the</w:t>
      </w:r>
      <w:r w:rsidR="006C7F26" w:rsidRPr="006A15C2">
        <w:rPr>
          <w:rFonts w:ascii="Book Antiqua" w:hAnsi="Book Antiqua" w:cs="Book Antiqua"/>
          <w:color w:val="000000"/>
          <w:lang w:val="en"/>
        </w:rPr>
        <w:t xml:space="preserve"> </w:t>
      </w:r>
      <w:r w:rsidR="00687605" w:rsidRPr="006A15C2">
        <w:rPr>
          <w:rFonts w:ascii="Book Antiqua" w:hAnsi="Book Antiqua" w:cs="Book Antiqua"/>
          <w:color w:val="000000"/>
          <w:lang w:val="en"/>
        </w:rPr>
        <w:t xml:space="preserve">frequency and associated features of </w:t>
      </w:r>
      <w:r w:rsidR="00687605" w:rsidRPr="006A15C2">
        <w:rPr>
          <w:rFonts w:ascii="Book Antiqua" w:hAnsi="Book Antiqua" w:cs="Book Antiqua"/>
          <w:lang w:val="en"/>
        </w:rPr>
        <w:t xml:space="preserve">nutritional deficiencies in CAAG in order to focus on </w:t>
      </w:r>
      <w:r w:rsidR="006C7F26" w:rsidRPr="006A15C2">
        <w:rPr>
          <w:rFonts w:ascii="Book Antiqua" w:hAnsi="Book Antiqua" w:cs="Book Antiqua"/>
          <w:lang w:val="en"/>
        </w:rPr>
        <w:t>any</w:t>
      </w:r>
      <w:r w:rsidR="00D43172" w:rsidRPr="006A15C2">
        <w:rPr>
          <w:rFonts w:ascii="Book Antiqua" w:hAnsi="Book Antiqua" w:cs="Book Antiqua"/>
          <w:lang w:val="en"/>
        </w:rPr>
        <w:t xml:space="preserve"> </w:t>
      </w:r>
      <w:r w:rsidR="00687605" w:rsidRPr="006A15C2">
        <w:rPr>
          <w:rFonts w:ascii="Book Antiqua" w:hAnsi="Book Antiqua" w:cs="Book Antiqua"/>
          <w:lang w:val="en"/>
        </w:rPr>
        <w:t>deficit that may be clinically significant, but relatively easy to correct.</w:t>
      </w:r>
      <w:r w:rsidR="00970972">
        <w:rPr>
          <w:rFonts w:ascii="Book Antiqua" w:hAnsi="Book Antiqua" w:cs="Book Antiqua" w:hint="eastAsia"/>
          <w:lang w:val="en" w:eastAsia="zh-CN"/>
        </w:rPr>
        <w:t xml:space="preserve"> </w:t>
      </w:r>
      <w:r w:rsidR="00687605" w:rsidRPr="006A15C2">
        <w:rPr>
          <w:rFonts w:ascii="Book Antiqua" w:hAnsi="Book Antiqua" w:cs="Book Antiqua"/>
          <w:lang w:val="en"/>
        </w:rPr>
        <w:t>This descriptive review updates and summarizes the literature on different nutrient deficiencies in CAAG in order to optimize the treatment and the follow-up of patients affected with CAAG.</w:t>
      </w:r>
    </w:p>
    <w:p w14:paraId="22390815" w14:textId="77777777" w:rsidR="006D69E6" w:rsidRPr="00970972" w:rsidRDefault="006D69E6" w:rsidP="006A15C2">
      <w:pPr>
        <w:widowControl w:val="0"/>
        <w:autoSpaceDE w:val="0"/>
        <w:autoSpaceDN w:val="0"/>
        <w:adjustRightInd w:val="0"/>
        <w:snapToGrid w:val="0"/>
        <w:spacing w:line="360" w:lineRule="auto"/>
        <w:jc w:val="both"/>
        <w:rPr>
          <w:rFonts w:ascii="Book Antiqua" w:hAnsi="Book Antiqua" w:cs="Book Antiqua"/>
          <w:lang w:val="en" w:eastAsia="zh-CN"/>
        </w:rPr>
      </w:pPr>
    </w:p>
    <w:p w14:paraId="3BD39199" w14:textId="055E67DA" w:rsidR="006D69E6" w:rsidRPr="006A15C2" w:rsidRDefault="006D69E6" w:rsidP="006A15C2">
      <w:pPr>
        <w:adjustRightInd w:val="0"/>
        <w:snapToGrid w:val="0"/>
        <w:spacing w:line="360" w:lineRule="auto"/>
        <w:jc w:val="both"/>
        <w:rPr>
          <w:rFonts w:ascii="Book Antiqua" w:hAnsi="Book Antiqua"/>
          <w:b/>
          <w:color w:val="FF0000"/>
          <w:lang w:eastAsia="zh-CN"/>
        </w:rPr>
      </w:pPr>
      <w:bookmarkStart w:id="16" w:name="OLE_LINK883"/>
      <w:bookmarkStart w:id="17" w:name="OLE_LINK884"/>
      <w:r w:rsidRPr="00970972">
        <w:rPr>
          <w:rFonts w:ascii="Book Antiqua" w:hAnsi="Book Antiqua"/>
          <w:b/>
        </w:rPr>
        <w:t>Key words:</w:t>
      </w:r>
      <w:r w:rsidRPr="006A15C2">
        <w:rPr>
          <w:rFonts w:ascii="Book Antiqua" w:hAnsi="Book Antiqua"/>
          <w:b/>
          <w:color w:val="FF0000"/>
        </w:rPr>
        <w:t xml:space="preserve"> </w:t>
      </w:r>
      <w:r w:rsidR="00336B61" w:rsidRPr="006A15C2">
        <w:rPr>
          <w:rFonts w:ascii="Book Antiqua" w:hAnsi="Book Antiqua" w:cs="Book Antiqua"/>
          <w:lang w:val="en"/>
        </w:rPr>
        <w:t>Chronic atrophic a</w:t>
      </w:r>
      <w:r w:rsidR="00336B61" w:rsidRPr="006A15C2">
        <w:rPr>
          <w:rFonts w:ascii="Book Antiqua" w:hAnsi="Book Antiqua" w:cs="Book Antiqua"/>
          <w:color w:val="000000"/>
          <w:lang w:val="en"/>
        </w:rPr>
        <w:t>utoimmune gastritis</w:t>
      </w:r>
      <w:r w:rsidR="009F7CB9" w:rsidRPr="006A15C2">
        <w:rPr>
          <w:rFonts w:ascii="Book Antiqua" w:hAnsi="Book Antiqua" w:cs="Book Antiqua"/>
          <w:color w:val="000000"/>
          <w:lang w:val="en"/>
        </w:rPr>
        <w:t>;</w:t>
      </w:r>
      <w:r w:rsidR="00336B61" w:rsidRPr="006A15C2">
        <w:rPr>
          <w:rFonts w:ascii="Book Antiqua" w:hAnsi="Book Antiqua" w:cs="Book Antiqua"/>
          <w:color w:val="000000"/>
          <w:lang w:val="en"/>
        </w:rPr>
        <w:t xml:space="preserve"> </w:t>
      </w:r>
      <w:r w:rsidR="00336B61" w:rsidRPr="00970972">
        <w:rPr>
          <w:rFonts w:ascii="Book Antiqua" w:hAnsi="Book Antiqua" w:cs="Book Antiqua"/>
          <w:caps/>
          <w:color w:val="000000"/>
          <w:lang w:val="en"/>
        </w:rPr>
        <w:t>n</w:t>
      </w:r>
      <w:r w:rsidR="00336B61" w:rsidRPr="006A15C2">
        <w:rPr>
          <w:rFonts w:ascii="Book Antiqua" w:hAnsi="Book Antiqua" w:cs="Book Antiqua"/>
          <w:color w:val="000000"/>
          <w:lang w:val="en"/>
        </w:rPr>
        <w:t>utritional deficiency</w:t>
      </w:r>
      <w:r w:rsidR="009F7CB9" w:rsidRPr="006A15C2">
        <w:rPr>
          <w:rFonts w:ascii="Book Antiqua" w:hAnsi="Book Antiqua" w:cs="Book Antiqua"/>
          <w:color w:val="000000"/>
          <w:lang w:val="en"/>
        </w:rPr>
        <w:t xml:space="preserve">; </w:t>
      </w:r>
      <w:r w:rsidR="00336B61" w:rsidRPr="00970972">
        <w:rPr>
          <w:rFonts w:ascii="Book Antiqua" w:hAnsi="Book Antiqua" w:cs="Book Antiqua"/>
          <w:caps/>
          <w:color w:val="000000"/>
          <w:lang w:val="en"/>
        </w:rPr>
        <w:t>v</w:t>
      </w:r>
      <w:r w:rsidR="00336B61" w:rsidRPr="006A15C2">
        <w:rPr>
          <w:rFonts w:ascii="Book Antiqua" w:hAnsi="Book Antiqua" w:cs="Book Antiqua"/>
          <w:color w:val="000000"/>
          <w:lang w:val="en"/>
        </w:rPr>
        <w:t>itamin B12</w:t>
      </w:r>
      <w:r w:rsidR="009F7CB9" w:rsidRPr="006A15C2">
        <w:rPr>
          <w:rFonts w:ascii="Book Antiqua" w:hAnsi="Book Antiqua" w:cs="Book Antiqua"/>
          <w:color w:val="000000"/>
          <w:lang w:val="en"/>
        </w:rPr>
        <w:t>;</w:t>
      </w:r>
      <w:r w:rsidR="00336B61" w:rsidRPr="006A15C2">
        <w:rPr>
          <w:rFonts w:ascii="Book Antiqua" w:hAnsi="Book Antiqua" w:cs="Book Antiqua"/>
          <w:color w:val="000000"/>
          <w:lang w:val="en"/>
        </w:rPr>
        <w:t xml:space="preserve"> </w:t>
      </w:r>
      <w:r w:rsidR="00336B61" w:rsidRPr="00970972">
        <w:rPr>
          <w:rFonts w:ascii="Book Antiqua" w:hAnsi="Book Antiqua" w:cs="Book Antiqua"/>
          <w:caps/>
          <w:color w:val="000000"/>
          <w:lang w:val="en"/>
        </w:rPr>
        <w:t>i</w:t>
      </w:r>
      <w:r w:rsidR="00336B61" w:rsidRPr="006A15C2">
        <w:rPr>
          <w:rFonts w:ascii="Book Antiqua" w:hAnsi="Book Antiqua" w:cs="Book Antiqua"/>
          <w:color w:val="000000"/>
          <w:lang w:val="en"/>
        </w:rPr>
        <w:t>ron</w:t>
      </w:r>
      <w:r w:rsidR="009F7CB9" w:rsidRPr="006A15C2">
        <w:rPr>
          <w:rFonts w:ascii="Book Antiqua" w:hAnsi="Book Antiqua" w:cs="Book Antiqua"/>
          <w:color w:val="000000"/>
          <w:lang w:val="en"/>
        </w:rPr>
        <w:t>;</w:t>
      </w:r>
      <w:r w:rsidR="00336B61" w:rsidRPr="006A15C2">
        <w:rPr>
          <w:rFonts w:ascii="Book Antiqua" w:hAnsi="Book Antiqua" w:cs="Book Antiqua"/>
          <w:color w:val="000000"/>
          <w:lang w:val="en"/>
        </w:rPr>
        <w:t xml:space="preserve"> </w:t>
      </w:r>
      <w:r w:rsidR="00336B61" w:rsidRPr="00970972">
        <w:rPr>
          <w:rFonts w:ascii="Book Antiqua" w:hAnsi="Book Antiqua" w:cs="Book Antiqua"/>
          <w:caps/>
          <w:color w:val="000000"/>
          <w:lang w:val="en"/>
        </w:rPr>
        <w:t>v</w:t>
      </w:r>
      <w:r w:rsidR="00336B61" w:rsidRPr="006A15C2">
        <w:rPr>
          <w:rFonts w:ascii="Book Antiqua" w:hAnsi="Book Antiqua" w:cs="Book Antiqua"/>
          <w:color w:val="000000"/>
          <w:lang w:val="en"/>
        </w:rPr>
        <w:t>itamin C</w:t>
      </w:r>
      <w:r w:rsidR="009F7CB9" w:rsidRPr="006A15C2">
        <w:rPr>
          <w:rFonts w:ascii="Book Antiqua" w:hAnsi="Book Antiqua" w:cs="Book Antiqua"/>
          <w:color w:val="000000"/>
          <w:lang w:val="en"/>
        </w:rPr>
        <w:t>;</w:t>
      </w:r>
      <w:r w:rsidR="00336B61" w:rsidRPr="006A15C2">
        <w:rPr>
          <w:rFonts w:ascii="Book Antiqua" w:hAnsi="Book Antiqua" w:cs="Book Antiqua"/>
          <w:color w:val="000000"/>
          <w:lang w:val="en"/>
        </w:rPr>
        <w:t xml:space="preserve"> Vitamin D</w:t>
      </w:r>
      <w:r w:rsidR="009F7CB9" w:rsidRPr="006A15C2">
        <w:rPr>
          <w:rFonts w:ascii="Book Antiqua" w:hAnsi="Book Antiqua" w:cs="Book Antiqua"/>
          <w:color w:val="000000"/>
          <w:lang w:val="en"/>
        </w:rPr>
        <w:t xml:space="preserve">; </w:t>
      </w:r>
      <w:r w:rsidR="00336B61" w:rsidRPr="00970972">
        <w:rPr>
          <w:rFonts w:ascii="Book Antiqua" w:hAnsi="Book Antiqua" w:cs="Book Antiqua"/>
          <w:caps/>
          <w:color w:val="000000"/>
          <w:lang w:val="en"/>
        </w:rPr>
        <w:t>c</w:t>
      </w:r>
      <w:r w:rsidR="00336B61" w:rsidRPr="006A15C2">
        <w:rPr>
          <w:rFonts w:ascii="Book Antiqua" w:hAnsi="Book Antiqua" w:cs="Book Antiqua"/>
          <w:color w:val="000000"/>
          <w:lang w:val="en"/>
        </w:rPr>
        <w:t>alcium</w:t>
      </w:r>
      <w:r w:rsidR="00970972">
        <w:rPr>
          <w:rFonts w:ascii="Book Antiqua" w:hAnsi="Book Antiqua" w:cs="Book Antiqua" w:hint="eastAsia"/>
          <w:color w:val="000000"/>
          <w:lang w:val="en" w:eastAsia="zh-CN"/>
        </w:rPr>
        <w:t>;</w:t>
      </w:r>
      <w:r w:rsidR="00336B61" w:rsidRPr="006A15C2">
        <w:rPr>
          <w:rFonts w:ascii="Book Antiqua" w:hAnsi="Book Antiqua" w:cs="Book Antiqua"/>
          <w:color w:val="000000"/>
          <w:lang w:val="en"/>
        </w:rPr>
        <w:t xml:space="preserve"> </w:t>
      </w:r>
      <w:r w:rsidR="00336B61" w:rsidRPr="00970972">
        <w:rPr>
          <w:rFonts w:ascii="Book Antiqua" w:hAnsi="Book Antiqua" w:cs="Book Antiqua"/>
          <w:caps/>
          <w:color w:val="000000"/>
          <w:lang w:val="en"/>
        </w:rPr>
        <w:t>m</w:t>
      </w:r>
      <w:r w:rsidR="00336B61" w:rsidRPr="006A15C2">
        <w:rPr>
          <w:rFonts w:ascii="Book Antiqua" w:hAnsi="Book Antiqua" w:cs="Book Antiqua"/>
          <w:color w:val="000000"/>
          <w:lang w:val="en"/>
        </w:rPr>
        <w:t>alabsorption</w:t>
      </w:r>
    </w:p>
    <w:p w14:paraId="53C74DAC" w14:textId="77777777" w:rsidR="00C14A03" w:rsidRPr="006A15C2" w:rsidRDefault="00C14A03" w:rsidP="006A15C2">
      <w:pPr>
        <w:adjustRightInd w:val="0"/>
        <w:snapToGrid w:val="0"/>
        <w:spacing w:line="360" w:lineRule="auto"/>
        <w:jc w:val="both"/>
        <w:rPr>
          <w:rFonts w:ascii="Book Antiqua" w:hAnsi="Book Antiqua"/>
          <w:b/>
          <w:color w:val="FF0000"/>
        </w:rPr>
      </w:pPr>
    </w:p>
    <w:p w14:paraId="332774BE" w14:textId="77777777" w:rsidR="00970972" w:rsidRPr="00EC68EF" w:rsidRDefault="00970972" w:rsidP="00970972">
      <w:pPr>
        <w:adjustRightInd w:val="0"/>
        <w:snapToGrid w:val="0"/>
        <w:spacing w:line="360" w:lineRule="auto"/>
        <w:jc w:val="both"/>
        <w:rPr>
          <w:rFonts w:ascii="Book Antiqua" w:hAnsi="Book Antiqua"/>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End w:id="16"/>
      <w:bookmarkEnd w:id="17"/>
      <w:proofErr w:type="gramStart"/>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proofErr w:type="gramEnd"/>
      <w:r w:rsidRPr="00EC68EF">
        <w:rPr>
          <w:rFonts w:ascii="Book Antiqua" w:hAnsi="Book Antiqua"/>
        </w:rPr>
        <w:t xml:space="preserve"> Published by </w:t>
      </w:r>
      <w:proofErr w:type="spellStart"/>
      <w:r w:rsidRPr="00EC68EF">
        <w:rPr>
          <w:rFonts w:ascii="Book Antiqua" w:hAnsi="Book Antiqua"/>
        </w:rPr>
        <w:t>Baishideng</w:t>
      </w:r>
      <w:proofErr w:type="spellEnd"/>
      <w:r w:rsidRPr="00EC68EF">
        <w:rPr>
          <w:rFonts w:ascii="Book Antiqua" w:hAnsi="Book Antiqua"/>
        </w:rPr>
        <w:t xml:space="preserve"> Publishing Group Inc. All rights reserved.</w:t>
      </w:r>
    </w:p>
    <w:bookmarkEnd w:id="18"/>
    <w:bookmarkEnd w:id="19"/>
    <w:bookmarkEnd w:id="20"/>
    <w:bookmarkEnd w:id="21"/>
    <w:bookmarkEnd w:id="22"/>
    <w:bookmarkEnd w:id="23"/>
    <w:bookmarkEnd w:id="24"/>
    <w:bookmarkEnd w:id="25"/>
    <w:bookmarkEnd w:id="26"/>
    <w:bookmarkEnd w:id="27"/>
    <w:p w14:paraId="62873514" w14:textId="77777777" w:rsidR="009F7CB9" w:rsidRPr="006A15C2" w:rsidRDefault="009F7CB9" w:rsidP="006A15C2">
      <w:pPr>
        <w:widowControl w:val="0"/>
        <w:autoSpaceDE w:val="0"/>
        <w:autoSpaceDN w:val="0"/>
        <w:adjustRightInd w:val="0"/>
        <w:snapToGrid w:val="0"/>
        <w:spacing w:line="360" w:lineRule="auto"/>
        <w:jc w:val="both"/>
        <w:rPr>
          <w:rFonts w:ascii="Book Antiqua" w:hAnsi="Book Antiqua" w:cs="Book Antiqua"/>
          <w:b/>
          <w:color w:val="000000"/>
          <w:lang w:val="en"/>
        </w:rPr>
      </w:pPr>
    </w:p>
    <w:p w14:paraId="6A5FB759" w14:textId="1D5C7B4B"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b/>
          <w:color w:val="000000"/>
          <w:lang w:val="en"/>
        </w:rPr>
        <w:t>C</w:t>
      </w:r>
      <w:r w:rsidR="006D69E6" w:rsidRPr="006A15C2">
        <w:rPr>
          <w:rFonts w:ascii="Book Antiqua" w:hAnsi="Book Antiqua" w:cs="Book Antiqua"/>
          <w:b/>
          <w:color w:val="000000"/>
          <w:lang w:val="en"/>
        </w:rPr>
        <w:t>ore tip</w:t>
      </w:r>
      <w:r w:rsidR="006D69E6" w:rsidRPr="006A15C2">
        <w:rPr>
          <w:rFonts w:ascii="Book Antiqua" w:hAnsi="Book Antiqua" w:cs="Book Antiqua"/>
          <w:b/>
          <w:color w:val="000000"/>
          <w:lang w:val="en" w:eastAsia="zh-CN"/>
        </w:rPr>
        <w:t xml:space="preserve">: </w:t>
      </w:r>
      <w:r w:rsidRPr="006A15C2">
        <w:rPr>
          <w:rFonts w:ascii="Book Antiqua" w:hAnsi="Book Antiqua" w:cs="Book Antiqua"/>
          <w:color w:val="000000"/>
          <w:lang w:val="en"/>
        </w:rPr>
        <w:t xml:space="preserve">Chronic atrophic autoimmune gastritis is an autoimmune disease characterized by </w:t>
      </w:r>
      <w:r w:rsidRPr="006A15C2">
        <w:rPr>
          <w:rFonts w:ascii="Book Antiqua" w:hAnsi="Book Antiqua" w:cs="Book Antiqua"/>
          <w:lang w:val="en"/>
        </w:rPr>
        <w:t xml:space="preserve">progressive parietal cells destruction leading to </w:t>
      </w:r>
      <w:r w:rsidRPr="006A15C2">
        <w:rPr>
          <w:rFonts w:ascii="Book Antiqua" w:hAnsi="Book Antiqua" w:cs="Book Antiqua"/>
          <w:color w:val="000000"/>
          <w:lang w:val="en"/>
        </w:rPr>
        <w:lastRenderedPageBreak/>
        <w:t>hypochlorhydria</w:t>
      </w:r>
      <w:r w:rsidRPr="006A15C2">
        <w:rPr>
          <w:rFonts w:ascii="Book Antiqua" w:hAnsi="Book Antiqua" w:cs="Book Antiqua"/>
          <w:lang w:val="en"/>
        </w:rPr>
        <w:t xml:space="preserve"> and intrinsic factor deficiency. These alterations may result in vitamin B12 deficiency and iron malabsorption.</w:t>
      </w:r>
      <w:r w:rsidR="003A4ACD" w:rsidRPr="006A15C2">
        <w:rPr>
          <w:rFonts w:ascii="Book Antiqua" w:hAnsi="Book Antiqua" w:cs="Book Antiqua"/>
          <w:lang w:val="en"/>
        </w:rPr>
        <w:t xml:space="preserve"> A</w:t>
      </w:r>
      <w:r w:rsidRPr="006A15C2">
        <w:rPr>
          <w:rFonts w:ascii="Book Antiqua" w:hAnsi="Book Antiqua" w:cs="Book Antiqua"/>
          <w:lang w:val="en"/>
        </w:rPr>
        <w:t xml:space="preserve"> possible role of </w:t>
      </w:r>
      <w:r w:rsidRPr="006A15C2">
        <w:rPr>
          <w:rFonts w:ascii="Book Antiqua" w:hAnsi="Book Antiqua" w:cs="Book Antiqua"/>
          <w:color w:val="000000"/>
          <w:lang w:val="en"/>
        </w:rPr>
        <w:t xml:space="preserve">chronic atrophic autoimmune gastritis </w:t>
      </w:r>
      <w:r w:rsidR="003A4ACD" w:rsidRPr="006A15C2">
        <w:rPr>
          <w:rFonts w:ascii="Book Antiqua" w:hAnsi="Book Antiqua" w:cs="Book Antiqua"/>
          <w:color w:val="000000"/>
          <w:lang w:val="en"/>
        </w:rPr>
        <w:t xml:space="preserve">in the </w:t>
      </w:r>
      <w:r w:rsidRPr="006A15C2">
        <w:rPr>
          <w:rFonts w:ascii="Book Antiqua" w:hAnsi="Book Antiqua" w:cs="Book Antiqua"/>
          <w:color w:val="000000"/>
          <w:lang w:val="en"/>
        </w:rPr>
        <w:t>development of several nutritional deficiencies (</w:t>
      </w:r>
      <w:r w:rsidRPr="00970972">
        <w:rPr>
          <w:rFonts w:ascii="Book Antiqua" w:hAnsi="Book Antiqua" w:cs="Book Antiqua"/>
          <w:i/>
          <w:color w:val="000000"/>
          <w:lang w:val="en"/>
        </w:rPr>
        <w:t>e.g.</w:t>
      </w:r>
      <w:r w:rsidR="00BB240F">
        <w:rPr>
          <w:rFonts w:ascii="Book Antiqua" w:hAnsi="Book Antiqua" w:cs="Book Antiqua" w:hint="eastAsia"/>
          <w:i/>
          <w:color w:val="000000"/>
          <w:lang w:val="en" w:eastAsia="zh-CN"/>
        </w:rPr>
        <w:t>,</w:t>
      </w:r>
      <w:r w:rsidRPr="006A15C2">
        <w:rPr>
          <w:rFonts w:ascii="Book Antiqua" w:hAnsi="Book Antiqua" w:cs="Book Antiqua"/>
          <w:color w:val="000000"/>
          <w:lang w:val="en"/>
        </w:rPr>
        <w:t xml:space="preserve"> calcium, vitamin D</w:t>
      </w:r>
      <w:r w:rsidR="003A4ACD" w:rsidRPr="006A15C2">
        <w:rPr>
          <w:rFonts w:ascii="Book Antiqua" w:hAnsi="Book Antiqua" w:cs="Book Antiqua"/>
          <w:color w:val="000000"/>
          <w:lang w:val="en"/>
        </w:rPr>
        <w:t>, v</w:t>
      </w:r>
      <w:r w:rsidRPr="006A15C2">
        <w:rPr>
          <w:rFonts w:ascii="Book Antiqua" w:hAnsi="Book Antiqua" w:cs="Book Antiqua"/>
          <w:color w:val="000000"/>
          <w:lang w:val="en"/>
        </w:rPr>
        <w:t>itamin C) ha</w:t>
      </w:r>
      <w:r w:rsidR="003A4ACD" w:rsidRPr="006A15C2">
        <w:rPr>
          <w:rFonts w:ascii="Book Antiqua" w:hAnsi="Book Antiqua" w:cs="Book Antiqua"/>
          <w:color w:val="000000"/>
          <w:lang w:val="en"/>
        </w:rPr>
        <w:t>s</w:t>
      </w:r>
      <w:r w:rsidRPr="006A15C2">
        <w:rPr>
          <w:rFonts w:ascii="Book Antiqua" w:hAnsi="Book Antiqua" w:cs="Book Antiqua"/>
          <w:color w:val="000000"/>
          <w:lang w:val="en"/>
        </w:rPr>
        <w:t xml:space="preserve"> been reported</w:t>
      </w:r>
      <w:r w:rsidR="003A4ACD" w:rsidRPr="006A15C2">
        <w:rPr>
          <w:rFonts w:ascii="Book Antiqua" w:hAnsi="Book Antiqua" w:cs="Book Antiqua"/>
          <w:color w:val="000000"/>
          <w:lang w:val="en"/>
        </w:rPr>
        <w:t>. H</w:t>
      </w:r>
      <w:r w:rsidRPr="006A15C2">
        <w:rPr>
          <w:rFonts w:ascii="Book Antiqua" w:hAnsi="Book Antiqua" w:cs="Book Antiqua"/>
          <w:color w:val="000000"/>
          <w:lang w:val="en"/>
        </w:rPr>
        <w:t>owever</w:t>
      </w:r>
      <w:r w:rsidR="00016143" w:rsidRPr="006A15C2">
        <w:rPr>
          <w:rFonts w:ascii="Book Antiqua" w:hAnsi="Book Antiqua" w:cs="Book Antiqua"/>
          <w:color w:val="000000"/>
          <w:lang w:val="en"/>
        </w:rPr>
        <w:t>,</w:t>
      </w:r>
      <w:r w:rsidRPr="006A15C2">
        <w:rPr>
          <w:rFonts w:ascii="Book Antiqua" w:hAnsi="Book Antiqua" w:cs="Book Antiqua"/>
          <w:color w:val="000000"/>
          <w:lang w:val="en"/>
        </w:rPr>
        <w:t xml:space="preserve"> the prevalence and clinical impact </w:t>
      </w:r>
      <w:r w:rsidR="003A4ACD" w:rsidRPr="006A15C2">
        <w:rPr>
          <w:rFonts w:ascii="Book Antiqua" w:hAnsi="Book Antiqua" w:cs="Book Antiqua"/>
          <w:color w:val="000000"/>
          <w:lang w:val="en"/>
        </w:rPr>
        <w:t>of the</w:t>
      </w:r>
      <w:r w:rsidR="005A0C3B" w:rsidRPr="006A15C2">
        <w:rPr>
          <w:rFonts w:ascii="Book Antiqua" w:hAnsi="Book Antiqua" w:cs="Book Antiqua"/>
          <w:color w:val="000000"/>
          <w:lang w:val="en"/>
        </w:rPr>
        <w:t>se deficiencies</w:t>
      </w:r>
      <w:r w:rsidR="003A4ACD" w:rsidRPr="006A15C2">
        <w:rPr>
          <w:rFonts w:ascii="Book Antiqua" w:hAnsi="Book Antiqua" w:cs="Book Antiqua"/>
          <w:color w:val="000000"/>
          <w:lang w:val="en"/>
        </w:rPr>
        <w:t xml:space="preserve"> </w:t>
      </w:r>
      <w:r w:rsidRPr="006A15C2">
        <w:rPr>
          <w:rFonts w:ascii="Book Antiqua" w:hAnsi="Book Antiqua" w:cs="Book Antiqua"/>
          <w:color w:val="000000"/>
          <w:lang w:val="en"/>
        </w:rPr>
        <w:t xml:space="preserve">has not been elucidated. </w:t>
      </w:r>
      <w:r w:rsidR="003A4ACD" w:rsidRPr="006A15C2">
        <w:rPr>
          <w:rFonts w:ascii="Book Antiqua" w:hAnsi="Book Antiqua" w:cs="Book Antiqua"/>
          <w:color w:val="000000"/>
          <w:lang w:val="en"/>
        </w:rPr>
        <w:t>The p</w:t>
      </w:r>
      <w:r w:rsidRPr="006A15C2">
        <w:rPr>
          <w:rFonts w:ascii="Book Antiqua" w:hAnsi="Book Antiqua" w:cs="Book Antiqua"/>
          <w:color w:val="000000"/>
          <w:lang w:val="en"/>
        </w:rPr>
        <w:t xml:space="preserve">resent paper </w:t>
      </w:r>
      <w:r w:rsidR="003A4ACD" w:rsidRPr="006A15C2">
        <w:rPr>
          <w:rFonts w:ascii="Book Antiqua" w:hAnsi="Book Antiqua" w:cs="Book Antiqua"/>
          <w:color w:val="000000"/>
          <w:lang w:val="en"/>
        </w:rPr>
        <w:t xml:space="preserve">aims </w:t>
      </w:r>
      <w:r w:rsidRPr="006A15C2">
        <w:rPr>
          <w:rFonts w:ascii="Book Antiqua" w:hAnsi="Book Antiqua" w:cs="Book Antiqua"/>
          <w:color w:val="000000"/>
          <w:lang w:val="en"/>
        </w:rPr>
        <w:t xml:space="preserve">at investigating the relevance, frequency and clinical presentation of nutritional deficiencies in chronic atrophic gastritis to </w:t>
      </w:r>
      <w:r w:rsidR="00540D24" w:rsidRPr="006A15C2">
        <w:rPr>
          <w:rFonts w:ascii="Book Antiqua" w:hAnsi="Book Antiqua" w:cs="Book Antiqua"/>
          <w:color w:val="000000"/>
          <w:lang w:val="en"/>
        </w:rPr>
        <w:t>enable</w:t>
      </w:r>
      <w:r w:rsidRPr="006A15C2">
        <w:rPr>
          <w:rFonts w:ascii="Book Antiqua" w:hAnsi="Book Antiqua" w:cs="Book Antiqua"/>
          <w:color w:val="000000"/>
          <w:lang w:val="en"/>
        </w:rPr>
        <w:t xml:space="preserve"> clinicians to promptly identify and correct </w:t>
      </w:r>
      <w:r w:rsidR="00540D24" w:rsidRPr="006A15C2">
        <w:rPr>
          <w:rFonts w:ascii="Book Antiqua" w:hAnsi="Book Antiqua" w:cs="Book Antiqua"/>
          <w:color w:val="000000"/>
          <w:lang w:val="en"/>
        </w:rPr>
        <w:t xml:space="preserve">any </w:t>
      </w:r>
      <w:r w:rsidRPr="006A15C2">
        <w:rPr>
          <w:rFonts w:ascii="Book Antiqua" w:hAnsi="Book Antiqua" w:cs="Book Antiqua"/>
          <w:color w:val="000000"/>
          <w:lang w:val="en"/>
        </w:rPr>
        <w:t>possible nutritional impairment.</w:t>
      </w:r>
    </w:p>
    <w:p w14:paraId="5CCADD09" w14:textId="77777777" w:rsidR="006D69E6" w:rsidRPr="00970972" w:rsidRDefault="006D69E6" w:rsidP="006A15C2">
      <w:pPr>
        <w:snapToGrid w:val="0"/>
        <w:spacing w:line="360" w:lineRule="auto"/>
        <w:jc w:val="both"/>
        <w:rPr>
          <w:rFonts w:ascii="Book Antiqua" w:hAnsi="Book Antiqua"/>
          <w:lang w:val="en" w:eastAsia="zh-CN"/>
        </w:rPr>
      </w:pPr>
      <w:bookmarkStart w:id="28" w:name="OLE_LINK286"/>
      <w:bookmarkStart w:id="29" w:name="OLE_LINK287"/>
      <w:bookmarkStart w:id="30" w:name="OLE_LINK310"/>
      <w:bookmarkStart w:id="31" w:name="OLE_LINK579"/>
      <w:bookmarkStart w:id="32" w:name="OLE_LINK712"/>
      <w:bookmarkStart w:id="33" w:name="OLE_LINK232"/>
      <w:bookmarkStart w:id="34" w:name="OLE_LINK233"/>
      <w:bookmarkStart w:id="35" w:name="OLE_LINK271"/>
      <w:bookmarkStart w:id="36" w:name="OLE_LINK311"/>
      <w:bookmarkStart w:id="37" w:name="OLE_LINK452"/>
      <w:bookmarkStart w:id="38" w:name="OLE_LINK753"/>
      <w:bookmarkStart w:id="39" w:name="OLE_LINK775"/>
      <w:bookmarkStart w:id="40" w:name="OLE_LINK892"/>
      <w:bookmarkStart w:id="41" w:name="OLE_LINK907"/>
    </w:p>
    <w:p w14:paraId="14EC041E" w14:textId="470899F7" w:rsidR="00687605" w:rsidRPr="00540F3D" w:rsidRDefault="00C14A03" w:rsidP="00540F3D">
      <w:pPr>
        <w:snapToGrid w:val="0"/>
        <w:spacing w:line="360" w:lineRule="auto"/>
        <w:jc w:val="both"/>
        <w:rPr>
          <w:rFonts w:ascii="Book Antiqua" w:hAnsi="Book Antiqua"/>
          <w:lang w:eastAsia="zh-CN"/>
        </w:rPr>
      </w:pPr>
      <w:bookmarkStart w:id="42" w:name="OLE_LINK47"/>
      <w:bookmarkStart w:id="43" w:name="OLE_LINK48"/>
      <w:bookmarkStart w:id="44" w:name="OLE_LINK3"/>
      <w:bookmarkStart w:id="45" w:name="OLE_LINK4"/>
      <w:bookmarkStart w:id="46" w:name="OLE_LINK70"/>
      <w:bookmarkStart w:id="47" w:name="OLE_LINK118"/>
      <w:bookmarkStart w:id="48" w:name="OLE_LINK145"/>
      <w:bookmarkStart w:id="49" w:name="OLE_LINK218"/>
      <w:bookmarkStart w:id="50" w:name="OLE_LINK520"/>
      <w:bookmarkStart w:id="51" w:name="OLE_LINK537"/>
      <w:bookmarkStart w:id="52" w:name="OLE_LINK598"/>
      <w:bookmarkStart w:id="53" w:name="OLE_LINK728"/>
      <w:bookmarkStart w:id="54" w:name="OLE_LINK745"/>
      <w:proofErr w:type="spellStart"/>
      <w:r w:rsidRPr="00970972">
        <w:rPr>
          <w:rFonts w:ascii="Book Antiqua" w:hAnsi="Book Antiqua"/>
        </w:rPr>
        <w:t>Cavalcoli</w:t>
      </w:r>
      <w:proofErr w:type="spellEnd"/>
      <w:r w:rsidRPr="00970972">
        <w:rPr>
          <w:rFonts w:ascii="Book Antiqua" w:hAnsi="Book Antiqua"/>
        </w:rPr>
        <w:t xml:space="preserve"> F</w:t>
      </w:r>
      <w:r w:rsidR="009860C7" w:rsidRPr="00970972">
        <w:rPr>
          <w:rFonts w:ascii="Book Antiqua" w:hAnsi="Book Antiqua"/>
        </w:rPr>
        <w:t xml:space="preserve">, </w:t>
      </w:r>
      <w:proofErr w:type="spellStart"/>
      <w:r w:rsidRPr="00970972">
        <w:rPr>
          <w:rFonts w:ascii="Book Antiqua" w:hAnsi="Book Antiqua"/>
        </w:rPr>
        <w:t>Zilli</w:t>
      </w:r>
      <w:proofErr w:type="spellEnd"/>
      <w:r w:rsidRPr="00970972">
        <w:rPr>
          <w:rFonts w:ascii="Book Antiqua" w:hAnsi="Book Antiqua"/>
        </w:rPr>
        <w:t xml:space="preserve"> A, Conte D</w:t>
      </w:r>
      <w:r w:rsidR="009860C7" w:rsidRPr="00970972">
        <w:rPr>
          <w:rFonts w:ascii="Book Antiqua" w:hAnsi="Book Antiqua"/>
        </w:rPr>
        <w:t xml:space="preserve">, </w:t>
      </w:r>
      <w:proofErr w:type="spellStart"/>
      <w:r w:rsidR="009860C7" w:rsidRPr="00970972">
        <w:rPr>
          <w:rFonts w:ascii="Book Antiqua" w:hAnsi="Book Antiqua"/>
        </w:rPr>
        <w:t>Massironi</w:t>
      </w:r>
      <w:proofErr w:type="spellEnd"/>
      <w:r w:rsidR="009860C7" w:rsidRPr="00970972">
        <w:rPr>
          <w:rFonts w:ascii="Book Antiqua" w:hAnsi="Book Antiqua"/>
        </w:rPr>
        <w:t xml:space="preserve"> S.</w:t>
      </w:r>
      <w:r w:rsidR="00970972">
        <w:rPr>
          <w:rFonts w:ascii="Book Antiqua" w:hAnsi="Book Antiqua" w:hint="eastAsia"/>
          <w:lang w:eastAsia="zh-CN"/>
        </w:rPr>
        <w:t xml:space="preserve"> </w:t>
      </w:r>
      <w:r w:rsidR="009860C7" w:rsidRPr="00970972">
        <w:rPr>
          <w:rFonts w:ascii="Book Antiqua" w:hAnsi="Book Antiqua" w:cs="Book Antiqua"/>
          <w:lang w:val="en"/>
        </w:rPr>
        <w:t xml:space="preserve">Micronutrient deficiencies in patients with chronic atrophic autoimmune gastritis: </w:t>
      </w:r>
      <w:r w:rsidR="009860C7" w:rsidRPr="00970972">
        <w:rPr>
          <w:rFonts w:ascii="Book Antiqua" w:hAnsi="Book Antiqua" w:cs="Book Antiqua"/>
          <w:caps/>
          <w:lang w:val="en"/>
        </w:rPr>
        <w:t>a</w:t>
      </w:r>
      <w:r w:rsidR="009860C7" w:rsidRPr="00970972">
        <w:rPr>
          <w:rFonts w:ascii="Book Antiqua" w:hAnsi="Book Antiqua" w:cs="Book Antiqua"/>
          <w:lang w:val="en"/>
        </w:rPr>
        <w:t xml:space="preserve"> review.</w:t>
      </w:r>
      <w:bookmarkStart w:id="55" w:name="OLE_LINK200"/>
      <w:bookmarkStart w:id="56" w:name="OLE_LINK196"/>
      <w:bookmarkStart w:id="57" w:name="OLE_LINK341"/>
      <w:bookmarkStart w:id="58" w:name="OLE_LINK377"/>
      <w:bookmarkStart w:id="59" w:name="OLE_LINK366"/>
      <w:bookmarkStart w:id="60" w:name="OLE_LINK1038"/>
      <w:bookmarkStart w:id="61" w:name="OLE_LINK1166"/>
      <w:r w:rsidR="006D69E6" w:rsidRPr="00970972">
        <w:rPr>
          <w:rFonts w:ascii="Book Antiqua" w:hAnsi="Book Antiqua"/>
          <w:i/>
        </w:rPr>
        <w:t xml:space="preserve"> World J </w:t>
      </w:r>
      <w:proofErr w:type="spellStart"/>
      <w:r w:rsidR="006D69E6" w:rsidRPr="00970972">
        <w:rPr>
          <w:rFonts w:ascii="Book Antiqua" w:hAnsi="Book Antiqua"/>
          <w:i/>
        </w:rPr>
        <w:t>Gastroenterol</w:t>
      </w:r>
      <w:proofErr w:type="spellEnd"/>
      <w:r w:rsidR="006D69E6" w:rsidRPr="00970972">
        <w:rPr>
          <w:rFonts w:ascii="Book Antiqua" w:hAnsi="Book Antiqua"/>
          <w:i/>
        </w:rPr>
        <w:t xml:space="preserve"> </w:t>
      </w:r>
      <w:r w:rsidR="006D69E6" w:rsidRPr="00970972">
        <w:rPr>
          <w:rFonts w:ascii="Book Antiqua" w:hAnsi="Book Antiqua"/>
        </w:rPr>
        <w:t xml:space="preserve">2016; </w:t>
      </w:r>
      <w:proofErr w:type="gramStart"/>
      <w:r w:rsidR="006D69E6" w:rsidRPr="00970972">
        <w:rPr>
          <w:rFonts w:ascii="Book Antiqua" w:hAnsi="Book Antiqua"/>
        </w:rPr>
        <w:t>In</w:t>
      </w:r>
      <w:proofErr w:type="gramEnd"/>
      <w:r w:rsidR="006D69E6" w:rsidRPr="00970972">
        <w:rPr>
          <w:rFonts w:ascii="Book Antiqua" w:hAnsi="Book Antiqua"/>
        </w:rPr>
        <w:t xml:space="preserve"> press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D66A879"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br w:type="page"/>
      </w:r>
    </w:p>
    <w:p w14:paraId="2659FEED"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b/>
          <w:bCs/>
          <w:lang w:val="en"/>
        </w:rPr>
      </w:pPr>
      <w:r w:rsidRPr="006A15C2">
        <w:rPr>
          <w:rFonts w:ascii="Book Antiqua" w:hAnsi="Book Antiqua" w:cs="Book Antiqua"/>
          <w:b/>
          <w:bCs/>
          <w:lang w:val="en"/>
        </w:rPr>
        <w:lastRenderedPageBreak/>
        <w:t>INTRODUCTION</w:t>
      </w:r>
    </w:p>
    <w:p w14:paraId="6595A32F" w14:textId="057DA8FF"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lang w:val="en"/>
        </w:rPr>
        <w:t>Chronic atrophic autoimmune gastritis (CAAG) is an organ-specific autoimmune disease characterized by the presence of autoantibodies against gastric parietal cells and intrinsic factor</w:t>
      </w:r>
      <w:r w:rsidR="00485275" w:rsidRPr="006A15C2">
        <w:rPr>
          <w:rFonts w:ascii="Book Antiqua" w:hAnsi="Book Antiqua" w:cs="Book Antiqua"/>
          <w:vertAlign w:val="superscript"/>
          <w:lang w:val="en"/>
        </w:rPr>
        <w:t>[1,2]</w:t>
      </w:r>
      <w:r w:rsidRPr="006A15C2">
        <w:rPr>
          <w:rFonts w:ascii="Book Antiqua" w:hAnsi="Book Antiqua" w:cs="Book Antiqua"/>
          <w:lang w:val="en"/>
        </w:rPr>
        <w:t>. CAAG occurs in approximately 2% of the general population, with a higher prevalence in elderly females</w:t>
      </w:r>
      <w:r w:rsidR="00485275" w:rsidRPr="006A15C2">
        <w:rPr>
          <w:rFonts w:ascii="Book Antiqua" w:hAnsi="Book Antiqua" w:cs="Book Antiqua"/>
          <w:vertAlign w:val="superscript"/>
          <w:lang w:val="en"/>
        </w:rPr>
        <w:t>[3]</w:t>
      </w:r>
      <w:r w:rsidRPr="006A15C2">
        <w:rPr>
          <w:rFonts w:ascii="Book Antiqua" w:hAnsi="Book Antiqua" w:cs="Book Antiqua"/>
          <w:lang w:val="en"/>
        </w:rPr>
        <w:t>.</w:t>
      </w:r>
      <w:r w:rsidR="00485275">
        <w:rPr>
          <w:rFonts w:ascii="Book Antiqua" w:hAnsi="Book Antiqua" w:cs="Book Antiqua" w:hint="eastAsia"/>
          <w:lang w:val="en" w:eastAsia="zh-CN"/>
        </w:rPr>
        <w:t xml:space="preserve"> </w:t>
      </w:r>
      <w:r w:rsidRPr="006A15C2">
        <w:rPr>
          <w:rFonts w:ascii="Book Antiqua" w:hAnsi="Book Antiqua" w:cs="Book Antiqua"/>
          <w:lang w:val="en"/>
        </w:rPr>
        <w:t xml:space="preserve">Early alterations are characterized by </w:t>
      </w:r>
      <w:r w:rsidR="00774EEC" w:rsidRPr="006A15C2">
        <w:rPr>
          <w:rFonts w:ascii="Book Antiqua" w:hAnsi="Book Antiqua" w:cs="Book Antiqua"/>
          <w:lang w:val="en"/>
        </w:rPr>
        <w:t xml:space="preserve">the </w:t>
      </w:r>
      <w:r w:rsidRPr="006A15C2">
        <w:rPr>
          <w:rFonts w:ascii="Book Antiqua" w:hAnsi="Book Antiqua" w:cs="Book Antiqua"/>
          <w:lang w:val="en"/>
        </w:rPr>
        <w:t>chronic inflammation in the submucosa that extends into the lamina propria of the mucosa, with a progressive destruction of both gastric and zymogene cells</w:t>
      </w:r>
      <w:r w:rsidR="00485275" w:rsidRPr="006A15C2">
        <w:rPr>
          <w:rFonts w:ascii="Book Antiqua" w:hAnsi="Book Antiqua" w:cs="Book Antiqua"/>
          <w:vertAlign w:val="superscript"/>
          <w:lang w:val="en"/>
        </w:rPr>
        <w:t>[4]</w:t>
      </w:r>
      <w:r w:rsidRPr="006A15C2">
        <w:rPr>
          <w:rFonts w:ascii="Book Antiqua" w:hAnsi="Book Antiqua" w:cs="Book Antiqua"/>
          <w:lang w:val="en"/>
        </w:rPr>
        <w:t>.</w:t>
      </w:r>
      <w:r w:rsidR="00485275">
        <w:rPr>
          <w:rFonts w:ascii="Book Antiqua" w:hAnsi="Book Antiqua" w:cs="Book Antiqua" w:hint="eastAsia"/>
          <w:lang w:val="en" w:eastAsia="zh-CN"/>
        </w:rPr>
        <w:t xml:space="preserve"> </w:t>
      </w:r>
      <w:r w:rsidRPr="006A15C2">
        <w:rPr>
          <w:rFonts w:ascii="Book Antiqua" w:hAnsi="Book Antiqua" w:cs="Book Antiqua"/>
          <w:lang w:val="en"/>
        </w:rPr>
        <w:t xml:space="preserve">In </w:t>
      </w:r>
      <w:r w:rsidR="00774EEC" w:rsidRPr="006A15C2">
        <w:rPr>
          <w:rFonts w:ascii="Book Antiqua" w:hAnsi="Book Antiqua" w:cs="Book Antiqua"/>
          <w:lang w:val="en"/>
        </w:rPr>
        <w:t xml:space="preserve">the </w:t>
      </w:r>
      <w:r w:rsidRPr="006A15C2">
        <w:rPr>
          <w:rFonts w:ascii="Book Antiqua" w:hAnsi="Book Antiqua" w:cs="Book Antiqua"/>
          <w:lang w:val="en"/>
        </w:rPr>
        <w:t>advanced stages of the disease, the gastric mucosa presents a dramatic reduction or absence of gastric glands. In particular, the parietal cells and zymogenic cells are absent from the gastric mucosa and are replaced by intestinal metaplasia</w:t>
      </w:r>
      <w:r w:rsidR="00485275" w:rsidRPr="006A15C2">
        <w:rPr>
          <w:rFonts w:ascii="Book Antiqua" w:hAnsi="Book Antiqua" w:cs="Book Antiqua"/>
          <w:vertAlign w:val="superscript"/>
          <w:lang w:val="en"/>
        </w:rPr>
        <w:t>[4,5]</w:t>
      </w:r>
      <w:r w:rsidRPr="006A15C2">
        <w:rPr>
          <w:rFonts w:ascii="Book Antiqua" w:hAnsi="Book Antiqua" w:cs="Book Antiqua"/>
          <w:lang w:val="en"/>
        </w:rPr>
        <w:t>.</w:t>
      </w:r>
      <w:r w:rsidR="00485275">
        <w:rPr>
          <w:rFonts w:ascii="Book Antiqua" w:hAnsi="Book Antiqua" w:cs="Book Antiqua" w:hint="eastAsia"/>
          <w:lang w:val="en" w:eastAsia="zh-CN"/>
        </w:rPr>
        <w:t xml:space="preserve"> </w:t>
      </w:r>
      <w:r w:rsidRPr="006A15C2">
        <w:rPr>
          <w:rFonts w:ascii="Book Antiqua" w:hAnsi="Book Antiqua" w:cs="Book Antiqua"/>
          <w:lang w:val="en"/>
        </w:rPr>
        <w:t>These histological changes result in achlorhydria, hypergastrinemia and intrinsic factor deficiency</w:t>
      </w:r>
      <w:r w:rsidR="00485275" w:rsidRPr="006A15C2">
        <w:rPr>
          <w:rFonts w:ascii="Book Antiqua" w:hAnsi="Book Antiqua" w:cs="Book Antiqua"/>
          <w:vertAlign w:val="superscript"/>
          <w:lang w:val="en"/>
        </w:rPr>
        <w:t>[6]</w:t>
      </w:r>
      <w:r w:rsidRPr="006A15C2">
        <w:rPr>
          <w:rFonts w:ascii="Book Antiqua" w:hAnsi="Book Antiqua" w:cs="Book Antiqua"/>
          <w:lang w:val="en"/>
        </w:rPr>
        <w:t>.</w:t>
      </w:r>
    </w:p>
    <w:p w14:paraId="38A24127" w14:textId="3E6749D8"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The reduction of intrinsic factor levels results in vitamin B12 malabsorption. Indeed, intrinsic factor has a key-role in binding vitamin B12 in the duodenum and transporting it to the terminal ileum for absorption</w:t>
      </w:r>
      <w:r w:rsidR="00485275" w:rsidRPr="006A15C2">
        <w:rPr>
          <w:rFonts w:ascii="Book Antiqua" w:hAnsi="Book Antiqua" w:cs="Book Antiqua"/>
          <w:vertAlign w:val="superscript"/>
          <w:lang w:val="en"/>
        </w:rPr>
        <w:t>[7,8]</w:t>
      </w:r>
      <w:r w:rsidRPr="006A15C2">
        <w:rPr>
          <w:rFonts w:ascii="Book Antiqua" w:hAnsi="Book Antiqua" w:cs="Book Antiqua"/>
          <w:lang w:val="en"/>
        </w:rPr>
        <w:t>. More recently, iron</w:t>
      </w:r>
      <w:r w:rsidR="005A0C3B" w:rsidRPr="006A15C2">
        <w:rPr>
          <w:rFonts w:ascii="Book Antiqua" w:hAnsi="Book Antiqua" w:cs="Book Antiqua"/>
          <w:lang w:val="en"/>
        </w:rPr>
        <w:t xml:space="preserve"> </w:t>
      </w:r>
      <w:r w:rsidRPr="006A15C2">
        <w:rPr>
          <w:rFonts w:ascii="Book Antiqua" w:hAnsi="Book Antiqua" w:cs="Book Antiqua"/>
          <w:lang w:val="en"/>
        </w:rPr>
        <w:t>deficiency and iron deficiency anemia ha</w:t>
      </w:r>
      <w:r w:rsidR="007044C2" w:rsidRPr="006A15C2">
        <w:rPr>
          <w:rFonts w:ascii="Book Antiqua" w:hAnsi="Book Antiqua" w:cs="Book Antiqua"/>
          <w:lang w:val="en"/>
        </w:rPr>
        <w:t xml:space="preserve">ve </w:t>
      </w:r>
      <w:r w:rsidRPr="006A15C2">
        <w:rPr>
          <w:rFonts w:ascii="Book Antiqua" w:hAnsi="Book Antiqua" w:cs="Book Antiqua"/>
          <w:lang w:val="en"/>
        </w:rPr>
        <w:t>been reported in the setting of CAAG, particularly in younger patients</w:t>
      </w:r>
      <w:r w:rsidR="00485275" w:rsidRPr="006A15C2">
        <w:rPr>
          <w:rFonts w:ascii="Book Antiqua" w:hAnsi="Book Antiqua" w:cs="Book Antiqua"/>
          <w:vertAlign w:val="superscript"/>
          <w:lang w:val="en"/>
        </w:rPr>
        <w:t>[9]</w:t>
      </w:r>
      <w:r w:rsidRPr="006A15C2">
        <w:rPr>
          <w:rFonts w:ascii="Book Antiqua" w:hAnsi="Book Antiqua" w:cs="Book Antiqua"/>
          <w:lang w:val="en"/>
        </w:rPr>
        <w:t>.</w:t>
      </w:r>
    </w:p>
    <w:p w14:paraId="43AA5168" w14:textId="09CE14F9"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 xml:space="preserve">Moreover, </w:t>
      </w:r>
      <w:r w:rsidR="007044C2" w:rsidRPr="006A15C2">
        <w:rPr>
          <w:rFonts w:ascii="Book Antiqua" w:hAnsi="Book Antiqua" w:cs="Book Antiqua"/>
          <w:lang w:val="en"/>
        </w:rPr>
        <w:t xml:space="preserve">the deficiency of </w:t>
      </w:r>
      <w:r w:rsidRPr="006A15C2">
        <w:rPr>
          <w:rFonts w:ascii="Book Antiqua" w:hAnsi="Book Antiqua" w:cs="Book Antiqua"/>
          <w:lang w:val="en"/>
        </w:rPr>
        <w:t>several vitamin</w:t>
      </w:r>
      <w:r w:rsidR="007044C2" w:rsidRPr="006A15C2">
        <w:rPr>
          <w:rFonts w:ascii="Book Antiqua" w:hAnsi="Book Antiqua" w:cs="Book Antiqua"/>
          <w:lang w:val="en"/>
        </w:rPr>
        <w:t>s</w:t>
      </w:r>
      <w:r w:rsidRPr="006A15C2">
        <w:rPr>
          <w:rFonts w:ascii="Book Antiqua" w:hAnsi="Book Antiqua" w:cs="Book Antiqua"/>
          <w:lang w:val="en"/>
        </w:rPr>
        <w:t xml:space="preserve"> and micronutrient</w:t>
      </w:r>
      <w:r w:rsidR="007044C2" w:rsidRPr="006A15C2">
        <w:rPr>
          <w:rFonts w:ascii="Book Antiqua" w:hAnsi="Book Antiqua" w:cs="Book Antiqua"/>
          <w:lang w:val="en"/>
        </w:rPr>
        <w:t>s</w:t>
      </w:r>
      <w:r w:rsidRPr="006A15C2">
        <w:rPr>
          <w:rFonts w:ascii="Book Antiqua" w:hAnsi="Book Antiqua" w:cs="Book Antiqua"/>
          <w:lang w:val="en"/>
        </w:rPr>
        <w:t>, such as vitamin C, vitamin D, folic acid and calcium, ha</w:t>
      </w:r>
      <w:r w:rsidR="007044C2" w:rsidRPr="006A15C2">
        <w:rPr>
          <w:rFonts w:ascii="Book Antiqua" w:hAnsi="Book Antiqua" w:cs="Book Antiqua"/>
          <w:lang w:val="en"/>
        </w:rPr>
        <w:t xml:space="preserve">s </w:t>
      </w:r>
      <w:r w:rsidRPr="006A15C2">
        <w:rPr>
          <w:rFonts w:ascii="Book Antiqua" w:hAnsi="Book Antiqua" w:cs="Book Antiqua"/>
          <w:lang w:val="en"/>
        </w:rPr>
        <w:t>been described in patients with CAAG</w:t>
      </w:r>
      <w:r w:rsidRPr="006A15C2">
        <w:rPr>
          <w:rFonts w:ascii="Book Antiqua" w:hAnsi="Book Antiqua" w:cs="Book Antiqua"/>
          <w:vertAlign w:val="superscript"/>
          <w:lang w:val="en"/>
        </w:rPr>
        <w:t>[10,11]</w:t>
      </w:r>
      <w:r w:rsidRPr="006A15C2">
        <w:rPr>
          <w:rFonts w:ascii="Book Antiqua" w:hAnsi="Book Antiqua" w:cs="Book Antiqua"/>
          <w:lang w:val="en"/>
        </w:rPr>
        <w:t xml:space="preserve"> or long-standing achlorhydria due to proton</w:t>
      </w:r>
      <w:r w:rsidR="007044C2" w:rsidRPr="006A15C2">
        <w:rPr>
          <w:rFonts w:ascii="Book Antiqua" w:hAnsi="Book Antiqua" w:cs="Book Antiqua"/>
          <w:lang w:val="en"/>
        </w:rPr>
        <w:t xml:space="preserve"> </w:t>
      </w:r>
      <w:r w:rsidRPr="006A15C2">
        <w:rPr>
          <w:rFonts w:ascii="Book Antiqua" w:hAnsi="Book Antiqua" w:cs="Book Antiqua"/>
          <w:lang w:val="en"/>
        </w:rPr>
        <w:t>pump inhibitors (PPIs) therapy or gastrectomy</w:t>
      </w:r>
      <w:r w:rsidR="00485275" w:rsidRPr="006A15C2">
        <w:rPr>
          <w:rFonts w:ascii="Book Antiqua" w:hAnsi="Book Antiqua" w:cs="Book Antiqua"/>
          <w:vertAlign w:val="superscript"/>
          <w:lang w:val="en"/>
        </w:rPr>
        <w:t>[12]</w:t>
      </w:r>
      <w:r w:rsidRPr="006A15C2">
        <w:rPr>
          <w:rFonts w:ascii="Book Antiqua" w:hAnsi="Book Antiqua" w:cs="Book Antiqua"/>
          <w:lang w:val="en"/>
        </w:rPr>
        <w:t xml:space="preserve">. The pathogenic mechanism underlying these changes seems to be the increased destruction or decreased absorption of nutrients in the gastric mucosa, possibly </w:t>
      </w:r>
      <w:r w:rsidR="007044C2" w:rsidRPr="006A15C2">
        <w:rPr>
          <w:rFonts w:ascii="Book Antiqua" w:hAnsi="Book Antiqua" w:cs="Book Antiqua"/>
          <w:lang w:val="en"/>
        </w:rPr>
        <w:t xml:space="preserve">due to the </w:t>
      </w:r>
      <w:r w:rsidRPr="006A15C2">
        <w:rPr>
          <w:rFonts w:ascii="Book Antiqua" w:hAnsi="Book Antiqua" w:cs="Book Antiqua"/>
          <w:lang w:val="en"/>
        </w:rPr>
        <w:t>elevated pH and bacterial overgrowth</w:t>
      </w:r>
      <w:r w:rsidR="00485275" w:rsidRPr="006A15C2">
        <w:rPr>
          <w:rFonts w:ascii="Book Antiqua" w:hAnsi="Book Antiqua" w:cs="Book Antiqua"/>
          <w:vertAlign w:val="superscript"/>
          <w:lang w:val="en"/>
        </w:rPr>
        <w:t>[11]</w:t>
      </w:r>
      <w:r w:rsidRPr="006A15C2">
        <w:rPr>
          <w:rFonts w:ascii="Book Antiqua" w:hAnsi="Book Antiqua" w:cs="Book Antiqua"/>
          <w:lang w:val="en"/>
        </w:rPr>
        <w:t>.</w:t>
      </w:r>
    </w:p>
    <w:p w14:paraId="7801CD42" w14:textId="77777777" w:rsidR="00687605" w:rsidRPr="006A15C2" w:rsidRDefault="007044C2"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rPr>
      </w:pPr>
      <w:r w:rsidRPr="006A15C2">
        <w:rPr>
          <w:rFonts w:ascii="Book Antiqua" w:hAnsi="Book Antiqua" w:cs="Book Antiqua"/>
          <w:lang w:val="en"/>
        </w:rPr>
        <w:t xml:space="preserve">This paper aims to </w:t>
      </w:r>
      <w:r w:rsidR="00687605" w:rsidRPr="006A15C2">
        <w:rPr>
          <w:rFonts w:ascii="Book Antiqua" w:hAnsi="Book Antiqua" w:cs="Book Antiqua"/>
          <w:lang w:val="en"/>
        </w:rPr>
        <w:t xml:space="preserve">critically review the current knowledge </w:t>
      </w:r>
      <w:r w:rsidRPr="006A15C2">
        <w:rPr>
          <w:rFonts w:ascii="Book Antiqua" w:hAnsi="Book Antiqua" w:cs="Book Antiqua"/>
          <w:lang w:val="en"/>
        </w:rPr>
        <w:t xml:space="preserve">on </w:t>
      </w:r>
      <w:r w:rsidR="00687605" w:rsidRPr="006A15C2">
        <w:rPr>
          <w:rFonts w:ascii="Book Antiqua" w:hAnsi="Book Antiqua" w:cs="Book Antiqua"/>
          <w:lang w:val="en"/>
        </w:rPr>
        <w:t xml:space="preserve">CAAG and nutritional deficiency in order to focus on the existence of </w:t>
      </w:r>
      <w:r w:rsidRPr="006A15C2">
        <w:rPr>
          <w:rFonts w:ascii="Book Antiqua" w:hAnsi="Book Antiqua" w:cs="Book Antiqua"/>
          <w:lang w:val="en"/>
        </w:rPr>
        <w:t xml:space="preserve">any </w:t>
      </w:r>
      <w:r w:rsidR="00687605" w:rsidRPr="006A15C2">
        <w:rPr>
          <w:rFonts w:ascii="Book Antiqua" w:hAnsi="Book Antiqua" w:cs="Book Antiqua"/>
          <w:lang w:val="en"/>
        </w:rPr>
        <w:t>deficit that may be clinically significant, and to optimize the treatment and the follow-up of patients affected with CAAG</w:t>
      </w:r>
      <w:r w:rsidRPr="006A15C2">
        <w:rPr>
          <w:rFonts w:ascii="Book Antiqua" w:hAnsi="Book Antiqua" w:cs="Book Antiqua"/>
          <w:lang w:val="en"/>
        </w:rPr>
        <w:t>.</w:t>
      </w:r>
    </w:p>
    <w:p w14:paraId="782C4BF1"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Arial"/>
          <w:lang w:val="en"/>
        </w:rPr>
      </w:pPr>
    </w:p>
    <w:p w14:paraId="566A5D34" w14:textId="1189AC9A"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b/>
          <w:bCs/>
          <w:lang w:val="en"/>
        </w:rPr>
      </w:pPr>
      <w:r w:rsidRPr="006A15C2">
        <w:rPr>
          <w:rFonts w:ascii="Book Antiqua" w:hAnsi="Book Antiqua" w:cs="Book Antiqua"/>
          <w:b/>
          <w:bCs/>
          <w:caps/>
          <w:lang w:val="en"/>
        </w:rPr>
        <w:t>micronutrient deficiencies</w:t>
      </w:r>
    </w:p>
    <w:p w14:paraId="447A38A0" w14:textId="283B8951" w:rsidR="00687605" w:rsidRPr="00485275" w:rsidRDefault="00687605" w:rsidP="006A15C2">
      <w:pPr>
        <w:widowControl w:val="0"/>
        <w:autoSpaceDE w:val="0"/>
        <w:autoSpaceDN w:val="0"/>
        <w:adjustRightInd w:val="0"/>
        <w:snapToGrid w:val="0"/>
        <w:spacing w:line="360" w:lineRule="auto"/>
        <w:jc w:val="both"/>
        <w:rPr>
          <w:rFonts w:ascii="Book Antiqua" w:hAnsi="Book Antiqua" w:cs="Book Antiqua"/>
          <w:b/>
          <w:i/>
          <w:lang w:val="en" w:eastAsia="zh-CN"/>
        </w:rPr>
      </w:pPr>
      <w:r w:rsidRPr="00485275">
        <w:rPr>
          <w:rFonts w:ascii="Book Antiqua" w:hAnsi="Book Antiqua" w:cs="Book Antiqua"/>
          <w:b/>
          <w:i/>
          <w:lang w:val="en"/>
        </w:rPr>
        <w:t>V</w:t>
      </w:r>
      <w:r w:rsidR="00485275" w:rsidRPr="00485275">
        <w:rPr>
          <w:rFonts w:ascii="Book Antiqua" w:hAnsi="Book Antiqua" w:cs="Book Antiqua"/>
          <w:b/>
          <w:i/>
          <w:lang w:val="en"/>
        </w:rPr>
        <w:t xml:space="preserve">itamin </w:t>
      </w:r>
      <w:r w:rsidR="00485275">
        <w:rPr>
          <w:rFonts w:ascii="Book Antiqua" w:hAnsi="Book Antiqua" w:cs="Book Antiqua"/>
          <w:b/>
          <w:i/>
          <w:lang w:val="en"/>
        </w:rPr>
        <w:t>B12</w:t>
      </w:r>
    </w:p>
    <w:p w14:paraId="1FDB1E7B" w14:textId="07112FF3"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lastRenderedPageBreak/>
        <w:t xml:space="preserve">Pernicious anemia (PA) is the most common cause of megaloblastic anemia in Western countries, resulting from impaired cobalamin </w:t>
      </w:r>
      <w:r w:rsidR="00501B3B" w:rsidRPr="006A15C2">
        <w:rPr>
          <w:rFonts w:ascii="Book Antiqua" w:hAnsi="Book Antiqua" w:cs="Book Antiqua"/>
          <w:lang w:val="en"/>
        </w:rPr>
        <w:t>(</w:t>
      </w:r>
      <w:r w:rsidR="00501B3B" w:rsidRPr="006A15C2">
        <w:rPr>
          <w:rFonts w:ascii="Book Antiqua" w:hAnsi="Book Antiqua" w:cs="Book Antiqua"/>
          <w:i/>
          <w:lang w:val="en"/>
        </w:rPr>
        <w:t>i.e.</w:t>
      </w:r>
      <w:r w:rsidR="00BB240F">
        <w:rPr>
          <w:rFonts w:ascii="Book Antiqua" w:hAnsi="Book Antiqua" w:cs="Book Antiqua" w:hint="eastAsia"/>
          <w:i/>
          <w:lang w:val="en" w:eastAsia="zh-CN"/>
        </w:rPr>
        <w:t xml:space="preserve">, </w:t>
      </w:r>
      <w:r w:rsidR="00501B3B" w:rsidRPr="006A15C2">
        <w:rPr>
          <w:rFonts w:ascii="Book Antiqua" w:hAnsi="Book Antiqua" w:cs="Book Antiqua"/>
          <w:lang w:val="en"/>
        </w:rPr>
        <w:t xml:space="preserve">vitamin B12) </w:t>
      </w:r>
      <w:r w:rsidRPr="006A15C2">
        <w:rPr>
          <w:rFonts w:ascii="Book Antiqua" w:hAnsi="Book Antiqua" w:cs="Book Antiqua"/>
          <w:lang w:val="en"/>
        </w:rPr>
        <w:t xml:space="preserve">absorption due to the lack of intrinsic factor production caused by </w:t>
      </w:r>
      <w:r w:rsidR="00501B3B" w:rsidRPr="006A15C2">
        <w:rPr>
          <w:rFonts w:ascii="Book Antiqua" w:hAnsi="Book Antiqua" w:cs="Book Antiqua"/>
          <w:lang w:val="en"/>
        </w:rPr>
        <w:t xml:space="preserve">the </w:t>
      </w:r>
      <w:r w:rsidRPr="006A15C2">
        <w:rPr>
          <w:rFonts w:ascii="Book Antiqua" w:hAnsi="Book Antiqua" w:cs="Book Antiqua"/>
          <w:lang w:val="en"/>
        </w:rPr>
        <w:t>destruction of parietal cells.</w:t>
      </w:r>
      <w:r w:rsidR="00485275">
        <w:rPr>
          <w:rFonts w:ascii="Book Antiqua" w:hAnsi="Book Antiqua" w:cs="Book Antiqua"/>
          <w:lang w:val="en"/>
        </w:rPr>
        <w:t xml:space="preserve"> </w:t>
      </w:r>
      <w:r w:rsidR="00501B3B" w:rsidRPr="006A15C2">
        <w:rPr>
          <w:rFonts w:ascii="Book Antiqua" w:hAnsi="Book Antiqua" w:cs="Book Antiqua"/>
          <w:lang w:val="en"/>
        </w:rPr>
        <w:t xml:space="preserve">Cobalamin </w:t>
      </w:r>
      <w:r w:rsidRPr="006A15C2">
        <w:rPr>
          <w:rFonts w:ascii="Book Antiqua" w:hAnsi="Book Antiqua" w:cs="Book Antiqua"/>
          <w:lang w:val="en"/>
        </w:rPr>
        <w:t xml:space="preserve">cannot be synthesized in the human body, but should be introduced with food, where it is bound to proteins. After hydrolysis by gastric pepsin and chlorhidric acid, </w:t>
      </w:r>
      <w:r w:rsidR="00501B3B" w:rsidRPr="006A15C2">
        <w:rPr>
          <w:rFonts w:ascii="Book Antiqua" w:hAnsi="Book Antiqua" w:cs="Book Antiqua"/>
          <w:lang w:val="en"/>
        </w:rPr>
        <w:t>cobalamin</w:t>
      </w:r>
      <w:r w:rsidRPr="006A15C2">
        <w:rPr>
          <w:rFonts w:ascii="Book Antiqua" w:hAnsi="Book Antiqua" w:cs="Book Antiqua"/>
          <w:lang w:val="en"/>
        </w:rPr>
        <w:t xml:space="preserve"> binds to </w:t>
      </w:r>
      <w:r w:rsidR="00501B3B" w:rsidRPr="006A15C2">
        <w:rPr>
          <w:rFonts w:ascii="Book Antiqua" w:hAnsi="Book Antiqua" w:cs="Book Antiqua"/>
          <w:lang w:val="en"/>
        </w:rPr>
        <w:t xml:space="preserve">the </w:t>
      </w:r>
      <w:r w:rsidRPr="006A15C2">
        <w:rPr>
          <w:rFonts w:ascii="Book Antiqua" w:hAnsi="Book Antiqua" w:cs="Book Antiqua"/>
          <w:lang w:val="en"/>
        </w:rPr>
        <w:t xml:space="preserve">intrinsic factor, which is released by </w:t>
      </w:r>
      <w:r w:rsidR="00501B3B" w:rsidRPr="006A15C2">
        <w:rPr>
          <w:rFonts w:ascii="Book Antiqua" w:hAnsi="Book Antiqua" w:cs="Book Antiqua"/>
          <w:lang w:val="en"/>
        </w:rPr>
        <w:t xml:space="preserve">the </w:t>
      </w:r>
      <w:r w:rsidRPr="006A15C2">
        <w:rPr>
          <w:rFonts w:ascii="Book Antiqua" w:hAnsi="Book Antiqua" w:cs="Book Antiqua"/>
          <w:lang w:val="en"/>
        </w:rPr>
        <w:t xml:space="preserve">gastric parietal cells and is essential for </w:t>
      </w:r>
      <w:r w:rsidR="00501B3B" w:rsidRPr="006A15C2">
        <w:rPr>
          <w:rFonts w:ascii="Book Antiqua" w:hAnsi="Book Antiqua" w:cs="Book Antiqua"/>
          <w:lang w:val="en"/>
        </w:rPr>
        <w:t xml:space="preserve">its </w:t>
      </w:r>
      <w:r w:rsidRPr="006A15C2">
        <w:rPr>
          <w:rFonts w:ascii="Book Antiqua" w:hAnsi="Book Antiqua" w:cs="Book Antiqua"/>
          <w:lang w:val="en"/>
        </w:rPr>
        <w:t>absorption in the distal ileum</w:t>
      </w:r>
      <w:r w:rsidR="00485275" w:rsidRPr="006A15C2">
        <w:rPr>
          <w:rFonts w:ascii="Book Antiqua" w:hAnsi="Book Antiqua" w:cs="Book Antiqua"/>
          <w:vertAlign w:val="superscript"/>
          <w:lang w:val="en"/>
        </w:rPr>
        <w:t>[13,14]</w:t>
      </w:r>
      <w:r w:rsidRPr="006A15C2">
        <w:rPr>
          <w:rFonts w:ascii="Book Antiqua" w:hAnsi="Book Antiqua" w:cs="Book Antiqua"/>
          <w:lang w:val="en"/>
        </w:rPr>
        <w:t xml:space="preserve">. As </w:t>
      </w:r>
      <w:r w:rsidR="00501B3B" w:rsidRPr="006A15C2">
        <w:rPr>
          <w:rFonts w:ascii="Book Antiqua" w:hAnsi="Book Antiqua" w:cs="Book Antiqua"/>
          <w:lang w:val="en"/>
        </w:rPr>
        <w:t xml:space="preserve">a </w:t>
      </w:r>
      <w:r w:rsidRPr="006A15C2">
        <w:rPr>
          <w:rFonts w:ascii="Book Antiqua" w:hAnsi="Book Antiqua" w:cs="Book Antiqua"/>
          <w:lang w:val="en"/>
        </w:rPr>
        <w:t xml:space="preserve">cofactor for two enzymes, the adenosylcobalamin-dependent methylmalonyl-CoA mutase in mitochondria and the methylcobalamin-dependent methionine synthase in the cytoplasm, cobalamin is important in several biological processes, </w:t>
      </w:r>
      <w:r w:rsidR="00501B3B" w:rsidRPr="006A15C2">
        <w:rPr>
          <w:rFonts w:ascii="Book Antiqua" w:hAnsi="Book Antiqua" w:cs="Book Antiqua"/>
          <w:lang w:val="en"/>
        </w:rPr>
        <w:t xml:space="preserve">such </w:t>
      </w:r>
      <w:r w:rsidRPr="006A15C2">
        <w:rPr>
          <w:rFonts w:ascii="Book Antiqua" w:hAnsi="Book Antiqua" w:cs="Book Antiqua"/>
          <w:lang w:val="en"/>
        </w:rPr>
        <w:t>as DNA synthesis and regulation, energy production and erythropoiesis</w:t>
      </w:r>
      <w:r w:rsidR="00485275" w:rsidRPr="006A15C2">
        <w:rPr>
          <w:rFonts w:ascii="Book Antiqua" w:hAnsi="Book Antiqua" w:cs="Book Antiqua"/>
          <w:vertAlign w:val="superscript"/>
          <w:lang w:val="en"/>
        </w:rPr>
        <w:t>[15]</w:t>
      </w:r>
      <w:r w:rsidRPr="006A15C2">
        <w:rPr>
          <w:rFonts w:ascii="Book Antiqua" w:hAnsi="Book Antiqua" w:cs="Book Antiqua"/>
          <w:lang w:val="en"/>
        </w:rPr>
        <w:t>. The spectrum of disease</w:t>
      </w:r>
      <w:r w:rsidR="00501B3B" w:rsidRPr="006A15C2">
        <w:rPr>
          <w:rFonts w:ascii="Book Antiqua" w:hAnsi="Book Antiqua" w:cs="Book Antiqua"/>
          <w:lang w:val="en"/>
        </w:rPr>
        <w:t>s</w:t>
      </w:r>
      <w:r w:rsidRPr="006A15C2">
        <w:rPr>
          <w:rFonts w:ascii="Book Antiqua" w:hAnsi="Book Antiqua" w:cs="Book Antiqua"/>
          <w:lang w:val="en"/>
        </w:rPr>
        <w:t xml:space="preserve"> associated with vitamin B12 deficiency is very wide, varying from asymptomatic to life</w:t>
      </w:r>
      <w:r w:rsidR="00501B3B" w:rsidRPr="006A15C2">
        <w:rPr>
          <w:rFonts w:ascii="Book Antiqua" w:hAnsi="Book Antiqua" w:cs="Book Antiqua"/>
          <w:lang w:val="en"/>
        </w:rPr>
        <w:t>-</w:t>
      </w:r>
      <w:r w:rsidRPr="006A15C2">
        <w:rPr>
          <w:rFonts w:ascii="Book Antiqua" w:hAnsi="Book Antiqua" w:cs="Book Antiqua"/>
          <w:lang w:val="en"/>
        </w:rPr>
        <w:t>threatening</w:t>
      </w:r>
      <w:r w:rsidR="00501B3B" w:rsidRPr="006A15C2">
        <w:rPr>
          <w:rFonts w:ascii="Book Antiqua" w:hAnsi="Book Antiqua" w:cs="Book Antiqua"/>
          <w:lang w:val="en"/>
        </w:rPr>
        <w:t xml:space="preserve"> </w:t>
      </w:r>
      <w:r w:rsidRPr="006A15C2">
        <w:rPr>
          <w:rFonts w:ascii="Book Antiqua" w:hAnsi="Book Antiqua" w:cs="Book Antiqua"/>
          <w:lang w:val="en"/>
        </w:rPr>
        <w:t>pancytopenia or myelopathy</w:t>
      </w:r>
      <w:r w:rsidR="00485275" w:rsidRPr="006A15C2">
        <w:rPr>
          <w:rFonts w:ascii="Book Antiqua" w:hAnsi="Book Antiqua" w:cs="Book Antiqua"/>
          <w:vertAlign w:val="superscript"/>
          <w:lang w:val="en"/>
        </w:rPr>
        <w:t>[16]</w:t>
      </w:r>
      <w:r w:rsidRPr="006A15C2">
        <w:rPr>
          <w:rFonts w:ascii="Book Antiqua" w:hAnsi="Book Antiqua" w:cs="Book Antiqua"/>
          <w:lang w:val="en"/>
        </w:rPr>
        <w:t>.</w:t>
      </w:r>
      <w:r w:rsidR="00485275">
        <w:rPr>
          <w:rFonts w:ascii="Book Antiqua" w:hAnsi="Book Antiqua" w:cs="Book Antiqua" w:hint="eastAsia"/>
          <w:lang w:val="en" w:eastAsia="zh-CN"/>
        </w:rPr>
        <w:t xml:space="preserve"> </w:t>
      </w:r>
      <w:r w:rsidR="00501B3B" w:rsidRPr="006A15C2">
        <w:rPr>
          <w:rFonts w:ascii="Book Antiqua" w:hAnsi="Book Antiqua" w:cs="Book Antiqua"/>
          <w:lang w:val="en"/>
        </w:rPr>
        <w:t xml:space="preserve">Vitamin </w:t>
      </w:r>
      <w:r w:rsidRPr="006A15C2">
        <w:rPr>
          <w:rFonts w:ascii="Book Antiqua" w:hAnsi="Book Antiqua" w:cs="Book Antiqua"/>
          <w:lang w:val="en"/>
        </w:rPr>
        <w:t>B12 deficiency can cause macrocytic anemia, mild hyperhomocysteinemia that however increase the risk of atherothrombosis, neuropsychiatric manifestations, as paraesthesia, weakness, gait abnormalities, and cognitive or behavioral changes (Table 1).</w:t>
      </w:r>
    </w:p>
    <w:p w14:paraId="342D0BAF" w14:textId="3E526EB1"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 xml:space="preserve">Recent epidemiological studies support the evidence that CAAG and PA are found across all </w:t>
      </w:r>
      <w:r w:rsidR="00501B3B" w:rsidRPr="006A15C2">
        <w:rPr>
          <w:rFonts w:ascii="Book Antiqua" w:hAnsi="Book Antiqua" w:cs="Book Antiqua"/>
          <w:lang w:val="en"/>
        </w:rPr>
        <w:t xml:space="preserve">the </w:t>
      </w:r>
      <w:r w:rsidRPr="006A15C2">
        <w:rPr>
          <w:rFonts w:ascii="Book Antiqua" w:hAnsi="Book Antiqua" w:cs="Book Antiqua"/>
          <w:lang w:val="en"/>
        </w:rPr>
        <w:t>continents</w:t>
      </w:r>
      <w:r w:rsidRPr="006A15C2">
        <w:rPr>
          <w:rFonts w:ascii="Book Antiqua" w:hAnsi="Book Antiqua" w:cs="Book Antiqua"/>
          <w:vertAlign w:val="superscript"/>
          <w:lang w:val="en"/>
        </w:rPr>
        <w:t>[17,18]</w:t>
      </w:r>
      <w:r w:rsidRPr="006A15C2">
        <w:rPr>
          <w:rFonts w:ascii="Book Antiqua" w:hAnsi="Book Antiqua" w:cs="Book Antiqua"/>
          <w:lang w:val="en"/>
        </w:rPr>
        <w:t xml:space="preserve"> and </w:t>
      </w:r>
      <w:r w:rsidR="00501B3B" w:rsidRPr="006A15C2">
        <w:rPr>
          <w:rFonts w:ascii="Book Antiqua" w:hAnsi="Book Antiqua" w:cs="Book Antiqua"/>
          <w:lang w:val="en"/>
        </w:rPr>
        <w:t xml:space="preserve">are </w:t>
      </w:r>
      <w:r w:rsidRPr="006A15C2">
        <w:rPr>
          <w:rFonts w:ascii="Book Antiqua" w:hAnsi="Book Antiqua" w:cs="Book Antiqua"/>
          <w:lang w:val="en"/>
        </w:rPr>
        <w:t>probably under</w:t>
      </w:r>
      <w:r w:rsidR="00501B3B" w:rsidRPr="006A15C2">
        <w:rPr>
          <w:rFonts w:ascii="Book Antiqua" w:hAnsi="Book Antiqua" w:cs="Book Antiqua"/>
          <w:lang w:val="en"/>
        </w:rPr>
        <w:t>-</w:t>
      </w:r>
      <w:r w:rsidRPr="006A15C2">
        <w:rPr>
          <w:rFonts w:ascii="Book Antiqua" w:hAnsi="Book Antiqua" w:cs="Book Antiqua"/>
          <w:lang w:val="en"/>
        </w:rPr>
        <w:t xml:space="preserve">diagnosed, since most patients with microcytic or macrocytic anemia are treated with iron, folates, and cobalamin, without </w:t>
      </w:r>
      <w:r w:rsidR="00861D9B" w:rsidRPr="006A15C2">
        <w:rPr>
          <w:rFonts w:ascii="Book Antiqua" w:hAnsi="Book Antiqua" w:cs="Book Antiqua"/>
          <w:lang w:val="en"/>
        </w:rPr>
        <w:t xml:space="preserve">any investigation of </w:t>
      </w:r>
      <w:r w:rsidRPr="006A15C2">
        <w:rPr>
          <w:rFonts w:ascii="Book Antiqua" w:hAnsi="Book Antiqua" w:cs="Book Antiqua"/>
          <w:lang w:val="en"/>
        </w:rPr>
        <w:t xml:space="preserve">other causes of anemia. </w:t>
      </w:r>
      <w:r w:rsidR="00861D9B" w:rsidRPr="006A15C2">
        <w:rPr>
          <w:rFonts w:ascii="Book Antiqua" w:hAnsi="Book Antiqua" w:cs="Book Antiqua"/>
          <w:lang w:val="en"/>
        </w:rPr>
        <w:t>A</w:t>
      </w:r>
      <w:r w:rsidRPr="006A15C2">
        <w:rPr>
          <w:rFonts w:ascii="Book Antiqua" w:hAnsi="Book Antiqua" w:cs="Book Antiqua"/>
          <w:lang w:val="en"/>
        </w:rPr>
        <w:t xml:space="preserve"> study</w:t>
      </w:r>
      <w:r w:rsidR="00861D9B" w:rsidRPr="006A15C2">
        <w:rPr>
          <w:rFonts w:ascii="Book Antiqua" w:hAnsi="Book Antiqua" w:cs="Book Antiqua"/>
          <w:lang w:val="en"/>
        </w:rPr>
        <w:t xml:space="preserve">, which </w:t>
      </w:r>
      <w:r w:rsidRPr="006A15C2">
        <w:rPr>
          <w:rFonts w:ascii="Book Antiqua" w:hAnsi="Book Antiqua" w:cs="Book Antiqua"/>
          <w:lang w:val="en"/>
        </w:rPr>
        <w:t>analyzed blood B12 levels in 729 American people aged 60 years or older</w:t>
      </w:r>
      <w:r w:rsidR="00861D9B" w:rsidRPr="006A15C2">
        <w:rPr>
          <w:rFonts w:ascii="Book Antiqua" w:hAnsi="Book Antiqua" w:cs="Book Antiqua"/>
          <w:lang w:val="en"/>
        </w:rPr>
        <w:t>,</w:t>
      </w:r>
      <w:r w:rsidRPr="006A15C2">
        <w:rPr>
          <w:rFonts w:ascii="Book Antiqua" w:hAnsi="Book Antiqua" w:cs="Book Antiqua"/>
          <w:lang w:val="en"/>
        </w:rPr>
        <w:t xml:space="preserve"> observed that 1.9% of the survey population had unrecognized and untreated PA: the prevalence was 2.7% in women</w:t>
      </w:r>
      <w:r w:rsidR="00861D9B" w:rsidRPr="006A15C2">
        <w:rPr>
          <w:rFonts w:ascii="Book Antiqua" w:hAnsi="Book Antiqua" w:cs="Book Antiqua"/>
          <w:lang w:val="en"/>
        </w:rPr>
        <w:t xml:space="preserve">, </w:t>
      </w:r>
      <w:r w:rsidRPr="006A15C2">
        <w:rPr>
          <w:rFonts w:ascii="Book Antiqua" w:hAnsi="Book Antiqua" w:cs="Book Antiqua"/>
          <w:lang w:val="en"/>
        </w:rPr>
        <w:t>1.4% in men and similar in black and white women (4.3</w:t>
      </w:r>
      <w:r w:rsidR="00861D9B" w:rsidRPr="006A15C2">
        <w:rPr>
          <w:rFonts w:ascii="Book Antiqua" w:hAnsi="Book Antiqua" w:cs="Book Antiqua"/>
          <w:lang w:val="en"/>
        </w:rPr>
        <w:t>%</w:t>
      </w:r>
      <w:r w:rsidRPr="006A15C2">
        <w:rPr>
          <w:rFonts w:ascii="Book Antiqua" w:hAnsi="Book Antiqua" w:cs="Book Antiqua"/>
          <w:lang w:val="en"/>
        </w:rPr>
        <w:t xml:space="preserve"> </w:t>
      </w:r>
      <w:r w:rsidRPr="006A15C2">
        <w:rPr>
          <w:rFonts w:ascii="Book Antiqua" w:hAnsi="Book Antiqua" w:cs="Book Antiqua"/>
          <w:i/>
          <w:lang w:val="en"/>
        </w:rPr>
        <w:t>vs</w:t>
      </w:r>
      <w:r w:rsidR="00485275">
        <w:rPr>
          <w:rFonts w:ascii="Book Antiqua" w:hAnsi="Book Antiqua" w:cs="Book Antiqua" w:hint="eastAsia"/>
          <w:i/>
          <w:lang w:val="en" w:eastAsia="zh-CN"/>
        </w:rPr>
        <w:t xml:space="preserve"> </w:t>
      </w:r>
      <w:r w:rsidRPr="006A15C2">
        <w:rPr>
          <w:rFonts w:ascii="Book Antiqua" w:hAnsi="Book Antiqua" w:cs="Book Antiqua"/>
          <w:lang w:val="en"/>
        </w:rPr>
        <w:t>4.0%)</w:t>
      </w:r>
      <w:r w:rsidR="00485275" w:rsidRPr="006A15C2">
        <w:rPr>
          <w:rFonts w:ascii="Book Antiqua" w:hAnsi="Book Antiqua" w:cs="Book Antiqua"/>
          <w:vertAlign w:val="superscript"/>
          <w:lang w:val="en"/>
        </w:rPr>
        <w:t>[19]</w:t>
      </w:r>
      <w:r w:rsidRPr="006A15C2">
        <w:rPr>
          <w:rFonts w:ascii="Book Antiqua" w:hAnsi="Book Antiqua" w:cs="Book Antiqua"/>
          <w:lang w:val="en"/>
        </w:rPr>
        <w:t xml:space="preserve">. In </w:t>
      </w:r>
      <w:r w:rsidR="00861D9B" w:rsidRPr="006A15C2">
        <w:rPr>
          <w:rFonts w:ascii="Book Antiqua" w:hAnsi="Book Antiqua" w:cs="Book Antiqua"/>
          <w:lang w:val="en"/>
        </w:rPr>
        <w:t xml:space="preserve">the </w:t>
      </w:r>
      <w:r w:rsidRPr="006A15C2">
        <w:rPr>
          <w:rFonts w:ascii="Book Antiqua" w:hAnsi="Book Antiqua" w:cs="Book Antiqua"/>
          <w:lang w:val="en"/>
        </w:rPr>
        <w:t>literature the prevalence of vitamin B12 deficiency among elderly</w:t>
      </w:r>
      <w:r w:rsidR="00861D9B" w:rsidRPr="006A15C2">
        <w:rPr>
          <w:rFonts w:ascii="Book Antiqua" w:hAnsi="Book Antiqua" w:cs="Book Antiqua"/>
          <w:lang w:val="en"/>
        </w:rPr>
        <w:t xml:space="preserve"> people</w:t>
      </w:r>
      <w:r w:rsidRPr="006A15C2">
        <w:rPr>
          <w:rFonts w:ascii="Book Antiqua" w:hAnsi="Book Antiqua" w:cs="Book Antiqua"/>
          <w:lang w:val="en"/>
        </w:rPr>
        <w:t xml:space="preserve"> can range between 5% and 40% depending on the cut-off </w:t>
      </w:r>
      <w:r w:rsidR="00861D9B" w:rsidRPr="006A15C2">
        <w:rPr>
          <w:rFonts w:ascii="Book Antiqua" w:hAnsi="Book Antiqua" w:cs="Book Antiqua"/>
          <w:lang w:val="en"/>
        </w:rPr>
        <w:t xml:space="preserve">value </w:t>
      </w:r>
      <w:r w:rsidRPr="006A15C2">
        <w:rPr>
          <w:rFonts w:ascii="Book Antiqua" w:hAnsi="Book Antiqua" w:cs="Book Antiqua"/>
          <w:lang w:val="en"/>
        </w:rPr>
        <w:t>of vitamin B12 used: the most frequent serum cut-off to diagnose vitamin B12 deficiency is 150 pmol/L (corresponding to 203 pg/mL)</w:t>
      </w:r>
      <w:r w:rsidR="00485275" w:rsidRPr="006A15C2">
        <w:rPr>
          <w:rFonts w:ascii="Book Antiqua" w:hAnsi="Book Antiqua" w:cs="Book Antiqua"/>
          <w:vertAlign w:val="superscript"/>
          <w:lang w:val="en"/>
        </w:rPr>
        <w:t>[20</w:t>
      </w:r>
      <w:r w:rsidR="00485275">
        <w:rPr>
          <w:rFonts w:ascii="Cambria Math" w:hAnsi="Cambria Math" w:cs="Cambria Math" w:hint="eastAsia"/>
          <w:vertAlign w:val="superscript"/>
          <w:lang w:val="en" w:eastAsia="zh-CN"/>
        </w:rPr>
        <w:t>-</w:t>
      </w:r>
      <w:r w:rsidR="00485275" w:rsidRPr="006A15C2">
        <w:rPr>
          <w:rFonts w:ascii="Book Antiqua" w:hAnsi="Book Antiqua" w:cs="Book Antiqua"/>
          <w:vertAlign w:val="superscript"/>
          <w:lang w:val="en"/>
        </w:rPr>
        <w:t>22]</w:t>
      </w:r>
      <w:r w:rsidRPr="006A15C2">
        <w:rPr>
          <w:rFonts w:ascii="Book Antiqua" w:hAnsi="Book Antiqua" w:cs="Book Antiqua"/>
          <w:lang w:val="en"/>
        </w:rPr>
        <w:t xml:space="preserve">. Autoimmune gastritis (pernicious anemia) is the most common </w:t>
      </w:r>
      <w:r w:rsidRPr="006A15C2">
        <w:rPr>
          <w:rFonts w:ascii="Book Antiqua" w:hAnsi="Book Antiqua" w:cs="Book Antiqua"/>
          <w:lang w:val="en"/>
        </w:rPr>
        <w:lastRenderedPageBreak/>
        <w:t xml:space="preserve">cause of severe vitamin B12 deficiency due to food-cobalamin malabsorption in the elderly, </w:t>
      </w:r>
      <w:r w:rsidR="003B3308" w:rsidRPr="006A15C2">
        <w:rPr>
          <w:rFonts w:ascii="Book Antiqua" w:hAnsi="Book Antiqua" w:cs="Book Antiqua"/>
          <w:lang w:val="en"/>
        </w:rPr>
        <w:t xml:space="preserve">nevertheless </w:t>
      </w:r>
      <w:r w:rsidRPr="006A15C2">
        <w:rPr>
          <w:rFonts w:ascii="Book Antiqua" w:hAnsi="Book Antiqua" w:cs="Book Antiqua"/>
          <w:lang w:val="en"/>
        </w:rPr>
        <w:t>use of medications, as proton pump inhibitors, histamine H</w:t>
      </w:r>
      <w:r w:rsidRPr="006A15C2">
        <w:rPr>
          <w:rFonts w:ascii="Book Antiqua" w:hAnsi="Book Antiqua" w:cs="Book Antiqua"/>
          <w:vertAlign w:val="subscript"/>
          <w:lang w:val="en"/>
        </w:rPr>
        <w:t>2</w:t>
      </w:r>
      <w:r w:rsidRPr="006A15C2">
        <w:rPr>
          <w:rFonts w:ascii="Book Antiqua" w:hAnsi="Book Antiqua" w:cs="Book Antiqua"/>
          <w:lang w:val="en"/>
        </w:rPr>
        <w:t xml:space="preserve"> blockers, metformin or cholestyramine can interfere </w:t>
      </w:r>
      <w:r w:rsidR="00861D9B" w:rsidRPr="006A15C2">
        <w:rPr>
          <w:rFonts w:ascii="Book Antiqua" w:hAnsi="Book Antiqua" w:cs="Book Antiqua"/>
          <w:lang w:val="en"/>
        </w:rPr>
        <w:t xml:space="preserve">with </w:t>
      </w:r>
      <w:r w:rsidRPr="006A15C2">
        <w:rPr>
          <w:rFonts w:ascii="Book Antiqua" w:hAnsi="Book Antiqua" w:cs="Book Antiqua"/>
          <w:lang w:val="en"/>
        </w:rPr>
        <w:t xml:space="preserve">or reduce vitamin B12 absorption. Although autoimmune gastritis is </w:t>
      </w:r>
      <w:r w:rsidR="00861D9B" w:rsidRPr="006A15C2">
        <w:rPr>
          <w:rFonts w:ascii="Book Antiqua" w:hAnsi="Book Antiqua" w:cs="Book Antiqua"/>
          <w:lang w:val="en"/>
        </w:rPr>
        <w:t xml:space="preserve">known to be </w:t>
      </w:r>
      <w:r w:rsidRPr="006A15C2">
        <w:rPr>
          <w:rFonts w:ascii="Book Antiqua" w:hAnsi="Book Antiqua" w:cs="Book Antiqua"/>
          <w:lang w:val="en"/>
        </w:rPr>
        <w:t>a major cause of vitamin B12 deficiency</w:t>
      </w:r>
      <w:r w:rsidR="00861D9B" w:rsidRPr="006A15C2">
        <w:rPr>
          <w:rFonts w:ascii="Book Antiqua" w:hAnsi="Book Antiqua" w:cs="Book Antiqua"/>
          <w:lang w:val="en"/>
        </w:rPr>
        <w:t>,</w:t>
      </w:r>
      <w:r w:rsidRPr="006A15C2">
        <w:rPr>
          <w:rFonts w:ascii="Book Antiqua" w:hAnsi="Book Antiqua" w:cs="Book Antiqua"/>
          <w:lang w:val="en"/>
        </w:rPr>
        <w:t xml:space="preserve"> the exact prevalence of vitamin B12 deficiency in CAAG</w:t>
      </w:r>
      <w:r w:rsidR="003B3308" w:rsidRPr="006A15C2">
        <w:rPr>
          <w:rFonts w:ascii="Book Antiqua" w:hAnsi="Book Antiqua" w:cs="Book Antiqua"/>
          <w:lang w:val="en"/>
        </w:rPr>
        <w:t xml:space="preserve"> has not been </w:t>
      </w:r>
      <w:r w:rsidR="00861D9B" w:rsidRPr="006A15C2">
        <w:rPr>
          <w:rFonts w:ascii="Book Antiqua" w:hAnsi="Book Antiqua" w:cs="Book Antiqua"/>
          <w:lang w:val="en"/>
        </w:rPr>
        <w:t xml:space="preserve">fully </w:t>
      </w:r>
      <w:r w:rsidR="003B3308" w:rsidRPr="006A15C2">
        <w:rPr>
          <w:rFonts w:ascii="Book Antiqua" w:hAnsi="Book Antiqua" w:cs="Book Antiqua"/>
          <w:lang w:val="en"/>
        </w:rPr>
        <w:t>elucidated,</w:t>
      </w:r>
      <w:r w:rsidRPr="006A15C2">
        <w:rPr>
          <w:rFonts w:ascii="Book Antiqua" w:hAnsi="Book Antiqua" w:cs="Book Antiqua"/>
          <w:lang w:val="en"/>
        </w:rPr>
        <w:t xml:space="preserve"> being reported in a percentage varying from 37</w:t>
      </w:r>
      <w:r w:rsidR="00485275" w:rsidRPr="006A15C2">
        <w:rPr>
          <w:rFonts w:ascii="Book Antiqua" w:hAnsi="Book Antiqua" w:cs="Book Antiqua"/>
          <w:lang w:val="en"/>
        </w:rPr>
        <w:t>%</w:t>
      </w:r>
      <w:r w:rsidRPr="006A15C2">
        <w:rPr>
          <w:rFonts w:ascii="Book Antiqua" w:hAnsi="Book Antiqua" w:cs="Book Antiqua"/>
          <w:lang w:val="en"/>
        </w:rPr>
        <w:t xml:space="preserve"> to 69% of</w:t>
      </w:r>
      <w:r w:rsidR="00B962F5" w:rsidRPr="006A15C2">
        <w:rPr>
          <w:rFonts w:ascii="Book Antiqua" w:hAnsi="Book Antiqua" w:cs="Book Antiqua"/>
          <w:lang w:val="en"/>
        </w:rPr>
        <w:t xml:space="preserve"> the </w:t>
      </w:r>
      <w:r w:rsidRPr="006A15C2">
        <w:rPr>
          <w:rFonts w:ascii="Book Antiqua" w:hAnsi="Book Antiqua" w:cs="Book Antiqua"/>
          <w:lang w:val="en"/>
        </w:rPr>
        <w:t>cases (</w:t>
      </w:r>
      <w:r w:rsidRPr="00485275">
        <w:rPr>
          <w:rFonts w:ascii="Book Antiqua" w:hAnsi="Book Antiqua" w:cs="Book Antiqua"/>
          <w:bCs/>
          <w:lang w:val="en"/>
        </w:rPr>
        <w:t>Table 2</w:t>
      </w:r>
      <w:r w:rsidRPr="006A15C2">
        <w:rPr>
          <w:rFonts w:ascii="Book Antiqua" w:hAnsi="Book Antiqua" w:cs="Book Antiqua"/>
          <w:lang w:val="en"/>
        </w:rPr>
        <w:t>)</w:t>
      </w:r>
      <w:r w:rsidR="00485275" w:rsidRPr="006A15C2">
        <w:rPr>
          <w:rFonts w:ascii="Book Antiqua" w:hAnsi="Book Antiqua" w:cs="Book Antiqua"/>
          <w:vertAlign w:val="superscript"/>
          <w:lang w:val="en"/>
        </w:rPr>
        <w:t>[23-27]</w:t>
      </w:r>
      <w:r w:rsidR="00016143" w:rsidRPr="006A15C2">
        <w:rPr>
          <w:rFonts w:ascii="Book Antiqua" w:hAnsi="Book Antiqua" w:cs="Book Antiqua"/>
          <w:lang w:val="en"/>
        </w:rPr>
        <w:t>,</w:t>
      </w:r>
      <w:r w:rsidRPr="006A15C2">
        <w:rPr>
          <w:rFonts w:ascii="Book Antiqua" w:hAnsi="Book Antiqua" w:cs="Book Antiqua"/>
          <w:lang w:val="en"/>
        </w:rPr>
        <w:t xml:space="preserve"> this probably </w:t>
      </w:r>
      <w:r w:rsidR="00B962F5" w:rsidRPr="006A15C2">
        <w:rPr>
          <w:rFonts w:ascii="Book Antiqua" w:hAnsi="Book Antiqua" w:cs="Book Antiqua"/>
          <w:lang w:val="en"/>
        </w:rPr>
        <w:t xml:space="preserve">being </w:t>
      </w:r>
      <w:r w:rsidRPr="006A15C2">
        <w:rPr>
          <w:rFonts w:ascii="Book Antiqua" w:hAnsi="Book Antiqua" w:cs="Book Antiqua"/>
          <w:lang w:val="en"/>
        </w:rPr>
        <w:t xml:space="preserve">due to </w:t>
      </w:r>
      <w:r w:rsidR="00B962F5" w:rsidRPr="006A15C2">
        <w:rPr>
          <w:rFonts w:ascii="Book Antiqua" w:hAnsi="Book Antiqua" w:cs="Book Antiqua"/>
          <w:lang w:val="en"/>
        </w:rPr>
        <w:t xml:space="preserve">the </w:t>
      </w:r>
      <w:r w:rsidRPr="006A15C2">
        <w:rPr>
          <w:rFonts w:ascii="Book Antiqua" w:hAnsi="Book Antiqua" w:cs="Book Antiqua"/>
          <w:lang w:val="en"/>
        </w:rPr>
        <w:t xml:space="preserve">high heterogeneity of </w:t>
      </w:r>
      <w:r w:rsidR="00861D9B" w:rsidRPr="006A15C2">
        <w:rPr>
          <w:rFonts w:ascii="Book Antiqua" w:hAnsi="Book Antiqua" w:cs="Book Antiqua"/>
          <w:lang w:val="en"/>
        </w:rPr>
        <w:t xml:space="preserve">the </w:t>
      </w:r>
      <w:r w:rsidRPr="006A15C2">
        <w:rPr>
          <w:rFonts w:ascii="Book Antiqua" w:hAnsi="Book Antiqua" w:cs="Book Antiqua"/>
          <w:lang w:val="en"/>
        </w:rPr>
        <w:t>population</w:t>
      </w:r>
      <w:r w:rsidR="00861D9B" w:rsidRPr="006A15C2">
        <w:rPr>
          <w:rFonts w:ascii="Book Antiqua" w:hAnsi="Book Antiqua" w:cs="Book Antiqua"/>
          <w:lang w:val="en"/>
        </w:rPr>
        <w:t>s</w:t>
      </w:r>
      <w:r w:rsidRPr="006A15C2">
        <w:rPr>
          <w:rFonts w:ascii="Book Antiqua" w:hAnsi="Book Antiqua" w:cs="Book Antiqua"/>
          <w:lang w:val="en"/>
        </w:rPr>
        <w:t xml:space="preserve"> </w:t>
      </w:r>
      <w:r w:rsidR="00B962F5" w:rsidRPr="006A15C2">
        <w:rPr>
          <w:rFonts w:ascii="Book Antiqua" w:hAnsi="Book Antiqua" w:cs="Book Antiqua"/>
          <w:lang w:val="en"/>
        </w:rPr>
        <w:t>considered</w:t>
      </w:r>
      <w:r w:rsidRPr="006A15C2">
        <w:rPr>
          <w:rFonts w:ascii="Book Antiqua" w:hAnsi="Book Antiqua" w:cs="Book Antiqua"/>
          <w:lang w:val="en"/>
        </w:rPr>
        <w:t xml:space="preserve"> and</w:t>
      </w:r>
      <w:r w:rsidR="00861D9B" w:rsidRPr="006A15C2">
        <w:rPr>
          <w:rFonts w:ascii="Book Antiqua" w:hAnsi="Book Antiqua" w:cs="Book Antiqua"/>
          <w:lang w:val="en"/>
        </w:rPr>
        <w:t xml:space="preserve"> the</w:t>
      </w:r>
      <w:r w:rsidRPr="006A15C2">
        <w:rPr>
          <w:rFonts w:ascii="Book Antiqua" w:hAnsi="Book Antiqua" w:cs="Book Antiqua"/>
          <w:lang w:val="en"/>
        </w:rPr>
        <w:t xml:space="preserve"> limited availability of prospective studies. Moreover, chronic </w:t>
      </w:r>
      <w:r w:rsidR="00485275" w:rsidRPr="00485275">
        <w:rPr>
          <w:rFonts w:ascii="Book Antiqua" w:hAnsi="Book Antiqua" w:cs="Book Antiqua"/>
          <w:i/>
          <w:lang w:val="en"/>
        </w:rPr>
        <w:t>Helicobacter pylori</w:t>
      </w:r>
      <w:r w:rsidR="00485275" w:rsidRPr="00485275">
        <w:rPr>
          <w:rFonts w:ascii="Book Antiqua" w:hAnsi="Book Antiqua" w:cs="Book Antiqua"/>
          <w:lang w:val="en"/>
        </w:rPr>
        <w:t xml:space="preserve"> </w:t>
      </w:r>
      <w:r w:rsidR="00485275">
        <w:rPr>
          <w:rFonts w:ascii="Book Antiqua" w:hAnsi="Book Antiqua" w:cs="Book Antiqua" w:hint="eastAsia"/>
          <w:lang w:val="en" w:eastAsia="zh-CN"/>
        </w:rPr>
        <w:t>(</w:t>
      </w:r>
      <w:r w:rsidRPr="006A15C2">
        <w:rPr>
          <w:rFonts w:ascii="Book Antiqua" w:hAnsi="Book Antiqua" w:cs="Book Antiqua"/>
          <w:i/>
          <w:lang w:val="en"/>
        </w:rPr>
        <w:t>H. pylori</w:t>
      </w:r>
      <w:r w:rsidR="00485275" w:rsidRPr="00485275">
        <w:rPr>
          <w:rFonts w:ascii="Book Antiqua" w:hAnsi="Book Antiqua" w:cs="Book Antiqua" w:hint="eastAsia"/>
          <w:lang w:val="en" w:eastAsia="zh-CN"/>
        </w:rPr>
        <w:t>)</w:t>
      </w:r>
      <w:r w:rsidRPr="00485275">
        <w:rPr>
          <w:rFonts w:ascii="Book Antiqua" w:hAnsi="Book Antiqua" w:cs="Book Antiqua"/>
          <w:lang w:val="en"/>
        </w:rPr>
        <w:t xml:space="preserve"> </w:t>
      </w:r>
      <w:r w:rsidRPr="006A15C2">
        <w:rPr>
          <w:rFonts w:ascii="Book Antiqua" w:hAnsi="Book Antiqua" w:cs="Book Antiqua"/>
          <w:lang w:val="en"/>
        </w:rPr>
        <w:t xml:space="preserve">infection is frequently associated with atrophic gastritis and a study reported that </w:t>
      </w:r>
      <w:r w:rsidRPr="006A15C2">
        <w:rPr>
          <w:rFonts w:ascii="Book Antiqua" w:hAnsi="Book Antiqua" w:cs="Book Antiqua"/>
          <w:i/>
          <w:lang w:val="en"/>
        </w:rPr>
        <w:t>H. pylori</w:t>
      </w:r>
      <w:r w:rsidRPr="006A15C2">
        <w:rPr>
          <w:rFonts w:ascii="Book Antiqua" w:hAnsi="Book Antiqua" w:cs="Book Antiqua"/>
          <w:lang w:val="en"/>
        </w:rPr>
        <w:t xml:space="preserve"> was found in 56% of people with vitamin B12 deficiency</w:t>
      </w:r>
      <w:r w:rsidR="00485275" w:rsidRPr="006A15C2">
        <w:rPr>
          <w:rFonts w:ascii="Book Antiqua" w:hAnsi="Book Antiqua" w:cs="Book Antiqua"/>
          <w:vertAlign w:val="superscript"/>
          <w:lang w:val="en"/>
        </w:rPr>
        <w:t>[28]</w:t>
      </w:r>
      <w:r w:rsidRPr="006A15C2">
        <w:rPr>
          <w:rFonts w:ascii="Book Antiqua" w:hAnsi="Book Antiqua" w:cs="Book Antiqua"/>
          <w:lang w:val="en"/>
        </w:rPr>
        <w:t>. Pernicious anemia account</w:t>
      </w:r>
      <w:r w:rsidR="00861D9B" w:rsidRPr="006A15C2">
        <w:rPr>
          <w:rFonts w:ascii="Book Antiqua" w:hAnsi="Book Antiqua" w:cs="Book Antiqua"/>
          <w:lang w:val="en"/>
        </w:rPr>
        <w:t>s</w:t>
      </w:r>
      <w:r w:rsidRPr="006A15C2">
        <w:rPr>
          <w:rFonts w:ascii="Book Antiqua" w:hAnsi="Book Antiqua" w:cs="Book Antiqua"/>
          <w:lang w:val="en"/>
        </w:rPr>
        <w:t xml:space="preserve"> for 15% to 25% of vitamin B12 deficiency in elderly </w:t>
      </w:r>
      <w:r w:rsidR="00861D9B" w:rsidRPr="006A15C2">
        <w:rPr>
          <w:rFonts w:ascii="Book Antiqua" w:hAnsi="Book Antiqua" w:cs="Book Antiqua"/>
          <w:lang w:val="en"/>
        </w:rPr>
        <w:t>people</w:t>
      </w:r>
      <w:r w:rsidR="00485275" w:rsidRPr="006A15C2">
        <w:rPr>
          <w:rFonts w:ascii="Book Antiqua" w:hAnsi="Book Antiqua" w:cs="Book Antiqua"/>
          <w:vertAlign w:val="superscript"/>
          <w:lang w:val="en"/>
        </w:rPr>
        <w:t>[29]</w:t>
      </w:r>
      <w:r w:rsidR="00861D9B" w:rsidRPr="006A15C2">
        <w:rPr>
          <w:rFonts w:ascii="Book Antiqua" w:hAnsi="Book Antiqua" w:cs="Book Antiqua"/>
          <w:lang w:val="en"/>
        </w:rPr>
        <w:t>.</w:t>
      </w:r>
      <w:r w:rsidRPr="006A15C2">
        <w:rPr>
          <w:rFonts w:ascii="Book Antiqua" w:hAnsi="Book Antiqua" w:cs="Book Antiqua"/>
          <w:lang w:val="en"/>
        </w:rPr>
        <w:t xml:space="preserve"> In a study on 296 Chinese patients, PA was diagnosed in 61% of </w:t>
      </w:r>
      <w:r w:rsidR="005D11BC" w:rsidRPr="006A15C2">
        <w:rPr>
          <w:rFonts w:ascii="Book Antiqua" w:hAnsi="Book Antiqua" w:cs="Book Antiqua"/>
          <w:lang w:val="en"/>
        </w:rPr>
        <w:t xml:space="preserve">the </w:t>
      </w:r>
      <w:r w:rsidRPr="006A15C2">
        <w:rPr>
          <w:rFonts w:ascii="Book Antiqua" w:hAnsi="Book Antiqua" w:cs="Book Antiqua"/>
          <w:lang w:val="en"/>
        </w:rPr>
        <w:t>patients having megaloblastic anemia with vitamin B12 or folate deficiency</w:t>
      </w:r>
      <w:r w:rsidR="00485275" w:rsidRPr="006A15C2">
        <w:rPr>
          <w:rFonts w:ascii="Book Antiqua" w:hAnsi="Book Antiqua" w:cs="Book Antiqua"/>
          <w:vertAlign w:val="superscript"/>
          <w:lang w:val="en"/>
        </w:rPr>
        <w:t>[30]</w:t>
      </w:r>
      <w:r w:rsidRPr="006A15C2">
        <w:rPr>
          <w:rFonts w:ascii="Book Antiqua" w:hAnsi="Book Antiqua" w:cs="Book Antiqua"/>
          <w:lang w:val="en"/>
        </w:rPr>
        <w:t>.</w:t>
      </w:r>
    </w:p>
    <w:p w14:paraId="3F25F87D" w14:textId="157CC753"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The variability of vitamin B12 levels in CAAG seems to be influenced by a large number of genetic and environmental factors</w:t>
      </w:r>
      <w:r w:rsidR="00485275" w:rsidRPr="006A15C2">
        <w:rPr>
          <w:rFonts w:ascii="Book Antiqua" w:hAnsi="Book Antiqua" w:cs="Book Antiqua"/>
          <w:vertAlign w:val="superscript"/>
          <w:lang w:val="en"/>
        </w:rPr>
        <w:t>[31]</w:t>
      </w:r>
      <w:r w:rsidRPr="006A15C2">
        <w:rPr>
          <w:rFonts w:ascii="Book Antiqua" w:hAnsi="Book Antiqua" w:cs="Book Antiqua"/>
          <w:lang w:val="en"/>
        </w:rPr>
        <w:t>. The genotypes HLA-DRB1*03 and DRB1*04, which are known to be associated with other autoimmune diseases (</w:t>
      </w:r>
      <w:r w:rsidR="00E9393D" w:rsidRPr="006A15C2">
        <w:rPr>
          <w:rFonts w:ascii="Book Antiqua" w:hAnsi="Book Antiqua" w:cs="Book Antiqua"/>
          <w:i/>
          <w:lang w:val="en"/>
        </w:rPr>
        <w:t>e.g.</w:t>
      </w:r>
      <w:r w:rsidRPr="006A15C2">
        <w:rPr>
          <w:rFonts w:ascii="Book Antiqua" w:hAnsi="Book Antiqua" w:cs="Book Antiqua"/>
          <w:lang w:val="en"/>
        </w:rPr>
        <w:t xml:space="preserve"> diabetes</w:t>
      </w:r>
      <w:r w:rsidR="007E6EDD" w:rsidRPr="006A15C2">
        <w:rPr>
          <w:rFonts w:ascii="Book Antiqua" w:hAnsi="Book Antiqua" w:cs="Book Antiqua"/>
          <w:lang w:val="en"/>
        </w:rPr>
        <w:t xml:space="preserve"> mellitus</w:t>
      </w:r>
      <w:r w:rsidRPr="006A15C2">
        <w:rPr>
          <w:rFonts w:ascii="Book Antiqua" w:hAnsi="Book Antiqua" w:cs="Book Antiqua"/>
          <w:lang w:val="en"/>
        </w:rPr>
        <w:t xml:space="preserve"> </w:t>
      </w:r>
      <w:r w:rsidR="007E6EDD" w:rsidRPr="006A15C2">
        <w:rPr>
          <w:rFonts w:ascii="Book Antiqua" w:hAnsi="Book Antiqua" w:cs="Book Antiqua"/>
          <w:lang w:val="en"/>
        </w:rPr>
        <w:t xml:space="preserve">type 1 </w:t>
      </w:r>
      <w:r w:rsidRPr="006A15C2">
        <w:rPr>
          <w:rFonts w:ascii="Book Antiqua" w:hAnsi="Book Antiqua" w:cs="Book Antiqua"/>
          <w:lang w:val="en"/>
        </w:rPr>
        <w:t>and autoimmune thyroid disease), were significantly associated with PA</w:t>
      </w:r>
      <w:r w:rsidR="00485275" w:rsidRPr="006A15C2">
        <w:rPr>
          <w:rFonts w:ascii="Book Antiqua" w:hAnsi="Book Antiqua" w:cs="Book Antiqua"/>
          <w:vertAlign w:val="superscript"/>
          <w:lang w:val="en"/>
        </w:rPr>
        <w:t>[32]</w:t>
      </w:r>
      <w:r w:rsidRPr="006A15C2">
        <w:rPr>
          <w:rFonts w:ascii="Book Antiqua" w:hAnsi="Book Antiqua" w:cs="Book Antiqua"/>
          <w:lang w:val="en"/>
        </w:rPr>
        <w:t>.</w:t>
      </w:r>
    </w:p>
    <w:p w14:paraId="2EBAAAEE" w14:textId="07BA27FF"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 xml:space="preserve">Recently, several studies about genome-wide association have shown that some single nucleotide polymorphisms (SNPs) are linked with </w:t>
      </w:r>
      <w:r w:rsidR="00A529B2" w:rsidRPr="006A15C2">
        <w:rPr>
          <w:rFonts w:ascii="Book Antiqua" w:hAnsi="Book Antiqua" w:cs="Book Antiqua"/>
          <w:lang w:val="en"/>
        </w:rPr>
        <w:t xml:space="preserve">the </w:t>
      </w:r>
      <w:r w:rsidRPr="006A15C2">
        <w:rPr>
          <w:rFonts w:ascii="Book Antiqua" w:hAnsi="Book Antiqua" w:cs="Book Antiqua"/>
          <w:lang w:val="en"/>
        </w:rPr>
        <w:t xml:space="preserve">vitamin B12 serum/plasma levels. A meta-analysis of three genome-wide association scans on Caucasians </w:t>
      </w:r>
      <w:r w:rsidR="009F3AAA" w:rsidRPr="006A15C2">
        <w:rPr>
          <w:rFonts w:ascii="Book Antiqua" w:hAnsi="Book Antiqua" w:cs="Book Antiqua"/>
          <w:lang w:val="en"/>
        </w:rPr>
        <w:t xml:space="preserve">has </w:t>
      </w:r>
      <w:r w:rsidRPr="006A15C2">
        <w:rPr>
          <w:rFonts w:ascii="Book Antiqua" w:hAnsi="Book Antiqua" w:cs="Book Antiqua"/>
          <w:lang w:val="en"/>
        </w:rPr>
        <w:t>found genome-wide associations between plasma vitamin B12 and SNPs on the methylmalonyl-CoA mutase (MUT), the intrinsic factor-cobalamin receptor cubilin (CUBN), the transcobalamin I (TCN1) and the fucosyltransferase 2 (FUT2) genes</w:t>
      </w:r>
      <w:r w:rsidR="00485275" w:rsidRPr="006A15C2">
        <w:rPr>
          <w:rFonts w:ascii="Book Antiqua" w:hAnsi="Book Antiqua" w:cs="Book Antiqua"/>
          <w:vertAlign w:val="superscript"/>
          <w:lang w:val="en"/>
        </w:rPr>
        <w:t>[33]</w:t>
      </w:r>
      <w:r w:rsidRPr="006A15C2">
        <w:rPr>
          <w:rFonts w:ascii="Book Antiqua" w:hAnsi="Book Antiqua" w:cs="Book Antiqua"/>
          <w:lang w:val="en"/>
        </w:rPr>
        <w:t xml:space="preserve">. A more recent study </w:t>
      </w:r>
      <w:r w:rsidR="009F3AAA" w:rsidRPr="006A15C2">
        <w:rPr>
          <w:rFonts w:ascii="Book Antiqua" w:hAnsi="Book Antiqua" w:cs="Book Antiqua"/>
          <w:lang w:val="en"/>
        </w:rPr>
        <w:t xml:space="preserve">has </w:t>
      </w:r>
      <w:r w:rsidRPr="006A15C2">
        <w:rPr>
          <w:rFonts w:ascii="Book Antiqua" w:hAnsi="Book Antiqua" w:cs="Book Antiqua"/>
          <w:lang w:val="en"/>
        </w:rPr>
        <w:t xml:space="preserve">showed that, among 14 SNPs associated with vitamin B12 levels, a genetic variant of </w:t>
      </w:r>
      <w:r w:rsidR="001276CB" w:rsidRPr="006A15C2">
        <w:rPr>
          <w:rFonts w:ascii="Book Antiqua" w:hAnsi="Book Antiqua" w:cs="Book Antiqua"/>
          <w:lang w:val="en"/>
        </w:rPr>
        <w:t>transcobalamin II (</w:t>
      </w:r>
      <w:r w:rsidRPr="006A15C2">
        <w:rPr>
          <w:rFonts w:ascii="Book Antiqua" w:hAnsi="Book Antiqua" w:cs="Book Antiqua"/>
          <w:lang w:val="en"/>
        </w:rPr>
        <w:t>TCN2</w:t>
      </w:r>
      <w:r w:rsidR="001276CB" w:rsidRPr="006A15C2">
        <w:rPr>
          <w:rFonts w:ascii="Book Antiqua" w:hAnsi="Book Antiqua" w:cs="Book Antiqua"/>
          <w:lang w:val="en"/>
        </w:rPr>
        <w:t>)</w:t>
      </w:r>
      <w:r w:rsidRPr="006A15C2">
        <w:rPr>
          <w:rFonts w:ascii="Book Antiqua" w:hAnsi="Book Antiqua" w:cs="Book Antiqua"/>
          <w:lang w:val="en"/>
        </w:rPr>
        <w:t xml:space="preserve">, encoding for the transport proteintranscobalamin 2, and a genetic variant of </w:t>
      </w:r>
      <w:r w:rsidR="001276CB" w:rsidRPr="006A15C2">
        <w:rPr>
          <w:rFonts w:ascii="Book Antiqua" w:hAnsi="Book Antiqua" w:cs="Book Antiqua"/>
          <w:lang w:val="en"/>
        </w:rPr>
        <w:t>fucosyltransferase 6 (</w:t>
      </w:r>
      <w:r w:rsidRPr="006A15C2">
        <w:rPr>
          <w:rFonts w:ascii="Book Antiqua" w:hAnsi="Book Antiqua" w:cs="Book Antiqua"/>
          <w:lang w:val="en"/>
        </w:rPr>
        <w:t>FUT6</w:t>
      </w:r>
      <w:r w:rsidR="001276CB" w:rsidRPr="006A15C2">
        <w:rPr>
          <w:rFonts w:ascii="Book Antiqua" w:hAnsi="Book Antiqua" w:cs="Book Antiqua"/>
          <w:lang w:val="en"/>
        </w:rPr>
        <w:t>)</w:t>
      </w:r>
      <w:r w:rsidRPr="006A15C2">
        <w:rPr>
          <w:rFonts w:ascii="Book Antiqua" w:hAnsi="Book Antiqua" w:cs="Book Antiqua"/>
          <w:lang w:val="en"/>
        </w:rPr>
        <w:t xml:space="preserve">, encoding for the enzymefucosyltransferase 6, were significantly more frequent in CAAG patients </w:t>
      </w:r>
      <w:r w:rsidRPr="006A15C2">
        <w:rPr>
          <w:rFonts w:ascii="Book Antiqua" w:hAnsi="Book Antiqua" w:cs="Book Antiqua"/>
          <w:lang w:val="en"/>
        </w:rPr>
        <w:lastRenderedPageBreak/>
        <w:t>with PA compared to healthy controls</w:t>
      </w:r>
      <w:r w:rsidR="00485275" w:rsidRPr="006A15C2">
        <w:rPr>
          <w:rFonts w:ascii="Book Antiqua" w:hAnsi="Book Antiqua" w:cs="Book Antiqua"/>
          <w:vertAlign w:val="superscript"/>
          <w:lang w:val="en"/>
        </w:rPr>
        <w:t>[26]</w:t>
      </w:r>
      <w:r w:rsidRPr="006A15C2">
        <w:rPr>
          <w:rFonts w:ascii="Book Antiqua" w:hAnsi="Book Antiqua" w:cs="Book Antiqua"/>
          <w:lang w:val="en"/>
        </w:rPr>
        <w:t>. This observation was in contrast with the association of this variant of FUT6 and higher vitamin B12 plasma levels detected in a genome</w:t>
      </w:r>
      <w:r w:rsidR="009F3AAA" w:rsidRPr="006A15C2">
        <w:rPr>
          <w:rFonts w:ascii="Book Antiqua" w:hAnsi="Book Antiqua" w:cs="Book Antiqua"/>
          <w:lang w:val="en"/>
        </w:rPr>
        <w:t>-</w:t>
      </w:r>
      <w:r w:rsidRPr="006A15C2">
        <w:rPr>
          <w:rFonts w:ascii="Book Antiqua" w:hAnsi="Book Antiqua" w:cs="Book Antiqua"/>
          <w:lang w:val="en"/>
        </w:rPr>
        <w:t xml:space="preserve">wide association study performed on </w:t>
      </w:r>
      <w:r w:rsidR="009F3AAA" w:rsidRPr="006A15C2">
        <w:rPr>
          <w:rFonts w:ascii="Book Antiqua" w:hAnsi="Book Antiqua" w:cs="Book Antiqua"/>
          <w:lang w:val="en"/>
        </w:rPr>
        <w:t xml:space="preserve">the </w:t>
      </w:r>
      <w:r w:rsidRPr="006A15C2">
        <w:rPr>
          <w:rFonts w:ascii="Book Antiqua" w:hAnsi="Book Antiqua" w:cs="Book Antiqua"/>
          <w:lang w:val="en"/>
        </w:rPr>
        <w:t>Chinese male population</w:t>
      </w:r>
      <w:r w:rsidR="00485275" w:rsidRPr="006A15C2">
        <w:rPr>
          <w:rFonts w:ascii="Book Antiqua" w:hAnsi="Book Antiqua" w:cs="Book Antiqua"/>
          <w:vertAlign w:val="superscript"/>
          <w:lang w:val="en"/>
        </w:rPr>
        <w:t>[34]</w:t>
      </w:r>
      <w:r w:rsidRPr="006A15C2">
        <w:rPr>
          <w:rFonts w:ascii="Book Antiqua" w:hAnsi="Book Antiqua" w:cs="Book Antiqua"/>
          <w:lang w:val="en"/>
        </w:rPr>
        <w:t xml:space="preserve">. Furthermore, another study observed a link between </w:t>
      </w:r>
      <w:r w:rsidRPr="00485275">
        <w:rPr>
          <w:rFonts w:ascii="Book Antiqua" w:hAnsi="Book Antiqua" w:cs="Book Antiqua"/>
          <w:i/>
          <w:lang w:val="en"/>
        </w:rPr>
        <w:t>FUT</w:t>
      </w:r>
      <w:r w:rsidRPr="006A15C2">
        <w:rPr>
          <w:rFonts w:ascii="Book Antiqua" w:hAnsi="Book Antiqua" w:cs="Book Antiqua"/>
          <w:lang w:val="en"/>
        </w:rPr>
        <w:t xml:space="preserve"> gene variants, especially </w:t>
      </w:r>
      <w:r w:rsidRPr="00485275">
        <w:rPr>
          <w:rFonts w:ascii="Book Antiqua" w:hAnsi="Book Antiqua" w:cs="Book Antiqua"/>
          <w:i/>
          <w:lang w:val="en"/>
        </w:rPr>
        <w:t>FUT2</w:t>
      </w:r>
      <w:r w:rsidRPr="006A15C2">
        <w:rPr>
          <w:rFonts w:ascii="Book Antiqua" w:hAnsi="Book Antiqua" w:cs="Book Antiqua"/>
          <w:lang w:val="en"/>
        </w:rPr>
        <w:t xml:space="preserve">, </w:t>
      </w:r>
      <w:r w:rsidRPr="00485275">
        <w:rPr>
          <w:rFonts w:ascii="Book Antiqua" w:hAnsi="Book Antiqua" w:cs="Book Antiqua"/>
          <w:i/>
          <w:lang w:val="en"/>
        </w:rPr>
        <w:t>FUT3</w:t>
      </w:r>
      <w:r w:rsidRPr="006A15C2">
        <w:rPr>
          <w:rFonts w:ascii="Book Antiqua" w:hAnsi="Book Antiqua" w:cs="Book Antiqua"/>
          <w:lang w:val="en"/>
        </w:rPr>
        <w:t xml:space="preserve"> and </w:t>
      </w:r>
      <w:r w:rsidRPr="00485275">
        <w:rPr>
          <w:rFonts w:ascii="Book Antiqua" w:hAnsi="Book Antiqua" w:cs="Book Antiqua"/>
          <w:i/>
          <w:lang w:val="en"/>
        </w:rPr>
        <w:t>FUT6</w:t>
      </w:r>
      <w:r w:rsidRPr="006A15C2">
        <w:rPr>
          <w:rFonts w:ascii="Book Antiqua" w:hAnsi="Book Antiqua" w:cs="Book Antiqua"/>
          <w:lang w:val="en"/>
        </w:rPr>
        <w:t xml:space="preserve">, </w:t>
      </w:r>
      <w:r w:rsidRPr="006A15C2">
        <w:rPr>
          <w:rFonts w:ascii="Book Antiqua" w:hAnsi="Book Antiqua" w:cs="Book Antiqua"/>
          <w:i/>
          <w:lang w:val="en"/>
        </w:rPr>
        <w:t xml:space="preserve">H. pylori </w:t>
      </w:r>
      <w:r w:rsidRPr="006A15C2">
        <w:rPr>
          <w:rFonts w:ascii="Book Antiqua" w:hAnsi="Book Antiqua" w:cs="Book Antiqua"/>
          <w:lang w:val="en"/>
        </w:rPr>
        <w:t>status and intestinal-type gastric cancer risk</w:t>
      </w:r>
      <w:r w:rsidR="00A14974">
        <w:rPr>
          <w:rFonts w:ascii="Book Antiqua" w:hAnsi="Book Antiqua" w:cs="Book Antiqua"/>
          <w:vertAlign w:val="superscript"/>
          <w:lang w:val="en"/>
        </w:rPr>
        <w:t>[35,</w:t>
      </w:r>
      <w:r w:rsidR="00485275" w:rsidRPr="006A15C2">
        <w:rPr>
          <w:rFonts w:ascii="Book Antiqua" w:hAnsi="Book Antiqua" w:cs="Book Antiqua"/>
          <w:vertAlign w:val="superscript"/>
          <w:lang w:val="en"/>
        </w:rPr>
        <w:t>36]</w:t>
      </w:r>
      <w:r w:rsidRPr="006A15C2">
        <w:rPr>
          <w:rFonts w:ascii="Book Antiqua" w:hAnsi="Book Antiqua" w:cs="Book Antiqua"/>
          <w:lang w:val="en"/>
        </w:rPr>
        <w:t>.</w:t>
      </w:r>
    </w:p>
    <w:p w14:paraId="4A3C25EE" w14:textId="514460F8"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vertAlign w:val="superscript"/>
          <w:lang w:val="en"/>
        </w:rPr>
      </w:pPr>
      <w:r w:rsidRPr="006A15C2">
        <w:rPr>
          <w:rFonts w:ascii="Book Antiqua" w:hAnsi="Book Antiqua" w:cs="Book Antiqua"/>
          <w:lang w:val="en"/>
        </w:rPr>
        <w:t xml:space="preserve">Even if in healthy older adults the recommended therapy is </w:t>
      </w:r>
      <w:r w:rsidR="00C41177" w:rsidRPr="006A15C2">
        <w:rPr>
          <w:rFonts w:ascii="Book Antiqua" w:hAnsi="Book Antiqua" w:cs="Book Antiqua"/>
          <w:lang w:val="en"/>
        </w:rPr>
        <w:t xml:space="preserve">the </w:t>
      </w:r>
      <w:r w:rsidRPr="006A15C2">
        <w:rPr>
          <w:rFonts w:ascii="Book Antiqua" w:hAnsi="Book Antiqua" w:cs="Book Antiqua"/>
          <w:lang w:val="en"/>
        </w:rPr>
        <w:t xml:space="preserve">oral replacement of crystalline vitamin B12, </w:t>
      </w:r>
      <w:r w:rsidR="00C41177" w:rsidRPr="006A15C2">
        <w:rPr>
          <w:rFonts w:ascii="Book Antiqua" w:hAnsi="Book Antiqua" w:cs="Book Antiqua"/>
          <w:lang w:val="en"/>
        </w:rPr>
        <w:t xml:space="preserve">the </w:t>
      </w:r>
      <w:r w:rsidRPr="006A15C2">
        <w:rPr>
          <w:rFonts w:ascii="Book Antiqua" w:hAnsi="Book Antiqua" w:cs="Book Antiqua"/>
          <w:lang w:val="en"/>
        </w:rPr>
        <w:t xml:space="preserve">patients with CAAG </w:t>
      </w:r>
      <w:r w:rsidR="007E6EDD" w:rsidRPr="006A15C2">
        <w:rPr>
          <w:rFonts w:ascii="Book Antiqua" w:hAnsi="Book Antiqua" w:cs="Book Antiqua"/>
          <w:lang w:val="en"/>
        </w:rPr>
        <w:t>and secondary</w:t>
      </w:r>
      <w:r w:rsidR="00C41177" w:rsidRPr="006A15C2">
        <w:rPr>
          <w:rFonts w:ascii="Book Antiqua" w:hAnsi="Book Antiqua" w:cs="Book Antiqua"/>
          <w:lang w:val="en"/>
        </w:rPr>
        <w:t xml:space="preserve"> </w:t>
      </w:r>
      <w:r w:rsidRPr="006A15C2">
        <w:rPr>
          <w:rFonts w:ascii="Book Antiqua" w:hAnsi="Book Antiqua" w:cs="Book Antiqua"/>
          <w:lang w:val="en"/>
        </w:rPr>
        <w:t xml:space="preserve">vitamin B12 malabsorption, will require </w:t>
      </w:r>
      <w:r w:rsidR="00C41177" w:rsidRPr="006A15C2">
        <w:rPr>
          <w:rFonts w:ascii="Book Antiqua" w:hAnsi="Book Antiqua" w:cs="Book Antiqua"/>
          <w:lang w:val="en"/>
        </w:rPr>
        <w:t xml:space="preserve">its </w:t>
      </w:r>
      <w:r w:rsidRPr="006A15C2">
        <w:rPr>
          <w:rFonts w:ascii="Book Antiqua" w:hAnsi="Book Antiqua" w:cs="Book Antiqua"/>
          <w:lang w:val="en"/>
        </w:rPr>
        <w:t xml:space="preserve">parenteral replacement with intramuscular cyanocobalamin at a dose of 1000 μg daily for </w:t>
      </w:r>
      <w:r w:rsidR="002B696A" w:rsidRPr="006A15C2">
        <w:rPr>
          <w:rFonts w:ascii="Book Antiqua" w:hAnsi="Book Antiqua" w:cs="Book Antiqua"/>
          <w:lang w:val="en"/>
        </w:rPr>
        <w:t>one</w:t>
      </w:r>
      <w:r w:rsidRPr="006A15C2">
        <w:rPr>
          <w:rFonts w:ascii="Book Antiqua" w:hAnsi="Book Antiqua" w:cs="Book Antiqua"/>
          <w:lang w:val="en"/>
        </w:rPr>
        <w:t xml:space="preserve"> w</w:t>
      </w:r>
      <w:r w:rsidR="002B696A" w:rsidRPr="006A15C2">
        <w:rPr>
          <w:rFonts w:ascii="Book Antiqua" w:hAnsi="Book Antiqua" w:cs="Book Antiqua"/>
          <w:lang w:val="en"/>
        </w:rPr>
        <w:t>eek</w:t>
      </w:r>
      <w:r w:rsidRPr="006A15C2">
        <w:rPr>
          <w:rFonts w:ascii="Book Antiqua" w:hAnsi="Book Antiqua" w:cs="Book Antiqua"/>
          <w:lang w:val="en"/>
        </w:rPr>
        <w:t xml:space="preserve">, then weekly for 4 to 8 </w:t>
      </w:r>
      <w:r w:rsidR="00485275">
        <w:rPr>
          <w:rFonts w:ascii="Book Antiqua" w:hAnsi="Book Antiqua" w:cs="Book Antiqua"/>
          <w:lang w:val="en"/>
        </w:rPr>
        <w:t>wk</w:t>
      </w:r>
      <w:r w:rsidRPr="006A15C2">
        <w:rPr>
          <w:rFonts w:ascii="Book Antiqua" w:hAnsi="Book Antiqua" w:cs="Book Antiqua"/>
          <w:lang w:val="en"/>
        </w:rPr>
        <w:t>, and then monthly for life</w:t>
      </w:r>
      <w:r w:rsidR="002B696A" w:rsidRPr="006A15C2">
        <w:rPr>
          <w:rFonts w:ascii="Book Antiqua" w:hAnsi="Book Antiqua" w:cs="Book Antiqua"/>
          <w:lang w:val="en"/>
        </w:rPr>
        <w:t xml:space="preserve">. In case of </w:t>
      </w:r>
      <w:r w:rsidRPr="006A15C2">
        <w:rPr>
          <w:rFonts w:ascii="Book Antiqua" w:hAnsi="Book Antiqua" w:cs="Book Antiqua"/>
          <w:lang w:val="en"/>
        </w:rPr>
        <w:t>mild deficiency with mild atrophic gastritis high</w:t>
      </w:r>
      <w:r w:rsidR="002B696A" w:rsidRPr="006A15C2">
        <w:rPr>
          <w:rFonts w:ascii="Book Antiqua" w:hAnsi="Book Antiqua" w:cs="Book Antiqua"/>
          <w:lang w:val="en"/>
        </w:rPr>
        <w:t>-</w:t>
      </w:r>
      <w:r w:rsidRPr="006A15C2">
        <w:rPr>
          <w:rFonts w:ascii="Book Antiqua" w:hAnsi="Book Antiqua" w:cs="Book Antiqua"/>
          <w:lang w:val="en"/>
        </w:rPr>
        <w:t>dose oral cyanocobalamin at 500 to 1000 μg daily can be considered adequate</w:t>
      </w:r>
      <w:r w:rsidR="00485275" w:rsidRPr="006A15C2">
        <w:rPr>
          <w:rFonts w:ascii="Book Antiqua" w:hAnsi="Book Antiqua" w:cs="Book Antiqua"/>
          <w:vertAlign w:val="superscript"/>
          <w:lang w:val="en"/>
        </w:rPr>
        <w:t>[16]</w:t>
      </w:r>
      <w:r w:rsidRPr="006A15C2">
        <w:rPr>
          <w:rFonts w:ascii="Book Antiqua" w:hAnsi="Book Antiqua" w:cs="Book Antiqua"/>
          <w:lang w:val="en"/>
        </w:rPr>
        <w:t xml:space="preserve">. Concomitant iron and folate replacement is needed to achieve </w:t>
      </w:r>
      <w:r w:rsidR="002B696A" w:rsidRPr="006A15C2">
        <w:rPr>
          <w:rFonts w:ascii="Book Antiqua" w:hAnsi="Book Antiqua" w:cs="Book Antiqua"/>
          <w:lang w:val="en"/>
        </w:rPr>
        <w:t xml:space="preserve">a </w:t>
      </w:r>
      <w:r w:rsidRPr="006A15C2">
        <w:rPr>
          <w:rFonts w:ascii="Book Antiqua" w:hAnsi="Book Antiqua" w:cs="Book Antiqua"/>
          <w:lang w:val="en"/>
        </w:rPr>
        <w:t>full hemoglobin response</w:t>
      </w:r>
      <w:r w:rsidR="00485275" w:rsidRPr="006A15C2">
        <w:rPr>
          <w:rFonts w:ascii="Book Antiqua" w:hAnsi="Book Antiqua" w:cs="Book Antiqua"/>
          <w:vertAlign w:val="superscript"/>
          <w:lang w:val="en"/>
        </w:rPr>
        <w:t>[16]</w:t>
      </w:r>
      <w:r w:rsidRPr="006A15C2">
        <w:rPr>
          <w:rFonts w:ascii="Book Antiqua" w:hAnsi="Book Antiqua" w:cs="Book Antiqua"/>
          <w:lang w:val="en"/>
        </w:rPr>
        <w:t>.</w:t>
      </w:r>
    </w:p>
    <w:p w14:paraId="00880184" w14:textId="28770C7F"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rPr>
      </w:pPr>
      <w:r w:rsidRPr="006A15C2">
        <w:rPr>
          <w:rFonts w:ascii="Book Antiqua" w:hAnsi="Book Antiqua" w:cs="Book Antiqua"/>
          <w:lang w:val="en"/>
        </w:rPr>
        <w:t>Moreover, PA is frequently associated (up to 27% of cases) with iron deficiency anemia (IDA)</w:t>
      </w:r>
      <w:r w:rsidR="00485275" w:rsidRPr="006A15C2">
        <w:rPr>
          <w:rFonts w:ascii="Book Antiqua" w:hAnsi="Book Antiqua" w:cs="Book Antiqua"/>
          <w:vertAlign w:val="superscript"/>
          <w:lang w:val="en"/>
        </w:rPr>
        <w:t>[37]</w:t>
      </w:r>
      <w:r w:rsidRPr="006A15C2">
        <w:rPr>
          <w:rFonts w:ascii="Book Antiqua" w:hAnsi="Book Antiqua" w:cs="Book Antiqua"/>
          <w:lang w:val="en"/>
        </w:rPr>
        <w:t xml:space="preserve">. In a study </w:t>
      </w:r>
      <w:r w:rsidR="002B696A" w:rsidRPr="006A15C2">
        <w:rPr>
          <w:rFonts w:ascii="Book Antiqua" w:hAnsi="Book Antiqua" w:cs="Book Antiqua"/>
          <w:lang w:val="en"/>
        </w:rPr>
        <w:t>by</w:t>
      </w:r>
      <w:r w:rsidRPr="006A15C2">
        <w:rPr>
          <w:rFonts w:ascii="Book Antiqua" w:hAnsi="Book Antiqua" w:cs="Book Antiqua"/>
          <w:lang w:val="en"/>
        </w:rPr>
        <w:t xml:space="preserve"> Hershko </w:t>
      </w:r>
      <w:r w:rsidRPr="00485275">
        <w:rPr>
          <w:rFonts w:ascii="Book Antiqua" w:hAnsi="Book Antiqua" w:cs="Book Antiqua"/>
          <w:i/>
          <w:lang w:val="en"/>
        </w:rPr>
        <w:t>et al</w:t>
      </w:r>
      <w:r w:rsidR="00485275" w:rsidRPr="006A15C2">
        <w:rPr>
          <w:rFonts w:ascii="Book Antiqua" w:hAnsi="Book Antiqua" w:cs="Book Antiqua"/>
          <w:vertAlign w:val="superscript"/>
          <w:lang w:val="en"/>
        </w:rPr>
        <w:t>[24]</w:t>
      </w:r>
      <w:r w:rsidR="00485275">
        <w:rPr>
          <w:rFonts w:ascii="Book Antiqua" w:hAnsi="Book Antiqua" w:cs="Book Antiqua" w:hint="eastAsia"/>
          <w:lang w:val="en" w:eastAsia="zh-CN"/>
        </w:rPr>
        <w:t xml:space="preserve"> </w:t>
      </w:r>
      <w:r w:rsidRPr="006A15C2">
        <w:rPr>
          <w:rFonts w:ascii="Book Antiqua" w:hAnsi="Book Antiqua" w:cs="Book Antiqua"/>
          <w:lang w:val="en"/>
        </w:rPr>
        <w:t>low serum vitamin B12 levels were found in 100% macrocytic, 92% normocytic and 46% microcytic patients</w:t>
      </w:r>
      <w:r w:rsidR="002B696A" w:rsidRPr="006A15C2">
        <w:rPr>
          <w:rFonts w:ascii="Book Antiqua" w:hAnsi="Book Antiqua" w:cs="Book Antiqua"/>
          <w:lang w:val="en"/>
        </w:rPr>
        <w:t xml:space="preserve"> with CAAG</w:t>
      </w:r>
      <w:r w:rsidRPr="006A15C2">
        <w:rPr>
          <w:rFonts w:ascii="Book Antiqua" w:hAnsi="Book Antiqua" w:cs="Book Antiqua"/>
          <w:lang w:val="en"/>
        </w:rPr>
        <w:t xml:space="preserve">, whereas iron deficiency was found in all </w:t>
      </w:r>
      <w:r w:rsidR="00C806FA" w:rsidRPr="006A15C2">
        <w:rPr>
          <w:rFonts w:ascii="Book Antiqua" w:hAnsi="Book Antiqua" w:cs="Book Antiqua"/>
          <w:lang w:val="en"/>
        </w:rPr>
        <w:t xml:space="preserve">the </w:t>
      </w:r>
      <w:r w:rsidRPr="006A15C2">
        <w:rPr>
          <w:rFonts w:ascii="Book Antiqua" w:hAnsi="Book Antiqua" w:cs="Book Antiqua"/>
          <w:lang w:val="en"/>
        </w:rPr>
        <w:t>patients with microcytic anemia, but also in 50% of the normocytic and 10% of the macrocytic patients.</w:t>
      </w:r>
      <w:r w:rsidR="00485275">
        <w:rPr>
          <w:rFonts w:ascii="Book Antiqua" w:hAnsi="Book Antiqua" w:cs="Book Antiqua" w:hint="eastAsia"/>
          <w:vertAlign w:val="superscript"/>
          <w:lang w:val="en" w:eastAsia="zh-CN"/>
        </w:rPr>
        <w:t xml:space="preserve"> </w:t>
      </w:r>
      <w:r w:rsidRPr="006A15C2">
        <w:rPr>
          <w:rFonts w:ascii="Book Antiqua" w:hAnsi="Book Antiqua" w:cs="Book Antiqua"/>
          <w:lang w:val="en"/>
        </w:rPr>
        <w:t>Thus, a considerable proportion of patients had combined iron and cobalamin deficiencies. The mean age was 41</w:t>
      </w:r>
      <w:r w:rsidR="00485275">
        <w:rPr>
          <w:rFonts w:ascii="Book Antiqua" w:hAnsi="Book Antiqua" w:cs="Book Antiqua" w:hint="eastAsia"/>
          <w:lang w:val="en" w:eastAsia="zh-CN"/>
        </w:rPr>
        <w:t xml:space="preserve"> </w:t>
      </w:r>
      <w:r w:rsidRPr="006A15C2">
        <w:rPr>
          <w:rFonts w:ascii="Book Antiqua" w:hAnsi="Book Antiqua" w:cs="Book Antiqua"/>
          <w:lang w:val="en"/>
        </w:rPr>
        <w:t>±</w:t>
      </w:r>
      <w:r w:rsidR="00485275">
        <w:rPr>
          <w:rFonts w:ascii="Book Antiqua" w:hAnsi="Book Antiqua" w:cs="Book Antiqua" w:hint="eastAsia"/>
          <w:lang w:val="en" w:eastAsia="zh-CN"/>
        </w:rPr>
        <w:t xml:space="preserve"> </w:t>
      </w:r>
      <w:r w:rsidRPr="006A15C2">
        <w:rPr>
          <w:rFonts w:ascii="Book Antiqua" w:hAnsi="Book Antiqua" w:cs="Book Antiqua"/>
          <w:lang w:val="en"/>
        </w:rPr>
        <w:t xml:space="preserve">15 years in </w:t>
      </w:r>
      <w:r w:rsidR="00C806FA" w:rsidRPr="006A15C2">
        <w:rPr>
          <w:rFonts w:ascii="Book Antiqua" w:hAnsi="Book Antiqua" w:cs="Book Antiqua"/>
          <w:lang w:val="en"/>
        </w:rPr>
        <w:t xml:space="preserve">those </w:t>
      </w:r>
      <w:r w:rsidRPr="006A15C2">
        <w:rPr>
          <w:rFonts w:ascii="Book Antiqua" w:hAnsi="Book Antiqua" w:cs="Book Antiqua"/>
          <w:lang w:val="en"/>
        </w:rPr>
        <w:t>CAAG patients presenting with IDA and 59</w:t>
      </w:r>
      <w:r w:rsidR="00485275">
        <w:rPr>
          <w:rFonts w:ascii="Book Antiqua" w:hAnsi="Book Antiqua" w:cs="Book Antiqua" w:hint="eastAsia"/>
          <w:lang w:val="en" w:eastAsia="zh-CN"/>
        </w:rPr>
        <w:t xml:space="preserve"> </w:t>
      </w:r>
      <w:r w:rsidRPr="006A15C2">
        <w:rPr>
          <w:rFonts w:ascii="Book Antiqua" w:hAnsi="Book Antiqua" w:cs="Book Antiqua"/>
          <w:lang w:val="en"/>
        </w:rPr>
        <w:t>±</w:t>
      </w:r>
      <w:r w:rsidR="00485275">
        <w:rPr>
          <w:rFonts w:ascii="Book Antiqua" w:hAnsi="Book Antiqua" w:cs="Book Antiqua" w:hint="eastAsia"/>
          <w:lang w:val="en" w:eastAsia="zh-CN"/>
        </w:rPr>
        <w:t xml:space="preserve"> </w:t>
      </w:r>
      <w:r w:rsidRPr="006A15C2">
        <w:rPr>
          <w:rFonts w:ascii="Book Antiqua" w:hAnsi="Book Antiqua" w:cs="Book Antiqua"/>
          <w:lang w:val="en"/>
        </w:rPr>
        <w:t xml:space="preserve">16 years in </w:t>
      </w:r>
      <w:r w:rsidR="00B21CFF" w:rsidRPr="006A15C2">
        <w:rPr>
          <w:rFonts w:ascii="Book Antiqua" w:hAnsi="Book Antiqua" w:cs="Book Antiqua"/>
          <w:lang w:val="en"/>
        </w:rPr>
        <w:t xml:space="preserve">those </w:t>
      </w:r>
      <w:r w:rsidRPr="006A15C2">
        <w:rPr>
          <w:rFonts w:ascii="Book Antiqua" w:hAnsi="Book Antiqua" w:cs="Book Antiqua"/>
          <w:lang w:val="en"/>
        </w:rPr>
        <w:t xml:space="preserve">patients presenting with PA. </w:t>
      </w:r>
      <w:r w:rsidR="00B21CFF" w:rsidRPr="006A15C2">
        <w:rPr>
          <w:rFonts w:ascii="Book Antiqua" w:hAnsi="Book Antiqua" w:cs="Book Antiqua"/>
          <w:lang w:val="en"/>
        </w:rPr>
        <w:t xml:space="preserve">Whilst </w:t>
      </w:r>
      <w:r w:rsidRPr="006A15C2">
        <w:rPr>
          <w:rFonts w:ascii="Book Antiqua" w:hAnsi="Book Antiqua" w:cs="Book Antiqua"/>
          <w:lang w:val="en"/>
        </w:rPr>
        <w:t>autoimmune atrophic gastritis impairs both</w:t>
      </w:r>
      <w:r w:rsidR="00485275">
        <w:rPr>
          <w:rFonts w:ascii="Book Antiqua" w:hAnsi="Book Antiqua" w:cs="Book Antiqua" w:hint="eastAsia"/>
          <w:lang w:val="en" w:eastAsia="zh-CN"/>
        </w:rPr>
        <w:t xml:space="preserve"> </w:t>
      </w:r>
      <w:r w:rsidRPr="006A15C2">
        <w:rPr>
          <w:rFonts w:ascii="Book Antiqua" w:hAnsi="Book Antiqua" w:cs="Book Antiqua"/>
          <w:lang w:val="en"/>
        </w:rPr>
        <w:t xml:space="preserve">food iron and cobalamin absorption, age, sex, the co-presence of </w:t>
      </w:r>
      <w:r w:rsidRPr="006A15C2">
        <w:rPr>
          <w:rFonts w:ascii="Book Antiqua" w:hAnsi="Book Antiqua" w:cs="Book Antiqua"/>
          <w:i/>
          <w:lang w:val="en"/>
        </w:rPr>
        <w:t>H. pylori</w:t>
      </w:r>
      <w:r w:rsidRPr="006A15C2">
        <w:rPr>
          <w:rFonts w:ascii="Book Antiqua" w:hAnsi="Book Antiqua" w:cs="Book Antiqua"/>
          <w:lang w:val="en"/>
        </w:rPr>
        <w:t xml:space="preserve"> infection, duration and severity of disease may determine </w:t>
      </w:r>
      <w:r w:rsidR="00B21CFF" w:rsidRPr="006A15C2">
        <w:rPr>
          <w:rFonts w:ascii="Book Antiqua" w:hAnsi="Book Antiqua" w:cs="Book Antiqua"/>
          <w:lang w:val="en"/>
        </w:rPr>
        <w:t xml:space="preserve">the </w:t>
      </w:r>
      <w:r w:rsidRPr="006A15C2">
        <w:rPr>
          <w:rFonts w:ascii="Book Antiqua" w:hAnsi="Book Antiqua" w:cs="Book Antiqua"/>
          <w:lang w:val="en"/>
        </w:rPr>
        <w:t xml:space="preserve">clinical presentation of CAAG as microcytic IDA or macrocytic megaloblastic anemia. In fact, in </w:t>
      </w:r>
      <w:r w:rsidR="00183CB0" w:rsidRPr="006A15C2">
        <w:rPr>
          <w:rFonts w:ascii="Book Antiqua" w:hAnsi="Book Antiqua" w:cs="Book Antiqua"/>
          <w:lang w:val="en"/>
        </w:rPr>
        <w:t xml:space="preserve">female </w:t>
      </w:r>
      <w:r w:rsidRPr="006A15C2">
        <w:rPr>
          <w:rFonts w:ascii="Book Antiqua" w:hAnsi="Book Antiqua" w:cs="Book Antiqua"/>
          <w:lang w:val="en"/>
        </w:rPr>
        <w:t xml:space="preserve">patients presenting with IDA menstrual blood loss may have been an important role in the development of iron deficiency, aggravated by the inability to compensate </w:t>
      </w:r>
      <w:r w:rsidR="00183CB0" w:rsidRPr="006A15C2">
        <w:rPr>
          <w:rFonts w:ascii="Book Antiqua" w:hAnsi="Book Antiqua" w:cs="Book Antiqua"/>
          <w:lang w:val="en"/>
        </w:rPr>
        <w:t xml:space="preserve">it </w:t>
      </w:r>
      <w:r w:rsidRPr="006A15C2">
        <w:rPr>
          <w:rFonts w:ascii="Book Antiqua" w:hAnsi="Book Antiqua" w:cs="Book Antiqua"/>
          <w:lang w:val="en"/>
        </w:rPr>
        <w:t>by improving food iron absorption. Co</w:t>
      </w:r>
      <w:r w:rsidR="00183CB0" w:rsidRPr="006A15C2">
        <w:rPr>
          <w:rFonts w:ascii="Book Antiqua" w:hAnsi="Book Antiqua" w:cs="Book Antiqua"/>
          <w:lang w:val="en"/>
        </w:rPr>
        <w:t>-</w:t>
      </w:r>
      <w:r w:rsidRPr="006A15C2">
        <w:rPr>
          <w:rFonts w:ascii="Book Antiqua" w:hAnsi="Book Antiqua" w:cs="Book Antiqua"/>
          <w:lang w:val="en"/>
        </w:rPr>
        <w:t>exist</w:t>
      </w:r>
      <w:r w:rsidR="00183CB0" w:rsidRPr="006A15C2">
        <w:rPr>
          <w:rFonts w:ascii="Book Antiqua" w:hAnsi="Book Antiqua" w:cs="Book Antiqua"/>
          <w:lang w:val="en"/>
        </w:rPr>
        <w:t>ing</w:t>
      </w:r>
      <w:r w:rsidRPr="006A15C2">
        <w:rPr>
          <w:rFonts w:ascii="Book Antiqua" w:hAnsi="Book Antiqua" w:cs="Book Antiqua"/>
          <w:lang w:val="en"/>
        </w:rPr>
        <w:t xml:space="preserve"> </w:t>
      </w:r>
      <w:r w:rsidRPr="006A15C2">
        <w:rPr>
          <w:rFonts w:ascii="Book Antiqua" w:hAnsi="Book Antiqua" w:cs="Book Antiqua"/>
          <w:i/>
          <w:lang w:val="en"/>
        </w:rPr>
        <w:t>H. pylori</w:t>
      </w:r>
      <w:r w:rsidRPr="006A15C2">
        <w:rPr>
          <w:rFonts w:ascii="Book Antiqua" w:hAnsi="Book Antiqua" w:cs="Book Antiqua"/>
          <w:lang w:val="en"/>
        </w:rPr>
        <w:t xml:space="preserve"> gastritis, which is more frequent in young patients, may contribute to the development of IDA. Conversely, </w:t>
      </w:r>
      <w:r w:rsidR="00183CB0" w:rsidRPr="006A15C2">
        <w:rPr>
          <w:rFonts w:ascii="Book Antiqua" w:hAnsi="Book Antiqua" w:cs="Book Antiqua"/>
          <w:lang w:val="en"/>
        </w:rPr>
        <w:t xml:space="preserve">the </w:t>
      </w:r>
      <w:r w:rsidRPr="006A15C2">
        <w:rPr>
          <w:rFonts w:ascii="Book Antiqua" w:hAnsi="Book Antiqua" w:cs="Book Antiqua"/>
          <w:lang w:val="en"/>
        </w:rPr>
        <w:t xml:space="preserve">depletion of </w:t>
      </w:r>
      <w:r w:rsidRPr="006A15C2">
        <w:rPr>
          <w:rFonts w:ascii="Book Antiqua" w:hAnsi="Book Antiqua" w:cs="Book Antiqua"/>
          <w:lang w:val="en"/>
        </w:rPr>
        <w:lastRenderedPageBreak/>
        <w:t>cobalamin stores may take many years longer and manifest in elderly patients,</w:t>
      </w:r>
      <w:r w:rsidR="00183CB0" w:rsidRPr="006A15C2">
        <w:rPr>
          <w:rFonts w:ascii="Book Antiqua" w:hAnsi="Book Antiqua" w:cs="Book Antiqua"/>
          <w:lang w:val="en"/>
        </w:rPr>
        <w:t xml:space="preserve"> </w:t>
      </w:r>
      <w:r w:rsidRPr="006A15C2">
        <w:rPr>
          <w:rFonts w:ascii="Book Antiqua" w:hAnsi="Book Antiqua" w:cs="Book Antiqua"/>
          <w:lang w:val="en"/>
        </w:rPr>
        <w:t>impl</w:t>
      </w:r>
      <w:r w:rsidR="00183CB0" w:rsidRPr="006A15C2">
        <w:rPr>
          <w:rFonts w:ascii="Book Antiqua" w:hAnsi="Book Antiqua" w:cs="Book Antiqua"/>
          <w:lang w:val="en"/>
        </w:rPr>
        <w:t xml:space="preserve">ying </w:t>
      </w:r>
      <w:r w:rsidRPr="006A15C2">
        <w:rPr>
          <w:rFonts w:ascii="Book Antiqua" w:hAnsi="Book Antiqua" w:cs="Book Antiqua"/>
          <w:lang w:val="en"/>
        </w:rPr>
        <w:t xml:space="preserve">a severe impairment of </w:t>
      </w:r>
      <w:r w:rsidR="00183CB0" w:rsidRPr="006A15C2">
        <w:rPr>
          <w:rFonts w:ascii="Book Antiqua" w:hAnsi="Book Antiqua" w:cs="Book Antiqua"/>
          <w:lang w:val="en"/>
        </w:rPr>
        <w:t xml:space="preserve">the </w:t>
      </w:r>
      <w:r w:rsidRPr="006A15C2">
        <w:rPr>
          <w:rFonts w:ascii="Book Antiqua" w:hAnsi="Book Antiqua" w:cs="Book Antiqua"/>
          <w:lang w:val="en"/>
        </w:rPr>
        <w:t>intrinsic factor secretion.</w:t>
      </w:r>
    </w:p>
    <w:p w14:paraId="7CAEE790" w14:textId="11B735FF"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vertAlign w:val="superscript"/>
          <w:lang w:val="en"/>
        </w:rPr>
      </w:pPr>
      <w:r w:rsidRPr="006A15C2">
        <w:rPr>
          <w:rFonts w:ascii="Book Antiqua" w:hAnsi="Book Antiqua" w:cs="Book Antiqua"/>
          <w:lang w:val="en"/>
        </w:rPr>
        <w:t xml:space="preserve">Finally, vitamin B12 is important </w:t>
      </w:r>
      <w:r w:rsidR="00183CB0" w:rsidRPr="006A15C2">
        <w:rPr>
          <w:rFonts w:ascii="Book Antiqua" w:hAnsi="Book Antiqua" w:cs="Book Antiqua"/>
          <w:lang w:val="en"/>
        </w:rPr>
        <w:t xml:space="preserve">to </w:t>
      </w:r>
      <w:r w:rsidRPr="006A15C2">
        <w:rPr>
          <w:rFonts w:ascii="Book Antiqua" w:hAnsi="Book Antiqua" w:cs="Book Antiqua"/>
          <w:lang w:val="en"/>
        </w:rPr>
        <w:t>bone development, in particular for</w:t>
      </w:r>
      <w:r w:rsidR="00183CB0" w:rsidRPr="006A15C2">
        <w:rPr>
          <w:rFonts w:ascii="Book Antiqua" w:hAnsi="Book Antiqua" w:cs="Book Antiqua"/>
          <w:lang w:val="en"/>
        </w:rPr>
        <w:t xml:space="preserve"> the</w:t>
      </w:r>
      <w:r w:rsidR="00485275">
        <w:rPr>
          <w:rFonts w:ascii="Book Antiqua" w:hAnsi="Book Antiqua" w:cs="Book Antiqua"/>
          <w:lang w:val="en"/>
        </w:rPr>
        <w:t xml:space="preserve"> </w:t>
      </w:r>
      <w:r w:rsidRPr="006A15C2">
        <w:rPr>
          <w:rFonts w:ascii="Book Antiqua" w:hAnsi="Book Antiqua" w:cs="Book Antiqua"/>
          <w:lang w:val="en"/>
        </w:rPr>
        <w:t xml:space="preserve">osteoblastic function, as demonstrated by </w:t>
      </w:r>
      <w:r w:rsidRPr="006A15C2">
        <w:rPr>
          <w:rFonts w:ascii="Book Antiqua" w:hAnsi="Book Antiqua" w:cs="Book Antiqua"/>
          <w:i/>
          <w:lang w:val="en"/>
        </w:rPr>
        <w:t>in</w:t>
      </w:r>
      <w:r w:rsidR="00183CB0" w:rsidRPr="006A15C2">
        <w:rPr>
          <w:rFonts w:ascii="Book Antiqua" w:hAnsi="Book Antiqua" w:cs="Book Antiqua"/>
          <w:i/>
          <w:lang w:val="en"/>
        </w:rPr>
        <w:t>-</w:t>
      </w:r>
      <w:r w:rsidRPr="006A15C2">
        <w:rPr>
          <w:rFonts w:ascii="Book Antiqua" w:hAnsi="Book Antiqua" w:cs="Book Antiqua"/>
          <w:i/>
          <w:lang w:val="en"/>
        </w:rPr>
        <w:t>vitro</w:t>
      </w:r>
      <w:r w:rsidRPr="006A15C2">
        <w:rPr>
          <w:rFonts w:ascii="Book Antiqua" w:hAnsi="Book Antiqua" w:cs="Book Antiqua"/>
          <w:lang w:val="en"/>
        </w:rPr>
        <w:t xml:space="preserve"> studies</w:t>
      </w:r>
      <w:r w:rsidRPr="006A15C2">
        <w:rPr>
          <w:rFonts w:ascii="Book Antiqua" w:hAnsi="Book Antiqua" w:cs="Book Antiqua"/>
          <w:vertAlign w:val="superscript"/>
          <w:lang w:val="en"/>
        </w:rPr>
        <w:t>[20,38]</w:t>
      </w:r>
      <w:r w:rsidRPr="006A15C2">
        <w:rPr>
          <w:rFonts w:ascii="Book Antiqua" w:hAnsi="Book Antiqua" w:cs="Book Antiqua"/>
          <w:lang w:val="en"/>
        </w:rPr>
        <w:t xml:space="preserve"> and population studies showing lower bone mineral density and greater fracture risk in patients with vitamin B12 deficiency</w:t>
      </w:r>
      <w:r w:rsidR="00485275" w:rsidRPr="006A15C2">
        <w:rPr>
          <w:rFonts w:ascii="Book Antiqua" w:hAnsi="Book Antiqua" w:cs="Book Antiqua"/>
          <w:vertAlign w:val="superscript"/>
          <w:lang w:val="en"/>
        </w:rPr>
        <w:t>[39,40]</w:t>
      </w:r>
      <w:r w:rsidRPr="006A15C2">
        <w:rPr>
          <w:rFonts w:ascii="Book Antiqua" w:hAnsi="Book Antiqua" w:cs="Book Antiqua"/>
          <w:lang w:val="en"/>
        </w:rPr>
        <w:t xml:space="preserve">. </w:t>
      </w:r>
      <w:r w:rsidR="00183CB0" w:rsidRPr="006A15C2">
        <w:rPr>
          <w:rFonts w:ascii="Book Antiqua" w:hAnsi="Book Antiqua" w:cs="Book Antiqua"/>
          <w:lang w:val="en"/>
        </w:rPr>
        <w:t>I</w:t>
      </w:r>
      <w:r w:rsidRPr="006A15C2">
        <w:rPr>
          <w:rFonts w:ascii="Book Antiqua" w:hAnsi="Book Antiqua" w:cs="Book Antiqua"/>
          <w:lang w:val="en"/>
        </w:rPr>
        <w:t>n a two-year</w:t>
      </w:r>
      <w:r w:rsidR="00183CB0" w:rsidRPr="006A15C2">
        <w:rPr>
          <w:rFonts w:ascii="Book Antiqua" w:hAnsi="Book Antiqua" w:cs="Book Antiqua"/>
          <w:lang w:val="en"/>
        </w:rPr>
        <w:t>-long</w:t>
      </w:r>
      <w:r w:rsidRPr="006A15C2">
        <w:rPr>
          <w:rFonts w:ascii="Book Antiqua" w:hAnsi="Book Antiqua" w:cs="Book Antiqua"/>
          <w:lang w:val="en"/>
        </w:rPr>
        <w:t xml:space="preserve"> randomized controlled trial a 80% reduction in </w:t>
      </w:r>
      <w:r w:rsidR="00183CB0" w:rsidRPr="006A15C2">
        <w:rPr>
          <w:rFonts w:ascii="Book Antiqua" w:hAnsi="Book Antiqua" w:cs="Book Antiqua"/>
          <w:lang w:val="en"/>
        </w:rPr>
        <w:t xml:space="preserve">the </w:t>
      </w:r>
      <w:r w:rsidRPr="006A15C2">
        <w:rPr>
          <w:rFonts w:ascii="Book Antiqua" w:hAnsi="Book Antiqua" w:cs="Book Antiqua"/>
          <w:lang w:val="en"/>
        </w:rPr>
        <w:t xml:space="preserve">hip fracture risk was observed among stroke patients after </w:t>
      </w:r>
      <w:r w:rsidR="00183CB0" w:rsidRPr="006A15C2">
        <w:rPr>
          <w:rFonts w:ascii="Book Antiqua" w:hAnsi="Book Antiqua" w:cs="Book Antiqua"/>
          <w:lang w:val="en"/>
        </w:rPr>
        <w:t xml:space="preserve">vitamin </w:t>
      </w:r>
      <w:r w:rsidRPr="006A15C2">
        <w:rPr>
          <w:rFonts w:ascii="Book Antiqua" w:hAnsi="Book Antiqua" w:cs="Book Antiqua"/>
          <w:lang w:val="en"/>
        </w:rPr>
        <w:t>B12 repletion</w:t>
      </w:r>
      <w:r w:rsidR="00485275" w:rsidRPr="006A15C2">
        <w:rPr>
          <w:rFonts w:ascii="Book Antiqua" w:hAnsi="Book Antiqua" w:cs="Book Antiqua"/>
          <w:vertAlign w:val="superscript"/>
          <w:lang w:val="en"/>
        </w:rPr>
        <w:t>[41]</w:t>
      </w:r>
      <w:r w:rsidRPr="006A15C2">
        <w:rPr>
          <w:rFonts w:ascii="Book Antiqua" w:hAnsi="Book Antiqua" w:cs="Book Antiqua"/>
          <w:lang w:val="en"/>
        </w:rPr>
        <w:t xml:space="preserve">, probably due to hypergastrinemia, which has been shown to stimulate parathyroid activity in animal models and in humans, with </w:t>
      </w:r>
      <w:r w:rsidR="00183CB0" w:rsidRPr="006A15C2">
        <w:rPr>
          <w:rFonts w:ascii="Book Antiqua" w:hAnsi="Book Antiqua" w:cs="Book Antiqua"/>
          <w:lang w:val="en"/>
        </w:rPr>
        <w:t xml:space="preserve">the </w:t>
      </w:r>
      <w:r w:rsidRPr="006A15C2">
        <w:rPr>
          <w:rFonts w:ascii="Book Antiqua" w:hAnsi="Book Antiqua" w:cs="Book Antiqua"/>
          <w:lang w:val="en"/>
        </w:rPr>
        <w:t>consequent hyperparathyroidism and increased bone turnover</w:t>
      </w:r>
      <w:r w:rsidR="00485275" w:rsidRPr="006A15C2">
        <w:rPr>
          <w:rFonts w:ascii="Book Antiqua" w:hAnsi="Book Antiqua" w:cs="Book Antiqua"/>
          <w:vertAlign w:val="superscript"/>
          <w:lang w:val="en"/>
        </w:rPr>
        <w:t>[42</w:t>
      </w:r>
      <w:r w:rsidR="00485275">
        <w:rPr>
          <w:rFonts w:ascii="Cambria Math" w:hAnsi="Cambria Math" w:cs="Cambria Math" w:hint="eastAsia"/>
          <w:vertAlign w:val="superscript"/>
          <w:lang w:val="en" w:eastAsia="zh-CN"/>
        </w:rPr>
        <w:t>-</w:t>
      </w:r>
      <w:r w:rsidR="00485275" w:rsidRPr="006A15C2">
        <w:rPr>
          <w:rFonts w:ascii="Book Antiqua" w:hAnsi="Book Antiqua" w:cs="Book Antiqua"/>
          <w:vertAlign w:val="superscript"/>
          <w:lang w:val="en"/>
        </w:rPr>
        <w:t>44]</w:t>
      </w:r>
      <w:r w:rsidRPr="006A15C2">
        <w:rPr>
          <w:rFonts w:ascii="Book Antiqua" w:hAnsi="Book Antiqua" w:cs="Book Antiqua"/>
          <w:lang w:val="en"/>
        </w:rPr>
        <w:t xml:space="preserve">. However, a study </w:t>
      </w:r>
      <w:r w:rsidR="007E7CA8" w:rsidRPr="006A15C2">
        <w:rPr>
          <w:rFonts w:ascii="Book Antiqua" w:hAnsi="Book Antiqua" w:cs="Book Antiqua"/>
          <w:lang w:val="en"/>
        </w:rPr>
        <w:t>by</w:t>
      </w:r>
      <w:r w:rsidRPr="006A15C2">
        <w:rPr>
          <w:rFonts w:ascii="Book Antiqua" w:hAnsi="Book Antiqua" w:cs="Book Antiqua"/>
          <w:lang w:val="en"/>
        </w:rPr>
        <w:t xml:space="preserve"> Merriman et al</w:t>
      </w:r>
      <w:r w:rsidR="007E6EDD" w:rsidRPr="006A15C2">
        <w:rPr>
          <w:rFonts w:ascii="Book Antiqua" w:hAnsi="Book Antiqua" w:cs="Book Antiqua"/>
          <w:lang w:val="en"/>
        </w:rPr>
        <w:t>.</w:t>
      </w:r>
      <w:r w:rsidRPr="006A15C2">
        <w:rPr>
          <w:rFonts w:ascii="Book Antiqua" w:hAnsi="Book Antiqua" w:cs="Book Antiqua"/>
          <w:lang w:val="en"/>
        </w:rPr>
        <w:t xml:space="preserve"> did not confirm these data, as no reduction of risk of hip fracture </w:t>
      </w:r>
      <w:r w:rsidR="007E7CA8" w:rsidRPr="006A15C2">
        <w:rPr>
          <w:rFonts w:ascii="Book Antiqua" w:hAnsi="Book Antiqua" w:cs="Book Antiqua"/>
          <w:lang w:val="en"/>
        </w:rPr>
        <w:t xml:space="preserve">showed </w:t>
      </w:r>
      <w:r w:rsidRPr="006A15C2">
        <w:rPr>
          <w:rFonts w:ascii="Book Antiqua" w:hAnsi="Book Antiqua" w:cs="Book Antiqua"/>
          <w:lang w:val="en"/>
        </w:rPr>
        <w:t xml:space="preserve">among patients with PA after B12 repletion, thus suggesting </w:t>
      </w:r>
      <w:r w:rsidR="007E7CA8" w:rsidRPr="006A15C2">
        <w:rPr>
          <w:rFonts w:ascii="Book Antiqua" w:hAnsi="Book Antiqua" w:cs="Book Antiqua"/>
          <w:lang w:val="en"/>
        </w:rPr>
        <w:t xml:space="preserve">that </w:t>
      </w:r>
      <w:r w:rsidRPr="006A15C2">
        <w:rPr>
          <w:rFonts w:ascii="Book Antiqua" w:hAnsi="Book Antiqua" w:cs="Book Antiqua"/>
          <w:lang w:val="en"/>
        </w:rPr>
        <w:t>the presence of mechanisms other than B12 deficiency mediat</w:t>
      </w:r>
      <w:r w:rsidR="007E7CA8" w:rsidRPr="006A15C2">
        <w:rPr>
          <w:rFonts w:ascii="Book Antiqua" w:hAnsi="Book Antiqua" w:cs="Book Antiqua"/>
          <w:lang w:val="en"/>
        </w:rPr>
        <w:t xml:space="preserve">ed </w:t>
      </w:r>
      <w:r w:rsidRPr="006A15C2">
        <w:rPr>
          <w:rFonts w:ascii="Book Antiqua" w:hAnsi="Book Antiqua" w:cs="Book Antiqua"/>
          <w:lang w:val="en"/>
        </w:rPr>
        <w:t>the fracture risk</w:t>
      </w:r>
      <w:r w:rsidR="00485275" w:rsidRPr="006A15C2">
        <w:rPr>
          <w:rFonts w:ascii="Book Antiqua" w:hAnsi="Book Antiqua" w:cs="Book Antiqua"/>
          <w:vertAlign w:val="superscript"/>
          <w:lang w:val="en"/>
        </w:rPr>
        <w:t>[45]</w:t>
      </w:r>
      <w:r w:rsidRPr="006A15C2">
        <w:rPr>
          <w:rFonts w:ascii="Book Antiqua" w:hAnsi="Book Antiqua" w:cs="Book Antiqua"/>
          <w:lang w:val="en"/>
        </w:rPr>
        <w:t>.</w:t>
      </w:r>
    </w:p>
    <w:p w14:paraId="5CF66B82" w14:textId="77777777"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rPr>
      </w:pPr>
      <w:r w:rsidRPr="006A15C2">
        <w:rPr>
          <w:rFonts w:ascii="Book Antiqua" w:hAnsi="Book Antiqua" w:cs="Book Antiqua"/>
          <w:lang w:val="en"/>
        </w:rPr>
        <w:t xml:space="preserve">Therefore, PA </w:t>
      </w:r>
      <w:r w:rsidR="002602A0" w:rsidRPr="006A15C2">
        <w:rPr>
          <w:rFonts w:ascii="Book Antiqua" w:hAnsi="Book Antiqua" w:cs="Book Antiqua"/>
          <w:lang w:val="en"/>
        </w:rPr>
        <w:t xml:space="preserve">does </w:t>
      </w:r>
      <w:r w:rsidRPr="006A15C2">
        <w:rPr>
          <w:rFonts w:ascii="Book Antiqua" w:hAnsi="Book Antiqua" w:cs="Book Antiqua"/>
          <w:lang w:val="en"/>
        </w:rPr>
        <w:t>not only influence cobalamin plasma levels, but also iron absorption and bone development</w:t>
      </w:r>
      <w:r w:rsidR="002602A0" w:rsidRPr="006A15C2">
        <w:rPr>
          <w:rFonts w:ascii="Book Antiqua" w:hAnsi="Book Antiqua" w:cs="Book Antiqua"/>
          <w:lang w:val="en"/>
        </w:rPr>
        <w:t xml:space="preserve">: therefore </w:t>
      </w:r>
      <w:r w:rsidRPr="006A15C2">
        <w:rPr>
          <w:rFonts w:ascii="Book Antiqua" w:hAnsi="Book Antiqua" w:cs="Book Antiqua"/>
          <w:lang w:val="en"/>
        </w:rPr>
        <w:t xml:space="preserve">patients with CAAG should undergo </w:t>
      </w:r>
      <w:r w:rsidR="002602A0" w:rsidRPr="006A15C2">
        <w:rPr>
          <w:rFonts w:ascii="Book Antiqua" w:hAnsi="Book Antiqua" w:cs="Book Antiqua"/>
          <w:lang w:val="en"/>
        </w:rPr>
        <w:t xml:space="preserve">the </w:t>
      </w:r>
      <w:r w:rsidRPr="006A15C2">
        <w:rPr>
          <w:rFonts w:ascii="Book Antiqua" w:hAnsi="Book Antiqua" w:cs="Book Antiqua"/>
          <w:lang w:val="en"/>
        </w:rPr>
        <w:t xml:space="preserve">evaluation of martial pool, B12 stores and 25-OH vitamin D levels. </w:t>
      </w:r>
    </w:p>
    <w:p w14:paraId="74874AB1"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p>
    <w:p w14:paraId="05495ACC" w14:textId="61C408DE" w:rsidR="00687605" w:rsidRPr="00485275" w:rsidRDefault="00687605" w:rsidP="006A15C2">
      <w:pPr>
        <w:widowControl w:val="0"/>
        <w:autoSpaceDE w:val="0"/>
        <w:autoSpaceDN w:val="0"/>
        <w:adjustRightInd w:val="0"/>
        <w:snapToGrid w:val="0"/>
        <w:spacing w:line="360" w:lineRule="auto"/>
        <w:jc w:val="both"/>
        <w:rPr>
          <w:rFonts w:ascii="Book Antiqua" w:hAnsi="Book Antiqua" w:cs="Book Antiqua"/>
          <w:b/>
          <w:i/>
          <w:lang w:val="en" w:eastAsia="zh-CN"/>
        </w:rPr>
      </w:pPr>
      <w:r w:rsidRPr="00485275">
        <w:rPr>
          <w:rFonts w:ascii="Book Antiqua" w:hAnsi="Book Antiqua" w:cs="Book Antiqua"/>
          <w:b/>
          <w:i/>
          <w:lang w:val="en"/>
        </w:rPr>
        <w:t>I</w:t>
      </w:r>
      <w:r w:rsidR="00485275">
        <w:rPr>
          <w:rFonts w:ascii="Book Antiqua" w:hAnsi="Book Antiqua" w:cs="Book Antiqua"/>
          <w:b/>
          <w:i/>
          <w:lang w:val="en"/>
        </w:rPr>
        <w:t>ron</w:t>
      </w:r>
    </w:p>
    <w:p w14:paraId="6A2CE633" w14:textId="54156566"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lang w:val="en"/>
        </w:rPr>
        <w:t xml:space="preserve">Alimentary iron is available in two forms: heme and non-heme iron. Heme iron, present in </w:t>
      </w:r>
      <w:r w:rsidR="0042615B" w:rsidRPr="006A15C2">
        <w:rPr>
          <w:rFonts w:ascii="Book Antiqua" w:hAnsi="Book Antiqua" w:cs="Book Antiqua"/>
          <w:lang w:val="en"/>
        </w:rPr>
        <w:t xml:space="preserve">meat </w:t>
      </w:r>
      <w:r w:rsidRPr="006A15C2">
        <w:rPr>
          <w:rFonts w:ascii="Book Antiqua" w:hAnsi="Book Antiqua" w:cs="Book Antiqua"/>
          <w:lang w:val="en"/>
        </w:rPr>
        <w:t xml:space="preserve">hemoglobin and myoglobin, is in a ferrous form which is soluble at alkaline pH and is easily absorbed in the duodenum without </w:t>
      </w:r>
      <w:r w:rsidR="0042615B" w:rsidRPr="006A15C2">
        <w:rPr>
          <w:rFonts w:ascii="Book Antiqua" w:hAnsi="Book Antiqua" w:cs="Book Antiqua"/>
          <w:lang w:val="en"/>
        </w:rPr>
        <w:t xml:space="preserve">any </w:t>
      </w:r>
      <w:r w:rsidRPr="006A15C2">
        <w:rPr>
          <w:rFonts w:ascii="Book Antiqua" w:hAnsi="Book Antiqua" w:cs="Book Antiqua"/>
          <w:lang w:val="en"/>
        </w:rPr>
        <w:t>need for chelation. However, non-heme ferric form represents about 80% of dietary iron and is less absorbable. Ferric iron is insoluble, precipitates at pH</w:t>
      </w:r>
      <w:r w:rsidR="0042615B" w:rsidRPr="006A15C2">
        <w:rPr>
          <w:rFonts w:ascii="Book Antiqua" w:hAnsi="Book Antiqua" w:cs="Book Antiqua"/>
          <w:lang w:val="en"/>
        </w:rPr>
        <w:t xml:space="preserve"> </w:t>
      </w:r>
      <w:r w:rsidRPr="006A15C2">
        <w:rPr>
          <w:rFonts w:ascii="Book Antiqua" w:hAnsi="Book Antiqua" w:cs="Book Antiqua"/>
          <w:lang w:val="en"/>
        </w:rPr>
        <w:t>&gt;</w:t>
      </w:r>
      <w:r w:rsidR="00485275">
        <w:rPr>
          <w:rFonts w:ascii="Book Antiqua" w:hAnsi="Book Antiqua" w:cs="Book Antiqua" w:hint="eastAsia"/>
          <w:lang w:val="en" w:eastAsia="zh-CN"/>
        </w:rPr>
        <w:t xml:space="preserve"> </w:t>
      </w:r>
      <w:r w:rsidRPr="006A15C2">
        <w:rPr>
          <w:rFonts w:ascii="Book Antiqua" w:hAnsi="Book Antiqua" w:cs="Book Antiqua"/>
          <w:lang w:val="en"/>
        </w:rPr>
        <w:t xml:space="preserve">3, and is not absorbed unless reduced to the ferrous or chelated form. Different observations have demonstrated the importance of gastric secretion of both hydrochloric and ascorbic acid </w:t>
      </w:r>
      <w:r w:rsidR="00883239" w:rsidRPr="006A15C2">
        <w:rPr>
          <w:rFonts w:ascii="Book Antiqua" w:hAnsi="Book Antiqua" w:cs="Book Antiqua"/>
          <w:lang w:val="en"/>
        </w:rPr>
        <w:t xml:space="preserve">in </w:t>
      </w:r>
      <w:r w:rsidRPr="006A15C2">
        <w:rPr>
          <w:rFonts w:ascii="Book Antiqua" w:hAnsi="Book Antiqua" w:cs="Book Antiqua"/>
          <w:lang w:val="en"/>
        </w:rPr>
        <w:t>the solubilization and reduction of non-heme food iron for a normal iron absorption</w:t>
      </w:r>
      <w:r w:rsidR="00485275" w:rsidRPr="006A15C2">
        <w:rPr>
          <w:rFonts w:ascii="Book Antiqua" w:hAnsi="Book Antiqua" w:cs="Book Antiqua"/>
          <w:vertAlign w:val="superscript"/>
          <w:lang w:val="en"/>
        </w:rPr>
        <w:t>[24,46,47]</w:t>
      </w:r>
      <w:r w:rsidRPr="006A15C2">
        <w:rPr>
          <w:rFonts w:ascii="Book Antiqua" w:hAnsi="Book Antiqua" w:cs="Book Antiqua"/>
          <w:lang w:val="en"/>
        </w:rPr>
        <w:t>.</w:t>
      </w:r>
    </w:p>
    <w:p w14:paraId="5788252B" w14:textId="2A6347EC"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Moreover, a possible role of achlorhydria in the development of iron malabsorption has been suggested in different hypo/achlorhydria</w:t>
      </w:r>
      <w:r w:rsidR="00883239" w:rsidRPr="006A15C2">
        <w:rPr>
          <w:rFonts w:ascii="Book Antiqua" w:hAnsi="Book Antiqua" w:cs="Book Antiqua"/>
          <w:lang w:val="en"/>
        </w:rPr>
        <w:t xml:space="preserve"> models</w:t>
      </w:r>
      <w:r w:rsidR="00485275" w:rsidRPr="006A15C2">
        <w:rPr>
          <w:rFonts w:ascii="Book Antiqua" w:hAnsi="Book Antiqua" w:cs="Book Antiqua"/>
          <w:vertAlign w:val="superscript"/>
          <w:lang w:val="en"/>
        </w:rPr>
        <w:t>[48]</w:t>
      </w:r>
      <w:r w:rsidRPr="006A15C2">
        <w:rPr>
          <w:rFonts w:ascii="Book Antiqua" w:hAnsi="Book Antiqua" w:cs="Book Antiqua"/>
          <w:lang w:val="en"/>
        </w:rPr>
        <w:t>.</w:t>
      </w:r>
    </w:p>
    <w:p w14:paraId="1D06B904" w14:textId="4BF2EB86"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vertAlign w:val="superscript"/>
          <w:lang w:val="en"/>
        </w:rPr>
      </w:pPr>
      <w:r w:rsidRPr="006A15C2">
        <w:rPr>
          <w:rFonts w:ascii="Book Antiqua" w:hAnsi="Book Antiqua" w:cs="Book Antiqua"/>
          <w:lang w:val="en"/>
        </w:rPr>
        <w:lastRenderedPageBreak/>
        <w:t xml:space="preserve">A possible association between CAAG and iron malabsorption </w:t>
      </w:r>
      <w:r w:rsidR="00883239" w:rsidRPr="006A15C2">
        <w:rPr>
          <w:rFonts w:ascii="Book Antiqua" w:hAnsi="Book Antiqua" w:cs="Book Antiqua"/>
          <w:lang w:val="en"/>
        </w:rPr>
        <w:t>was</w:t>
      </w:r>
      <w:r w:rsidRPr="006A15C2">
        <w:rPr>
          <w:rFonts w:ascii="Book Antiqua" w:hAnsi="Book Antiqua" w:cs="Book Antiqua"/>
          <w:lang w:val="en"/>
        </w:rPr>
        <w:t xml:space="preserve"> initially proposed in 1930</w:t>
      </w:r>
      <w:r w:rsidR="00485275" w:rsidRPr="006A15C2">
        <w:rPr>
          <w:rFonts w:ascii="Book Antiqua" w:hAnsi="Book Antiqua" w:cs="Book Antiqua"/>
          <w:vertAlign w:val="superscript"/>
          <w:lang w:val="en"/>
        </w:rPr>
        <w:t>[7,49]</w:t>
      </w:r>
      <w:r w:rsidR="006F5A7D" w:rsidRPr="006A15C2">
        <w:rPr>
          <w:rFonts w:ascii="Book Antiqua" w:hAnsi="Book Antiqua" w:cs="Book Antiqua"/>
          <w:lang w:val="en"/>
        </w:rPr>
        <w:t>,</w:t>
      </w:r>
      <w:r w:rsidRPr="006A15C2">
        <w:rPr>
          <w:rFonts w:ascii="Book Antiqua" w:hAnsi="Book Antiqua" w:cs="Book Antiqua"/>
          <w:lang w:val="en"/>
        </w:rPr>
        <w:t xml:space="preserve"> and it was most commonly assumed that iron deficiency anemia was caused by achlorhydria-induced malabsorption of dietary iron. In 1963 Cook and colleagues observed a significant impairment of iron absorption in patients with PA, which was corrected by adding gastric juice</w:t>
      </w:r>
      <w:r w:rsidR="00485275" w:rsidRPr="006A15C2">
        <w:rPr>
          <w:rFonts w:ascii="Book Antiqua" w:hAnsi="Book Antiqua" w:cs="Book Antiqua"/>
          <w:vertAlign w:val="superscript"/>
          <w:lang w:val="en"/>
        </w:rPr>
        <w:t>[50]</w:t>
      </w:r>
      <w:r w:rsidRPr="006A15C2">
        <w:rPr>
          <w:rFonts w:ascii="Book Antiqua" w:hAnsi="Book Antiqua" w:cs="Book Antiqua"/>
          <w:lang w:val="en"/>
        </w:rPr>
        <w:t xml:space="preserve">. On the other hand, later studies did not confirm </w:t>
      </w:r>
      <w:r w:rsidR="00B2051B" w:rsidRPr="006A15C2">
        <w:rPr>
          <w:rFonts w:ascii="Book Antiqua" w:hAnsi="Book Antiqua" w:cs="Book Antiqua"/>
          <w:lang w:val="en"/>
        </w:rPr>
        <w:t>those</w:t>
      </w:r>
      <w:r w:rsidRPr="006A15C2">
        <w:rPr>
          <w:rFonts w:ascii="Book Antiqua" w:hAnsi="Book Antiqua" w:cs="Book Antiqua"/>
          <w:lang w:val="en"/>
        </w:rPr>
        <w:t xml:space="preserve"> observations and reported that </w:t>
      </w:r>
      <w:r w:rsidR="00B2051B" w:rsidRPr="006A15C2">
        <w:rPr>
          <w:rFonts w:ascii="Book Antiqua" w:hAnsi="Book Antiqua" w:cs="Book Antiqua"/>
          <w:lang w:val="en"/>
        </w:rPr>
        <w:t xml:space="preserve">the </w:t>
      </w:r>
      <w:r w:rsidRPr="006A15C2">
        <w:rPr>
          <w:rFonts w:ascii="Book Antiqua" w:hAnsi="Book Antiqua" w:cs="Book Antiqua"/>
          <w:lang w:val="en"/>
        </w:rPr>
        <w:t>achlorhydria</w:t>
      </w:r>
      <w:r w:rsidR="00B2051B" w:rsidRPr="006A15C2">
        <w:rPr>
          <w:rFonts w:ascii="Book Antiqua" w:hAnsi="Book Antiqua" w:cs="Book Antiqua"/>
          <w:lang w:val="en"/>
        </w:rPr>
        <w:t>-</w:t>
      </w:r>
      <w:r w:rsidRPr="006A15C2">
        <w:rPr>
          <w:rFonts w:ascii="Book Antiqua" w:hAnsi="Book Antiqua" w:cs="Book Antiqua"/>
          <w:lang w:val="en"/>
        </w:rPr>
        <w:t>induced malabsorption of dietary iron was unlikely to be the primary etiology of iron deficiency</w:t>
      </w:r>
      <w:r w:rsidR="00485275" w:rsidRPr="006A15C2">
        <w:rPr>
          <w:rFonts w:ascii="Book Antiqua" w:hAnsi="Book Antiqua" w:cs="Book Antiqua"/>
          <w:vertAlign w:val="superscript"/>
          <w:lang w:val="en"/>
        </w:rPr>
        <w:t>[51,52]</w:t>
      </w:r>
      <w:r w:rsidRPr="006A15C2">
        <w:rPr>
          <w:rFonts w:ascii="Book Antiqua" w:hAnsi="Book Antiqua" w:cs="Book Antiqua"/>
          <w:lang w:val="en"/>
        </w:rPr>
        <w:t>.</w:t>
      </w:r>
      <w:r w:rsidR="00485275">
        <w:rPr>
          <w:rFonts w:ascii="Book Antiqua" w:hAnsi="Book Antiqua" w:cs="Book Antiqua" w:hint="eastAsia"/>
          <w:lang w:val="en" w:eastAsia="zh-CN"/>
        </w:rPr>
        <w:t xml:space="preserve"> </w:t>
      </w:r>
      <w:r w:rsidRPr="006A15C2">
        <w:rPr>
          <w:rFonts w:ascii="Book Antiqua" w:hAnsi="Book Antiqua" w:cs="Book Antiqua"/>
          <w:lang w:val="en"/>
        </w:rPr>
        <w:t>In recent years</w:t>
      </w:r>
      <w:r w:rsidR="00B2051B" w:rsidRPr="006A15C2">
        <w:rPr>
          <w:rFonts w:ascii="Book Antiqua" w:hAnsi="Book Antiqua" w:cs="Book Antiqua"/>
          <w:lang w:val="en"/>
        </w:rPr>
        <w:t>,</w:t>
      </w:r>
      <w:r w:rsidRPr="006A15C2">
        <w:rPr>
          <w:rFonts w:ascii="Book Antiqua" w:hAnsi="Book Antiqua" w:cs="Book Antiqua"/>
          <w:lang w:val="en"/>
        </w:rPr>
        <w:t xml:space="preserve"> however, the co</w:t>
      </w:r>
      <w:r w:rsidR="00B2051B" w:rsidRPr="006A15C2">
        <w:rPr>
          <w:rFonts w:ascii="Book Antiqua" w:hAnsi="Book Antiqua" w:cs="Book Antiqua"/>
          <w:lang w:val="en"/>
        </w:rPr>
        <w:t>-</w:t>
      </w:r>
      <w:r w:rsidRPr="006A15C2">
        <w:rPr>
          <w:rFonts w:ascii="Book Antiqua" w:hAnsi="Book Antiqua" w:cs="Book Antiqua"/>
          <w:lang w:val="en"/>
        </w:rPr>
        <w:t xml:space="preserve">existence </w:t>
      </w:r>
      <w:r w:rsidR="00B2051B" w:rsidRPr="006A15C2">
        <w:rPr>
          <w:rFonts w:ascii="Book Antiqua" w:hAnsi="Book Antiqua" w:cs="Book Antiqua"/>
          <w:lang w:val="en"/>
        </w:rPr>
        <w:t xml:space="preserve">of </w:t>
      </w:r>
      <w:r w:rsidRPr="006A15C2">
        <w:rPr>
          <w:rFonts w:ascii="Book Antiqua" w:hAnsi="Book Antiqua" w:cs="Book Antiqua"/>
          <w:lang w:val="en"/>
        </w:rPr>
        <w:t>CAAG and iron deficiency anemia (IDA) has been increasingly reported. In 1966 Dagg</w:t>
      </w:r>
      <w:r w:rsidRPr="006A15C2">
        <w:rPr>
          <w:rFonts w:ascii="Book Antiqua" w:hAnsi="Book Antiqua" w:cs="Book Antiqua"/>
          <w:vertAlign w:val="superscript"/>
          <w:lang w:val="en"/>
        </w:rPr>
        <w:t>[53]</w:t>
      </w:r>
      <w:r w:rsidRPr="006A15C2">
        <w:rPr>
          <w:rFonts w:ascii="Book Antiqua" w:hAnsi="Book Antiqua" w:cs="Book Antiqua"/>
          <w:lang w:val="en"/>
        </w:rPr>
        <w:t xml:space="preserve"> introduced the concept of IDA progressing to classic PA in CAAG patients, demonstrating a 19% prevalence of achlorhydria and</w:t>
      </w:r>
      <w:r w:rsidR="009807C0" w:rsidRPr="006A15C2">
        <w:rPr>
          <w:rFonts w:ascii="Book Antiqua" w:hAnsi="Book Antiqua" w:cs="Book Antiqua"/>
          <w:lang w:val="en"/>
        </w:rPr>
        <w:t xml:space="preserve"> </w:t>
      </w:r>
      <w:r w:rsidR="009807C0" w:rsidRPr="006A15C2">
        <w:rPr>
          <w:rFonts w:ascii="Book Antiqua" w:hAnsi="Book Antiqua"/>
        </w:rPr>
        <w:t>anti-parietal cell antibodies</w:t>
      </w:r>
      <w:r w:rsidRPr="006A15C2">
        <w:rPr>
          <w:rFonts w:ascii="Book Antiqua" w:hAnsi="Book Antiqua" w:cs="Book Antiqua"/>
          <w:lang w:val="en"/>
        </w:rPr>
        <w:t xml:space="preserve"> </w:t>
      </w:r>
      <w:r w:rsidR="009807C0" w:rsidRPr="006A15C2">
        <w:rPr>
          <w:rFonts w:ascii="Book Antiqua" w:hAnsi="Book Antiqua" w:cs="Book Antiqua"/>
          <w:lang w:val="en"/>
        </w:rPr>
        <w:t>(</w:t>
      </w:r>
      <w:r w:rsidRPr="006A15C2">
        <w:rPr>
          <w:rFonts w:ascii="Book Antiqua" w:hAnsi="Book Antiqua" w:cs="Book Antiqua"/>
          <w:lang w:val="en"/>
        </w:rPr>
        <w:t>APCA</w:t>
      </w:r>
      <w:r w:rsidR="009807C0" w:rsidRPr="006A15C2">
        <w:rPr>
          <w:rFonts w:ascii="Book Antiqua" w:hAnsi="Book Antiqua" w:cs="Book Antiqua"/>
          <w:lang w:val="en"/>
        </w:rPr>
        <w:t>)</w:t>
      </w:r>
      <w:r w:rsidRPr="006A15C2">
        <w:rPr>
          <w:rFonts w:ascii="Book Antiqua" w:hAnsi="Book Antiqua" w:cs="Book Antiqua"/>
          <w:lang w:val="en"/>
        </w:rPr>
        <w:t xml:space="preserve"> positivity in patients with IDA and predicting that 32% of such patients w</w:t>
      </w:r>
      <w:r w:rsidR="00B2051B" w:rsidRPr="006A15C2">
        <w:rPr>
          <w:rFonts w:ascii="Book Antiqua" w:hAnsi="Book Antiqua" w:cs="Book Antiqua"/>
          <w:lang w:val="en"/>
        </w:rPr>
        <w:t>ould</w:t>
      </w:r>
      <w:r w:rsidRPr="006A15C2">
        <w:rPr>
          <w:rFonts w:ascii="Book Antiqua" w:hAnsi="Book Antiqua" w:cs="Book Antiqua"/>
          <w:lang w:val="en"/>
        </w:rPr>
        <w:t xml:space="preserve"> develop PA. More recently</w:t>
      </w:r>
      <w:r w:rsidR="00485275" w:rsidRPr="006A15C2">
        <w:rPr>
          <w:rFonts w:ascii="Book Antiqua" w:hAnsi="Book Antiqua" w:cs="Book Antiqua"/>
          <w:vertAlign w:val="superscript"/>
          <w:lang w:val="en"/>
        </w:rPr>
        <w:t>[23]</w:t>
      </w:r>
      <w:r w:rsidR="006F5A7D" w:rsidRPr="006A15C2">
        <w:rPr>
          <w:rFonts w:ascii="Book Antiqua" w:hAnsi="Book Antiqua" w:cs="Book Antiqua"/>
          <w:lang w:val="en"/>
        </w:rPr>
        <w:t>,</w:t>
      </w:r>
      <w:r w:rsidR="00485275">
        <w:rPr>
          <w:rFonts w:ascii="Book Antiqua" w:hAnsi="Book Antiqua" w:cs="Book Antiqua" w:hint="eastAsia"/>
          <w:lang w:val="en" w:eastAsia="zh-CN"/>
        </w:rPr>
        <w:t xml:space="preserve"> </w:t>
      </w:r>
      <w:r w:rsidRPr="006A15C2">
        <w:rPr>
          <w:rFonts w:ascii="Book Antiqua" w:hAnsi="Book Antiqua" w:cs="Book Antiqua"/>
          <w:lang w:val="en"/>
        </w:rPr>
        <w:t xml:space="preserve">based on the observation of high prevalence of </w:t>
      </w:r>
      <w:r w:rsidRPr="006A15C2">
        <w:rPr>
          <w:rFonts w:ascii="Book Antiqua" w:hAnsi="Book Antiqua" w:cs="Book Antiqua"/>
          <w:i/>
          <w:lang w:val="en"/>
        </w:rPr>
        <w:t>H. pylori</w:t>
      </w:r>
      <w:r w:rsidRPr="006A15C2">
        <w:rPr>
          <w:rFonts w:ascii="Book Antiqua" w:hAnsi="Book Antiqua" w:cs="Book Antiqua"/>
          <w:lang w:val="en"/>
        </w:rPr>
        <w:t xml:space="preserve"> positivity in young CAAG patients,</w:t>
      </w:r>
      <w:r w:rsidR="006F5A7D" w:rsidRPr="006A15C2">
        <w:rPr>
          <w:rFonts w:ascii="Book Antiqua" w:hAnsi="Book Antiqua" w:cs="Book Antiqua"/>
          <w:lang w:val="en"/>
        </w:rPr>
        <w:t xml:space="preserve"> it has been proposed that</w:t>
      </w:r>
      <w:r w:rsidRPr="006A15C2">
        <w:rPr>
          <w:rFonts w:ascii="Book Antiqua" w:hAnsi="Book Antiqua" w:cs="Book Antiqua"/>
          <w:lang w:val="en"/>
        </w:rPr>
        <w:t xml:space="preserve"> </w:t>
      </w:r>
      <w:r w:rsidRPr="006A15C2">
        <w:rPr>
          <w:rFonts w:ascii="Book Antiqua" w:hAnsi="Book Antiqua" w:cs="Book Antiqua"/>
          <w:i/>
          <w:lang w:val="en"/>
        </w:rPr>
        <w:t>H. pylori</w:t>
      </w:r>
      <w:r w:rsidRPr="006A15C2">
        <w:rPr>
          <w:rFonts w:ascii="Book Antiqua" w:hAnsi="Book Antiqua" w:cs="Book Antiqua"/>
          <w:lang w:val="en"/>
        </w:rPr>
        <w:t xml:space="preserve"> infection may represent an early</w:t>
      </w:r>
      <w:r w:rsidR="00DC023F" w:rsidRPr="006A15C2">
        <w:rPr>
          <w:rFonts w:ascii="Book Antiqua" w:hAnsi="Book Antiqua" w:cs="Book Antiqua"/>
          <w:lang w:val="en"/>
        </w:rPr>
        <w:t xml:space="preserve"> stage</w:t>
      </w:r>
      <w:r w:rsidRPr="006A15C2">
        <w:rPr>
          <w:rFonts w:ascii="Book Antiqua" w:hAnsi="Book Antiqua" w:cs="Book Antiqua"/>
          <w:lang w:val="en"/>
        </w:rPr>
        <w:t xml:space="preserve"> of gastritis. In later </w:t>
      </w:r>
      <w:r w:rsidR="00DC023F" w:rsidRPr="006A15C2">
        <w:rPr>
          <w:rFonts w:ascii="Book Antiqua" w:hAnsi="Book Antiqua" w:cs="Book Antiqua"/>
          <w:lang w:val="en"/>
        </w:rPr>
        <w:t xml:space="preserve">stages </w:t>
      </w:r>
      <w:r w:rsidRPr="006A15C2">
        <w:rPr>
          <w:rFonts w:ascii="Book Antiqua" w:hAnsi="Book Antiqua" w:cs="Book Antiqua"/>
          <w:lang w:val="en"/>
        </w:rPr>
        <w:t xml:space="preserve">the infectious process is gradually replaced by an autoimmune disease with </w:t>
      </w:r>
      <w:r w:rsidR="00DC023F" w:rsidRPr="006A15C2">
        <w:rPr>
          <w:rFonts w:ascii="Book Antiqua" w:hAnsi="Book Antiqua" w:cs="Book Antiqua"/>
          <w:lang w:val="en"/>
        </w:rPr>
        <w:t xml:space="preserve">the </w:t>
      </w:r>
      <w:r w:rsidRPr="006A15C2">
        <w:rPr>
          <w:rFonts w:ascii="Book Antiqua" w:hAnsi="Book Antiqua" w:cs="Book Antiqua"/>
          <w:lang w:val="en"/>
        </w:rPr>
        <w:t xml:space="preserve">irreversible destruction of the gastric body mucosa. Indeed, with </w:t>
      </w:r>
      <w:r w:rsidR="00DC023F" w:rsidRPr="006A15C2">
        <w:rPr>
          <w:rFonts w:ascii="Book Antiqua" w:hAnsi="Book Antiqua" w:cs="Book Antiqua"/>
          <w:lang w:val="en"/>
        </w:rPr>
        <w:t xml:space="preserve">the </w:t>
      </w:r>
      <w:r w:rsidRPr="006A15C2">
        <w:rPr>
          <w:rFonts w:ascii="Book Antiqua" w:hAnsi="Book Antiqua" w:cs="Book Antiqua"/>
          <w:lang w:val="en"/>
        </w:rPr>
        <w:t xml:space="preserve">advancing age of presentation there is a progressive increase in </w:t>
      </w:r>
      <w:r w:rsidR="00DC023F" w:rsidRPr="006A15C2">
        <w:rPr>
          <w:rFonts w:ascii="Book Antiqua" w:hAnsi="Book Antiqua" w:cs="Book Antiqua"/>
          <w:lang w:val="en"/>
        </w:rPr>
        <w:t xml:space="preserve">the </w:t>
      </w:r>
      <w:r w:rsidRPr="006A15C2">
        <w:rPr>
          <w:rFonts w:ascii="Book Antiqua" w:hAnsi="Book Antiqua" w:cs="Book Antiqua"/>
          <w:lang w:val="en"/>
        </w:rPr>
        <w:t>mean corpuscular volume of erythrocytes</w:t>
      </w:r>
      <w:r w:rsidR="006F5A7D" w:rsidRPr="006A15C2">
        <w:rPr>
          <w:rFonts w:ascii="Book Antiqua" w:hAnsi="Book Antiqua" w:cs="Book Antiqua"/>
          <w:lang w:val="en"/>
        </w:rPr>
        <w:t xml:space="preserve"> and</w:t>
      </w:r>
      <w:r w:rsidRPr="006A15C2">
        <w:rPr>
          <w:rFonts w:ascii="Book Antiqua" w:hAnsi="Book Antiqua" w:cs="Book Antiqua"/>
          <w:lang w:val="en"/>
        </w:rPr>
        <w:t xml:space="preserve"> in the severity of hypergastrinemia and cobalamin deficiency in CAAG patients</w:t>
      </w:r>
      <w:r w:rsidR="00485275" w:rsidRPr="006A15C2">
        <w:rPr>
          <w:rFonts w:ascii="Book Antiqua" w:hAnsi="Book Antiqua" w:cs="Book Antiqua"/>
          <w:vertAlign w:val="superscript"/>
          <w:lang w:val="en"/>
        </w:rPr>
        <w:t>[23]</w:t>
      </w:r>
      <w:r w:rsidRPr="006A15C2">
        <w:rPr>
          <w:rFonts w:ascii="Book Antiqua" w:hAnsi="Book Antiqua" w:cs="Book Antiqua"/>
          <w:lang w:val="en"/>
        </w:rPr>
        <w:t xml:space="preserve">. Histological active chronic inflammation has been reported to be 4 times more common in patients with IDA than in classic PA patients presenting with macrocytosis, probably </w:t>
      </w:r>
      <w:r w:rsidR="006F5A7D" w:rsidRPr="006A15C2">
        <w:rPr>
          <w:rFonts w:ascii="Book Antiqua" w:hAnsi="Book Antiqua" w:cs="Book Antiqua"/>
          <w:lang w:val="en"/>
        </w:rPr>
        <w:t xml:space="preserve">due to </w:t>
      </w:r>
      <w:r w:rsidRPr="006A15C2">
        <w:rPr>
          <w:rFonts w:ascii="Book Antiqua" w:hAnsi="Book Antiqua" w:cs="Book Antiqua"/>
          <w:lang w:val="en"/>
        </w:rPr>
        <w:t xml:space="preserve">their higher rate of active </w:t>
      </w:r>
      <w:r w:rsidRPr="006A15C2">
        <w:rPr>
          <w:rFonts w:ascii="Book Antiqua" w:hAnsi="Book Antiqua" w:cs="Book Antiqua"/>
          <w:i/>
          <w:lang w:val="en"/>
        </w:rPr>
        <w:t>H</w:t>
      </w:r>
      <w:r w:rsidR="000F2EAD" w:rsidRPr="006A15C2">
        <w:rPr>
          <w:rFonts w:ascii="Book Antiqua" w:hAnsi="Book Antiqua" w:cs="Book Antiqua"/>
          <w:i/>
          <w:lang w:val="en"/>
        </w:rPr>
        <w:t>.</w:t>
      </w:r>
      <w:r w:rsidRPr="006A15C2">
        <w:rPr>
          <w:rFonts w:ascii="Book Antiqua" w:hAnsi="Book Antiqua" w:cs="Book Antiqua"/>
          <w:i/>
          <w:lang w:val="en"/>
        </w:rPr>
        <w:t xml:space="preserve"> pylori</w:t>
      </w:r>
      <w:r w:rsidRPr="006A15C2">
        <w:rPr>
          <w:rFonts w:ascii="Book Antiqua" w:hAnsi="Book Antiqua" w:cs="Book Antiqua"/>
          <w:lang w:val="en"/>
        </w:rPr>
        <w:t xml:space="preserve"> infection</w:t>
      </w:r>
      <w:r w:rsidR="00485275" w:rsidRPr="006A15C2">
        <w:rPr>
          <w:rFonts w:ascii="Book Antiqua" w:hAnsi="Book Antiqua" w:cs="Book Antiqua"/>
          <w:vertAlign w:val="superscript"/>
          <w:lang w:val="en"/>
        </w:rPr>
        <w:t>[23]</w:t>
      </w:r>
      <w:r w:rsidRPr="006A15C2">
        <w:rPr>
          <w:rFonts w:ascii="Book Antiqua" w:hAnsi="Book Antiqua" w:cs="Book Antiqua"/>
          <w:lang w:val="en"/>
        </w:rPr>
        <w:t>.</w:t>
      </w:r>
    </w:p>
    <w:p w14:paraId="25F4927D" w14:textId="0B9D1D22"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 xml:space="preserve">In 2002 Dickey </w:t>
      </w:r>
      <w:r w:rsidRPr="00A14974">
        <w:rPr>
          <w:rFonts w:ascii="Book Antiqua" w:hAnsi="Book Antiqua" w:cs="Book Antiqua"/>
          <w:i/>
          <w:lang w:val="en"/>
        </w:rPr>
        <w:t>et al</w:t>
      </w:r>
      <w:r w:rsidRPr="006A15C2">
        <w:rPr>
          <w:rFonts w:ascii="Book Antiqua" w:hAnsi="Book Antiqua" w:cs="Book Antiqua"/>
          <w:vertAlign w:val="superscript"/>
          <w:lang w:val="en"/>
        </w:rPr>
        <w:t>[46]</w:t>
      </w:r>
      <w:r w:rsidRPr="006A15C2">
        <w:rPr>
          <w:rFonts w:ascii="Book Antiqua" w:hAnsi="Book Antiqua" w:cs="Book Antiqua"/>
          <w:lang w:val="en"/>
        </w:rPr>
        <w:t xml:space="preserve"> observed a significant proportion of IDA patients having a concomitant CAAG (8/41). None of </w:t>
      </w:r>
      <w:r w:rsidR="00A47191" w:rsidRPr="006A15C2">
        <w:rPr>
          <w:rFonts w:ascii="Book Antiqua" w:hAnsi="Book Antiqua" w:cs="Book Antiqua"/>
          <w:lang w:val="en"/>
        </w:rPr>
        <w:t xml:space="preserve">such </w:t>
      </w:r>
      <w:r w:rsidRPr="006A15C2">
        <w:rPr>
          <w:rFonts w:ascii="Book Antiqua" w:hAnsi="Book Antiqua" w:cs="Book Antiqua"/>
          <w:lang w:val="en"/>
        </w:rPr>
        <w:t>patients had concomitant vitamin B12 deficiency, suggesting that CAAG may present with IDA from the onset of the condition. In addition</w:t>
      </w:r>
      <w:r w:rsidR="005273E3" w:rsidRPr="006A15C2">
        <w:rPr>
          <w:rFonts w:ascii="Book Antiqua" w:hAnsi="Book Antiqua" w:cs="Book Antiqua"/>
          <w:lang w:val="en"/>
        </w:rPr>
        <w:t xml:space="preserve">, </w:t>
      </w:r>
      <w:r w:rsidRPr="006A15C2">
        <w:rPr>
          <w:rFonts w:ascii="Book Antiqua" w:hAnsi="Book Antiqua" w:cs="Book Antiqua"/>
          <w:lang w:val="en"/>
        </w:rPr>
        <w:t>20</w:t>
      </w:r>
      <w:r w:rsidR="00485275" w:rsidRPr="006A15C2">
        <w:rPr>
          <w:rFonts w:ascii="Book Antiqua" w:hAnsi="Book Antiqua" w:cs="Book Antiqua"/>
          <w:lang w:val="en"/>
        </w:rPr>
        <w:t>%</w:t>
      </w:r>
      <w:r w:rsidR="00485275">
        <w:rPr>
          <w:rFonts w:ascii="Book Antiqua" w:hAnsi="Book Antiqua" w:cs="Book Antiqua" w:hint="eastAsia"/>
          <w:lang w:val="en" w:eastAsia="zh-CN"/>
        </w:rPr>
        <w:t>-</w:t>
      </w:r>
      <w:r w:rsidRPr="006A15C2">
        <w:rPr>
          <w:rFonts w:ascii="Book Antiqua" w:hAnsi="Book Antiqua" w:cs="Book Antiqua"/>
          <w:lang w:val="en"/>
        </w:rPr>
        <w:t>40% of PA patients developed IDA after treatment with parenteral vitamin B12, those observations suggesting the presence of subclinical iron deficiency in patients with clinical</w:t>
      </w:r>
      <w:r w:rsidR="005273E3" w:rsidRPr="006A15C2">
        <w:rPr>
          <w:rFonts w:ascii="Book Antiqua" w:hAnsi="Book Antiqua" w:cs="Book Antiqua"/>
          <w:lang w:val="en"/>
        </w:rPr>
        <w:t>ly</w:t>
      </w:r>
      <w:r w:rsidRPr="006A15C2">
        <w:rPr>
          <w:rFonts w:ascii="Book Antiqua" w:hAnsi="Book Antiqua" w:cs="Book Antiqua"/>
          <w:lang w:val="en"/>
        </w:rPr>
        <w:t xml:space="preserve"> manifest PA</w:t>
      </w:r>
      <w:r w:rsidR="00485275" w:rsidRPr="006A15C2">
        <w:rPr>
          <w:rFonts w:ascii="Book Antiqua" w:hAnsi="Book Antiqua" w:cs="Book Antiqua"/>
          <w:vertAlign w:val="superscript"/>
          <w:lang w:val="en"/>
        </w:rPr>
        <w:t>[46]</w:t>
      </w:r>
      <w:r w:rsidRPr="006A15C2">
        <w:rPr>
          <w:rFonts w:ascii="Book Antiqua" w:hAnsi="Book Antiqua" w:cs="Book Antiqua"/>
          <w:lang w:val="en"/>
        </w:rPr>
        <w:t>.</w:t>
      </w:r>
    </w:p>
    <w:p w14:paraId="32A49C8E" w14:textId="24FB4547" w:rsidR="00687605" w:rsidRPr="006A15C2" w:rsidRDefault="00687605" w:rsidP="00485275">
      <w:pPr>
        <w:widowControl w:val="0"/>
        <w:autoSpaceDE w:val="0"/>
        <w:autoSpaceDN w:val="0"/>
        <w:adjustRightInd w:val="0"/>
        <w:snapToGrid w:val="0"/>
        <w:spacing w:line="360" w:lineRule="auto"/>
        <w:ind w:firstLineChars="100" w:firstLine="240"/>
        <w:jc w:val="both"/>
        <w:rPr>
          <w:rFonts w:ascii="Book Antiqua" w:hAnsi="Book Antiqua" w:cs="Book Antiqua"/>
          <w:vertAlign w:val="superscript"/>
          <w:lang w:val="en"/>
        </w:rPr>
      </w:pPr>
      <w:r w:rsidRPr="006A15C2">
        <w:rPr>
          <w:rFonts w:ascii="Book Antiqua" w:hAnsi="Book Antiqua" w:cs="Book Antiqua"/>
          <w:lang w:val="en"/>
        </w:rPr>
        <w:t>Moreover, a prospective</w:t>
      </w:r>
      <w:r w:rsidR="00485275">
        <w:rPr>
          <w:rFonts w:ascii="Book Antiqua" w:hAnsi="Book Antiqua" w:cs="Book Antiqua"/>
          <w:lang w:val="en"/>
        </w:rPr>
        <w:t xml:space="preserve"> </w:t>
      </w:r>
      <w:r w:rsidRPr="006A15C2">
        <w:rPr>
          <w:rFonts w:ascii="Book Antiqua" w:hAnsi="Book Antiqua" w:cs="Book Antiqua"/>
          <w:lang w:val="en"/>
        </w:rPr>
        <w:t xml:space="preserve">study </w:t>
      </w:r>
      <w:r w:rsidR="005273E3" w:rsidRPr="006A15C2">
        <w:rPr>
          <w:rFonts w:ascii="Book Antiqua" w:hAnsi="Book Antiqua" w:cs="Book Antiqua"/>
          <w:lang w:val="en"/>
        </w:rPr>
        <w:t xml:space="preserve">by </w:t>
      </w:r>
      <w:r w:rsidRPr="006A15C2">
        <w:rPr>
          <w:rFonts w:ascii="Book Antiqua" w:hAnsi="Book Antiqua" w:cs="Book Antiqua"/>
          <w:lang w:val="en"/>
        </w:rPr>
        <w:t xml:space="preserve">Hershko </w:t>
      </w:r>
      <w:r w:rsidRPr="00485275">
        <w:rPr>
          <w:rFonts w:ascii="Book Antiqua" w:hAnsi="Book Antiqua" w:cs="Book Antiqua"/>
          <w:i/>
          <w:lang w:val="en"/>
        </w:rPr>
        <w:t>et al</w:t>
      </w:r>
      <w:r w:rsidRPr="006A15C2">
        <w:rPr>
          <w:rFonts w:ascii="Book Antiqua" w:hAnsi="Book Antiqua" w:cs="Book Antiqua"/>
          <w:vertAlign w:val="superscript"/>
          <w:lang w:val="en"/>
        </w:rPr>
        <w:t>[24]</w:t>
      </w:r>
      <w:r w:rsidRPr="006A15C2">
        <w:rPr>
          <w:rFonts w:ascii="Book Antiqua" w:hAnsi="Book Antiqua" w:cs="Book Antiqua"/>
          <w:lang w:val="en"/>
        </w:rPr>
        <w:t xml:space="preserve"> showed a high (27%) </w:t>
      </w:r>
      <w:r w:rsidRPr="006A15C2">
        <w:rPr>
          <w:rFonts w:ascii="Book Antiqua" w:hAnsi="Book Antiqua" w:cs="Book Antiqua"/>
          <w:lang w:val="en"/>
        </w:rPr>
        <w:lastRenderedPageBreak/>
        <w:t xml:space="preserve">proportion of CAAG among patients with iron deficiency anemia (IDA) without </w:t>
      </w:r>
      <w:r w:rsidR="005273E3" w:rsidRPr="006A15C2">
        <w:rPr>
          <w:rFonts w:ascii="Book Antiqua" w:hAnsi="Book Antiqua" w:cs="Book Antiqua"/>
          <w:lang w:val="en"/>
        </w:rPr>
        <w:t xml:space="preserve">any </w:t>
      </w:r>
      <w:r w:rsidRPr="006A15C2">
        <w:rPr>
          <w:rFonts w:ascii="Book Antiqua" w:hAnsi="Book Antiqua" w:cs="Book Antiqua"/>
          <w:lang w:val="en"/>
        </w:rPr>
        <w:t>apparent gastrointestinal diseases</w:t>
      </w:r>
      <w:r w:rsidR="005273E3" w:rsidRPr="006A15C2">
        <w:rPr>
          <w:rFonts w:ascii="Book Antiqua" w:hAnsi="Book Antiqua" w:cs="Book Antiqua"/>
          <w:lang w:val="en"/>
        </w:rPr>
        <w:t>. D</w:t>
      </w:r>
      <w:r w:rsidRPr="006A15C2">
        <w:rPr>
          <w:rFonts w:ascii="Book Antiqua" w:hAnsi="Book Antiqua" w:cs="Book Antiqua"/>
          <w:lang w:val="en"/>
        </w:rPr>
        <w:t>ifferently from classic PA, most of</w:t>
      </w:r>
      <w:r w:rsidR="00485275">
        <w:rPr>
          <w:rFonts w:ascii="Book Antiqua" w:hAnsi="Book Antiqua" w:cs="Book Antiqua"/>
          <w:lang w:val="en"/>
        </w:rPr>
        <w:t xml:space="preserve"> </w:t>
      </w:r>
      <w:r w:rsidRPr="006A15C2">
        <w:rPr>
          <w:rFonts w:ascii="Book Antiqua" w:hAnsi="Book Antiqua" w:cs="Book Antiqua"/>
          <w:lang w:val="en"/>
        </w:rPr>
        <w:t xml:space="preserve">these patients were women, 20 years younger and had coexistent </w:t>
      </w:r>
      <w:r w:rsidRPr="006A15C2">
        <w:rPr>
          <w:rFonts w:ascii="Book Antiqua" w:hAnsi="Book Antiqua" w:cs="Book Antiqua"/>
          <w:i/>
          <w:lang w:val="en"/>
        </w:rPr>
        <w:t>H</w:t>
      </w:r>
      <w:r w:rsidR="005273E3" w:rsidRPr="006A15C2">
        <w:rPr>
          <w:rFonts w:ascii="Book Antiqua" w:hAnsi="Book Antiqua" w:cs="Book Antiqua"/>
          <w:i/>
          <w:lang w:val="en"/>
        </w:rPr>
        <w:t xml:space="preserve">. </w:t>
      </w:r>
      <w:r w:rsidRPr="006A15C2">
        <w:rPr>
          <w:rFonts w:ascii="Book Antiqua" w:hAnsi="Book Antiqua" w:cs="Book Antiqua"/>
          <w:i/>
          <w:lang w:val="en"/>
        </w:rPr>
        <w:t>pylori</w:t>
      </w:r>
      <w:r w:rsidRPr="006A15C2">
        <w:rPr>
          <w:rFonts w:ascii="Book Antiqua" w:hAnsi="Book Antiqua" w:cs="Book Antiqua"/>
          <w:lang w:val="en"/>
        </w:rPr>
        <w:t xml:space="preserve"> infection. The authors then postulated that</w:t>
      </w:r>
      <w:r w:rsidR="005273E3" w:rsidRPr="006A15C2">
        <w:rPr>
          <w:rFonts w:ascii="Book Antiqua" w:hAnsi="Book Antiqua" w:cs="Book Antiqua"/>
          <w:lang w:val="en"/>
        </w:rPr>
        <w:t xml:space="preserve"> </w:t>
      </w:r>
      <w:r w:rsidRPr="006A15C2">
        <w:rPr>
          <w:rFonts w:ascii="Book Antiqua" w:hAnsi="Book Antiqua" w:cs="Book Antiqua"/>
          <w:lang w:val="en"/>
        </w:rPr>
        <w:t>iron deficiency w</w:t>
      </w:r>
      <w:r w:rsidR="005273E3" w:rsidRPr="006A15C2">
        <w:rPr>
          <w:rFonts w:ascii="Book Antiqua" w:hAnsi="Book Antiqua" w:cs="Book Antiqua"/>
          <w:lang w:val="en"/>
        </w:rPr>
        <w:t>ould</w:t>
      </w:r>
      <w:r w:rsidRPr="006A15C2">
        <w:rPr>
          <w:rFonts w:ascii="Book Antiqua" w:hAnsi="Book Antiqua" w:cs="Book Antiqua"/>
          <w:lang w:val="en"/>
        </w:rPr>
        <w:t xml:space="preserve"> develop earlier than vitamin B12 deficiency</w:t>
      </w:r>
      <w:r w:rsidR="005273E3" w:rsidRPr="006A15C2">
        <w:rPr>
          <w:rFonts w:ascii="Book Antiqua" w:hAnsi="Book Antiqua" w:cs="Book Antiqua"/>
          <w:lang w:val="en"/>
        </w:rPr>
        <w:t xml:space="preserve"> in young women with menstrual blood loss</w:t>
      </w:r>
      <w:r w:rsidR="00FA2F0D" w:rsidRPr="006A15C2">
        <w:rPr>
          <w:rFonts w:ascii="Book Antiqua" w:hAnsi="Book Antiqua" w:cs="Book Antiqua"/>
          <w:vertAlign w:val="superscript"/>
          <w:lang w:val="en"/>
        </w:rPr>
        <w:t>[24]</w:t>
      </w:r>
      <w:r w:rsidR="00016143" w:rsidRPr="006A15C2">
        <w:rPr>
          <w:rFonts w:ascii="Book Antiqua" w:hAnsi="Book Antiqua" w:cs="Book Antiqua"/>
          <w:lang w:val="en"/>
        </w:rPr>
        <w:t>.</w:t>
      </w:r>
      <w:r w:rsidRPr="006A15C2">
        <w:rPr>
          <w:rFonts w:ascii="Book Antiqua" w:hAnsi="Book Antiqua" w:cs="Book Antiqua"/>
          <w:lang w:val="en"/>
        </w:rPr>
        <w:t xml:space="preserve"> Annibale </w:t>
      </w:r>
      <w:r w:rsidRPr="00FA2F0D">
        <w:rPr>
          <w:rFonts w:ascii="Book Antiqua" w:hAnsi="Book Antiqua" w:cs="Book Antiqua"/>
          <w:i/>
          <w:lang w:val="en"/>
        </w:rPr>
        <w:t>et al</w:t>
      </w:r>
      <w:r w:rsidRPr="006A15C2">
        <w:rPr>
          <w:rFonts w:ascii="Book Antiqua" w:hAnsi="Book Antiqua" w:cs="Book Antiqua"/>
          <w:vertAlign w:val="superscript"/>
          <w:lang w:val="en"/>
        </w:rPr>
        <w:t>[54</w:t>
      </w:r>
      <w:r w:rsidR="00FA2F0D">
        <w:rPr>
          <w:rFonts w:ascii="Cambria Math" w:hAnsi="Cambria Math" w:cs="Cambria Math" w:hint="eastAsia"/>
          <w:vertAlign w:val="superscript"/>
          <w:lang w:val="en" w:eastAsia="zh-CN"/>
        </w:rPr>
        <w:t>-</w:t>
      </w:r>
      <w:r w:rsidRPr="006A15C2">
        <w:rPr>
          <w:rFonts w:ascii="Book Antiqua" w:hAnsi="Book Antiqua" w:cs="Book Antiqua"/>
          <w:vertAlign w:val="superscript"/>
          <w:lang w:val="en"/>
        </w:rPr>
        <w:t>56]</w:t>
      </w:r>
      <w:r w:rsidRPr="006A15C2">
        <w:rPr>
          <w:rFonts w:ascii="Book Antiqua" w:hAnsi="Book Antiqua" w:cs="Book Antiqua"/>
          <w:lang w:val="en"/>
        </w:rPr>
        <w:t xml:space="preserve"> found atrophic body gastritis in the 27% of patients with refractory IDA without gastrointestinal symptoms, </w:t>
      </w:r>
      <w:r w:rsidR="005273E3" w:rsidRPr="006A15C2">
        <w:rPr>
          <w:rFonts w:ascii="Book Antiqua" w:hAnsi="Book Antiqua" w:cs="Book Antiqua"/>
          <w:lang w:val="en"/>
        </w:rPr>
        <w:t xml:space="preserve">in </w:t>
      </w:r>
      <w:r w:rsidRPr="006A15C2">
        <w:rPr>
          <w:rFonts w:ascii="Book Antiqua" w:hAnsi="Book Antiqua" w:cs="Book Antiqua"/>
          <w:lang w:val="en"/>
        </w:rPr>
        <w:t>accord</w:t>
      </w:r>
      <w:r w:rsidR="005273E3" w:rsidRPr="006A15C2">
        <w:rPr>
          <w:rFonts w:ascii="Book Antiqua" w:hAnsi="Book Antiqua" w:cs="Book Antiqua"/>
          <w:lang w:val="en"/>
        </w:rPr>
        <w:t xml:space="preserve">ance </w:t>
      </w:r>
      <w:r w:rsidRPr="006A15C2">
        <w:rPr>
          <w:rFonts w:ascii="Book Antiqua" w:hAnsi="Book Antiqua" w:cs="Book Antiqua"/>
          <w:lang w:val="en"/>
        </w:rPr>
        <w:t>with previous studies</w:t>
      </w:r>
      <w:r w:rsidR="00FA2F0D" w:rsidRPr="006A15C2">
        <w:rPr>
          <w:rFonts w:ascii="Book Antiqua" w:hAnsi="Book Antiqua" w:cs="Book Antiqua"/>
          <w:vertAlign w:val="superscript"/>
          <w:lang w:val="en"/>
        </w:rPr>
        <w:t>[23]</w:t>
      </w:r>
      <w:r w:rsidRPr="006A15C2">
        <w:rPr>
          <w:rFonts w:ascii="Book Antiqua" w:hAnsi="Book Antiqua" w:cs="Book Antiqua"/>
          <w:lang w:val="en"/>
        </w:rPr>
        <w:t>.</w:t>
      </w:r>
      <w:r w:rsidR="00485275">
        <w:rPr>
          <w:rFonts w:ascii="Book Antiqua" w:hAnsi="Book Antiqua" w:cs="Book Antiqua"/>
          <w:lang w:val="en"/>
        </w:rPr>
        <w:t xml:space="preserve"> </w:t>
      </w:r>
      <w:r w:rsidRPr="006A15C2">
        <w:rPr>
          <w:rFonts w:ascii="Book Antiqua" w:hAnsi="Book Antiqua" w:cs="Book Antiqua"/>
          <w:lang w:val="en"/>
        </w:rPr>
        <w:t xml:space="preserve">The same </w:t>
      </w:r>
      <w:r w:rsidR="005273E3" w:rsidRPr="006A15C2">
        <w:rPr>
          <w:rFonts w:ascii="Book Antiqua" w:hAnsi="Book Antiqua" w:cs="Book Antiqua"/>
          <w:lang w:val="en"/>
        </w:rPr>
        <w:t>a</w:t>
      </w:r>
      <w:r w:rsidRPr="006A15C2">
        <w:rPr>
          <w:rFonts w:ascii="Book Antiqua" w:hAnsi="Book Antiqua" w:cs="Book Antiqua"/>
          <w:lang w:val="en"/>
        </w:rPr>
        <w:t>uthors in 1999 compared CAAG patients presenting with IDA with others presenting with PA, and found that in 45% of CAAG</w:t>
      </w:r>
      <w:r w:rsidR="00485275">
        <w:rPr>
          <w:rFonts w:ascii="Book Antiqua" w:hAnsi="Book Antiqua" w:cs="Book Antiqua"/>
          <w:lang w:val="en"/>
        </w:rPr>
        <w:t xml:space="preserve"> </w:t>
      </w:r>
      <w:r w:rsidRPr="006A15C2">
        <w:rPr>
          <w:rFonts w:ascii="Book Antiqua" w:hAnsi="Book Antiqua" w:cs="Book Antiqua"/>
          <w:lang w:val="en"/>
        </w:rPr>
        <w:t xml:space="preserve">patients IDA </w:t>
      </w:r>
      <w:r w:rsidR="005273E3" w:rsidRPr="006A15C2">
        <w:rPr>
          <w:rFonts w:ascii="Book Antiqua" w:hAnsi="Book Antiqua" w:cs="Book Antiqua"/>
          <w:lang w:val="en"/>
        </w:rPr>
        <w:t>was</w:t>
      </w:r>
      <w:r w:rsidRPr="006A15C2">
        <w:rPr>
          <w:rFonts w:ascii="Book Antiqua" w:hAnsi="Book Antiqua" w:cs="Book Antiqua"/>
          <w:lang w:val="en"/>
        </w:rPr>
        <w:t xml:space="preserve"> the first clinical manifestation of the disease</w:t>
      </w:r>
      <w:r w:rsidR="00FA2F0D" w:rsidRPr="006A15C2">
        <w:rPr>
          <w:rFonts w:ascii="Book Antiqua" w:hAnsi="Book Antiqua" w:cs="Book Antiqua"/>
          <w:vertAlign w:val="superscript"/>
          <w:lang w:val="en"/>
        </w:rPr>
        <w:t>[23]</w:t>
      </w:r>
      <w:r w:rsidRPr="006A15C2">
        <w:rPr>
          <w:rFonts w:ascii="Book Antiqua" w:hAnsi="Book Antiqua" w:cs="Book Antiqua"/>
          <w:lang w:val="en"/>
        </w:rPr>
        <w:t xml:space="preserve">. Finally, </w:t>
      </w:r>
      <w:r w:rsidR="005273E3" w:rsidRPr="006A15C2">
        <w:rPr>
          <w:rFonts w:ascii="Book Antiqua" w:hAnsi="Book Antiqua" w:cs="Book Antiqua"/>
          <w:lang w:val="en"/>
        </w:rPr>
        <w:t xml:space="preserve">some recent </w:t>
      </w:r>
      <w:r w:rsidRPr="006A15C2">
        <w:rPr>
          <w:rFonts w:ascii="Book Antiqua" w:hAnsi="Book Antiqua" w:cs="Book Antiqua"/>
          <w:lang w:val="en"/>
        </w:rPr>
        <w:t xml:space="preserve">studies </w:t>
      </w:r>
      <w:r w:rsidR="005273E3" w:rsidRPr="006A15C2">
        <w:rPr>
          <w:rFonts w:ascii="Book Antiqua" w:hAnsi="Book Antiqua" w:cs="Book Antiqua"/>
          <w:lang w:val="en"/>
        </w:rPr>
        <w:t xml:space="preserve">have </w:t>
      </w:r>
      <w:r w:rsidRPr="006A15C2">
        <w:rPr>
          <w:rFonts w:ascii="Book Antiqua" w:hAnsi="Book Antiqua" w:cs="Book Antiqua"/>
          <w:lang w:val="en"/>
        </w:rPr>
        <w:t xml:space="preserve">reported the occurrence of IDA in pediatric patients affected by CAAG, </w:t>
      </w:r>
      <w:r w:rsidRPr="006A15C2">
        <w:rPr>
          <w:rFonts w:ascii="Book Antiqua" w:hAnsi="Book Antiqua" w:cs="Book Antiqua"/>
          <w:color w:val="000000"/>
          <w:lang w:val="en"/>
        </w:rPr>
        <w:t xml:space="preserve">highlighting </w:t>
      </w:r>
      <w:r w:rsidR="005273E3" w:rsidRPr="006A15C2">
        <w:rPr>
          <w:rFonts w:ascii="Book Antiqua" w:hAnsi="Book Antiqua" w:cs="Book Antiqua"/>
          <w:color w:val="000000"/>
          <w:lang w:val="en"/>
        </w:rPr>
        <w:t>that</w:t>
      </w:r>
      <w:r w:rsidRPr="006A15C2">
        <w:rPr>
          <w:rFonts w:ascii="Book Antiqua" w:hAnsi="Book Antiqua" w:cs="Book Antiqua"/>
          <w:color w:val="000000"/>
          <w:lang w:val="en"/>
        </w:rPr>
        <w:t xml:space="preserve"> CAAG should be considered when investigating refractory iron deficiency anemia in children</w:t>
      </w:r>
      <w:r w:rsidR="00FA2F0D" w:rsidRPr="006A15C2">
        <w:rPr>
          <w:rFonts w:ascii="Book Antiqua" w:hAnsi="Book Antiqua" w:cs="Book Antiqua"/>
          <w:color w:val="000000"/>
          <w:vertAlign w:val="superscript"/>
          <w:lang w:val="en"/>
        </w:rPr>
        <w:t>[9]</w:t>
      </w:r>
      <w:r w:rsidRPr="006A15C2">
        <w:rPr>
          <w:rFonts w:ascii="Book Antiqua" w:hAnsi="Book Antiqua" w:cs="Book Antiqua"/>
          <w:color w:val="000000"/>
          <w:lang w:val="en"/>
        </w:rPr>
        <w:t>.</w:t>
      </w:r>
    </w:p>
    <w:p w14:paraId="7016B093" w14:textId="37C38E37"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In conclusion</w:t>
      </w:r>
      <w:r w:rsidR="006A1B2B" w:rsidRPr="006A15C2">
        <w:rPr>
          <w:rFonts w:ascii="Book Antiqua" w:hAnsi="Book Antiqua" w:cs="Book Antiqua"/>
          <w:lang w:val="en"/>
        </w:rPr>
        <w:t>,</w:t>
      </w:r>
      <w:r w:rsidRPr="006A15C2">
        <w:rPr>
          <w:rFonts w:ascii="Book Antiqua" w:hAnsi="Book Antiqua" w:cs="Book Antiqua"/>
          <w:lang w:val="en"/>
        </w:rPr>
        <w:t xml:space="preserve"> iron malabsorption and the onset of iron deficiency anemia appear to be biological</w:t>
      </w:r>
      <w:r w:rsidR="001967A3" w:rsidRPr="006A15C2">
        <w:rPr>
          <w:rFonts w:ascii="Book Antiqua" w:hAnsi="Book Antiqua" w:cs="Book Antiqua"/>
          <w:lang w:val="en"/>
        </w:rPr>
        <w:t>ly</w:t>
      </w:r>
      <w:r w:rsidRPr="006A15C2">
        <w:rPr>
          <w:rFonts w:ascii="Book Antiqua" w:hAnsi="Book Antiqua" w:cs="Book Antiqua"/>
          <w:lang w:val="en"/>
        </w:rPr>
        <w:t xml:space="preserve"> plausible and supported by different models of achlorhydria. Therefore, </w:t>
      </w:r>
      <w:r w:rsidR="001967A3" w:rsidRPr="006A15C2">
        <w:rPr>
          <w:rFonts w:ascii="Book Antiqua" w:hAnsi="Book Antiqua" w:cs="Book Antiqua"/>
          <w:lang w:val="en"/>
        </w:rPr>
        <w:t xml:space="preserve">the </w:t>
      </w:r>
      <w:r w:rsidRPr="006A15C2">
        <w:rPr>
          <w:rFonts w:ascii="Book Antiqua" w:hAnsi="Book Antiqua" w:cs="Book Antiqua"/>
          <w:lang w:val="en"/>
        </w:rPr>
        <w:t>patients with PA should be evaluated for concomitant iron deficiency</w:t>
      </w:r>
      <w:r w:rsidR="001967A3" w:rsidRPr="006A15C2">
        <w:rPr>
          <w:rFonts w:ascii="Book Antiqua" w:hAnsi="Book Antiqua" w:cs="Book Antiqua"/>
          <w:lang w:val="en"/>
        </w:rPr>
        <w:t xml:space="preserve"> development</w:t>
      </w:r>
      <w:r w:rsidR="00FA2F0D" w:rsidRPr="006A15C2">
        <w:rPr>
          <w:rFonts w:ascii="Book Antiqua" w:hAnsi="Book Antiqua" w:cs="Book Antiqua"/>
          <w:vertAlign w:val="superscript"/>
          <w:lang w:val="en"/>
        </w:rPr>
        <w:t>[57]</w:t>
      </w:r>
      <w:r w:rsidRPr="006A15C2">
        <w:rPr>
          <w:rFonts w:ascii="Book Antiqua" w:hAnsi="Book Antiqua" w:cs="Book Antiqua"/>
          <w:lang w:val="en"/>
        </w:rPr>
        <w:t>.</w:t>
      </w:r>
      <w:r w:rsidR="00485275">
        <w:rPr>
          <w:rFonts w:ascii="Book Antiqua" w:hAnsi="Book Antiqua" w:cs="Book Antiqua"/>
          <w:lang w:val="en"/>
        </w:rPr>
        <w:t xml:space="preserve"> </w:t>
      </w:r>
      <w:r w:rsidRPr="006A15C2">
        <w:rPr>
          <w:rFonts w:ascii="Book Antiqua" w:hAnsi="Book Antiqua" w:cs="Book Antiqua"/>
          <w:lang w:val="en"/>
        </w:rPr>
        <w:t xml:space="preserve">On the other hand, CAAG should be taken in consideration </w:t>
      </w:r>
      <w:r w:rsidR="00D30E16" w:rsidRPr="006A15C2">
        <w:rPr>
          <w:rFonts w:ascii="Book Antiqua" w:hAnsi="Book Antiqua" w:cs="Book Antiqua"/>
          <w:lang w:val="en"/>
        </w:rPr>
        <w:t xml:space="preserve">when </w:t>
      </w:r>
      <w:r w:rsidRPr="006A15C2">
        <w:rPr>
          <w:rFonts w:ascii="Book Antiqua" w:hAnsi="Book Antiqua" w:cs="Book Antiqua"/>
          <w:lang w:val="en"/>
        </w:rPr>
        <w:t xml:space="preserve">evaluating patients with unexplained IDA, after </w:t>
      </w:r>
      <w:r w:rsidR="00D30E16" w:rsidRPr="006A15C2">
        <w:rPr>
          <w:rFonts w:ascii="Book Antiqua" w:hAnsi="Book Antiqua" w:cs="Book Antiqua"/>
          <w:lang w:val="en"/>
        </w:rPr>
        <w:t xml:space="preserve">the </w:t>
      </w:r>
      <w:r w:rsidRPr="006A15C2">
        <w:rPr>
          <w:rFonts w:ascii="Book Antiqua" w:hAnsi="Book Antiqua" w:cs="Book Antiqua"/>
          <w:lang w:val="en"/>
        </w:rPr>
        <w:t xml:space="preserve">proper exclusion of </w:t>
      </w:r>
      <w:r w:rsidR="00D30E16" w:rsidRPr="006A15C2">
        <w:rPr>
          <w:rFonts w:ascii="Book Antiqua" w:hAnsi="Book Antiqua" w:cs="Book Antiqua"/>
          <w:lang w:val="en"/>
        </w:rPr>
        <w:t>any</w:t>
      </w:r>
      <w:r w:rsidRPr="006A15C2">
        <w:rPr>
          <w:rFonts w:ascii="Book Antiqua" w:hAnsi="Book Antiqua" w:cs="Book Antiqua"/>
          <w:lang w:val="en"/>
        </w:rPr>
        <w:t xml:space="preserve"> bleeding lesion</w:t>
      </w:r>
      <w:r w:rsidR="00D30E16" w:rsidRPr="006A15C2">
        <w:rPr>
          <w:rFonts w:ascii="Book Antiqua" w:hAnsi="Book Antiqua" w:cs="Book Antiqua"/>
          <w:lang w:val="en"/>
        </w:rPr>
        <w:t>s</w:t>
      </w:r>
      <w:r w:rsidR="00FA2F0D">
        <w:rPr>
          <w:rFonts w:ascii="Book Antiqua" w:hAnsi="Book Antiqua" w:cs="Book Antiqua"/>
          <w:lang w:val="en"/>
        </w:rPr>
        <w:t>.</w:t>
      </w:r>
    </w:p>
    <w:p w14:paraId="3180F210" w14:textId="0DE32255"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rPr>
      </w:pPr>
      <w:r w:rsidRPr="006A15C2">
        <w:rPr>
          <w:rFonts w:ascii="Book Antiqua" w:hAnsi="Book Antiqua" w:cs="Book Antiqua"/>
          <w:lang w:val="en"/>
        </w:rPr>
        <w:t>Since patients with iron deficient anemia and autoimmune atrophic gastritis</w:t>
      </w:r>
      <w:r w:rsidR="00485275">
        <w:rPr>
          <w:rFonts w:ascii="Book Antiqua" w:hAnsi="Book Antiqua" w:cs="Book Antiqua"/>
          <w:lang w:val="en"/>
        </w:rPr>
        <w:t xml:space="preserve"> </w:t>
      </w:r>
      <w:r w:rsidRPr="006A15C2">
        <w:rPr>
          <w:rFonts w:ascii="Book Antiqua" w:hAnsi="Book Antiqua" w:cs="Book Antiqua"/>
          <w:lang w:val="en"/>
        </w:rPr>
        <w:t xml:space="preserve">may be refractory to oral iron treatment, </w:t>
      </w:r>
      <w:r w:rsidRPr="006A15C2">
        <w:rPr>
          <w:rFonts w:ascii="Book Antiqua" w:hAnsi="Book Antiqua" w:cs="Book Antiqua"/>
          <w:i/>
          <w:iCs/>
          <w:lang w:val="en"/>
        </w:rPr>
        <w:t>H pylori</w:t>
      </w:r>
      <w:r w:rsidRPr="006A15C2">
        <w:rPr>
          <w:rFonts w:ascii="Book Antiqua" w:hAnsi="Book Antiqua" w:cs="Book Antiqua"/>
          <w:lang w:val="en"/>
        </w:rPr>
        <w:t> eradication in combination with continued oral iron therapy have been suggested</w:t>
      </w:r>
      <w:r w:rsidR="00D30E16" w:rsidRPr="006A15C2">
        <w:rPr>
          <w:rFonts w:ascii="Book Antiqua" w:hAnsi="Book Antiqua" w:cs="Book Antiqua"/>
          <w:vertAlign w:val="superscript"/>
          <w:lang w:val="en"/>
        </w:rPr>
        <w:t>[</w:t>
      </w:r>
      <w:r w:rsidR="00FA2F0D">
        <w:rPr>
          <w:rFonts w:ascii="Book Antiqua" w:hAnsi="Book Antiqua" w:cs="Book Antiqua"/>
          <w:vertAlign w:val="superscript"/>
          <w:lang w:val="en"/>
        </w:rPr>
        <w:t>23,24,</w:t>
      </w:r>
      <w:r w:rsidRPr="006A15C2">
        <w:rPr>
          <w:rFonts w:ascii="Book Antiqua" w:hAnsi="Book Antiqua" w:cs="Book Antiqua"/>
          <w:vertAlign w:val="superscript"/>
          <w:lang w:val="en"/>
        </w:rPr>
        <w:t>54-56</w:t>
      </w:r>
      <w:r w:rsidR="00D30E16" w:rsidRPr="006A15C2">
        <w:rPr>
          <w:rFonts w:ascii="Book Antiqua" w:hAnsi="Book Antiqua" w:cs="Book Antiqua"/>
          <w:vertAlign w:val="superscript"/>
          <w:lang w:val="en"/>
        </w:rPr>
        <w:t>]</w:t>
      </w:r>
      <w:r w:rsidRPr="006A15C2">
        <w:rPr>
          <w:rFonts w:ascii="Book Antiqua" w:hAnsi="Book Antiqua" w:cs="Book Antiqua"/>
          <w:lang w:val="en"/>
        </w:rPr>
        <w:t>.</w:t>
      </w:r>
    </w:p>
    <w:p w14:paraId="3AD310A0"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p>
    <w:p w14:paraId="4E31A889" w14:textId="792C1008" w:rsidR="00687605" w:rsidRPr="00FA2F0D" w:rsidRDefault="00687605" w:rsidP="006A15C2">
      <w:pPr>
        <w:widowControl w:val="0"/>
        <w:autoSpaceDE w:val="0"/>
        <w:autoSpaceDN w:val="0"/>
        <w:adjustRightInd w:val="0"/>
        <w:snapToGrid w:val="0"/>
        <w:spacing w:line="360" w:lineRule="auto"/>
        <w:jc w:val="both"/>
        <w:rPr>
          <w:rFonts w:ascii="Book Antiqua" w:hAnsi="Book Antiqua" w:cs="Book Antiqua"/>
          <w:b/>
          <w:i/>
          <w:lang w:val="en" w:eastAsia="zh-CN"/>
        </w:rPr>
      </w:pPr>
      <w:r w:rsidRPr="00FA2F0D">
        <w:rPr>
          <w:rFonts w:ascii="Book Antiqua" w:hAnsi="Book Antiqua" w:cs="Book Antiqua"/>
          <w:b/>
          <w:i/>
          <w:lang w:val="en"/>
        </w:rPr>
        <w:t>V</w:t>
      </w:r>
      <w:r w:rsidR="00FA2F0D" w:rsidRPr="00FA2F0D">
        <w:rPr>
          <w:rFonts w:ascii="Book Antiqua" w:hAnsi="Book Antiqua" w:cs="Book Antiqua"/>
          <w:b/>
          <w:i/>
          <w:lang w:val="en"/>
        </w:rPr>
        <w:t>itamin</w:t>
      </w:r>
      <w:r w:rsidR="00FA2F0D">
        <w:rPr>
          <w:rFonts w:ascii="Book Antiqua" w:hAnsi="Book Antiqua" w:cs="Book Antiqua"/>
          <w:b/>
          <w:i/>
          <w:lang w:val="en"/>
        </w:rPr>
        <w:t xml:space="preserve"> C</w:t>
      </w:r>
    </w:p>
    <w:p w14:paraId="621B6483" w14:textId="352563E5"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lang w:val="en"/>
        </w:rPr>
        <w:t xml:space="preserve">Ascorbic acid, which is important </w:t>
      </w:r>
      <w:r w:rsidR="00AE42F4" w:rsidRPr="006A15C2">
        <w:rPr>
          <w:rFonts w:ascii="Book Antiqua" w:hAnsi="Book Antiqua" w:cs="Book Antiqua"/>
          <w:lang w:val="en"/>
        </w:rPr>
        <w:t>in</w:t>
      </w:r>
      <w:r w:rsidRPr="006A15C2">
        <w:rPr>
          <w:rFonts w:ascii="Book Antiqua" w:hAnsi="Book Antiqua" w:cs="Book Antiqua"/>
          <w:lang w:val="en"/>
        </w:rPr>
        <w:t xml:space="preserve"> the production of key proteins such as collagen, norepinephrine and serotonin, is not synthesized</w:t>
      </w:r>
      <w:r w:rsidR="00AE42F4" w:rsidRPr="006A15C2">
        <w:rPr>
          <w:rFonts w:ascii="Book Antiqua" w:hAnsi="Book Antiqua" w:cs="Book Antiqua"/>
          <w:lang w:val="en"/>
        </w:rPr>
        <w:t xml:space="preserve"> </w:t>
      </w:r>
      <w:r w:rsidRPr="006A15C2">
        <w:rPr>
          <w:rFonts w:ascii="Book Antiqua" w:hAnsi="Book Antiqua" w:cs="Book Antiqua"/>
          <w:i/>
          <w:lang w:val="en"/>
        </w:rPr>
        <w:t>e</w:t>
      </w:r>
      <w:r w:rsidR="00AE42F4" w:rsidRPr="006A15C2">
        <w:rPr>
          <w:rFonts w:ascii="Book Antiqua" w:hAnsi="Book Antiqua" w:cs="Book Antiqua"/>
          <w:i/>
          <w:lang w:val="en"/>
        </w:rPr>
        <w:t>x-</w:t>
      </w:r>
      <w:r w:rsidRPr="006A15C2">
        <w:rPr>
          <w:rFonts w:ascii="Book Antiqua" w:hAnsi="Book Antiqua" w:cs="Book Antiqua"/>
          <w:i/>
          <w:lang w:val="en"/>
        </w:rPr>
        <w:t>novo</w:t>
      </w:r>
      <w:r w:rsidRPr="006A15C2">
        <w:rPr>
          <w:rFonts w:ascii="Book Antiqua" w:hAnsi="Book Antiqua" w:cs="Book Antiqua"/>
          <w:lang w:val="en"/>
        </w:rPr>
        <w:t xml:space="preserve"> by </w:t>
      </w:r>
      <w:r w:rsidR="00AE42F4" w:rsidRPr="006A15C2">
        <w:rPr>
          <w:rFonts w:ascii="Book Antiqua" w:hAnsi="Book Antiqua" w:cs="Book Antiqua"/>
          <w:lang w:val="en"/>
        </w:rPr>
        <w:t xml:space="preserve">the </w:t>
      </w:r>
      <w:r w:rsidRPr="006A15C2">
        <w:rPr>
          <w:rFonts w:ascii="Book Antiqua" w:hAnsi="Book Antiqua" w:cs="Book Antiqua"/>
          <w:lang w:val="en"/>
        </w:rPr>
        <w:t>human</w:t>
      </w:r>
      <w:r w:rsidR="00AE42F4" w:rsidRPr="006A15C2">
        <w:rPr>
          <w:rFonts w:ascii="Book Antiqua" w:hAnsi="Book Antiqua" w:cs="Book Antiqua"/>
          <w:lang w:val="en"/>
        </w:rPr>
        <w:t xml:space="preserve"> body</w:t>
      </w:r>
      <w:r w:rsidRPr="006A15C2">
        <w:rPr>
          <w:rFonts w:ascii="Book Antiqua" w:hAnsi="Book Antiqua" w:cs="Book Antiqua"/>
          <w:lang w:val="en"/>
        </w:rPr>
        <w:t xml:space="preserve">, but </w:t>
      </w:r>
      <w:r w:rsidR="00AE42F4" w:rsidRPr="006A15C2">
        <w:rPr>
          <w:rFonts w:ascii="Book Antiqua" w:hAnsi="Book Antiqua" w:cs="Book Antiqua"/>
          <w:lang w:val="en"/>
        </w:rPr>
        <w:t xml:space="preserve">can </w:t>
      </w:r>
      <w:r w:rsidRPr="006A15C2">
        <w:rPr>
          <w:rFonts w:ascii="Book Antiqua" w:hAnsi="Book Antiqua" w:cs="Book Antiqua"/>
          <w:lang w:val="en"/>
        </w:rPr>
        <w:t xml:space="preserve">only </w:t>
      </w:r>
      <w:r w:rsidR="00AE42F4" w:rsidRPr="006A15C2">
        <w:rPr>
          <w:rFonts w:ascii="Book Antiqua" w:hAnsi="Book Antiqua" w:cs="Book Antiqua"/>
          <w:lang w:val="en"/>
        </w:rPr>
        <w:t xml:space="preserve">be </w:t>
      </w:r>
      <w:r w:rsidRPr="006A15C2">
        <w:rPr>
          <w:rFonts w:ascii="Book Antiqua" w:hAnsi="Book Antiqua" w:cs="Book Antiqua"/>
          <w:lang w:val="en"/>
        </w:rPr>
        <w:t xml:space="preserve">introduced </w:t>
      </w:r>
      <w:r w:rsidR="00AE42F4" w:rsidRPr="006A15C2">
        <w:rPr>
          <w:rFonts w:ascii="Book Antiqua" w:hAnsi="Book Antiqua" w:cs="Book Antiqua"/>
          <w:lang w:val="en"/>
        </w:rPr>
        <w:t xml:space="preserve">through the </w:t>
      </w:r>
      <w:r w:rsidRPr="006A15C2">
        <w:rPr>
          <w:rFonts w:ascii="Book Antiqua" w:hAnsi="Book Antiqua" w:cs="Book Antiqua"/>
          <w:lang w:val="en"/>
        </w:rPr>
        <w:t xml:space="preserve">diet and then absorbed </w:t>
      </w:r>
      <w:r w:rsidR="00AE42F4" w:rsidRPr="006A15C2">
        <w:rPr>
          <w:rFonts w:ascii="Book Antiqua" w:hAnsi="Book Antiqua" w:cs="Book Antiqua"/>
          <w:lang w:val="en"/>
        </w:rPr>
        <w:t xml:space="preserve">in </w:t>
      </w:r>
      <w:r w:rsidRPr="006A15C2">
        <w:rPr>
          <w:rFonts w:ascii="Book Antiqua" w:hAnsi="Book Antiqua" w:cs="Book Antiqua"/>
          <w:lang w:val="en"/>
        </w:rPr>
        <w:t>the stomach and along the entire length of the small intestine</w:t>
      </w:r>
      <w:r w:rsidR="00FA2F0D" w:rsidRPr="006A15C2">
        <w:rPr>
          <w:rFonts w:ascii="Book Antiqua" w:hAnsi="Book Antiqua" w:cs="Book Antiqua"/>
          <w:vertAlign w:val="superscript"/>
          <w:lang w:val="en"/>
        </w:rPr>
        <w:t>[58]</w:t>
      </w:r>
      <w:r w:rsidRPr="006A15C2">
        <w:rPr>
          <w:rFonts w:ascii="Book Antiqua" w:hAnsi="Book Antiqua" w:cs="Book Antiqua"/>
          <w:lang w:val="en"/>
        </w:rPr>
        <w:t>.</w:t>
      </w:r>
    </w:p>
    <w:p w14:paraId="4FEBE023" w14:textId="690144AC"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A14974">
        <w:rPr>
          <w:rFonts w:ascii="Book Antiqua" w:hAnsi="Book Antiqua" w:cs="Book Antiqua"/>
          <w:lang w:val="en"/>
        </w:rPr>
        <w:t xml:space="preserve">Ludden </w:t>
      </w:r>
      <w:r w:rsidRPr="00A14974">
        <w:rPr>
          <w:rFonts w:ascii="Book Antiqua" w:hAnsi="Book Antiqua" w:cs="Book Antiqua"/>
          <w:i/>
          <w:lang w:val="en"/>
        </w:rPr>
        <w:t>et al</w:t>
      </w:r>
      <w:r w:rsidR="00A14974" w:rsidRPr="00A14974">
        <w:rPr>
          <w:rFonts w:ascii="Book Antiqua" w:hAnsi="Book Antiqua" w:cs="Book Antiqua" w:hint="eastAsia"/>
          <w:vertAlign w:val="superscript"/>
          <w:lang w:val="en" w:eastAsia="zh-CN"/>
        </w:rPr>
        <w:t>[11]</w:t>
      </w:r>
      <w:r w:rsidR="00FA2F0D">
        <w:rPr>
          <w:rFonts w:ascii="Book Antiqua" w:hAnsi="Book Antiqua" w:cs="Book Antiqua" w:hint="eastAsia"/>
          <w:lang w:val="en" w:eastAsia="zh-CN"/>
        </w:rPr>
        <w:t xml:space="preserve"> </w:t>
      </w:r>
      <w:r w:rsidRPr="006A15C2">
        <w:rPr>
          <w:rFonts w:ascii="Book Antiqua" w:hAnsi="Book Antiqua" w:cs="Book Antiqua"/>
          <w:lang w:val="en"/>
        </w:rPr>
        <w:t xml:space="preserve">noted that CAAG patients had </w:t>
      </w:r>
      <w:r w:rsidR="00AE42F4" w:rsidRPr="006A15C2">
        <w:rPr>
          <w:rFonts w:ascii="Book Antiqua" w:hAnsi="Book Antiqua" w:cs="Book Antiqua"/>
          <w:lang w:val="en"/>
        </w:rPr>
        <w:t xml:space="preserve">a </w:t>
      </w:r>
      <w:r w:rsidRPr="006A15C2">
        <w:rPr>
          <w:rFonts w:ascii="Book Antiqua" w:hAnsi="Book Antiqua" w:cs="Book Antiqua"/>
          <w:lang w:val="en"/>
        </w:rPr>
        <w:t>diminished absorption of ascorbic acid and suggested th</w:t>
      </w:r>
      <w:r w:rsidR="00AE42F4" w:rsidRPr="006A15C2">
        <w:rPr>
          <w:rFonts w:ascii="Book Antiqua" w:hAnsi="Book Antiqua" w:cs="Book Antiqua"/>
          <w:lang w:val="en"/>
        </w:rPr>
        <w:t>at</w:t>
      </w:r>
      <w:r w:rsidRPr="006A15C2">
        <w:rPr>
          <w:rFonts w:ascii="Book Antiqua" w:hAnsi="Book Antiqua" w:cs="Book Antiqua"/>
          <w:lang w:val="en"/>
        </w:rPr>
        <w:t xml:space="preserve"> was due to </w:t>
      </w:r>
      <w:r w:rsidR="00AE42F4" w:rsidRPr="006A15C2">
        <w:rPr>
          <w:rFonts w:ascii="Book Antiqua" w:hAnsi="Book Antiqua" w:cs="Book Antiqua"/>
          <w:lang w:val="en"/>
        </w:rPr>
        <w:t xml:space="preserve">the </w:t>
      </w:r>
      <w:r w:rsidRPr="006A15C2">
        <w:rPr>
          <w:rFonts w:ascii="Book Antiqua" w:hAnsi="Book Antiqua" w:cs="Book Antiqua"/>
          <w:lang w:val="en"/>
        </w:rPr>
        <w:t xml:space="preserve">destruction of ascorbic acid in </w:t>
      </w:r>
      <w:r w:rsidRPr="006A15C2">
        <w:rPr>
          <w:rFonts w:ascii="Book Antiqua" w:hAnsi="Book Antiqua" w:cs="Book Antiqua"/>
          <w:lang w:val="en"/>
        </w:rPr>
        <w:lastRenderedPageBreak/>
        <w:t xml:space="preserve">the gastric mucosa </w:t>
      </w:r>
      <w:r w:rsidR="00AE42F4" w:rsidRPr="006A15C2">
        <w:rPr>
          <w:rFonts w:ascii="Book Antiqua" w:hAnsi="Book Antiqua" w:cs="Book Antiqua"/>
          <w:lang w:val="en"/>
        </w:rPr>
        <w:t>because of</w:t>
      </w:r>
      <w:r w:rsidRPr="006A15C2">
        <w:rPr>
          <w:rFonts w:ascii="Book Antiqua" w:hAnsi="Book Antiqua" w:cs="Book Antiqua"/>
          <w:lang w:val="en"/>
        </w:rPr>
        <w:t xml:space="preserve"> elevated pH and bacterial overgrowth, as suggested by more recent studies showing destruction of ascorbic acid caused by hypochlorhydria</w:t>
      </w:r>
      <w:r w:rsidR="00AE42F4" w:rsidRPr="006A15C2">
        <w:rPr>
          <w:rFonts w:ascii="Book Antiqua" w:hAnsi="Book Antiqua" w:cs="Book Antiqua"/>
          <w:lang w:val="en"/>
        </w:rPr>
        <w:t xml:space="preserve"> </w:t>
      </w:r>
      <w:r w:rsidRPr="006A15C2">
        <w:rPr>
          <w:rFonts w:ascii="Book Antiqua" w:hAnsi="Book Antiqua" w:cs="Book Antiqua"/>
          <w:lang w:val="en"/>
        </w:rPr>
        <w:t>induced by potent acid suppression</w:t>
      </w:r>
      <w:r w:rsidR="00FA2F0D" w:rsidRPr="006A15C2">
        <w:rPr>
          <w:rFonts w:ascii="Book Antiqua" w:hAnsi="Book Antiqua" w:cs="Book Antiqua"/>
          <w:vertAlign w:val="superscript"/>
          <w:lang w:val="en"/>
        </w:rPr>
        <w:t>[12,59</w:t>
      </w:r>
      <w:r w:rsidR="00A14974" w:rsidRPr="006A15C2">
        <w:rPr>
          <w:rFonts w:ascii="Book Antiqua" w:hAnsi="Book Antiqua" w:cs="Book Antiqua"/>
          <w:vertAlign w:val="superscript"/>
          <w:lang w:val="en"/>
        </w:rPr>
        <w:t>]</w:t>
      </w:r>
      <w:r w:rsidRPr="006A15C2">
        <w:rPr>
          <w:rFonts w:ascii="Book Antiqua" w:hAnsi="Book Antiqua" w:cs="Book Antiqua"/>
          <w:lang w:val="en"/>
        </w:rPr>
        <w:t>.</w:t>
      </w:r>
    </w:p>
    <w:p w14:paraId="270283CC" w14:textId="661F5FE6"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 xml:space="preserve">Alt </w:t>
      </w:r>
      <w:r w:rsidRPr="00FA2F0D">
        <w:rPr>
          <w:rFonts w:ascii="Book Antiqua" w:hAnsi="Book Antiqua" w:cs="Book Antiqua"/>
          <w:i/>
          <w:lang w:val="en"/>
        </w:rPr>
        <w:t>et al</w:t>
      </w:r>
      <w:r w:rsidR="00FA2F0D" w:rsidRPr="006A15C2">
        <w:rPr>
          <w:rFonts w:ascii="Book Antiqua" w:hAnsi="Book Antiqua" w:cs="Book Antiqua"/>
          <w:vertAlign w:val="superscript"/>
          <w:lang w:val="en"/>
        </w:rPr>
        <w:t>[60]</w:t>
      </w:r>
      <w:r w:rsidR="00FA2F0D">
        <w:rPr>
          <w:rFonts w:ascii="Book Antiqua" w:hAnsi="Book Antiqua" w:cs="Book Antiqua" w:hint="eastAsia"/>
          <w:lang w:val="en" w:eastAsia="zh-CN"/>
        </w:rPr>
        <w:t xml:space="preserve"> </w:t>
      </w:r>
      <w:r w:rsidRPr="006A15C2">
        <w:rPr>
          <w:rFonts w:ascii="Book Antiqua" w:hAnsi="Book Antiqua" w:cs="Book Antiqua"/>
          <w:lang w:val="en"/>
        </w:rPr>
        <w:t xml:space="preserve">evaluated the effect of pH on ascorbic acid stability </w:t>
      </w:r>
      <w:r w:rsidRPr="006A15C2">
        <w:rPr>
          <w:rFonts w:ascii="Book Antiqua" w:hAnsi="Book Antiqua" w:cs="Book Antiqua"/>
          <w:i/>
          <w:lang w:val="en"/>
        </w:rPr>
        <w:t>in vitro</w:t>
      </w:r>
      <w:r w:rsidRPr="006A15C2">
        <w:rPr>
          <w:rFonts w:ascii="Book Antiqua" w:hAnsi="Book Antiqua" w:cs="Book Antiqua"/>
          <w:lang w:val="en"/>
        </w:rPr>
        <w:t xml:space="preserve"> and demonstrated </w:t>
      </w:r>
      <w:r w:rsidR="006A0FD6" w:rsidRPr="006A15C2">
        <w:rPr>
          <w:rFonts w:ascii="Book Antiqua" w:hAnsi="Book Antiqua" w:cs="Book Antiqua"/>
          <w:lang w:val="en"/>
        </w:rPr>
        <w:t xml:space="preserve">the </w:t>
      </w:r>
      <w:r w:rsidRPr="006A15C2">
        <w:rPr>
          <w:rFonts w:ascii="Book Antiqua" w:hAnsi="Book Antiqua" w:cs="Book Antiqua"/>
          <w:lang w:val="en"/>
        </w:rPr>
        <w:t xml:space="preserve">destruction of 65% of the ascorbic acid at pH 7.95 </w:t>
      </w:r>
      <w:r w:rsidR="006A0FD6" w:rsidRPr="006A15C2">
        <w:rPr>
          <w:rFonts w:ascii="Book Antiqua" w:hAnsi="Book Antiqua" w:cs="Book Antiqua"/>
          <w:i/>
          <w:lang w:val="en"/>
        </w:rPr>
        <w:t>vs</w:t>
      </w:r>
      <w:r w:rsidR="00FA2F0D">
        <w:rPr>
          <w:rFonts w:ascii="Book Antiqua" w:hAnsi="Book Antiqua" w:cs="Book Antiqua" w:hint="eastAsia"/>
          <w:i/>
          <w:lang w:val="en" w:eastAsia="zh-CN"/>
        </w:rPr>
        <w:t xml:space="preserve"> </w:t>
      </w:r>
      <w:r w:rsidRPr="006A15C2">
        <w:rPr>
          <w:rFonts w:ascii="Book Antiqua" w:hAnsi="Book Antiqua" w:cs="Book Antiqua"/>
          <w:lang w:val="en"/>
        </w:rPr>
        <w:t>only 14% at pH 1.45.</w:t>
      </w:r>
    </w:p>
    <w:p w14:paraId="2686DDDC" w14:textId="282DBD35"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rPr>
      </w:pPr>
      <w:r w:rsidRPr="006A15C2">
        <w:rPr>
          <w:rFonts w:ascii="Book Antiqua" w:hAnsi="Book Antiqua" w:cs="Book Antiqua"/>
          <w:lang w:val="en"/>
        </w:rPr>
        <w:t>Ascorbic acid is an important antioxidant</w:t>
      </w:r>
      <w:r w:rsidR="00E126A6" w:rsidRPr="006A15C2">
        <w:rPr>
          <w:rFonts w:ascii="Book Antiqua" w:hAnsi="Book Antiqua" w:cs="Book Antiqua"/>
          <w:lang w:val="en"/>
        </w:rPr>
        <w:t xml:space="preserve"> that </w:t>
      </w:r>
      <w:r w:rsidRPr="006A15C2">
        <w:rPr>
          <w:rFonts w:ascii="Book Antiqua" w:hAnsi="Book Antiqua" w:cs="Book Antiqua"/>
          <w:lang w:val="en"/>
        </w:rPr>
        <w:t xml:space="preserve">inhibits </w:t>
      </w:r>
      <w:r w:rsidR="00E126A6" w:rsidRPr="006A15C2">
        <w:rPr>
          <w:rFonts w:ascii="Book Antiqua" w:hAnsi="Book Antiqua" w:cs="Book Antiqua"/>
          <w:lang w:val="en"/>
        </w:rPr>
        <w:t xml:space="preserve">the generation of </w:t>
      </w:r>
      <w:r w:rsidRPr="006A15C2">
        <w:rPr>
          <w:rFonts w:ascii="Book Antiqua" w:hAnsi="Book Antiqua" w:cs="Book Antiqua"/>
          <w:lang w:val="en"/>
        </w:rPr>
        <w:t>N-nitroso compounds (NOC)</w:t>
      </w:r>
      <w:r w:rsidR="00E126A6" w:rsidRPr="006A15C2">
        <w:rPr>
          <w:rFonts w:ascii="Book Antiqua" w:hAnsi="Book Antiqua" w:cs="Book Antiqua"/>
          <w:lang w:val="en"/>
        </w:rPr>
        <w:t xml:space="preserve"> and </w:t>
      </w:r>
      <w:r w:rsidRPr="006A15C2">
        <w:rPr>
          <w:rFonts w:ascii="Book Antiqua" w:hAnsi="Book Antiqua" w:cs="Book Antiqua"/>
          <w:lang w:val="en"/>
        </w:rPr>
        <w:t>scavenge</w:t>
      </w:r>
      <w:r w:rsidR="00E126A6" w:rsidRPr="006A15C2">
        <w:rPr>
          <w:rFonts w:ascii="Book Antiqua" w:hAnsi="Book Antiqua" w:cs="Book Antiqua"/>
          <w:lang w:val="en"/>
        </w:rPr>
        <w:t>s</w:t>
      </w:r>
      <w:r w:rsidRPr="006A15C2">
        <w:rPr>
          <w:rFonts w:ascii="Book Antiqua" w:hAnsi="Book Antiqua" w:cs="Book Antiqua"/>
          <w:lang w:val="en"/>
        </w:rPr>
        <w:t xml:space="preserve"> nitrites in </w:t>
      </w:r>
      <w:r w:rsidR="00E126A6" w:rsidRPr="006A15C2">
        <w:rPr>
          <w:rFonts w:ascii="Book Antiqua" w:hAnsi="Book Antiqua" w:cs="Book Antiqua"/>
          <w:lang w:val="en"/>
        </w:rPr>
        <w:t xml:space="preserve">the </w:t>
      </w:r>
      <w:r w:rsidRPr="006A15C2">
        <w:rPr>
          <w:rFonts w:ascii="Book Antiqua" w:hAnsi="Book Antiqua" w:cs="Book Antiqua"/>
          <w:lang w:val="en"/>
        </w:rPr>
        <w:t xml:space="preserve">gastric juice by converting </w:t>
      </w:r>
      <w:r w:rsidR="00E126A6" w:rsidRPr="006A15C2">
        <w:rPr>
          <w:rFonts w:ascii="Book Antiqua" w:hAnsi="Book Antiqua" w:cs="Book Antiqua"/>
          <w:lang w:val="en"/>
        </w:rPr>
        <w:t>them</w:t>
      </w:r>
      <w:r w:rsidRPr="006A15C2">
        <w:rPr>
          <w:rFonts w:ascii="Book Antiqua" w:hAnsi="Book Antiqua" w:cs="Book Antiqua"/>
          <w:lang w:val="en"/>
        </w:rPr>
        <w:t xml:space="preserve"> to nitric oxide</w:t>
      </w:r>
      <w:r w:rsidR="00FA2F0D" w:rsidRPr="006A15C2">
        <w:rPr>
          <w:rFonts w:ascii="Book Antiqua" w:hAnsi="Book Antiqua" w:cs="Book Antiqua"/>
          <w:vertAlign w:val="superscript"/>
          <w:lang w:val="en"/>
        </w:rPr>
        <w:t>[61,62]</w:t>
      </w:r>
      <w:r w:rsidRPr="006A15C2">
        <w:rPr>
          <w:rFonts w:ascii="Book Antiqua" w:hAnsi="Book Antiqua" w:cs="Book Antiqua"/>
          <w:lang w:val="en"/>
        </w:rPr>
        <w:t xml:space="preserve">. The ability of ascorbic acid to scavenge nitrite depends on the ratio of vitamin C/nitrite and gastric pH, </w:t>
      </w:r>
      <w:r w:rsidR="00E126A6" w:rsidRPr="006A15C2">
        <w:rPr>
          <w:rFonts w:ascii="Book Antiqua" w:hAnsi="Book Antiqua" w:cs="Book Antiqua"/>
          <w:lang w:val="en"/>
        </w:rPr>
        <w:t xml:space="preserve">thus </w:t>
      </w:r>
      <w:r w:rsidRPr="006A15C2">
        <w:rPr>
          <w:rFonts w:ascii="Book Antiqua" w:hAnsi="Book Antiqua" w:cs="Book Antiqua"/>
          <w:lang w:val="en"/>
        </w:rPr>
        <w:t xml:space="preserve">increased NOC </w:t>
      </w:r>
      <w:r w:rsidR="00E126A6" w:rsidRPr="006A15C2">
        <w:rPr>
          <w:rFonts w:ascii="Book Antiqua" w:hAnsi="Book Antiqua" w:cs="Book Antiqua"/>
          <w:lang w:val="en"/>
        </w:rPr>
        <w:t>levels are</w:t>
      </w:r>
      <w:r w:rsidRPr="006A15C2">
        <w:rPr>
          <w:rFonts w:ascii="Book Antiqua" w:hAnsi="Book Antiqua" w:cs="Book Antiqua"/>
          <w:lang w:val="en"/>
        </w:rPr>
        <w:t xml:space="preserve"> generated in case of </w:t>
      </w:r>
      <w:r w:rsidR="00E126A6" w:rsidRPr="006A15C2">
        <w:rPr>
          <w:rFonts w:ascii="Book Antiqua" w:hAnsi="Book Antiqua" w:cs="Book Antiqua"/>
          <w:lang w:val="en"/>
        </w:rPr>
        <w:t xml:space="preserve">a </w:t>
      </w:r>
      <w:r w:rsidRPr="006A15C2">
        <w:rPr>
          <w:rFonts w:ascii="Book Antiqua" w:hAnsi="Book Antiqua" w:cs="Book Antiqua"/>
          <w:lang w:val="en"/>
        </w:rPr>
        <w:t>decreased ratio of vitamin C/nitrite and pH &gt;</w:t>
      </w:r>
      <w:r w:rsidR="00FA2F0D">
        <w:rPr>
          <w:rFonts w:ascii="Book Antiqua" w:hAnsi="Book Antiqua" w:cs="Book Antiqua" w:hint="eastAsia"/>
          <w:lang w:val="en" w:eastAsia="zh-CN"/>
        </w:rPr>
        <w:t xml:space="preserve"> </w:t>
      </w:r>
      <w:r w:rsidRPr="006A15C2">
        <w:rPr>
          <w:rFonts w:ascii="Book Antiqua" w:hAnsi="Book Antiqua" w:cs="Book Antiqua"/>
          <w:lang w:val="en"/>
        </w:rPr>
        <w:t>2</w:t>
      </w:r>
      <w:r w:rsidR="00FA2F0D">
        <w:rPr>
          <w:rFonts w:ascii="Book Antiqua" w:hAnsi="Book Antiqua" w:cs="Book Antiqua" w:hint="eastAsia"/>
          <w:lang w:val="en" w:eastAsia="zh-CN"/>
        </w:rPr>
        <w:t>-</w:t>
      </w:r>
      <w:r w:rsidRPr="006A15C2">
        <w:rPr>
          <w:rFonts w:ascii="Book Antiqua" w:hAnsi="Book Antiqua" w:cs="Book Antiqua"/>
          <w:lang w:val="en"/>
        </w:rPr>
        <w:t>4</w:t>
      </w:r>
      <w:r w:rsidR="00FA2F0D" w:rsidRPr="006A15C2">
        <w:rPr>
          <w:rFonts w:ascii="Book Antiqua" w:hAnsi="Book Antiqua" w:cs="Book Antiqua"/>
          <w:vertAlign w:val="superscript"/>
          <w:lang w:val="en"/>
        </w:rPr>
        <w:t>[63]</w:t>
      </w:r>
      <w:r w:rsidRPr="006A15C2">
        <w:rPr>
          <w:rFonts w:ascii="Book Antiqua" w:hAnsi="Book Antiqua" w:cs="Book Antiqua"/>
          <w:lang w:val="en"/>
        </w:rPr>
        <w:t xml:space="preserve">. Finally, since </w:t>
      </w:r>
      <w:r w:rsidR="00E126A6" w:rsidRPr="006A15C2">
        <w:rPr>
          <w:rFonts w:ascii="Book Antiqua" w:hAnsi="Book Antiqua" w:cs="Book Antiqua"/>
          <w:lang w:val="en"/>
        </w:rPr>
        <w:t xml:space="preserve">some </w:t>
      </w:r>
      <w:r w:rsidRPr="006A15C2">
        <w:rPr>
          <w:rFonts w:ascii="Book Antiqua" w:hAnsi="Book Antiqua" w:cs="Book Antiqua"/>
          <w:lang w:val="en"/>
        </w:rPr>
        <w:t xml:space="preserve">population-based epidemiologic studies </w:t>
      </w:r>
      <w:r w:rsidR="00E126A6" w:rsidRPr="006A15C2">
        <w:rPr>
          <w:rFonts w:ascii="Book Antiqua" w:hAnsi="Book Antiqua" w:cs="Book Antiqua"/>
          <w:lang w:val="en"/>
        </w:rPr>
        <w:t xml:space="preserve">have </w:t>
      </w:r>
      <w:r w:rsidRPr="006A15C2">
        <w:rPr>
          <w:rFonts w:ascii="Book Antiqua" w:hAnsi="Book Antiqua" w:cs="Book Antiqua"/>
          <w:lang w:val="en"/>
        </w:rPr>
        <w:t xml:space="preserve">showed negative correlations between </w:t>
      </w:r>
      <w:r w:rsidR="00E126A6" w:rsidRPr="006A15C2">
        <w:rPr>
          <w:rFonts w:ascii="Book Antiqua" w:hAnsi="Book Antiqua" w:cs="Book Antiqua"/>
          <w:lang w:val="en"/>
        </w:rPr>
        <w:t xml:space="preserve">the </w:t>
      </w:r>
      <w:r w:rsidRPr="006A15C2">
        <w:rPr>
          <w:rFonts w:ascii="Book Antiqua" w:hAnsi="Book Antiqua" w:cs="Book Antiqua"/>
          <w:lang w:val="en"/>
        </w:rPr>
        <w:t xml:space="preserve">vitamin C intake and gastric cancer, ascorbic acid is thought to decrease </w:t>
      </w:r>
      <w:r w:rsidR="00E126A6" w:rsidRPr="006A15C2">
        <w:rPr>
          <w:rFonts w:ascii="Book Antiqua" w:hAnsi="Book Antiqua" w:cs="Book Antiqua"/>
          <w:lang w:val="en"/>
        </w:rPr>
        <w:t xml:space="preserve">the </w:t>
      </w:r>
      <w:r w:rsidRPr="006A15C2">
        <w:rPr>
          <w:rFonts w:ascii="Book Antiqua" w:hAnsi="Book Antiqua" w:cs="Book Antiqua"/>
          <w:lang w:val="en"/>
        </w:rPr>
        <w:t xml:space="preserve">oxidative damage to the gastric mucosa by scavenging free radicals and NOCs and attenuating the </w:t>
      </w:r>
      <w:r w:rsidRPr="006A15C2">
        <w:rPr>
          <w:rFonts w:ascii="Book Antiqua" w:hAnsi="Book Antiqua" w:cs="Book Antiqua"/>
          <w:i/>
          <w:lang w:val="en"/>
        </w:rPr>
        <w:t>H. pylori</w:t>
      </w:r>
      <w:r w:rsidR="00E126A6" w:rsidRPr="006A15C2">
        <w:rPr>
          <w:rFonts w:ascii="Book Antiqua" w:hAnsi="Book Antiqua" w:cs="Book Antiqua"/>
          <w:lang w:val="en"/>
        </w:rPr>
        <w:t>-</w:t>
      </w:r>
      <w:r w:rsidRPr="006A15C2">
        <w:rPr>
          <w:rFonts w:ascii="Book Antiqua" w:hAnsi="Book Antiqua" w:cs="Book Antiqua"/>
          <w:lang w:val="en"/>
        </w:rPr>
        <w:t>related inflammation</w:t>
      </w:r>
      <w:r w:rsidR="00FA2F0D" w:rsidRPr="006A15C2">
        <w:rPr>
          <w:rFonts w:ascii="Book Antiqua" w:hAnsi="Book Antiqua" w:cs="Book Antiqua"/>
          <w:vertAlign w:val="superscript"/>
          <w:lang w:val="en"/>
        </w:rPr>
        <w:t>[10]</w:t>
      </w:r>
      <w:r w:rsidRPr="006A15C2">
        <w:rPr>
          <w:rFonts w:ascii="Book Antiqua" w:hAnsi="Book Antiqua" w:cs="Book Antiqua"/>
          <w:lang w:val="en"/>
        </w:rPr>
        <w:t>.</w:t>
      </w:r>
      <w:r w:rsidR="00FA2F0D">
        <w:rPr>
          <w:rFonts w:ascii="Book Antiqua" w:hAnsi="Book Antiqua" w:cs="Book Antiqua" w:hint="eastAsia"/>
          <w:lang w:val="en" w:eastAsia="zh-CN"/>
        </w:rPr>
        <w:t xml:space="preserve"> </w:t>
      </w:r>
      <w:r w:rsidRPr="006A15C2">
        <w:rPr>
          <w:rFonts w:ascii="Book Antiqua" w:hAnsi="Book Antiqua" w:cs="Book Antiqua"/>
          <w:lang w:val="en"/>
        </w:rPr>
        <w:t>This antioxidant role may also reduce the inflammation present in the gastric mucosa of CAAG patients, although further studies are necessary to confirm this hypothesis.</w:t>
      </w:r>
    </w:p>
    <w:p w14:paraId="1EFA15F8" w14:textId="77777777" w:rsidR="00687605" w:rsidRPr="00FA2F0D" w:rsidRDefault="00687605" w:rsidP="006A15C2">
      <w:pPr>
        <w:widowControl w:val="0"/>
        <w:autoSpaceDE w:val="0"/>
        <w:autoSpaceDN w:val="0"/>
        <w:adjustRightInd w:val="0"/>
        <w:snapToGrid w:val="0"/>
        <w:spacing w:line="360" w:lineRule="auto"/>
        <w:jc w:val="both"/>
        <w:rPr>
          <w:rFonts w:ascii="Book Antiqua" w:hAnsi="Book Antiqua" w:cs="Book Antiqua"/>
          <w:lang w:val="en"/>
        </w:rPr>
      </w:pPr>
    </w:p>
    <w:p w14:paraId="7B2984C9" w14:textId="745F2431" w:rsidR="00687605" w:rsidRPr="00FA2F0D" w:rsidRDefault="00687605" w:rsidP="006A15C2">
      <w:pPr>
        <w:widowControl w:val="0"/>
        <w:autoSpaceDE w:val="0"/>
        <w:autoSpaceDN w:val="0"/>
        <w:adjustRightInd w:val="0"/>
        <w:snapToGrid w:val="0"/>
        <w:spacing w:line="360" w:lineRule="auto"/>
        <w:jc w:val="both"/>
        <w:rPr>
          <w:rFonts w:ascii="Book Antiqua" w:hAnsi="Book Antiqua" w:cs="Book Antiqua"/>
          <w:b/>
          <w:i/>
          <w:lang w:val="en" w:eastAsia="zh-CN"/>
        </w:rPr>
      </w:pPr>
      <w:r w:rsidRPr="00FA2F0D">
        <w:rPr>
          <w:rFonts w:ascii="Book Antiqua" w:hAnsi="Book Antiqua" w:cs="Book Antiqua"/>
          <w:b/>
          <w:i/>
          <w:lang w:val="en"/>
        </w:rPr>
        <w:t>C</w:t>
      </w:r>
      <w:r w:rsidR="00FA2F0D">
        <w:rPr>
          <w:rFonts w:ascii="Book Antiqua" w:hAnsi="Book Antiqua" w:cs="Book Antiqua"/>
          <w:b/>
          <w:i/>
          <w:lang w:val="en"/>
        </w:rPr>
        <w:t>alcium</w:t>
      </w:r>
    </w:p>
    <w:p w14:paraId="02D80DFB" w14:textId="396940B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lang w:val="en"/>
        </w:rPr>
        <w:t>Calcium is absorbed as calcium ion (Ca</w:t>
      </w:r>
      <w:r w:rsidRPr="00FA2F0D">
        <w:rPr>
          <w:rFonts w:ascii="Book Antiqua" w:hAnsi="Book Antiqua" w:cs="Book Antiqua"/>
          <w:vertAlign w:val="superscript"/>
          <w:lang w:val="en"/>
        </w:rPr>
        <w:t>2+</w:t>
      </w:r>
      <w:r w:rsidRPr="006A15C2">
        <w:rPr>
          <w:rFonts w:ascii="Book Antiqua" w:hAnsi="Book Antiqua" w:cs="Book Antiqua"/>
          <w:lang w:val="en"/>
        </w:rPr>
        <w:t>) in the proximal small intestine in both active and passive way. The absorpti</w:t>
      </w:r>
      <w:r w:rsidR="00B27BC7" w:rsidRPr="006A15C2">
        <w:rPr>
          <w:rFonts w:ascii="Book Antiqua" w:hAnsi="Book Antiqua" w:cs="Book Antiqua"/>
          <w:lang w:val="en"/>
        </w:rPr>
        <w:t xml:space="preserve">on </w:t>
      </w:r>
      <w:r w:rsidRPr="006A15C2">
        <w:rPr>
          <w:rFonts w:ascii="Book Antiqua" w:hAnsi="Book Antiqua" w:cs="Book Antiqua"/>
          <w:lang w:val="en"/>
        </w:rPr>
        <w:t>process begins in the stomach with the dissolution of calcium salts (</w:t>
      </w:r>
      <w:r w:rsidRPr="006A15C2">
        <w:rPr>
          <w:rFonts w:ascii="Book Antiqua" w:hAnsi="Book Antiqua" w:cs="Book Antiqua"/>
          <w:i/>
          <w:lang w:val="en"/>
        </w:rPr>
        <w:t>e.g.</w:t>
      </w:r>
      <w:r w:rsidR="00BB240F">
        <w:rPr>
          <w:rFonts w:ascii="Book Antiqua" w:hAnsi="Book Antiqua" w:cs="Book Antiqua" w:hint="eastAsia"/>
          <w:i/>
          <w:lang w:val="en" w:eastAsia="zh-CN"/>
        </w:rPr>
        <w:t>,</w:t>
      </w:r>
      <w:r w:rsidRPr="006A15C2">
        <w:rPr>
          <w:rFonts w:ascii="Book Antiqua" w:hAnsi="Book Antiqua" w:cs="Book Antiqua"/>
          <w:lang w:val="en"/>
        </w:rPr>
        <w:t xml:space="preserve"> calcium carbonate) to calcium chloride (CaCl</w:t>
      </w:r>
      <w:r w:rsidRPr="00FA2F0D">
        <w:rPr>
          <w:rFonts w:ascii="Book Antiqua" w:hAnsi="Book Antiqua" w:cs="Book Antiqua"/>
          <w:vertAlign w:val="subscript"/>
          <w:lang w:val="en"/>
        </w:rPr>
        <w:t>2</w:t>
      </w:r>
      <w:r w:rsidRPr="006A15C2">
        <w:rPr>
          <w:rFonts w:ascii="Book Antiqua" w:hAnsi="Book Antiqua" w:cs="Book Antiqua"/>
          <w:lang w:val="en"/>
        </w:rPr>
        <w:t xml:space="preserve">) which easily dissociates to </w:t>
      </w:r>
      <w:r w:rsidR="00FA2F0D" w:rsidRPr="006A15C2">
        <w:rPr>
          <w:rFonts w:ascii="Book Antiqua" w:hAnsi="Book Antiqua" w:cs="Book Antiqua"/>
          <w:lang w:val="en"/>
        </w:rPr>
        <w:t>Ca</w:t>
      </w:r>
      <w:r w:rsidR="00FA2F0D" w:rsidRPr="00FA2F0D">
        <w:rPr>
          <w:rFonts w:ascii="Book Antiqua" w:hAnsi="Book Antiqua" w:cs="Book Antiqua"/>
          <w:vertAlign w:val="superscript"/>
          <w:lang w:val="en"/>
        </w:rPr>
        <w:t>2+</w:t>
      </w:r>
      <w:r w:rsidR="00FA2F0D">
        <w:rPr>
          <w:rFonts w:ascii="Book Antiqua" w:hAnsi="Book Antiqua" w:cs="Book Antiqua" w:hint="eastAsia"/>
          <w:lang w:val="en" w:eastAsia="zh-CN"/>
        </w:rPr>
        <w:t xml:space="preserve"> </w:t>
      </w:r>
      <w:r w:rsidRPr="006A15C2">
        <w:rPr>
          <w:rFonts w:ascii="Book Antiqua" w:hAnsi="Book Antiqua" w:cs="Book Antiqua"/>
          <w:lang w:val="en"/>
        </w:rPr>
        <w:t>which are highly water-soluble</w:t>
      </w:r>
      <w:r w:rsidR="00FA2F0D" w:rsidRPr="006A15C2">
        <w:rPr>
          <w:rFonts w:ascii="Book Antiqua" w:hAnsi="Book Antiqua" w:cs="Book Antiqua"/>
          <w:vertAlign w:val="superscript"/>
          <w:lang w:val="en"/>
        </w:rPr>
        <w:t>[64]</w:t>
      </w:r>
      <w:r w:rsidRPr="006A15C2">
        <w:rPr>
          <w:rFonts w:ascii="Book Antiqua" w:hAnsi="Book Antiqua" w:cs="Book Antiqua"/>
          <w:lang w:val="en"/>
        </w:rPr>
        <w:t>.</w:t>
      </w:r>
      <w:r w:rsidR="00485275">
        <w:rPr>
          <w:rFonts w:ascii="Book Antiqua" w:hAnsi="Book Antiqua" w:cs="Book Antiqua"/>
          <w:lang w:val="en"/>
        </w:rPr>
        <w:t xml:space="preserve"> </w:t>
      </w:r>
      <w:r w:rsidRPr="006A15C2">
        <w:rPr>
          <w:rFonts w:ascii="Book Antiqua" w:hAnsi="Book Antiqua" w:cs="Book Antiqua"/>
          <w:lang w:val="en"/>
        </w:rPr>
        <w:t>The bio</w:t>
      </w:r>
      <w:r w:rsidR="00B27BC7" w:rsidRPr="006A15C2">
        <w:rPr>
          <w:rFonts w:ascii="Book Antiqua" w:hAnsi="Book Antiqua" w:cs="Book Antiqua"/>
          <w:lang w:val="en"/>
        </w:rPr>
        <w:t>-</w:t>
      </w:r>
      <w:r w:rsidRPr="006A15C2">
        <w:rPr>
          <w:rFonts w:ascii="Book Antiqua" w:hAnsi="Book Antiqua" w:cs="Book Antiqua"/>
          <w:lang w:val="en"/>
        </w:rPr>
        <w:t>availability of dietary calcium salts depends on several factors, including the gastric acid secretion, physiological function of the stomach and intestine, levels of vitamin D in the tissues and circulation and the chemical structure and quantity of the calcium compounds ingested</w:t>
      </w:r>
      <w:r w:rsidR="00FA2F0D" w:rsidRPr="006A15C2">
        <w:rPr>
          <w:rFonts w:ascii="Book Antiqua" w:hAnsi="Book Antiqua" w:cs="Book Antiqua"/>
          <w:vertAlign w:val="superscript"/>
          <w:lang w:val="en"/>
        </w:rPr>
        <w:t>[65</w:t>
      </w:r>
      <w:r w:rsidR="00A14974">
        <w:rPr>
          <w:rFonts w:ascii="Cambria Math" w:hAnsi="Cambria Math" w:cs="Cambria Math" w:hint="eastAsia"/>
          <w:vertAlign w:val="superscript"/>
          <w:lang w:val="en" w:eastAsia="zh-CN"/>
        </w:rPr>
        <w:t>-</w:t>
      </w:r>
      <w:r w:rsidR="00FA2F0D" w:rsidRPr="006A15C2">
        <w:rPr>
          <w:rFonts w:ascii="Book Antiqua" w:hAnsi="Book Antiqua" w:cs="Book Antiqua"/>
          <w:vertAlign w:val="superscript"/>
          <w:lang w:val="en"/>
        </w:rPr>
        <w:t>67]</w:t>
      </w:r>
      <w:r w:rsidRPr="006A15C2">
        <w:rPr>
          <w:rFonts w:ascii="Book Antiqua" w:hAnsi="Book Antiqua" w:cs="Book Antiqua"/>
          <w:lang w:val="en"/>
        </w:rPr>
        <w:t>.</w:t>
      </w:r>
    </w:p>
    <w:p w14:paraId="359D0C82" w14:textId="315F4C0C"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 xml:space="preserve">Stomach acid plays an important role as it increases </w:t>
      </w:r>
      <w:r w:rsidR="001F486D" w:rsidRPr="006A15C2">
        <w:rPr>
          <w:rFonts w:ascii="Book Antiqua" w:hAnsi="Book Antiqua" w:cs="Book Antiqua"/>
          <w:lang w:val="en"/>
        </w:rPr>
        <w:t xml:space="preserve">the </w:t>
      </w:r>
      <w:r w:rsidRPr="006A15C2">
        <w:rPr>
          <w:rFonts w:ascii="Book Antiqua" w:hAnsi="Book Antiqua" w:cs="Book Antiqua"/>
          <w:lang w:val="en"/>
        </w:rPr>
        <w:t xml:space="preserve">dissolution and ionization of poorly soluble calcium. It has been reported that conditions causing </w:t>
      </w:r>
      <w:r w:rsidRPr="006A15C2">
        <w:rPr>
          <w:rFonts w:ascii="Book Antiqua" w:hAnsi="Book Antiqua" w:cs="Book Antiqua"/>
          <w:lang w:val="en"/>
        </w:rPr>
        <w:lastRenderedPageBreak/>
        <w:t>a decrease in gastric acid secretion, such as gastric surgery, use of PPIs and CAAG</w:t>
      </w:r>
      <w:r w:rsidR="00D1659A" w:rsidRPr="006A15C2">
        <w:rPr>
          <w:rFonts w:ascii="Book Antiqua" w:hAnsi="Book Antiqua" w:cs="Book Antiqua"/>
          <w:lang w:val="en"/>
        </w:rPr>
        <w:t>,</w:t>
      </w:r>
      <w:r w:rsidRPr="006A15C2">
        <w:rPr>
          <w:rFonts w:ascii="Book Antiqua" w:hAnsi="Book Antiqua" w:cs="Book Antiqua"/>
          <w:lang w:val="en"/>
        </w:rPr>
        <w:t xml:space="preserve"> lead to a reduction in </w:t>
      </w:r>
      <w:r w:rsidR="00D1659A" w:rsidRPr="006A15C2">
        <w:rPr>
          <w:rFonts w:ascii="Book Antiqua" w:hAnsi="Book Antiqua" w:cs="Book Antiqua"/>
          <w:lang w:val="en"/>
        </w:rPr>
        <w:t xml:space="preserve">the </w:t>
      </w:r>
      <w:r w:rsidRPr="006A15C2">
        <w:rPr>
          <w:rFonts w:ascii="Book Antiqua" w:hAnsi="Book Antiqua" w:cs="Book Antiqua"/>
          <w:lang w:val="en"/>
        </w:rPr>
        <w:t>dissolution of calcium salts</w:t>
      </w:r>
      <w:r w:rsidR="00D1659A" w:rsidRPr="006A15C2">
        <w:rPr>
          <w:rFonts w:ascii="Book Antiqua" w:hAnsi="Book Antiqua" w:cs="Book Antiqua"/>
          <w:lang w:val="en"/>
        </w:rPr>
        <w:t>,</w:t>
      </w:r>
      <w:r w:rsidRPr="006A15C2">
        <w:rPr>
          <w:rFonts w:ascii="Book Antiqua" w:hAnsi="Book Antiqua" w:cs="Book Antiqua"/>
          <w:lang w:val="en"/>
        </w:rPr>
        <w:t xml:space="preserve"> which may not be properly absorbed</w:t>
      </w:r>
      <w:r w:rsidR="00FA2F0D" w:rsidRPr="006A15C2">
        <w:rPr>
          <w:rFonts w:ascii="Book Antiqua" w:hAnsi="Book Antiqua" w:cs="Book Antiqua"/>
          <w:vertAlign w:val="superscript"/>
          <w:lang w:val="en"/>
        </w:rPr>
        <w:t>[66]</w:t>
      </w:r>
      <w:r w:rsidRPr="006A15C2">
        <w:rPr>
          <w:rFonts w:ascii="Book Antiqua" w:hAnsi="Book Antiqua" w:cs="Book Antiqua"/>
          <w:lang w:val="en"/>
        </w:rPr>
        <w:t>.</w:t>
      </w:r>
    </w:p>
    <w:p w14:paraId="64F5A527" w14:textId="09A26C5B"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 xml:space="preserve">There have been </w:t>
      </w:r>
      <w:r w:rsidR="00262936" w:rsidRPr="006A15C2">
        <w:rPr>
          <w:rFonts w:ascii="Book Antiqua" w:hAnsi="Book Antiqua" w:cs="Book Antiqua"/>
          <w:lang w:val="en"/>
        </w:rPr>
        <w:t xml:space="preserve">a </w:t>
      </w:r>
      <w:r w:rsidRPr="006A15C2">
        <w:rPr>
          <w:rFonts w:ascii="Book Antiqua" w:hAnsi="Book Antiqua" w:cs="Book Antiqua"/>
          <w:lang w:val="en"/>
        </w:rPr>
        <w:t>few reports since the 1960s emphasizing the risk of malabsorption of calcium in patients with achlorhydria and atrophic stomach mucosa</w:t>
      </w:r>
      <w:r w:rsidR="00FA2F0D" w:rsidRPr="006A15C2">
        <w:rPr>
          <w:rFonts w:ascii="Book Antiqua" w:hAnsi="Book Antiqua" w:cs="Book Antiqua"/>
          <w:vertAlign w:val="superscript"/>
          <w:lang w:val="en"/>
        </w:rPr>
        <w:t>[66,68]</w:t>
      </w:r>
      <w:r w:rsidRPr="006A15C2">
        <w:rPr>
          <w:rFonts w:ascii="Book Antiqua" w:hAnsi="Book Antiqua" w:cs="Book Antiqua"/>
          <w:lang w:val="en"/>
        </w:rPr>
        <w:t>.</w:t>
      </w:r>
      <w:r w:rsidR="00FA2F0D">
        <w:rPr>
          <w:rFonts w:ascii="Book Antiqua" w:hAnsi="Book Antiqua" w:cs="Book Antiqua" w:hint="eastAsia"/>
          <w:lang w:val="en" w:eastAsia="zh-CN"/>
        </w:rPr>
        <w:t xml:space="preserve"> </w:t>
      </w:r>
      <w:r w:rsidR="0059256D" w:rsidRPr="006A15C2">
        <w:rPr>
          <w:rFonts w:ascii="Book Antiqua" w:hAnsi="Book Antiqua" w:cs="Book Antiqua"/>
          <w:lang w:val="en"/>
        </w:rPr>
        <w:t xml:space="preserve">In 1985 </w:t>
      </w:r>
      <w:r w:rsidRPr="006A15C2">
        <w:rPr>
          <w:rFonts w:ascii="Book Antiqua" w:hAnsi="Book Antiqua" w:cs="Book Antiqua"/>
          <w:lang w:val="en"/>
        </w:rPr>
        <w:t xml:space="preserve">Recker </w:t>
      </w:r>
      <w:r w:rsidRPr="00FA2F0D">
        <w:rPr>
          <w:rFonts w:ascii="Book Antiqua" w:hAnsi="Book Antiqua" w:cs="Book Antiqua"/>
          <w:i/>
          <w:lang w:val="en"/>
        </w:rPr>
        <w:t>et al</w:t>
      </w:r>
      <w:r w:rsidRPr="006A15C2">
        <w:rPr>
          <w:rFonts w:ascii="Book Antiqua" w:hAnsi="Book Antiqua" w:cs="Book Antiqua"/>
          <w:vertAlign w:val="superscript"/>
          <w:lang w:val="en"/>
        </w:rPr>
        <w:t>[66]</w:t>
      </w:r>
      <w:r w:rsidRPr="006A15C2">
        <w:rPr>
          <w:rFonts w:ascii="Book Antiqua" w:hAnsi="Book Antiqua" w:cs="Book Antiqua"/>
          <w:lang w:val="en"/>
        </w:rPr>
        <w:t xml:space="preserve"> compared the absorption of calcium carbonate and calcium citrate, measured by a modified double-isotope procedure, in normal subjects and patients with achlorhydria. The study showed that the absorption of calcium carbonate in patients with achlorhydria was significantly lower than in the normal subjects, supporting the role of gastric acid in calcium homeostasis. Calcium malabsorption has been demonstrated in animal models with gastric acid suppression</w:t>
      </w:r>
      <w:r w:rsidR="00FA2F0D" w:rsidRPr="006A15C2">
        <w:rPr>
          <w:rFonts w:ascii="Book Antiqua" w:hAnsi="Book Antiqua" w:cs="Book Antiqua"/>
          <w:vertAlign w:val="superscript"/>
          <w:lang w:val="en"/>
        </w:rPr>
        <w:t>[69,70]</w:t>
      </w:r>
      <w:r w:rsidRPr="006A15C2">
        <w:rPr>
          <w:rFonts w:ascii="Book Antiqua" w:hAnsi="Book Antiqua" w:cs="Book Antiqua"/>
          <w:lang w:val="en"/>
        </w:rPr>
        <w:t xml:space="preserve">, as well as in humans with achlorhydria under fasting conditions. However, the degree of calcium malabsorption in patients with CAAG remains controversial, </w:t>
      </w:r>
      <w:r w:rsidR="00C25FB8" w:rsidRPr="006A15C2">
        <w:rPr>
          <w:rFonts w:ascii="Book Antiqua" w:hAnsi="Book Antiqua" w:cs="Book Antiqua"/>
          <w:lang w:val="en"/>
        </w:rPr>
        <w:t xml:space="preserve">as </w:t>
      </w:r>
      <w:r w:rsidRPr="006A15C2">
        <w:rPr>
          <w:rFonts w:ascii="Book Antiqua" w:hAnsi="Book Antiqua" w:cs="Book Antiqua"/>
          <w:lang w:val="en"/>
        </w:rPr>
        <w:t xml:space="preserve">Eastell </w:t>
      </w:r>
      <w:r w:rsidRPr="00FA2F0D">
        <w:rPr>
          <w:rFonts w:ascii="Book Antiqua" w:hAnsi="Book Antiqua" w:cs="Book Antiqua"/>
          <w:i/>
          <w:lang w:val="en"/>
        </w:rPr>
        <w:t>et al</w:t>
      </w:r>
      <w:r w:rsidRPr="006A15C2">
        <w:rPr>
          <w:rFonts w:ascii="Book Antiqua" w:hAnsi="Book Antiqua" w:cs="Book Antiqua"/>
          <w:vertAlign w:val="superscript"/>
          <w:lang w:val="en"/>
        </w:rPr>
        <w:t>[71]</w:t>
      </w:r>
      <w:r w:rsidRPr="006A15C2">
        <w:rPr>
          <w:rFonts w:ascii="Book Antiqua" w:hAnsi="Book Antiqua" w:cs="Book Antiqua"/>
          <w:lang w:val="en"/>
        </w:rPr>
        <w:t xml:space="preserve"> </w:t>
      </w:r>
      <w:r w:rsidR="00C25FB8" w:rsidRPr="006A15C2">
        <w:rPr>
          <w:rFonts w:ascii="Book Antiqua" w:hAnsi="Book Antiqua" w:cs="Book Antiqua"/>
          <w:lang w:val="en"/>
        </w:rPr>
        <w:t xml:space="preserve">have </w:t>
      </w:r>
      <w:r w:rsidRPr="006A15C2">
        <w:rPr>
          <w:rFonts w:ascii="Book Antiqua" w:hAnsi="Book Antiqua" w:cs="Book Antiqua"/>
          <w:lang w:val="en"/>
        </w:rPr>
        <w:t>found normal calcium absorption with meals in patients with pern</w:t>
      </w:r>
      <w:r w:rsidR="00FA2F0D">
        <w:rPr>
          <w:rFonts w:ascii="Book Antiqua" w:hAnsi="Book Antiqua" w:cs="Book Antiqua"/>
          <w:lang w:val="en"/>
        </w:rPr>
        <w:t>icious anemia and achlorhydria.</w:t>
      </w:r>
    </w:p>
    <w:p w14:paraId="3ECDB66A" w14:textId="27599BCC"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vertAlign w:val="superscript"/>
          <w:lang w:val="en" w:eastAsia="zh-CN"/>
        </w:rPr>
      </w:pPr>
      <w:r w:rsidRPr="006A15C2">
        <w:rPr>
          <w:rFonts w:ascii="Book Antiqua" w:hAnsi="Book Antiqua" w:cs="Book Antiqua"/>
          <w:lang w:val="en"/>
        </w:rPr>
        <w:t xml:space="preserve">Interestingly, </w:t>
      </w:r>
      <w:r w:rsidR="00C25FB8" w:rsidRPr="006A15C2">
        <w:rPr>
          <w:rFonts w:ascii="Book Antiqua" w:hAnsi="Book Antiqua" w:cs="Book Antiqua"/>
          <w:lang w:val="en"/>
        </w:rPr>
        <w:t xml:space="preserve">a </w:t>
      </w:r>
      <w:r w:rsidRPr="006A15C2">
        <w:rPr>
          <w:rFonts w:ascii="Book Antiqua" w:hAnsi="Book Antiqua" w:cs="Book Antiqua"/>
          <w:lang w:val="en"/>
        </w:rPr>
        <w:t xml:space="preserve">few studies </w:t>
      </w:r>
      <w:r w:rsidR="00C25FB8" w:rsidRPr="006A15C2">
        <w:rPr>
          <w:rFonts w:ascii="Book Antiqua" w:hAnsi="Book Antiqua" w:cs="Book Antiqua"/>
          <w:lang w:val="en"/>
        </w:rPr>
        <w:t xml:space="preserve">have </w:t>
      </w:r>
      <w:r w:rsidRPr="006A15C2">
        <w:rPr>
          <w:rFonts w:ascii="Book Antiqua" w:hAnsi="Book Antiqua" w:cs="Book Antiqua"/>
          <w:lang w:val="en"/>
        </w:rPr>
        <w:t xml:space="preserve">reported </w:t>
      </w:r>
      <w:r w:rsidR="00C25FB8" w:rsidRPr="006A15C2">
        <w:rPr>
          <w:rFonts w:ascii="Book Antiqua" w:hAnsi="Book Antiqua" w:cs="Book Antiqua"/>
          <w:lang w:val="en"/>
        </w:rPr>
        <w:t>the</w:t>
      </w:r>
      <w:r w:rsidRPr="006A15C2">
        <w:rPr>
          <w:rFonts w:ascii="Book Antiqua" w:hAnsi="Book Antiqua" w:cs="Book Antiqua"/>
          <w:lang w:val="en"/>
        </w:rPr>
        <w:t xml:space="preserve"> possible association between pernicious anemia and/or CAAG, and osteopenia and osteoporosis</w:t>
      </w:r>
      <w:r w:rsidR="00FA2F0D" w:rsidRPr="006A15C2">
        <w:rPr>
          <w:rFonts w:ascii="Book Antiqua" w:hAnsi="Book Antiqua" w:cs="Book Antiqua"/>
          <w:vertAlign w:val="superscript"/>
          <w:lang w:val="en"/>
        </w:rPr>
        <w:t>[71,72]</w:t>
      </w:r>
      <w:r w:rsidRPr="006A15C2">
        <w:rPr>
          <w:rFonts w:ascii="Book Antiqua" w:hAnsi="Book Antiqua" w:cs="Book Antiqua"/>
          <w:lang w:val="en"/>
        </w:rPr>
        <w:t xml:space="preserve">. The study </w:t>
      </w:r>
      <w:r w:rsidR="00C25FB8" w:rsidRPr="006A15C2">
        <w:rPr>
          <w:rFonts w:ascii="Book Antiqua" w:hAnsi="Book Antiqua" w:cs="Book Antiqua"/>
          <w:lang w:val="en"/>
        </w:rPr>
        <w:t xml:space="preserve">by </w:t>
      </w:r>
      <w:r w:rsidRPr="006A15C2">
        <w:rPr>
          <w:rFonts w:ascii="Book Antiqua" w:hAnsi="Book Antiqua" w:cs="Book Antiqua"/>
          <w:lang w:val="en"/>
        </w:rPr>
        <w:t xml:space="preserve">Eastell </w:t>
      </w:r>
      <w:r w:rsidRPr="00FA2F0D">
        <w:rPr>
          <w:rFonts w:ascii="Book Antiqua" w:hAnsi="Book Antiqua" w:cs="Book Antiqua"/>
          <w:i/>
          <w:lang w:val="en"/>
        </w:rPr>
        <w:t>et al</w:t>
      </w:r>
      <w:r w:rsidRPr="00FA2F0D">
        <w:rPr>
          <w:rFonts w:ascii="Book Antiqua" w:hAnsi="Book Antiqua" w:cs="Book Antiqua"/>
          <w:vertAlign w:val="superscript"/>
          <w:lang w:val="en"/>
        </w:rPr>
        <w:t>[</w:t>
      </w:r>
      <w:r w:rsidRPr="006A15C2">
        <w:rPr>
          <w:rFonts w:ascii="Book Antiqua" w:hAnsi="Book Antiqua" w:cs="Book Antiqua"/>
          <w:vertAlign w:val="superscript"/>
          <w:lang w:val="en"/>
        </w:rPr>
        <w:t>71]</w:t>
      </w:r>
      <w:r w:rsidRPr="006A15C2">
        <w:rPr>
          <w:rFonts w:ascii="Book Antiqua" w:hAnsi="Book Antiqua" w:cs="Book Antiqua"/>
          <w:lang w:val="en"/>
        </w:rPr>
        <w:t xml:space="preserve"> </w:t>
      </w:r>
      <w:r w:rsidR="00C25FB8" w:rsidRPr="006A15C2">
        <w:rPr>
          <w:rFonts w:ascii="Book Antiqua" w:hAnsi="Book Antiqua" w:cs="Book Antiqua"/>
          <w:lang w:val="en"/>
        </w:rPr>
        <w:t xml:space="preserve">has </w:t>
      </w:r>
      <w:r w:rsidRPr="006A15C2">
        <w:rPr>
          <w:rFonts w:ascii="Book Antiqua" w:hAnsi="Book Antiqua" w:cs="Book Antiqua"/>
          <w:lang w:val="en"/>
        </w:rPr>
        <w:t>reported a significant lower bone mineral density in post</w:t>
      </w:r>
      <w:r w:rsidR="00C25FB8" w:rsidRPr="006A15C2">
        <w:rPr>
          <w:rFonts w:ascii="Book Antiqua" w:hAnsi="Book Antiqua" w:cs="Book Antiqua"/>
          <w:lang w:val="en"/>
        </w:rPr>
        <w:t>-</w:t>
      </w:r>
      <w:r w:rsidRPr="006A15C2">
        <w:rPr>
          <w:rFonts w:ascii="Book Antiqua" w:hAnsi="Book Antiqua" w:cs="Book Antiqua"/>
          <w:lang w:val="en"/>
        </w:rPr>
        <w:t xml:space="preserve">menopausal women affected by pernicious anemia as compared </w:t>
      </w:r>
      <w:r w:rsidR="00C25FB8" w:rsidRPr="006A15C2">
        <w:rPr>
          <w:rFonts w:ascii="Book Antiqua" w:hAnsi="Book Antiqua" w:cs="Book Antiqua"/>
          <w:lang w:val="en"/>
        </w:rPr>
        <w:t xml:space="preserve">to </w:t>
      </w:r>
      <w:r w:rsidRPr="006A15C2">
        <w:rPr>
          <w:rFonts w:ascii="Book Antiqua" w:hAnsi="Book Antiqua" w:cs="Book Antiqua"/>
          <w:lang w:val="en"/>
        </w:rPr>
        <w:t xml:space="preserve">healthy controls. In the same study the </w:t>
      </w:r>
      <w:r w:rsidR="00C25FB8" w:rsidRPr="006A15C2">
        <w:rPr>
          <w:rFonts w:ascii="Book Antiqua" w:hAnsi="Book Antiqua" w:cs="Book Antiqua"/>
          <w:lang w:val="en"/>
        </w:rPr>
        <w:t>a</w:t>
      </w:r>
      <w:r w:rsidRPr="006A15C2">
        <w:rPr>
          <w:rFonts w:ascii="Book Antiqua" w:hAnsi="Book Antiqua" w:cs="Book Antiqua"/>
          <w:lang w:val="en"/>
        </w:rPr>
        <w:t xml:space="preserve">uthors showed that the decrease in bone mineral density was linearly related to a decline in serum levels of pepsinogen I, </w:t>
      </w:r>
      <w:r w:rsidR="00C25FB8" w:rsidRPr="006A15C2">
        <w:rPr>
          <w:rFonts w:ascii="Book Antiqua" w:hAnsi="Book Antiqua" w:cs="Book Antiqua"/>
          <w:lang w:val="en"/>
        </w:rPr>
        <w:t xml:space="preserve">which is </w:t>
      </w:r>
      <w:r w:rsidRPr="006A15C2">
        <w:rPr>
          <w:rFonts w:ascii="Book Antiqua" w:hAnsi="Book Antiqua" w:cs="Book Antiqua"/>
          <w:lang w:val="en"/>
        </w:rPr>
        <w:t>a serum biomarker of the structure and function of the gastric oxyntic mucosa</w:t>
      </w:r>
      <w:r w:rsidR="00667219" w:rsidRPr="006A15C2">
        <w:rPr>
          <w:rFonts w:ascii="Book Antiqua" w:hAnsi="Book Antiqua" w:cs="Book Antiqua"/>
          <w:lang w:val="en"/>
        </w:rPr>
        <w:t>. I</w:t>
      </w:r>
      <w:r w:rsidR="00C25FB8" w:rsidRPr="006A15C2">
        <w:rPr>
          <w:rFonts w:ascii="Book Antiqua" w:hAnsi="Book Antiqua" w:cs="Book Antiqua"/>
          <w:lang w:val="en"/>
        </w:rPr>
        <w:t xml:space="preserve">ts levels </w:t>
      </w:r>
      <w:r w:rsidRPr="006A15C2">
        <w:rPr>
          <w:rFonts w:ascii="Book Antiqua" w:hAnsi="Book Antiqua" w:cs="Book Antiqua"/>
          <w:lang w:val="en"/>
        </w:rPr>
        <w:t xml:space="preserve">tend to decrease with </w:t>
      </w:r>
      <w:r w:rsidR="00C25FB8" w:rsidRPr="006A15C2">
        <w:rPr>
          <w:rFonts w:ascii="Book Antiqua" w:hAnsi="Book Antiqua" w:cs="Book Antiqua"/>
          <w:lang w:val="en"/>
        </w:rPr>
        <w:t xml:space="preserve">the </w:t>
      </w:r>
      <w:r w:rsidRPr="006A15C2">
        <w:rPr>
          <w:rFonts w:ascii="Book Antiqua" w:hAnsi="Book Antiqua" w:cs="Book Antiqua"/>
          <w:lang w:val="en"/>
        </w:rPr>
        <w:t xml:space="preserve">increase in the grade of atrophy </w:t>
      </w:r>
      <w:r w:rsidR="00C25FB8" w:rsidRPr="006A15C2">
        <w:rPr>
          <w:rFonts w:ascii="Book Antiqua" w:hAnsi="Book Antiqua" w:cs="Book Antiqua"/>
          <w:lang w:val="en"/>
        </w:rPr>
        <w:t>of</w:t>
      </w:r>
      <w:r w:rsidRPr="006A15C2">
        <w:rPr>
          <w:rFonts w:ascii="Book Antiqua" w:hAnsi="Book Antiqua" w:cs="Book Antiqua"/>
          <w:lang w:val="en"/>
        </w:rPr>
        <w:t xml:space="preserve"> the oxyntic mucosa</w:t>
      </w:r>
      <w:r w:rsidR="00FA2F0D" w:rsidRPr="006A15C2">
        <w:rPr>
          <w:rFonts w:ascii="Book Antiqua" w:hAnsi="Book Antiqua" w:cs="Book Antiqua"/>
          <w:vertAlign w:val="superscript"/>
          <w:lang w:val="en"/>
        </w:rPr>
        <w:t>[71]</w:t>
      </w:r>
      <w:r w:rsidRPr="006A15C2">
        <w:rPr>
          <w:rFonts w:ascii="Book Antiqua" w:hAnsi="Book Antiqua" w:cs="Book Antiqua"/>
          <w:lang w:val="en"/>
        </w:rPr>
        <w:t xml:space="preserve">. Another study instead </w:t>
      </w:r>
      <w:r w:rsidR="00C25FB8" w:rsidRPr="006A15C2">
        <w:rPr>
          <w:rFonts w:ascii="Book Antiqua" w:hAnsi="Book Antiqua" w:cs="Book Antiqua"/>
          <w:lang w:val="en"/>
        </w:rPr>
        <w:t xml:space="preserve">has recently </w:t>
      </w:r>
      <w:r w:rsidRPr="006A15C2">
        <w:rPr>
          <w:rFonts w:ascii="Book Antiqua" w:hAnsi="Book Antiqua" w:cs="Book Antiqua"/>
          <w:lang w:val="en"/>
        </w:rPr>
        <w:t xml:space="preserve">observed </w:t>
      </w:r>
      <w:r w:rsidR="00C25FB8" w:rsidRPr="006A15C2">
        <w:rPr>
          <w:rFonts w:ascii="Book Antiqua" w:hAnsi="Book Antiqua" w:cs="Book Antiqua"/>
          <w:lang w:val="en"/>
        </w:rPr>
        <w:t xml:space="preserve">the </w:t>
      </w:r>
      <w:r w:rsidRPr="006A15C2">
        <w:rPr>
          <w:rFonts w:ascii="Book Antiqua" w:hAnsi="Book Antiqua" w:cs="Book Antiqua"/>
          <w:lang w:val="en"/>
        </w:rPr>
        <w:t>reduction in bone mineral density and an increased frequency of osteopenia and osteoporosis in male, but not female patients with CAAG</w:t>
      </w:r>
      <w:r w:rsidR="00FA2F0D" w:rsidRPr="006A15C2">
        <w:rPr>
          <w:rFonts w:ascii="Book Antiqua" w:hAnsi="Book Antiqua" w:cs="Book Antiqua"/>
          <w:vertAlign w:val="superscript"/>
          <w:lang w:val="en"/>
        </w:rPr>
        <w:t>[73]</w:t>
      </w:r>
      <w:r w:rsidRPr="006A15C2">
        <w:rPr>
          <w:rFonts w:ascii="Book Antiqua" w:hAnsi="Book Antiqua" w:cs="Book Antiqua"/>
          <w:lang w:val="en"/>
        </w:rPr>
        <w:t>. Moreover, the incidence of fracture</w:t>
      </w:r>
      <w:r w:rsidR="00C25FB8" w:rsidRPr="006A15C2">
        <w:rPr>
          <w:rFonts w:ascii="Book Antiqua" w:hAnsi="Book Antiqua" w:cs="Book Antiqua"/>
          <w:lang w:val="en"/>
        </w:rPr>
        <w:t xml:space="preserve">s has </w:t>
      </w:r>
      <w:r w:rsidRPr="006A15C2">
        <w:rPr>
          <w:rFonts w:ascii="Book Antiqua" w:hAnsi="Book Antiqua" w:cs="Book Antiqua"/>
          <w:lang w:val="en"/>
        </w:rPr>
        <w:t>been reported increased in patients with pernicious anemia/CAAG</w:t>
      </w:r>
      <w:r w:rsidR="00FA2F0D" w:rsidRPr="006A15C2">
        <w:rPr>
          <w:rFonts w:ascii="Book Antiqua" w:hAnsi="Book Antiqua" w:cs="Book Antiqua"/>
          <w:vertAlign w:val="superscript"/>
          <w:lang w:val="en"/>
        </w:rPr>
        <w:t>[45,72]</w:t>
      </w:r>
      <w:r w:rsidRPr="006A15C2">
        <w:rPr>
          <w:rFonts w:ascii="Book Antiqua" w:hAnsi="Book Antiqua" w:cs="Book Antiqua"/>
          <w:lang w:val="en"/>
        </w:rPr>
        <w:t xml:space="preserve">. On the other hand, Kakehasi </w:t>
      </w:r>
      <w:r w:rsidRPr="00FA2F0D">
        <w:rPr>
          <w:rFonts w:ascii="Book Antiqua" w:hAnsi="Book Antiqua" w:cs="Book Antiqua"/>
          <w:i/>
          <w:lang w:val="en"/>
        </w:rPr>
        <w:t>et al</w:t>
      </w:r>
      <w:r w:rsidR="00FA2F0D" w:rsidRPr="006A15C2">
        <w:rPr>
          <w:rFonts w:ascii="Book Antiqua" w:hAnsi="Book Antiqua" w:cs="Book Antiqua"/>
          <w:vertAlign w:val="superscript"/>
          <w:lang w:val="en"/>
        </w:rPr>
        <w:t>[74]</w:t>
      </w:r>
      <w:r w:rsidR="00FA2F0D">
        <w:rPr>
          <w:rFonts w:ascii="Book Antiqua" w:hAnsi="Book Antiqua" w:cs="Book Antiqua" w:hint="eastAsia"/>
          <w:i/>
          <w:lang w:val="en" w:eastAsia="zh-CN"/>
        </w:rPr>
        <w:t xml:space="preserve"> </w:t>
      </w:r>
      <w:r w:rsidRPr="006A15C2">
        <w:rPr>
          <w:rFonts w:ascii="Book Antiqua" w:hAnsi="Book Antiqua" w:cs="Book Antiqua"/>
          <w:lang w:val="en"/>
        </w:rPr>
        <w:t xml:space="preserve">in a cross-sectional study did not find any significant difference in bone mineral densities </w:t>
      </w:r>
      <w:r w:rsidR="006878C9" w:rsidRPr="006A15C2">
        <w:rPr>
          <w:rFonts w:ascii="Book Antiqua" w:hAnsi="Book Antiqua" w:cs="Book Antiqua"/>
          <w:lang w:val="en"/>
        </w:rPr>
        <w:t xml:space="preserve">between </w:t>
      </w:r>
      <w:r w:rsidRPr="006A15C2">
        <w:rPr>
          <w:rFonts w:ascii="Book Antiqua" w:hAnsi="Book Antiqua" w:cs="Book Antiqua"/>
          <w:lang w:val="en"/>
        </w:rPr>
        <w:t xml:space="preserve">patients with </w:t>
      </w:r>
      <w:r w:rsidRPr="006A15C2">
        <w:rPr>
          <w:rFonts w:ascii="Book Antiqua" w:hAnsi="Book Antiqua" w:cs="Book Antiqua"/>
          <w:lang w:val="en"/>
        </w:rPr>
        <w:lastRenderedPageBreak/>
        <w:t xml:space="preserve">autoimmune gastritis and </w:t>
      </w:r>
      <w:r w:rsidRPr="006A15C2">
        <w:rPr>
          <w:rFonts w:ascii="Book Antiqua" w:hAnsi="Book Antiqua" w:cs="Book Antiqua"/>
          <w:i/>
          <w:lang w:val="en"/>
        </w:rPr>
        <w:t>H. pylori</w:t>
      </w:r>
      <w:r w:rsidRPr="006A15C2">
        <w:rPr>
          <w:rFonts w:ascii="Book Antiqua" w:hAnsi="Book Antiqua" w:cs="Book Antiqua"/>
          <w:lang w:val="en"/>
        </w:rPr>
        <w:t xml:space="preserve"> gastritis and the controls. However, it should be noted that </w:t>
      </w:r>
      <w:r w:rsidR="00450495" w:rsidRPr="006A15C2">
        <w:rPr>
          <w:rFonts w:ascii="Book Antiqua" w:hAnsi="Book Antiqua" w:cs="Book Antiqua"/>
          <w:lang w:val="en"/>
        </w:rPr>
        <w:t xml:space="preserve">the </w:t>
      </w:r>
      <w:r w:rsidRPr="006A15C2">
        <w:rPr>
          <w:rFonts w:ascii="Book Antiqua" w:hAnsi="Book Antiqua" w:cs="Book Antiqua"/>
          <w:lang w:val="en"/>
        </w:rPr>
        <w:t xml:space="preserve">lack of significance in the reduction </w:t>
      </w:r>
      <w:r w:rsidR="00450495" w:rsidRPr="006A15C2">
        <w:rPr>
          <w:rFonts w:ascii="Book Antiqua" w:hAnsi="Book Antiqua" w:cs="Book Antiqua"/>
          <w:lang w:val="en"/>
        </w:rPr>
        <w:t>of</w:t>
      </w:r>
      <w:r w:rsidRPr="006A15C2">
        <w:rPr>
          <w:rFonts w:ascii="Book Antiqua" w:hAnsi="Book Antiqua" w:cs="Book Antiqua"/>
          <w:lang w:val="en"/>
        </w:rPr>
        <w:t xml:space="preserve"> bone mineral density might be due to the low number of patients with CAAG included in the study. In addition</w:t>
      </w:r>
      <w:r w:rsidR="00450495" w:rsidRPr="006A15C2">
        <w:rPr>
          <w:rFonts w:ascii="Book Antiqua" w:hAnsi="Book Antiqua" w:cs="Book Antiqua"/>
          <w:lang w:val="en"/>
        </w:rPr>
        <w:t>,</w:t>
      </w:r>
      <w:r w:rsidRPr="006A15C2">
        <w:rPr>
          <w:rFonts w:ascii="Book Antiqua" w:hAnsi="Book Antiqua" w:cs="Book Antiqua"/>
          <w:lang w:val="en"/>
        </w:rPr>
        <w:t xml:space="preserve"> a paper from the Finnish group </w:t>
      </w:r>
      <w:r w:rsidR="00450495" w:rsidRPr="006A15C2">
        <w:rPr>
          <w:rFonts w:ascii="Book Antiqua" w:hAnsi="Book Antiqua" w:cs="Book Antiqua"/>
          <w:lang w:val="en"/>
        </w:rPr>
        <w:t xml:space="preserve">has suggested </w:t>
      </w:r>
      <w:r w:rsidRPr="006A15C2">
        <w:rPr>
          <w:rFonts w:ascii="Book Antiqua" w:hAnsi="Book Antiqua" w:cs="Book Antiqua"/>
          <w:lang w:val="en"/>
        </w:rPr>
        <w:t xml:space="preserve">that </w:t>
      </w:r>
      <w:r w:rsidR="00450495" w:rsidRPr="006A15C2">
        <w:rPr>
          <w:rFonts w:ascii="Book Antiqua" w:hAnsi="Book Antiqua" w:cs="Book Antiqua"/>
          <w:lang w:val="en"/>
        </w:rPr>
        <w:t xml:space="preserve">the administration of </w:t>
      </w:r>
      <w:r w:rsidRPr="006A15C2">
        <w:rPr>
          <w:rFonts w:ascii="Book Antiqua" w:hAnsi="Book Antiqua" w:cs="Book Antiqua"/>
          <w:lang w:val="en"/>
        </w:rPr>
        <w:t>supplementary calcium in patients with osteoporosis may require the e</w:t>
      </w:r>
      <w:r w:rsidR="00450495" w:rsidRPr="006A15C2">
        <w:rPr>
          <w:rFonts w:ascii="Book Antiqua" w:hAnsi="Book Antiqua" w:cs="Book Antiqua"/>
          <w:lang w:val="en"/>
        </w:rPr>
        <w:t>valuation</w:t>
      </w:r>
      <w:r w:rsidRPr="006A15C2">
        <w:rPr>
          <w:rFonts w:ascii="Book Antiqua" w:hAnsi="Book Antiqua" w:cs="Book Antiqua"/>
          <w:lang w:val="en"/>
        </w:rPr>
        <w:t xml:space="preserve"> of gastric acid secretion</w:t>
      </w:r>
      <w:r w:rsidR="00450495" w:rsidRPr="006A15C2">
        <w:rPr>
          <w:rFonts w:ascii="Book Antiqua" w:hAnsi="Book Antiqua" w:cs="Book Antiqua"/>
          <w:lang w:val="en"/>
        </w:rPr>
        <w:t xml:space="preserve">, </w:t>
      </w:r>
      <w:r w:rsidRPr="006A15C2">
        <w:rPr>
          <w:rFonts w:ascii="Book Antiqua" w:hAnsi="Book Antiqua" w:cs="Book Antiqua"/>
          <w:lang w:val="en"/>
        </w:rPr>
        <w:t>atrophic gastritis and the use of PPIs</w:t>
      </w:r>
      <w:r w:rsidR="00FA2F0D" w:rsidRPr="006A15C2">
        <w:rPr>
          <w:rFonts w:ascii="Book Antiqua" w:hAnsi="Book Antiqua" w:cs="Book Antiqua"/>
          <w:vertAlign w:val="superscript"/>
          <w:lang w:val="en"/>
        </w:rPr>
        <w:t>[64]</w:t>
      </w:r>
      <w:r w:rsidRPr="006A15C2">
        <w:rPr>
          <w:rFonts w:ascii="Book Antiqua" w:hAnsi="Book Antiqua" w:cs="Book Antiqua"/>
          <w:lang w:val="en"/>
        </w:rPr>
        <w:t>.</w:t>
      </w:r>
    </w:p>
    <w:p w14:paraId="74DBD3E6" w14:textId="6A1F8CF6" w:rsidR="00687605" w:rsidRPr="006A15C2" w:rsidRDefault="0045049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eastAsia="zh-CN"/>
        </w:rPr>
      </w:pPr>
      <w:r w:rsidRPr="006A15C2">
        <w:rPr>
          <w:rFonts w:ascii="Book Antiqua" w:hAnsi="Book Antiqua" w:cs="Book Antiqua"/>
          <w:lang w:val="en"/>
        </w:rPr>
        <w:t xml:space="preserve">Further </w:t>
      </w:r>
      <w:r w:rsidR="00687605" w:rsidRPr="006A15C2">
        <w:rPr>
          <w:rFonts w:ascii="Book Antiqua" w:hAnsi="Book Antiqua" w:cs="Book Antiqua"/>
          <w:lang w:val="en"/>
        </w:rPr>
        <w:t>evidence on a possible role of gastric acidity in calcium absorption result</w:t>
      </w:r>
      <w:r w:rsidRPr="006A15C2">
        <w:rPr>
          <w:rFonts w:ascii="Book Antiqua" w:hAnsi="Book Antiqua" w:cs="Book Antiqua"/>
          <w:lang w:val="en"/>
        </w:rPr>
        <w:t>s</w:t>
      </w:r>
      <w:r w:rsidR="00687605" w:rsidRPr="006A15C2">
        <w:rPr>
          <w:rFonts w:ascii="Book Antiqua" w:hAnsi="Book Antiqua" w:cs="Book Antiqua"/>
          <w:lang w:val="en"/>
        </w:rPr>
        <w:t xml:space="preserve"> from gastric surgery and </w:t>
      </w:r>
      <w:r w:rsidRPr="006A15C2">
        <w:rPr>
          <w:rFonts w:ascii="Book Antiqua" w:hAnsi="Book Antiqua" w:cs="Book Antiqua"/>
          <w:lang w:val="en"/>
        </w:rPr>
        <w:t xml:space="preserve">the </w:t>
      </w:r>
      <w:r w:rsidR="00687605" w:rsidRPr="006A15C2">
        <w:rPr>
          <w:rFonts w:ascii="Book Antiqua" w:hAnsi="Book Antiqua" w:cs="Book Antiqua"/>
          <w:lang w:val="en"/>
        </w:rPr>
        <w:t>use of anti-acid drugs</w:t>
      </w:r>
      <w:r w:rsidRPr="006A15C2">
        <w:rPr>
          <w:rFonts w:ascii="Book Antiqua" w:hAnsi="Book Antiqua" w:cs="Book Antiqua"/>
          <w:lang w:val="en"/>
        </w:rPr>
        <w:t xml:space="preserve">: </w:t>
      </w:r>
      <w:r w:rsidR="00687605" w:rsidRPr="006A15C2">
        <w:rPr>
          <w:rFonts w:ascii="Book Antiqua" w:hAnsi="Book Antiqua" w:cs="Book Antiqua"/>
          <w:lang w:val="en"/>
        </w:rPr>
        <w:t>in these setting an increased risk for low bone mass or fractures has been reported.</w:t>
      </w:r>
      <w:r w:rsidR="00687605" w:rsidRPr="006A15C2">
        <w:rPr>
          <w:rFonts w:ascii="Book Antiqua" w:hAnsi="Book Antiqua" w:cs="Book Antiqua"/>
          <w:vertAlign w:val="superscript"/>
          <w:lang w:val="en"/>
        </w:rPr>
        <w:t>75</w:t>
      </w:r>
      <w:r w:rsidR="00687605" w:rsidRPr="006A15C2">
        <w:rPr>
          <w:rFonts w:ascii="Book Antiqua" w:hAnsi="Book Antiqua" w:cs="Book Antiqua"/>
          <w:lang w:val="en"/>
        </w:rPr>
        <w:t xml:space="preserve"> Gastrectomy increases the risk of osteoporosis and fractures due to weight loss and change</w:t>
      </w:r>
      <w:r w:rsidRPr="006A15C2">
        <w:rPr>
          <w:rFonts w:ascii="Book Antiqua" w:hAnsi="Book Antiqua" w:cs="Book Antiqua"/>
          <w:lang w:val="en"/>
        </w:rPr>
        <w:t>s</w:t>
      </w:r>
      <w:r w:rsidR="00687605" w:rsidRPr="006A15C2">
        <w:rPr>
          <w:rFonts w:ascii="Book Antiqua" w:hAnsi="Book Antiqua" w:cs="Book Antiqua"/>
          <w:lang w:val="en"/>
        </w:rPr>
        <w:t xml:space="preserve"> of body composition as well as calcium malabsorption</w:t>
      </w:r>
      <w:r w:rsidR="00FA2F0D" w:rsidRPr="00FA2F0D">
        <w:rPr>
          <w:rFonts w:ascii="Book Antiqua" w:hAnsi="Book Antiqua" w:cs="Book Antiqua" w:hint="eastAsia"/>
          <w:vertAlign w:val="superscript"/>
          <w:lang w:val="en" w:eastAsia="zh-CN"/>
        </w:rPr>
        <w:t>[</w:t>
      </w:r>
      <w:r w:rsidR="00FA2F0D" w:rsidRPr="006A15C2">
        <w:rPr>
          <w:rFonts w:ascii="Book Antiqua" w:hAnsi="Book Antiqua" w:cs="Book Antiqua"/>
          <w:vertAlign w:val="superscript"/>
          <w:lang w:val="en"/>
        </w:rPr>
        <w:t>75,76</w:t>
      </w:r>
      <w:r w:rsidR="00FA2F0D">
        <w:rPr>
          <w:rFonts w:ascii="Book Antiqua" w:hAnsi="Book Antiqua" w:cs="Book Antiqua" w:hint="eastAsia"/>
          <w:vertAlign w:val="superscript"/>
          <w:lang w:val="en" w:eastAsia="zh-CN"/>
        </w:rPr>
        <w:t>]</w:t>
      </w:r>
      <w:r w:rsidR="00687605" w:rsidRPr="006A15C2">
        <w:rPr>
          <w:rFonts w:ascii="Book Antiqua" w:hAnsi="Book Antiqua" w:cs="Book Antiqua"/>
          <w:lang w:val="en"/>
        </w:rPr>
        <w:t xml:space="preserve">. More recently, Krause </w:t>
      </w:r>
      <w:r w:rsidR="00687605" w:rsidRPr="00FA2F0D">
        <w:rPr>
          <w:rFonts w:ascii="Book Antiqua" w:hAnsi="Book Antiqua" w:cs="Book Antiqua"/>
          <w:i/>
          <w:lang w:val="en"/>
        </w:rPr>
        <w:t>et a</w:t>
      </w:r>
      <w:r w:rsidR="00FA2F0D" w:rsidRPr="00FA2F0D">
        <w:rPr>
          <w:rFonts w:ascii="Book Antiqua" w:hAnsi="Book Antiqua" w:cs="Book Antiqua" w:hint="eastAsia"/>
          <w:vertAlign w:val="superscript"/>
          <w:lang w:val="en" w:eastAsia="zh-CN"/>
        </w:rPr>
        <w:t>[</w:t>
      </w:r>
      <w:r w:rsidR="00FA2F0D" w:rsidRPr="00FA2F0D">
        <w:rPr>
          <w:rFonts w:ascii="Book Antiqua" w:hAnsi="Book Antiqua" w:cs="Book Antiqua"/>
          <w:vertAlign w:val="superscript"/>
          <w:lang w:val="en"/>
        </w:rPr>
        <w:t>77</w:t>
      </w:r>
      <w:r w:rsidR="00FA2F0D" w:rsidRPr="00FA2F0D">
        <w:rPr>
          <w:rFonts w:ascii="Book Antiqua" w:hAnsi="Book Antiqua" w:cs="Book Antiqua" w:hint="eastAsia"/>
          <w:vertAlign w:val="superscript"/>
          <w:lang w:val="en" w:eastAsia="zh-CN"/>
        </w:rPr>
        <w:t>]</w:t>
      </w:r>
      <w:r w:rsidR="00FA2F0D">
        <w:rPr>
          <w:rFonts w:ascii="Book Antiqua" w:hAnsi="Book Antiqua" w:cs="Book Antiqua" w:hint="eastAsia"/>
          <w:vertAlign w:val="superscript"/>
          <w:lang w:val="en" w:eastAsia="zh-CN"/>
        </w:rPr>
        <w:t xml:space="preserve"> </w:t>
      </w:r>
      <w:r w:rsidR="00687605" w:rsidRPr="006A15C2">
        <w:rPr>
          <w:rFonts w:ascii="Book Antiqua" w:hAnsi="Book Antiqua" w:cs="Book Antiqua"/>
          <w:lang w:val="en"/>
        </w:rPr>
        <w:t>demonstrated a statistically significant increase of osteomalacia, marrow fibrosis, and impaired calcium distribution within the mineralized matrix in gastrectomized patients as compared to controls.</w:t>
      </w:r>
      <w:r w:rsidR="00687605" w:rsidRPr="00FA2F0D">
        <w:rPr>
          <w:rFonts w:ascii="Book Antiqua" w:hAnsi="Book Antiqua" w:cs="Book Antiqua"/>
          <w:vertAlign w:val="superscript"/>
          <w:lang w:val="en"/>
        </w:rPr>
        <w:t xml:space="preserve"> </w:t>
      </w:r>
      <w:r w:rsidR="00687605" w:rsidRPr="006A15C2">
        <w:rPr>
          <w:rFonts w:ascii="Book Antiqua" w:hAnsi="Book Antiqua" w:cs="Book Antiqua"/>
          <w:lang w:val="en"/>
        </w:rPr>
        <w:t>Long-term acid-suppressive therapy c</w:t>
      </w:r>
      <w:r w:rsidR="007B77B7" w:rsidRPr="006A15C2">
        <w:rPr>
          <w:rFonts w:ascii="Book Antiqua" w:hAnsi="Book Antiqua" w:cs="Book Antiqua"/>
          <w:lang w:val="en"/>
        </w:rPr>
        <w:t>an</w:t>
      </w:r>
      <w:r w:rsidR="00687605" w:rsidRPr="006A15C2">
        <w:rPr>
          <w:rFonts w:ascii="Book Antiqua" w:hAnsi="Book Antiqua" w:cs="Book Antiqua"/>
          <w:lang w:val="en"/>
        </w:rPr>
        <w:t xml:space="preserve"> also raise the risk of fractures</w:t>
      </w:r>
      <w:r w:rsidR="00FA2F0D" w:rsidRPr="00FA2F0D">
        <w:rPr>
          <w:rFonts w:ascii="Book Antiqua" w:hAnsi="Book Antiqua" w:cs="Book Antiqua" w:hint="eastAsia"/>
          <w:vertAlign w:val="superscript"/>
          <w:lang w:val="en" w:eastAsia="zh-CN"/>
        </w:rPr>
        <w:t>[</w:t>
      </w:r>
      <w:r w:rsidR="00FA2F0D" w:rsidRPr="00FA2F0D">
        <w:rPr>
          <w:rFonts w:ascii="Book Antiqua" w:hAnsi="Book Antiqua" w:cs="Book Antiqua"/>
          <w:vertAlign w:val="superscript"/>
          <w:lang w:val="en"/>
        </w:rPr>
        <w:t>78</w:t>
      </w:r>
      <w:r w:rsidR="00FA2F0D" w:rsidRPr="00FA2F0D">
        <w:rPr>
          <w:rFonts w:ascii="Cambria Math" w:hAnsi="Cambria Math" w:cs="Cambria Math" w:hint="eastAsia"/>
          <w:vertAlign w:val="superscript"/>
          <w:lang w:val="en" w:eastAsia="zh-CN"/>
        </w:rPr>
        <w:t>-</w:t>
      </w:r>
      <w:r w:rsidR="00FA2F0D" w:rsidRPr="00FA2F0D">
        <w:rPr>
          <w:rFonts w:ascii="Book Antiqua" w:hAnsi="Book Antiqua" w:cs="Book Antiqua"/>
          <w:vertAlign w:val="superscript"/>
          <w:lang w:val="en"/>
        </w:rPr>
        <w:t>82</w:t>
      </w:r>
      <w:r w:rsidR="00FA2F0D" w:rsidRPr="00FA2F0D">
        <w:rPr>
          <w:rFonts w:ascii="Book Antiqua" w:hAnsi="Book Antiqua" w:cs="Book Antiqua" w:hint="eastAsia"/>
          <w:vertAlign w:val="superscript"/>
          <w:lang w:val="en" w:eastAsia="zh-CN"/>
        </w:rPr>
        <w:t>]</w:t>
      </w:r>
      <w:r w:rsidR="00687605" w:rsidRPr="006A15C2">
        <w:rPr>
          <w:rFonts w:ascii="Book Antiqua" w:hAnsi="Book Antiqua" w:cs="Book Antiqua"/>
          <w:lang w:val="en"/>
        </w:rPr>
        <w:t>. A meta-analysis revealed that</w:t>
      </w:r>
      <w:r w:rsidR="007B77B7" w:rsidRPr="006A15C2">
        <w:rPr>
          <w:rFonts w:ascii="Book Antiqua" w:hAnsi="Book Antiqua" w:cs="Book Antiqua"/>
          <w:lang w:val="en"/>
        </w:rPr>
        <w:t xml:space="preserve"> </w:t>
      </w:r>
      <w:r w:rsidR="00687605" w:rsidRPr="006A15C2">
        <w:rPr>
          <w:rFonts w:ascii="Book Antiqua" w:hAnsi="Book Antiqua" w:cs="Book Antiqua"/>
          <w:lang w:val="en"/>
        </w:rPr>
        <w:t>proton</w:t>
      </w:r>
      <w:r w:rsidR="007B77B7" w:rsidRPr="006A15C2">
        <w:rPr>
          <w:rFonts w:ascii="Book Antiqua" w:hAnsi="Book Antiqua" w:cs="Book Antiqua"/>
          <w:lang w:val="en"/>
        </w:rPr>
        <w:t xml:space="preserve"> </w:t>
      </w:r>
      <w:r w:rsidR="00687605" w:rsidRPr="006A15C2">
        <w:rPr>
          <w:rFonts w:ascii="Book Antiqua" w:hAnsi="Book Antiqua" w:cs="Book Antiqua"/>
          <w:lang w:val="en"/>
        </w:rPr>
        <w:t xml:space="preserve">pump inhibitors </w:t>
      </w:r>
      <w:r w:rsidR="007B77B7" w:rsidRPr="006A15C2">
        <w:rPr>
          <w:rFonts w:ascii="Book Antiqua" w:hAnsi="Book Antiqua" w:cs="Book Antiqua"/>
          <w:lang w:val="en"/>
        </w:rPr>
        <w:t xml:space="preserve">can </w:t>
      </w:r>
      <w:r w:rsidR="00687605" w:rsidRPr="006A15C2">
        <w:rPr>
          <w:rFonts w:ascii="Book Antiqua" w:hAnsi="Book Antiqua" w:cs="Book Antiqua"/>
          <w:lang w:val="en"/>
        </w:rPr>
        <w:t>increase the risk of hip, spine, and any</w:t>
      </w:r>
      <w:r w:rsidR="007B77B7" w:rsidRPr="006A15C2">
        <w:rPr>
          <w:rFonts w:ascii="Book Antiqua" w:hAnsi="Book Antiqua" w:cs="Book Antiqua"/>
          <w:lang w:val="en"/>
        </w:rPr>
        <w:t xml:space="preserve"> </w:t>
      </w:r>
      <w:r w:rsidR="00687605" w:rsidRPr="006A15C2">
        <w:rPr>
          <w:rFonts w:ascii="Book Antiqua" w:hAnsi="Book Antiqua" w:cs="Book Antiqua"/>
          <w:lang w:val="en"/>
        </w:rPr>
        <w:t>site fractures by 30</w:t>
      </w:r>
      <w:r w:rsidR="007B77B7" w:rsidRPr="006A15C2">
        <w:rPr>
          <w:rFonts w:ascii="Book Antiqua" w:hAnsi="Book Antiqua" w:cs="Book Antiqua"/>
          <w:lang w:val="en"/>
        </w:rPr>
        <w:t>%</w:t>
      </w:r>
      <w:r w:rsidR="00687605" w:rsidRPr="006A15C2">
        <w:rPr>
          <w:rFonts w:ascii="Book Antiqua" w:hAnsi="Book Antiqua" w:cs="Book Antiqua"/>
          <w:lang w:val="en"/>
        </w:rPr>
        <w:t>, 56</w:t>
      </w:r>
      <w:r w:rsidR="007B77B7" w:rsidRPr="006A15C2">
        <w:rPr>
          <w:rFonts w:ascii="Book Antiqua" w:hAnsi="Book Antiqua" w:cs="Book Antiqua"/>
          <w:lang w:val="en"/>
        </w:rPr>
        <w:t>%</w:t>
      </w:r>
      <w:r w:rsidR="00687605" w:rsidRPr="006A15C2">
        <w:rPr>
          <w:rFonts w:ascii="Book Antiqua" w:hAnsi="Book Antiqua" w:cs="Book Antiqua"/>
          <w:lang w:val="en"/>
        </w:rPr>
        <w:t xml:space="preserve"> and 16%, respectively</w:t>
      </w:r>
      <w:r w:rsidR="00FA2F0D">
        <w:rPr>
          <w:rFonts w:ascii="Book Antiqua" w:hAnsi="Book Antiqua" w:cs="Book Antiqua" w:hint="eastAsia"/>
          <w:vertAlign w:val="superscript"/>
          <w:lang w:val="en" w:eastAsia="zh-CN"/>
        </w:rPr>
        <w:t>[</w:t>
      </w:r>
      <w:r w:rsidR="00FA2F0D" w:rsidRPr="006A15C2">
        <w:rPr>
          <w:rFonts w:ascii="Book Antiqua" w:hAnsi="Book Antiqua" w:cs="Book Antiqua"/>
          <w:vertAlign w:val="superscript"/>
          <w:lang w:val="en"/>
        </w:rPr>
        <w:t>83</w:t>
      </w:r>
      <w:r w:rsidR="00FA2F0D">
        <w:rPr>
          <w:rFonts w:ascii="Book Antiqua" w:hAnsi="Book Antiqua" w:cs="Book Antiqua" w:hint="eastAsia"/>
          <w:vertAlign w:val="superscript"/>
          <w:lang w:val="en" w:eastAsia="zh-CN"/>
        </w:rPr>
        <w:t>]</w:t>
      </w:r>
      <w:r w:rsidR="00687605" w:rsidRPr="006A15C2">
        <w:rPr>
          <w:rFonts w:ascii="Book Antiqua" w:hAnsi="Book Antiqua" w:cs="Book Antiqua"/>
          <w:lang w:val="en"/>
        </w:rPr>
        <w:t>.</w:t>
      </w:r>
    </w:p>
    <w:p w14:paraId="305D2521" w14:textId="77777777"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rPr>
      </w:pPr>
      <w:r w:rsidRPr="006A15C2">
        <w:rPr>
          <w:rFonts w:ascii="Book Antiqua" w:hAnsi="Book Antiqua" w:cs="Book Antiqua"/>
          <w:lang w:val="en"/>
        </w:rPr>
        <w:t>In conclusion, even if biological</w:t>
      </w:r>
      <w:r w:rsidR="007B77B7" w:rsidRPr="006A15C2">
        <w:rPr>
          <w:rFonts w:ascii="Book Antiqua" w:hAnsi="Book Antiqua" w:cs="Book Antiqua"/>
          <w:lang w:val="en"/>
        </w:rPr>
        <w:t>ly</w:t>
      </w:r>
      <w:r w:rsidRPr="006A15C2">
        <w:rPr>
          <w:rFonts w:ascii="Book Antiqua" w:hAnsi="Book Antiqua" w:cs="Book Antiqua"/>
          <w:lang w:val="en"/>
        </w:rPr>
        <w:t xml:space="preserve"> plausible, the evidence regarding the role of CAAG and/or hypochlorhydria in calcium malabsorption </w:t>
      </w:r>
      <w:r w:rsidR="007B77B7" w:rsidRPr="006A15C2">
        <w:rPr>
          <w:rFonts w:ascii="Book Antiqua" w:hAnsi="Book Antiqua" w:cs="Book Antiqua"/>
          <w:lang w:val="en"/>
        </w:rPr>
        <w:t xml:space="preserve">remains </w:t>
      </w:r>
      <w:r w:rsidRPr="006A15C2">
        <w:rPr>
          <w:rFonts w:ascii="Book Antiqua" w:hAnsi="Book Antiqua" w:cs="Book Antiqua"/>
          <w:lang w:val="en"/>
        </w:rPr>
        <w:t xml:space="preserve">controversial; however, the increasing evidence on a relationship between CAAG/hypochlorhydria and </w:t>
      </w:r>
      <w:r w:rsidR="007B77B7" w:rsidRPr="006A15C2">
        <w:rPr>
          <w:rFonts w:ascii="Book Antiqua" w:hAnsi="Book Antiqua" w:cs="Book Antiqua"/>
          <w:lang w:val="en"/>
        </w:rPr>
        <w:t xml:space="preserve">the </w:t>
      </w:r>
      <w:r w:rsidRPr="006A15C2">
        <w:rPr>
          <w:rFonts w:ascii="Book Antiqua" w:hAnsi="Book Antiqua" w:cs="Book Antiqua"/>
          <w:lang w:val="en"/>
        </w:rPr>
        <w:t>risk of osteoporosis suggest</w:t>
      </w:r>
      <w:r w:rsidR="007B77B7" w:rsidRPr="006A15C2">
        <w:rPr>
          <w:rFonts w:ascii="Book Antiqua" w:hAnsi="Book Antiqua" w:cs="Book Antiqua"/>
          <w:lang w:val="en"/>
        </w:rPr>
        <w:t>s</w:t>
      </w:r>
      <w:r w:rsidRPr="006A15C2">
        <w:rPr>
          <w:rFonts w:ascii="Book Antiqua" w:hAnsi="Book Antiqua" w:cs="Book Antiqua"/>
          <w:lang w:val="en"/>
        </w:rPr>
        <w:t xml:space="preserve"> that in this setting an important impairment of bone mineralization exist</w:t>
      </w:r>
      <w:r w:rsidR="007B77B7" w:rsidRPr="006A15C2">
        <w:rPr>
          <w:rFonts w:ascii="Book Antiqua" w:hAnsi="Book Antiqua" w:cs="Book Antiqua"/>
          <w:lang w:val="en"/>
        </w:rPr>
        <w:t>s</w:t>
      </w:r>
      <w:r w:rsidRPr="006A15C2">
        <w:rPr>
          <w:rFonts w:ascii="Book Antiqua" w:hAnsi="Book Antiqua" w:cs="Book Antiqua"/>
          <w:lang w:val="en"/>
        </w:rPr>
        <w:t xml:space="preserve"> and </w:t>
      </w:r>
      <w:r w:rsidR="007B77B7" w:rsidRPr="006A15C2">
        <w:rPr>
          <w:rFonts w:ascii="Book Antiqua" w:hAnsi="Book Antiqua" w:cs="Book Antiqua"/>
          <w:lang w:val="en"/>
        </w:rPr>
        <w:t xml:space="preserve">can be </w:t>
      </w:r>
      <w:r w:rsidRPr="006A15C2">
        <w:rPr>
          <w:rFonts w:ascii="Book Antiqua" w:hAnsi="Book Antiqua" w:cs="Book Antiqua"/>
          <w:lang w:val="en"/>
        </w:rPr>
        <w:t>secondary to long-term calcium malabsorption.</w:t>
      </w:r>
    </w:p>
    <w:p w14:paraId="00661F29"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p>
    <w:p w14:paraId="68C615E6" w14:textId="252DFC91" w:rsidR="00687605" w:rsidRPr="00FA2F0D" w:rsidRDefault="00687605" w:rsidP="006A15C2">
      <w:pPr>
        <w:widowControl w:val="0"/>
        <w:autoSpaceDE w:val="0"/>
        <w:autoSpaceDN w:val="0"/>
        <w:adjustRightInd w:val="0"/>
        <w:snapToGrid w:val="0"/>
        <w:spacing w:line="360" w:lineRule="auto"/>
        <w:jc w:val="both"/>
        <w:rPr>
          <w:rFonts w:ascii="Book Antiqua" w:hAnsi="Book Antiqua" w:cs="Book Antiqua"/>
          <w:b/>
          <w:i/>
          <w:lang w:val="en"/>
        </w:rPr>
      </w:pPr>
      <w:r w:rsidRPr="00FA2F0D">
        <w:rPr>
          <w:rFonts w:ascii="Book Antiqua" w:hAnsi="Book Antiqua" w:cs="Book Antiqua"/>
          <w:b/>
          <w:i/>
          <w:lang w:val="en"/>
        </w:rPr>
        <w:t>V</w:t>
      </w:r>
      <w:r w:rsidR="00FA2F0D" w:rsidRPr="00FA2F0D">
        <w:rPr>
          <w:rFonts w:ascii="Book Antiqua" w:hAnsi="Book Antiqua" w:cs="Book Antiqua"/>
          <w:b/>
          <w:i/>
          <w:lang w:val="en"/>
        </w:rPr>
        <w:t>itamin</w:t>
      </w:r>
      <w:r w:rsidRPr="00FA2F0D">
        <w:rPr>
          <w:rFonts w:ascii="Book Antiqua" w:hAnsi="Book Antiqua" w:cs="Book Antiqua"/>
          <w:b/>
          <w:i/>
          <w:lang w:val="en"/>
        </w:rPr>
        <w:t xml:space="preserve"> D</w:t>
      </w:r>
    </w:p>
    <w:p w14:paraId="124306A1" w14:textId="09DBD70C" w:rsidR="007E58F2"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lang w:val="en"/>
        </w:rPr>
        <w:t xml:space="preserve">To date </w:t>
      </w:r>
      <w:r w:rsidR="009019EC" w:rsidRPr="006A15C2">
        <w:rPr>
          <w:rFonts w:ascii="Book Antiqua" w:hAnsi="Book Antiqua" w:cs="Book Antiqua"/>
          <w:lang w:val="en"/>
        </w:rPr>
        <w:t xml:space="preserve">a </w:t>
      </w:r>
      <w:r w:rsidRPr="006A15C2">
        <w:rPr>
          <w:rFonts w:ascii="Book Antiqua" w:hAnsi="Book Antiqua" w:cs="Book Antiqua"/>
          <w:lang w:val="en"/>
        </w:rPr>
        <w:t>few studies have investigated the association between CAAG and vitamin D deficiency</w:t>
      </w:r>
      <w:r w:rsidR="00FA2F0D" w:rsidRPr="006A15C2">
        <w:rPr>
          <w:rFonts w:ascii="Book Antiqua" w:hAnsi="Book Antiqua" w:cs="Book Antiqua"/>
          <w:vertAlign w:val="superscript"/>
          <w:lang w:val="en"/>
        </w:rPr>
        <w:t>[84,85]</w:t>
      </w:r>
      <w:r w:rsidRPr="006A15C2">
        <w:rPr>
          <w:rFonts w:ascii="Book Antiqua" w:hAnsi="Book Antiqua" w:cs="Book Antiqua"/>
          <w:lang w:val="en"/>
        </w:rPr>
        <w:t>.</w:t>
      </w:r>
    </w:p>
    <w:p w14:paraId="306209D5" w14:textId="0F63C81F" w:rsidR="00687605" w:rsidRPr="006A15C2" w:rsidRDefault="009019EC"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rPr>
      </w:pPr>
      <w:r w:rsidRPr="006A15C2">
        <w:rPr>
          <w:rFonts w:ascii="Book Antiqua" w:hAnsi="Book Antiqua" w:cs="Book Antiqua"/>
          <w:lang w:val="en"/>
        </w:rPr>
        <w:t xml:space="preserve">In 1992 </w:t>
      </w:r>
      <w:r w:rsidR="00687605" w:rsidRPr="006A15C2">
        <w:rPr>
          <w:rFonts w:ascii="Book Antiqua" w:hAnsi="Book Antiqua" w:cs="Book Antiqua"/>
          <w:lang w:val="en"/>
        </w:rPr>
        <w:t xml:space="preserve">Eastell </w:t>
      </w:r>
      <w:r w:rsidR="00687605" w:rsidRPr="00FA2F0D">
        <w:rPr>
          <w:rFonts w:ascii="Book Antiqua" w:hAnsi="Book Antiqua" w:cs="Book Antiqua"/>
          <w:i/>
          <w:lang w:val="en"/>
        </w:rPr>
        <w:t>et al</w:t>
      </w:r>
      <w:r w:rsidR="00FA2F0D" w:rsidRPr="006A15C2">
        <w:rPr>
          <w:rFonts w:ascii="Book Antiqua" w:hAnsi="Book Antiqua" w:cs="Book Antiqua"/>
          <w:vertAlign w:val="superscript"/>
          <w:lang w:val="en"/>
        </w:rPr>
        <w:t>[71]</w:t>
      </w:r>
      <w:r w:rsidR="00FA2F0D">
        <w:rPr>
          <w:rFonts w:ascii="Book Antiqua" w:hAnsi="Book Antiqua" w:cs="Book Antiqua" w:hint="eastAsia"/>
          <w:i/>
          <w:lang w:val="en" w:eastAsia="zh-CN"/>
        </w:rPr>
        <w:t xml:space="preserve"> </w:t>
      </w:r>
      <w:r w:rsidR="00687605" w:rsidRPr="006A15C2">
        <w:rPr>
          <w:rFonts w:ascii="Book Antiqua" w:hAnsi="Book Antiqua" w:cs="Book Antiqua"/>
          <w:lang w:val="en"/>
        </w:rPr>
        <w:t>did not observe the presence of vitamin D deficiency in a group of 21 patients with CAAG as compared to healthy subjects. However</w:t>
      </w:r>
      <w:r w:rsidRPr="006A15C2">
        <w:rPr>
          <w:rFonts w:ascii="Book Antiqua" w:hAnsi="Book Antiqua" w:cs="Book Antiqua"/>
          <w:lang w:val="en"/>
        </w:rPr>
        <w:t>,</w:t>
      </w:r>
      <w:r w:rsidR="00687605" w:rsidRPr="006A15C2">
        <w:rPr>
          <w:rFonts w:ascii="Book Antiqua" w:hAnsi="Book Antiqua" w:cs="Book Antiqua"/>
          <w:lang w:val="en"/>
        </w:rPr>
        <w:t xml:space="preserve"> the very low number of cases </w:t>
      </w:r>
      <w:r w:rsidRPr="006A15C2">
        <w:rPr>
          <w:rFonts w:ascii="Book Antiqua" w:hAnsi="Book Antiqua" w:cs="Book Antiqua"/>
          <w:lang w:val="en"/>
        </w:rPr>
        <w:t>considered</w:t>
      </w:r>
      <w:r w:rsidR="00687605" w:rsidRPr="006A15C2">
        <w:rPr>
          <w:rFonts w:ascii="Book Antiqua" w:hAnsi="Book Antiqua" w:cs="Book Antiqua"/>
          <w:lang w:val="en"/>
        </w:rPr>
        <w:t xml:space="preserve"> have </w:t>
      </w:r>
      <w:r w:rsidRPr="006A15C2">
        <w:rPr>
          <w:rFonts w:ascii="Book Antiqua" w:hAnsi="Book Antiqua" w:cs="Book Antiqua"/>
          <w:lang w:val="en"/>
        </w:rPr>
        <w:t xml:space="preserve">possibly </w:t>
      </w:r>
      <w:r w:rsidR="00687605" w:rsidRPr="006A15C2">
        <w:rPr>
          <w:rFonts w:ascii="Book Antiqua" w:hAnsi="Book Antiqua" w:cs="Book Antiqua"/>
          <w:lang w:val="en"/>
        </w:rPr>
        <w:t xml:space="preserve">limited the results of this </w:t>
      </w:r>
      <w:r w:rsidR="00687605" w:rsidRPr="006A15C2">
        <w:rPr>
          <w:rFonts w:ascii="Book Antiqua" w:hAnsi="Book Antiqua" w:cs="Book Antiqua"/>
          <w:lang w:val="en"/>
        </w:rPr>
        <w:lastRenderedPageBreak/>
        <w:t>study</w:t>
      </w:r>
      <w:r w:rsidR="00FA2F0D" w:rsidRPr="006A15C2">
        <w:rPr>
          <w:rFonts w:ascii="Book Antiqua" w:hAnsi="Book Antiqua" w:cs="Book Antiqua"/>
          <w:vertAlign w:val="superscript"/>
          <w:lang w:val="en"/>
        </w:rPr>
        <w:t>[71]</w:t>
      </w:r>
      <w:r w:rsidR="00687605" w:rsidRPr="006A15C2">
        <w:rPr>
          <w:rFonts w:ascii="Book Antiqua" w:hAnsi="Book Antiqua" w:cs="Book Antiqua"/>
          <w:lang w:val="en"/>
        </w:rPr>
        <w:t>. In 2012 a study</w:t>
      </w:r>
      <w:r w:rsidR="00687605" w:rsidRPr="006A15C2">
        <w:rPr>
          <w:rFonts w:ascii="Book Antiqua" w:hAnsi="Book Antiqua" w:cs="Book Antiqua"/>
          <w:vertAlign w:val="superscript"/>
          <w:lang w:val="en"/>
        </w:rPr>
        <w:t>[85]</w:t>
      </w:r>
      <w:r w:rsidR="00687605" w:rsidRPr="006A15C2">
        <w:rPr>
          <w:rFonts w:ascii="Book Antiqua" w:hAnsi="Book Antiqua" w:cs="Book Antiqua"/>
          <w:lang w:val="en"/>
        </w:rPr>
        <w:t xml:space="preserve"> observed, for the first time, significant</w:t>
      </w:r>
      <w:r w:rsidRPr="006A15C2">
        <w:rPr>
          <w:rFonts w:ascii="Book Antiqua" w:hAnsi="Book Antiqua" w:cs="Book Antiqua"/>
          <w:lang w:val="en"/>
        </w:rPr>
        <w:t>ly</w:t>
      </w:r>
      <w:r w:rsidR="00687605" w:rsidRPr="006A15C2">
        <w:rPr>
          <w:rFonts w:ascii="Book Antiqua" w:hAnsi="Book Antiqua" w:cs="Book Antiqua"/>
          <w:lang w:val="en"/>
        </w:rPr>
        <w:t xml:space="preserve"> lower 25-OH</w:t>
      </w:r>
      <w:r w:rsidRPr="006A15C2">
        <w:rPr>
          <w:rFonts w:ascii="Book Antiqua" w:hAnsi="Book Antiqua" w:cs="Book Antiqua"/>
          <w:lang w:val="en"/>
        </w:rPr>
        <w:t xml:space="preserve"> </w:t>
      </w:r>
      <w:r w:rsidR="00687605" w:rsidRPr="006A15C2">
        <w:rPr>
          <w:rFonts w:ascii="Book Antiqua" w:hAnsi="Book Antiqua" w:cs="Book Antiqua"/>
          <w:lang w:val="en"/>
        </w:rPr>
        <w:t>vitamin D levels in patients with CAAG as compared to non</w:t>
      </w:r>
      <w:r w:rsidRPr="006A15C2">
        <w:rPr>
          <w:rFonts w:ascii="Book Antiqua" w:hAnsi="Book Antiqua" w:cs="Book Antiqua"/>
          <w:lang w:val="en"/>
        </w:rPr>
        <w:t>-</w:t>
      </w:r>
      <w:r w:rsidR="00687605" w:rsidRPr="006A15C2">
        <w:rPr>
          <w:rFonts w:ascii="Book Antiqua" w:hAnsi="Book Antiqua" w:cs="Book Antiqua"/>
          <w:lang w:val="en"/>
        </w:rPr>
        <w:t xml:space="preserve">specific gastritis or the general population. In this study, </w:t>
      </w:r>
      <w:r w:rsidRPr="006A15C2">
        <w:rPr>
          <w:rFonts w:ascii="Book Antiqua" w:hAnsi="Book Antiqua" w:cs="Book Antiqua"/>
          <w:lang w:val="en"/>
        </w:rPr>
        <w:t xml:space="preserve">the </w:t>
      </w:r>
      <w:r w:rsidR="00687605" w:rsidRPr="006A15C2">
        <w:rPr>
          <w:rFonts w:ascii="Book Antiqua" w:hAnsi="Book Antiqua" w:cs="Book Antiqua"/>
          <w:lang w:val="en"/>
        </w:rPr>
        <w:t>25-OH</w:t>
      </w:r>
      <w:r w:rsidRPr="006A15C2">
        <w:rPr>
          <w:rFonts w:ascii="Book Antiqua" w:hAnsi="Book Antiqua" w:cs="Book Antiqua"/>
          <w:lang w:val="en"/>
        </w:rPr>
        <w:t xml:space="preserve"> </w:t>
      </w:r>
      <w:r w:rsidR="00687605" w:rsidRPr="006A15C2">
        <w:rPr>
          <w:rFonts w:ascii="Book Antiqua" w:hAnsi="Book Antiqua" w:cs="Book Antiqua"/>
          <w:lang w:val="en"/>
        </w:rPr>
        <w:t>vitamin D mean concentration in subjects with CAAG was 9.8</w:t>
      </w:r>
      <w:r w:rsidR="00FA2F0D">
        <w:rPr>
          <w:rFonts w:ascii="Book Antiqua" w:hAnsi="Book Antiqua" w:cs="Book Antiqua" w:hint="eastAsia"/>
          <w:lang w:val="en" w:eastAsia="zh-CN"/>
        </w:rPr>
        <w:t xml:space="preserve"> </w:t>
      </w:r>
      <w:r w:rsidR="00687605" w:rsidRPr="006A15C2">
        <w:rPr>
          <w:rFonts w:ascii="Book Antiqua" w:hAnsi="Book Antiqua" w:cs="Book Antiqua"/>
          <w:lang w:val="en"/>
        </w:rPr>
        <w:t>±</w:t>
      </w:r>
      <w:r w:rsidR="00FA2F0D">
        <w:rPr>
          <w:rFonts w:ascii="Book Antiqua" w:hAnsi="Book Antiqua" w:cs="Book Antiqua" w:hint="eastAsia"/>
          <w:lang w:val="en" w:eastAsia="zh-CN"/>
        </w:rPr>
        <w:t xml:space="preserve"> </w:t>
      </w:r>
      <w:r w:rsidR="00687605" w:rsidRPr="006A15C2">
        <w:rPr>
          <w:rFonts w:ascii="Book Antiqua" w:hAnsi="Book Antiqua" w:cs="Book Antiqua"/>
          <w:lang w:val="en"/>
        </w:rPr>
        <w:t>5.6 ng/mL (CI</w:t>
      </w:r>
      <w:r w:rsidR="00FA2F0D">
        <w:rPr>
          <w:rFonts w:ascii="Book Antiqua" w:hAnsi="Book Antiqua" w:cs="Book Antiqua" w:hint="eastAsia"/>
          <w:lang w:val="en" w:eastAsia="zh-CN"/>
        </w:rPr>
        <w:t>:</w:t>
      </w:r>
      <w:r w:rsidR="00687605" w:rsidRPr="006A15C2">
        <w:rPr>
          <w:rFonts w:ascii="Book Antiqua" w:hAnsi="Book Antiqua" w:cs="Book Antiqua"/>
          <w:lang w:val="en"/>
        </w:rPr>
        <w:t xml:space="preserve"> 8.4</w:t>
      </w:r>
      <w:r w:rsidR="00FA2F0D">
        <w:rPr>
          <w:rFonts w:ascii="Book Antiqua" w:hAnsi="Book Antiqua" w:cs="Book Antiqua" w:hint="eastAsia"/>
          <w:lang w:val="en" w:eastAsia="zh-CN"/>
        </w:rPr>
        <w:t>-</w:t>
      </w:r>
      <w:r w:rsidR="00687605" w:rsidRPr="006A15C2">
        <w:rPr>
          <w:rFonts w:ascii="Book Antiqua" w:hAnsi="Book Antiqua" w:cs="Book Antiqua"/>
          <w:lang w:val="en"/>
        </w:rPr>
        <w:t xml:space="preserve">11.2) </w:t>
      </w:r>
      <w:r w:rsidR="00BB240F" w:rsidRPr="00BB240F">
        <w:rPr>
          <w:rFonts w:ascii="Book Antiqua" w:hAnsi="Book Antiqua" w:cs="Book Antiqua"/>
          <w:i/>
          <w:lang w:val="en" w:eastAsia="zh-CN"/>
        </w:rPr>
        <w:t>vs</w:t>
      </w:r>
      <w:r w:rsidR="00BB240F" w:rsidRPr="006A15C2">
        <w:rPr>
          <w:rFonts w:ascii="Book Antiqua" w:hAnsi="Book Antiqua" w:cs="Book Antiqua"/>
          <w:lang w:val="en"/>
        </w:rPr>
        <w:t xml:space="preserve"> </w:t>
      </w:r>
      <w:r w:rsidR="00687605" w:rsidRPr="006A15C2">
        <w:rPr>
          <w:rFonts w:ascii="Book Antiqua" w:hAnsi="Book Antiqua" w:cs="Book Antiqua"/>
          <w:lang w:val="en"/>
        </w:rPr>
        <w:t>21.3</w:t>
      </w:r>
      <w:r w:rsidR="00FA2F0D">
        <w:rPr>
          <w:rFonts w:ascii="Book Antiqua" w:hAnsi="Book Antiqua" w:cs="Book Antiqua" w:hint="eastAsia"/>
          <w:lang w:val="en" w:eastAsia="zh-CN"/>
        </w:rPr>
        <w:t xml:space="preserve"> </w:t>
      </w:r>
      <w:r w:rsidR="00687605" w:rsidRPr="006A15C2">
        <w:rPr>
          <w:rFonts w:ascii="Book Antiqua" w:hAnsi="Book Antiqua" w:cs="Book Antiqua"/>
          <w:lang w:val="en"/>
        </w:rPr>
        <w:t>± 12.2 ng/mL (CI</w:t>
      </w:r>
      <w:r w:rsidR="00FA2F0D">
        <w:rPr>
          <w:rFonts w:ascii="Book Antiqua" w:hAnsi="Book Antiqua" w:cs="Book Antiqua" w:hint="eastAsia"/>
          <w:lang w:val="en" w:eastAsia="zh-CN"/>
        </w:rPr>
        <w:t>:</w:t>
      </w:r>
      <w:r w:rsidR="00687605" w:rsidRPr="006A15C2">
        <w:rPr>
          <w:rFonts w:ascii="Book Antiqua" w:hAnsi="Book Antiqua" w:cs="Book Antiqua"/>
          <w:lang w:val="en"/>
        </w:rPr>
        <w:t xml:space="preserve"> 19.7</w:t>
      </w:r>
      <w:r w:rsidR="00FA2F0D">
        <w:rPr>
          <w:rFonts w:ascii="Book Antiqua" w:hAnsi="Book Antiqua" w:cs="Book Antiqua" w:hint="eastAsia"/>
          <w:lang w:val="en" w:eastAsia="zh-CN"/>
        </w:rPr>
        <w:t>-</w:t>
      </w:r>
      <w:r w:rsidR="00687605" w:rsidRPr="006A15C2">
        <w:rPr>
          <w:rFonts w:ascii="Book Antiqua" w:hAnsi="Book Antiqua" w:cs="Book Antiqua"/>
          <w:lang w:val="en"/>
        </w:rPr>
        <w:t>22.9)</w:t>
      </w:r>
      <w:r w:rsidRPr="006A15C2">
        <w:rPr>
          <w:rFonts w:ascii="Book Antiqua" w:hAnsi="Book Antiqua" w:cs="Book Antiqua"/>
          <w:lang w:val="en"/>
        </w:rPr>
        <w:t xml:space="preserve"> in healthy control subjects</w:t>
      </w:r>
      <w:r w:rsidR="00687605" w:rsidRPr="006A15C2">
        <w:rPr>
          <w:rFonts w:ascii="Book Antiqua" w:hAnsi="Book Antiqua" w:cs="Book Antiqua"/>
          <w:lang w:val="en"/>
        </w:rPr>
        <w:t>.</w:t>
      </w:r>
      <w:r w:rsidR="00485275">
        <w:rPr>
          <w:rFonts w:ascii="Book Antiqua" w:hAnsi="Book Antiqua" w:cs="Book Antiqua"/>
          <w:lang w:val="en"/>
        </w:rPr>
        <w:t xml:space="preserve"> </w:t>
      </w:r>
      <w:r w:rsidR="00687605" w:rsidRPr="006A15C2">
        <w:rPr>
          <w:rFonts w:ascii="Book Antiqua" w:hAnsi="Book Antiqua" w:cs="Book Antiqua"/>
          <w:lang w:val="en"/>
        </w:rPr>
        <w:t xml:space="preserve">Based on these observations, the </w:t>
      </w:r>
      <w:r w:rsidRPr="006A15C2">
        <w:rPr>
          <w:rFonts w:ascii="Book Antiqua" w:hAnsi="Book Antiqua" w:cs="Book Antiqua"/>
          <w:lang w:val="en"/>
        </w:rPr>
        <w:t>a</w:t>
      </w:r>
      <w:r w:rsidR="00687605" w:rsidRPr="006A15C2">
        <w:rPr>
          <w:rFonts w:ascii="Book Antiqua" w:hAnsi="Book Antiqua" w:cs="Book Antiqua"/>
          <w:lang w:val="en"/>
        </w:rPr>
        <w:t>uthors hypothesized that hypovitaminosis D might be a risk factor for the development of autoimmune diseases</w:t>
      </w:r>
      <w:r w:rsidR="00FA2F0D" w:rsidRPr="006A15C2">
        <w:rPr>
          <w:rFonts w:ascii="Book Antiqua" w:hAnsi="Book Antiqua" w:cs="Book Antiqua"/>
          <w:vertAlign w:val="superscript"/>
          <w:lang w:val="en"/>
        </w:rPr>
        <w:t>[85]</w:t>
      </w:r>
      <w:r w:rsidR="00687605" w:rsidRPr="006A15C2">
        <w:rPr>
          <w:rFonts w:ascii="Book Antiqua" w:hAnsi="Book Antiqua" w:cs="Book Antiqua"/>
          <w:lang w:val="en"/>
        </w:rPr>
        <w:t>.</w:t>
      </w:r>
      <w:r w:rsidR="007E58F2" w:rsidRPr="006A15C2">
        <w:rPr>
          <w:rFonts w:ascii="Book Antiqua" w:hAnsi="Book Antiqua" w:cs="Book Antiqua"/>
          <w:lang w:val="en"/>
        </w:rPr>
        <w:t xml:space="preserve"> </w:t>
      </w:r>
      <w:r w:rsidR="00687605" w:rsidRPr="006A15C2">
        <w:rPr>
          <w:rFonts w:ascii="Book Antiqua" w:hAnsi="Book Antiqua" w:cs="Book Antiqua"/>
          <w:lang w:val="en"/>
        </w:rPr>
        <w:t>More recently, a paper from our group</w:t>
      </w:r>
      <w:r w:rsidR="00687605" w:rsidRPr="006A15C2">
        <w:rPr>
          <w:rFonts w:ascii="Book Antiqua" w:hAnsi="Book Antiqua" w:cs="Book Antiqua"/>
          <w:vertAlign w:val="superscript"/>
          <w:lang w:val="en"/>
        </w:rPr>
        <w:t>[84]</w:t>
      </w:r>
      <w:r w:rsidR="00687605" w:rsidRPr="006A15C2">
        <w:rPr>
          <w:rFonts w:ascii="Book Antiqua" w:hAnsi="Book Antiqua" w:cs="Book Antiqua"/>
          <w:lang w:val="en"/>
        </w:rPr>
        <w:t xml:space="preserve"> </w:t>
      </w:r>
      <w:r w:rsidR="003E5050" w:rsidRPr="006A15C2">
        <w:rPr>
          <w:rFonts w:ascii="Book Antiqua" w:hAnsi="Book Antiqua" w:cs="Book Antiqua"/>
          <w:lang w:val="en"/>
        </w:rPr>
        <w:t xml:space="preserve">has </w:t>
      </w:r>
      <w:r w:rsidR="00687605" w:rsidRPr="006A15C2">
        <w:rPr>
          <w:rFonts w:ascii="Book Antiqua" w:hAnsi="Book Antiqua" w:cs="Book Antiqua"/>
          <w:lang w:val="en"/>
        </w:rPr>
        <w:t xml:space="preserve">reported </w:t>
      </w:r>
      <w:r w:rsidR="003E5050" w:rsidRPr="006A15C2">
        <w:rPr>
          <w:rFonts w:ascii="Book Antiqua" w:hAnsi="Book Antiqua" w:cs="Book Antiqua"/>
          <w:lang w:val="en"/>
        </w:rPr>
        <w:t xml:space="preserve">the </w:t>
      </w:r>
      <w:r w:rsidR="00687605" w:rsidRPr="006A15C2">
        <w:rPr>
          <w:rFonts w:ascii="Book Antiqua" w:hAnsi="Book Antiqua" w:cs="Book Antiqua"/>
          <w:lang w:val="en"/>
        </w:rPr>
        <w:t xml:space="preserve">increased prevalence of hyperpathyroidism secondary to vitamin D deficiency in patients affected by CAAG. This finding </w:t>
      </w:r>
      <w:r w:rsidR="003E5050" w:rsidRPr="006A15C2">
        <w:rPr>
          <w:rFonts w:ascii="Book Antiqua" w:hAnsi="Book Antiqua" w:cs="Book Antiqua"/>
          <w:lang w:val="en"/>
        </w:rPr>
        <w:t xml:space="preserve">can </w:t>
      </w:r>
      <w:r w:rsidR="00687605" w:rsidRPr="006A15C2">
        <w:rPr>
          <w:rFonts w:ascii="Book Antiqua" w:hAnsi="Book Antiqua" w:cs="Book Antiqua"/>
          <w:lang w:val="en"/>
        </w:rPr>
        <w:t>suggest that</w:t>
      </w:r>
      <w:r w:rsidR="003E5050" w:rsidRPr="006A15C2">
        <w:rPr>
          <w:rFonts w:ascii="Book Antiqua" w:hAnsi="Book Antiqua" w:cs="Book Antiqua"/>
          <w:lang w:val="en"/>
        </w:rPr>
        <w:t xml:space="preserve"> </w:t>
      </w:r>
      <w:r w:rsidR="00687605" w:rsidRPr="006A15C2">
        <w:rPr>
          <w:rFonts w:ascii="Book Antiqua" w:hAnsi="Book Antiqua" w:cs="Book Antiqua"/>
          <w:lang w:val="en"/>
        </w:rPr>
        <w:t>the regulation of calcium and/or vitamin D metabolism may be impaired</w:t>
      </w:r>
      <w:r w:rsidR="003E5050" w:rsidRPr="006A15C2">
        <w:rPr>
          <w:rFonts w:ascii="Book Antiqua" w:hAnsi="Book Antiqua" w:cs="Book Antiqua"/>
          <w:lang w:val="en"/>
        </w:rPr>
        <w:t xml:space="preserve"> in patients with CAAG</w:t>
      </w:r>
      <w:r w:rsidR="00687605" w:rsidRPr="006A15C2">
        <w:rPr>
          <w:rFonts w:ascii="Book Antiqua" w:hAnsi="Book Antiqua" w:cs="Book Antiqua"/>
          <w:lang w:val="en"/>
        </w:rPr>
        <w:t>, potentially because of the malabsorption of vitamin D in the intestine.</w:t>
      </w:r>
    </w:p>
    <w:p w14:paraId="3C2004D3" w14:textId="12E23A0B" w:rsidR="00687605" w:rsidRPr="006A15C2" w:rsidRDefault="00687605" w:rsidP="00FA2F0D">
      <w:pPr>
        <w:widowControl w:val="0"/>
        <w:autoSpaceDE w:val="0"/>
        <w:autoSpaceDN w:val="0"/>
        <w:adjustRightInd w:val="0"/>
        <w:snapToGrid w:val="0"/>
        <w:spacing w:line="360" w:lineRule="auto"/>
        <w:ind w:firstLineChars="100" w:firstLine="240"/>
        <w:jc w:val="both"/>
        <w:rPr>
          <w:rFonts w:ascii="Book Antiqua" w:hAnsi="Book Antiqua" w:cs="Book Antiqua"/>
          <w:lang w:val="en"/>
        </w:rPr>
      </w:pPr>
      <w:r w:rsidRPr="006A15C2">
        <w:rPr>
          <w:rFonts w:ascii="Book Antiqua" w:hAnsi="Book Antiqua" w:cs="Book Antiqua"/>
          <w:lang w:val="en"/>
        </w:rPr>
        <w:t xml:space="preserve">Moreover, as stated </w:t>
      </w:r>
      <w:r w:rsidR="003E5050" w:rsidRPr="006A15C2">
        <w:rPr>
          <w:rFonts w:ascii="Book Antiqua" w:hAnsi="Book Antiqua" w:cs="Book Antiqua"/>
          <w:lang w:val="en"/>
        </w:rPr>
        <w:t xml:space="preserve">in the earlier </w:t>
      </w:r>
      <w:r w:rsidRPr="006A15C2">
        <w:rPr>
          <w:rFonts w:ascii="Book Antiqua" w:hAnsi="Book Antiqua" w:cs="Book Antiqua"/>
          <w:lang w:val="en"/>
        </w:rPr>
        <w:t>Vitamin B12 and Calcium section</w:t>
      </w:r>
      <w:r w:rsidR="003E5050" w:rsidRPr="006A15C2">
        <w:rPr>
          <w:rFonts w:ascii="Book Antiqua" w:hAnsi="Book Antiqua" w:cs="Book Antiqua"/>
          <w:lang w:val="en"/>
        </w:rPr>
        <w:t>s</w:t>
      </w:r>
      <w:r w:rsidRPr="006A15C2">
        <w:rPr>
          <w:rFonts w:ascii="Book Antiqua" w:hAnsi="Book Antiqua" w:cs="Book Antiqua"/>
          <w:lang w:val="en"/>
        </w:rPr>
        <w:t xml:space="preserve">, different studies have reported </w:t>
      </w:r>
      <w:r w:rsidR="003E5050" w:rsidRPr="006A15C2">
        <w:rPr>
          <w:rFonts w:ascii="Book Antiqua" w:hAnsi="Book Antiqua" w:cs="Book Antiqua"/>
          <w:lang w:val="en"/>
        </w:rPr>
        <w:t xml:space="preserve">on </w:t>
      </w:r>
      <w:r w:rsidRPr="006A15C2">
        <w:rPr>
          <w:rFonts w:ascii="Book Antiqua" w:hAnsi="Book Antiqua" w:cs="Book Antiqua"/>
          <w:lang w:val="en"/>
        </w:rPr>
        <w:t>the risk of calcium malabsorbtion</w:t>
      </w:r>
      <w:r w:rsidRPr="006A15C2">
        <w:rPr>
          <w:rFonts w:ascii="Book Antiqua" w:hAnsi="Book Antiqua" w:cs="Book Antiqua"/>
          <w:vertAlign w:val="superscript"/>
          <w:lang w:val="en"/>
        </w:rPr>
        <w:t>[64,66,68]</w:t>
      </w:r>
      <w:r w:rsidRPr="006A15C2">
        <w:rPr>
          <w:rFonts w:ascii="Book Antiqua" w:hAnsi="Book Antiqua" w:cs="Book Antiqua"/>
          <w:lang w:val="en"/>
        </w:rPr>
        <w:t xml:space="preserve"> and an increased risk of osteoporosis and pathological fractures in CAAG patients</w:t>
      </w:r>
      <w:r w:rsidR="00FA2F0D" w:rsidRPr="006A15C2">
        <w:rPr>
          <w:rFonts w:ascii="Book Antiqua" w:hAnsi="Book Antiqua" w:cs="Book Antiqua"/>
          <w:vertAlign w:val="superscript"/>
          <w:lang w:val="en"/>
        </w:rPr>
        <w:t>[45,72,86]</w:t>
      </w:r>
      <w:r w:rsidRPr="006A15C2">
        <w:rPr>
          <w:rFonts w:ascii="Book Antiqua" w:hAnsi="Book Antiqua" w:cs="Book Antiqua"/>
          <w:lang w:val="en"/>
        </w:rPr>
        <w:t>. Remarkably, the active transcellular absorption of Ca</w:t>
      </w:r>
      <w:r w:rsidRPr="00FA2F0D">
        <w:rPr>
          <w:rFonts w:ascii="Book Antiqua" w:hAnsi="Book Antiqua" w:cs="Book Antiqua"/>
          <w:vertAlign w:val="superscript"/>
          <w:lang w:val="en"/>
        </w:rPr>
        <w:t>2+</w:t>
      </w:r>
      <w:r w:rsidRPr="006A15C2">
        <w:rPr>
          <w:rFonts w:ascii="Book Antiqua" w:hAnsi="Book Antiqua" w:cs="Book Antiqua"/>
          <w:lang w:val="en"/>
        </w:rPr>
        <w:t xml:space="preserve"> in the duodenum and proximal small intestine </w:t>
      </w:r>
      <w:r w:rsidR="003E5050" w:rsidRPr="006A15C2">
        <w:rPr>
          <w:rFonts w:ascii="Book Antiqua" w:hAnsi="Book Antiqua" w:cs="Book Antiqua"/>
          <w:lang w:val="en"/>
        </w:rPr>
        <w:t xml:space="preserve">depends on </w:t>
      </w:r>
      <w:r w:rsidRPr="006A15C2">
        <w:rPr>
          <w:rFonts w:ascii="Book Antiqua" w:hAnsi="Book Antiqua" w:cs="Book Antiqua"/>
          <w:lang w:val="en"/>
        </w:rPr>
        <w:t>vitamin D and represent</w:t>
      </w:r>
      <w:r w:rsidR="003E5050" w:rsidRPr="006A15C2">
        <w:rPr>
          <w:rFonts w:ascii="Book Antiqua" w:hAnsi="Book Antiqua" w:cs="Book Antiqua"/>
          <w:lang w:val="en"/>
        </w:rPr>
        <w:t>s</w:t>
      </w:r>
      <w:r w:rsidRPr="006A15C2">
        <w:rPr>
          <w:rFonts w:ascii="Book Antiqua" w:hAnsi="Book Antiqua" w:cs="Book Antiqua"/>
          <w:lang w:val="en"/>
        </w:rPr>
        <w:t xml:space="preserve"> the most important</w:t>
      </w:r>
      <w:r w:rsidR="00485275">
        <w:rPr>
          <w:rFonts w:ascii="Book Antiqua" w:hAnsi="Book Antiqua" w:cs="Book Antiqua"/>
          <w:lang w:val="en"/>
        </w:rPr>
        <w:t xml:space="preserve"> </w:t>
      </w:r>
      <w:r w:rsidRPr="006A15C2">
        <w:rPr>
          <w:rFonts w:ascii="Book Antiqua" w:hAnsi="Book Antiqua" w:cs="Book Antiqua"/>
          <w:lang w:val="en"/>
        </w:rPr>
        <w:t xml:space="preserve">physiological pathway for </w:t>
      </w:r>
      <w:r w:rsidR="003E5050" w:rsidRPr="006A15C2">
        <w:rPr>
          <w:rFonts w:ascii="Book Antiqua" w:hAnsi="Book Antiqua" w:cs="Book Antiqua"/>
          <w:lang w:val="en"/>
        </w:rPr>
        <w:t xml:space="preserve">the </w:t>
      </w:r>
      <w:r w:rsidRPr="006A15C2">
        <w:rPr>
          <w:rFonts w:ascii="Book Antiqua" w:hAnsi="Book Antiqua" w:cs="Book Antiqua"/>
          <w:lang w:val="en"/>
        </w:rPr>
        <w:t>absorption of the calcium. Thus, it seems possible that vitamin D deficiency in CAAG patients</w:t>
      </w:r>
      <w:r w:rsidR="003E5050" w:rsidRPr="006A15C2">
        <w:rPr>
          <w:rFonts w:ascii="Book Antiqua" w:hAnsi="Book Antiqua" w:cs="Book Antiqua"/>
          <w:lang w:val="en"/>
        </w:rPr>
        <w:t xml:space="preserve"> can </w:t>
      </w:r>
      <w:r w:rsidRPr="006A15C2">
        <w:rPr>
          <w:rFonts w:ascii="Book Antiqua" w:hAnsi="Book Antiqua" w:cs="Book Antiqua"/>
          <w:lang w:val="en"/>
        </w:rPr>
        <w:t>also explain calcium malabsorption and alteration</w:t>
      </w:r>
      <w:r w:rsidR="003E5050" w:rsidRPr="006A15C2">
        <w:rPr>
          <w:rFonts w:ascii="Book Antiqua" w:hAnsi="Book Antiqua" w:cs="Book Antiqua"/>
          <w:lang w:val="en"/>
        </w:rPr>
        <w:t>s</w:t>
      </w:r>
      <w:r w:rsidRPr="006A15C2">
        <w:rPr>
          <w:rFonts w:ascii="Book Antiqua" w:hAnsi="Book Antiqua" w:cs="Book Antiqua"/>
          <w:lang w:val="en"/>
        </w:rPr>
        <w:t xml:space="preserve"> in bone mineralization.</w:t>
      </w:r>
    </w:p>
    <w:p w14:paraId="3365E154"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Further prospective studies are needed to fully elucidate the association between CAAG and vitamin D deficiency.</w:t>
      </w:r>
    </w:p>
    <w:p w14:paraId="668222B6"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p>
    <w:p w14:paraId="297AA019" w14:textId="399FB5DB" w:rsidR="00687605" w:rsidRPr="006A15C2" w:rsidRDefault="00FA2F0D" w:rsidP="006A15C2">
      <w:pPr>
        <w:widowControl w:val="0"/>
        <w:autoSpaceDE w:val="0"/>
        <w:autoSpaceDN w:val="0"/>
        <w:adjustRightInd w:val="0"/>
        <w:snapToGrid w:val="0"/>
        <w:spacing w:line="360" w:lineRule="auto"/>
        <w:jc w:val="both"/>
        <w:rPr>
          <w:rFonts w:ascii="Book Antiqua" w:hAnsi="Book Antiqua" w:cs="Book Antiqua"/>
          <w:b/>
          <w:bCs/>
          <w:lang w:val="en" w:eastAsia="zh-CN"/>
        </w:rPr>
      </w:pPr>
      <w:r>
        <w:rPr>
          <w:rFonts w:ascii="Book Antiqua" w:hAnsi="Book Antiqua" w:cs="Book Antiqua"/>
          <w:b/>
          <w:bCs/>
          <w:lang w:val="en"/>
        </w:rPr>
        <w:t>CONCLUSION</w:t>
      </w:r>
    </w:p>
    <w:p w14:paraId="17CCF506" w14:textId="07B0D129" w:rsidR="00074570"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6A15C2">
        <w:rPr>
          <w:rFonts w:ascii="Book Antiqua" w:hAnsi="Book Antiqua" w:cs="Book Antiqua"/>
          <w:lang w:val="en"/>
        </w:rPr>
        <w:t xml:space="preserve">Although pernicious anemia is the most frequent deficiency observed in patients with CAAG, </w:t>
      </w:r>
      <w:r w:rsidR="00A75FA5" w:rsidRPr="006A15C2">
        <w:rPr>
          <w:rFonts w:ascii="Book Antiqua" w:hAnsi="Book Antiqua" w:cs="Book Antiqua"/>
          <w:lang w:val="en"/>
        </w:rPr>
        <w:t xml:space="preserve">the deficiency of </w:t>
      </w:r>
      <w:r w:rsidRPr="006A15C2">
        <w:rPr>
          <w:rFonts w:ascii="Book Antiqua" w:hAnsi="Book Antiqua" w:cs="Book Antiqua"/>
          <w:lang w:val="en"/>
        </w:rPr>
        <w:t>other vitamin</w:t>
      </w:r>
      <w:r w:rsidR="00A75FA5" w:rsidRPr="006A15C2">
        <w:rPr>
          <w:rFonts w:ascii="Book Antiqua" w:hAnsi="Book Antiqua" w:cs="Book Antiqua"/>
          <w:lang w:val="en"/>
        </w:rPr>
        <w:t>s</w:t>
      </w:r>
      <w:r w:rsidRPr="006A15C2">
        <w:rPr>
          <w:rFonts w:ascii="Book Antiqua" w:hAnsi="Book Antiqua" w:cs="Book Antiqua"/>
          <w:lang w:val="en"/>
        </w:rPr>
        <w:t xml:space="preserve"> and micronutrient</w:t>
      </w:r>
      <w:r w:rsidR="00A75FA5" w:rsidRPr="006A15C2">
        <w:rPr>
          <w:rFonts w:ascii="Book Antiqua" w:hAnsi="Book Antiqua" w:cs="Book Antiqua"/>
          <w:lang w:val="en"/>
        </w:rPr>
        <w:t>s</w:t>
      </w:r>
      <w:r w:rsidRPr="006A15C2">
        <w:rPr>
          <w:rFonts w:ascii="Book Antiqua" w:hAnsi="Book Antiqua" w:cs="Book Antiqua"/>
          <w:lang w:val="en"/>
        </w:rPr>
        <w:t>, such as vitamin C, vitamin D and calcium, ha</w:t>
      </w:r>
      <w:r w:rsidR="00A75FA5" w:rsidRPr="006A15C2">
        <w:rPr>
          <w:rFonts w:ascii="Book Antiqua" w:hAnsi="Book Antiqua" w:cs="Book Antiqua"/>
          <w:lang w:val="en"/>
        </w:rPr>
        <w:t xml:space="preserve">s </w:t>
      </w:r>
      <w:r w:rsidRPr="006A15C2">
        <w:rPr>
          <w:rFonts w:ascii="Book Antiqua" w:hAnsi="Book Antiqua" w:cs="Book Antiqua"/>
          <w:lang w:val="en"/>
        </w:rPr>
        <w:t xml:space="preserve">been described </w:t>
      </w:r>
      <w:r w:rsidR="00A75FA5" w:rsidRPr="006A15C2">
        <w:rPr>
          <w:rFonts w:ascii="Book Antiqua" w:hAnsi="Book Antiqua" w:cs="Book Antiqua"/>
          <w:lang w:val="en"/>
        </w:rPr>
        <w:t xml:space="preserve">in the current literature </w:t>
      </w:r>
      <w:r w:rsidRPr="00FA2F0D">
        <w:rPr>
          <w:rFonts w:ascii="Book Antiqua" w:hAnsi="Book Antiqua" w:cs="Book Antiqua"/>
          <w:lang w:val="en"/>
        </w:rPr>
        <w:t>(</w:t>
      </w:r>
      <w:r w:rsidRPr="00FA2F0D">
        <w:rPr>
          <w:rFonts w:ascii="Book Antiqua" w:hAnsi="Book Antiqua" w:cs="Book Antiqua"/>
          <w:bCs/>
          <w:lang w:val="en"/>
        </w:rPr>
        <w:t>Table 3</w:t>
      </w:r>
      <w:r w:rsidRPr="00FA2F0D">
        <w:rPr>
          <w:rFonts w:ascii="Book Antiqua" w:hAnsi="Book Antiqua" w:cs="Book Antiqua"/>
          <w:lang w:val="en"/>
        </w:rPr>
        <w:t>)</w:t>
      </w:r>
      <w:r w:rsidR="00FA2F0D" w:rsidRPr="006A15C2">
        <w:rPr>
          <w:rFonts w:ascii="Book Antiqua" w:hAnsi="Book Antiqua" w:cs="Book Antiqua"/>
          <w:vertAlign w:val="superscript"/>
          <w:lang w:val="en"/>
        </w:rPr>
        <w:t>[11,60]</w:t>
      </w:r>
      <w:r w:rsidRPr="006A15C2">
        <w:rPr>
          <w:rFonts w:ascii="Book Antiqua" w:hAnsi="Book Antiqua" w:cs="Book Antiqua"/>
          <w:lang w:val="en"/>
        </w:rPr>
        <w:t>. The pathogenic mechanisms seem to be the increased destruction or decreased absorption of nutrients in the gastric mucosa, because of elevated pH or bacterial overgrowth</w:t>
      </w:r>
      <w:r w:rsidR="00FA2F0D" w:rsidRPr="006A15C2">
        <w:rPr>
          <w:rFonts w:ascii="Book Antiqua" w:hAnsi="Book Antiqua" w:cs="Book Antiqua"/>
          <w:vertAlign w:val="superscript"/>
          <w:lang w:val="en"/>
        </w:rPr>
        <w:t>[11]</w:t>
      </w:r>
      <w:r w:rsidR="00A75FA5" w:rsidRPr="006A15C2">
        <w:rPr>
          <w:rFonts w:ascii="Book Antiqua" w:hAnsi="Book Antiqua" w:cs="Book Antiqua"/>
          <w:lang w:val="en"/>
        </w:rPr>
        <w:t>.</w:t>
      </w:r>
    </w:p>
    <w:p w14:paraId="207DCBD3" w14:textId="25E28BBF" w:rsidR="00074570" w:rsidRPr="006A15C2" w:rsidRDefault="00074570" w:rsidP="00FA2F0D">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color w:val="222222"/>
        </w:rPr>
      </w:pPr>
      <w:r w:rsidRPr="006A15C2">
        <w:rPr>
          <w:rFonts w:ascii="Book Antiqua" w:hAnsi="Book Antiqua" w:cs="Arial"/>
          <w:color w:val="222222"/>
        </w:rPr>
        <w:lastRenderedPageBreak/>
        <w:t>Vitamin B12 deficiency, causing hematological and neurological consequences remains the most extensively investigated nutritional impairment in CAAG. However, even in this setting further studies</w:t>
      </w:r>
      <w:r w:rsidRPr="006A15C2">
        <w:rPr>
          <w:rStyle w:val="apple-converted-space"/>
          <w:rFonts w:ascii="Book Antiqua" w:hAnsi="Book Antiqua" w:cs="Arial"/>
          <w:color w:val="222222"/>
        </w:rPr>
        <w:t> </w:t>
      </w:r>
      <w:r w:rsidRPr="006A15C2">
        <w:rPr>
          <w:rFonts w:ascii="Book Antiqua" w:hAnsi="Book Antiqua" w:cs="Arial"/>
          <w:color w:val="222222"/>
        </w:rPr>
        <w:t>appear</w:t>
      </w:r>
      <w:r w:rsidRPr="006A15C2">
        <w:rPr>
          <w:rStyle w:val="apple-converted-space"/>
          <w:rFonts w:ascii="Book Antiqua" w:hAnsi="Book Antiqua" w:cs="Arial"/>
          <w:color w:val="222222"/>
        </w:rPr>
        <w:t> </w:t>
      </w:r>
      <w:r w:rsidRPr="006A15C2">
        <w:rPr>
          <w:rFonts w:ascii="Book Antiqua" w:hAnsi="Book Antiqua" w:cs="Arial"/>
          <w:color w:val="222222"/>
        </w:rPr>
        <w:t xml:space="preserve">to be necessary to clarify the exact prevalence of vitamin B12 deficiency in CAAG patients. Moreover, a large number of environmental and genetic factors (such as some </w:t>
      </w:r>
      <w:r w:rsidRPr="006A15C2">
        <w:rPr>
          <w:rFonts w:ascii="Book Antiqua" w:hAnsi="Book Antiqua" w:cs="Book Antiqua"/>
          <w:lang w:val="en"/>
        </w:rPr>
        <w:t xml:space="preserve">single nucleotide polymorphisms </w:t>
      </w:r>
      <w:r w:rsidRPr="006A15C2">
        <w:rPr>
          <w:rFonts w:ascii="Book Antiqua" w:hAnsi="Book Antiqua" w:cs="Arial"/>
          <w:color w:val="222222"/>
        </w:rPr>
        <w:t>on particular genes) may influence the levels of vitamins in patients with CAAG</w:t>
      </w:r>
      <w:r w:rsidR="00FA2F0D">
        <w:rPr>
          <w:rFonts w:ascii="Book Antiqua" w:hAnsi="Book Antiqua" w:cs="Arial"/>
          <w:color w:val="222222"/>
          <w:vertAlign w:val="superscript"/>
        </w:rPr>
        <w:t>[31,</w:t>
      </w:r>
      <w:r w:rsidR="00FA2F0D" w:rsidRPr="006A15C2">
        <w:rPr>
          <w:rFonts w:ascii="Book Antiqua" w:hAnsi="Book Antiqua" w:cs="Arial"/>
          <w:color w:val="222222"/>
          <w:vertAlign w:val="superscript"/>
        </w:rPr>
        <w:t>26]</w:t>
      </w:r>
      <w:r w:rsidRPr="006A15C2">
        <w:rPr>
          <w:rFonts w:ascii="Book Antiqua" w:hAnsi="Book Antiqua" w:cs="Arial"/>
          <w:color w:val="222222"/>
        </w:rPr>
        <w:t>,</w:t>
      </w:r>
      <w:r w:rsidRPr="006A15C2">
        <w:rPr>
          <w:rFonts w:ascii="Book Antiqua" w:hAnsi="Book Antiqua" w:cs="Arial"/>
          <w:color w:val="222222"/>
          <w:vertAlign w:val="superscript"/>
        </w:rPr>
        <w:t xml:space="preserve"> </w:t>
      </w:r>
      <w:r w:rsidRPr="006A15C2">
        <w:rPr>
          <w:rFonts w:ascii="Book Antiqua" w:hAnsi="Book Antiqua" w:cs="Arial"/>
          <w:color w:val="222222"/>
        </w:rPr>
        <w:t>and their</w:t>
      </w:r>
      <w:r w:rsidRPr="006A15C2">
        <w:rPr>
          <w:rStyle w:val="apple-converted-space"/>
          <w:rFonts w:ascii="Book Antiqua" w:hAnsi="Book Antiqua" w:cs="Arial"/>
          <w:color w:val="222222"/>
        </w:rPr>
        <w:t> </w:t>
      </w:r>
      <w:r w:rsidRPr="006A15C2">
        <w:rPr>
          <w:rFonts w:ascii="Book Antiqua" w:hAnsi="Book Antiqua" w:cs="Arial"/>
          <w:color w:val="222222"/>
        </w:rPr>
        <w:t>impact</w:t>
      </w:r>
      <w:r w:rsidRPr="006A15C2">
        <w:rPr>
          <w:rStyle w:val="apple-converted-space"/>
          <w:rFonts w:ascii="Book Antiqua" w:hAnsi="Book Antiqua" w:cs="Arial"/>
          <w:color w:val="222222"/>
        </w:rPr>
        <w:t> </w:t>
      </w:r>
      <w:r w:rsidRPr="006A15C2">
        <w:rPr>
          <w:rFonts w:ascii="Book Antiqua" w:hAnsi="Book Antiqua" w:cs="Arial"/>
          <w:color w:val="222222"/>
        </w:rPr>
        <w:t>remains to be fully elucidated.</w:t>
      </w:r>
      <w:r w:rsidRPr="006A15C2">
        <w:rPr>
          <w:rStyle w:val="apple-converted-space"/>
          <w:rFonts w:ascii="Book Antiqua" w:hAnsi="Book Antiqua" w:cs="Arial"/>
          <w:color w:val="222222"/>
        </w:rPr>
        <w:t> </w:t>
      </w:r>
      <w:r w:rsidRPr="006A15C2">
        <w:rPr>
          <w:rFonts w:ascii="Book Antiqua" w:hAnsi="Book Antiqua" w:cs="Arial"/>
          <w:color w:val="222222"/>
        </w:rPr>
        <w:t>With regard to iron absorption, the current literature reports IDA occurrence in up to 27% of patients with PA, this suggesting that CAAG should be taken into consideration in patients with unexplained IDA, after the proper exclusion of potential bleeding lesions. On the other hand, it appears relevant to evaluate the iron status in CAAG patients at diagnosis and</w:t>
      </w:r>
      <w:r w:rsidRPr="006A15C2">
        <w:rPr>
          <w:rStyle w:val="apple-converted-space"/>
          <w:rFonts w:ascii="Book Antiqua" w:hAnsi="Book Antiqua" w:cs="Arial"/>
          <w:color w:val="222222"/>
        </w:rPr>
        <w:t> </w:t>
      </w:r>
      <w:r w:rsidRPr="006A15C2">
        <w:rPr>
          <w:rFonts w:ascii="Book Antiqua" w:hAnsi="Book Antiqua" w:cs="Arial"/>
          <w:color w:val="222222"/>
        </w:rPr>
        <w:t>during follow-up</w:t>
      </w:r>
      <w:r w:rsidR="00FA2F0D" w:rsidRPr="006A15C2">
        <w:rPr>
          <w:rFonts w:ascii="Book Antiqua" w:hAnsi="Book Antiqua" w:cs="Arial"/>
          <w:color w:val="222222"/>
          <w:vertAlign w:val="superscript"/>
        </w:rPr>
        <w:t>[57]</w:t>
      </w:r>
      <w:r w:rsidRPr="006A15C2">
        <w:rPr>
          <w:rFonts w:ascii="Book Antiqua" w:hAnsi="Book Antiqua" w:cs="Arial"/>
          <w:color w:val="222222"/>
        </w:rPr>
        <w:t>.</w:t>
      </w:r>
    </w:p>
    <w:p w14:paraId="150120B7" w14:textId="77777777" w:rsidR="00074570" w:rsidRPr="006A15C2" w:rsidRDefault="00074570" w:rsidP="00FA2F0D">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color w:val="222222"/>
        </w:rPr>
      </w:pPr>
      <w:r w:rsidRPr="006A15C2">
        <w:rPr>
          <w:rFonts w:ascii="Book Antiqua" w:hAnsi="Book Antiqua" w:cs="Arial"/>
          <w:color w:val="222222"/>
        </w:rPr>
        <w:t>Finally, as some reports suggest, CAAG may lead to</w:t>
      </w:r>
      <w:r w:rsidRPr="006A15C2">
        <w:rPr>
          <w:rStyle w:val="apple-converted-space"/>
          <w:rFonts w:ascii="Book Antiqua" w:hAnsi="Book Antiqua" w:cs="Arial"/>
          <w:color w:val="222222"/>
        </w:rPr>
        <w:t> </w:t>
      </w:r>
      <w:r w:rsidRPr="006A15C2">
        <w:rPr>
          <w:rFonts w:ascii="Book Antiqua" w:hAnsi="Book Antiqua" w:cs="Arial"/>
          <w:color w:val="222222"/>
        </w:rPr>
        <w:t>an increased</w:t>
      </w:r>
      <w:r w:rsidRPr="006A15C2">
        <w:rPr>
          <w:rStyle w:val="apple-converted-space"/>
          <w:rFonts w:ascii="Book Antiqua" w:hAnsi="Book Antiqua" w:cs="Arial"/>
          <w:color w:val="222222"/>
        </w:rPr>
        <w:t> </w:t>
      </w:r>
      <w:r w:rsidRPr="006A15C2">
        <w:rPr>
          <w:rFonts w:ascii="Book Antiqua" w:hAnsi="Book Antiqua" w:cs="Arial"/>
          <w:color w:val="222222"/>
        </w:rPr>
        <w:t>risk of osteoporosis and pathological fractures secondary to</w:t>
      </w:r>
      <w:r w:rsidRPr="006A15C2">
        <w:rPr>
          <w:rStyle w:val="apple-converted-space"/>
          <w:rFonts w:ascii="Book Antiqua" w:hAnsi="Book Antiqua" w:cs="Arial"/>
          <w:i/>
          <w:iCs/>
          <w:color w:val="222222"/>
        </w:rPr>
        <w:t> </w:t>
      </w:r>
      <w:r w:rsidRPr="006A15C2">
        <w:rPr>
          <w:rFonts w:ascii="Book Antiqua" w:hAnsi="Book Antiqua" w:cs="Arial"/>
          <w:color w:val="222222"/>
        </w:rPr>
        <w:t>the deficiency of</w:t>
      </w:r>
      <w:r w:rsidRPr="006A15C2">
        <w:rPr>
          <w:rStyle w:val="apple-converted-space"/>
          <w:rFonts w:ascii="Book Antiqua" w:hAnsi="Book Antiqua" w:cs="Arial"/>
          <w:color w:val="222222"/>
        </w:rPr>
        <w:t> </w:t>
      </w:r>
      <w:r w:rsidRPr="006A15C2">
        <w:rPr>
          <w:rFonts w:ascii="Book Antiqua" w:hAnsi="Book Antiqua" w:cs="Arial"/>
          <w:color w:val="222222"/>
        </w:rPr>
        <w:t>vitamin B12 and/or calcium and vitamin D: the prompt recognition of</w:t>
      </w:r>
      <w:r w:rsidRPr="006A15C2">
        <w:rPr>
          <w:rStyle w:val="apple-converted-space"/>
          <w:rFonts w:ascii="Book Antiqua" w:hAnsi="Book Antiqua" w:cs="Arial"/>
          <w:color w:val="222222"/>
        </w:rPr>
        <w:t> </w:t>
      </w:r>
      <w:r w:rsidRPr="006A15C2">
        <w:rPr>
          <w:rFonts w:ascii="Book Antiqua" w:hAnsi="Book Antiqua" w:cs="Arial"/>
          <w:color w:val="222222"/>
        </w:rPr>
        <w:t>such deficiencies is crucial to reduce the risk of bone fractures.</w:t>
      </w:r>
    </w:p>
    <w:p w14:paraId="35A1E74B" w14:textId="0FE35502" w:rsidR="00687605" w:rsidRPr="00FA2F0D" w:rsidRDefault="00074570" w:rsidP="00FA2F0D">
      <w:pPr>
        <w:pStyle w:val="NormalWeb"/>
        <w:shd w:val="clear" w:color="auto" w:fill="FFFFFF"/>
        <w:snapToGrid w:val="0"/>
        <w:spacing w:before="0" w:beforeAutospacing="0" w:after="0" w:afterAutospacing="0" w:line="360" w:lineRule="auto"/>
        <w:ind w:firstLineChars="100" w:firstLine="240"/>
        <w:jc w:val="both"/>
        <w:rPr>
          <w:rFonts w:ascii="Book Antiqua" w:hAnsi="Book Antiqua" w:cs="Book Antiqua"/>
          <w:lang w:eastAsia="zh-CN"/>
        </w:rPr>
      </w:pPr>
      <w:r w:rsidRPr="006A15C2">
        <w:rPr>
          <w:rFonts w:ascii="Book Antiqua" w:hAnsi="Book Antiqua" w:cs="Arial"/>
          <w:color w:val="222222"/>
        </w:rPr>
        <w:t>Overall, the increasing</w:t>
      </w:r>
      <w:r w:rsidRPr="006A15C2">
        <w:rPr>
          <w:rStyle w:val="apple-converted-space"/>
          <w:rFonts w:ascii="Book Antiqua" w:hAnsi="Book Antiqua" w:cs="Arial"/>
          <w:color w:val="222222"/>
        </w:rPr>
        <w:t> </w:t>
      </w:r>
      <w:r w:rsidRPr="006A15C2">
        <w:rPr>
          <w:rFonts w:ascii="Book Antiqua" w:hAnsi="Book Antiqua" w:cs="Arial"/>
          <w:color w:val="222222"/>
        </w:rPr>
        <w:t>amount of</w:t>
      </w:r>
      <w:r w:rsidRPr="006A15C2">
        <w:rPr>
          <w:rStyle w:val="apple-converted-space"/>
          <w:rFonts w:ascii="Book Antiqua" w:hAnsi="Book Antiqua" w:cs="Arial"/>
          <w:color w:val="222222"/>
        </w:rPr>
        <w:t> </w:t>
      </w:r>
      <w:r w:rsidRPr="006A15C2">
        <w:rPr>
          <w:rFonts w:ascii="Book Antiqua" w:hAnsi="Book Antiqua" w:cs="Arial"/>
          <w:color w:val="222222"/>
        </w:rPr>
        <w:t>evidence on the possible occurrence of multiple vitamin deficiencies in CAAG</w:t>
      </w:r>
      <w:r w:rsidR="008C5AA5" w:rsidRPr="006A15C2">
        <w:rPr>
          <w:rFonts w:ascii="Book Antiqua" w:hAnsi="Book Antiqua" w:cs="Arial"/>
          <w:color w:val="222222"/>
        </w:rPr>
        <w:t>,</w:t>
      </w:r>
      <w:r w:rsidRPr="006A15C2">
        <w:rPr>
          <w:rFonts w:ascii="Book Antiqua" w:hAnsi="Book Antiqua" w:cs="Arial"/>
          <w:color w:val="222222"/>
        </w:rPr>
        <w:t xml:space="preserve"> leading to hematological,</w:t>
      </w:r>
      <w:r w:rsidRPr="006A15C2">
        <w:rPr>
          <w:rFonts w:ascii="Book Antiqua" w:hAnsi="Book Antiqua" w:cs="Arial"/>
          <w:color w:val="222222"/>
          <w:lang w:val="en-US"/>
        </w:rPr>
        <w:t xml:space="preserve"> neurological and skeletal </w:t>
      </w:r>
      <w:r w:rsidR="008C5AA5" w:rsidRPr="006A15C2">
        <w:rPr>
          <w:rFonts w:ascii="Book Antiqua" w:hAnsi="Book Antiqua" w:cs="Arial"/>
          <w:color w:val="222222"/>
          <w:lang w:val="en-US"/>
        </w:rPr>
        <w:t>manifestations,</w:t>
      </w:r>
      <w:r w:rsidRPr="006A15C2">
        <w:rPr>
          <w:rFonts w:ascii="Book Antiqua" w:hAnsi="Book Antiqua" w:cs="Arial"/>
          <w:color w:val="222222"/>
        </w:rPr>
        <w:t xml:space="preserve"> highlights the importance of an integrated evaluation of these patients.</w:t>
      </w:r>
    </w:p>
    <w:p w14:paraId="1F32EE75" w14:textId="16B05DB4" w:rsidR="00E6359B" w:rsidRPr="00FA2F0D" w:rsidRDefault="00687605" w:rsidP="006A15C2">
      <w:pPr>
        <w:pStyle w:val="EndNoteBibliography"/>
        <w:snapToGrid w:val="0"/>
        <w:spacing w:after="0" w:line="360" w:lineRule="auto"/>
        <w:ind w:left="720" w:hanging="720"/>
        <w:jc w:val="both"/>
        <w:rPr>
          <w:rFonts w:ascii="Book Antiqua" w:eastAsiaTheme="minorEastAsia" w:hAnsi="Book Antiqua"/>
          <w:b/>
          <w:sz w:val="24"/>
          <w:szCs w:val="24"/>
          <w:lang w:eastAsia="zh-CN"/>
        </w:rPr>
      </w:pPr>
      <w:r w:rsidRPr="006A15C2">
        <w:rPr>
          <w:rFonts w:ascii="Book Antiqua" w:hAnsi="Book Antiqua" w:cs="Book Antiqua"/>
          <w:sz w:val="24"/>
          <w:szCs w:val="24"/>
          <w:lang w:val="en"/>
        </w:rPr>
        <w:br w:type="page"/>
      </w:r>
      <w:r w:rsidR="00FA2F0D" w:rsidRPr="00FA2F0D">
        <w:rPr>
          <w:rFonts w:ascii="Book Antiqua" w:hAnsi="Book Antiqua"/>
          <w:b/>
          <w:sz w:val="24"/>
          <w:szCs w:val="24"/>
        </w:rPr>
        <w:lastRenderedPageBreak/>
        <w:t>REFERENCES</w:t>
      </w:r>
    </w:p>
    <w:p w14:paraId="5D404DE5"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1 </w:t>
      </w:r>
      <w:proofErr w:type="spellStart"/>
      <w:r w:rsidRPr="0052733B">
        <w:rPr>
          <w:rFonts w:ascii="Book Antiqua" w:hAnsi="Book Antiqua" w:cs="宋体"/>
          <w:b/>
          <w:bCs/>
          <w:color w:val="000000"/>
          <w:lang w:val="en-US" w:eastAsia="zh-CN"/>
        </w:rPr>
        <w:t>Toh</w:t>
      </w:r>
      <w:proofErr w:type="spellEnd"/>
      <w:r w:rsidRPr="0052733B">
        <w:rPr>
          <w:rFonts w:ascii="Book Antiqua" w:hAnsi="Book Antiqua" w:cs="宋体"/>
          <w:b/>
          <w:bCs/>
          <w:color w:val="000000"/>
          <w:lang w:val="en-US" w:eastAsia="zh-CN"/>
        </w:rPr>
        <w:t xml:space="preserve"> BH</w:t>
      </w:r>
      <w:r w:rsidRPr="0052733B">
        <w:rPr>
          <w:rFonts w:ascii="Book Antiqua" w:hAnsi="Book Antiqua" w:cs="宋体"/>
          <w:color w:val="000000"/>
          <w:lang w:val="en-US" w:eastAsia="zh-CN"/>
        </w:rPr>
        <w:t xml:space="preserve">, van </w:t>
      </w:r>
      <w:proofErr w:type="spellStart"/>
      <w:r w:rsidRPr="0052733B">
        <w:rPr>
          <w:rFonts w:ascii="Book Antiqua" w:hAnsi="Book Antiqua" w:cs="宋体"/>
          <w:color w:val="000000"/>
          <w:lang w:val="en-US" w:eastAsia="zh-CN"/>
        </w:rPr>
        <w:t>Driel</w:t>
      </w:r>
      <w:proofErr w:type="spellEnd"/>
      <w:r w:rsidRPr="0052733B">
        <w:rPr>
          <w:rFonts w:ascii="Book Antiqua" w:hAnsi="Book Antiqua" w:cs="宋体"/>
          <w:color w:val="000000"/>
          <w:lang w:val="en-US" w:eastAsia="zh-CN"/>
        </w:rPr>
        <w:t xml:space="preserve"> IR, Gleeson PA. Pernicious anemia. </w:t>
      </w:r>
      <w:r w:rsidRPr="0052733B">
        <w:rPr>
          <w:rFonts w:ascii="Book Antiqua" w:hAnsi="Book Antiqua" w:cs="宋体"/>
          <w:i/>
          <w:iCs/>
          <w:color w:val="000000"/>
          <w:lang w:val="en-US" w:eastAsia="zh-CN"/>
        </w:rPr>
        <w:t xml:space="preserve">N </w:t>
      </w:r>
      <w:proofErr w:type="spellStart"/>
      <w:r w:rsidRPr="0052733B">
        <w:rPr>
          <w:rFonts w:ascii="Book Antiqua" w:hAnsi="Book Antiqua" w:cs="宋体"/>
          <w:i/>
          <w:iCs/>
          <w:color w:val="000000"/>
          <w:lang w:val="en-US" w:eastAsia="zh-CN"/>
        </w:rPr>
        <w:t>Engl</w:t>
      </w:r>
      <w:proofErr w:type="spellEnd"/>
      <w:r w:rsidRPr="0052733B">
        <w:rPr>
          <w:rFonts w:ascii="Book Antiqua" w:hAnsi="Book Antiqua" w:cs="宋体"/>
          <w:i/>
          <w:iCs/>
          <w:color w:val="000000"/>
          <w:lang w:val="en-US" w:eastAsia="zh-CN"/>
        </w:rPr>
        <w:t xml:space="preserve"> J Med</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1997;</w:t>
      </w:r>
      <w:r w:rsidRPr="0052733B">
        <w:rPr>
          <w:rFonts w:ascii="Book Antiqua" w:hAnsi="Book Antiqua" w:cs="宋体" w:hint="eastAsia"/>
          <w:color w:val="000000"/>
          <w:lang w:val="en-US" w:eastAsia="zh-CN"/>
        </w:rPr>
        <w:t xml:space="preserve"> </w:t>
      </w:r>
      <w:r w:rsidRPr="0052733B">
        <w:rPr>
          <w:rFonts w:ascii="Book Antiqua" w:hAnsi="Book Antiqua" w:cs="宋体"/>
          <w:b/>
          <w:bCs/>
          <w:color w:val="000000"/>
          <w:lang w:val="en-US" w:eastAsia="zh-CN"/>
        </w:rPr>
        <w:t>337</w:t>
      </w:r>
      <w:r w:rsidRPr="0052733B">
        <w:rPr>
          <w:rFonts w:ascii="Book Antiqua" w:hAnsi="Book Antiqua" w:cs="宋体"/>
          <w:color w:val="000000"/>
          <w:lang w:val="en-US" w:eastAsia="zh-CN"/>
        </w:rPr>
        <w:t>:</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1441-1448 [PMID: 9358143 DOI: 10.1056/nejm199711133372007]</w:t>
      </w:r>
    </w:p>
    <w:p w14:paraId="06F92622"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2 </w:t>
      </w:r>
      <w:proofErr w:type="spellStart"/>
      <w:r w:rsidRPr="0052733B">
        <w:rPr>
          <w:rFonts w:ascii="Book Antiqua" w:hAnsi="Book Antiqua" w:cs="宋体"/>
          <w:b/>
          <w:bCs/>
          <w:color w:val="000000"/>
          <w:lang w:val="en-US" w:eastAsia="zh-CN"/>
        </w:rPr>
        <w:t>Toh</w:t>
      </w:r>
      <w:proofErr w:type="spellEnd"/>
      <w:r w:rsidRPr="0052733B">
        <w:rPr>
          <w:rFonts w:ascii="Book Antiqua" w:hAnsi="Book Antiqua" w:cs="宋体"/>
          <w:b/>
          <w:bCs/>
          <w:color w:val="000000"/>
          <w:lang w:val="en-US" w:eastAsia="zh-CN"/>
        </w:rPr>
        <w:t xml:space="preserve"> BH</w:t>
      </w:r>
      <w:r w:rsidRPr="0052733B">
        <w:rPr>
          <w:rFonts w:ascii="Book Antiqua" w:hAnsi="Book Antiqua" w:cs="宋体"/>
          <w:color w:val="000000"/>
          <w:lang w:val="en-US" w:eastAsia="zh-CN"/>
        </w:rPr>
        <w:t>.</w:t>
      </w:r>
      <w:proofErr w:type="gramEnd"/>
      <w:r w:rsidRPr="0052733B">
        <w:rPr>
          <w:rFonts w:ascii="Book Antiqua" w:hAnsi="Book Antiqua" w:cs="宋体"/>
          <w:color w:val="000000"/>
          <w:lang w:val="en-US" w:eastAsia="zh-CN"/>
        </w:rPr>
        <w:t xml:space="preserve"> </w:t>
      </w:r>
      <w:proofErr w:type="gramStart"/>
      <w:r w:rsidRPr="0052733B">
        <w:rPr>
          <w:rFonts w:ascii="Book Antiqua" w:hAnsi="Book Antiqua" w:cs="宋体"/>
          <w:color w:val="000000"/>
          <w:lang w:val="en-US" w:eastAsia="zh-CN"/>
        </w:rPr>
        <w:t>Diagnosis and classification of autoimmune gastritis.</w:t>
      </w:r>
      <w:proofErr w:type="gramEnd"/>
      <w:r w:rsidRPr="0052733B">
        <w:rPr>
          <w:rFonts w:ascii="Book Antiqua" w:hAnsi="Book Antiqua" w:cs="宋体"/>
          <w:color w:val="000000"/>
          <w:lang w:val="en-US" w:eastAsia="zh-CN"/>
        </w:rPr>
        <w:t> </w:t>
      </w:r>
      <w:proofErr w:type="spellStart"/>
      <w:r w:rsidRPr="0052733B">
        <w:rPr>
          <w:rFonts w:ascii="Book Antiqua" w:hAnsi="Book Antiqua" w:cs="宋体"/>
          <w:i/>
          <w:iCs/>
          <w:color w:val="000000"/>
          <w:lang w:val="en-US" w:eastAsia="zh-CN"/>
        </w:rPr>
        <w:t>Autoimmun</w:t>
      </w:r>
      <w:proofErr w:type="spellEnd"/>
      <w:r w:rsidRPr="0052733B">
        <w:rPr>
          <w:rFonts w:ascii="Book Antiqua" w:hAnsi="Book Antiqua" w:cs="宋体"/>
          <w:i/>
          <w:iCs/>
          <w:color w:val="000000"/>
          <w:lang w:val="en-US" w:eastAsia="zh-CN"/>
        </w:rPr>
        <w:t xml:space="preserve"> Rev</w:t>
      </w:r>
      <w:r w:rsidRPr="0052733B">
        <w:rPr>
          <w:rFonts w:ascii="Book Antiqua" w:hAnsi="Book Antiqua" w:cs="宋体"/>
          <w:color w:val="000000"/>
          <w:lang w:val="en-US" w:eastAsia="zh-CN"/>
        </w:rPr>
        <w:t> </w:t>
      </w:r>
      <w:r w:rsidRPr="0052733B">
        <w:rPr>
          <w:rFonts w:ascii="Book Antiqua" w:hAnsi="Book Antiqua" w:cs="宋体" w:hint="eastAsia"/>
          <w:color w:val="000000"/>
          <w:lang w:val="en-US" w:eastAsia="zh-CN"/>
        </w:rPr>
        <w:t>2014</w:t>
      </w:r>
      <w:r w:rsidRPr="0052733B">
        <w:rPr>
          <w:rFonts w:ascii="Book Antiqua" w:hAnsi="Book Antiqua" w:cs="宋体"/>
          <w:color w:val="000000"/>
          <w:lang w:val="en-US" w:eastAsia="zh-CN"/>
        </w:rPr>
        <w:t>; </w:t>
      </w:r>
      <w:r w:rsidRPr="0052733B">
        <w:rPr>
          <w:rFonts w:ascii="Book Antiqua" w:hAnsi="Book Antiqua" w:cs="宋体"/>
          <w:b/>
          <w:bCs/>
          <w:color w:val="000000"/>
          <w:lang w:val="en-US" w:eastAsia="zh-CN"/>
        </w:rPr>
        <w:t>13</w:t>
      </w:r>
      <w:r w:rsidRPr="0052733B">
        <w:rPr>
          <w:rFonts w:ascii="Book Antiqua" w:hAnsi="Book Antiqua" w:cs="宋体"/>
          <w:color w:val="000000"/>
          <w:lang w:val="en-US" w:eastAsia="zh-CN"/>
        </w:rPr>
        <w:t>: 459-462 [PMID: 24424193 DOI: 10.1016/j.autrev.2014.01.048]</w:t>
      </w:r>
    </w:p>
    <w:p w14:paraId="1F3894F6"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3 </w:t>
      </w:r>
      <w:proofErr w:type="spellStart"/>
      <w:r w:rsidRPr="0052733B">
        <w:rPr>
          <w:rFonts w:ascii="Book Antiqua" w:hAnsi="Book Antiqua" w:cs="宋体"/>
          <w:b/>
          <w:bCs/>
          <w:color w:val="000000"/>
          <w:lang w:val="en-US" w:eastAsia="zh-CN"/>
        </w:rPr>
        <w:t>Tozzoli</w:t>
      </w:r>
      <w:proofErr w:type="spellEnd"/>
      <w:r w:rsidRPr="0052733B">
        <w:rPr>
          <w:rFonts w:ascii="Book Antiqua" w:hAnsi="Book Antiqua" w:cs="宋体"/>
          <w:b/>
          <w:bCs/>
          <w:color w:val="000000"/>
          <w:lang w:val="en-US" w:eastAsia="zh-CN"/>
        </w:rPr>
        <w:t xml:space="preserve"> R</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Kodermaz</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Perosa</w:t>
      </w:r>
      <w:proofErr w:type="spellEnd"/>
      <w:r w:rsidRPr="0052733B">
        <w:rPr>
          <w:rFonts w:ascii="Book Antiqua" w:hAnsi="Book Antiqua" w:cs="宋体"/>
          <w:color w:val="000000"/>
          <w:lang w:val="en-US" w:eastAsia="zh-CN"/>
        </w:rPr>
        <w:t xml:space="preserve"> AR, </w:t>
      </w:r>
      <w:proofErr w:type="spellStart"/>
      <w:r w:rsidRPr="0052733B">
        <w:rPr>
          <w:rFonts w:ascii="Book Antiqua" w:hAnsi="Book Antiqua" w:cs="宋体"/>
          <w:color w:val="000000"/>
          <w:lang w:val="en-US" w:eastAsia="zh-CN"/>
        </w:rPr>
        <w:t>Tampoia</w:t>
      </w:r>
      <w:proofErr w:type="spellEnd"/>
      <w:r w:rsidRPr="0052733B">
        <w:rPr>
          <w:rFonts w:ascii="Book Antiqua" w:hAnsi="Book Antiqua" w:cs="宋体"/>
          <w:color w:val="000000"/>
          <w:lang w:val="en-US" w:eastAsia="zh-CN"/>
        </w:rPr>
        <w:t xml:space="preserve"> M, </w:t>
      </w:r>
      <w:proofErr w:type="spellStart"/>
      <w:r w:rsidRPr="0052733B">
        <w:rPr>
          <w:rFonts w:ascii="Book Antiqua" w:hAnsi="Book Antiqua" w:cs="宋体"/>
          <w:color w:val="000000"/>
          <w:lang w:val="en-US" w:eastAsia="zh-CN"/>
        </w:rPr>
        <w:t>Zucano</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Antico</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Bizzaro</w:t>
      </w:r>
      <w:proofErr w:type="spellEnd"/>
      <w:r w:rsidRPr="0052733B">
        <w:rPr>
          <w:rFonts w:ascii="Book Antiqua" w:hAnsi="Book Antiqua" w:cs="宋体"/>
          <w:color w:val="000000"/>
          <w:lang w:val="en-US" w:eastAsia="zh-CN"/>
        </w:rPr>
        <w:t xml:space="preserve"> N. Autoantibodies to parietal cells as predictors of atrophic body gastritis: a five-year prospective study in patients with autoimmune thyroid diseases.</w:t>
      </w:r>
      <w:r w:rsidRPr="0052733B">
        <w:rPr>
          <w:rFonts w:ascii="Book Antiqua" w:hAnsi="Book Antiqua" w:cs="宋体" w:hint="eastAsia"/>
          <w:color w:val="000000"/>
          <w:lang w:val="en-US" w:eastAsia="zh-CN"/>
        </w:rPr>
        <w:t xml:space="preserve"> </w:t>
      </w:r>
      <w:proofErr w:type="spellStart"/>
      <w:r w:rsidRPr="0052733B">
        <w:rPr>
          <w:rFonts w:ascii="Book Antiqua" w:hAnsi="Book Antiqua" w:cs="宋体"/>
          <w:i/>
          <w:iCs/>
          <w:color w:val="000000"/>
          <w:lang w:val="en-US" w:eastAsia="zh-CN"/>
        </w:rPr>
        <w:t>Autoimmun</w:t>
      </w:r>
      <w:proofErr w:type="spellEnd"/>
      <w:r w:rsidRPr="0052733B">
        <w:rPr>
          <w:rFonts w:ascii="Book Antiqua" w:hAnsi="Book Antiqua" w:cs="宋体"/>
          <w:i/>
          <w:iCs/>
          <w:color w:val="000000"/>
          <w:lang w:val="en-US" w:eastAsia="zh-CN"/>
        </w:rPr>
        <w:t xml:space="preserve"> Rev</w:t>
      </w:r>
      <w:r w:rsidRPr="0052733B">
        <w:rPr>
          <w:rFonts w:ascii="Book Antiqua" w:hAnsi="Book Antiqua" w:cs="宋体"/>
          <w:color w:val="000000"/>
          <w:lang w:val="en-US" w:eastAsia="zh-CN"/>
        </w:rPr>
        <w:t> 2010; </w:t>
      </w:r>
      <w:r w:rsidRPr="0052733B">
        <w:rPr>
          <w:rFonts w:ascii="Book Antiqua" w:hAnsi="Book Antiqua" w:cs="宋体"/>
          <w:b/>
          <w:bCs/>
          <w:color w:val="000000"/>
          <w:lang w:val="en-US" w:eastAsia="zh-CN"/>
        </w:rPr>
        <w:t>10</w:t>
      </w:r>
      <w:r w:rsidRPr="0052733B">
        <w:rPr>
          <w:rFonts w:ascii="Book Antiqua" w:hAnsi="Book Antiqua" w:cs="宋体"/>
          <w:color w:val="000000"/>
          <w:lang w:val="en-US" w:eastAsia="zh-CN"/>
        </w:rPr>
        <w:t>: 80-83 [PMID: 20696284 DOI: 10.1016/j.autrev.2010.08.006]</w:t>
      </w:r>
    </w:p>
    <w:p w14:paraId="58B75418"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4 </w:t>
      </w:r>
      <w:proofErr w:type="spellStart"/>
      <w:r w:rsidRPr="0052733B">
        <w:rPr>
          <w:rFonts w:ascii="Book Antiqua" w:hAnsi="Book Antiqua" w:cs="宋体"/>
          <w:b/>
          <w:bCs/>
          <w:color w:val="000000"/>
          <w:lang w:val="en-US" w:eastAsia="zh-CN"/>
        </w:rPr>
        <w:t>Toh</w:t>
      </w:r>
      <w:proofErr w:type="spellEnd"/>
      <w:r w:rsidRPr="0052733B">
        <w:rPr>
          <w:rFonts w:ascii="Book Antiqua" w:hAnsi="Book Antiqua" w:cs="宋体"/>
          <w:b/>
          <w:bCs/>
          <w:color w:val="000000"/>
          <w:lang w:val="en-US" w:eastAsia="zh-CN"/>
        </w:rPr>
        <w:t xml:space="preserve"> BH</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Alderuccio</w:t>
      </w:r>
      <w:proofErr w:type="spellEnd"/>
      <w:r w:rsidRPr="0052733B">
        <w:rPr>
          <w:rFonts w:ascii="Book Antiqua" w:hAnsi="Book Antiqua" w:cs="宋体"/>
          <w:color w:val="000000"/>
          <w:lang w:val="en-US" w:eastAsia="zh-CN"/>
        </w:rPr>
        <w:t xml:space="preserve"> F. Pernicious </w:t>
      </w:r>
      <w:proofErr w:type="spellStart"/>
      <w:r w:rsidRPr="0052733B">
        <w:rPr>
          <w:rFonts w:ascii="Book Antiqua" w:hAnsi="Book Antiqua" w:cs="宋体"/>
          <w:color w:val="000000"/>
          <w:lang w:val="en-US" w:eastAsia="zh-CN"/>
        </w:rPr>
        <w:t>anaemia</w:t>
      </w:r>
      <w:proofErr w:type="spellEnd"/>
      <w:r w:rsidRPr="0052733B">
        <w:rPr>
          <w:rFonts w:ascii="Book Antiqua" w:hAnsi="Book Antiqua" w:cs="宋体"/>
          <w:color w:val="000000"/>
          <w:lang w:val="en-US" w:eastAsia="zh-CN"/>
        </w:rPr>
        <w:t>.</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Autoimmunity</w:t>
      </w:r>
      <w:r w:rsidRPr="0052733B">
        <w:rPr>
          <w:rFonts w:ascii="Book Antiqua" w:hAnsi="Book Antiqua" w:cs="宋体"/>
          <w:color w:val="000000"/>
          <w:lang w:val="en-US" w:eastAsia="zh-CN"/>
        </w:rPr>
        <w:t> 2004; </w:t>
      </w:r>
      <w:r w:rsidRPr="0052733B">
        <w:rPr>
          <w:rFonts w:ascii="Book Antiqua" w:hAnsi="Book Antiqua" w:cs="宋体"/>
          <w:b/>
          <w:bCs/>
          <w:color w:val="000000"/>
          <w:lang w:val="en-US" w:eastAsia="zh-CN"/>
        </w:rPr>
        <w:t>37</w:t>
      </w:r>
      <w:r w:rsidRPr="0052733B">
        <w:rPr>
          <w:rFonts w:ascii="Book Antiqua" w:hAnsi="Book Antiqua" w:cs="宋体"/>
          <w:color w:val="000000"/>
          <w:lang w:val="en-US" w:eastAsia="zh-CN"/>
        </w:rPr>
        <w:t>: 357-361 [PMID: 15518059 DOI: 10.1080/08916930410001705439]</w:t>
      </w:r>
    </w:p>
    <w:p w14:paraId="0C21F570"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5 </w:t>
      </w:r>
      <w:r w:rsidRPr="0052733B">
        <w:rPr>
          <w:rFonts w:ascii="Book Antiqua" w:hAnsi="Book Antiqua" w:cs="宋体"/>
          <w:b/>
          <w:bCs/>
          <w:color w:val="000000"/>
          <w:lang w:val="en-US" w:eastAsia="zh-CN"/>
        </w:rPr>
        <w:t>Faller G</w:t>
      </w:r>
      <w:r w:rsidRPr="0052733B">
        <w:rPr>
          <w:rFonts w:ascii="Book Antiqua" w:hAnsi="Book Antiqua" w:cs="宋体"/>
          <w:color w:val="000000"/>
          <w:lang w:val="en-US" w:eastAsia="zh-CN"/>
        </w:rPr>
        <w:t xml:space="preserve">, Kirchner T. Immunological and </w:t>
      </w:r>
      <w:proofErr w:type="spellStart"/>
      <w:r w:rsidRPr="0052733B">
        <w:rPr>
          <w:rFonts w:ascii="Book Antiqua" w:hAnsi="Book Antiqua" w:cs="宋体"/>
          <w:color w:val="000000"/>
          <w:lang w:val="en-US" w:eastAsia="zh-CN"/>
        </w:rPr>
        <w:t>morphogenic</w:t>
      </w:r>
      <w:proofErr w:type="spellEnd"/>
      <w:r w:rsidRPr="0052733B">
        <w:rPr>
          <w:rFonts w:ascii="Book Antiqua" w:hAnsi="Book Antiqua" w:cs="宋体"/>
          <w:color w:val="000000"/>
          <w:lang w:val="en-US" w:eastAsia="zh-CN"/>
        </w:rPr>
        <w:t xml:space="preserve"> basis of gastric mucosa atrophy and metaplasia.</w:t>
      </w:r>
      <w:proofErr w:type="gramEnd"/>
      <w:r w:rsidRPr="0052733B">
        <w:rPr>
          <w:rFonts w:ascii="Book Antiqua" w:hAnsi="Book Antiqua" w:cs="宋体"/>
          <w:color w:val="000000"/>
          <w:lang w:val="en-US" w:eastAsia="zh-CN"/>
        </w:rPr>
        <w:t> </w:t>
      </w:r>
      <w:proofErr w:type="spellStart"/>
      <w:r w:rsidRPr="0052733B">
        <w:rPr>
          <w:rFonts w:ascii="Book Antiqua" w:hAnsi="Book Antiqua" w:cs="宋体"/>
          <w:i/>
          <w:iCs/>
          <w:color w:val="000000"/>
          <w:lang w:val="en-US" w:eastAsia="zh-CN"/>
        </w:rPr>
        <w:t>Virchows</w:t>
      </w:r>
      <w:proofErr w:type="spellEnd"/>
      <w:r w:rsidRPr="0052733B">
        <w:rPr>
          <w:rFonts w:ascii="Book Antiqua" w:hAnsi="Book Antiqua" w:cs="宋体"/>
          <w:i/>
          <w:iCs/>
          <w:color w:val="000000"/>
          <w:lang w:val="en-US" w:eastAsia="zh-CN"/>
        </w:rPr>
        <w:t xml:space="preserve"> Arch</w:t>
      </w:r>
      <w:r w:rsidRPr="0052733B">
        <w:rPr>
          <w:rFonts w:ascii="Book Antiqua" w:hAnsi="Book Antiqua" w:cs="宋体"/>
          <w:color w:val="000000"/>
          <w:lang w:val="en-US" w:eastAsia="zh-CN"/>
        </w:rPr>
        <w:t> 2005; </w:t>
      </w:r>
      <w:r w:rsidRPr="0052733B">
        <w:rPr>
          <w:rFonts w:ascii="Book Antiqua" w:hAnsi="Book Antiqua" w:cs="宋体"/>
          <w:b/>
          <w:bCs/>
          <w:color w:val="000000"/>
          <w:lang w:val="en-US" w:eastAsia="zh-CN"/>
        </w:rPr>
        <w:t>446</w:t>
      </w:r>
      <w:r w:rsidRPr="0052733B">
        <w:rPr>
          <w:rFonts w:ascii="Book Antiqua" w:hAnsi="Book Antiqua" w:cs="宋体"/>
          <w:color w:val="000000"/>
          <w:lang w:val="en-US" w:eastAsia="zh-CN"/>
        </w:rPr>
        <w:t>: 1-9 [PMID: 15583929 DOI: 10.1007/s00428-004-1157-3]</w:t>
      </w:r>
    </w:p>
    <w:p w14:paraId="0DD17F90"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6</w:t>
      </w:r>
      <w:r w:rsidRPr="0052733B">
        <w:rPr>
          <w:rFonts w:ascii="Book Antiqua" w:hAnsi="Book Antiqua" w:cs="宋体" w:hint="eastAsia"/>
          <w:color w:val="000000"/>
          <w:lang w:val="en-US" w:eastAsia="zh-CN"/>
        </w:rPr>
        <w:t xml:space="preserve"> </w:t>
      </w:r>
      <w:proofErr w:type="spellStart"/>
      <w:r w:rsidRPr="0052733B">
        <w:rPr>
          <w:rFonts w:ascii="Book Antiqua" w:hAnsi="Book Antiqua" w:cs="宋体"/>
          <w:b/>
          <w:color w:val="000000"/>
          <w:lang w:val="en-US" w:eastAsia="zh-CN"/>
        </w:rPr>
        <w:t>Solcia</w:t>
      </w:r>
      <w:proofErr w:type="spellEnd"/>
      <w:r w:rsidRPr="0052733B">
        <w:rPr>
          <w:rFonts w:ascii="Book Antiqua" w:hAnsi="Book Antiqua" w:cs="宋体"/>
          <w:b/>
          <w:color w:val="000000"/>
          <w:lang w:val="en-US" w:eastAsia="zh-CN"/>
        </w:rPr>
        <w:t xml:space="preserve"> E</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Capella</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Fiocca</w:t>
      </w:r>
      <w:proofErr w:type="spellEnd"/>
      <w:r w:rsidRPr="0052733B">
        <w:rPr>
          <w:rFonts w:ascii="Book Antiqua" w:hAnsi="Book Antiqua" w:cs="宋体"/>
          <w:color w:val="000000"/>
          <w:lang w:val="en-US" w:eastAsia="zh-CN"/>
        </w:rPr>
        <w:t xml:space="preserve"> R, </w:t>
      </w:r>
      <w:proofErr w:type="spellStart"/>
      <w:r w:rsidRPr="0052733B">
        <w:rPr>
          <w:rFonts w:ascii="Book Antiqua" w:hAnsi="Book Antiqua" w:cs="宋体"/>
          <w:color w:val="000000"/>
          <w:lang w:val="en-US" w:eastAsia="zh-CN"/>
        </w:rPr>
        <w:t>Cornaggia</w:t>
      </w:r>
      <w:proofErr w:type="spellEnd"/>
      <w:r w:rsidRPr="0052733B">
        <w:rPr>
          <w:rFonts w:ascii="Book Antiqua" w:hAnsi="Book Antiqua" w:cs="宋体"/>
          <w:color w:val="000000"/>
          <w:lang w:val="en-US" w:eastAsia="zh-CN"/>
        </w:rPr>
        <w:t xml:space="preserve"> M, </w:t>
      </w:r>
      <w:proofErr w:type="spellStart"/>
      <w:r w:rsidRPr="0052733B">
        <w:rPr>
          <w:rFonts w:ascii="Book Antiqua" w:hAnsi="Book Antiqua" w:cs="宋体"/>
          <w:color w:val="000000"/>
          <w:lang w:val="en-US" w:eastAsia="zh-CN"/>
        </w:rPr>
        <w:t>Rindi</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Villani</w:t>
      </w:r>
      <w:proofErr w:type="spellEnd"/>
      <w:r w:rsidRPr="0052733B">
        <w:rPr>
          <w:rFonts w:ascii="Book Antiqua" w:hAnsi="Book Antiqua" w:cs="宋体"/>
          <w:color w:val="000000"/>
          <w:lang w:val="en-US" w:eastAsia="zh-CN"/>
        </w:rPr>
        <w:t xml:space="preserve"> L, </w:t>
      </w:r>
      <w:proofErr w:type="spellStart"/>
      <w:r w:rsidRPr="0052733B">
        <w:rPr>
          <w:rFonts w:ascii="Book Antiqua" w:hAnsi="Book Antiqua" w:cs="宋体"/>
          <w:color w:val="000000"/>
          <w:lang w:val="en-US" w:eastAsia="zh-CN"/>
        </w:rPr>
        <w:t>Bosi</w:t>
      </w:r>
      <w:proofErr w:type="spellEnd"/>
      <w:r w:rsidRPr="0052733B">
        <w:rPr>
          <w:rFonts w:ascii="Book Antiqua" w:hAnsi="Book Antiqua" w:cs="宋体"/>
          <w:color w:val="000000"/>
          <w:lang w:val="en-US" w:eastAsia="zh-CN"/>
        </w:rPr>
        <w:t xml:space="preserve"> F, </w:t>
      </w:r>
      <w:proofErr w:type="spellStart"/>
      <w:r w:rsidRPr="0052733B">
        <w:rPr>
          <w:rFonts w:ascii="Book Antiqua" w:hAnsi="Book Antiqua" w:cs="宋体"/>
          <w:color w:val="000000"/>
          <w:lang w:val="en-US" w:eastAsia="zh-CN"/>
        </w:rPr>
        <w:t>Ambrosiani</w:t>
      </w:r>
      <w:proofErr w:type="spellEnd"/>
      <w:r w:rsidRPr="0052733B">
        <w:rPr>
          <w:rFonts w:ascii="Book Antiqua" w:hAnsi="Book Antiqua" w:cs="宋体"/>
          <w:color w:val="000000"/>
          <w:lang w:val="en-US" w:eastAsia="zh-CN"/>
        </w:rPr>
        <w:t xml:space="preserve"> L. Exocrine and endocrine epithelial changes in type A and B chronic gastritis. In: </w:t>
      </w:r>
      <w:proofErr w:type="spellStart"/>
      <w:r w:rsidRPr="0052733B">
        <w:rPr>
          <w:rFonts w:ascii="Book Antiqua" w:hAnsi="Book Antiqua" w:cs="宋体"/>
          <w:color w:val="000000"/>
          <w:lang w:val="en-US" w:eastAsia="zh-CN"/>
        </w:rPr>
        <w:t>Malfertheiner</w:t>
      </w:r>
      <w:proofErr w:type="spellEnd"/>
      <w:r w:rsidRPr="0052733B">
        <w:rPr>
          <w:rFonts w:ascii="Book Antiqua" w:hAnsi="Book Antiqua" w:cs="宋体"/>
          <w:color w:val="000000"/>
          <w:lang w:val="en-US" w:eastAsia="zh-CN"/>
        </w:rPr>
        <w:t xml:space="preserve"> P, </w:t>
      </w:r>
      <w:proofErr w:type="spellStart"/>
      <w:r w:rsidRPr="0052733B">
        <w:rPr>
          <w:rFonts w:ascii="Book Antiqua" w:hAnsi="Book Antiqua" w:cs="宋体"/>
          <w:color w:val="000000"/>
          <w:lang w:val="en-US" w:eastAsia="zh-CN"/>
        </w:rPr>
        <w:t>Ditschuneit</w:t>
      </w:r>
      <w:proofErr w:type="spellEnd"/>
      <w:r w:rsidRPr="0052733B">
        <w:rPr>
          <w:rFonts w:ascii="Book Antiqua" w:hAnsi="Book Antiqua" w:cs="宋体"/>
          <w:color w:val="000000"/>
          <w:lang w:val="en-US" w:eastAsia="zh-CN"/>
        </w:rPr>
        <w:t xml:space="preserve"> H, editors. </w:t>
      </w:r>
      <w:proofErr w:type="gramStart"/>
      <w:r w:rsidRPr="0052733B">
        <w:rPr>
          <w:rFonts w:ascii="Book Antiqua" w:hAnsi="Book Antiqua" w:cs="宋体"/>
          <w:color w:val="000000"/>
          <w:lang w:val="en-US" w:eastAsia="zh-CN"/>
        </w:rPr>
        <w:t>Helicobacter pylori, Gastritis and Peptic Ulcer.</w:t>
      </w:r>
      <w:proofErr w:type="gramEnd"/>
      <w:r w:rsidRPr="0052733B">
        <w:rPr>
          <w:rFonts w:ascii="Book Antiqua" w:hAnsi="Book Antiqua" w:cs="宋体"/>
          <w:color w:val="000000"/>
          <w:lang w:val="en-US" w:eastAsia="zh-CN"/>
        </w:rPr>
        <w:t xml:space="preserve"> Berlin: Springer Berlin Heidelberg, 1990: 245-258</w:t>
      </w:r>
    </w:p>
    <w:p w14:paraId="391781CB"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w:t>
      </w:r>
      <w:r w:rsidRPr="0052733B">
        <w:rPr>
          <w:rFonts w:ascii="Book Antiqua" w:hAnsi="Book Antiqua" w:cs="宋体" w:hint="eastAsia"/>
          <w:color w:val="000000"/>
          <w:lang w:val="en-US" w:eastAsia="zh-CN"/>
        </w:rPr>
        <w:t xml:space="preserve"> </w:t>
      </w:r>
      <w:proofErr w:type="spellStart"/>
      <w:r w:rsidRPr="0052733B">
        <w:rPr>
          <w:rFonts w:ascii="Book Antiqua" w:hAnsi="Book Antiqua" w:cs="宋体"/>
          <w:b/>
          <w:color w:val="000000"/>
          <w:lang w:val="en-US" w:eastAsia="zh-CN"/>
        </w:rPr>
        <w:t>Wintrobe</w:t>
      </w:r>
      <w:proofErr w:type="spellEnd"/>
      <w:r w:rsidRPr="0052733B">
        <w:rPr>
          <w:rFonts w:ascii="Book Antiqua" w:hAnsi="Book Antiqua" w:cs="宋体"/>
          <w:b/>
          <w:color w:val="000000"/>
          <w:lang w:val="en-US" w:eastAsia="zh-CN"/>
        </w:rPr>
        <w:t xml:space="preserve"> M</w:t>
      </w:r>
      <w:r w:rsidRPr="0052733B">
        <w:rPr>
          <w:rFonts w:ascii="Book Antiqua" w:hAnsi="Book Antiqua" w:cs="宋体"/>
          <w:color w:val="000000"/>
          <w:lang w:val="en-US" w:eastAsia="zh-CN"/>
        </w:rPr>
        <w:t xml:space="preserve">, Lee G, Boggs D, </w:t>
      </w:r>
      <w:proofErr w:type="spellStart"/>
      <w:r w:rsidRPr="0052733B">
        <w:rPr>
          <w:rFonts w:ascii="Book Antiqua" w:hAnsi="Book Antiqua" w:cs="宋体"/>
          <w:color w:val="000000"/>
          <w:lang w:val="en-US" w:eastAsia="zh-CN"/>
        </w:rPr>
        <w:t>Bithell</w:t>
      </w:r>
      <w:proofErr w:type="spellEnd"/>
      <w:r w:rsidRPr="0052733B">
        <w:rPr>
          <w:rFonts w:ascii="Book Antiqua" w:hAnsi="Book Antiqua" w:cs="宋体"/>
          <w:color w:val="000000"/>
          <w:lang w:val="en-US" w:eastAsia="zh-CN"/>
        </w:rPr>
        <w:t xml:space="preserve"> T, </w:t>
      </w:r>
      <w:proofErr w:type="spellStart"/>
      <w:r w:rsidRPr="0052733B">
        <w:rPr>
          <w:rFonts w:ascii="Book Antiqua" w:hAnsi="Book Antiqua" w:cs="宋体"/>
          <w:color w:val="000000"/>
          <w:lang w:val="en-US" w:eastAsia="zh-CN"/>
        </w:rPr>
        <w:t>Foerster</w:t>
      </w:r>
      <w:proofErr w:type="spellEnd"/>
      <w:r w:rsidRPr="0052733B">
        <w:rPr>
          <w:rFonts w:ascii="Book Antiqua" w:hAnsi="Book Antiqua" w:cs="宋体"/>
          <w:color w:val="000000"/>
          <w:lang w:val="en-US" w:eastAsia="zh-CN"/>
        </w:rPr>
        <w:t xml:space="preserve"> J, Athens J, Lukens J. </w:t>
      </w:r>
      <w:proofErr w:type="spellStart"/>
      <w:r w:rsidRPr="0052733B">
        <w:rPr>
          <w:rFonts w:ascii="Book Antiqua" w:hAnsi="Book Antiqua" w:cs="宋体"/>
          <w:color w:val="000000"/>
          <w:lang w:val="en-US" w:eastAsia="zh-CN"/>
        </w:rPr>
        <w:t>Megaloblastic</w:t>
      </w:r>
      <w:proofErr w:type="spellEnd"/>
      <w:r w:rsidRPr="0052733B">
        <w:rPr>
          <w:rFonts w:ascii="Book Antiqua" w:hAnsi="Book Antiqua" w:cs="宋体"/>
          <w:color w:val="000000"/>
          <w:lang w:val="en-US" w:eastAsia="zh-CN"/>
        </w:rPr>
        <w:t xml:space="preserve"> and </w:t>
      </w:r>
      <w:proofErr w:type="spellStart"/>
      <w:r w:rsidRPr="0052733B">
        <w:rPr>
          <w:rFonts w:ascii="Book Antiqua" w:hAnsi="Book Antiqua" w:cs="宋体"/>
          <w:color w:val="000000"/>
          <w:lang w:val="en-US" w:eastAsia="zh-CN"/>
        </w:rPr>
        <w:t>nonmegaloblastic</w:t>
      </w:r>
      <w:proofErr w:type="spellEnd"/>
      <w:r w:rsidRPr="0052733B">
        <w:rPr>
          <w:rFonts w:ascii="Book Antiqua" w:hAnsi="Book Antiqua" w:cs="宋体"/>
          <w:color w:val="000000"/>
          <w:lang w:val="en-US" w:eastAsia="zh-CN"/>
        </w:rPr>
        <w:t xml:space="preserve"> macrocytic </w:t>
      </w:r>
      <w:proofErr w:type="spellStart"/>
      <w:r w:rsidRPr="0052733B">
        <w:rPr>
          <w:rFonts w:ascii="Book Antiqua" w:hAnsi="Book Antiqua" w:cs="宋体"/>
          <w:color w:val="000000"/>
          <w:lang w:val="en-US" w:eastAsia="zh-CN"/>
        </w:rPr>
        <w:t>anemias</w:t>
      </w:r>
      <w:proofErr w:type="spellEnd"/>
      <w:r w:rsidRPr="0052733B">
        <w:rPr>
          <w:rFonts w:ascii="Book Antiqua" w:hAnsi="Book Antiqua" w:cs="宋体"/>
          <w:color w:val="000000"/>
          <w:lang w:val="en-US" w:eastAsia="zh-CN"/>
        </w:rPr>
        <w:t xml:space="preserve">. In: </w:t>
      </w:r>
      <w:proofErr w:type="spellStart"/>
      <w:r w:rsidRPr="0052733B">
        <w:rPr>
          <w:rFonts w:ascii="Book Antiqua" w:hAnsi="Book Antiqua" w:cs="宋体"/>
          <w:color w:val="000000"/>
          <w:lang w:val="en-US" w:eastAsia="zh-CN"/>
        </w:rPr>
        <w:t>Wintrobe</w:t>
      </w:r>
      <w:proofErr w:type="spellEnd"/>
      <w:r w:rsidRPr="0052733B">
        <w:rPr>
          <w:rFonts w:ascii="Book Antiqua" w:hAnsi="Book Antiqua" w:cs="宋体"/>
          <w:color w:val="000000"/>
          <w:lang w:val="en-US" w:eastAsia="zh-CN"/>
        </w:rPr>
        <w:t xml:space="preserve"> M, Lee G, Boggs D, </w:t>
      </w:r>
      <w:proofErr w:type="spellStart"/>
      <w:r w:rsidRPr="0052733B">
        <w:rPr>
          <w:rFonts w:ascii="Book Antiqua" w:hAnsi="Book Antiqua" w:cs="宋体"/>
          <w:color w:val="000000"/>
          <w:lang w:val="en-US" w:eastAsia="zh-CN"/>
        </w:rPr>
        <w:t>Bithell</w:t>
      </w:r>
      <w:proofErr w:type="spellEnd"/>
      <w:r w:rsidRPr="0052733B">
        <w:rPr>
          <w:rFonts w:ascii="Book Antiqua" w:hAnsi="Book Antiqua" w:cs="宋体"/>
          <w:color w:val="000000"/>
          <w:lang w:val="en-US" w:eastAsia="zh-CN"/>
        </w:rPr>
        <w:t xml:space="preserve"> T, </w:t>
      </w:r>
      <w:proofErr w:type="spellStart"/>
      <w:r w:rsidRPr="0052733B">
        <w:rPr>
          <w:rFonts w:ascii="Book Antiqua" w:hAnsi="Book Antiqua" w:cs="宋体"/>
          <w:color w:val="000000"/>
          <w:lang w:val="en-US" w:eastAsia="zh-CN"/>
        </w:rPr>
        <w:t>Foerster</w:t>
      </w:r>
      <w:proofErr w:type="spellEnd"/>
      <w:r w:rsidRPr="0052733B">
        <w:rPr>
          <w:rFonts w:ascii="Book Antiqua" w:hAnsi="Book Antiqua" w:cs="宋体"/>
          <w:color w:val="000000"/>
          <w:lang w:val="en-US" w:eastAsia="zh-CN"/>
        </w:rPr>
        <w:t xml:space="preserve"> J. editors. Clinical hematology. 8th ed. Philadelphia: Lea &amp; </w:t>
      </w:r>
      <w:proofErr w:type="spellStart"/>
      <w:r w:rsidRPr="0052733B">
        <w:rPr>
          <w:rFonts w:ascii="Book Antiqua" w:hAnsi="Book Antiqua" w:cs="宋体"/>
          <w:color w:val="000000"/>
          <w:lang w:val="en-US" w:eastAsia="zh-CN"/>
        </w:rPr>
        <w:t>Febiger</w:t>
      </w:r>
      <w:proofErr w:type="spellEnd"/>
      <w:r w:rsidRPr="0052733B">
        <w:rPr>
          <w:rFonts w:ascii="Book Antiqua" w:hAnsi="Book Antiqua" w:cs="宋体"/>
          <w:color w:val="000000"/>
          <w:lang w:val="en-US" w:eastAsia="zh-CN"/>
        </w:rPr>
        <w:t>,</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1981:</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559</w:t>
      </w:r>
      <w:r w:rsidRPr="0052733B">
        <w:rPr>
          <w:rFonts w:ascii="Book Antiqua" w:hAnsi="Book Antiqua" w:cs="宋体" w:hint="eastAsia"/>
          <w:color w:val="000000"/>
          <w:lang w:val="en-US" w:eastAsia="zh-CN"/>
        </w:rPr>
        <w:t>-</w:t>
      </w:r>
      <w:r w:rsidRPr="0052733B">
        <w:rPr>
          <w:rFonts w:ascii="Book Antiqua" w:hAnsi="Book Antiqua" w:cs="宋体"/>
          <w:color w:val="000000"/>
          <w:lang w:val="en-US" w:eastAsia="zh-CN"/>
        </w:rPr>
        <w:t>604</w:t>
      </w:r>
    </w:p>
    <w:p w14:paraId="55DB115A"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8 </w:t>
      </w:r>
      <w:proofErr w:type="spellStart"/>
      <w:r w:rsidRPr="0052733B">
        <w:rPr>
          <w:rFonts w:ascii="Book Antiqua" w:hAnsi="Book Antiqua" w:cs="宋体"/>
          <w:b/>
          <w:bCs/>
          <w:color w:val="000000"/>
          <w:lang w:val="en-US" w:eastAsia="zh-CN"/>
        </w:rPr>
        <w:t>Kozyraki</w:t>
      </w:r>
      <w:proofErr w:type="spellEnd"/>
      <w:r w:rsidRPr="0052733B">
        <w:rPr>
          <w:rFonts w:ascii="Book Antiqua" w:hAnsi="Book Antiqua" w:cs="宋体"/>
          <w:b/>
          <w:bCs/>
          <w:color w:val="000000"/>
          <w:lang w:val="en-US" w:eastAsia="zh-CN"/>
        </w:rPr>
        <w:t xml:space="preserve"> R</w:t>
      </w:r>
      <w:r w:rsidRPr="0052733B">
        <w:rPr>
          <w:rFonts w:ascii="Book Antiqua" w:hAnsi="Book Antiqua" w:cs="宋体"/>
          <w:color w:val="000000"/>
          <w:lang w:val="en-US" w:eastAsia="zh-CN"/>
        </w:rPr>
        <w:t>, Cases O. Vitamin B12 absorption: mammalian physiology and acquired and inherited disorders. </w:t>
      </w:r>
      <w:proofErr w:type="spellStart"/>
      <w:r w:rsidRPr="0052733B">
        <w:rPr>
          <w:rFonts w:ascii="Book Antiqua" w:hAnsi="Book Antiqua" w:cs="宋体"/>
          <w:i/>
          <w:iCs/>
          <w:color w:val="000000"/>
          <w:lang w:val="en-US" w:eastAsia="zh-CN"/>
        </w:rPr>
        <w:t>Biochimie</w:t>
      </w:r>
      <w:proofErr w:type="spellEnd"/>
      <w:r w:rsidRPr="0052733B">
        <w:rPr>
          <w:rFonts w:ascii="Book Antiqua" w:hAnsi="Book Antiqua" w:cs="宋体"/>
          <w:color w:val="000000"/>
          <w:lang w:val="en-US" w:eastAsia="zh-CN"/>
        </w:rPr>
        <w:t> 2013; </w:t>
      </w:r>
      <w:r w:rsidRPr="0052733B">
        <w:rPr>
          <w:rFonts w:ascii="Book Antiqua" w:hAnsi="Book Antiqua" w:cs="宋体"/>
          <w:b/>
          <w:bCs/>
          <w:color w:val="000000"/>
          <w:lang w:val="en-US" w:eastAsia="zh-CN"/>
        </w:rPr>
        <w:t>95</w:t>
      </w:r>
      <w:r w:rsidRPr="0052733B">
        <w:rPr>
          <w:rFonts w:ascii="Book Antiqua" w:hAnsi="Book Antiqua" w:cs="宋体"/>
          <w:color w:val="000000"/>
          <w:lang w:val="en-US" w:eastAsia="zh-CN"/>
        </w:rPr>
        <w:t>: 1002-1007 [PMID: 23178706 DOI: 10.1016/j.biochi.2012.11.004]</w:t>
      </w:r>
    </w:p>
    <w:p w14:paraId="503583E9"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9 </w:t>
      </w:r>
      <w:proofErr w:type="spellStart"/>
      <w:r w:rsidRPr="0052733B">
        <w:rPr>
          <w:rFonts w:ascii="Book Antiqua" w:hAnsi="Book Antiqua" w:cs="宋体"/>
          <w:b/>
          <w:bCs/>
          <w:color w:val="000000"/>
          <w:lang w:val="en-US" w:eastAsia="zh-CN"/>
        </w:rPr>
        <w:t>Gonçalves</w:t>
      </w:r>
      <w:proofErr w:type="spellEnd"/>
      <w:r w:rsidRPr="0052733B">
        <w:rPr>
          <w:rFonts w:ascii="Book Antiqua" w:hAnsi="Book Antiqua" w:cs="宋体"/>
          <w:b/>
          <w:bCs/>
          <w:color w:val="000000"/>
          <w:lang w:val="en-US" w:eastAsia="zh-CN"/>
        </w:rPr>
        <w:t xml:space="preserve"> C</w:t>
      </w:r>
      <w:r w:rsidRPr="0052733B">
        <w:rPr>
          <w:rFonts w:ascii="Book Antiqua" w:hAnsi="Book Antiqua" w:cs="宋体"/>
          <w:color w:val="000000"/>
          <w:lang w:val="en-US" w:eastAsia="zh-CN"/>
        </w:rPr>
        <w:t xml:space="preserve">, Oliveira ME, </w:t>
      </w:r>
      <w:proofErr w:type="spellStart"/>
      <w:r w:rsidRPr="0052733B">
        <w:rPr>
          <w:rFonts w:ascii="Book Antiqua" w:hAnsi="Book Antiqua" w:cs="宋体"/>
          <w:color w:val="000000"/>
          <w:lang w:val="en-US" w:eastAsia="zh-CN"/>
        </w:rPr>
        <w:t>Palha</w:t>
      </w:r>
      <w:proofErr w:type="spellEnd"/>
      <w:r w:rsidRPr="0052733B">
        <w:rPr>
          <w:rFonts w:ascii="Book Antiqua" w:hAnsi="Book Antiqua" w:cs="宋体"/>
          <w:color w:val="000000"/>
          <w:lang w:val="en-US" w:eastAsia="zh-CN"/>
        </w:rPr>
        <w:t xml:space="preserve"> AM, </w:t>
      </w:r>
      <w:proofErr w:type="spellStart"/>
      <w:r w:rsidRPr="0052733B">
        <w:rPr>
          <w:rFonts w:ascii="Book Antiqua" w:hAnsi="Book Antiqua" w:cs="宋体"/>
          <w:color w:val="000000"/>
          <w:lang w:val="en-US" w:eastAsia="zh-CN"/>
        </w:rPr>
        <w:t>Ferrão</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Morais</w:t>
      </w:r>
      <w:proofErr w:type="spellEnd"/>
      <w:r w:rsidRPr="0052733B">
        <w:rPr>
          <w:rFonts w:ascii="Book Antiqua" w:hAnsi="Book Antiqua" w:cs="宋体"/>
          <w:color w:val="000000"/>
          <w:lang w:val="en-US" w:eastAsia="zh-CN"/>
        </w:rPr>
        <w:t xml:space="preserve"> A, Lopes AI. </w:t>
      </w:r>
      <w:proofErr w:type="gramStart"/>
      <w:r w:rsidRPr="0052733B">
        <w:rPr>
          <w:rFonts w:ascii="Book Antiqua" w:hAnsi="Book Antiqua" w:cs="宋体"/>
          <w:color w:val="000000"/>
          <w:lang w:val="en-US" w:eastAsia="zh-CN"/>
        </w:rPr>
        <w:t>Autoimmune gastritis presenting as iron deficiency anemia in childhood.</w:t>
      </w:r>
      <w:proofErr w:type="gramEnd"/>
      <w:r w:rsidRPr="0052733B">
        <w:rPr>
          <w:rFonts w:ascii="Book Antiqua" w:hAnsi="Book Antiqua" w:cs="宋体" w:hint="eastAsia"/>
          <w:color w:val="000000"/>
          <w:lang w:val="en-US" w:eastAsia="zh-CN"/>
        </w:rPr>
        <w:t xml:space="preserve"> </w:t>
      </w:r>
      <w:r w:rsidRPr="0052733B">
        <w:rPr>
          <w:rFonts w:ascii="Book Antiqua" w:hAnsi="Book Antiqua" w:cs="宋体"/>
          <w:i/>
          <w:iCs/>
          <w:color w:val="000000"/>
          <w:lang w:val="en-US" w:eastAsia="zh-CN"/>
        </w:rPr>
        <w:t xml:space="preserve">World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2014; </w:t>
      </w:r>
      <w:r w:rsidRPr="0052733B">
        <w:rPr>
          <w:rFonts w:ascii="Book Antiqua" w:hAnsi="Book Antiqua" w:cs="宋体"/>
          <w:b/>
          <w:bCs/>
          <w:color w:val="000000"/>
          <w:lang w:val="en-US" w:eastAsia="zh-CN"/>
        </w:rPr>
        <w:t>20</w:t>
      </w:r>
      <w:r w:rsidRPr="0052733B">
        <w:rPr>
          <w:rFonts w:ascii="Book Antiqua" w:hAnsi="Book Antiqua" w:cs="宋体"/>
          <w:color w:val="000000"/>
          <w:lang w:val="en-US" w:eastAsia="zh-CN"/>
        </w:rPr>
        <w:t>: 15780-15786 [PMID: 25400463 DOI: 10.3748/wjg.v20.i42.15780]</w:t>
      </w:r>
    </w:p>
    <w:p w14:paraId="30124FCC"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lastRenderedPageBreak/>
        <w:t>10 </w:t>
      </w:r>
      <w:proofErr w:type="spellStart"/>
      <w:r w:rsidRPr="0052733B">
        <w:rPr>
          <w:rFonts w:ascii="Book Antiqua" w:hAnsi="Book Antiqua" w:cs="宋体"/>
          <w:b/>
          <w:bCs/>
          <w:color w:val="000000"/>
          <w:lang w:val="en-US" w:eastAsia="zh-CN"/>
        </w:rPr>
        <w:t>Aditi</w:t>
      </w:r>
      <w:proofErr w:type="spellEnd"/>
      <w:r w:rsidRPr="0052733B">
        <w:rPr>
          <w:rFonts w:ascii="Book Antiqua" w:hAnsi="Book Antiqua" w:cs="宋体"/>
          <w:b/>
          <w:bCs/>
          <w:color w:val="000000"/>
          <w:lang w:val="en-US" w:eastAsia="zh-CN"/>
        </w:rPr>
        <w:t xml:space="preserve"> A</w:t>
      </w:r>
      <w:r w:rsidRPr="0052733B">
        <w:rPr>
          <w:rFonts w:ascii="Book Antiqua" w:hAnsi="Book Antiqua" w:cs="宋体"/>
          <w:color w:val="000000"/>
          <w:lang w:val="en-US" w:eastAsia="zh-CN"/>
        </w:rPr>
        <w:t>, Graham DY. Vitamin C, gastritis, and gastric disease: a historical review and update. </w:t>
      </w:r>
      <w:r w:rsidRPr="0052733B">
        <w:rPr>
          <w:rFonts w:ascii="Book Antiqua" w:hAnsi="Book Antiqua" w:cs="宋体"/>
          <w:i/>
          <w:iCs/>
          <w:color w:val="000000"/>
          <w:lang w:val="en-US" w:eastAsia="zh-CN"/>
        </w:rPr>
        <w:t xml:space="preserve">Dig Dis </w:t>
      </w:r>
      <w:proofErr w:type="spellStart"/>
      <w:r w:rsidRPr="0052733B">
        <w:rPr>
          <w:rFonts w:ascii="Book Antiqua" w:hAnsi="Book Antiqua" w:cs="宋体"/>
          <w:i/>
          <w:iCs/>
          <w:color w:val="000000"/>
          <w:lang w:val="en-US" w:eastAsia="zh-CN"/>
        </w:rPr>
        <w:t>Sci</w:t>
      </w:r>
      <w:proofErr w:type="spellEnd"/>
      <w:r w:rsidRPr="0052733B">
        <w:rPr>
          <w:rFonts w:ascii="Book Antiqua" w:hAnsi="Book Antiqua" w:cs="宋体"/>
          <w:color w:val="000000"/>
          <w:lang w:val="en-US" w:eastAsia="zh-CN"/>
        </w:rPr>
        <w:t> 2012; </w:t>
      </w:r>
      <w:r w:rsidRPr="0052733B">
        <w:rPr>
          <w:rFonts w:ascii="Book Antiqua" w:hAnsi="Book Antiqua" w:cs="宋体"/>
          <w:b/>
          <w:bCs/>
          <w:color w:val="000000"/>
          <w:lang w:val="en-US" w:eastAsia="zh-CN"/>
        </w:rPr>
        <w:t>57</w:t>
      </w:r>
      <w:r w:rsidRPr="0052733B">
        <w:rPr>
          <w:rFonts w:ascii="Book Antiqua" w:hAnsi="Book Antiqua" w:cs="宋体"/>
          <w:color w:val="000000"/>
          <w:lang w:val="en-US" w:eastAsia="zh-CN"/>
        </w:rPr>
        <w:t>: 2504-2515 [PMID: 22543844 DOI: 10.1007/s10620-012-2203-7]</w:t>
      </w:r>
    </w:p>
    <w:p w14:paraId="498C09E5"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11</w:t>
      </w:r>
      <w:r w:rsidRPr="0052733B">
        <w:rPr>
          <w:rFonts w:ascii="Book Antiqua" w:hAnsi="Book Antiqua" w:cs="宋体" w:hint="eastAsia"/>
          <w:color w:val="000000"/>
          <w:lang w:val="en-US" w:eastAsia="zh-CN"/>
        </w:rPr>
        <w:t xml:space="preserve"> </w:t>
      </w:r>
      <w:proofErr w:type="spellStart"/>
      <w:r w:rsidRPr="0052733B">
        <w:rPr>
          <w:rFonts w:ascii="Book Antiqua" w:hAnsi="Book Antiqua" w:cs="宋体"/>
          <w:b/>
          <w:color w:val="000000"/>
          <w:lang w:val="en-US" w:eastAsia="zh-CN"/>
        </w:rPr>
        <w:t>Ludden</w:t>
      </w:r>
      <w:proofErr w:type="spellEnd"/>
      <w:r w:rsidRPr="0052733B">
        <w:rPr>
          <w:rFonts w:ascii="Book Antiqua" w:hAnsi="Book Antiqua" w:cs="宋体"/>
          <w:b/>
          <w:color w:val="000000"/>
          <w:lang w:val="en-US" w:eastAsia="zh-CN"/>
        </w:rPr>
        <w:t xml:space="preserve"> J</w:t>
      </w:r>
      <w:r w:rsidRPr="0052733B">
        <w:rPr>
          <w:rFonts w:ascii="Book Antiqua" w:hAnsi="Book Antiqua" w:cs="宋体"/>
          <w:color w:val="000000"/>
          <w:lang w:val="en-US" w:eastAsia="zh-CN"/>
        </w:rPr>
        <w:t>, Flexner J, Wright I. Studies on ascorbic acid deficiency in gastric diseases: Incidence, diagnosis, and treatment.</w:t>
      </w:r>
      <w:r w:rsidRPr="0052733B">
        <w:rPr>
          <w:rFonts w:ascii="Book Antiqua" w:hAnsi="Book Antiqua" w:cs="宋体" w:hint="eastAsia"/>
          <w:color w:val="000000"/>
          <w:lang w:val="en-US" w:eastAsia="zh-CN"/>
        </w:rPr>
        <w:t xml:space="preserve"> </w:t>
      </w:r>
      <w:r w:rsidRPr="0052733B">
        <w:rPr>
          <w:rFonts w:ascii="Book Antiqua" w:hAnsi="Book Antiqua" w:cs="宋体"/>
          <w:i/>
          <w:color w:val="000000"/>
          <w:lang w:val="en-US" w:eastAsia="zh-CN"/>
        </w:rPr>
        <w:t>Am</w:t>
      </w:r>
      <w:r w:rsidRPr="0052733B">
        <w:rPr>
          <w:rFonts w:ascii="Book Antiqua" w:hAnsi="Book Antiqua" w:cs="宋体" w:hint="eastAsia"/>
          <w:i/>
          <w:color w:val="000000"/>
          <w:lang w:val="en-US" w:eastAsia="zh-CN"/>
        </w:rPr>
        <w:t xml:space="preserve"> </w:t>
      </w:r>
      <w:r w:rsidRPr="0052733B">
        <w:rPr>
          <w:rFonts w:ascii="Book Antiqua" w:hAnsi="Book Antiqua" w:cs="宋体"/>
          <w:i/>
          <w:caps/>
          <w:color w:val="000000"/>
          <w:lang w:val="en-US" w:eastAsia="zh-CN"/>
        </w:rPr>
        <w:t>j</w:t>
      </w:r>
      <w:r w:rsidRPr="0052733B">
        <w:rPr>
          <w:rFonts w:ascii="Book Antiqua" w:hAnsi="Book Antiqua" w:cs="宋体" w:hint="eastAsia"/>
          <w:i/>
          <w:color w:val="000000"/>
          <w:lang w:val="en-US" w:eastAsia="zh-CN"/>
        </w:rPr>
        <w:t xml:space="preserve"> </w:t>
      </w:r>
      <w:r w:rsidRPr="0052733B">
        <w:rPr>
          <w:rFonts w:ascii="Book Antiqua" w:hAnsi="Book Antiqua" w:cs="宋体"/>
          <w:i/>
          <w:caps/>
          <w:color w:val="000000"/>
          <w:lang w:val="en-US" w:eastAsia="zh-CN"/>
        </w:rPr>
        <w:t>d</w:t>
      </w:r>
      <w:r w:rsidRPr="0052733B">
        <w:rPr>
          <w:rFonts w:ascii="Book Antiqua" w:hAnsi="Book Antiqua" w:cs="宋体"/>
          <w:i/>
          <w:color w:val="000000"/>
          <w:lang w:val="en-US" w:eastAsia="zh-CN"/>
        </w:rPr>
        <w:t>igest</w:t>
      </w:r>
      <w:r w:rsidRPr="0052733B">
        <w:rPr>
          <w:rFonts w:ascii="Book Antiqua" w:hAnsi="Book Antiqua" w:cs="宋体" w:hint="eastAsia"/>
          <w:i/>
          <w:color w:val="000000"/>
          <w:lang w:val="en-US" w:eastAsia="zh-CN"/>
        </w:rPr>
        <w:t xml:space="preserve"> </w:t>
      </w:r>
      <w:r w:rsidRPr="0052733B">
        <w:rPr>
          <w:rFonts w:ascii="Book Antiqua" w:hAnsi="Book Antiqua" w:cs="宋体"/>
          <w:i/>
          <w:caps/>
          <w:color w:val="000000"/>
          <w:lang w:val="en-US" w:eastAsia="zh-CN"/>
        </w:rPr>
        <w:t>d</w:t>
      </w:r>
      <w:r w:rsidRPr="0052733B">
        <w:rPr>
          <w:rFonts w:ascii="Book Antiqua" w:hAnsi="Book Antiqua" w:cs="宋体"/>
          <w:i/>
          <w:color w:val="000000"/>
          <w:lang w:val="en-US" w:eastAsia="zh-CN"/>
        </w:rPr>
        <w:t>is</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 xml:space="preserve">1941; </w:t>
      </w:r>
      <w:r w:rsidRPr="0052733B">
        <w:rPr>
          <w:rFonts w:ascii="Book Antiqua" w:hAnsi="Book Antiqua" w:cs="宋体"/>
          <w:b/>
          <w:color w:val="000000"/>
          <w:lang w:val="en-US" w:eastAsia="zh-CN"/>
        </w:rPr>
        <w:t>8</w:t>
      </w:r>
      <w:r w:rsidRPr="0052733B">
        <w:rPr>
          <w:rFonts w:ascii="Book Antiqua" w:hAnsi="Book Antiqua" w:cs="宋体"/>
          <w:color w:val="000000"/>
          <w:lang w:val="en-US" w:eastAsia="zh-CN"/>
        </w:rPr>
        <w:t>: 249</w:t>
      </w:r>
      <w:r w:rsidRPr="0052733B">
        <w:rPr>
          <w:rFonts w:ascii="Book Antiqua" w:hAnsi="Book Antiqua" w:cs="宋体" w:hint="eastAsia"/>
          <w:color w:val="000000"/>
          <w:lang w:val="en-US" w:eastAsia="zh-CN"/>
        </w:rPr>
        <w:t>-</w:t>
      </w:r>
      <w:r w:rsidRPr="0052733B">
        <w:rPr>
          <w:rFonts w:ascii="Book Antiqua" w:hAnsi="Book Antiqua" w:cs="宋体"/>
          <w:color w:val="000000"/>
          <w:lang w:val="en-US" w:eastAsia="zh-CN"/>
        </w:rPr>
        <w:t>252 [DOI: 10.1007/BF02998342]</w:t>
      </w:r>
    </w:p>
    <w:p w14:paraId="1C64664B"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12 </w:t>
      </w:r>
      <w:proofErr w:type="spellStart"/>
      <w:r w:rsidRPr="0052733B">
        <w:rPr>
          <w:rFonts w:ascii="Book Antiqua" w:hAnsi="Book Antiqua" w:cs="宋体"/>
          <w:b/>
          <w:bCs/>
          <w:color w:val="000000"/>
          <w:lang w:val="en-US" w:eastAsia="zh-CN"/>
        </w:rPr>
        <w:t>Mowat</w:t>
      </w:r>
      <w:proofErr w:type="spellEnd"/>
      <w:r w:rsidRPr="0052733B">
        <w:rPr>
          <w:rFonts w:ascii="Book Antiqua" w:hAnsi="Book Antiqua" w:cs="宋体"/>
          <w:b/>
          <w:bCs/>
          <w:color w:val="000000"/>
          <w:lang w:val="en-US" w:eastAsia="zh-CN"/>
        </w:rPr>
        <w:t xml:space="preserve"> C</w:t>
      </w:r>
      <w:r w:rsidRPr="0052733B">
        <w:rPr>
          <w:rFonts w:ascii="Book Antiqua" w:hAnsi="Book Antiqua" w:cs="宋体"/>
          <w:color w:val="000000"/>
          <w:lang w:val="en-US" w:eastAsia="zh-CN"/>
        </w:rPr>
        <w:t xml:space="preserve">, McColl KE. </w:t>
      </w:r>
      <w:proofErr w:type="gramStart"/>
      <w:r w:rsidRPr="0052733B">
        <w:rPr>
          <w:rFonts w:ascii="Book Antiqua" w:hAnsi="Book Antiqua" w:cs="宋体"/>
          <w:color w:val="000000"/>
          <w:lang w:val="en-US" w:eastAsia="zh-CN"/>
        </w:rPr>
        <w:t xml:space="preserve">Alterations in </w:t>
      </w:r>
      <w:proofErr w:type="spellStart"/>
      <w:r w:rsidRPr="0052733B">
        <w:rPr>
          <w:rFonts w:ascii="Book Antiqua" w:hAnsi="Book Antiqua" w:cs="宋体"/>
          <w:color w:val="000000"/>
          <w:lang w:val="en-US" w:eastAsia="zh-CN"/>
        </w:rPr>
        <w:t>intragastric</w:t>
      </w:r>
      <w:proofErr w:type="spellEnd"/>
      <w:r w:rsidRPr="0052733B">
        <w:rPr>
          <w:rFonts w:ascii="Book Antiqua" w:hAnsi="Book Antiqua" w:cs="宋体"/>
          <w:color w:val="000000"/>
          <w:lang w:val="en-US" w:eastAsia="zh-CN"/>
        </w:rPr>
        <w:t xml:space="preserve"> nitrite and vitamin C levels during acid inhibitory therapy.</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Best </w:t>
      </w:r>
      <w:proofErr w:type="spellStart"/>
      <w:r w:rsidRPr="0052733B">
        <w:rPr>
          <w:rFonts w:ascii="Book Antiqua" w:hAnsi="Book Antiqua" w:cs="宋体"/>
          <w:i/>
          <w:iCs/>
          <w:color w:val="000000"/>
          <w:lang w:val="en-US" w:eastAsia="zh-CN"/>
        </w:rPr>
        <w:t>Pract</w:t>
      </w:r>
      <w:proofErr w:type="spellEnd"/>
      <w:r w:rsidRPr="0052733B">
        <w:rPr>
          <w:rFonts w:ascii="Book Antiqua" w:hAnsi="Book Antiqua" w:cs="宋体"/>
          <w:i/>
          <w:iCs/>
          <w:color w:val="000000"/>
          <w:lang w:val="en-US" w:eastAsia="zh-CN"/>
        </w:rPr>
        <w:t xml:space="preserve"> Res </w:t>
      </w:r>
      <w:proofErr w:type="spellStart"/>
      <w:r w:rsidRPr="0052733B">
        <w:rPr>
          <w:rFonts w:ascii="Book Antiqua" w:hAnsi="Book Antiqua" w:cs="宋体"/>
          <w:i/>
          <w:iCs/>
          <w:color w:val="000000"/>
          <w:lang w:val="en-US" w:eastAsia="zh-CN"/>
        </w:rPr>
        <w:t>Clin</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color w:val="000000"/>
          <w:lang w:val="en-US" w:eastAsia="zh-CN"/>
        </w:rPr>
        <w:t> 2001; </w:t>
      </w:r>
      <w:r w:rsidRPr="0052733B">
        <w:rPr>
          <w:rFonts w:ascii="Book Antiqua" w:hAnsi="Book Antiqua" w:cs="宋体"/>
          <w:b/>
          <w:bCs/>
          <w:color w:val="000000"/>
          <w:lang w:val="en-US" w:eastAsia="zh-CN"/>
        </w:rPr>
        <w:t>15</w:t>
      </w:r>
      <w:r w:rsidRPr="0052733B">
        <w:rPr>
          <w:rFonts w:ascii="Book Antiqua" w:hAnsi="Book Antiqua" w:cs="宋体"/>
          <w:color w:val="000000"/>
          <w:lang w:val="en-US" w:eastAsia="zh-CN"/>
        </w:rPr>
        <w:t>: 523-537 [PMID: 11403544 DOI: 10.1053/bega.2000.0196]</w:t>
      </w:r>
    </w:p>
    <w:p w14:paraId="52B50564"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13 </w:t>
      </w:r>
      <w:r w:rsidRPr="0052733B">
        <w:rPr>
          <w:rFonts w:ascii="Book Antiqua" w:hAnsi="Book Antiqua" w:cs="宋体"/>
          <w:b/>
          <w:bCs/>
          <w:color w:val="000000"/>
          <w:lang w:val="en-US" w:eastAsia="zh-CN"/>
        </w:rPr>
        <w:t>Carmel R</w:t>
      </w:r>
      <w:r w:rsidRPr="0052733B">
        <w:rPr>
          <w:rFonts w:ascii="Book Antiqua" w:hAnsi="Book Antiqua" w:cs="宋体"/>
          <w:color w:val="000000"/>
          <w:lang w:val="en-US" w:eastAsia="zh-CN"/>
        </w:rPr>
        <w:t xml:space="preserve">. Diagnosis and management of clinical and subclinical </w:t>
      </w:r>
      <w:proofErr w:type="spellStart"/>
      <w:r w:rsidRPr="0052733B">
        <w:rPr>
          <w:rFonts w:ascii="Book Antiqua" w:hAnsi="Book Antiqua" w:cs="宋体"/>
          <w:color w:val="000000"/>
          <w:lang w:val="en-US" w:eastAsia="zh-CN"/>
        </w:rPr>
        <w:t>cobalamin</w:t>
      </w:r>
      <w:proofErr w:type="spellEnd"/>
      <w:r w:rsidRPr="0052733B">
        <w:rPr>
          <w:rFonts w:ascii="Book Antiqua" w:hAnsi="Book Antiqua" w:cs="宋体"/>
          <w:color w:val="000000"/>
          <w:lang w:val="en-US" w:eastAsia="zh-CN"/>
        </w:rPr>
        <w:t xml:space="preserve"> deficiencies: why controversies persist in the age of sensitive metabolic testing. </w:t>
      </w:r>
      <w:proofErr w:type="spellStart"/>
      <w:r w:rsidRPr="0052733B">
        <w:rPr>
          <w:rFonts w:ascii="Book Antiqua" w:hAnsi="Book Antiqua" w:cs="宋体"/>
          <w:i/>
          <w:iCs/>
          <w:color w:val="000000"/>
          <w:lang w:val="en-US" w:eastAsia="zh-CN"/>
        </w:rPr>
        <w:t>Biochimie</w:t>
      </w:r>
      <w:proofErr w:type="spellEnd"/>
      <w:r w:rsidRPr="0052733B">
        <w:rPr>
          <w:rFonts w:ascii="Book Antiqua" w:hAnsi="Book Antiqua" w:cs="宋体"/>
          <w:color w:val="000000"/>
          <w:lang w:val="en-US" w:eastAsia="zh-CN"/>
        </w:rPr>
        <w:t> 2013; </w:t>
      </w:r>
      <w:r w:rsidRPr="0052733B">
        <w:rPr>
          <w:rFonts w:ascii="Book Antiqua" w:hAnsi="Book Antiqua" w:cs="宋体"/>
          <w:b/>
          <w:bCs/>
          <w:color w:val="000000"/>
          <w:lang w:val="en-US" w:eastAsia="zh-CN"/>
        </w:rPr>
        <w:t>95</w:t>
      </w:r>
      <w:r w:rsidRPr="0052733B">
        <w:rPr>
          <w:rFonts w:ascii="Book Antiqua" w:hAnsi="Book Antiqua" w:cs="宋体"/>
          <w:color w:val="000000"/>
          <w:lang w:val="en-US" w:eastAsia="zh-CN"/>
        </w:rPr>
        <w:t>: 1047-1055 [PMID: 23416723 DOI: 10.1016/j.biochi.2013.02.008]</w:t>
      </w:r>
    </w:p>
    <w:p w14:paraId="059CA55F"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14 </w:t>
      </w:r>
      <w:r w:rsidRPr="0052733B">
        <w:rPr>
          <w:rFonts w:ascii="Book Antiqua" w:hAnsi="Book Antiqua" w:cs="宋体"/>
          <w:b/>
          <w:bCs/>
          <w:color w:val="000000"/>
          <w:lang w:val="en-US" w:eastAsia="zh-CN"/>
        </w:rPr>
        <w:t>Rush EC</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Katre</w:t>
      </w:r>
      <w:proofErr w:type="spellEnd"/>
      <w:r w:rsidRPr="0052733B">
        <w:rPr>
          <w:rFonts w:ascii="Book Antiqua" w:hAnsi="Book Antiqua" w:cs="宋体"/>
          <w:color w:val="000000"/>
          <w:lang w:val="en-US" w:eastAsia="zh-CN"/>
        </w:rPr>
        <w:t xml:space="preserve"> P, </w:t>
      </w:r>
      <w:proofErr w:type="spellStart"/>
      <w:r w:rsidRPr="0052733B">
        <w:rPr>
          <w:rFonts w:ascii="Book Antiqua" w:hAnsi="Book Antiqua" w:cs="宋体"/>
          <w:color w:val="000000"/>
          <w:lang w:val="en-US" w:eastAsia="zh-CN"/>
        </w:rPr>
        <w:t>Yajnik</w:t>
      </w:r>
      <w:proofErr w:type="spellEnd"/>
      <w:r w:rsidRPr="0052733B">
        <w:rPr>
          <w:rFonts w:ascii="Book Antiqua" w:hAnsi="Book Antiqua" w:cs="宋体"/>
          <w:color w:val="000000"/>
          <w:lang w:val="en-US" w:eastAsia="zh-CN"/>
        </w:rPr>
        <w:t xml:space="preserve"> CS. Vitamin B12: one carbon metabolism, fetal growth and programming for chronic disease. </w:t>
      </w:r>
      <w:proofErr w:type="spellStart"/>
      <w:r w:rsidRPr="0052733B">
        <w:rPr>
          <w:rFonts w:ascii="Book Antiqua" w:hAnsi="Book Antiqua" w:cs="宋体"/>
          <w:i/>
          <w:iCs/>
          <w:color w:val="000000"/>
          <w:lang w:val="en-US" w:eastAsia="zh-CN"/>
        </w:rPr>
        <w:t>Eur</w:t>
      </w:r>
      <w:proofErr w:type="spellEnd"/>
      <w:r w:rsidRPr="0052733B">
        <w:rPr>
          <w:rFonts w:ascii="Book Antiqua" w:hAnsi="Book Antiqua" w:cs="宋体"/>
          <w:i/>
          <w:iCs/>
          <w:color w:val="000000"/>
          <w:lang w:val="en-US" w:eastAsia="zh-CN"/>
        </w:rPr>
        <w:t xml:space="preserve"> J </w:t>
      </w:r>
      <w:proofErr w:type="spellStart"/>
      <w:r w:rsidRPr="0052733B">
        <w:rPr>
          <w:rFonts w:ascii="Book Antiqua" w:hAnsi="Book Antiqua" w:cs="宋体"/>
          <w:i/>
          <w:iCs/>
          <w:color w:val="000000"/>
          <w:lang w:val="en-US" w:eastAsia="zh-CN"/>
        </w:rPr>
        <w:t>Clin</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Nutr</w:t>
      </w:r>
      <w:proofErr w:type="spellEnd"/>
      <w:r w:rsidRPr="0052733B">
        <w:rPr>
          <w:rFonts w:ascii="Book Antiqua" w:hAnsi="Book Antiqua" w:cs="宋体"/>
          <w:color w:val="000000"/>
          <w:lang w:val="en-US" w:eastAsia="zh-CN"/>
        </w:rPr>
        <w:t> 2014; </w:t>
      </w:r>
      <w:r w:rsidRPr="0052733B">
        <w:rPr>
          <w:rFonts w:ascii="Book Antiqua" w:hAnsi="Book Antiqua" w:cs="宋体"/>
          <w:b/>
          <w:bCs/>
          <w:color w:val="000000"/>
          <w:lang w:val="en-US" w:eastAsia="zh-CN"/>
        </w:rPr>
        <w:t>68</w:t>
      </w:r>
      <w:r w:rsidRPr="0052733B">
        <w:rPr>
          <w:rFonts w:ascii="Book Antiqua" w:hAnsi="Book Antiqua" w:cs="宋体"/>
          <w:color w:val="000000"/>
          <w:lang w:val="en-US" w:eastAsia="zh-CN"/>
        </w:rPr>
        <w:t>: 2-7 [PMID: 24219896 DOI: 10.1038/ejcn.2013.232]</w:t>
      </w:r>
    </w:p>
    <w:p w14:paraId="6580F165"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15 </w:t>
      </w:r>
      <w:proofErr w:type="spellStart"/>
      <w:r w:rsidRPr="0052733B">
        <w:rPr>
          <w:rFonts w:ascii="Book Antiqua" w:hAnsi="Book Antiqua" w:cs="宋体"/>
          <w:b/>
          <w:bCs/>
          <w:color w:val="000000"/>
          <w:lang w:val="en-US" w:eastAsia="zh-CN"/>
        </w:rPr>
        <w:t>Rébeillé</w:t>
      </w:r>
      <w:proofErr w:type="spellEnd"/>
      <w:r w:rsidRPr="0052733B">
        <w:rPr>
          <w:rFonts w:ascii="Book Antiqua" w:hAnsi="Book Antiqua" w:cs="宋体"/>
          <w:b/>
          <w:bCs/>
          <w:color w:val="000000"/>
          <w:lang w:val="en-US" w:eastAsia="zh-CN"/>
        </w:rPr>
        <w:t xml:space="preserve"> F</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Ravanel</w:t>
      </w:r>
      <w:proofErr w:type="spellEnd"/>
      <w:r w:rsidRPr="0052733B">
        <w:rPr>
          <w:rFonts w:ascii="Book Antiqua" w:hAnsi="Book Antiqua" w:cs="宋体"/>
          <w:color w:val="000000"/>
          <w:lang w:val="en-US" w:eastAsia="zh-CN"/>
        </w:rPr>
        <w:t xml:space="preserve"> S, </w:t>
      </w:r>
      <w:proofErr w:type="spellStart"/>
      <w:r w:rsidRPr="0052733B">
        <w:rPr>
          <w:rFonts w:ascii="Book Antiqua" w:hAnsi="Book Antiqua" w:cs="宋体"/>
          <w:color w:val="000000"/>
          <w:lang w:val="en-US" w:eastAsia="zh-CN"/>
        </w:rPr>
        <w:t>Marquet</w:t>
      </w:r>
      <w:proofErr w:type="spellEnd"/>
      <w:r w:rsidRPr="0052733B">
        <w:rPr>
          <w:rFonts w:ascii="Book Antiqua" w:hAnsi="Book Antiqua" w:cs="宋体"/>
          <w:color w:val="000000"/>
          <w:lang w:val="en-US" w:eastAsia="zh-CN"/>
        </w:rPr>
        <w:t xml:space="preserve"> A, Mendel RR, Webb ME, Smith AG, Warren MJ. </w:t>
      </w:r>
      <w:proofErr w:type="gramStart"/>
      <w:r w:rsidRPr="0052733B">
        <w:rPr>
          <w:rFonts w:ascii="Book Antiqua" w:hAnsi="Book Antiqua" w:cs="宋体"/>
          <w:color w:val="000000"/>
          <w:lang w:val="en-US" w:eastAsia="zh-CN"/>
        </w:rPr>
        <w:t>Roles of vitamins B5, B8, B9, B12 and molybdenum cofactor at cellular and organismal levels.</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Nat Prod Rep</w:t>
      </w:r>
      <w:r w:rsidRPr="0052733B">
        <w:rPr>
          <w:rFonts w:ascii="Book Antiqua" w:hAnsi="Book Antiqua" w:cs="宋体"/>
          <w:color w:val="000000"/>
          <w:lang w:val="en-US" w:eastAsia="zh-CN"/>
        </w:rPr>
        <w:t> 2007; </w:t>
      </w:r>
      <w:r w:rsidRPr="0052733B">
        <w:rPr>
          <w:rFonts w:ascii="Book Antiqua" w:hAnsi="Book Antiqua" w:cs="宋体"/>
          <w:b/>
          <w:bCs/>
          <w:color w:val="000000"/>
          <w:lang w:val="en-US" w:eastAsia="zh-CN"/>
        </w:rPr>
        <w:t>24</w:t>
      </w:r>
      <w:r w:rsidRPr="0052733B">
        <w:rPr>
          <w:rFonts w:ascii="Book Antiqua" w:hAnsi="Book Antiqua" w:cs="宋体"/>
          <w:color w:val="000000"/>
          <w:lang w:val="en-US" w:eastAsia="zh-CN"/>
        </w:rPr>
        <w:t>: 949-962 [PMID: 17898891 DOI: 10.1039/b703104c].]</w:t>
      </w:r>
    </w:p>
    <w:p w14:paraId="1EB99F43"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16 </w:t>
      </w:r>
      <w:proofErr w:type="spellStart"/>
      <w:r w:rsidRPr="0052733B">
        <w:rPr>
          <w:rFonts w:ascii="Book Antiqua" w:hAnsi="Book Antiqua" w:cs="宋体"/>
          <w:b/>
          <w:bCs/>
          <w:color w:val="000000"/>
          <w:lang w:val="en-US" w:eastAsia="zh-CN"/>
        </w:rPr>
        <w:t>Stabler</w:t>
      </w:r>
      <w:proofErr w:type="spellEnd"/>
      <w:r w:rsidRPr="0052733B">
        <w:rPr>
          <w:rFonts w:ascii="Book Antiqua" w:hAnsi="Book Antiqua" w:cs="宋体"/>
          <w:b/>
          <w:bCs/>
          <w:color w:val="000000"/>
          <w:lang w:val="en-US" w:eastAsia="zh-CN"/>
        </w:rPr>
        <w:t xml:space="preserve"> SP</w:t>
      </w:r>
      <w:r w:rsidRPr="0052733B">
        <w:rPr>
          <w:rFonts w:ascii="Book Antiqua" w:hAnsi="Book Antiqua" w:cs="宋体"/>
          <w:color w:val="000000"/>
          <w:lang w:val="en-US" w:eastAsia="zh-CN"/>
        </w:rPr>
        <w:t>. Vitamin B12 deficiency</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N </w:t>
      </w:r>
      <w:proofErr w:type="spellStart"/>
      <w:r w:rsidRPr="0052733B">
        <w:rPr>
          <w:rFonts w:ascii="Book Antiqua" w:hAnsi="Book Antiqua" w:cs="宋体"/>
          <w:i/>
          <w:iCs/>
          <w:color w:val="000000"/>
          <w:lang w:val="en-US" w:eastAsia="zh-CN"/>
        </w:rPr>
        <w:t>Engl</w:t>
      </w:r>
      <w:proofErr w:type="spellEnd"/>
      <w:r w:rsidRPr="0052733B">
        <w:rPr>
          <w:rFonts w:ascii="Book Antiqua" w:hAnsi="Book Antiqua" w:cs="宋体"/>
          <w:i/>
          <w:iCs/>
          <w:color w:val="000000"/>
          <w:lang w:val="en-US" w:eastAsia="zh-CN"/>
        </w:rPr>
        <w:t xml:space="preserve"> J Med</w:t>
      </w:r>
      <w:r w:rsidRPr="0052733B">
        <w:rPr>
          <w:rFonts w:ascii="Book Antiqua" w:hAnsi="Book Antiqua" w:cs="宋体"/>
          <w:color w:val="000000"/>
          <w:lang w:val="en-US" w:eastAsia="zh-CN"/>
        </w:rPr>
        <w:t> 2013; </w:t>
      </w:r>
      <w:r w:rsidRPr="0052733B">
        <w:rPr>
          <w:rFonts w:ascii="Book Antiqua" w:hAnsi="Book Antiqua" w:cs="宋体"/>
          <w:b/>
          <w:bCs/>
          <w:color w:val="000000"/>
          <w:lang w:val="en-US" w:eastAsia="zh-CN"/>
        </w:rPr>
        <w:t>368</w:t>
      </w:r>
      <w:r w:rsidRPr="0052733B">
        <w:rPr>
          <w:rFonts w:ascii="Book Antiqua" w:hAnsi="Book Antiqua" w:cs="宋体"/>
          <w:color w:val="000000"/>
          <w:lang w:val="en-US" w:eastAsia="zh-CN"/>
        </w:rPr>
        <w:t>: 2041-2042 [PMID: 23697526 DOI: 10.1056/NEJMc1304350]</w:t>
      </w:r>
    </w:p>
    <w:p w14:paraId="521F9293"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17 </w:t>
      </w:r>
      <w:proofErr w:type="spellStart"/>
      <w:r w:rsidRPr="0052733B">
        <w:rPr>
          <w:rFonts w:ascii="Book Antiqua" w:hAnsi="Book Antiqua" w:cs="宋体"/>
          <w:b/>
          <w:bCs/>
          <w:color w:val="000000"/>
          <w:lang w:val="en-US" w:eastAsia="zh-CN"/>
        </w:rPr>
        <w:t>Maktouf</w:t>
      </w:r>
      <w:proofErr w:type="spellEnd"/>
      <w:r w:rsidRPr="0052733B">
        <w:rPr>
          <w:rFonts w:ascii="Book Antiqua" w:hAnsi="Book Antiqua" w:cs="宋体"/>
          <w:b/>
          <w:bCs/>
          <w:color w:val="000000"/>
          <w:lang w:val="en-US" w:eastAsia="zh-CN"/>
        </w:rPr>
        <w:t xml:space="preserve"> C</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Bchir</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Louzir</w:t>
      </w:r>
      <w:proofErr w:type="spellEnd"/>
      <w:r w:rsidRPr="0052733B">
        <w:rPr>
          <w:rFonts w:ascii="Book Antiqua" w:hAnsi="Book Antiqua" w:cs="宋体"/>
          <w:color w:val="000000"/>
          <w:lang w:val="en-US" w:eastAsia="zh-CN"/>
        </w:rPr>
        <w:t xml:space="preserve"> H, </w:t>
      </w:r>
      <w:proofErr w:type="spellStart"/>
      <w:r w:rsidRPr="0052733B">
        <w:rPr>
          <w:rFonts w:ascii="Book Antiqua" w:hAnsi="Book Antiqua" w:cs="宋体"/>
          <w:color w:val="000000"/>
          <w:lang w:val="en-US" w:eastAsia="zh-CN"/>
        </w:rPr>
        <w:t>Mdhaffer</w:t>
      </w:r>
      <w:proofErr w:type="spellEnd"/>
      <w:r w:rsidRPr="0052733B">
        <w:rPr>
          <w:rFonts w:ascii="Book Antiqua" w:hAnsi="Book Antiqua" w:cs="宋体"/>
          <w:color w:val="000000"/>
          <w:lang w:val="en-US" w:eastAsia="zh-CN"/>
        </w:rPr>
        <w:t xml:space="preserve"> M, </w:t>
      </w:r>
      <w:proofErr w:type="spellStart"/>
      <w:r w:rsidRPr="0052733B">
        <w:rPr>
          <w:rFonts w:ascii="Book Antiqua" w:hAnsi="Book Antiqua" w:cs="宋体"/>
          <w:color w:val="000000"/>
          <w:lang w:val="en-US" w:eastAsia="zh-CN"/>
        </w:rPr>
        <w:t>Elloumi</w:t>
      </w:r>
      <w:proofErr w:type="spellEnd"/>
      <w:r w:rsidRPr="0052733B">
        <w:rPr>
          <w:rFonts w:ascii="Book Antiqua" w:hAnsi="Book Antiqua" w:cs="宋体"/>
          <w:color w:val="000000"/>
          <w:lang w:val="en-US" w:eastAsia="zh-CN"/>
        </w:rPr>
        <w:t xml:space="preserve"> M, Ben </w:t>
      </w:r>
      <w:proofErr w:type="spellStart"/>
      <w:r w:rsidRPr="0052733B">
        <w:rPr>
          <w:rFonts w:ascii="Book Antiqua" w:hAnsi="Book Antiqua" w:cs="宋体"/>
          <w:color w:val="000000"/>
          <w:lang w:val="en-US" w:eastAsia="zh-CN"/>
        </w:rPr>
        <w:t>Abid</w:t>
      </w:r>
      <w:proofErr w:type="spellEnd"/>
      <w:r w:rsidRPr="0052733B">
        <w:rPr>
          <w:rFonts w:ascii="Book Antiqua" w:hAnsi="Book Antiqua" w:cs="宋体"/>
          <w:color w:val="000000"/>
          <w:lang w:val="en-US" w:eastAsia="zh-CN"/>
        </w:rPr>
        <w:t xml:space="preserve"> H, </w:t>
      </w:r>
      <w:proofErr w:type="spellStart"/>
      <w:r w:rsidRPr="0052733B">
        <w:rPr>
          <w:rFonts w:ascii="Book Antiqua" w:hAnsi="Book Antiqua" w:cs="宋体"/>
          <w:color w:val="000000"/>
          <w:lang w:val="en-US" w:eastAsia="zh-CN"/>
        </w:rPr>
        <w:t>Meddeb</w:t>
      </w:r>
      <w:proofErr w:type="spellEnd"/>
      <w:r w:rsidRPr="0052733B">
        <w:rPr>
          <w:rFonts w:ascii="Book Antiqua" w:hAnsi="Book Antiqua" w:cs="宋体"/>
          <w:color w:val="000000"/>
          <w:lang w:val="en-US" w:eastAsia="zh-CN"/>
        </w:rPr>
        <w:t xml:space="preserve"> B, </w:t>
      </w:r>
      <w:proofErr w:type="spellStart"/>
      <w:r w:rsidRPr="0052733B">
        <w:rPr>
          <w:rFonts w:ascii="Book Antiqua" w:hAnsi="Book Antiqua" w:cs="宋体"/>
          <w:color w:val="000000"/>
          <w:lang w:val="en-US" w:eastAsia="zh-CN"/>
        </w:rPr>
        <w:t>Makni</w:t>
      </w:r>
      <w:proofErr w:type="spellEnd"/>
      <w:r w:rsidRPr="0052733B">
        <w:rPr>
          <w:rFonts w:ascii="Book Antiqua" w:hAnsi="Book Antiqua" w:cs="宋体"/>
          <w:color w:val="000000"/>
          <w:lang w:val="en-US" w:eastAsia="zh-CN"/>
        </w:rPr>
        <w:t xml:space="preserve"> F, </w:t>
      </w:r>
      <w:proofErr w:type="spellStart"/>
      <w:r w:rsidRPr="0052733B">
        <w:rPr>
          <w:rFonts w:ascii="Book Antiqua" w:hAnsi="Book Antiqua" w:cs="宋体"/>
          <w:color w:val="000000"/>
          <w:lang w:val="en-US" w:eastAsia="zh-CN"/>
        </w:rPr>
        <w:t>Laatiri</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Soussi</w:t>
      </w:r>
      <w:proofErr w:type="spellEnd"/>
      <w:r w:rsidRPr="0052733B">
        <w:rPr>
          <w:rFonts w:ascii="Book Antiqua" w:hAnsi="Book Antiqua" w:cs="宋体"/>
          <w:color w:val="000000"/>
          <w:lang w:val="en-US" w:eastAsia="zh-CN"/>
        </w:rPr>
        <w:t xml:space="preserve"> T, </w:t>
      </w:r>
      <w:proofErr w:type="spellStart"/>
      <w:r w:rsidRPr="0052733B">
        <w:rPr>
          <w:rFonts w:ascii="Book Antiqua" w:hAnsi="Book Antiqua" w:cs="宋体"/>
          <w:color w:val="000000"/>
          <w:lang w:val="en-US" w:eastAsia="zh-CN"/>
        </w:rPr>
        <w:t>Hafsia</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Dellagi</w:t>
      </w:r>
      <w:proofErr w:type="spellEnd"/>
      <w:r w:rsidRPr="0052733B">
        <w:rPr>
          <w:rFonts w:ascii="Book Antiqua" w:hAnsi="Book Antiqua" w:cs="宋体"/>
          <w:color w:val="000000"/>
          <w:lang w:val="en-US" w:eastAsia="zh-CN"/>
        </w:rPr>
        <w:t xml:space="preserve"> K. </w:t>
      </w:r>
      <w:proofErr w:type="spellStart"/>
      <w:r w:rsidRPr="0052733B">
        <w:rPr>
          <w:rFonts w:ascii="Book Antiqua" w:hAnsi="Book Antiqua" w:cs="宋体"/>
          <w:color w:val="000000"/>
          <w:lang w:val="en-US" w:eastAsia="zh-CN"/>
        </w:rPr>
        <w:t>Megaloblastic</w:t>
      </w:r>
      <w:proofErr w:type="spellEnd"/>
      <w:r w:rsidRPr="0052733B">
        <w:rPr>
          <w:rFonts w:ascii="Book Antiqua" w:hAnsi="Book Antiqua" w:cs="宋体"/>
          <w:color w:val="000000"/>
          <w:lang w:val="en-US" w:eastAsia="zh-CN"/>
        </w:rPr>
        <w:t xml:space="preserve"> anemia in North Africa. </w:t>
      </w:r>
      <w:proofErr w:type="spellStart"/>
      <w:r w:rsidRPr="0052733B">
        <w:rPr>
          <w:rFonts w:ascii="Book Antiqua" w:hAnsi="Book Antiqua" w:cs="宋体"/>
          <w:i/>
          <w:iCs/>
          <w:color w:val="000000"/>
          <w:lang w:val="en-US" w:eastAsia="zh-CN"/>
        </w:rPr>
        <w:t>Haematologica</w:t>
      </w:r>
      <w:proofErr w:type="spellEnd"/>
      <w:r w:rsidRPr="0052733B">
        <w:rPr>
          <w:rFonts w:ascii="Book Antiqua" w:hAnsi="Book Antiqua" w:cs="宋体"/>
          <w:color w:val="000000"/>
          <w:lang w:val="en-US" w:eastAsia="zh-CN"/>
        </w:rPr>
        <w:t> 2006; </w:t>
      </w:r>
      <w:r w:rsidRPr="0052733B">
        <w:rPr>
          <w:rFonts w:ascii="Book Antiqua" w:hAnsi="Book Antiqua" w:cs="宋体"/>
          <w:b/>
          <w:bCs/>
          <w:color w:val="000000"/>
          <w:lang w:val="en-US" w:eastAsia="zh-CN"/>
        </w:rPr>
        <w:t>91</w:t>
      </w:r>
      <w:r w:rsidRPr="0052733B">
        <w:rPr>
          <w:rFonts w:ascii="Book Antiqua" w:hAnsi="Book Antiqua" w:cs="宋体"/>
          <w:color w:val="000000"/>
          <w:lang w:val="en-US" w:eastAsia="zh-CN"/>
        </w:rPr>
        <w:t>: 990-991 [PMID: 16757418]</w:t>
      </w:r>
    </w:p>
    <w:p w14:paraId="2046E4F3"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18 </w:t>
      </w:r>
      <w:proofErr w:type="spellStart"/>
      <w:r w:rsidRPr="0052733B">
        <w:rPr>
          <w:rFonts w:ascii="Book Antiqua" w:hAnsi="Book Antiqua" w:cs="宋体"/>
          <w:b/>
          <w:bCs/>
          <w:color w:val="000000"/>
          <w:lang w:val="en-US" w:eastAsia="zh-CN"/>
        </w:rPr>
        <w:t>Weck</w:t>
      </w:r>
      <w:proofErr w:type="spellEnd"/>
      <w:r w:rsidRPr="0052733B">
        <w:rPr>
          <w:rFonts w:ascii="Book Antiqua" w:hAnsi="Book Antiqua" w:cs="宋体"/>
          <w:b/>
          <w:bCs/>
          <w:color w:val="000000"/>
          <w:lang w:val="en-US" w:eastAsia="zh-CN"/>
        </w:rPr>
        <w:t xml:space="preserve"> MN</w:t>
      </w:r>
      <w:r w:rsidRPr="0052733B">
        <w:rPr>
          <w:rFonts w:ascii="Book Antiqua" w:hAnsi="Book Antiqua" w:cs="宋体"/>
          <w:color w:val="000000"/>
          <w:lang w:val="en-US" w:eastAsia="zh-CN"/>
        </w:rPr>
        <w:t>, Brenner H. Prevalence of chronic atrophic gastritis in different parts of the world.</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Cancer </w:t>
      </w:r>
      <w:proofErr w:type="spellStart"/>
      <w:r w:rsidRPr="0052733B">
        <w:rPr>
          <w:rFonts w:ascii="Book Antiqua" w:hAnsi="Book Antiqua" w:cs="宋体"/>
          <w:i/>
          <w:iCs/>
          <w:color w:val="000000"/>
          <w:lang w:val="en-US" w:eastAsia="zh-CN"/>
        </w:rPr>
        <w:t>Epidemiol</w:t>
      </w:r>
      <w:proofErr w:type="spellEnd"/>
      <w:r w:rsidRPr="0052733B">
        <w:rPr>
          <w:rFonts w:ascii="Book Antiqua" w:hAnsi="Book Antiqua" w:cs="宋体"/>
          <w:i/>
          <w:iCs/>
          <w:color w:val="000000"/>
          <w:lang w:val="en-US" w:eastAsia="zh-CN"/>
        </w:rPr>
        <w:t xml:space="preserve"> Biomarkers </w:t>
      </w:r>
      <w:proofErr w:type="spellStart"/>
      <w:r w:rsidRPr="0052733B">
        <w:rPr>
          <w:rFonts w:ascii="Book Antiqua" w:hAnsi="Book Antiqua" w:cs="宋体"/>
          <w:i/>
          <w:iCs/>
          <w:color w:val="000000"/>
          <w:lang w:val="en-US" w:eastAsia="zh-CN"/>
        </w:rPr>
        <w:t>Prev</w:t>
      </w:r>
      <w:proofErr w:type="spellEnd"/>
      <w:r w:rsidRPr="0052733B">
        <w:rPr>
          <w:rFonts w:ascii="Book Antiqua" w:hAnsi="Book Antiqua" w:cs="宋体"/>
          <w:color w:val="000000"/>
          <w:lang w:val="en-US" w:eastAsia="zh-CN"/>
        </w:rPr>
        <w:t> 2006; </w:t>
      </w:r>
      <w:r w:rsidRPr="0052733B">
        <w:rPr>
          <w:rFonts w:ascii="Book Antiqua" w:hAnsi="Book Antiqua" w:cs="宋体"/>
          <w:b/>
          <w:bCs/>
          <w:color w:val="000000"/>
          <w:lang w:val="en-US" w:eastAsia="zh-CN"/>
        </w:rPr>
        <w:t>15</w:t>
      </w:r>
      <w:r w:rsidRPr="0052733B">
        <w:rPr>
          <w:rFonts w:ascii="Book Antiqua" w:hAnsi="Book Antiqua" w:cs="宋体"/>
          <w:color w:val="000000"/>
          <w:lang w:val="en-US" w:eastAsia="zh-CN"/>
        </w:rPr>
        <w:t>: 1083-1094 [PMID: 16775164 DOI: 10.1158/1055-9965.EPI-05-0931]</w:t>
      </w:r>
    </w:p>
    <w:p w14:paraId="5ACA060F"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lastRenderedPageBreak/>
        <w:t>19 </w:t>
      </w:r>
      <w:r w:rsidRPr="0052733B">
        <w:rPr>
          <w:rFonts w:ascii="Book Antiqua" w:hAnsi="Book Antiqua" w:cs="宋体"/>
          <w:b/>
          <w:bCs/>
          <w:color w:val="000000"/>
          <w:lang w:val="en-US" w:eastAsia="zh-CN"/>
        </w:rPr>
        <w:t>Carmel R</w:t>
      </w:r>
      <w:r w:rsidRPr="0052733B">
        <w:rPr>
          <w:rFonts w:ascii="Book Antiqua" w:hAnsi="Book Antiqua" w:cs="宋体"/>
          <w:color w:val="000000"/>
          <w:lang w:val="en-US" w:eastAsia="zh-CN"/>
        </w:rPr>
        <w:t>. Prevalence of undiagnosed pernicious anemia in the elderly. </w:t>
      </w:r>
      <w:r w:rsidRPr="0052733B">
        <w:rPr>
          <w:rFonts w:ascii="Book Antiqua" w:hAnsi="Book Antiqua" w:cs="宋体"/>
          <w:i/>
          <w:iCs/>
          <w:color w:val="000000"/>
          <w:lang w:val="en-US" w:eastAsia="zh-CN"/>
        </w:rPr>
        <w:t>Arch Intern Med</w:t>
      </w:r>
      <w:r w:rsidRPr="0052733B">
        <w:rPr>
          <w:rFonts w:ascii="Book Antiqua" w:hAnsi="Book Antiqua" w:cs="宋体"/>
          <w:color w:val="000000"/>
          <w:lang w:val="en-US" w:eastAsia="zh-CN"/>
        </w:rPr>
        <w:t> 1996; </w:t>
      </w:r>
      <w:r w:rsidRPr="0052733B">
        <w:rPr>
          <w:rFonts w:ascii="Book Antiqua" w:hAnsi="Book Antiqua" w:cs="宋体"/>
          <w:b/>
          <w:bCs/>
          <w:color w:val="000000"/>
          <w:lang w:val="en-US" w:eastAsia="zh-CN"/>
        </w:rPr>
        <w:t>156</w:t>
      </w:r>
      <w:r w:rsidRPr="0052733B">
        <w:rPr>
          <w:rFonts w:ascii="Book Antiqua" w:hAnsi="Book Antiqua" w:cs="宋体"/>
          <w:color w:val="000000"/>
          <w:lang w:val="en-US" w:eastAsia="zh-CN"/>
        </w:rPr>
        <w:t>: 1097-1100 [PMID: 8638997 DOI: 10.1001/archinte.1996.00040041097008]</w:t>
      </w:r>
    </w:p>
    <w:p w14:paraId="135747BE"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20 </w:t>
      </w:r>
      <w:r w:rsidRPr="0052733B">
        <w:rPr>
          <w:rFonts w:ascii="Book Antiqua" w:hAnsi="Book Antiqua" w:cs="宋体"/>
          <w:b/>
          <w:bCs/>
          <w:color w:val="000000"/>
          <w:lang w:val="en-US" w:eastAsia="zh-CN"/>
        </w:rPr>
        <w:t>Carmel R</w:t>
      </w:r>
      <w:r w:rsidRPr="0052733B">
        <w:rPr>
          <w:rFonts w:ascii="Book Antiqua" w:hAnsi="Book Antiqua" w:cs="宋体"/>
          <w:color w:val="000000"/>
          <w:lang w:val="en-US" w:eastAsia="zh-CN"/>
        </w:rPr>
        <w:t xml:space="preserve">, Lau KH, </w:t>
      </w:r>
      <w:proofErr w:type="spellStart"/>
      <w:r w:rsidRPr="0052733B">
        <w:rPr>
          <w:rFonts w:ascii="Book Antiqua" w:hAnsi="Book Antiqua" w:cs="宋体"/>
          <w:color w:val="000000"/>
          <w:lang w:val="en-US" w:eastAsia="zh-CN"/>
        </w:rPr>
        <w:t>Baylink</w:t>
      </w:r>
      <w:proofErr w:type="spellEnd"/>
      <w:r w:rsidRPr="0052733B">
        <w:rPr>
          <w:rFonts w:ascii="Book Antiqua" w:hAnsi="Book Antiqua" w:cs="宋体"/>
          <w:color w:val="000000"/>
          <w:lang w:val="en-US" w:eastAsia="zh-CN"/>
        </w:rPr>
        <w:t xml:space="preserve"> DJ, </w:t>
      </w:r>
      <w:proofErr w:type="spellStart"/>
      <w:r w:rsidRPr="0052733B">
        <w:rPr>
          <w:rFonts w:ascii="Book Antiqua" w:hAnsi="Book Antiqua" w:cs="宋体"/>
          <w:color w:val="000000"/>
          <w:lang w:val="en-US" w:eastAsia="zh-CN"/>
        </w:rPr>
        <w:t>Saxena</w:t>
      </w:r>
      <w:proofErr w:type="spellEnd"/>
      <w:r w:rsidRPr="0052733B">
        <w:rPr>
          <w:rFonts w:ascii="Book Antiqua" w:hAnsi="Book Antiqua" w:cs="宋体"/>
          <w:color w:val="000000"/>
          <w:lang w:val="en-US" w:eastAsia="zh-CN"/>
        </w:rPr>
        <w:t xml:space="preserve"> S, Singer FR. </w:t>
      </w:r>
      <w:proofErr w:type="spellStart"/>
      <w:r w:rsidRPr="0052733B">
        <w:rPr>
          <w:rFonts w:ascii="Book Antiqua" w:hAnsi="Book Antiqua" w:cs="宋体"/>
          <w:color w:val="000000"/>
          <w:lang w:val="en-US" w:eastAsia="zh-CN"/>
        </w:rPr>
        <w:t>Cobalamin</w:t>
      </w:r>
      <w:proofErr w:type="spellEnd"/>
      <w:r w:rsidRPr="0052733B">
        <w:rPr>
          <w:rFonts w:ascii="Book Antiqua" w:hAnsi="Book Antiqua" w:cs="宋体"/>
          <w:color w:val="000000"/>
          <w:lang w:val="en-US" w:eastAsia="zh-CN"/>
        </w:rPr>
        <w:t xml:space="preserve"> and osteoblast-specific proteins. </w:t>
      </w:r>
      <w:r w:rsidRPr="0052733B">
        <w:rPr>
          <w:rFonts w:ascii="Book Antiqua" w:hAnsi="Book Antiqua" w:cs="宋体"/>
          <w:i/>
          <w:iCs/>
          <w:color w:val="000000"/>
          <w:lang w:val="en-US" w:eastAsia="zh-CN"/>
        </w:rPr>
        <w:t xml:space="preserve">N </w:t>
      </w:r>
      <w:proofErr w:type="spellStart"/>
      <w:r w:rsidRPr="0052733B">
        <w:rPr>
          <w:rFonts w:ascii="Book Antiqua" w:hAnsi="Book Antiqua" w:cs="宋体"/>
          <w:i/>
          <w:iCs/>
          <w:color w:val="000000"/>
          <w:lang w:val="en-US" w:eastAsia="zh-CN"/>
        </w:rPr>
        <w:t>Engl</w:t>
      </w:r>
      <w:proofErr w:type="spellEnd"/>
      <w:r w:rsidRPr="0052733B">
        <w:rPr>
          <w:rFonts w:ascii="Book Antiqua" w:hAnsi="Book Antiqua" w:cs="宋体"/>
          <w:i/>
          <w:iCs/>
          <w:color w:val="000000"/>
          <w:lang w:val="en-US" w:eastAsia="zh-CN"/>
        </w:rPr>
        <w:t xml:space="preserve"> J Med</w:t>
      </w:r>
      <w:r w:rsidRPr="0052733B">
        <w:rPr>
          <w:rFonts w:ascii="Book Antiqua" w:hAnsi="Book Antiqua" w:cs="宋体"/>
          <w:color w:val="000000"/>
          <w:lang w:val="en-US" w:eastAsia="zh-CN"/>
        </w:rPr>
        <w:t> 1988; </w:t>
      </w:r>
      <w:r w:rsidRPr="0052733B">
        <w:rPr>
          <w:rFonts w:ascii="Book Antiqua" w:hAnsi="Book Antiqua" w:cs="宋体"/>
          <w:b/>
          <w:bCs/>
          <w:color w:val="000000"/>
          <w:lang w:val="en-US" w:eastAsia="zh-CN"/>
        </w:rPr>
        <w:t>319</w:t>
      </w:r>
      <w:r w:rsidRPr="0052733B">
        <w:rPr>
          <w:rFonts w:ascii="Book Antiqua" w:hAnsi="Book Antiqua" w:cs="宋体"/>
          <w:color w:val="000000"/>
          <w:lang w:val="en-US" w:eastAsia="zh-CN"/>
        </w:rPr>
        <w:t>: 70-75 [PMID: 3260008 DOI: 10.1056/NEJM198807143190202]</w:t>
      </w:r>
    </w:p>
    <w:p w14:paraId="1667F2C8"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21 </w:t>
      </w:r>
      <w:r w:rsidRPr="0052733B">
        <w:rPr>
          <w:rFonts w:ascii="Book Antiqua" w:hAnsi="Book Antiqua" w:cs="宋体"/>
          <w:b/>
          <w:bCs/>
          <w:color w:val="000000"/>
          <w:lang w:val="en-US" w:eastAsia="zh-CN"/>
        </w:rPr>
        <w:t>Clarke R</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Refsum</w:t>
      </w:r>
      <w:proofErr w:type="spellEnd"/>
      <w:r w:rsidRPr="0052733B">
        <w:rPr>
          <w:rFonts w:ascii="Book Antiqua" w:hAnsi="Book Antiqua" w:cs="宋体"/>
          <w:color w:val="000000"/>
          <w:lang w:val="en-US" w:eastAsia="zh-CN"/>
        </w:rPr>
        <w:t xml:space="preserve"> H, Birks J, Evans JG, Johnston C, </w:t>
      </w:r>
      <w:proofErr w:type="spellStart"/>
      <w:r w:rsidRPr="0052733B">
        <w:rPr>
          <w:rFonts w:ascii="Book Antiqua" w:hAnsi="Book Antiqua" w:cs="宋体"/>
          <w:color w:val="000000"/>
          <w:lang w:val="en-US" w:eastAsia="zh-CN"/>
        </w:rPr>
        <w:t>Sherliker</w:t>
      </w:r>
      <w:proofErr w:type="spellEnd"/>
      <w:r w:rsidRPr="0052733B">
        <w:rPr>
          <w:rFonts w:ascii="Book Antiqua" w:hAnsi="Book Antiqua" w:cs="宋体"/>
          <w:color w:val="000000"/>
          <w:lang w:val="en-US" w:eastAsia="zh-CN"/>
        </w:rPr>
        <w:t xml:space="preserve"> P, </w:t>
      </w:r>
      <w:proofErr w:type="spellStart"/>
      <w:r w:rsidRPr="0052733B">
        <w:rPr>
          <w:rFonts w:ascii="Book Antiqua" w:hAnsi="Book Antiqua" w:cs="宋体"/>
          <w:color w:val="000000"/>
          <w:lang w:val="en-US" w:eastAsia="zh-CN"/>
        </w:rPr>
        <w:t>Ueland</w:t>
      </w:r>
      <w:proofErr w:type="spellEnd"/>
      <w:r w:rsidRPr="0052733B">
        <w:rPr>
          <w:rFonts w:ascii="Book Antiqua" w:hAnsi="Book Antiqua" w:cs="宋体"/>
          <w:color w:val="000000"/>
          <w:lang w:val="en-US" w:eastAsia="zh-CN"/>
        </w:rPr>
        <w:t xml:space="preserve"> PM, </w:t>
      </w:r>
      <w:proofErr w:type="spellStart"/>
      <w:r w:rsidRPr="0052733B">
        <w:rPr>
          <w:rFonts w:ascii="Book Antiqua" w:hAnsi="Book Antiqua" w:cs="宋体"/>
          <w:color w:val="000000"/>
          <w:lang w:val="en-US" w:eastAsia="zh-CN"/>
        </w:rPr>
        <w:t>Schneede</w:t>
      </w:r>
      <w:proofErr w:type="spellEnd"/>
      <w:r w:rsidRPr="0052733B">
        <w:rPr>
          <w:rFonts w:ascii="Book Antiqua" w:hAnsi="Book Antiqua" w:cs="宋体"/>
          <w:color w:val="000000"/>
          <w:lang w:val="en-US" w:eastAsia="zh-CN"/>
        </w:rPr>
        <w:t xml:space="preserve"> J, </w:t>
      </w:r>
      <w:proofErr w:type="spellStart"/>
      <w:r w:rsidRPr="0052733B">
        <w:rPr>
          <w:rFonts w:ascii="Book Antiqua" w:hAnsi="Book Antiqua" w:cs="宋体"/>
          <w:color w:val="000000"/>
          <w:lang w:val="en-US" w:eastAsia="zh-CN"/>
        </w:rPr>
        <w:t>McPartlin</w:t>
      </w:r>
      <w:proofErr w:type="spellEnd"/>
      <w:r w:rsidRPr="0052733B">
        <w:rPr>
          <w:rFonts w:ascii="Book Antiqua" w:hAnsi="Book Antiqua" w:cs="宋体"/>
          <w:color w:val="000000"/>
          <w:lang w:val="en-US" w:eastAsia="zh-CN"/>
        </w:rPr>
        <w:t xml:space="preserve"> J, </w:t>
      </w:r>
      <w:proofErr w:type="spellStart"/>
      <w:r w:rsidRPr="0052733B">
        <w:rPr>
          <w:rFonts w:ascii="Book Antiqua" w:hAnsi="Book Antiqua" w:cs="宋体"/>
          <w:color w:val="000000"/>
          <w:lang w:val="en-US" w:eastAsia="zh-CN"/>
        </w:rPr>
        <w:t>Nexo</w:t>
      </w:r>
      <w:proofErr w:type="spellEnd"/>
      <w:r w:rsidRPr="0052733B">
        <w:rPr>
          <w:rFonts w:ascii="Book Antiqua" w:hAnsi="Book Antiqua" w:cs="宋体"/>
          <w:color w:val="000000"/>
          <w:lang w:val="en-US" w:eastAsia="zh-CN"/>
        </w:rPr>
        <w:t xml:space="preserve"> E, Scott JM. Screening for vitamin B-12 and </w:t>
      </w:r>
      <w:proofErr w:type="spellStart"/>
      <w:r w:rsidRPr="0052733B">
        <w:rPr>
          <w:rFonts w:ascii="Book Antiqua" w:hAnsi="Book Antiqua" w:cs="宋体"/>
          <w:color w:val="000000"/>
          <w:lang w:val="en-US" w:eastAsia="zh-CN"/>
        </w:rPr>
        <w:t>folate</w:t>
      </w:r>
      <w:proofErr w:type="spellEnd"/>
      <w:r w:rsidRPr="0052733B">
        <w:rPr>
          <w:rFonts w:ascii="Book Antiqua" w:hAnsi="Book Antiqua" w:cs="宋体"/>
          <w:color w:val="000000"/>
          <w:lang w:val="en-US" w:eastAsia="zh-CN"/>
        </w:rPr>
        <w:t xml:space="preserve"> deficiency in older persons. </w:t>
      </w:r>
      <w:r w:rsidRPr="0052733B">
        <w:rPr>
          <w:rFonts w:ascii="Book Antiqua" w:hAnsi="Book Antiqua" w:cs="宋体"/>
          <w:i/>
          <w:iCs/>
          <w:color w:val="000000"/>
          <w:lang w:val="en-US" w:eastAsia="zh-CN"/>
        </w:rPr>
        <w:t xml:space="preserve">Am J </w:t>
      </w:r>
      <w:proofErr w:type="spellStart"/>
      <w:r w:rsidRPr="0052733B">
        <w:rPr>
          <w:rFonts w:ascii="Book Antiqua" w:hAnsi="Book Antiqua" w:cs="宋体"/>
          <w:i/>
          <w:iCs/>
          <w:color w:val="000000"/>
          <w:lang w:val="en-US" w:eastAsia="zh-CN"/>
        </w:rPr>
        <w:t>Clin</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Nutr</w:t>
      </w:r>
      <w:proofErr w:type="spellEnd"/>
      <w:r w:rsidRPr="0052733B">
        <w:rPr>
          <w:rFonts w:ascii="Book Antiqua" w:hAnsi="Book Antiqua" w:cs="宋体"/>
          <w:color w:val="000000"/>
          <w:lang w:val="en-US" w:eastAsia="zh-CN"/>
        </w:rPr>
        <w:t> 2003; </w:t>
      </w:r>
      <w:r w:rsidRPr="0052733B">
        <w:rPr>
          <w:rFonts w:ascii="Book Antiqua" w:hAnsi="Book Antiqua" w:cs="宋体"/>
          <w:b/>
          <w:bCs/>
          <w:color w:val="000000"/>
          <w:lang w:val="en-US" w:eastAsia="zh-CN"/>
        </w:rPr>
        <w:t>77</w:t>
      </w:r>
      <w:r w:rsidRPr="0052733B">
        <w:rPr>
          <w:rFonts w:ascii="Book Antiqua" w:hAnsi="Book Antiqua" w:cs="宋体"/>
          <w:color w:val="000000"/>
          <w:lang w:val="en-US" w:eastAsia="zh-CN"/>
        </w:rPr>
        <w:t>: 1241-1247 [PMID: 12716678]</w:t>
      </w:r>
    </w:p>
    <w:p w14:paraId="2CD9A352"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22 </w:t>
      </w:r>
      <w:proofErr w:type="spellStart"/>
      <w:r w:rsidRPr="0052733B">
        <w:rPr>
          <w:rFonts w:ascii="Book Antiqua" w:hAnsi="Book Antiqua" w:cs="宋体"/>
          <w:b/>
          <w:bCs/>
          <w:color w:val="000000"/>
          <w:lang w:val="en-US" w:eastAsia="zh-CN"/>
        </w:rPr>
        <w:t>Baik</w:t>
      </w:r>
      <w:proofErr w:type="spellEnd"/>
      <w:r w:rsidRPr="0052733B">
        <w:rPr>
          <w:rFonts w:ascii="Book Antiqua" w:hAnsi="Book Antiqua" w:cs="宋体"/>
          <w:b/>
          <w:bCs/>
          <w:color w:val="000000"/>
          <w:lang w:val="en-US" w:eastAsia="zh-CN"/>
        </w:rPr>
        <w:t xml:space="preserve"> HW</w:t>
      </w:r>
      <w:r w:rsidRPr="0052733B">
        <w:rPr>
          <w:rFonts w:ascii="Book Antiqua" w:hAnsi="Book Antiqua" w:cs="宋体"/>
          <w:color w:val="000000"/>
          <w:lang w:val="en-US" w:eastAsia="zh-CN"/>
        </w:rPr>
        <w:t>, Russell RM. Vitamin B12 deficiency in the elderly.</w:t>
      </w:r>
      <w:proofErr w:type="gramEnd"/>
      <w:r w:rsidRPr="0052733B">
        <w:rPr>
          <w:rFonts w:ascii="Book Antiqua" w:hAnsi="Book Antiqua" w:cs="宋体"/>
          <w:color w:val="000000"/>
          <w:lang w:val="en-US" w:eastAsia="zh-CN"/>
        </w:rPr>
        <w:t> </w:t>
      </w:r>
      <w:proofErr w:type="spellStart"/>
      <w:r w:rsidRPr="0052733B">
        <w:rPr>
          <w:rFonts w:ascii="Book Antiqua" w:hAnsi="Book Antiqua" w:cs="宋体"/>
          <w:i/>
          <w:iCs/>
          <w:color w:val="000000"/>
          <w:lang w:val="en-US" w:eastAsia="zh-CN"/>
        </w:rPr>
        <w:t>Annu</w:t>
      </w:r>
      <w:proofErr w:type="spellEnd"/>
      <w:r w:rsidRPr="0052733B">
        <w:rPr>
          <w:rFonts w:ascii="Book Antiqua" w:hAnsi="Book Antiqua" w:cs="宋体"/>
          <w:i/>
          <w:iCs/>
          <w:color w:val="000000"/>
          <w:lang w:val="en-US" w:eastAsia="zh-CN"/>
        </w:rPr>
        <w:t xml:space="preserve"> Rev </w:t>
      </w:r>
      <w:proofErr w:type="spellStart"/>
      <w:r w:rsidRPr="0052733B">
        <w:rPr>
          <w:rFonts w:ascii="Book Antiqua" w:hAnsi="Book Antiqua" w:cs="宋体"/>
          <w:i/>
          <w:iCs/>
          <w:color w:val="000000"/>
          <w:lang w:val="en-US" w:eastAsia="zh-CN"/>
        </w:rPr>
        <w:t>Nutr</w:t>
      </w:r>
      <w:proofErr w:type="spellEnd"/>
      <w:r w:rsidRPr="0052733B">
        <w:rPr>
          <w:rFonts w:ascii="Book Antiqua" w:hAnsi="Book Antiqua" w:cs="宋体"/>
          <w:color w:val="000000"/>
          <w:lang w:val="en-US" w:eastAsia="zh-CN"/>
        </w:rPr>
        <w:t> 1999; </w:t>
      </w:r>
      <w:r w:rsidRPr="0052733B">
        <w:rPr>
          <w:rFonts w:ascii="Book Antiqua" w:hAnsi="Book Antiqua" w:cs="宋体"/>
          <w:b/>
          <w:bCs/>
          <w:color w:val="000000"/>
          <w:lang w:val="en-US" w:eastAsia="zh-CN"/>
        </w:rPr>
        <w:t>19</w:t>
      </w:r>
      <w:r w:rsidRPr="0052733B">
        <w:rPr>
          <w:rFonts w:ascii="Book Antiqua" w:hAnsi="Book Antiqua" w:cs="宋体"/>
          <w:color w:val="000000"/>
          <w:lang w:val="en-US" w:eastAsia="zh-CN"/>
        </w:rPr>
        <w:t>: 357-377 [PMID: 10448529 DOI: 10.1146/annurev.nutr.19.1.357]</w:t>
      </w:r>
    </w:p>
    <w:p w14:paraId="345B5143"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23 </w:t>
      </w:r>
      <w:proofErr w:type="spellStart"/>
      <w:r w:rsidRPr="0052733B">
        <w:rPr>
          <w:rFonts w:ascii="Book Antiqua" w:hAnsi="Book Antiqua" w:cs="宋体"/>
          <w:b/>
          <w:bCs/>
          <w:color w:val="000000"/>
          <w:lang w:val="en-US" w:eastAsia="zh-CN"/>
        </w:rPr>
        <w:t>Marignani</w:t>
      </w:r>
      <w:proofErr w:type="spellEnd"/>
      <w:r w:rsidRPr="0052733B">
        <w:rPr>
          <w:rFonts w:ascii="Book Antiqua" w:hAnsi="Book Antiqua" w:cs="宋体"/>
          <w:b/>
          <w:bCs/>
          <w:color w:val="000000"/>
          <w:lang w:val="en-US" w:eastAsia="zh-CN"/>
        </w:rPr>
        <w:t xml:space="preserve"> M</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Delle</w:t>
      </w:r>
      <w:proofErr w:type="spellEnd"/>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Fave</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Mecarocci</w:t>
      </w:r>
      <w:proofErr w:type="spellEnd"/>
      <w:r w:rsidRPr="0052733B">
        <w:rPr>
          <w:rFonts w:ascii="Book Antiqua" w:hAnsi="Book Antiqua" w:cs="宋体"/>
          <w:color w:val="000000"/>
          <w:lang w:val="en-US" w:eastAsia="zh-CN"/>
        </w:rPr>
        <w:t xml:space="preserve"> S, </w:t>
      </w:r>
      <w:proofErr w:type="spellStart"/>
      <w:r w:rsidRPr="0052733B">
        <w:rPr>
          <w:rFonts w:ascii="Book Antiqua" w:hAnsi="Book Antiqua" w:cs="宋体"/>
          <w:color w:val="000000"/>
          <w:lang w:val="en-US" w:eastAsia="zh-CN"/>
        </w:rPr>
        <w:t>Bordi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Angeletti</w:t>
      </w:r>
      <w:proofErr w:type="spellEnd"/>
      <w:r w:rsidRPr="0052733B">
        <w:rPr>
          <w:rFonts w:ascii="Book Antiqua" w:hAnsi="Book Antiqua" w:cs="宋体"/>
          <w:color w:val="000000"/>
          <w:lang w:val="en-US" w:eastAsia="zh-CN"/>
        </w:rPr>
        <w:t xml:space="preserve"> S, </w:t>
      </w:r>
      <w:proofErr w:type="spellStart"/>
      <w:r w:rsidRPr="0052733B">
        <w:rPr>
          <w:rFonts w:ascii="Book Antiqua" w:hAnsi="Book Antiqua" w:cs="宋体"/>
          <w:color w:val="000000"/>
          <w:lang w:val="en-US" w:eastAsia="zh-CN"/>
        </w:rPr>
        <w:t>D'Ambra</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Aprile</w:t>
      </w:r>
      <w:proofErr w:type="spellEnd"/>
      <w:r w:rsidRPr="0052733B">
        <w:rPr>
          <w:rFonts w:ascii="Book Antiqua" w:hAnsi="Book Antiqua" w:cs="宋体"/>
          <w:color w:val="000000"/>
          <w:lang w:val="en-US" w:eastAsia="zh-CN"/>
        </w:rPr>
        <w:t xml:space="preserve"> MR, </w:t>
      </w:r>
      <w:proofErr w:type="spellStart"/>
      <w:r w:rsidRPr="0052733B">
        <w:rPr>
          <w:rFonts w:ascii="Book Antiqua" w:hAnsi="Book Antiqua" w:cs="宋体"/>
          <w:color w:val="000000"/>
          <w:lang w:val="en-US" w:eastAsia="zh-CN"/>
        </w:rPr>
        <w:t>Corleto</w:t>
      </w:r>
      <w:proofErr w:type="spellEnd"/>
      <w:r w:rsidRPr="0052733B">
        <w:rPr>
          <w:rFonts w:ascii="Book Antiqua" w:hAnsi="Book Antiqua" w:cs="宋体"/>
          <w:color w:val="000000"/>
          <w:lang w:val="en-US" w:eastAsia="zh-CN"/>
        </w:rPr>
        <w:t xml:space="preserve"> VD, </w:t>
      </w:r>
      <w:proofErr w:type="spellStart"/>
      <w:r w:rsidRPr="0052733B">
        <w:rPr>
          <w:rFonts w:ascii="Book Antiqua" w:hAnsi="Book Antiqua" w:cs="宋体"/>
          <w:color w:val="000000"/>
          <w:lang w:val="en-US" w:eastAsia="zh-CN"/>
        </w:rPr>
        <w:t>Monarca</w:t>
      </w:r>
      <w:proofErr w:type="spellEnd"/>
      <w:r w:rsidRPr="0052733B">
        <w:rPr>
          <w:rFonts w:ascii="Book Antiqua" w:hAnsi="Book Antiqua" w:cs="宋体"/>
          <w:color w:val="000000"/>
          <w:lang w:val="en-US" w:eastAsia="zh-CN"/>
        </w:rPr>
        <w:t xml:space="preserve"> B, </w:t>
      </w:r>
      <w:proofErr w:type="spellStart"/>
      <w:r w:rsidRPr="0052733B">
        <w:rPr>
          <w:rFonts w:ascii="Book Antiqua" w:hAnsi="Book Antiqua" w:cs="宋体"/>
          <w:color w:val="000000"/>
          <w:lang w:val="en-US" w:eastAsia="zh-CN"/>
        </w:rPr>
        <w:t>Annibale</w:t>
      </w:r>
      <w:proofErr w:type="spellEnd"/>
      <w:r w:rsidRPr="0052733B">
        <w:rPr>
          <w:rFonts w:ascii="Book Antiqua" w:hAnsi="Book Antiqua" w:cs="宋体"/>
          <w:color w:val="000000"/>
          <w:lang w:val="en-US" w:eastAsia="zh-CN"/>
        </w:rPr>
        <w:t xml:space="preserve"> B. High prevalence of atrophic body gastritis in patients with unexplained microcytic and macrocytic anemia: a prospective screening study. </w:t>
      </w:r>
      <w:r w:rsidRPr="0052733B">
        <w:rPr>
          <w:rFonts w:ascii="Book Antiqua" w:hAnsi="Book Antiqua" w:cs="宋体"/>
          <w:i/>
          <w:iCs/>
          <w:color w:val="000000"/>
          <w:lang w:val="en-US" w:eastAsia="zh-CN"/>
        </w:rPr>
        <w:t xml:space="preserve">Am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color w:val="000000"/>
          <w:lang w:val="en-US" w:eastAsia="zh-CN"/>
        </w:rPr>
        <w:t> 1999; </w:t>
      </w:r>
      <w:r w:rsidRPr="0052733B">
        <w:rPr>
          <w:rFonts w:ascii="Book Antiqua" w:hAnsi="Book Antiqua" w:cs="宋体"/>
          <w:b/>
          <w:bCs/>
          <w:color w:val="000000"/>
          <w:lang w:val="en-US" w:eastAsia="zh-CN"/>
        </w:rPr>
        <w:t>94</w:t>
      </w:r>
      <w:r w:rsidRPr="0052733B">
        <w:rPr>
          <w:rFonts w:ascii="Book Antiqua" w:hAnsi="Book Antiqua" w:cs="宋体"/>
          <w:color w:val="000000"/>
          <w:lang w:val="en-US" w:eastAsia="zh-CN"/>
        </w:rPr>
        <w:t>: 766-772 [PMID: 10086664 DOI: 10.1111/j.1572-0241.1999.00949.x]</w:t>
      </w:r>
    </w:p>
    <w:p w14:paraId="2E495454"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24 </w:t>
      </w:r>
      <w:proofErr w:type="spellStart"/>
      <w:r w:rsidRPr="0052733B">
        <w:rPr>
          <w:rFonts w:ascii="Book Antiqua" w:hAnsi="Book Antiqua" w:cs="宋体"/>
          <w:b/>
          <w:bCs/>
          <w:color w:val="000000"/>
          <w:lang w:val="en-US" w:eastAsia="zh-CN"/>
        </w:rPr>
        <w:t>Hershko</w:t>
      </w:r>
      <w:proofErr w:type="spellEnd"/>
      <w:r w:rsidRPr="0052733B">
        <w:rPr>
          <w:rFonts w:ascii="Book Antiqua" w:hAnsi="Book Antiqua" w:cs="宋体"/>
          <w:b/>
          <w:bCs/>
          <w:color w:val="000000"/>
          <w:lang w:val="en-US" w:eastAsia="zh-CN"/>
        </w:rPr>
        <w:t xml:space="preserve"> C</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Ronson</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Souroujon</w:t>
      </w:r>
      <w:proofErr w:type="spellEnd"/>
      <w:r w:rsidRPr="0052733B">
        <w:rPr>
          <w:rFonts w:ascii="Book Antiqua" w:hAnsi="Book Antiqua" w:cs="宋体"/>
          <w:color w:val="000000"/>
          <w:lang w:val="en-US" w:eastAsia="zh-CN"/>
        </w:rPr>
        <w:t xml:space="preserve"> M, </w:t>
      </w:r>
      <w:proofErr w:type="spellStart"/>
      <w:r w:rsidRPr="0052733B">
        <w:rPr>
          <w:rFonts w:ascii="Book Antiqua" w:hAnsi="Book Antiqua" w:cs="宋体"/>
          <w:color w:val="000000"/>
          <w:lang w:val="en-US" w:eastAsia="zh-CN"/>
        </w:rPr>
        <w:t>Maschler</w:t>
      </w:r>
      <w:proofErr w:type="spellEnd"/>
      <w:r w:rsidRPr="0052733B">
        <w:rPr>
          <w:rFonts w:ascii="Book Antiqua" w:hAnsi="Book Antiqua" w:cs="宋体"/>
          <w:color w:val="000000"/>
          <w:lang w:val="en-US" w:eastAsia="zh-CN"/>
        </w:rPr>
        <w:t xml:space="preserve"> I, </w:t>
      </w:r>
      <w:proofErr w:type="spellStart"/>
      <w:r w:rsidRPr="0052733B">
        <w:rPr>
          <w:rFonts w:ascii="Book Antiqua" w:hAnsi="Book Antiqua" w:cs="宋体"/>
          <w:color w:val="000000"/>
          <w:lang w:val="en-US" w:eastAsia="zh-CN"/>
        </w:rPr>
        <w:t>Heyd</w:t>
      </w:r>
      <w:proofErr w:type="spellEnd"/>
      <w:r w:rsidRPr="0052733B">
        <w:rPr>
          <w:rFonts w:ascii="Book Antiqua" w:hAnsi="Book Antiqua" w:cs="宋体"/>
          <w:color w:val="000000"/>
          <w:lang w:val="en-US" w:eastAsia="zh-CN"/>
        </w:rPr>
        <w:t xml:space="preserve"> J, </w:t>
      </w:r>
      <w:proofErr w:type="spellStart"/>
      <w:r w:rsidRPr="0052733B">
        <w:rPr>
          <w:rFonts w:ascii="Book Antiqua" w:hAnsi="Book Antiqua" w:cs="宋体"/>
          <w:color w:val="000000"/>
          <w:lang w:val="en-US" w:eastAsia="zh-CN"/>
        </w:rPr>
        <w:t>Patz</w:t>
      </w:r>
      <w:proofErr w:type="spellEnd"/>
      <w:r w:rsidRPr="0052733B">
        <w:rPr>
          <w:rFonts w:ascii="Book Antiqua" w:hAnsi="Book Antiqua" w:cs="宋体"/>
          <w:color w:val="000000"/>
          <w:lang w:val="en-US" w:eastAsia="zh-CN"/>
        </w:rPr>
        <w:t xml:space="preserve"> J. Variable hematologic presentation of autoimmune gastritis: age-related progression from iron deficiency to </w:t>
      </w:r>
      <w:proofErr w:type="spellStart"/>
      <w:r w:rsidRPr="0052733B">
        <w:rPr>
          <w:rFonts w:ascii="Book Antiqua" w:hAnsi="Book Antiqua" w:cs="宋体"/>
          <w:color w:val="000000"/>
          <w:lang w:val="en-US" w:eastAsia="zh-CN"/>
        </w:rPr>
        <w:t>cobalamin</w:t>
      </w:r>
      <w:proofErr w:type="spellEnd"/>
      <w:r w:rsidRPr="0052733B">
        <w:rPr>
          <w:rFonts w:ascii="Book Antiqua" w:hAnsi="Book Antiqua" w:cs="宋体"/>
          <w:color w:val="000000"/>
          <w:lang w:val="en-US" w:eastAsia="zh-CN"/>
        </w:rPr>
        <w:t xml:space="preserve"> depletion. </w:t>
      </w:r>
      <w:r w:rsidRPr="0052733B">
        <w:rPr>
          <w:rFonts w:ascii="Book Antiqua" w:hAnsi="Book Antiqua" w:cs="宋体"/>
          <w:i/>
          <w:iCs/>
          <w:color w:val="000000"/>
          <w:lang w:val="en-US" w:eastAsia="zh-CN"/>
        </w:rPr>
        <w:t>Blood</w:t>
      </w:r>
      <w:r w:rsidRPr="0052733B">
        <w:rPr>
          <w:rFonts w:ascii="Book Antiqua" w:hAnsi="Book Antiqua" w:cs="宋体"/>
          <w:color w:val="000000"/>
          <w:lang w:val="en-US" w:eastAsia="zh-CN"/>
        </w:rPr>
        <w:t> 2006; </w:t>
      </w:r>
      <w:r w:rsidRPr="0052733B">
        <w:rPr>
          <w:rFonts w:ascii="Book Antiqua" w:hAnsi="Book Antiqua" w:cs="宋体"/>
          <w:b/>
          <w:bCs/>
          <w:color w:val="000000"/>
          <w:lang w:val="en-US" w:eastAsia="zh-CN"/>
        </w:rPr>
        <w:t>107</w:t>
      </w:r>
      <w:r w:rsidRPr="0052733B">
        <w:rPr>
          <w:rFonts w:ascii="Book Antiqua" w:hAnsi="Book Antiqua" w:cs="宋体"/>
          <w:color w:val="000000"/>
          <w:lang w:val="en-US" w:eastAsia="zh-CN"/>
        </w:rPr>
        <w:t>: 1673-1679 [PMID: 16239424 DOI: 10.1182/blood-2005-09-3534]</w:t>
      </w:r>
    </w:p>
    <w:p w14:paraId="4E34DDF3"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25 </w:t>
      </w:r>
      <w:proofErr w:type="spellStart"/>
      <w:r w:rsidRPr="0052733B">
        <w:rPr>
          <w:rFonts w:ascii="Book Antiqua" w:hAnsi="Book Antiqua" w:cs="宋体"/>
          <w:b/>
          <w:bCs/>
          <w:color w:val="000000"/>
          <w:lang w:val="en-US" w:eastAsia="zh-CN"/>
        </w:rPr>
        <w:t>Annibale</w:t>
      </w:r>
      <w:proofErr w:type="spellEnd"/>
      <w:r w:rsidRPr="0052733B">
        <w:rPr>
          <w:rFonts w:ascii="Book Antiqua" w:hAnsi="Book Antiqua" w:cs="宋体"/>
          <w:b/>
          <w:bCs/>
          <w:color w:val="000000"/>
          <w:lang w:val="en-US" w:eastAsia="zh-CN"/>
        </w:rPr>
        <w:t xml:space="preserve"> B</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Lahner</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Negrini</w:t>
      </w:r>
      <w:proofErr w:type="spellEnd"/>
      <w:r w:rsidRPr="0052733B">
        <w:rPr>
          <w:rFonts w:ascii="Book Antiqua" w:hAnsi="Book Antiqua" w:cs="宋体"/>
          <w:color w:val="000000"/>
          <w:lang w:val="en-US" w:eastAsia="zh-CN"/>
        </w:rPr>
        <w:t xml:space="preserve"> R, </w:t>
      </w:r>
      <w:proofErr w:type="spellStart"/>
      <w:r w:rsidRPr="0052733B">
        <w:rPr>
          <w:rFonts w:ascii="Book Antiqua" w:hAnsi="Book Antiqua" w:cs="宋体"/>
          <w:color w:val="000000"/>
          <w:lang w:val="en-US" w:eastAsia="zh-CN"/>
        </w:rPr>
        <w:t>Baccini</w:t>
      </w:r>
      <w:proofErr w:type="spellEnd"/>
      <w:r w:rsidRPr="0052733B">
        <w:rPr>
          <w:rFonts w:ascii="Book Antiqua" w:hAnsi="Book Antiqua" w:cs="宋体"/>
          <w:color w:val="000000"/>
          <w:lang w:val="en-US" w:eastAsia="zh-CN"/>
        </w:rPr>
        <w:t xml:space="preserve"> F, </w:t>
      </w:r>
      <w:proofErr w:type="spellStart"/>
      <w:r w:rsidRPr="0052733B">
        <w:rPr>
          <w:rFonts w:ascii="Book Antiqua" w:hAnsi="Book Antiqua" w:cs="宋体"/>
          <w:color w:val="000000"/>
          <w:lang w:val="en-US" w:eastAsia="zh-CN"/>
        </w:rPr>
        <w:t>Bordi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Monarca</w:t>
      </w:r>
      <w:proofErr w:type="spellEnd"/>
      <w:r w:rsidRPr="0052733B">
        <w:rPr>
          <w:rFonts w:ascii="Book Antiqua" w:hAnsi="Book Antiqua" w:cs="宋体"/>
          <w:color w:val="000000"/>
          <w:lang w:val="en-US" w:eastAsia="zh-CN"/>
        </w:rPr>
        <w:t xml:space="preserve"> B, </w:t>
      </w:r>
      <w:proofErr w:type="spellStart"/>
      <w:r w:rsidRPr="0052733B">
        <w:rPr>
          <w:rFonts w:ascii="Book Antiqua" w:hAnsi="Book Antiqua" w:cs="宋体"/>
          <w:color w:val="000000"/>
          <w:lang w:val="en-US" w:eastAsia="zh-CN"/>
        </w:rPr>
        <w:t>Delle</w:t>
      </w:r>
      <w:proofErr w:type="spellEnd"/>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Fave</w:t>
      </w:r>
      <w:proofErr w:type="spellEnd"/>
      <w:r w:rsidRPr="0052733B">
        <w:rPr>
          <w:rFonts w:ascii="Book Antiqua" w:hAnsi="Book Antiqua" w:cs="宋体"/>
          <w:color w:val="000000"/>
          <w:lang w:val="en-US" w:eastAsia="zh-CN"/>
        </w:rPr>
        <w:t xml:space="preserve"> G. Lack of specific association between gastric autoimmunity hallmarks and clinical presentations of atrophic body gastritis. </w:t>
      </w:r>
      <w:r w:rsidRPr="0052733B">
        <w:rPr>
          <w:rFonts w:ascii="Book Antiqua" w:hAnsi="Book Antiqua" w:cs="宋体"/>
          <w:i/>
          <w:iCs/>
          <w:color w:val="000000"/>
          <w:lang w:val="en-US" w:eastAsia="zh-CN"/>
        </w:rPr>
        <w:t xml:space="preserve">World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2005;</w:t>
      </w:r>
      <w:r w:rsidRPr="0052733B">
        <w:rPr>
          <w:rFonts w:ascii="Book Antiqua" w:hAnsi="Book Antiqua" w:cs="宋体" w:hint="eastAsia"/>
          <w:color w:val="000000"/>
          <w:lang w:val="en-US" w:eastAsia="zh-CN"/>
        </w:rPr>
        <w:t xml:space="preserve"> </w:t>
      </w:r>
      <w:r w:rsidRPr="0052733B">
        <w:rPr>
          <w:rFonts w:ascii="Book Antiqua" w:hAnsi="Book Antiqua" w:cs="宋体"/>
          <w:b/>
          <w:bCs/>
          <w:color w:val="000000"/>
          <w:lang w:val="en-US" w:eastAsia="zh-CN"/>
        </w:rPr>
        <w:t>11</w:t>
      </w:r>
      <w:r w:rsidRPr="0052733B">
        <w:rPr>
          <w:rFonts w:ascii="Book Antiqua" w:hAnsi="Book Antiqua" w:cs="宋体"/>
          <w:color w:val="000000"/>
          <w:lang w:val="en-US" w:eastAsia="zh-CN"/>
        </w:rPr>
        <w:t>: 5351-5357 [PMID: 16149145 DOI: 10.3748/wjg.v11.i34.5351]</w:t>
      </w:r>
    </w:p>
    <w:p w14:paraId="5D339F66"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26 </w:t>
      </w:r>
      <w:proofErr w:type="spellStart"/>
      <w:r w:rsidRPr="0052733B">
        <w:rPr>
          <w:rFonts w:ascii="Book Antiqua" w:hAnsi="Book Antiqua" w:cs="宋体"/>
          <w:b/>
          <w:bCs/>
          <w:color w:val="000000"/>
          <w:lang w:val="en-US" w:eastAsia="zh-CN"/>
        </w:rPr>
        <w:t>Lahner</w:t>
      </w:r>
      <w:proofErr w:type="spellEnd"/>
      <w:r w:rsidRPr="0052733B">
        <w:rPr>
          <w:rFonts w:ascii="Book Antiqua" w:hAnsi="Book Antiqua" w:cs="宋体"/>
          <w:b/>
          <w:bCs/>
          <w:color w:val="000000"/>
          <w:lang w:val="en-US" w:eastAsia="zh-CN"/>
        </w:rPr>
        <w:t xml:space="preserve"> E</w:t>
      </w:r>
      <w:r w:rsidRPr="0052733B">
        <w:rPr>
          <w:rFonts w:ascii="Book Antiqua" w:hAnsi="Book Antiqua" w:cs="宋体"/>
          <w:color w:val="000000"/>
          <w:lang w:val="en-US" w:eastAsia="zh-CN"/>
        </w:rPr>
        <w:t xml:space="preserve">, Gentile G, </w:t>
      </w:r>
      <w:proofErr w:type="spellStart"/>
      <w:r w:rsidRPr="0052733B">
        <w:rPr>
          <w:rFonts w:ascii="Book Antiqua" w:hAnsi="Book Antiqua" w:cs="宋体"/>
          <w:color w:val="000000"/>
          <w:lang w:val="en-US" w:eastAsia="zh-CN"/>
        </w:rPr>
        <w:t>Purchiaroni</w:t>
      </w:r>
      <w:proofErr w:type="spellEnd"/>
      <w:r w:rsidRPr="0052733B">
        <w:rPr>
          <w:rFonts w:ascii="Book Antiqua" w:hAnsi="Book Antiqua" w:cs="宋体"/>
          <w:color w:val="000000"/>
          <w:lang w:val="en-US" w:eastAsia="zh-CN"/>
        </w:rPr>
        <w:t xml:space="preserve"> F, Mora B, </w:t>
      </w:r>
      <w:proofErr w:type="spellStart"/>
      <w:r w:rsidRPr="0052733B">
        <w:rPr>
          <w:rFonts w:ascii="Book Antiqua" w:hAnsi="Book Antiqua" w:cs="宋体"/>
          <w:color w:val="000000"/>
          <w:lang w:val="en-US" w:eastAsia="zh-CN"/>
        </w:rPr>
        <w:t>Simmaco</w:t>
      </w:r>
      <w:proofErr w:type="spellEnd"/>
      <w:r w:rsidRPr="0052733B">
        <w:rPr>
          <w:rFonts w:ascii="Book Antiqua" w:hAnsi="Book Antiqua" w:cs="宋体"/>
          <w:color w:val="000000"/>
          <w:lang w:val="en-US" w:eastAsia="zh-CN"/>
        </w:rPr>
        <w:t xml:space="preserve"> M, </w:t>
      </w:r>
      <w:proofErr w:type="spellStart"/>
      <w:r w:rsidRPr="0052733B">
        <w:rPr>
          <w:rFonts w:ascii="Book Antiqua" w:hAnsi="Book Antiqua" w:cs="宋体"/>
          <w:color w:val="000000"/>
          <w:lang w:val="en-US" w:eastAsia="zh-CN"/>
        </w:rPr>
        <w:t>Annibale</w:t>
      </w:r>
      <w:proofErr w:type="spellEnd"/>
      <w:r w:rsidRPr="0052733B">
        <w:rPr>
          <w:rFonts w:ascii="Book Antiqua" w:hAnsi="Book Antiqua" w:cs="宋体"/>
          <w:color w:val="000000"/>
          <w:lang w:val="en-US" w:eastAsia="zh-CN"/>
        </w:rPr>
        <w:t xml:space="preserve"> B. Single nucleotide polymorphisms related to vitamin B12 serum levels in autoimmune gastritis patients with or without pernicious </w:t>
      </w:r>
      <w:proofErr w:type="spellStart"/>
      <w:r w:rsidRPr="0052733B">
        <w:rPr>
          <w:rFonts w:ascii="Book Antiqua" w:hAnsi="Book Antiqua" w:cs="宋体"/>
          <w:color w:val="000000"/>
          <w:lang w:val="en-US" w:eastAsia="zh-CN"/>
        </w:rPr>
        <w:t>anaemia</w:t>
      </w:r>
      <w:proofErr w:type="spell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Dig Liver Dis</w:t>
      </w:r>
      <w:r w:rsidRPr="0052733B">
        <w:rPr>
          <w:rFonts w:ascii="Book Antiqua" w:hAnsi="Book Antiqua" w:cs="宋体"/>
          <w:color w:val="000000"/>
          <w:lang w:val="en-US" w:eastAsia="zh-CN"/>
        </w:rPr>
        <w:t> 2015; </w:t>
      </w:r>
      <w:r w:rsidRPr="0052733B">
        <w:rPr>
          <w:rFonts w:ascii="Book Antiqua" w:hAnsi="Book Antiqua" w:cs="宋体"/>
          <w:b/>
          <w:bCs/>
          <w:color w:val="000000"/>
          <w:lang w:val="en-US" w:eastAsia="zh-CN"/>
        </w:rPr>
        <w:t>47</w:t>
      </w:r>
      <w:r w:rsidRPr="0052733B">
        <w:rPr>
          <w:rFonts w:ascii="Book Antiqua" w:hAnsi="Book Antiqua" w:cs="宋体"/>
          <w:color w:val="000000"/>
          <w:lang w:val="en-US" w:eastAsia="zh-CN"/>
        </w:rPr>
        <w:t>: 285-290 [PMID: 25681243 DOI: 10.1016/j.dld.2015.01.147]</w:t>
      </w:r>
    </w:p>
    <w:p w14:paraId="2076EA04"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27 </w:t>
      </w:r>
      <w:proofErr w:type="spellStart"/>
      <w:r w:rsidRPr="0052733B">
        <w:rPr>
          <w:rFonts w:ascii="Book Antiqua" w:hAnsi="Book Antiqua" w:cs="宋体"/>
          <w:b/>
          <w:bCs/>
          <w:color w:val="000000"/>
          <w:lang w:val="en-US" w:eastAsia="zh-CN"/>
        </w:rPr>
        <w:t>Miceli</w:t>
      </w:r>
      <w:proofErr w:type="spellEnd"/>
      <w:r w:rsidRPr="0052733B">
        <w:rPr>
          <w:rFonts w:ascii="Book Antiqua" w:hAnsi="Book Antiqua" w:cs="宋体"/>
          <w:b/>
          <w:bCs/>
          <w:color w:val="000000"/>
          <w:lang w:val="en-US" w:eastAsia="zh-CN"/>
        </w:rPr>
        <w:t xml:space="preserve"> E</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Lenti</w:t>
      </w:r>
      <w:proofErr w:type="spellEnd"/>
      <w:r w:rsidRPr="0052733B">
        <w:rPr>
          <w:rFonts w:ascii="Book Antiqua" w:hAnsi="Book Antiqua" w:cs="宋体"/>
          <w:color w:val="000000"/>
          <w:lang w:val="en-US" w:eastAsia="zh-CN"/>
        </w:rPr>
        <w:t xml:space="preserve"> MV, </w:t>
      </w:r>
      <w:proofErr w:type="spellStart"/>
      <w:r w:rsidRPr="0052733B">
        <w:rPr>
          <w:rFonts w:ascii="Book Antiqua" w:hAnsi="Book Antiqua" w:cs="宋体"/>
          <w:color w:val="000000"/>
          <w:lang w:val="en-US" w:eastAsia="zh-CN"/>
        </w:rPr>
        <w:t>Padula</w:t>
      </w:r>
      <w:proofErr w:type="spellEnd"/>
      <w:r w:rsidRPr="0052733B">
        <w:rPr>
          <w:rFonts w:ascii="Book Antiqua" w:hAnsi="Book Antiqua" w:cs="宋体"/>
          <w:color w:val="000000"/>
          <w:lang w:val="en-US" w:eastAsia="zh-CN"/>
        </w:rPr>
        <w:t xml:space="preserve"> D, </w:t>
      </w:r>
      <w:proofErr w:type="spellStart"/>
      <w:r w:rsidRPr="0052733B">
        <w:rPr>
          <w:rFonts w:ascii="Book Antiqua" w:hAnsi="Book Antiqua" w:cs="宋体"/>
          <w:color w:val="000000"/>
          <w:lang w:val="en-US" w:eastAsia="zh-CN"/>
        </w:rPr>
        <w:t>Luinetti</w:t>
      </w:r>
      <w:proofErr w:type="spellEnd"/>
      <w:r w:rsidRPr="0052733B">
        <w:rPr>
          <w:rFonts w:ascii="Book Antiqua" w:hAnsi="Book Antiqua" w:cs="宋体"/>
          <w:color w:val="000000"/>
          <w:lang w:val="en-US" w:eastAsia="zh-CN"/>
        </w:rPr>
        <w:t xml:space="preserve"> O, </w:t>
      </w:r>
      <w:proofErr w:type="spellStart"/>
      <w:r w:rsidRPr="0052733B">
        <w:rPr>
          <w:rFonts w:ascii="Book Antiqua" w:hAnsi="Book Antiqua" w:cs="宋体"/>
          <w:color w:val="000000"/>
          <w:lang w:val="en-US" w:eastAsia="zh-CN"/>
        </w:rPr>
        <w:t>Vattiato</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Monti</w:t>
      </w:r>
      <w:proofErr w:type="spellEnd"/>
      <w:r w:rsidRPr="0052733B">
        <w:rPr>
          <w:rFonts w:ascii="Book Antiqua" w:hAnsi="Book Antiqua" w:cs="宋体"/>
          <w:color w:val="000000"/>
          <w:lang w:val="en-US" w:eastAsia="zh-CN"/>
        </w:rPr>
        <w:t xml:space="preserve"> CM, Di Stefano M, </w:t>
      </w:r>
      <w:proofErr w:type="spellStart"/>
      <w:r w:rsidRPr="0052733B">
        <w:rPr>
          <w:rFonts w:ascii="Book Antiqua" w:hAnsi="Book Antiqua" w:cs="宋体"/>
          <w:color w:val="000000"/>
          <w:lang w:val="en-US" w:eastAsia="zh-CN"/>
        </w:rPr>
        <w:t>Corazza</w:t>
      </w:r>
      <w:proofErr w:type="spellEnd"/>
      <w:r w:rsidRPr="0052733B">
        <w:rPr>
          <w:rFonts w:ascii="Book Antiqua" w:hAnsi="Book Antiqua" w:cs="宋体"/>
          <w:color w:val="000000"/>
          <w:lang w:val="en-US" w:eastAsia="zh-CN"/>
        </w:rPr>
        <w:t xml:space="preserve"> GR. Common features of patients with autoimmune atrophic </w:t>
      </w:r>
      <w:r w:rsidRPr="0052733B">
        <w:rPr>
          <w:rFonts w:ascii="Book Antiqua" w:hAnsi="Book Antiqua" w:cs="宋体"/>
          <w:color w:val="000000"/>
          <w:lang w:val="en-US" w:eastAsia="zh-CN"/>
        </w:rPr>
        <w:lastRenderedPageBreak/>
        <w:t>gastritis. </w:t>
      </w:r>
      <w:proofErr w:type="spellStart"/>
      <w:r w:rsidRPr="0052733B">
        <w:rPr>
          <w:rFonts w:ascii="Book Antiqua" w:hAnsi="Book Antiqua" w:cs="宋体"/>
          <w:i/>
          <w:iCs/>
          <w:color w:val="000000"/>
          <w:lang w:val="en-US" w:eastAsia="zh-CN"/>
        </w:rPr>
        <w:t>Clin</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Hepatol</w:t>
      </w:r>
      <w:proofErr w:type="spellEnd"/>
      <w:r w:rsidRPr="0052733B">
        <w:rPr>
          <w:rFonts w:ascii="Book Antiqua" w:hAnsi="Book Antiqua" w:cs="宋体"/>
          <w:color w:val="000000"/>
          <w:lang w:val="en-US" w:eastAsia="zh-CN"/>
        </w:rPr>
        <w:t> 2012; </w:t>
      </w:r>
      <w:r w:rsidRPr="0052733B">
        <w:rPr>
          <w:rFonts w:ascii="Book Antiqua" w:hAnsi="Book Antiqua" w:cs="宋体"/>
          <w:b/>
          <w:bCs/>
          <w:color w:val="000000"/>
          <w:lang w:val="en-US" w:eastAsia="zh-CN"/>
        </w:rPr>
        <w:t>10</w:t>
      </w:r>
      <w:r w:rsidRPr="0052733B">
        <w:rPr>
          <w:rFonts w:ascii="Book Antiqua" w:hAnsi="Book Antiqua" w:cs="宋体"/>
          <w:color w:val="000000"/>
          <w:lang w:val="en-US" w:eastAsia="zh-CN"/>
        </w:rPr>
        <w:t>: 812-814 [PMID: 22387252 DOI: 10.1016/j.cgh.2012.02.018.]</w:t>
      </w:r>
    </w:p>
    <w:p w14:paraId="0CFC6CC1"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28 </w:t>
      </w:r>
      <w:proofErr w:type="spellStart"/>
      <w:r w:rsidRPr="0052733B">
        <w:rPr>
          <w:rFonts w:ascii="Book Antiqua" w:hAnsi="Book Antiqua" w:cs="宋体"/>
          <w:b/>
          <w:bCs/>
          <w:color w:val="000000"/>
          <w:lang w:val="en-US" w:eastAsia="zh-CN"/>
        </w:rPr>
        <w:t>Kaptan</w:t>
      </w:r>
      <w:proofErr w:type="spellEnd"/>
      <w:r w:rsidRPr="0052733B">
        <w:rPr>
          <w:rFonts w:ascii="Book Antiqua" w:hAnsi="Book Antiqua" w:cs="宋体"/>
          <w:b/>
          <w:bCs/>
          <w:color w:val="000000"/>
          <w:lang w:val="en-US" w:eastAsia="zh-CN"/>
        </w:rPr>
        <w:t xml:space="preserve"> K</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Beyan</w:t>
      </w:r>
      <w:proofErr w:type="spellEnd"/>
      <w:r w:rsidRPr="0052733B">
        <w:rPr>
          <w:rFonts w:ascii="Book Antiqua" w:hAnsi="Book Antiqua" w:cs="宋体"/>
          <w:color w:val="000000"/>
          <w:lang w:val="en-US" w:eastAsia="zh-CN"/>
        </w:rPr>
        <w:t xml:space="preserve"> C, Ural AU, Cetin T, </w:t>
      </w:r>
      <w:proofErr w:type="spellStart"/>
      <w:r w:rsidRPr="0052733B">
        <w:rPr>
          <w:rFonts w:ascii="Book Antiqua" w:hAnsi="Book Antiqua" w:cs="宋体"/>
          <w:color w:val="000000"/>
          <w:lang w:val="en-US" w:eastAsia="zh-CN"/>
        </w:rPr>
        <w:t>Avcu</w:t>
      </w:r>
      <w:proofErr w:type="spellEnd"/>
      <w:r w:rsidRPr="0052733B">
        <w:rPr>
          <w:rFonts w:ascii="Book Antiqua" w:hAnsi="Book Antiqua" w:cs="宋体"/>
          <w:color w:val="000000"/>
          <w:lang w:val="en-US" w:eastAsia="zh-CN"/>
        </w:rPr>
        <w:t xml:space="preserve"> F, </w:t>
      </w:r>
      <w:proofErr w:type="spellStart"/>
      <w:r w:rsidRPr="0052733B">
        <w:rPr>
          <w:rFonts w:ascii="Book Antiqua" w:hAnsi="Book Antiqua" w:cs="宋体"/>
          <w:color w:val="000000"/>
          <w:lang w:val="en-US" w:eastAsia="zh-CN"/>
        </w:rPr>
        <w:t>Gülşen</w:t>
      </w:r>
      <w:proofErr w:type="spellEnd"/>
      <w:r w:rsidRPr="0052733B">
        <w:rPr>
          <w:rFonts w:ascii="Book Antiqua" w:hAnsi="Book Antiqua" w:cs="宋体"/>
          <w:color w:val="000000"/>
          <w:lang w:val="en-US" w:eastAsia="zh-CN"/>
        </w:rPr>
        <w:t xml:space="preserve"> M, </w:t>
      </w:r>
      <w:proofErr w:type="spellStart"/>
      <w:r w:rsidRPr="0052733B">
        <w:rPr>
          <w:rFonts w:ascii="Book Antiqua" w:hAnsi="Book Antiqua" w:cs="宋体"/>
          <w:color w:val="000000"/>
          <w:lang w:val="en-US" w:eastAsia="zh-CN"/>
        </w:rPr>
        <w:t>Finci</w:t>
      </w:r>
      <w:proofErr w:type="spellEnd"/>
      <w:r w:rsidRPr="0052733B">
        <w:rPr>
          <w:rFonts w:ascii="Book Antiqua" w:hAnsi="Book Antiqua" w:cs="宋体"/>
          <w:color w:val="000000"/>
          <w:lang w:val="en-US" w:eastAsia="zh-CN"/>
        </w:rPr>
        <w:t xml:space="preserve"> R, </w:t>
      </w:r>
      <w:proofErr w:type="spellStart"/>
      <w:r w:rsidRPr="0052733B">
        <w:rPr>
          <w:rFonts w:ascii="Book Antiqua" w:hAnsi="Book Antiqua" w:cs="宋体"/>
          <w:color w:val="000000"/>
          <w:lang w:val="en-US" w:eastAsia="zh-CN"/>
        </w:rPr>
        <w:t>Yalçín</w:t>
      </w:r>
      <w:proofErr w:type="spellEnd"/>
      <w:r w:rsidRPr="0052733B">
        <w:rPr>
          <w:rFonts w:ascii="Book Antiqua" w:hAnsi="Book Antiqua" w:cs="宋体"/>
          <w:color w:val="000000"/>
          <w:lang w:val="en-US" w:eastAsia="zh-CN"/>
        </w:rPr>
        <w:t xml:space="preserve"> A. Helicobacter pylori--is it a novel causative agent in Vitamin B12 deficiency?</w:t>
      </w:r>
      <w:r w:rsidRPr="0052733B">
        <w:rPr>
          <w:rFonts w:ascii="Book Antiqua" w:hAnsi="Book Antiqua" w:cs="宋体" w:hint="eastAsia"/>
          <w:color w:val="000000"/>
          <w:lang w:val="en-US" w:eastAsia="zh-CN"/>
        </w:rPr>
        <w:t xml:space="preserve"> </w:t>
      </w:r>
      <w:r w:rsidRPr="0052733B">
        <w:rPr>
          <w:rFonts w:ascii="Book Antiqua" w:hAnsi="Book Antiqua" w:cs="宋体"/>
          <w:i/>
          <w:iCs/>
          <w:color w:val="000000"/>
          <w:lang w:val="en-US" w:eastAsia="zh-CN"/>
        </w:rPr>
        <w:t>Arch Intern Med</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2000; </w:t>
      </w:r>
      <w:r w:rsidRPr="0052733B">
        <w:rPr>
          <w:rFonts w:ascii="Book Antiqua" w:hAnsi="Book Antiqua" w:cs="宋体"/>
          <w:b/>
          <w:bCs/>
          <w:color w:val="000000"/>
          <w:lang w:val="en-US" w:eastAsia="zh-CN"/>
        </w:rPr>
        <w:t>160</w:t>
      </w:r>
      <w:r w:rsidRPr="0052733B">
        <w:rPr>
          <w:rFonts w:ascii="Book Antiqua" w:hAnsi="Book Antiqua" w:cs="宋体"/>
          <w:color w:val="000000"/>
          <w:lang w:val="en-US" w:eastAsia="zh-CN"/>
        </w:rPr>
        <w:t>: 1349-1353 [PMID: 10809040 DOI: 10.1001/archinte.160.9.1349]</w:t>
      </w:r>
    </w:p>
    <w:p w14:paraId="4AE4DEA9"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29 </w:t>
      </w:r>
      <w:r w:rsidRPr="0052733B">
        <w:rPr>
          <w:rFonts w:ascii="Book Antiqua" w:hAnsi="Book Antiqua" w:cs="宋体"/>
          <w:b/>
          <w:bCs/>
          <w:color w:val="000000"/>
          <w:lang w:val="en-US" w:eastAsia="zh-CN"/>
        </w:rPr>
        <w:t>Dali-</w:t>
      </w:r>
      <w:proofErr w:type="spellStart"/>
      <w:r w:rsidRPr="0052733B">
        <w:rPr>
          <w:rFonts w:ascii="Book Antiqua" w:hAnsi="Book Antiqua" w:cs="宋体"/>
          <w:b/>
          <w:bCs/>
          <w:color w:val="000000"/>
          <w:lang w:val="en-US" w:eastAsia="zh-CN"/>
        </w:rPr>
        <w:t>Youcef</w:t>
      </w:r>
      <w:proofErr w:type="spellEnd"/>
      <w:r w:rsidRPr="0052733B">
        <w:rPr>
          <w:rFonts w:ascii="Book Antiqua" w:hAnsi="Book Antiqua" w:cs="宋体"/>
          <w:b/>
          <w:bCs/>
          <w:color w:val="000000"/>
          <w:lang w:val="en-US" w:eastAsia="zh-CN"/>
        </w:rPr>
        <w:t xml:space="preserve"> N</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Andrès</w:t>
      </w:r>
      <w:proofErr w:type="spellEnd"/>
      <w:r w:rsidRPr="0052733B">
        <w:rPr>
          <w:rFonts w:ascii="Book Antiqua" w:hAnsi="Book Antiqua" w:cs="宋体"/>
          <w:color w:val="000000"/>
          <w:lang w:val="en-US" w:eastAsia="zh-CN"/>
        </w:rPr>
        <w:t xml:space="preserve"> E.</w:t>
      </w:r>
      <w:proofErr w:type="gramEnd"/>
      <w:r w:rsidRPr="0052733B">
        <w:rPr>
          <w:rFonts w:ascii="Book Antiqua" w:hAnsi="Book Antiqua" w:cs="宋体"/>
          <w:color w:val="000000"/>
          <w:lang w:val="en-US" w:eastAsia="zh-CN"/>
        </w:rPr>
        <w:t xml:space="preserve"> </w:t>
      </w:r>
      <w:proofErr w:type="gramStart"/>
      <w:r w:rsidRPr="0052733B">
        <w:rPr>
          <w:rFonts w:ascii="Book Antiqua" w:hAnsi="Book Antiqua" w:cs="宋体"/>
          <w:color w:val="000000"/>
          <w:lang w:val="en-US" w:eastAsia="zh-CN"/>
        </w:rPr>
        <w:t xml:space="preserve">An update on </w:t>
      </w:r>
      <w:proofErr w:type="spellStart"/>
      <w:r w:rsidRPr="0052733B">
        <w:rPr>
          <w:rFonts w:ascii="Book Antiqua" w:hAnsi="Book Antiqua" w:cs="宋体"/>
          <w:color w:val="000000"/>
          <w:lang w:val="en-US" w:eastAsia="zh-CN"/>
        </w:rPr>
        <w:t>cobalamin</w:t>
      </w:r>
      <w:proofErr w:type="spellEnd"/>
      <w:r w:rsidRPr="0052733B">
        <w:rPr>
          <w:rFonts w:ascii="Book Antiqua" w:hAnsi="Book Antiqua" w:cs="宋体"/>
          <w:color w:val="000000"/>
          <w:lang w:val="en-US" w:eastAsia="zh-CN"/>
        </w:rPr>
        <w:t xml:space="preserve"> deficiency in adults.</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QJM</w:t>
      </w:r>
      <w:r w:rsidRPr="0052733B">
        <w:rPr>
          <w:rFonts w:ascii="Book Antiqua" w:hAnsi="Book Antiqua" w:cs="宋体"/>
          <w:color w:val="000000"/>
          <w:lang w:val="en-US" w:eastAsia="zh-CN"/>
        </w:rPr>
        <w:t> 2009; </w:t>
      </w:r>
      <w:r w:rsidRPr="0052733B">
        <w:rPr>
          <w:rFonts w:ascii="Book Antiqua" w:hAnsi="Book Antiqua" w:cs="宋体"/>
          <w:b/>
          <w:bCs/>
          <w:color w:val="000000"/>
          <w:lang w:val="en-US" w:eastAsia="zh-CN"/>
        </w:rPr>
        <w:t>102</w:t>
      </w:r>
      <w:r w:rsidRPr="0052733B">
        <w:rPr>
          <w:rFonts w:ascii="Book Antiqua" w:hAnsi="Book Antiqua" w:cs="宋体"/>
          <w:color w:val="000000"/>
          <w:lang w:val="en-US" w:eastAsia="zh-CN"/>
        </w:rPr>
        <w:t>: 17-28 [PMID: 18990719 DOI: 10.1093/</w:t>
      </w:r>
      <w:proofErr w:type="spellStart"/>
      <w:r w:rsidRPr="0052733B">
        <w:rPr>
          <w:rFonts w:ascii="Book Antiqua" w:hAnsi="Book Antiqua" w:cs="宋体"/>
          <w:color w:val="000000"/>
          <w:lang w:val="en-US" w:eastAsia="zh-CN"/>
        </w:rPr>
        <w:t>qjmed</w:t>
      </w:r>
      <w:proofErr w:type="spellEnd"/>
      <w:r w:rsidRPr="0052733B">
        <w:rPr>
          <w:rFonts w:ascii="Book Antiqua" w:hAnsi="Book Antiqua" w:cs="宋体"/>
          <w:color w:val="000000"/>
          <w:lang w:val="en-US" w:eastAsia="zh-CN"/>
        </w:rPr>
        <w:t>/hcn138]</w:t>
      </w:r>
    </w:p>
    <w:p w14:paraId="493EDC3A"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30 </w:t>
      </w:r>
      <w:proofErr w:type="spellStart"/>
      <w:r w:rsidRPr="0052733B">
        <w:rPr>
          <w:rFonts w:ascii="Book Antiqua" w:hAnsi="Book Antiqua" w:cs="宋体"/>
          <w:b/>
          <w:bCs/>
          <w:color w:val="000000"/>
          <w:lang w:val="en-US" w:eastAsia="zh-CN"/>
        </w:rPr>
        <w:t>Wun</w:t>
      </w:r>
      <w:proofErr w:type="spellEnd"/>
      <w:r w:rsidRPr="0052733B">
        <w:rPr>
          <w:rFonts w:ascii="Book Antiqua" w:hAnsi="Book Antiqua" w:cs="宋体"/>
          <w:b/>
          <w:bCs/>
          <w:color w:val="000000"/>
          <w:lang w:val="en-US" w:eastAsia="zh-CN"/>
        </w:rPr>
        <w:t xml:space="preserve"> Chan JC</w:t>
      </w:r>
      <w:r w:rsidRPr="0052733B">
        <w:rPr>
          <w:rFonts w:ascii="Book Antiqua" w:hAnsi="Book Antiqua" w:cs="宋体"/>
          <w:color w:val="000000"/>
          <w:lang w:val="en-US" w:eastAsia="zh-CN"/>
        </w:rPr>
        <w:t xml:space="preserve">, Yu Liu HS, Sang </w:t>
      </w:r>
      <w:proofErr w:type="spellStart"/>
      <w:r w:rsidRPr="0052733B">
        <w:rPr>
          <w:rFonts w:ascii="Book Antiqua" w:hAnsi="Book Antiqua" w:cs="宋体"/>
          <w:color w:val="000000"/>
          <w:lang w:val="en-US" w:eastAsia="zh-CN"/>
        </w:rPr>
        <w:t>Kho</w:t>
      </w:r>
      <w:proofErr w:type="spellEnd"/>
      <w:r w:rsidRPr="0052733B">
        <w:rPr>
          <w:rFonts w:ascii="Book Antiqua" w:hAnsi="Book Antiqua" w:cs="宋体"/>
          <w:color w:val="000000"/>
          <w:lang w:val="en-US" w:eastAsia="zh-CN"/>
        </w:rPr>
        <w:t xml:space="preserve"> BC, Yin </w:t>
      </w:r>
      <w:proofErr w:type="spellStart"/>
      <w:r w:rsidRPr="0052733B">
        <w:rPr>
          <w:rFonts w:ascii="Book Antiqua" w:hAnsi="Book Antiqua" w:cs="宋体"/>
          <w:color w:val="000000"/>
          <w:lang w:val="en-US" w:eastAsia="zh-CN"/>
        </w:rPr>
        <w:t>Sim</w:t>
      </w:r>
      <w:proofErr w:type="spellEnd"/>
      <w:r w:rsidRPr="0052733B">
        <w:rPr>
          <w:rFonts w:ascii="Book Antiqua" w:hAnsi="Book Antiqua" w:cs="宋体"/>
          <w:color w:val="000000"/>
          <w:lang w:val="en-US" w:eastAsia="zh-CN"/>
        </w:rPr>
        <w:t xml:space="preserve"> JP, Hang Lau TK, </w:t>
      </w:r>
      <w:proofErr w:type="spellStart"/>
      <w:r w:rsidRPr="0052733B">
        <w:rPr>
          <w:rFonts w:ascii="Book Antiqua" w:hAnsi="Book Antiqua" w:cs="宋体"/>
          <w:color w:val="000000"/>
          <w:lang w:val="en-US" w:eastAsia="zh-CN"/>
        </w:rPr>
        <w:t>Luk</w:t>
      </w:r>
      <w:proofErr w:type="spellEnd"/>
      <w:r w:rsidRPr="0052733B">
        <w:rPr>
          <w:rFonts w:ascii="Book Antiqua" w:hAnsi="Book Antiqua" w:cs="宋体"/>
          <w:color w:val="000000"/>
          <w:lang w:val="en-US" w:eastAsia="zh-CN"/>
        </w:rPr>
        <w:t xml:space="preserve"> YW, Chu RW, Fung Cheung FM, Tat Choi FP, Kwan Ma ES. Pernicious anemia in Chinese: a study of 181 patients in a Hong Kong hospital. </w:t>
      </w:r>
      <w:r w:rsidRPr="0052733B">
        <w:rPr>
          <w:rFonts w:ascii="Book Antiqua" w:hAnsi="Book Antiqua" w:cs="宋体"/>
          <w:i/>
          <w:iCs/>
          <w:color w:val="000000"/>
          <w:lang w:val="en-US" w:eastAsia="zh-CN"/>
        </w:rPr>
        <w:t>Medicine (Baltimore)</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2006; </w:t>
      </w:r>
      <w:r w:rsidRPr="0052733B">
        <w:rPr>
          <w:rFonts w:ascii="Book Antiqua" w:hAnsi="Book Antiqua" w:cs="宋体"/>
          <w:b/>
          <w:bCs/>
          <w:color w:val="000000"/>
          <w:lang w:val="en-US" w:eastAsia="zh-CN"/>
        </w:rPr>
        <w:t>85</w:t>
      </w:r>
      <w:r w:rsidRPr="0052733B">
        <w:rPr>
          <w:rFonts w:ascii="Book Antiqua" w:hAnsi="Book Antiqua" w:cs="宋体"/>
          <w:color w:val="000000"/>
          <w:lang w:val="en-US" w:eastAsia="zh-CN"/>
        </w:rPr>
        <w:t>: 129-138 [PMID: 16721255 DOI: 10.1097/01.md.0000224710.47263.70]</w:t>
      </w:r>
    </w:p>
    <w:p w14:paraId="0B9366F4"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31 </w:t>
      </w:r>
      <w:r w:rsidRPr="0052733B">
        <w:rPr>
          <w:rFonts w:ascii="Book Antiqua" w:hAnsi="Book Antiqua" w:cs="宋体"/>
          <w:b/>
          <w:bCs/>
          <w:color w:val="000000"/>
          <w:lang w:val="en-US" w:eastAsia="zh-CN"/>
        </w:rPr>
        <w:t>Andrew T</w:t>
      </w:r>
      <w:r w:rsidRPr="0052733B">
        <w:rPr>
          <w:rFonts w:ascii="Book Antiqua" w:hAnsi="Book Antiqua" w:cs="宋体"/>
          <w:color w:val="000000"/>
          <w:lang w:val="en-US" w:eastAsia="zh-CN"/>
        </w:rPr>
        <w:t xml:space="preserve">, Gill R, </w:t>
      </w:r>
      <w:proofErr w:type="spellStart"/>
      <w:r w:rsidRPr="0052733B">
        <w:rPr>
          <w:rFonts w:ascii="Book Antiqua" w:hAnsi="Book Antiqua" w:cs="宋体"/>
          <w:color w:val="000000"/>
          <w:lang w:val="en-US" w:eastAsia="zh-CN"/>
        </w:rPr>
        <w:t>Gillham-Nasenya</w:t>
      </w:r>
      <w:proofErr w:type="spellEnd"/>
      <w:r w:rsidRPr="0052733B">
        <w:rPr>
          <w:rFonts w:ascii="Book Antiqua" w:hAnsi="Book Antiqua" w:cs="宋体"/>
          <w:color w:val="000000"/>
          <w:lang w:val="en-US" w:eastAsia="zh-CN"/>
        </w:rPr>
        <w:t xml:space="preserve"> I, </w:t>
      </w:r>
      <w:proofErr w:type="spellStart"/>
      <w:r w:rsidRPr="0052733B">
        <w:rPr>
          <w:rFonts w:ascii="Book Antiqua" w:hAnsi="Book Antiqua" w:cs="宋体"/>
          <w:color w:val="000000"/>
          <w:lang w:val="en-US" w:eastAsia="zh-CN"/>
        </w:rPr>
        <w:t>Ahmadi</w:t>
      </w:r>
      <w:proofErr w:type="spellEnd"/>
      <w:r w:rsidRPr="0052733B">
        <w:rPr>
          <w:rFonts w:ascii="Book Antiqua" w:hAnsi="Book Antiqua" w:cs="宋体"/>
          <w:color w:val="000000"/>
          <w:lang w:val="en-US" w:eastAsia="zh-CN"/>
        </w:rPr>
        <w:t xml:space="preserve"> KR. </w:t>
      </w:r>
      <w:proofErr w:type="spellStart"/>
      <w:r w:rsidRPr="0052733B">
        <w:rPr>
          <w:rFonts w:ascii="Book Antiqua" w:hAnsi="Book Antiqua" w:cs="宋体"/>
          <w:color w:val="000000"/>
          <w:lang w:val="en-US" w:eastAsia="zh-CN"/>
        </w:rPr>
        <w:t>Unravelling</w:t>
      </w:r>
      <w:proofErr w:type="spellEnd"/>
      <w:r w:rsidRPr="0052733B">
        <w:rPr>
          <w:rFonts w:ascii="Book Antiqua" w:hAnsi="Book Antiqua" w:cs="宋体"/>
          <w:color w:val="000000"/>
          <w:lang w:val="en-US" w:eastAsia="zh-CN"/>
        </w:rPr>
        <w:t xml:space="preserve"> the basis of variability in </w:t>
      </w:r>
      <w:proofErr w:type="spellStart"/>
      <w:r w:rsidRPr="0052733B">
        <w:rPr>
          <w:rFonts w:ascii="Book Antiqua" w:hAnsi="Book Antiqua" w:cs="宋体"/>
          <w:color w:val="000000"/>
          <w:lang w:val="en-US" w:eastAsia="zh-CN"/>
        </w:rPr>
        <w:t>cobalamin</w:t>
      </w:r>
      <w:proofErr w:type="spellEnd"/>
      <w:r w:rsidRPr="0052733B">
        <w:rPr>
          <w:rFonts w:ascii="Book Antiqua" w:hAnsi="Book Antiqua" w:cs="宋体"/>
          <w:color w:val="000000"/>
          <w:lang w:val="en-US" w:eastAsia="zh-CN"/>
        </w:rPr>
        <w:t xml:space="preserve"> levels in the general population. </w:t>
      </w:r>
      <w:r w:rsidRPr="0052733B">
        <w:rPr>
          <w:rFonts w:ascii="Book Antiqua" w:hAnsi="Book Antiqua" w:cs="宋体"/>
          <w:i/>
          <w:iCs/>
          <w:color w:val="000000"/>
          <w:lang w:val="en-US" w:eastAsia="zh-CN"/>
        </w:rPr>
        <w:t xml:space="preserve">Br J </w:t>
      </w:r>
      <w:proofErr w:type="spellStart"/>
      <w:r w:rsidRPr="0052733B">
        <w:rPr>
          <w:rFonts w:ascii="Book Antiqua" w:hAnsi="Book Antiqua" w:cs="宋体"/>
          <w:i/>
          <w:iCs/>
          <w:color w:val="000000"/>
          <w:lang w:val="en-US" w:eastAsia="zh-CN"/>
        </w:rPr>
        <w:t>Nutr</w:t>
      </w:r>
      <w:proofErr w:type="spellEnd"/>
      <w:r w:rsidRPr="0052733B">
        <w:rPr>
          <w:rFonts w:ascii="Book Antiqua" w:hAnsi="Book Antiqua" w:cs="宋体"/>
          <w:color w:val="000000"/>
          <w:lang w:val="en-US" w:eastAsia="zh-CN"/>
        </w:rPr>
        <w:t> 2013; </w:t>
      </w:r>
      <w:r w:rsidRPr="0052733B">
        <w:rPr>
          <w:rFonts w:ascii="Book Antiqua" w:hAnsi="Book Antiqua" w:cs="宋体"/>
          <w:b/>
          <w:bCs/>
          <w:color w:val="000000"/>
          <w:lang w:val="en-US" w:eastAsia="zh-CN"/>
        </w:rPr>
        <w:t>110</w:t>
      </w:r>
      <w:r w:rsidRPr="0052733B">
        <w:rPr>
          <w:rFonts w:ascii="Book Antiqua" w:hAnsi="Book Antiqua" w:cs="宋体"/>
          <w:color w:val="000000"/>
          <w:lang w:val="en-US" w:eastAsia="zh-CN"/>
        </w:rPr>
        <w:t>: 1672-1679 [PMID: 23628113 DOI: 10.1017/S0007114513000974]</w:t>
      </w:r>
    </w:p>
    <w:p w14:paraId="30E155DD"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32 </w:t>
      </w:r>
      <w:proofErr w:type="spellStart"/>
      <w:r w:rsidRPr="0052733B">
        <w:rPr>
          <w:rFonts w:ascii="Book Antiqua" w:hAnsi="Book Antiqua" w:cs="宋体"/>
          <w:b/>
          <w:bCs/>
          <w:color w:val="000000"/>
          <w:lang w:val="en-US" w:eastAsia="zh-CN"/>
        </w:rPr>
        <w:t>Lahner</w:t>
      </w:r>
      <w:proofErr w:type="spellEnd"/>
      <w:r w:rsidRPr="0052733B">
        <w:rPr>
          <w:rFonts w:ascii="Book Antiqua" w:hAnsi="Book Antiqua" w:cs="宋体"/>
          <w:b/>
          <w:bCs/>
          <w:color w:val="000000"/>
          <w:lang w:val="en-US" w:eastAsia="zh-CN"/>
        </w:rPr>
        <w:t xml:space="preserve"> E</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Annibale</w:t>
      </w:r>
      <w:proofErr w:type="spellEnd"/>
      <w:r w:rsidRPr="0052733B">
        <w:rPr>
          <w:rFonts w:ascii="Book Antiqua" w:hAnsi="Book Antiqua" w:cs="宋体"/>
          <w:color w:val="000000"/>
          <w:lang w:val="en-US" w:eastAsia="zh-CN"/>
        </w:rPr>
        <w:t xml:space="preserve"> B. Pernicious anemia: new insights from a gastroenterological point of view.</w:t>
      </w:r>
      <w:r w:rsidRPr="0052733B">
        <w:rPr>
          <w:rFonts w:ascii="Book Antiqua" w:hAnsi="Book Antiqua" w:cs="宋体" w:hint="eastAsia"/>
          <w:color w:val="000000"/>
          <w:lang w:val="en-US" w:eastAsia="zh-CN"/>
        </w:rPr>
        <w:t xml:space="preserve"> </w:t>
      </w:r>
      <w:r w:rsidRPr="0052733B">
        <w:rPr>
          <w:rFonts w:ascii="Book Antiqua" w:hAnsi="Book Antiqua" w:cs="宋体"/>
          <w:i/>
          <w:iCs/>
          <w:color w:val="000000"/>
          <w:lang w:val="en-US" w:eastAsia="zh-CN"/>
        </w:rPr>
        <w:t xml:space="preserve">World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color w:val="000000"/>
          <w:lang w:val="en-US" w:eastAsia="zh-CN"/>
        </w:rPr>
        <w:t> 2009; </w:t>
      </w:r>
      <w:r w:rsidRPr="0052733B">
        <w:rPr>
          <w:rFonts w:ascii="Book Antiqua" w:hAnsi="Book Antiqua" w:cs="宋体"/>
          <w:b/>
          <w:bCs/>
          <w:color w:val="000000"/>
          <w:lang w:val="en-US" w:eastAsia="zh-CN"/>
        </w:rPr>
        <w:t>15</w:t>
      </w:r>
      <w:r w:rsidRPr="0052733B">
        <w:rPr>
          <w:rFonts w:ascii="Book Antiqua" w:hAnsi="Book Antiqua" w:cs="宋体"/>
          <w:color w:val="000000"/>
          <w:lang w:val="en-US" w:eastAsia="zh-CN"/>
        </w:rPr>
        <w:t>: 5121-5128 [PMID: 19891010 DOI: 10.3748/wjg.15.5121]</w:t>
      </w:r>
    </w:p>
    <w:p w14:paraId="4FA7D41A"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33 </w:t>
      </w:r>
      <w:proofErr w:type="spellStart"/>
      <w:r w:rsidRPr="0052733B">
        <w:rPr>
          <w:rFonts w:ascii="Book Antiqua" w:hAnsi="Book Antiqua" w:cs="宋体"/>
          <w:b/>
          <w:bCs/>
          <w:color w:val="000000"/>
          <w:lang w:val="en-US" w:eastAsia="zh-CN"/>
        </w:rPr>
        <w:t>Hazra</w:t>
      </w:r>
      <w:proofErr w:type="spellEnd"/>
      <w:r w:rsidRPr="0052733B">
        <w:rPr>
          <w:rFonts w:ascii="Book Antiqua" w:hAnsi="Book Antiqua" w:cs="宋体"/>
          <w:b/>
          <w:bCs/>
          <w:color w:val="000000"/>
          <w:lang w:val="en-US" w:eastAsia="zh-CN"/>
        </w:rPr>
        <w:t xml:space="preserve"> A</w:t>
      </w:r>
      <w:r w:rsidRPr="0052733B">
        <w:rPr>
          <w:rFonts w:ascii="Book Antiqua" w:hAnsi="Book Antiqua" w:cs="宋体"/>
          <w:color w:val="000000"/>
          <w:lang w:val="en-US" w:eastAsia="zh-CN"/>
        </w:rPr>
        <w:t xml:space="preserve">, Kraft P, Lazarus R, Chen C, </w:t>
      </w:r>
      <w:proofErr w:type="spellStart"/>
      <w:r w:rsidRPr="0052733B">
        <w:rPr>
          <w:rFonts w:ascii="Book Antiqua" w:hAnsi="Book Antiqua" w:cs="宋体"/>
          <w:color w:val="000000"/>
          <w:lang w:val="en-US" w:eastAsia="zh-CN"/>
        </w:rPr>
        <w:t>Chanock</w:t>
      </w:r>
      <w:proofErr w:type="spellEnd"/>
      <w:r w:rsidRPr="0052733B">
        <w:rPr>
          <w:rFonts w:ascii="Book Antiqua" w:hAnsi="Book Antiqua" w:cs="宋体"/>
          <w:color w:val="000000"/>
          <w:lang w:val="en-US" w:eastAsia="zh-CN"/>
        </w:rPr>
        <w:t xml:space="preserve"> SJ, Jacques P, </w:t>
      </w:r>
      <w:proofErr w:type="spellStart"/>
      <w:r w:rsidRPr="0052733B">
        <w:rPr>
          <w:rFonts w:ascii="Book Antiqua" w:hAnsi="Book Antiqua" w:cs="宋体"/>
          <w:color w:val="000000"/>
          <w:lang w:val="en-US" w:eastAsia="zh-CN"/>
        </w:rPr>
        <w:t>Selhub</w:t>
      </w:r>
      <w:proofErr w:type="spellEnd"/>
      <w:r w:rsidRPr="0052733B">
        <w:rPr>
          <w:rFonts w:ascii="Book Antiqua" w:hAnsi="Book Antiqua" w:cs="宋体"/>
          <w:color w:val="000000"/>
          <w:lang w:val="en-US" w:eastAsia="zh-CN"/>
        </w:rPr>
        <w:t xml:space="preserve"> J, Hunter DJ. </w:t>
      </w:r>
      <w:proofErr w:type="gramStart"/>
      <w:r w:rsidRPr="0052733B">
        <w:rPr>
          <w:rFonts w:ascii="Book Antiqua" w:hAnsi="Book Antiqua" w:cs="宋体"/>
          <w:color w:val="000000"/>
          <w:lang w:val="en-US" w:eastAsia="zh-CN"/>
        </w:rPr>
        <w:t>Genome-wide significant predictors of metabolites in the one-carbon metabolism pathway.</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Hum </w:t>
      </w:r>
      <w:proofErr w:type="spellStart"/>
      <w:r w:rsidRPr="0052733B">
        <w:rPr>
          <w:rFonts w:ascii="Book Antiqua" w:hAnsi="Book Antiqua" w:cs="宋体"/>
          <w:i/>
          <w:iCs/>
          <w:color w:val="000000"/>
          <w:lang w:val="en-US" w:eastAsia="zh-CN"/>
        </w:rPr>
        <w:t>Mol</w:t>
      </w:r>
      <w:proofErr w:type="spellEnd"/>
      <w:r w:rsidRPr="0052733B">
        <w:rPr>
          <w:rFonts w:ascii="Book Antiqua" w:hAnsi="Book Antiqua" w:cs="宋体"/>
          <w:i/>
          <w:iCs/>
          <w:color w:val="000000"/>
          <w:lang w:val="en-US" w:eastAsia="zh-CN"/>
        </w:rPr>
        <w:t xml:space="preserve"> Genet</w:t>
      </w:r>
      <w:r w:rsidRPr="0052733B">
        <w:rPr>
          <w:rFonts w:ascii="Book Antiqua" w:hAnsi="Book Antiqua" w:cs="宋体"/>
          <w:color w:val="000000"/>
          <w:lang w:val="en-US" w:eastAsia="zh-CN"/>
        </w:rPr>
        <w:t> 2009; </w:t>
      </w:r>
      <w:r w:rsidRPr="0052733B">
        <w:rPr>
          <w:rFonts w:ascii="Book Antiqua" w:hAnsi="Book Antiqua" w:cs="宋体"/>
          <w:b/>
          <w:bCs/>
          <w:color w:val="000000"/>
          <w:lang w:val="en-US" w:eastAsia="zh-CN"/>
        </w:rPr>
        <w:t>18</w:t>
      </w:r>
      <w:r w:rsidRPr="0052733B">
        <w:rPr>
          <w:rFonts w:ascii="Book Antiqua" w:hAnsi="Book Antiqua" w:cs="宋体"/>
          <w:color w:val="000000"/>
          <w:lang w:val="en-US" w:eastAsia="zh-CN"/>
        </w:rPr>
        <w:t>: 4677-4687 [PMID: 19744961 DOI: 10.1093/</w:t>
      </w:r>
      <w:proofErr w:type="spellStart"/>
      <w:r w:rsidRPr="0052733B">
        <w:rPr>
          <w:rFonts w:ascii="Book Antiqua" w:hAnsi="Book Antiqua" w:cs="宋体"/>
          <w:color w:val="000000"/>
          <w:lang w:val="en-US" w:eastAsia="zh-CN"/>
        </w:rPr>
        <w:t>hmg</w:t>
      </w:r>
      <w:proofErr w:type="spellEnd"/>
      <w:r w:rsidRPr="0052733B">
        <w:rPr>
          <w:rFonts w:ascii="Book Antiqua" w:hAnsi="Book Antiqua" w:cs="宋体"/>
          <w:color w:val="000000"/>
          <w:lang w:val="en-US" w:eastAsia="zh-CN"/>
        </w:rPr>
        <w:t>/ddp428]</w:t>
      </w:r>
    </w:p>
    <w:p w14:paraId="7480DAF5"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34 </w:t>
      </w:r>
      <w:r w:rsidRPr="0052733B">
        <w:rPr>
          <w:rFonts w:ascii="Book Antiqua" w:hAnsi="Book Antiqua" w:cs="宋体"/>
          <w:b/>
          <w:bCs/>
          <w:color w:val="000000"/>
          <w:lang w:val="en-US" w:eastAsia="zh-CN"/>
        </w:rPr>
        <w:t>Lin X</w:t>
      </w:r>
      <w:r w:rsidRPr="0052733B">
        <w:rPr>
          <w:rFonts w:ascii="Book Antiqua" w:hAnsi="Book Antiqua" w:cs="宋体"/>
          <w:color w:val="000000"/>
          <w:lang w:val="en-US" w:eastAsia="zh-CN"/>
        </w:rPr>
        <w:t xml:space="preserve">, Lu D, </w:t>
      </w:r>
      <w:proofErr w:type="spellStart"/>
      <w:r w:rsidRPr="0052733B">
        <w:rPr>
          <w:rFonts w:ascii="Book Antiqua" w:hAnsi="Book Antiqua" w:cs="宋体"/>
          <w:color w:val="000000"/>
          <w:lang w:val="en-US" w:eastAsia="zh-CN"/>
        </w:rPr>
        <w:t>Gao</w:t>
      </w:r>
      <w:proofErr w:type="spellEnd"/>
      <w:r w:rsidRPr="0052733B">
        <w:rPr>
          <w:rFonts w:ascii="Book Antiqua" w:hAnsi="Book Antiqua" w:cs="宋体"/>
          <w:color w:val="000000"/>
          <w:lang w:val="en-US" w:eastAsia="zh-CN"/>
        </w:rPr>
        <w:t xml:space="preserve"> Y, Tao S, Yang X, </w:t>
      </w:r>
      <w:proofErr w:type="spellStart"/>
      <w:r w:rsidRPr="0052733B">
        <w:rPr>
          <w:rFonts w:ascii="Book Antiqua" w:hAnsi="Book Antiqua" w:cs="宋体"/>
          <w:color w:val="000000"/>
          <w:lang w:val="en-US" w:eastAsia="zh-CN"/>
        </w:rPr>
        <w:t>Feng</w:t>
      </w:r>
      <w:proofErr w:type="spellEnd"/>
      <w:r w:rsidRPr="0052733B">
        <w:rPr>
          <w:rFonts w:ascii="Book Antiqua" w:hAnsi="Book Antiqua" w:cs="宋体"/>
          <w:color w:val="000000"/>
          <w:lang w:val="en-US" w:eastAsia="zh-CN"/>
        </w:rPr>
        <w:t xml:space="preserve"> J, Tan A, Zhang H, Hu Y, Qin X, Kim ST, </w:t>
      </w:r>
      <w:proofErr w:type="spellStart"/>
      <w:r w:rsidRPr="0052733B">
        <w:rPr>
          <w:rFonts w:ascii="Book Antiqua" w:hAnsi="Book Antiqua" w:cs="宋体"/>
          <w:color w:val="000000"/>
          <w:lang w:val="en-US" w:eastAsia="zh-CN"/>
        </w:rPr>
        <w:t>Peng</w:t>
      </w:r>
      <w:proofErr w:type="spellEnd"/>
      <w:r w:rsidRPr="0052733B">
        <w:rPr>
          <w:rFonts w:ascii="Book Antiqua" w:hAnsi="Book Antiqua" w:cs="宋体"/>
          <w:color w:val="000000"/>
          <w:lang w:val="en-US" w:eastAsia="zh-CN"/>
        </w:rPr>
        <w:t xml:space="preserve"> T, Li L, Mo L, Zhang S, Trent JM, Mo Z, </w:t>
      </w:r>
      <w:proofErr w:type="spellStart"/>
      <w:r w:rsidRPr="0052733B">
        <w:rPr>
          <w:rFonts w:ascii="Book Antiqua" w:hAnsi="Book Antiqua" w:cs="宋体"/>
          <w:color w:val="000000"/>
          <w:lang w:val="en-US" w:eastAsia="zh-CN"/>
        </w:rPr>
        <w:t>Zheng</w:t>
      </w:r>
      <w:proofErr w:type="spellEnd"/>
      <w:r w:rsidRPr="0052733B">
        <w:rPr>
          <w:rFonts w:ascii="Book Antiqua" w:hAnsi="Book Antiqua" w:cs="宋体"/>
          <w:color w:val="000000"/>
          <w:lang w:val="en-US" w:eastAsia="zh-CN"/>
        </w:rPr>
        <w:t xml:space="preserve"> SL, </w:t>
      </w:r>
      <w:proofErr w:type="spellStart"/>
      <w:r w:rsidRPr="0052733B">
        <w:rPr>
          <w:rFonts w:ascii="Book Antiqua" w:hAnsi="Book Antiqua" w:cs="宋体"/>
          <w:color w:val="000000"/>
          <w:lang w:val="en-US" w:eastAsia="zh-CN"/>
        </w:rPr>
        <w:t>Xu</w:t>
      </w:r>
      <w:proofErr w:type="spellEnd"/>
      <w:r w:rsidRPr="0052733B">
        <w:rPr>
          <w:rFonts w:ascii="Book Antiqua" w:hAnsi="Book Antiqua" w:cs="宋体"/>
          <w:color w:val="000000"/>
          <w:lang w:val="en-US" w:eastAsia="zh-CN"/>
        </w:rPr>
        <w:t xml:space="preserve"> J, Sun J. Genome-wide association study identifies novel loci associated with serum level of vitamin B12 in Chinese men. </w:t>
      </w:r>
      <w:r w:rsidRPr="0052733B">
        <w:rPr>
          <w:rFonts w:ascii="Book Antiqua" w:hAnsi="Book Antiqua" w:cs="宋体"/>
          <w:i/>
          <w:iCs/>
          <w:color w:val="000000"/>
          <w:lang w:val="en-US" w:eastAsia="zh-CN"/>
        </w:rPr>
        <w:t xml:space="preserve">Hum </w:t>
      </w:r>
      <w:proofErr w:type="spellStart"/>
      <w:r w:rsidRPr="0052733B">
        <w:rPr>
          <w:rFonts w:ascii="Book Antiqua" w:hAnsi="Book Antiqua" w:cs="宋体"/>
          <w:i/>
          <w:iCs/>
          <w:color w:val="000000"/>
          <w:lang w:val="en-US" w:eastAsia="zh-CN"/>
        </w:rPr>
        <w:t>Mol</w:t>
      </w:r>
      <w:proofErr w:type="spellEnd"/>
      <w:r w:rsidRPr="0052733B">
        <w:rPr>
          <w:rFonts w:ascii="Book Antiqua" w:hAnsi="Book Antiqua" w:cs="宋体"/>
          <w:i/>
          <w:iCs/>
          <w:color w:val="000000"/>
          <w:lang w:val="en-US" w:eastAsia="zh-CN"/>
        </w:rPr>
        <w:t xml:space="preserve"> Genet</w:t>
      </w:r>
      <w:r w:rsidRPr="0052733B">
        <w:rPr>
          <w:rFonts w:ascii="Book Antiqua" w:hAnsi="Book Antiqua" w:cs="宋体"/>
          <w:color w:val="000000"/>
          <w:lang w:val="en-US" w:eastAsia="zh-CN"/>
        </w:rPr>
        <w:t> 2012; </w:t>
      </w:r>
      <w:r w:rsidRPr="0052733B">
        <w:rPr>
          <w:rFonts w:ascii="Book Antiqua" w:hAnsi="Book Antiqua" w:cs="宋体"/>
          <w:b/>
          <w:bCs/>
          <w:color w:val="000000"/>
          <w:lang w:val="en-US" w:eastAsia="zh-CN"/>
        </w:rPr>
        <w:t>21</w:t>
      </w:r>
      <w:r w:rsidRPr="0052733B">
        <w:rPr>
          <w:rFonts w:ascii="Book Antiqua" w:hAnsi="Book Antiqua" w:cs="宋体"/>
          <w:color w:val="000000"/>
          <w:lang w:val="en-US" w:eastAsia="zh-CN"/>
        </w:rPr>
        <w:t>: 2610-2617 [PMID: 22367966 DOI: 10.1093/</w:t>
      </w:r>
      <w:proofErr w:type="spellStart"/>
      <w:r w:rsidRPr="0052733B">
        <w:rPr>
          <w:rFonts w:ascii="Book Antiqua" w:hAnsi="Book Antiqua" w:cs="宋体"/>
          <w:color w:val="000000"/>
          <w:lang w:val="en-US" w:eastAsia="zh-CN"/>
        </w:rPr>
        <w:t>hmg</w:t>
      </w:r>
      <w:proofErr w:type="spellEnd"/>
      <w:r w:rsidRPr="0052733B">
        <w:rPr>
          <w:rFonts w:ascii="Book Antiqua" w:hAnsi="Book Antiqua" w:cs="宋体"/>
          <w:color w:val="000000"/>
          <w:lang w:val="en-US" w:eastAsia="zh-CN"/>
        </w:rPr>
        <w:t>/dds062]</w:t>
      </w:r>
    </w:p>
    <w:p w14:paraId="0E5CF054"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35 </w:t>
      </w:r>
      <w:proofErr w:type="spellStart"/>
      <w:r w:rsidRPr="0052733B">
        <w:rPr>
          <w:rFonts w:ascii="Book Antiqua" w:hAnsi="Book Antiqua" w:cs="宋体"/>
          <w:b/>
          <w:bCs/>
          <w:color w:val="000000"/>
          <w:lang w:val="en-US" w:eastAsia="zh-CN"/>
        </w:rPr>
        <w:t>Duell</w:t>
      </w:r>
      <w:proofErr w:type="spellEnd"/>
      <w:r w:rsidRPr="0052733B">
        <w:rPr>
          <w:rFonts w:ascii="Book Antiqua" w:hAnsi="Book Antiqua" w:cs="宋体"/>
          <w:b/>
          <w:bCs/>
          <w:color w:val="000000"/>
          <w:lang w:val="en-US" w:eastAsia="zh-CN"/>
        </w:rPr>
        <w:t xml:space="preserve"> EJ</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Bonet</w:t>
      </w:r>
      <w:proofErr w:type="spellEnd"/>
      <w:r w:rsidRPr="0052733B">
        <w:rPr>
          <w:rFonts w:ascii="Book Antiqua" w:hAnsi="Book Antiqua" w:cs="宋体"/>
          <w:color w:val="000000"/>
          <w:lang w:val="en-US" w:eastAsia="zh-CN"/>
        </w:rPr>
        <w:t xml:space="preserve"> C, Muñoz X, Lujan-</w:t>
      </w:r>
      <w:proofErr w:type="spellStart"/>
      <w:r w:rsidRPr="0052733B">
        <w:rPr>
          <w:rFonts w:ascii="Book Antiqua" w:hAnsi="Book Antiqua" w:cs="宋体"/>
          <w:color w:val="000000"/>
          <w:lang w:val="en-US" w:eastAsia="zh-CN"/>
        </w:rPr>
        <w:t>Barroso</w:t>
      </w:r>
      <w:proofErr w:type="spellEnd"/>
      <w:r w:rsidRPr="0052733B">
        <w:rPr>
          <w:rFonts w:ascii="Book Antiqua" w:hAnsi="Book Antiqua" w:cs="宋体"/>
          <w:color w:val="000000"/>
          <w:lang w:val="en-US" w:eastAsia="zh-CN"/>
        </w:rPr>
        <w:t xml:space="preserve"> L, </w:t>
      </w:r>
      <w:proofErr w:type="spellStart"/>
      <w:r w:rsidRPr="0052733B">
        <w:rPr>
          <w:rFonts w:ascii="Book Antiqua" w:hAnsi="Book Antiqua" w:cs="宋体"/>
          <w:color w:val="000000"/>
          <w:lang w:val="en-US" w:eastAsia="zh-CN"/>
        </w:rPr>
        <w:t>Weiderpass</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Boutron-Ruault</w:t>
      </w:r>
      <w:proofErr w:type="spellEnd"/>
      <w:r w:rsidRPr="0052733B">
        <w:rPr>
          <w:rFonts w:ascii="Book Antiqua" w:hAnsi="Book Antiqua" w:cs="宋体"/>
          <w:color w:val="000000"/>
          <w:lang w:val="en-US" w:eastAsia="zh-CN"/>
        </w:rPr>
        <w:t xml:space="preserve"> MC, Racine A, </w:t>
      </w:r>
      <w:proofErr w:type="spellStart"/>
      <w:r w:rsidRPr="0052733B">
        <w:rPr>
          <w:rFonts w:ascii="Book Antiqua" w:hAnsi="Book Antiqua" w:cs="宋体"/>
          <w:color w:val="000000"/>
          <w:lang w:val="en-US" w:eastAsia="zh-CN"/>
        </w:rPr>
        <w:t>Severi</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Canzian</w:t>
      </w:r>
      <w:proofErr w:type="spellEnd"/>
      <w:r w:rsidRPr="0052733B">
        <w:rPr>
          <w:rFonts w:ascii="Book Antiqua" w:hAnsi="Book Antiqua" w:cs="宋体"/>
          <w:color w:val="000000"/>
          <w:lang w:val="en-US" w:eastAsia="zh-CN"/>
        </w:rPr>
        <w:t xml:space="preserve"> F, </w:t>
      </w:r>
      <w:proofErr w:type="spellStart"/>
      <w:r w:rsidRPr="0052733B">
        <w:rPr>
          <w:rFonts w:ascii="Book Antiqua" w:hAnsi="Book Antiqua" w:cs="宋体"/>
          <w:color w:val="000000"/>
          <w:lang w:val="en-US" w:eastAsia="zh-CN"/>
        </w:rPr>
        <w:t>Rizzato</w:t>
      </w:r>
      <w:proofErr w:type="spellEnd"/>
      <w:r w:rsidRPr="0052733B">
        <w:rPr>
          <w:rFonts w:ascii="Book Antiqua" w:hAnsi="Book Antiqua" w:cs="宋体"/>
          <w:color w:val="000000"/>
          <w:lang w:val="en-US" w:eastAsia="zh-CN"/>
        </w:rPr>
        <w:t xml:space="preserve"> C, Boeing H, </w:t>
      </w:r>
      <w:proofErr w:type="spellStart"/>
      <w:r w:rsidRPr="0052733B">
        <w:rPr>
          <w:rFonts w:ascii="Book Antiqua" w:hAnsi="Book Antiqua" w:cs="宋体"/>
          <w:color w:val="000000"/>
          <w:lang w:val="en-US" w:eastAsia="zh-CN"/>
        </w:rPr>
        <w:t>Overvad</w:t>
      </w:r>
      <w:proofErr w:type="spellEnd"/>
      <w:r w:rsidRPr="0052733B">
        <w:rPr>
          <w:rFonts w:ascii="Book Antiqua" w:hAnsi="Book Antiqua" w:cs="宋体"/>
          <w:color w:val="000000"/>
          <w:lang w:val="en-US" w:eastAsia="zh-CN"/>
        </w:rPr>
        <w:t xml:space="preserve"> K, </w:t>
      </w:r>
      <w:proofErr w:type="spellStart"/>
      <w:r w:rsidRPr="0052733B">
        <w:rPr>
          <w:rFonts w:ascii="Book Antiqua" w:hAnsi="Book Antiqua" w:cs="宋体"/>
          <w:color w:val="000000"/>
          <w:lang w:val="en-US" w:eastAsia="zh-CN"/>
        </w:rPr>
        <w:t>Tjønneland</w:t>
      </w:r>
      <w:proofErr w:type="spellEnd"/>
      <w:r w:rsidRPr="0052733B">
        <w:rPr>
          <w:rFonts w:ascii="Book Antiqua" w:hAnsi="Book Antiqua" w:cs="宋体"/>
          <w:color w:val="000000"/>
          <w:lang w:val="en-US" w:eastAsia="zh-CN"/>
        </w:rPr>
        <w:t xml:space="preserve"> A, Argüelles M, Sánchez-</w:t>
      </w:r>
      <w:proofErr w:type="spellStart"/>
      <w:r w:rsidRPr="0052733B">
        <w:rPr>
          <w:rFonts w:ascii="Book Antiqua" w:hAnsi="Book Antiqua" w:cs="宋体"/>
          <w:color w:val="000000"/>
          <w:lang w:val="en-US" w:eastAsia="zh-CN"/>
        </w:rPr>
        <w:t>Cantalejo</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Chamosa</w:t>
      </w:r>
      <w:proofErr w:type="spellEnd"/>
      <w:r w:rsidRPr="0052733B">
        <w:rPr>
          <w:rFonts w:ascii="Book Antiqua" w:hAnsi="Book Antiqua" w:cs="宋体"/>
          <w:color w:val="000000"/>
          <w:lang w:val="en-US" w:eastAsia="zh-CN"/>
        </w:rPr>
        <w:t xml:space="preserve"> S, Huerta JM, </w:t>
      </w:r>
      <w:proofErr w:type="spellStart"/>
      <w:r w:rsidRPr="0052733B">
        <w:rPr>
          <w:rFonts w:ascii="Book Antiqua" w:hAnsi="Book Antiqua" w:cs="宋体"/>
          <w:color w:val="000000"/>
          <w:lang w:val="en-US" w:eastAsia="zh-CN"/>
        </w:rPr>
        <w:t>Barricarte</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Khaw</w:t>
      </w:r>
      <w:proofErr w:type="spellEnd"/>
      <w:r w:rsidRPr="0052733B">
        <w:rPr>
          <w:rFonts w:ascii="Book Antiqua" w:hAnsi="Book Antiqua" w:cs="宋体"/>
          <w:color w:val="000000"/>
          <w:lang w:val="en-US" w:eastAsia="zh-CN"/>
        </w:rPr>
        <w:t xml:space="preserve"> </w:t>
      </w:r>
      <w:r w:rsidRPr="0052733B">
        <w:rPr>
          <w:rFonts w:ascii="Book Antiqua" w:hAnsi="Book Antiqua" w:cs="宋体"/>
          <w:color w:val="000000"/>
          <w:lang w:val="en-US" w:eastAsia="zh-CN"/>
        </w:rPr>
        <w:lastRenderedPageBreak/>
        <w:t xml:space="preserve">KT, Wareham N, Travis RC, </w:t>
      </w:r>
      <w:proofErr w:type="spellStart"/>
      <w:r w:rsidRPr="0052733B">
        <w:rPr>
          <w:rFonts w:ascii="Book Antiqua" w:hAnsi="Book Antiqua" w:cs="宋体"/>
          <w:color w:val="000000"/>
          <w:lang w:val="en-US" w:eastAsia="zh-CN"/>
        </w:rPr>
        <w:t>Trichopoulou</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Trichopoulos</w:t>
      </w:r>
      <w:proofErr w:type="spellEnd"/>
      <w:r w:rsidRPr="0052733B">
        <w:rPr>
          <w:rFonts w:ascii="Book Antiqua" w:hAnsi="Book Antiqua" w:cs="宋体"/>
          <w:color w:val="000000"/>
          <w:lang w:val="en-US" w:eastAsia="zh-CN"/>
        </w:rPr>
        <w:t xml:space="preserve"> D, </w:t>
      </w:r>
      <w:proofErr w:type="spellStart"/>
      <w:r w:rsidRPr="0052733B">
        <w:rPr>
          <w:rFonts w:ascii="Book Antiqua" w:hAnsi="Book Antiqua" w:cs="宋体"/>
          <w:color w:val="000000"/>
          <w:lang w:val="en-US" w:eastAsia="zh-CN"/>
        </w:rPr>
        <w:t>Yiannakouris</w:t>
      </w:r>
      <w:proofErr w:type="spellEnd"/>
      <w:r w:rsidRPr="0052733B">
        <w:rPr>
          <w:rFonts w:ascii="Book Antiqua" w:hAnsi="Book Antiqua" w:cs="宋体"/>
          <w:color w:val="000000"/>
          <w:lang w:val="en-US" w:eastAsia="zh-CN"/>
        </w:rPr>
        <w:t xml:space="preserve"> N, </w:t>
      </w:r>
      <w:proofErr w:type="spellStart"/>
      <w:r w:rsidRPr="0052733B">
        <w:rPr>
          <w:rFonts w:ascii="Book Antiqua" w:hAnsi="Book Antiqua" w:cs="宋体"/>
          <w:color w:val="000000"/>
          <w:lang w:val="en-US" w:eastAsia="zh-CN"/>
        </w:rPr>
        <w:t>Palli</w:t>
      </w:r>
      <w:proofErr w:type="spellEnd"/>
      <w:r w:rsidRPr="0052733B">
        <w:rPr>
          <w:rFonts w:ascii="Book Antiqua" w:hAnsi="Book Antiqua" w:cs="宋体"/>
          <w:color w:val="000000"/>
          <w:lang w:val="en-US" w:eastAsia="zh-CN"/>
        </w:rPr>
        <w:t xml:space="preserve"> D, </w:t>
      </w:r>
      <w:proofErr w:type="spellStart"/>
      <w:r w:rsidRPr="0052733B">
        <w:rPr>
          <w:rFonts w:ascii="Book Antiqua" w:hAnsi="Book Antiqua" w:cs="宋体"/>
          <w:color w:val="000000"/>
          <w:lang w:val="en-US" w:eastAsia="zh-CN"/>
        </w:rPr>
        <w:t>Agnoli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Tumino</w:t>
      </w:r>
      <w:proofErr w:type="spellEnd"/>
      <w:r w:rsidRPr="0052733B">
        <w:rPr>
          <w:rFonts w:ascii="Book Antiqua" w:hAnsi="Book Antiqua" w:cs="宋体"/>
          <w:color w:val="000000"/>
          <w:lang w:val="en-US" w:eastAsia="zh-CN"/>
        </w:rPr>
        <w:t xml:space="preserve"> R, </w:t>
      </w:r>
      <w:proofErr w:type="spellStart"/>
      <w:r w:rsidRPr="0052733B">
        <w:rPr>
          <w:rFonts w:ascii="Book Antiqua" w:hAnsi="Book Antiqua" w:cs="宋体"/>
          <w:color w:val="000000"/>
          <w:lang w:val="en-US" w:eastAsia="zh-CN"/>
        </w:rPr>
        <w:t>Naccarati</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Panico</w:t>
      </w:r>
      <w:proofErr w:type="spellEnd"/>
      <w:r w:rsidRPr="0052733B">
        <w:rPr>
          <w:rFonts w:ascii="Book Antiqua" w:hAnsi="Book Antiqua" w:cs="宋体"/>
          <w:color w:val="000000"/>
          <w:lang w:val="en-US" w:eastAsia="zh-CN"/>
        </w:rPr>
        <w:t xml:space="preserve"> S, </w:t>
      </w:r>
      <w:proofErr w:type="spellStart"/>
      <w:r w:rsidRPr="0052733B">
        <w:rPr>
          <w:rFonts w:ascii="Book Antiqua" w:hAnsi="Book Antiqua" w:cs="宋体"/>
          <w:color w:val="000000"/>
          <w:lang w:val="en-US" w:eastAsia="zh-CN"/>
        </w:rPr>
        <w:t>Bueno</w:t>
      </w:r>
      <w:proofErr w:type="spellEnd"/>
      <w:r w:rsidRPr="0052733B">
        <w:rPr>
          <w:rFonts w:ascii="Book Antiqua" w:hAnsi="Book Antiqua" w:cs="宋体"/>
          <w:color w:val="000000"/>
          <w:lang w:val="en-US" w:eastAsia="zh-CN"/>
        </w:rPr>
        <w:t>-de-</w:t>
      </w:r>
      <w:proofErr w:type="spellStart"/>
      <w:r w:rsidRPr="0052733B">
        <w:rPr>
          <w:rFonts w:ascii="Book Antiqua" w:hAnsi="Book Antiqua" w:cs="宋体"/>
          <w:color w:val="000000"/>
          <w:lang w:val="en-US" w:eastAsia="zh-CN"/>
        </w:rPr>
        <w:t>Mesquita</w:t>
      </w:r>
      <w:proofErr w:type="spellEnd"/>
      <w:r w:rsidRPr="0052733B">
        <w:rPr>
          <w:rFonts w:ascii="Book Antiqua" w:hAnsi="Book Antiqua" w:cs="宋体"/>
          <w:color w:val="000000"/>
          <w:lang w:val="en-US" w:eastAsia="zh-CN"/>
        </w:rPr>
        <w:t xml:space="preserve"> HB, </w:t>
      </w:r>
      <w:proofErr w:type="spellStart"/>
      <w:r w:rsidRPr="0052733B">
        <w:rPr>
          <w:rFonts w:ascii="Book Antiqua" w:hAnsi="Book Antiqua" w:cs="宋体"/>
          <w:color w:val="000000"/>
          <w:lang w:val="en-US" w:eastAsia="zh-CN"/>
        </w:rPr>
        <w:t>Siersema</w:t>
      </w:r>
      <w:proofErr w:type="spellEnd"/>
      <w:r w:rsidRPr="0052733B">
        <w:rPr>
          <w:rFonts w:ascii="Book Antiqua" w:hAnsi="Book Antiqua" w:cs="宋体"/>
          <w:color w:val="000000"/>
          <w:lang w:val="en-US" w:eastAsia="zh-CN"/>
        </w:rPr>
        <w:t xml:space="preserve"> PD, </w:t>
      </w:r>
      <w:proofErr w:type="spellStart"/>
      <w:r w:rsidRPr="0052733B">
        <w:rPr>
          <w:rFonts w:ascii="Book Antiqua" w:hAnsi="Book Antiqua" w:cs="宋体"/>
          <w:color w:val="000000"/>
          <w:lang w:val="en-US" w:eastAsia="zh-CN"/>
        </w:rPr>
        <w:t>Peeters</w:t>
      </w:r>
      <w:proofErr w:type="spellEnd"/>
      <w:r w:rsidRPr="0052733B">
        <w:rPr>
          <w:rFonts w:ascii="Book Antiqua" w:hAnsi="Book Antiqua" w:cs="宋体"/>
          <w:color w:val="000000"/>
          <w:lang w:val="en-US" w:eastAsia="zh-CN"/>
        </w:rPr>
        <w:t xml:space="preserve"> PH, </w:t>
      </w:r>
      <w:proofErr w:type="spellStart"/>
      <w:r w:rsidRPr="0052733B">
        <w:rPr>
          <w:rFonts w:ascii="Book Antiqua" w:hAnsi="Book Antiqua" w:cs="宋体"/>
          <w:color w:val="000000"/>
          <w:lang w:val="en-US" w:eastAsia="zh-CN"/>
        </w:rPr>
        <w:t>Ohlsson</w:t>
      </w:r>
      <w:proofErr w:type="spellEnd"/>
      <w:r w:rsidRPr="0052733B">
        <w:rPr>
          <w:rFonts w:ascii="Book Antiqua" w:hAnsi="Book Antiqua" w:cs="宋体"/>
          <w:color w:val="000000"/>
          <w:lang w:val="en-US" w:eastAsia="zh-CN"/>
        </w:rPr>
        <w:t xml:space="preserve"> B, </w:t>
      </w:r>
      <w:proofErr w:type="spellStart"/>
      <w:r w:rsidRPr="0052733B">
        <w:rPr>
          <w:rFonts w:ascii="Book Antiqua" w:hAnsi="Book Antiqua" w:cs="宋体"/>
          <w:color w:val="000000"/>
          <w:lang w:val="en-US" w:eastAsia="zh-CN"/>
        </w:rPr>
        <w:t>Lindkvist</w:t>
      </w:r>
      <w:proofErr w:type="spellEnd"/>
      <w:r w:rsidRPr="0052733B">
        <w:rPr>
          <w:rFonts w:ascii="Book Antiqua" w:hAnsi="Book Antiqua" w:cs="宋体"/>
          <w:color w:val="000000"/>
          <w:lang w:val="en-US" w:eastAsia="zh-CN"/>
        </w:rPr>
        <w:t xml:space="preserve"> B, Johansson I, Ye W, Johansson M, </w:t>
      </w:r>
      <w:proofErr w:type="spellStart"/>
      <w:r w:rsidRPr="0052733B">
        <w:rPr>
          <w:rFonts w:ascii="Book Antiqua" w:hAnsi="Book Antiqua" w:cs="宋体"/>
          <w:color w:val="000000"/>
          <w:lang w:val="en-US" w:eastAsia="zh-CN"/>
        </w:rPr>
        <w:t>Fenger</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Riboli</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Sala</w:t>
      </w:r>
      <w:proofErr w:type="spellEnd"/>
      <w:r w:rsidRPr="0052733B">
        <w:rPr>
          <w:rFonts w:ascii="Book Antiqua" w:hAnsi="Book Antiqua" w:cs="宋体"/>
          <w:color w:val="000000"/>
          <w:lang w:val="en-US" w:eastAsia="zh-CN"/>
        </w:rPr>
        <w:t xml:space="preserve"> N, González CA. Variation at ABO </w:t>
      </w:r>
      <w:proofErr w:type="spellStart"/>
      <w:r w:rsidRPr="0052733B">
        <w:rPr>
          <w:rFonts w:ascii="Book Antiqua" w:hAnsi="Book Antiqua" w:cs="宋体"/>
          <w:color w:val="000000"/>
          <w:lang w:val="en-US" w:eastAsia="zh-CN"/>
        </w:rPr>
        <w:t>histo</w:t>
      </w:r>
      <w:proofErr w:type="spellEnd"/>
      <w:r w:rsidRPr="0052733B">
        <w:rPr>
          <w:rFonts w:ascii="Book Antiqua" w:hAnsi="Book Antiqua" w:cs="宋体"/>
          <w:color w:val="000000"/>
          <w:lang w:val="en-US" w:eastAsia="zh-CN"/>
        </w:rPr>
        <w:t>-blood group and FUT loci and diffuse and intestinal gastric cancer risk in a European population. </w:t>
      </w:r>
      <w:proofErr w:type="spellStart"/>
      <w:r w:rsidRPr="0052733B">
        <w:rPr>
          <w:rFonts w:ascii="Book Antiqua" w:hAnsi="Book Antiqua" w:cs="宋体"/>
          <w:i/>
          <w:iCs/>
          <w:color w:val="000000"/>
          <w:lang w:val="en-US" w:eastAsia="zh-CN"/>
        </w:rPr>
        <w:t>Int</w:t>
      </w:r>
      <w:proofErr w:type="spellEnd"/>
      <w:r w:rsidRPr="0052733B">
        <w:rPr>
          <w:rFonts w:ascii="Book Antiqua" w:hAnsi="Book Antiqua" w:cs="宋体"/>
          <w:i/>
          <w:iCs/>
          <w:color w:val="000000"/>
          <w:lang w:val="en-US" w:eastAsia="zh-CN"/>
        </w:rPr>
        <w:t xml:space="preserve"> J Cancer</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2015;</w:t>
      </w:r>
      <w:r w:rsidRPr="0052733B">
        <w:rPr>
          <w:rFonts w:ascii="Book Antiqua" w:hAnsi="Book Antiqua" w:cs="宋体" w:hint="eastAsia"/>
          <w:color w:val="000000"/>
          <w:lang w:val="en-US" w:eastAsia="zh-CN"/>
        </w:rPr>
        <w:t xml:space="preserve"> </w:t>
      </w:r>
      <w:r w:rsidRPr="0052733B">
        <w:rPr>
          <w:rFonts w:ascii="Book Antiqua" w:hAnsi="Book Antiqua" w:cs="宋体"/>
          <w:b/>
          <w:bCs/>
          <w:color w:val="000000"/>
          <w:lang w:val="en-US" w:eastAsia="zh-CN"/>
        </w:rPr>
        <w:t>136</w:t>
      </w:r>
      <w:r w:rsidRPr="0052733B">
        <w:rPr>
          <w:rFonts w:ascii="Book Antiqua" w:hAnsi="Book Antiqua" w:cs="宋体"/>
          <w:color w:val="000000"/>
          <w:lang w:val="en-US" w:eastAsia="zh-CN"/>
        </w:rPr>
        <w:t>:</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880-893 [PMID: 24947433 DOI: 10.1002/ijc.29034]</w:t>
      </w:r>
    </w:p>
    <w:p w14:paraId="1E7C7BCB"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36 </w:t>
      </w:r>
      <w:proofErr w:type="spellStart"/>
      <w:r w:rsidRPr="0052733B">
        <w:rPr>
          <w:rFonts w:ascii="Book Antiqua" w:hAnsi="Book Antiqua" w:cs="宋体"/>
          <w:b/>
          <w:bCs/>
          <w:color w:val="000000"/>
          <w:lang w:val="en-US" w:eastAsia="zh-CN"/>
        </w:rPr>
        <w:t>Vannella</w:t>
      </w:r>
      <w:proofErr w:type="spellEnd"/>
      <w:r w:rsidRPr="0052733B">
        <w:rPr>
          <w:rFonts w:ascii="Book Antiqua" w:hAnsi="Book Antiqua" w:cs="宋体"/>
          <w:b/>
          <w:bCs/>
          <w:color w:val="000000"/>
          <w:lang w:val="en-US" w:eastAsia="zh-CN"/>
        </w:rPr>
        <w:t xml:space="preserve"> L</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Lahner</w:t>
      </w:r>
      <w:proofErr w:type="spellEnd"/>
      <w:r w:rsidRPr="0052733B">
        <w:rPr>
          <w:rFonts w:ascii="Book Antiqua" w:hAnsi="Book Antiqua" w:cs="宋体"/>
          <w:color w:val="000000"/>
          <w:lang w:val="en-US" w:eastAsia="zh-CN"/>
        </w:rPr>
        <w:t xml:space="preserve"> E, Osborn J, </w:t>
      </w:r>
      <w:proofErr w:type="spellStart"/>
      <w:r w:rsidRPr="0052733B">
        <w:rPr>
          <w:rFonts w:ascii="Book Antiqua" w:hAnsi="Book Antiqua" w:cs="宋体"/>
          <w:color w:val="000000"/>
          <w:lang w:val="en-US" w:eastAsia="zh-CN"/>
        </w:rPr>
        <w:t>Annibale</w:t>
      </w:r>
      <w:proofErr w:type="spellEnd"/>
      <w:r w:rsidRPr="0052733B">
        <w:rPr>
          <w:rFonts w:ascii="Book Antiqua" w:hAnsi="Book Antiqua" w:cs="宋体"/>
          <w:color w:val="000000"/>
          <w:lang w:val="en-US" w:eastAsia="zh-CN"/>
        </w:rPr>
        <w:t xml:space="preserve"> B. Systematic review: gastric cancer incidence in pernicious </w:t>
      </w:r>
      <w:proofErr w:type="spellStart"/>
      <w:r w:rsidRPr="0052733B">
        <w:rPr>
          <w:rFonts w:ascii="Book Antiqua" w:hAnsi="Book Antiqua" w:cs="宋体"/>
          <w:color w:val="000000"/>
          <w:lang w:val="en-US" w:eastAsia="zh-CN"/>
        </w:rPr>
        <w:t>anaemia</w:t>
      </w:r>
      <w:proofErr w:type="spell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Aliment </w:t>
      </w:r>
      <w:proofErr w:type="spellStart"/>
      <w:r w:rsidRPr="0052733B">
        <w:rPr>
          <w:rFonts w:ascii="Book Antiqua" w:hAnsi="Book Antiqua" w:cs="宋体"/>
          <w:i/>
          <w:iCs/>
          <w:color w:val="000000"/>
          <w:lang w:val="en-US" w:eastAsia="zh-CN"/>
        </w:rPr>
        <w:t>Pharmacol</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Ther</w:t>
      </w:r>
      <w:proofErr w:type="spellEnd"/>
      <w:r w:rsidRPr="0052733B">
        <w:rPr>
          <w:rFonts w:ascii="Book Antiqua" w:hAnsi="Book Antiqua" w:cs="宋体"/>
          <w:color w:val="000000"/>
          <w:lang w:val="en-US" w:eastAsia="zh-CN"/>
        </w:rPr>
        <w:t> 2013; </w:t>
      </w:r>
      <w:r w:rsidRPr="0052733B">
        <w:rPr>
          <w:rFonts w:ascii="Book Antiqua" w:hAnsi="Book Antiqua" w:cs="宋体"/>
          <w:b/>
          <w:bCs/>
          <w:color w:val="000000"/>
          <w:lang w:val="en-US" w:eastAsia="zh-CN"/>
        </w:rPr>
        <w:t>37</w:t>
      </w:r>
      <w:r w:rsidRPr="0052733B">
        <w:rPr>
          <w:rFonts w:ascii="Book Antiqua" w:hAnsi="Book Antiqua" w:cs="宋体"/>
          <w:color w:val="000000"/>
          <w:lang w:val="en-US" w:eastAsia="zh-CN"/>
        </w:rPr>
        <w:t>: 375-382 [PMID: 23216458 DOI: 10.1111/apt.12177]</w:t>
      </w:r>
    </w:p>
    <w:p w14:paraId="28A5D3D8"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37 </w:t>
      </w:r>
      <w:proofErr w:type="spellStart"/>
      <w:r w:rsidRPr="0052733B">
        <w:rPr>
          <w:rFonts w:ascii="Book Antiqua" w:hAnsi="Book Antiqua" w:cs="宋体"/>
          <w:b/>
          <w:bCs/>
          <w:color w:val="000000"/>
          <w:lang w:val="en-US" w:eastAsia="zh-CN"/>
        </w:rPr>
        <w:t>Annibale</w:t>
      </w:r>
      <w:proofErr w:type="spellEnd"/>
      <w:r w:rsidRPr="0052733B">
        <w:rPr>
          <w:rFonts w:ascii="Book Antiqua" w:hAnsi="Book Antiqua" w:cs="宋体"/>
          <w:b/>
          <w:bCs/>
          <w:color w:val="000000"/>
          <w:lang w:val="en-US" w:eastAsia="zh-CN"/>
        </w:rPr>
        <w:t xml:space="preserve"> B</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Azzoni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Corleto</w:t>
      </w:r>
      <w:proofErr w:type="spellEnd"/>
      <w:r w:rsidRPr="0052733B">
        <w:rPr>
          <w:rFonts w:ascii="Book Antiqua" w:hAnsi="Book Antiqua" w:cs="宋体"/>
          <w:color w:val="000000"/>
          <w:lang w:val="en-US" w:eastAsia="zh-CN"/>
        </w:rPr>
        <w:t xml:space="preserve"> VD, di </w:t>
      </w:r>
      <w:proofErr w:type="spellStart"/>
      <w:r w:rsidRPr="0052733B">
        <w:rPr>
          <w:rFonts w:ascii="Book Antiqua" w:hAnsi="Book Antiqua" w:cs="宋体"/>
          <w:color w:val="000000"/>
          <w:lang w:val="en-US" w:eastAsia="zh-CN"/>
        </w:rPr>
        <w:t>Giulio</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Caruana</w:t>
      </w:r>
      <w:proofErr w:type="spellEnd"/>
      <w:r w:rsidRPr="0052733B">
        <w:rPr>
          <w:rFonts w:ascii="Book Antiqua" w:hAnsi="Book Antiqua" w:cs="宋体"/>
          <w:color w:val="000000"/>
          <w:lang w:val="en-US" w:eastAsia="zh-CN"/>
        </w:rPr>
        <w:t xml:space="preserve"> P, </w:t>
      </w:r>
      <w:proofErr w:type="spellStart"/>
      <w:r w:rsidRPr="0052733B">
        <w:rPr>
          <w:rFonts w:ascii="Book Antiqua" w:hAnsi="Book Antiqua" w:cs="宋体"/>
          <w:color w:val="000000"/>
          <w:lang w:val="en-US" w:eastAsia="zh-CN"/>
        </w:rPr>
        <w:t>D'Ambra</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Bordi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Delle</w:t>
      </w:r>
      <w:proofErr w:type="spellEnd"/>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Fave</w:t>
      </w:r>
      <w:proofErr w:type="spellEnd"/>
      <w:r w:rsidRPr="0052733B">
        <w:rPr>
          <w:rFonts w:ascii="Book Antiqua" w:hAnsi="Book Antiqua" w:cs="宋体"/>
          <w:color w:val="000000"/>
          <w:lang w:val="en-US" w:eastAsia="zh-CN"/>
        </w:rPr>
        <w:t xml:space="preserve"> G. Atrophic body gastritis patients with </w:t>
      </w:r>
      <w:proofErr w:type="spellStart"/>
      <w:r w:rsidRPr="0052733B">
        <w:rPr>
          <w:rFonts w:ascii="Book Antiqua" w:hAnsi="Book Antiqua" w:cs="宋体"/>
          <w:color w:val="000000"/>
          <w:lang w:val="en-US" w:eastAsia="zh-CN"/>
        </w:rPr>
        <w:t>enterochromaffin</w:t>
      </w:r>
      <w:proofErr w:type="spellEnd"/>
      <w:r w:rsidRPr="0052733B">
        <w:rPr>
          <w:rFonts w:ascii="Book Antiqua" w:hAnsi="Book Antiqua" w:cs="宋体"/>
          <w:color w:val="000000"/>
          <w:lang w:val="en-US" w:eastAsia="zh-CN"/>
        </w:rPr>
        <w:t>-like cell dysplasia are at increased risk for the development of type I gastric carcinoid. </w:t>
      </w:r>
      <w:proofErr w:type="spellStart"/>
      <w:r w:rsidRPr="0052733B">
        <w:rPr>
          <w:rFonts w:ascii="Book Antiqua" w:hAnsi="Book Antiqua" w:cs="宋体"/>
          <w:i/>
          <w:iCs/>
          <w:color w:val="000000"/>
          <w:lang w:val="en-US" w:eastAsia="zh-CN"/>
        </w:rPr>
        <w:t>Eur</w:t>
      </w:r>
      <w:proofErr w:type="spellEnd"/>
      <w:r w:rsidRPr="0052733B">
        <w:rPr>
          <w:rFonts w:ascii="Book Antiqua" w:hAnsi="Book Antiqua" w:cs="宋体"/>
          <w:i/>
          <w:iCs/>
          <w:color w:val="000000"/>
          <w:lang w:val="en-US" w:eastAsia="zh-CN"/>
        </w:rPr>
        <w:t xml:space="preserve">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Hepatol</w:t>
      </w:r>
      <w:proofErr w:type="spellEnd"/>
      <w:r w:rsidRPr="0052733B">
        <w:rPr>
          <w:rFonts w:ascii="Book Antiqua" w:hAnsi="Book Antiqua" w:cs="宋体"/>
          <w:color w:val="000000"/>
          <w:lang w:val="en-US" w:eastAsia="zh-CN"/>
        </w:rPr>
        <w:t> 2001; </w:t>
      </w:r>
      <w:r w:rsidRPr="0052733B">
        <w:rPr>
          <w:rFonts w:ascii="Book Antiqua" w:hAnsi="Book Antiqua" w:cs="宋体"/>
          <w:b/>
          <w:bCs/>
          <w:color w:val="000000"/>
          <w:lang w:val="en-US" w:eastAsia="zh-CN"/>
        </w:rPr>
        <w:t>13</w:t>
      </w:r>
      <w:r w:rsidRPr="0052733B">
        <w:rPr>
          <w:rFonts w:ascii="Book Antiqua" w:hAnsi="Book Antiqua" w:cs="宋体"/>
          <w:color w:val="000000"/>
          <w:lang w:val="en-US" w:eastAsia="zh-CN"/>
        </w:rPr>
        <w:t>: 1449-1456 [PMID: 11742193 DOI: 10.1097/00042737-200112000-00008]</w:t>
      </w:r>
    </w:p>
    <w:p w14:paraId="7CBCC8AD"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38 </w:t>
      </w:r>
      <w:r w:rsidRPr="0052733B">
        <w:rPr>
          <w:rFonts w:ascii="Book Antiqua" w:hAnsi="Book Antiqua" w:cs="宋体"/>
          <w:b/>
          <w:bCs/>
          <w:color w:val="000000"/>
          <w:lang w:val="en-US" w:eastAsia="zh-CN"/>
        </w:rPr>
        <w:t>Kim GS</w:t>
      </w:r>
      <w:r w:rsidRPr="0052733B">
        <w:rPr>
          <w:rFonts w:ascii="Book Antiqua" w:hAnsi="Book Antiqua" w:cs="宋体"/>
          <w:color w:val="000000"/>
          <w:lang w:val="en-US" w:eastAsia="zh-CN"/>
        </w:rPr>
        <w:t xml:space="preserve">, Kim CH, Park JY, Lee KU, Park CS. Effects of vitamin B12 on cell proliferation and cellular alkaline phosphatase activity in human bone marrow stromal </w:t>
      </w:r>
      <w:proofErr w:type="spellStart"/>
      <w:r w:rsidRPr="0052733B">
        <w:rPr>
          <w:rFonts w:ascii="Book Antiqua" w:hAnsi="Book Antiqua" w:cs="宋体"/>
          <w:color w:val="000000"/>
          <w:lang w:val="en-US" w:eastAsia="zh-CN"/>
        </w:rPr>
        <w:t>osteoprogenitor</w:t>
      </w:r>
      <w:proofErr w:type="spellEnd"/>
      <w:r w:rsidRPr="0052733B">
        <w:rPr>
          <w:rFonts w:ascii="Book Antiqua" w:hAnsi="Book Antiqua" w:cs="宋体"/>
          <w:color w:val="000000"/>
          <w:lang w:val="en-US" w:eastAsia="zh-CN"/>
        </w:rPr>
        <w:t xml:space="preserve"> cells and UMR106 </w:t>
      </w:r>
      <w:proofErr w:type="spellStart"/>
      <w:r w:rsidRPr="0052733B">
        <w:rPr>
          <w:rFonts w:ascii="Book Antiqua" w:hAnsi="Book Antiqua" w:cs="宋体"/>
          <w:color w:val="000000"/>
          <w:lang w:val="en-US" w:eastAsia="zh-CN"/>
        </w:rPr>
        <w:t>osteoblastic</w:t>
      </w:r>
      <w:proofErr w:type="spellEnd"/>
      <w:r w:rsidRPr="0052733B">
        <w:rPr>
          <w:rFonts w:ascii="Book Antiqua" w:hAnsi="Book Antiqua" w:cs="宋体"/>
          <w:color w:val="000000"/>
          <w:lang w:val="en-US" w:eastAsia="zh-CN"/>
        </w:rPr>
        <w:t xml:space="preserve"> cells.</w:t>
      </w:r>
      <w:r w:rsidRPr="0052733B">
        <w:rPr>
          <w:rFonts w:ascii="Book Antiqua" w:hAnsi="Book Antiqua" w:cs="宋体" w:hint="eastAsia"/>
          <w:color w:val="000000"/>
          <w:lang w:val="en-US" w:eastAsia="zh-CN"/>
        </w:rPr>
        <w:t xml:space="preserve"> </w:t>
      </w:r>
      <w:r w:rsidRPr="0052733B">
        <w:rPr>
          <w:rFonts w:ascii="Book Antiqua" w:hAnsi="Book Antiqua" w:cs="宋体"/>
          <w:i/>
          <w:iCs/>
          <w:color w:val="000000"/>
          <w:lang w:val="en-US" w:eastAsia="zh-CN"/>
        </w:rPr>
        <w:t>Metabolism</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1996; </w:t>
      </w:r>
      <w:r w:rsidRPr="0052733B">
        <w:rPr>
          <w:rFonts w:ascii="Book Antiqua" w:hAnsi="Book Antiqua" w:cs="宋体"/>
          <w:b/>
          <w:bCs/>
          <w:color w:val="000000"/>
          <w:lang w:val="en-US" w:eastAsia="zh-CN"/>
        </w:rPr>
        <w:t>45</w:t>
      </w:r>
      <w:r w:rsidRPr="0052733B">
        <w:rPr>
          <w:rFonts w:ascii="Book Antiqua" w:hAnsi="Book Antiqua" w:cs="宋体"/>
          <w:color w:val="000000"/>
          <w:lang w:val="en-US" w:eastAsia="zh-CN"/>
        </w:rPr>
        <w:t>: 1443-1446 [PMID: 8969275 DOI: 10.1016/S0026-0495(96)90171-7]</w:t>
      </w:r>
    </w:p>
    <w:p w14:paraId="716B926D"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39 </w:t>
      </w:r>
      <w:r w:rsidRPr="0052733B">
        <w:rPr>
          <w:rFonts w:ascii="Book Antiqua" w:hAnsi="Book Antiqua" w:cs="宋体"/>
          <w:b/>
          <w:bCs/>
          <w:color w:val="000000"/>
          <w:lang w:val="en-US" w:eastAsia="zh-CN"/>
        </w:rPr>
        <w:t>Tucker KL</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Hannan</w:t>
      </w:r>
      <w:proofErr w:type="spellEnd"/>
      <w:r w:rsidRPr="0052733B">
        <w:rPr>
          <w:rFonts w:ascii="Book Antiqua" w:hAnsi="Book Antiqua" w:cs="宋体"/>
          <w:color w:val="000000"/>
          <w:lang w:val="en-US" w:eastAsia="zh-CN"/>
        </w:rPr>
        <w:t xml:space="preserve"> MT, </w:t>
      </w:r>
      <w:proofErr w:type="spellStart"/>
      <w:r w:rsidRPr="0052733B">
        <w:rPr>
          <w:rFonts w:ascii="Book Antiqua" w:hAnsi="Book Antiqua" w:cs="宋体"/>
          <w:color w:val="000000"/>
          <w:lang w:val="en-US" w:eastAsia="zh-CN"/>
        </w:rPr>
        <w:t>Qiao</w:t>
      </w:r>
      <w:proofErr w:type="spellEnd"/>
      <w:r w:rsidRPr="0052733B">
        <w:rPr>
          <w:rFonts w:ascii="Book Antiqua" w:hAnsi="Book Antiqua" w:cs="宋体"/>
          <w:color w:val="000000"/>
          <w:lang w:val="en-US" w:eastAsia="zh-CN"/>
        </w:rPr>
        <w:t xml:space="preserve"> N, Jacques PF, </w:t>
      </w:r>
      <w:proofErr w:type="spellStart"/>
      <w:r w:rsidRPr="0052733B">
        <w:rPr>
          <w:rFonts w:ascii="Book Antiqua" w:hAnsi="Book Antiqua" w:cs="宋体"/>
          <w:color w:val="000000"/>
          <w:lang w:val="en-US" w:eastAsia="zh-CN"/>
        </w:rPr>
        <w:t>Selhub</w:t>
      </w:r>
      <w:proofErr w:type="spellEnd"/>
      <w:r w:rsidRPr="0052733B">
        <w:rPr>
          <w:rFonts w:ascii="Book Antiqua" w:hAnsi="Book Antiqua" w:cs="宋体"/>
          <w:color w:val="000000"/>
          <w:lang w:val="en-US" w:eastAsia="zh-CN"/>
        </w:rPr>
        <w:t xml:space="preserve"> J, </w:t>
      </w:r>
      <w:proofErr w:type="spellStart"/>
      <w:r w:rsidRPr="0052733B">
        <w:rPr>
          <w:rFonts w:ascii="Book Antiqua" w:hAnsi="Book Antiqua" w:cs="宋体"/>
          <w:color w:val="000000"/>
          <w:lang w:val="en-US" w:eastAsia="zh-CN"/>
        </w:rPr>
        <w:t>Cupples</w:t>
      </w:r>
      <w:proofErr w:type="spellEnd"/>
      <w:r w:rsidRPr="0052733B">
        <w:rPr>
          <w:rFonts w:ascii="Book Antiqua" w:hAnsi="Book Antiqua" w:cs="宋体"/>
          <w:color w:val="000000"/>
          <w:lang w:val="en-US" w:eastAsia="zh-CN"/>
        </w:rPr>
        <w:t xml:space="preserve"> LA, Kiel DP. Low plasma vitamin B12 is associated with lower BMD: the Framingham Osteoporosis Study. </w:t>
      </w:r>
      <w:r w:rsidRPr="0052733B">
        <w:rPr>
          <w:rFonts w:ascii="Book Antiqua" w:hAnsi="Book Antiqua" w:cs="宋体"/>
          <w:i/>
          <w:iCs/>
          <w:color w:val="000000"/>
          <w:lang w:val="en-US" w:eastAsia="zh-CN"/>
        </w:rPr>
        <w:t>J Bone Miner Res</w:t>
      </w:r>
      <w:r w:rsidRPr="0052733B">
        <w:rPr>
          <w:rFonts w:ascii="Book Antiqua" w:hAnsi="Book Antiqua" w:cs="宋体"/>
          <w:color w:val="000000"/>
          <w:lang w:val="en-US" w:eastAsia="zh-CN"/>
        </w:rPr>
        <w:t> 2005; </w:t>
      </w:r>
      <w:r w:rsidRPr="0052733B">
        <w:rPr>
          <w:rFonts w:ascii="Book Antiqua" w:hAnsi="Book Antiqua" w:cs="宋体"/>
          <w:b/>
          <w:bCs/>
          <w:color w:val="000000"/>
          <w:lang w:val="en-US" w:eastAsia="zh-CN"/>
        </w:rPr>
        <w:t>20</w:t>
      </w:r>
      <w:r w:rsidRPr="0052733B">
        <w:rPr>
          <w:rFonts w:ascii="Book Antiqua" w:hAnsi="Book Antiqua" w:cs="宋体"/>
          <w:color w:val="000000"/>
          <w:lang w:val="en-US" w:eastAsia="zh-CN"/>
        </w:rPr>
        <w:t>: 152-158 [PMID: 15619681 DOI: 10.1359/JBMR.041018]</w:t>
      </w:r>
    </w:p>
    <w:p w14:paraId="46DD49EC"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40 </w:t>
      </w:r>
      <w:r w:rsidRPr="0052733B">
        <w:rPr>
          <w:rFonts w:ascii="Book Antiqua" w:hAnsi="Book Antiqua" w:cs="宋体"/>
          <w:b/>
          <w:bCs/>
          <w:color w:val="000000"/>
          <w:lang w:val="en-US" w:eastAsia="zh-CN"/>
        </w:rPr>
        <w:t>McLean RR</w:t>
      </w:r>
      <w:r w:rsidRPr="0052733B">
        <w:rPr>
          <w:rFonts w:ascii="Book Antiqua" w:hAnsi="Book Antiqua" w:cs="宋体"/>
          <w:color w:val="000000"/>
          <w:lang w:val="en-US" w:eastAsia="zh-CN"/>
        </w:rPr>
        <w:t xml:space="preserve">, Jacques PF, </w:t>
      </w:r>
      <w:proofErr w:type="spellStart"/>
      <w:r w:rsidRPr="0052733B">
        <w:rPr>
          <w:rFonts w:ascii="Book Antiqua" w:hAnsi="Book Antiqua" w:cs="宋体"/>
          <w:color w:val="000000"/>
          <w:lang w:val="en-US" w:eastAsia="zh-CN"/>
        </w:rPr>
        <w:t>Selhub</w:t>
      </w:r>
      <w:proofErr w:type="spellEnd"/>
      <w:r w:rsidRPr="0052733B">
        <w:rPr>
          <w:rFonts w:ascii="Book Antiqua" w:hAnsi="Book Antiqua" w:cs="宋体"/>
          <w:color w:val="000000"/>
          <w:lang w:val="en-US" w:eastAsia="zh-CN"/>
        </w:rPr>
        <w:t xml:space="preserve"> J, </w:t>
      </w:r>
      <w:proofErr w:type="spellStart"/>
      <w:r w:rsidRPr="0052733B">
        <w:rPr>
          <w:rFonts w:ascii="Book Antiqua" w:hAnsi="Book Antiqua" w:cs="宋体"/>
          <w:color w:val="000000"/>
          <w:lang w:val="en-US" w:eastAsia="zh-CN"/>
        </w:rPr>
        <w:t>Fredman</w:t>
      </w:r>
      <w:proofErr w:type="spellEnd"/>
      <w:r w:rsidRPr="0052733B">
        <w:rPr>
          <w:rFonts w:ascii="Book Antiqua" w:hAnsi="Book Antiqua" w:cs="宋体"/>
          <w:color w:val="000000"/>
          <w:lang w:val="en-US" w:eastAsia="zh-CN"/>
        </w:rPr>
        <w:t xml:space="preserve"> L, Tucker KL, </w:t>
      </w:r>
      <w:proofErr w:type="spellStart"/>
      <w:r w:rsidRPr="0052733B">
        <w:rPr>
          <w:rFonts w:ascii="Book Antiqua" w:hAnsi="Book Antiqua" w:cs="宋体"/>
          <w:color w:val="000000"/>
          <w:lang w:val="en-US" w:eastAsia="zh-CN"/>
        </w:rPr>
        <w:t>Samelson</w:t>
      </w:r>
      <w:proofErr w:type="spellEnd"/>
      <w:r w:rsidRPr="0052733B">
        <w:rPr>
          <w:rFonts w:ascii="Book Antiqua" w:hAnsi="Book Antiqua" w:cs="宋体"/>
          <w:color w:val="000000"/>
          <w:lang w:val="en-US" w:eastAsia="zh-CN"/>
        </w:rPr>
        <w:t xml:space="preserve"> EJ, Kiel DP, </w:t>
      </w:r>
      <w:proofErr w:type="spellStart"/>
      <w:r w:rsidRPr="0052733B">
        <w:rPr>
          <w:rFonts w:ascii="Book Antiqua" w:hAnsi="Book Antiqua" w:cs="宋体"/>
          <w:color w:val="000000"/>
          <w:lang w:val="en-US" w:eastAsia="zh-CN"/>
        </w:rPr>
        <w:t>Cupples</w:t>
      </w:r>
      <w:proofErr w:type="spellEnd"/>
      <w:r w:rsidRPr="0052733B">
        <w:rPr>
          <w:rFonts w:ascii="Book Antiqua" w:hAnsi="Book Antiqua" w:cs="宋体"/>
          <w:color w:val="000000"/>
          <w:lang w:val="en-US" w:eastAsia="zh-CN"/>
        </w:rPr>
        <w:t xml:space="preserve"> LA, </w:t>
      </w:r>
      <w:proofErr w:type="spellStart"/>
      <w:r w:rsidRPr="0052733B">
        <w:rPr>
          <w:rFonts w:ascii="Book Antiqua" w:hAnsi="Book Antiqua" w:cs="宋体"/>
          <w:color w:val="000000"/>
          <w:lang w:val="en-US" w:eastAsia="zh-CN"/>
        </w:rPr>
        <w:t>Hannan</w:t>
      </w:r>
      <w:proofErr w:type="spellEnd"/>
      <w:r w:rsidRPr="0052733B">
        <w:rPr>
          <w:rFonts w:ascii="Book Antiqua" w:hAnsi="Book Antiqua" w:cs="宋体"/>
          <w:color w:val="000000"/>
          <w:lang w:val="en-US" w:eastAsia="zh-CN"/>
        </w:rPr>
        <w:t xml:space="preserve"> MT. Plasma B vitamins, </w:t>
      </w:r>
      <w:proofErr w:type="spellStart"/>
      <w:r w:rsidRPr="0052733B">
        <w:rPr>
          <w:rFonts w:ascii="Book Antiqua" w:hAnsi="Book Antiqua" w:cs="宋体"/>
          <w:color w:val="000000"/>
          <w:lang w:val="en-US" w:eastAsia="zh-CN"/>
        </w:rPr>
        <w:t>homocysteine</w:t>
      </w:r>
      <w:proofErr w:type="spellEnd"/>
      <w:r w:rsidRPr="0052733B">
        <w:rPr>
          <w:rFonts w:ascii="Book Antiqua" w:hAnsi="Book Antiqua" w:cs="宋体"/>
          <w:color w:val="000000"/>
          <w:lang w:val="en-US" w:eastAsia="zh-CN"/>
        </w:rPr>
        <w:t>, and their relation with bone loss and hip fracture in elderly men and women. </w:t>
      </w:r>
      <w:r w:rsidRPr="0052733B">
        <w:rPr>
          <w:rFonts w:ascii="Book Antiqua" w:hAnsi="Book Antiqua" w:cs="宋体"/>
          <w:i/>
          <w:iCs/>
          <w:color w:val="000000"/>
          <w:lang w:val="en-US" w:eastAsia="zh-CN"/>
        </w:rPr>
        <w:t xml:space="preserve">J </w:t>
      </w:r>
      <w:proofErr w:type="spellStart"/>
      <w:r w:rsidRPr="0052733B">
        <w:rPr>
          <w:rFonts w:ascii="Book Antiqua" w:hAnsi="Book Antiqua" w:cs="宋体"/>
          <w:i/>
          <w:iCs/>
          <w:color w:val="000000"/>
          <w:lang w:val="en-US" w:eastAsia="zh-CN"/>
        </w:rPr>
        <w:t>Clin</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Endocrinol</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Metab</w:t>
      </w:r>
      <w:proofErr w:type="spellEnd"/>
      <w:r w:rsidRPr="0052733B">
        <w:rPr>
          <w:rFonts w:ascii="Book Antiqua" w:hAnsi="Book Antiqua" w:cs="宋体"/>
          <w:color w:val="000000"/>
          <w:lang w:val="en-US" w:eastAsia="zh-CN"/>
        </w:rPr>
        <w:t> 2008; </w:t>
      </w:r>
      <w:r w:rsidRPr="0052733B">
        <w:rPr>
          <w:rFonts w:ascii="Book Antiqua" w:hAnsi="Book Antiqua" w:cs="宋体"/>
          <w:b/>
          <w:bCs/>
          <w:color w:val="000000"/>
          <w:lang w:val="en-US" w:eastAsia="zh-CN"/>
        </w:rPr>
        <w:t>93</w:t>
      </w:r>
      <w:r w:rsidRPr="0052733B">
        <w:rPr>
          <w:rFonts w:ascii="Book Antiqua" w:hAnsi="Book Antiqua" w:cs="宋体"/>
          <w:color w:val="000000"/>
          <w:lang w:val="en-US" w:eastAsia="zh-CN"/>
        </w:rPr>
        <w:t>: 2206-2212 [PMID: 18364381 DOI: 10.1210/jc.2007-2710.]</w:t>
      </w:r>
    </w:p>
    <w:p w14:paraId="3269B2FC"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41 </w:t>
      </w:r>
      <w:r w:rsidRPr="0052733B">
        <w:rPr>
          <w:rFonts w:ascii="Book Antiqua" w:hAnsi="Book Antiqua" w:cs="宋体"/>
          <w:b/>
          <w:bCs/>
          <w:color w:val="000000"/>
          <w:lang w:val="en-US" w:eastAsia="zh-CN"/>
        </w:rPr>
        <w:t>Sato Y</w:t>
      </w:r>
      <w:r w:rsidRPr="0052733B">
        <w:rPr>
          <w:rFonts w:ascii="Book Antiqua" w:hAnsi="Book Antiqua" w:cs="宋体"/>
          <w:color w:val="000000"/>
          <w:lang w:val="en-US" w:eastAsia="zh-CN"/>
        </w:rPr>
        <w:t xml:space="preserve">, Honda Y, Iwamoto J, </w:t>
      </w:r>
      <w:proofErr w:type="spellStart"/>
      <w:r w:rsidRPr="0052733B">
        <w:rPr>
          <w:rFonts w:ascii="Book Antiqua" w:hAnsi="Book Antiqua" w:cs="宋体"/>
          <w:color w:val="000000"/>
          <w:lang w:val="en-US" w:eastAsia="zh-CN"/>
        </w:rPr>
        <w:t>Kanoko</w:t>
      </w:r>
      <w:proofErr w:type="spellEnd"/>
      <w:r w:rsidRPr="0052733B">
        <w:rPr>
          <w:rFonts w:ascii="Book Antiqua" w:hAnsi="Book Antiqua" w:cs="宋体"/>
          <w:color w:val="000000"/>
          <w:lang w:val="en-US" w:eastAsia="zh-CN"/>
        </w:rPr>
        <w:t xml:space="preserve"> T, Satoh K. Effect of </w:t>
      </w:r>
      <w:proofErr w:type="spellStart"/>
      <w:r w:rsidRPr="0052733B">
        <w:rPr>
          <w:rFonts w:ascii="Book Antiqua" w:hAnsi="Book Antiqua" w:cs="宋体"/>
          <w:color w:val="000000"/>
          <w:lang w:val="en-US" w:eastAsia="zh-CN"/>
        </w:rPr>
        <w:t>folate</w:t>
      </w:r>
      <w:proofErr w:type="spellEnd"/>
      <w:r w:rsidRPr="0052733B">
        <w:rPr>
          <w:rFonts w:ascii="Book Antiqua" w:hAnsi="Book Antiqua" w:cs="宋体"/>
          <w:color w:val="000000"/>
          <w:lang w:val="en-US" w:eastAsia="zh-CN"/>
        </w:rPr>
        <w:t xml:space="preserve"> and </w:t>
      </w:r>
      <w:proofErr w:type="spellStart"/>
      <w:r w:rsidRPr="0052733B">
        <w:rPr>
          <w:rFonts w:ascii="Book Antiqua" w:hAnsi="Book Antiqua" w:cs="宋体"/>
          <w:color w:val="000000"/>
          <w:lang w:val="en-US" w:eastAsia="zh-CN"/>
        </w:rPr>
        <w:t>mecobalamin</w:t>
      </w:r>
      <w:proofErr w:type="spellEnd"/>
      <w:r w:rsidRPr="0052733B">
        <w:rPr>
          <w:rFonts w:ascii="Book Antiqua" w:hAnsi="Book Antiqua" w:cs="宋体"/>
          <w:color w:val="000000"/>
          <w:lang w:val="en-US" w:eastAsia="zh-CN"/>
        </w:rPr>
        <w:t xml:space="preserve"> on hip fractures in patients with stroke: a randomized controlled trial. </w:t>
      </w:r>
      <w:r w:rsidRPr="0052733B">
        <w:rPr>
          <w:rFonts w:ascii="Book Antiqua" w:hAnsi="Book Antiqua" w:cs="宋体"/>
          <w:i/>
          <w:iCs/>
          <w:color w:val="000000"/>
          <w:lang w:val="en-US" w:eastAsia="zh-CN"/>
        </w:rPr>
        <w:t>JAMA</w:t>
      </w:r>
      <w:r w:rsidRPr="0052733B">
        <w:rPr>
          <w:rFonts w:ascii="Book Antiqua" w:hAnsi="Book Antiqua" w:cs="宋体"/>
          <w:color w:val="000000"/>
          <w:lang w:val="en-US" w:eastAsia="zh-CN"/>
        </w:rPr>
        <w:t> 2005; </w:t>
      </w:r>
      <w:r w:rsidRPr="0052733B">
        <w:rPr>
          <w:rFonts w:ascii="Book Antiqua" w:hAnsi="Book Antiqua" w:cs="宋体"/>
          <w:b/>
          <w:bCs/>
          <w:color w:val="000000"/>
          <w:lang w:val="en-US" w:eastAsia="zh-CN"/>
        </w:rPr>
        <w:t>293</w:t>
      </w:r>
      <w:r w:rsidRPr="0052733B">
        <w:rPr>
          <w:rFonts w:ascii="Book Antiqua" w:hAnsi="Book Antiqua" w:cs="宋体"/>
          <w:color w:val="000000"/>
          <w:lang w:val="en-US" w:eastAsia="zh-CN"/>
        </w:rPr>
        <w:t>: 1082-1088 [PMID: 15741530 DOI: 10.1001/jama.293.9.1082]</w:t>
      </w:r>
    </w:p>
    <w:p w14:paraId="1C0435A1"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lastRenderedPageBreak/>
        <w:t>42 </w:t>
      </w:r>
      <w:proofErr w:type="spellStart"/>
      <w:r w:rsidRPr="0052733B">
        <w:rPr>
          <w:rFonts w:ascii="Book Antiqua" w:hAnsi="Book Antiqua" w:cs="宋体"/>
          <w:b/>
          <w:bCs/>
          <w:color w:val="000000"/>
          <w:lang w:val="en-US" w:eastAsia="zh-CN"/>
        </w:rPr>
        <w:t>Gagnemo-Persson</w:t>
      </w:r>
      <w:proofErr w:type="spellEnd"/>
      <w:r w:rsidRPr="0052733B">
        <w:rPr>
          <w:rFonts w:ascii="Book Antiqua" w:hAnsi="Book Antiqua" w:cs="宋体"/>
          <w:b/>
          <w:bCs/>
          <w:color w:val="000000"/>
          <w:lang w:val="en-US" w:eastAsia="zh-CN"/>
        </w:rPr>
        <w:t xml:space="preserve"> R</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Håkanson</w:t>
      </w:r>
      <w:proofErr w:type="spellEnd"/>
      <w:r w:rsidRPr="0052733B">
        <w:rPr>
          <w:rFonts w:ascii="Book Antiqua" w:hAnsi="Book Antiqua" w:cs="宋体"/>
          <w:color w:val="000000"/>
          <w:lang w:val="en-US" w:eastAsia="zh-CN"/>
        </w:rPr>
        <w:t xml:space="preserve"> R, </w:t>
      </w:r>
      <w:proofErr w:type="spellStart"/>
      <w:r w:rsidRPr="0052733B">
        <w:rPr>
          <w:rFonts w:ascii="Book Antiqua" w:hAnsi="Book Antiqua" w:cs="宋体"/>
          <w:color w:val="000000"/>
          <w:lang w:val="en-US" w:eastAsia="zh-CN"/>
        </w:rPr>
        <w:t>Sundler</w:t>
      </w:r>
      <w:proofErr w:type="spellEnd"/>
      <w:r w:rsidRPr="0052733B">
        <w:rPr>
          <w:rFonts w:ascii="Book Antiqua" w:hAnsi="Book Antiqua" w:cs="宋体"/>
          <w:color w:val="000000"/>
          <w:lang w:val="en-US" w:eastAsia="zh-CN"/>
        </w:rPr>
        <w:t xml:space="preserve"> F, </w:t>
      </w:r>
      <w:proofErr w:type="spellStart"/>
      <w:r w:rsidRPr="0052733B">
        <w:rPr>
          <w:rFonts w:ascii="Book Antiqua" w:hAnsi="Book Antiqua" w:cs="宋体"/>
          <w:color w:val="000000"/>
          <w:lang w:val="en-US" w:eastAsia="zh-CN"/>
        </w:rPr>
        <w:t>Persson</w:t>
      </w:r>
      <w:proofErr w:type="spellEnd"/>
      <w:r w:rsidRPr="0052733B">
        <w:rPr>
          <w:rFonts w:ascii="Book Antiqua" w:hAnsi="Book Antiqua" w:cs="宋体"/>
          <w:color w:val="000000"/>
          <w:lang w:val="en-US" w:eastAsia="zh-CN"/>
        </w:rPr>
        <w:t xml:space="preserve"> P. Growth of the parathyroid glands in omeprazole-treated chickens. </w:t>
      </w:r>
      <w:proofErr w:type="spellStart"/>
      <w:r w:rsidRPr="0052733B">
        <w:rPr>
          <w:rFonts w:ascii="Book Antiqua" w:hAnsi="Book Antiqua" w:cs="宋体"/>
          <w:i/>
          <w:iCs/>
          <w:color w:val="000000"/>
          <w:lang w:val="en-US" w:eastAsia="zh-CN"/>
        </w:rPr>
        <w:t>Scand</w:t>
      </w:r>
      <w:proofErr w:type="spellEnd"/>
      <w:r w:rsidRPr="0052733B">
        <w:rPr>
          <w:rFonts w:ascii="Book Antiqua" w:hAnsi="Book Antiqua" w:cs="宋体"/>
          <w:i/>
          <w:iCs/>
          <w:color w:val="000000"/>
          <w:lang w:val="en-US" w:eastAsia="zh-CN"/>
        </w:rPr>
        <w:t xml:space="preserve">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1994;</w:t>
      </w:r>
      <w:r w:rsidRPr="0052733B">
        <w:rPr>
          <w:rFonts w:ascii="Book Antiqua" w:hAnsi="Book Antiqua" w:cs="宋体" w:hint="eastAsia"/>
          <w:color w:val="000000"/>
          <w:lang w:val="en-US" w:eastAsia="zh-CN"/>
        </w:rPr>
        <w:t xml:space="preserve"> </w:t>
      </w:r>
      <w:r w:rsidRPr="0052733B">
        <w:rPr>
          <w:rFonts w:ascii="Book Antiqua" w:hAnsi="Book Antiqua" w:cs="宋体"/>
          <w:b/>
          <w:bCs/>
          <w:color w:val="000000"/>
          <w:lang w:val="en-US" w:eastAsia="zh-CN"/>
        </w:rPr>
        <w:t>29</w:t>
      </w:r>
      <w:r w:rsidRPr="0052733B">
        <w:rPr>
          <w:rFonts w:ascii="Book Antiqua" w:hAnsi="Book Antiqua" w:cs="宋体"/>
          <w:color w:val="000000"/>
          <w:lang w:val="en-US" w:eastAsia="zh-CN"/>
        </w:rPr>
        <w:t>: 493-497 [PMID: 8079105 DOI: 10.3109/00365529409092460]</w:t>
      </w:r>
    </w:p>
    <w:p w14:paraId="688A3149"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43 </w:t>
      </w:r>
      <w:proofErr w:type="spellStart"/>
      <w:r w:rsidRPr="0052733B">
        <w:rPr>
          <w:rFonts w:ascii="Book Antiqua" w:hAnsi="Book Antiqua" w:cs="宋体"/>
          <w:b/>
          <w:bCs/>
          <w:color w:val="000000"/>
          <w:lang w:val="en-US" w:eastAsia="zh-CN"/>
        </w:rPr>
        <w:t>Grimelius</w:t>
      </w:r>
      <w:proofErr w:type="spellEnd"/>
      <w:r w:rsidRPr="0052733B">
        <w:rPr>
          <w:rFonts w:ascii="Book Antiqua" w:hAnsi="Book Antiqua" w:cs="宋体"/>
          <w:b/>
          <w:bCs/>
          <w:color w:val="000000"/>
          <w:lang w:val="en-US" w:eastAsia="zh-CN"/>
        </w:rPr>
        <w:t xml:space="preserve"> L</w:t>
      </w:r>
      <w:r w:rsidRPr="0052733B">
        <w:rPr>
          <w:rFonts w:ascii="Book Antiqua" w:hAnsi="Book Antiqua" w:cs="宋体"/>
          <w:color w:val="000000"/>
          <w:lang w:val="en-US" w:eastAsia="zh-CN"/>
        </w:rPr>
        <w:t xml:space="preserve">, Johansson H, </w:t>
      </w:r>
      <w:proofErr w:type="spellStart"/>
      <w:r w:rsidRPr="0052733B">
        <w:rPr>
          <w:rFonts w:ascii="Book Antiqua" w:hAnsi="Book Antiqua" w:cs="宋体"/>
          <w:color w:val="000000"/>
          <w:lang w:val="en-US" w:eastAsia="zh-CN"/>
        </w:rPr>
        <w:t>Lundqvist</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Olazabal</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Polak</w:t>
      </w:r>
      <w:proofErr w:type="spellEnd"/>
      <w:r w:rsidRPr="0052733B">
        <w:rPr>
          <w:rFonts w:ascii="Book Antiqua" w:hAnsi="Book Antiqua" w:cs="宋体"/>
          <w:color w:val="000000"/>
          <w:lang w:val="en-US" w:eastAsia="zh-CN"/>
        </w:rPr>
        <w:t xml:space="preserve"> JH, </w:t>
      </w:r>
      <w:proofErr w:type="spellStart"/>
      <w:r w:rsidRPr="0052733B">
        <w:rPr>
          <w:rFonts w:ascii="Book Antiqua" w:hAnsi="Book Antiqua" w:cs="宋体"/>
          <w:color w:val="000000"/>
          <w:lang w:val="en-US" w:eastAsia="zh-CN"/>
        </w:rPr>
        <w:t>Pearse</w:t>
      </w:r>
      <w:proofErr w:type="spellEnd"/>
      <w:r w:rsidRPr="0052733B">
        <w:rPr>
          <w:rFonts w:ascii="Book Antiqua" w:hAnsi="Book Antiqua" w:cs="宋体"/>
          <w:color w:val="000000"/>
          <w:lang w:val="en-US" w:eastAsia="zh-CN"/>
        </w:rPr>
        <w:t xml:space="preserve"> GE. </w:t>
      </w:r>
      <w:proofErr w:type="gramStart"/>
      <w:r w:rsidRPr="0052733B">
        <w:rPr>
          <w:rFonts w:ascii="Book Antiqua" w:hAnsi="Book Antiqua" w:cs="宋体"/>
          <w:color w:val="000000"/>
          <w:lang w:val="en-US" w:eastAsia="zh-CN"/>
        </w:rPr>
        <w:t xml:space="preserve">The parathyroid glands in experimentally induced </w:t>
      </w:r>
      <w:proofErr w:type="spellStart"/>
      <w:r w:rsidRPr="0052733B">
        <w:rPr>
          <w:rFonts w:ascii="Book Antiqua" w:hAnsi="Book Antiqua" w:cs="宋体"/>
          <w:color w:val="000000"/>
          <w:lang w:val="en-US" w:eastAsia="zh-CN"/>
        </w:rPr>
        <w:t>hypergastrinemia</w:t>
      </w:r>
      <w:proofErr w:type="spellEnd"/>
      <w:r w:rsidRPr="0052733B">
        <w:rPr>
          <w:rFonts w:ascii="Book Antiqua" w:hAnsi="Book Antiqua" w:cs="宋体"/>
          <w:color w:val="000000"/>
          <w:lang w:val="en-US" w:eastAsia="zh-CN"/>
        </w:rPr>
        <w:t xml:space="preserve"> in the rat.</w:t>
      </w:r>
      <w:proofErr w:type="gramEnd"/>
      <w:r w:rsidRPr="0052733B">
        <w:rPr>
          <w:rFonts w:ascii="Book Antiqua" w:hAnsi="Book Antiqua" w:cs="宋体" w:hint="eastAsia"/>
          <w:color w:val="000000"/>
          <w:lang w:val="en-US" w:eastAsia="zh-CN"/>
        </w:rPr>
        <w:t xml:space="preserve"> </w:t>
      </w:r>
      <w:proofErr w:type="spellStart"/>
      <w:r w:rsidRPr="0052733B">
        <w:rPr>
          <w:rFonts w:ascii="Book Antiqua" w:hAnsi="Book Antiqua" w:cs="宋体"/>
          <w:i/>
          <w:iCs/>
          <w:color w:val="000000"/>
          <w:lang w:val="en-US" w:eastAsia="zh-CN"/>
        </w:rPr>
        <w:t>Scand</w:t>
      </w:r>
      <w:proofErr w:type="spellEnd"/>
      <w:r w:rsidRPr="0052733B">
        <w:rPr>
          <w:rFonts w:ascii="Book Antiqua" w:hAnsi="Book Antiqua" w:cs="宋体"/>
          <w:i/>
          <w:iCs/>
          <w:color w:val="000000"/>
          <w:lang w:val="en-US" w:eastAsia="zh-CN"/>
        </w:rPr>
        <w:t xml:space="preserve">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1977; </w:t>
      </w:r>
      <w:r w:rsidRPr="0052733B">
        <w:rPr>
          <w:rFonts w:ascii="Book Antiqua" w:hAnsi="Book Antiqua" w:cs="宋体"/>
          <w:b/>
          <w:bCs/>
          <w:color w:val="000000"/>
          <w:lang w:val="en-US" w:eastAsia="zh-CN"/>
        </w:rPr>
        <w:t>12</w:t>
      </w:r>
      <w:r w:rsidRPr="0052733B">
        <w:rPr>
          <w:rFonts w:ascii="Book Antiqua" w:hAnsi="Book Antiqua" w:cs="宋体"/>
          <w:color w:val="000000"/>
          <w:lang w:val="en-US" w:eastAsia="zh-CN"/>
        </w:rPr>
        <w:t>: 739-744 [PMID: 929113 DOI: 10.3109/00365527709181713]</w:t>
      </w:r>
    </w:p>
    <w:p w14:paraId="1891A885"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44 </w:t>
      </w:r>
      <w:proofErr w:type="spellStart"/>
      <w:r w:rsidRPr="0052733B">
        <w:rPr>
          <w:rFonts w:ascii="Book Antiqua" w:hAnsi="Book Antiqua" w:cs="宋体"/>
          <w:b/>
          <w:bCs/>
          <w:color w:val="000000"/>
          <w:lang w:val="en-US" w:eastAsia="zh-CN"/>
        </w:rPr>
        <w:t>Mizunashi</w:t>
      </w:r>
      <w:proofErr w:type="spellEnd"/>
      <w:r w:rsidRPr="0052733B">
        <w:rPr>
          <w:rFonts w:ascii="Book Antiqua" w:hAnsi="Book Antiqua" w:cs="宋体"/>
          <w:b/>
          <w:bCs/>
          <w:color w:val="000000"/>
          <w:lang w:val="en-US" w:eastAsia="zh-CN"/>
        </w:rPr>
        <w:t xml:space="preserve"> K</w:t>
      </w:r>
      <w:r w:rsidRPr="0052733B">
        <w:rPr>
          <w:rFonts w:ascii="Book Antiqua" w:hAnsi="Book Antiqua" w:cs="宋体"/>
          <w:color w:val="000000"/>
          <w:lang w:val="en-US" w:eastAsia="zh-CN"/>
        </w:rPr>
        <w:t xml:space="preserve">, Furukawa Y, Katano K, Abe K. Effect of omeprazole, an inhibitor of H+,K(+)-ATPase, on bone </w:t>
      </w:r>
      <w:proofErr w:type="spellStart"/>
      <w:r w:rsidRPr="0052733B">
        <w:rPr>
          <w:rFonts w:ascii="Book Antiqua" w:hAnsi="Book Antiqua" w:cs="宋体"/>
          <w:color w:val="000000"/>
          <w:lang w:val="en-US" w:eastAsia="zh-CN"/>
        </w:rPr>
        <w:t>resorption</w:t>
      </w:r>
      <w:proofErr w:type="spellEnd"/>
      <w:r w:rsidRPr="0052733B">
        <w:rPr>
          <w:rFonts w:ascii="Book Antiqua" w:hAnsi="Book Antiqua" w:cs="宋体"/>
          <w:color w:val="000000"/>
          <w:lang w:val="en-US" w:eastAsia="zh-CN"/>
        </w:rPr>
        <w:t xml:space="preserve"> in humans. </w:t>
      </w:r>
      <w:proofErr w:type="spellStart"/>
      <w:r w:rsidRPr="0052733B">
        <w:rPr>
          <w:rFonts w:ascii="Book Antiqua" w:hAnsi="Book Antiqua" w:cs="宋体"/>
          <w:i/>
          <w:iCs/>
          <w:color w:val="000000"/>
          <w:lang w:val="en-US" w:eastAsia="zh-CN"/>
        </w:rPr>
        <w:t>Calcif</w:t>
      </w:r>
      <w:proofErr w:type="spellEnd"/>
      <w:r w:rsidRPr="0052733B">
        <w:rPr>
          <w:rFonts w:ascii="Book Antiqua" w:hAnsi="Book Antiqua" w:cs="宋体"/>
          <w:i/>
          <w:iCs/>
          <w:color w:val="000000"/>
          <w:lang w:val="en-US" w:eastAsia="zh-CN"/>
        </w:rPr>
        <w:t xml:space="preserve"> Tissue </w:t>
      </w:r>
      <w:proofErr w:type="spellStart"/>
      <w:r w:rsidRPr="0052733B">
        <w:rPr>
          <w:rFonts w:ascii="Book Antiqua" w:hAnsi="Book Antiqua" w:cs="宋体"/>
          <w:i/>
          <w:iCs/>
          <w:color w:val="000000"/>
          <w:lang w:val="en-US" w:eastAsia="zh-CN"/>
        </w:rPr>
        <w:t>Int</w:t>
      </w:r>
      <w:proofErr w:type="spellEnd"/>
      <w:r w:rsidRPr="0052733B">
        <w:rPr>
          <w:rFonts w:ascii="Book Antiqua" w:hAnsi="Book Antiqua" w:cs="宋体"/>
          <w:color w:val="000000"/>
          <w:lang w:val="en-US" w:eastAsia="zh-CN"/>
        </w:rPr>
        <w:t> 1993; </w:t>
      </w:r>
      <w:r w:rsidRPr="0052733B">
        <w:rPr>
          <w:rFonts w:ascii="Book Antiqua" w:hAnsi="Book Antiqua" w:cs="宋体"/>
          <w:b/>
          <w:bCs/>
          <w:color w:val="000000"/>
          <w:lang w:val="en-US" w:eastAsia="zh-CN"/>
        </w:rPr>
        <w:t>53</w:t>
      </w:r>
      <w:r w:rsidRPr="0052733B">
        <w:rPr>
          <w:rFonts w:ascii="Book Antiqua" w:hAnsi="Book Antiqua" w:cs="宋体"/>
          <w:color w:val="000000"/>
          <w:lang w:val="en-US" w:eastAsia="zh-CN"/>
        </w:rPr>
        <w:t>: 21-25 [PMID: 8102318 DOI: 10.1007/BF01352010]</w:t>
      </w:r>
    </w:p>
    <w:p w14:paraId="26FAB87B"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45 </w:t>
      </w:r>
      <w:r w:rsidRPr="0052733B">
        <w:rPr>
          <w:rFonts w:ascii="Book Antiqua" w:hAnsi="Book Antiqua" w:cs="宋体"/>
          <w:b/>
          <w:bCs/>
          <w:color w:val="000000"/>
          <w:lang w:val="en-US" w:eastAsia="zh-CN"/>
        </w:rPr>
        <w:t>Merriman NA</w:t>
      </w:r>
      <w:r w:rsidRPr="0052733B">
        <w:rPr>
          <w:rFonts w:ascii="Book Antiqua" w:hAnsi="Book Antiqua" w:cs="宋体"/>
          <w:color w:val="000000"/>
          <w:lang w:val="en-US" w:eastAsia="zh-CN"/>
        </w:rPr>
        <w:t>, Putt ME, Metz DC, Yang YX. Hip fracture risk in patients with a diagnosis of pernicious anemia. </w:t>
      </w:r>
      <w:r w:rsidRPr="0052733B">
        <w:rPr>
          <w:rFonts w:ascii="Book Antiqua" w:hAnsi="Book Antiqua" w:cs="宋体"/>
          <w:i/>
          <w:iCs/>
          <w:color w:val="000000"/>
          <w:lang w:val="en-US" w:eastAsia="zh-CN"/>
        </w:rPr>
        <w:t>Gastroenterology</w:t>
      </w:r>
      <w:r w:rsidRPr="0052733B">
        <w:rPr>
          <w:rFonts w:ascii="Book Antiqua" w:hAnsi="Book Antiqua" w:cs="宋体"/>
          <w:color w:val="000000"/>
          <w:lang w:val="en-US" w:eastAsia="zh-CN"/>
        </w:rPr>
        <w:t> 2010; </w:t>
      </w:r>
      <w:r w:rsidRPr="0052733B">
        <w:rPr>
          <w:rFonts w:ascii="Book Antiqua" w:hAnsi="Book Antiqua" w:cs="宋体"/>
          <w:b/>
          <w:bCs/>
          <w:color w:val="000000"/>
          <w:lang w:val="en-US" w:eastAsia="zh-CN"/>
        </w:rPr>
        <w:t>138</w:t>
      </w:r>
      <w:r w:rsidRPr="0052733B">
        <w:rPr>
          <w:rFonts w:ascii="Book Antiqua" w:hAnsi="Book Antiqua" w:cs="宋体"/>
          <w:color w:val="000000"/>
          <w:lang w:val="en-US" w:eastAsia="zh-CN"/>
        </w:rPr>
        <w:t>: 1330-1337 [PMID: 20026065 DOI: 10.1053/j.gastro.2009.12.007]</w:t>
      </w:r>
    </w:p>
    <w:p w14:paraId="7B840911"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46 </w:t>
      </w:r>
      <w:r w:rsidRPr="0052733B">
        <w:rPr>
          <w:rFonts w:ascii="Book Antiqua" w:hAnsi="Book Antiqua" w:cs="宋体"/>
          <w:b/>
          <w:bCs/>
          <w:color w:val="000000"/>
          <w:lang w:val="en-US" w:eastAsia="zh-CN"/>
        </w:rPr>
        <w:t>Dickey W</w:t>
      </w:r>
      <w:r w:rsidRPr="0052733B">
        <w:rPr>
          <w:rFonts w:ascii="Book Antiqua" w:hAnsi="Book Antiqua" w:cs="宋体"/>
          <w:color w:val="000000"/>
          <w:lang w:val="en-US" w:eastAsia="zh-CN"/>
        </w:rPr>
        <w:t>. Iron deficiency, gastric atrophy and Helicobacter pylori.</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Dig Liver Dis</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2002;</w:t>
      </w:r>
      <w:r w:rsidRPr="0052733B">
        <w:rPr>
          <w:rFonts w:ascii="Book Antiqua" w:hAnsi="Book Antiqua" w:cs="宋体" w:hint="eastAsia"/>
          <w:color w:val="000000"/>
          <w:lang w:val="en-US" w:eastAsia="zh-CN"/>
        </w:rPr>
        <w:t xml:space="preserve"> </w:t>
      </w:r>
      <w:r w:rsidRPr="0052733B">
        <w:rPr>
          <w:rFonts w:ascii="Book Antiqua" w:hAnsi="Book Antiqua" w:cs="宋体"/>
          <w:b/>
          <w:bCs/>
          <w:color w:val="000000"/>
          <w:lang w:val="en-US" w:eastAsia="zh-CN"/>
        </w:rPr>
        <w:t>34</w:t>
      </w:r>
      <w:r w:rsidRPr="0052733B">
        <w:rPr>
          <w:rFonts w:ascii="Book Antiqua" w:hAnsi="Book Antiqua" w:cs="宋体"/>
          <w:color w:val="000000"/>
          <w:lang w:val="en-US" w:eastAsia="zh-CN"/>
        </w:rPr>
        <w:t>: 313-315 [PMID: 12118945 DOI: 10.1016/S1590-8658(02)80121-9]</w:t>
      </w:r>
    </w:p>
    <w:p w14:paraId="135CCED5"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47 </w:t>
      </w:r>
      <w:r w:rsidRPr="0052733B">
        <w:rPr>
          <w:rFonts w:ascii="Book Antiqua" w:hAnsi="Book Antiqua" w:cs="宋体"/>
          <w:b/>
          <w:bCs/>
          <w:color w:val="000000"/>
          <w:lang w:val="en-US" w:eastAsia="zh-CN"/>
        </w:rPr>
        <w:t>Conrad ME</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Schade</w:t>
      </w:r>
      <w:proofErr w:type="spellEnd"/>
      <w:r w:rsidRPr="0052733B">
        <w:rPr>
          <w:rFonts w:ascii="Book Antiqua" w:hAnsi="Book Antiqua" w:cs="宋体"/>
          <w:color w:val="000000"/>
          <w:lang w:val="en-US" w:eastAsia="zh-CN"/>
        </w:rPr>
        <w:t xml:space="preserve"> SG. Ascorbic acid chelates in iron absorption: a role for hydrochloric acid and bile. </w:t>
      </w:r>
      <w:r w:rsidRPr="0052733B">
        <w:rPr>
          <w:rFonts w:ascii="Book Antiqua" w:hAnsi="Book Antiqua" w:cs="宋体"/>
          <w:i/>
          <w:iCs/>
          <w:color w:val="000000"/>
          <w:lang w:val="en-US" w:eastAsia="zh-CN"/>
        </w:rPr>
        <w:t>Gastroenterology</w:t>
      </w:r>
      <w:r w:rsidRPr="0052733B">
        <w:rPr>
          <w:rFonts w:ascii="Book Antiqua" w:hAnsi="Book Antiqua" w:cs="宋体"/>
          <w:color w:val="000000"/>
          <w:lang w:val="en-US" w:eastAsia="zh-CN"/>
        </w:rPr>
        <w:t> 1968; </w:t>
      </w:r>
      <w:r w:rsidRPr="0052733B">
        <w:rPr>
          <w:rFonts w:ascii="Book Antiqua" w:hAnsi="Book Antiqua" w:cs="宋体"/>
          <w:b/>
          <w:bCs/>
          <w:color w:val="000000"/>
          <w:lang w:val="en-US" w:eastAsia="zh-CN"/>
        </w:rPr>
        <w:t>55</w:t>
      </w:r>
      <w:r w:rsidRPr="0052733B">
        <w:rPr>
          <w:rFonts w:ascii="Book Antiqua" w:hAnsi="Book Antiqua" w:cs="宋体"/>
          <w:color w:val="000000"/>
          <w:lang w:val="en-US" w:eastAsia="zh-CN"/>
        </w:rPr>
        <w:t>: 35-45 [PMID: 5663503]</w:t>
      </w:r>
    </w:p>
    <w:p w14:paraId="6A778C61"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48 </w:t>
      </w:r>
      <w:proofErr w:type="spellStart"/>
      <w:r w:rsidRPr="0052733B">
        <w:rPr>
          <w:rFonts w:ascii="Book Antiqua" w:hAnsi="Book Antiqua" w:cs="宋体"/>
          <w:b/>
          <w:bCs/>
          <w:color w:val="000000"/>
          <w:lang w:val="en-US" w:eastAsia="zh-CN"/>
        </w:rPr>
        <w:t>Annibale</w:t>
      </w:r>
      <w:proofErr w:type="spellEnd"/>
      <w:r w:rsidRPr="0052733B">
        <w:rPr>
          <w:rFonts w:ascii="Book Antiqua" w:hAnsi="Book Antiqua" w:cs="宋体"/>
          <w:b/>
          <w:bCs/>
          <w:color w:val="000000"/>
          <w:lang w:val="en-US" w:eastAsia="zh-CN"/>
        </w:rPr>
        <w:t xml:space="preserve"> B</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Capurso</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Delle</w:t>
      </w:r>
      <w:proofErr w:type="spellEnd"/>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Fave</w:t>
      </w:r>
      <w:proofErr w:type="spellEnd"/>
      <w:r w:rsidRPr="0052733B">
        <w:rPr>
          <w:rFonts w:ascii="Book Antiqua" w:hAnsi="Book Antiqua" w:cs="宋体"/>
          <w:color w:val="000000"/>
          <w:lang w:val="en-US" w:eastAsia="zh-CN"/>
        </w:rPr>
        <w:t xml:space="preserve"> G. Consequences of Helicobacter pylori infection on the absorption of micronutrients.</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Dig Liver Dis</w:t>
      </w:r>
      <w:r w:rsidRPr="0052733B">
        <w:rPr>
          <w:rFonts w:ascii="Book Antiqua" w:hAnsi="Book Antiqua" w:cs="宋体"/>
          <w:color w:val="000000"/>
          <w:lang w:val="en-US" w:eastAsia="zh-CN"/>
        </w:rPr>
        <w:t> 2002; </w:t>
      </w:r>
      <w:r w:rsidRPr="0052733B">
        <w:rPr>
          <w:rFonts w:ascii="Book Antiqua" w:hAnsi="Book Antiqua" w:cs="宋体"/>
          <w:b/>
          <w:bCs/>
          <w:color w:val="000000"/>
          <w:lang w:val="en-US" w:eastAsia="zh-CN"/>
        </w:rPr>
        <w:t xml:space="preserve">34 </w:t>
      </w:r>
      <w:proofErr w:type="spellStart"/>
      <w:r w:rsidRPr="00BB240F">
        <w:rPr>
          <w:rFonts w:ascii="Book Antiqua" w:hAnsi="Book Antiqua" w:cs="宋体"/>
          <w:bCs/>
          <w:color w:val="000000"/>
          <w:lang w:val="en-US" w:eastAsia="zh-CN"/>
        </w:rPr>
        <w:t>Suppl</w:t>
      </w:r>
      <w:proofErr w:type="spellEnd"/>
      <w:r w:rsidRPr="00BB240F">
        <w:rPr>
          <w:rFonts w:ascii="Book Antiqua" w:hAnsi="Book Antiqua" w:cs="宋体"/>
          <w:bCs/>
          <w:color w:val="000000"/>
          <w:lang w:val="en-US" w:eastAsia="zh-CN"/>
        </w:rPr>
        <w:t xml:space="preserve"> 2</w:t>
      </w:r>
      <w:r w:rsidRPr="00BB240F">
        <w:rPr>
          <w:rFonts w:ascii="Book Antiqua" w:hAnsi="Book Antiqua" w:cs="宋体"/>
          <w:color w:val="000000"/>
          <w:lang w:val="en-US" w:eastAsia="zh-CN"/>
        </w:rPr>
        <w:t xml:space="preserve">: </w:t>
      </w:r>
      <w:r w:rsidRPr="0052733B">
        <w:rPr>
          <w:rFonts w:ascii="Book Antiqua" w:hAnsi="Book Antiqua" w:cs="宋体"/>
          <w:color w:val="000000"/>
          <w:lang w:val="en-US" w:eastAsia="zh-CN"/>
        </w:rPr>
        <w:t>S72-S77 [PMID: 12408446 DOI: 10.1016/S1590-8658(02)80170-0]</w:t>
      </w:r>
    </w:p>
    <w:p w14:paraId="07515EA0"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49 </w:t>
      </w:r>
      <w:r w:rsidRPr="0052733B">
        <w:rPr>
          <w:rFonts w:ascii="Book Antiqua" w:hAnsi="Book Antiqua" w:cs="宋体"/>
          <w:b/>
          <w:bCs/>
          <w:color w:val="000000"/>
          <w:lang w:val="en-US" w:eastAsia="zh-CN"/>
        </w:rPr>
        <w:t>Rosenthal N</w:t>
      </w:r>
      <w:r w:rsidRPr="0052733B">
        <w:rPr>
          <w:rFonts w:ascii="Book Antiqua" w:hAnsi="Book Antiqua" w:cs="宋体"/>
          <w:color w:val="000000"/>
          <w:lang w:val="en-US" w:eastAsia="zh-CN"/>
        </w:rPr>
        <w:t xml:space="preserve">, Abel HA. </w:t>
      </w:r>
      <w:proofErr w:type="gramStart"/>
      <w:r w:rsidRPr="0052733B">
        <w:rPr>
          <w:rFonts w:ascii="Book Antiqua" w:hAnsi="Book Antiqua" w:cs="宋体"/>
          <w:color w:val="000000"/>
          <w:lang w:val="en-US" w:eastAsia="zh-CN"/>
        </w:rPr>
        <w:t xml:space="preserve">Simple </w:t>
      </w:r>
      <w:proofErr w:type="spellStart"/>
      <w:r w:rsidRPr="0052733B">
        <w:rPr>
          <w:rFonts w:ascii="Book Antiqua" w:hAnsi="Book Antiqua" w:cs="宋体"/>
          <w:color w:val="000000"/>
          <w:lang w:val="en-US" w:eastAsia="zh-CN"/>
        </w:rPr>
        <w:t>Achlorhydric</w:t>
      </w:r>
      <w:proofErr w:type="spellEnd"/>
      <w:r w:rsidRPr="0052733B">
        <w:rPr>
          <w:rFonts w:ascii="Book Antiqua" w:hAnsi="Book Antiqua" w:cs="宋体"/>
          <w:color w:val="000000"/>
          <w:lang w:val="en-US" w:eastAsia="zh-CN"/>
        </w:rPr>
        <w:t xml:space="preserve"> Anemia.</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Bull N Y </w:t>
      </w:r>
      <w:proofErr w:type="spellStart"/>
      <w:r w:rsidRPr="0052733B">
        <w:rPr>
          <w:rFonts w:ascii="Book Antiqua" w:hAnsi="Book Antiqua" w:cs="宋体"/>
          <w:i/>
          <w:iCs/>
          <w:color w:val="000000"/>
          <w:lang w:val="en-US" w:eastAsia="zh-CN"/>
        </w:rPr>
        <w:t>Acad</w:t>
      </w:r>
      <w:proofErr w:type="spellEnd"/>
      <w:r w:rsidRPr="0052733B">
        <w:rPr>
          <w:rFonts w:ascii="Book Antiqua" w:hAnsi="Book Antiqua" w:cs="宋体"/>
          <w:i/>
          <w:iCs/>
          <w:color w:val="000000"/>
          <w:lang w:val="en-US" w:eastAsia="zh-CN"/>
        </w:rPr>
        <w:t xml:space="preserve"> Med</w:t>
      </w:r>
      <w:r w:rsidRPr="0052733B">
        <w:rPr>
          <w:rFonts w:ascii="Book Antiqua" w:hAnsi="Book Antiqua" w:cs="宋体"/>
          <w:color w:val="000000"/>
          <w:lang w:val="en-US" w:eastAsia="zh-CN"/>
        </w:rPr>
        <w:t> 1933; </w:t>
      </w:r>
      <w:r w:rsidRPr="0052733B">
        <w:rPr>
          <w:rFonts w:ascii="Book Antiqua" w:hAnsi="Book Antiqua" w:cs="宋体"/>
          <w:b/>
          <w:bCs/>
          <w:color w:val="000000"/>
          <w:lang w:val="en-US" w:eastAsia="zh-CN"/>
        </w:rPr>
        <w:t>9</w:t>
      </w:r>
      <w:r w:rsidRPr="0052733B">
        <w:rPr>
          <w:rFonts w:ascii="Book Antiqua" w:hAnsi="Book Antiqua" w:cs="宋体"/>
          <w:color w:val="000000"/>
          <w:lang w:val="en-US" w:eastAsia="zh-CN"/>
        </w:rPr>
        <w:t>: 24-40 [PMID: 19311861]</w:t>
      </w:r>
    </w:p>
    <w:p w14:paraId="57A7DD7D"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50 </w:t>
      </w:r>
      <w:r w:rsidRPr="0052733B">
        <w:rPr>
          <w:rFonts w:ascii="Book Antiqua" w:hAnsi="Book Antiqua" w:cs="宋体"/>
          <w:b/>
          <w:bCs/>
          <w:color w:val="000000"/>
          <w:lang w:val="en-US" w:eastAsia="zh-CN"/>
        </w:rPr>
        <w:t>Cook JD</w:t>
      </w:r>
      <w:r w:rsidRPr="0052733B">
        <w:rPr>
          <w:rFonts w:ascii="Book Antiqua" w:hAnsi="Book Antiqua" w:cs="宋体"/>
          <w:color w:val="000000"/>
          <w:lang w:val="en-US" w:eastAsia="zh-CN"/>
        </w:rPr>
        <w:t xml:space="preserve">, Brown GM, </w:t>
      </w:r>
      <w:proofErr w:type="spellStart"/>
      <w:r w:rsidRPr="0052733B">
        <w:rPr>
          <w:rFonts w:ascii="Book Antiqua" w:hAnsi="Book Antiqua" w:cs="宋体"/>
          <w:color w:val="000000"/>
          <w:lang w:val="en-US" w:eastAsia="zh-CN"/>
        </w:rPr>
        <w:t>Valberg</w:t>
      </w:r>
      <w:proofErr w:type="spellEnd"/>
      <w:r w:rsidRPr="0052733B">
        <w:rPr>
          <w:rFonts w:ascii="Book Antiqua" w:hAnsi="Book Antiqua" w:cs="宋体"/>
          <w:color w:val="000000"/>
          <w:lang w:val="en-US" w:eastAsia="zh-CN"/>
        </w:rPr>
        <w:t xml:space="preserve"> LS. </w:t>
      </w:r>
      <w:proofErr w:type="gramStart"/>
      <w:r w:rsidRPr="0052733B">
        <w:rPr>
          <w:rFonts w:ascii="Book Antiqua" w:hAnsi="Book Antiqua" w:cs="宋体"/>
          <w:color w:val="000000"/>
          <w:lang w:val="en-US" w:eastAsia="zh-CN"/>
        </w:rPr>
        <w:t xml:space="preserve">The effect of </w:t>
      </w:r>
      <w:proofErr w:type="spellStart"/>
      <w:r w:rsidRPr="0052733B">
        <w:rPr>
          <w:rFonts w:ascii="Book Antiqua" w:hAnsi="Book Antiqua" w:cs="宋体"/>
          <w:color w:val="000000"/>
          <w:lang w:val="en-US" w:eastAsia="zh-CN"/>
        </w:rPr>
        <w:t>achylia</w:t>
      </w:r>
      <w:proofErr w:type="spellEnd"/>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gastrica</w:t>
      </w:r>
      <w:proofErr w:type="spellEnd"/>
      <w:r w:rsidRPr="0052733B">
        <w:rPr>
          <w:rFonts w:ascii="Book Antiqua" w:hAnsi="Book Antiqua" w:cs="宋体"/>
          <w:color w:val="000000"/>
          <w:lang w:val="en-US" w:eastAsia="zh-CN"/>
        </w:rPr>
        <w:t xml:space="preserve"> on iron absorption.</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J </w:t>
      </w:r>
      <w:proofErr w:type="spellStart"/>
      <w:r w:rsidRPr="0052733B">
        <w:rPr>
          <w:rFonts w:ascii="Book Antiqua" w:hAnsi="Book Antiqua" w:cs="宋体"/>
          <w:i/>
          <w:iCs/>
          <w:color w:val="000000"/>
          <w:lang w:val="en-US" w:eastAsia="zh-CN"/>
        </w:rPr>
        <w:t>Clin</w:t>
      </w:r>
      <w:proofErr w:type="spellEnd"/>
      <w:r w:rsidRPr="0052733B">
        <w:rPr>
          <w:rFonts w:ascii="Book Antiqua" w:hAnsi="Book Antiqua" w:cs="宋体"/>
          <w:i/>
          <w:iCs/>
          <w:color w:val="000000"/>
          <w:lang w:val="en-US" w:eastAsia="zh-CN"/>
        </w:rPr>
        <w:t xml:space="preserve"> Invest</w:t>
      </w:r>
      <w:r w:rsidRPr="0052733B">
        <w:rPr>
          <w:rFonts w:ascii="Book Antiqua" w:hAnsi="Book Antiqua" w:cs="宋体"/>
          <w:color w:val="000000"/>
          <w:lang w:val="en-US" w:eastAsia="zh-CN"/>
        </w:rPr>
        <w:t> 1964; </w:t>
      </w:r>
      <w:r w:rsidRPr="0052733B">
        <w:rPr>
          <w:rFonts w:ascii="Book Antiqua" w:hAnsi="Book Antiqua" w:cs="宋体"/>
          <w:b/>
          <w:bCs/>
          <w:color w:val="000000"/>
          <w:lang w:val="en-US" w:eastAsia="zh-CN"/>
        </w:rPr>
        <w:t>43</w:t>
      </w:r>
      <w:r w:rsidRPr="0052733B">
        <w:rPr>
          <w:rFonts w:ascii="Book Antiqua" w:hAnsi="Book Antiqua" w:cs="宋体"/>
          <w:color w:val="000000"/>
          <w:lang w:val="en-US" w:eastAsia="zh-CN"/>
        </w:rPr>
        <w:t>: 1185-1191 [PMID: 14171795]</w:t>
      </w:r>
    </w:p>
    <w:p w14:paraId="5DE8FB8B"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51 </w:t>
      </w:r>
      <w:r w:rsidRPr="0052733B">
        <w:rPr>
          <w:rFonts w:ascii="Book Antiqua" w:hAnsi="Book Antiqua" w:cs="宋体"/>
          <w:b/>
          <w:bCs/>
          <w:color w:val="000000"/>
          <w:lang w:val="en-US" w:eastAsia="zh-CN"/>
        </w:rPr>
        <w:t>Moore CV</w:t>
      </w:r>
      <w:r w:rsidRPr="0052733B">
        <w:rPr>
          <w:rFonts w:ascii="Book Antiqua" w:hAnsi="Book Antiqua" w:cs="宋体"/>
          <w:color w:val="000000"/>
          <w:lang w:val="en-US" w:eastAsia="zh-CN"/>
        </w:rPr>
        <w:t xml:space="preserve">, Dubach R. Observations on the absorption of iron from foods tagged with </w:t>
      </w:r>
      <w:proofErr w:type="spellStart"/>
      <w:r w:rsidRPr="0052733B">
        <w:rPr>
          <w:rFonts w:ascii="Book Antiqua" w:hAnsi="Book Antiqua" w:cs="宋体"/>
          <w:color w:val="000000"/>
          <w:lang w:val="en-US" w:eastAsia="zh-CN"/>
        </w:rPr>
        <w:t>radioiron</w:t>
      </w:r>
      <w:proofErr w:type="spellEnd"/>
      <w:r w:rsidRPr="0052733B">
        <w:rPr>
          <w:rFonts w:ascii="Book Antiqua" w:hAnsi="Book Antiqua" w:cs="宋体"/>
          <w:color w:val="000000"/>
          <w:lang w:val="en-US" w:eastAsia="zh-CN"/>
        </w:rPr>
        <w:t>.</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Trans </w:t>
      </w:r>
      <w:proofErr w:type="spellStart"/>
      <w:r w:rsidRPr="0052733B">
        <w:rPr>
          <w:rFonts w:ascii="Book Antiqua" w:hAnsi="Book Antiqua" w:cs="宋体"/>
          <w:i/>
          <w:iCs/>
          <w:color w:val="000000"/>
          <w:lang w:val="en-US" w:eastAsia="zh-CN"/>
        </w:rPr>
        <w:t>Assoc</w:t>
      </w:r>
      <w:proofErr w:type="spellEnd"/>
      <w:r w:rsidRPr="0052733B">
        <w:rPr>
          <w:rFonts w:ascii="Book Antiqua" w:hAnsi="Book Antiqua" w:cs="宋体"/>
          <w:i/>
          <w:iCs/>
          <w:color w:val="000000"/>
          <w:lang w:val="en-US" w:eastAsia="zh-CN"/>
        </w:rPr>
        <w:t xml:space="preserve"> Am Physicians</w:t>
      </w:r>
      <w:r w:rsidRPr="0052733B">
        <w:rPr>
          <w:rFonts w:ascii="Book Antiqua" w:hAnsi="Book Antiqua" w:cs="宋体"/>
          <w:color w:val="000000"/>
          <w:lang w:val="en-US" w:eastAsia="zh-CN"/>
        </w:rPr>
        <w:t> 1951; </w:t>
      </w:r>
      <w:r w:rsidRPr="0052733B">
        <w:rPr>
          <w:rFonts w:ascii="Book Antiqua" w:hAnsi="Book Antiqua" w:cs="宋体"/>
          <w:b/>
          <w:bCs/>
          <w:color w:val="000000"/>
          <w:lang w:val="en-US" w:eastAsia="zh-CN"/>
        </w:rPr>
        <w:t>64</w:t>
      </w:r>
      <w:r w:rsidRPr="0052733B">
        <w:rPr>
          <w:rFonts w:ascii="Book Antiqua" w:hAnsi="Book Antiqua" w:cs="宋体"/>
          <w:color w:val="000000"/>
          <w:lang w:val="en-US" w:eastAsia="zh-CN"/>
        </w:rPr>
        <w:t>: 245-256 [PMID: 14884256]</w:t>
      </w:r>
    </w:p>
    <w:p w14:paraId="4E06FC5B"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52</w:t>
      </w:r>
      <w:r w:rsidRPr="0052733B">
        <w:rPr>
          <w:rFonts w:ascii="Book Antiqua" w:hAnsi="Book Antiqua" w:cs="宋体" w:hint="eastAsia"/>
          <w:color w:val="000000"/>
          <w:lang w:val="en-US" w:eastAsia="zh-CN"/>
        </w:rPr>
        <w:t xml:space="preserve"> </w:t>
      </w:r>
      <w:r w:rsidRPr="0052733B">
        <w:rPr>
          <w:rFonts w:ascii="Book Antiqua" w:hAnsi="Book Antiqua" w:cs="宋体"/>
          <w:b/>
          <w:color w:val="000000"/>
          <w:lang w:val="en-US" w:eastAsia="zh-CN"/>
        </w:rPr>
        <w:t>Finch C</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Huebers</w:t>
      </w:r>
      <w:proofErr w:type="spellEnd"/>
      <w:r w:rsidRPr="0052733B">
        <w:rPr>
          <w:rFonts w:ascii="Book Antiqua" w:hAnsi="Book Antiqua" w:cs="宋体"/>
          <w:color w:val="000000"/>
          <w:lang w:val="en-US" w:eastAsia="zh-CN"/>
        </w:rPr>
        <w:t xml:space="preserve"> H. Iron absorption.</w:t>
      </w:r>
      <w:proofErr w:type="gramEnd"/>
      <w:r w:rsidRPr="0052733B">
        <w:rPr>
          <w:rFonts w:ascii="Book Antiqua" w:hAnsi="Book Antiqua" w:cs="宋体"/>
          <w:color w:val="000000"/>
          <w:lang w:val="en-US" w:eastAsia="zh-CN"/>
        </w:rPr>
        <w:t xml:space="preserve"> In: </w:t>
      </w:r>
      <w:proofErr w:type="spellStart"/>
      <w:r w:rsidRPr="0052733B">
        <w:rPr>
          <w:rFonts w:ascii="Book Antiqua" w:hAnsi="Book Antiqua" w:cs="宋体"/>
          <w:color w:val="000000"/>
          <w:lang w:val="en-US" w:eastAsia="zh-CN"/>
        </w:rPr>
        <w:t>Rauner</w:t>
      </w:r>
      <w:proofErr w:type="spellEnd"/>
      <w:r w:rsidRPr="0052733B">
        <w:rPr>
          <w:rFonts w:ascii="Book Antiqua" w:hAnsi="Book Antiqua" w:cs="宋体"/>
          <w:color w:val="000000"/>
          <w:lang w:val="en-US" w:eastAsia="zh-CN"/>
        </w:rPr>
        <w:t xml:space="preserve"> B. Handbook of physiology. Bethesda: American Physiological Society, 1991</w:t>
      </w:r>
    </w:p>
    <w:p w14:paraId="7D0C085F"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lastRenderedPageBreak/>
        <w:t>53 </w:t>
      </w:r>
      <w:proofErr w:type="spellStart"/>
      <w:r w:rsidRPr="0052733B">
        <w:rPr>
          <w:rFonts w:ascii="Book Antiqua" w:hAnsi="Book Antiqua" w:cs="宋体"/>
          <w:b/>
          <w:bCs/>
          <w:color w:val="000000"/>
          <w:lang w:val="en-US" w:eastAsia="zh-CN"/>
        </w:rPr>
        <w:t>Dagg</w:t>
      </w:r>
      <w:proofErr w:type="spellEnd"/>
      <w:r w:rsidRPr="0052733B">
        <w:rPr>
          <w:rFonts w:ascii="Book Antiqua" w:hAnsi="Book Antiqua" w:cs="宋体"/>
          <w:b/>
          <w:bCs/>
          <w:color w:val="000000"/>
          <w:lang w:val="en-US" w:eastAsia="zh-CN"/>
        </w:rPr>
        <w:t xml:space="preserve"> JH</w:t>
      </w:r>
      <w:r w:rsidRPr="0052733B">
        <w:rPr>
          <w:rFonts w:ascii="Book Antiqua" w:hAnsi="Book Antiqua" w:cs="宋体"/>
          <w:color w:val="000000"/>
          <w:lang w:val="en-US" w:eastAsia="zh-CN"/>
        </w:rPr>
        <w:t xml:space="preserve">, Goldberg A, Gibbs WN, Anderson JR. Detection of latent pernicious </w:t>
      </w:r>
      <w:proofErr w:type="spellStart"/>
      <w:r w:rsidRPr="0052733B">
        <w:rPr>
          <w:rFonts w:ascii="Book Antiqua" w:hAnsi="Book Antiqua" w:cs="宋体"/>
          <w:color w:val="000000"/>
          <w:lang w:val="en-US" w:eastAsia="zh-CN"/>
        </w:rPr>
        <w:t>anaemia</w:t>
      </w:r>
      <w:proofErr w:type="spellEnd"/>
      <w:r w:rsidRPr="0052733B">
        <w:rPr>
          <w:rFonts w:ascii="Book Antiqua" w:hAnsi="Book Antiqua" w:cs="宋体"/>
          <w:color w:val="000000"/>
          <w:lang w:val="en-US" w:eastAsia="zh-CN"/>
        </w:rPr>
        <w:t xml:space="preserve"> in iron-deficiency </w:t>
      </w:r>
      <w:proofErr w:type="spellStart"/>
      <w:r w:rsidRPr="0052733B">
        <w:rPr>
          <w:rFonts w:ascii="Book Antiqua" w:hAnsi="Book Antiqua" w:cs="宋体"/>
          <w:color w:val="000000"/>
          <w:lang w:val="en-US" w:eastAsia="zh-CN"/>
        </w:rPr>
        <w:t>anaemia</w:t>
      </w:r>
      <w:proofErr w:type="spell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Br Med J</w:t>
      </w:r>
      <w:r w:rsidRPr="0052733B">
        <w:rPr>
          <w:rFonts w:ascii="Book Antiqua" w:hAnsi="Book Antiqua" w:cs="宋体"/>
          <w:color w:val="000000"/>
          <w:lang w:val="en-US" w:eastAsia="zh-CN"/>
        </w:rPr>
        <w:t> 1966; </w:t>
      </w:r>
      <w:r w:rsidRPr="0052733B">
        <w:rPr>
          <w:rFonts w:ascii="Book Antiqua" w:hAnsi="Book Antiqua" w:cs="宋体"/>
          <w:b/>
          <w:bCs/>
          <w:color w:val="000000"/>
          <w:lang w:val="en-US" w:eastAsia="zh-CN"/>
        </w:rPr>
        <w:t>2</w:t>
      </w:r>
      <w:r w:rsidRPr="0052733B">
        <w:rPr>
          <w:rFonts w:ascii="Book Antiqua" w:hAnsi="Book Antiqua" w:cs="宋体"/>
          <w:color w:val="000000"/>
          <w:lang w:val="en-US" w:eastAsia="zh-CN"/>
        </w:rPr>
        <w:t>: 619-621 [PMID: 5917381 DOI: 10.1136/bmj.2.5514.619]</w:t>
      </w:r>
    </w:p>
    <w:p w14:paraId="51AA1222"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54 </w:t>
      </w:r>
      <w:proofErr w:type="spellStart"/>
      <w:r w:rsidRPr="0052733B">
        <w:rPr>
          <w:rFonts w:ascii="Book Antiqua" w:hAnsi="Book Antiqua" w:cs="宋体"/>
          <w:b/>
          <w:bCs/>
          <w:color w:val="000000"/>
          <w:lang w:val="en-US" w:eastAsia="zh-CN"/>
        </w:rPr>
        <w:t>Annibale</w:t>
      </w:r>
      <w:proofErr w:type="spellEnd"/>
      <w:r w:rsidRPr="0052733B">
        <w:rPr>
          <w:rFonts w:ascii="Book Antiqua" w:hAnsi="Book Antiqua" w:cs="宋体"/>
          <w:b/>
          <w:bCs/>
          <w:color w:val="000000"/>
          <w:lang w:val="en-US" w:eastAsia="zh-CN"/>
        </w:rPr>
        <w:t xml:space="preserve"> B</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Capurso</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Chistolini</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D'Ambra</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DiGiulio</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Monarca</w:t>
      </w:r>
      <w:proofErr w:type="spellEnd"/>
      <w:r w:rsidRPr="0052733B">
        <w:rPr>
          <w:rFonts w:ascii="Book Antiqua" w:hAnsi="Book Antiqua" w:cs="宋体"/>
          <w:color w:val="000000"/>
          <w:lang w:val="en-US" w:eastAsia="zh-CN"/>
        </w:rPr>
        <w:t xml:space="preserve"> B, </w:t>
      </w:r>
      <w:proofErr w:type="spellStart"/>
      <w:r w:rsidRPr="0052733B">
        <w:rPr>
          <w:rFonts w:ascii="Book Antiqua" w:hAnsi="Book Antiqua" w:cs="宋体"/>
          <w:color w:val="000000"/>
          <w:lang w:val="en-US" w:eastAsia="zh-CN"/>
        </w:rPr>
        <w:t>DelleFave</w:t>
      </w:r>
      <w:proofErr w:type="spellEnd"/>
      <w:r w:rsidRPr="0052733B">
        <w:rPr>
          <w:rFonts w:ascii="Book Antiqua" w:hAnsi="Book Antiqua" w:cs="宋体"/>
          <w:color w:val="000000"/>
          <w:lang w:val="en-US" w:eastAsia="zh-CN"/>
        </w:rPr>
        <w:t xml:space="preserve"> G. Gastrointestinal causes of refractory iron deficiency anemia in patients without gastrointestinal symptoms. </w:t>
      </w:r>
      <w:r w:rsidRPr="0052733B">
        <w:rPr>
          <w:rFonts w:ascii="Book Antiqua" w:hAnsi="Book Antiqua" w:cs="宋体"/>
          <w:i/>
          <w:iCs/>
          <w:color w:val="000000"/>
          <w:lang w:val="en-US" w:eastAsia="zh-CN"/>
        </w:rPr>
        <w:t>Am J Med</w:t>
      </w:r>
      <w:r w:rsidRPr="0052733B">
        <w:rPr>
          <w:rFonts w:ascii="Book Antiqua" w:hAnsi="Book Antiqua" w:cs="宋体"/>
          <w:color w:val="000000"/>
          <w:lang w:val="en-US" w:eastAsia="zh-CN"/>
        </w:rPr>
        <w:t> 2001; </w:t>
      </w:r>
      <w:r w:rsidRPr="0052733B">
        <w:rPr>
          <w:rFonts w:ascii="Book Antiqua" w:hAnsi="Book Antiqua" w:cs="宋体"/>
          <w:b/>
          <w:bCs/>
          <w:color w:val="000000"/>
          <w:lang w:val="en-US" w:eastAsia="zh-CN"/>
        </w:rPr>
        <w:t>111</w:t>
      </w:r>
      <w:r w:rsidRPr="0052733B">
        <w:rPr>
          <w:rFonts w:ascii="Book Antiqua" w:hAnsi="Book Antiqua" w:cs="宋体"/>
          <w:color w:val="000000"/>
          <w:lang w:val="en-US" w:eastAsia="zh-CN"/>
        </w:rPr>
        <w:t>: 439-445 [PMID: 11690568 DOI: 10.1016/S0002-9343(01)00883-X]</w:t>
      </w:r>
    </w:p>
    <w:p w14:paraId="0486724E"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55 </w:t>
      </w:r>
      <w:proofErr w:type="spellStart"/>
      <w:r w:rsidRPr="0052733B">
        <w:rPr>
          <w:rFonts w:ascii="Book Antiqua" w:hAnsi="Book Antiqua" w:cs="宋体"/>
          <w:b/>
          <w:bCs/>
          <w:color w:val="000000"/>
          <w:lang w:val="en-US" w:eastAsia="zh-CN"/>
        </w:rPr>
        <w:t>Annibale</w:t>
      </w:r>
      <w:proofErr w:type="spellEnd"/>
      <w:r w:rsidRPr="0052733B">
        <w:rPr>
          <w:rFonts w:ascii="Book Antiqua" w:hAnsi="Book Antiqua" w:cs="宋体"/>
          <w:b/>
          <w:bCs/>
          <w:color w:val="000000"/>
          <w:lang w:val="en-US" w:eastAsia="zh-CN"/>
        </w:rPr>
        <w:t xml:space="preserve"> B</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Negrini</w:t>
      </w:r>
      <w:proofErr w:type="spellEnd"/>
      <w:r w:rsidRPr="0052733B">
        <w:rPr>
          <w:rFonts w:ascii="Book Antiqua" w:hAnsi="Book Antiqua" w:cs="宋体"/>
          <w:color w:val="000000"/>
          <w:lang w:val="en-US" w:eastAsia="zh-CN"/>
        </w:rPr>
        <w:t xml:space="preserve"> R, </w:t>
      </w:r>
      <w:proofErr w:type="spellStart"/>
      <w:r w:rsidRPr="0052733B">
        <w:rPr>
          <w:rFonts w:ascii="Book Antiqua" w:hAnsi="Book Antiqua" w:cs="宋体"/>
          <w:color w:val="000000"/>
          <w:lang w:val="en-US" w:eastAsia="zh-CN"/>
        </w:rPr>
        <w:t>Caruana</w:t>
      </w:r>
      <w:proofErr w:type="spellEnd"/>
      <w:r w:rsidRPr="0052733B">
        <w:rPr>
          <w:rFonts w:ascii="Book Antiqua" w:hAnsi="Book Antiqua" w:cs="宋体"/>
          <w:color w:val="000000"/>
          <w:lang w:val="en-US" w:eastAsia="zh-CN"/>
        </w:rPr>
        <w:t xml:space="preserve"> P, </w:t>
      </w:r>
      <w:proofErr w:type="spellStart"/>
      <w:r w:rsidRPr="0052733B">
        <w:rPr>
          <w:rFonts w:ascii="Book Antiqua" w:hAnsi="Book Antiqua" w:cs="宋体"/>
          <w:color w:val="000000"/>
          <w:lang w:val="en-US" w:eastAsia="zh-CN"/>
        </w:rPr>
        <w:t>Lahner</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Grossi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Bordi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Delle</w:t>
      </w:r>
      <w:proofErr w:type="spellEnd"/>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Fave</w:t>
      </w:r>
      <w:proofErr w:type="spellEnd"/>
      <w:r w:rsidRPr="0052733B">
        <w:rPr>
          <w:rFonts w:ascii="Book Antiqua" w:hAnsi="Book Antiqua" w:cs="宋体"/>
          <w:color w:val="000000"/>
          <w:lang w:val="en-US" w:eastAsia="zh-CN"/>
        </w:rPr>
        <w:t xml:space="preserve"> G. Two-thirds of atrophic body gastritis patients have evidence of Helicobacter pylori infection. </w:t>
      </w:r>
      <w:r w:rsidRPr="0052733B">
        <w:rPr>
          <w:rFonts w:ascii="Book Antiqua" w:hAnsi="Book Antiqua" w:cs="宋体"/>
          <w:i/>
          <w:iCs/>
          <w:color w:val="000000"/>
          <w:lang w:val="en-US" w:eastAsia="zh-CN"/>
        </w:rPr>
        <w:t>Helicobacter</w:t>
      </w:r>
      <w:r w:rsidRPr="0052733B">
        <w:rPr>
          <w:rFonts w:ascii="Book Antiqua" w:hAnsi="Book Antiqua" w:cs="宋体"/>
          <w:color w:val="000000"/>
          <w:lang w:val="en-US" w:eastAsia="zh-CN"/>
        </w:rPr>
        <w:t> 2001; </w:t>
      </w:r>
      <w:r w:rsidRPr="0052733B">
        <w:rPr>
          <w:rFonts w:ascii="Book Antiqua" w:hAnsi="Book Antiqua" w:cs="宋体"/>
          <w:b/>
          <w:bCs/>
          <w:color w:val="000000"/>
          <w:lang w:val="en-US" w:eastAsia="zh-CN"/>
        </w:rPr>
        <w:t>6</w:t>
      </w:r>
      <w:r w:rsidRPr="0052733B">
        <w:rPr>
          <w:rFonts w:ascii="Book Antiqua" w:hAnsi="Book Antiqua" w:cs="宋体"/>
          <w:color w:val="000000"/>
          <w:lang w:val="en-US" w:eastAsia="zh-CN"/>
        </w:rPr>
        <w:t>: 225-233 [PMID: 11683925 DOI: 10.1046/j.1083-4389.2001.00032.x]</w:t>
      </w:r>
    </w:p>
    <w:p w14:paraId="34DBC68B"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56 </w:t>
      </w:r>
      <w:proofErr w:type="spellStart"/>
      <w:r w:rsidRPr="0052733B">
        <w:rPr>
          <w:rFonts w:ascii="Book Antiqua" w:hAnsi="Book Antiqua" w:cs="宋体"/>
          <w:b/>
          <w:bCs/>
          <w:color w:val="000000"/>
          <w:lang w:val="en-US" w:eastAsia="zh-CN"/>
        </w:rPr>
        <w:t>Annibale</w:t>
      </w:r>
      <w:proofErr w:type="spellEnd"/>
      <w:r w:rsidRPr="0052733B">
        <w:rPr>
          <w:rFonts w:ascii="Book Antiqua" w:hAnsi="Book Antiqua" w:cs="宋体"/>
          <w:b/>
          <w:bCs/>
          <w:color w:val="000000"/>
          <w:lang w:val="en-US" w:eastAsia="zh-CN"/>
        </w:rPr>
        <w:t xml:space="preserve"> B</w:t>
      </w:r>
      <w:r w:rsidRPr="0052733B">
        <w:rPr>
          <w:rFonts w:ascii="Book Antiqua" w:hAnsi="Book Antiqua" w:cs="宋体"/>
          <w:color w:val="000000"/>
          <w:lang w:val="en-US" w:eastAsia="zh-CN"/>
        </w:rPr>
        <w:t xml:space="preserve">, Di </w:t>
      </w:r>
      <w:proofErr w:type="spellStart"/>
      <w:r w:rsidRPr="0052733B">
        <w:rPr>
          <w:rFonts w:ascii="Book Antiqua" w:hAnsi="Book Antiqua" w:cs="宋体"/>
          <w:color w:val="000000"/>
          <w:lang w:val="en-US" w:eastAsia="zh-CN"/>
        </w:rPr>
        <w:t>Giulio</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Caruana</w:t>
      </w:r>
      <w:proofErr w:type="spellEnd"/>
      <w:r w:rsidRPr="0052733B">
        <w:rPr>
          <w:rFonts w:ascii="Book Antiqua" w:hAnsi="Book Antiqua" w:cs="宋体"/>
          <w:color w:val="000000"/>
          <w:lang w:val="en-US" w:eastAsia="zh-CN"/>
        </w:rPr>
        <w:t xml:space="preserve"> P, </w:t>
      </w:r>
      <w:proofErr w:type="spellStart"/>
      <w:r w:rsidRPr="0052733B">
        <w:rPr>
          <w:rFonts w:ascii="Book Antiqua" w:hAnsi="Book Antiqua" w:cs="宋体"/>
          <w:color w:val="000000"/>
          <w:lang w:val="en-US" w:eastAsia="zh-CN"/>
        </w:rPr>
        <w:t>Lahner</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Capurso</w:t>
      </w:r>
      <w:proofErr w:type="spellEnd"/>
      <w:r w:rsidRPr="0052733B">
        <w:rPr>
          <w:rFonts w:ascii="Book Antiqua" w:hAnsi="Book Antiqua" w:cs="宋体"/>
          <w:color w:val="000000"/>
          <w:lang w:val="en-US" w:eastAsia="zh-CN"/>
        </w:rPr>
        <w:t xml:space="preserve"> G, </w:t>
      </w:r>
      <w:proofErr w:type="spellStart"/>
      <w:r w:rsidRPr="0052733B">
        <w:rPr>
          <w:rFonts w:ascii="Book Antiqua" w:hAnsi="Book Antiqua" w:cs="宋体"/>
          <w:color w:val="000000"/>
          <w:lang w:val="en-US" w:eastAsia="zh-CN"/>
        </w:rPr>
        <w:t>Bordi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Delle</w:t>
      </w:r>
      <w:proofErr w:type="spellEnd"/>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Fave</w:t>
      </w:r>
      <w:proofErr w:type="spellEnd"/>
      <w:r w:rsidRPr="0052733B">
        <w:rPr>
          <w:rFonts w:ascii="Book Antiqua" w:hAnsi="Book Antiqua" w:cs="宋体"/>
          <w:color w:val="000000"/>
          <w:lang w:val="en-US" w:eastAsia="zh-CN"/>
        </w:rPr>
        <w:t xml:space="preserve"> G. </w:t>
      </w:r>
      <w:proofErr w:type="gramStart"/>
      <w:r w:rsidRPr="0052733B">
        <w:rPr>
          <w:rFonts w:ascii="Book Antiqua" w:hAnsi="Book Antiqua" w:cs="宋体"/>
          <w:color w:val="000000"/>
          <w:lang w:val="en-US" w:eastAsia="zh-CN"/>
        </w:rPr>
        <w:t>The long-term effects of cure of Helicobacter pylori infection on patients with atrophic body gastritis.</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Aliment </w:t>
      </w:r>
      <w:proofErr w:type="spellStart"/>
      <w:r w:rsidRPr="0052733B">
        <w:rPr>
          <w:rFonts w:ascii="Book Antiqua" w:hAnsi="Book Antiqua" w:cs="宋体"/>
          <w:i/>
          <w:iCs/>
          <w:color w:val="000000"/>
          <w:lang w:val="en-US" w:eastAsia="zh-CN"/>
        </w:rPr>
        <w:t>Pharmacol</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Ther</w:t>
      </w:r>
      <w:proofErr w:type="spellEnd"/>
      <w:r w:rsidRPr="0052733B">
        <w:rPr>
          <w:rFonts w:ascii="Book Antiqua" w:hAnsi="Book Antiqua" w:cs="宋体"/>
          <w:color w:val="000000"/>
          <w:lang w:val="en-US" w:eastAsia="zh-CN"/>
        </w:rPr>
        <w:t> 2002; </w:t>
      </w:r>
      <w:r w:rsidRPr="0052733B">
        <w:rPr>
          <w:rFonts w:ascii="Book Antiqua" w:hAnsi="Book Antiqua" w:cs="宋体"/>
          <w:b/>
          <w:bCs/>
          <w:color w:val="000000"/>
          <w:lang w:val="en-US" w:eastAsia="zh-CN"/>
        </w:rPr>
        <w:t>16</w:t>
      </w:r>
      <w:r w:rsidRPr="0052733B">
        <w:rPr>
          <w:rFonts w:ascii="Book Antiqua" w:hAnsi="Book Antiqua" w:cs="宋体"/>
          <w:color w:val="000000"/>
          <w:lang w:val="en-US" w:eastAsia="zh-CN"/>
        </w:rPr>
        <w:t>: 1723-1731 [PMID: 12269964 DOI: 10.1046/j.1365-2036.2002.01336.x]</w:t>
      </w:r>
    </w:p>
    <w:p w14:paraId="6E5CA2C7"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57 </w:t>
      </w:r>
      <w:proofErr w:type="spellStart"/>
      <w:r w:rsidRPr="0052733B">
        <w:rPr>
          <w:rFonts w:ascii="Book Antiqua" w:hAnsi="Book Antiqua" w:cs="宋体"/>
          <w:b/>
          <w:bCs/>
          <w:color w:val="000000"/>
          <w:lang w:val="en-US" w:eastAsia="zh-CN"/>
        </w:rPr>
        <w:t>Demiroğlu</w:t>
      </w:r>
      <w:proofErr w:type="spellEnd"/>
      <w:r w:rsidRPr="0052733B">
        <w:rPr>
          <w:rFonts w:ascii="Book Antiqua" w:hAnsi="Book Antiqua" w:cs="宋体"/>
          <w:b/>
          <w:bCs/>
          <w:color w:val="000000"/>
          <w:lang w:val="en-US" w:eastAsia="zh-CN"/>
        </w:rPr>
        <w:t xml:space="preserve"> H</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Dündar</w:t>
      </w:r>
      <w:proofErr w:type="spellEnd"/>
      <w:r w:rsidRPr="0052733B">
        <w:rPr>
          <w:rFonts w:ascii="Book Antiqua" w:hAnsi="Book Antiqua" w:cs="宋体"/>
          <w:color w:val="000000"/>
          <w:lang w:val="en-US" w:eastAsia="zh-CN"/>
        </w:rPr>
        <w:t xml:space="preserve"> S. Pernicious </w:t>
      </w:r>
      <w:proofErr w:type="spellStart"/>
      <w:r w:rsidRPr="0052733B">
        <w:rPr>
          <w:rFonts w:ascii="Book Antiqua" w:hAnsi="Book Antiqua" w:cs="宋体"/>
          <w:color w:val="000000"/>
          <w:lang w:val="en-US" w:eastAsia="zh-CN"/>
        </w:rPr>
        <w:t>anaemia</w:t>
      </w:r>
      <w:proofErr w:type="spellEnd"/>
      <w:r w:rsidRPr="0052733B">
        <w:rPr>
          <w:rFonts w:ascii="Book Antiqua" w:hAnsi="Book Antiqua" w:cs="宋体"/>
          <w:color w:val="000000"/>
          <w:lang w:val="en-US" w:eastAsia="zh-CN"/>
        </w:rPr>
        <w:t xml:space="preserve"> patients should be screened for iron deficiency during follow up. </w:t>
      </w:r>
      <w:r w:rsidRPr="0052733B">
        <w:rPr>
          <w:rFonts w:ascii="Book Antiqua" w:hAnsi="Book Antiqua" w:cs="宋体"/>
          <w:i/>
          <w:iCs/>
          <w:color w:val="000000"/>
          <w:lang w:val="en-US" w:eastAsia="zh-CN"/>
        </w:rPr>
        <w:t>N Z Med J</w:t>
      </w:r>
      <w:r w:rsidRPr="0052733B">
        <w:rPr>
          <w:rFonts w:ascii="Book Antiqua" w:hAnsi="Book Antiqua" w:cs="宋体"/>
          <w:color w:val="000000"/>
          <w:lang w:val="en-US" w:eastAsia="zh-CN"/>
        </w:rPr>
        <w:t> 1997; </w:t>
      </w:r>
      <w:r w:rsidRPr="0052733B">
        <w:rPr>
          <w:rFonts w:ascii="Book Antiqua" w:hAnsi="Book Antiqua" w:cs="宋体"/>
          <w:b/>
          <w:bCs/>
          <w:color w:val="000000"/>
          <w:lang w:val="en-US" w:eastAsia="zh-CN"/>
        </w:rPr>
        <w:t>110</w:t>
      </w:r>
      <w:r w:rsidRPr="0052733B">
        <w:rPr>
          <w:rFonts w:ascii="Book Antiqua" w:hAnsi="Book Antiqua" w:cs="宋体"/>
          <w:color w:val="000000"/>
          <w:lang w:val="en-US" w:eastAsia="zh-CN"/>
        </w:rPr>
        <w:t>: 147-148 [PMID: 9152357]</w:t>
      </w:r>
    </w:p>
    <w:p w14:paraId="72DD95CA"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58 </w:t>
      </w:r>
      <w:r w:rsidRPr="0052733B">
        <w:rPr>
          <w:rFonts w:ascii="Book Antiqua" w:hAnsi="Book Antiqua" w:cs="宋体"/>
          <w:b/>
          <w:bCs/>
          <w:color w:val="000000"/>
          <w:lang w:val="en-US" w:eastAsia="zh-CN"/>
        </w:rPr>
        <w:t>Wilson JX</w:t>
      </w:r>
      <w:r w:rsidRPr="0052733B">
        <w:rPr>
          <w:rFonts w:ascii="Book Antiqua" w:hAnsi="Book Antiqua" w:cs="宋体"/>
          <w:color w:val="000000"/>
          <w:lang w:val="en-US" w:eastAsia="zh-CN"/>
        </w:rPr>
        <w:t>.</w:t>
      </w:r>
      <w:proofErr w:type="gramEnd"/>
      <w:r w:rsidRPr="0052733B">
        <w:rPr>
          <w:rFonts w:ascii="Book Antiqua" w:hAnsi="Book Antiqua" w:cs="宋体"/>
          <w:color w:val="000000"/>
          <w:lang w:val="en-US" w:eastAsia="zh-CN"/>
        </w:rPr>
        <w:t xml:space="preserve"> </w:t>
      </w:r>
      <w:proofErr w:type="gramStart"/>
      <w:r w:rsidRPr="0052733B">
        <w:rPr>
          <w:rFonts w:ascii="Book Antiqua" w:hAnsi="Book Antiqua" w:cs="宋体"/>
          <w:color w:val="000000"/>
          <w:lang w:val="en-US" w:eastAsia="zh-CN"/>
        </w:rPr>
        <w:t>Regulation of vitamin C transport.</w:t>
      </w:r>
      <w:proofErr w:type="gramEnd"/>
      <w:r w:rsidRPr="0052733B">
        <w:rPr>
          <w:rFonts w:ascii="Book Antiqua" w:hAnsi="Book Antiqua" w:cs="宋体"/>
          <w:color w:val="000000"/>
          <w:lang w:val="en-US" w:eastAsia="zh-CN"/>
        </w:rPr>
        <w:t> </w:t>
      </w:r>
      <w:proofErr w:type="spellStart"/>
      <w:r w:rsidRPr="0052733B">
        <w:rPr>
          <w:rFonts w:ascii="Book Antiqua" w:hAnsi="Book Antiqua" w:cs="宋体"/>
          <w:i/>
          <w:iCs/>
          <w:color w:val="000000"/>
          <w:lang w:val="en-US" w:eastAsia="zh-CN"/>
        </w:rPr>
        <w:t>Annu</w:t>
      </w:r>
      <w:proofErr w:type="spellEnd"/>
      <w:r w:rsidRPr="0052733B">
        <w:rPr>
          <w:rFonts w:ascii="Book Antiqua" w:hAnsi="Book Antiqua" w:cs="宋体"/>
          <w:i/>
          <w:iCs/>
          <w:color w:val="000000"/>
          <w:lang w:val="en-US" w:eastAsia="zh-CN"/>
        </w:rPr>
        <w:t xml:space="preserve"> Rev </w:t>
      </w:r>
      <w:proofErr w:type="spellStart"/>
      <w:r w:rsidRPr="0052733B">
        <w:rPr>
          <w:rFonts w:ascii="Book Antiqua" w:hAnsi="Book Antiqua" w:cs="宋体"/>
          <w:i/>
          <w:iCs/>
          <w:color w:val="000000"/>
          <w:lang w:val="en-US" w:eastAsia="zh-CN"/>
        </w:rPr>
        <w:t>Nutr</w:t>
      </w:r>
      <w:proofErr w:type="spellEnd"/>
      <w:r w:rsidRPr="0052733B">
        <w:rPr>
          <w:rFonts w:ascii="Book Antiqua" w:hAnsi="Book Antiqua" w:cs="宋体"/>
          <w:color w:val="000000"/>
          <w:lang w:val="en-US" w:eastAsia="zh-CN"/>
        </w:rPr>
        <w:t> 2005; </w:t>
      </w:r>
      <w:r w:rsidRPr="0052733B">
        <w:rPr>
          <w:rFonts w:ascii="Book Antiqua" w:hAnsi="Book Antiqua" w:cs="宋体"/>
          <w:b/>
          <w:bCs/>
          <w:color w:val="000000"/>
          <w:lang w:val="en-US" w:eastAsia="zh-CN"/>
        </w:rPr>
        <w:t>25</w:t>
      </w:r>
      <w:r w:rsidRPr="0052733B">
        <w:rPr>
          <w:rFonts w:ascii="Book Antiqua" w:hAnsi="Book Antiqua" w:cs="宋体"/>
          <w:color w:val="000000"/>
          <w:lang w:val="en-US" w:eastAsia="zh-CN"/>
        </w:rPr>
        <w:t>: 105-125 [PMID: 16011461 DOI: 10.1146/annurev.nutr.25.050304.092647]</w:t>
      </w:r>
    </w:p>
    <w:p w14:paraId="39C85CFF"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59 </w:t>
      </w:r>
      <w:r w:rsidRPr="0052733B">
        <w:rPr>
          <w:rFonts w:ascii="Book Antiqua" w:hAnsi="Book Antiqua" w:cs="宋体"/>
          <w:b/>
          <w:bCs/>
          <w:color w:val="000000"/>
          <w:lang w:val="en-US" w:eastAsia="zh-CN"/>
        </w:rPr>
        <w:t>Henry EB</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Carswell</w:t>
      </w:r>
      <w:proofErr w:type="spellEnd"/>
      <w:r w:rsidRPr="0052733B">
        <w:rPr>
          <w:rFonts w:ascii="Book Antiqua" w:hAnsi="Book Antiqua" w:cs="宋体"/>
          <w:color w:val="000000"/>
          <w:lang w:val="en-US" w:eastAsia="zh-CN"/>
        </w:rPr>
        <w:t xml:space="preserve"> A, </w:t>
      </w:r>
      <w:proofErr w:type="spellStart"/>
      <w:r w:rsidRPr="0052733B">
        <w:rPr>
          <w:rFonts w:ascii="Book Antiqua" w:hAnsi="Book Antiqua" w:cs="宋体"/>
          <w:color w:val="000000"/>
          <w:lang w:val="en-US" w:eastAsia="zh-CN"/>
        </w:rPr>
        <w:t>Wirz</w:t>
      </w:r>
      <w:proofErr w:type="spellEnd"/>
      <w:r w:rsidRPr="0052733B">
        <w:rPr>
          <w:rFonts w:ascii="Book Antiqua" w:hAnsi="Book Antiqua" w:cs="宋体"/>
          <w:color w:val="000000"/>
          <w:lang w:val="en-US" w:eastAsia="zh-CN"/>
        </w:rPr>
        <w:t xml:space="preserve"> A, Fyffe V, McColl KE. Proton pump inhibitors reduce the bioavailability of dietary vitamin C. </w:t>
      </w:r>
      <w:r w:rsidRPr="0052733B">
        <w:rPr>
          <w:rFonts w:ascii="Book Antiqua" w:hAnsi="Book Antiqua" w:cs="宋体"/>
          <w:i/>
          <w:iCs/>
          <w:color w:val="000000"/>
          <w:lang w:val="en-US" w:eastAsia="zh-CN"/>
        </w:rPr>
        <w:t xml:space="preserve">Aliment </w:t>
      </w:r>
      <w:proofErr w:type="spellStart"/>
      <w:r w:rsidRPr="0052733B">
        <w:rPr>
          <w:rFonts w:ascii="Book Antiqua" w:hAnsi="Book Antiqua" w:cs="宋体"/>
          <w:i/>
          <w:iCs/>
          <w:color w:val="000000"/>
          <w:lang w:val="en-US" w:eastAsia="zh-CN"/>
        </w:rPr>
        <w:t>Pharmacol</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Ther</w:t>
      </w:r>
      <w:proofErr w:type="spellEnd"/>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2005;</w:t>
      </w:r>
      <w:r w:rsidRPr="0052733B">
        <w:rPr>
          <w:rFonts w:ascii="Book Antiqua" w:hAnsi="Book Antiqua" w:cs="宋体" w:hint="eastAsia"/>
          <w:color w:val="000000"/>
          <w:lang w:val="en-US" w:eastAsia="zh-CN"/>
        </w:rPr>
        <w:t xml:space="preserve"> </w:t>
      </w:r>
      <w:r w:rsidRPr="0052733B">
        <w:rPr>
          <w:rFonts w:ascii="Book Antiqua" w:hAnsi="Book Antiqua" w:cs="宋体"/>
          <w:b/>
          <w:bCs/>
          <w:color w:val="000000"/>
          <w:lang w:val="en-US" w:eastAsia="zh-CN"/>
        </w:rPr>
        <w:t>22</w:t>
      </w:r>
      <w:r w:rsidRPr="0052733B">
        <w:rPr>
          <w:rFonts w:ascii="Book Antiqua" w:hAnsi="Book Antiqua" w:cs="宋体"/>
          <w:color w:val="000000"/>
          <w:lang w:val="en-US" w:eastAsia="zh-CN"/>
        </w:rPr>
        <w:t>: 539-545 [PMID: 16167970 DOI: 10.1111/j.1365-2036.2005.02568.x]</w:t>
      </w:r>
    </w:p>
    <w:p w14:paraId="56A46ACB"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60</w:t>
      </w:r>
      <w:r w:rsidRPr="0052733B">
        <w:rPr>
          <w:rFonts w:ascii="Book Antiqua" w:hAnsi="Book Antiqua" w:cs="宋体" w:hint="eastAsia"/>
          <w:b/>
          <w:color w:val="000000"/>
          <w:lang w:val="en-US" w:eastAsia="zh-CN"/>
        </w:rPr>
        <w:t xml:space="preserve"> </w:t>
      </w:r>
      <w:r w:rsidRPr="0052733B">
        <w:rPr>
          <w:rFonts w:ascii="Book Antiqua" w:hAnsi="Book Antiqua" w:cs="宋体"/>
          <w:b/>
          <w:color w:val="000000"/>
          <w:lang w:val="en-US" w:eastAsia="zh-CN"/>
        </w:rPr>
        <w:t>Alt H</w:t>
      </w:r>
      <w:proofErr w:type="gramEnd"/>
      <w:r w:rsidRPr="0052733B">
        <w:rPr>
          <w:rFonts w:ascii="Book Antiqua" w:hAnsi="Book Antiqua" w:cs="宋体"/>
          <w:color w:val="000000"/>
          <w:lang w:val="en-US" w:eastAsia="zh-CN"/>
        </w:rPr>
        <w:t xml:space="preserve">, Chinn H, Farmer C. </w:t>
      </w:r>
      <w:proofErr w:type="gramStart"/>
      <w:r w:rsidRPr="0052733B">
        <w:rPr>
          <w:rFonts w:ascii="Book Antiqua" w:hAnsi="Book Antiqua" w:cs="宋体"/>
          <w:color w:val="000000"/>
          <w:lang w:val="en-US" w:eastAsia="zh-CN"/>
        </w:rPr>
        <w:t xml:space="preserve">The blood plasma ascorbic acid in patients with </w:t>
      </w:r>
      <w:proofErr w:type="spellStart"/>
      <w:r w:rsidRPr="0052733B">
        <w:rPr>
          <w:rFonts w:ascii="Book Antiqua" w:hAnsi="Book Antiqua" w:cs="宋体"/>
          <w:color w:val="000000"/>
          <w:lang w:val="en-US" w:eastAsia="zh-CN"/>
        </w:rPr>
        <w:t>achlorhydria</w:t>
      </w:r>
      <w:proofErr w:type="spellEnd"/>
      <w:r w:rsidRPr="0052733B">
        <w:rPr>
          <w:rFonts w:ascii="Book Antiqua" w:hAnsi="Book Antiqua" w:cs="宋体"/>
          <w:color w:val="000000"/>
          <w:lang w:val="en-US" w:eastAsia="zh-CN"/>
        </w:rPr>
        <w:t>.</w:t>
      </w:r>
      <w:proofErr w:type="gramEnd"/>
      <w:r w:rsidRPr="0052733B">
        <w:rPr>
          <w:rFonts w:ascii="Book Antiqua" w:hAnsi="Book Antiqua" w:cs="宋体" w:hint="eastAsia"/>
          <w:color w:val="000000"/>
          <w:lang w:val="en-US" w:eastAsia="zh-CN"/>
        </w:rPr>
        <w:t xml:space="preserve"> </w:t>
      </w:r>
      <w:r w:rsidRPr="0052733B">
        <w:rPr>
          <w:rFonts w:ascii="Book Antiqua" w:hAnsi="Book Antiqua" w:cs="宋体"/>
          <w:i/>
          <w:color w:val="000000"/>
          <w:lang w:val="en-US" w:eastAsia="zh-CN"/>
        </w:rPr>
        <w:t>Am</w:t>
      </w:r>
      <w:r w:rsidRPr="0052733B">
        <w:rPr>
          <w:rFonts w:ascii="Book Antiqua" w:hAnsi="Book Antiqua" w:cs="宋体" w:hint="eastAsia"/>
          <w:i/>
          <w:color w:val="000000"/>
          <w:lang w:val="en-US" w:eastAsia="zh-CN"/>
        </w:rPr>
        <w:t xml:space="preserve"> </w:t>
      </w:r>
      <w:r w:rsidRPr="0052733B">
        <w:rPr>
          <w:rFonts w:ascii="Book Antiqua" w:hAnsi="Book Antiqua" w:cs="宋体"/>
          <w:i/>
          <w:color w:val="000000"/>
          <w:lang w:val="en-US" w:eastAsia="zh-CN"/>
        </w:rPr>
        <w:t>J</w:t>
      </w:r>
      <w:r w:rsidRPr="0052733B">
        <w:rPr>
          <w:rFonts w:ascii="Book Antiqua" w:hAnsi="Book Antiqua" w:cs="宋体" w:hint="eastAsia"/>
          <w:i/>
          <w:color w:val="000000"/>
          <w:lang w:val="en-US" w:eastAsia="zh-CN"/>
        </w:rPr>
        <w:t xml:space="preserve"> </w:t>
      </w:r>
      <w:r w:rsidRPr="0052733B">
        <w:rPr>
          <w:rFonts w:ascii="Book Antiqua" w:hAnsi="Book Antiqua" w:cs="宋体"/>
          <w:i/>
          <w:color w:val="000000"/>
          <w:lang w:val="en-US" w:eastAsia="zh-CN"/>
        </w:rPr>
        <w:t>Med</w:t>
      </w:r>
      <w:r w:rsidRPr="0052733B">
        <w:rPr>
          <w:rFonts w:ascii="Book Antiqua" w:hAnsi="Book Antiqua" w:cs="宋体" w:hint="eastAsia"/>
          <w:i/>
          <w:color w:val="000000"/>
          <w:lang w:val="en-US" w:eastAsia="zh-CN"/>
        </w:rPr>
        <w:t xml:space="preserve"> </w:t>
      </w:r>
      <w:proofErr w:type="spellStart"/>
      <w:r w:rsidRPr="0052733B">
        <w:rPr>
          <w:rFonts w:ascii="Book Antiqua" w:hAnsi="Book Antiqua" w:cs="宋体"/>
          <w:i/>
          <w:color w:val="000000"/>
          <w:lang w:val="en-US" w:eastAsia="zh-CN"/>
        </w:rPr>
        <w:t>Sc</w:t>
      </w:r>
      <w:r w:rsidRPr="0052733B">
        <w:rPr>
          <w:rFonts w:ascii="Book Antiqua" w:hAnsi="Book Antiqua" w:cs="宋体" w:hint="eastAsia"/>
          <w:i/>
          <w:color w:val="000000"/>
          <w:lang w:val="en-US" w:eastAsia="zh-CN"/>
        </w:rPr>
        <w:t>i</w:t>
      </w:r>
      <w:proofErr w:type="spellEnd"/>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 xml:space="preserve">1939; </w:t>
      </w:r>
      <w:r w:rsidRPr="0052733B">
        <w:rPr>
          <w:rFonts w:ascii="Book Antiqua" w:hAnsi="Book Antiqua" w:cs="宋体"/>
          <w:b/>
          <w:color w:val="000000"/>
          <w:lang w:val="en-US" w:eastAsia="zh-CN"/>
        </w:rPr>
        <w:t>197</w:t>
      </w:r>
      <w:r w:rsidRPr="0052733B">
        <w:rPr>
          <w:rFonts w:ascii="Book Antiqua" w:hAnsi="Book Antiqua" w:cs="宋体"/>
          <w:color w:val="000000"/>
          <w:lang w:val="en-US" w:eastAsia="zh-CN"/>
        </w:rPr>
        <w:t>:</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222</w:t>
      </w:r>
      <w:r w:rsidRPr="0052733B">
        <w:rPr>
          <w:rFonts w:ascii="Book Antiqua" w:hAnsi="Book Antiqua" w:cs="宋体" w:hint="eastAsia"/>
          <w:color w:val="000000"/>
          <w:lang w:val="en-US" w:eastAsia="zh-CN"/>
        </w:rPr>
        <w:t>-</w:t>
      </w:r>
      <w:proofErr w:type="gramStart"/>
      <w:r w:rsidRPr="0052733B">
        <w:rPr>
          <w:rFonts w:ascii="Book Antiqua" w:hAnsi="Book Antiqua" w:cs="宋体"/>
          <w:color w:val="000000"/>
          <w:lang w:val="en-US" w:eastAsia="zh-CN"/>
        </w:rPr>
        <w:t>232</w:t>
      </w:r>
      <w:proofErr w:type="gramEnd"/>
    </w:p>
    <w:p w14:paraId="7CA1C482"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61 </w:t>
      </w:r>
      <w:proofErr w:type="spellStart"/>
      <w:r w:rsidRPr="0052733B">
        <w:rPr>
          <w:rFonts w:ascii="Book Antiqua" w:hAnsi="Book Antiqua" w:cs="宋体"/>
          <w:b/>
          <w:bCs/>
          <w:color w:val="000000"/>
          <w:lang w:val="en-US" w:eastAsia="zh-CN"/>
        </w:rPr>
        <w:t>Mirvish</w:t>
      </w:r>
      <w:proofErr w:type="spellEnd"/>
      <w:r w:rsidRPr="0052733B">
        <w:rPr>
          <w:rFonts w:ascii="Book Antiqua" w:hAnsi="Book Antiqua" w:cs="宋体"/>
          <w:b/>
          <w:bCs/>
          <w:color w:val="000000"/>
          <w:lang w:val="en-US" w:eastAsia="zh-CN"/>
        </w:rPr>
        <w:t xml:space="preserve"> SS</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Wallcave</w:t>
      </w:r>
      <w:proofErr w:type="spellEnd"/>
      <w:r w:rsidRPr="0052733B">
        <w:rPr>
          <w:rFonts w:ascii="Book Antiqua" w:hAnsi="Book Antiqua" w:cs="宋体"/>
          <w:color w:val="000000"/>
          <w:lang w:val="en-US" w:eastAsia="zh-CN"/>
        </w:rPr>
        <w:t xml:space="preserve"> L, </w:t>
      </w:r>
      <w:proofErr w:type="spellStart"/>
      <w:r w:rsidRPr="0052733B">
        <w:rPr>
          <w:rFonts w:ascii="Book Antiqua" w:hAnsi="Book Antiqua" w:cs="宋体"/>
          <w:color w:val="000000"/>
          <w:lang w:val="en-US" w:eastAsia="zh-CN"/>
        </w:rPr>
        <w:t>Eagen</w:t>
      </w:r>
      <w:proofErr w:type="spellEnd"/>
      <w:r w:rsidRPr="0052733B">
        <w:rPr>
          <w:rFonts w:ascii="Book Antiqua" w:hAnsi="Book Antiqua" w:cs="宋体"/>
          <w:color w:val="000000"/>
          <w:lang w:val="en-US" w:eastAsia="zh-CN"/>
        </w:rPr>
        <w:t xml:space="preserve"> M, </w:t>
      </w:r>
      <w:proofErr w:type="spellStart"/>
      <w:r w:rsidRPr="0052733B">
        <w:rPr>
          <w:rFonts w:ascii="Book Antiqua" w:hAnsi="Book Antiqua" w:cs="宋体"/>
          <w:color w:val="000000"/>
          <w:lang w:val="en-US" w:eastAsia="zh-CN"/>
        </w:rPr>
        <w:t>Shubik</w:t>
      </w:r>
      <w:proofErr w:type="spellEnd"/>
      <w:r w:rsidRPr="0052733B">
        <w:rPr>
          <w:rFonts w:ascii="Book Antiqua" w:hAnsi="Book Antiqua" w:cs="宋体"/>
          <w:color w:val="000000"/>
          <w:lang w:val="en-US" w:eastAsia="zh-CN"/>
        </w:rPr>
        <w:t xml:space="preserve"> P. </w:t>
      </w:r>
      <w:proofErr w:type="spellStart"/>
      <w:r w:rsidRPr="0052733B">
        <w:rPr>
          <w:rFonts w:ascii="Book Antiqua" w:hAnsi="Book Antiqua" w:cs="宋体"/>
          <w:color w:val="000000"/>
          <w:lang w:val="en-US" w:eastAsia="zh-CN"/>
        </w:rPr>
        <w:t>Ascorbate</w:t>
      </w:r>
      <w:proofErr w:type="spellEnd"/>
      <w:r w:rsidRPr="0052733B">
        <w:rPr>
          <w:rFonts w:ascii="Book Antiqua" w:hAnsi="Book Antiqua" w:cs="宋体"/>
          <w:color w:val="000000"/>
          <w:lang w:val="en-US" w:eastAsia="zh-CN"/>
        </w:rPr>
        <w:t>-nitrite reaction: possible means of blocking the formation of carcinogenic N-</w:t>
      </w:r>
      <w:proofErr w:type="spellStart"/>
      <w:r w:rsidRPr="0052733B">
        <w:rPr>
          <w:rFonts w:ascii="Book Antiqua" w:hAnsi="Book Antiqua" w:cs="宋体"/>
          <w:color w:val="000000"/>
          <w:lang w:val="en-US" w:eastAsia="zh-CN"/>
        </w:rPr>
        <w:t>nitroso</w:t>
      </w:r>
      <w:proofErr w:type="spellEnd"/>
      <w:r w:rsidRPr="0052733B">
        <w:rPr>
          <w:rFonts w:ascii="Book Antiqua" w:hAnsi="Book Antiqua" w:cs="宋体"/>
          <w:color w:val="000000"/>
          <w:lang w:val="en-US" w:eastAsia="zh-CN"/>
        </w:rPr>
        <w:t xml:space="preserve"> compounds.</w:t>
      </w:r>
      <w:r w:rsidRPr="0052733B">
        <w:rPr>
          <w:rFonts w:ascii="Book Antiqua" w:hAnsi="Book Antiqua" w:cs="宋体" w:hint="eastAsia"/>
          <w:color w:val="000000"/>
          <w:lang w:val="en-US" w:eastAsia="zh-CN"/>
        </w:rPr>
        <w:t xml:space="preserve"> </w:t>
      </w:r>
      <w:r w:rsidRPr="0052733B">
        <w:rPr>
          <w:rFonts w:ascii="Book Antiqua" w:hAnsi="Book Antiqua" w:cs="宋体"/>
          <w:i/>
          <w:iCs/>
          <w:color w:val="000000"/>
          <w:lang w:val="en-US" w:eastAsia="zh-CN"/>
        </w:rPr>
        <w:t>Science</w:t>
      </w:r>
      <w:r w:rsidRPr="0052733B">
        <w:rPr>
          <w:rFonts w:ascii="Book Antiqua" w:hAnsi="Book Antiqua" w:cs="宋体" w:hint="eastAsia"/>
          <w:color w:val="000000"/>
          <w:lang w:val="en-US" w:eastAsia="zh-CN"/>
        </w:rPr>
        <w:t xml:space="preserve"> </w:t>
      </w:r>
      <w:r w:rsidRPr="0052733B">
        <w:rPr>
          <w:rFonts w:ascii="Book Antiqua" w:hAnsi="Book Antiqua" w:cs="宋体"/>
          <w:color w:val="000000"/>
          <w:lang w:val="en-US" w:eastAsia="zh-CN"/>
        </w:rPr>
        <w:t>1972; </w:t>
      </w:r>
      <w:r w:rsidRPr="0052733B">
        <w:rPr>
          <w:rFonts w:ascii="Book Antiqua" w:hAnsi="Book Antiqua" w:cs="宋体"/>
          <w:b/>
          <w:bCs/>
          <w:color w:val="000000"/>
          <w:lang w:val="en-US" w:eastAsia="zh-CN"/>
        </w:rPr>
        <w:t>177</w:t>
      </w:r>
      <w:r w:rsidRPr="0052733B">
        <w:rPr>
          <w:rFonts w:ascii="Book Antiqua" w:hAnsi="Book Antiqua" w:cs="宋体"/>
          <w:color w:val="000000"/>
          <w:lang w:val="en-US" w:eastAsia="zh-CN"/>
        </w:rPr>
        <w:t>: 65-68 [PMID: 5041776 DOI: 10.1126/science.177.4043.65]</w:t>
      </w:r>
    </w:p>
    <w:p w14:paraId="64FCBC77"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62 </w:t>
      </w:r>
      <w:proofErr w:type="spellStart"/>
      <w:r w:rsidRPr="0052733B">
        <w:rPr>
          <w:rFonts w:ascii="Book Antiqua" w:hAnsi="Book Antiqua" w:cs="宋体"/>
          <w:b/>
          <w:bCs/>
          <w:color w:val="000000"/>
          <w:lang w:val="en-US" w:eastAsia="zh-CN"/>
        </w:rPr>
        <w:t>Mirvish</w:t>
      </w:r>
      <w:proofErr w:type="spellEnd"/>
      <w:r w:rsidRPr="0052733B">
        <w:rPr>
          <w:rFonts w:ascii="Book Antiqua" w:hAnsi="Book Antiqua" w:cs="宋体"/>
          <w:b/>
          <w:bCs/>
          <w:color w:val="000000"/>
          <w:lang w:val="en-US" w:eastAsia="zh-CN"/>
        </w:rPr>
        <w:t xml:space="preserve"> SS</w:t>
      </w:r>
      <w:r w:rsidRPr="0052733B">
        <w:rPr>
          <w:rFonts w:ascii="Book Antiqua" w:hAnsi="Book Antiqua" w:cs="宋体"/>
          <w:color w:val="000000"/>
          <w:lang w:val="en-US" w:eastAsia="zh-CN"/>
        </w:rPr>
        <w:t xml:space="preserve">. Inhibition by vitamins C and E of in vivo </w:t>
      </w:r>
      <w:proofErr w:type="spellStart"/>
      <w:r w:rsidRPr="0052733B">
        <w:rPr>
          <w:rFonts w:ascii="Book Antiqua" w:hAnsi="Book Antiqua" w:cs="宋体"/>
          <w:color w:val="000000"/>
          <w:lang w:val="en-US" w:eastAsia="zh-CN"/>
        </w:rPr>
        <w:t>nitrosation</w:t>
      </w:r>
      <w:proofErr w:type="spellEnd"/>
      <w:r w:rsidRPr="0052733B">
        <w:rPr>
          <w:rFonts w:ascii="Book Antiqua" w:hAnsi="Book Antiqua" w:cs="宋体"/>
          <w:color w:val="000000"/>
          <w:lang w:val="en-US" w:eastAsia="zh-CN"/>
        </w:rPr>
        <w:t xml:space="preserve"> and vitamin C occurrence in the stomach. </w:t>
      </w:r>
      <w:proofErr w:type="spellStart"/>
      <w:r w:rsidRPr="0052733B">
        <w:rPr>
          <w:rFonts w:ascii="Book Antiqua" w:hAnsi="Book Antiqua" w:cs="宋体"/>
          <w:i/>
          <w:iCs/>
          <w:color w:val="000000"/>
          <w:lang w:val="en-US" w:eastAsia="zh-CN"/>
        </w:rPr>
        <w:t>Eur</w:t>
      </w:r>
      <w:proofErr w:type="spellEnd"/>
      <w:r w:rsidRPr="0052733B">
        <w:rPr>
          <w:rFonts w:ascii="Book Antiqua" w:hAnsi="Book Antiqua" w:cs="宋体"/>
          <w:i/>
          <w:iCs/>
          <w:color w:val="000000"/>
          <w:lang w:val="en-US" w:eastAsia="zh-CN"/>
        </w:rPr>
        <w:t xml:space="preserve"> J Cancer </w:t>
      </w:r>
      <w:proofErr w:type="spellStart"/>
      <w:r w:rsidRPr="0052733B">
        <w:rPr>
          <w:rFonts w:ascii="Book Antiqua" w:hAnsi="Book Antiqua" w:cs="宋体"/>
          <w:i/>
          <w:iCs/>
          <w:color w:val="000000"/>
          <w:lang w:val="en-US" w:eastAsia="zh-CN"/>
        </w:rPr>
        <w:t>Prev</w:t>
      </w:r>
      <w:proofErr w:type="spellEnd"/>
      <w:r w:rsidRPr="0052733B">
        <w:rPr>
          <w:rFonts w:ascii="Book Antiqua" w:hAnsi="Book Antiqua" w:cs="宋体"/>
          <w:color w:val="000000"/>
          <w:lang w:val="en-US" w:eastAsia="zh-CN"/>
        </w:rPr>
        <w:t> 1996; </w:t>
      </w:r>
      <w:r w:rsidRPr="0052733B">
        <w:rPr>
          <w:rFonts w:ascii="Book Antiqua" w:hAnsi="Book Antiqua" w:cs="宋体"/>
          <w:b/>
          <w:bCs/>
          <w:color w:val="000000"/>
          <w:lang w:val="en-US" w:eastAsia="zh-CN"/>
        </w:rPr>
        <w:t>5</w:t>
      </w:r>
      <w:r w:rsidRPr="00BB240F">
        <w:rPr>
          <w:rFonts w:ascii="Book Antiqua" w:hAnsi="Book Antiqua" w:cs="宋体"/>
          <w:bCs/>
          <w:color w:val="000000"/>
          <w:lang w:val="en-US" w:eastAsia="zh-CN"/>
        </w:rPr>
        <w:t xml:space="preserve"> </w:t>
      </w:r>
      <w:proofErr w:type="spellStart"/>
      <w:r w:rsidRPr="00BB240F">
        <w:rPr>
          <w:rFonts w:ascii="Book Antiqua" w:hAnsi="Book Antiqua" w:cs="宋体"/>
          <w:bCs/>
          <w:color w:val="000000"/>
          <w:lang w:val="en-US" w:eastAsia="zh-CN"/>
        </w:rPr>
        <w:t>Suppl</w:t>
      </w:r>
      <w:proofErr w:type="spellEnd"/>
      <w:r w:rsidRPr="00BB240F">
        <w:rPr>
          <w:rFonts w:ascii="Book Antiqua" w:hAnsi="Book Antiqua" w:cs="宋体"/>
          <w:bCs/>
          <w:color w:val="000000"/>
          <w:lang w:val="en-US" w:eastAsia="zh-CN"/>
        </w:rPr>
        <w:t xml:space="preserve"> 1</w:t>
      </w:r>
      <w:r w:rsidRPr="00BB240F">
        <w:rPr>
          <w:rFonts w:ascii="Book Antiqua" w:hAnsi="Book Antiqua" w:cs="宋体"/>
          <w:color w:val="000000"/>
          <w:lang w:val="en-US" w:eastAsia="zh-CN"/>
        </w:rPr>
        <w:t>:</w:t>
      </w:r>
      <w:r w:rsidRPr="0052733B">
        <w:rPr>
          <w:rFonts w:ascii="Book Antiqua" w:hAnsi="Book Antiqua" w:cs="宋体"/>
          <w:color w:val="000000"/>
          <w:lang w:val="en-US" w:eastAsia="zh-CN"/>
        </w:rPr>
        <w:t xml:space="preserve"> 131-136 [PMID: 8972308 DOI: 10.1097/00008469-199609001-00027]</w:t>
      </w:r>
    </w:p>
    <w:p w14:paraId="4ED70A34"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lastRenderedPageBreak/>
        <w:t>63 </w:t>
      </w:r>
      <w:proofErr w:type="spellStart"/>
      <w:r w:rsidRPr="0052733B">
        <w:rPr>
          <w:rFonts w:ascii="Book Antiqua" w:hAnsi="Book Antiqua" w:cs="宋体"/>
          <w:b/>
          <w:bCs/>
          <w:color w:val="000000"/>
          <w:lang w:val="en-US" w:eastAsia="zh-CN"/>
        </w:rPr>
        <w:t>Iijima</w:t>
      </w:r>
      <w:proofErr w:type="spellEnd"/>
      <w:r w:rsidRPr="0052733B">
        <w:rPr>
          <w:rFonts w:ascii="Book Antiqua" w:hAnsi="Book Antiqua" w:cs="宋体"/>
          <w:b/>
          <w:bCs/>
          <w:color w:val="000000"/>
          <w:lang w:val="en-US" w:eastAsia="zh-CN"/>
        </w:rPr>
        <w:t xml:space="preserve"> K</w:t>
      </w:r>
      <w:r w:rsidRPr="0052733B">
        <w:rPr>
          <w:rFonts w:ascii="Book Antiqua" w:hAnsi="Book Antiqua" w:cs="宋体"/>
          <w:color w:val="000000"/>
          <w:lang w:val="en-US" w:eastAsia="zh-CN"/>
        </w:rPr>
        <w:t xml:space="preserve">, Fyfe V, McColl KE. </w:t>
      </w:r>
      <w:proofErr w:type="gramStart"/>
      <w:r w:rsidRPr="0052733B">
        <w:rPr>
          <w:rFonts w:ascii="Book Antiqua" w:hAnsi="Book Antiqua" w:cs="宋体"/>
          <w:color w:val="000000"/>
          <w:lang w:val="en-US" w:eastAsia="zh-CN"/>
        </w:rPr>
        <w:t>Studies of nitric oxide generation from salivary nitrite in human gastric juice.</w:t>
      </w:r>
      <w:proofErr w:type="gramEnd"/>
      <w:r w:rsidRPr="0052733B">
        <w:rPr>
          <w:rFonts w:ascii="Book Antiqua" w:hAnsi="Book Antiqua" w:cs="宋体"/>
          <w:color w:val="000000"/>
          <w:lang w:val="en-US" w:eastAsia="zh-CN"/>
        </w:rPr>
        <w:t> </w:t>
      </w:r>
      <w:proofErr w:type="spellStart"/>
      <w:r w:rsidRPr="0052733B">
        <w:rPr>
          <w:rFonts w:ascii="Book Antiqua" w:hAnsi="Book Antiqua" w:cs="宋体"/>
          <w:i/>
          <w:iCs/>
          <w:color w:val="000000"/>
          <w:lang w:val="en-US" w:eastAsia="zh-CN"/>
        </w:rPr>
        <w:t>Scand</w:t>
      </w:r>
      <w:proofErr w:type="spellEnd"/>
      <w:r w:rsidRPr="0052733B">
        <w:rPr>
          <w:rFonts w:ascii="Book Antiqua" w:hAnsi="Book Antiqua" w:cs="宋体"/>
          <w:i/>
          <w:iCs/>
          <w:color w:val="000000"/>
          <w:lang w:val="en-US" w:eastAsia="zh-CN"/>
        </w:rPr>
        <w:t xml:space="preserve">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color w:val="000000"/>
          <w:lang w:val="en-US" w:eastAsia="zh-CN"/>
        </w:rPr>
        <w:t> 2003; </w:t>
      </w:r>
      <w:r w:rsidRPr="0052733B">
        <w:rPr>
          <w:rFonts w:ascii="Book Antiqua" w:hAnsi="Book Antiqua" w:cs="宋体"/>
          <w:b/>
          <w:bCs/>
          <w:color w:val="000000"/>
          <w:lang w:val="en-US" w:eastAsia="zh-CN"/>
        </w:rPr>
        <w:t>38</w:t>
      </w:r>
      <w:r w:rsidRPr="0052733B">
        <w:rPr>
          <w:rFonts w:ascii="Book Antiqua" w:hAnsi="Book Antiqua" w:cs="宋体"/>
          <w:color w:val="000000"/>
          <w:lang w:val="en-US" w:eastAsia="zh-CN"/>
        </w:rPr>
        <w:t>: 246-252 [PMID: 12737438]</w:t>
      </w:r>
    </w:p>
    <w:p w14:paraId="2AAF5917"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64 </w:t>
      </w:r>
      <w:proofErr w:type="spellStart"/>
      <w:r w:rsidRPr="0052733B">
        <w:rPr>
          <w:rFonts w:ascii="Book Antiqua" w:hAnsi="Book Antiqua" w:cs="宋体"/>
          <w:b/>
          <w:bCs/>
          <w:color w:val="000000"/>
          <w:lang w:val="en-US" w:eastAsia="zh-CN"/>
        </w:rPr>
        <w:t>Sipponen</w:t>
      </w:r>
      <w:proofErr w:type="spellEnd"/>
      <w:r w:rsidRPr="0052733B">
        <w:rPr>
          <w:rFonts w:ascii="Book Antiqua" w:hAnsi="Book Antiqua" w:cs="宋体"/>
          <w:b/>
          <w:bCs/>
          <w:color w:val="000000"/>
          <w:lang w:val="en-US" w:eastAsia="zh-CN"/>
        </w:rPr>
        <w:t xml:space="preserve"> P</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Härkönen</w:t>
      </w:r>
      <w:proofErr w:type="spellEnd"/>
      <w:r w:rsidRPr="0052733B">
        <w:rPr>
          <w:rFonts w:ascii="Book Antiqua" w:hAnsi="Book Antiqua" w:cs="宋体"/>
          <w:color w:val="000000"/>
          <w:lang w:val="en-US" w:eastAsia="zh-CN"/>
        </w:rPr>
        <w:t xml:space="preserve"> M. </w:t>
      </w:r>
      <w:proofErr w:type="spellStart"/>
      <w:r w:rsidRPr="0052733B">
        <w:rPr>
          <w:rFonts w:ascii="Book Antiqua" w:hAnsi="Book Antiqua" w:cs="宋体"/>
          <w:color w:val="000000"/>
          <w:lang w:val="en-US" w:eastAsia="zh-CN"/>
        </w:rPr>
        <w:t>Hypochlorhydric</w:t>
      </w:r>
      <w:proofErr w:type="spellEnd"/>
      <w:r w:rsidRPr="0052733B">
        <w:rPr>
          <w:rFonts w:ascii="Book Antiqua" w:hAnsi="Book Antiqua" w:cs="宋体"/>
          <w:color w:val="000000"/>
          <w:lang w:val="en-US" w:eastAsia="zh-CN"/>
        </w:rPr>
        <w:t xml:space="preserve"> stomach: a risk condition for calcium </w:t>
      </w:r>
      <w:proofErr w:type="spellStart"/>
      <w:r w:rsidRPr="0052733B">
        <w:rPr>
          <w:rFonts w:ascii="Book Antiqua" w:hAnsi="Book Antiqua" w:cs="宋体"/>
          <w:color w:val="000000"/>
          <w:lang w:val="en-US" w:eastAsia="zh-CN"/>
        </w:rPr>
        <w:t>malabsorption</w:t>
      </w:r>
      <w:proofErr w:type="spellEnd"/>
      <w:r w:rsidRPr="0052733B">
        <w:rPr>
          <w:rFonts w:ascii="Book Antiqua" w:hAnsi="Book Antiqua" w:cs="宋体"/>
          <w:color w:val="000000"/>
          <w:lang w:val="en-US" w:eastAsia="zh-CN"/>
        </w:rPr>
        <w:t xml:space="preserve"> and osteoporosis? </w:t>
      </w:r>
      <w:proofErr w:type="spellStart"/>
      <w:r w:rsidRPr="0052733B">
        <w:rPr>
          <w:rFonts w:ascii="Book Antiqua" w:hAnsi="Book Antiqua" w:cs="宋体"/>
          <w:i/>
          <w:iCs/>
          <w:color w:val="000000"/>
          <w:lang w:val="en-US" w:eastAsia="zh-CN"/>
        </w:rPr>
        <w:t>Scand</w:t>
      </w:r>
      <w:proofErr w:type="spellEnd"/>
      <w:r w:rsidRPr="0052733B">
        <w:rPr>
          <w:rFonts w:ascii="Book Antiqua" w:hAnsi="Book Antiqua" w:cs="宋体"/>
          <w:i/>
          <w:iCs/>
          <w:color w:val="000000"/>
          <w:lang w:val="en-US" w:eastAsia="zh-CN"/>
        </w:rPr>
        <w:t xml:space="preserve">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color w:val="000000"/>
          <w:lang w:val="en-US" w:eastAsia="zh-CN"/>
        </w:rPr>
        <w:t> 2010; </w:t>
      </w:r>
      <w:r w:rsidRPr="0052733B">
        <w:rPr>
          <w:rFonts w:ascii="Book Antiqua" w:hAnsi="Book Antiqua" w:cs="宋体"/>
          <w:b/>
          <w:bCs/>
          <w:color w:val="000000"/>
          <w:lang w:val="en-US" w:eastAsia="zh-CN"/>
        </w:rPr>
        <w:t>45</w:t>
      </w:r>
      <w:r w:rsidRPr="0052733B">
        <w:rPr>
          <w:rFonts w:ascii="Book Antiqua" w:hAnsi="Book Antiqua" w:cs="宋体"/>
          <w:color w:val="000000"/>
          <w:lang w:val="en-US" w:eastAsia="zh-CN"/>
        </w:rPr>
        <w:t>: 133-138 [PMID: 19958055 DOI: 10.3109/00365520903434117]</w:t>
      </w:r>
    </w:p>
    <w:p w14:paraId="23F985EC"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65 </w:t>
      </w:r>
      <w:r w:rsidRPr="0052733B">
        <w:rPr>
          <w:rFonts w:ascii="Book Antiqua" w:hAnsi="Book Antiqua" w:cs="宋体"/>
          <w:b/>
          <w:bCs/>
          <w:color w:val="000000"/>
          <w:lang w:val="en-US" w:eastAsia="zh-CN"/>
        </w:rPr>
        <w:t>Miller DD</w:t>
      </w:r>
      <w:r w:rsidRPr="0052733B">
        <w:rPr>
          <w:rFonts w:ascii="Book Antiqua" w:hAnsi="Book Antiqua" w:cs="宋体"/>
          <w:color w:val="000000"/>
          <w:lang w:val="en-US" w:eastAsia="zh-CN"/>
        </w:rPr>
        <w:t>. Calcium in the diet: food sources, recommended intakes, and nutritional bioavailability. </w:t>
      </w:r>
      <w:proofErr w:type="spellStart"/>
      <w:r w:rsidRPr="0052733B">
        <w:rPr>
          <w:rFonts w:ascii="Book Antiqua" w:hAnsi="Book Antiqua" w:cs="宋体"/>
          <w:i/>
          <w:iCs/>
          <w:color w:val="000000"/>
          <w:lang w:val="en-US" w:eastAsia="zh-CN"/>
        </w:rPr>
        <w:t>Adv</w:t>
      </w:r>
      <w:proofErr w:type="spellEnd"/>
      <w:r w:rsidRPr="0052733B">
        <w:rPr>
          <w:rFonts w:ascii="Book Antiqua" w:hAnsi="Book Antiqua" w:cs="宋体"/>
          <w:i/>
          <w:iCs/>
          <w:color w:val="000000"/>
          <w:lang w:val="en-US" w:eastAsia="zh-CN"/>
        </w:rPr>
        <w:t xml:space="preserve"> Food </w:t>
      </w:r>
      <w:proofErr w:type="spellStart"/>
      <w:r w:rsidRPr="0052733B">
        <w:rPr>
          <w:rFonts w:ascii="Book Antiqua" w:hAnsi="Book Antiqua" w:cs="宋体"/>
          <w:i/>
          <w:iCs/>
          <w:color w:val="000000"/>
          <w:lang w:val="en-US" w:eastAsia="zh-CN"/>
        </w:rPr>
        <w:t>Nutr</w:t>
      </w:r>
      <w:proofErr w:type="spellEnd"/>
      <w:r w:rsidRPr="0052733B">
        <w:rPr>
          <w:rFonts w:ascii="Book Antiqua" w:hAnsi="Book Antiqua" w:cs="宋体"/>
          <w:i/>
          <w:iCs/>
          <w:color w:val="000000"/>
          <w:lang w:val="en-US" w:eastAsia="zh-CN"/>
        </w:rPr>
        <w:t xml:space="preserve"> Res</w:t>
      </w:r>
      <w:r w:rsidRPr="0052733B">
        <w:rPr>
          <w:rFonts w:ascii="Book Antiqua" w:hAnsi="Book Antiqua" w:cs="宋体"/>
          <w:color w:val="000000"/>
          <w:lang w:val="en-US" w:eastAsia="zh-CN"/>
        </w:rPr>
        <w:t> 1989; </w:t>
      </w:r>
      <w:r w:rsidRPr="0052733B">
        <w:rPr>
          <w:rFonts w:ascii="Book Antiqua" w:hAnsi="Book Antiqua" w:cs="宋体"/>
          <w:b/>
          <w:bCs/>
          <w:color w:val="000000"/>
          <w:lang w:val="en-US" w:eastAsia="zh-CN"/>
        </w:rPr>
        <w:t>33</w:t>
      </w:r>
      <w:r w:rsidRPr="0052733B">
        <w:rPr>
          <w:rFonts w:ascii="Book Antiqua" w:hAnsi="Book Antiqua" w:cs="宋体"/>
          <w:color w:val="000000"/>
          <w:lang w:val="en-US" w:eastAsia="zh-CN"/>
        </w:rPr>
        <w:t>: 103-156 [PMID: 2697231 DOI: 10.1016/S1043-4526(08)60127-8]</w:t>
      </w:r>
    </w:p>
    <w:p w14:paraId="36937BE9"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66 </w:t>
      </w:r>
      <w:proofErr w:type="spellStart"/>
      <w:r w:rsidRPr="0052733B">
        <w:rPr>
          <w:rFonts w:ascii="Book Antiqua" w:hAnsi="Book Antiqua" w:cs="宋体"/>
          <w:b/>
          <w:bCs/>
          <w:color w:val="000000"/>
          <w:lang w:val="en-US" w:eastAsia="zh-CN"/>
        </w:rPr>
        <w:t>Recker</w:t>
      </w:r>
      <w:proofErr w:type="spellEnd"/>
      <w:r w:rsidRPr="0052733B">
        <w:rPr>
          <w:rFonts w:ascii="Book Antiqua" w:hAnsi="Book Antiqua" w:cs="宋体"/>
          <w:b/>
          <w:bCs/>
          <w:color w:val="000000"/>
          <w:lang w:val="en-US" w:eastAsia="zh-CN"/>
        </w:rPr>
        <w:t xml:space="preserve"> RR</w:t>
      </w:r>
      <w:r w:rsidRPr="0052733B">
        <w:rPr>
          <w:rFonts w:ascii="Book Antiqua" w:hAnsi="Book Antiqua" w:cs="宋体"/>
          <w:color w:val="000000"/>
          <w:lang w:val="en-US" w:eastAsia="zh-CN"/>
        </w:rPr>
        <w:t>.</w:t>
      </w:r>
      <w:proofErr w:type="gramEnd"/>
      <w:r w:rsidRPr="0052733B">
        <w:rPr>
          <w:rFonts w:ascii="Book Antiqua" w:hAnsi="Book Antiqua" w:cs="宋体"/>
          <w:color w:val="000000"/>
          <w:lang w:val="en-US" w:eastAsia="zh-CN"/>
        </w:rPr>
        <w:t xml:space="preserve"> </w:t>
      </w:r>
      <w:proofErr w:type="gramStart"/>
      <w:r w:rsidRPr="0052733B">
        <w:rPr>
          <w:rFonts w:ascii="Book Antiqua" w:hAnsi="Book Antiqua" w:cs="宋体"/>
          <w:color w:val="000000"/>
          <w:lang w:val="en-US" w:eastAsia="zh-CN"/>
        </w:rPr>
        <w:t xml:space="preserve">Calcium absorption and </w:t>
      </w:r>
      <w:proofErr w:type="spellStart"/>
      <w:r w:rsidRPr="0052733B">
        <w:rPr>
          <w:rFonts w:ascii="Book Antiqua" w:hAnsi="Book Antiqua" w:cs="宋体"/>
          <w:color w:val="000000"/>
          <w:lang w:val="en-US" w:eastAsia="zh-CN"/>
        </w:rPr>
        <w:t>achlorhydria</w:t>
      </w:r>
      <w:proofErr w:type="spellEnd"/>
      <w:r w:rsidRPr="0052733B">
        <w:rPr>
          <w:rFonts w:ascii="Book Antiqua" w:hAnsi="Book Antiqua" w:cs="宋体"/>
          <w:color w:val="000000"/>
          <w:lang w:val="en-US" w:eastAsia="zh-CN"/>
        </w:rPr>
        <w:t>.</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N </w:t>
      </w:r>
      <w:proofErr w:type="spellStart"/>
      <w:r w:rsidRPr="0052733B">
        <w:rPr>
          <w:rFonts w:ascii="Book Antiqua" w:hAnsi="Book Antiqua" w:cs="宋体"/>
          <w:i/>
          <w:iCs/>
          <w:color w:val="000000"/>
          <w:lang w:val="en-US" w:eastAsia="zh-CN"/>
        </w:rPr>
        <w:t>Engl</w:t>
      </w:r>
      <w:proofErr w:type="spellEnd"/>
      <w:r w:rsidRPr="0052733B">
        <w:rPr>
          <w:rFonts w:ascii="Book Antiqua" w:hAnsi="Book Antiqua" w:cs="宋体"/>
          <w:i/>
          <w:iCs/>
          <w:color w:val="000000"/>
          <w:lang w:val="en-US" w:eastAsia="zh-CN"/>
        </w:rPr>
        <w:t xml:space="preserve"> J Med</w:t>
      </w:r>
      <w:r w:rsidRPr="0052733B">
        <w:rPr>
          <w:rFonts w:ascii="Book Antiqua" w:hAnsi="Book Antiqua" w:cs="宋体"/>
          <w:color w:val="000000"/>
          <w:lang w:val="en-US" w:eastAsia="zh-CN"/>
        </w:rPr>
        <w:t> 1985; </w:t>
      </w:r>
      <w:r w:rsidRPr="0052733B">
        <w:rPr>
          <w:rFonts w:ascii="Book Antiqua" w:hAnsi="Book Antiqua" w:cs="宋体"/>
          <w:b/>
          <w:bCs/>
          <w:color w:val="000000"/>
          <w:lang w:val="en-US" w:eastAsia="zh-CN"/>
        </w:rPr>
        <w:t>313</w:t>
      </w:r>
      <w:r w:rsidRPr="0052733B">
        <w:rPr>
          <w:rFonts w:ascii="Book Antiqua" w:hAnsi="Book Antiqua" w:cs="宋体"/>
          <w:color w:val="000000"/>
          <w:lang w:val="en-US" w:eastAsia="zh-CN"/>
        </w:rPr>
        <w:t>: 70-73 [PMID: 4000241 DOI: 10.1056/NEJM198507113130202]</w:t>
      </w:r>
    </w:p>
    <w:p w14:paraId="530576EE"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67 </w:t>
      </w:r>
      <w:r w:rsidRPr="0052733B">
        <w:rPr>
          <w:rFonts w:ascii="Book Antiqua" w:hAnsi="Book Antiqua" w:cs="宋体"/>
          <w:b/>
          <w:bCs/>
          <w:color w:val="000000"/>
          <w:lang w:val="en-US" w:eastAsia="zh-CN"/>
        </w:rPr>
        <w:t>Goss SL</w:t>
      </w:r>
      <w:r w:rsidRPr="0052733B">
        <w:rPr>
          <w:rFonts w:ascii="Book Antiqua" w:hAnsi="Book Antiqua" w:cs="宋体"/>
          <w:color w:val="000000"/>
          <w:lang w:val="en-US" w:eastAsia="zh-CN"/>
        </w:rPr>
        <w:t xml:space="preserve">, Lemons KA, </w:t>
      </w:r>
      <w:proofErr w:type="spellStart"/>
      <w:r w:rsidRPr="0052733B">
        <w:rPr>
          <w:rFonts w:ascii="Book Antiqua" w:hAnsi="Book Antiqua" w:cs="宋体"/>
          <w:color w:val="000000"/>
          <w:lang w:val="en-US" w:eastAsia="zh-CN"/>
        </w:rPr>
        <w:t>Kerstetter</w:t>
      </w:r>
      <w:proofErr w:type="spellEnd"/>
      <w:r w:rsidRPr="0052733B">
        <w:rPr>
          <w:rFonts w:ascii="Book Antiqua" w:hAnsi="Book Antiqua" w:cs="宋体"/>
          <w:color w:val="000000"/>
          <w:lang w:val="en-US" w:eastAsia="zh-CN"/>
        </w:rPr>
        <w:t xml:space="preserve"> JE, </w:t>
      </w:r>
      <w:proofErr w:type="spellStart"/>
      <w:r w:rsidRPr="0052733B">
        <w:rPr>
          <w:rFonts w:ascii="Book Antiqua" w:hAnsi="Book Antiqua" w:cs="宋体"/>
          <w:color w:val="000000"/>
          <w:lang w:val="en-US" w:eastAsia="zh-CN"/>
        </w:rPr>
        <w:t>Bogner</w:t>
      </w:r>
      <w:proofErr w:type="spellEnd"/>
      <w:r w:rsidRPr="0052733B">
        <w:rPr>
          <w:rFonts w:ascii="Book Antiqua" w:hAnsi="Book Antiqua" w:cs="宋体"/>
          <w:color w:val="000000"/>
          <w:lang w:val="en-US" w:eastAsia="zh-CN"/>
        </w:rPr>
        <w:t xml:space="preserve"> RH. Determination of calcium salt solubility with changes in pH and </w:t>
      </w:r>
      <w:proofErr w:type="gramStart"/>
      <w:r w:rsidRPr="0052733B">
        <w:rPr>
          <w:rFonts w:ascii="Book Antiqua" w:hAnsi="Book Antiqua" w:cs="宋体"/>
          <w:color w:val="000000"/>
          <w:lang w:val="en-US" w:eastAsia="zh-CN"/>
        </w:rPr>
        <w:t>P(</w:t>
      </w:r>
      <w:proofErr w:type="gramEnd"/>
      <w:r w:rsidRPr="0052733B">
        <w:rPr>
          <w:rFonts w:ascii="Book Antiqua" w:hAnsi="Book Antiqua" w:cs="宋体"/>
          <w:color w:val="000000"/>
          <w:lang w:val="en-US" w:eastAsia="zh-CN"/>
        </w:rPr>
        <w:t>CO(2)), simulating varying gastrointestinal environments. </w:t>
      </w:r>
      <w:r w:rsidRPr="0052733B">
        <w:rPr>
          <w:rFonts w:ascii="Book Antiqua" w:hAnsi="Book Antiqua" w:cs="宋体"/>
          <w:i/>
          <w:iCs/>
          <w:color w:val="000000"/>
          <w:lang w:val="en-US" w:eastAsia="zh-CN"/>
        </w:rPr>
        <w:t xml:space="preserve">J Pharm </w:t>
      </w:r>
      <w:proofErr w:type="spellStart"/>
      <w:r w:rsidRPr="0052733B">
        <w:rPr>
          <w:rFonts w:ascii="Book Antiqua" w:hAnsi="Book Antiqua" w:cs="宋体"/>
          <w:i/>
          <w:iCs/>
          <w:color w:val="000000"/>
          <w:lang w:val="en-US" w:eastAsia="zh-CN"/>
        </w:rPr>
        <w:t>Pharmacol</w:t>
      </w:r>
      <w:proofErr w:type="spellEnd"/>
      <w:r w:rsidRPr="0052733B">
        <w:rPr>
          <w:rFonts w:ascii="Book Antiqua" w:hAnsi="Book Antiqua" w:cs="宋体"/>
          <w:color w:val="000000"/>
          <w:lang w:val="en-US" w:eastAsia="zh-CN"/>
        </w:rPr>
        <w:t> 2007; </w:t>
      </w:r>
      <w:r w:rsidRPr="0052733B">
        <w:rPr>
          <w:rFonts w:ascii="Book Antiqua" w:hAnsi="Book Antiqua" w:cs="宋体"/>
          <w:b/>
          <w:bCs/>
          <w:color w:val="000000"/>
          <w:lang w:val="en-US" w:eastAsia="zh-CN"/>
        </w:rPr>
        <w:t>59</w:t>
      </w:r>
      <w:r w:rsidRPr="0052733B">
        <w:rPr>
          <w:rFonts w:ascii="Book Antiqua" w:hAnsi="Book Antiqua" w:cs="宋体"/>
          <w:color w:val="000000"/>
          <w:lang w:val="en-US" w:eastAsia="zh-CN"/>
        </w:rPr>
        <w:t>: 1485-1492 [PMID: 17976258 DOI: 10.1211/jpp.59.11.0004]</w:t>
      </w:r>
    </w:p>
    <w:p w14:paraId="13B067C6"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68 </w:t>
      </w:r>
      <w:proofErr w:type="spellStart"/>
      <w:r w:rsidRPr="0052733B">
        <w:rPr>
          <w:rFonts w:ascii="Book Antiqua" w:hAnsi="Book Antiqua" w:cs="宋体"/>
          <w:b/>
          <w:bCs/>
          <w:color w:val="000000"/>
          <w:lang w:val="en-US" w:eastAsia="zh-CN"/>
        </w:rPr>
        <w:t>Ivanovich</w:t>
      </w:r>
      <w:proofErr w:type="spellEnd"/>
      <w:r w:rsidRPr="0052733B">
        <w:rPr>
          <w:rFonts w:ascii="Book Antiqua" w:hAnsi="Book Antiqua" w:cs="宋体"/>
          <w:b/>
          <w:bCs/>
          <w:color w:val="000000"/>
          <w:lang w:val="en-US" w:eastAsia="zh-CN"/>
        </w:rPr>
        <w:t xml:space="preserve"> P</w:t>
      </w:r>
      <w:r w:rsidRPr="0052733B">
        <w:rPr>
          <w:rFonts w:ascii="Book Antiqua" w:hAnsi="Book Antiqua" w:cs="宋体"/>
          <w:color w:val="000000"/>
          <w:lang w:val="en-US" w:eastAsia="zh-CN"/>
        </w:rPr>
        <w:t>, Fellows H, Rich C.</w:t>
      </w:r>
      <w:proofErr w:type="gramEnd"/>
      <w:r w:rsidRPr="0052733B">
        <w:rPr>
          <w:rFonts w:ascii="Book Antiqua" w:hAnsi="Book Antiqua" w:cs="宋体"/>
          <w:color w:val="000000"/>
          <w:lang w:val="en-US" w:eastAsia="zh-CN"/>
        </w:rPr>
        <w:t xml:space="preserve"> </w:t>
      </w:r>
      <w:proofErr w:type="gramStart"/>
      <w:r w:rsidRPr="0052733B">
        <w:rPr>
          <w:rFonts w:ascii="Book Antiqua" w:hAnsi="Book Antiqua" w:cs="宋体"/>
          <w:color w:val="000000"/>
          <w:lang w:val="en-US" w:eastAsia="zh-CN"/>
        </w:rPr>
        <w:t>The absorption of calcium carbonate.</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Ann Intern Med</w:t>
      </w:r>
      <w:r w:rsidRPr="0052733B">
        <w:rPr>
          <w:rFonts w:ascii="Book Antiqua" w:hAnsi="Book Antiqua" w:cs="宋体"/>
          <w:color w:val="000000"/>
          <w:lang w:val="en-US" w:eastAsia="zh-CN"/>
        </w:rPr>
        <w:t> 1967; </w:t>
      </w:r>
      <w:r w:rsidRPr="0052733B">
        <w:rPr>
          <w:rFonts w:ascii="Book Antiqua" w:hAnsi="Book Antiqua" w:cs="宋体"/>
          <w:b/>
          <w:bCs/>
          <w:color w:val="000000"/>
          <w:lang w:val="en-US" w:eastAsia="zh-CN"/>
        </w:rPr>
        <w:t>66</w:t>
      </w:r>
      <w:r w:rsidRPr="0052733B">
        <w:rPr>
          <w:rFonts w:ascii="Book Antiqua" w:hAnsi="Book Antiqua" w:cs="宋体"/>
          <w:color w:val="000000"/>
          <w:lang w:val="en-US" w:eastAsia="zh-CN"/>
        </w:rPr>
        <w:t>: 917-923 [PMID: 6025232 DOI: 10.7326/0003-4819-66-5-917]</w:t>
      </w:r>
    </w:p>
    <w:p w14:paraId="7189CC33"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69 </w:t>
      </w:r>
      <w:proofErr w:type="spellStart"/>
      <w:r w:rsidRPr="0052733B">
        <w:rPr>
          <w:rFonts w:ascii="Book Antiqua" w:hAnsi="Book Antiqua" w:cs="宋体"/>
          <w:b/>
          <w:bCs/>
          <w:color w:val="000000"/>
          <w:lang w:val="en-US" w:eastAsia="zh-CN"/>
        </w:rPr>
        <w:t>Chonan</w:t>
      </w:r>
      <w:proofErr w:type="spellEnd"/>
      <w:r w:rsidRPr="0052733B">
        <w:rPr>
          <w:rFonts w:ascii="Book Antiqua" w:hAnsi="Book Antiqua" w:cs="宋体"/>
          <w:b/>
          <w:bCs/>
          <w:color w:val="000000"/>
          <w:lang w:val="en-US" w:eastAsia="zh-CN"/>
        </w:rPr>
        <w:t xml:space="preserve"> O</w:t>
      </w:r>
      <w:r w:rsidRPr="0052733B">
        <w:rPr>
          <w:rFonts w:ascii="Book Antiqua" w:hAnsi="Book Antiqua" w:cs="宋体"/>
          <w:color w:val="000000"/>
          <w:lang w:val="en-US" w:eastAsia="zh-CN"/>
        </w:rPr>
        <w:t xml:space="preserve">, Takahashi R, </w:t>
      </w:r>
      <w:proofErr w:type="spellStart"/>
      <w:r w:rsidRPr="0052733B">
        <w:rPr>
          <w:rFonts w:ascii="Book Antiqua" w:hAnsi="Book Antiqua" w:cs="宋体"/>
          <w:color w:val="000000"/>
          <w:lang w:val="en-US" w:eastAsia="zh-CN"/>
        </w:rPr>
        <w:t>Yasui</w:t>
      </w:r>
      <w:proofErr w:type="spellEnd"/>
      <w:r w:rsidRPr="0052733B">
        <w:rPr>
          <w:rFonts w:ascii="Book Antiqua" w:hAnsi="Book Antiqua" w:cs="宋体"/>
          <w:color w:val="000000"/>
          <w:lang w:val="en-US" w:eastAsia="zh-CN"/>
        </w:rPr>
        <w:t xml:space="preserve"> H, </w:t>
      </w:r>
      <w:proofErr w:type="spellStart"/>
      <w:r w:rsidRPr="0052733B">
        <w:rPr>
          <w:rFonts w:ascii="Book Antiqua" w:hAnsi="Book Antiqua" w:cs="宋体"/>
          <w:color w:val="000000"/>
          <w:lang w:val="en-US" w:eastAsia="zh-CN"/>
        </w:rPr>
        <w:t>Watanuki</w:t>
      </w:r>
      <w:proofErr w:type="spellEnd"/>
      <w:r w:rsidRPr="0052733B">
        <w:rPr>
          <w:rFonts w:ascii="Book Antiqua" w:hAnsi="Book Antiqua" w:cs="宋体"/>
          <w:color w:val="000000"/>
          <w:lang w:val="en-US" w:eastAsia="zh-CN"/>
        </w:rPr>
        <w:t xml:space="preserve"> M. Effect of L-lactic acid on calcium absorption in rats fed omeprazole. </w:t>
      </w:r>
      <w:r w:rsidRPr="0052733B">
        <w:rPr>
          <w:rFonts w:ascii="Book Antiqua" w:hAnsi="Book Antiqua" w:cs="宋体"/>
          <w:i/>
          <w:iCs/>
          <w:color w:val="000000"/>
          <w:lang w:val="en-US" w:eastAsia="zh-CN"/>
        </w:rPr>
        <w:t xml:space="preserve">J </w:t>
      </w:r>
      <w:proofErr w:type="spellStart"/>
      <w:r w:rsidRPr="0052733B">
        <w:rPr>
          <w:rFonts w:ascii="Book Antiqua" w:hAnsi="Book Antiqua" w:cs="宋体"/>
          <w:i/>
          <w:iCs/>
          <w:color w:val="000000"/>
          <w:lang w:val="en-US" w:eastAsia="zh-CN"/>
        </w:rPr>
        <w:t>Nutr</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Sci</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Vitaminol</w:t>
      </w:r>
      <w:proofErr w:type="spellEnd"/>
      <w:r w:rsidRPr="0052733B">
        <w:rPr>
          <w:rFonts w:ascii="Book Antiqua" w:hAnsi="Book Antiqua" w:cs="宋体"/>
          <w:i/>
          <w:iCs/>
          <w:color w:val="000000"/>
          <w:lang w:val="en-US" w:eastAsia="zh-CN"/>
        </w:rPr>
        <w:t xml:space="preserve"> (Tokyo)</w:t>
      </w:r>
      <w:r w:rsidRPr="0052733B">
        <w:rPr>
          <w:rFonts w:ascii="Book Antiqua" w:hAnsi="Book Antiqua" w:cs="宋体"/>
          <w:color w:val="000000"/>
          <w:lang w:val="en-US" w:eastAsia="zh-CN"/>
        </w:rPr>
        <w:t> 1998; </w:t>
      </w:r>
      <w:r w:rsidRPr="0052733B">
        <w:rPr>
          <w:rFonts w:ascii="Book Antiqua" w:hAnsi="Book Antiqua" w:cs="宋体"/>
          <w:b/>
          <w:bCs/>
          <w:color w:val="000000"/>
          <w:lang w:val="en-US" w:eastAsia="zh-CN"/>
        </w:rPr>
        <w:t>44</w:t>
      </w:r>
      <w:r w:rsidRPr="0052733B">
        <w:rPr>
          <w:rFonts w:ascii="Book Antiqua" w:hAnsi="Book Antiqua" w:cs="宋体"/>
          <w:color w:val="000000"/>
          <w:lang w:val="en-US" w:eastAsia="zh-CN"/>
        </w:rPr>
        <w:t>: 473-481 [PMID: 9742467 DOI: 10.3177/jnsv.44.473]</w:t>
      </w:r>
    </w:p>
    <w:p w14:paraId="4E6BC659"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70 </w:t>
      </w:r>
      <w:proofErr w:type="spellStart"/>
      <w:r w:rsidRPr="0052733B">
        <w:rPr>
          <w:rFonts w:ascii="Book Antiqua" w:hAnsi="Book Antiqua" w:cs="宋体"/>
          <w:b/>
          <w:bCs/>
          <w:color w:val="000000"/>
          <w:lang w:val="en-US" w:eastAsia="zh-CN"/>
        </w:rPr>
        <w:t>Chonan</w:t>
      </w:r>
      <w:proofErr w:type="spellEnd"/>
      <w:r w:rsidRPr="0052733B">
        <w:rPr>
          <w:rFonts w:ascii="Book Antiqua" w:hAnsi="Book Antiqua" w:cs="宋体"/>
          <w:b/>
          <w:bCs/>
          <w:color w:val="000000"/>
          <w:lang w:val="en-US" w:eastAsia="zh-CN"/>
        </w:rPr>
        <w:t xml:space="preserve"> O</w:t>
      </w:r>
      <w:r w:rsidRPr="0052733B">
        <w:rPr>
          <w:rFonts w:ascii="Book Antiqua" w:hAnsi="Book Antiqua" w:cs="宋体"/>
          <w:color w:val="000000"/>
          <w:lang w:val="en-US" w:eastAsia="zh-CN"/>
        </w:rPr>
        <w:t xml:space="preserve">, Takahashi R, </w:t>
      </w:r>
      <w:proofErr w:type="spellStart"/>
      <w:r w:rsidRPr="0052733B">
        <w:rPr>
          <w:rFonts w:ascii="Book Antiqua" w:hAnsi="Book Antiqua" w:cs="宋体"/>
          <w:color w:val="000000"/>
          <w:lang w:val="en-US" w:eastAsia="zh-CN"/>
        </w:rPr>
        <w:t>Yasui</w:t>
      </w:r>
      <w:proofErr w:type="spellEnd"/>
      <w:r w:rsidRPr="0052733B">
        <w:rPr>
          <w:rFonts w:ascii="Book Antiqua" w:hAnsi="Book Antiqua" w:cs="宋体"/>
          <w:color w:val="000000"/>
          <w:lang w:val="en-US" w:eastAsia="zh-CN"/>
        </w:rPr>
        <w:t xml:space="preserve"> H, </w:t>
      </w:r>
      <w:proofErr w:type="spellStart"/>
      <w:r w:rsidRPr="0052733B">
        <w:rPr>
          <w:rFonts w:ascii="Book Antiqua" w:hAnsi="Book Antiqua" w:cs="宋体"/>
          <w:color w:val="000000"/>
          <w:lang w:val="en-US" w:eastAsia="zh-CN"/>
        </w:rPr>
        <w:t>Watanuki</w:t>
      </w:r>
      <w:proofErr w:type="spellEnd"/>
      <w:r w:rsidRPr="0052733B">
        <w:rPr>
          <w:rFonts w:ascii="Book Antiqua" w:hAnsi="Book Antiqua" w:cs="宋体"/>
          <w:color w:val="000000"/>
          <w:lang w:val="en-US" w:eastAsia="zh-CN"/>
        </w:rPr>
        <w:t xml:space="preserve"> M. Effect of L-lactic acid on the absorption of calcium in </w:t>
      </w:r>
      <w:proofErr w:type="spellStart"/>
      <w:r w:rsidRPr="0052733B">
        <w:rPr>
          <w:rFonts w:ascii="Book Antiqua" w:hAnsi="Book Antiqua" w:cs="宋体"/>
          <w:color w:val="000000"/>
          <w:lang w:val="en-US" w:eastAsia="zh-CN"/>
        </w:rPr>
        <w:t>gastrectomized</w:t>
      </w:r>
      <w:proofErr w:type="spellEnd"/>
      <w:r w:rsidRPr="0052733B">
        <w:rPr>
          <w:rFonts w:ascii="Book Antiqua" w:hAnsi="Book Antiqua" w:cs="宋体"/>
          <w:color w:val="000000"/>
          <w:lang w:val="en-US" w:eastAsia="zh-CN"/>
        </w:rPr>
        <w:t xml:space="preserve"> rats. </w:t>
      </w:r>
      <w:r w:rsidRPr="0052733B">
        <w:rPr>
          <w:rFonts w:ascii="Book Antiqua" w:hAnsi="Book Antiqua" w:cs="宋体"/>
          <w:i/>
          <w:iCs/>
          <w:color w:val="000000"/>
          <w:lang w:val="en-US" w:eastAsia="zh-CN"/>
        </w:rPr>
        <w:t xml:space="preserve">J </w:t>
      </w:r>
      <w:proofErr w:type="spellStart"/>
      <w:r w:rsidRPr="0052733B">
        <w:rPr>
          <w:rFonts w:ascii="Book Antiqua" w:hAnsi="Book Antiqua" w:cs="宋体"/>
          <w:i/>
          <w:iCs/>
          <w:color w:val="000000"/>
          <w:lang w:val="en-US" w:eastAsia="zh-CN"/>
        </w:rPr>
        <w:t>Nutr</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Sci</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Vitaminol</w:t>
      </w:r>
      <w:proofErr w:type="spellEnd"/>
      <w:r w:rsidRPr="0052733B">
        <w:rPr>
          <w:rFonts w:ascii="Book Antiqua" w:hAnsi="Book Antiqua" w:cs="宋体"/>
          <w:i/>
          <w:iCs/>
          <w:color w:val="000000"/>
          <w:lang w:val="en-US" w:eastAsia="zh-CN"/>
        </w:rPr>
        <w:t xml:space="preserve"> (Tokyo)</w:t>
      </w:r>
      <w:r w:rsidRPr="0052733B">
        <w:rPr>
          <w:rFonts w:ascii="Book Antiqua" w:hAnsi="Book Antiqua" w:cs="宋体"/>
          <w:color w:val="000000"/>
          <w:lang w:val="en-US" w:eastAsia="zh-CN"/>
        </w:rPr>
        <w:t> 1998; </w:t>
      </w:r>
      <w:r w:rsidRPr="0052733B">
        <w:rPr>
          <w:rFonts w:ascii="Book Antiqua" w:hAnsi="Book Antiqua" w:cs="宋体"/>
          <w:b/>
          <w:bCs/>
          <w:color w:val="000000"/>
          <w:lang w:val="en-US" w:eastAsia="zh-CN"/>
        </w:rPr>
        <w:t>44</w:t>
      </w:r>
      <w:r w:rsidRPr="0052733B">
        <w:rPr>
          <w:rFonts w:ascii="Book Antiqua" w:hAnsi="Book Antiqua" w:cs="宋体"/>
          <w:color w:val="000000"/>
          <w:lang w:val="en-US" w:eastAsia="zh-CN"/>
        </w:rPr>
        <w:t>: 869-875 [PMID: 10197317]</w:t>
      </w:r>
    </w:p>
    <w:p w14:paraId="17A52E0F"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71 </w:t>
      </w:r>
      <w:proofErr w:type="spellStart"/>
      <w:r w:rsidRPr="0052733B">
        <w:rPr>
          <w:rFonts w:ascii="Book Antiqua" w:hAnsi="Book Antiqua" w:cs="宋体"/>
          <w:b/>
          <w:bCs/>
          <w:color w:val="000000"/>
          <w:lang w:val="en-US" w:eastAsia="zh-CN"/>
        </w:rPr>
        <w:t>Eastell</w:t>
      </w:r>
      <w:proofErr w:type="spellEnd"/>
      <w:r w:rsidRPr="0052733B">
        <w:rPr>
          <w:rFonts w:ascii="Book Antiqua" w:hAnsi="Book Antiqua" w:cs="宋体"/>
          <w:b/>
          <w:bCs/>
          <w:color w:val="000000"/>
          <w:lang w:val="en-US" w:eastAsia="zh-CN"/>
        </w:rPr>
        <w:t xml:space="preserve"> R</w:t>
      </w:r>
      <w:r w:rsidRPr="0052733B">
        <w:rPr>
          <w:rFonts w:ascii="Book Antiqua" w:hAnsi="Book Antiqua" w:cs="宋体"/>
          <w:color w:val="000000"/>
          <w:lang w:val="en-US" w:eastAsia="zh-CN"/>
        </w:rPr>
        <w:t xml:space="preserve">, Vieira NE, </w:t>
      </w:r>
      <w:proofErr w:type="spellStart"/>
      <w:r w:rsidRPr="0052733B">
        <w:rPr>
          <w:rFonts w:ascii="Book Antiqua" w:hAnsi="Book Antiqua" w:cs="宋体"/>
          <w:color w:val="000000"/>
          <w:lang w:val="en-US" w:eastAsia="zh-CN"/>
        </w:rPr>
        <w:t>Yergey</w:t>
      </w:r>
      <w:proofErr w:type="spellEnd"/>
      <w:r w:rsidRPr="0052733B">
        <w:rPr>
          <w:rFonts w:ascii="Book Antiqua" w:hAnsi="Book Antiqua" w:cs="宋体"/>
          <w:color w:val="000000"/>
          <w:lang w:val="en-US" w:eastAsia="zh-CN"/>
        </w:rPr>
        <w:t xml:space="preserve"> AL, </w:t>
      </w:r>
      <w:proofErr w:type="spellStart"/>
      <w:r w:rsidRPr="0052733B">
        <w:rPr>
          <w:rFonts w:ascii="Book Antiqua" w:hAnsi="Book Antiqua" w:cs="宋体"/>
          <w:color w:val="000000"/>
          <w:lang w:val="en-US" w:eastAsia="zh-CN"/>
        </w:rPr>
        <w:t>Wahner</w:t>
      </w:r>
      <w:proofErr w:type="spellEnd"/>
      <w:r w:rsidRPr="0052733B">
        <w:rPr>
          <w:rFonts w:ascii="Book Antiqua" w:hAnsi="Book Antiqua" w:cs="宋体"/>
          <w:color w:val="000000"/>
          <w:lang w:val="en-US" w:eastAsia="zh-CN"/>
        </w:rPr>
        <w:t xml:space="preserve"> HW, Silverstein MN, Kumar R, Riggs BL. Pernicious </w:t>
      </w:r>
      <w:proofErr w:type="spellStart"/>
      <w:r w:rsidRPr="0052733B">
        <w:rPr>
          <w:rFonts w:ascii="Book Antiqua" w:hAnsi="Book Antiqua" w:cs="宋体"/>
          <w:color w:val="000000"/>
          <w:lang w:val="en-US" w:eastAsia="zh-CN"/>
        </w:rPr>
        <w:t>anaemia</w:t>
      </w:r>
      <w:proofErr w:type="spellEnd"/>
      <w:r w:rsidRPr="0052733B">
        <w:rPr>
          <w:rFonts w:ascii="Book Antiqua" w:hAnsi="Book Antiqua" w:cs="宋体"/>
          <w:color w:val="000000"/>
          <w:lang w:val="en-US" w:eastAsia="zh-CN"/>
        </w:rPr>
        <w:t xml:space="preserve"> as a risk factor for osteoporosis. </w:t>
      </w:r>
      <w:proofErr w:type="spellStart"/>
      <w:r w:rsidRPr="0052733B">
        <w:rPr>
          <w:rFonts w:ascii="Book Antiqua" w:hAnsi="Book Antiqua" w:cs="宋体"/>
          <w:i/>
          <w:iCs/>
          <w:color w:val="000000"/>
          <w:lang w:val="en-US" w:eastAsia="zh-CN"/>
        </w:rPr>
        <w:t>Clin</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Sci</w:t>
      </w:r>
      <w:proofErr w:type="spellEnd"/>
      <w:r w:rsidRPr="0052733B">
        <w:rPr>
          <w:rFonts w:ascii="Book Antiqua" w:hAnsi="Book Antiqua" w:cs="宋体"/>
          <w:i/>
          <w:iCs/>
          <w:color w:val="000000"/>
          <w:lang w:val="en-US" w:eastAsia="zh-CN"/>
        </w:rPr>
        <w:t xml:space="preserve"> </w:t>
      </w:r>
      <w:r w:rsidRPr="00BB240F">
        <w:rPr>
          <w:rFonts w:ascii="Book Antiqua" w:hAnsi="Book Antiqua" w:cs="宋体"/>
          <w:iCs/>
          <w:color w:val="000000"/>
          <w:lang w:val="en-US" w:eastAsia="zh-CN"/>
        </w:rPr>
        <w:t>(</w:t>
      </w:r>
      <w:proofErr w:type="spellStart"/>
      <w:r w:rsidRPr="00BB240F">
        <w:rPr>
          <w:rFonts w:ascii="Book Antiqua" w:hAnsi="Book Antiqua" w:cs="宋体"/>
          <w:iCs/>
          <w:color w:val="000000"/>
          <w:lang w:val="en-US" w:eastAsia="zh-CN"/>
        </w:rPr>
        <w:t>Lond</w:t>
      </w:r>
      <w:proofErr w:type="spellEnd"/>
      <w:r w:rsidRPr="00BB240F">
        <w:rPr>
          <w:rFonts w:ascii="Book Antiqua" w:hAnsi="Book Antiqua" w:cs="宋体"/>
          <w:iCs/>
          <w:color w:val="000000"/>
          <w:lang w:val="en-US" w:eastAsia="zh-CN"/>
        </w:rPr>
        <w:t>)</w:t>
      </w:r>
      <w:r w:rsidRPr="0052733B">
        <w:rPr>
          <w:rFonts w:ascii="Book Antiqua" w:hAnsi="Book Antiqua" w:cs="宋体"/>
          <w:color w:val="000000"/>
          <w:lang w:val="en-US" w:eastAsia="zh-CN"/>
        </w:rPr>
        <w:t> 1992; </w:t>
      </w:r>
      <w:r w:rsidRPr="0052733B">
        <w:rPr>
          <w:rFonts w:ascii="Book Antiqua" w:hAnsi="Book Antiqua" w:cs="宋体"/>
          <w:b/>
          <w:bCs/>
          <w:color w:val="000000"/>
          <w:lang w:val="en-US" w:eastAsia="zh-CN"/>
        </w:rPr>
        <w:t>82</w:t>
      </w:r>
      <w:r w:rsidRPr="0052733B">
        <w:rPr>
          <w:rFonts w:ascii="Book Antiqua" w:hAnsi="Book Antiqua" w:cs="宋体"/>
          <w:color w:val="000000"/>
          <w:lang w:val="en-US" w:eastAsia="zh-CN"/>
        </w:rPr>
        <w:t>: 681-685 [PMID: 1320549 DOI: 10.1042/cs0820681]</w:t>
      </w:r>
    </w:p>
    <w:p w14:paraId="36E4B43D"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72 </w:t>
      </w:r>
      <w:proofErr w:type="spellStart"/>
      <w:r w:rsidRPr="0052733B">
        <w:rPr>
          <w:rFonts w:ascii="Book Antiqua" w:hAnsi="Book Antiqua" w:cs="宋体"/>
          <w:b/>
          <w:bCs/>
          <w:color w:val="000000"/>
          <w:lang w:val="en-US" w:eastAsia="zh-CN"/>
        </w:rPr>
        <w:t>Goerss</w:t>
      </w:r>
      <w:proofErr w:type="spellEnd"/>
      <w:r w:rsidRPr="0052733B">
        <w:rPr>
          <w:rFonts w:ascii="Book Antiqua" w:hAnsi="Book Antiqua" w:cs="宋体"/>
          <w:b/>
          <w:bCs/>
          <w:color w:val="000000"/>
          <w:lang w:val="en-US" w:eastAsia="zh-CN"/>
        </w:rPr>
        <w:t xml:space="preserve"> JB</w:t>
      </w:r>
      <w:r w:rsidRPr="0052733B">
        <w:rPr>
          <w:rFonts w:ascii="Book Antiqua" w:hAnsi="Book Antiqua" w:cs="宋体"/>
          <w:color w:val="000000"/>
          <w:lang w:val="en-US" w:eastAsia="zh-CN"/>
        </w:rPr>
        <w:t xml:space="preserve">, Kim CH, Atkinson EJ, </w:t>
      </w:r>
      <w:proofErr w:type="spellStart"/>
      <w:r w:rsidRPr="0052733B">
        <w:rPr>
          <w:rFonts w:ascii="Book Antiqua" w:hAnsi="Book Antiqua" w:cs="宋体"/>
          <w:color w:val="000000"/>
          <w:lang w:val="en-US" w:eastAsia="zh-CN"/>
        </w:rPr>
        <w:t>Eastell</w:t>
      </w:r>
      <w:proofErr w:type="spellEnd"/>
      <w:r w:rsidRPr="0052733B">
        <w:rPr>
          <w:rFonts w:ascii="Book Antiqua" w:hAnsi="Book Antiqua" w:cs="宋体"/>
          <w:color w:val="000000"/>
          <w:lang w:val="en-US" w:eastAsia="zh-CN"/>
        </w:rPr>
        <w:t xml:space="preserve"> R, O'Fallon WM, Melton LJ. </w:t>
      </w:r>
      <w:proofErr w:type="gramStart"/>
      <w:r w:rsidRPr="0052733B">
        <w:rPr>
          <w:rFonts w:ascii="Book Antiqua" w:hAnsi="Book Antiqua" w:cs="宋体"/>
          <w:color w:val="000000"/>
          <w:lang w:val="en-US" w:eastAsia="zh-CN"/>
        </w:rPr>
        <w:t>Risk of fractures in patients with pernicious anemia.</w:t>
      </w:r>
      <w:proofErr w:type="gram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J Bone Miner Res</w:t>
      </w:r>
      <w:r w:rsidRPr="0052733B">
        <w:rPr>
          <w:rFonts w:ascii="Book Antiqua" w:hAnsi="Book Antiqua" w:cs="宋体"/>
          <w:color w:val="000000"/>
          <w:lang w:val="en-US" w:eastAsia="zh-CN"/>
        </w:rPr>
        <w:t> 1992; </w:t>
      </w:r>
      <w:r w:rsidRPr="0052733B">
        <w:rPr>
          <w:rFonts w:ascii="Book Antiqua" w:hAnsi="Book Antiqua" w:cs="宋体"/>
          <w:b/>
          <w:bCs/>
          <w:color w:val="000000"/>
          <w:lang w:val="en-US" w:eastAsia="zh-CN"/>
        </w:rPr>
        <w:t>7</w:t>
      </w:r>
      <w:r w:rsidRPr="0052733B">
        <w:rPr>
          <w:rFonts w:ascii="Book Antiqua" w:hAnsi="Book Antiqua" w:cs="宋体"/>
          <w:color w:val="000000"/>
          <w:lang w:val="en-US" w:eastAsia="zh-CN"/>
        </w:rPr>
        <w:t>: 573-579 [PMID: 1615763 DOI: 10.1002/jbmr.5650070514]</w:t>
      </w:r>
    </w:p>
    <w:p w14:paraId="7EE36A3D"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lastRenderedPageBreak/>
        <w:t>73 </w:t>
      </w:r>
      <w:proofErr w:type="spellStart"/>
      <w:r w:rsidRPr="0052733B">
        <w:rPr>
          <w:rFonts w:ascii="Book Antiqua" w:hAnsi="Book Antiqua" w:cs="宋体"/>
          <w:b/>
          <w:bCs/>
          <w:color w:val="000000"/>
          <w:lang w:val="en-US" w:eastAsia="zh-CN"/>
        </w:rPr>
        <w:t>Aasarød</w:t>
      </w:r>
      <w:proofErr w:type="spellEnd"/>
      <w:r w:rsidRPr="0052733B">
        <w:rPr>
          <w:rFonts w:ascii="Book Antiqua" w:hAnsi="Book Antiqua" w:cs="宋体"/>
          <w:b/>
          <w:bCs/>
          <w:color w:val="000000"/>
          <w:lang w:val="en-US" w:eastAsia="zh-CN"/>
        </w:rPr>
        <w:t xml:space="preserve"> KM</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Mosti</w:t>
      </w:r>
      <w:proofErr w:type="spellEnd"/>
      <w:r w:rsidRPr="0052733B">
        <w:rPr>
          <w:rFonts w:ascii="Book Antiqua" w:hAnsi="Book Antiqua" w:cs="宋体"/>
          <w:color w:val="000000"/>
          <w:lang w:val="en-US" w:eastAsia="zh-CN"/>
        </w:rPr>
        <w:t xml:space="preserve"> MP, </w:t>
      </w:r>
      <w:proofErr w:type="spellStart"/>
      <w:r w:rsidRPr="0052733B">
        <w:rPr>
          <w:rFonts w:ascii="Book Antiqua" w:hAnsi="Book Antiqua" w:cs="宋体"/>
          <w:color w:val="000000"/>
          <w:lang w:val="en-US" w:eastAsia="zh-CN"/>
        </w:rPr>
        <w:t>Stunes</w:t>
      </w:r>
      <w:proofErr w:type="spellEnd"/>
      <w:r w:rsidRPr="0052733B">
        <w:rPr>
          <w:rFonts w:ascii="Book Antiqua" w:hAnsi="Book Antiqua" w:cs="宋体"/>
          <w:color w:val="000000"/>
          <w:lang w:val="en-US" w:eastAsia="zh-CN"/>
        </w:rPr>
        <w:t xml:space="preserve"> AK, </w:t>
      </w:r>
      <w:proofErr w:type="spellStart"/>
      <w:r w:rsidRPr="0052733B">
        <w:rPr>
          <w:rFonts w:ascii="Book Antiqua" w:hAnsi="Book Antiqua" w:cs="宋体"/>
          <w:color w:val="000000"/>
          <w:lang w:val="en-US" w:eastAsia="zh-CN"/>
        </w:rPr>
        <w:t>Reseland</w:t>
      </w:r>
      <w:proofErr w:type="spellEnd"/>
      <w:r w:rsidRPr="0052733B">
        <w:rPr>
          <w:rFonts w:ascii="Book Antiqua" w:hAnsi="Book Antiqua" w:cs="宋体"/>
          <w:color w:val="000000"/>
          <w:lang w:val="en-US" w:eastAsia="zh-CN"/>
        </w:rPr>
        <w:t xml:space="preserve"> JE, Basso T, </w:t>
      </w:r>
      <w:proofErr w:type="spellStart"/>
      <w:r w:rsidRPr="0052733B">
        <w:rPr>
          <w:rFonts w:ascii="Book Antiqua" w:hAnsi="Book Antiqua" w:cs="宋体"/>
          <w:color w:val="000000"/>
          <w:lang w:val="en-US" w:eastAsia="zh-CN"/>
        </w:rPr>
        <w:t>Syversen</w:t>
      </w:r>
      <w:proofErr w:type="spellEnd"/>
      <w:r w:rsidRPr="0052733B">
        <w:rPr>
          <w:rFonts w:ascii="Book Antiqua" w:hAnsi="Book Antiqua" w:cs="宋体"/>
          <w:color w:val="000000"/>
          <w:lang w:val="en-US" w:eastAsia="zh-CN"/>
        </w:rPr>
        <w:t xml:space="preserve"> U, </w:t>
      </w:r>
      <w:proofErr w:type="spellStart"/>
      <w:r w:rsidRPr="0052733B">
        <w:rPr>
          <w:rFonts w:ascii="Book Antiqua" w:hAnsi="Book Antiqua" w:cs="宋体"/>
          <w:color w:val="000000"/>
          <w:lang w:val="en-US" w:eastAsia="zh-CN"/>
        </w:rPr>
        <w:t>Fossmark</w:t>
      </w:r>
      <w:proofErr w:type="spellEnd"/>
      <w:r w:rsidRPr="0052733B">
        <w:rPr>
          <w:rFonts w:ascii="Book Antiqua" w:hAnsi="Book Antiqua" w:cs="宋体"/>
          <w:color w:val="000000"/>
          <w:lang w:val="en-US" w:eastAsia="zh-CN"/>
        </w:rPr>
        <w:t xml:space="preserve"> R. Impaired skeletal health in patients with chronic atrophic gastritis. </w:t>
      </w:r>
      <w:proofErr w:type="spellStart"/>
      <w:r w:rsidRPr="0052733B">
        <w:rPr>
          <w:rFonts w:ascii="Book Antiqua" w:hAnsi="Book Antiqua" w:cs="宋体"/>
          <w:i/>
          <w:iCs/>
          <w:color w:val="000000"/>
          <w:lang w:val="en-US" w:eastAsia="zh-CN"/>
        </w:rPr>
        <w:t>Scand</w:t>
      </w:r>
      <w:proofErr w:type="spellEnd"/>
      <w:r w:rsidRPr="0052733B">
        <w:rPr>
          <w:rFonts w:ascii="Book Antiqua" w:hAnsi="Book Antiqua" w:cs="宋体"/>
          <w:i/>
          <w:iCs/>
          <w:color w:val="000000"/>
          <w:lang w:val="en-US" w:eastAsia="zh-CN"/>
        </w:rPr>
        <w:t xml:space="preserve">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color w:val="000000"/>
          <w:lang w:val="en-US" w:eastAsia="zh-CN"/>
        </w:rPr>
        <w:t> 2016; </w:t>
      </w:r>
      <w:r w:rsidRPr="0052733B">
        <w:rPr>
          <w:rFonts w:ascii="Book Antiqua" w:hAnsi="Book Antiqua" w:cs="宋体"/>
          <w:b/>
          <w:bCs/>
          <w:color w:val="000000"/>
          <w:lang w:val="en-US" w:eastAsia="zh-CN"/>
        </w:rPr>
        <w:t>51</w:t>
      </w:r>
      <w:r w:rsidRPr="0052733B">
        <w:rPr>
          <w:rFonts w:ascii="Book Antiqua" w:hAnsi="Book Antiqua" w:cs="宋体"/>
          <w:color w:val="000000"/>
          <w:lang w:val="en-US" w:eastAsia="zh-CN"/>
        </w:rPr>
        <w:t>: 774-781 [PMID: 26854332 DOI: 10.3109/00365521.2016.1141317]</w:t>
      </w:r>
    </w:p>
    <w:p w14:paraId="756F9D71"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74 </w:t>
      </w:r>
      <w:proofErr w:type="spellStart"/>
      <w:r w:rsidRPr="0052733B">
        <w:rPr>
          <w:rFonts w:ascii="Book Antiqua" w:hAnsi="Book Antiqua" w:cs="宋体"/>
          <w:b/>
          <w:bCs/>
          <w:color w:val="000000"/>
          <w:lang w:val="en-US" w:eastAsia="zh-CN"/>
        </w:rPr>
        <w:t>Kakehasi</w:t>
      </w:r>
      <w:proofErr w:type="spellEnd"/>
      <w:r w:rsidRPr="0052733B">
        <w:rPr>
          <w:rFonts w:ascii="Book Antiqua" w:hAnsi="Book Antiqua" w:cs="宋体"/>
          <w:b/>
          <w:bCs/>
          <w:color w:val="000000"/>
          <w:lang w:val="en-US" w:eastAsia="zh-CN"/>
        </w:rPr>
        <w:t xml:space="preserve"> AM</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Carvalho</w:t>
      </w:r>
      <w:proofErr w:type="spellEnd"/>
      <w:r w:rsidRPr="0052733B">
        <w:rPr>
          <w:rFonts w:ascii="Book Antiqua" w:hAnsi="Book Antiqua" w:cs="宋体"/>
          <w:color w:val="000000"/>
          <w:lang w:val="en-US" w:eastAsia="zh-CN"/>
        </w:rPr>
        <w:t xml:space="preserve"> AV, </w:t>
      </w:r>
      <w:proofErr w:type="spellStart"/>
      <w:r w:rsidRPr="0052733B">
        <w:rPr>
          <w:rFonts w:ascii="Book Antiqua" w:hAnsi="Book Antiqua" w:cs="宋体"/>
          <w:color w:val="000000"/>
          <w:lang w:val="en-US" w:eastAsia="zh-CN"/>
        </w:rPr>
        <w:t>Maksud</w:t>
      </w:r>
      <w:proofErr w:type="spellEnd"/>
      <w:r w:rsidRPr="0052733B">
        <w:rPr>
          <w:rFonts w:ascii="Book Antiqua" w:hAnsi="Book Antiqua" w:cs="宋体"/>
          <w:color w:val="000000"/>
          <w:lang w:val="en-US" w:eastAsia="zh-CN"/>
        </w:rPr>
        <w:t xml:space="preserve"> FA, Barbosa AJ. Serum levels of vitamin B12 are not related to low bone mineral density in postmenopausal Brazilian women. </w:t>
      </w:r>
      <w:r w:rsidRPr="0052733B">
        <w:rPr>
          <w:rFonts w:ascii="Book Antiqua" w:hAnsi="Book Antiqua" w:cs="宋体"/>
          <w:i/>
          <w:iCs/>
          <w:color w:val="000000"/>
          <w:lang w:val="en-US" w:eastAsia="zh-CN"/>
        </w:rPr>
        <w:t xml:space="preserve">Rev Bras </w:t>
      </w:r>
      <w:proofErr w:type="spellStart"/>
      <w:r w:rsidRPr="0052733B">
        <w:rPr>
          <w:rFonts w:ascii="Book Antiqua" w:hAnsi="Book Antiqua" w:cs="宋体"/>
          <w:i/>
          <w:iCs/>
          <w:color w:val="000000"/>
          <w:lang w:val="en-US" w:eastAsia="zh-CN"/>
        </w:rPr>
        <w:t>Reumatol</w:t>
      </w:r>
      <w:proofErr w:type="spellEnd"/>
      <w:r w:rsidRPr="0052733B">
        <w:rPr>
          <w:rFonts w:ascii="Book Antiqua" w:hAnsi="Book Antiqua" w:cs="宋体"/>
          <w:color w:val="000000"/>
          <w:lang w:val="en-US" w:eastAsia="zh-CN"/>
        </w:rPr>
        <w:t> 2012; </w:t>
      </w:r>
      <w:r w:rsidRPr="0052733B">
        <w:rPr>
          <w:rFonts w:ascii="Book Antiqua" w:hAnsi="Book Antiqua" w:cs="宋体"/>
          <w:b/>
          <w:bCs/>
          <w:color w:val="000000"/>
          <w:lang w:val="en-US" w:eastAsia="zh-CN"/>
        </w:rPr>
        <w:t>52</w:t>
      </w:r>
      <w:r w:rsidRPr="0052733B">
        <w:rPr>
          <w:rFonts w:ascii="Book Antiqua" w:hAnsi="Book Antiqua" w:cs="宋体"/>
          <w:color w:val="000000"/>
          <w:lang w:val="en-US" w:eastAsia="zh-CN"/>
        </w:rPr>
        <w:t>: 863-869 [PMID: 23223697 DOI: 10.1590/S0482-50042012000600005]</w:t>
      </w:r>
    </w:p>
    <w:p w14:paraId="55F7FED9"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75 </w:t>
      </w:r>
      <w:proofErr w:type="spellStart"/>
      <w:r w:rsidRPr="0052733B">
        <w:rPr>
          <w:rFonts w:ascii="Book Antiqua" w:hAnsi="Book Antiqua" w:cs="宋体"/>
          <w:b/>
          <w:bCs/>
          <w:color w:val="000000"/>
          <w:lang w:val="en-US" w:eastAsia="zh-CN"/>
        </w:rPr>
        <w:t>Vilarrasa</w:t>
      </w:r>
      <w:proofErr w:type="spellEnd"/>
      <w:r w:rsidRPr="0052733B">
        <w:rPr>
          <w:rFonts w:ascii="Book Antiqua" w:hAnsi="Book Antiqua" w:cs="宋体"/>
          <w:b/>
          <w:bCs/>
          <w:color w:val="000000"/>
          <w:lang w:val="en-US" w:eastAsia="zh-CN"/>
        </w:rPr>
        <w:t xml:space="preserve"> N</w:t>
      </w:r>
      <w:r w:rsidRPr="0052733B">
        <w:rPr>
          <w:rFonts w:ascii="Book Antiqua" w:hAnsi="Book Antiqua" w:cs="宋体"/>
          <w:color w:val="000000"/>
          <w:lang w:val="en-US" w:eastAsia="zh-CN"/>
        </w:rPr>
        <w:t xml:space="preserve">, San José P, </w:t>
      </w:r>
      <w:proofErr w:type="spellStart"/>
      <w:r w:rsidRPr="0052733B">
        <w:rPr>
          <w:rFonts w:ascii="Book Antiqua" w:hAnsi="Book Antiqua" w:cs="宋体"/>
          <w:color w:val="000000"/>
          <w:lang w:val="en-US" w:eastAsia="zh-CN"/>
        </w:rPr>
        <w:t>García</w:t>
      </w:r>
      <w:proofErr w:type="spellEnd"/>
      <w:r w:rsidRPr="0052733B">
        <w:rPr>
          <w:rFonts w:ascii="Book Antiqua" w:hAnsi="Book Antiqua" w:cs="宋体"/>
          <w:color w:val="000000"/>
          <w:lang w:val="en-US" w:eastAsia="zh-CN"/>
        </w:rPr>
        <w:t xml:space="preserve"> I, Gómez-Vaquero C, </w:t>
      </w:r>
      <w:proofErr w:type="spellStart"/>
      <w:r w:rsidRPr="0052733B">
        <w:rPr>
          <w:rFonts w:ascii="Book Antiqua" w:hAnsi="Book Antiqua" w:cs="宋体"/>
          <w:color w:val="000000"/>
          <w:lang w:val="en-US" w:eastAsia="zh-CN"/>
        </w:rPr>
        <w:t>Miras</w:t>
      </w:r>
      <w:proofErr w:type="spellEnd"/>
      <w:r w:rsidRPr="0052733B">
        <w:rPr>
          <w:rFonts w:ascii="Book Antiqua" w:hAnsi="Book Antiqua" w:cs="宋体"/>
          <w:color w:val="000000"/>
          <w:lang w:val="en-US" w:eastAsia="zh-CN"/>
        </w:rPr>
        <w:t xml:space="preserve"> PM, de </w:t>
      </w:r>
      <w:proofErr w:type="spellStart"/>
      <w:r w:rsidRPr="0052733B">
        <w:rPr>
          <w:rFonts w:ascii="Book Antiqua" w:hAnsi="Book Antiqua" w:cs="宋体"/>
          <w:color w:val="000000"/>
          <w:lang w:val="en-US" w:eastAsia="zh-CN"/>
        </w:rPr>
        <w:t>Gordejuela</w:t>
      </w:r>
      <w:proofErr w:type="spellEnd"/>
      <w:r w:rsidRPr="0052733B">
        <w:rPr>
          <w:rFonts w:ascii="Book Antiqua" w:hAnsi="Book Antiqua" w:cs="宋体"/>
          <w:color w:val="000000"/>
          <w:lang w:val="en-US" w:eastAsia="zh-CN"/>
        </w:rPr>
        <w:t xml:space="preserve"> AG, </w:t>
      </w:r>
      <w:proofErr w:type="spellStart"/>
      <w:r w:rsidRPr="0052733B">
        <w:rPr>
          <w:rFonts w:ascii="Book Antiqua" w:hAnsi="Book Antiqua" w:cs="宋体"/>
          <w:color w:val="000000"/>
          <w:lang w:val="en-US" w:eastAsia="zh-CN"/>
        </w:rPr>
        <w:t>Masdevall</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Pujol</w:t>
      </w:r>
      <w:proofErr w:type="spellEnd"/>
      <w:r w:rsidRPr="0052733B">
        <w:rPr>
          <w:rFonts w:ascii="Book Antiqua" w:hAnsi="Book Antiqua" w:cs="宋体"/>
          <w:color w:val="000000"/>
          <w:lang w:val="en-US" w:eastAsia="zh-CN"/>
        </w:rPr>
        <w:t xml:space="preserve"> J, </w:t>
      </w:r>
      <w:proofErr w:type="spellStart"/>
      <w:r w:rsidRPr="0052733B">
        <w:rPr>
          <w:rFonts w:ascii="Book Antiqua" w:hAnsi="Book Antiqua" w:cs="宋体"/>
          <w:color w:val="000000"/>
          <w:lang w:val="en-US" w:eastAsia="zh-CN"/>
        </w:rPr>
        <w:t>Soler</w:t>
      </w:r>
      <w:proofErr w:type="spellEnd"/>
      <w:r w:rsidRPr="0052733B">
        <w:rPr>
          <w:rFonts w:ascii="Book Antiqua" w:hAnsi="Book Antiqua" w:cs="宋体"/>
          <w:color w:val="000000"/>
          <w:lang w:val="en-US" w:eastAsia="zh-CN"/>
        </w:rPr>
        <w:t xml:space="preserve"> J, Gómez JM. Evaluation of bone mineral density loss in morbidly obese women after gastric bypass: 3-year follow-up.</w:t>
      </w:r>
      <w:r w:rsidRPr="0052733B">
        <w:rPr>
          <w:rFonts w:ascii="Book Antiqua" w:hAnsi="Book Antiqua" w:cs="宋体" w:hint="eastAsia"/>
          <w:color w:val="000000"/>
          <w:lang w:val="en-US" w:eastAsia="zh-CN"/>
        </w:rPr>
        <w:t xml:space="preserve"> </w:t>
      </w:r>
      <w:proofErr w:type="spellStart"/>
      <w:r w:rsidRPr="0052733B">
        <w:rPr>
          <w:rFonts w:ascii="Book Antiqua" w:hAnsi="Book Antiqua" w:cs="宋体"/>
          <w:i/>
          <w:iCs/>
          <w:color w:val="000000"/>
          <w:lang w:val="en-US" w:eastAsia="zh-CN"/>
        </w:rPr>
        <w:t>Obes</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Surg</w:t>
      </w:r>
      <w:proofErr w:type="spellEnd"/>
      <w:r w:rsidRPr="0052733B">
        <w:rPr>
          <w:rFonts w:ascii="Book Antiqua" w:hAnsi="Book Antiqua" w:cs="宋体"/>
          <w:color w:val="000000"/>
          <w:lang w:val="en-US" w:eastAsia="zh-CN"/>
        </w:rPr>
        <w:t> 2011; </w:t>
      </w:r>
      <w:r w:rsidRPr="0052733B">
        <w:rPr>
          <w:rFonts w:ascii="Book Antiqua" w:hAnsi="Book Antiqua" w:cs="宋体"/>
          <w:b/>
          <w:bCs/>
          <w:color w:val="000000"/>
          <w:lang w:val="en-US" w:eastAsia="zh-CN"/>
        </w:rPr>
        <w:t>21</w:t>
      </w:r>
      <w:r w:rsidRPr="0052733B">
        <w:rPr>
          <w:rFonts w:ascii="Book Antiqua" w:hAnsi="Book Antiqua" w:cs="宋体"/>
          <w:color w:val="000000"/>
          <w:lang w:val="en-US" w:eastAsia="zh-CN"/>
        </w:rPr>
        <w:t>: 465-472 [PMID: 21188546 DOI: 10.1007/s11695-010-0338-1]</w:t>
      </w:r>
    </w:p>
    <w:p w14:paraId="25F89BFB"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76 </w:t>
      </w:r>
      <w:proofErr w:type="spellStart"/>
      <w:r w:rsidRPr="0052733B">
        <w:rPr>
          <w:rFonts w:ascii="Book Antiqua" w:hAnsi="Book Antiqua" w:cs="宋体"/>
          <w:b/>
          <w:bCs/>
          <w:color w:val="000000"/>
          <w:lang w:val="en-US" w:eastAsia="zh-CN"/>
        </w:rPr>
        <w:t>Scibora</w:t>
      </w:r>
      <w:proofErr w:type="spellEnd"/>
      <w:r w:rsidRPr="0052733B">
        <w:rPr>
          <w:rFonts w:ascii="Book Antiqua" w:hAnsi="Book Antiqua" w:cs="宋体"/>
          <w:b/>
          <w:bCs/>
          <w:color w:val="000000"/>
          <w:lang w:val="en-US" w:eastAsia="zh-CN"/>
        </w:rPr>
        <w:t xml:space="preserve"> LM</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Ikramuddin</w:t>
      </w:r>
      <w:proofErr w:type="spellEnd"/>
      <w:r w:rsidRPr="0052733B">
        <w:rPr>
          <w:rFonts w:ascii="Book Antiqua" w:hAnsi="Book Antiqua" w:cs="宋体"/>
          <w:color w:val="000000"/>
          <w:lang w:val="en-US" w:eastAsia="zh-CN"/>
        </w:rPr>
        <w:t xml:space="preserve"> S, Buchwald H, Petit MA. Examining the link between bariatric surgery, bone loss, and osteoporosis: a review of bone density studies. </w:t>
      </w:r>
      <w:proofErr w:type="spellStart"/>
      <w:r w:rsidRPr="0052733B">
        <w:rPr>
          <w:rFonts w:ascii="Book Antiqua" w:hAnsi="Book Antiqua" w:cs="宋体"/>
          <w:i/>
          <w:iCs/>
          <w:color w:val="000000"/>
          <w:lang w:val="en-US" w:eastAsia="zh-CN"/>
        </w:rPr>
        <w:t>Obes</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Surg</w:t>
      </w:r>
      <w:proofErr w:type="spellEnd"/>
      <w:r w:rsidRPr="0052733B">
        <w:rPr>
          <w:rFonts w:ascii="Book Antiqua" w:hAnsi="Book Antiqua" w:cs="宋体"/>
          <w:color w:val="000000"/>
          <w:lang w:val="en-US" w:eastAsia="zh-CN"/>
        </w:rPr>
        <w:t> 2012; </w:t>
      </w:r>
      <w:r w:rsidRPr="0052733B">
        <w:rPr>
          <w:rFonts w:ascii="Book Antiqua" w:hAnsi="Book Antiqua" w:cs="宋体"/>
          <w:b/>
          <w:bCs/>
          <w:color w:val="000000"/>
          <w:lang w:val="en-US" w:eastAsia="zh-CN"/>
        </w:rPr>
        <w:t>22</w:t>
      </w:r>
      <w:r w:rsidRPr="0052733B">
        <w:rPr>
          <w:rFonts w:ascii="Book Antiqua" w:hAnsi="Book Antiqua" w:cs="宋体"/>
          <w:color w:val="000000"/>
          <w:lang w:val="en-US" w:eastAsia="zh-CN"/>
        </w:rPr>
        <w:t>: 654-667 [PMID: 22271358 DOI: 10.1007/s11695-012-0596-1]</w:t>
      </w:r>
    </w:p>
    <w:p w14:paraId="4D84BB28"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77 </w:t>
      </w:r>
      <w:r w:rsidRPr="0052733B">
        <w:rPr>
          <w:rFonts w:ascii="Book Antiqua" w:hAnsi="Book Antiqua" w:cs="宋体"/>
          <w:b/>
          <w:bCs/>
          <w:color w:val="000000"/>
          <w:lang w:val="en-US" w:eastAsia="zh-CN"/>
        </w:rPr>
        <w:t>Krause M</w:t>
      </w:r>
      <w:r w:rsidRPr="0052733B">
        <w:rPr>
          <w:rFonts w:ascii="Book Antiqua" w:hAnsi="Book Antiqua" w:cs="宋体"/>
          <w:color w:val="000000"/>
          <w:lang w:val="en-US" w:eastAsia="zh-CN"/>
        </w:rPr>
        <w:t xml:space="preserve">, Keller J, </w:t>
      </w:r>
      <w:proofErr w:type="spellStart"/>
      <w:r w:rsidRPr="0052733B">
        <w:rPr>
          <w:rFonts w:ascii="Book Antiqua" w:hAnsi="Book Antiqua" w:cs="宋体"/>
          <w:color w:val="000000"/>
          <w:lang w:val="en-US" w:eastAsia="zh-CN"/>
        </w:rPr>
        <w:t>Beil</w:t>
      </w:r>
      <w:proofErr w:type="spellEnd"/>
      <w:r w:rsidRPr="0052733B">
        <w:rPr>
          <w:rFonts w:ascii="Book Antiqua" w:hAnsi="Book Antiqua" w:cs="宋体"/>
          <w:color w:val="000000"/>
          <w:lang w:val="en-US" w:eastAsia="zh-CN"/>
        </w:rPr>
        <w:t xml:space="preserve"> B, van </w:t>
      </w:r>
      <w:proofErr w:type="spellStart"/>
      <w:r w:rsidRPr="0052733B">
        <w:rPr>
          <w:rFonts w:ascii="Book Antiqua" w:hAnsi="Book Antiqua" w:cs="宋体"/>
          <w:color w:val="000000"/>
          <w:lang w:val="en-US" w:eastAsia="zh-CN"/>
        </w:rPr>
        <w:t>Driel</w:t>
      </w:r>
      <w:proofErr w:type="spellEnd"/>
      <w:r w:rsidRPr="0052733B">
        <w:rPr>
          <w:rFonts w:ascii="Book Antiqua" w:hAnsi="Book Antiqua" w:cs="宋体"/>
          <w:color w:val="000000"/>
          <w:lang w:val="en-US" w:eastAsia="zh-CN"/>
        </w:rPr>
        <w:t xml:space="preserve"> I, </w:t>
      </w:r>
      <w:proofErr w:type="spellStart"/>
      <w:r w:rsidRPr="0052733B">
        <w:rPr>
          <w:rFonts w:ascii="Book Antiqua" w:hAnsi="Book Antiqua" w:cs="宋体"/>
          <w:color w:val="000000"/>
          <w:lang w:val="en-US" w:eastAsia="zh-CN"/>
        </w:rPr>
        <w:t>Zustin</w:t>
      </w:r>
      <w:proofErr w:type="spellEnd"/>
      <w:r w:rsidRPr="0052733B">
        <w:rPr>
          <w:rFonts w:ascii="Book Antiqua" w:hAnsi="Book Antiqua" w:cs="宋体"/>
          <w:color w:val="000000"/>
          <w:lang w:val="en-US" w:eastAsia="zh-CN"/>
        </w:rPr>
        <w:t xml:space="preserve"> J, </w:t>
      </w:r>
      <w:proofErr w:type="spellStart"/>
      <w:r w:rsidRPr="0052733B">
        <w:rPr>
          <w:rFonts w:ascii="Book Antiqua" w:hAnsi="Book Antiqua" w:cs="宋体"/>
          <w:color w:val="000000"/>
          <w:lang w:val="en-US" w:eastAsia="zh-CN"/>
        </w:rPr>
        <w:t>Barvencik</w:t>
      </w:r>
      <w:proofErr w:type="spellEnd"/>
      <w:r w:rsidRPr="0052733B">
        <w:rPr>
          <w:rFonts w:ascii="Book Antiqua" w:hAnsi="Book Antiqua" w:cs="宋体"/>
          <w:color w:val="000000"/>
          <w:lang w:val="en-US" w:eastAsia="zh-CN"/>
        </w:rPr>
        <w:t xml:space="preserve"> F, </w:t>
      </w:r>
      <w:proofErr w:type="spellStart"/>
      <w:r w:rsidRPr="0052733B">
        <w:rPr>
          <w:rFonts w:ascii="Book Antiqua" w:hAnsi="Book Antiqua" w:cs="宋体"/>
          <w:color w:val="000000"/>
          <w:lang w:val="en-US" w:eastAsia="zh-CN"/>
        </w:rPr>
        <w:t>Schinke</w:t>
      </w:r>
      <w:proofErr w:type="spellEnd"/>
      <w:r w:rsidRPr="0052733B">
        <w:rPr>
          <w:rFonts w:ascii="Book Antiqua" w:hAnsi="Book Antiqua" w:cs="宋体"/>
          <w:color w:val="000000"/>
          <w:lang w:val="en-US" w:eastAsia="zh-CN"/>
        </w:rPr>
        <w:t xml:space="preserve"> T, </w:t>
      </w:r>
      <w:proofErr w:type="spellStart"/>
      <w:r w:rsidRPr="0052733B">
        <w:rPr>
          <w:rFonts w:ascii="Book Antiqua" w:hAnsi="Book Antiqua" w:cs="宋体"/>
          <w:color w:val="000000"/>
          <w:lang w:val="en-US" w:eastAsia="zh-CN"/>
        </w:rPr>
        <w:t>Amling</w:t>
      </w:r>
      <w:proofErr w:type="spellEnd"/>
      <w:r w:rsidRPr="0052733B">
        <w:rPr>
          <w:rFonts w:ascii="Book Antiqua" w:hAnsi="Book Antiqua" w:cs="宋体"/>
          <w:color w:val="000000"/>
          <w:lang w:val="en-US" w:eastAsia="zh-CN"/>
        </w:rPr>
        <w:t xml:space="preserve"> M. Calcium </w:t>
      </w:r>
      <w:proofErr w:type="spellStart"/>
      <w:r w:rsidRPr="0052733B">
        <w:rPr>
          <w:rFonts w:ascii="Book Antiqua" w:hAnsi="Book Antiqua" w:cs="宋体"/>
          <w:color w:val="000000"/>
          <w:lang w:val="en-US" w:eastAsia="zh-CN"/>
        </w:rPr>
        <w:t>gluconate</w:t>
      </w:r>
      <w:proofErr w:type="spellEnd"/>
      <w:r w:rsidRPr="0052733B">
        <w:rPr>
          <w:rFonts w:ascii="Book Antiqua" w:hAnsi="Book Antiqua" w:cs="宋体"/>
          <w:color w:val="000000"/>
          <w:lang w:val="en-US" w:eastAsia="zh-CN"/>
        </w:rPr>
        <w:t xml:space="preserve"> supplementation is effective to balance calcium homeostasis in patients with </w:t>
      </w:r>
      <w:proofErr w:type="spellStart"/>
      <w:r w:rsidRPr="0052733B">
        <w:rPr>
          <w:rFonts w:ascii="Book Antiqua" w:hAnsi="Book Antiqua" w:cs="宋体"/>
          <w:color w:val="000000"/>
          <w:lang w:val="en-US" w:eastAsia="zh-CN"/>
        </w:rPr>
        <w:t>gastrectomy</w:t>
      </w:r>
      <w:proofErr w:type="spellEnd"/>
      <w:r w:rsidRPr="0052733B">
        <w:rPr>
          <w:rFonts w:ascii="Book Antiqua" w:hAnsi="Book Antiqua" w:cs="宋体"/>
          <w:color w:val="000000"/>
          <w:lang w:val="en-US" w:eastAsia="zh-CN"/>
        </w:rPr>
        <w:t>. </w:t>
      </w:r>
      <w:proofErr w:type="spellStart"/>
      <w:r w:rsidRPr="0052733B">
        <w:rPr>
          <w:rFonts w:ascii="Book Antiqua" w:hAnsi="Book Antiqua" w:cs="宋体"/>
          <w:i/>
          <w:iCs/>
          <w:color w:val="000000"/>
          <w:lang w:val="en-US" w:eastAsia="zh-CN"/>
        </w:rPr>
        <w:t>Osteoporos</w:t>
      </w:r>
      <w:proofErr w:type="spellEnd"/>
      <w:r w:rsidRPr="0052733B">
        <w:rPr>
          <w:rFonts w:ascii="Book Antiqua" w:hAnsi="Book Antiqua" w:cs="宋体"/>
          <w:i/>
          <w:iCs/>
          <w:color w:val="000000"/>
          <w:lang w:val="en-US" w:eastAsia="zh-CN"/>
        </w:rPr>
        <w:t xml:space="preserve"> </w:t>
      </w:r>
      <w:proofErr w:type="spellStart"/>
      <w:r w:rsidRPr="0052733B">
        <w:rPr>
          <w:rFonts w:ascii="Book Antiqua" w:hAnsi="Book Antiqua" w:cs="宋体"/>
          <w:i/>
          <w:iCs/>
          <w:color w:val="000000"/>
          <w:lang w:val="en-US" w:eastAsia="zh-CN"/>
        </w:rPr>
        <w:t>Int</w:t>
      </w:r>
      <w:proofErr w:type="spellEnd"/>
      <w:r w:rsidRPr="0052733B">
        <w:rPr>
          <w:rFonts w:ascii="Book Antiqua" w:hAnsi="Book Antiqua" w:cs="宋体"/>
          <w:color w:val="000000"/>
          <w:lang w:val="en-US" w:eastAsia="zh-CN"/>
        </w:rPr>
        <w:t> 2015; </w:t>
      </w:r>
      <w:r w:rsidRPr="0052733B">
        <w:rPr>
          <w:rFonts w:ascii="Book Antiqua" w:hAnsi="Book Antiqua" w:cs="宋体"/>
          <w:b/>
          <w:bCs/>
          <w:color w:val="000000"/>
          <w:lang w:val="en-US" w:eastAsia="zh-CN"/>
        </w:rPr>
        <w:t>26</w:t>
      </w:r>
      <w:r w:rsidRPr="0052733B">
        <w:rPr>
          <w:rFonts w:ascii="Book Antiqua" w:hAnsi="Book Antiqua" w:cs="宋体"/>
          <w:color w:val="000000"/>
          <w:lang w:val="en-US" w:eastAsia="zh-CN"/>
        </w:rPr>
        <w:t>: 987-995 [PMID: 25391248 DOI: 10.1007/s00198-014-2965-1]</w:t>
      </w:r>
    </w:p>
    <w:p w14:paraId="780CD89A"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78 </w:t>
      </w:r>
      <w:r w:rsidRPr="0052733B">
        <w:rPr>
          <w:rFonts w:ascii="Book Antiqua" w:hAnsi="Book Antiqua" w:cs="宋体"/>
          <w:b/>
          <w:bCs/>
          <w:color w:val="000000"/>
          <w:lang w:val="en-US" w:eastAsia="zh-CN"/>
        </w:rPr>
        <w:t>Yang YX</w:t>
      </w:r>
      <w:r w:rsidRPr="0052733B">
        <w:rPr>
          <w:rFonts w:ascii="Book Antiqua" w:hAnsi="Book Antiqua" w:cs="宋体"/>
          <w:color w:val="000000"/>
          <w:lang w:val="en-US" w:eastAsia="zh-CN"/>
        </w:rPr>
        <w:t>, Lewis JD, Epstein S, Metz DC.</w:t>
      </w:r>
      <w:proofErr w:type="gramEnd"/>
      <w:r w:rsidRPr="0052733B">
        <w:rPr>
          <w:rFonts w:ascii="Book Antiqua" w:hAnsi="Book Antiqua" w:cs="宋体"/>
          <w:color w:val="000000"/>
          <w:lang w:val="en-US" w:eastAsia="zh-CN"/>
        </w:rPr>
        <w:t xml:space="preserve"> Long-term proton pump inhibitor therapy and risk of hip fracture. </w:t>
      </w:r>
      <w:r w:rsidRPr="0052733B">
        <w:rPr>
          <w:rFonts w:ascii="Book Antiqua" w:hAnsi="Book Antiqua" w:cs="宋体"/>
          <w:i/>
          <w:iCs/>
          <w:color w:val="000000"/>
          <w:lang w:val="en-US" w:eastAsia="zh-CN"/>
        </w:rPr>
        <w:t>JAMA</w:t>
      </w:r>
      <w:r w:rsidRPr="0052733B">
        <w:rPr>
          <w:rFonts w:ascii="Book Antiqua" w:hAnsi="Book Antiqua" w:cs="宋体"/>
          <w:color w:val="000000"/>
          <w:lang w:val="en-US" w:eastAsia="zh-CN"/>
        </w:rPr>
        <w:t> 2006; </w:t>
      </w:r>
      <w:r w:rsidRPr="0052733B">
        <w:rPr>
          <w:rFonts w:ascii="Book Antiqua" w:hAnsi="Book Antiqua" w:cs="宋体"/>
          <w:b/>
          <w:bCs/>
          <w:color w:val="000000"/>
          <w:lang w:val="en-US" w:eastAsia="zh-CN"/>
        </w:rPr>
        <w:t>296</w:t>
      </w:r>
      <w:r w:rsidRPr="0052733B">
        <w:rPr>
          <w:rFonts w:ascii="Book Antiqua" w:hAnsi="Book Antiqua" w:cs="宋体"/>
          <w:color w:val="000000"/>
          <w:lang w:val="en-US" w:eastAsia="zh-CN"/>
        </w:rPr>
        <w:t>: 2947-2953 [PMID: 17190895 DOI: 10.1001/jama.296.24.2947]</w:t>
      </w:r>
    </w:p>
    <w:p w14:paraId="1FDE7B71"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79 </w:t>
      </w:r>
      <w:proofErr w:type="spellStart"/>
      <w:r w:rsidRPr="0052733B">
        <w:rPr>
          <w:rFonts w:ascii="Book Antiqua" w:hAnsi="Book Antiqua" w:cs="宋体"/>
          <w:b/>
          <w:bCs/>
          <w:color w:val="000000"/>
          <w:lang w:val="en-US" w:eastAsia="zh-CN"/>
        </w:rPr>
        <w:t>Vestergaard</w:t>
      </w:r>
      <w:proofErr w:type="spellEnd"/>
      <w:r w:rsidRPr="0052733B">
        <w:rPr>
          <w:rFonts w:ascii="Book Antiqua" w:hAnsi="Book Antiqua" w:cs="宋体"/>
          <w:b/>
          <w:bCs/>
          <w:color w:val="000000"/>
          <w:lang w:val="en-US" w:eastAsia="zh-CN"/>
        </w:rPr>
        <w:t xml:space="preserve"> P</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Rejnmark</w:t>
      </w:r>
      <w:proofErr w:type="spellEnd"/>
      <w:r w:rsidRPr="0052733B">
        <w:rPr>
          <w:rFonts w:ascii="Book Antiqua" w:hAnsi="Book Antiqua" w:cs="宋体"/>
          <w:color w:val="000000"/>
          <w:lang w:val="en-US" w:eastAsia="zh-CN"/>
        </w:rPr>
        <w:t xml:space="preserve"> L, </w:t>
      </w:r>
      <w:proofErr w:type="spellStart"/>
      <w:r w:rsidRPr="0052733B">
        <w:rPr>
          <w:rFonts w:ascii="Book Antiqua" w:hAnsi="Book Antiqua" w:cs="宋体"/>
          <w:color w:val="000000"/>
          <w:lang w:val="en-US" w:eastAsia="zh-CN"/>
        </w:rPr>
        <w:t>Mosekilde</w:t>
      </w:r>
      <w:proofErr w:type="spellEnd"/>
      <w:r w:rsidRPr="0052733B">
        <w:rPr>
          <w:rFonts w:ascii="Book Antiqua" w:hAnsi="Book Antiqua" w:cs="宋体"/>
          <w:color w:val="000000"/>
          <w:lang w:val="en-US" w:eastAsia="zh-CN"/>
        </w:rPr>
        <w:t xml:space="preserve"> L. Proton pump inhibitors, histamine H2 receptor antagonists, and other antacid medications and the risk of fracture.</w:t>
      </w:r>
      <w:r w:rsidRPr="0052733B">
        <w:rPr>
          <w:rFonts w:ascii="Book Antiqua" w:hAnsi="Book Antiqua" w:cs="宋体" w:hint="eastAsia"/>
          <w:color w:val="000000"/>
          <w:lang w:val="en-US" w:eastAsia="zh-CN"/>
        </w:rPr>
        <w:t xml:space="preserve"> </w:t>
      </w:r>
      <w:proofErr w:type="spellStart"/>
      <w:r w:rsidRPr="0052733B">
        <w:rPr>
          <w:rFonts w:ascii="Book Antiqua" w:hAnsi="Book Antiqua" w:cs="宋体"/>
          <w:i/>
          <w:iCs/>
          <w:color w:val="000000"/>
          <w:lang w:val="en-US" w:eastAsia="zh-CN"/>
        </w:rPr>
        <w:t>Calcif</w:t>
      </w:r>
      <w:proofErr w:type="spellEnd"/>
      <w:r w:rsidRPr="0052733B">
        <w:rPr>
          <w:rFonts w:ascii="Book Antiqua" w:hAnsi="Book Antiqua" w:cs="宋体"/>
          <w:i/>
          <w:iCs/>
          <w:color w:val="000000"/>
          <w:lang w:val="en-US" w:eastAsia="zh-CN"/>
        </w:rPr>
        <w:t xml:space="preserve"> Tissue </w:t>
      </w:r>
      <w:proofErr w:type="spellStart"/>
      <w:r w:rsidRPr="0052733B">
        <w:rPr>
          <w:rFonts w:ascii="Book Antiqua" w:hAnsi="Book Antiqua" w:cs="宋体"/>
          <w:i/>
          <w:iCs/>
          <w:color w:val="000000"/>
          <w:lang w:val="en-US" w:eastAsia="zh-CN"/>
        </w:rPr>
        <w:t>Int</w:t>
      </w:r>
      <w:proofErr w:type="spellEnd"/>
      <w:r w:rsidRPr="0052733B">
        <w:rPr>
          <w:rFonts w:ascii="Book Antiqua" w:hAnsi="Book Antiqua" w:cs="宋体"/>
          <w:color w:val="000000"/>
          <w:lang w:val="en-US" w:eastAsia="zh-CN"/>
        </w:rPr>
        <w:t> 2006; </w:t>
      </w:r>
      <w:r w:rsidRPr="0052733B">
        <w:rPr>
          <w:rFonts w:ascii="Book Antiqua" w:hAnsi="Book Antiqua" w:cs="宋体"/>
          <w:b/>
          <w:bCs/>
          <w:color w:val="000000"/>
          <w:lang w:val="en-US" w:eastAsia="zh-CN"/>
        </w:rPr>
        <w:t>79</w:t>
      </w:r>
      <w:r w:rsidRPr="0052733B">
        <w:rPr>
          <w:rFonts w:ascii="Book Antiqua" w:hAnsi="Book Antiqua" w:cs="宋体"/>
          <w:color w:val="000000"/>
          <w:lang w:val="en-US" w:eastAsia="zh-CN"/>
        </w:rPr>
        <w:t>: 76-83 [PMID: 16927047 DOI: 10.1007/s00223-006-0021-7]</w:t>
      </w:r>
    </w:p>
    <w:p w14:paraId="35325C51"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80 </w:t>
      </w:r>
      <w:r w:rsidRPr="0052733B">
        <w:rPr>
          <w:rFonts w:ascii="Book Antiqua" w:hAnsi="Book Antiqua" w:cs="宋体"/>
          <w:b/>
          <w:bCs/>
          <w:color w:val="000000"/>
          <w:lang w:val="en-US" w:eastAsia="zh-CN"/>
        </w:rPr>
        <w:t>Yu EW</w:t>
      </w:r>
      <w:r w:rsidRPr="0052733B">
        <w:rPr>
          <w:rFonts w:ascii="Book Antiqua" w:hAnsi="Book Antiqua" w:cs="宋体"/>
          <w:color w:val="000000"/>
          <w:lang w:val="en-US" w:eastAsia="zh-CN"/>
        </w:rPr>
        <w:t xml:space="preserve">, Blackwell T, </w:t>
      </w:r>
      <w:proofErr w:type="spellStart"/>
      <w:r w:rsidRPr="0052733B">
        <w:rPr>
          <w:rFonts w:ascii="Book Antiqua" w:hAnsi="Book Antiqua" w:cs="宋体"/>
          <w:color w:val="000000"/>
          <w:lang w:val="en-US" w:eastAsia="zh-CN"/>
        </w:rPr>
        <w:t>Ensrud</w:t>
      </w:r>
      <w:proofErr w:type="spellEnd"/>
      <w:r w:rsidRPr="0052733B">
        <w:rPr>
          <w:rFonts w:ascii="Book Antiqua" w:hAnsi="Book Antiqua" w:cs="宋体"/>
          <w:color w:val="000000"/>
          <w:lang w:val="en-US" w:eastAsia="zh-CN"/>
        </w:rPr>
        <w:t xml:space="preserve"> KE, Hillier TA, Lane NE, </w:t>
      </w:r>
      <w:proofErr w:type="spellStart"/>
      <w:r w:rsidRPr="0052733B">
        <w:rPr>
          <w:rFonts w:ascii="Book Antiqua" w:hAnsi="Book Antiqua" w:cs="宋体"/>
          <w:color w:val="000000"/>
          <w:lang w:val="en-US" w:eastAsia="zh-CN"/>
        </w:rPr>
        <w:t>Orwoll</w:t>
      </w:r>
      <w:proofErr w:type="spellEnd"/>
      <w:r w:rsidRPr="0052733B">
        <w:rPr>
          <w:rFonts w:ascii="Book Antiqua" w:hAnsi="Book Antiqua" w:cs="宋体"/>
          <w:color w:val="000000"/>
          <w:lang w:val="en-US" w:eastAsia="zh-CN"/>
        </w:rPr>
        <w:t xml:space="preserve"> E, Bauer DC. </w:t>
      </w:r>
      <w:proofErr w:type="gramStart"/>
      <w:r w:rsidRPr="0052733B">
        <w:rPr>
          <w:rFonts w:ascii="Book Antiqua" w:hAnsi="Book Antiqua" w:cs="宋体"/>
          <w:color w:val="000000"/>
          <w:lang w:val="en-US" w:eastAsia="zh-CN"/>
        </w:rPr>
        <w:t>Acid-suppressive medications and risk of bone loss and fracture in older adults.</w:t>
      </w:r>
      <w:proofErr w:type="gramEnd"/>
      <w:r w:rsidRPr="0052733B">
        <w:rPr>
          <w:rFonts w:ascii="Book Antiqua" w:hAnsi="Book Antiqua" w:cs="宋体" w:hint="eastAsia"/>
          <w:color w:val="000000"/>
          <w:lang w:val="en-US" w:eastAsia="zh-CN"/>
        </w:rPr>
        <w:t xml:space="preserve"> </w:t>
      </w:r>
      <w:proofErr w:type="spellStart"/>
      <w:r w:rsidRPr="0052733B">
        <w:rPr>
          <w:rFonts w:ascii="Book Antiqua" w:hAnsi="Book Antiqua" w:cs="宋体"/>
          <w:i/>
          <w:iCs/>
          <w:color w:val="000000"/>
          <w:lang w:val="en-US" w:eastAsia="zh-CN"/>
        </w:rPr>
        <w:t>Calcif</w:t>
      </w:r>
      <w:proofErr w:type="spellEnd"/>
      <w:r w:rsidRPr="0052733B">
        <w:rPr>
          <w:rFonts w:ascii="Book Antiqua" w:hAnsi="Book Antiqua" w:cs="宋体"/>
          <w:i/>
          <w:iCs/>
          <w:color w:val="000000"/>
          <w:lang w:val="en-US" w:eastAsia="zh-CN"/>
        </w:rPr>
        <w:t xml:space="preserve"> Tissue </w:t>
      </w:r>
      <w:proofErr w:type="spellStart"/>
      <w:r w:rsidRPr="0052733B">
        <w:rPr>
          <w:rFonts w:ascii="Book Antiqua" w:hAnsi="Book Antiqua" w:cs="宋体"/>
          <w:i/>
          <w:iCs/>
          <w:color w:val="000000"/>
          <w:lang w:val="en-US" w:eastAsia="zh-CN"/>
        </w:rPr>
        <w:t>Int</w:t>
      </w:r>
      <w:proofErr w:type="spellEnd"/>
      <w:r w:rsidRPr="0052733B">
        <w:rPr>
          <w:rFonts w:ascii="Book Antiqua" w:hAnsi="Book Antiqua" w:cs="宋体"/>
          <w:color w:val="000000"/>
          <w:lang w:val="en-US" w:eastAsia="zh-CN"/>
        </w:rPr>
        <w:t> 2008; </w:t>
      </w:r>
      <w:r w:rsidRPr="0052733B">
        <w:rPr>
          <w:rFonts w:ascii="Book Antiqua" w:hAnsi="Book Antiqua" w:cs="宋体"/>
          <w:b/>
          <w:bCs/>
          <w:color w:val="000000"/>
          <w:lang w:val="en-US" w:eastAsia="zh-CN"/>
        </w:rPr>
        <w:t>83</w:t>
      </w:r>
      <w:r w:rsidRPr="0052733B">
        <w:rPr>
          <w:rFonts w:ascii="Book Antiqua" w:hAnsi="Book Antiqua" w:cs="宋体"/>
          <w:color w:val="000000"/>
          <w:lang w:val="en-US" w:eastAsia="zh-CN"/>
        </w:rPr>
        <w:t>: 251-259 [PMID: 18813868 DOI: 10.1007/s00223-008-9170-1]</w:t>
      </w:r>
    </w:p>
    <w:p w14:paraId="680C6717"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lastRenderedPageBreak/>
        <w:t>81 </w:t>
      </w:r>
      <w:proofErr w:type="spellStart"/>
      <w:r w:rsidRPr="0052733B">
        <w:rPr>
          <w:rFonts w:ascii="Book Antiqua" w:hAnsi="Book Antiqua" w:cs="宋体"/>
          <w:b/>
          <w:bCs/>
          <w:color w:val="000000"/>
          <w:lang w:val="en-US" w:eastAsia="zh-CN"/>
        </w:rPr>
        <w:t>Targownik</w:t>
      </w:r>
      <w:proofErr w:type="spellEnd"/>
      <w:r w:rsidRPr="0052733B">
        <w:rPr>
          <w:rFonts w:ascii="Book Antiqua" w:hAnsi="Book Antiqua" w:cs="宋体"/>
          <w:b/>
          <w:bCs/>
          <w:color w:val="000000"/>
          <w:lang w:val="en-US" w:eastAsia="zh-CN"/>
        </w:rPr>
        <w:t xml:space="preserve"> LE</w:t>
      </w:r>
      <w:r w:rsidRPr="0052733B">
        <w:rPr>
          <w:rFonts w:ascii="Book Antiqua" w:hAnsi="Book Antiqua" w:cs="宋体"/>
          <w:color w:val="000000"/>
          <w:lang w:val="en-US" w:eastAsia="zh-CN"/>
        </w:rPr>
        <w:t xml:space="preserve">, Leslie WD, Davison KS, </w:t>
      </w:r>
      <w:proofErr w:type="spellStart"/>
      <w:r w:rsidRPr="0052733B">
        <w:rPr>
          <w:rFonts w:ascii="Book Antiqua" w:hAnsi="Book Antiqua" w:cs="宋体"/>
          <w:color w:val="000000"/>
          <w:lang w:val="en-US" w:eastAsia="zh-CN"/>
        </w:rPr>
        <w:t>Goltzman</w:t>
      </w:r>
      <w:proofErr w:type="spellEnd"/>
      <w:r w:rsidRPr="0052733B">
        <w:rPr>
          <w:rFonts w:ascii="Book Antiqua" w:hAnsi="Book Antiqua" w:cs="宋体"/>
          <w:color w:val="000000"/>
          <w:lang w:val="en-US" w:eastAsia="zh-CN"/>
        </w:rPr>
        <w:t xml:space="preserve"> D, Jamal SA, </w:t>
      </w:r>
      <w:proofErr w:type="spellStart"/>
      <w:r w:rsidRPr="0052733B">
        <w:rPr>
          <w:rFonts w:ascii="Book Antiqua" w:hAnsi="Book Antiqua" w:cs="宋体"/>
          <w:color w:val="000000"/>
          <w:lang w:val="en-US" w:eastAsia="zh-CN"/>
        </w:rPr>
        <w:t>Kreiger</w:t>
      </w:r>
      <w:proofErr w:type="spellEnd"/>
      <w:r w:rsidRPr="0052733B">
        <w:rPr>
          <w:rFonts w:ascii="Book Antiqua" w:hAnsi="Book Antiqua" w:cs="宋体"/>
          <w:color w:val="000000"/>
          <w:lang w:val="en-US" w:eastAsia="zh-CN"/>
        </w:rPr>
        <w:t xml:space="preserve"> N, </w:t>
      </w:r>
      <w:proofErr w:type="spellStart"/>
      <w:r w:rsidRPr="0052733B">
        <w:rPr>
          <w:rFonts w:ascii="Book Antiqua" w:hAnsi="Book Antiqua" w:cs="宋体"/>
          <w:color w:val="000000"/>
          <w:lang w:val="en-US" w:eastAsia="zh-CN"/>
        </w:rPr>
        <w:t>Josse</w:t>
      </w:r>
      <w:proofErr w:type="spellEnd"/>
      <w:r w:rsidRPr="0052733B">
        <w:rPr>
          <w:rFonts w:ascii="Book Antiqua" w:hAnsi="Book Antiqua" w:cs="宋体"/>
          <w:color w:val="000000"/>
          <w:lang w:val="en-US" w:eastAsia="zh-CN"/>
        </w:rPr>
        <w:t xml:space="preserve"> RG, Kaiser SM, Kovacs CS, Prior JC, Zhou W. The relationship between proton pump inhibitor use and longitudinal change in bone mineral density: a population-based study [corrected] from the Canadian </w:t>
      </w:r>
      <w:proofErr w:type="spellStart"/>
      <w:r w:rsidRPr="0052733B">
        <w:rPr>
          <w:rFonts w:ascii="Book Antiqua" w:hAnsi="Book Antiqua" w:cs="宋体"/>
          <w:color w:val="000000"/>
          <w:lang w:val="en-US" w:eastAsia="zh-CN"/>
        </w:rPr>
        <w:t>Multicentre</w:t>
      </w:r>
      <w:proofErr w:type="spellEnd"/>
      <w:r w:rsidRPr="0052733B">
        <w:rPr>
          <w:rFonts w:ascii="Book Antiqua" w:hAnsi="Book Antiqua" w:cs="宋体"/>
          <w:color w:val="000000"/>
          <w:lang w:val="en-US" w:eastAsia="zh-CN"/>
        </w:rPr>
        <w:t xml:space="preserve"> Osteoporosis Study (</w:t>
      </w:r>
      <w:proofErr w:type="spellStart"/>
      <w:r w:rsidRPr="0052733B">
        <w:rPr>
          <w:rFonts w:ascii="Book Antiqua" w:hAnsi="Book Antiqua" w:cs="宋体"/>
          <w:color w:val="000000"/>
          <w:lang w:val="en-US" w:eastAsia="zh-CN"/>
        </w:rPr>
        <w:t>CaMos</w:t>
      </w:r>
      <w:proofErr w:type="spellEnd"/>
      <w:r w:rsidRPr="0052733B">
        <w:rPr>
          <w:rFonts w:ascii="Book Antiqua" w:hAnsi="Book Antiqua" w:cs="宋体"/>
          <w:color w:val="000000"/>
          <w:lang w:val="en-US" w:eastAsia="zh-CN"/>
        </w:rPr>
        <w:t>). </w:t>
      </w:r>
      <w:r w:rsidRPr="0052733B">
        <w:rPr>
          <w:rFonts w:ascii="Book Antiqua" w:hAnsi="Book Antiqua" w:cs="宋体"/>
          <w:i/>
          <w:iCs/>
          <w:color w:val="000000"/>
          <w:lang w:val="en-US" w:eastAsia="zh-CN"/>
        </w:rPr>
        <w:t xml:space="preserve">Am J </w:t>
      </w:r>
      <w:proofErr w:type="spellStart"/>
      <w:r w:rsidRPr="0052733B">
        <w:rPr>
          <w:rFonts w:ascii="Book Antiqua" w:hAnsi="Book Antiqua" w:cs="宋体"/>
          <w:i/>
          <w:iCs/>
          <w:color w:val="000000"/>
          <w:lang w:val="en-US" w:eastAsia="zh-CN"/>
        </w:rPr>
        <w:t>Gastroenterol</w:t>
      </w:r>
      <w:proofErr w:type="spellEnd"/>
      <w:r w:rsidRPr="0052733B">
        <w:rPr>
          <w:rFonts w:ascii="Book Antiqua" w:hAnsi="Book Antiqua" w:cs="宋体"/>
          <w:color w:val="000000"/>
          <w:lang w:val="en-US" w:eastAsia="zh-CN"/>
        </w:rPr>
        <w:t> 2012; </w:t>
      </w:r>
      <w:r w:rsidRPr="0052733B">
        <w:rPr>
          <w:rFonts w:ascii="Book Antiqua" w:hAnsi="Book Antiqua" w:cs="宋体"/>
          <w:b/>
          <w:bCs/>
          <w:color w:val="000000"/>
          <w:lang w:val="en-US" w:eastAsia="zh-CN"/>
        </w:rPr>
        <w:t>107</w:t>
      </w:r>
      <w:r w:rsidRPr="0052733B">
        <w:rPr>
          <w:rFonts w:ascii="Book Antiqua" w:hAnsi="Book Antiqua" w:cs="宋体"/>
          <w:color w:val="000000"/>
          <w:lang w:val="en-US" w:eastAsia="zh-CN"/>
        </w:rPr>
        <w:t>: 1361-1369 [PMID: 22777336 DOI: 10.1038/ajg.2012.200]</w:t>
      </w:r>
    </w:p>
    <w:p w14:paraId="3EDBCB20"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82 </w:t>
      </w:r>
      <w:r w:rsidRPr="0052733B">
        <w:rPr>
          <w:rFonts w:ascii="Book Antiqua" w:hAnsi="Book Antiqua" w:cs="宋体"/>
          <w:b/>
          <w:bCs/>
          <w:color w:val="000000"/>
          <w:lang w:val="en-US" w:eastAsia="zh-CN"/>
        </w:rPr>
        <w:t>Corley DA</w:t>
      </w:r>
      <w:r w:rsidRPr="0052733B">
        <w:rPr>
          <w:rFonts w:ascii="Book Antiqua" w:hAnsi="Book Antiqua" w:cs="宋体"/>
          <w:color w:val="000000"/>
          <w:lang w:val="en-US" w:eastAsia="zh-CN"/>
        </w:rPr>
        <w:t xml:space="preserve">, Kubo A, Zhao W, </w:t>
      </w:r>
      <w:proofErr w:type="spellStart"/>
      <w:r w:rsidRPr="0052733B">
        <w:rPr>
          <w:rFonts w:ascii="Book Antiqua" w:hAnsi="Book Antiqua" w:cs="宋体"/>
          <w:color w:val="000000"/>
          <w:lang w:val="en-US" w:eastAsia="zh-CN"/>
        </w:rPr>
        <w:t>Quesenberry</w:t>
      </w:r>
      <w:proofErr w:type="spellEnd"/>
      <w:r w:rsidRPr="0052733B">
        <w:rPr>
          <w:rFonts w:ascii="Book Antiqua" w:hAnsi="Book Antiqua" w:cs="宋体"/>
          <w:color w:val="000000"/>
          <w:lang w:val="en-US" w:eastAsia="zh-CN"/>
        </w:rPr>
        <w:t xml:space="preserve"> C. Proton pump inhibitors and histamine-2 receptor antagonists are associated with hip fractures among at-risk patients. </w:t>
      </w:r>
      <w:r w:rsidRPr="0052733B">
        <w:rPr>
          <w:rFonts w:ascii="Book Antiqua" w:hAnsi="Book Antiqua" w:cs="宋体"/>
          <w:i/>
          <w:iCs/>
          <w:color w:val="000000"/>
          <w:lang w:val="en-US" w:eastAsia="zh-CN"/>
        </w:rPr>
        <w:t>Gastroenterology</w:t>
      </w:r>
      <w:r w:rsidRPr="0052733B">
        <w:rPr>
          <w:rFonts w:ascii="Book Antiqua" w:hAnsi="Book Antiqua" w:cs="宋体"/>
          <w:color w:val="000000"/>
          <w:lang w:val="en-US" w:eastAsia="zh-CN"/>
        </w:rPr>
        <w:t> 2010; </w:t>
      </w:r>
      <w:r w:rsidRPr="0052733B">
        <w:rPr>
          <w:rFonts w:ascii="Book Antiqua" w:hAnsi="Book Antiqua" w:cs="宋体"/>
          <w:b/>
          <w:bCs/>
          <w:color w:val="000000"/>
          <w:lang w:val="en-US" w:eastAsia="zh-CN"/>
        </w:rPr>
        <w:t>139</w:t>
      </w:r>
      <w:r w:rsidRPr="0052733B">
        <w:rPr>
          <w:rFonts w:ascii="Book Antiqua" w:hAnsi="Book Antiqua" w:cs="宋体"/>
          <w:color w:val="000000"/>
          <w:lang w:val="en-US" w:eastAsia="zh-CN"/>
        </w:rPr>
        <w:t>: 93-101 [PMID: 20353792 DOI: 10.1053/j.gastro.2010.03.055]</w:t>
      </w:r>
    </w:p>
    <w:p w14:paraId="110C6870"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83 </w:t>
      </w:r>
      <w:r w:rsidRPr="0052733B">
        <w:rPr>
          <w:rFonts w:ascii="Book Antiqua" w:hAnsi="Book Antiqua" w:cs="宋体"/>
          <w:b/>
          <w:bCs/>
          <w:color w:val="000000"/>
          <w:lang w:val="en-US" w:eastAsia="zh-CN"/>
        </w:rPr>
        <w:t>Yu EW</w:t>
      </w:r>
      <w:r w:rsidRPr="0052733B">
        <w:rPr>
          <w:rFonts w:ascii="Book Antiqua" w:hAnsi="Book Antiqua" w:cs="宋体"/>
          <w:color w:val="000000"/>
          <w:lang w:val="en-US" w:eastAsia="zh-CN"/>
        </w:rPr>
        <w:t>, Bauer SR, Bain PA, Bauer DC. Proton pump inhibitors and risk of fractures: a meta-analysis of 11 international studies. </w:t>
      </w:r>
      <w:r w:rsidRPr="0052733B">
        <w:rPr>
          <w:rFonts w:ascii="Book Antiqua" w:hAnsi="Book Antiqua" w:cs="宋体"/>
          <w:i/>
          <w:iCs/>
          <w:color w:val="000000"/>
          <w:lang w:val="en-US" w:eastAsia="zh-CN"/>
        </w:rPr>
        <w:t>Am J Med</w:t>
      </w:r>
      <w:r w:rsidRPr="0052733B">
        <w:rPr>
          <w:rFonts w:ascii="Book Antiqua" w:hAnsi="Book Antiqua" w:cs="宋体"/>
          <w:color w:val="000000"/>
          <w:lang w:val="en-US" w:eastAsia="zh-CN"/>
        </w:rPr>
        <w:t> 2011; </w:t>
      </w:r>
      <w:r w:rsidRPr="0052733B">
        <w:rPr>
          <w:rFonts w:ascii="Book Antiqua" w:hAnsi="Book Antiqua" w:cs="宋体"/>
          <w:b/>
          <w:bCs/>
          <w:color w:val="000000"/>
          <w:lang w:val="en-US" w:eastAsia="zh-CN"/>
        </w:rPr>
        <w:t>124</w:t>
      </w:r>
      <w:r w:rsidRPr="0052733B">
        <w:rPr>
          <w:rFonts w:ascii="Book Antiqua" w:hAnsi="Book Antiqua" w:cs="宋体"/>
          <w:color w:val="000000"/>
          <w:lang w:val="en-US" w:eastAsia="zh-CN"/>
        </w:rPr>
        <w:t>: 519-526 [PMID: 21605729 DOI: 10.1016/j.amjmed.2011.01.007]</w:t>
      </w:r>
    </w:p>
    <w:p w14:paraId="240F540D"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84 </w:t>
      </w:r>
      <w:proofErr w:type="spellStart"/>
      <w:r w:rsidRPr="0052733B">
        <w:rPr>
          <w:rFonts w:ascii="Book Antiqua" w:hAnsi="Book Antiqua" w:cs="宋体"/>
          <w:b/>
          <w:bCs/>
          <w:color w:val="000000"/>
          <w:lang w:val="en-US" w:eastAsia="zh-CN"/>
        </w:rPr>
        <w:t>Massironi</w:t>
      </w:r>
      <w:proofErr w:type="spellEnd"/>
      <w:r w:rsidRPr="0052733B">
        <w:rPr>
          <w:rFonts w:ascii="Book Antiqua" w:hAnsi="Book Antiqua" w:cs="宋体"/>
          <w:b/>
          <w:bCs/>
          <w:color w:val="000000"/>
          <w:lang w:val="en-US" w:eastAsia="zh-CN"/>
        </w:rPr>
        <w:t xml:space="preserve"> S</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Cavalcoli</w:t>
      </w:r>
      <w:proofErr w:type="spellEnd"/>
      <w:r w:rsidRPr="0052733B">
        <w:rPr>
          <w:rFonts w:ascii="Book Antiqua" w:hAnsi="Book Antiqua" w:cs="宋体"/>
          <w:color w:val="000000"/>
          <w:lang w:val="en-US" w:eastAsia="zh-CN"/>
        </w:rPr>
        <w:t xml:space="preserve"> F, Rossi RE, Conte D, </w:t>
      </w:r>
      <w:proofErr w:type="spellStart"/>
      <w:r w:rsidRPr="0052733B">
        <w:rPr>
          <w:rFonts w:ascii="Book Antiqua" w:hAnsi="Book Antiqua" w:cs="宋体"/>
          <w:color w:val="000000"/>
          <w:lang w:val="en-US" w:eastAsia="zh-CN"/>
        </w:rPr>
        <w:t>Spampatti</w:t>
      </w:r>
      <w:proofErr w:type="spellEnd"/>
      <w:r w:rsidRPr="0052733B">
        <w:rPr>
          <w:rFonts w:ascii="Book Antiqua" w:hAnsi="Book Antiqua" w:cs="宋体"/>
          <w:color w:val="000000"/>
          <w:lang w:val="en-US" w:eastAsia="zh-CN"/>
        </w:rPr>
        <w:t xml:space="preserve"> MP, </w:t>
      </w:r>
      <w:proofErr w:type="spellStart"/>
      <w:r w:rsidRPr="0052733B">
        <w:rPr>
          <w:rFonts w:ascii="Book Antiqua" w:hAnsi="Book Antiqua" w:cs="宋体"/>
          <w:color w:val="000000"/>
          <w:lang w:val="en-US" w:eastAsia="zh-CN"/>
        </w:rPr>
        <w:t>Ciafardini</w:t>
      </w:r>
      <w:proofErr w:type="spellEnd"/>
      <w:r w:rsidRPr="0052733B">
        <w:rPr>
          <w:rFonts w:ascii="Book Antiqua" w:hAnsi="Book Antiqua" w:cs="宋体"/>
          <w:color w:val="000000"/>
          <w:lang w:val="en-US" w:eastAsia="zh-CN"/>
        </w:rPr>
        <w:t xml:space="preserve"> C, </w:t>
      </w:r>
      <w:proofErr w:type="spellStart"/>
      <w:r w:rsidRPr="0052733B">
        <w:rPr>
          <w:rFonts w:ascii="Book Antiqua" w:hAnsi="Book Antiqua" w:cs="宋体"/>
          <w:color w:val="000000"/>
          <w:lang w:val="en-US" w:eastAsia="zh-CN"/>
        </w:rPr>
        <w:t>Verga</w:t>
      </w:r>
      <w:proofErr w:type="spellEnd"/>
      <w:r w:rsidRPr="0052733B">
        <w:rPr>
          <w:rFonts w:ascii="Book Antiqua" w:hAnsi="Book Antiqua" w:cs="宋体"/>
          <w:color w:val="000000"/>
          <w:lang w:val="en-US" w:eastAsia="zh-CN"/>
        </w:rPr>
        <w:t xml:space="preserve"> U, Beck-</w:t>
      </w:r>
      <w:proofErr w:type="spellStart"/>
      <w:r w:rsidRPr="0052733B">
        <w:rPr>
          <w:rFonts w:ascii="Book Antiqua" w:hAnsi="Book Antiqua" w:cs="宋体"/>
          <w:color w:val="000000"/>
          <w:lang w:val="en-US" w:eastAsia="zh-CN"/>
        </w:rPr>
        <w:t>Peccoz</w:t>
      </w:r>
      <w:proofErr w:type="spellEnd"/>
      <w:r w:rsidRPr="0052733B">
        <w:rPr>
          <w:rFonts w:ascii="Book Antiqua" w:hAnsi="Book Antiqua" w:cs="宋体"/>
          <w:color w:val="000000"/>
          <w:lang w:val="en-US" w:eastAsia="zh-CN"/>
        </w:rPr>
        <w:t xml:space="preserve"> P, </w:t>
      </w:r>
      <w:proofErr w:type="spellStart"/>
      <w:r w:rsidRPr="0052733B">
        <w:rPr>
          <w:rFonts w:ascii="Book Antiqua" w:hAnsi="Book Antiqua" w:cs="宋体"/>
          <w:color w:val="000000"/>
          <w:lang w:val="en-US" w:eastAsia="zh-CN"/>
        </w:rPr>
        <w:t>Peracchi</w:t>
      </w:r>
      <w:proofErr w:type="spellEnd"/>
      <w:r w:rsidRPr="0052733B">
        <w:rPr>
          <w:rFonts w:ascii="Book Antiqua" w:hAnsi="Book Antiqua" w:cs="宋体"/>
          <w:color w:val="000000"/>
          <w:lang w:val="en-US" w:eastAsia="zh-CN"/>
        </w:rPr>
        <w:t xml:space="preserve"> M. Chronic autoimmune atrophic gastritis associated with primary hyperparathyroidism: a transversal prospective study. </w:t>
      </w:r>
      <w:proofErr w:type="spellStart"/>
      <w:r w:rsidRPr="0052733B">
        <w:rPr>
          <w:rFonts w:ascii="Book Antiqua" w:hAnsi="Book Antiqua" w:cs="宋体"/>
          <w:i/>
          <w:iCs/>
          <w:color w:val="000000"/>
          <w:lang w:val="en-US" w:eastAsia="zh-CN"/>
        </w:rPr>
        <w:t>Eur</w:t>
      </w:r>
      <w:proofErr w:type="spellEnd"/>
      <w:r w:rsidRPr="0052733B">
        <w:rPr>
          <w:rFonts w:ascii="Book Antiqua" w:hAnsi="Book Antiqua" w:cs="宋体"/>
          <w:i/>
          <w:iCs/>
          <w:color w:val="000000"/>
          <w:lang w:val="en-US" w:eastAsia="zh-CN"/>
        </w:rPr>
        <w:t xml:space="preserve"> J </w:t>
      </w:r>
      <w:proofErr w:type="spellStart"/>
      <w:r w:rsidRPr="0052733B">
        <w:rPr>
          <w:rFonts w:ascii="Book Antiqua" w:hAnsi="Book Antiqua" w:cs="宋体"/>
          <w:i/>
          <w:iCs/>
          <w:color w:val="000000"/>
          <w:lang w:val="en-US" w:eastAsia="zh-CN"/>
        </w:rPr>
        <w:t>Endocrinol</w:t>
      </w:r>
      <w:proofErr w:type="spellEnd"/>
      <w:r w:rsidRPr="0052733B">
        <w:rPr>
          <w:rFonts w:ascii="Book Antiqua" w:hAnsi="Book Antiqua" w:cs="宋体"/>
          <w:color w:val="000000"/>
          <w:lang w:val="en-US" w:eastAsia="zh-CN"/>
        </w:rPr>
        <w:t> 2013; </w:t>
      </w:r>
      <w:r w:rsidRPr="0052733B">
        <w:rPr>
          <w:rFonts w:ascii="Book Antiqua" w:hAnsi="Book Antiqua" w:cs="宋体"/>
          <w:b/>
          <w:bCs/>
          <w:color w:val="000000"/>
          <w:lang w:val="en-US" w:eastAsia="zh-CN"/>
        </w:rPr>
        <w:t>168</w:t>
      </w:r>
      <w:r w:rsidRPr="0052733B">
        <w:rPr>
          <w:rFonts w:ascii="Book Antiqua" w:hAnsi="Book Antiqua" w:cs="宋体"/>
          <w:color w:val="000000"/>
          <w:lang w:val="en-US" w:eastAsia="zh-CN"/>
        </w:rPr>
        <w:t>: 755-761 [PMID: 23447517 DOI: 10.1530/EJE-12-1067]</w:t>
      </w:r>
    </w:p>
    <w:p w14:paraId="7B183582" w14:textId="77777777" w:rsidR="0052733B" w:rsidRPr="0052733B" w:rsidRDefault="0052733B" w:rsidP="0052733B">
      <w:pPr>
        <w:spacing w:line="360" w:lineRule="auto"/>
        <w:jc w:val="both"/>
        <w:rPr>
          <w:rFonts w:ascii="Book Antiqua" w:hAnsi="Book Antiqua" w:cs="宋体"/>
          <w:color w:val="000000"/>
          <w:lang w:val="en-US" w:eastAsia="zh-CN"/>
        </w:rPr>
      </w:pPr>
      <w:r w:rsidRPr="0052733B">
        <w:rPr>
          <w:rFonts w:ascii="Book Antiqua" w:hAnsi="Book Antiqua" w:cs="宋体"/>
          <w:color w:val="000000"/>
          <w:lang w:val="en-US" w:eastAsia="zh-CN"/>
        </w:rPr>
        <w:t>85 </w:t>
      </w:r>
      <w:proofErr w:type="spellStart"/>
      <w:r w:rsidRPr="0052733B">
        <w:rPr>
          <w:rFonts w:ascii="Book Antiqua" w:hAnsi="Book Antiqua" w:cs="宋体"/>
          <w:b/>
          <w:bCs/>
          <w:color w:val="000000"/>
          <w:lang w:val="en-US" w:eastAsia="zh-CN"/>
        </w:rPr>
        <w:t>Antico</w:t>
      </w:r>
      <w:proofErr w:type="spellEnd"/>
      <w:r w:rsidRPr="0052733B">
        <w:rPr>
          <w:rFonts w:ascii="Book Antiqua" w:hAnsi="Book Antiqua" w:cs="宋体"/>
          <w:b/>
          <w:bCs/>
          <w:color w:val="000000"/>
          <w:lang w:val="en-US" w:eastAsia="zh-CN"/>
        </w:rPr>
        <w:t xml:space="preserve"> A</w:t>
      </w:r>
      <w:r w:rsidRPr="0052733B">
        <w:rPr>
          <w:rFonts w:ascii="Book Antiqua" w:hAnsi="Book Antiqua" w:cs="宋体"/>
          <w:color w:val="000000"/>
          <w:lang w:val="en-US" w:eastAsia="zh-CN"/>
        </w:rPr>
        <w:t xml:space="preserve">, </w:t>
      </w:r>
      <w:proofErr w:type="spellStart"/>
      <w:r w:rsidRPr="0052733B">
        <w:rPr>
          <w:rFonts w:ascii="Book Antiqua" w:hAnsi="Book Antiqua" w:cs="宋体"/>
          <w:color w:val="000000"/>
          <w:lang w:val="en-US" w:eastAsia="zh-CN"/>
        </w:rPr>
        <w:t>Tozzoli</w:t>
      </w:r>
      <w:proofErr w:type="spellEnd"/>
      <w:r w:rsidRPr="0052733B">
        <w:rPr>
          <w:rFonts w:ascii="Book Antiqua" w:hAnsi="Book Antiqua" w:cs="宋体"/>
          <w:color w:val="000000"/>
          <w:lang w:val="en-US" w:eastAsia="zh-CN"/>
        </w:rPr>
        <w:t xml:space="preserve"> R, </w:t>
      </w:r>
      <w:proofErr w:type="spellStart"/>
      <w:r w:rsidRPr="0052733B">
        <w:rPr>
          <w:rFonts w:ascii="Book Antiqua" w:hAnsi="Book Antiqua" w:cs="宋体"/>
          <w:color w:val="000000"/>
          <w:lang w:val="en-US" w:eastAsia="zh-CN"/>
        </w:rPr>
        <w:t>Giavarina</w:t>
      </w:r>
      <w:proofErr w:type="spellEnd"/>
      <w:r w:rsidRPr="0052733B">
        <w:rPr>
          <w:rFonts w:ascii="Book Antiqua" w:hAnsi="Book Antiqua" w:cs="宋体"/>
          <w:color w:val="000000"/>
          <w:lang w:val="en-US" w:eastAsia="zh-CN"/>
        </w:rPr>
        <w:t xml:space="preserve"> D, </w:t>
      </w:r>
      <w:proofErr w:type="spellStart"/>
      <w:r w:rsidRPr="0052733B">
        <w:rPr>
          <w:rFonts w:ascii="Book Antiqua" w:hAnsi="Book Antiqua" w:cs="宋体"/>
          <w:color w:val="000000"/>
          <w:lang w:val="en-US" w:eastAsia="zh-CN"/>
        </w:rPr>
        <w:t>Tonutti</w:t>
      </w:r>
      <w:proofErr w:type="spellEnd"/>
      <w:r w:rsidRPr="0052733B">
        <w:rPr>
          <w:rFonts w:ascii="Book Antiqua" w:hAnsi="Book Antiqua" w:cs="宋体"/>
          <w:color w:val="000000"/>
          <w:lang w:val="en-US" w:eastAsia="zh-CN"/>
        </w:rPr>
        <w:t xml:space="preserve"> E, </w:t>
      </w:r>
      <w:proofErr w:type="spellStart"/>
      <w:r w:rsidRPr="0052733B">
        <w:rPr>
          <w:rFonts w:ascii="Book Antiqua" w:hAnsi="Book Antiqua" w:cs="宋体"/>
          <w:color w:val="000000"/>
          <w:lang w:val="en-US" w:eastAsia="zh-CN"/>
        </w:rPr>
        <w:t>Bizzaro</w:t>
      </w:r>
      <w:proofErr w:type="spellEnd"/>
      <w:r w:rsidRPr="0052733B">
        <w:rPr>
          <w:rFonts w:ascii="Book Antiqua" w:hAnsi="Book Antiqua" w:cs="宋体"/>
          <w:color w:val="000000"/>
          <w:lang w:val="en-US" w:eastAsia="zh-CN"/>
        </w:rPr>
        <w:t xml:space="preserve"> N. </w:t>
      </w:r>
      <w:proofErr w:type="spellStart"/>
      <w:r w:rsidRPr="0052733B">
        <w:rPr>
          <w:rFonts w:ascii="Book Antiqua" w:hAnsi="Book Antiqua" w:cs="宋体"/>
          <w:color w:val="000000"/>
          <w:lang w:val="en-US" w:eastAsia="zh-CN"/>
        </w:rPr>
        <w:t>Hypovitaminosis</w:t>
      </w:r>
      <w:proofErr w:type="spellEnd"/>
      <w:r w:rsidRPr="0052733B">
        <w:rPr>
          <w:rFonts w:ascii="Book Antiqua" w:hAnsi="Book Antiqua" w:cs="宋体"/>
          <w:color w:val="000000"/>
          <w:lang w:val="en-US" w:eastAsia="zh-CN"/>
        </w:rPr>
        <w:t xml:space="preserve"> D as predisposing factor for atrophic type A gastritis: a case-control study and review of the literature on the interaction of Vitamin D with the immune system. </w:t>
      </w:r>
      <w:proofErr w:type="spellStart"/>
      <w:r w:rsidRPr="0052733B">
        <w:rPr>
          <w:rFonts w:ascii="Book Antiqua" w:hAnsi="Book Antiqua" w:cs="宋体"/>
          <w:i/>
          <w:iCs/>
          <w:color w:val="000000"/>
          <w:lang w:val="en-US" w:eastAsia="zh-CN"/>
        </w:rPr>
        <w:t>Clin</w:t>
      </w:r>
      <w:proofErr w:type="spellEnd"/>
      <w:r w:rsidRPr="0052733B">
        <w:rPr>
          <w:rFonts w:ascii="Book Antiqua" w:hAnsi="Book Antiqua" w:cs="宋体"/>
          <w:i/>
          <w:iCs/>
          <w:color w:val="000000"/>
          <w:lang w:val="en-US" w:eastAsia="zh-CN"/>
        </w:rPr>
        <w:t xml:space="preserve"> Rev Allergy </w:t>
      </w:r>
      <w:proofErr w:type="spellStart"/>
      <w:r w:rsidRPr="0052733B">
        <w:rPr>
          <w:rFonts w:ascii="Book Antiqua" w:hAnsi="Book Antiqua" w:cs="宋体"/>
          <w:i/>
          <w:iCs/>
          <w:color w:val="000000"/>
          <w:lang w:val="en-US" w:eastAsia="zh-CN"/>
        </w:rPr>
        <w:t>Immunol</w:t>
      </w:r>
      <w:proofErr w:type="spellEnd"/>
      <w:r w:rsidRPr="0052733B">
        <w:rPr>
          <w:rFonts w:ascii="Book Antiqua" w:hAnsi="Book Antiqua" w:cs="宋体"/>
          <w:color w:val="000000"/>
          <w:lang w:val="en-US" w:eastAsia="zh-CN"/>
        </w:rPr>
        <w:t> 2012; </w:t>
      </w:r>
      <w:r w:rsidRPr="0052733B">
        <w:rPr>
          <w:rFonts w:ascii="Book Antiqua" w:hAnsi="Book Antiqua" w:cs="宋体"/>
          <w:b/>
          <w:bCs/>
          <w:color w:val="000000"/>
          <w:lang w:val="en-US" w:eastAsia="zh-CN"/>
        </w:rPr>
        <w:t>42</w:t>
      </w:r>
      <w:r w:rsidRPr="0052733B">
        <w:rPr>
          <w:rFonts w:ascii="Book Antiqua" w:hAnsi="Book Antiqua" w:cs="宋体"/>
          <w:color w:val="000000"/>
          <w:lang w:val="en-US" w:eastAsia="zh-CN"/>
        </w:rPr>
        <w:t>: 355-364 [PMID: 21286859 DOI: 10.1007/s12016-011-8255-1]</w:t>
      </w:r>
    </w:p>
    <w:p w14:paraId="6AC9C4AB" w14:textId="77777777" w:rsidR="0052733B" w:rsidRPr="0052733B" w:rsidRDefault="0052733B" w:rsidP="0052733B">
      <w:pPr>
        <w:spacing w:line="360" w:lineRule="auto"/>
        <w:jc w:val="both"/>
        <w:rPr>
          <w:rFonts w:ascii="Book Antiqua" w:hAnsi="Book Antiqua" w:cs="宋体"/>
          <w:color w:val="000000"/>
          <w:lang w:val="en-US" w:eastAsia="zh-CN"/>
        </w:rPr>
      </w:pPr>
      <w:proofErr w:type="gramStart"/>
      <w:r w:rsidRPr="0052733B">
        <w:rPr>
          <w:rFonts w:ascii="Book Antiqua" w:hAnsi="Book Antiqua" w:cs="宋体"/>
          <w:color w:val="000000"/>
          <w:lang w:val="en-US" w:eastAsia="zh-CN"/>
        </w:rPr>
        <w:t>86 </w:t>
      </w:r>
      <w:r w:rsidRPr="0052733B">
        <w:rPr>
          <w:rFonts w:ascii="Book Antiqua" w:hAnsi="Book Antiqua" w:cs="宋体"/>
          <w:b/>
          <w:bCs/>
          <w:color w:val="000000"/>
          <w:lang w:val="en-US" w:eastAsia="zh-CN"/>
        </w:rPr>
        <w:t>Kim HW</w:t>
      </w:r>
      <w:r w:rsidRPr="0052733B">
        <w:rPr>
          <w:rFonts w:ascii="Book Antiqua" w:hAnsi="Book Antiqua" w:cs="宋体"/>
          <w:color w:val="000000"/>
          <w:lang w:val="en-US" w:eastAsia="zh-CN"/>
        </w:rPr>
        <w:t xml:space="preserve">, Kim YH, Han K, Nam GE, Kim GS, Han BD, Lee A, </w:t>
      </w:r>
      <w:proofErr w:type="spellStart"/>
      <w:r w:rsidRPr="0052733B">
        <w:rPr>
          <w:rFonts w:ascii="Book Antiqua" w:hAnsi="Book Antiqua" w:cs="宋体"/>
          <w:color w:val="000000"/>
          <w:lang w:val="en-US" w:eastAsia="zh-CN"/>
        </w:rPr>
        <w:t>Ahn</w:t>
      </w:r>
      <w:proofErr w:type="spellEnd"/>
      <w:r w:rsidRPr="0052733B">
        <w:rPr>
          <w:rFonts w:ascii="Book Antiqua" w:hAnsi="Book Antiqua" w:cs="宋体"/>
          <w:color w:val="000000"/>
          <w:lang w:val="en-US" w:eastAsia="zh-CN"/>
        </w:rPr>
        <w:t xml:space="preserve"> JY, </w:t>
      </w:r>
      <w:proofErr w:type="spellStart"/>
      <w:r w:rsidRPr="0052733B">
        <w:rPr>
          <w:rFonts w:ascii="Book Antiqua" w:hAnsi="Book Antiqua" w:cs="宋体"/>
          <w:color w:val="000000"/>
          <w:lang w:val="en-US" w:eastAsia="zh-CN"/>
        </w:rPr>
        <w:t>Ko</w:t>
      </w:r>
      <w:proofErr w:type="spellEnd"/>
      <w:r w:rsidRPr="0052733B">
        <w:rPr>
          <w:rFonts w:ascii="Book Antiqua" w:hAnsi="Book Antiqua" w:cs="宋体"/>
          <w:color w:val="000000"/>
          <w:lang w:val="en-US" w:eastAsia="zh-CN"/>
        </w:rPr>
        <w:t xml:space="preserve"> BJ.</w:t>
      </w:r>
      <w:proofErr w:type="gramEnd"/>
      <w:r w:rsidRPr="0052733B">
        <w:rPr>
          <w:rFonts w:ascii="Book Antiqua" w:hAnsi="Book Antiqua" w:cs="宋体"/>
          <w:color w:val="000000"/>
          <w:lang w:val="en-US" w:eastAsia="zh-CN"/>
        </w:rPr>
        <w:t xml:space="preserve"> Atrophic gastritis: a related factor for osteoporosis in elderly women. </w:t>
      </w:r>
      <w:proofErr w:type="spellStart"/>
      <w:r w:rsidRPr="0052733B">
        <w:rPr>
          <w:rFonts w:ascii="Book Antiqua" w:hAnsi="Book Antiqua" w:cs="宋体"/>
          <w:i/>
          <w:iCs/>
          <w:color w:val="000000"/>
          <w:lang w:val="en-US" w:eastAsia="zh-CN"/>
        </w:rPr>
        <w:t>PLoS</w:t>
      </w:r>
      <w:proofErr w:type="spellEnd"/>
      <w:r w:rsidRPr="0052733B">
        <w:rPr>
          <w:rFonts w:ascii="Book Antiqua" w:hAnsi="Book Antiqua" w:cs="宋体"/>
          <w:i/>
          <w:iCs/>
          <w:color w:val="000000"/>
          <w:lang w:val="en-US" w:eastAsia="zh-CN"/>
        </w:rPr>
        <w:t xml:space="preserve"> One</w:t>
      </w:r>
      <w:r w:rsidRPr="0052733B">
        <w:rPr>
          <w:rFonts w:ascii="Book Antiqua" w:hAnsi="Book Antiqua" w:cs="宋体"/>
          <w:color w:val="000000"/>
          <w:lang w:val="en-US" w:eastAsia="zh-CN"/>
        </w:rPr>
        <w:t> 2014; </w:t>
      </w:r>
      <w:r w:rsidRPr="0052733B">
        <w:rPr>
          <w:rFonts w:ascii="Book Antiqua" w:hAnsi="Book Antiqua" w:cs="宋体"/>
          <w:b/>
          <w:bCs/>
          <w:color w:val="000000"/>
          <w:lang w:val="en-US" w:eastAsia="zh-CN"/>
        </w:rPr>
        <w:t>9</w:t>
      </w:r>
      <w:r w:rsidRPr="0052733B">
        <w:rPr>
          <w:rFonts w:ascii="Book Antiqua" w:hAnsi="Book Antiqua" w:cs="宋体"/>
          <w:color w:val="000000"/>
          <w:lang w:val="en-US" w:eastAsia="zh-CN"/>
        </w:rPr>
        <w:t>: e101852 [PMID: 25003598 DOI: 10.1371/journal.pone.0101852]</w:t>
      </w:r>
    </w:p>
    <w:p w14:paraId="598ACB7B" w14:textId="3427F067" w:rsidR="0052733B" w:rsidRPr="0052733B" w:rsidRDefault="0052733B" w:rsidP="0052733B">
      <w:pPr>
        <w:wordWrap w:val="0"/>
        <w:snapToGrid w:val="0"/>
        <w:spacing w:line="360" w:lineRule="auto"/>
        <w:jc w:val="right"/>
        <w:rPr>
          <w:rFonts w:ascii="Book Antiqua" w:hAnsi="Book Antiqua"/>
          <w:lang w:val="en-US" w:eastAsia="zh-CN"/>
        </w:rPr>
      </w:pPr>
      <w:bookmarkStart w:id="62" w:name="OLE_LINK51"/>
      <w:bookmarkStart w:id="63" w:name="OLE_LINK52"/>
      <w:bookmarkStart w:id="64" w:name="OLE_LINK120"/>
      <w:bookmarkStart w:id="65" w:name="OLE_LINK148"/>
      <w:bookmarkStart w:id="66" w:name="OLE_LINK72"/>
      <w:bookmarkStart w:id="67" w:name="OLE_LINK112"/>
      <w:bookmarkStart w:id="68" w:name="OLE_LINK320"/>
      <w:bookmarkStart w:id="69" w:name="OLE_LINK387"/>
      <w:bookmarkStart w:id="70" w:name="OLE_LINK183"/>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82"/>
      <w:bookmarkStart w:id="80" w:name="OLE_LINK313"/>
      <w:bookmarkStart w:id="81" w:name="OLE_LINK304"/>
      <w:bookmarkStart w:id="82" w:name="OLE_LINK321"/>
      <w:bookmarkStart w:id="83" w:name="OLE_LINK385"/>
      <w:bookmarkStart w:id="84" w:name="OLE_LINK400"/>
      <w:bookmarkStart w:id="85" w:name="OLE_LINK346"/>
      <w:bookmarkStart w:id="86" w:name="OLE_LINK371"/>
      <w:bookmarkStart w:id="87" w:name="OLE_LINK334"/>
      <w:bookmarkStart w:id="88" w:name="OLE_LINK1830"/>
      <w:bookmarkStart w:id="89" w:name="OLE_LINK457"/>
      <w:bookmarkStart w:id="90" w:name="OLE_LINK288"/>
      <w:bookmarkStart w:id="91" w:name="OLE_LINK384"/>
      <w:bookmarkStart w:id="92" w:name="OLE_LINK379"/>
      <w:bookmarkStart w:id="93" w:name="OLE_LINK303"/>
      <w:bookmarkStart w:id="94" w:name="OLE_LINK450"/>
      <w:bookmarkStart w:id="95" w:name="OLE_LINK489"/>
      <w:bookmarkStart w:id="96" w:name="OLE_LINK535"/>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r w:rsidRPr="0052733B">
        <w:rPr>
          <w:rFonts w:ascii="Book Antiqua" w:hAnsi="Book Antiqua"/>
          <w:b/>
          <w:bCs/>
          <w:lang w:val="en-US" w:eastAsia="zh-CN"/>
        </w:rPr>
        <w:t>P-Reviewer:</w:t>
      </w:r>
      <w:r w:rsidRPr="0052733B">
        <w:rPr>
          <w:rFonts w:ascii="Book Antiqua" w:hAnsi="Book Antiqua" w:hint="eastAsia"/>
          <w:b/>
          <w:bCs/>
          <w:lang w:val="en-US" w:eastAsia="zh-CN"/>
        </w:rPr>
        <w:t xml:space="preserve"> </w:t>
      </w:r>
      <w:proofErr w:type="spellStart"/>
      <w:r w:rsidRPr="0052733B">
        <w:rPr>
          <w:rFonts w:ascii="Book Antiqua" w:hAnsi="Book Antiqua"/>
          <w:bCs/>
          <w:lang w:val="en-US" w:eastAsia="zh-CN"/>
        </w:rPr>
        <w:t>DiPaolo</w:t>
      </w:r>
      <w:proofErr w:type="spellEnd"/>
      <w:r w:rsidRPr="0052733B">
        <w:rPr>
          <w:rFonts w:ascii="Book Antiqua" w:hAnsi="Book Antiqua" w:hint="eastAsia"/>
          <w:bCs/>
          <w:lang w:val="en-US" w:eastAsia="zh-CN"/>
        </w:rPr>
        <w:t xml:space="preserve"> </w:t>
      </w:r>
      <w:r w:rsidRPr="0052733B">
        <w:rPr>
          <w:rFonts w:ascii="Book Antiqua" w:hAnsi="Book Antiqua"/>
          <w:bCs/>
          <w:lang w:val="en-US" w:eastAsia="zh-CN"/>
        </w:rPr>
        <w:t>RJ</w:t>
      </w:r>
      <w:r w:rsidRPr="0052733B">
        <w:rPr>
          <w:rFonts w:ascii="Book Antiqua" w:hAnsi="Book Antiqua" w:hint="eastAsia"/>
          <w:bCs/>
          <w:lang w:val="en-US" w:eastAsia="zh-CN"/>
        </w:rPr>
        <w:t xml:space="preserve">, </w:t>
      </w:r>
      <w:proofErr w:type="spellStart"/>
      <w:r w:rsidRPr="0052733B">
        <w:rPr>
          <w:rFonts w:ascii="Book Antiqua" w:hAnsi="Book Antiqua"/>
          <w:bCs/>
          <w:lang w:val="en-US" w:eastAsia="zh-CN"/>
        </w:rPr>
        <w:t>Marchi</w:t>
      </w:r>
      <w:proofErr w:type="spellEnd"/>
      <w:r w:rsidRPr="0052733B">
        <w:rPr>
          <w:rFonts w:ascii="Book Antiqua" w:hAnsi="Book Antiqua"/>
          <w:bCs/>
          <w:lang w:val="en-US" w:eastAsia="zh-CN"/>
        </w:rPr>
        <w:t xml:space="preserve"> S</w:t>
      </w:r>
      <w:r w:rsidR="00BB240F">
        <w:rPr>
          <w:rFonts w:ascii="Book Antiqua" w:hAnsi="Book Antiqua" w:hint="eastAsia"/>
          <w:bCs/>
          <w:lang w:val="en-US" w:eastAsia="zh-CN"/>
        </w:rPr>
        <w:t xml:space="preserve">, </w:t>
      </w:r>
      <w:r w:rsidR="00BB240F" w:rsidRPr="00BB240F">
        <w:rPr>
          <w:rFonts w:ascii="Book Antiqua" w:hAnsi="Book Antiqua"/>
          <w:bCs/>
          <w:lang w:val="en-US" w:eastAsia="zh-CN"/>
        </w:rPr>
        <w:t>Garcia-</w:t>
      </w:r>
      <w:proofErr w:type="spellStart"/>
      <w:r w:rsidR="00BB240F" w:rsidRPr="00BB240F">
        <w:rPr>
          <w:rFonts w:ascii="Book Antiqua" w:hAnsi="Book Antiqua"/>
          <w:bCs/>
          <w:lang w:val="en-US" w:eastAsia="zh-CN"/>
        </w:rPr>
        <w:t>Olmo</w:t>
      </w:r>
      <w:proofErr w:type="spellEnd"/>
      <w:r w:rsidR="00BB240F">
        <w:rPr>
          <w:rFonts w:ascii="Book Antiqua" w:hAnsi="Book Antiqua" w:hint="eastAsia"/>
          <w:bCs/>
          <w:lang w:val="en-US" w:eastAsia="zh-CN"/>
        </w:rPr>
        <w:t xml:space="preserve"> D</w:t>
      </w:r>
      <w:r w:rsidRPr="0052733B">
        <w:rPr>
          <w:rFonts w:ascii="Book Antiqua" w:hAnsi="Book Antiqua" w:hint="eastAsia"/>
          <w:b/>
          <w:bCs/>
          <w:lang w:val="en-US" w:eastAsia="zh-CN"/>
        </w:rPr>
        <w:t xml:space="preserve"> </w:t>
      </w:r>
      <w:r w:rsidRPr="0052733B">
        <w:rPr>
          <w:rFonts w:ascii="Book Antiqua" w:hAnsi="Book Antiqua"/>
          <w:b/>
          <w:bCs/>
          <w:lang w:val="en-US" w:eastAsia="zh-CN"/>
        </w:rPr>
        <w:t>S-Editor:</w:t>
      </w:r>
      <w:r w:rsidRPr="0052733B">
        <w:rPr>
          <w:rFonts w:ascii="Book Antiqua" w:hAnsi="Book Antiqua" w:hint="eastAsia"/>
          <w:lang w:val="en-US" w:eastAsia="zh-CN"/>
        </w:rPr>
        <w:t xml:space="preserve"> Gong ZM</w:t>
      </w:r>
    </w:p>
    <w:p w14:paraId="3CAD1529" w14:textId="77777777" w:rsidR="0052733B" w:rsidRPr="0052733B" w:rsidRDefault="0052733B" w:rsidP="0052733B">
      <w:pPr>
        <w:snapToGrid w:val="0"/>
        <w:spacing w:line="360" w:lineRule="auto"/>
        <w:jc w:val="right"/>
        <w:rPr>
          <w:rFonts w:ascii="Book Antiqua" w:hAnsi="Book Antiqua"/>
          <w:b/>
          <w:bCs/>
          <w:lang w:val="en-US" w:eastAsia="zh-CN"/>
        </w:rPr>
      </w:pPr>
      <w:r w:rsidRPr="0052733B">
        <w:rPr>
          <w:rFonts w:ascii="Book Antiqua" w:hAnsi="Book Antiqua"/>
          <w:b/>
          <w:bCs/>
          <w:lang w:val="en-US" w:eastAsia="zh-CN"/>
        </w:rPr>
        <w:t>L-Editor:</w:t>
      </w:r>
      <w:r w:rsidRPr="0052733B">
        <w:rPr>
          <w:rFonts w:ascii="Book Antiqua" w:hAnsi="Book Antiqua"/>
          <w:lang w:val="en-US" w:eastAsia="zh-CN"/>
        </w:rPr>
        <w:t xml:space="preserve"> </w:t>
      </w:r>
      <w:r w:rsidRPr="0052733B">
        <w:rPr>
          <w:rFonts w:ascii="Book Antiqua" w:hAnsi="Book Antiqua"/>
          <w:b/>
          <w:bCs/>
          <w:lang w:val="en-US" w:eastAsia="zh-CN"/>
        </w:rPr>
        <w:t>E-Editor:</w:t>
      </w:r>
    </w:p>
    <w:p w14:paraId="571199D0" w14:textId="77777777" w:rsidR="0052733B" w:rsidRPr="0052733B" w:rsidRDefault="0052733B" w:rsidP="0052733B">
      <w:pPr>
        <w:shd w:val="clear" w:color="auto" w:fill="FFFFFF"/>
        <w:snapToGrid w:val="0"/>
        <w:spacing w:line="360" w:lineRule="auto"/>
        <w:jc w:val="both"/>
        <w:rPr>
          <w:rFonts w:ascii="Book Antiqua" w:hAnsi="Book Antiqua" w:cs="Helvetica"/>
          <w:b/>
          <w:lang w:val="en-US" w:eastAsia="zh-CN"/>
        </w:rPr>
      </w:pPr>
      <w:bookmarkStart w:id="167" w:name="OLE_LINK880"/>
      <w:bookmarkStart w:id="168" w:name="OLE_LINK881"/>
      <w:bookmarkStart w:id="169" w:name="OLE_LINK497"/>
      <w:bookmarkStart w:id="170" w:name="OLE_LINK81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52733B">
        <w:rPr>
          <w:rFonts w:ascii="Book Antiqua" w:hAnsi="Book Antiqua" w:cs="Helvetica"/>
          <w:b/>
          <w:lang w:val="en-US" w:eastAsia="zh-CN"/>
        </w:rPr>
        <w:t xml:space="preserve">Specialty type: </w:t>
      </w:r>
      <w:r w:rsidRPr="0052733B">
        <w:rPr>
          <w:rFonts w:ascii="Book Antiqua" w:hAnsi="Book Antiqua" w:cs="Helvetica"/>
          <w:lang w:val="en-US" w:eastAsia="zh-CN"/>
        </w:rPr>
        <w:t>Gastroenterology and</w:t>
      </w:r>
      <w:r w:rsidRPr="0052733B">
        <w:rPr>
          <w:rFonts w:ascii="Book Antiqua" w:hAnsi="Book Antiqua" w:cs="Helvetica" w:hint="eastAsia"/>
          <w:lang w:val="en-US" w:eastAsia="zh-CN"/>
        </w:rPr>
        <w:t xml:space="preserve"> </w:t>
      </w:r>
      <w:proofErr w:type="spellStart"/>
      <w:r w:rsidRPr="0052733B">
        <w:rPr>
          <w:rFonts w:ascii="Book Antiqua" w:hAnsi="Book Antiqua" w:cs="Helvetica"/>
          <w:lang w:val="en-US" w:eastAsia="zh-CN"/>
        </w:rPr>
        <w:t>hepatology</w:t>
      </w:r>
      <w:proofErr w:type="spellEnd"/>
    </w:p>
    <w:p w14:paraId="5946AB2F" w14:textId="77777777" w:rsidR="0052733B" w:rsidRPr="0052733B" w:rsidRDefault="0052733B" w:rsidP="0052733B">
      <w:pPr>
        <w:shd w:val="clear" w:color="auto" w:fill="FFFFFF"/>
        <w:snapToGrid w:val="0"/>
        <w:spacing w:line="360" w:lineRule="auto"/>
        <w:jc w:val="both"/>
        <w:rPr>
          <w:rFonts w:ascii="Book Antiqua" w:hAnsi="Book Antiqua" w:cs="Helvetica"/>
          <w:b/>
          <w:lang w:val="en-US" w:eastAsia="zh-CN"/>
        </w:rPr>
      </w:pPr>
      <w:r w:rsidRPr="0052733B">
        <w:rPr>
          <w:rFonts w:ascii="Book Antiqua" w:hAnsi="Book Antiqua" w:cs="Helvetica"/>
          <w:b/>
          <w:lang w:val="en-US" w:eastAsia="zh-CN"/>
        </w:rPr>
        <w:t xml:space="preserve">Country of origin: </w:t>
      </w:r>
      <w:r w:rsidRPr="0052733B">
        <w:rPr>
          <w:rFonts w:ascii="Book Antiqua" w:hAnsi="Book Antiqua" w:cs="Helvetica" w:hint="eastAsia"/>
          <w:lang w:val="en-CA" w:eastAsia="zh-CN"/>
        </w:rPr>
        <w:t>Italy</w:t>
      </w:r>
    </w:p>
    <w:p w14:paraId="07221620" w14:textId="77777777" w:rsidR="0052733B" w:rsidRPr="0052733B" w:rsidRDefault="0052733B" w:rsidP="0052733B">
      <w:pPr>
        <w:shd w:val="clear" w:color="auto" w:fill="FFFFFF"/>
        <w:snapToGrid w:val="0"/>
        <w:spacing w:line="360" w:lineRule="auto"/>
        <w:jc w:val="both"/>
        <w:rPr>
          <w:rFonts w:ascii="Book Antiqua" w:hAnsi="Book Antiqua" w:cs="Helvetica"/>
          <w:b/>
          <w:lang w:val="en-US" w:eastAsia="zh-CN"/>
        </w:rPr>
      </w:pPr>
      <w:r w:rsidRPr="0052733B">
        <w:rPr>
          <w:rFonts w:ascii="Book Antiqua" w:hAnsi="Book Antiqua" w:cs="Helvetica"/>
          <w:b/>
          <w:lang w:val="en-US" w:eastAsia="zh-CN"/>
        </w:rPr>
        <w:lastRenderedPageBreak/>
        <w:t>Peer-review report classification</w:t>
      </w:r>
    </w:p>
    <w:p w14:paraId="41B77A41" w14:textId="77777777" w:rsidR="0052733B" w:rsidRPr="0052733B" w:rsidRDefault="0052733B" w:rsidP="0052733B">
      <w:pPr>
        <w:shd w:val="clear" w:color="auto" w:fill="FFFFFF"/>
        <w:snapToGrid w:val="0"/>
        <w:spacing w:line="360" w:lineRule="auto"/>
        <w:jc w:val="both"/>
        <w:rPr>
          <w:rFonts w:ascii="Book Antiqua" w:hAnsi="Book Antiqua" w:cs="Helvetica"/>
          <w:lang w:val="en-US" w:eastAsia="zh-CN"/>
        </w:rPr>
      </w:pPr>
      <w:r w:rsidRPr="0052733B">
        <w:rPr>
          <w:rFonts w:ascii="Book Antiqua" w:hAnsi="Book Antiqua" w:cs="Helvetica"/>
          <w:lang w:val="en-US" w:eastAsia="zh-CN"/>
        </w:rPr>
        <w:t xml:space="preserve">Grade A (Excellent): </w:t>
      </w:r>
      <w:r w:rsidRPr="0052733B">
        <w:rPr>
          <w:rFonts w:ascii="Book Antiqua" w:hAnsi="Book Antiqua" w:cs="Helvetica" w:hint="eastAsia"/>
          <w:lang w:val="en-US" w:eastAsia="zh-CN"/>
        </w:rPr>
        <w:t>0</w:t>
      </w:r>
    </w:p>
    <w:p w14:paraId="36D9E508" w14:textId="77777777" w:rsidR="0052733B" w:rsidRPr="0052733B" w:rsidRDefault="0052733B" w:rsidP="0052733B">
      <w:pPr>
        <w:shd w:val="clear" w:color="auto" w:fill="FFFFFF"/>
        <w:snapToGrid w:val="0"/>
        <w:spacing w:line="360" w:lineRule="auto"/>
        <w:jc w:val="both"/>
        <w:rPr>
          <w:rFonts w:ascii="Book Antiqua" w:hAnsi="Book Antiqua" w:cs="Helvetica"/>
          <w:lang w:val="en-US" w:eastAsia="zh-CN"/>
        </w:rPr>
      </w:pPr>
      <w:r w:rsidRPr="0052733B">
        <w:rPr>
          <w:rFonts w:ascii="Book Antiqua" w:hAnsi="Book Antiqua" w:cs="Helvetica"/>
          <w:lang w:val="en-US" w:eastAsia="zh-CN"/>
        </w:rPr>
        <w:t xml:space="preserve">Grade B (Very good): </w:t>
      </w:r>
      <w:r w:rsidRPr="0052733B">
        <w:rPr>
          <w:rFonts w:ascii="Book Antiqua" w:hAnsi="Book Antiqua" w:cs="Helvetica" w:hint="eastAsia"/>
          <w:lang w:val="en-US" w:eastAsia="zh-CN"/>
        </w:rPr>
        <w:t>B</w:t>
      </w:r>
    </w:p>
    <w:p w14:paraId="60344071" w14:textId="7B3E7A74" w:rsidR="0052733B" w:rsidRPr="0052733B" w:rsidRDefault="0052733B" w:rsidP="0052733B">
      <w:pPr>
        <w:shd w:val="clear" w:color="auto" w:fill="FFFFFF"/>
        <w:snapToGrid w:val="0"/>
        <w:spacing w:line="360" w:lineRule="auto"/>
        <w:jc w:val="both"/>
        <w:rPr>
          <w:rFonts w:ascii="Book Antiqua" w:hAnsi="Book Antiqua" w:cs="Helvetica"/>
          <w:lang w:val="en-US" w:eastAsia="zh-CN"/>
        </w:rPr>
      </w:pPr>
      <w:r w:rsidRPr="0052733B">
        <w:rPr>
          <w:rFonts w:ascii="Book Antiqua" w:hAnsi="Book Antiqua" w:cs="Helvetica"/>
          <w:lang w:val="en-US" w:eastAsia="zh-CN"/>
        </w:rPr>
        <w:t xml:space="preserve">Grade C (Good): </w:t>
      </w:r>
      <w:r w:rsidRPr="0052733B">
        <w:rPr>
          <w:rFonts w:ascii="Book Antiqua" w:hAnsi="Book Antiqua" w:cs="Helvetica" w:hint="eastAsia"/>
          <w:lang w:val="en-US" w:eastAsia="zh-CN"/>
        </w:rPr>
        <w:t>C</w:t>
      </w:r>
      <w:r w:rsidR="00BB240F">
        <w:rPr>
          <w:rFonts w:ascii="Book Antiqua" w:hAnsi="Book Antiqua" w:cs="Helvetica" w:hint="eastAsia"/>
          <w:lang w:val="en-US" w:eastAsia="zh-CN"/>
        </w:rPr>
        <w:t>, C</w:t>
      </w:r>
    </w:p>
    <w:p w14:paraId="4F991567" w14:textId="77777777" w:rsidR="0052733B" w:rsidRPr="0052733B" w:rsidRDefault="0052733B" w:rsidP="0052733B">
      <w:pPr>
        <w:shd w:val="clear" w:color="auto" w:fill="FFFFFF"/>
        <w:snapToGrid w:val="0"/>
        <w:spacing w:line="360" w:lineRule="auto"/>
        <w:jc w:val="both"/>
        <w:rPr>
          <w:rFonts w:ascii="Book Antiqua" w:hAnsi="Book Antiqua" w:cs="Helvetica"/>
          <w:lang w:val="en-US" w:eastAsia="zh-CN"/>
        </w:rPr>
      </w:pPr>
      <w:r w:rsidRPr="0052733B">
        <w:rPr>
          <w:rFonts w:ascii="Book Antiqua" w:hAnsi="Book Antiqua" w:cs="Helvetica"/>
          <w:lang w:val="en-US" w:eastAsia="zh-CN"/>
        </w:rPr>
        <w:t xml:space="preserve">Grade D (Fair): </w:t>
      </w:r>
      <w:r w:rsidRPr="0052733B">
        <w:rPr>
          <w:rFonts w:ascii="Book Antiqua" w:hAnsi="Book Antiqua" w:cs="Helvetica" w:hint="eastAsia"/>
          <w:lang w:val="en-US" w:eastAsia="zh-CN"/>
        </w:rPr>
        <w:t>0</w:t>
      </w:r>
    </w:p>
    <w:p w14:paraId="6431197B" w14:textId="1DD0D9EB" w:rsidR="00E6359B" w:rsidRPr="0052733B" w:rsidRDefault="0052733B" w:rsidP="0052733B">
      <w:pPr>
        <w:shd w:val="clear" w:color="auto" w:fill="FFFFFF"/>
        <w:snapToGrid w:val="0"/>
        <w:spacing w:line="360" w:lineRule="auto"/>
        <w:jc w:val="both"/>
        <w:rPr>
          <w:rFonts w:ascii="Book Antiqua" w:hAnsi="Book Antiqua" w:cs="Helvetica"/>
          <w:lang w:val="en-US" w:eastAsia="zh-CN"/>
        </w:rPr>
      </w:pPr>
      <w:r w:rsidRPr="0052733B">
        <w:rPr>
          <w:rFonts w:ascii="Book Antiqua" w:hAnsi="Book Antiqua" w:cs="Helvetica"/>
          <w:lang w:val="en-US" w:eastAsia="zh-CN"/>
        </w:rPr>
        <w:t xml:space="preserve">Grade E (Poor): </w:t>
      </w:r>
      <w:r w:rsidRPr="0052733B">
        <w:rPr>
          <w:rFonts w:ascii="Book Antiqua" w:hAnsi="Book Antiqua" w:cs="Helvetica" w:hint="eastAsia"/>
          <w:lang w:val="en-US" w:eastAsia="zh-CN"/>
        </w:rPr>
        <w:t>0</w:t>
      </w:r>
      <w:bookmarkEnd w:id="167"/>
      <w:bookmarkEnd w:id="168"/>
      <w:bookmarkEnd w:id="169"/>
      <w:bookmarkEnd w:id="170"/>
    </w:p>
    <w:p w14:paraId="2D96D3AD" w14:textId="5ED1E25E" w:rsidR="00687605" w:rsidRPr="00AD3221" w:rsidRDefault="00E6359B" w:rsidP="006A15C2">
      <w:pPr>
        <w:widowControl w:val="0"/>
        <w:autoSpaceDE w:val="0"/>
        <w:autoSpaceDN w:val="0"/>
        <w:adjustRightInd w:val="0"/>
        <w:snapToGrid w:val="0"/>
        <w:spacing w:line="360" w:lineRule="auto"/>
        <w:jc w:val="both"/>
        <w:rPr>
          <w:rFonts w:ascii="Book Antiqua" w:hAnsi="Book Antiqua" w:cs="Book Antiqua"/>
          <w:b/>
          <w:lang w:val="en" w:eastAsia="zh-CN"/>
        </w:rPr>
      </w:pPr>
      <w:r w:rsidRPr="006A15C2">
        <w:rPr>
          <w:rFonts w:ascii="Book Antiqua" w:hAnsi="Book Antiqua" w:cs="Book Antiqua"/>
          <w:lang w:val="en"/>
        </w:rPr>
        <w:br w:type="page"/>
      </w:r>
      <w:r w:rsidR="00687605" w:rsidRPr="00AD3221">
        <w:rPr>
          <w:rFonts w:ascii="Book Antiqua" w:hAnsi="Book Antiqua" w:cs="Book Antiqua"/>
          <w:b/>
          <w:lang w:val="en"/>
        </w:rPr>
        <w:lastRenderedPageBreak/>
        <w:t>Table1</w:t>
      </w:r>
      <w:r w:rsidR="00AD3221" w:rsidRPr="00AD3221">
        <w:rPr>
          <w:rFonts w:ascii="Book Antiqua" w:hAnsi="Book Antiqua" w:cs="Book Antiqua" w:hint="eastAsia"/>
          <w:b/>
          <w:lang w:val="en" w:eastAsia="zh-CN"/>
        </w:rPr>
        <w:t xml:space="preserve"> </w:t>
      </w:r>
      <w:r w:rsidR="00687605" w:rsidRPr="00AD3221">
        <w:rPr>
          <w:rFonts w:ascii="Book Antiqua" w:hAnsi="Book Antiqua" w:cs="Book Antiqua"/>
          <w:b/>
          <w:lang w:val="en"/>
        </w:rPr>
        <w:t xml:space="preserve">Clinical and </w:t>
      </w:r>
      <w:r w:rsidR="00695E4E" w:rsidRPr="00AD3221">
        <w:rPr>
          <w:rFonts w:ascii="Book Antiqua" w:hAnsi="Book Antiqua" w:cs="Book Antiqua"/>
          <w:b/>
          <w:lang w:val="en"/>
        </w:rPr>
        <w:t>l</w:t>
      </w:r>
      <w:r w:rsidR="00687605" w:rsidRPr="00AD3221">
        <w:rPr>
          <w:rFonts w:ascii="Book Antiqua" w:hAnsi="Book Antiqua" w:cs="Book Antiqua"/>
          <w:b/>
          <w:lang w:val="en"/>
        </w:rPr>
        <w:t xml:space="preserve">aboratory </w:t>
      </w:r>
      <w:r w:rsidR="00695E4E" w:rsidRPr="00AD3221">
        <w:rPr>
          <w:rFonts w:ascii="Book Antiqua" w:hAnsi="Book Antiqua" w:cs="Book Antiqua"/>
          <w:b/>
          <w:lang w:val="en"/>
        </w:rPr>
        <w:t>f</w:t>
      </w:r>
      <w:r w:rsidR="00687605" w:rsidRPr="00AD3221">
        <w:rPr>
          <w:rFonts w:ascii="Book Antiqua" w:hAnsi="Book Antiqua" w:cs="Book Antiqua"/>
          <w:b/>
          <w:lang w:val="en"/>
        </w:rPr>
        <w:t xml:space="preserve">indings in </w:t>
      </w:r>
      <w:r w:rsidR="00695E4E" w:rsidRPr="00AD3221">
        <w:rPr>
          <w:rFonts w:ascii="Book Antiqua" w:hAnsi="Book Antiqua" w:cs="Book Antiqua"/>
          <w:b/>
          <w:lang w:val="en"/>
        </w:rPr>
        <w:t>v</w:t>
      </w:r>
      <w:r w:rsidR="00687605" w:rsidRPr="00AD3221">
        <w:rPr>
          <w:rFonts w:ascii="Book Antiqua" w:hAnsi="Book Antiqua" w:cs="Book Antiqua"/>
          <w:b/>
          <w:lang w:val="en"/>
        </w:rPr>
        <w:t xml:space="preserve">itamin B12 </w:t>
      </w:r>
      <w:r w:rsidR="00695E4E" w:rsidRPr="00AD3221">
        <w:rPr>
          <w:rFonts w:ascii="Book Antiqua" w:hAnsi="Book Antiqua" w:cs="Book Antiqua"/>
          <w:b/>
          <w:lang w:val="en"/>
        </w:rPr>
        <w:t>d</w:t>
      </w:r>
      <w:r w:rsidR="00AD3221" w:rsidRPr="00AD3221">
        <w:rPr>
          <w:rFonts w:ascii="Book Antiqua" w:hAnsi="Book Antiqua" w:cs="Book Antiqua"/>
          <w:b/>
          <w:lang w:val="en"/>
        </w:rPr>
        <w:t>eficiency</w:t>
      </w:r>
    </w:p>
    <w:tbl>
      <w:tblPr>
        <w:tblW w:w="0" w:type="auto"/>
        <w:tblInd w:w="108" w:type="dxa"/>
        <w:tblBorders>
          <w:top w:val="single" w:sz="4" w:space="0" w:color="000000"/>
          <w:bottom w:val="single" w:sz="4" w:space="0" w:color="000000"/>
        </w:tblBorders>
        <w:tblLayout w:type="fixed"/>
        <w:tblLook w:val="0000" w:firstRow="0" w:lastRow="0" w:firstColumn="0" w:lastColumn="0" w:noHBand="0" w:noVBand="0"/>
      </w:tblPr>
      <w:tblGrid>
        <w:gridCol w:w="2808"/>
        <w:gridCol w:w="6970"/>
      </w:tblGrid>
      <w:tr w:rsidR="00687605" w:rsidRPr="006A15C2" w14:paraId="7482AB62" w14:textId="77777777" w:rsidTr="00BB240F">
        <w:trPr>
          <w:trHeight w:val="1"/>
        </w:trPr>
        <w:tc>
          <w:tcPr>
            <w:tcW w:w="2808" w:type="dxa"/>
            <w:shd w:val="clear" w:color="000000" w:fill="FFFFFF"/>
          </w:tcPr>
          <w:p w14:paraId="4BD3CA9C" w14:textId="1DC959EF" w:rsidR="00687605" w:rsidRPr="00AD3221" w:rsidRDefault="00687605" w:rsidP="00AD3221">
            <w:pPr>
              <w:widowControl w:val="0"/>
              <w:autoSpaceDE w:val="0"/>
              <w:autoSpaceDN w:val="0"/>
              <w:adjustRightInd w:val="0"/>
              <w:snapToGrid w:val="0"/>
              <w:spacing w:line="360" w:lineRule="auto"/>
              <w:rPr>
                <w:rFonts w:ascii="Book Antiqua" w:hAnsi="Book Antiqua" w:cs="Book Antiqua"/>
                <w:lang w:val="en" w:eastAsia="zh-CN"/>
              </w:rPr>
            </w:pPr>
            <w:r w:rsidRPr="006A15C2">
              <w:rPr>
                <w:rFonts w:ascii="Book Antiqua" w:hAnsi="Book Antiqua" w:cs="Book Antiqua"/>
                <w:lang w:val="en"/>
              </w:rPr>
              <w:t>General symptoms</w:t>
            </w:r>
          </w:p>
        </w:tc>
        <w:tc>
          <w:tcPr>
            <w:tcW w:w="6970" w:type="dxa"/>
            <w:shd w:val="clear" w:color="000000" w:fill="FFFFFF"/>
          </w:tcPr>
          <w:p w14:paraId="17109C10" w14:textId="508BEA3C"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Weight loss observed in most patients</w:t>
            </w:r>
            <w:r w:rsidR="00AD3221">
              <w:rPr>
                <w:rFonts w:ascii="Book Antiqua" w:hAnsi="Book Antiqua" w:cs="Book Antiqua" w:hint="eastAsia"/>
                <w:lang w:val="en" w:eastAsia="zh-CN"/>
              </w:rPr>
              <w:t>.</w:t>
            </w:r>
          </w:p>
          <w:p w14:paraId="733FE009"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Low-grade fever occurs in one third of newly diagnosed patients and promptly disappears with treatment.</w:t>
            </w:r>
          </w:p>
        </w:tc>
      </w:tr>
      <w:tr w:rsidR="00687605" w:rsidRPr="006A15C2" w14:paraId="76F0724C" w14:textId="77777777" w:rsidTr="00BB240F">
        <w:trPr>
          <w:trHeight w:val="2614"/>
        </w:trPr>
        <w:tc>
          <w:tcPr>
            <w:tcW w:w="2808" w:type="dxa"/>
            <w:shd w:val="clear" w:color="000000" w:fill="FFFFFF"/>
          </w:tcPr>
          <w:p w14:paraId="15FA9E62" w14:textId="0D28314B" w:rsidR="00687605" w:rsidRPr="00246589" w:rsidRDefault="00687605" w:rsidP="00246589">
            <w:pPr>
              <w:keepNext/>
              <w:widowControl w:val="0"/>
              <w:autoSpaceDE w:val="0"/>
              <w:autoSpaceDN w:val="0"/>
              <w:adjustRightInd w:val="0"/>
              <w:snapToGrid w:val="0"/>
              <w:spacing w:line="360" w:lineRule="auto"/>
              <w:rPr>
                <w:rFonts w:ascii="Book Antiqua" w:hAnsi="Book Antiqua" w:cs="Book Antiqua"/>
                <w:color w:val="000000"/>
                <w:lang w:val="en" w:eastAsia="zh-CN"/>
              </w:rPr>
            </w:pPr>
            <w:r w:rsidRPr="006A15C2">
              <w:rPr>
                <w:rFonts w:ascii="Book Antiqua" w:hAnsi="Book Antiqua" w:cs="Book Antiqua"/>
                <w:color w:val="000000"/>
                <w:lang w:val="en"/>
              </w:rPr>
              <w:t>Gastrointestinal symptoms</w:t>
            </w:r>
          </w:p>
        </w:tc>
        <w:tc>
          <w:tcPr>
            <w:tcW w:w="6970" w:type="dxa"/>
            <w:shd w:val="clear" w:color="000000" w:fill="FFFFFF"/>
          </w:tcPr>
          <w:p w14:paraId="4A9AC69B" w14:textId="77777777" w:rsidR="00695E4E" w:rsidRPr="006A15C2" w:rsidRDefault="00687605" w:rsidP="00246589">
            <w:pPr>
              <w:widowControl w:val="0"/>
              <w:autoSpaceDE w:val="0"/>
              <w:autoSpaceDN w:val="0"/>
              <w:adjustRightInd w:val="0"/>
              <w:snapToGrid w:val="0"/>
              <w:spacing w:line="360" w:lineRule="auto"/>
              <w:jc w:val="both"/>
              <w:rPr>
                <w:rFonts w:ascii="Book Antiqua" w:hAnsi="Book Antiqua" w:cs="Book Antiqua"/>
                <w:color w:val="000000"/>
                <w:lang w:val="en"/>
              </w:rPr>
            </w:pPr>
            <w:r w:rsidRPr="006A15C2">
              <w:rPr>
                <w:rFonts w:ascii="Book Antiqua" w:hAnsi="Book Antiqua" w:cs="Book Antiqua"/>
                <w:color w:val="000000"/>
                <w:lang w:val="en"/>
              </w:rPr>
              <w:t>Smooth tongue (50% of patients) with loss of papillae. Changes in taste and loss of appetite.</w:t>
            </w:r>
            <w:r w:rsidR="00695E4E" w:rsidRPr="006A15C2">
              <w:rPr>
                <w:rFonts w:ascii="Book Antiqua" w:hAnsi="Book Antiqua" w:cs="Book Antiqua"/>
                <w:color w:val="000000"/>
                <w:lang w:val="en"/>
              </w:rPr>
              <w:t xml:space="preserve"> </w:t>
            </w:r>
          </w:p>
          <w:p w14:paraId="2EC1FA35"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color w:val="000000"/>
                <w:lang w:val="en"/>
              </w:rPr>
            </w:pPr>
            <w:r w:rsidRPr="006A15C2">
              <w:rPr>
                <w:rFonts w:ascii="Book Antiqua" w:hAnsi="Book Antiqua" w:cs="Book Antiqua"/>
                <w:color w:val="000000"/>
                <w:lang w:val="en"/>
              </w:rPr>
              <w:t>Patients may report either constipation or having several semi</w:t>
            </w:r>
            <w:r w:rsidR="00695E4E" w:rsidRPr="006A15C2">
              <w:rPr>
                <w:rFonts w:ascii="Book Antiqua" w:hAnsi="Book Antiqua" w:cs="Book Antiqua"/>
                <w:color w:val="000000"/>
                <w:lang w:val="en"/>
              </w:rPr>
              <w:t>-</w:t>
            </w:r>
            <w:r w:rsidRPr="006A15C2">
              <w:rPr>
                <w:rFonts w:ascii="Book Antiqua" w:hAnsi="Book Antiqua" w:cs="Book Antiqua"/>
                <w:color w:val="000000"/>
                <w:lang w:val="en"/>
              </w:rPr>
              <w:t xml:space="preserve">solid bowel movements daily. </w:t>
            </w:r>
          </w:p>
          <w:p w14:paraId="62A88B2F"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 xml:space="preserve">Anorexia, nausea, vomiting, heartburn, pyrosis, flatulence and a sense of fullness. </w:t>
            </w:r>
          </w:p>
        </w:tc>
      </w:tr>
      <w:tr w:rsidR="00687605" w:rsidRPr="006A15C2" w14:paraId="420DE5D8" w14:textId="77777777" w:rsidTr="00BB240F">
        <w:trPr>
          <w:trHeight w:val="1"/>
        </w:trPr>
        <w:tc>
          <w:tcPr>
            <w:tcW w:w="2808" w:type="dxa"/>
            <w:shd w:val="clear" w:color="000000" w:fill="FFFFFF"/>
          </w:tcPr>
          <w:p w14:paraId="015DC0DA"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Brain</w:t>
            </w:r>
          </w:p>
        </w:tc>
        <w:tc>
          <w:tcPr>
            <w:tcW w:w="6970" w:type="dxa"/>
            <w:shd w:val="clear" w:color="000000" w:fill="FFFFFF"/>
          </w:tcPr>
          <w:p w14:paraId="04BC2CC3" w14:textId="22A5D36B"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Altered mental status. Cognitive defects (“</w:t>
            </w:r>
            <w:r w:rsidR="00695E4E" w:rsidRPr="006A15C2">
              <w:rPr>
                <w:rFonts w:ascii="Book Antiqua" w:hAnsi="Book Antiqua" w:cs="Book Antiqua"/>
                <w:lang w:val="en"/>
              </w:rPr>
              <w:t>m</w:t>
            </w:r>
            <w:r w:rsidRPr="006A15C2">
              <w:rPr>
                <w:rFonts w:ascii="Book Antiqua" w:hAnsi="Book Antiqua" w:cs="Book Antiqua"/>
                <w:lang w:val="en"/>
              </w:rPr>
              <w:t>egaloblastic madness”): depression, mania, irritability, paranoia, delusions, lability</w:t>
            </w:r>
            <w:r w:rsidR="00AD3221">
              <w:rPr>
                <w:rFonts w:ascii="Book Antiqua" w:hAnsi="Book Antiqua" w:cs="Book Antiqua" w:hint="eastAsia"/>
                <w:lang w:val="en" w:eastAsia="zh-CN"/>
              </w:rPr>
              <w:t>.</w:t>
            </w:r>
          </w:p>
        </w:tc>
      </w:tr>
      <w:tr w:rsidR="00687605" w:rsidRPr="006A15C2" w14:paraId="7033B40C" w14:textId="77777777" w:rsidTr="00BB240F">
        <w:trPr>
          <w:trHeight w:val="1"/>
        </w:trPr>
        <w:tc>
          <w:tcPr>
            <w:tcW w:w="2808" w:type="dxa"/>
            <w:shd w:val="clear" w:color="000000" w:fill="FFFFFF"/>
          </w:tcPr>
          <w:p w14:paraId="2A376CDD"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Sensory organs</w:t>
            </w:r>
          </w:p>
        </w:tc>
        <w:tc>
          <w:tcPr>
            <w:tcW w:w="6970" w:type="dxa"/>
            <w:shd w:val="clear" w:color="000000" w:fill="FFFFFF"/>
          </w:tcPr>
          <w:p w14:paraId="2B582943"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 xml:space="preserve">Optic atrophy, anosmia, loss of taste, glossitis </w:t>
            </w:r>
          </w:p>
        </w:tc>
      </w:tr>
      <w:tr w:rsidR="00687605" w:rsidRPr="006A15C2" w14:paraId="6A7C0BF6" w14:textId="77777777" w:rsidTr="00BB240F">
        <w:trPr>
          <w:trHeight w:val="1"/>
        </w:trPr>
        <w:tc>
          <w:tcPr>
            <w:tcW w:w="2808" w:type="dxa"/>
            <w:shd w:val="clear" w:color="000000" w:fill="FFFFFF"/>
          </w:tcPr>
          <w:p w14:paraId="0A8F1FDB"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Bone marrow</w:t>
            </w:r>
          </w:p>
        </w:tc>
        <w:tc>
          <w:tcPr>
            <w:tcW w:w="6970" w:type="dxa"/>
            <w:shd w:val="clear" w:color="000000" w:fill="FFFFFF"/>
          </w:tcPr>
          <w:p w14:paraId="2FC5D2D3"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Hypercellular bone marrow</w:t>
            </w:r>
          </w:p>
          <w:p w14:paraId="5335C051"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Increased erythroid precursors</w:t>
            </w:r>
          </w:p>
          <w:p w14:paraId="501FD132"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Open, immature nuclear chromatin</w:t>
            </w:r>
          </w:p>
          <w:p w14:paraId="6FA948F9"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Dyssynchrony between maturation of cytoplasm and nuclei</w:t>
            </w:r>
          </w:p>
          <w:p w14:paraId="4C61622E"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Giant bands, metamyelocytes</w:t>
            </w:r>
          </w:p>
          <w:p w14:paraId="4F0063F0"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Karyorrhexis, dysplasia </w:t>
            </w:r>
          </w:p>
          <w:p w14:paraId="5D06D73C"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Abnormal results on flow cytometry and cytogenetic analysis</w:t>
            </w:r>
          </w:p>
        </w:tc>
      </w:tr>
      <w:tr w:rsidR="00687605" w:rsidRPr="006A15C2" w14:paraId="4F298EF4" w14:textId="77777777" w:rsidTr="00BB240F">
        <w:trPr>
          <w:trHeight w:val="1"/>
        </w:trPr>
        <w:tc>
          <w:tcPr>
            <w:tcW w:w="2808" w:type="dxa"/>
            <w:shd w:val="clear" w:color="000000" w:fill="FFFFFF"/>
          </w:tcPr>
          <w:p w14:paraId="33E3BD2D"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Spinal cord</w:t>
            </w:r>
          </w:p>
        </w:tc>
        <w:tc>
          <w:tcPr>
            <w:tcW w:w="6970" w:type="dxa"/>
            <w:shd w:val="clear" w:color="000000" w:fill="FFFFFF"/>
          </w:tcPr>
          <w:p w14:paraId="42DD34E6"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Myelopathy</w:t>
            </w:r>
          </w:p>
          <w:p w14:paraId="3B433552"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Spongy degeneration </w:t>
            </w:r>
          </w:p>
          <w:p w14:paraId="1C61557F"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Paresthesias</w:t>
            </w:r>
          </w:p>
          <w:p w14:paraId="5D19A048"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Loss of proprioception: vibration, position, ataxic gait, limb weakness</w:t>
            </w:r>
            <w:r w:rsidR="00695E4E" w:rsidRPr="006A15C2">
              <w:rPr>
                <w:rFonts w:ascii="Book Antiqua" w:hAnsi="Book Antiqua" w:cs="Book Antiqua"/>
                <w:lang w:val="en"/>
              </w:rPr>
              <w:t>/</w:t>
            </w:r>
            <w:r w:rsidRPr="006A15C2">
              <w:rPr>
                <w:rFonts w:ascii="Book Antiqua" w:hAnsi="Book Antiqua" w:cs="Book Antiqua"/>
                <w:lang w:val="en"/>
              </w:rPr>
              <w:t>spasticity (hyperreflexia)</w:t>
            </w:r>
          </w:p>
          <w:p w14:paraId="3B26DE5F"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Positive Romberg sign</w:t>
            </w:r>
          </w:p>
          <w:p w14:paraId="5D2DB1C9"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Lhermitte’s sign</w:t>
            </w:r>
          </w:p>
          <w:p w14:paraId="3D0A4C9A"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 xml:space="preserve">Segmental cutaneous sensory level </w:t>
            </w:r>
          </w:p>
        </w:tc>
      </w:tr>
      <w:tr w:rsidR="00687605" w:rsidRPr="006A15C2" w14:paraId="5B2E28A1" w14:textId="77777777" w:rsidTr="00BB240F">
        <w:trPr>
          <w:trHeight w:val="1"/>
        </w:trPr>
        <w:tc>
          <w:tcPr>
            <w:tcW w:w="2808" w:type="dxa"/>
            <w:shd w:val="clear" w:color="000000" w:fill="FFFFFF"/>
          </w:tcPr>
          <w:p w14:paraId="085E0CC6"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lastRenderedPageBreak/>
              <w:t>Autonomic nervous system</w:t>
            </w:r>
          </w:p>
        </w:tc>
        <w:tc>
          <w:tcPr>
            <w:tcW w:w="6970" w:type="dxa"/>
            <w:shd w:val="clear" w:color="000000" w:fill="FFFFFF"/>
          </w:tcPr>
          <w:p w14:paraId="1B1CAB26"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Postural hypotension </w:t>
            </w:r>
          </w:p>
          <w:p w14:paraId="35DE9285"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Incontinence </w:t>
            </w:r>
          </w:p>
          <w:p w14:paraId="36A7B742"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Impotence</w:t>
            </w:r>
          </w:p>
        </w:tc>
      </w:tr>
      <w:tr w:rsidR="00687605" w:rsidRPr="006A15C2" w14:paraId="51A596B3" w14:textId="77777777" w:rsidTr="00BB240F">
        <w:trPr>
          <w:trHeight w:val="1"/>
        </w:trPr>
        <w:tc>
          <w:tcPr>
            <w:tcW w:w="2808" w:type="dxa"/>
            <w:shd w:val="clear" w:color="000000" w:fill="FFFFFF"/>
          </w:tcPr>
          <w:p w14:paraId="14D99789"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Peripheral nervous system</w:t>
            </w:r>
          </w:p>
        </w:tc>
        <w:tc>
          <w:tcPr>
            <w:tcW w:w="6970" w:type="dxa"/>
            <w:shd w:val="clear" w:color="000000" w:fill="FFFFFF"/>
          </w:tcPr>
          <w:p w14:paraId="7A971D96"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Cutaneous sensory loss </w:t>
            </w:r>
          </w:p>
          <w:p w14:paraId="1256F3E3"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Hyporeflexia </w:t>
            </w:r>
            <w:r w:rsidR="00695E4E" w:rsidRPr="006A15C2">
              <w:rPr>
                <w:rFonts w:ascii="Book Antiqua" w:hAnsi="Book Antiqua" w:cs="Book Antiqua"/>
                <w:lang w:val="en"/>
              </w:rPr>
              <w:t>s</w:t>
            </w:r>
            <w:r w:rsidRPr="006A15C2">
              <w:rPr>
                <w:rFonts w:ascii="Book Antiqua" w:hAnsi="Book Antiqua" w:cs="Book Antiqua"/>
                <w:lang w:val="en"/>
              </w:rPr>
              <w:t>ymmetric weakness</w:t>
            </w:r>
          </w:p>
          <w:p w14:paraId="2CD710A0"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Paresthesias</w:t>
            </w:r>
          </w:p>
        </w:tc>
      </w:tr>
      <w:tr w:rsidR="00687605" w:rsidRPr="006A15C2" w14:paraId="7AB2A409" w14:textId="77777777" w:rsidTr="00BB240F">
        <w:trPr>
          <w:trHeight w:val="1"/>
        </w:trPr>
        <w:tc>
          <w:tcPr>
            <w:tcW w:w="2808" w:type="dxa"/>
            <w:shd w:val="clear" w:color="000000" w:fill="FFFFFF"/>
          </w:tcPr>
          <w:p w14:paraId="5893434B" w14:textId="77777777" w:rsidR="00687605" w:rsidRPr="006A15C2" w:rsidRDefault="00687605" w:rsidP="00AD3221">
            <w:pPr>
              <w:widowControl w:val="0"/>
              <w:autoSpaceDE w:val="0"/>
              <w:autoSpaceDN w:val="0"/>
              <w:adjustRightInd w:val="0"/>
              <w:snapToGrid w:val="0"/>
              <w:spacing w:line="360" w:lineRule="auto"/>
              <w:rPr>
                <w:rFonts w:ascii="Book Antiqua" w:hAnsi="Book Antiqua" w:cs="Book Antiqua"/>
                <w:lang w:val="en"/>
              </w:rPr>
            </w:pPr>
            <w:r w:rsidRPr="006A15C2">
              <w:rPr>
                <w:rFonts w:ascii="Book Antiqua" w:hAnsi="Book Antiqua" w:cs="Book Antiqua"/>
                <w:lang w:val="en"/>
              </w:rPr>
              <w:t>Genitourinary symptoms</w:t>
            </w:r>
          </w:p>
          <w:p w14:paraId="24896E29"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p>
        </w:tc>
        <w:tc>
          <w:tcPr>
            <w:tcW w:w="6970" w:type="dxa"/>
            <w:shd w:val="clear" w:color="000000" w:fill="FFFFFF"/>
          </w:tcPr>
          <w:p w14:paraId="4753F389"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Urinary retention and impaired micturition may occur because of spinal cord damage. This can predispose patients to urinary tract infections.</w:t>
            </w:r>
          </w:p>
        </w:tc>
      </w:tr>
      <w:tr w:rsidR="00687605" w:rsidRPr="006A15C2" w14:paraId="4ECC2A26" w14:textId="77777777" w:rsidTr="00BB240F">
        <w:trPr>
          <w:trHeight w:val="1"/>
        </w:trPr>
        <w:tc>
          <w:tcPr>
            <w:tcW w:w="2808" w:type="dxa"/>
            <w:shd w:val="clear" w:color="000000" w:fill="FFFFFF"/>
          </w:tcPr>
          <w:p w14:paraId="324BE23C"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Reproductive system</w:t>
            </w:r>
          </w:p>
        </w:tc>
        <w:tc>
          <w:tcPr>
            <w:tcW w:w="6970" w:type="dxa"/>
            <w:shd w:val="clear" w:color="000000" w:fill="FFFFFF"/>
          </w:tcPr>
          <w:p w14:paraId="2432E01B"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 xml:space="preserve">Infertility </w:t>
            </w:r>
          </w:p>
        </w:tc>
      </w:tr>
      <w:tr w:rsidR="00687605" w:rsidRPr="006A15C2" w14:paraId="1CF4CACB" w14:textId="77777777" w:rsidTr="00BB240F">
        <w:trPr>
          <w:trHeight w:val="1"/>
        </w:trPr>
        <w:tc>
          <w:tcPr>
            <w:tcW w:w="2808" w:type="dxa"/>
            <w:shd w:val="clear" w:color="000000" w:fill="FFFFFF"/>
          </w:tcPr>
          <w:p w14:paraId="0979D271" w14:textId="7777777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Abnormalities in infants and children</w:t>
            </w:r>
          </w:p>
        </w:tc>
        <w:tc>
          <w:tcPr>
            <w:tcW w:w="6970" w:type="dxa"/>
            <w:shd w:val="clear" w:color="000000" w:fill="FFFFFF"/>
          </w:tcPr>
          <w:p w14:paraId="218AFC57"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Developmental delay or regression, permanent disability </w:t>
            </w:r>
          </w:p>
          <w:p w14:paraId="6BFF4D6D" w14:textId="77777777" w:rsidR="00687605" w:rsidRPr="006A15C2" w:rsidRDefault="00B67C9D"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The patient d</w:t>
            </w:r>
            <w:r w:rsidR="00687605" w:rsidRPr="006A15C2">
              <w:rPr>
                <w:rFonts w:ascii="Book Antiqua" w:hAnsi="Book Antiqua" w:cs="Book Antiqua"/>
                <w:lang w:val="en"/>
              </w:rPr>
              <w:t xml:space="preserve">oes not smile </w:t>
            </w:r>
          </w:p>
          <w:p w14:paraId="3C4A34CD"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Feeding difficulties </w:t>
            </w:r>
          </w:p>
          <w:p w14:paraId="05D86D06"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Hypotonia, lethargy, coma </w:t>
            </w:r>
          </w:p>
          <w:p w14:paraId="5ADB3CC5"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Hyperirritability, convulsions, tremors, myoclonus </w:t>
            </w:r>
          </w:p>
          <w:p w14:paraId="27B7373F"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Microcephaly </w:t>
            </w:r>
          </w:p>
          <w:p w14:paraId="3ACF3205"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Choreoathetoid movements</w:t>
            </w:r>
            <w:r w:rsidR="00B67C9D" w:rsidRPr="006A15C2">
              <w:rPr>
                <w:rFonts w:ascii="Book Antiqua" w:hAnsi="Book Antiqua" w:cs="Book Antiqua"/>
                <w:lang w:val="en"/>
              </w:rPr>
              <w:t>,</w:t>
            </w:r>
            <w:r w:rsidRPr="006A15C2">
              <w:rPr>
                <w:rFonts w:ascii="Book Antiqua" w:hAnsi="Book Antiqua" w:cs="Book Antiqua"/>
                <w:lang w:val="en"/>
              </w:rPr>
              <w:t xml:space="preserve"> </w:t>
            </w:r>
            <w:r w:rsidR="00B67C9D" w:rsidRPr="006A15C2">
              <w:rPr>
                <w:rFonts w:ascii="Book Antiqua" w:hAnsi="Book Antiqua" w:cs="Book Antiqua"/>
                <w:lang w:val="en"/>
              </w:rPr>
              <w:t>p</w:t>
            </w:r>
            <w:r w:rsidRPr="006A15C2">
              <w:rPr>
                <w:rFonts w:ascii="Book Antiqua" w:hAnsi="Book Antiqua" w:cs="Book Antiqua"/>
                <w:lang w:val="en"/>
              </w:rPr>
              <w:t xml:space="preserve">eripheral blood </w:t>
            </w:r>
          </w:p>
          <w:p w14:paraId="39BEC441"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Macrocytic red cells, macro</w:t>
            </w:r>
            <w:r w:rsidR="00B67C9D" w:rsidRPr="006A15C2">
              <w:rPr>
                <w:rFonts w:ascii="Book Antiqua" w:hAnsi="Book Antiqua" w:cs="Book Antiqua"/>
                <w:lang w:val="en"/>
              </w:rPr>
              <w:t>-</w:t>
            </w:r>
            <w:r w:rsidRPr="006A15C2">
              <w:rPr>
                <w:rFonts w:ascii="Book Antiqua" w:hAnsi="Book Antiqua" w:cs="Book Antiqua"/>
                <w:lang w:val="en"/>
              </w:rPr>
              <w:t xml:space="preserve">ovalocytes </w:t>
            </w:r>
          </w:p>
          <w:p w14:paraId="667BD4AB"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Anisocytosis, fragmented forms</w:t>
            </w:r>
          </w:p>
          <w:p w14:paraId="379A82E8"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Hypersegmented neutrophils</w:t>
            </w:r>
          </w:p>
          <w:p w14:paraId="3D9CCF81"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Leukopenia, possible immature white cells </w:t>
            </w:r>
          </w:p>
          <w:p w14:paraId="43D15DCE"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Thrombocytopenia </w:t>
            </w:r>
          </w:p>
          <w:p w14:paraId="52088EC9"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Pancytopenia </w:t>
            </w:r>
          </w:p>
          <w:p w14:paraId="2D5AA4E4"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Elevated lactate dehydrogenase level (extremes possible) </w:t>
            </w:r>
          </w:p>
          <w:p w14:paraId="09747993"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Elevated indirect bilirubin and aspartate aminotransferase levels </w:t>
            </w:r>
          </w:p>
          <w:p w14:paraId="5468BF76"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t xml:space="preserve">Decreased haptoglobin level </w:t>
            </w:r>
          </w:p>
          <w:p w14:paraId="51860182" w14:textId="77777777" w:rsidR="00687605" w:rsidRPr="006A15C2" w:rsidRDefault="00687605" w:rsidP="00246589">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Elevated levels of methylmalonic acid, homocysteine, or both</w:t>
            </w:r>
          </w:p>
        </w:tc>
      </w:tr>
    </w:tbl>
    <w:p w14:paraId="76149D2B"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eastAsia="zh-CN"/>
        </w:rPr>
      </w:pPr>
    </w:p>
    <w:p w14:paraId="0FDE6925"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r w:rsidRPr="006A15C2">
        <w:rPr>
          <w:rFonts w:ascii="Book Antiqua" w:hAnsi="Book Antiqua" w:cs="Book Antiqua"/>
          <w:lang w:val="en"/>
        </w:rPr>
        <w:br w:type="page"/>
      </w:r>
    </w:p>
    <w:p w14:paraId="627460EB" w14:textId="6C6A7146" w:rsidR="00687605" w:rsidRPr="00AD3221" w:rsidRDefault="00687605" w:rsidP="006A15C2">
      <w:pPr>
        <w:widowControl w:val="0"/>
        <w:autoSpaceDE w:val="0"/>
        <w:autoSpaceDN w:val="0"/>
        <w:adjustRightInd w:val="0"/>
        <w:snapToGrid w:val="0"/>
        <w:spacing w:line="360" w:lineRule="auto"/>
        <w:jc w:val="both"/>
        <w:rPr>
          <w:rFonts w:ascii="Book Antiqua" w:hAnsi="Book Antiqua" w:cs="Book Antiqua"/>
          <w:b/>
          <w:lang w:val="en"/>
        </w:rPr>
      </w:pPr>
      <w:r w:rsidRPr="00AD3221">
        <w:rPr>
          <w:rFonts w:ascii="Book Antiqua" w:hAnsi="Book Antiqua" w:cs="Book Antiqua"/>
          <w:b/>
          <w:lang w:val="en"/>
        </w:rPr>
        <w:lastRenderedPageBreak/>
        <w:t>Table 2</w:t>
      </w:r>
      <w:r w:rsidR="00AD3221" w:rsidRPr="00AD3221">
        <w:rPr>
          <w:rFonts w:ascii="Book Antiqua" w:hAnsi="Book Antiqua" w:cs="Book Antiqua" w:hint="eastAsia"/>
          <w:b/>
          <w:lang w:val="en" w:eastAsia="zh-CN"/>
        </w:rPr>
        <w:t xml:space="preserve"> </w:t>
      </w:r>
      <w:r w:rsidRPr="00AD3221">
        <w:rPr>
          <w:rFonts w:ascii="Book Antiqua" w:hAnsi="Book Antiqua" w:cs="Book Antiqua"/>
          <w:b/>
          <w:lang w:val="en"/>
        </w:rPr>
        <w:t>Demographic and biochemical characteristic</w:t>
      </w:r>
      <w:r w:rsidR="00695E4E" w:rsidRPr="00AD3221">
        <w:rPr>
          <w:rFonts w:ascii="Book Antiqua" w:hAnsi="Book Antiqua" w:cs="Book Antiqua"/>
          <w:b/>
          <w:lang w:val="en"/>
        </w:rPr>
        <w:t>s</w:t>
      </w:r>
      <w:r w:rsidRPr="00AD3221">
        <w:rPr>
          <w:rFonts w:ascii="Book Antiqua" w:hAnsi="Book Antiqua" w:cs="Book Antiqua"/>
          <w:b/>
          <w:lang w:val="en"/>
        </w:rPr>
        <w:t xml:space="preserve"> of </w:t>
      </w:r>
      <w:r w:rsidR="00AD3221" w:rsidRPr="00AD3221">
        <w:rPr>
          <w:rFonts w:ascii="Book Antiqua" w:hAnsi="Book Antiqua" w:cs="Book Antiqua"/>
          <w:b/>
          <w:lang w:val="en"/>
        </w:rPr>
        <w:t>chronic atrophic autoimmune gastritis</w:t>
      </w:r>
      <w:r w:rsidRPr="00AD3221">
        <w:rPr>
          <w:rFonts w:ascii="Book Antiqua" w:hAnsi="Book Antiqua" w:cs="Book Antiqua"/>
          <w:b/>
          <w:lang w:val="en"/>
        </w:rPr>
        <w:t xml:space="preserve"> patients with vitamin B12 deficiency</w:t>
      </w:r>
    </w:p>
    <w:tbl>
      <w:tblPr>
        <w:tblW w:w="10915" w:type="dxa"/>
        <w:tblInd w:w="-1026" w:type="dxa"/>
        <w:tblBorders>
          <w:top w:val="single" w:sz="2" w:space="0" w:color="000000"/>
          <w:bottom w:val="single" w:sz="2" w:space="0" w:color="000000"/>
        </w:tblBorders>
        <w:tblLayout w:type="fixed"/>
        <w:tblCellMar>
          <w:top w:w="142" w:type="dxa"/>
        </w:tblCellMar>
        <w:tblLook w:val="0000" w:firstRow="0" w:lastRow="0" w:firstColumn="0" w:lastColumn="0" w:noHBand="0" w:noVBand="0"/>
      </w:tblPr>
      <w:tblGrid>
        <w:gridCol w:w="1509"/>
        <w:gridCol w:w="1185"/>
        <w:gridCol w:w="850"/>
        <w:gridCol w:w="1134"/>
        <w:gridCol w:w="1134"/>
        <w:gridCol w:w="1701"/>
        <w:gridCol w:w="1559"/>
        <w:gridCol w:w="1843"/>
      </w:tblGrid>
      <w:tr w:rsidR="00687605" w:rsidRPr="006A15C2" w14:paraId="69BA6F20" w14:textId="77777777" w:rsidTr="00AD3221">
        <w:trPr>
          <w:trHeight w:val="1680"/>
        </w:trPr>
        <w:tc>
          <w:tcPr>
            <w:tcW w:w="1509" w:type="dxa"/>
            <w:tcBorders>
              <w:top w:val="single" w:sz="2" w:space="0" w:color="000000"/>
              <w:bottom w:val="single" w:sz="2" w:space="0" w:color="000000"/>
            </w:tcBorders>
            <w:shd w:val="clear" w:color="000000" w:fill="FFFFFF"/>
          </w:tcPr>
          <w:p w14:paraId="25B70538" w14:textId="4A826FEE" w:rsidR="00687605" w:rsidRPr="006A15C2" w:rsidRDefault="00687605" w:rsidP="00AD3221">
            <w:pPr>
              <w:widowControl w:val="0"/>
              <w:autoSpaceDE w:val="0"/>
              <w:autoSpaceDN w:val="0"/>
              <w:adjustRightInd w:val="0"/>
              <w:snapToGrid w:val="0"/>
              <w:spacing w:line="360" w:lineRule="auto"/>
              <w:ind w:left="837" w:hanging="837"/>
              <w:jc w:val="both"/>
              <w:rPr>
                <w:rFonts w:ascii="Book Antiqua" w:hAnsi="Book Antiqua" w:cs="Calibri"/>
                <w:lang w:val="en" w:eastAsia="zh-CN"/>
              </w:rPr>
            </w:pPr>
            <w:r w:rsidRPr="006A15C2">
              <w:rPr>
                <w:rFonts w:ascii="Book Antiqua" w:hAnsi="Book Antiqua" w:cs="Book Antiqua"/>
                <w:b/>
                <w:bCs/>
                <w:lang w:val="en"/>
              </w:rPr>
              <w:t>Ref</w:t>
            </w:r>
            <w:r w:rsidR="00AD3221">
              <w:rPr>
                <w:rFonts w:ascii="Book Antiqua" w:hAnsi="Book Antiqua" w:cs="Book Antiqua" w:hint="eastAsia"/>
                <w:b/>
                <w:bCs/>
                <w:lang w:val="en" w:eastAsia="zh-CN"/>
              </w:rPr>
              <w:t>.</w:t>
            </w:r>
          </w:p>
        </w:tc>
        <w:tc>
          <w:tcPr>
            <w:tcW w:w="1185" w:type="dxa"/>
            <w:tcBorders>
              <w:top w:val="single" w:sz="2" w:space="0" w:color="000000"/>
              <w:bottom w:val="single" w:sz="2" w:space="0" w:color="000000"/>
            </w:tcBorders>
            <w:shd w:val="clear" w:color="000000" w:fill="FFFFFF"/>
          </w:tcPr>
          <w:p w14:paraId="794FF3C1" w14:textId="135C73AD"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b/>
                <w:bCs/>
                <w:lang w:val="en"/>
              </w:rPr>
              <w:t xml:space="preserve">Total </w:t>
            </w:r>
            <w:r w:rsidR="00695E4E" w:rsidRPr="00AD3221">
              <w:rPr>
                <w:rFonts w:ascii="Book Antiqua" w:hAnsi="Book Antiqua" w:cs="Book Antiqua"/>
                <w:b/>
                <w:bCs/>
                <w:caps/>
                <w:lang w:val="en"/>
              </w:rPr>
              <w:t>n</w:t>
            </w:r>
            <w:r w:rsidR="00695E4E" w:rsidRPr="006A15C2">
              <w:rPr>
                <w:rFonts w:ascii="Book Antiqua" w:hAnsi="Book Antiqua" w:cs="Book Antiqua"/>
                <w:b/>
                <w:bCs/>
                <w:lang w:val="en"/>
              </w:rPr>
              <w:t xml:space="preserve">o. of </w:t>
            </w:r>
            <w:r w:rsidRPr="006A15C2">
              <w:rPr>
                <w:rFonts w:ascii="Book Antiqua" w:hAnsi="Book Antiqua" w:cs="Book Antiqua"/>
                <w:b/>
                <w:bCs/>
                <w:lang w:val="en"/>
              </w:rPr>
              <w:t>p</w:t>
            </w:r>
            <w:r w:rsidR="00AD3221">
              <w:rPr>
                <w:rFonts w:ascii="Book Antiqua" w:hAnsi="Book Antiqua" w:cs="Book Antiqua" w:hint="eastAsia"/>
                <w:b/>
                <w:bCs/>
                <w:lang w:val="en" w:eastAsia="zh-CN"/>
              </w:rPr>
              <w:t>a</w:t>
            </w:r>
            <w:r w:rsidRPr="006A15C2">
              <w:rPr>
                <w:rFonts w:ascii="Book Antiqua" w:hAnsi="Book Antiqua" w:cs="Book Antiqua"/>
                <w:b/>
                <w:bCs/>
                <w:lang w:val="en"/>
              </w:rPr>
              <w:t>t</w:t>
            </w:r>
            <w:r w:rsidR="00AD3221">
              <w:rPr>
                <w:rFonts w:ascii="Book Antiqua" w:hAnsi="Book Antiqua" w:cs="Book Antiqua" w:hint="eastAsia"/>
                <w:b/>
                <w:bCs/>
                <w:lang w:val="en" w:eastAsia="zh-CN"/>
              </w:rPr>
              <w:t>ient</w:t>
            </w:r>
            <w:r w:rsidRPr="006A15C2">
              <w:rPr>
                <w:rFonts w:ascii="Book Antiqua" w:hAnsi="Book Antiqua" w:cs="Book Antiqua"/>
                <w:b/>
                <w:bCs/>
                <w:lang w:val="en"/>
              </w:rPr>
              <w:t>s</w:t>
            </w:r>
          </w:p>
        </w:tc>
        <w:tc>
          <w:tcPr>
            <w:tcW w:w="850" w:type="dxa"/>
            <w:tcBorders>
              <w:top w:val="single" w:sz="2" w:space="0" w:color="000000"/>
              <w:bottom w:val="single" w:sz="2" w:space="0" w:color="000000"/>
            </w:tcBorders>
            <w:shd w:val="clear" w:color="000000" w:fill="FFFFFF"/>
          </w:tcPr>
          <w:p w14:paraId="0B473F15" w14:textId="77777777" w:rsidR="00687605" w:rsidRPr="006A15C2" w:rsidRDefault="00687605" w:rsidP="00AD3221">
            <w:pPr>
              <w:widowControl w:val="0"/>
              <w:autoSpaceDE w:val="0"/>
              <w:autoSpaceDN w:val="0"/>
              <w:adjustRightInd w:val="0"/>
              <w:snapToGrid w:val="0"/>
              <w:spacing w:line="360" w:lineRule="auto"/>
              <w:ind w:left="-81" w:right="-51"/>
              <w:jc w:val="center"/>
              <w:rPr>
                <w:rFonts w:ascii="Book Antiqua" w:hAnsi="Book Antiqua" w:cs="Calibri"/>
                <w:lang w:val="en"/>
              </w:rPr>
            </w:pPr>
            <w:r w:rsidRPr="006A15C2">
              <w:rPr>
                <w:rFonts w:ascii="Book Antiqua" w:hAnsi="Book Antiqua" w:cs="Book Antiqua"/>
                <w:b/>
                <w:bCs/>
                <w:lang w:val="en"/>
              </w:rPr>
              <w:t>Gender (M/F)</w:t>
            </w:r>
          </w:p>
        </w:tc>
        <w:tc>
          <w:tcPr>
            <w:tcW w:w="1134" w:type="dxa"/>
            <w:tcBorders>
              <w:top w:val="single" w:sz="2" w:space="0" w:color="000000"/>
              <w:bottom w:val="single" w:sz="2" w:space="0" w:color="000000"/>
            </w:tcBorders>
            <w:shd w:val="clear" w:color="000000" w:fill="FFFFFF"/>
          </w:tcPr>
          <w:p w14:paraId="474BC7CB" w14:textId="5CCE6C58"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b/>
                <w:bCs/>
                <w:lang w:val="en"/>
              </w:rPr>
              <w:t>Age (yr) median</w:t>
            </w:r>
          </w:p>
        </w:tc>
        <w:tc>
          <w:tcPr>
            <w:tcW w:w="1134" w:type="dxa"/>
            <w:tcBorders>
              <w:top w:val="single" w:sz="2" w:space="0" w:color="000000"/>
              <w:bottom w:val="single" w:sz="2" w:space="0" w:color="000000"/>
            </w:tcBorders>
            <w:shd w:val="clear" w:color="000000" w:fill="FFFFFF"/>
          </w:tcPr>
          <w:p w14:paraId="413C954E"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b/>
                <w:bCs/>
                <w:lang w:val="en"/>
              </w:rPr>
              <w:t>Gastrin (pg/mL) median</w:t>
            </w:r>
          </w:p>
        </w:tc>
        <w:tc>
          <w:tcPr>
            <w:tcW w:w="1701" w:type="dxa"/>
            <w:tcBorders>
              <w:top w:val="single" w:sz="2" w:space="0" w:color="000000"/>
              <w:bottom w:val="single" w:sz="2" w:space="0" w:color="000000"/>
            </w:tcBorders>
            <w:shd w:val="clear" w:color="000000" w:fill="FFFFFF"/>
          </w:tcPr>
          <w:p w14:paraId="365EDFC3" w14:textId="26ECA895" w:rsidR="00687605" w:rsidRPr="00AD3221" w:rsidRDefault="00687605" w:rsidP="00AD3221">
            <w:pPr>
              <w:widowControl w:val="0"/>
              <w:autoSpaceDE w:val="0"/>
              <w:autoSpaceDN w:val="0"/>
              <w:adjustRightInd w:val="0"/>
              <w:snapToGrid w:val="0"/>
              <w:spacing w:line="360" w:lineRule="auto"/>
              <w:jc w:val="center"/>
              <w:rPr>
                <w:rFonts w:ascii="Book Antiqua" w:hAnsi="Book Antiqua" w:cs="Book Antiqua"/>
                <w:b/>
                <w:bCs/>
                <w:lang w:val="en"/>
              </w:rPr>
            </w:pPr>
            <w:r w:rsidRPr="006A15C2">
              <w:rPr>
                <w:rFonts w:ascii="Book Antiqua" w:hAnsi="Book Antiqua" w:cs="Book Antiqua"/>
                <w:b/>
                <w:bCs/>
                <w:lang w:val="en"/>
              </w:rPr>
              <w:t>Prevalence Vit</w:t>
            </w:r>
            <w:r w:rsidR="00695E4E" w:rsidRPr="006A15C2">
              <w:rPr>
                <w:rFonts w:ascii="Book Antiqua" w:hAnsi="Book Antiqua" w:cs="Book Antiqua"/>
                <w:b/>
                <w:bCs/>
                <w:lang w:val="en"/>
              </w:rPr>
              <w:t>.</w:t>
            </w:r>
            <w:r w:rsidRPr="006A15C2">
              <w:rPr>
                <w:rFonts w:ascii="Book Antiqua" w:hAnsi="Book Antiqua" w:cs="Book Antiqua"/>
                <w:b/>
                <w:bCs/>
                <w:lang w:val="en"/>
              </w:rPr>
              <w:t xml:space="preserve"> B12 deficiency</w:t>
            </w:r>
            <w:r w:rsidR="00BB240F">
              <w:rPr>
                <w:rFonts w:ascii="Book Antiqua" w:hAnsi="Book Antiqua" w:cs="Book Antiqua" w:hint="eastAsia"/>
                <w:b/>
                <w:bCs/>
                <w:lang w:val="en" w:eastAsia="zh-CN"/>
              </w:rPr>
              <w:t>,</w:t>
            </w:r>
            <w:r w:rsidR="00AD3221">
              <w:rPr>
                <w:rFonts w:ascii="Book Antiqua" w:hAnsi="Book Antiqua" w:cs="Book Antiqua" w:hint="eastAsia"/>
                <w:b/>
                <w:bCs/>
                <w:lang w:val="en" w:eastAsia="zh-CN"/>
              </w:rPr>
              <w:t xml:space="preserve"> </w:t>
            </w:r>
            <w:r w:rsidR="00695E4E" w:rsidRPr="00AD3221">
              <w:rPr>
                <w:rFonts w:ascii="Book Antiqua" w:hAnsi="Book Antiqua" w:cs="Book Antiqua"/>
                <w:b/>
                <w:bCs/>
                <w:i/>
                <w:lang w:val="en"/>
              </w:rPr>
              <w:t>n</w:t>
            </w:r>
            <w:r w:rsidRPr="006A15C2">
              <w:rPr>
                <w:rFonts w:ascii="Book Antiqua" w:hAnsi="Book Antiqua" w:cs="Book Antiqua"/>
                <w:b/>
                <w:bCs/>
                <w:lang w:val="en"/>
              </w:rPr>
              <w:t xml:space="preserve"> (%)</w:t>
            </w:r>
          </w:p>
        </w:tc>
        <w:tc>
          <w:tcPr>
            <w:tcW w:w="1559" w:type="dxa"/>
            <w:tcBorders>
              <w:top w:val="single" w:sz="2" w:space="0" w:color="000000"/>
              <w:bottom w:val="single" w:sz="2" w:space="0" w:color="000000"/>
            </w:tcBorders>
            <w:shd w:val="clear" w:color="000000" w:fill="FFFFFF"/>
          </w:tcPr>
          <w:p w14:paraId="70BAFB4D" w14:textId="601D72D0"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b/>
                <w:bCs/>
                <w:lang w:val="en"/>
              </w:rPr>
              <w:t>Vitamin B12 (pg/mL) median</w:t>
            </w:r>
            <w:r w:rsidR="00AD3221" w:rsidRPr="00AD3221">
              <w:rPr>
                <w:rFonts w:ascii="Book Antiqua" w:hAnsi="Book Antiqua" w:cs="Book Antiqua" w:hint="eastAsia"/>
                <w:vertAlign w:val="superscript"/>
                <w:lang w:val="en" w:eastAsia="zh-CN"/>
              </w:rPr>
              <w:t>1</w:t>
            </w:r>
          </w:p>
        </w:tc>
        <w:tc>
          <w:tcPr>
            <w:tcW w:w="1843" w:type="dxa"/>
            <w:tcBorders>
              <w:top w:val="single" w:sz="2" w:space="0" w:color="000000"/>
              <w:bottom w:val="single" w:sz="2" w:space="0" w:color="000000"/>
            </w:tcBorders>
            <w:shd w:val="clear" w:color="000000" w:fill="FFFFFF"/>
          </w:tcPr>
          <w:p w14:paraId="5047B368" w14:textId="77777777" w:rsidR="00687605" w:rsidRPr="006A15C2" w:rsidRDefault="00687605" w:rsidP="00AD3221">
            <w:pPr>
              <w:widowControl w:val="0"/>
              <w:autoSpaceDE w:val="0"/>
              <w:autoSpaceDN w:val="0"/>
              <w:adjustRightInd w:val="0"/>
              <w:snapToGrid w:val="0"/>
              <w:spacing w:line="360" w:lineRule="auto"/>
              <w:ind w:right="-147"/>
              <w:jc w:val="center"/>
              <w:rPr>
                <w:rFonts w:ascii="Book Antiqua" w:hAnsi="Book Antiqua" w:cs="Calibri"/>
                <w:lang w:val="en"/>
              </w:rPr>
            </w:pPr>
            <w:r w:rsidRPr="006A15C2">
              <w:rPr>
                <w:rFonts w:ascii="Book Antiqua" w:hAnsi="Book Antiqua" w:cs="Book Antiqua"/>
                <w:b/>
                <w:bCs/>
                <w:lang w:val="en"/>
              </w:rPr>
              <w:t>Prevalence of neurological complication</w:t>
            </w:r>
            <w:r w:rsidR="00695E4E" w:rsidRPr="006A15C2">
              <w:rPr>
                <w:rFonts w:ascii="Book Antiqua" w:hAnsi="Book Antiqua" w:cs="Book Antiqua"/>
                <w:b/>
                <w:bCs/>
                <w:lang w:val="en"/>
              </w:rPr>
              <w:t>s</w:t>
            </w:r>
          </w:p>
        </w:tc>
      </w:tr>
      <w:tr w:rsidR="00687605" w:rsidRPr="006A15C2" w14:paraId="71A24739" w14:textId="77777777" w:rsidTr="00AD3221">
        <w:trPr>
          <w:trHeight w:val="709"/>
        </w:trPr>
        <w:tc>
          <w:tcPr>
            <w:tcW w:w="1509" w:type="dxa"/>
            <w:tcBorders>
              <w:top w:val="single" w:sz="2" w:space="0" w:color="000000"/>
            </w:tcBorders>
            <w:shd w:val="clear" w:color="000000" w:fill="FFFFFF"/>
            <w:vAlign w:val="center"/>
          </w:tcPr>
          <w:p w14:paraId="3046105E" w14:textId="1C801394"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 xml:space="preserve">Marignani </w:t>
            </w:r>
            <w:r w:rsidRPr="00AD3221">
              <w:rPr>
                <w:rFonts w:ascii="Book Antiqua" w:hAnsi="Book Antiqua" w:cs="Book Antiqua"/>
                <w:i/>
                <w:iCs/>
                <w:lang w:val="en"/>
              </w:rPr>
              <w:t>et al</w:t>
            </w:r>
            <w:r w:rsidRPr="006A15C2">
              <w:rPr>
                <w:rFonts w:ascii="Book Antiqua" w:hAnsi="Book Antiqua" w:cs="Book Antiqua"/>
                <w:vertAlign w:val="superscript"/>
                <w:lang w:val="en"/>
              </w:rPr>
              <w:t>[2</w:t>
            </w:r>
            <w:r w:rsidR="00AD3221">
              <w:rPr>
                <w:rFonts w:ascii="Book Antiqua" w:hAnsi="Book Antiqua" w:cs="Book Antiqua" w:hint="eastAsia"/>
                <w:vertAlign w:val="superscript"/>
                <w:lang w:val="en" w:eastAsia="zh-CN"/>
              </w:rPr>
              <w:t>3</w:t>
            </w:r>
            <w:r w:rsidRPr="006A15C2">
              <w:rPr>
                <w:rFonts w:ascii="Book Antiqua" w:hAnsi="Book Antiqua" w:cs="Book Antiqua"/>
                <w:vertAlign w:val="superscript"/>
                <w:lang w:val="en"/>
              </w:rPr>
              <w:t>]</w:t>
            </w:r>
            <w:r w:rsidRPr="006A15C2">
              <w:rPr>
                <w:rFonts w:ascii="Book Antiqua" w:hAnsi="Book Antiqua" w:cs="Book Antiqua"/>
                <w:lang w:val="en"/>
              </w:rPr>
              <w:t>, 1999</w:t>
            </w:r>
          </w:p>
        </w:tc>
        <w:tc>
          <w:tcPr>
            <w:tcW w:w="1185" w:type="dxa"/>
            <w:tcBorders>
              <w:top w:val="single" w:sz="2" w:space="0" w:color="000000"/>
            </w:tcBorders>
            <w:shd w:val="clear" w:color="000000" w:fill="FFFFFF"/>
          </w:tcPr>
          <w:p w14:paraId="0AEEB5A7"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80</w:t>
            </w:r>
          </w:p>
        </w:tc>
        <w:tc>
          <w:tcPr>
            <w:tcW w:w="850" w:type="dxa"/>
            <w:tcBorders>
              <w:top w:val="single" w:sz="2" w:space="0" w:color="000000"/>
            </w:tcBorders>
            <w:shd w:val="clear" w:color="000000" w:fill="FFFFFF"/>
          </w:tcPr>
          <w:p w14:paraId="02BB706F" w14:textId="77777777" w:rsidR="00687605" w:rsidRPr="006A15C2" w:rsidRDefault="00687605" w:rsidP="00AD3221">
            <w:pPr>
              <w:widowControl w:val="0"/>
              <w:autoSpaceDE w:val="0"/>
              <w:autoSpaceDN w:val="0"/>
              <w:adjustRightInd w:val="0"/>
              <w:snapToGrid w:val="0"/>
              <w:spacing w:line="360" w:lineRule="auto"/>
              <w:ind w:left="-81" w:right="-51"/>
              <w:jc w:val="center"/>
              <w:rPr>
                <w:rFonts w:ascii="Book Antiqua" w:hAnsi="Book Antiqua" w:cs="Calibri"/>
                <w:lang w:val="en"/>
              </w:rPr>
            </w:pPr>
            <w:r w:rsidRPr="006A15C2">
              <w:rPr>
                <w:rFonts w:ascii="Book Antiqua" w:hAnsi="Book Antiqua" w:cs="Book Antiqua"/>
                <w:lang w:val="en"/>
              </w:rPr>
              <w:t>24/56</w:t>
            </w:r>
          </w:p>
        </w:tc>
        <w:tc>
          <w:tcPr>
            <w:tcW w:w="1134" w:type="dxa"/>
            <w:tcBorders>
              <w:top w:val="single" w:sz="2" w:space="0" w:color="000000"/>
            </w:tcBorders>
            <w:shd w:val="clear" w:color="000000" w:fill="FFFFFF"/>
          </w:tcPr>
          <w:p w14:paraId="6BD4FE9B"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56</w:t>
            </w:r>
          </w:p>
        </w:tc>
        <w:tc>
          <w:tcPr>
            <w:tcW w:w="1134" w:type="dxa"/>
            <w:tcBorders>
              <w:top w:val="single" w:sz="2" w:space="0" w:color="000000"/>
            </w:tcBorders>
            <w:shd w:val="clear" w:color="000000" w:fill="FFFFFF"/>
          </w:tcPr>
          <w:p w14:paraId="6538678F"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491</w:t>
            </w:r>
          </w:p>
        </w:tc>
        <w:tc>
          <w:tcPr>
            <w:tcW w:w="1701" w:type="dxa"/>
            <w:tcBorders>
              <w:top w:val="single" w:sz="2" w:space="0" w:color="000000"/>
            </w:tcBorders>
            <w:shd w:val="clear" w:color="000000" w:fill="FFFFFF"/>
          </w:tcPr>
          <w:p w14:paraId="3FE9D568"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44 (55)</w:t>
            </w:r>
          </w:p>
        </w:tc>
        <w:tc>
          <w:tcPr>
            <w:tcW w:w="1559" w:type="dxa"/>
            <w:tcBorders>
              <w:top w:val="single" w:sz="2" w:space="0" w:color="000000"/>
            </w:tcBorders>
            <w:shd w:val="clear" w:color="000000" w:fill="FFFFFF"/>
          </w:tcPr>
          <w:p w14:paraId="08ACC54F"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87.5</w:t>
            </w:r>
          </w:p>
        </w:tc>
        <w:tc>
          <w:tcPr>
            <w:tcW w:w="1843" w:type="dxa"/>
            <w:tcBorders>
              <w:top w:val="single" w:sz="2" w:space="0" w:color="000000"/>
            </w:tcBorders>
            <w:shd w:val="clear" w:color="000000" w:fill="FFFFFF"/>
          </w:tcPr>
          <w:p w14:paraId="671A28F6" w14:textId="77777777" w:rsidR="00687605" w:rsidRPr="006A15C2" w:rsidRDefault="00687605" w:rsidP="00AD3221">
            <w:pPr>
              <w:widowControl w:val="0"/>
              <w:autoSpaceDE w:val="0"/>
              <w:autoSpaceDN w:val="0"/>
              <w:adjustRightInd w:val="0"/>
              <w:snapToGrid w:val="0"/>
              <w:spacing w:line="360" w:lineRule="auto"/>
              <w:ind w:right="-147"/>
              <w:jc w:val="center"/>
              <w:rPr>
                <w:rFonts w:ascii="Book Antiqua" w:hAnsi="Book Antiqua" w:cs="Calibri"/>
                <w:lang w:val="en"/>
              </w:rPr>
            </w:pPr>
            <w:r w:rsidRPr="006A15C2">
              <w:rPr>
                <w:rFonts w:ascii="Book Antiqua" w:hAnsi="Book Antiqua" w:cs="Book Antiqua"/>
                <w:lang w:val="en"/>
              </w:rPr>
              <w:t>NA</w:t>
            </w:r>
          </w:p>
        </w:tc>
      </w:tr>
      <w:tr w:rsidR="00687605" w:rsidRPr="006A15C2" w14:paraId="2EE88D81" w14:textId="77777777" w:rsidTr="00AD3221">
        <w:trPr>
          <w:trHeight w:val="570"/>
        </w:trPr>
        <w:tc>
          <w:tcPr>
            <w:tcW w:w="1509" w:type="dxa"/>
            <w:shd w:val="clear" w:color="000000" w:fill="FFFFFF"/>
            <w:vAlign w:val="center"/>
          </w:tcPr>
          <w:p w14:paraId="79933816" w14:textId="158D627C"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 xml:space="preserve">Hershko </w:t>
            </w:r>
            <w:r w:rsidR="00AD3221" w:rsidRPr="00AD3221">
              <w:rPr>
                <w:rFonts w:ascii="Book Antiqua" w:hAnsi="Book Antiqua" w:cs="Book Antiqua"/>
                <w:i/>
                <w:iCs/>
                <w:lang w:val="en"/>
              </w:rPr>
              <w:t>et al</w:t>
            </w:r>
            <w:r w:rsidRPr="006A15C2">
              <w:rPr>
                <w:rFonts w:ascii="Book Antiqua" w:hAnsi="Book Antiqua" w:cs="Book Antiqua"/>
                <w:iCs/>
                <w:vertAlign w:val="superscript"/>
                <w:lang w:val="en"/>
              </w:rPr>
              <w:t>[2</w:t>
            </w:r>
            <w:r w:rsidR="00AD3221">
              <w:rPr>
                <w:rFonts w:ascii="Book Antiqua" w:hAnsi="Book Antiqua" w:cs="Book Antiqua" w:hint="eastAsia"/>
                <w:iCs/>
                <w:vertAlign w:val="superscript"/>
                <w:lang w:val="en" w:eastAsia="zh-CN"/>
              </w:rPr>
              <w:t>4</w:t>
            </w:r>
            <w:r w:rsidRPr="006A15C2">
              <w:rPr>
                <w:rFonts w:ascii="Book Antiqua" w:hAnsi="Book Antiqua" w:cs="Book Antiqua"/>
                <w:iCs/>
                <w:vertAlign w:val="superscript"/>
                <w:lang w:val="en"/>
              </w:rPr>
              <w:t>]</w:t>
            </w:r>
            <w:r w:rsidRPr="006A15C2">
              <w:rPr>
                <w:rFonts w:ascii="Book Antiqua" w:hAnsi="Book Antiqua" w:cs="Book Antiqua"/>
                <w:iCs/>
                <w:lang w:val="en"/>
              </w:rPr>
              <w:t>, 2006</w:t>
            </w:r>
          </w:p>
        </w:tc>
        <w:tc>
          <w:tcPr>
            <w:tcW w:w="1185" w:type="dxa"/>
            <w:shd w:val="clear" w:color="000000" w:fill="FFFFFF"/>
          </w:tcPr>
          <w:p w14:paraId="1FDB90DE"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160</w:t>
            </w:r>
          </w:p>
        </w:tc>
        <w:tc>
          <w:tcPr>
            <w:tcW w:w="850" w:type="dxa"/>
            <w:shd w:val="clear" w:color="000000" w:fill="FFFFFF"/>
          </w:tcPr>
          <w:p w14:paraId="45514547" w14:textId="77777777" w:rsidR="00687605" w:rsidRPr="006A15C2" w:rsidRDefault="00687605" w:rsidP="00AD3221">
            <w:pPr>
              <w:widowControl w:val="0"/>
              <w:autoSpaceDE w:val="0"/>
              <w:autoSpaceDN w:val="0"/>
              <w:adjustRightInd w:val="0"/>
              <w:snapToGrid w:val="0"/>
              <w:spacing w:line="360" w:lineRule="auto"/>
              <w:ind w:left="-81" w:right="-51"/>
              <w:jc w:val="center"/>
              <w:rPr>
                <w:rFonts w:ascii="Book Antiqua" w:hAnsi="Book Antiqua" w:cs="Calibri"/>
                <w:lang w:val="en"/>
              </w:rPr>
            </w:pPr>
            <w:r w:rsidRPr="006A15C2">
              <w:rPr>
                <w:rFonts w:ascii="Book Antiqua" w:hAnsi="Book Antiqua" w:cs="Book Antiqua"/>
                <w:lang w:val="en"/>
              </w:rPr>
              <w:t>53/107</w:t>
            </w:r>
          </w:p>
        </w:tc>
        <w:tc>
          <w:tcPr>
            <w:tcW w:w="1134" w:type="dxa"/>
            <w:shd w:val="clear" w:color="000000" w:fill="FFFFFF"/>
          </w:tcPr>
          <w:p w14:paraId="59DB8A36"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50</w:t>
            </w:r>
          </w:p>
        </w:tc>
        <w:tc>
          <w:tcPr>
            <w:tcW w:w="1134" w:type="dxa"/>
            <w:shd w:val="clear" w:color="000000" w:fill="FFFFFF"/>
          </w:tcPr>
          <w:p w14:paraId="56521627"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846</w:t>
            </w:r>
          </w:p>
        </w:tc>
        <w:tc>
          <w:tcPr>
            <w:tcW w:w="1701" w:type="dxa"/>
            <w:shd w:val="clear" w:color="000000" w:fill="FFFFFF"/>
          </w:tcPr>
          <w:p w14:paraId="2628BC86"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111 (69</w:t>
            </w:r>
            <w:r w:rsidR="00695E4E" w:rsidRPr="006A15C2">
              <w:rPr>
                <w:rFonts w:ascii="Book Antiqua" w:hAnsi="Book Antiqua" w:cs="Book Antiqua"/>
                <w:lang w:val="en"/>
              </w:rPr>
              <w:t>.</w:t>
            </w:r>
            <w:r w:rsidRPr="006A15C2">
              <w:rPr>
                <w:rFonts w:ascii="Book Antiqua" w:hAnsi="Book Antiqua" w:cs="Book Antiqua"/>
                <w:lang w:val="en"/>
              </w:rPr>
              <w:t>4)</w:t>
            </w:r>
          </w:p>
        </w:tc>
        <w:tc>
          <w:tcPr>
            <w:tcW w:w="1559" w:type="dxa"/>
            <w:shd w:val="clear" w:color="000000" w:fill="FFFFFF"/>
          </w:tcPr>
          <w:p w14:paraId="03D518CE"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82</w:t>
            </w:r>
          </w:p>
        </w:tc>
        <w:tc>
          <w:tcPr>
            <w:tcW w:w="1843" w:type="dxa"/>
            <w:shd w:val="clear" w:color="000000" w:fill="FFFFFF"/>
          </w:tcPr>
          <w:p w14:paraId="21254C30" w14:textId="77777777" w:rsidR="00687605" w:rsidRPr="006A15C2" w:rsidRDefault="00687605" w:rsidP="00AD3221">
            <w:pPr>
              <w:widowControl w:val="0"/>
              <w:autoSpaceDE w:val="0"/>
              <w:autoSpaceDN w:val="0"/>
              <w:adjustRightInd w:val="0"/>
              <w:snapToGrid w:val="0"/>
              <w:spacing w:line="360" w:lineRule="auto"/>
              <w:ind w:right="-147"/>
              <w:jc w:val="center"/>
              <w:rPr>
                <w:rFonts w:ascii="Book Antiqua" w:hAnsi="Book Antiqua" w:cs="Calibri"/>
                <w:lang w:val="en"/>
              </w:rPr>
            </w:pPr>
            <w:r w:rsidRPr="006A15C2">
              <w:rPr>
                <w:rFonts w:ascii="Book Antiqua" w:hAnsi="Book Antiqua" w:cs="Book Antiqua"/>
                <w:lang w:val="en"/>
              </w:rPr>
              <w:t>17%</w:t>
            </w:r>
          </w:p>
        </w:tc>
      </w:tr>
      <w:tr w:rsidR="00687605" w:rsidRPr="006A15C2" w14:paraId="7DFC66CD" w14:textId="77777777" w:rsidTr="00AD3221">
        <w:trPr>
          <w:trHeight w:val="851"/>
        </w:trPr>
        <w:tc>
          <w:tcPr>
            <w:tcW w:w="1509" w:type="dxa"/>
            <w:shd w:val="clear" w:color="000000" w:fill="FFFFFF"/>
            <w:vAlign w:val="center"/>
          </w:tcPr>
          <w:p w14:paraId="2A894CF4" w14:textId="197C204A"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eastAsia="zh-CN"/>
              </w:rPr>
            </w:pPr>
            <w:r w:rsidRPr="006A15C2">
              <w:rPr>
                <w:rFonts w:ascii="Book Antiqua" w:hAnsi="Book Antiqua" w:cs="Book Antiqua"/>
                <w:lang w:val="en"/>
              </w:rPr>
              <w:t xml:space="preserve">Annibale </w:t>
            </w:r>
            <w:r w:rsidR="00AD3221" w:rsidRPr="00AD3221">
              <w:rPr>
                <w:rFonts w:ascii="Book Antiqua" w:hAnsi="Book Antiqua" w:cs="Book Antiqua"/>
                <w:i/>
                <w:iCs/>
                <w:lang w:val="en"/>
              </w:rPr>
              <w:t>et al</w:t>
            </w:r>
            <w:r w:rsidR="00AD3221" w:rsidRPr="006A15C2">
              <w:rPr>
                <w:rFonts w:ascii="Book Antiqua" w:hAnsi="Book Antiqua" w:cs="Book Antiqua"/>
                <w:iCs/>
                <w:vertAlign w:val="superscript"/>
                <w:lang w:val="en"/>
              </w:rPr>
              <w:t xml:space="preserve"> </w:t>
            </w:r>
            <w:r w:rsidRPr="006A15C2">
              <w:rPr>
                <w:rFonts w:ascii="Book Antiqua" w:hAnsi="Book Antiqua" w:cs="Book Antiqua"/>
                <w:iCs/>
                <w:vertAlign w:val="superscript"/>
                <w:lang w:val="en"/>
              </w:rPr>
              <w:t>[2</w:t>
            </w:r>
            <w:r w:rsidR="00AD3221">
              <w:rPr>
                <w:rFonts w:ascii="Book Antiqua" w:hAnsi="Book Antiqua" w:cs="Book Antiqua" w:hint="eastAsia"/>
                <w:iCs/>
                <w:vertAlign w:val="superscript"/>
                <w:lang w:val="en" w:eastAsia="zh-CN"/>
              </w:rPr>
              <w:t>5</w:t>
            </w:r>
            <w:r w:rsidRPr="006A15C2">
              <w:rPr>
                <w:rFonts w:ascii="Book Antiqua" w:hAnsi="Book Antiqua" w:cs="Book Antiqua"/>
                <w:iCs/>
                <w:vertAlign w:val="superscript"/>
                <w:lang w:val="en"/>
              </w:rPr>
              <w:t>]</w:t>
            </w:r>
            <w:r w:rsidR="00AD3221" w:rsidRPr="006A15C2">
              <w:rPr>
                <w:rFonts w:ascii="Book Antiqua" w:hAnsi="Book Antiqua" w:cs="Book Antiqua"/>
                <w:iCs/>
                <w:lang w:val="en"/>
              </w:rPr>
              <w:t>,</w:t>
            </w:r>
            <w:r w:rsidRPr="006A15C2">
              <w:rPr>
                <w:rFonts w:ascii="Book Antiqua" w:hAnsi="Book Antiqua" w:cs="Book Antiqua"/>
                <w:iCs/>
                <w:lang w:val="en"/>
              </w:rPr>
              <w:t xml:space="preserve"> </w:t>
            </w:r>
            <w:r w:rsidRPr="006A15C2">
              <w:rPr>
                <w:rFonts w:ascii="Book Antiqua" w:hAnsi="Book Antiqua" w:cs="Book Antiqua"/>
                <w:lang w:val="en"/>
              </w:rPr>
              <w:t>2005</w:t>
            </w:r>
          </w:p>
        </w:tc>
        <w:tc>
          <w:tcPr>
            <w:tcW w:w="1185" w:type="dxa"/>
            <w:shd w:val="clear" w:color="000000" w:fill="FFFFFF"/>
          </w:tcPr>
          <w:p w14:paraId="705A043B"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140</w:t>
            </w:r>
          </w:p>
        </w:tc>
        <w:tc>
          <w:tcPr>
            <w:tcW w:w="850" w:type="dxa"/>
            <w:shd w:val="clear" w:color="000000" w:fill="FFFFFF"/>
          </w:tcPr>
          <w:p w14:paraId="4861323C" w14:textId="77777777" w:rsidR="00687605" w:rsidRPr="006A15C2" w:rsidRDefault="00687605" w:rsidP="00AD3221">
            <w:pPr>
              <w:widowControl w:val="0"/>
              <w:autoSpaceDE w:val="0"/>
              <w:autoSpaceDN w:val="0"/>
              <w:adjustRightInd w:val="0"/>
              <w:snapToGrid w:val="0"/>
              <w:spacing w:line="360" w:lineRule="auto"/>
              <w:ind w:left="-81" w:right="-51"/>
              <w:jc w:val="center"/>
              <w:rPr>
                <w:rFonts w:ascii="Book Antiqua" w:hAnsi="Book Antiqua" w:cs="Calibri"/>
                <w:lang w:val="en"/>
              </w:rPr>
            </w:pPr>
            <w:r w:rsidRPr="006A15C2">
              <w:rPr>
                <w:rFonts w:ascii="Book Antiqua" w:hAnsi="Book Antiqua" w:cs="Book Antiqua"/>
                <w:lang w:val="en"/>
              </w:rPr>
              <w:t>49/91</w:t>
            </w:r>
          </w:p>
        </w:tc>
        <w:tc>
          <w:tcPr>
            <w:tcW w:w="1134" w:type="dxa"/>
            <w:shd w:val="clear" w:color="000000" w:fill="FFFFFF"/>
          </w:tcPr>
          <w:p w14:paraId="53D109BA"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55</w:t>
            </w:r>
          </w:p>
        </w:tc>
        <w:tc>
          <w:tcPr>
            <w:tcW w:w="1134" w:type="dxa"/>
            <w:shd w:val="clear" w:color="000000" w:fill="FFFFFF"/>
          </w:tcPr>
          <w:p w14:paraId="156F0DEC"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500</w:t>
            </w:r>
          </w:p>
        </w:tc>
        <w:tc>
          <w:tcPr>
            <w:tcW w:w="1701" w:type="dxa"/>
            <w:shd w:val="clear" w:color="000000" w:fill="FFFFFF"/>
          </w:tcPr>
          <w:p w14:paraId="6075D90B"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65 (46</w:t>
            </w:r>
            <w:r w:rsidR="00695E4E" w:rsidRPr="006A15C2">
              <w:rPr>
                <w:rFonts w:ascii="Book Antiqua" w:hAnsi="Book Antiqua" w:cs="Book Antiqua"/>
                <w:lang w:val="en"/>
              </w:rPr>
              <w:t>.</w:t>
            </w:r>
            <w:r w:rsidRPr="006A15C2">
              <w:rPr>
                <w:rFonts w:ascii="Book Antiqua" w:hAnsi="Book Antiqua" w:cs="Book Antiqua"/>
                <w:lang w:val="en"/>
              </w:rPr>
              <w:t>5)</w:t>
            </w:r>
          </w:p>
        </w:tc>
        <w:tc>
          <w:tcPr>
            <w:tcW w:w="1559" w:type="dxa"/>
            <w:shd w:val="clear" w:color="000000" w:fill="FFFFFF"/>
          </w:tcPr>
          <w:p w14:paraId="241471AF"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80</w:t>
            </w:r>
          </w:p>
        </w:tc>
        <w:tc>
          <w:tcPr>
            <w:tcW w:w="1843" w:type="dxa"/>
            <w:shd w:val="clear" w:color="000000" w:fill="FFFFFF"/>
          </w:tcPr>
          <w:p w14:paraId="3F5A15A0" w14:textId="77777777" w:rsidR="00687605" w:rsidRPr="006A15C2" w:rsidRDefault="00687605" w:rsidP="00AD3221">
            <w:pPr>
              <w:widowControl w:val="0"/>
              <w:autoSpaceDE w:val="0"/>
              <w:autoSpaceDN w:val="0"/>
              <w:adjustRightInd w:val="0"/>
              <w:snapToGrid w:val="0"/>
              <w:spacing w:line="360" w:lineRule="auto"/>
              <w:ind w:right="-147"/>
              <w:jc w:val="center"/>
              <w:rPr>
                <w:rFonts w:ascii="Book Antiqua" w:hAnsi="Book Antiqua" w:cs="Calibri"/>
                <w:lang w:val="en"/>
              </w:rPr>
            </w:pPr>
            <w:r w:rsidRPr="006A15C2">
              <w:rPr>
                <w:rFonts w:ascii="Book Antiqua" w:hAnsi="Book Antiqua" w:cs="Book Antiqua"/>
                <w:lang w:val="en"/>
              </w:rPr>
              <w:t>NA</w:t>
            </w:r>
          </w:p>
        </w:tc>
      </w:tr>
      <w:tr w:rsidR="00687605" w:rsidRPr="006A15C2" w14:paraId="287CD05B" w14:textId="77777777" w:rsidTr="00AD3221">
        <w:trPr>
          <w:trHeight w:val="730"/>
        </w:trPr>
        <w:tc>
          <w:tcPr>
            <w:tcW w:w="1509" w:type="dxa"/>
            <w:shd w:val="clear" w:color="000000" w:fill="FFFFFF"/>
            <w:vAlign w:val="center"/>
          </w:tcPr>
          <w:p w14:paraId="5700B1D8" w14:textId="37F994C6"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 xml:space="preserve">Miceli </w:t>
            </w:r>
            <w:r w:rsidR="00AD3221" w:rsidRPr="00AD3221">
              <w:rPr>
                <w:rFonts w:ascii="Book Antiqua" w:hAnsi="Book Antiqua" w:cs="Book Antiqua"/>
                <w:i/>
                <w:iCs/>
                <w:lang w:val="en"/>
              </w:rPr>
              <w:t>et al</w:t>
            </w:r>
            <w:r w:rsidRPr="006A15C2">
              <w:rPr>
                <w:rFonts w:ascii="Book Antiqua" w:hAnsi="Book Antiqua" w:cs="Book Antiqua"/>
                <w:iCs/>
                <w:vertAlign w:val="superscript"/>
                <w:lang w:val="en"/>
              </w:rPr>
              <w:t>[2</w:t>
            </w:r>
            <w:r w:rsidR="00AD3221">
              <w:rPr>
                <w:rFonts w:ascii="Book Antiqua" w:hAnsi="Book Antiqua" w:cs="Book Antiqua" w:hint="eastAsia"/>
                <w:iCs/>
                <w:vertAlign w:val="superscript"/>
                <w:lang w:val="en" w:eastAsia="zh-CN"/>
              </w:rPr>
              <w:t>7</w:t>
            </w:r>
            <w:r w:rsidRPr="006A15C2">
              <w:rPr>
                <w:rFonts w:ascii="Book Antiqua" w:hAnsi="Book Antiqua" w:cs="Book Antiqua"/>
                <w:iCs/>
                <w:vertAlign w:val="superscript"/>
                <w:lang w:val="en"/>
              </w:rPr>
              <w:t>]</w:t>
            </w:r>
            <w:r w:rsidRPr="006A15C2">
              <w:rPr>
                <w:rFonts w:ascii="Book Antiqua" w:hAnsi="Book Antiqua" w:cs="Book Antiqua"/>
                <w:iCs/>
                <w:lang w:val="en"/>
              </w:rPr>
              <w:t>,</w:t>
            </w:r>
            <w:r w:rsidRPr="006A15C2">
              <w:rPr>
                <w:rFonts w:ascii="Book Antiqua" w:hAnsi="Book Antiqua" w:cs="Book Antiqua"/>
                <w:lang w:val="en"/>
              </w:rPr>
              <w:t xml:space="preserve"> 2012</w:t>
            </w:r>
          </w:p>
        </w:tc>
        <w:tc>
          <w:tcPr>
            <w:tcW w:w="1185" w:type="dxa"/>
            <w:shd w:val="clear" w:color="000000" w:fill="FFFFFF"/>
          </w:tcPr>
          <w:p w14:paraId="50B3908C" w14:textId="77777777" w:rsidR="00295F37" w:rsidRPr="006A15C2" w:rsidRDefault="00687605" w:rsidP="00AD3221">
            <w:pPr>
              <w:widowControl w:val="0"/>
              <w:autoSpaceDE w:val="0"/>
              <w:autoSpaceDN w:val="0"/>
              <w:adjustRightInd w:val="0"/>
              <w:snapToGrid w:val="0"/>
              <w:spacing w:line="360" w:lineRule="auto"/>
              <w:jc w:val="center"/>
              <w:rPr>
                <w:rFonts w:ascii="Book Antiqua" w:hAnsi="Book Antiqua" w:cs="Book Antiqua"/>
                <w:lang w:val="en"/>
              </w:rPr>
            </w:pPr>
            <w:r w:rsidRPr="006A15C2">
              <w:rPr>
                <w:rFonts w:ascii="Book Antiqua" w:hAnsi="Book Antiqua" w:cs="Book Antiqua"/>
                <w:lang w:val="en"/>
              </w:rPr>
              <w:t>99</w:t>
            </w:r>
          </w:p>
        </w:tc>
        <w:tc>
          <w:tcPr>
            <w:tcW w:w="850" w:type="dxa"/>
            <w:shd w:val="clear" w:color="000000" w:fill="FFFFFF"/>
          </w:tcPr>
          <w:p w14:paraId="13BD25FA" w14:textId="77777777" w:rsidR="00687605" w:rsidRPr="006A15C2" w:rsidRDefault="00687605" w:rsidP="00AD3221">
            <w:pPr>
              <w:widowControl w:val="0"/>
              <w:autoSpaceDE w:val="0"/>
              <w:autoSpaceDN w:val="0"/>
              <w:adjustRightInd w:val="0"/>
              <w:snapToGrid w:val="0"/>
              <w:spacing w:line="360" w:lineRule="auto"/>
              <w:ind w:left="-81" w:right="-51"/>
              <w:jc w:val="center"/>
              <w:rPr>
                <w:rFonts w:ascii="Book Antiqua" w:hAnsi="Book Antiqua" w:cs="Calibri"/>
                <w:lang w:val="en"/>
              </w:rPr>
            </w:pPr>
            <w:r w:rsidRPr="006A15C2">
              <w:rPr>
                <w:rFonts w:ascii="Book Antiqua" w:hAnsi="Book Antiqua" w:cs="Book Antiqua"/>
                <w:lang w:val="en"/>
              </w:rPr>
              <w:t>72/27</w:t>
            </w:r>
          </w:p>
        </w:tc>
        <w:tc>
          <w:tcPr>
            <w:tcW w:w="1134" w:type="dxa"/>
            <w:shd w:val="clear" w:color="000000" w:fill="FFFFFF"/>
          </w:tcPr>
          <w:p w14:paraId="5A669680"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59</w:t>
            </w:r>
          </w:p>
        </w:tc>
        <w:tc>
          <w:tcPr>
            <w:tcW w:w="1134" w:type="dxa"/>
            <w:shd w:val="clear" w:color="000000" w:fill="FFFFFF"/>
          </w:tcPr>
          <w:p w14:paraId="2CA88C8F"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726</w:t>
            </w:r>
          </w:p>
        </w:tc>
        <w:tc>
          <w:tcPr>
            <w:tcW w:w="1701" w:type="dxa"/>
            <w:shd w:val="clear" w:color="000000" w:fill="FFFFFF"/>
          </w:tcPr>
          <w:p w14:paraId="59251E8B"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37 (37</w:t>
            </w:r>
            <w:r w:rsidR="00695E4E" w:rsidRPr="006A15C2">
              <w:rPr>
                <w:rFonts w:ascii="Book Antiqua" w:hAnsi="Book Antiqua" w:cs="Book Antiqua"/>
                <w:lang w:val="en"/>
              </w:rPr>
              <w:t>.</w:t>
            </w:r>
            <w:r w:rsidRPr="006A15C2">
              <w:rPr>
                <w:rFonts w:ascii="Book Antiqua" w:hAnsi="Book Antiqua" w:cs="Book Antiqua"/>
                <w:lang w:val="en"/>
              </w:rPr>
              <w:t>4)</w:t>
            </w:r>
          </w:p>
        </w:tc>
        <w:tc>
          <w:tcPr>
            <w:tcW w:w="1559" w:type="dxa"/>
            <w:shd w:val="clear" w:color="000000" w:fill="FFFFFF"/>
          </w:tcPr>
          <w:p w14:paraId="0011971D"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NA</w:t>
            </w:r>
          </w:p>
        </w:tc>
        <w:tc>
          <w:tcPr>
            <w:tcW w:w="1843" w:type="dxa"/>
            <w:shd w:val="clear" w:color="000000" w:fill="FFFFFF"/>
          </w:tcPr>
          <w:p w14:paraId="3DDED421" w14:textId="77777777" w:rsidR="00687605" w:rsidRPr="006A15C2" w:rsidRDefault="00687605" w:rsidP="00AD3221">
            <w:pPr>
              <w:widowControl w:val="0"/>
              <w:autoSpaceDE w:val="0"/>
              <w:autoSpaceDN w:val="0"/>
              <w:adjustRightInd w:val="0"/>
              <w:snapToGrid w:val="0"/>
              <w:spacing w:line="360" w:lineRule="auto"/>
              <w:ind w:right="-147"/>
              <w:jc w:val="center"/>
              <w:rPr>
                <w:rFonts w:ascii="Book Antiqua" w:hAnsi="Book Antiqua" w:cs="Calibri"/>
                <w:lang w:val="en"/>
              </w:rPr>
            </w:pPr>
            <w:r w:rsidRPr="006A15C2">
              <w:rPr>
                <w:rFonts w:ascii="Book Antiqua" w:hAnsi="Book Antiqua" w:cs="Book Antiqua"/>
                <w:lang w:val="en"/>
              </w:rPr>
              <w:t>6%</w:t>
            </w:r>
          </w:p>
        </w:tc>
      </w:tr>
      <w:tr w:rsidR="00687605" w:rsidRPr="006A15C2" w14:paraId="2505E8A2" w14:textId="77777777" w:rsidTr="00AD3221">
        <w:trPr>
          <w:trHeight w:val="745"/>
        </w:trPr>
        <w:tc>
          <w:tcPr>
            <w:tcW w:w="1509" w:type="dxa"/>
            <w:shd w:val="clear" w:color="000000" w:fill="FFFFFF"/>
            <w:vAlign w:val="center"/>
          </w:tcPr>
          <w:p w14:paraId="5751F66B" w14:textId="09B7CA17" w:rsidR="00687605" w:rsidRPr="006A15C2" w:rsidRDefault="00687605" w:rsidP="00AD3221">
            <w:pPr>
              <w:widowControl w:val="0"/>
              <w:autoSpaceDE w:val="0"/>
              <w:autoSpaceDN w:val="0"/>
              <w:adjustRightInd w:val="0"/>
              <w:snapToGrid w:val="0"/>
              <w:spacing w:line="360" w:lineRule="auto"/>
              <w:rPr>
                <w:rFonts w:ascii="Book Antiqua" w:hAnsi="Book Antiqua" w:cs="Calibri"/>
                <w:lang w:val="en"/>
              </w:rPr>
            </w:pPr>
            <w:r w:rsidRPr="006A15C2">
              <w:rPr>
                <w:rFonts w:ascii="Book Antiqua" w:hAnsi="Book Antiqua" w:cs="Book Antiqua"/>
                <w:lang w:val="en"/>
              </w:rPr>
              <w:t xml:space="preserve">Lahner </w:t>
            </w:r>
            <w:r w:rsidR="00AD3221" w:rsidRPr="00AD3221">
              <w:rPr>
                <w:rFonts w:ascii="Book Antiqua" w:hAnsi="Book Antiqua" w:cs="Book Antiqua"/>
                <w:i/>
                <w:iCs/>
                <w:lang w:val="en"/>
              </w:rPr>
              <w:t>et al</w:t>
            </w:r>
            <w:r w:rsidRPr="006A15C2">
              <w:rPr>
                <w:rFonts w:ascii="Book Antiqua" w:hAnsi="Book Antiqua" w:cs="Book Antiqua"/>
                <w:vertAlign w:val="superscript"/>
                <w:lang w:val="en"/>
              </w:rPr>
              <w:t>[2</w:t>
            </w:r>
            <w:r w:rsidR="00AD3221">
              <w:rPr>
                <w:rFonts w:ascii="Book Antiqua" w:hAnsi="Book Antiqua" w:cs="Book Antiqua" w:hint="eastAsia"/>
                <w:vertAlign w:val="superscript"/>
                <w:lang w:val="en" w:eastAsia="zh-CN"/>
              </w:rPr>
              <w:t>6</w:t>
            </w:r>
            <w:r w:rsidRPr="006A15C2">
              <w:rPr>
                <w:rFonts w:ascii="Book Antiqua" w:hAnsi="Book Antiqua" w:cs="Book Antiqua"/>
                <w:vertAlign w:val="superscript"/>
                <w:lang w:val="en"/>
              </w:rPr>
              <w:t>]</w:t>
            </w:r>
            <w:r w:rsidRPr="006A15C2">
              <w:rPr>
                <w:rFonts w:ascii="Book Antiqua" w:hAnsi="Book Antiqua" w:cs="Book Antiqua"/>
                <w:lang w:val="en"/>
              </w:rPr>
              <w:t>, 2015</w:t>
            </w:r>
          </w:p>
        </w:tc>
        <w:tc>
          <w:tcPr>
            <w:tcW w:w="1185" w:type="dxa"/>
            <w:shd w:val="clear" w:color="000000" w:fill="FFFFFF"/>
          </w:tcPr>
          <w:p w14:paraId="7E674C05"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83</w:t>
            </w:r>
          </w:p>
        </w:tc>
        <w:tc>
          <w:tcPr>
            <w:tcW w:w="850" w:type="dxa"/>
            <w:shd w:val="clear" w:color="000000" w:fill="FFFFFF"/>
          </w:tcPr>
          <w:p w14:paraId="5BDC6442" w14:textId="77777777" w:rsidR="00687605" w:rsidRPr="006A15C2" w:rsidRDefault="00687605" w:rsidP="00AD3221">
            <w:pPr>
              <w:widowControl w:val="0"/>
              <w:autoSpaceDE w:val="0"/>
              <w:autoSpaceDN w:val="0"/>
              <w:adjustRightInd w:val="0"/>
              <w:snapToGrid w:val="0"/>
              <w:spacing w:line="360" w:lineRule="auto"/>
              <w:ind w:left="-81" w:right="-51"/>
              <w:jc w:val="center"/>
              <w:rPr>
                <w:rFonts w:ascii="Book Antiqua" w:hAnsi="Book Antiqua" w:cs="Calibri"/>
                <w:lang w:val="en"/>
              </w:rPr>
            </w:pPr>
            <w:r w:rsidRPr="006A15C2">
              <w:rPr>
                <w:rFonts w:ascii="Book Antiqua" w:hAnsi="Book Antiqua" w:cs="Book Antiqua"/>
                <w:lang w:val="en"/>
              </w:rPr>
              <w:t>42/41</w:t>
            </w:r>
          </w:p>
        </w:tc>
        <w:tc>
          <w:tcPr>
            <w:tcW w:w="1134" w:type="dxa"/>
            <w:shd w:val="clear" w:color="000000" w:fill="FFFFFF"/>
          </w:tcPr>
          <w:p w14:paraId="30FF2F57"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59</w:t>
            </w:r>
          </w:p>
        </w:tc>
        <w:tc>
          <w:tcPr>
            <w:tcW w:w="1134" w:type="dxa"/>
            <w:shd w:val="clear" w:color="000000" w:fill="FFFFFF"/>
          </w:tcPr>
          <w:p w14:paraId="48C7DDA5"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NA</w:t>
            </w:r>
          </w:p>
        </w:tc>
        <w:tc>
          <w:tcPr>
            <w:tcW w:w="1701" w:type="dxa"/>
            <w:shd w:val="clear" w:color="000000" w:fill="FFFFFF"/>
          </w:tcPr>
          <w:p w14:paraId="368ECFE5"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43 (51</w:t>
            </w:r>
            <w:r w:rsidR="00695E4E" w:rsidRPr="006A15C2">
              <w:rPr>
                <w:rFonts w:ascii="Book Antiqua" w:hAnsi="Book Antiqua" w:cs="Book Antiqua"/>
                <w:lang w:val="en"/>
              </w:rPr>
              <w:t>.</w:t>
            </w:r>
            <w:r w:rsidRPr="006A15C2">
              <w:rPr>
                <w:rFonts w:ascii="Book Antiqua" w:hAnsi="Book Antiqua" w:cs="Book Antiqua"/>
                <w:lang w:val="en"/>
              </w:rPr>
              <w:t>8)</w:t>
            </w:r>
          </w:p>
        </w:tc>
        <w:tc>
          <w:tcPr>
            <w:tcW w:w="1559" w:type="dxa"/>
            <w:shd w:val="clear" w:color="000000" w:fill="FFFFFF"/>
          </w:tcPr>
          <w:p w14:paraId="1FCA4C93" w14:textId="77777777" w:rsidR="00687605" w:rsidRPr="006A15C2" w:rsidRDefault="00687605" w:rsidP="00AD3221">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138</w:t>
            </w:r>
          </w:p>
        </w:tc>
        <w:tc>
          <w:tcPr>
            <w:tcW w:w="1843" w:type="dxa"/>
            <w:shd w:val="clear" w:color="000000" w:fill="FFFFFF"/>
          </w:tcPr>
          <w:p w14:paraId="2EE868B6" w14:textId="77777777" w:rsidR="00687605" w:rsidRPr="006A15C2" w:rsidRDefault="00687605" w:rsidP="00AD3221">
            <w:pPr>
              <w:widowControl w:val="0"/>
              <w:autoSpaceDE w:val="0"/>
              <w:autoSpaceDN w:val="0"/>
              <w:adjustRightInd w:val="0"/>
              <w:snapToGrid w:val="0"/>
              <w:spacing w:line="360" w:lineRule="auto"/>
              <w:ind w:right="-147"/>
              <w:jc w:val="center"/>
              <w:rPr>
                <w:rFonts w:ascii="Book Antiqua" w:hAnsi="Book Antiqua" w:cs="Calibri"/>
                <w:lang w:val="en"/>
              </w:rPr>
            </w:pPr>
            <w:r w:rsidRPr="006A15C2">
              <w:rPr>
                <w:rFonts w:ascii="Book Antiqua" w:hAnsi="Book Antiqua" w:cs="Book Antiqua"/>
                <w:lang w:val="en"/>
              </w:rPr>
              <w:t>NA</w:t>
            </w:r>
          </w:p>
        </w:tc>
      </w:tr>
    </w:tbl>
    <w:p w14:paraId="7CFC4640" w14:textId="4C26F179" w:rsidR="00687605" w:rsidRPr="006A15C2" w:rsidRDefault="00AD3221" w:rsidP="006A15C2">
      <w:pPr>
        <w:widowControl w:val="0"/>
        <w:autoSpaceDE w:val="0"/>
        <w:autoSpaceDN w:val="0"/>
        <w:adjustRightInd w:val="0"/>
        <w:snapToGrid w:val="0"/>
        <w:spacing w:line="360" w:lineRule="auto"/>
        <w:jc w:val="both"/>
        <w:rPr>
          <w:rFonts w:ascii="Book Antiqua" w:hAnsi="Book Antiqua" w:cs="Book Antiqua"/>
          <w:lang w:val="en" w:eastAsia="zh-CN"/>
        </w:rPr>
      </w:pPr>
      <w:r w:rsidRPr="00AD3221">
        <w:rPr>
          <w:rFonts w:ascii="Book Antiqua" w:hAnsi="Book Antiqua" w:cs="Book Antiqua" w:hint="eastAsia"/>
          <w:vertAlign w:val="superscript"/>
          <w:lang w:val="en" w:eastAsia="zh-CN"/>
        </w:rPr>
        <w:t>1</w:t>
      </w:r>
      <w:r w:rsidR="00687605" w:rsidRPr="006A15C2">
        <w:rPr>
          <w:rFonts w:ascii="Book Antiqua" w:hAnsi="Book Antiqua" w:cs="Book Antiqua"/>
          <w:lang w:val="en"/>
        </w:rPr>
        <w:t>Median vitamin B12 levels in patients with macrocytic anemia at presentation</w:t>
      </w:r>
      <w:r w:rsidR="00E6359B" w:rsidRPr="006A15C2">
        <w:rPr>
          <w:rFonts w:ascii="Book Antiqua" w:hAnsi="Book Antiqua" w:cs="Book Antiqua"/>
          <w:lang w:val="en"/>
        </w:rPr>
        <w:t>.</w:t>
      </w:r>
      <w:r>
        <w:rPr>
          <w:rFonts w:ascii="Book Antiqua" w:hAnsi="Book Antiqua" w:cs="Book Antiqua" w:hint="eastAsia"/>
          <w:lang w:val="en" w:eastAsia="zh-CN"/>
        </w:rPr>
        <w:t xml:space="preserve"> </w:t>
      </w:r>
      <w:r w:rsidR="00687605" w:rsidRPr="006A15C2">
        <w:rPr>
          <w:rFonts w:ascii="Book Antiqua" w:hAnsi="Book Antiqua" w:cs="Book Antiqua"/>
          <w:lang w:val="en"/>
        </w:rPr>
        <w:t>NA</w:t>
      </w:r>
      <w:r>
        <w:rPr>
          <w:rFonts w:ascii="Book Antiqua" w:hAnsi="Book Antiqua" w:cs="Book Antiqua" w:hint="eastAsia"/>
          <w:lang w:val="en" w:eastAsia="zh-CN"/>
        </w:rPr>
        <w:t xml:space="preserve">: </w:t>
      </w:r>
      <w:r w:rsidR="00687605" w:rsidRPr="00AD3221">
        <w:rPr>
          <w:rFonts w:ascii="Book Antiqua" w:hAnsi="Book Antiqua" w:cs="Book Antiqua"/>
          <w:caps/>
          <w:lang w:val="en"/>
        </w:rPr>
        <w:t>n</w:t>
      </w:r>
      <w:r w:rsidR="00687605" w:rsidRPr="006A15C2">
        <w:rPr>
          <w:rFonts w:ascii="Book Antiqua" w:hAnsi="Book Antiqua" w:cs="Book Antiqua"/>
          <w:lang w:val="en"/>
        </w:rPr>
        <w:t>ot assessed</w:t>
      </w:r>
      <w:r>
        <w:rPr>
          <w:rFonts w:ascii="Book Antiqua" w:hAnsi="Book Antiqua" w:cs="Book Antiqua" w:hint="eastAsia"/>
          <w:lang w:val="en" w:eastAsia="zh-CN"/>
        </w:rPr>
        <w:t>.</w:t>
      </w:r>
    </w:p>
    <w:p w14:paraId="6613B9BC" w14:textId="77777777" w:rsidR="00AD3221" w:rsidRDefault="00AD3221">
      <w:pPr>
        <w:rPr>
          <w:rFonts w:ascii="Book Antiqua" w:hAnsi="Book Antiqua" w:cs="Book Antiqua"/>
          <w:b/>
          <w:lang w:val="en"/>
        </w:rPr>
      </w:pPr>
      <w:r>
        <w:rPr>
          <w:rFonts w:ascii="Book Antiqua" w:hAnsi="Book Antiqua" w:cs="Book Antiqua"/>
          <w:b/>
          <w:lang w:val="en"/>
        </w:rPr>
        <w:br w:type="page"/>
      </w:r>
    </w:p>
    <w:p w14:paraId="0FE24CA5" w14:textId="31535C96" w:rsidR="00687605" w:rsidRPr="00AD3221" w:rsidRDefault="00687605" w:rsidP="006A15C2">
      <w:pPr>
        <w:widowControl w:val="0"/>
        <w:tabs>
          <w:tab w:val="left" w:pos="7410"/>
        </w:tabs>
        <w:autoSpaceDE w:val="0"/>
        <w:autoSpaceDN w:val="0"/>
        <w:adjustRightInd w:val="0"/>
        <w:snapToGrid w:val="0"/>
        <w:spacing w:line="360" w:lineRule="auto"/>
        <w:jc w:val="both"/>
        <w:rPr>
          <w:rFonts w:ascii="Book Antiqua" w:hAnsi="Book Antiqua" w:cs="Book Antiqua"/>
          <w:b/>
          <w:lang w:val="en"/>
        </w:rPr>
      </w:pPr>
      <w:r w:rsidRPr="00AD3221">
        <w:rPr>
          <w:rFonts w:ascii="Book Antiqua" w:hAnsi="Book Antiqua" w:cs="Book Antiqua"/>
          <w:b/>
          <w:lang w:val="en"/>
        </w:rPr>
        <w:lastRenderedPageBreak/>
        <w:t>Table 3</w:t>
      </w:r>
      <w:r w:rsidR="00AD3221">
        <w:rPr>
          <w:rFonts w:ascii="Book Antiqua" w:hAnsi="Book Antiqua" w:cs="Book Antiqua" w:hint="eastAsia"/>
          <w:b/>
          <w:lang w:val="en" w:eastAsia="zh-CN"/>
        </w:rPr>
        <w:t xml:space="preserve"> </w:t>
      </w:r>
      <w:r w:rsidRPr="00AD3221">
        <w:rPr>
          <w:rFonts w:ascii="Book Antiqua" w:hAnsi="Book Antiqua" w:cs="Book Antiqua"/>
          <w:b/>
          <w:lang w:val="en"/>
        </w:rPr>
        <w:t xml:space="preserve">Summary of the main </w:t>
      </w:r>
      <w:r w:rsidR="00D21C43" w:rsidRPr="00AD3221">
        <w:rPr>
          <w:rFonts w:ascii="Book Antiqua" w:hAnsi="Book Antiqua" w:cs="Book Antiqua"/>
          <w:b/>
          <w:lang w:val="en"/>
        </w:rPr>
        <w:t xml:space="preserve">types of </w:t>
      </w:r>
      <w:r w:rsidRPr="00AD3221">
        <w:rPr>
          <w:rFonts w:ascii="Book Antiqua" w:hAnsi="Book Antiqua" w:cs="Book Antiqua"/>
          <w:b/>
          <w:lang w:val="en"/>
        </w:rPr>
        <w:t xml:space="preserve">deficit described in </w:t>
      </w:r>
      <w:r w:rsidR="00AD3221" w:rsidRPr="00AD3221">
        <w:rPr>
          <w:rFonts w:ascii="Book Antiqua" w:hAnsi="Book Antiqua" w:cs="Book Antiqua"/>
          <w:b/>
          <w:lang w:val="en"/>
        </w:rPr>
        <w:t>chronic atrophic autoimmune gastritis</w:t>
      </w:r>
      <w:r w:rsidRPr="00AD3221">
        <w:rPr>
          <w:rFonts w:ascii="Book Antiqua" w:hAnsi="Book Antiqua" w:cs="Book Antiqua"/>
          <w:b/>
          <w:lang w:val="en"/>
        </w:rPr>
        <w:t xml:space="preserve"> patients</w:t>
      </w:r>
    </w:p>
    <w:tbl>
      <w:tblPr>
        <w:tblW w:w="10485" w:type="dxa"/>
        <w:tblInd w:w="-915" w:type="dxa"/>
        <w:tblBorders>
          <w:top w:val="single" w:sz="4" w:space="0" w:color="auto"/>
          <w:bottom w:val="single" w:sz="4" w:space="0" w:color="auto"/>
        </w:tblBorders>
        <w:tblLayout w:type="fixed"/>
        <w:tblLook w:val="0000" w:firstRow="0" w:lastRow="0" w:firstColumn="0" w:lastColumn="0" w:noHBand="0" w:noVBand="0"/>
      </w:tblPr>
      <w:tblGrid>
        <w:gridCol w:w="1985"/>
        <w:gridCol w:w="3149"/>
        <w:gridCol w:w="3479"/>
        <w:gridCol w:w="1872"/>
      </w:tblGrid>
      <w:tr w:rsidR="00687605" w:rsidRPr="006A15C2" w14:paraId="57D071DE" w14:textId="77777777" w:rsidTr="004912DC">
        <w:trPr>
          <w:trHeight w:val="1"/>
        </w:trPr>
        <w:tc>
          <w:tcPr>
            <w:tcW w:w="1985" w:type="dxa"/>
            <w:tcBorders>
              <w:top w:val="single" w:sz="4" w:space="0" w:color="auto"/>
              <w:bottom w:val="single" w:sz="4" w:space="0" w:color="auto"/>
            </w:tcBorders>
          </w:tcPr>
          <w:p w14:paraId="77A31F11" w14:textId="77777777" w:rsidR="00687605" w:rsidRPr="004912DC" w:rsidRDefault="00687605" w:rsidP="006A15C2">
            <w:pPr>
              <w:widowControl w:val="0"/>
              <w:autoSpaceDE w:val="0"/>
              <w:autoSpaceDN w:val="0"/>
              <w:adjustRightInd w:val="0"/>
              <w:snapToGrid w:val="0"/>
              <w:spacing w:line="360" w:lineRule="auto"/>
              <w:jc w:val="both"/>
              <w:rPr>
                <w:rFonts w:ascii="Book Antiqua" w:hAnsi="Book Antiqua" w:cs="Calibri"/>
                <w:b/>
                <w:lang w:val="en"/>
              </w:rPr>
            </w:pPr>
            <w:r w:rsidRPr="004912DC">
              <w:rPr>
                <w:rFonts w:ascii="Book Antiqua" w:hAnsi="Book Antiqua" w:cs="Book Antiqua"/>
                <w:b/>
                <w:lang w:val="en"/>
              </w:rPr>
              <w:t>Deficit</w:t>
            </w:r>
          </w:p>
        </w:tc>
        <w:tc>
          <w:tcPr>
            <w:tcW w:w="3149" w:type="dxa"/>
            <w:tcBorders>
              <w:top w:val="single" w:sz="4" w:space="0" w:color="auto"/>
              <w:bottom w:val="single" w:sz="4" w:space="0" w:color="auto"/>
            </w:tcBorders>
          </w:tcPr>
          <w:p w14:paraId="3E1D7B5D" w14:textId="57F3401D" w:rsidR="00687605" w:rsidRPr="004912DC" w:rsidRDefault="00687605" w:rsidP="004912DC">
            <w:pPr>
              <w:widowControl w:val="0"/>
              <w:autoSpaceDE w:val="0"/>
              <w:autoSpaceDN w:val="0"/>
              <w:adjustRightInd w:val="0"/>
              <w:snapToGrid w:val="0"/>
              <w:spacing w:line="360" w:lineRule="auto"/>
              <w:jc w:val="center"/>
              <w:rPr>
                <w:rFonts w:ascii="Book Antiqua" w:hAnsi="Book Antiqua" w:cs="Book Antiqua"/>
                <w:b/>
                <w:lang w:val="en" w:eastAsia="zh-CN"/>
              </w:rPr>
            </w:pPr>
            <w:r w:rsidRPr="004912DC">
              <w:rPr>
                <w:rFonts w:ascii="Book Antiqua" w:hAnsi="Book Antiqua" w:cs="Book Antiqua"/>
                <w:b/>
                <w:lang w:val="en"/>
              </w:rPr>
              <w:t>Mechanism of action</w:t>
            </w:r>
          </w:p>
        </w:tc>
        <w:tc>
          <w:tcPr>
            <w:tcW w:w="3479" w:type="dxa"/>
            <w:tcBorders>
              <w:top w:val="single" w:sz="4" w:space="0" w:color="auto"/>
              <w:bottom w:val="single" w:sz="4" w:space="0" w:color="auto"/>
            </w:tcBorders>
          </w:tcPr>
          <w:p w14:paraId="39F29796" w14:textId="68A6896E" w:rsidR="00687605" w:rsidRPr="004912DC" w:rsidRDefault="00687605" w:rsidP="004912DC">
            <w:pPr>
              <w:widowControl w:val="0"/>
              <w:autoSpaceDE w:val="0"/>
              <w:autoSpaceDN w:val="0"/>
              <w:adjustRightInd w:val="0"/>
              <w:snapToGrid w:val="0"/>
              <w:spacing w:line="360" w:lineRule="auto"/>
              <w:jc w:val="center"/>
              <w:rPr>
                <w:rFonts w:ascii="Book Antiqua" w:hAnsi="Book Antiqua" w:cs="Book Antiqua"/>
                <w:b/>
                <w:lang w:val="en" w:eastAsia="zh-CN"/>
              </w:rPr>
            </w:pPr>
            <w:r w:rsidRPr="004912DC">
              <w:rPr>
                <w:rFonts w:ascii="Book Antiqua" w:hAnsi="Book Antiqua" w:cs="Book Antiqua"/>
                <w:b/>
                <w:lang w:val="en"/>
              </w:rPr>
              <w:t>Effects</w:t>
            </w:r>
          </w:p>
        </w:tc>
        <w:tc>
          <w:tcPr>
            <w:tcW w:w="1872" w:type="dxa"/>
            <w:tcBorders>
              <w:top w:val="single" w:sz="4" w:space="0" w:color="auto"/>
              <w:bottom w:val="single" w:sz="4" w:space="0" w:color="auto"/>
            </w:tcBorders>
          </w:tcPr>
          <w:p w14:paraId="740AA7B3" w14:textId="19D3AD28" w:rsidR="00687605" w:rsidRPr="004912DC" w:rsidRDefault="00687605" w:rsidP="004912DC">
            <w:pPr>
              <w:widowControl w:val="0"/>
              <w:autoSpaceDE w:val="0"/>
              <w:autoSpaceDN w:val="0"/>
              <w:adjustRightInd w:val="0"/>
              <w:snapToGrid w:val="0"/>
              <w:spacing w:line="360" w:lineRule="auto"/>
              <w:jc w:val="center"/>
              <w:rPr>
                <w:rFonts w:ascii="Book Antiqua" w:hAnsi="Book Antiqua" w:cs="Book Antiqua"/>
                <w:b/>
                <w:lang w:val="en" w:eastAsia="zh-CN"/>
              </w:rPr>
            </w:pPr>
            <w:r w:rsidRPr="004912DC">
              <w:rPr>
                <w:rFonts w:ascii="Book Antiqua" w:hAnsi="Book Antiqua" w:cs="Book Antiqua"/>
                <w:b/>
                <w:lang w:val="en"/>
              </w:rPr>
              <w:t>Reported prevalence</w:t>
            </w:r>
          </w:p>
        </w:tc>
      </w:tr>
      <w:tr w:rsidR="00687605" w:rsidRPr="006A15C2" w14:paraId="1727DA32" w14:textId="77777777" w:rsidTr="004912DC">
        <w:trPr>
          <w:trHeight w:val="1126"/>
        </w:trPr>
        <w:tc>
          <w:tcPr>
            <w:tcW w:w="1985" w:type="dxa"/>
            <w:tcBorders>
              <w:top w:val="single" w:sz="4" w:space="0" w:color="auto"/>
            </w:tcBorders>
          </w:tcPr>
          <w:p w14:paraId="72AD2497"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Vitamin B12</w:t>
            </w:r>
          </w:p>
        </w:tc>
        <w:tc>
          <w:tcPr>
            <w:tcW w:w="3149" w:type="dxa"/>
            <w:tcBorders>
              <w:top w:val="single" w:sz="4" w:space="0" w:color="auto"/>
            </w:tcBorders>
          </w:tcPr>
          <w:p w14:paraId="7761B7FA" w14:textId="63856404"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Lack of intrinsic factor</w:t>
            </w:r>
            <w:r w:rsidR="00485275">
              <w:rPr>
                <w:rFonts w:ascii="Book Antiqua" w:hAnsi="Book Antiqua" w:cs="Book Antiqua"/>
                <w:lang w:val="en"/>
              </w:rPr>
              <w:t xml:space="preserve"> </w:t>
            </w:r>
            <w:r w:rsidRPr="006A15C2">
              <w:rPr>
                <w:rFonts w:ascii="Book Antiqua" w:hAnsi="Book Antiqua" w:cs="Book Antiqua"/>
                <w:lang w:val="en"/>
              </w:rPr>
              <w:t>reduced vitamin B12 absorption in terminal ileum</w:t>
            </w:r>
          </w:p>
        </w:tc>
        <w:tc>
          <w:tcPr>
            <w:tcW w:w="3479" w:type="dxa"/>
            <w:tcBorders>
              <w:top w:val="single" w:sz="4" w:space="0" w:color="auto"/>
            </w:tcBorders>
          </w:tcPr>
          <w:p w14:paraId="7ADBED39"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Book Antiqua"/>
                <w:lang w:val="en"/>
              </w:rPr>
            </w:pPr>
            <w:r w:rsidRPr="006A15C2">
              <w:rPr>
                <w:rFonts w:ascii="Book Antiqua" w:hAnsi="Book Antiqua" w:cs="Book Antiqua"/>
                <w:lang w:val="en"/>
              </w:rPr>
              <w:t>Pernicious Anemia</w:t>
            </w:r>
          </w:p>
          <w:p w14:paraId="6228AA34"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Book Antiqua"/>
                <w:lang w:val="en"/>
              </w:rPr>
            </w:pPr>
            <w:r w:rsidRPr="006A15C2">
              <w:rPr>
                <w:rFonts w:ascii="Book Antiqua" w:hAnsi="Book Antiqua" w:cs="Book Antiqua"/>
                <w:lang w:val="en"/>
              </w:rPr>
              <w:t>Neurological alteration</w:t>
            </w:r>
          </w:p>
          <w:p w14:paraId="6FB4E280" w14:textId="29EF7BBE" w:rsidR="00687605" w:rsidRPr="004912DC" w:rsidRDefault="00687605" w:rsidP="004912DC">
            <w:pPr>
              <w:widowControl w:val="0"/>
              <w:autoSpaceDE w:val="0"/>
              <w:autoSpaceDN w:val="0"/>
              <w:adjustRightInd w:val="0"/>
              <w:snapToGrid w:val="0"/>
              <w:spacing w:line="360" w:lineRule="auto"/>
              <w:jc w:val="center"/>
              <w:rPr>
                <w:rFonts w:ascii="Book Antiqua" w:hAnsi="Book Antiqua" w:cs="Book Antiqua"/>
                <w:lang w:val="en" w:eastAsia="zh-CN"/>
              </w:rPr>
            </w:pPr>
            <w:r w:rsidRPr="006A15C2">
              <w:rPr>
                <w:rFonts w:ascii="Book Antiqua" w:hAnsi="Book Antiqua" w:cs="Book Antiqua"/>
                <w:lang w:val="en"/>
              </w:rPr>
              <w:t>Osteopenia/Osteoporosis</w:t>
            </w:r>
          </w:p>
        </w:tc>
        <w:tc>
          <w:tcPr>
            <w:tcW w:w="1872" w:type="dxa"/>
            <w:tcBorders>
              <w:top w:val="single" w:sz="4" w:space="0" w:color="auto"/>
            </w:tcBorders>
          </w:tcPr>
          <w:p w14:paraId="09623214" w14:textId="636AEE61"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vertAlign w:val="superscript"/>
                <w:lang w:val="en"/>
              </w:rPr>
            </w:pPr>
            <w:r w:rsidRPr="006A15C2">
              <w:rPr>
                <w:rFonts w:ascii="Book Antiqua" w:hAnsi="Book Antiqua" w:cs="Book Antiqua"/>
                <w:lang w:val="en"/>
              </w:rPr>
              <w:t>37</w:t>
            </w:r>
            <w:r w:rsidR="00D21C43" w:rsidRPr="006A15C2">
              <w:rPr>
                <w:rFonts w:ascii="Book Antiqua" w:hAnsi="Book Antiqua" w:cs="Book Antiqua"/>
                <w:lang w:val="en"/>
              </w:rPr>
              <w:t>%</w:t>
            </w:r>
            <w:r w:rsidRPr="006A15C2">
              <w:rPr>
                <w:rFonts w:ascii="Book Antiqua" w:hAnsi="Book Antiqua" w:cs="Book Antiqua"/>
                <w:lang w:val="en"/>
              </w:rPr>
              <w:t>-69%</w:t>
            </w:r>
            <w:r w:rsidR="00E6359B" w:rsidRPr="006A15C2">
              <w:rPr>
                <w:rFonts w:ascii="Book Antiqua" w:hAnsi="Book Antiqua" w:cs="Book Antiqua"/>
                <w:vertAlign w:val="superscript"/>
                <w:lang w:val="en"/>
              </w:rPr>
              <w:t>[</w:t>
            </w:r>
            <w:r w:rsidRPr="006A15C2">
              <w:rPr>
                <w:rFonts w:ascii="Book Antiqua" w:hAnsi="Book Antiqua" w:cs="Book Antiqua"/>
                <w:vertAlign w:val="superscript"/>
                <w:lang w:val="en"/>
              </w:rPr>
              <w:t>24,27</w:t>
            </w:r>
            <w:r w:rsidR="00E6359B" w:rsidRPr="006A15C2">
              <w:rPr>
                <w:rFonts w:ascii="Book Antiqua" w:hAnsi="Book Antiqua" w:cs="Book Antiqua"/>
                <w:vertAlign w:val="superscript"/>
                <w:lang w:val="en"/>
              </w:rPr>
              <w:t>]</w:t>
            </w:r>
          </w:p>
        </w:tc>
      </w:tr>
      <w:tr w:rsidR="00687605" w:rsidRPr="006A15C2" w14:paraId="2B345FFA" w14:textId="77777777" w:rsidTr="004912DC">
        <w:trPr>
          <w:trHeight w:val="1195"/>
        </w:trPr>
        <w:tc>
          <w:tcPr>
            <w:tcW w:w="1985" w:type="dxa"/>
          </w:tcPr>
          <w:p w14:paraId="6EEA7B17"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Iron</w:t>
            </w:r>
            <w:r w:rsidR="00D21C43" w:rsidRPr="006A15C2">
              <w:rPr>
                <w:rFonts w:ascii="Book Antiqua" w:hAnsi="Book Antiqua" w:cs="Book Antiqua"/>
                <w:lang w:val="en"/>
              </w:rPr>
              <w:t xml:space="preserve"> </w:t>
            </w:r>
            <w:r w:rsidRPr="006A15C2">
              <w:rPr>
                <w:rFonts w:ascii="Book Antiqua" w:hAnsi="Book Antiqua" w:cs="Book Antiqua"/>
                <w:lang w:val="en"/>
              </w:rPr>
              <w:t>deficiency</w:t>
            </w:r>
          </w:p>
        </w:tc>
        <w:tc>
          <w:tcPr>
            <w:tcW w:w="3149" w:type="dxa"/>
          </w:tcPr>
          <w:p w14:paraId="348113C6"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 xml:space="preserve">Gastric acid increases </w:t>
            </w:r>
            <w:r w:rsidR="00D21C43" w:rsidRPr="006A15C2">
              <w:rPr>
                <w:rFonts w:ascii="Book Antiqua" w:hAnsi="Book Antiqua" w:cs="Book Antiqua"/>
                <w:lang w:val="en"/>
              </w:rPr>
              <w:t xml:space="preserve">the </w:t>
            </w:r>
            <w:r w:rsidRPr="006A15C2">
              <w:rPr>
                <w:rFonts w:ascii="Book Antiqua" w:hAnsi="Book Antiqua" w:cs="Book Antiqua"/>
                <w:lang w:val="en"/>
              </w:rPr>
              <w:t>dissolution and ionization of poorly soluble calcium salt</w:t>
            </w:r>
          </w:p>
        </w:tc>
        <w:tc>
          <w:tcPr>
            <w:tcW w:w="3479" w:type="dxa"/>
          </w:tcPr>
          <w:p w14:paraId="56E0547E"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Microcytic anemia</w:t>
            </w:r>
          </w:p>
        </w:tc>
        <w:tc>
          <w:tcPr>
            <w:tcW w:w="1872" w:type="dxa"/>
          </w:tcPr>
          <w:p w14:paraId="77163D23" w14:textId="590E38E6"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41%</w:t>
            </w:r>
            <w:r w:rsidR="00E6359B" w:rsidRPr="006A15C2">
              <w:rPr>
                <w:rFonts w:ascii="Book Antiqua" w:hAnsi="Book Antiqua" w:cs="Book Antiqua"/>
                <w:vertAlign w:val="superscript"/>
                <w:lang w:val="en"/>
              </w:rPr>
              <w:t>[</w:t>
            </w:r>
            <w:r w:rsidRPr="006A15C2">
              <w:rPr>
                <w:rFonts w:ascii="Book Antiqua" w:hAnsi="Book Antiqua" w:cs="Book Antiqua"/>
                <w:vertAlign w:val="superscript"/>
                <w:lang w:val="en"/>
              </w:rPr>
              <w:t>24</w:t>
            </w:r>
            <w:r w:rsidR="00E6359B" w:rsidRPr="006A15C2">
              <w:rPr>
                <w:rFonts w:ascii="Book Antiqua" w:hAnsi="Book Antiqua" w:cs="Book Antiqua"/>
                <w:vertAlign w:val="superscript"/>
                <w:lang w:val="en"/>
              </w:rPr>
              <w:t>]</w:t>
            </w:r>
          </w:p>
        </w:tc>
      </w:tr>
      <w:tr w:rsidR="00687605" w:rsidRPr="006A15C2" w14:paraId="3233E0DA" w14:textId="77777777" w:rsidTr="004912DC">
        <w:trPr>
          <w:trHeight w:val="1202"/>
        </w:trPr>
        <w:tc>
          <w:tcPr>
            <w:tcW w:w="1985" w:type="dxa"/>
          </w:tcPr>
          <w:p w14:paraId="1352C1D4"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Vitamin C</w:t>
            </w:r>
          </w:p>
        </w:tc>
        <w:tc>
          <w:tcPr>
            <w:tcW w:w="3149" w:type="dxa"/>
          </w:tcPr>
          <w:p w14:paraId="68E2AAD8" w14:textId="77777777" w:rsidR="00687605" w:rsidRPr="006A15C2" w:rsidRDefault="00D21C43"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D</w:t>
            </w:r>
            <w:r w:rsidR="00687605" w:rsidRPr="006A15C2">
              <w:rPr>
                <w:rFonts w:ascii="Book Antiqua" w:hAnsi="Book Antiqua" w:cs="Book Antiqua"/>
                <w:lang w:val="en"/>
              </w:rPr>
              <w:t>estruction of ascorbic acid in the gastric mucosa for elevated pH and bacterial overgrowth</w:t>
            </w:r>
          </w:p>
        </w:tc>
        <w:tc>
          <w:tcPr>
            <w:tcW w:w="3479" w:type="dxa"/>
          </w:tcPr>
          <w:p w14:paraId="5AC10F96"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Reduced an</w:t>
            </w:r>
            <w:r w:rsidR="00D21C43" w:rsidRPr="006A15C2">
              <w:rPr>
                <w:rFonts w:ascii="Book Antiqua" w:hAnsi="Book Antiqua" w:cs="Book Antiqua"/>
                <w:lang w:val="en"/>
              </w:rPr>
              <w:t>d</w:t>
            </w:r>
            <w:r w:rsidRPr="006A15C2">
              <w:rPr>
                <w:rFonts w:ascii="Book Antiqua" w:hAnsi="Book Antiqua" w:cs="Book Antiqua"/>
                <w:lang w:val="en"/>
              </w:rPr>
              <w:t xml:space="preserve"> oxidative effects</w:t>
            </w:r>
          </w:p>
        </w:tc>
        <w:tc>
          <w:tcPr>
            <w:tcW w:w="1872" w:type="dxa"/>
          </w:tcPr>
          <w:p w14:paraId="3B7FD5A5"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Not known</w:t>
            </w:r>
          </w:p>
        </w:tc>
      </w:tr>
      <w:tr w:rsidR="00687605" w:rsidRPr="006A15C2" w14:paraId="7220C6B0" w14:textId="77777777" w:rsidTr="004912DC">
        <w:trPr>
          <w:trHeight w:val="1316"/>
        </w:trPr>
        <w:tc>
          <w:tcPr>
            <w:tcW w:w="1985" w:type="dxa"/>
          </w:tcPr>
          <w:p w14:paraId="0B45D0BB"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Calcium</w:t>
            </w:r>
          </w:p>
        </w:tc>
        <w:tc>
          <w:tcPr>
            <w:tcW w:w="3149" w:type="dxa"/>
          </w:tcPr>
          <w:p w14:paraId="10655EFE"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 xml:space="preserve">Gastric acid increases </w:t>
            </w:r>
            <w:r w:rsidR="00D21C43" w:rsidRPr="006A15C2">
              <w:rPr>
                <w:rFonts w:ascii="Book Antiqua" w:hAnsi="Book Antiqua" w:cs="Book Antiqua"/>
                <w:lang w:val="en"/>
              </w:rPr>
              <w:t xml:space="preserve">the </w:t>
            </w:r>
            <w:r w:rsidRPr="006A15C2">
              <w:rPr>
                <w:rFonts w:ascii="Book Antiqua" w:hAnsi="Book Antiqua" w:cs="Book Antiqua"/>
                <w:lang w:val="en"/>
              </w:rPr>
              <w:t>dissolution and ionization of poorly soluble calcium salt</w:t>
            </w:r>
          </w:p>
        </w:tc>
        <w:tc>
          <w:tcPr>
            <w:tcW w:w="3479" w:type="dxa"/>
          </w:tcPr>
          <w:p w14:paraId="1BF9ED93" w14:textId="11A9C173" w:rsidR="00687605" w:rsidRPr="006A15C2" w:rsidRDefault="00687605" w:rsidP="004912DC">
            <w:pPr>
              <w:widowControl w:val="0"/>
              <w:autoSpaceDE w:val="0"/>
              <w:autoSpaceDN w:val="0"/>
              <w:adjustRightInd w:val="0"/>
              <w:snapToGrid w:val="0"/>
              <w:spacing w:line="360" w:lineRule="auto"/>
              <w:jc w:val="center"/>
              <w:rPr>
                <w:rFonts w:ascii="Book Antiqua" w:hAnsi="Book Antiqua" w:cs="Book Antiqua"/>
                <w:lang w:val="en"/>
              </w:rPr>
            </w:pPr>
            <w:r w:rsidRPr="006A15C2">
              <w:rPr>
                <w:rFonts w:ascii="Book Antiqua" w:hAnsi="Book Antiqua" w:cs="Book Antiqua"/>
                <w:lang w:val="en"/>
              </w:rPr>
              <w:t>Osteopenia/Osteoporosis</w:t>
            </w:r>
          </w:p>
          <w:p w14:paraId="5E1BD5D3"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p>
        </w:tc>
        <w:tc>
          <w:tcPr>
            <w:tcW w:w="1872" w:type="dxa"/>
          </w:tcPr>
          <w:p w14:paraId="6CE6ED0C"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Not known</w:t>
            </w:r>
          </w:p>
        </w:tc>
      </w:tr>
      <w:tr w:rsidR="00687605" w:rsidRPr="006A15C2" w14:paraId="0E857F45" w14:textId="77777777" w:rsidTr="004912DC">
        <w:trPr>
          <w:trHeight w:val="1"/>
        </w:trPr>
        <w:tc>
          <w:tcPr>
            <w:tcW w:w="1985" w:type="dxa"/>
          </w:tcPr>
          <w:p w14:paraId="6E734C57"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Calibri"/>
                <w:lang w:val="en"/>
              </w:rPr>
            </w:pPr>
            <w:r w:rsidRPr="006A15C2">
              <w:rPr>
                <w:rFonts w:ascii="Book Antiqua" w:hAnsi="Book Antiqua" w:cs="Book Antiqua"/>
                <w:lang w:val="en"/>
              </w:rPr>
              <w:t>Vitamin D</w:t>
            </w:r>
          </w:p>
        </w:tc>
        <w:tc>
          <w:tcPr>
            <w:tcW w:w="3149" w:type="dxa"/>
          </w:tcPr>
          <w:p w14:paraId="58448FED"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Not clarified</w:t>
            </w:r>
          </w:p>
        </w:tc>
        <w:tc>
          <w:tcPr>
            <w:tcW w:w="3479" w:type="dxa"/>
          </w:tcPr>
          <w:p w14:paraId="59526DB5"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Book Antiqua"/>
                <w:lang w:val="en"/>
              </w:rPr>
            </w:pPr>
            <w:r w:rsidRPr="006A15C2">
              <w:rPr>
                <w:rFonts w:ascii="Book Antiqua" w:hAnsi="Book Antiqua" w:cs="Book Antiqua"/>
                <w:lang w:val="en"/>
              </w:rPr>
              <w:t>Secondary hyperparathyroidism</w:t>
            </w:r>
          </w:p>
          <w:p w14:paraId="4A47A733" w14:textId="77777777" w:rsidR="00687605" w:rsidRPr="006A15C2" w:rsidRDefault="00687605" w:rsidP="004912DC">
            <w:pPr>
              <w:widowControl w:val="0"/>
              <w:autoSpaceDE w:val="0"/>
              <w:autoSpaceDN w:val="0"/>
              <w:adjustRightInd w:val="0"/>
              <w:snapToGrid w:val="0"/>
              <w:spacing w:line="360" w:lineRule="auto"/>
              <w:jc w:val="center"/>
              <w:rPr>
                <w:rFonts w:ascii="Book Antiqua" w:hAnsi="Book Antiqua" w:cs="Book Antiqua"/>
                <w:lang w:val="en"/>
              </w:rPr>
            </w:pPr>
            <w:r w:rsidRPr="006A15C2">
              <w:rPr>
                <w:rFonts w:ascii="Book Antiqua" w:hAnsi="Book Antiqua" w:cs="Book Antiqua"/>
                <w:lang w:val="en"/>
              </w:rPr>
              <w:t>Osteopenia/Osteoporosis</w:t>
            </w:r>
          </w:p>
          <w:p w14:paraId="4C4C9E26" w14:textId="3013C789"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Increased incidence of autoimmune diseases.</w:t>
            </w:r>
          </w:p>
        </w:tc>
        <w:tc>
          <w:tcPr>
            <w:tcW w:w="1872" w:type="dxa"/>
          </w:tcPr>
          <w:p w14:paraId="325C0055" w14:textId="386F1DB6" w:rsidR="00687605" w:rsidRPr="006A15C2" w:rsidRDefault="00687605" w:rsidP="004912DC">
            <w:pPr>
              <w:widowControl w:val="0"/>
              <w:autoSpaceDE w:val="0"/>
              <w:autoSpaceDN w:val="0"/>
              <w:adjustRightInd w:val="0"/>
              <w:snapToGrid w:val="0"/>
              <w:spacing w:line="360" w:lineRule="auto"/>
              <w:jc w:val="center"/>
              <w:rPr>
                <w:rFonts w:ascii="Book Antiqua" w:hAnsi="Book Antiqua" w:cs="Calibri"/>
                <w:lang w:val="en"/>
              </w:rPr>
            </w:pPr>
            <w:r w:rsidRPr="006A15C2">
              <w:rPr>
                <w:rFonts w:ascii="Book Antiqua" w:hAnsi="Book Antiqua" w:cs="Book Antiqua"/>
                <w:lang w:val="en"/>
              </w:rPr>
              <w:t>12.1%</w:t>
            </w:r>
            <w:r w:rsidR="00E6359B" w:rsidRPr="006A15C2">
              <w:rPr>
                <w:rFonts w:ascii="Book Antiqua" w:hAnsi="Book Antiqua" w:cs="Book Antiqua"/>
                <w:vertAlign w:val="superscript"/>
                <w:lang w:val="en"/>
              </w:rPr>
              <w:t>[</w:t>
            </w:r>
            <w:r w:rsidRPr="006A15C2">
              <w:rPr>
                <w:rFonts w:ascii="Book Antiqua" w:hAnsi="Book Antiqua" w:cs="Book Antiqua"/>
                <w:vertAlign w:val="superscript"/>
                <w:lang w:val="en"/>
              </w:rPr>
              <w:t>84</w:t>
            </w:r>
            <w:r w:rsidR="00E6359B" w:rsidRPr="006A15C2">
              <w:rPr>
                <w:rFonts w:ascii="Book Antiqua" w:hAnsi="Book Antiqua" w:cs="Book Antiqua"/>
                <w:vertAlign w:val="superscript"/>
                <w:lang w:val="en"/>
              </w:rPr>
              <w:t>]</w:t>
            </w:r>
          </w:p>
        </w:tc>
      </w:tr>
    </w:tbl>
    <w:p w14:paraId="32702AFF" w14:textId="77777777" w:rsidR="00687605" w:rsidRPr="006A15C2" w:rsidRDefault="00687605" w:rsidP="006A15C2">
      <w:pPr>
        <w:widowControl w:val="0"/>
        <w:autoSpaceDE w:val="0"/>
        <w:autoSpaceDN w:val="0"/>
        <w:adjustRightInd w:val="0"/>
        <w:snapToGrid w:val="0"/>
        <w:spacing w:line="360" w:lineRule="auto"/>
        <w:jc w:val="both"/>
        <w:rPr>
          <w:rFonts w:ascii="Book Antiqua" w:hAnsi="Book Antiqua" w:cs="Book Antiqua"/>
          <w:lang w:val="en"/>
        </w:rPr>
      </w:pPr>
    </w:p>
    <w:sectPr w:rsidR="00687605" w:rsidRPr="006A15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C0A"/>
    <w:multiLevelType w:val="hybridMultilevel"/>
    <w:tmpl w:val="DC78A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746456"/>
    <w:multiLevelType w:val="hybridMultilevel"/>
    <w:tmpl w:val="F7C045EC"/>
    <w:lvl w:ilvl="0" w:tplc="09A6A6AA">
      <w:numFmt w:val="bullet"/>
      <w:lvlText w:val="-"/>
      <w:lvlJc w:val="left"/>
      <w:pPr>
        <w:tabs>
          <w:tab w:val="num" w:pos="360"/>
        </w:tabs>
        <w:ind w:left="360" w:hanging="360"/>
      </w:pPr>
      <w:rPr>
        <w:rFonts w:ascii="Book Antiqua" w:eastAsia="Times New Roman" w:hAnsi="Book Antiqu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671B3F"/>
    <w:multiLevelType w:val="hybridMultilevel"/>
    <w:tmpl w:val="601682F6"/>
    <w:lvl w:ilvl="0" w:tplc="09A6A6AA">
      <w:numFmt w:val="bullet"/>
      <w:lvlText w:val="-"/>
      <w:lvlJc w:val="left"/>
      <w:pPr>
        <w:tabs>
          <w:tab w:val="num" w:pos="360"/>
        </w:tabs>
        <w:ind w:left="360" w:hanging="360"/>
      </w:pPr>
      <w:rPr>
        <w:rFonts w:ascii="Book Antiqua" w:eastAsia="Times New Roman" w:hAnsi="Book Antiqua"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140FAD"/>
    <w:multiLevelType w:val="hybridMultilevel"/>
    <w:tmpl w:val="373EB9B0"/>
    <w:lvl w:ilvl="0" w:tplc="09A6A6AA">
      <w:numFmt w:val="bullet"/>
      <w:lvlText w:val="-"/>
      <w:lvlJc w:val="left"/>
      <w:pPr>
        <w:tabs>
          <w:tab w:val="num" w:pos="360"/>
        </w:tabs>
        <w:ind w:left="360" w:hanging="360"/>
      </w:pPr>
      <w:rPr>
        <w:rFonts w:ascii="Book Antiqua" w:eastAsia="Times New Roman" w:hAnsi="Book Antiqua"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67"/>
    <w:rsid w:val="00016143"/>
    <w:rsid w:val="00074570"/>
    <w:rsid w:val="000F2EAD"/>
    <w:rsid w:val="001276CB"/>
    <w:rsid w:val="0015128F"/>
    <w:rsid w:val="00162663"/>
    <w:rsid w:val="001816A9"/>
    <w:rsid w:val="00183CB0"/>
    <w:rsid w:val="001967A3"/>
    <w:rsid w:val="001F09B8"/>
    <w:rsid w:val="001F486D"/>
    <w:rsid w:val="00246589"/>
    <w:rsid w:val="0025017A"/>
    <w:rsid w:val="002602A0"/>
    <w:rsid w:val="00262936"/>
    <w:rsid w:val="00295F37"/>
    <w:rsid w:val="002B4325"/>
    <w:rsid w:val="002B696A"/>
    <w:rsid w:val="002E4380"/>
    <w:rsid w:val="002F1227"/>
    <w:rsid w:val="003249E6"/>
    <w:rsid w:val="00334B7A"/>
    <w:rsid w:val="00336B61"/>
    <w:rsid w:val="00377D01"/>
    <w:rsid w:val="003A4ACD"/>
    <w:rsid w:val="003B3308"/>
    <w:rsid w:val="003E5050"/>
    <w:rsid w:val="0042615B"/>
    <w:rsid w:val="00450495"/>
    <w:rsid w:val="00476E61"/>
    <w:rsid w:val="00483F38"/>
    <w:rsid w:val="00485275"/>
    <w:rsid w:val="004912DC"/>
    <w:rsid w:val="004B2912"/>
    <w:rsid w:val="004E2BD1"/>
    <w:rsid w:val="00501B3B"/>
    <w:rsid w:val="0052733B"/>
    <w:rsid w:val="005273E3"/>
    <w:rsid w:val="00540D24"/>
    <w:rsid w:val="00540F3D"/>
    <w:rsid w:val="0059256D"/>
    <w:rsid w:val="005A0C3B"/>
    <w:rsid w:val="005D11BC"/>
    <w:rsid w:val="00667219"/>
    <w:rsid w:val="00687605"/>
    <w:rsid w:val="006878C9"/>
    <w:rsid w:val="00695E4E"/>
    <w:rsid w:val="006A0FD6"/>
    <w:rsid w:val="006A15C2"/>
    <w:rsid w:val="006A1B2B"/>
    <w:rsid w:val="006C7F26"/>
    <w:rsid w:val="006D3B3E"/>
    <w:rsid w:val="006D69E6"/>
    <w:rsid w:val="006F5A7D"/>
    <w:rsid w:val="007044C2"/>
    <w:rsid w:val="00765D49"/>
    <w:rsid w:val="00773E2E"/>
    <w:rsid w:val="00774EEC"/>
    <w:rsid w:val="00783D48"/>
    <w:rsid w:val="00791F4D"/>
    <w:rsid w:val="00794895"/>
    <w:rsid w:val="007B446E"/>
    <w:rsid w:val="007B74D0"/>
    <w:rsid w:val="007B77B7"/>
    <w:rsid w:val="007E40B5"/>
    <w:rsid w:val="007E58F2"/>
    <w:rsid w:val="007E6EDD"/>
    <w:rsid w:val="007E7CA8"/>
    <w:rsid w:val="00861D9B"/>
    <w:rsid w:val="00883239"/>
    <w:rsid w:val="008C5AA5"/>
    <w:rsid w:val="009019EC"/>
    <w:rsid w:val="00921E01"/>
    <w:rsid w:val="00970972"/>
    <w:rsid w:val="009807C0"/>
    <w:rsid w:val="009860C7"/>
    <w:rsid w:val="00991F0D"/>
    <w:rsid w:val="009F3AAA"/>
    <w:rsid w:val="009F4996"/>
    <w:rsid w:val="009F7CB9"/>
    <w:rsid w:val="00A11BC8"/>
    <w:rsid w:val="00A14974"/>
    <w:rsid w:val="00A47191"/>
    <w:rsid w:val="00A529B2"/>
    <w:rsid w:val="00A75FA5"/>
    <w:rsid w:val="00A81F67"/>
    <w:rsid w:val="00A846E0"/>
    <w:rsid w:val="00AD3221"/>
    <w:rsid w:val="00AE42F4"/>
    <w:rsid w:val="00B00239"/>
    <w:rsid w:val="00B11FF0"/>
    <w:rsid w:val="00B17F4E"/>
    <w:rsid w:val="00B2051B"/>
    <w:rsid w:val="00B21CFF"/>
    <w:rsid w:val="00B27BC7"/>
    <w:rsid w:val="00B30716"/>
    <w:rsid w:val="00B44FF6"/>
    <w:rsid w:val="00B54F93"/>
    <w:rsid w:val="00B67C9D"/>
    <w:rsid w:val="00B848D7"/>
    <w:rsid w:val="00B962F5"/>
    <w:rsid w:val="00BA5CB8"/>
    <w:rsid w:val="00BB240F"/>
    <w:rsid w:val="00BD65DE"/>
    <w:rsid w:val="00C14A03"/>
    <w:rsid w:val="00C25FB8"/>
    <w:rsid w:val="00C41177"/>
    <w:rsid w:val="00C806FA"/>
    <w:rsid w:val="00CE2054"/>
    <w:rsid w:val="00D1659A"/>
    <w:rsid w:val="00D21C43"/>
    <w:rsid w:val="00D30E16"/>
    <w:rsid w:val="00D43172"/>
    <w:rsid w:val="00D612AC"/>
    <w:rsid w:val="00DA1DC2"/>
    <w:rsid w:val="00DA52E7"/>
    <w:rsid w:val="00DC023F"/>
    <w:rsid w:val="00E05B50"/>
    <w:rsid w:val="00E126A6"/>
    <w:rsid w:val="00E6359B"/>
    <w:rsid w:val="00E9393D"/>
    <w:rsid w:val="00EA46D4"/>
    <w:rsid w:val="00EB5931"/>
    <w:rsid w:val="00F61CA8"/>
    <w:rsid w:val="00F73C17"/>
    <w:rsid w:val="00FA2F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2FFF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1F67"/>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GB" w:eastAsia="en-GB"/>
    </w:rPr>
  </w:style>
  <w:style w:type="character" w:styleId="CommentReference">
    <w:name w:val="annotation reference"/>
    <w:uiPriority w:val="99"/>
    <w:semiHidden/>
    <w:rsid w:val="00695E4E"/>
    <w:rPr>
      <w:rFonts w:cs="Times New Roman"/>
      <w:sz w:val="16"/>
      <w:szCs w:val="16"/>
    </w:rPr>
  </w:style>
  <w:style w:type="paragraph" w:styleId="CommentText">
    <w:name w:val="annotation text"/>
    <w:basedOn w:val="Normal"/>
    <w:link w:val="CommentTextChar"/>
    <w:uiPriority w:val="99"/>
    <w:semiHidden/>
    <w:rsid w:val="00695E4E"/>
    <w:rPr>
      <w:sz w:val="20"/>
      <w:szCs w:val="20"/>
    </w:rPr>
  </w:style>
  <w:style w:type="character" w:customStyle="1" w:styleId="CommentTextChar">
    <w:name w:val="Comment Text Char"/>
    <w:link w:val="CommentText"/>
    <w:uiPriority w:val="99"/>
    <w:semiHidden/>
    <w:rPr>
      <w:sz w:val="20"/>
      <w:szCs w:val="20"/>
      <w:lang w:val="en-GB" w:eastAsia="en-GB"/>
    </w:rPr>
  </w:style>
  <w:style w:type="paragraph" w:styleId="CommentSubject">
    <w:name w:val="annotation subject"/>
    <w:basedOn w:val="CommentText"/>
    <w:next w:val="CommentText"/>
    <w:link w:val="CommentSubjectChar"/>
    <w:uiPriority w:val="99"/>
    <w:semiHidden/>
    <w:rsid w:val="00695E4E"/>
    <w:rPr>
      <w:b/>
      <w:bCs/>
    </w:rPr>
  </w:style>
  <w:style w:type="character" w:customStyle="1" w:styleId="CommentSubjectChar">
    <w:name w:val="Comment Subject Char"/>
    <w:link w:val="CommentSubject"/>
    <w:uiPriority w:val="99"/>
    <w:semiHidden/>
    <w:rPr>
      <w:b/>
      <w:bCs/>
      <w:sz w:val="20"/>
      <w:szCs w:val="20"/>
      <w:lang w:val="en-GB" w:eastAsia="en-GB"/>
    </w:rPr>
  </w:style>
  <w:style w:type="paragraph" w:customStyle="1" w:styleId="EndNoteBibliography">
    <w:name w:val="EndNote Bibliography"/>
    <w:basedOn w:val="Normal"/>
    <w:link w:val="EndNoteBibliographyCarattere"/>
    <w:rsid w:val="00E6359B"/>
    <w:pPr>
      <w:spacing w:after="160"/>
    </w:pPr>
    <w:rPr>
      <w:rFonts w:ascii="Calibri" w:eastAsia="Calibri" w:hAnsi="Calibri"/>
      <w:noProof/>
      <w:sz w:val="22"/>
      <w:szCs w:val="22"/>
      <w:lang w:val="en-US" w:eastAsia="en-US"/>
    </w:rPr>
  </w:style>
  <w:style w:type="character" w:customStyle="1" w:styleId="EndNoteBibliographyCarattere">
    <w:name w:val="EndNote Bibliography Carattere"/>
    <w:link w:val="EndNoteBibliography"/>
    <w:rsid w:val="00E6359B"/>
    <w:rPr>
      <w:rFonts w:ascii="Calibri" w:eastAsia="Calibri" w:hAnsi="Calibri"/>
      <w:noProof/>
      <w:lang w:val="en-US" w:eastAsia="en-US"/>
    </w:rPr>
  </w:style>
  <w:style w:type="character" w:customStyle="1" w:styleId="label">
    <w:name w:val="label"/>
    <w:rsid w:val="00E6359B"/>
  </w:style>
  <w:style w:type="character" w:customStyle="1" w:styleId="apple-converted-space">
    <w:name w:val="apple-converted-space"/>
    <w:rsid w:val="00E6359B"/>
  </w:style>
  <w:style w:type="paragraph" w:styleId="NormalWeb">
    <w:name w:val="Normal (Web)"/>
    <w:basedOn w:val="Normal"/>
    <w:uiPriority w:val="99"/>
    <w:unhideWhenUsed/>
    <w:rsid w:val="00074570"/>
    <w:pPr>
      <w:spacing w:before="100" w:beforeAutospacing="1" w:after="100" w:afterAutospacing="1"/>
    </w:pPr>
    <w:rPr>
      <w:lang w:val="it-IT" w:eastAsia="it-IT"/>
    </w:rPr>
  </w:style>
  <w:style w:type="paragraph" w:customStyle="1" w:styleId="1">
    <w:name w:val="正文1"/>
    <w:uiPriority w:val="99"/>
    <w:rsid w:val="006D69E6"/>
    <w:pPr>
      <w:spacing w:line="276" w:lineRule="auto"/>
    </w:pPr>
    <w:rPr>
      <w:rFonts w:ascii="Arial" w:hAnsi="Arial" w:cs="Arial"/>
      <w:color w:val="000000"/>
      <w:sz w:val="22"/>
      <w:lang w:val="pl-PL" w:eastAsia="pl-PL"/>
    </w:rPr>
  </w:style>
  <w:style w:type="character" w:styleId="Hyperlink">
    <w:name w:val="Hyperlink"/>
    <w:basedOn w:val="DefaultParagraphFont"/>
    <w:uiPriority w:val="99"/>
    <w:unhideWhenUsed/>
    <w:rsid w:val="006A15C2"/>
    <w:rPr>
      <w:color w:val="0563C1" w:themeColor="hyperlink"/>
      <w:u w:val="single"/>
    </w:rPr>
  </w:style>
  <w:style w:type="character" w:styleId="Emphasis">
    <w:name w:val="Emphasis"/>
    <w:qFormat/>
    <w:rsid w:val="00B17F4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1F67"/>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GB" w:eastAsia="en-GB"/>
    </w:rPr>
  </w:style>
  <w:style w:type="character" w:styleId="CommentReference">
    <w:name w:val="annotation reference"/>
    <w:uiPriority w:val="99"/>
    <w:semiHidden/>
    <w:rsid w:val="00695E4E"/>
    <w:rPr>
      <w:rFonts w:cs="Times New Roman"/>
      <w:sz w:val="16"/>
      <w:szCs w:val="16"/>
    </w:rPr>
  </w:style>
  <w:style w:type="paragraph" w:styleId="CommentText">
    <w:name w:val="annotation text"/>
    <w:basedOn w:val="Normal"/>
    <w:link w:val="CommentTextChar"/>
    <w:uiPriority w:val="99"/>
    <w:semiHidden/>
    <w:rsid w:val="00695E4E"/>
    <w:rPr>
      <w:sz w:val="20"/>
      <w:szCs w:val="20"/>
    </w:rPr>
  </w:style>
  <w:style w:type="character" w:customStyle="1" w:styleId="CommentTextChar">
    <w:name w:val="Comment Text Char"/>
    <w:link w:val="CommentText"/>
    <w:uiPriority w:val="99"/>
    <w:semiHidden/>
    <w:rPr>
      <w:sz w:val="20"/>
      <w:szCs w:val="20"/>
      <w:lang w:val="en-GB" w:eastAsia="en-GB"/>
    </w:rPr>
  </w:style>
  <w:style w:type="paragraph" w:styleId="CommentSubject">
    <w:name w:val="annotation subject"/>
    <w:basedOn w:val="CommentText"/>
    <w:next w:val="CommentText"/>
    <w:link w:val="CommentSubjectChar"/>
    <w:uiPriority w:val="99"/>
    <w:semiHidden/>
    <w:rsid w:val="00695E4E"/>
    <w:rPr>
      <w:b/>
      <w:bCs/>
    </w:rPr>
  </w:style>
  <w:style w:type="character" w:customStyle="1" w:styleId="CommentSubjectChar">
    <w:name w:val="Comment Subject Char"/>
    <w:link w:val="CommentSubject"/>
    <w:uiPriority w:val="99"/>
    <w:semiHidden/>
    <w:rPr>
      <w:b/>
      <w:bCs/>
      <w:sz w:val="20"/>
      <w:szCs w:val="20"/>
      <w:lang w:val="en-GB" w:eastAsia="en-GB"/>
    </w:rPr>
  </w:style>
  <w:style w:type="paragraph" w:customStyle="1" w:styleId="EndNoteBibliography">
    <w:name w:val="EndNote Bibliography"/>
    <w:basedOn w:val="Normal"/>
    <w:link w:val="EndNoteBibliographyCarattere"/>
    <w:rsid w:val="00E6359B"/>
    <w:pPr>
      <w:spacing w:after="160"/>
    </w:pPr>
    <w:rPr>
      <w:rFonts w:ascii="Calibri" w:eastAsia="Calibri" w:hAnsi="Calibri"/>
      <w:noProof/>
      <w:sz w:val="22"/>
      <w:szCs w:val="22"/>
      <w:lang w:val="en-US" w:eastAsia="en-US"/>
    </w:rPr>
  </w:style>
  <w:style w:type="character" w:customStyle="1" w:styleId="EndNoteBibliographyCarattere">
    <w:name w:val="EndNote Bibliography Carattere"/>
    <w:link w:val="EndNoteBibliography"/>
    <w:rsid w:val="00E6359B"/>
    <w:rPr>
      <w:rFonts w:ascii="Calibri" w:eastAsia="Calibri" w:hAnsi="Calibri"/>
      <w:noProof/>
      <w:lang w:val="en-US" w:eastAsia="en-US"/>
    </w:rPr>
  </w:style>
  <w:style w:type="character" w:customStyle="1" w:styleId="label">
    <w:name w:val="label"/>
    <w:rsid w:val="00E6359B"/>
  </w:style>
  <w:style w:type="character" w:customStyle="1" w:styleId="apple-converted-space">
    <w:name w:val="apple-converted-space"/>
    <w:rsid w:val="00E6359B"/>
  </w:style>
  <w:style w:type="paragraph" w:styleId="NormalWeb">
    <w:name w:val="Normal (Web)"/>
    <w:basedOn w:val="Normal"/>
    <w:uiPriority w:val="99"/>
    <w:unhideWhenUsed/>
    <w:rsid w:val="00074570"/>
    <w:pPr>
      <w:spacing w:before="100" w:beforeAutospacing="1" w:after="100" w:afterAutospacing="1"/>
    </w:pPr>
    <w:rPr>
      <w:lang w:val="it-IT" w:eastAsia="it-IT"/>
    </w:rPr>
  </w:style>
  <w:style w:type="paragraph" w:customStyle="1" w:styleId="1">
    <w:name w:val="正文1"/>
    <w:uiPriority w:val="99"/>
    <w:rsid w:val="006D69E6"/>
    <w:pPr>
      <w:spacing w:line="276" w:lineRule="auto"/>
    </w:pPr>
    <w:rPr>
      <w:rFonts w:ascii="Arial" w:hAnsi="Arial" w:cs="Arial"/>
      <w:color w:val="000000"/>
      <w:sz w:val="22"/>
      <w:lang w:val="pl-PL" w:eastAsia="pl-PL"/>
    </w:rPr>
  </w:style>
  <w:style w:type="character" w:styleId="Hyperlink">
    <w:name w:val="Hyperlink"/>
    <w:basedOn w:val="DefaultParagraphFont"/>
    <w:uiPriority w:val="99"/>
    <w:unhideWhenUsed/>
    <w:rsid w:val="006A15C2"/>
    <w:rPr>
      <w:color w:val="0563C1" w:themeColor="hyperlink"/>
      <w:u w:val="single"/>
    </w:rPr>
  </w:style>
  <w:style w:type="character" w:styleId="Emphasis">
    <w:name w:val="Emphasis"/>
    <w:qFormat/>
    <w:rsid w:val="00B17F4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4D3F-9D7F-9F42-9CDB-8757B637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7994</Words>
  <Characters>45566</Characters>
  <Application>Microsoft Macintosh Word</Application>
  <DocSecurity>0</DocSecurity>
  <Lines>379</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Cavalcoli</dc:creator>
  <cp:lastModifiedBy>Na Ma</cp:lastModifiedBy>
  <cp:revision>2</cp:revision>
  <dcterms:created xsi:type="dcterms:W3CDTF">2016-11-12T23:42:00Z</dcterms:created>
  <dcterms:modified xsi:type="dcterms:W3CDTF">2016-11-12T23:42:00Z</dcterms:modified>
</cp:coreProperties>
</file>