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6B" w:rsidRPr="00D34D82" w:rsidRDefault="0048476B" w:rsidP="000B17A3">
      <w:pPr>
        <w:spacing w:line="360" w:lineRule="auto"/>
        <w:rPr>
          <w:rFonts w:ascii="Book Antiqua" w:hAnsi="Book Antiqua" w:cs="Tahoma"/>
          <w:b/>
          <w:color w:val="000000"/>
          <w:sz w:val="24"/>
        </w:rPr>
      </w:pPr>
      <w:r w:rsidRPr="00D34D82">
        <w:rPr>
          <w:rFonts w:ascii="Book Antiqua" w:hAnsi="Book Antiqua" w:cs="Tahoma"/>
          <w:b/>
          <w:color w:val="0000FF"/>
          <w:sz w:val="24"/>
        </w:rPr>
        <w:t xml:space="preserve">Name of journal: </w:t>
      </w:r>
      <w:r w:rsidRPr="00D34D82">
        <w:rPr>
          <w:rFonts w:ascii="Book Antiqua" w:hAnsi="Book Antiqua" w:cs="Tahoma"/>
          <w:b/>
          <w:color w:val="000000"/>
          <w:sz w:val="24"/>
        </w:rPr>
        <w:t>World Journal of Hepatology</w:t>
      </w:r>
    </w:p>
    <w:p w:rsidR="0048476B" w:rsidRPr="00D34D82" w:rsidRDefault="0048476B" w:rsidP="000B17A3">
      <w:pPr>
        <w:spacing w:line="360" w:lineRule="auto"/>
        <w:rPr>
          <w:rFonts w:ascii="Book Antiqua" w:hAnsi="Book Antiqua" w:cs="Tahoma"/>
          <w:b/>
          <w:color w:val="0000FF"/>
          <w:sz w:val="24"/>
        </w:rPr>
      </w:pPr>
      <w:r w:rsidRPr="00D34D82">
        <w:rPr>
          <w:rFonts w:ascii="Book Antiqua" w:hAnsi="Book Antiqua" w:cs="Tahoma"/>
          <w:b/>
          <w:color w:val="0000FF"/>
          <w:sz w:val="24"/>
        </w:rPr>
        <w:t>ESPS Manuscript NO: 2986</w:t>
      </w:r>
    </w:p>
    <w:p w:rsidR="0048476B" w:rsidRPr="00D34D82" w:rsidRDefault="0048476B" w:rsidP="000B17A3">
      <w:pPr>
        <w:spacing w:line="360" w:lineRule="auto"/>
        <w:rPr>
          <w:rFonts w:ascii="Book Antiqua" w:hAnsi="Book Antiqua" w:cs="Tahoma"/>
          <w:b/>
          <w:color w:val="0000FF"/>
          <w:sz w:val="24"/>
        </w:rPr>
      </w:pPr>
      <w:r w:rsidRPr="00D34D82">
        <w:rPr>
          <w:rFonts w:ascii="Book Antiqua" w:hAnsi="Book Antiqua" w:cs="Tahoma"/>
          <w:b/>
          <w:color w:val="0000FF"/>
          <w:sz w:val="24"/>
        </w:rPr>
        <w:t xml:space="preserve">Columns: </w:t>
      </w:r>
      <w:r w:rsidRPr="00D34D82">
        <w:rPr>
          <w:rFonts w:ascii="Book Antiqua" w:hAnsi="Book Antiqua" w:cs="Tahoma"/>
          <w:b/>
          <w:color w:val="000000"/>
          <w:sz w:val="24"/>
        </w:rPr>
        <w:t>BRIEF ARTICLE</w:t>
      </w:r>
    </w:p>
    <w:p w:rsidR="0048476B" w:rsidRPr="00D34D82" w:rsidRDefault="0048476B" w:rsidP="000B17A3">
      <w:pPr>
        <w:spacing w:line="360" w:lineRule="auto"/>
        <w:rPr>
          <w:rFonts w:ascii="Book Antiqua" w:hAnsi="Book Antiqua" w:cs="Arial"/>
          <w:color w:val="000000"/>
          <w:sz w:val="24"/>
        </w:rPr>
      </w:pPr>
    </w:p>
    <w:p w:rsidR="0048476B" w:rsidRPr="00D34D82" w:rsidRDefault="0048476B" w:rsidP="000B17A3">
      <w:pPr>
        <w:spacing w:line="360" w:lineRule="auto"/>
        <w:rPr>
          <w:rFonts w:ascii="Book Antiqua" w:hAnsi="Book Antiqua" w:cs="Arial"/>
          <w:sz w:val="24"/>
          <w:shd w:val="clear" w:color="auto" w:fill="FFFFFF"/>
        </w:rPr>
      </w:pPr>
      <w:r w:rsidRPr="00D34D82">
        <w:rPr>
          <w:rFonts w:ascii="Book Antiqua" w:hAnsi="Book Antiqua" w:cs="Arial"/>
          <w:sz w:val="24"/>
          <w:shd w:val="clear" w:color="auto" w:fill="FFFFFF"/>
        </w:rPr>
        <w:t>Effect of dichloromethylene diphosphonate on liver regeneration following thioacetamide-induced necrosis in rats</w:t>
      </w:r>
    </w:p>
    <w:p w:rsidR="0048476B" w:rsidRPr="00D34D82" w:rsidRDefault="0048476B" w:rsidP="000B17A3">
      <w:pPr>
        <w:spacing w:line="360" w:lineRule="auto"/>
        <w:rPr>
          <w:rFonts w:ascii="Book Antiqua" w:hAnsi="Book Antiqua"/>
          <w:color w:val="000000"/>
          <w:kern w:val="0"/>
          <w:sz w:val="24"/>
        </w:rPr>
      </w:pPr>
    </w:p>
    <w:p w:rsidR="0048476B" w:rsidRPr="00D34D82" w:rsidRDefault="0048476B" w:rsidP="000B17A3">
      <w:pPr>
        <w:spacing w:line="360" w:lineRule="auto"/>
        <w:rPr>
          <w:rFonts w:ascii="Book Antiqua" w:hAnsi="Book Antiqua"/>
          <w:color w:val="000000"/>
          <w:kern w:val="0"/>
          <w:sz w:val="24"/>
        </w:rPr>
      </w:pPr>
      <w:r w:rsidRPr="00D34D82">
        <w:rPr>
          <w:rFonts w:ascii="Book Antiqua" w:hAnsi="Book Antiqua"/>
          <w:b/>
          <w:color w:val="000000"/>
          <w:kern w:val="0"/>
          <w:sz w:val="24"/>
        </w:rPr>
        <w:t xml:space="preserve">Bautista M </w:t>
      </w:r>
      <w:r w:rsidRPr="00D34D82">
        <w:rPr>
          <w:rFonts w:ascii="Book Antiqua" w:hAnsi="Book Antiqua"/>
          <w:b/>
          <w:i/>
          <w:color w:val="000000"/>
          <w:kern w:val="0"/>
          <w:sz w:val="24"/>
        </w:rPr>
        <w:t>et al.</w:t>
      </w:r>
      <w:r w:rsidRPr="00D34D82">
        <w:rPr>
          <w:rFonts w:ascii="Book Antiqua" w:hAnsi="Book Antiqua"/>
          <w:color w:val="000000"/>
          <w:kern w:val="0"/>
          <w:sz w:val="24"/>
        </w:rPr>
        <w:t xml:space="preserve"> </w:t>
      </w:r>
      <w:r w:rsidRPr="00D34D82">
        <w:rPr>
          <w:rFonts w:ascii="Book Antiqua" w:hAnsi="Book Antiqua"/>
          <w:sz w:val="24"/>
        </w:rPr>
        <w:t>Effect of DMDP on postnecrotic liver regeneration</w:t>
      </w:r>
      <w:r w:rsidRPr="00D34D82">
        <w:rPr>
          <w:rFonts w:ascii="Book Antiqua" w:hAnsi="Book Antiqua"/>
          <w:color w:val="000000"/>
          <w:kern w:val="0"/>
          <w:sz w:val="24"/>
        </w:rPr>
        <w:t>.</w:t>
      </w:r>
    </w:p>
    <w:p w:rsidR="0048476B" w:rsidRPr="00D34D82" w:rsidRDefault="0048476B" w:rsidP="000B17A3">
      <w:pPr>
        <w:spacing w:line="360" w:lineRule="auto"/>
        <w:rPr>
          <w:rFonts w:ascii="Book Antiqua" w:hAnsi="Book Antiqua" w:cs="宋体"/>
          <w:bCs/>
          <w:color w:val="000000"/>
          <w:kern w:val="0"/>
          <w:sz w:val="24"/>
        </w:rPr>
      </w:pPr>
    </w:p>
    <w:p w:rsidR="0048476B" w:rsidRPr="00D34D82" w:rsidRDefault="0048476B" w:rsidP="000B17A3">
      <w:pPr>
        <w:spacing w:line="360" w:lineRule="auto"/>
        <w:rPr>
          <w:rFonts w:ascii="Book Antiqua" w:hAnsi="Book Antiqua"/>
          <w:sz w:val="24"/>
          <w:lang w:val="es-MX"/>
        </w:rPr>
      </w:pPr>
      <w:r w:rsidRPr="00D34D82">
        <w:rPr>
          <w:rFonts w:ascii="Book Antiqua" w:hAnsi="Book Antiqua"/>
          <w:sz w:val="24"/>
          <w:lang w:val="es-MX"/>
        </w:rPr>
        <w:t>Mirandeli Bautista, María Ángeles Gómez del Rio, Juana Benedí, María Isabel Sánchez-Reus, José A Morales-González, Ana María Téllez-López, Maricela López-Orozco</w:t>
      </w:r>
    </w:p>
    <w:p w:rsidR="0048476B" w:rsidRPr="00D34D82" w:rsidRDefault="007E463D" w:rsidP="000B17A3">
      <w:pPr>
        <w:spacing w:line="360" w:lineRule="auto"/>
        <w:rPr>
          <w:rFonts w:ascii="Book Antiqua" w:hAnsi="Book Antiqua"/>
          <w:sz w:val="24"/>
          <w:lang w:val="es-MX"/>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198119</wp:posOffset>
                </wp:positionV>
                <wp:extent cx="5943600" cy="0"/>
                <wp:effectExtent l="0" t="19050" r="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pt" to="46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" strokecolor="gray" strokeweight="3pt"/>
            </w:pict>
          </mc:Fallback>
        </mc:AlternateContent>
      </w:r>
    </w:p>
    <w:p w:rsidR="0048476B" w:rsidRPr="00D34D82" w:rsidRDefault="0048476B" w:rsidP="000B17A3">
      <w:pPr>
        <w:spacing w:line="360" w:lineRule="auto"/>
        <w:rPr>
          <w:rFonts w:ascii="Book Antiqua" w:hAnsi="Book Antiqua"/>
          <w:sz w:val="24"/>
          <w:lang w:val="pt-PT"/>
        </w:rPr>
      </w:pPr>
      <w:r w:rsidRPr="00D34D82">
        <w:rPr>
          <w:rFonts w:ascii="Book Antiqua" w:hAnsi="Book Antiqua"/>
          <w:b/>
          <w:sz w:val="24"/>
          <w:lang w:val="es-MX"/>
        </w:rPr>
        <w:t>Mirandeli Bautista, Ana María Téllez-López, Maricela López-Orozco</w:t>
      </w:r>
      <w:r w:rsidRPr="00D34D82">
        <w:rPr>
          <w:rFonts w:ascii="Book Antiqua" w:hAnsi="Book Antiqua"/>
          <w:sz w:val="24"/>
          <w:lang w:val="es-MX"/>
        </w:rPr>
        <w:t xml:space="preserve">, Área Académica de Farmacia, Instituto de Ciencias de la Salud, </w:t>
      </w:r>
      <w:r w:rsidRPr="00D34D82">
        <w:rPr>
          <w:rFonts w:ascii="Book Antiqua" w:hAnsi="Book Antiqua"/>
          <w:sz w:val="24"/>
          <w:lang w:val="es-ES"/>
        </w:rPr>
        <w:t xml:space="preserve">Universidad Autónoma del Estado de Hidalgo, C.P. 42000. </w:t>
      </w:r>
      <w:r w:rsidRPr="00D34D82">
        <w:rPr>
          <w:rFonts w:ascii="Book Antiqua" w:hAnsi="Book Antiqua"/>
          <w:sz w:val="24"/>
          <w:lang w:val="pt-PT"/>
        </w:rPr>
        <w:t xml:space="preserve">Pachuca, Hidalgo, México </w:t>
      </w:r>
    </w:p>
    <w:p w:rsidR="0048476B" w:rsidRPr="00DB616C" w:rsidRDefault="0048476B" w:rsidP="000B17A3">
      <w:pPr>
        <w:spacing w:line="360" w:lineRule="auto"/>
        <w:rPr>
          <w:rFonts w:ascii="Book Antiqua" w:hAnsi="Book Antiqua"/>
          <w:b/>
          <w:sz w:val="24"/>
          <w:lang w:val="pt-PT"/>
        </w:rPr>
      </w:pPr>
    </w:p>
    <w:p w:rsidR="0048476B" w:rsidRPr="00D34D82" w:rsidRDefault="0048476B" w:rsidP="000B17A3">
      <w:pPr>
        <w:spacing w:line="360" w:lineRule="auto"/>
        <w:rPr>
          <w:rFonts w:ascii="Book Antiqua" w:hAnsi="Book Antiqua" w:cs="Arial"/>
          <w:sz w:val="24"/>
          <w:shd w:val="clear" w:color="auto" w:fill="FFFFFF"/>
          <w:lang w:val="es-MX"/>
        </w:rPr>
      </w:pPr>
      <w:r>
        <w:rPr>
          <w:rFonts w:ascii="Book Antiqua" w:hAnsi="Book Antiqua"/>
          <w:b/>
          <w:sz w:val="24"/>
          <w:lang w:val="es-MX"/>
        </w:rPr>
        <w:t>José A</w:t>
      </w:r>
      <w:r w:rsidRPr="00D34D82">
        <w:rPr>
          <w:rFonts w:ascii="Book Antiqua" w:hAnsi="Book Antiqua"/>
          <w:b/>
          <w:sz w:val="24"/>
          <w:lang w:val="es-MX"/>
        </w:rPr>
        <w:t xml:space="preserve"> Morales-González, </w:t>
      </w:r>
      <w:r w:rsidRPr="00D34D82">
        <w:rPr>
          <w:rFonts w:ascii="Book Antiqua" w:hAnsi="Book Antiqua"/>
          <w:sz w:val="24"/>
          <w:lang w:val="es-MX"/>
        </w:rPr>
        <w:t xml:space="preserve">Escuela Superior de Medicina, Instituto Politécnico Nacional, C.P. 11340 </w:t>
      </w:r>
      <w:r w:rsidRPr="00D34D82">
        <w:rPr>
          <w:rFonts w:ascii="Book Antiqua" w:hAnsi="Book Antiqua" w:cs="Arial"/>
          <w:sz w:val="24"/>
          <w:shd w:val="clear" w:color="auto" w:fill="FFFFFF"/>
          <w:lang w:val="es-MX"/>
        </w:rPr>
        <w:t>México City,</w:t>
      </w:r>
      <w:r>
        <w:rPr>
          <w:rFonts w:ascii="Book Antiqua" w:hAnsi="Book Antiqua" w:cs="Arial"/>
          <w:sz w:val="24"/>
          <w:shd w:val="clear" w:color="auto" w:fill="FFFFFF"/>
          <w:lang w:val="es-MX"/>
        </w:rPr>
        <w:t xml:space="preserve"> México</w:t>
      </w:r>
    </w:p>
    <w:p w:rsidR="0048476B" w:rsidRPr="00D34D82" w:rsidRDefault="0048476B" w:rsidP="000B17A3">
      <w:pPr>
        <w:spacing w:line="360" w:lineRule="auto"/>
        <w:rPr>
          <w:rFonts w:ascii="Book Antiqua" w:hAnsi="Book Antiqua"/>
          <w:b/>
          <w:sz w:val="24"/>
          <w:lang w:val="es-MX"/>
        </w:rPr>
      </w:pPr>
    </w:p>
    <w:p w:rsidR="0048476B" w:rsidRPr="00D34D82" w:rsidRDefault="0048476B" w:rsidP="000B17A3">
      <w:pPr>
        <w:spacing w:line="360" w:lineRule="auto"/>
        <w:rPr>
          <w:rFonts w:ascii="Book Antiqua" w:hAnsi="Book Antiqua"/>
          <w:sz w:val="24"/>
          <w:lang w:val="es-MX"/>
        </w:rPr>
      </w:pPr>
      <w:r w:rsidRPr="00D34D82">
        <w:rPr>
          <w:rFonts w:ascii="Book Antiqua" w:hAnsi="Book Antiqua"/>
          <w:b/>
          <w:sz w:val="24"/>
          <w:lang w:val="es-MX"/>
        </w:rPr>
        <w:t>María Ángeles Gómez del Rio, Juana Benedí</w:t>
      </w:r>
      <w:r w:rsidRPr="00D34D82">
        <w:rPr>
          <w:rFonts w:ascii="Book Antiqua" w:hAnsi="Book Antiqua"/>
          <w:sz w:val="24"/>
          <w:lang w:val="es-MX"/>
        </w:rPr>
        <w:t>, Departamento de Bioquímica y Biología Molecular, Facultad de Farmacia, Ciudad Universitaria, Plaza de Ramón y Cajal s/n, 28040 Madrid, Spain</w:t>
      </w:r>
    </w:p>
    <w:p w:rsidR="0048476B" w:rsidRPr="00D34D82" w:rsidRDefault="0048476B" w:rsidP="000B17A3">
      <w:pPr>
        <w:spacing w:line="360" w:lineRule="auto"/>
        <w:rPr>
          <w:rFonts w:ascii="Book Antiqua" w:hAnsi="Book Antiqua"/>
          <w:sz w:val="24"/>
          <w:lang w:val="es-MX"/>
        </w:rPr>
      </w:pPr>
    </w:p>
    <w:p w:rsidR="0048476B" w:rsidRPr="00D34D82" w:rsidRDefault="0048476B" w:rsidP="000B17A3">
      <w:pPr>
        <w:pStyle w:val="a6"/>
        <w:spacing w:line="360" w:lineRule="auto"/>
        <w:rPr>
          <w:rFonts w:ascii="Book Antiqua" w:hAnsi="Book Antiqua"/>
          <w:lang w:val="es-MX" w:eastAsia="zh-CN"/>
        </w:rPr>
      </w:pPr>
      <w:r w:rsidRPr="00D34D82">
        <w:rPr>
          <w:rFonts w:ascii="Book Antiqua" w:hAnsi="Book Antiqua"/>
          <w:b/>
          <w:lang w:val="es-MX"/>
        </w:rPr>
        <w:t>María Isabel Sánchez-Reus</w:t>
      </w:r>
      <w:r w:rsidRPr="00D34D82">
        <w:rPr>
          <w:rFonts w:ascii="Book Antiqua" w:hAnsi="Book Antiqua"/>
          <w:lang w:val="es-MX"/>
        </w:rPr>
        <w:t>, Departamento de Farmacología, Facultad de Farmacia, Ciudad Universitaria, Plaza de Ramón y Cajal s/n, 28040 Madrid</w:t>
      </w:r>
      <w:r w:rsidRPr="00D34D82">
        <w:rPr>
          <w:rFonts w:ascii="Book Antiqua" w:hAnsi="Book Antiqua"/>
          <w:lang w:val="es-MX" w:eastAsia="zh-CN"/>
        </w:rPr>
        <w:t>, Spain</w:t>
      </w:r>
    </w:p>
    <w:p w:rsidR="0048476B" w:rsidRPr="00D34D82" w:rsidRDefault="0048476B" w:rsidP="000B17A3">
      <w:pPr>
        <w:spacing w:line="360" w:lineRule="auto"/>
        <w:rPr>
          <w:rFonts w:ascii="Book Antiqua" w:hAnsi="Book Antiqua"/>
          <w:b/>
          <w:sz w:val="24"/>
          <w:lang w:val="es-MX"/>
        </w:rPr>
      </w:pPr>
    </w:p>
    <w:p w:rsidR="0048476B" w:rsidRPr="00D34D82" w:rsidRDefault="0048476B" w:rsidP="000B17A3">
      <w:pPr>
        <w:spacing w:line="360" w:lineRule="auto"/>
        <w:rPr>
          <w:rFonts w:ascii="Book Antiqua" w:hAnsi="Book Antiqua"/>
          <w:sz w:val="24"/>
        </w:rPr>
      </w:pPr>
      <w:r w:rsidRPr="00D34D82">
        <w:rPr>
          <w:rFonts w:ascii="Book Antiqua" w:hAnsi="Book Antiqua"/>
          <w:b/>
          <w:color w:val="000000"/>
          <w:sz w:val="24"/>
        </w:rPr>
        <w:t>Author contributions:</w:t>
      </w:r>
      <w:r w:rsidRPr="00D34D82">
        <w:rPr>
          <w:rFonts w:ascii="Book Antiqua" w:hAnsi="Book Antiqua"/>
          <w:b/>
          <w:sz w:val="24"/>
        </w:rPr>
        <w:t xml:space="preserve"> </w:t>
      </w:r>
      <w:r w:rsidRPr="00D34D82">
        <w:rPr>
          <w:rFonts w:ascii="Book Antiqua" w:hAnsi="Book Antiqua"/>
          <w:sz w:val="24"/>
        </w:rPr>
        <w:t>All authors contributed equally to conduct the research and writing of the paper.</w:t>
      </w:r>
    </w:p>
    <w:p w:rsidR="0048476B" w:rsidRPr="00D34D82" w:rsidRDefault="0048476B" w:rsidP="000B17A3">
      <w:pPr>
        <w:spacing w:line="360" w:lineRule="auto"/>
        <w:rPr>
          <w:rFonts w:ascii="Book Antiqua" w:hAnsi="Book Antiqua"/>
          <w:b/>
          <w:sz w:val="24"/>
        </w:rPr>
      </w:pPr>
    </w:p>
    <w:p w:rsidR="0048476B" w:rsidRPr="00D34D82" w:rsidRDefault="0048476B" w:rsidP="000B17A3">
      <w:pPr>
        <w:spacing w:line="360" w:lineRule="auto"/>
        <w:rPr>
          <w:rFonts w:ascii="Book Antiqua" w:hAnsi="Book Antiqua"/>
          <w:sz w:val="24"/>
          <w:lang w:val="pt-PT"/>
        </w:rPr>
      </w:pPr>
      <w:r w:rsidRPr="00D34D82">
        <w:rPr>
          <w:rFonts w:ascii="Book Antiqua" w:hAnsi="Book Antiqua"/>
          <w:b/>
          <w:sz w:val="24"/>
          <w:lang w:val="es-MX"/>
        </w:rPr>
        <w:lastRenderedPageBreak/>
        <w:t xml:space="preserve">Correspondence to: </w:t>
      </w:r>
      <w:r w:rsidRPr="00D34D82">
        <w:rPr>
          <w:rFonts w:ascii="Book Antiqua" w:hAnsi="Book Antiqua"/>
          <w:b/>
          <w:sz w:val="24"/>
          <w:lang w:val="pt-PT"/>
        </w:rPr>
        <w:t>Dr. Mirandeli Bautista Ávila,</w:t>
      </w:r>
      <w:r w:rsidRPr="00D34D82">
        <w:rPr>
          <w:rFonts w:ascii="Book Antiqua" w:hAnsi="Book Antiqua"/>
          <w:sz w:val="24"/>
          <w:lang w:val="pt-PT"/>
        </w:rPr>
        <w:t xml:space="preserve"> </w:t>
      </w:r>
      <w:r w:rsidRPr="00D34D82">
        <w:rPr>
          <w:rFonts w:ascii="Book Antiqua" w:hAnsi="Book Antiqua"/>
          <w:sz w:val="24"/>
          <w:lang w:val="es-MX"/>
        </w:rPr>
        <w:t>Área Académica de Farmacia, Instituto de Ciencias de la Salud,</w:t>
      </w:r>
      <w:r w:rsidRPr="00D34D82">
        <w:rPr>
          <w:rFonts w:ascii="Book Antiqua" w:hAnsi="Book Antiqua"/>
          <w:sz w:val="24"/>
          <w:lang w:val="es-ES"/>
        </w:rPr>
        <w:t xml:space="preserve">Universidad Autónoma del Estado de Hidalgo, Abasolo N. 600, Colonia Centro, C.P. 42000. </w:t>
      </w:r>
      <w:r w:rsidRPr="00D34D82">
        <w:rPr>
          <w:rFonts w:ascii="Book Antiqua" w:hAnsi="Book Antiqua"/>
          <w:sz w:val="24"/>
          <w:lang w:val="pt-PT"/>
        </w:rPr>
        <w:t xml:space="preserve">Pachuca, Hidalgo; México. </w:t>
      </w:r>
      <w:hyperlink r:id="rId8" w:history="1">
        <w:r w:rsidRPr="00D34D82">
          <w:rPr>
            <w:rStyle w:val="a5"/>
            <w:rFonts w:ascii="Book Antiqua" w:hAnsi="Book Antiqua"/>
            <w:sz w:val="24"/>
            <w:lang w:val="pt-PT"/>
          </w:rPr>
          <w:t>mirandeli@hotmail.com</w:t>
        </w:r>
      </w:hyperlink>
    </w:p>
    <w:p w:rsidR="0048476B" w:rsidRPr="00D34D82" w:rsidRDefault="0048476B" w:rsidP="000B17A3">
      <w:pPr>
        <w:spacing w:line="360" w:lineRule="auto"/>
        <w:rPr>
          <w:rFonts w:ascii="Book Antiqua" w:hAnsi="Book Antiqua"/>
          <w:sz w:val="24"/>
        </w:rPr>
      </w:pPr>
    </w:p>
    <w:p w:rsidR="0048476B" w:rsidRPr="00D34D82" w:rsidRDefault="0048476B" w:rsidP="00FA43AE">
      <w:pPr>
        <w:spacing w:line="360" w:lineRule="auto"/>
        <w:rPr>
          <w:rFonts w:ascii="Book Antiqua" w:hAnsi="Book Antiqua"/>
          <w:b/>
          <w:sz w:val="24"/>
        </w:rPr>
      </w:pPr>
      <w:r w:rsidRPr="00D34D82">
        <w:rPr>
          <w:rFonts w:ascii="Book Antiqua" w:hAnsi="Book Antiqua" w:cs="Tahoma"/>
          <w:b/>
          <w:kern w:val="0"/>
          <w:sz w:val="24"/>
          <w:lang w:val="es-MX"/>
        </w:rPr>
        <w:t xml:space="preserve">Telephone: </w:t>
      </w:r>
      <w:r w:rsidRPr="005E533F">
        <w:rPr>
          <w:rFonts w:ascii="Book Antiqua" w:hAnsi="Book Antiqua" w:cs="TimesNewRomanPSMT"/>
          <w:kern w:val="0"/>
          <w:sz w:val="24"/>
          <w:lang w:val="es-MX"/>
        </w:rPr>
        <w:t>+7-71-7172000</w:t>
      </w:r>
      <w:r w:rsidRPr="00D34D82">
        <w:rPr>
          <w:rFonts w:ascii="Book Antiqua" w:hAnsi="Book Antiqua" w:cs="TimesNewRomanPSMT"/>
          <w:b/>
          <w:kern w:val="0"/>
          <w:sz w:val="24"/>
          <w:lang w:val="es-MX"/>
        </w:rPr>
        <w:t xml:space="preserve">   </w:t>
      </w:r>
      <w:r w:rsidRPr="00D34D82">
        <w:rPr>
          <w:rFonts w:ascii="Book Antiqua" w:hAnsi="Book Antiqua" w:cs="Tahoma"/>
          <w:b/>
          <w:kern w:val="0"/>
          <w:sz w:val="24"/>
          <w:lang w:val="es-MX"/>
        </w:rPr>
        <w:t xml:space="preserve">Fax: </w:t>
      </w:r>
      <w:r w:rsidRPr="005E533F">
        <w:rPr>
          <w:rFonts w:ascii="Book Antiqua" w:hAnsi="Book Antiqua" w:cs="TimesNewRomanPSMT"/>
          <w:kern w:val="0"/>
          <w:sz w:val="24"/>
          <w:lang w:val="es-MX"/>
        </w:rPr>
        <w:t>+7-71-7172000</w:t>
      </w:r>
    </w:p>
    <w:p w:rsidR="0048476B" w:rsidRPr="00D34D82" w:rsidRDefault="0048476B" w:rsidP="000B17A3">
      <w:pPr>
        <w:spacing w:line="360" w:lineRule="auto"/>
        <w:rPr>
          <w:rFonts w:ascii="Book Antiqua" w:hAnsi="Book Antiqua"/>
          <w:b/>
          <w:sz w:val="24"/>
        </w:rPr>
      </w:pPr>
      <w:r w:rsidRPr="00D34D82">
        <w:rPr>
          <w:rFonts w:ascii="Book Antiqua" w:hAnsi="Book Antiqua"/>
          <w:b/>
          <w:sz w:val="24"/>
        </w:rPr>
        <w:t xml:space="preserve">Received: </w:t>
      </w:r>
      <w:bookmarkStart w:id="0" w:name="OLE_LINK82"/>
      <w:bookmarkStart w:id="1" w:name="OLE_LINK83"/>
      <w:r w:rsidRPr="00421E83">
        <w:rPr>
          <w:rFonts w:ascii="Book Antiqua" w:hAnsi="Book Antiqua"/>
          <w:sz w:val="24"/>
        </w:rPr>
        <w:t>March</w:t>
      </w:r>
      <w:bookmarkEnd w:id="0"/>
      <w:bookmarkEnd w:id="1"/>
      <w:r>
        <w:rPr>
          <w:rFonts w:ascii="Book Antiqua" w:hAnsi="Book Antiqua"/>
          <w:sz w:val="24"/>
        </w:rPr>
        <w:t xml:space="preserve"> 30, 2013 </w:t>
      </w:r>
      <w:r w:rsidRPr="00D34D82">
        <w:rPr>
          <w:rFonts w:ascii="Book Antiqua" w:hAnsi="Book Antiqua"/>
          <w:b/>
          <w:sz w:val="24"/>
        </w:rPr>
        <w:t xml:space="preserve">  Revised: </w:t>
      </w:r>
      <w:bookmarkStart w:id="2" w:name="OLE_LINK4"/>
      <w:bookmarkStart w:id="3" w:name="OLE_LINK5"/>
      <w:r w:rsidRPr="00421E83">
        <w:rPr>
          <w:rFonts w:ascii="Book Antiqua" w:hAnsi="Book Antiqua"/>
          <w:sz w:val="24"/>
        </w:rPr>
        <w:t>June</w:t>
      </w:r>
      <w:bookmarkEnd w:id="2"/>
      <w:bookmarkEnd w:id="3"/>
      <w:r>
        <w:rPr>
          <w:rFonts w:ascii="Book Antiqua" w:hAnsi="Book Antiqua"/>
          <w:sz w:val="24"/>
        </w:rPr>
        <w:t xml:space="preserve"> 17, 2013</w:t>
      </w:r>
      <w:r w:rsidRPr="00D34D82">
        <w:rPr>
          <w:rFonts w:ascii="Book Antiqua" w:hAnsi="Book Antiqua"/>
          <w:b/>
          <w:sz w:val="24"/>
        </w:rPr>
        <w:t xml:space="preserve"> </w:t>
      </w:r>
    </w:p>
    <w:p w:rsidR="007E463D" w:rsidRPr="009C501B" w:rsidRDefault="0048476B" w:rsidP="007E463D">
      <w:pPr>
        <w:rPr>
          <w:rFonts w:ascii="Book Antiqua" w:hAnsi="Book Antiqua"/>
          <w:sz w:val="24"/>
        </w:rPr>
      </w:pPr>
      <w:r w:rsidRPr="00D34D82">
        <w:rPr>
          <w:rFonts w:ascii="Book Antiqua" w:hAnsi="Book Antiqua"/>
          <w:b/>
          <w:sz w:val="24"/>
        </w:rPr>
        <w:t xml:space="preserve">Accepted: </w:t>
      </w:r>
      <w:r w:rsidR="007E463D" w:rsidRPr="009C501B">
        <w:rPr>
          <w:rFonts w:ascii="Book Antiqua" w:hAnsi="Book Antiqua"/>
          <w:sz w:val="24"/>
        </w:rPr>
        <w:t>June 18, 2013</w:t>
      </w:r>
    </w:p>
    <w:p w:rsidR="0048476B" w:rsidRPr="00D34D82" w:rsidRDefault="0048476B" w:rsidP="000B17A3">
      <w:pPr>
        <w:spacing w:line="360" w:lineRule="auto"/>
        <w:rPr>
          <w:rFonts w:ascii="Book Antiqua" w:hAnsi="Book Antiqua"/>
          <w:b/>
          <w:sz w:val="24"/>
        </w:rPr>
      </w:pPr>
      <w:bookmarkStart w:id="4" w:name="_GoBack"/>
      <w:bookmarkEnd w:id="4"/>
      <w:r w:rsidRPr="00D34D82">
        <w:rPr>
          <w:rFonts w:ascii="Book Antiqua" w:hAnsi="Book Antiqua"/>
          <w:b/>
          <w:sz w:val="24"/>
        </w:rPr>
        <w:t xml:space="preserve"> </w:t>
      </w:r>
    </w:p>
    <w:p w:rsidR="0048476B" w:rsidRPr="00D34D82" w:rsidRDefault="0048476B" w:rsidP="000B17A3">
      <w:pPr>
        <w:spacing w:line="360" w:lineRule="auto"/>
        <w:rPr>
          <w:rFonts w:ascii="Book Antiqua" w:hAnsi="Book Antiqua"/>
          <w:b/>
          <w:sz w:val="24"/>
        </w:rPr>
      </w:pPr>
      <w:r w:rsidRPr="00D34D82">
        <w:rPr>
          <w:rFonts w:ascii="Book Antiqua" w:hAnsi="Book Antiqua"/>
          <w:b/>
          <w:sz w:val="24"/>
        </w:rPr>
        <w:t xml:space="preserve">Published online: </w:t>
      </w:r>
    </w:p>
    <w:p w:rsidR="0048476B" w:rsidRPr="00D34D82" w:rsidRDefault="0048476B" w:rsidP="000B17A3">
      <w:pPr>
        <w:spacing w:line="360" w:lineRule="auto"/>
        <w:rPr>
          <w:rFonts w:ascii="Book Antiqua" w:hAnsi="Book Antiqua"/>
          <w:b/>
          <w:sz w:val="24"/>
        </w:rPr>
      </w:pPr>
    </w:p>
    <w:p w:rsidR="0048476B" w:rsidRDefault="0048476B" w:rsidP="000B17A3">
      <w:pPr>
        <w:spacing w:line="360" w:lineRule="auto"/>
        <w:rPr>
          <w:rFonts w:ascii="Book Antiqua" w:hAnsi="Book Antiqua"/>
          <w:b/>
          <w:sz w:val="24"/>
        </w:rPr>
      </w:pPr>
    </w:p>
    <w:p w:rsidR="0048476B" w:rsidRPr="00D34D82" w:rsidRDefault="0048476B" w:rsidP="000B17A3">
      <w:pPr>
        <w:spacing w:line="360" w:lineRule="auto"/>
        <w:rPr>
          <w:rFonts w:ascii="Book Antiqua" w:hAnsi="Book Antiqua" w:cs="Arial"/>
          <w:b/>
          <w:sz w:val="24"/>
        </w:rPr>
      </w:pPr>
      <w:r w:rsidRPr="00D34D82">
        <w:rPr>
          <w:rFonts w:ascii="Book Antiqua" w:hAnsi="Book Antiqua" w:cs="Arial"/>
          <w:b/>
          <w:sz w:val="24"/>
        </w:rPr>
        <w:t>Abstract</w:t>
      </w:r>
    </w:p>
    <w:p w:rsidR="0048476B" w:rsidRPr="00D34D82" w:rsidRDefault="0048476B" w:rsidP="000B17A3">
      <w:pPr>
        <w:spacing w:line="360" w:lineRule="auto"/>
        <w:rPr>
          <w:rFonts w:ascii="Book Antiqua" w:hAnsi="Book Antiqua" w:cs="Arial"/>
          <w:sz w:val="24"/>
        </w:rPr>
      </w:pPr>
      <w:r w:rsidRPr="00D34D82">
        <w:rPr>
          <w:rFonts w:ascii="Book Antiqua" w:hAnsi="Book Antiqua" w:cs="Arial"/>
          <w:b/>
          <w:sz w:val="24"/>
        </w:rPr>
        <w:t>AIM:</w:t>
      </w:r>
      <w:r w:rsidRPr="00D34D82">
        <w:rPr>
          <w:rFonts w:ascii="Book Antiqua" w:hAnsi="Book Antiqua" w:cs="Arial"/>
          <w:sz w:val="24"/>
        </w:rPr>
        <w:t xml:space="preserve"> </w:t>
      </w:r>
      <w:r>
        <w:rPr>
          <w:rFonts w:ascii="Book Antiqua" w:hAnsi="Book Antiqua" w:cs="Arial"/>
          <w:sz w:val="24"/>
        </w:rPr>
        <w:t>To study</w:t>
      </w:r>
      <w:r w:rsidRPr="00D34D82">
        <w:rPr>
          <w:rFonts w:ascii="Book Antiqua" w:hAnsi="Book Antiqua" w:cs="Arial"/>
          <w:sz w:val="24"/>
        </w:rPr>
        <w:t xml:space="preserve"> </w:t>
      </w:r>
      <w:r>
        <w:rPr>
          <w:rFonts w:ascii="Book Antiqua" w:hAnsi="Book Antiqua" w:cs="Arial"/>
          <w:sz w:val="24"/>
        </w:rPr>
        <w:t>the</w:t>
      </w:r>
      <w:r w:rsidRPr="00D34D82">
        <w:rPr>
          <w:rFonts w:ascii="Book Antiqua" w:hAnsi="Book Antiqua" w:cs="Arial"/>
          <w:sz w:val="24"/>
        </w:rPr>
        <w:t xml:space="preserve"> effect of dichloromethylene diphosphonate (DMDP), a selective Kupffer-cell toxicant</w:t>
      </w:r>
      <w:r>
        <w:rPr>
          <w:rFonts w:ascii="Book Antiqua" w:hAnsi="Book Antiqua" w:cs="Arial"/>
          <w:sz w:val="24"/>
        </w:rPr>
        <w:t xml:space="preserve"> </w:t>
      </w:r>
      <w:r w:rsidRPr="00D34D82">
        <w:rPr>
          <w:rFonts w:ascii="Book Antiqua" w:hAnsi="Book Antiqua" w:cs="Arial"/>
          <w:sz w:val="24"/>
        </w:rPr>
        <w:t>in reference to liver damage and postnecrotic liver regeneration in rats induced by sublethal-dose thioacetamide (TA).</w:t>
      </w:r>
    </w:p>
    <w:p w:rsidR="0048476B" w:rsidRPr="00591588" w:rsidRDefault="0048476B" w:rsidP="000B17A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cs="Arial"/>
          <w:sz w:val="24"/>
        </w:rPr>
      </w:pPr>
      <w:r w:rsidRPr="00D34D82">
        <w:rPr>
          <w:rFonts w:ascii="Book Antiqua" w:hAnsi="Book Antiqua" w:cs="Arial"/>
          <w:b/>
          <w:sz w:val="24"/>
        </w:rPr>
        <w:t xml:space="preserve">METHODS: </w:t>
      </w:r>
      <w:r w:rsidRPr="00D34D82">
        <w:rPr>
          <w:rFonts w:ascii="Book Antiqua" w:hAnsi="Book Antiqua" w:cs="Arial"/>
          <w:sz w:val="24"/>
        </w:rPr>
        <w:t>Rats, intravenously (</w:t>
      </w:r>
      <w:r w:rsidRPr="00D34D82">
        <w:rPr>
          <w:rFonts w:ascii="Book Antiqua" w:hAnsi="Book Antiqua" w:cs="Arial"/>
          <w:i/>
          <w:sz w:val="24"/>
        </w:rPr>
        <w:t>iv</w:t>
      </w:r>
      <w:r w:rsidRPr="00D34D82">
        <w:rPr>
          <w:rFonts w:ascii="Book Antiqua" w:hAnsi="Book Antiqua" w:cs="Arial"/>
          <w:sz w:val="24"/>
        </w:rPr>
        <w:t>) pre-treated with a single dose of DMDP (10 mg/kg), were intraperitoneally (</w:t>
      </w:r>
      <w:r w:rsidRPr="00D34D82">
        <w:rPr>
          <w:rFonts w:ascii="Book Antiqua" w:hAnsi="Book Antiqua" w:cs="Arial"/>
          <w:i/>
          <w:sz w:val="24"/>
        </w:rPr>
        <w:t>ip</w:t>
      </w:r>
      <w:r w:rsidRPr="00D34D82">
        <w:rPr>
          <w:rFonts w:ascii="Book Antiqua" w:hAnsi="Book Antiqua" w:cs="Arial"/>
          <w:sz w:val="24"/>
        </w:rPr>
        <w:t>) injected with TA 6.6 mmol/kg (per 500 mg kg</w:t>
      </w:r>
      <w:r w:rsidRPr="00D34D82">
        <w:rPr>
          <w:rFonts w:ascii="Book Antiqua" w:hAnsi="Book Antiqua" w:cs="Arial"/>
          <w:sz w:val="24"/>
          <w:vertAlign w:val="superscript"/>
        </w:rPr>
        <w:t xml:space="preserve">–1 </w:t>
      </w:r>
      <w:r w:rsidRPr="00D34D82">
        <w:rPr>
          <w:rFonts w:ascii="Book Antiqua" w:hAnsi="Book Antiqua" w:cs="Arial"/>
          <w:sz w:val="24"/>
        </w:rPr>
        <w:t>body weight). Hepatocytes were isolated from rats at 0, 24, 48, and 72 h following TA intoxication and blood and liver samples were obtained. To evaluate the mechanisms involved in the postnecrotic regenerative state, DNA distribution and ploidy time course were assayed in isolated hepatocytes. Circulating cytokine Tumor necrosis factor-alpha (TNF-</w:t>
      </w:r>
      <w:r w:rsidRPr="00D34D82">
        <w:rPr>
          <w:rFonts w:ascii="Book Antiqua" w:hAnsi="Book Antiqua" w:cs="Arial"/>
          <w:sz w:val="24"/>
        </w:rPr>
        <w:sym w:font="Symbol" w:char="F061"/>
      </w:r>
      <w:r w:rsidRPr="00D34D82">
        <w:rPr>
          <w:rFonts w:ascii="Book Antiqua" w:hAnsi="Book Antiqua" w:cs="Arial"/>
          <w:sz w:val="24"/>
        </w:rPr>
        <w:t xml:space="preserve">) was assayed in serum and determined by </w:t>
      </w:r>
      <w:r w:rsidRPr="004715E2">
        <w:rPr>
          <w:rFonts w:ascii="Book Antiqua" w:hAnsi="Book Antiqua" w:cs="Arial"/>
          <w:sz w:val="24"/>
        </w:rPr>
        <w:t xml:space="preserve">reverse transcriptase-polymerase chain reaction </w:t>
      </w:r>
      <w:r w:rsidRPr="00D34D82">
        <w:rPr>
          <w:rFonts w:ascii="Book Antiqua" w:hAnsi="Book Antiqua" w:cs="Arial"/>
          <w:sz w:val="24"/>
        </w:rPr>
        <w:t>in liver extract.</w:t>
      </w:r>
    </w:p>
    <w:p w:rsidR="0048476B" w:rsidRPr="00D34D82" w:rsidRDefault="0048476B" w:rsidP="000B17A3">
      <w:pPr>
        <w:spacing w:line="360" w:lineRule="auto"/>
        <w:rPr>
          <w:rFonts w:ascii="Book Antiqua" w:hAnsi="Book Antiqua" w:cs="Arial"/>
          <w:b/>
          <w:sz w:val="24"/>
        </w:rPr>
      </w:pPr>
    </w:p>
    <w:p w:rsidR="0048476B" w:rsidRPr="00D34D82" w:rsidRDefault="0048476B" w:rsidP="000B17A3">
      <w:pPr>
        <w:spacing w:line="360" w:lineRule="auto"/>
        <w:rPr>
          <w:rFonts w:ascii="Book Antiqua" w:hAnsi="Book Antiqua" w:cs="Arial"/>
          <w:sz w:val="24"/>
        </w:rPr>
      </w:pPr>
      <w:r w:rsidRPr="00D34D82">
        <w:rPr>
          <w:rFonts w:ascii="Book Antiqua" w:hAnsi="Book Antiqua" w:cs="Arial"/>
          <w:b/>
          <w:sz w:val="24"/>
        </w:rPr>
        <w:t xml:space="preserve">RESULTS: </w:t>
      </w:r>
      <w:r w:rsidRPr="00D34D82">
        <w:rPr>
          <w:rFonts w:ascii="Book Antiqua" w:hAnsi="Book Antiqua" w:cs="Arial"/>
          <w:sz w:val="24"/>
        </w:rPr>
        <w:t xml:space="preserve">The effect of DMDP induced noticeable changes in postnecrotic regeneration, causing an increased percentage of hepatocytes in the cell-cycle S phase. </w:t>
      </w:r>
      <w:r w:rsidRPr="00D34D82">
        <w:rPr>
          <w:rFonts w:ascii="Book Antiqua" w:hAnsi="Book Antiqua" w:cs="Arial"/>
          <w:iCs/>
          <w:sz w:val="24"/>
        </w:rPr>
        <w:t xml:space="preserve">The increase at 24 h in S1 population in rats pretreated with DMDP + TA was significantly </w:t>
      </w:r>
      <w:r w:rsidRPr="00D34D82">
        <w:rPr>
          <w:rFonts w:ascii="Book Antiqua" w:hAnsi="Book Antiqua" w:cs="Arial"/>
          <w:sz w:val="24"/>
        </w:rPr>
        <w:t>(</w:t>
      </w:r>
      <w:r w:rsidRPr="00D34D82">
        <w:rPr>
          <w:rFonts w:ascii="Book Antiqua" w:hAnsi="Book Antiqua" w:cs="Arial"/>
          <w:i/>
          <w:sz w:val="24"/>
        </w:rPr>
        <w:t xml:space="preserve">P &lt; </w:t>
      </w:r>
      <w:r w:rsidRPr="00D34D82">
        <w:rPr>
          <w:rFonts w:ascii="Book Antiqua" w:hAnsi="Book Antiqua" w:cs="Arial"/>
          <w:sz w:val="24"/>
        </w:rPr>
        <w:t xml:space="preserve">0.05) </w:t>
      </w:r>
      <w:r w:rsidRPr="00D34D82">
        <w:rPr>
          <w:rFonts w:ascii="Book Antiqua" w:hAnsi="Book Antiqua" w:cs="Arial"/>
          <w:iCs/>
          <w:sz w:val="24"/>
        </w:rPr>
        <w:t xml:space="preserve">different on comparison with that of the TA group (18.07% </w:t>
      </w:r>
      <w:r w:rsidRPr="00D34D82">
        <w:rPr>
          <w:rFonts w:ascii="Book Antiqua" w:hAnsi="Book Antiqua" w:cs="Arial"/>
          <w:i/>
          <w:iCs/>
          <w:sz w:val="24"/>
        </w:rPr>
        <w:t>vs</w:t>
      </w:r>
      <w:r w:rsidRPr="00D34D82">
        <w:rPr>
          <w:rFonts w:ascii="Book Antiqua" w:hAnsi="Book Antiqua" w:cs="Arial"/>
          <w:iCs/>
          <w:sz w:val="24"/>
        </w:rPr>
        <w:t xml:space="preserve"> 8.57%). </w:t>
      </w:r>
      <w:r w:rsidRPr="00D34D82">
        <w:rPr>
          <w:rFonts w:ascii="Book Antiqua" w:hAnsi="Book Antiqua" w:cs="Arial"/>
          <w:sz w:val="24"/>
        </w:rPr>
        <w:t>Hepatocytes increased their proliferation as a result of these changes. Also, TNF-</w:t>
      </w:r>
      <w:r w:rsidRPr="00D34D82">
        <w:rPr>
          <w:rFonts w:ascii="Book Antiqua" w:hAnsi="Book Antiqua" w:cs="Arial"/>
          <w:sz w:val="24"/>
        </w:rPr>
        <w:sym w:font="Symbol" w:char="F061"/>
      </w:r>
      <w:r w:rsidRPr="00D34D82">
        <w:rPr>
          <w:rFonts w:ascii="Book Antiqua" w:hAnsi="Book Antiqua" w:cs="Arial"/>
          <w:sz w:val="24"/>
        </w:rPr>
        <w:t xml:space="preserve"> expression and </w:t>
      </w:r>
      <w:r w:rsidRPr="00D34D82">
        <w:rPr>
          <w:rFonts w:ascii="Book Antiqua" w:hAnsi="Book Antiqua" w:cs="Arial"/>
          <w:sz w:val="24"/>
        </w:rPr>
        <w:lastRenderedPageBreak/>
        <w:t>serum level were increased in rats pre-treated with DMDP. Thus, DMDP pre-treatment reduced TA-induced liver injury and accelerated postnecrotic liver regeneration.</w:t>
      </w:r>
    </w:p>
    <w:p w:rsidR="0048476B" w:rsidRPr="00D34D82" w:rsidRDefault="0048476B" w:rsidP="000B17A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cs="Arial"/>
          <w:sz w:val="24"/>
        </w:rPr>
      </w:pPr>
      <w:r w:rsidRPr="00D34D82">
        <w:rPr>
          <w:rFonts w:ascii="Book Antiqua" w:hAnsi="Book Antiqua" w:cs="Arial"/>
          <w:b/>
          <w:sz w:val="24"/>
        </w:rPr>
        <w:t>CONCLUSION:</w:t>
      </w:r>
      <w:r w:rsidRPr="00D34D82">
        <w:rPr>
          <w:rFonts w:ascii="Book Antiqua" w:hAnsi="Book Antiqua" w:cs="Arial"/>
          <w:color w:val="0000FF"/>
          <w:sz w:val="24"/>
        </w:rPr>
        <w:t xml:space="preserve"> </w:t>
      </w:r>
      <w:r w:rsidRPr="00D34D82">
        <w:rPr>
          <w:rFonts w:ascii="Book Antiqua" w:hAnsi="Book Antiqua" w:cs="Arial"/>
          <w:sz w:val="24"/>
        </w:rPr>
        <w:t>These results demonstrate that Kupffer cells are involved in TA-induced liver, as well as in postnecrotic proliferative liver states.</w:t>
      </w:r>
    </w:p>
    <w:p w:rsidR="0048476B" w:rsidRPr="00D34D82" w:rsidRDefault="0048476B" w:rsidP="000B17A3">
      <w:pPr>
        <w:spacing w:line="360" w:lineRule="auto"/>
        <w:rPr>
          <w:rFonts w:ascii="Book Antiqua" w:hAnsi="Book Antiqua" w:cs="Arial"/>
          <w:b/>
          <w:sz w:val="24"/>
        </w:rPr>
      </w:pPr>
    </w:p>
    <w:p w:rsidR="0048476B" w:rsidRPr="00D34D82" w:rsidRDefault="0048476B" w:rsidP="000B17A3">
      <w:pPr>
        <w:spacing w:line="360" w:lineRule="auto"/>
        <w:rPr>
          <w:rFonts w:ascii="Book Antiqua" w:hAnsi="Book Antiqua" w:cs="Arial"/>
          <w:sz w:val="24"/>
        </w:rPr>
      </w:pPr>
      <w:r w:rsidRPr="00D34D82">
        <w:rPr>
          <w:rFonts w:ascii="Book Antiqua" w:hAnsi="Book Antiqua" w:cs="Arial"/>
          <w:sz w:val="24"/>
        </w:rPr>
        <w:t>© 2013 Baishideng. All rights reserved.</w:t>
      </w:r>
    </w:p>
    <w:p w:rsidR="0048476B" w:rsidRPr="00D34D82" w:rsidRDefault="0048476B" w:rsidP="000B17A3">
      <w:pPr>
        <w:spacing w:line="360" w:lineRule="auto"/>
        <w:rPr>
          <w:rFonts w:ascii="Book Antiqua" w:hAnsi="Book Antiqua" w:cs="Arial"/>
          <w:color w:val="000000"/>
          <w:sz w:val="24"/>
        </w:rPr>
      </w:pPr>
    </w:p>
    <w:p w:rsidR="0048476B" w:rsidRPr="00D34D82" w:rsidRDefault="0048476B" w:rsidP="000B17A3">
      <w:pPr>
        <w:spacing w:line="360" w:lineRule="auto"/>
        <w:rPr>
          <w:rFonts w:ascii="Book Antiqua" w:hAnsi="Book Antiqua" w:cs="Arial"/>
          <w:sz w:val="24"/>
        </w:rPr>
      </w:pPr>
      <w:r w:rsidRPr="00D34D82">
        <w:rPr>
          <w:rFonts w:ascii="Book Antiqua" w:hAnsi="Book Antiqua" w:cs="Arial"/>
          <w:b/>
          <w:sz w:val="24"/>
        </w:rPr>
        <w:t>Key words:</w:t>
      </w:r>
      <w:r w:rsidRPr="00D34D82">
        <w:rPr>
          <w:rFonts w:ascii="Book Antiqua" w:hAnsi="Book Antiqua" w:cs="Arial"/>
          <w:sz w:val="24"/>
        </w:rPr>
        <w:t xml:space="preserve"> Dicloromethylene diphosphonate; Kupffer cells; Thioacetamide; Hepatotoxicity; Cell cycle</w:t>
      </w:r>
    </w:p>
    <w:p w:rsidR="0048476B" w:rsidRPr="00D34D82" w:rsidRDefault="0048476B" w:rsidP="000B17A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cs="Arial"/>
          <w:b/>
          <w:sz w:val="24"/>
        </w:rPr>
      </w:pPr>
    </w:p>
    <w:p w:rsidR="0048476B" w:rsidRPr="00D34D82" w:rsidRDefault="0048476B" w:rsidP="000B17A3">
      <w:pPr>
        <w:spacing w:line="360" w:lineRule="auto"/>
        <w:rPr>
          <w:rFonts w:ascii="Book Antiqua" w:hAnsi="Book Antiqua" w:cs="Arial"/>
          <w:sz w:val="24"/>
        </w:rPr>
      </w:pPr>
      <w:r w:rsidRPr="00D34D82">
        <w:rPr>
          <w:rFonts w:ascii="Book Antiqua" w:hAnsi="Book Antiqua" w:cs="Arial"/>
          <w:b/>
          <w:sz w:val="24"/>
        </w:rPr>
        <w:t xml:space="preserve">Core tip: </w:t>
      </w:r>
      <w:r w:rsidRPr="00D34D82">
        <w:rPr>
          <w:rFonts w:ascii="Book Antiqua" w:hAnsi="Book Antiqua" w:cs="Arial"/>
          <w:sz w:val="24"/>
        </w:rPr>
        <w:t>Over the last 20 years, liposomes, useful models for cell membranes, have become a powerful research tool whose study has resulted in many advances in cell physiology. When encapsulated in liposomes, dichloromethylene diphosphonate, a selective Kupffer-cell toxicant, completely eliminates large Kupffer cells from the liver, allowing us to elucidate the role of these macrophages in total damage induced by hepatotoxic compounds such as thioacetamide.</w:t>
      </w:r>
    </w:p>
    <w:p w:rsidR="0048476B" w:rsidRDefault="0048476B" w:rsidP="000B17A3">
      <w:pPr>
        <w:spacing w:line="360" w:lineRule="auto"/>
        <w:rPr>
          <w:rFonts w:ascii="Book Antiqua" w:hAnsi="Book Antiqua" w:cs="Arial"/>
          <w:sz w:val="24"/>
        </w:rPr>
      </w:pPr>
    </w:p>
    <w:p w:rsidR="0048476B" w:rsidRPr="00D34D82" w:rsidRDefault="0048476B" w:rsidP="00233C1E">
      <w:pPr>
        <w:spacing w:line="360" w:lineRule="auto"/>
        <w:rPr>
          <w:rFonts w:ascii="Book Antiqua" w:hAnsi="Book Antiqua" w:cs="Arial"/>
          <w:sz w:val="24"/>
          <w:shd w:val="clear" w:color="auto" w:fill="FFFFFF"/>
        </w:rPr>
      </w:pPr>
      <w:r w:rsidRPr="00D34D82">
        <w:rPr>
          <w:rFonts w:ascii="Book Antiqua" w:hAnsi="Book Antiqua"/>
          <w:sz w:val="24"/>
          <w:lang w:val="es-MX"/>
        </w:rPr>
        <w:t>Bautista</w:t>
      </w:r>
      <w:r>
        <w:rPr>
          <w:rFonts w:ascii="Book Antiqua" w:hAnsi="Book Antiqua"/>
          <w:sz w:val="24"/>
          <w:lang w:val="es-MX"/>
        </w:rPr>
        <w:t xml:space="preserve"> M</w:t>
      </w:r>
      <w:r w:rsidRPr="00D34D82">
        <w:rPr>
          <w:rFonts w:ascii="Book Antiqua" w:hAnsi="Book Antiqua"/>
          <w:sz w:val="24"/>
          <w:lang w:val="es-MX"/>
        </w:rPr>
        <w:t>, del Rio</w:t>
      </w:r>
      <w:r>
        <w:rPr>
          <w:rFonts w:ascii="Book Antiqua" w:hAnsi="Book Antiqua"/>
          <w:sz w:val="24"/>
          <w:lang w:val="es-MX"/>
        </w:rPr>
        <w:t xml:space="preserve"> </w:t>
      </w:r>
      <w:r w:rsidRPr="00D34D82">
        <w:rPr>
          <w:rFonts w:ascii="Book Antiqua" w:hAnsi="Book Antiqua"/>
          <w:sz w:val="24"/>
          <w:lang w:val="es-MX"/>
        </w:rPr>
        <w:t>MÁG, Benedí</w:t>
      </w:r>
      <w:r>
        <w:rPr>
          <w:rFonts w:ascii="Book Antiqua" w:hAnsi="Book Antiqua"/>
          <w:sz w:val="24"/>
          <w:lang w:val="es-MX"/>
        </w:rPr>
        <w:t xml:space="preserve"> J</w:t>
      </w:r>
      <w:r w:rsidRPr="00D34D82">
        <w:rPr>
          <w:rFonts w:ascii="Book Antiqua" w:hAnsi="Book Antiqua"/>
          <w:sz w:val="24"/>
          <w:lang w:val="es-MX"/>
        </w:rPr>
        <w:t>, Sánchez-Reus</w:t>
      </w:r>
      <w:r>
        <w:rPr>
          <w:rFonts w:ascii="Book Antiqua" w:hAnsi="Book Antiqua"/>
          <w:sz w:val="24"/>
          <w:lang w:val="es-MX"/>
        </w:rPr>
        <w:t xml:space="preserve"> MI</w:t>
      </w:r>
      <w:r w:rsidRPr="00D34D82">
        <w:rPr>
          <w:rFonts w:ascii="Book Antiqua" w:hAnsi="Book Antiqua"/>
          <w:sz w:val="24"/>
          <w:lang w:val="es-MX"/>
        </w:rPr>
        <w:t>, Morales-González</w:t>
      </w:r>
      <w:r>
        <w:rPr>
          <w:rFonts w:ascii="Book Antiqua" w:hAnsi="Book Antiqua"/>
          <w:sz w:val="24"/>
          <w:lang w:val="es-MX"/>
        </w:rPr>
        <w:t xml:space="preserve"> JA</w:t>
      </w:r>
      <w:r w:rsidRPr="00D34D82">
        <w:rPr>
          <w:rFonts w:ascii="Book Antiqua" w:hAnsi="Book Antiqua"/>
          <w:sz w:val="24"/>
          <w:lang w:val="es-MX"/>
        </w:rPr>
        <w:t>, Téllez-López</w:t>
      </w:r>
      <w:r>
        <w:rPr>
          <w:rFonts w:ascii="Book Antiqua" w:hAnsi="Book Antiqua"/>
          <w:sz w:val="24"/>
          <w:lang w:val="es-MX"/>
        </w:rPr>
        <w:t xml:space="preserve"> AM</w:t>
      </w:r>
      <w:r w:rsidRPr="00D34D82">
        <w:rPr>
          <w:rFonts w:ascii="Book Antiqua" w:hAnsi="Book Antiqua"/>
          <w:sz w:val="24"/>
          <w:lang w:val="es-MX"/>
        </w:rPr>
        <w:t>, López-Orozco</w:t>
      </w:r>
      <w:r>
        <w:rPr>
          <w:rFonts w:ascii="Book Antiqua" w:hAnsi="Book Antiqua"/>
          <w:sz w:val="24"/>
          <w:lang w:val="es-MX"/>
        </w:rPr>
        <w:t xml:space="preserve"> M.</w:t>
      </w:r>
      <w:r w:rsidRPr="00D34D82">
        <w:rPr>
          <w:rFonts w:ascii="Book Antiqua" w:hAnsi="Book Antiqua" w:cs="Arial"/>
          <w:sz w:val="24"/>
          <w:shd w:val="clear" w:color="auto" w:fill="FFFFFF"/>
        </w:rPr>
        <w:t>Effect of dichloromethylene diphosphonate on liver regeneration following thioacetamide-induced necrosis in rats</w:t>
      </w:r>
      <w:r>
        <w:rPr>
          <w:rFonts w:ascii="Book Antiqua" w:hAnsi="Book Antiqua" w:cs="Arial"/>
          <w:sz w:val="24"/>
          <w:shd w:val="clear" w:color="auto" w:fill="FFFFFF"/>
        </w:rPr>
        <w:t>.</w:t>
      </w:r>
    </w:p>
    <w:p w:rsidR="0048476B" w:rsidRPr="00233C1E" w:rsidRDefault="0048476B" w:rsidP="000B17A3">
      <w:pPr>
        <w:spacing w:line="360" w:lineRule="auto"/>
        <w:rPr>
          <w:rFonts w:ascii="Book Antiqua" w:hAnsi="Book Antiqua" w:cs="Arial"/>
          <w:sz w:val="24"/>
        </w:rPr>
      </w:pPr>
    </w:p>
    <w:p w:rsidR="0048476B" w:rsidRPr="00D34D82" w:rsidRDefault="0048476B" w:rsidP="00C75121">
      <w:pPr>
        <w:spacing w:line="360" w:lineRule="auto"/>
        <w:rPr>
          <w:rFonts w:ascii="Book Antiqua" w:hAnsi="Book Antiqua"/>
          <w:b/>
          <w:sz w:val="24"/>
        </w:rPr>
      </w:pPr>
      <w:bookmarkStart w:id="5" w:name="OLE_LINK46"/>
      <w:bookmarkStart w:id="6" w:name="OLE_LINK47"/>
      <w:bookmarkStart w:id="7" w:name="OLE_LINK61"/>
      <w:bookmarkStart w:id="8" w:name="OLE_LINK84"/>
      <w:bookmarkStart w:id="9" w:name="OLE_LINK90"/>
      <w:bookmarkStart w:id="10" w:name="OLE_LINK104"/>
      <w:r w:rsidRPr="00D34D82">
        <w:rPr>
          <w:rFonts w:ascii="Book Antiqua" w:hAnsi="Book Antiqua"/>
          <w:b/>
          <w:sz w:val="24"/>
        </w:rPr>
        <w:t xml:space="preserve">Available from: URL: </w:t>
      </w:r>
    </w:p>
    <w:p w:rsidR="0048476B" w:rsidRPr="00D34D82" w:rsidRDefault="0048476B" w:rsidP="00C75121">
      <w:pPr>
        <w:spacing w:line="360" w:lineRule="auto"/>
        <w:rPr>
          <w:rFonts w:ascii="Book Antiqua" w:hAnsi="Book Antiqua"/>
          <w:b/>
          <w:sz w:val="24"/>
        </w:rPr>
      </w:pPr>
      <w:r w:rsidRPr="00D34D82">
        <w:rPr>
          <w:rFonts w:ascii="Book Antiqua" w:hAnsi="Book Antiqua"/>
          <w:b/>
          <w:sz w:val="24"/>
        </w:rPr>
        <w:t>DOI:</w:t>
      </w:r>
    </w:p>
    <w:bookmarkEnd w:id="5"/>
    <w:bookmarkEnd w:id="6"/>
    <w:bookmarkEnd w:id="7"/>
    <w:bookmarkEnd w:id="8"/>
    <w:bookmarkEnd w:id="9"/>
    <w:bookmarkEnd w:id="10"/>
    <w:p w:rsidR="0048476B" w:rsidRPr="00D34D82" w:rsidRDefault="0048476B" w:rsidP="000B17A3">
      <w:pPr>
        <w:spacing w:line="360" w:lineRule="auto"/>
        <w:rPr>
          <w:rFonts w:ascii="Book Antiqua" w:hAnsi="Book Antiqua" w:cs="Arial"/>
          <w:b/>
          <w:sz w:val="24"/>
        </w:rPr>
      </w:pPr>
      <w:r w:rsidRPr="00D34D82">
        <w:rPr>
          <w:rFonts w:ascii="Book Antiqua" w:hAnsi="Book Antiqua"/>
          <w:b/>
          <w:sz w:val="24"/>
          <w:lang w:val="fr-FR"/>
        </w:rPr>
        <w:br w:type="page"/>
      </w:r>
      <w:r w:rsidRPr="00D34D82">
        <w:rPr>
          <w:rFonts w:ascii="Book Antiqua" w:hAnsi="Book Antiqua" w:cs="Arial"/>
          <w:b/>
          <w:sz w:val="24"/>
        </w:rPr>
        <w:lastRenderedPageBreak/>
        <w:t>INTRODUCTION</w:t>
      </w:r>
    </w:p>
    <w:p w:rsidR="0048476B" w:rsidRPr="00D34D82" w:rsidRDefault="0048476B" w:rsidP="000B17A3">
      <w:pPr>
        <w:spacing w:line="360" w:lineRule="auto"/>
        <w:rPr>
          <w:rFonts w:ascii="Book Antiqua" w:hAnsi="Book Antiqua" w:cs="Arial"/>
          <w:sz w:val="24"/>
        </w:rPr>
      </w:pPr>
      <w:r w:rsidRPr="00D34D82">
        <w:rPr>
          <w:rFonts w:ascii="Book Antiqua" w:hAnsi="Book Antiqua" w:cs="Arial"/>
          <w:sz w:val="24"/>
        </w:rPr>
        <w:t>Dichloromethylene diphosphonate (DMDP) is clinically employed for the treatment of osteolytic bone diseases. When encapsulated in liposomes, DMDP is a selective Kupffer-cell toxicant that completely eliminates large Kupffer cells from the liver, resulting in their damage and apoptosis</w:t>
      </w:r>
      <w:r w:rsidRPr="00D34D82">
        <w:rPr>
          <w:rFonts w:ascii="Book Antiqua" w:hAnsi="Book Antiqua" w:cs="Arial"/>
          <w:sz w:val="24"/>
          <w:vertAlign w:val="superscript"/>
        </w:rPr>
        <w:t>[1]</w:t>
      </w:r>
      <w:r w:rsidRPr="00D34D82">
        <w:rPr>
          <w:rFonts w:ascii="Book Antiqua" w:hAnsi="Book Antiqua" w:cs="Arial"/>
          <w:sz w:val="24"/>
        </w:rPr>
        <w:t>. Degree of depletion depends on the injection route and amount of injected DMDP liposomes. In the majority of studies, not only Kupffer cells, but also splenic macrophages, have been depleted by a single intravenous (</w:t>
      </w:r>
      <w:r w:rsidRPr="00D34D82">
        <w:rPr>
          <w:rFonts w:ascii="Book Antiqua" w:hAnsi="Book Antiqua" w:cs="Arial"/>
          <w:i/>
          <w:sz w:val="24"/>
        </w:rPr>
        <w:t>iv</w:t>
      </w:r>
      <w:r w:rsidRPr="00D34D82">
        <w:rPr>
          <w:rFonts w:ascii="Book Antiqua" w:hAnsi="Book Antiqua" w:cs="Arial"/>
          <w:sz w:val="24"/>
        </w:rPr>
        <w:t>) injection of DMDP. Kupffer cells, due to the macrophages residing in the liver sinusoids, are the first macrophage population to come into contact with drugs. These cells are anchored to the endothelium in the lumen of the sinusoids</w:t>
      </w:r>
      <w:r w:rsidRPr="00D34D82">
        <w:rPr>
          <w:rFonts w:ascii="Book Antiqua" w:hAnsi="Book Antiqua" w:cs="Arial"/>
          <w:sz w:val="24"/>
          <w:vertAlign w:val="superscript"/>
        </w:rPr>
        <w:t>[2]</w:t>
      </w:r>
      <w:r w:rsidRPr="00D34D82">
        <w:rPr>
          <w:rFonts w:ascii="Book Antiqua" w:hAnsi="Book Antiqua" w:cs="Arial"/>
          <w:sz w:val="24"/>
        </w:rPr>
        <w:t>. Kupffer cells exhibit intra-acinar heterogeneity, because those located in the periportal area are larger and exhibit higher phagocytic activity compared with those localized in the perivenous area</w:t>
      </w:r>
      <w:r w:rsidRPr="00D34D82">
        <w:rPr>
          <w:rFonts w:ascii="Book Antiqua" w:hAnsi="Book Antiqua" w:cs="Arial"/>
          <w:sz w:val="24"/>
          <w:vertAlign w:val="superscript"/>
        </w:rPr>
        <w:t>[3]</w:t>
      </w:r>
      <w:r w:rsidRPr="00D34D82">
        <w:rPr>
          <w:rFonts w:ascii="Book Antiqua" w:hAnsi="Book Antiqua" w:cs="Arial"/>
          <w:sz w:val="24"/>
        </w:rPr>
        <w:t>. It is well known that the function of these cells (cytokine and protease release, superoxide anion production,</w:t>
      </w:r>
      <w:r w:rsidRPr="00DE0B28">
        <w:rPr>
          <w:rFonts w:ascii="Book Antiqua" w:hAnsi="Book Antiqua" w:cs="Arial"/>
          <w:i/>
          <w:sz w:val="24"/>
        </w:rPr>
        <w:t xml:space="preserve"> etc</w:t>
      </w:r>
      <w:r w:rsidRPr="00D34D82">
        <w:rPr>
          <w:rFonts w:ascii="Book Antiqua" w:hAnsi="Book Antiqua" w:cs="Arial"/>
          <w:sz w:val="24"/>
        </w:rPr>
        <w:t>.) plays an important role in the pathogenesis induced by hepatotoxic compounds</w:t>
      </w:r>
      <w:r w:rsidRPr="00D34D82">
        <w:rPr>
          <w:rFonts w:ascii="Book Antiqua" w:hAnsi="Book Antiqua" w:cs="Arial"/>
          <w:sz w:val="24"/>
          <w:vertAlign w:val="superscript"/>
        </w:rPr>
        <w:t>[4,5]</w:t>
      </w:r>
      <w:r w:rsidRPr="00D34D82">
        <w:rPr>
          <w:rFonts w:ascii="Book Antiqua" w:hAnsi="Book Antiqua" w:cs="Arial"/>
          <w:sz w:val="24"/>
        </w:rPr>
        <w:t>. DMDP is most likely protective because it prevents the release of inflammatory cytokines and toxic oxygen radicals produced by activated Kupffer cells</w:t>
      </w:r>
      <w:r w:rsidRPr="00D34D82">
        <w:rPr>
          <w:rFonts w:ascii="Book Antiqua" w:hAnsi="Book Antiqua" w:cs="Arial"/>
          <w:sz w:val="24"/>
          <w:vertAlign w:val="superscript"/>
        </w:rPr>
        <w:t>[6,7]</w:t>
      </w:r>
      <w:r w:rsidRPr="00D34D82">
        <w:rPr>
          <w:rFonts w:ascii="Book Antiqua" w:hAnsi="Book Antiqua" w:cs="Arial"/>
          <w:sz w:val="24"/>
        </w:rPr>
        <w:t>.</w:t>
      </w:r>
    </w:p>
    <w:p w:rsidR="0048476B" w:rsidRPr="00D34D82" w:rsidRDefault="0048476B" w:rsidP="009D6AE9">
      <w:pPr>
        <w:spacing w:line="360" w:lineRule="auto"/>
        <w:ind w:firstLineChars="200" w:firstLine="480"/>
        <w:rPr>
          <w:rFonts w:ascii="Book Antiqua" w:hAnsi="Book Antiqua" w:cs="Arial"/>
          <w:sz w:val="24"/>
        </w:rPr>
      </w:pPr>
      <w:r w:rsidRPr="00D34D82">
        <w:rPr>
          <w:rFonts w:ascii="Book Antiqua" w:hAnsi="Book Antiqua" w:cs="Arial"/>
          <w:sz w:val="24"/>
        </w:rPr>
        <w:t>Thioacetamide (TA) is a potent hepatotoxic agent that, when administered at 500-mg</w:t>
      </w:r>
      <w:r>
        <w:rPr>
          <w:rFonts w:ascii="Book Antiqua" w:hAnsi="Book Antiqua" w:cs="Arial"/>
          <w:sz w:val="24"/>
        </w:rPr>
        <w:t>/</w:t>
      </w:r>
      <w:r w:rsidRPr="00D34D82">
        <w:rPr>
          <w:rFonts w:ascii="Book Antiqua" w:hAnsi="Book Antiqua" w:cs="Arial"/>
          <w:sz w:val="24"/>
        </w:rPr>
        <w:t>kg body-weight doses to rats, gives rise to severe hepatocellular perivenous necrosis</w:t>
      </w:r>
      <w:r w:rsidRPr="00D34D82">
        <w:rPr>
          <w:rFonts w:ascii="Book Antiqua" w:hAnsi="Book Antiqua" w:cs="Arial"/>
          <w:sz w:val="24"/>
          <w:vertAlign w:val="superscript"/>
        </w:rPr>
        <w:t>[8,9]</w:t>
      </w:r>
      <w:r w:rsidRPr="00D34D82">
        <w:rPr>
          <w:rFonts w:ascii="Book Antiqua" w:hAnsi="Book Antiqua" w:cs="Arial"/>
          <w:sz w:val="24"/>
        </w:rPr>
        <w:t>. The selective destruction of perivenous hepatocytes and the proliferative state of liver cells that immediately follows were employed, in the present study, as an experimental model by means of which to study the hepatic response against the aggressive attack of a hepatotoxic drug. Thus, this response may be considered from two perspectives: that of hepatocellular necrosis, and that of the postnecrotic hepatocellular regeneration linked with restoration of liver function</w:t>
      </w:r>
      <w:r w:rsidRPr="00D34D82">
        <w:rPr>
          <w:rFonts w:ascii="Book Antiqua" w:hAnsi="Book Antiqua" w:cs="Arial"/>
          <w:sz w:val="24"/>
          <w:vertAlign w:val="superscript"/>
        </w:rPr>
        <w:t>[10,11]</w:t>
      </w:r>
      <w:r w:rsidRPr="00D34D82">
        <w:rPr>
          <w:rFonts w:ascii="Book Antiqua" w:hAnsi="Book Antiqua" w:cs="Arial"/>
          <w:sz w:val="24"/>
        </w:rPr>
        <w:t>.</w:t>
      </w:r>
    </w:p>
    <w:p w:rsidR="0048476B" w:rsidRPr="00D34D82" w:rsidRDefault="0048476B" w:rsidP="009D6AE9">
      <w:pPr>
        <w:spacing w:line="360" w:lineRule="auto"/>
        <w:ind w:firstLineChars="250" w:firstLine="600"/>
        <w:rPr>
          <w:rFonts w:ascii="Book Antiqua" w:hAnsi="Book Antiqua" w:cs="Arial"/>
          <w:sz w:val="24"/>
        </w:rPr>
      </w:pPr>
      <w:r w:rsidRPr="00D34D82">
        <w:rPr>
          <w:rFonts w:ascii="Book Antiqua" w:hAnsi="Book Antiqua" w:cs="Arial"/>
          <w:sz w:val="24"/>
        </w:rPr>
        <w:t>Kupffer cells are also the major source of mitogens, such as Tumor necrosis factor-alpha (TNF-</w:t>
      </w:r>
      <w:r w:rsidRPr="00D34D82">
        <w:rPr>
          <w:rFonts w:ascii="Book Antiqua" w:hAnsi="Book Antiqua" w:cs="Arial"/>
          <w:sz w:val="24"/>
        </w:rPr>
        <w:sym w:font="Symbol" w:char="F061"/>
      </w:r>
      <w:r w:rsidRPr="00D34D82">
        <w:rPr>
          <w:rFonts w:ascii="Book Antiqua" w:hAnsi="Book Antiqua" w:cs="Arial"/>
          <w:sz w:val="24"/>
        </w:rPr>
        <w:t>), in liver</w:t>
      </w:r>
      <w:r w:rsidRPr="00D34D82">
        <w:rPr>
          <w:rFonts w:ascii="Book Antiqua" w:hAnsi="Book Antiqua" w:cs="Arial"/>
          <w:sz w:val="24"/>
          <w:vertAlign w:val="superscript"/>
        </w:rPr>
        <w:t>[12,13]</w:t>
      </w:r>
      <w:r w:rsidRPr="00D34D82">
        <w:rPr>
          <w:rFonts w:ascii="Book Antiqua" w:hAnsi="Book Antiqua" w:cs="Arial"/>
          <w:sz w:val="24"/>
        </w:rPr>
        <w:t>. TNF-</w:t>
      </w:r>
      <w:r w:rsidRPr="00D34D82">
        <w:rPr>
          <w:rFonts w:ascii="Book Antiqua" w:hAnsi="Book Antiqua" w:cs="Arial"/>
          <w:sz w:val="24"/>
        </w:rPr>
        <w:sym w:font="Symbol" w:char="F061"/>
      </w:r>
      <w:r w:rsidRPr="00D34D82">
        <w:rPr>
          <w:rFonts w:ascii="Book Antiqua" w:hAnsi="Book Antiqua" w:cs="Arial"/>
          <w:sz w:val="24"/>
        </w:rPr>
        <w:t xml:space="preserve"> is a multifunctional cytokine that in the liver acts as a mediator of the acute phase response and that is a cytotoxic agent in many types of hepatic injury. Some authors have suggested that TNF-</w:t>
      </w:r>
      <w:r w:rsidRPr="00D34D82">
        <w:rPr>
          <w:rFonts w:ascii="Book Antiqua" w:hAnsi="Book Antiqua" w:cs="Arial"/>
          <w:sz w:val="24"/>
        </w:rPr>
        <w:sym w:font="Symbol" w:char="F061"/>
      </w:r>
      <w:r w:rsidRPr="00D34D82">
        <w:rPr>
          <w:rFonts w:ascii="Book Antiqua" w:hAnsi="Book Antiqua" w:cs="Arial"/>
          <w:sz w:val="24"/>
        </w:rPr>
        <w:t xml:space="preserve"> may be necessary for </w:t>
      </w:r>
      <w:r w:rsidRPr="00D34D82">
        <w:rPr>
          <w:rFonts w:ascii="Book Antiqua" w:hAnsi="Book Antiqua" w:cs="Arial"/>
          <w:sz w:val="24"/>
        </w:rPr>
        <w:lastRenderedPageBreak/>
        <w:t>hepatocyte proliferation</w:t>
      </w:r>
      <w:r w:rsidRPr="00D34D82">
        <w:rPr>
          <w:rFonts w:ascii="Book Antiqua" w:hAnsi="Book Antiqua" w:cs="Arial"/>
          <w:sz w:val="24"/>
          <w:vertAlign w:val="superscript"/>
        </w:rPr>
        <w:t>[14]</w:t>
      </w:r>
      <w:r w:rsidRPr="00D34D82">
        <w:rPr>
          <w:rFonts w:ascii="Book Antiqua" w:hAnsi="Book Antiqua" w:cs="Arial"/>
          <w:sz w:val="24"/>
        </w:rPr>
        <w:t>. The observation that TNF-</w:t>
      </w:r>
      <w:r w:rsidRPr="00D34D82">
        <w:rPr>
          <w:rFonts w:ascii="Book Antiqua" w:hAnsi="Book Antiqua" w:cs="Arial"/>
          <w:sz w:val="24"/>
        </w:rPr>
        <w:sym w:font="Symbol" w:char="F061"/>
      </w:r>
      <w:r w:rsidRPr="00D34D82">
        <w:rPr>
          <w:rFonts w:ascii="Book Antiqua" w:hAnsi="Book Antiqua" w:cs="Arial"/>
          <w:sz w:val="24"/>
        </w:rPr>
        <w:t xml:space="preserve"> is required for liver regeneration is surprising because TNF-</w:t>
      </w:r>
      <w:r w:rsidRPr="00D34D82">
        <w:rPr>
          <w:rFonts w:ascii="Book Antiqua" w:hAnsi="Book Antiqua" w:cs="Arial"/>
          <w:sz w:val="24"/>
        </w:rPr>
        <w:sym w:font="Symbol" w:char="F061"/>
      </w:r>
      <w:r w:rsidRPr="00D34D82">
        <w:rPr>
          <w:rFonts w:ascii="Book Antiqua" w:hAnsi="Book Antiqua" w:cs="Arial"/>
          <w:sz w:val="24"/>
        </w:rPr>
        <w:t xml:space="preserve"> is a proinflammatory cytokine and an acute-phase response mediator</w:t>
      </w:r>
      <w:r w:rsidRPr="00D34D82">
        <w:rPr>
          <w:rFonts w:ascii="Book Antiqua" w:hAnsi="Book Antiqua" w:cs="Arial"/>
          <w:sz w:val="24"/>
          <w:vertAlign w:val="superscript"/>
        </w:rPr>
        <w:t>[15]</w:t>
      </w:r>
      <w:r w:rsidRPr="00D34D82">
        <w:rPr>
          <w:rFonts w:ascii="Book Antiqua" w:hAnsi="Book Antiqua" w:cs="Arial"/>
          <w:sz w:val="24"/>
        </w:rPr>
        <w:t>. The proliferative and anti-apoptotic effect of this cytokine appears to take place only under special conditions, such as those existing after partial hepatectomy. Although TNF-</w:t>
      </w:r>
      <w:r w:rsidRPr="00D34D82">
        <w:rPr>
          <w:rFonts w:ascii="Book Antiqua" w:hAnsi="Book Antiqua" w:cs="Arial"/>
          <w:sz w:val="24"/>
        </w:rPr>
        <w:sym w:font="Symbol" w:char="F061"/>
      </w:r>
      <w:r w:rsidRPr="00D34D82">
        <w:rPr>
          <w:rFonts w:ascii="Book Antiqua" w:hAnsi="Book Antiqua" w:cs="Arial"/>
          <w:sz w:val="24"/>
        </w:rPr>
        <w:t xml:space="preserve"> appears to be beneficial and required for liver regeneration after partial hepatectomy, the need for this factor has not been as clearly established after liver injury, a more common regenerative stimulus. In fact, a number of studies have suggested that TNF increases liver injury after toxic damage</w:t>
      </w:r>
      <w:r w:rsidRPr="00D34D82">
        <w:rPr>
          <w:rFonts w:ascii="Book Antiqua" w:hAnsi="Book Antiqua" w:cs="Arial"/>
          <w:sz w:val="24"/>
          <w:vertAlign w:val="superscript"/>
        </w:rPr>
        <w:t>[16,17]</w:t>
      </w:r>
      <w:r w:rsidRPr="00D34D82">
        <w:rPr>
          <w:rFonts w:ascii="Book Antiqua" w:hAnsi="Book Antiqua" w:cs="Arial"/>
          <w:sz w:val="24"/>
        </w:rPr>
        <w:t xml:space="preserve">. Moreover, Fujita </w:t>
      </w:r>
      <w:r w:rsidRPr="00D34D82">
        <w:rPr>
          <w:rFonts w:ascii="Book Antiqua" w:hAnsi="Book Antiqua" w:cs="Arial"/>
          <w:i/>
          <w:sz w:val="24"/>
        </w:rPr>
        <w:t>et al</w:t>
      </w:r>
      <w:r w:rsidRPr="00D34D82">
        <w:rPr>
          <w:rFonts w:ascii="Book Antiqua" w:hAnsi="Book Antiqua" w:cs="Arial"/>
          <w:sz w:val="24"/>
          <w:vertAlign w:val="superscript"/>
        </w:rPr>
        <w:t>[18]</w:t>
      </w:r>
      <w:r w:rsidRPr="00D34D82">
        <w:rPr>
          <w:rFonts w:ascii="Book Antiqua" w:hAnsi="Book Antiqua" w:cs="Arial"/>
          <w:sz w:val="24"/>
        </w:rPr>
        <w:t xml:space="preserve"> demonstrated that the absence of TNF-</w:t>
      </w:r>
      <w:r w:rsidRPr="00D34D82">
        <w:rPr>
          <w:rFonts w:ascii="Book Antiqua" w:hAnsi="Book Antiqua" w:cs="Arial"/>
          <w:sz w:val="24"/>
        </w:rPr>
        <w:sym w:font="Symbol" w:char="F061"/>
      </w:r>
      <w:r w:rsidRPr="00D34D82">
        <w:rPr>
          <w:rFonts w:ascii="Book Antiqua" w:hAnsi="Book Antiqua" w:cs="Arial"/>
          <w:sz w:val="24"/>
        </w:rPr>
        <w:t xml:space="preserve"> does not impair liver regeneration.</w:t>
      </w:r>
    </w:p>
    <w:p w:rsidR="0048476B" w:rsidRPr="00D34D82" w:rsidRDefault="0048476B" w:rsidP="009D6AE9">
      <w:pPr>
        <w:spacing w:line="360" w:lineRule="auto"/>
        <w:ind w:firstLineChars="200" w:firstLine="480"/>
        <w:rPr>
          <w:rFonts w:ascii="Book Antiqua" w:hAnsi="Book Antiqua" w:cs="Arial"/>
          <w:sz w:val="24"/>
        </w:rPr>
      </w:pPr>
      <w:r w:rsidRPr="00D34D82">
        <w:rPr>
          <w:rFonts w:ascii="Book Antiqua" w:hAnsi="Book Antiqua" w:cs="Arial"/>
          <w:sz w:val="24"/>
        </w:rPr>
        <w:t>The purpose of the present study was to elucidate the role of Kupffer cells in regeneration after liver injury, specifically blocking Kupffer-cell function by DMDP. The proliferative postnecrotic response was assayed by evaluating ploidy and DNA distribution in the cell-cycle phases in isolated hepatocytes by flow cytometry.</w:t>
      </w:r>
    </w:p>
    <w:p w:rsidR="0048476B" w:rsidRPr="00D34D82" w:rsidRDefault="0048476B" w:rsidP="000B17A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cs="Arial"/>
          <w:b/>
          <w:sz w:val="24"/>
        </w:rPr>
      </w:pPr>
      <w:r w:rsidRPr="00D34D82">
        <w:rPr>
          <w:rFonts w:ascii="Book Antiqua" w:hAnsi="Book Antiqua" w:cs="Arial"/>
          <w:b/>
          <w:sz w:val="24"/>
        </w:rPr>
        <w:t>MATERIALS AND METHODS</w:t>
      </w:r>
    </w:p>
    <w:p w:rsidR="0048476B" w:rsidRPr="00D34D82" w:rsidRDefault="0048476B" w:rsidP="000B17A3">
      <w:pPr>
        <w:autoSpaceDE w:val="0"/>
        <w:autoSpaceDN w:val="0"/>
        <w:adjustRightInd w:val="0"/>
        <w:spacing w:line="360" w:lineRule="auto"/>
        <w:rPr>
          <w:rFonts w:ascii="Book Antiqua" w:hAnsi="Book Antiqua" w:cs="Arial"/>
          <w:sz w:val="24"/>
        </w:rPr>
      </w:pPr>
      <w:r w:rsidRPr="00D34D82">
        <w:rPr>
          <w:rFonts w:ascii="Book Antiqua" w:hAnsi="Book Antiqua" w:cs="Arial"/>
          <w:b/>
          <w:i/>
          <w:color w:val="000000"/>
          <w:sz w:val="24"/>
        </w:rPr>
        <w:t>Reagents</w:t>
      </w:r>
      <w:r w:rsidRPr="00D34D82">
        <w:rPr>
          <w:rFonts w:ascii="Book Antiqua" w:hAnsi="Book Antiqua" w:cs="Arial"/>
          <w:sz w:val="24"/>
        </w:rPr>
        <w:t xml:space="preserve"> </w:t>
      </w:r>
    </w:p>
    <w:p w:rsidR="0048476B" w:rsidRPr="00D34D82" w:rsidRDefault="0048476B" w:rsidP="000B17A3">
      <w:pPr>
        <w:autoSpaceDE w:val="0"/>
        <w:autoSpaceDN w:val="0"/>
        <w:adjustRightInd w:val="0"/>
        <w:spacing w:line="360" w:lineRule="auto"/>
        <w:rPr>
          <w:rFonts w:ascii="Book Antiqua" w:hAnsi="Book Antiqua" w:cs="Arial"/>
          <w:color w:val="000000"/>
          <w:sz w:val="24"/>
        </w:rPr>
      </w:pPr>
      <w:r w:rsidRPr="00D34D82">
        <w:rPr>
          <w:rFonts w:ascii="Book Antiqua" w:hAnsi="Book Antiqua" w:cs="Arial"/>
          <w:sz w:val="24"/>
        </w:rPr>
        <w:t>DMDP (Dichloromethylene diphosphonate) was provided by Roche Diagnostics (</w:t>
      </w:r>
      <w:smartTag w:uri="urn:schemas-microsoft-com:office:smarttags" w:element="City">
        <w:r w:rsidRPr="00D34D82">
          <w:rPr>
            <w:rFonts w:ascii="Book Antiqua" w:hAnsi="Book Antiqua" w:cs="Arial"/>
            <w:sz w:val="24"/>
          </w:rPr>
          <w:t>Mannheim</w:t>
        </w:r>
      </w:smartTag>
      <w:r w:rsidRPr="00D34D82">
        <w:rPr>
          <w:rFonts w:ascii="Book Antiqua" w:hAnsi="Book Antiqua" w:cs="Arial"/>
          <w:sz w:val="24"/>
        </w:rPr>
        <w:t xml:space="preserve">, </w:t>
      </w:r>
      <w:smartTag w:uri="urn:schemas-microsoft-com:office:smarttags" w:element="country-region">
        <w:r w:rsidRPr="00D34D82">
          <w:rPr>
            <w:rFonts w:ascii="Book Antiqua" w:hAnsi="Book Antiqua" w:cs="Arial"/>
            <w:sz w:val="24"/>
          </w:rPr>
          <w:t>Germany</w:t>
        </w:r>
      </w:smartTag>
      <w:r w:rsidRPr="00D34D82">
        <w:rPr>
          <w:rFonts w:ascii="Book Antiqua" w:hAnsi="Book Antiqua" w:cs="Arial"/>
          <w:sz w:val="24"/>
        </w:rPr>
        <w:t>), phosphatidylcholine by Lipoid EPC, LIPOID (</w:t>
      </w:r>
      <w:smartTag w:uri="urn:schemas-microsoft-com:office:smarttags" w:element="City">
        <w:r w:rsidRPr="00D34D82">
          <w:rPr>
            <w:rFonts w:ascii="Book Antiqua" w:hAnsi="Book Antiqua" w:cs="Arial"/>
            <w:sz w:val="24"/>
          </w:rPr>
          <w:t>Ludwigshafen</w:t>
        </w:r>
      </w:smartTag>
      <w:r w:rsidRPr="00D34D82">
        <w:rPr>
          <w:rFonts w:ascii="Book Antiqua" w:hAnsi="Book Antiqua" w:cs="Arial"/>
          <w:sz w:val="24"/>
        </w:rPr>
        <w:t xml:space="preserve">, </w:t>
      </w:r>
      <w:smartTag w:uri="urn:schemas-microsoft-com:office:smarttags" w:element="country-region">
        <w:r w:rsidRPr="00D34D82">
          <w:rPr>
            <w:rFonts w:ascii="Book Antiqua" w:hAnsi="Book Antiqua" w:cs="Arial"/>
            <w:sz w:val="24"/>
          </w:rPr>
          <w:t>Germany</w:t>
        </w:r>
      </w:smartTag>
      <w:r w:rsidRPr="00D34D82">
        <w:rPr>
          <w:rFonts w:ascii="Book Antiqua" w:hAnsi="Book Antiqua" w:cs="Arial"/>
          <w:sz w:val="24"/>
        </w:rPr>
        <w:t xml:space="preserve">), and </w:t>
      </w:r>
      <w:r w:rsidRPr="00D34D82">
        <w:rPr>
          <w:rFonts w:ascii="Book Antiqua" w:hAnsi="Book Antiqua" w:cs="Arial"/>
          <w:color w:val="000000"/>
          <w:sz w:val="24"/>
        </w:rPr>
        <w:t>monoclonal ED-1 (MCA</w:t>
      </w:r>
      <w:smartTag w:uri="urn:schemas-microsoft-com:office:smarttags" w:element="chmetcnv">
        <w:smartTagPr>
          <w:attr w:name="UnitName" w:val="g"/>
          <w:attr w:name="SourceValue" w:val="1018"/>
          <w:attr w:name="HasSpace" w:val="False"/>
          <w:attr w:name="Negative" w:val="False"/>
          <w:attr w:name="NumberType" w:val="1"/>
          <w:attr w:name="TCSC" w:val="0"/>
        </w:smartTagPr>
        <w:r w:rsidRPr="00D34D82">
          <w:rPr>
            <w:rFonts w:ascii="Book Antiqua" w:hAnsi="Book Antiqua" w:cs="Arial"/>
            <w:color w:val="000000"/>
            <w:sz w:val="24"/>
          </w:rPr>
          <w:t>1018G</w:t>
        </w:r>
      </w:smartTag>
      <w:r w:rsidRPr="00D34D82">
        <w:rPr>
          <w:rFonts w:ascii="Book Antiqua" w:hAnsi="Book Antiqua" w:cs="Arial"/>
          <w:color w:val="000000"/>
          <w:sz w:val="24"/>
        </w:rPr>
        <w:t xml:space="preserve">) and monoclonal ED-2 antibodies </w:t>
      </w:r>
      <w:r w:rsidRPr="00D34D82">
        <w:rPr>
          <w:rFonts w:ascii="Book Antiqua" w:hAnsi="Book Antiqua" w:cs="Arial"/>
          <w:sz w:val="24"/>
        </w:rPr>
        <w:t xml:space="preserve">were provided </w:t>
      </w:r>
      <w:r w:rsidRPr="00D34D82">
        <w:rPr>
          <w:rFonts w:ascii="Book Antiqua" w:hAnsi="Book Antiqua" w:cs="Arial"/>
          <w:color w:val="000000"/>
          <w:sz w:val="24"/>
        </w:rPr>
        <w:t xml:space="preserve">by Serotec, </w:t>
      </w:r>
      <w:smartTag w:uri="urn:schemas-microsoft-com:office:smarttags" w:element="City">
        <w:smartTag w:uri="urn:schemas-microsoft-com:office:smarttags" w:element="place">
          <w:r w:rsidRPr="00D34D82">
            <w:rPr>
              <w:rFonts w:ascii="Book Antiqua" w:hAnsi="Book Antiqua" w:cs="Arial"/>
              <w:color w:val="000000"/>
              <w:sz w:val="24"/>
            </w:rPr>
            <w:t>Hilversum</w:t>
          </w:r>
        </w:smartTag>
      </w:smartTag>
      <w:r w:rsidRPr="00D34D82">
        <w:rPr>
          <w:rFonts w:ascii="Book Antiqua" w:hAnsi="Book Antiqua" w:cs="Arial"/>
          <w:color w:val="000000"/>
          <w:sz w:val="24"/>
        </w:rPr>
        <w:t xml:space="preserve"> (The Netherlands). Enzymes were obtained from Boehringer Mannheim (</w:t>
      </w:r>
      <w:smartTag w:uri="urn:schemas-microsoft-com:office:smarttags" w:element="country-region">
        <w:smartTag w:uri="urn:schemas-microsoft-com:office:smarttags" w:element="place">
          <w:r w:rsidRPr="00D34D82">
            <w:rPr>
              <w:rFonts w:ascii="Book Antiqua" w:hAnsi="Book Antiqua" w:cs="Arial"/>
              <w:color w:val="000000"/>
              <w:sz w:val="24"/>
            </w:rPr>
            <w:t>Germany</w:t>
          </w:r>
        </w:smartTag>
      </w:smartTag>
      <w:r w:rsidRPr="00D34D82">
        <w:rPr>
          <w:rFonts w:ascii="Book Antiqua" w:hAnsi="Book Antiqua" w:cs="Arial"/>
          <w:color w:val="000000"/>
          <w:sz w:val="24"/>
        </w:rPr>
        <w:t>). Substrates and coenzymes were from Sigma Chemical Co. (</w:t>
      </w:r>
      <w:smartTag w:uri="urn:schemas-microsoft-com:office:smarttags" w:element="City">
        <w:smartTag w:uri="urn:schemas-microsoft-com:office:smarttags" w:element="place">
          <w:smartTag w:uri="urn:schemas-microsoft-com:office:smarttags" w:element="City">
            <w:r w:rsidRPr="00D34D82">
              <w:rPr>
                <w:rFonts w:ascii="Book Antiqua" w:hAnsi="Book Antiqua" w:cs="Arial"/>
                <w:color w:val="000000"/>
                <w:sz w:val="24"/>
              </w:rPr>
              <w:t>St. Louis</w:t>
            </w:r>
          </w:smartTag>
          <w:r w:rsidRPr="00D34D82">
            <w:rPr>
              <w:rFonts w:ascii="Book Antiqua" w:hAnsi="Book Antiqua" w:cs="Arial"/>
              <w:color w:val="000000"/>
              <w:sz w:val="24"/>
            </w:rPr>
            <w:t xml:space="preserve">, </w:t>
          </w:r>
          <w:smartTag w:uri="urn:schemas-microsoft-com:office:smarttags" w:element="State">
            <w:r w:rsidRPr="00D34D82">
              <w:rPr>
                <w:rFonts w:ascii="Book Antiqua" w:hAnsi="Book Antiqua" w:cs="Arial"/>
                <w:color w:val="000000"/>
                <w:sz w:val="24"/>
              </w:rPr>
              <w:t>MO</w:t>
            </w:r>
          </w:smartTag>
          <w:r w:rsidRPr="00D34D82">
            <w:rPr>
              <w:rFonts w:ascii="Book Antiqua" w:hAnsi="Book Antiqua" w:cs="Arial"/>
              <w:color w:val="000000"/>
              <w:sz w:val="24"/>
            </w:rPr>
            <w:t xml:space="preserve">, </w:t>
          </w:r>
          <w:bookmarkStart w:id="11" w:name="OLE_LINK144"/>
          <w:bookmarkStart w:id="12" w:name="OLE_LINK145"/>
          <w:smartTag w:uri="urn:schemas-microsoft-com:office:smarttags" w:element="country-region">
            <w:r w:rsidRPr="00506C76">
              <w:rPr>
                <w:rFonts w:ascii="Book Antiqua" w:hAnsi="Book Antiqua" w:cs="Garamond"/>
                <w:kern w:val="0"/>
                <w:sz w:val="24"/>
              </w:rPr>
              <w:t>United States</w:t>
            </w:r>
          </w:smartTag>
        </w:smartTag>
      </w:smartTag>
      <w:bookmarkEnd w:id="11"/>
      <w:bookmarkEnd w:id="12"/>
      <w:r w:rsidRPr="00D34D82">
        <w:rPr>
          <w:rFonts w:ascii="Book Antiqua" w:hAnsi="Book Antiqua" w:cs="Arial"/>
          <w:color w:val="000000"/>
          <w:sz w:val="24"/>
        </w:rPr>
        <w:t>). Standard analytical grade laboratory reagents were obtained from Merck (</w:t>
      </w:r>
      <w:smartTag w:uri="urn:schemas-microsoft-com:office:smarttags" w:element="City">
        <w:smartTag w:uri="urn:schemas-microsoft-com:office:smarttags" w:element="place">
          <w:smartTag w:uri="urn:schemas-microsoft-com:office:smarttags" w:element="City">
            <w:r w:rsidRPr="00D34D82">
              <w:rPr>
                <w:rFonts w:ascii="Book Antiqua" w:hAnsi="Book Antiqua" w:cs="Arial"/>
                <w:color w:val="000000"/>
                <w:sz w:val="24"/>
              </w:rPr>
              <w:t>Darmstadt</w:t>
            </w:r>
          </w:smartTag>
          <w:r w:rsidRPr="00D34D82">
            <w:rPr>
              <w:rFonts w:ascii="Book Antiqua" w:hAnsi="Book Antiqua" w:cs="Arial"/>
              <w:color w:val="000000"/>
              <w:sz w:val="24"/>
            </w:rPr>
            <w:t xml:space="preserve">, </w:t>
          </w:r>
          <w:smartTag w:uri="urn:schemas-microsoft-com:office:smarttags" w:element="country-region">
            <w:r w:rsidRPr="00D34D82">
              <w:rPr>
                <w:rFonts w:ascii="Book Antiqua" w:hAnsi="Book Antiqua" w:cs="Arial"/>
                <w:color w:val="000000"/>
                <w:sz w:val="24"/>
              </w:rPr>
              <w:t>Germany</w:t>
            </w:r>
          </w:smartTag>
        </w:smartTag>
      </w:smartTag>
      <w:r w:rsidRPr="00D34D82">
        <w:rPr>
          <w:rFonts w:ascii="Book Antiqua" w:hAnsi="Book Antiqua" w:cs="Arial"/>
          <w:color w:val="000000"/>
          <w:sz w:val="24"/>
        </w:rPr>
        <w:t xml:space="preserve">). </w:t>
      </w:r>
    </w:p>
    <w:p w:rsidR="0048476B" w:rsidRPr="00D34D82" w:rsidRDefault="0048476B" w:rsidP="000B17A3">
      <w:pPr>
        <w:autoSpaceDE w:val="0"/>
        <w:autoSpaceDN w:val="0"/>
        <w:adjustRightInd w:val="0"/>
        <w:spacing w:line="360" w:lineRule="auto"/>
        <w:rPr>
          <w:rFonts w:ascii="Book Antiqua" w:hAnsi="Book Antiqua" w:cs="Arial"/>
          <w:i/>
          <w:iCs/>
          <w:sz w:val="24"/>
        </w:rPr>
      </w:pPr>
    </w:p>
    <w:p w:rsidR="0048476B" w:rsidRPr="00D34D82" w:rsidRDefault="0048476B" w:rsidP="000B17A3">
      <w:pPr>
        <w:autoSpaceDE w:val="0"/>
        <w:autoSpaceDN w:val="0"/>
        <w:adjustRightInd w:val="0"/>
        <w:spacing w:line="360" w:lineRule="auto"/>
        <w:rPr>
          <w:rFonts w:ascii="Book Antiqua" w:hAnsi="Book Antiqua" w:cs="Arial"/>
          <w:b/>
          <w:i/>
          <w:iCs/>
          <w:sz w:val="24"/>
        </w:rPr>
      </w:pPr>
      <w:r w:rsidRPr="00D34D82">
        <w:rPr>
          <w:rFonts w:ascii="Book Antiqua" w:hAnsi="Book Antiqua" w:cs="Arial"/>
          <w:b/>
          <w:i/>
          <w:iCs/>
          <w:sz w:val="24"/>
        </w:rPr>
        <w:t xml:space="preserve">Liposome-encapsulated DMDP </w:t>
      </w:r>
    </w:p>
    <w:p w:rsidR="0048476B" w:rsidRPr="00D34D82" w:rsidRDefault="0048476B" w:rsidP="000B17A3">
      <w:pPr>
        <w:autoSpaceDE w:val="0"/>
        <w:autoSpaceDN w:val="0"/>
        <w:adjustRightInd w:val="0"/>
        <w:spacing w:line="360" w:lineRule="auto"/>
        <w:rPr>
          <w:rFonts w:ascii="Book Antiqua" w:hAnsi="Book Antiqua" w:cs="Arial"/>
          <w:color w:val="000000"/>
          <w:sz w:val="24"/>
        </w:rPr>
      </w:pPr>
      <w:r w:rsidRPr="00D34D82">
        <w:rPr>
          <w:rFonts w:ascii="Book Antiqua" w:hAnsi="Book Antiqua" w:cs="Arial"/>
          <w:color w:val="000000"/>
          <w:sz w:val="24"/>
        </w:rPr>
        <w:t>Liposomal clodronate was prepared as previously described</w:t>
      </w:r>
      <w:r w:rsidRPr="00D34D82">
        <w:rPr>
          <w:rFonts w:ascii="Book Antiqua" w:hAnsi="Book Antiqua" w:cs="Arial"/>
          <w:sz w:val="24"/>
          <w:vertAlign w:val="superscript"/>
        </w:rPr>
        <w:t>[19</w:t>
      </w:r>
      <w:r w:rsidRPr="00D34D82">
        <w:rPr>
          <w:rFonts w:ascii="Book Antiqua" w:hAnsi="Book Antiqua" w:cs="Arial"/>
          <w:sz w:val="24"/>
          <w:vertAlign w:val="superscript"/>
        </w:rPr>
        <w:sym w:font="Symbol" w:char="F05D"/>
      </w:r>
      <w:r w:rsidRPr="00D34D82">
        <w:rPr>
          <w:rFonts w:ascii="Book Antiqua" w:hAnsi="Book Antiqua" w:cs="Arial"/>
          <w:sz w:val="24"/>
        </w:rPr>
        <w:t>.</w:t>
      </w:r>
      <w:r w:rsidRPr="00D34D82">
        <w:rPr>
          <w:rFonts w:ascii="Book Antiqua" w:hAnsi="Book Antiqua" w:cs="Arial"/>
          <w:color w:val="000000"/>
          <w:sz w:val="24"/>
        </w:rPr>
        <w:t xml:space="preserve"> Briefly, 86 mg phosphatidylcholine and 8 mg cholesterol were dissolved in chloroform in a round-bottom flask. The thin film that formed on the interior of the flask after high-vacuum rotary evaporation was dispersed by gentle rotation under low vacuum conditions for 10 min in 10 mL Phosphate buffered saline (PBS) (control liposomes) or in </w:t>
      </w:r>
      <w:r w:rsidRPr="00D34D82">
        <w:rPr>
          <w:rFonts w:ascii="Book Antiqua" w:hAnsi="Book Antiqua" w:cs="Arial"/>
          <w:color w:val="000000"/>
          <w:sz w:val="24"/>
        </w:rPr>
        <w:lastRenderedPageBreak/>
        <w:t>10 mL of a 0.6 M DMDP (2.5 g DMDP in 10 mL distilled water and clodronate-containing liposomes). After swelling, sonication, and washing in PBS, the liposomes were resuspended in 4 mL PBS. The resulting liposomal formulation contained clodronate at a concentration of 0.7 mol/L.</w:t>
      </w:r>
    </w:p>
    <w:p w:rsidR="0048476B" w:rsidRPr="00D34D82" w:rsidRDefault="0048476B" w:rsidP="000B17A3">
      <w:pPr>
        <w:autoSpaceDE w:val="0"/>
        <w:autoSpaceDN w:val="0"/>
        <w:adjustRightInd w:val="0"/>
        <w:spacing w:line="360" w:lineRule="auto"/>
        <w:rPr>
          <w:rFonts w:ascii="Book Antiqua" w:hAnsi="Book Antiqua" w:cs="Arial"/>
          <w:i/>
          <w:iCs/>
          <w:sz w:val="24"/>
        </w:rPr>
      </w:pPr>
    </w:p>
    <w:p w:rsidR="0048476B" w:rsidRPr="00D34D82" w:rsidRDefault="0048476B" w:rsidP="000B17A3">
      <w:pPr>
        <w:autoSpaceDE w:val="0"/>
        <w:autoSpaceDN w:val="0"/>
        <w:adjustRightInd w:val="0"/>
        <w:spacing w:line="360" w:lineRule="auto"/>
        <w:rPr>
          <w:rFonts w:ascii="Book Antiqua" w:hAnsi="Book Antiqua" w:cs="Arial"/>
          <w:sz w:val="24"/>
        </w:rPr>
      </w:pPr>
      <w:r w:rsidRPr="00D34D82">
        <w:rPr>
          <w:rFonts w:ascii="Book Antiqua" w:hAnsi="Book Antiqua" w:cs="Arial"/>
          <w:b/>
          <w:i/>
          <w:sz w:val="24"/>
        </w:rPr>
        <w:t>Animal</w:t>
      </w:r>
      <w:r w:rsidRPr="00D34D82">
        <w:rPr>
          <w:rFonts w:ascii="Book Antiqua" w:hAnsi="Book Antiqua" w:cs="Arial"/>
          <w:b/>
          <w:i/>
          <w:color w:val="000000"/>
          <w:sz w:val="24"/>
        </w:rPr>
        <w:t xml:space="preserve"> treatment and sample processing</w:t>
      </w:r>
      <w:r w:rsidRPr="00D34D82">
        <w:rPr>
          <w:rFonts w:ascii="Book Antiqua" w:hAnsi="Book Antiqua" w:cs="Arial"/>
          <w:sz w:val="24"/>
        </w:rPr>
        <w:t xml:space="preserve"> </w:t>
      </w:r>
    </w:p>
    <w:p w:rsidR="0048476B" w:rsidRPr="00D34D82" w:rsidRDefault="0048476B" w:rsidP="000B17A3">
      <w:pPr>
        <w:autoSpaceDE w:val="0"/>
        <w:autoSpaceDN w:val="0"/>
        <w:adjustRightInd w:val="0"/>
        <w:spacing w:line="360" w:lineRule="auto"/>
        <w:rPr>
          <w:rFonts w:ascii="Book Antiqua" w:hAnsi="Book Antiqua" w:cs="Arial"/>
          <w:sz w:val="24"/>
        </w:rPr>
      </w:pPr>
      <w:r w:rsidRPr="00D34D82">
        <w:rPr>
          <w:rFonts w:ascii="Book Antiqua" w:hAnsi="Book Antiqua" w:cs="Arial"/>
          <w:sz w:val="24"/>
        </w:rPr>
        <w:t xml:space="preserve">Two-month-old male Wistar rats (weighing 200–220 g) were obtained from the Bioterio, Instituto de Ciencias de la Salud, Universidad Autónoma del Estado de Hidalgo (UAEH), Mexico, and acclimated to our animal room for 2 weeks, during which time the rats were supplied with food (Purina de México, S.A.) and water </w:t>
      </w:r>
      <w:r w:rsidRPr="00D34D82">
        <w:rPr>
          <w:rFonts w:ascii="Book Antiqua" w:hAnsi="Book Antiqua" w:cs="Arial"/>
          <w:i/>
          <w:sz w:val="24"/>
        </w:rPr>
        <w:t xml:space="preserve">ad libitum, </w:t>
      </w:r>
      <w:r w:rsidRPr="00D34D82">
        <w:rPr>
          <w:rFonts w:ascii="Book Antiqua" w:hAnsi="Book Antiqua" w:cs="Arial"/>
          <w:sz w:val="24"/>
        </w:rPr>
        <w:t>exposed to a 12-h light-dark cycle, and administered intraperitoneally (</w:t>
      </w:r>
      <w:r w:rsidRPr="00D34D82">
        <w:rPr>
          <w:rFonts w:ascii="Book Antiqua" w:hAnsi="Book Antiqua" w:cs="Arial"/>
          <w:i/>
          <w:sz w:val="24"/>
        </w:rPr>
        <w:t>ip</w:t>
      </w:r>
      <w:r w:rsidRPr="00D34D82">
        <w:rPr>
          <w:rFonts w:ascii="Book Antiqua" w:hAnsi="Book Antiqua" w:cs="Arial"/>
          <w:sz w:val="24"/>
        </w:rPr>
        <w:t>) with a single necrogenic dose of Thioacetamide (TA) 6.6 mmol (500 mg/kg</w:t>
      </w:r>
      <w:r w:rsidRPr="00D34D82">
        <w:rPr>
          <w:rFonts w:ascii="Book Antiqua" w:hAnsi="Book Antiqua" w:cs="Arial"/>
          <w:sz w:val="24"/>
          <w:vertAlign w:val="superscript"/>
        </w:rPr>
        <w:t>–1</w:t>
      </w:r>
      <w:r w:rsidRPr="00D34D82">
        <w:rPr>
          <w:rFonts w:ascii="Book Antiqua" w:hAnsi="Book Antiqua" w:cs="Arial"/>
          <w:sz w:val="24"/>
        </w:rPr>
        <w:t xml:space="preserve"> body weight) (TA) freshly dissolved in 0.9% NaCl. The TA dose was chosen as the highest dose with survival of &gt;</w:t>
      </w:r>
      <w:r>
        <w:rPr>
          <w:rFonts w:ascii="Book Antiqua" w:hAnsi="Book Antiqua" w:cs="Arial"/>
          <w:sz w:val="24"/>
        </w:rPr>
        <w:t xml:space="preserve"> </w:t>
      </w:r>
      <w:r w:rsidRPr="00D34D82">
        <w:rPr>
          <w:rFonts w:ascii="Book Antiqua" w:hAnsi="Book Antiqua" w:cs="Arial"/>
          <w:sz w:val="24"/>
        </w:rPr>
        <w:t>90%</w:t>
      </w:r>
      <w:r w:rsidRPr="00D34D82">
        <w:rPr>
          <w:rFonts w:ascii="Book Antiqua" w:hAnsi="Book Antiqua" w:cs="Arial"/>
          <w:sz w:val="24"/>
          <w:vertAlign w:val="superscript"/>
        </w:rPr>
        <w:t>[20,21]</w:t>
      </w:r>
      <w:r w:rsidRPr="00D34D82">
        <w:rPr>
          <w:rFonts w:ascii="Book Antiqua" w:hAnsi="Book Antiqua" w:cs="Arial"/>
          <w:sz w:val="24"/>
        </w:rPr>
        <w:t>. Experiments were performed on two different groups. Rats were treated with a single dose of (TA) and rats pre-treated with DMDP 24 h prior to TA (DMDP + TA). DMDP encapsulated in liposomes was injected into tail vein (10 mg/kg). Untreated animals received 0.5 mL of 0.9% NaCl. Rats were cervically dislocated and blood and liver samples were obtained and processed as previously described</w:t>
      </w:r>
      <w:r w:rsidRPr="00D34D82">
        <w:rPr>
          <w:rFonts w:ascii="Book Antiqua" w:hAnsi="Book Antiqua" w:cs="Arial"/>
          <w:sz w:val="24"/>
          <w:vertAlign w:val="superscript"/>
        </w:rPr>
        <w:t>[21]</w:t>
      </w:r>
      <w:r w:rsidRPr="00D8129A">
        <w:rPr>
          <w:rFonts w:ascii="Book Antiqua" w:hAnsi="Book Antiqua" w:cs="Arial"/>
          <w:sz w:val="24"/>
        </w:rPr>
        <w:t>.</w:t>
      </w:r>
      <w:r w:rsidRPr="00D34D82">
        <w:rPr>
          <w:rFonts w:ascii="Book Antiqua" w:hAnsi="Book Antiqua" w:cs="Arial"/>
          <w:sz w:val="24"/>
        </w:rPr>
        <w:t xml:space="preserve"> Blood was collected from hearts and maintained at 4ºC for 24 h, centrifuged at 3,000 rpm for 15 min, and serum was obtained as the supernatant. Hepatocytes were isolated from rats by the classic perfusion method</w:t>
      </w:r>
      <w:r w:rsidRPr="00D34D82">
        <w:rPr>
          <w:rFonts w:ascii="Book Antiqua" w:hAnsi="Book Antiqua" w:cs="Arial"/>
          <w:sz w:val="24"/>
          <w:vertAlign w:val="superscript"/>
        </w:rPr>
        <w:t>[22]</w:t>
      </w:r>
      <w:r w:rsidRPr="00D34D82">
        <w:rPr>
          <w:rFonts w:ascii="Book Antiqua" w:hAnsi="Book Antiqua" w:cs="Arial"/>
          <w:sz w:val="24"/>
        </w:rPr>
        <w:t xml:space="preserve"> at 0, 24, 48, and 72 h following TA (24 h). The viability of isolated hepatocytes (&gt; 90%) was assessed by trypan blue exclusion as previously described</w:t>
      </w:r>
      <w:r w:rsidRPr="00D34D82">
        <w:rPr>
          <w:rFonts w:ascii="Book Antiqua" w:hAnsi="Book Antiqua" w:cs="Arial"/>
          <w:sz w:val="24"/>
          <w:vertAlign w:val="superscript"/>
        </w:rPr>
        <w:t>[10]</w:t>
      </w:r>
      <w:r w:rsidRPr="00D34D82">
        <w:rPr>
          <w:rFonts w:ascii="Book Antiqua" w:hAnsi="Book Antiqua" w:cs="Arial"/>
          <w:sz w:val="24"/>
        </w:rPr>
        <w:t>.</w:t>
      </w:r>
    </w:p>
    <w:p w:rsidR="0048476B" w:rsidRPr="00D34D82" w:rsidRDefault="0048476B" w:rsidP="00E70700">
      <w:pPr>
        <w:autoSpaceDE w:val="0"/>
        <w:autoSpaceDN w:val="0"/>
        <w:adjustRightInd w:val="0"/>
        <w:spacing w:line="360" w:lineRule="auto"/>
        <w:ind w:firstLineChars="200" w:firstLine="480"/>
        <w:rPr>
          <w:rFonts w:ascii="Book Antiqua" w:hAnsi="Book Antiqua" w:cs="Arial"/>
          <w:sz w:val="24"/>
        </w:rPr>
      </w:pPr>
      <w:r w:rsidRPr="00D34D82">
        <w:rPr>
          <w:rFonts w:ascii="Book Antiqua" w:hAnsi="Book Antiqua" w:cs="Arial"/>
          <w:sz w:val="24"/>
        </w:rPr>
        <w:t>Each experiment was performed in duplicate on four different animals and following the International Criteria of Experimental Animals outlined in Care and Use of Laboratory Animals, DHEW Publication No. (NIH) 85-23, 1985, and all procedures involving experimental animals were conducted according to our Federal Regulations for Animal Experimentation and Care (Ministry of Agriculture; SAGAR, Mexico), and The Guiding Principles in the</w:t>
      </w:r>
      <w:r w:rsidRPr="00D34D82">
        <w:rPr>
          <w:rFonts w:ascii="Book Antiqua" w:hAnsi="Book Antiqua" w:cs="Arial"/>
          <w:i/>
          <w:sz w:val="24"/>
        </w:rPr>
        <w:t xml:space="preserve"> </w:t>
      </w:r>
      <w:r w:rsidRPr="00D34D82">
        <w:rPr>
          <w:rFonts w:ascii="Book Antiqua" w:hAnsi="Book Antiqua" w:cs="Arial"/>
          <w:sz w:val="24"/>
        </w:rPr>
        <w:t>Use of Animals in Toxicology adopted by the Society of Toxicology in 1989.</w:t>
      </w:r>
    </w:p>
    <w:p w:rsidR="0048476B" w:rsidRPr="00D34D82" w:rsidRDefault="0048476B" w:rsidP="000B17A3">
      <w:pPr>
        <w:autoSpaceDE w:val="0"/>
        <w:autoSpaceDN w:val="0"/>
        <w:adjustRightInd w:val="0"/>
        <w:spacing w:line="360" w:lineRule="auto"/>
        <w:rPr>
          <w:rFonts w:ascii="Book Antiqua" w:hAnsi="Book Antiqua" w:cs="Arial"/>
          <w:sz w:val="24"/>
        </w:rPr>
      </w:pPr>
    </w:p>
    <w:p w:rsidR="0048476B" w:rsidRPr="00D34D82" w:rsidRDefault="0048476B" w:rsidP="000B17A3">
      <w:pPr>
        <w:keepNext/>
        <w:autoSpaceDE w:val="0"/>
        <w:autoSpaceDN w:val="0"/>
        <w:adjustRightInd w:val="0"/>
        <w:spacing w:line="360" w:lineRule="auto"/>
        <w:outlineLvl w:val="1"/>
        <w:rPr>
          <w:rFonts w:ascii="Book Antiqua" w:hAnsi="Book Antiqua" w:cs="Arial"/>
          <w:color w:val="000000"/>
          <w:sz w:val="24"/>
        </w:rPr>
      </w:pPr>
      <w:r w:rsidRPr="00D34D82">
        <w:rPr>
          <w:rFonts w:ascii="Book Antiqua" w:hAnsi="Book Antiqua" w:cs="Arial"/>
          <w:b/>
          <w:bCs/>
          <w:i/>
          <w:iCs/>
          <w:sz w:val="24"/>
        </w:rPr>
        <w:t>Determination of parameters of injury and TNF-</w:t>
      </w:r>
      <w:r w:rsidRPr="00D34D82">
        <w:rPr>
          <w:rFonts w:ascii="Book Antiqua" w:hAnsi="Book Antiqua" w:cs="Arial"/>
          <w:b/>
          <w:bCs/>
          <w:i/>
          <w:iCs/>
          <w:sz w:val="24"/>
        </w:rPr>
        <w:sym w:font="Symbol" w:char="F061"/>
      </w:r>
      <w:r w:rsidRPr="00D34D82">
        <w:rPr>
          <w:rFonts w:ascii="Book Antiqua" w:hAnsi="Book Antiqua" w:cs="Arial"/>
          <w:b/>
          <w:bCs/>
          <w:i/>
          <w:iCs/>
          <w:sz w:val="24"/>
        </w:rPr>
        <w:t xml:space="preserve"> in serum</w:t>
      </w:r>
      <w:r w:rsidRPr="00D34D82">
        <w:rPr>
          <w:rFonts w:ascii="Book Antiqua" w:hAnsi="Book Antiqua" w:cs="Arial"/>
          <w:color w:val="000000"/>
          <w:sz w:val="24"/>
          <w:lang w:eastAsia="es-ES"/>
        </w:rPr>
        <w:t xml:space="preserve"> </w:t>
      </w:r>
    </w:p>
    <w:p w:rsidR="0048476B" w:rsidRPr="00D34D82" w:rsidRDefault="0048476B" w:rsidP="000B17A3">
      <w:pPr>
        <w:keepNext/>
        <w:autoSpaceDE w:val="0"/>
        <w:autoSpaceDN w:val="0"/>
        <w:adjustRightInd w:val="0"/>
        <w:spacing w:line="360" w:lineRule="auto"/>
        <w:outlineLvl w:val="1"/>
        <w:rPr>
          <w:rFonts w:ascii="Book Antiqua" w:hAnsi="Book Antiqua" w:cs="Arial"/>
          <w:color w:val="000000"/>
          <w:sz w:val="24"/>
          <w:lang w:eastAsia="es-ES"/>
        </w:rPr>
      </w:pPr>
      <w:r w:rsidRPr="00D34D82">
        <w:rPr>
          <w:rFonts w:ascii="Book Antiqua" w:hAnsi="Book Antiqua" w:cs="Arial"/>
          <w:color w:val="000000"/>
          <w:sz w:val="24"/>
          <w:lang w:eastAsia="es-ES"/>
        </w:rPr>
        <w:t>Enzymatic determinations were carried out in serum under optimal conditions of pH, temperature, substrate, and co-factor concentrations. Aspartate aminotransferase (AST) and Isocitrate dehydrogenase (ICDH) were determined in serum as a biochemical indicator of hepatocellular</w:t>
      </w:r>
      <w:r w:rsidRPr="00D34D82">
        <w:rPr>
          <w:rFonts w:ascii="Book Antiqua" w:hAnsi="Book Antiqua" w:cs="Arial"/>
          <w:color w:val="000000"/>
          <w:sz w:val="24"/>
          <w:vertAlign w:val="superscript"/>
          <w:lang w:eastAsia="es-ES"/>
        </w:rPr>
        <w:t xml:space="preserve"> </w:t>
      </w:r>
      <w:r w:rsidRPr="00D34D82">
        <w:rPr>
          <w:rFonts w:ascii="Book Antiqua" w:hAnsi="Book Antiqua" w:cs="Arial"/>
          <w:color w:val="000000"/>
          <w:sz w:val="24"/>
          <w:lang w:eastAsia="es-ES"/>
        </w:rPr>
        <w:t>necrosis according to the manufacturer’s protocol. AST (EC 2.6.2.1) activity was assayed following the method of Rej and Horder</w:t>
      </w:r>
      <w:r w:rsidRPr="00D34D82">
        <w:rPr>
          <w:rFonts w:ascii="Book Antiqua" w:hAnsi="Book Antiqua" w:cs="Arial"/>
          <w:color w:val="000000"/>
          <w:sz w:val="24"/>
          <w:vertAlign w:val="superscript"/>
          <w:lang w:eastAsia="es-ES"/>
        </w:rPr>
        <w:t>[25]</w:t>
      </w:r>
      <w:r w:rsidRPr="00D34D82">
        <w:rPr>
          <w:rFonts w:ascii="Book Antiqua" w:hAnsi="Book Antiqua" w:cs="Arial"/>
          <w:color w:val="000000"/>
          <w:sz w:val="24"/>
          <w:lang w:eastAsia="es-ES"/>
        </w:rPr>
        <w:t>. ICDH (E.C 1.1.1.39) was determined as described previously</w:t>
      </w:r>
      <w:r w:rsidRPr="00D34D82">
        <w:rPr>
          <w:rFonts w:ascii="Book Antiqua" w:hAnsi="Book Antiqua" w:cs="Arial"/>
          <w:color w:val="000000"/>
          <w:sz w:val="24"/>
          <w:vertAlign w:val="superscript"/>
          <w:lang w:eastAsia="es-ES"/>
        </w:rPr>
        <w:t>[26]</w:t>
      </w:r>
      <w:r w:rsidRPr="00D34D82">
        <w:rPr>
          <w:rFonts w:ascii="Book Antiqua" w:hAnsi="Book Antiqua" w:cs="Arial"/>
          <w:color w:val="000000"/>
          <w:sz w:val="24"/>
          <w:lang w:eastAsia="es-ES"/>
        </w:rPr>
        <w:t xml:space="preserve">. Concentrations of immunoreactive TNF-α was determined by the Enzyme-linked immunosorbent assay (ELISA) system (Amersham Pharmacia Biotech) according to the manufacturer’s protocol. In brief, the extracted plasma was reacted with the assay reagents in the TNF-α kit and analyzed spectrophotometrically at 450-nm absorbance. TNF-α levels were calculated from kit standards and expressed as pg/mL of plasma. </w:t>
      </w:r>
    </w:p>
    <w:p w:rsidR="0048476B" w:rsidRPr="00D34D82" w:rsidRDefault="0048476B" w:rsidP="000B17A3">
      <w:pPr>
        <w:spacing w:line="360" w:lineRule="auto"/>
        <w:rPr>
          <w:rFonts w:ascii="Book Antiqua" w:hAnsi="Book Antiqua" w:cs="Arial"/>
          <w:i/>
          <w:iCs/>
          <w:sz w:val="24"/>
        </w:rPr>
      </w:pPr>
    </w:p>
    <w:p w:rsidR="0048476B" w:rsidRPr="00D34D82" w:rsidRDefault="0048476B" w:rsidP="000B17A3">
      <w:pPr>
        <w:keepNext/>
        <w:spacing w:line="360" w:lineRule="auto"/>
        <w:outlineLvl w:val="3"/>
        <w:rPr>
          <w:rFonts w:ascii="Book Antiqua" w:hAnsi="Book Antiqua" w:cs="Arial"/>
          <w:sz w:val="24"/>
        </w:rPr>
      </w:pPr>
      <w:r w:rsidRPr="00D34D82">
        <w:rPr>
          <w:rFonts w:ascii="Book Antiqua" w:hAnsi="Book Antiqua" w:cs="Arial"/>
          <w:b/>
          <w:bCs/>
          <w:i/>
          <w:sz w:val="24"/>
        </w:rPr>
        <w:t>RNA extraction and RT-PCR analysis of TNF-</w:t>
      </w:r>
      <w:r w:rsidRPr="00D34D82">
        <w:rPr>
          <w:rFonts w:ascii="Book Antiqua" w:hAnsi="Book Antiqua" w:cs="Arial"/>
          <w:b/>
          <w:bCs/>
          <w:i/>
          <w:sz w:val="24"/>
        </w:rPr>
        <w:sym w:font="Symbol" w:char="F061"/>
      </w:r>
      <w:r w:rsidRPr="00D34D82">
        <w:rPr>
          <w:rFonts w:ascii="Book Antiqua" w:hAnsi="Book Antiqua" w:cs="Arial"/>
          <w:sz w:val="24"/>
        </w:rPr>
        <w:t xml:space="preserve"> </w:t>
      </w:r>
    </w:p>
    <w:p w:rsidR="0048476B" w:rsidRPr="00D34D82" w:rsidRDefault="0048476B" w:rsidP="000B17A3">
      <w:pPr>
        <w:keepNext/>
        <w:spacing w:line="360" w:lineRule="auto"/>
        <w:outlineLvl w:val="3"/>
        <w:rPr>
          <w:rFonts w:ascii="Book Antiqua" w:hAnsi="Book Antiqua" w:cs="Arial"/>
          <w:sz w:val="24"/>
        </w:rPr>
      </w:pPr>
      <w:r w:rsidRPr="00D34D82">
        <w:rPr>
          <w:rFonts w:ascii="Book Antiqua" w:hAnsi="Book Antiqua" w:cs="Arial"/>
          <w:sz w:val="24"/>
        </w:rPr>
        <w:t>Total RNA was isolated from rat liver following the guanidinium thiocyanate/phenol reagent method</w:t>
      </w:r>
      <w:r w:rsidRPr="00D34D82">
        <w:rPr>
          <w:rFonts w:ascii="Book Antiqua" w:hAnsi="Book Antiqua" w:cs="Arial"/>
          <w:sz w:val="24"/>
          <w:vertAlign w:val="superscript"/>
        </w:rPr>
        <w:t>[27]</w:t>
      </w:r>
      <w:r w:rsidRPr="00D34D82">
        <w:rPr>
          <w:rFonts w:ascii="Book Antiqua" w:hAnsi="Book Antiqua" w:cs="Arial"/>
          <w:sz w:val="24"/>
        </w:rPr>
        <w:t xml:space="preserve">. For </w:t>
      </w:r>
      <w:r w:rsidRPr="004715E2">
        <w:rPr>
          <w:rFonts w:ascii="Book Antiqua" w:hAnsi="Book Antiqua" w:cs="Arial"/>
          <w:sz w:val="24"/>
        </w:rPr>
        <w:t>reverse transcriptase-polymerase chain reaction (RT-PCR)</w:t>
      </w:r>
      <w:r w:rsidRPr="00D34D82">
        <w:rPr>
          <w:rFonts w:ascii="Book Antiqua" w:hAnsi="Book Antiqua" w:cs="Arial"/>
          <w:sz w:val="24"/>
        </w:rPr>
        <w:t xml:space="preserve">, total RNA (1 </w:t>
      </w:r>
      <w:r w:rsidRPr="00D34D82">
        <w:rPr>
          <w:rFonts w:ascii="Book Antiqua" w:hAnsi="Book Antiqua" w:cs="Arial"/>
          <w:sz w:val="24"/>
        </w:rPr>
        <w:sym w:font="Symbol" w:char="F06D"/>
      </w:r>
      <w:r w:rsidRPr="00D34D82">
        <w:rPr>
          <w:rFonts w:ascii="Book Antiqua" w:hAnsi="Book Antiqua" w:cs="Arial"/>
          <w:sz w:val="24"/>
        </w:rPr>
        <w:t>g) was subjected to random primer first-strand complementary DNA (cDNA) synthesis in 40-</w:t>
      </w:r>
      <w:r w:rsidRPr="00D34D82">
        <w:rPr>
          <w:rFonts w:ascii="Book Antiqua" w:hAnsi="Book Antiqua" w:cs="Arial"/>
          <w:sz w:val="24"/>
        </w:rPr>
        <w:sym w:font="Symbol" w:char="F06D"/>
      </w:r>
      <w:r w:rsidRPr="00D34D82">
        <w:rPr>
          <w:rFonts w:ascii="Book Antiqua" w:hAnsi="Book Antiqua" w:cs="Arial"/>
          <w:sz w:val="24"/>
        </w:rPr>
        <w:t>L reactions composed of 50 m</w:t>
      </w:r>
      <w:r w:rsidRPr="00CE4867">
        <w:rPr>
          <w:rFonts w:ascii="Book Antiqua" w:hAnsi="Book Antiqua"/>
          <w:sz w:val="24"/>
        </w:rPr>
        <w:t>mol/L</w:t>
      </w:r>
      <w:r w:rsidRPr="00D34D82">
        <w:rPr>
          <w:rFonts w:ascii="Book Antiqua" w:hAnsi="Book Antiqua" w:cs="Arial"/>
          <w:sz w:val="24"/>
        </w:rPr>
        <w:t xml:space="preserve"> Tris-HCl, 75 m</w:t>
      </w:r>
      <w:r w:rsidRPr="00CE4867">
        <w:rPr>
          <w:rFonts w:ascii="Book Antiqua" w:hAnsi="Book Antiqua"/>
          <w:sz w:val="24"/>
        </w:rPr>
        <w:t>mol/L</w:t>
      </w:r>
      <w:r w:rsidRPr="00D34D82">
        <w:rPr>
          <w:rFonts w:ascii="Book Antiqua" w:hAnsi="Book Antiqua" w:cs="Arial"/>
          <w:sz w:val="24"/>
        </w:rPr>
        <w:t xml:space="preserve"> KCl, 3 m</w:t>
      </w:r>
      <w:r w:rsidRPr="00CE4867">
        <w:rPr>
          <w:rFonts w:ascii="Book Antiqua" w:hAnsi="Book Antiqua"/>
          <w:sz w:val="24"/>
        </w:rPr>
        <w:t>mol/L</w:t>
      </w:r>
      <w:r w:rsidRPr="00D34D82">
        <w:rPr>
          <w:rFonts w:ascii="Book Antiqua" w:hAnsi="Book Antiqua" w:cs="Arial"/>
          <w:sz w:val="24"/>
        </w:rPr>
        <w:t xml:space="preserve"> MgCl</w:t>
      </w:r>
      <w:r w:rsidRPr="00D34D82">
        <w:rPr>
          <w:rFonts w:ascii="Book Antiqua" w:hAnsi="Book Antiqua" w:cs="Arial"/>
          <w:sz w:val="24"/>
          <w:vertAlign w:val="subscript"/>
        </w:rPr>
        <w:t>2</w:t>
      </w:r>
      <w:r w:rsidRPr="00D34D82">
        <w:rPr>
          <w:rFonts w:ascii="Book Antiqua" w:hAnsi="Book Antiqua" w:cs="Arial"/>
          <w:sz w:val="24"/>
        </w:rPr>
        <w:t>, 10 m</w:t>
      </w:r>
      <w:r w:rsidRPr="00CE4867">
        <w:rPr>
          <w:rFonts w:ascii="Book Antiqua" w:hAnsi="Book Antiqua"/>
          <w:sz w:val="24"/>
        </w:rPr>
        <w:t>mol/L</w:t>
      </w:r>
      <w:r w:rsidRPr="00D34D82">
        <w:rPr>
          <w:rFonts w:ascii="Book Antiqua" w:hAnsi="Book Antiqua" w:cs="Arial"/>
          <w:sz w:val="24"/>
        </w:rPr>
        <w:t xml:space="preserve"> DTT, 1 m</w:t>
      </w:r>
      <w:r w:rsidRPr="00CE4867">
        <w:rPr>
          <w:rFonts w:ascii="Book Antiqua" w:hAnsi="Book Antiqua"/>
          <w:sz w:val="24"/>
        </w:rPr>
        <w:t>mol/L</w:t>
      </w:r>
      <w:r w:rsidRPr="00D34D82">
        <w:rPr>
          <w:rFonts w:ascii="Book Antiqua" w:hAnsi="Book Antiqua" w:cs="Arial"/>
          <w:sz w:val="24"/>
        </w:rPr>
        <w:t xml:space="preserve"> dNTP (each), 50 ng of random hexamer, and 0.5 IU/</w:t>
      </w:r>
      <w:r w:rsidRPr="00D34D82">
        <w:rPr>
          <w:rFonts w:ascii="Book Antiqua" w:hAnsi="Book Antiqua" w:cs="Arial"/>
          <w:sz w:val="24"/>
        </w:rPr>
        <w:sym w:font="Symbol" w:char="F06D"/>
      </w:r>
      <w:r w:rsidRPr="00D34D82">
        <w:rPr>
          <w:rFonts w:ascii="Book Antiqua" w:hAnsi="Book Antiqua" w:cs="Arial"/>
          <w:sz w:val="24"/>
        </w:rPr>
        <w:t xml:space="preserve">L Mo-Mu-LV reverse transcriptase (Super-Script Pre-Amplification System; Gibco-BRL, Life Technologies). The reactions were incubated for 60 min at 42ºC and terminated at 65ºC for 15 min. First-strand cDNA were subsequently amplified by PCR; </w:t>
      </w:r>
      <w:r w:rsidRPr="00D34D82">
        <w:rPr>
          <w:rFonts w:ascii="Book Antiqua" w:hAnsi="Book Antiqua" w:cs="Arial"/>
          <w:sz w:val="24"/>
        </w:rPr>
        <w:sym w:font="Symbol" w:char="F062"/>
      </w:r>
      <w:r w:rsidRPr="00D34D82">
        <w:rPr>
          <w:rFonts w:ascii="Book Antiqua" w:hAnsi="Book Antiqua" w:cs="Arial"/>
          <w:sz w:val="24"/>
        </w:rPr>
        <w:t>-actin cDNA was utilized as an internal control. Sequences of the primers were as follows: TNF-</w:t>
      </w:r>
      <w:r w:rsidRPr="00D34D82">
        <w:rPr>
          <w:rFonts w:ascii="Book Antiqua" w:hAnsi="Book Antiqua" w:cs="Arial"/>
          <w:sz w:val="24"/>
        </w:rPr>
        <w:sym w:font="Symbol" w:char="F061"/>
      </w:r>
      <w:r w:rsidRPr="00D34D82">
        <w:rPr>
          <w:rFonts w:ascii="Book Antiqua" w:hAnsi="Book Antiqua" w:cs="Arial"/>
          <w:sz w:val="24"/>
        </w:rPr>
        <w:t xml:space="preserve"> sense: 5’-TGG CCC AGA CCC TCA CAC TC- 3’; TN-</w:t>
      </w:r>
      <w:r w:rsidRPr="00D34D82">
        <w:rPr>
          <w:rFonts w:ascii="Book Antiqua" w:hAnsi="Book Antiqua" w:cs="Arial"/>
          <w:sz w:val="24"/>
        </w:rPr>
        <w:sym w:font="Symbol" w:char="F061"/>
      </w:r>
      <w:r w:rsidRPr="00D34D82">
        <w:rPr>
          <w:rFonts w:ascii="Book Antiqua" w:hAnsi="Book Antiqua" w:cs="Arial"/>
          <w:sz w:val="24"/>
        </w:rPr>
        <w:t xml:space="preserve"> antisense: 5’-CTC CTG GTA TGA AAT GGC AAA TC- 3’; </w:t>
      </w:r>
      <w:r w:rsidRPr="00D34D82">
        <w:rPr>
          <w:rFonts w:ascii="Book Antiqua" w:hAnsi="Book Antiqua" w:cs="Arial"/>
          <w:sz w:val="24"/>
        </w:rPr>
        <w:sym w:font="Symbol" w:char="F062"/>
      </w:r>
      <w:r w:rsidRPr="00D34D82">
        <w:rPr>
          <w:rFonts w:ascii="Book Antiqua" w:hAnsi="Book Antiqua" w:cs="Arial"/>
          <w:sz w:val="24"/>
        </w:rPr>
        <w:t xml:space="preserve">-actin sense: 5’- TAC AAC CTC CTT GCA GCT CC- 3’, and </w:t>
      </w:r>
      <w:r w:rsidRPr="00D34D82">
        <w:rPr>
          <w:rFonts w:ascii="Book Antiqua" w:hAnsi="Book Antiqua" w:cs="Arial"/>
          <w:sz w:val="24"/>
        </w:rPr>
        <w:sym w:font="Symbol" w:char="F062"/>
      </w:r>
      <w:r w:rsidRPr="00D34D82">
        <w:rPr>
          <w:rFonts w:ascii="Book Antiqua" w:hAnsi="Book Antiqua" w:cs="Arial"/>
          <w:sz w:val="24"/>
        </w:rPr>
        <w:t xml:space="preserve">-actin antisense: 5’- GGA TCT TCA TGA GGT AGT CAG TC- 3’. The PCR reaction mixture contained PCR buffer </w:t>
      </w:r>
      <w:r>
        <w:rPr>
          <w:rFonts w:ascii="Book Antiqua" w:hAnsi="Book Antiqua" w:cs="Arial"/>
          <w:sz w:val="24"/>
        </w:rPr>
        <w:t>[</w:t>
      </w:r>
      <w:r w:rsidRPr="00D34D82">
        <w:rPr>
          <w:rFonts w:ascii="Book Antiqua" w:hAnsi="Book Antiqua" w:cs="Arial"/>
          <w:sz w:val="24"/>
        </w:rPr>
        <w:t>20 m</w:t>
      </w:r>
      <w:r w:rsidRPr="00CE4867">
        <w:rPr>
          <w:rFonts w:ascii="Book Antiqua" w:hAnsi="Book Antiqua"/>
          <w:sz w:val="24"/>
        </w:rPr>
        <w:t>mol/L</w:t>
      </w:r>
      <w:r w:rsidRPr="00D34D82">
        <w:rPr>
          <w:rFonts w:ascii="Book Antiqua" w:hAnsi="Book Antiqua" w:cs="Arial"/>
          <w:sz w:val="24"/>
        </w:rPr>
        <w:t xml:space="preserve"> Tris-HCl </w:t>
      </w:r>
      <w:r>
        <w:rPr>
          <w:rFonts w:ascii="Book Antiqua" w:hAnsi="Book Antiqua" w:cs="Arial"/>
          <w:sz w:val="24"/>
        </w:rPr>
        <w:t>(</w:t>
      </w:r>
      <w:r w:rsidRPr="00D34D82">
        <w:rPr>
          <w:rFonts w:ascii="Book Antiqua" w:hAnsi="Book Antiqua" w:cs="Arial"/>
          <w:sz w:val="24"/>
        </w:rPr>
        <w:t>pH 8.4</w:t>
      </w:r>
      <w:r>
        <w:rPr>
          <w:rFonts w:ascii="Book Antiqua" w:hAnsi="Book Antiqua" w:cs="Arial"/>
          <w:sz w:val="24"/>
        </w:rPr>
        <w:t>)</w:t>
      </w:r>
      <w:r w:rsidRPr="00D34D82">
        <w:rPr>
          <w:rFonts w:ascii="Book Antiqua" w:hAnsi="Book Antiqua" w:cs="Arial"/>
          <w:sz w:val="24"/>
        </w:rPr>
        <w:t>, 50 m</w:t>
      </w:r>
      <w:r w:rsidRPr="00CE4867">
        <w:rPr>
          <w:rFonts w:ascii="Book Antiqua" w:hAnsi="Book Antiqua"/>
          <w:sz w:val="24"/>
        </w:rPr>
        <w:t>mol/L</w:t>
      </w:r>
      <w:r w:rsidRPr="00D34D82">
        <w:rPr>
          <w:rFonts w:ascii="Book Antiqua" w:hAnsi="Book Antiqua" w:cs="Arial"/>
          <w:sz w:val="24"/>
        </w:rPr>
        <w:t xml:space="preserve"> KCl</w:t>
      </w:r>
      <w:r>
        <w:rPr>
          <w:rFonts w:ascii="Book Antiqua" w:hAnsi="Book Antiqua" w:cs="Arial"/>
          <w:sz w:val="24"/>
        </w:rPr>
        <w:t>]</w:t>
      </w:r>
      <w:r w:rsidRPr="00D34D82">
        <w:rPr>
          <w:rFonts w:ascii="Book Antiqua" w:hAnsi="Book Antiqua" w:cs="Arial"/>
          <w:sz w:val="24"/>
        </w:rPr>
        <w:t>, 1.5 m</w:t>
      </w:r>
      <w:r w:rsidRPr="00CE4867">
        <w:rPr>
          <w:rFonts w:ascii="Book Antiqua" w:hAnsi="Book Antiqua"/>
          <w:sz w:val="24"/>
        </w:rPr>
        <w:t>mol/L</w:t>
      </w:r>
      <w:r w:rsidRPr="00D34D82">
        <w:rPr>
          <w:rFonts w:ascii="Book Antiqua" w:hAnsi="Book Antiqua" w:cs="Arial"/>
          <w:sz w:val="24"/>
        </w:rPr>
        <w:t xml:space="preserve"> MgCl</w:t>
      </w:r>
      <w:r w:rsidRPr="00D34D82">
        <w:rPr>
          <w:rFonts w:ascii="Book Antiqua" w:hAnsi="Book Antiqua" w:cs="Arial"/>
          <w:sz w:val="24"/>
          <w:vertAlign w:val="subscript"/>
        </w:rPr>
        <w:t>2</w:t>
      </w:r>
      <w:r w:rsidRPr="00D34D82">
        <w:rPr>
          <w:rFonts w:ascii="Book Antiqua" w:hAnsi="Book Antiqua" w:cs="Arial"/>
          <w:sz w:val="24"/>
        </w:rPr>
        <w:t>, 100 m</w:t>
      </w:r>
      <w:r w:rsidRPr="00CE4867">
        <w:rPr>
          <w:rFonts w:ascii="Book Antiqua" w:hAnsi="Book Antiqua"/>
          <w:sz w:val="24"/>
        </w:rPr>
        <w:t>mol/L</w:t>
      </w:r>
      <w:r w:rsidRPr="00D34D82">
        <w:rPr>
          <w:rFonts w:ascii="Book Antiqua" w:hAnsi="Book Antiqua" w:cs="Arial"/>
          <w:sz w:val="24"/>
        </w:rPr>
        <w:t xml:space="preserve"> dNTP (each), 0.4-</w:t>
      </w:r>
      <w:r w:rsidRPr="009F054E">
        <w:rPr>
          <w:rFonts w:ascii="Book Antiqua" w:hAnsi="Book Antiqua" w:cs="Arial"/>
          <w:sz w:val="24"/>
        </w:rPr>
        <w:t xml:space="preserve"> </w:t>
      </w:r>
      <w:r w:rsidRPr="00D34D82">
        <w:rPr>
          <w:rFonts w:ascii="Book Antiqua" w:hAnsi="Book Antiqua" w:cs="Arial"/>
          <w:sz w:val="24"/>
        </w:rPr>
        <w:t>m</w:t>
      </w:r>
      <w:r w:rsidRPr="00CE4867">
        <w:rPr>
          <w:rFonts w:ascii="Book Antiqua" w:hAnsi="Book Antiqua"/>
          <w:sz w:val="24"/>
        </w:rPr>
        <w:t>mol/L</w:t>
      </w:r>
      <w:r w:rsidRPr="00D34D82">
        <w:rPr>
          <w:rFonts w:ascii="Book Antiqua" w:hAnsi="Book Antiqua" w:cs="Arial"/>
          <w:sz w:val="24"/>
        </w:rPr>
        <w:t xml:space="preserve"> primers, and 0.0025 U/</w:t>
      </w:r>
      <w:r w:rsidRPr="00D34D82">
        <w:rPr>
          <w:rFonts w:ascii="Book Antiqua" w:hAnsi="Book Antiqua" w:cs="Arial"/>
          <w:sz w:val="24"/>
        </w:rPr>
        <w:sym w:font="Symbol" w:char="F06D"/>
      </w:r>
      <w:r w:rsidRPr="00D34D82">
        <w:rPr>
          <w:rFonts w:ascii="Book Antiqua" w:hAnsi="Book Antiqua" w:cs="Arial"/>
          <w:sz w:val="24"/>
        </w:rPr>
        <w:t xml:space="preserve">L of </w:t>
      </w:r>
      <w:r w:rsidRPr="00D34D82">
        <w:rPr>
          <w:rFonts w:ascii="Book Antiqua" w:hAnsi="Book Antiqua" w:cs="Arial"/>
          <w:sz w:val="24"/>
        </w:rPr>
        <w:lastRenderedPageBreak/>
        <w:t xml:space="preserve">Taq polymerase in a final volume of 50 </w:t>
      </w:r>
      <w:r w:rsidRPr="00D34D82">
        <w:rPr>
          <w:rFonts w:ascii="Book Antiqua" w:hAnsi="Book Antiqua" w:cs="Arial"/>
          <w:sz w:val="24"/>
        </w:rPr>
        <w:sym w:font="Symbol" w:char="F06D"/>
      </w:r>
      <w:r w:rsidRPr="00D34D82">
        <w:rPr>
          <w:rFonts w:ascii="Book Antiqua" w:hAnsi="Book Antiqua" w:cs="Arial"/>
          <w:sz w:val="24"/>
        </w:rPr>
        <w:t>L. Number of PCR cycles was adjusted to avoid saturation of the amplification system [at 94ºC for 1 min, 59ºC for 1 min, and 72ºC for 1 min (35 cycles) for TN-</w:t>
      </w:r>
      <w:r w:rsidRPr="00D34D82">
        <w:rPr>
          <w:rFonts w:ascii="Book Antiqua" w:hAnsi="Book Antiqua" w:cs="Arial"/>
          <w:sz w:val="24"/>
        </w:rPr>
        <w:sym w:font="Symbol" w:char="F061"/>
      </w:r>
      <w:r w:rsidRPr="00D34D82">
        <w:rPr>
          <w:rFonts w:ascii="Book Antiqua" w:hAnsi="Book Antiqua" w:cs="Arial"/>
          <w:sz w:val="24"/>
        </w:rPr>
        <w:t xml:space="preserve">, and at 94ºC for 30 s, 58ºC for 45 s, and 72ºC for 30 s (24 cycles) for </w:t>
      </w:r>
      <w:r w:rsidRPr="00D34D82">
        <w:rPr>
          <w:rFonts w:ascii="Book Antiqua" w:hAnsi="Book Antiqua" w:cs="Arial"/>
          <w:sz w:val="24"/>
        </w:rPr>
        <w:sym w:font="Symbol" w:char="F062"/>
      </w:r>
      <w:r w:rsidRPr="00D34D82">
        <w:rPr>
          <w:rFonts w:ascii="Book Antiqua" w:hAnsi="Book Antiqua" w:cs="Arial"/>
          <w:sz w:val="24"/>
        </w:rPr>
        <w:t xml:space="preserve">-actin], with a final elongation at 72ºC for 10 min. Amplification products were visualized on 1.8% agarose gels containing ethidium bromide (1 </w:t>
      </w:r>
      <w:r w:rsidRPr="00D34D82">
        <w:rPr>
          <w:rFonts w:ascii="Book Antiqua" w:hAnsi="Book Antiqua" w:cs="Arial"/>
          <w:sz w:val="24"/>
        </w:rPr>
        <w:sym w:font="Symbol" w:char="F06D"/>
      </w:r>
      <w:r w:rsidRPr="00D34D82">
        <w:rPr>
          <w:rFonts w:ascii="Book Antiqua" w:hAnsi="Book Antiqua" w:cs="Arial"/>
          <w:sz w:val="24"/>
        </w:rPr>
        <w:t>g/mL), TNF-</w:t>
      </w:r>
      <w:r w:rsidRPr="00D34D82">
        <w:rPr>
          <w:rFonts w:ascii="Book Antiqua" w:hAnsi="Book Antiqua" w:cs="Arial"/>
          <w:sz w:val="24"/>
        </w:rPr>
        <w:sym w:font="Symbol" w:char="F061"/>
      </w:r>
      <w:r w:rsidRPr="00D34D82">
        <w:rPr>
          <w:rFonts w:ascii="Book Antiqua" w:hAnsi="Book Antiqua" w:cs="Arial"/>
          <w:sz w:val="24"/>
        </w:rPr>
        <w:t xml:space="preserve"> product, 281 bp, and </w:t>
      </w:r>
      <w:r w:rsidRPr="00D34D82">
        <w:rPr>
          <w:rFonts w:ascii="Book Antiqua" w:hAnsi="Book Antiqua" w:cs="Arial"/>
          <w:sz w:val="24"/>
        </w:rPr>
        <w:sym w:font="Symbol" w:char="F062"/>
      </w:r>
      <w:r w:rsidRPr="00D34D82">
        <w:rPr>
          <w:rFonts w:ascii="Book Antiqua" w:hAnsi="Book Antiqua" w:cs="Arial"/>
          <w:sz w:val="24"/>
        </w:rPr>
        <w:t>-actin product, 630 bp. A 100-bp DNA ladder was used as marker. The products were quantified by laser densitometry.</w:t>
      </w:r>
    </w:p>
    <w:p w:rsidR="0048476B" w:rsidRPr="00D34D82" w:rsidRDefault="0048476B" w:rsidP="000B17A3">
      <w:pPr>
        <w:spacing w:line="360" w:lineRule="auto"/>
        <w:rPr>
          <w:rFonts w:ascii="Book Antiqua" w:hAnsi="Book Antiqua" w:cs="Arial"/>
          <w:sz w:val="24"/>
        </w:rPr>
      </w:pPr>
    </w:p>
    <w:p w:rsidR="0048476B" w:rsidRPr="00D34D82" w:rsidRDefault="0048476B" w:rsidP="000B17A3">
      <w:pPr>
        <w:keepNext/>
        <w:spacing w:line="360" w:lineRule="auto"/>
        <w:outlineLvl w:val="1"/>
        <w:rPr>
          <w:rFonts w:ascii="Book Antiqua" w:hAnsi="Book Antiqua" w:cs="Arial"/>
          <w:sz w:val="24"/>
        </w:rPr>
      </w:pPr>
      <w:r w:rsidRPr="00D34D82">
        <w:rPr>
          <w:rFonts w:ascii="Book Antiqua" w:hAnsi="Book Antiqua" w:cs="Arial"/>
          <w:b/>
          <w:bCs/>
          <w:i/>
          <w:iCs/>
          <w:sz w:val="24"/>
        </w:rPr>
        <w:t>Flow cytometry analysis of DNA content</w:t>
      </w:r>
      <w:r w:rsidRPr="00D34D82">
        <w:rPr>
          <w:rFonts w:ascii="Book Antiqua" w:hAnsi="Book Antiqua" w:cs="Arial"/>
          <w:sz w:val="24"/>
        </w:rPr>
        <w:t xml:space="preserve"> </w:t>
      </w:r>
    </w:p>
    <w:p w:rsidR="0048476B" w:rsidRPr="00D34D82" w:rsidRDefault="0048476B" w:rsidP="000B17A3">
      <w:pPr>
        <w:keepNext/>
        <w:spacing w:line="360" w:lineRule="auto"/>
        <w:outlineLvl w:val="1"/>
        <w:rPr>
          <w:rFonts w:ascii="Book Antiqua" w:hAnsi="Book Antiqua" w:cs="Arial"/>
          <w:sz w:val="24"/>
        </w:rPr>
      </w:pPr>
      <w:r w:rsidRPr="00D34D82">
        <w:rPr>
          <w:rFonts w:ascii="Book Antiqua" w:hAnsi="Book Antiqua" w:cs="Arial"/>
          <w:sz w:val="24"/>
        </w:rPr>
        <w:t>DNA content was obtained from 10</w:t>
      </w:r>
      <w:r w:rsidRPr="00D34D82">
        <w:rPr>
          <w:rFonts w:ascii="Book Antiqua" w:hAnsi="Book Antiqua" w:cs="Arial"/>
          <w:sz w:val="24"/>
          <w:vertAlign w:val="superscript"/>
        </w:rPr>
        <w:t>6</w:t>
      </w:r>
      <w:r w:rsidRPr="00D34D82">
        <w:rPr>
          <w:rFonts w:ascii="Book Antiqua" w:hAnsi="Book Antiqua" w:cs="Arial"/>
          <w:sz w:val="24"/>
        </w:rPr>
        <w:t xml:space="preserve"> isolated viable hepatocytes stained with propidium iodide following the multistep procedure of Vindelov </w:t>
      </w:r>
      <w:r w:rsidRPr="00D34D82">
        <w:rPr>
          <w:rFonts w:ascii="Book Antiqua" w:hAnsi="Book Antiqua" w:cs="Arial"/>
          <w:i/>
          <w:sz w:val="24"/>
        </w:rPr>
        <w:t>et al</w:t>
      </w:r>
      <w:r w:rsidRPr="00D34D82">
        <w:rPr>
          <w:rFonts w:ascii="Book Antiqua" w:hAnsi="Book Antiqua" w:cs="Arial"/>
          <w:sz w:val="24"/>
          <w:vertAlign w:val="superscript"/>
        </w:rPr>
        <w:t>[28]</w:t>
      </w:r>
      <w:r w:rsidRPr="00D34D82">
        <w:rPr>
          <w:rFonts w:ascii="Book Antiqua" w:hAnsi="Book Antiqua" w:cs="Arial"/>
          <w:sz w:val="24"/>
        </w:rPr>
        <w:t xml:space="preserve"> The fluorescence emitted from the DNA-propidium iodide complex was assayed in a FACScan flow cytometer (Becton-Dickinson) in the FL2-A channel. A double discriminator module was employed to distinguish between signals deriving from a single nucleus and nuclear aggregation products. </w:t>
      </w:r>
      <w:bookmarkStart w:id="13" w:name="OLE_LINK1"/>
      <w:r w:rsidRPr="00D34D82">
        <w:rPr>
          <w:rFonts w:ascii="Book Antiqua" w:hAnsi="Book Antiqua" w:cs="Arial"/>
          <w:sz w:val="24"/>
        </w:rPr>
        <w:t>Data analysis was carried out by evaluation of single inputs (10</w:t>
      </w:r>
      <w:r w:rsidRPr="00D34D82">
        <w:rPr>
          <w:rFonts w:ascii="Book Antiqua" w:hAnsi="Book Antiqua" w:cs="Arial"/>
          <w:sz w:val="24"/>
          <w:vertAlign w:val="superscript"/>
        </w:rPr>
        <w:t>4</w:t>
      </w:r>
      <w:r w:rsidRPr="00D34D82">
        <w:rPr>
          <w:rFonts w:ascii="Book Antiqua" w:hAnsi="Book Antiqua" w:cs="Arial"/>
          <w:sz w:val="24"/>
        </w:rPr>
        <w:t xml:space="preserve"> nuclei/assay) and was expressed as the percentage of DNA distribution in cell-cycle phases G</w:t>
      </w:r>
      <w:r w:rsidRPr="00D34D82">
        <w:rPr>
          <w:rFonts w:ascii="Book Antiqua" w:hAnsi="Book Antiqua" w:cs="Arial"/>
          <w:sz w:val="24"/>
          <w:vertAlign w:val="subscript"/>
        </w:rPr>
        <w:t>0</w:t>
      </w:r>
      <w:r w:rsidRPr="00D34D82">
        <w:rPr>
          <w:rFonts w:ascii="Book Antiqua" w:hAnsi="Book Antiqua" w:cs="Arial"/>
          <w:sz w:val="24"/>
        </w:rPr>
        <w:t>/G</w:t>
      </w:r>
      <w:r w:rsidRPr="00D34D82">
        <w:rPr>
          <w:rFonts w:ascii="Book Antiqua" w:hAnsi="Book Antiqua" w:cs="Arial"/>
          <w:sz w:val="24"/>
          <w:vertAlign w:val="subscript"/>
        </w:rPr>
        <w:t>1</w:t>
      </w:r>
      <w:r w:rsidRPr="00D34D82">
        <w:rPr>
          <w:rFonts w:ascii="Book Antiqua" w:hAnsi="Book Antiqua" w:cs="Arial"/>
          <w:sz w:val="24"/>
        </w:rPr>
        <w:t xml:space="preserve"> (2N), S</w:t>
      </w:r>
      <w:r w:rsidRPr="00D34D82">
        <w:rPr>
          <w:rFonts w:ascii="Book Antiqua" w:hAnsi="Book Antiqua" w:cs="Arial"/>
          <w:sz w:val="24"/>
          <w:vertAlign w:val="subscript"/>
        </w:rPr>
        <w:t>1</w:t>
      </w:r>
      <w:r w:rsidRPr="00D34D82">
        <w:rPr>
          <w:rFonts w:ascii="Book Antiqua" w:hAnsi="Book Antiqua" w:cs="Arial"/>
          <w:sz w:val="24"/>
        </w:rPr>
        <w:t>, G</w:t>
      </w:r>
      <w:r w:rsidRPr="00D34D82">
        <w:rPr>
          <w:rFonts w:ascii="Book Antiqua" w:hAnsi="Book Antiqua" w:cs="Arial"/>
          <w:sz w:val="24"/>
          <w:vertAlign w:val="subscript"/>
        </w:rPr>
        <w:t>2</w:t>
      </w:r>
      <w:r w:rsidRPr="00D34D82">
        <w:rPr>
          <w:rFonts w:ascii="Book Antiqua" w:hAnsi="Book Antiqua" w:cs="Arial"/>
          <w:sz w:val="24"/>
        </w:rPr>
        <w:t>+M (4N), S</w:t>
      </w:r>
      <w:r w:rsidRPr="00D34D82">
        <w:rPr>
          <w:rFonts w:ascii="Book Antiqua" w:hAnsi="Book Antiqua" w:cs="Arial"/>
          <w:sz w:val="24"/>
          <w:vertAlign w:val="subscript"/>
        </w:rPr>
        <w:t>2</w:t>
      </w:r>
      <w:r w:rsidRPr="00D34D82">
        <w:rPr>
          <w:rFonts w:ascii="Book Antiqua" w:hAnsi="Book Antiqua" w:cs="Arial"/>
          <w:sz w:val="24"/>
        </w:rPr>
        <w:t>, (G</w:t>
      </w:r>
      <w:r w:rsidRPr="00D34D82">
        <w:rPr>
          <w:rFonts w:ascii="Book Antiqua" w:hAnsi="Book Antiqua" w:cs="Arial"/>
          <w:sz w:val="24"/>
          <w:vertAlign w:val="subscript"/>
        </w:rPr>
        <w:t>2</w:t>
      </w:r>
      <w:r w:rsidRPr="00D34D82">
        <w:rPr>
          <w:rFonts w:ascii="Book Antiqua" w:hAnsi="Book Antiqua" w:cs="Arial"/>
          <w:sz w:val="24"/>
        </w:rPr>
        <w:t>+M)</w:t>
      </w:r>
      <w:r w:rsidRPr="00D34D82">
        <w:rPr>
          <w:rFonts w:ascii="Book Antiqua" w:hAnsi="Book Antiqua" w:cs="Arial"/>
          <w:sz w:val="24"/>
          <w:vertAlign w:val="subscript"/>
        </w:rPr>
        <w:t>2</w:t>
      </w:r>
      <w:r w:rsidRPr="00D34D82">
        <w:rPr>
          <w:rFonts w:ascii="Book Antiqua" w:hAnsi="Book Antiqua" w:cs="Arial"/>
          <w:sz w:val="24"/>
        </w:rPr>
        <w:t xml:space="preserve"> (8N), and hypodiploid peak (&lt;</w:t>
      </w:r>
      <w:r>
        <w:rPr>
          <w:rFonts w:ascii="Book Antiqua" w:hAnsi="Book Antiqua" w:cs="Arial"/>
          <w:sz w:val="24"/>
        </w:rPr>
        <w:t xml:space="preserve"> </w:t>
      </w:r>
      <w:r w:rsidRPr="00D34D82">
        <w:rPr>
          <w:rFonts w:ascii="Book Antiqua" w:hAnsi="Book Antiqua" w:cs="Arial"/>
          <w:sz w:val="24"/>
        </w:rPr>
        <w:t>2N).</w:t>
      </w:r>
    </w:p>
    <w:bookmarkEnd w:id="13"/>
    <w:p w:rsidR="0048476B" w:rsidRPr="00D34D82" w:rsidRDefault="0048476B" w:rsidP="000B17A3">
      <w:pPr>
        <w:keepNext/>
        <w:keepLines/>
        <w:spacing w:line="360" w:lineRule="auto"/>
        <w:outlineLvl w:val="2"/>
        <w:rPr>
          <w:rFonts w:ascii="Book Antiqua" w:hAnsi="Book Antiqua" w:cs="Arial"/>
          <w:b/>
          <w:bCs/>
          <w:i/>
          <w:sz w:val="24"/>
        </w:rPr>
      </w:pPr>
    </w:p>
    <w:p w:rsidR="0048476B" w:rsidRPr="00D34D82" w:rsidRDefault="0048476B" w:rsidP="000B17A3">
      <w:pPr>
        <w:keepNext/>
        <w:keepLines/>
        <w:tabs>
          <w:tab w:val="right" w:pos="284"/>
        </w:tabs>
        <w:spacing w:line="360" w:lineRule="auto"/>
        <w:outlineLvl w:val="2"/>
        <w:rPr>
          <w:rFonts w:ascii="Book Antiqua" w:hAnsi="Book Antiqua" w:cs="Arial"/>
          <w:sz w:val="24"/>
        </w:rPr>
      </w:pPr>
      <w:r w:rsidRPr="00D34D82">
        <w:rPr>
          <w:rFonts w:ascii="Book Antiqua" w:hAnsi="Book Antiqua" w:cs="Arial"/>
          <w:b/>
          <w:bCs/>
          <w:i/>
          <w:sz w:val="24"/>
        </w:rPr>
        <w:t>Statistical analysis</w:t>
      </w:r>
      <w:r w:rsidRPr="00D34D82">
        <w:rPr>
          <w:rFonts w:ascii="Book Antiqua" w:hAnsi="Book Antiqua" w:cs="Arial"/>
          <w:sz w:val="24"/>
        </w:rPr>
        <w:t xml:space="preserve"> </w:t>
      </w:r>
    </w:p>
    <w:p w:rsidR="0048476B" w:rsidRPr="00D34D82" w:rsidRDefault="0048476B" w:rsidP="000B17A3">
      <w:pPr>
        <w:keepNext/>
        <w:keepLines/>
        <w:tabs>
          <w:tab w:val="right" w:pos="284"/>
        </w:tabs>
        <w:spacing w:line="360" w:lineRule="auto"/>
        <w:outlineLvl w:val="2"/>
        <w:rPr>
          <w:rFonts w:ascii="Book Antiqua" w:hAnsi="Book Antiqua" w:cs="Arial"/>
          <w:sz w:val="24"/>
        </w:rPr>
      </w:pPr>
      <w:r w:rsidRPr="00D34D82">
        <w:rPr>
          <w:rFonts w:ascii="Book Antiqua" w:hAnsi="Book Antiqua" w:cs="Arial"/>
          <w:sz w:val="24"/>
        </w:rPr>
        <w:t xml:space="preserve">The results were calculated as the means </w:t>
      </w:r>
      <w:r w:rsidRPr="00D34D82">
        <w:rPr>
          <w:rFonts w:ascii="Book Antiqua" w:hAnsi="Book Antiqua" w:cs="Arial"/>
          <w:sz w:val="24"/>
        </w:rPr>
        <w:sym w:font="Symbol" w:char="F0B1"/>
      </w:r>
      <w:r>
        <w:rPr>
          <w:rFonts w:ascii="Book Antiqua" w:hAnsi="Book Antiqua" w:cs="Arial"/>
          <w:sz w:val="24"/>
        </w:rPr>
        <w:t xml:space="preserve"> </w:t>
      </w:r>
      <w:r w:rsidRPr="00D34D82">
        <w:rPr>
          <w:rFonts w:ascii="Book Antiqua" w:hAnsi="Book Antiqua" w:cs="Arial"/>
          <w:sz w:val="24"/>
        </w:rPr>
        <w:t>SD of four experimental observations in duplicate (four animals). Differences between groups were analyzed by Analysis of variance (ANOVA) following Snedecor F (</w:t>
      </w:r>
      <w:r w:rsidRPr="00D34D82">
        <w:rPr>
          <w:rFonts w:ascii="Book Antiqua" w:hAnsi="Book Antiqua" w:cs="Arial"/>
          <w:sz w:val="24"/>
        </w:rPr>
        <w:sym w:font="Symbol" w:char="F061"/>
      </w:r>
      <w:r w:rsidRPr="00D34D82">
        <w:rPr>
          <w:rFonts w:ascii="Book Antiqua" w:hAnsi="Book Antiqua" w:cs="Arial"/>
          <w:sz w:val="24"/>
        </w:rPr>
        <w:t xml:space="preserve"> = 0.05). The Student </w:t>
      </w:r>
      <w:r w:rsidRPr="00D34D82">
        <w:rPr>
          <w:rFonts w:ascii="Book Antiqua" w:hAnsi="Book Antiqua" w:cs="Arial"/>
          <w:i/>
          <w:sz w:val="24"/>
        </w:rPr>
        <w:t>t</w:t>
      </w:r>
      <w:r w:rsidRPr="00D34D82">
        <w:rPr>
          <w:rFonts w:ascii="Book Antiqua" w:hAnsi="Book Antiqua" w:cs="Arial"/>
          <w:sz w:val="24"/>
        </w:rPr>
        <w:t xml:space="preserve"> test (</w:t>
      </w:r>
      <w:r w:rsidRPr="00D34D82">
        <w:rPr>
          <w:rFonts w:ascii="Book Antiqua" w:hAnsi="Book Antiqua" w:cs="Times-Roman"/>
          <w:color w:val="231F20"/>
          <w:kern w:val="0"/>
          <w:sz w:val="24"/>
        </w:rPr>
        <w:t xml:space="preserve">statistical significance </w:t>
      </w:r>
      <w:r w:rsidRPr="00D34D82">
        <w:rPr>
          <w:rFonts w:ascii="Book Antiqua" w:hAnsi="Book Antiqua" w:cs="Times-Italic"/>
          <w:i/>
          <w:iCs/>
          <w:color w:val="231F20"/>
          <w:kern w:val="0"/>
          <w:sz w:val="24"/>
        </w:rPr>
        <w:t xml:space="preserve">P </w:t>
      </w:r>
      <w:r w:rsidRPr="00D34D82">
        <w:rPr>
          <w:color w:val="231F20"/>
          <w:kern w:val="0"/>
          <w:sz w:val="24"/>
        </w:rPr>
        <w:t xml:space="preserve">˂ </w:t>
      </w:r>
      <w:r w:rsidRPr="00D34D82">
        <w:rPr>
          <w:rFonts w:ascii="Book Antiqua" w:hAnsi="Book Antiqua" w:cs="Times-Roman"/>
          <w:color w:val="231F20"/>
          <w:kern w:val="0"/>
          <w:sz w:val="24"/>
        </w:rPr>
        <w:t xml:space="preserve">0.05) </w:t>
      </w:r>
      <w:r w:rsidRPr="00D34D82">
        <w:rPr>
          <w:rFonts w:ascii="Book Antiqua" w:hAnsi="Book Antiqua" w:cs="Arial"/>
          <w:sz w:val="24"/>
        </w:rPr>
        <w:t>was performed for statistical evaluation as follows: (</w:t>
      </w:r>
      <w:r>
        <w:rPr>
          <w:rFonts w:ascii="Book Antiqua" w:hAnsi="Book Antiqua" w:cs="Arial"/>
          <w:sz w:val="24"/>
        </w:rPr>
        <w:t>1</w:t>
      </w:r>
      <w:r w:rsidRPr="00D34D82">
        <w:rPr>
          <w:rFonts w:ascii="Book Antiqua" w:hAnsi="Book Antiqua" w:cs="Arial"/>
          <w:sz w:val="24"/>
        </w:rPr>
        <w:t>) all values against their control</w:t>
      </w:r>
      <w:r>
        <w:rPr>
          <w:rFonts w:ascii="Book Antiqua" w:hAnsi="Book Antiqua" w:cs="Arial"/>
          <w:sz w:val="24"/>
        </w:rPr>
        <w:t>;</w:t>
      </w:r>
      <w:r w:rsidRPr="00D34D82">
        <w:rPr>
          <w:rFonts w:ascii="Book Antiqua" w:hAnsi="Book Antiqua" w:cs="Arial"/>
          <w:sz w:val="24"/>
        </w:rPr>
        <w:t xml:space="preserve"> and (</w:t>
      </w:r>
      <w:r>
        <w:rPr>
          <w:rFonts w:ascii="Book Antiqua" w:hAnsi="Book Antiqua" w:cs="Arial"/>
          <w:sz w:val="24"/>
        </w:rPr>
        <w:t>2</w:t>
      </w:r>
      <w:r w:rsidRPr="00D34D82">
        <w:rPr>
          <w:rFonts w:ascii="Book Antiqua" w:hAnsi="Book Antiqua" w:cs="Arial"/>
          <w:sz w:val="24"/>
        </w:rPr>
        <w:t xml:space="preserve">) differences between two groups: DMDP + TA </w:t>
      </w:r>
      <w:r w:rsidRPr="00D34D82">
        <w:rPr>
          <w:rFonts w:ascii="Book Antiqua" w:hAnsi="Book Antiqua" w:cs="Arial"/>
          <w:i/>
          <w:sz w:val="24"/>
        </w:rPr>
        <w:t>vs</w:t>
      </w:r>
      <w:r w:rsidRPr="00D34D82">
        <w:rPr>
          <w:rFonts w:ascii="Book Antiqua" w:hAnsi="Book Antiqua" w:cs="Arial"/>
          <w:sz w:val="24"/>
        </w:rPr>
        <w:t xml:space="preserve"> TA. </w:t>
      </w:r>
    </w:p>
    <w:p w:rsidR="0048476B" w:rsidRPr="00D34D82" w:rsidRDefault="0048476B" w:rsidP="000B17A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cs="Arial"/>
          <w:b/>
          <w:sz w:val="24"/>
        </w:rPr>
      </w:pPr>
      <w:r w:rsidRPr="00D34D82">
        <w:rPr>
          <w:rFonts w:ascii="Book Antiqua" w:hAnsi="Book Antiqua" w:cs="Arial"/>
          <w:b/>
          <w:sz w:val="24"/>
        </w:rPr>
        <w:t>RESULTS</w:t>
      </w:r>
    </w:p>
    <w:p w:rsidR="0048476B" w:rsidRPr="00D34D82" w:rsidRDefault="0048476B" w:rsidP="000B17A3">
      <w:pPr>
        <w:keepNext/>
        <w:spacing w:line="360" w:lineRule="auto"/>
        <w:outlineLvl w:val="1"/>
        <w:rPr>
          <w:rFonts w:ascii="Book Antiqua" w:hAnsi="Book Antiqua" w:cs="Arial"/>
          <w:b/>
          <w:i/>
          <w:sz w:val="24"/>
        </w:rPr>
      </w:pPr>
      <w:r w:rsidRPr="00D34D82">
        <w:rPr>
          <w:rFonts w:ascii="Book Antiqua" w:hAnsi="Book Antiqua" w:cs="Arial"/>
          <w:b/>
          <w:i/>
          <w:sz w:val="24"/>
        </w:rPr>
        <w:t>Effect of DMDP on parameters of liver necrosis</w:t>
      </w:r>
    </w:p>
    <w:p w:rsidR="0048476B" w:rsidRPr="00D34D82" w:rsidRDefault="0048476B" w:rsidP="000B17A3">
      <w:pPr>
        <w:spacing w:line="360" w:lineRule="auto"/>
        <w:rPr>
          <w:rFonts w:ascii="Book Antiqua" w:hAnsi="Book Antiqua" w:cs="Arial"/>
          <w:sz w:val="24"/>
        </w:rPr>
      </w:pPr>
      <w:r w:rsidRPr="00D34D82">
        <w:rPr>
          <w:rFonts w:ascii="Book Antiqua" w:hAnsi="Book Antiqua" w:cs="Arial"/>
          <w:sz w:val="24"/>
        </w:rPr>
        <w:t xml:space="preserve">Liver damage induced by xenobiotics is characterized by the release in serum of hepatic enzymes due to the necrosis of hepatocytes. AST is randomly distributed in the hepatic acinus and is the enzyme activity utilized as the marker of necrosis. The increase in AST </w:t>
      </w:r>
      <w:r w:rsidRPr="00D34D82">
        <w:rPr>
          <w:rFonts w:ascii="Book Antiqua" w:hAnsi="Book Antiqua" w:cs="Arial"/>
          <w:sz w:val="24"/>
        </w:rPr>
        <w:lastRenderedPageBreak/>
        <w:t>and ICDH in serum reached the maximum at 24 h (Figure 1). The extent of TA-induced necrosis was detected by a peak of 30 and 15 times baseline values for AST and ICDH activity, respectively. When rats were pre-treated with DMDP, the 24-h peaks were reduced to 30% and 40%, respectively. However, at 48 h of intoxication, the DMDP-associated difference was 58% for AST activity, which indicates that DMDP delays TA-induced liver injury, because maximal necrosis appeared at 48 h of intoxication. No effects were detected on serum activities when empty liposomes were administered (data not shown).</w:t>
      </w:r>
    </w:p>
    <w:p w:rsidR="0048476B" w:rsidRPr="00D34D82" w:rsidRDefault="0048476B" w:rsidP="000B17A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cs="Arial"/>
          <w:b/>
          <w:i/>
          <w:sz w:val="24"/>
        </w:rPr>
      </w:pPr>
      <w:r w:rsidRPr="00D34D82">
        <w:rPr>
          <w:rFonts w:ascii="Book Antiqua" w:hAnsi="Book Antiqua" w:cs="Arial"/>
          <w:b/>
          <w:i/>
          <w:sz w:val="24"/>
        </w:rPr>
        <w:t>Effect of DMDP pre-treatment on the time course of genomic DNA ploidy and distribution in hepatocytes isolated from ta-treated rats</w:t>
      </w:r>
    </w:p>
    <w:p w:rsidR="0048476B" w:rsidRPr="00D34D82" w:rsidRDefault="0048476B" w:rsidP="000B17A3">
      <w:pPr>
        <w:spacing w:line="360" w:lineRule="auto"/>
        <w:rPr>
          <w:rFonts w:ascii="Book Antiqua" w:hAnsi="Book Antiqua" w:cs="Arial"/>
          <w:iCs/>
          <w:sz w:val="24"/>
        </w:rPr>
      </w:pPr>
      <w:r w:rsidRPr="00D34D82">
        <w:rPr>
          <w:rFonts w:ascii="Book Antiqua" w:hAnsi="Book Antiqua" w:cs="Arial"/>
          <w:iCs/>
          <w:sz w:val="24"/>
        </w:rPr>
        <w:t xml:space="preserve">Table 1 shows the percentages of cell-cycle populations related with ploidy and DNA content, as associated with histograms determined on the basis of fluorescence emission at 623 nm by the DNA-propidium iodide complex. Following TA, liver cells exhibit marked variations in the pattern of DNA distribution, which can be summarized as a sharp decrease at 48 h in tetraploid population parallel to an increase in diploid population, followed by restoration to nearly normal values at 72 h. It can also be observed how the S1 population is increased from 24 h, reaching maximal increase at 48 h. When rats were pre-treated with DMDP, variations in the pattern of DNA distribution is very similar to that observed in the TA group. However, we are able to detect an important difference: the highest increase in S1 population is reached at 24 h (18.07 </w:t>
      </w:r>
      <w:r w:rsidRPr="00D34D82">
        <w:rPr>
          <w:rFonts w:ascii="Book Antiqua" w:hAnsi="Book Antiqua" w:cs="Arial"/>
          <w:i/>
          <w:iCs/>
          <w:sz w:val="24"/>
        </w:rPr>
        <w:t>vs</w:t>
      </w:r>
      <w:r>
        <w:rPr>
          <w:rFonts w:ascii="Book Antiqua" w:hAnsi="Book Antiqua" w:cs="Arial"/>
          <w:i/>
          <w:iCs/>
          <w:sz w:val="24"/>
        </w:rPr>
        <w:t xml:space="preserve"> </w:t>
      </w:r>
      <w:r w:rsidRPr="00D34D82">
        <w:rPr>
          <w:rFonts w:ascii="Book Antiqua" w:hAnsi="Book Antiqua" w:cs="Arial"/>
          <w:iCs/>
          <w:sz w:val="24"/>
        </w:rPr>
        <w:t>8.57%) instead of at 48 h; thus, the proliferative state in hepatocytes is reached 24 h prior to that obtained in single-dose TA-treated rats. No changes were detected in DNA ploidy when empty liposomes were administered (data not shown).</w:t>
      </w:r>
    </w:p>
    <w:p w:rsidR="0048476B" w:rsidRPr="00D34D82" w:rsidRDefault="0048476B" w:rsidP="000B17A3">
      <w:pPr>
        <w:spacing w:line="360" w:lineRule="auto"/>
        <w:rPr>
          <w:rFonts w:ascii="Book Antiqua" w:hAnsi="Book Antiqua" w:cs="Arial"/>
          <w:i/>
          <w:sz w:val="24"/>
        </w:rPr>
      </w:pPr>
    </w:p>
    <w:p w:rsidR="0048476B" w:rsidRPr="00D34D82" w:rsidRDefault="0048476B" w:rsidP="000B17A3">
      <w:pPr>
        <w:spacing w:line="360" w:lineRule="auto"/>
        <w:rPr>
          <w:rFonts w:ascii="Book Antiqua" w:hAnsi="Book Antiqua" w:cs="Arial"/>
          <w:b/>
          <w:i/>
          <w:sz w:val="24"/>
        </w:rPr>
      </w:pPr>
      <w:r w:rsidRPr="00D34D82">
        <w:rPr>
          <w:rFonts w:ascii="Book Antiqua" w:hAnsi="Book Antiqua" w:cs="Arial"/>
          <w:b/>
          <w:i/>
          <w:sz w:val="24"/>
        </w:rPr>
        <w:t>Effect of DMDP pre-treatment on serum TNF-</w:t>
      </w:r>
      <w:r w:rsidRPr="00D34D82">
        <w:rPr>
          <w:rFonts w:ascii="Book Antiqua" w:hAnsi="Book Antiqua" w:cs="Arial"/>
          <w:b/>
          <w:i/>
          <w:sz w:val="24"/>
        </w:rPr>
        <w:sym w:font="Symbol" w:char="F061"/>
      </w:r>
      <w:r w:rsidRPr="00D34D82">
        <w:rPr>
          <w:rFonts w:ascii="Book Antiqua" w:hAnsi="Book Antiqua" w:cs="Arial"/>
          <w:b/>
          <w:i/>
          <w:sz w:val="24"/>
        </w:rPr>
        <w:t xml:space="preserve"> levels and expression in liver of rats following liver intoxication with TA</w:t>
      </w:r>
    </w:p>
    <w:p w:rsidR="0048476B" w:rsidRPr="00D34D82" w:rsidRDefault="0048476B" w:rsidP="000B17A3">
      <w:pPr>
        <w:spacing w:line="360" w:lineRule="auto"/>
        <w:rPr>
          <w:rFonts w:ascii="Book Antiqua" w:hAnsi="Book Antiqua" w:cs="Arial"/>
          <w:iCs/>
          <w:sz w:val="24"/>
        </w:rPr>
      </w:pPr>
      <w:r w:rsidRPr="00D34D82">
        <w:rPr>
          <w:rFonts w:ascii="Book Antiqua" w:hAnsi="Book Antiqua" w:cs="Arial"/>
          <w:sz w:val="24"/>
        </w:rPr>
        <w:t>TNF-</w:t>
      </w:r>
      <w:r w:rsidRPr="00D34D82">
        <w:rPr>
          <w:rFonts w:ascii="Book Antiqua" w:hAnsi="Book Antiqua" w:cs="Arial"/>
          <w:sz w:val="24"/>
        </w:rPr>
        <w:sym w:font="Symbol" w:char="F061"/>
      </w:r>
      <w:r w:rsidRPr="00D34D82">
        <w:rPr>
          <w:rFonts w:ascii="Book Antiqua" w:hAnsi="Book Antiqua" w:cs="Arial"/>
          <w:sz w:val="24"/>
        </w:rPr>
        <w:t xml:space="preserve"> is a multifunctional cytokine that, in the liver, acts as a mediator of the acute-phase response and that is a cytotoxic agent in many types of hepatic injury. TNF-α determination was performed in serum and in liver. In TA-intoxicated rat serum, </w:t>
      </w:r>
      <w:r w:rsidRPr="00D34D82">
        <w:rPr>
          <w:rFonts w:ascii="Book Antiqua" w:hAnsi="Book Antiqua" w:cs="Arial"/>
          <w:sz w:val="24"/>
        </w:rPr>
        <w:lastRenderedPageBreak/>
        <w:t>the level of this cytokine increased at 24 h of intoxication, and when DMDP was pre-administrated, this increase was significant (Figure 2).</w:t>
      </w:r>
    </w:p>
    <w:p w:rsidR="0048476B" w:rsidRPr="00D34D82" w:rsidRDefault="0048476B" w:rsidP="00C308DE">
      <w:pPr>
        <w:spacing w:line="360" w:lineRule="auto"/>
        <w:ind w:firstLineChars="250" w:firstLine="600"/>
        <w:rPr>
          <w:rFonts w:ascii="Book Antiqua" w:hAnsi="Book Antiqua" w:cs="Arial"/>
          <w:sz w:val="24"/>
        </w:rPr>
      </w:pPr>
      <w:r w:rsidRPr="00D34D82">
        <w:rPr>
          <w:rFonts w:ascii="Book Antiqua" w:hAnsi="Book Antiqua" w:cs="Arial"/>
          <w:sz w:val="24"/>
        </w:rPr>
        <w:t>Figures 2B and 2C depict the levels of TNF-</w:t>
      </w:r>
      <w:r w:rsidRPr="00D34D82">
        <w:rPr>
          <w:rFonts w:ascii="Book Antiqua" w:hAnsi="Book Antiqua" w:cs="Arial"/>
          <w:sz w:val="24"/>
        </w:rPr>
        <w:sym w:font="Symbol" w:char="F061"/>
      </w:r>
      <w:r w:rsidRPr="00D34D82">
        <w:rPr>
          <w:rFonts w:ascii="Book Antiqua" w:hAnsi="Book Antiqua" w:cs="Arial"/>
          <w:sz w:val="24"/>
        </w:rPr>
        <w:t xml:space="preserve"> messenger RNA (mRNA) assayed by RT-PCR. As observed in serum levels of TNF-</w:t>
      </w:r>
      <w:r w:rsidRPr="00D34D82">
        <w:rPr>
          <w:rFonts w:ascii="Book Antiqua" w:hAnsi="Book Antiqua" w:cs="Arial"/>
          <w:sz w:val="24"/>
        </w:rPr>
        <w:sym w:font="Symbol" w:char="F061"/>
      </w:r>
      <w:r w:rsidRPr="00D34D82">
        <w:rPr>
          <w:rFonts w:ascii="Book Antiqua" w:hAnsi="Book Antiqua" w:cs="Arial"/>
          <w:sz w:val="24"/>
        </w:rPr>
        <w:t xml:space="preserve">, mRNA follow the same pattern, which corroborates with the results obtained by ELISA. </w:t>
      </w:r>
    </w:p>
    <w:p w:rsidR="0048476B" w:rsidRPr="00D34D82" w:rsidRDefault="0048476B" w:rsidP="000B17A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cs="Arial"/>
          <w:b/>
          <w:sz w:val="24"/>
        </w:rPr>
      </w:pPr>
      <w:r w:rsidRPr="00D34D82">
        <w:rPr>
          <w:rFonts w:ascii="Book Antiqua" w:hAnsi="Book Antiqua" w:cs="Arial"/>
          <w:b/>
          <w:sz w:val="24"/>
        </w:rPr>
        <w:t>DISCUSSION</w:t>
      </w:r>
    </w:p>
    <w:p w:rsidR="0048476B" w:rsidRPr="00D34D82" w:rsidRDefault="0048476B" w:rsidP="000B17A3">
      <w:pPr>
        <w:spacing w:line="360" w:lineRule="auto"/>
        <w:rPr>
          <w:rFonts w:ascii="Book Antiqua" w:hAnsi="Book Antiqua" w:cs="Arial"/>
          <w:sz w:val="24"/>
        </w:rPr>
      </w:pPr>
      <w:r w:rsidRPr="00D34D82">
        <w:rPr>
          <w:rFonts w:ascii="Book Antiqua" w:hAnsi="Book Antiqua" w:cs="Arial"/>
          <w:sz w:val="24"/>
        </w:rPr>
        <w:t>Macrophages such as Kupffer cells in liver are multifunctional cells. They are involved in host defense mechanisms and possess a regulatory role in many biomedical processes. Their selective depletion</w:t>
      </w:r>
      <w:r w:rsidRPr="00D34D82">
        <w:rPr>
          <w:rFonts w:ascii="Book Antiqua" w:hAnsi="Book Antiqua" w:cs="Arial"/>
          <w:sz w:val="24"/>
          <w:vertAlign w:val="superscript"/>
        </w:rPr>
        <w:t>[6</w:t>
      </w:r>
      <w:r w:rsidRPr="00D34D82">
        <w:rPr>
          <w:rFonts w:ascii="Book Antiqua" w:hAnsi="Book Antiqua" w:cs="Arial"/>
          <w:sz w:val="24"/>
          <w:vertAlign w:val="superscript"/>
        </w:rPr>
        <w:sym w:font="Symbol" w:char="F05D"/>
      </w:r>
      <w:r w:rsidRPr="00D34D82">
        <w:rPr>
          <w:rFonts w:ascii="Book Antiqua" w:hAnsi="Book Antiqua" w:cs="Arial"/>
          <w:sz w:val="24"/>
        </w:rPr>
        <w:t xml:space="preserve">, employing liposome-encapsulated drugs, forms a widely accepted approach to studying their functional aspects </w:t>
      </w:r>
      <w:r w:rsidRPr="00D34D82">
        <w:rPr>
          <w:rFonts w:ascii="Book Antiqua" w:hAnsi="Book Antiqua" w:cs="Arial"/>
          <w:i/>
          <w:sz w:val="24"/>
        </w:rPr>
        <w:t>in vivo</w:t>
      </w:r>
      <w:r w:rsidRPr="00D34D82">
        <w:rPr>
          <w:rFonts w:ascii="Book Antiqua" w:hAnsi="Book Antiqua" w:cs="Arial"/>
          <w:sz w:val="24"/>
        </w:rPr>
        <w:t>. There are evidences that liposome-mediated DMDP delivery actually depleted Kupffer cell in rat liver. We and others</w:t>
      </w:r>
      <w:r w:rsidRPr="00D34D82">
        <w:rPr>
          <w:rFonts w:ascii="Book Antiqua" w:hAnsi="Book Antiqua" w:cs="Arial"/>
          <w:sz w:val="24"/>
          <w:vertAlign w:val="superscript"/>
        </w:rPr>
        <w:t>[7,29</w:t>
      </w:r>
      <w:r w:rsidRPr="00D34D82">
        <w:rPr>
          <w:rFonts w:ascii="Book Antiqua" w:hAnsi="Book Antiqua" w:cs="Arial"/>
          <w:sz w:val="24"/>
          <w:vertAlign w:val="superscript"/>
        </w:rPr>
        <w:sym w:font="Symbol" w:char="F05D"/>
      </w:r>
      <w:r w:rsidRPr="00D34D82">
        <w:rPr>
          <w:rFonts w:ascii="Book Antiqua" w:hAnsi="Book Antiqua" w:cs="Arial"/>
          <w:sz w:val="24"/>
        </w:rPr>
        <w:t xml:space="preserve"> found this ‘suicide’ approach highly effective in depletion of Kupffer-cell in liver tissue. </w:t>
      </w:r>
    </w:p>
    <w:p w:rsidR="0048476B" w:rsidRPr="00D34D82" w:rsidRDefault="0048476B" w:rsidP="00C308DE">
      <w:pPr>
        <w:spacing w:line="360" w:lineRule="auto"/>
        <w:ind w:firstLineChars="200" w:firstLine="480"/>
        <w:rPr>
          <w:rFonts w:ascii="Book Antiqua" w:hAnsi="Book Antiqua" w:cs="Arial"/>
          <w:sz w:val="24"/>
        </w:rPr>
      </w:pPr>
      <w:r w:rsidRPr="00D34D82">
        <w:rPr>
          <w:rFonts w:ascii="Book Antiqua" w:hAnsi="Book Antiqua" w:cs="Arial"/>
          <w:sz w:val="24"/>
        </w:rPr>
        <w:t>On the other hand, TA-induced liver injury is a well-established area of considerable pharmacological interest, because reactive oxygen species (ROS) and free radicals, generated in microsomal drug oxidation, participate in the mechanisms of cell death</w:t>
      </w:r>
      <w:r w:rsidRPr="00D34D82">
        <w:rPr>
          <w:rFonts w:ascii="Book Antiqua" w:hAnsi="Book Antiqua" w:cs="Arial"/>
          <w:sz w:val="24"/>
          <w:vertAlign w:val="superscript"/>
        </w:rPr>
        <w:t>[20,21,30]</w:t>
      </w:r>
      <w:r w:rsidRPr="00D34D82">
        <w:rPr>
          <w:rFonts w:ascii="Book Antiqua" w:hAnsi="Book Antiqua" w:cs="Arial"/>
          <w:sz w:val="24"/>
        </w:rPr>
        <w:t>. Xenobiotics may act directly on hepatocytes, causing toxicity by interacting with target molecules, and may also act indirectly by means of activating phagocytic cells. The active phagocytes participate in the pathogenesis of tissue injury by releasing, among others, inflammatory cytokines that upregulate the expression of adhesion molecules. Tissue damage initiates an inflammatory response characterized by an accumulation of neutrophils at the site-of-injury</w:t>
      </w:r>
      <w:r w:rsidRPr="00D34D82">
        <w:rPr>
          <w:rFonts w:ascii="Book Antiqua" w:hAnsi="Book Antiqua" w:cs="Arial"/>
          <w:sz w:val="24"/>
          <w:vertAlign w:val="superscript"/>
        </w:rPr>
        <w:t>[31]</w:t>
      </w:r>
      <w:r w:rsidRPr="00D34D82">
        <w:rPr>
          <w:rFonts w:ascii="Book Antiqua" w:hAnsi="Book Antiqua" w:cs="Arial"/>
          <w:sz w:val="24"/>
        </w:rPr>
        <w:t xml:space="preserve">. </w:t>
      </w:r>
    </w:p>
    <w:p w:rsidR="0048476B" w:rsidRPr="00D34D82" w:rsidRDefault="0048476B" w:rsidP="00C308DE">
      <w:pPr>
        <w:spacing w:line="360" w:lineRule="auto"/>
        <w:ind w:firstLineChars="200" w:firstLine="480"/>
        <w:rPr>
          <w:rFonts w:ascii="Book Antiqua" w:hAnsi="Book Antiqua" w:cs="Arial"/>
          <w:sz w:val="24"/>
        </w:rPr>
      </w:pPr>
      <w:r w:rsidRPr="00D34D82">
        <w:rPr>
          <w:rFonts w:ascii="Book Antiqua" w:hAnsi="Book Antiqua" w:cs="Arial"/>
          <w:sz w:val="24"/>
        </w:rPr>
        <w:t>Kupffer cells and infiltrating neutrophils contribute to liver injury in different experimental models of hepatotoxicity</w:t>
      </w:r>
      <w:r w:rsidRPr="00D34D82">
        <w:rPr>
          <w:rFonts w:ascii="Book Antiqua" w:hAnsi="Book Antiqua" w:cs="Arial"/>
          <w:sz w:val="24"/>
          <w:vertAlign w:val="superscript"/>
        </w:rPr>
        <w:t>[32</w:t>
      </w:r>
      <w:r w:rsidRPr="00D34D82">
        <w:rPr>
          <w:rFonts w:ascii="Book Antiqua" w:hAnsi="Book Antiqua"/>
          <w:sz w:val="24"/>
          <w:vertAlign w:val="superscript"/>
        </w:rPr>
        <w:t>–</w:t>
      </w:r>
      <w:r w:rsidRPr="00D34D82">
        <w:rPr>
          <w:rFonts w:ascii="Book Antiqua" w:hAnsi="Book Antiqua" w:cs="Arial"/>
          <w:sz w:val="24"/>
          <w:vertAlign w:val="superscript"/>
        </w:rPr>
        <w:t>34]</w:t>
      </w:r>
      <w:r w:rsidRPr="00D34D82">
        <w:rPr>
          <w:rFonts w:ascii="Book Antiqua" w:hAnsi="Book Antiqua" w:cs="Arial"/>
          <w:sz w:val="24"/>
        </w:rPr>
        <w:t>. In our experiments, DMDP significantly attenuates TA-induced liver damage. Blockade of Kupffer-cell function by DMDP appears to result in a disruption of a part of the sequence of events leading to hepatotoxicity.</w:t>
      </w:r>
    </w:p>
    <w:p w:rsidR="0048476B" w:rsidRPr="00D34D82" w:rsidRDefault="0048476B" w:rsidP="00C308DE">
      <w:pPr>
        <w:spacing w:line="360" w:lineRule="auto"/>
        <w:ind w:firstLineChars="200" w:firstLine="480"/>
        <w:rPr>
          <w:rFonts w:ascii="Book Antiqua" w:hAnsi="Book Antiqua" w:cs="Arial"/>
          <w:sz w:val="24"/>
        </w:rPr>
      </w:pPr>
      <w:r w:rsidRPr="00D34D82">
        <w:rPr>
          <w:rFonts w:ascii="Book Antiqua" w:hAnsi="Book Antiqua" w:cs="Arial"/>
          <w:sz w:val="24"/>
        </w:rPr>
        <w:t xml:space="preserve">In addition, the role of DMDP in TNF-α expression by Kupffer cells has been widely debated. Depletion of Kupffer cells, the major source of TNF-α production in liver, </w:t>
      </w:r>
      <w:r w:rsidRPr="00D34D82">
        <w:rPr>
          <w:rFonts w:ascii="Book Antiqua" w:hAnsi="Book Antiqua" w:cs="Arial"/>
          <w:sz w:val="24"/>
        </w:rPr>
        <w:lastRenderedPageBreak/>
        <w:t>should give rise to a decrease in serum and in the mRNA TNF-α level in liver, a fact that has been described and corroborated by several authors</w:t>
      </w:r>
      <w:r w:rsidRPr="00D34D82">
        <w:rPr>
          <w:rFonts w:ascii="Book Antiqua" w:hAnsi="Book Antiqua" w:cs="Arial"/>
          <w:sz w:val="24"/>
          <w:vertAlign w:val="superscript"/>
        </w:rPr>
        <w:t xml:space="preserve"> [5,35,36]</w:t>
      </w:r>
      <w:r w:rsidRPr="00D34D82">
        <w:rPr>
          <w:rFonts w:ascii="Book Antiqua" w:hAnsi="Book Antiqua" w:cs="Arial"/>
          <w:sz w:val="24"/>
        </w:rPr>
        <w:t>. However, other authors have reported opposite data</w:t>
      </w:r>
      <w:r w:rsidRPr="00D34D82">
        <w:rPr>
          <w:rFonts w:ascii="Book Antiqua" w:hAnsi="Book Antiqua" w:cs="Arial"/>
          <w:sz w:val="24"/>
          <w:vertAlign w:val="superscript"/>
        </w:rPr>
        <w:t>[37,38]</w:t>
      </w:r>
      <w:r w:rsidRPr="00D34D82">
        <w:rPr>
          <w:rFonts w:ascii="Book Antiqua" w:hAnsi="Book Antiqua" w:cs="Arial"/>
          <w:sz w:val="24"/>
        </w:rPr>
        <w:t xml:space="preserve"> after partial hepatectomy in rats pre-treated with gadolinium, another inhibitor of Kupffer cells. Additionally, depletion of Kupffer cells with DMDP appears to increase hepatocyte proliferation and liver regeneration following partial hepatectomy; however, the responsible mechanism remains unknown. </w:t>
      </w:r>
    </w:p>
    <w:p w:rsidR="0048476B" w:rsidRPr="00D34D82" w:rsidRDefault="0048476B" w:rsidP="000B17A3">
      <w:pPr>
        <w:spacing w:line="360" w:lineRule="auto"/>
        <w:rPr>
          <w:rFonts w:ascii="Book Antiqua" w:hAnsi="Book Antiqua" w:cs="Arial"/>
          <w:sz w:val="24"/>
        </w:rPr>
      </w:pPr>
      <w:r w:rsidRPr="00D34D82">
        <w:rPr>
          <w:rFonts w:ascii="Book Antiqua" w:hAnsi="Book Antiqua" w:cs="Arial"/>
          <w:sz w:val="24"/>
        </w:rPr>
        <w:t>On the other hand, it has already been reported that DMDP protects the liver from a number of toxicants that require biotransformation to elicit toxicity</w:t>
      </w:r>
      <w:r w:rsidRPr="00D34D82">
        <w:rPr>
          <w:rFonts w:ascii="Book Antiqua" w:hAnsi="Book Antiqua" w:cs="Arial"/>
          <w:sz w:val="24"/>
          <w:vertAlign w:val="superscript"/>
        </w:rPr>
        <w:t>[39,40]</w:t>
      </w:r>
      <w:r w:rsidRPr="00D34D82">
        <w:rPr>
          <w:rFonts w:ascii="Book Antiqua" w:hAnsi="Book Antiqua" w:cs="Arial"/>
          <w:sz w:val="24"/>
        </w:rPr>
        <w:t xml:space="preserve">. Badger </w:t>
      </w:r>
      <w:r w:rsidRPr="00D34D82">
        <w:rPr>
          <w:rFonts w:ascii="Book Antiqua" w:hAnsi="Book Antiqua" w:cs="Arial"/>
          <w:i/>
          <w:sz w:val="24"/>
        </w:rPr>
        <w:t>et al</w:t>
      </w:r>
      <w:r w:rsidRPr="00D34D82">
        <w:rPr>
          <w:rFonts w:ascii="Book Antiqua" w:hAnsi="Book Antiqua" w:cs="Arial"/>
          <w:sz w:val="24"/>
          <w:vertAlign w:val="superscript"/>
        </w:rPr>
        <w:t>[41]</w:t>
      </w:r>
      <w:r w:rsidRPr="00D34D82">
        <w:rPr>
          <w:rFonts w:ascii="Book Antiqua" w:hAnsi="Book Antiqua" w:cs="Arial"/>
          <w:sz w:val="24"/>
        </w:rPr>
        <w:t xml:space="preserve"> demonstrated, in hepatocytes isolated from DMDP-pre-treated rats, that CYP-450 activity was reduced and that the susceptibility of hepatocytes was altered. It has also been shown that hepatic injury induced by ischemia/reperfusion is modulated by the Kupffer cells</w:t>
      </w:r>
      <w:r w:rsidRPr="00D34D82">
        <w:rPr>
          <w:rFonts w:ascii="Book Antiqua" w:hAnsi="Book Antiqua" w:cs="Arial"/>
          <w:sz w:val="24"/>
          <w:vertAlign w:val="superscript"/>
        </w:rPr>
        <w:t>[42]</w:t>
      </w:r>
      <w:r w:rsidRPr="00D34D82">
        <w:rPr>
          <w:rFonts w:ascii="Book Antiqua" w:hAnsi="Book Antiqua" w:cs="Arial"/>
          <w:sz w:val="24"/>
        </w:rPr>
        <w:t xml:space="preserve">. </w:t>
      </w:r>
    </w:p>
    <w:p w:rsidR="0048476B" w:rsidRPr="00D34D82" w:rsidRDefault="0048476B" w:rsidP="009A549F">
      <w:pPr>
        <w:spacing w:line="360" w:lineRule="auto"/>
        <w:ind w:firstLineChars="200" w:firstLine="480"/>
        <w:rPr>
          <w:rFonts w:ascii="Book Antiqua" w:hAnsi="Book Antiqua" w:cs="Arial"/>
          <w:sz w:val="24"/>
        </w:rPr>
      </w:pPr>
      <w:r w:rsidRPr="00D34D82">
        <w:rPr>
          <w:rFonts w:ascii="Book Antiqua" w:hAnsi="Book Antiqua" w:cs="Arial"/>
          <w:sz w:val="24"/>
        </w:rPr>
        <w:t>In previous reports, we described that when TA was administered to rats, necrosis developed and peaked at 24 h of intoxication, and that a synchronous proliferative response was immediately initiated, reaching a peak of DNA synthesis at 48 h. Postnecrotic proliferative response after experimental liver-cell death constitutes an interesting area in which to study the factors involved in the regulation of hepatocyte proliferation.</w:t>
      </w:r>
    </w:p>
    <w:p w:rsidR="0048476B" w:rsidRPr="00D34D82" w:rsidRDefault="0048476B" w:rsidP="009A549F">
      <w:pPr>
        <w:autoSpaceDE w:val="0"/>
        <w:autoSpaceDN w:val="0"/>
        <w:adjustRightInd w:val="0"/>
        <w:spacing w:line="360" w:lineRule="auto"/>
        <w:ind w:firstLineChars="200" w:firstLine="480"/>
        <w:rPr>
          <w:rFonts w:ascii="Book Antiqua" w:hAnsi="Book Antiqua" w:cs="Arial"/>
          <w:sz w:val="24"/>
        </w:rPr>
      </w:pPr>
      <w:r w:rsidRPr="00D34D82">
        <w:rPr>
          <w:rFonts w:ascii="Book Antiqua" w:hAnsi="Book Antiqua" w:cs="Arial"/>
          <w:sz w:val="24"/>
        </w:rPr>
        <w:t xml:space="preserve">Regarding postnecrotic regeneration, the peak of DNA synthesis was similar in both groups, although it is noteworthy that initial DNA synthesis levels were significantly higher due to the effect of DMDP, indicating that in our experiments, this compound also exerts mitogenic action, which can lead to liver hyperplasia. </w:t>
      </w:r>
    </w:p>
    <w:p w:rsidR="0048476B" w:rsidRPr="00D34D82" w:rsidRDefault="0048476B" w:rsidP="009A549F">
      <w:pPr>
        <w:autoSpaceDE w:val="0"/>
        <w:autoSpaceDN w:val="0"/>
        <w:adjustRightInd w:val="0"/>
        <w:spacing w:line="360" w:lineRule="auto"/>
        <w:ind w:firstLineChars="200" w:firstLine="480"/>
        <w:rPr>
          <w:rFonts w:ascii="Book Antiqua" w:hAnsi="Book Antiqua" w:cs="Arial"/>
          <w:sz w:val="24"/>
        </w:rPr>
      </w:pPr>
      <w:r w:rsidRPr="00D34D82">
        <w:rPr>
          <w:rFonts w:ascii="Book Antiqua" w:hAnsi="Book Antiqua" w:cs="Arial"/>
          <w:sz w:val="24"/>
        </w:rPr>
        <w:t>After depleting Kupffer cells with DMDP, we explain that elevation of serum TNF-</w:t>
      </w:r>
      <w:r w:rsidRPr="00D34D82">
        <w:rPr>
          <w:rFonts w:ascii="Book Antiqua" w:hAnsi="Book Antiqua" w:cs="Arial"/>
          <w:sz w:val="24"/>
        </w:rPr>
        <w:sym w:font="Symbol" w:char="F061"/>
      </w:r>
      <w:r w:rsidRPr="00D34D82">
        <w:rPr>
          <w:rFonts w:ascii="Book Antiqua" w:hAnsi="Book Antiqua" w:cs="Arial"/>
          <w:sz w:val="24"/>
        </w:rPr>
        <w:t xml:space="preserve"> levels and enhanced mRNA levels in the liver by hepatic cells other than Kupffer cells may contribute to cytokine synthesis or that TA-inducible cells residing in the liver contribute to cytokine levels in plasma. Endothelial cells may be a hepatic source of cytokines, because this cell type readily responds to TA stimulation</w:t>
      </w:r>
      <w:r w:rsidRPr="00D34D82">
        <w:rPr>
          <w:rFonts w:ascii="Book Antiqua" w:hAnsi="Book Antiqua" w:cs="Arial"/>
          <w:sz w:val="24"/>
          <w:vertAlign w:val="superscript"/>
        </w:rPr>
        <w:t>[43,35]</w:t>
      </w:r>
      <w:r w:rsidRPr="00D34D82">
        <w:rPr>
          <w:rFonts w:ascii="Book Antiqua" w:hAnsi="Book Antiqua" w:cs="Arial"/>
          <w:sz w:val="24"/>
        </w:rPr>
        <w:t xml:space="preserve"> and may not be affected directly by clodronate.</w:t>
      </w:r>
    </w:p>
    <w:p w:rsidR="0048476B" w:rsidRPr="00D34D82" w:rsidRDefault="0048476B" w:rsidP="009A549F">
      <w:pPr>
        <w:autoSpaceDE w:val="0"/>
        <w:autoSpaceDN w:val="0"/>
        <w:adjustRightInd w:val="0"/>
        <w:spacing w:line="360" w:lineRule="auto"/>
        <w:ind w:firstLineChars="200" w:firstLine="480"/>
        <w:rPr>
          <w:rFonts w:ascii="Book Antiqua" w:hAnsi="Book Antiqua" w:cs="Arial"/>
          <w:sz w:val="24"/>
        </w:rPr>
      </w:pPr>
      <w:r w:rsidRPr="00D34D82">
        <w:rPr>
          <w:rFonts w:ascii="Book Antiqua" w:hAnsi="Book Antiqua" w:cs="Arial"/>
          <w:sz w:val="24"/>
        </w:rPr>
        <w:t xml:space="preserve">Following TA, liver cells exhibit marked variations in the DNA distribution pattern, which can be summarized as a sharp decrease at 48 h in tetraploid population parallel to </w:t>
      </w:r>
      <w:r w:rsidRPr="00D34D82">
        <w:rPr>
          <w:rFonts w:ascii="Book Antiqua" w:hAnsi="Book Antiqua" w:cs="Arial"/>
          <w:sz w:val="24"/>
        </w:rPr>
        <w:lastRenderedPageBreak/>
        <w:t xml:space="preserve">an increase in diploid population, followed by restoration to nearly normal values at 72 h. It can also be observed how the S1 population increases from 24 h, reaching the maximum at 48 h. When rats were pre-treated with DMDP, variations in the pattern of DNA distribution are very similar to those observed in the TA group. However, we can detect an important difference: the highest increase in S1 population is reached at 24 h (17.17 </w:t>
      </w:r>
      <w:r w:rsidRPr="00D34D82">
        <w:rPr>
          <w:rFonts w:ascii="Book Antiqua" w:hAnsi="Book Antiqua" w:cs="Arial"/>
          <w:i/>
          <w:sz w:val="24"/>
        </w:rPr>
        <w:t>vs</w:t>
      </w:r>
      <w:r w:rsidRPr="00D34D82">
        <w:rPr>
          <w:rFonts w:ascii="Book Antiqua" w:hAnsi="Book Antiqua" w:cs="Arial"/>
          <w:sz w:val="24"/>
        </w:rPr>
        <w:t xml:space="preserve"> 10.01%) instead of at 48 h; thus, the proliferative state in hepatocytes is reached 24 h prior to that obtained in rats treated with the single dose of TA. </w:t>
      </w:r>
    </w:p>
    <w:p w:rsidR="0048476B" w:rsidRPr="00D34D82" w:rsidRDefault="0048476B" w:rsidP="009A549F">
      <w:pPr>
        <w:spacing w:line="360" w:lineRule="auto"/>
        <w:ind w:firstLineChars="200" w:firstLine="480"/>
        <w:rPr>
          <w:rFonts w:ascii="Book Antiqua" w:hAnsi="Book Antiqua" w:cs="Arial"/>
          <w:sz w:val="24"/>
        </w:rPr>
      </w:pPr>
      <w:r w:rsidRPr="00D34D82">
        <w:rPr>
          <w:rFonts w:ascii="Book Antiqua" w:hAnsi="Book Antiqua" w:cs="Arial"/>
          <w:sz w:val="24"/>
        </w:rPr>
        <w:t>Our results clearly indicate that administration of DMDP + TA rats results in stimulated tissue repair. From these results, we are able to speculate that Kupffer cells may play a crucial role in inducing DNA synthesis by secreting the priming factors (TNF-α) in the early phase of oval cell-mediated liver regeneration</w:t>
      </w:r>
      <w:r w:rsidRPr="00D34D82">
        <w:rPr>
          <w:rFonts w:ascii="Book Antiqua" w:hAnsi="Book Antiqua" w:cs="Arial"/>
          <w:sz w:val="24"/>
          <w:vertAlign w:val="superscript"/>
        </w:rPr>
        <w:t>[44]</w:t>
      </w:r>
      <w:r w:rsidRPr="00D34D82">
        <w:rPr>
          <w:rFonts w:ascii="Book Antiqua" w:hAnsi="Book Antiqua" w:cs="Arial"/>
          <w:sz w:val="24"/>
        </w:rPr>
        <w:t xml:space="preserve">. </w:t>
      </w:r>
    </w:p>
    <w:p w:rsidR="0048476B" w:rsidRPr="00D34D82" w:rsidRDefault="0048476B" w:rsidP="009A549F">
      <w:pPr>
        <w:spacing w:line="360" w:lineRule="auto"/>
        <w:ind w:firstLineChars="200" w:firstLine="480"/>
        <w:rPr>
          <w:rFonts w:ascii="Book Antiqua" w:hAnsi="Book Antiqua" w:cs="Arial"/>
          <w:sz w:val="24"/>
        </w:rPr>
      </w:pPr>
      <w:r w:rsidRPr="00D34D82">
        <w:rPr>
          <w:rFonts w:ascii="Book Antiqua" w:hAnsi="Book Antiqua" w:cs="Arial"/>
          <w:sz w:val="24"/>
        </w:rPr>
        <w:t>We conclude that DMDP pre-treatment significantly attenuates TA-induced hepatotoxicity. These results demonstrate that Kupffer cells are involved in TA-induced liver, as well as in postnecrotic proliferative liver states.</w:t>
      </w:r>
    </w:p>
    <w:p w:rsidR="0048476B" w:rsidRPr="00D34D82" w:rsidRDefault="0048476B" w:rsidP="000B17A3">
      <w:pPr>
        <w:spacing w:line="360" w:lineRule="auto"/>
        <w:rPr>
          <w:rFonts w:ascii="Book Antiqua" w:hAnsi="Book Antiqua" w:cs="Arial"/>
          <w:sz w:val="24"/>
        </w:rPr>
      </w:pPr>
      <w:r w:rsidRPr="00D34D82">
        <w:rPr>
          <w:rFonts w:ascii="Book Antiqua" w:hAnsi="Book Antiqua" w:cs="Arial"/>
          <w:sz w:val="24"/>
        </w:rPr>
        <w:t xml:space="preserve">Modulation of Kupffer-cell function by DMDP may serve as a potential target for therapeutics and could be useful for preventing drug-induced liver damage. </w:t>
      </w:r>
    </w:p>
    <w:p w:rsidR="0048476B" w:rsidRPr="00D34D82" w:rsidRDefault="0048476B" w:rsidP="000B17A3">
      <w:pPr>
        <w:spacing w:line="360" w:lineRule="auto"/>
        <w:rPr>
          <w:rFonts w:ascii="Book Antiqua" w:hAnsi="Book Antiqua" w:cs="Arial"/>
          <w:b/>
          <w:sz w:val="24"/>
        </w:rPr>
      </w:pPr>
    </w:p>
    <w:p w:rsidR="0048476B" w:rsidRPr="00D34D82" w:rsidRDefault="0048476B" w:rsidP="000B17A3">
      <w:pPr>
        <w:spacing w:line="360" w:lineRule="auto"/>
        <w:rPr>
          <w:rFonts w:ascii="Book Antiqua" w:hAnsi="Book Antiqua" w:cs="Arial"/>
          <w:b/>
          <w:sz w:val="24"/>
        </w:rPr>
      </w:pPr>
      <w:r w:rsidRPr="00D34D82">
        <w:rPr>
          <w:rFonts w:ascii="Book Antiqua" w:hAnsi="Book Antiqua" w:cs="Arial"/>
          <w:b/>
          <w:sz w:val="24"/>
        </w:rPr>
        <w:t>COMMENTS</w:t>
      </w:r>
    </w:p>
    <w:p w:rsidR="0048476B" w:rsidRPr="00D34D82" w:rsidRDefault="0048476B" w:rsidP="000B17A3">
      <w:pPr>
        <w:spacing w:line="360" w:lineRule="auto"/>
        <w:rPr>
          <w:rFonts w:ascii="Book Antiqua" w:hAnsi="Book Antiqua" w:cs="Arial"/>
          <w:b/>
          <w:bCs/>
          <w:i/>
          <w:sz w:val="24"/>
        </w:rPr>
      </w:pPr>
      <w:r w:rsidRPr="00D34D82">
        <w:rPr>
          <w:rFonts w:ascii="Book Antiqua" w:hAnsi="Book Antiqua" w:cs="Arial"/>
          <w:b/>
          <w:bCs/>
          <w:i/>
          <w:sz w:val="24"/>
        </w:rPr>
        <w:t>Background</w:t>
      </w:r>
    </w:p>
    <w:p w:rsidR="0048476B" w:rsidRPr="00D34D82" w:rsidRDefault="0048476B" w:rsidP="000B17A3">
      <w:pPr>
        <w:spacing w:line="360" w:lineRule="auto"/>
        <w:rPr>
          <w:rFonts w:ascii="Book Antiqua" w:hAnsi="Book Antiqua" w:cs="Arial"/>
          <w:sz w:val="24"/>
        </w:rPr>
      </w:pPr>
      <w:r w:rsidRPr="00D34D82">
        <w:rPr>
          <w:rFonts w:ascii="Book Antiqua" w:hAnsi="Book Antiqua" w:cs="Arial"/>
          <w:sz w:val="24"/>
        </w:rPr>
        <w:t xml:space="preserve">Thioacetamide (TA)-induced liver injury is a well-established area of considerable pharmacological interest, because Reactive oxygen species (ROS) and free radicals, generated in microsomal drug oxidation, participate in the mechanisms of cell death. In the present study, TA-induced hepatotoxicity was used to investigate the effect of a single dose of Dichloromethylene diphosphonate (DMDP) (clinically employed for the treatment of osteolytic bone diseases); but in the present study, when encapsulated in liposomes, DMDP is a selective Kupffer-cell toxicant. </w:t>
      </w:r>
    </w:p>
    <w:p w:rsidR="0048476B" w:rsidRPr="00D34D82" w:rsidRDefault="0048476B" w:rsidP="000B17A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cs="Arial"/>
          <w:b/>
          <w:bCs/>
          <w:i/>
          <w:sz w:val="24"/>
        </w:rPr>
      </w:pPr>
      <w:r w:rsidRPr="00D34D82">
        <w:rPr>
          <w:rFonts w:ascii="Book Antiqua" w:hAnsi="Book Antiqua" w:cs="Arial"/>
          <w:b/>
          <w:bCs/>
          <w:i/>
          <w:sz w:val="24"/>
        </w:rPr>
        <w:t>Research frontiers</w:t>
      </w:r>
    </w:p>
    <w:p w:rsidR="0048476B" w:rsidRPr="00D34D82" w:rsidRDefault="0048476B" w:rsidP="000B17A3">
      <w:pPr>
        <w:spacing w:line="360" w:lineRule="auto"/>
        <w:rPr>
          <w:rFonts w:ascii="Book Antiqua" w:hAnsi="Book Antiqua" w:cs="Arial"/>
          <w:sz w:val="24"/>
        </w:rPr>
      </w:pPr>
      <w:r w:rsidRPr="00D34D82">
        <w:rPr>
          <w:rFonts w:ascii="Book Antiqua" w:hAnsi="Book Antiqua" w:cs="Arial"/>
          <w:sz w:val="24"/>
        </w:rPr>
        <w:t xml:space="preserve">The aim of this study was to elucidate the role of Kupffer cells in regeneration after liver injury, specifically blocking Kupffer-cell function by DMDP. The effect was assayed on </w:t>
      </w:r>
      <w:r w:rsidRPr="00D34D82">
        <w:rPr>
          <w:rFonts w:ascii="Book Antiqua" w:hAnsi="Book Antiqua" w:cs="Arial"/>
          <w:sz w:val="24"/>
        </w:rPr>
        <w:lastRenderedPageBreak/>
        <w:t>an experimental model of liver injury induced by a single sublethal dose of TA.</w:t>
      </w:r>
    </w:p>
    <w:p w:rsidR="0048476B" w:rsidRPr="00D34D82" w:rsidRDefault="0048476B" w:rsidP="000B17A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cs="Arial"/>
          <w:b/>
          <w:bCs/>
          <w:i/>
          <w:sz w:val="24"/>
        </w:rPr>
      </w:pPr>
      <w:r w:rsidRPr="00D34D82">
        <w:rPr>
          <w:rFonts w:ascii="Book Antiqua" w:hAnsi="Book Antiqua" w:cs="Arial"/>
          <w:b/>
          <w:bCs/>
          <w:i/>
          <w:sz w:val="24"/>
        </w:rPr>
        <w:t>Innovations and breakthroughs</w:t>
      </w:r>
    </w:p>
    <w:p w:rsidR="0048476B" w:rsidRPr="00D34D82" w:rsidRDefault="0048476B" w:rsidP="000B17A3">
      <w:pPr>
        <w:spacing w:line="360" w:lineRule="auto"/>
        <w:rPr>
          <w:rFonts w:ascii="Book Antiqua" w:hAnsi="Book Antiqua" w:cs="Arial"/>
          <w:sz w:val="24"/>
        </w:rPr>
      </w:pPr>
      <w:r w:rsidRPr="00D34D82">
        <w:rPr>
          <w:rFonts w:ascii="Book Antiqua" w:hAnsi="Book Antiqua" w:cs="Arial"/>
          <w:sz w:val="24"/>
        </w:rPr>
        <w:t xml:space="preserve">Macrophages such as Kupffer cells in the liver are multifunctional cells. They are involved in host defense mechanisms and possess a regulatory role in many biomedical processes. Their selective depletion, utilizing liposome-encapsulated drugs, forms a widely accepted approach of studying their functional aspects </w:t>
      </w:r>
      <w:r w:rsidRPr="00D34D82">
        <w:rPr>
          <w:rFonts w:ascii="Book Antiqua" w:hAnsi="Book Antiqua" w:cs="Arial"/>
          <w:i/>
          <w:sz w:val="24"/>
        </w:rPr>
        <w:t>in vivo</w:t>
      </w:r>
      <w:r w:rsidRPr="00D34D82">
        <w:rPr>
          <w:rFonts w:ascii="Book Antiqua" w:hAnsi="Book Antiqua" w:cs="Arial"/>
          <w:sz w:val="24"/>
        </w:rPr>
        <w:t xml:space="preserve">. </w:t>
      </w:r>
    </w:p>
    <w:p w:rsidR="0048476B" w:rsidRPr="00D34D82" w:rsidRDefault="0048476B" w:rsidP="000B17A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cs="Arial"/>
          <w:b/>
          <w:bCs/>
          <w:i/>
          <w:sz w:val="24"/>
        </w:rPr>
      </w:pPr>
      <w:r w:rsidRPr="00D34D82">
        <w:rPr>
          <w:rFonts w:ascii="Book Antiqua" w:hAnsi="Book Antiqua" w:cs="Arial"/>
          <w:b/>
          <w:bCs/>
          <w:i/>
          <w:sz w:val="24"/>
        </w:rPr>
        <w:t>Applications</w:t>
      </w:r>
    </w:p>
    <w:p w:rsidR="0048476B" w:rsidRPr="00D34D82" w:rsidRDefault="0048476B" w:rsidP="000B17A3">
      <w:pPr>
        <w:spacing w:line="360" w:lineRule="auto"/>
        <w:rPr>
          <w:rFonts w:ascii="Book Antiqua" w:hAnsi="Book Antiqua" w:cs="Arial"/>
          <w:sz w:val="24"/>
        </w:rPr>
      </w:pPr>
      <w:r w:rsidRPr="00D34D82">
        <w:rPr>
          <w:rFonts w:ascii="Book Antiqua" w:hAnsi="Book Antiqua" w:cs="Arial"/>
          <w:sz w:val="24"/>
        </w:rPr>
        <w:t xml:space="preserve">As it is generally accepted that Kupffer-cell function is involved in the severity of drug-induced liver damage, and that DMDP induces a selective blockade of Kupffer-cell function when administered intravenously, the purpose of the present study was to elucidate the role of Kupffer cells in regeneration after liver injury, opening a window to novel therapeutic strategies. </w:t>
      </w:r>
    </w:p>
    <w:p w:rsidR="0048476B" w:rsidRPr="00D34D82" w:rsidRDefault="0048476B" w:rsidP="000B17A3">
      <w:pPr>
        <w:spacing w:line="360" w:lineRule="auto"/>
        <w:rPr>
          <w:rFonts w:ascii="Book Antiqua" w:hAnsi="Book Antiqua" w:cs="Arial"/>
          <w:b/>
          <w:bCs/>
          <w:sz w:val="24"/>
        </w:rPr>
      </w:pPr>
    </w:p>
    <w:p w:rsidR="0048476B" w:rsidRPr="00D34D82" w:rsidRDefault="0048476B" w:rsidP="000B17A3">
      <w:pPr>
        <w:spacing w:line="360" w:lineRule="auto"/>
        <w:rPr>
          <w:rFonts w:ascii="Book Antiqua" w:hAnsi="Book Antiqua" w:cs="Arial"/>
          <w:b/>
          <w:bCs/>
          <w:i/>
          <w:sz w:val="24"/>
        </w:rPr>
      </w:pPr>
      <w:r w:rsidRPr="00D34D82">
        <w:rPr>
          <w:rFonts w:ascii="Book Antiqua" w:hAnsi="Book Antiqua" w:cs="Arial"/>
          <w:b/>
          <w:bCs/>
          <w:i/>
          <w:sz w:val="24"/>
        </w:rPr>
        <w:t>Terminology</w:t>
      </w:r>
    </w:p>
    <w:p w:rsidR="0048476B" w:rsidRPr="00D34D82" w:rsidRDefault="0048476B" w:rsidP="000B17A3">
      <w:pPr>
        <w:spacing w:line="360" w:lineRule="auto"/>
        <w:rPr>
          <w:rFonts w:ascii="Book Antiqua" w:hAnsi="Book Antiqua" w:cs="Arial"/>
          <w:sz w:val="24"/>
        </w:rPr>
      </w:pPr>
      <w:r w:rsidRPr="00D34D82">
        <w:rPr>
          <w:rFonts w:ascii="Book Antiqua" w:hAnsi="Book Antiqua" w:cs="Arial"/>
          <w:sz w:val="24"/>
        </w:rPr>
        <w:t>Liposomes can be used for intracellular drug delivery into macrophages. In the present study, we utilized a liposome-mediated macrophage ‘suicide’ technique based on intraphagocytic accumulation of the liposomes delivered.</w:t>
      </w:r>
    </w:p>
    <w:p w:rsidR="0048476B" w:rsidRPr="00D34D82" w:rsidRDefault="0048476B" w:rsidP="000B17A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b/>
          <w:bCs/>
          <w:i/>
          <w:szCs w:val="21"/>
        </w:rPr>
      </w:pPr>
      <w:r w:rsidRPr="00D34D82">
        <w:rPr>
          <w:rFonts w:ascii="Book Antiqua" w:hAnsi="Book Antiqua"/>
          <w:b/>
          <w:bCs/>
          <w:i/>
          <w:szCs w:val="21"/>
        </w:rPr>
        <w:t>Peer review</w:t>
      </w:r>
    </w:p>
    <w:p w:rsidR="0048476B" w:rsidRPr="00D34D82" w:rsidRDefault="0048476B" w:rsidP="001E5C73">
      <w:pPr>
        <w:spacing w:line="360" w:lineRule="auto"/>
        <w:rPr>
          <w:rFonts w:ascii="Book Antiqua" w:hAnsi="Book Antiqua" w:cs="Arial"/>
          <w:sz w:val="24"/>
        </w:rPr>
      </w:pPr>
      <w:r w:rsidRPr="00D34D82">
        <w:rPr>
          <w:rFonts w:ascii="Book Antiqua" w:hAnsi="Book Antiqua" w:cs="Arial"/>
          <w:sz w:val="24"/>
        </w:rPr>
        <w:t>This is a nice experimental study showing that Kupffer cells play an important role in experimental hepatotoxicity by TA and in the regenerating process. The paper is well written.</w:t>
      </w:r>
    </w:p>
    <w:p w:rsidR="0048476B" w:rsidRPr="00D34D82" w:rsidRDefault="0048476B" w:rsidP="001E5C73">
      <w:pPr>
        <w:spacing w:line="360" w:lineRule="auto"/>
        <w:rPr>
          <w:rFonts w:ascii="Book Antiqua" w:hAnsi="Book Antiqua" w:cs="Arial"/>
          <w:sz w:val="24"/>
        </w:rPr>
      </w:pPr>
    </w:p>
    <w:p w:rsidR="0048476B" w:rsidRPr="00D34D82" w:rsidRDefault="0048476B" w:rsidP="000B17A3">
      <w:pPr>
        <w:spacing w:line="360" w:lineRule="auto"/>
        <w:rPr>
          <w:rFonts w:ascii="Book Antiqua" w:hAnsi="Book Antiqua"/>
          <w:sz w:val="24"/>
        </w:rPr>
      </w:pPr>
    </w:p>
    <w:p w:rsidR="0048476B" w:rsidRPr="00D34D82" w:rsidRDefault="0048476B" w:rsidP="000B17A3">
      <w:pPr>
        <w:spacing w:line="360" w:lineRule="auto"/>
        <w:rPr>
          <w:rFonts w:ascii="Book Antiqua" w:hAnsi="Book Antiqua"/>
          <w:b/>
          <w:sz w:val="24"/>
        </w:rPr>
      </w:pPr>
      <w:r w:rsidRPr="00D34D82">
        <w:rPr>
          <w:rFonts w:ascii="Book Antiqua" w:hAnsi="Book Antiqua"/>
          <w:sz w:val="24"/>
        </w:rPr>
        <w:br w:type="page"/>
      </w:r>
      <w:r w:rsidRPr="00D34D82">
        <w:rPr>
          <w:rFonts w:ascii="Book Antiqua" w:hAnsi="Book Antiqua"/>
          <w:b/>
          <w:sz w:val="24"/>
        </w:rPr>
        <w:lastRenderedPageBreak/>
        <w:t>REFERENCES</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1 </w:t>
      </w:r>
      <w:r w:rsidRPr="00330A98">
        <w:rPr>
          <w:rFonts w:ascii="Book Antiqua" w:hAnsi="Book Antiqua" w:cs="宋体"/>
          <w:b/>
          <w:bCs/>
          <w:kern w:val="0"/>
          <w:sz w:val="24"/>
        </w:rPr>
        <w:t>Schiedner G</w:t>
      </w:r>
      <w:r w:rsidRPr="00330A98">
        <w:rPr>
          <w:rFonts w:ascii="Book Antiqua" w:hAnsi="Book Antiqua" w:cs="宋体"/>
          <w:kern w:val="0"/>
          <w:sz w:val="24"/>
        </w:rPr>
        <w:t>, Hertel S, Johnston M, Dries V, van Rooijen N, Kochanek S. Selective depletion or blockade of Kupffer cells leads to enhanced and prolonged hepatic transgene expression using high-capacity adenoviral vectors. </w:t>
      </w:r>
      <w:r w:rsidRPr="00330A98">
        <w:rPr>
          <w:rFonts w:ascii="Book Antiqua" w:hAnsi="Book Antiqua" w:cs="宋体"/>
          <w:i/>
          <w:iCs/>
          <w:kern w:val="0"/>
          <w:sz w:val="24"/>
        </w:rPr>
        <w:t>Mol Ther</w:t>
      </w:r>
      <w:r w:rsidRPr="00330A98">
        <w:rPr>
          <w:rFonts w:ascii="Book Antiqua" w:hAnsi="Book Antiqua" w:cs="宋体"/>
          <w:kern w:val="0"/>
          <w:sz w:val="24"/>
        </w:rPr>
        <w:t> 2003; </w:t>
      </w:r>
      <w:r w:rsidRPr="00330A98">
        <w:rPr>
          <w:rFonts w:ascii="Book Antiqua" w:hAnsi="Book Antiqua" w:cs="宋体"/>
          <w:b/>
          <w:bCs/>
          <w:kern w:val="0"/>
          <w:sz w:val="24"/>
        </w:rPr>
        <w:t>7</w:t>
      </w:r>
      <w:r w:rsidRPr="00330A98">
        <w:rPr>
          <w:rFonts w:ascii="Book Antiqua" w:hAnsi="Book Antiqua" w:cs="宋体"/>
          <w:kern w:val="0"/>
          <w:sz w:val="24"/>
        </w:rPr>
        <w:t>: 35-43 [PMID: 12573616 DOI: 10.1016/S1525-0016(02)00017-5]</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2 </w:t>
      </w:r>
      <w:r w:rsidRPr="00330A98">
        <w:rPr>
          <w:rFonts w:ascii="Book Antiqua" w:hAnsi="Book Antiqua" w:cs="宋体"/>
          <w:b/>
          <w:bCs/>
          <w:kern w:val="0"/>
          <w:sz w:val="24"/>
        </w:rPr>
        <w:t>Laskin DL</w:t>
      </w:r>
      <w:r w:rsidRPr="00330A98">
        <w:rPr>
          <w:rFonts w:ascii="Book Antiqua" w:hAnsi="Book Antiqua" w:cs="宋体"/>
          <w:kern w:val="0"/>
          <w:sz w:val="24"/>
        </w:rPr>
        <w:t>. Nonparenchymal cells and hepatotoxicity. </w:t>
      </w:r>
      <w:r w:rsidRPr="00330A98">
        <w:rPr>
          <w:rFonts w:ascii="Book Antiqua" w:hAnsi="Book Antiqua" w:cs="宋体"/>
          <w:i/>
          <w:iCs/>
          <w:kern w:val="0"/>
          <w:sz w:val="24"/>
        </w:rPr>
        <w:t>Semin Liver Dis</w:t>
      </w:r>
      <w:r w:rsidRPr="00330A98">
        <w:rPr>
          <w:rFonts w:ascii="Book Antiqua" w:hAnsi="Book Antiqua" w:cs="宋体"/>
          <w:kern w:val="0"/>
          <w:sz w:val="24"/>
        </w:rPr>
        <w:t> 1990; </w:t>
      </w:r>
      <w:r w:rsidRPr="00330A98">
        <w:rPr>
          <w:rFonts w:ascii="Book Antiqua" w:hAnsi="Book Antiqua" w:cs="宋体"/>
          <w:b/>
          <w:bCs/>
          <w:kern w:val="0"/>
          <w:sz w:val="24"/>
        </w:rPr>
        <w:t>10</w:t>
      </w:r>
      <w:r w:rsidRPr="00330A98">
        <w:rPr>
          <w:rFonts w:ascii="Book Antiqua" w:hAnsi="Book Antiqua" w:cs="宋体"/>
          <w:kern w:val="0"/>
          <w:sz w:val="24"/>
        </w:rPr>
        <w:t>: 293-304 [PMID: 2281337]</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3 </w:t>
      </w:r>
      <w:r w:rsidRPr="00330A98">
        <w:rPr>
          <w:rFonts w:ascii="Book Antiqua" w:hAnsi="Book Antiqua" w:cs="宋体"/>
          <w:b/>
          <w:bCs/>
          <w:kern w:val="0"/>
          <w:sz w:val="24"/>
        </w:rPr>
        <w:t>Bautista AP</w:t>
      </w:r>
      <w:r w:rsidRPr="00330A98">
        <w:rPr>
          <w:rFonts w:ascii="Book Antiqua" w:hAnsi="Book Antiqua" w:cs="宋体"/>
          <w:kern w:val="0"/>
          <w:sz w:val="24"/>
        </w:rPr>
        <w:t>, Skrepnik N, Niesman MR, Bagby GJ. Elimination of macrophages by liposome-encapsulated dichloromethylene diphosphonate suppresses the endotoxin-induced priming of Kupffer cells. </w:t>
      </w:r>
      <w:r w:rsidRPr="00330A98">
        <w:rPr>
          <w:rFonts w:ascii="Book Antiqua" w:hAnsi="Book Antiqua" w:cs="宋体"/>
          <w:i/>
          <w:iCs/>
          <w:kern w:val="0"/>
          <w:sz w:val="24"/>
        </w:rPr>
        <w:t>J Leukoc Biol</w:t>
      </w:r>
      <w:r w:rsidRPr="00330A98">
        <w:rPr>
          <w:rFonts w:ascii="Book Antiqua" w:hAnsi="Book Antiqua" w:cs="宋体"/>
          <w:kern w:val="0"/>
          <w:sz w:val="24"/>
        </w:rPr>
        <w:t> 1994; </w:t>
      </w:r>
      <w:r w:rsidRPr="00330A98">
        <w:rPr>
          <w:rFonts w:ascii="Book Antiqua" w:hAnsi="Book Antiqua" w:cs="宋体"/>
          <w:b/>
          <w:bCs/>
          <w:kern w:val="0"/>
          <w:sz w:val="24"/>
        </w:rPr>
        <w:t>55</w:t>
      </w:r>
      <w:r w:rsidRPr="00330A98">
        <w:rPr>
          <w:rFonts w:ascii="Book Antiqua" w:hAnsi="Book Antiqua" w:cs="宋体"/>
          <w:kern w:val="0"/>
          <w:sz w:val="24"/>
        </w:rPr>
        <w:t>: 321-327 [PMID: 8120448]</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4 </w:t>
      </w:r>
      <w:r w:rsidRPr="00330A98">
        <w:rPr>
          <w:rFonts w:ascii="Book Antiqua" w:hAnsi="Book Antiqua" w:cs="宋体"/>
          <w:b/>
          <w:bCs/>
          <w:kern w:val="0"/>
          <w:sz w:val="24"/>
        </w:rPr>
        <w:t>Ishiyama H</w:t>
      </w:r>
      <w:r w:rsidRPr="00330A98">
        <w:rPr>
          <w:rFonts w:ascii="Book Antiqua" w:hAnsi="Book Antiqua" w:cs="宋体"/>
          <w:kern w:val="0"/>
          <w:sz w:val="24"/>
        </w:rPr>
        <w:t>, Sato M, Matsumura K, Sento M, Ogino K, Hobara T. Proliferation of hepatocytes and attenuation from carbon tetrachloride hepatotoxicity by gadolinium chloride in rats. </w:t>
      </w:r>
      <w:r w:rsidRPr="00330A98">
        <w:rPr>
          <w:rFonts w:ascii="Book Antiqua" w:hAnsi="Book Antiqua" w:cs="宋体"/>
          <w:i/>
          <w:iCs/>
          <w:kern w:val="0"/>
          <w:sz w:val="24"/>
        </w:rPr>
        <w:t>Pharmacol Toxicol</w:t>
      </w:r>
      <w:r w:rsidRPr="00330A98">
        <w:rPr>
          <w:rFonts w:ascii="Book Antiqua" w:hAnsi="Book Antiqua" w:cs="宋体"/>
          <w:kern w:val="0"/>
          <w:sz w:val="24"/>
        </w:rPr>
        <w:t> 1995; </w:t>
      </w:r>
      <w:r w:rsidRPr="00330A98">
        <w:rPr>
          <w:rFonts w:ascii="Book Antiqua" w:hAnsi="Book Antiqua" w:cs="宋体"/>
          <w:b/>
          <w:bCs/>
          <w:kern w:val="0"/>
          <w:sz w:val="24"/>
        </w:rPr>
        <w:t>77</w:t>
      </w:r>
      <w:r w:rsidRPr="00330A98">
        <w:rPr>
          <w:rFonts w:ascii="Book Antiqua" w:hAnsi="Book Antiqua" w:cs="宋体"/>
          <w:kern w:val="0"/>
          <w:sz w:val="24"/>
        </w:rPr>
        <w:t>: 293-298 [PMID: 8577643]</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5 </w:t>
      </w:r>
      <w:r w:rsidRPr="00330A98">
        <w:rPr>
          <w:rFonts w:ascii="Book Antiqua" w:hAnsi="Book Antiqua" w:cs="宋体"/>
          <w:b/>
          <w:bCs/>
          <w:kern w:val="0"/>
          <w:sz w:val="24"/>
        </w:rPr>
        <w:t>Iimuro Y</w:t>
      </w:r>
      <w:r w:rsidRPr="00330A98">
        <w:rPr>
          <w:rFonts w:ascii="Book Antiqua" w:hAnsi="Book Antiqua" w:cs="宋体"/>
          <w:kern w:val="0"/>
          <w:sz w:val="24"/>
        </w:rPr>
        <w:t>, Yamamoto M, Kohno H, Itakura J, Fujii H, Matsumoto Y. Blockade of liver macrophages by gadolinium chloride reduces lethality in endotoxemic rats--analysis of mechanisms of lethality in endotoxemia. </w:t>
      </w:r>
      <w:r w:rsidRPr="00330A98">
        <w:rPr>
          <w:rFonts w:ascii="Book Antiqua" w:hAnsi="Book Antiqua" w:cs="宋体"/>
          <w:i/>
          <w:iCs/>
          <w:kern w:val="0"/>
          <w:sz w:val="24"/>
        </w:rPr>
        <w:t>J Leukoc Biol</w:t>
      </w:r>
      <w:r w:rsidRPr="00330A98">
        <w:rPr>
          <w:rFonts w:ascii="Book Antiqua" w:hAnsi="Book Antiqua" w:cs="宋体"/>
          <w:kern w:val="0"/>
          <w:sz w:val="24"/>
        </w:rPr>
        <w:t> 1994; </w:t>
      </w:r>
      <w:r w:rsidRPr="00330A98">
        <w:rPr>
          <w:rFonts w:ascii="Book Antiqua" w:hAnsi="Book Antiqua" w:cs="宋体"/>
          <w:b/>
          <w:bCs/>
          <w:kern w:val="0"/>
          <w:sz w:val="24"/>
        </w:rPr>
        <w:t>55</w:t>
      </w:r>
      <w:r w:rsidRPr="00330A98">
        <w:rPr>
          <w:rFonts w:ascii="Book Antiqua" w:hAnsi="Book Antiqua" w:cs="宋体"/>
          <w:kern w:val="0"/>
          <w:sz w:val="24"/>
        </w:rPr>
        <w:t>: 723-728 [PMID: 8195698]</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6 </w:t>
      </w:r>
      <w:r w:rsidRPr="00330A98">
        <w:rPr>
          <w:rFonts w:ascii="Book Antiqua" w:hAnsi="Book Antiqua" w:cs="宋体"/>
          <w:b/>
          <w:bCs/>
          <w:kern w:val="0"/>
          <w:sz w:val="24"/>
        </w:rPr>
        <w:t>Andrés D</w:t>
      </w:r>
      <w:r w:rsidRPr="00330A98">
        <w:rPr>
          <w:rFonts w:ascii="Book Antiqua" w:hAnsi="Book Antiqua" w:cs="宋体"/>
          <w:kern w:val="0"/>
          <w:sz w:val="24"/>
        </w:rPr>
        <w:t>, Sánchez-Reus I, Bautista M, Cascales M. Depletion of Kupffer cell function by gadolinium chloride attenuates thioacetamide-induced hepatotoxicity. Expression of metallothionein and HSP70. </w:t>
      </w:r>
      <w:r w:rsidRPr="00330A98">
        <w:rPr>
          <w:rFonts w:ascii="Book Antiqua" w:hAnsi="Book Antiqua" w:cs="宋体"/>
          <w:i/>
          <w:iCs/>
          <w:kern w:val="0"/>
          <w:sz w:val="24"/>
        </w:rPr>
        <w:t>Biochem Pharmacol</w:t>
      </w:r>
      <w:r w:rsidRPr="00330A98">
        <w:rPr>
          <w:rFonts w:ascii="Book Antiqua" w:hAnsi="Book Antiqua" w:cs="宋体"/>
          <w:kern w:val="0"/>
          <w:sz w:val="24"/>
        </w:rPr>
        <w:t> 2003; </w:t>
      </w:r>
      <w:r w:rsidRPr="00330A98">
        <w:rPr>
          <w:rFonts w:ascii="Book Antiqua" w:hAnsi="Book Antiqua" w:cs="宋体"/>
          <w:b/>
          <w:bCs/>
          <w:kern w:val="0"/>
          <w:sz w:val="24"/>
        </w:rPr>
        <w:t>66</w:t>
      </w:r>
      <w:r w:rsidRPr="00330A98">
        <w:rPr>
          <w:rFonts w:ascii="Book Antiqua" w:hAnsi="Book Antiqua" w:cs="宋体"/>
          <w:kern w:val="0"/>
          <w:sz w:val="24"/>
        </w:rPr>
        <w:t>: 917-926 [PMID: 12963478]</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7 </w:t>
      </w:r>
      <w:r w:rsidRPr="00330A98">
        <w:rPr>
          <w:rFonts w:ascii="Book Antiqua" w:hAnsi="Book Antiqua" w:cs="宋体"/>
          <w:b/>
          <w:bCs/>
          <w:kern w:val="0"/>
          <w:sz w:val="24"/>
        </w:rPr>
        <w:t>Meijer C</w:t>
      </w:r>
      <w:r w:rsidRPr="00330A98">
        <w:rPr>
          <w:rFonts w:ascii="Book Antiqua" w:hAnsi="Book Antiqua" w:cs="宋体"/>
          <w:kern w:val="0"/>
          <w:sz w:val="24"/>
        </w:rPr>
        <w:t>, Wiezer MJ, Diehl AM, Schouten HJ, Schouten HJ, Meijer S, van Rooijen N, van Lambalgen AA, Dijkstra CD, van Leeuwen PA. Kupffer cell depletion by CI2MDP-liposomes alters hepatic cytokine expression and delays liver regeneration after partial hepatectomy. </w:t>
      </w:r>
      <w:r w:rsidRPr="00330A98">
        <w:rPr>
          <w:rFonts w:ascii="Book Antiqua" w:hAnsi="Book Antiqua" w:cs="宋体"/>
          <w:i/>
          <w:iCs/>
          <w:kern w:val="0"/>
          <w:sz w:val="24"/>
        </w:rPr>
        <w:t>Liver</w:t>
      </w:r>
      <w:r w:rsidRPr="00330A98">
        <w:rPr>
          <w:rFonts w:ascii="Book Antiqua" w:hAnsi="Book Antiqua" w:cs="宋体"/>
          <w:kern w:val="0"/>
          <w:sz w:val="24"/>
        </w:rPr>
        <w:t> 2000; </w:t>
      </w:r>
      <w:r w:rsidRPr="00330A98">
        <w:rPr>
          <w:rFonts w:ascii="Book Antiqua" w:hAnsi="Book Antiqua" w:cs="宋体"/>
          <w:b/>
          <w:bCs/>
          <w:kern w:val="0"/>
          <w:sz w:val="24"/>
        </w:rPr>
        <w:t>20</w:t>
      </w:r>
      <w:r w:rsidRPr="00330A98">
        <w:rPr>
          <w:rFonts w:ascii="Book Antiqua" w:hAnsi="Book Antiqua" w:cs="宋体"/>
          <w:kern w:val="0"/>
          <w:sz w:val="24"/>
        </w:rPr>
        <w:t>: 66-77 [PMID: 10726963]</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8 </w:t>
      </w:r>
      <w:r w:rsidRPr="00330A98">
        <w:rPr>
          <w:rFonts w:ascii="Book Antiqua" w:hAnsi="Book Antiqua" w:cs="宋体"/>
          <w:b/>
          <w:bCs/>
          <w:kern w:val="0"/>
          <w:sz w:val="24"/>
        </w:rPr>
        <w:t>Landon EJ</w:t>
      </w:r>
      <w:r w:rsidRPr="00330A98">
        <w:rPr>
          <w:rFonts w:ascii="Book Antiqua" w:hAnsi="Book Antiqua" w:cs="宋体"/>
          <w:kern w:val="0"/>
          <w:sz w:val="24"/>
        </w:rPr>
        <w:t>, Naukam RJ, Rama Sastry BV. Effects of calcium channel blocking agents on calcium and centrilobular necrosis in the liver of rats treated with hepatotoxic agents. </w:t>
      </w:r>
      <w:r w:rsidRPr="00330A98">
        <w:rPr>
          <w:rFonts w:ascii="Book Antiqua" w:hAnsi="Book Antiqua" w:cs="宋体"/>
          <w:i/>
          <w:iCs/>
          <w:kern w:val="0"/>
          <w:sz w:val="24"/>
        </w:rPr>
        <w:t>Biochem Pharmacol</w:t>
      </w:r>
      <w:r w:rsidRPr="00330A98">
        <w:rPr>
          <w:rFonts w:ascii="Book Antiqua" w:hAnsi="Book Antiqua" w:cs="宋体"/>
          <w:kern w:val="0"/>
          <w:sz w:val="24"/>
        </w:rPr>
        <w:t> 1986; </w:t>
      </w:r>
      <w:r w:rsidRPr="00330A98">
        <w:rPr>
          <w:rFonts w:ascii="Book Antiqua" w:hAnsi="Book Antiqua" w:cs="宋体"/>
          <w:b/>
          <w:bCs/>
          <w:kern w:val="0"/>
          <w:sz w:val="24"/>
        </w:rPr>
        <w:t>35</w:t>
      </w:r>
      <w:r w:rsidRPr="00330A98">
        <w:rPr>
          <w:rFonts w:ascii="Book Antiqua" w:hAnsi="Book Antiqua" w:cs="宋体"/>
          <w:kern w:val="0"/>
          <w:sz w:val="24"/>
        </w:rPr>
        <w:t>: 697-705 [PMID: 3947399]</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9 </w:t>
      </w:r>
      <w:r w:rsidRPr="00330A98">
        <w:rPr>
          <w:rFonts w:ascii="Book Antiqua" w:hAnsi="Book Antiqua" w:cs="宋体"/>
          <w:b/>
          <w:bCs/>
          <w:kern w:val="0"/>
          <w:sz w:val="24"/>
        </w:rPr>
        <w:t>Cascales M</w:t>
      </w:r>
      <w:r w:rsidRPr="00330A98">
        <w:rPr>
          <w:rFonts w:ascii="Book Antiqua" w:hAnsi="Book Antiqua" w:cs="宋体"/>
          <w:kern w:val="0"/>
          <w:sz w:val="24"/>
        </w:rPr>
        <w:t xml:space="preserve">, Martin-Sanz P, Alvarez A, Sanchez-Pérez M, Diez Fernández C, Boscá L. Isoenzymes of carbohydrate metabolism in primary cultures of hepatocytes from </w:t>
      </w:r>
      <w:r w:rsidRPr="00330A98">
        <w:rPr>
          <w:rFonts w:ascii="Book Antiqua" w:hAnsi="Book Antiqua" w:cs="宋体"/>
          <w:kern w:val="0"/>
          <w:sz w:val="24"/>
        </w:rPr>
        <w:lastRenderedPageBreak/>
        <w:t>thioacetamide-induced rat liver necrosis: responses to growth factors. </w:t>
      </w:r>
      <w:r w:rsidRPr="00330A98">
        <w:rPr>
          <w:rFonts w:ascii="Book Antiqua" w:hAnsi="Book Antiqua" w:cs="宋体"/>
          <w:i/>
          <w:iCs/>
          <w:kern w:val="0"/>
          <w:sz w:val="24"/>
        </w:rPr>
        <w:t>Hepatology</w:t>
      </w:r>
      <w:r w:rsidRPr="00330A98">
        <w:rPr>
          <w:rFonts w:ascii="Book Antiqua" w:hAnsi="Book Antiqua" w:cs="宋体"/>
          <w:kern w:val="0"/>
          <w:sz w:val="24"/>
        </w:rPr>
        <w:t> 1992; </w:t>
      </w:r>
      <w:r w:rsidRPr="00330A98">
        <w:rPr>
          <w:rFonts w:ascii="Book Antiqua" w:hAnsi="Book Antiqua" w:cs="宋体"/>
          <w:b/>
          <w:bCs/>
          <w:kern w:val="0"/>
          <w:sz w:val="24"/>
        </w:rPr>
        <w:t>16</w:t>
      </w:r>
      <w:r w:rsidRPr="00330A98">
        <w:rPr>
          <w:rFonts w:ascii="Book Antiqua" w:hAnsi="Book Antiqua" w:cs="宋体"/>
          <w:kern w:val="0"/>
          <w:sz w:val="24"/>
        </w:rPr>
        <w:t>: 232-240 [PMID: 1319952]</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10 </w:t>
      </w:r>
      <w:r w:rsidRPr="00330A98">
        <w:rPr>
          <w:rFonts w:ascii="Book Antiqua" w:hAnsi="Book Antiqua" w:cs="宋体"/>
          <w:b/>
          <w:bCs/>
          <w:kern w:val="0"/>
          <w:sz w:val="24"/>
        </w:rPr>
        <w:t>Díez-Fernández C</w:t>
      </w:r>
      <w:r w:rsidRPr="00330A98">
        <w:rPr>
          <w:rFonts w:ascii="Book Antiqua" w:hAnsi="Book Antiqua" w:cs="宋体"/>
          <w:kern w:val="0"/>
          <w:sz w:val="24"/>
        </w:rPr>
        <w:t>, Boscá L, Fernández-Simón L, Alvarez A, Cascales M. Relationship between genomic DNA ploidy and parameters of liver damage during necrosis and regeneration induced by thioacetamide. </w:t>
      </w:r>
      <w:r w:rsidRPr="00330A98">
        <w:rPr>
          <w:rFonts w:ascii="Book Antiqua" w:hAnsi="Book Antiqua" w:cs="宋体"/>
          <w:i/>
          <w:iCs/>
          <w:kern w:val="0"/>
          <w:sz w:val="24"/>
        </w:rPr>
        <w:t>Hepatology</w:t>
      </w:r>
      <w:r w:rsidRPr="00330A98">
        <w:rPr>
          <w:rFonts w:ascii="Book Antiqua" w:hAnsi="Book Antiqua" w:cs="宋体"/>
          <w:kern w:val="0"/>
          <w:sz w:val="24"/>
        </w:rPr>
        <w:t> 1993; </w:t>
      </w:r>
      <w:r w:rsidRPr="00330A98">
        <w:rPr>
          <w:rFonts w:ascii="Book Antiqua" w:hAnsi="Book Antiqua" w:cs="宋体"/>
          <w:b/>
          <w:bCs/>
          <w:kern w:val="0"/>
          <w:sz w:val="24"/>
        </w:rPr>
        <w:t>18</w:t>
      </w:r>
      <w:r w:rsidRPr="00330A98">
        <w:rPr>
          <w:rFonts w:ascii="Book Antiqua" w:hAnsi="Book Antiqua" w:cs="宋体"/>
          <w:kern w:val="0"/>
          <w:sz w:val="24"/>
        </w:rPr>
        <w:t>: 912-918 [PMID: 8406367]</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11 </w:t>
      </w:r>
      <w:r w:rsidRPr="00330A98">
        <w:rPr>
          <w:rFonts w:ascii="Book Antiqua" w:hAnsi="Book Antiqua" w:cs="宋体"/>
          <w:b/>
          <w:bCs/>
          <w:kern w:val="0"/>
          <w:sz w:val="24"/>
        </w:rPr>
        <w:t>Sanz N</w:t>
      </w:r>
      <w:r w:rsidRPr="00330A98">
        <w:rPr>
          <w:rFonts w:ascii="Book Antiqua" w:hAnsi="Book Antiqua" w:cs="宋体"/>
          <w:kern w:val="0"/>
          <w:sz w:val="24"/>
        </w:rPr>
        <w:t>, Díez-Fernández C, Alvarez AM, Fernández-Simón L, Cascales M. Age-related changes on parameters of experimentally-induced liver injury and regeneration. </w:t>
      </w:r>
      <w:r w:rsidRPr="00330A98">
        <w:rPr>
          <w:rFonts w:ascii="Book Antiqua" w:hAnsi="Book Antiqua" w:cs="宋体"/>
          <w:i/>
          <w:iCs/>
          <w:kern w:val="0"/>
          <w:sz w:val="24"/>
        </w:rPr>
        <w:t>Toxicol Appl Pharmacol</w:t>
      </w:r>
      <w:r w:rsidRPr="00330A98">
        <w:rPr>
          <w:rFonts w:ascii="Book Antiqua" w:hAnsi="Book Antiqua" w:cs="宋体"/>
          <w:kern w:val="0"/>
          <w:sz w:val="24"/>
        </w:rPr>
        <w:t> 1999; </w:t>
      </w:r>
      <w:r w:rsidRPr="00330A98">
        <w:rPr>
          <w:rFonts w:ascii="Book Antiqua" w:hAnsi="Book Antiqua" w:cs="宋体"/>
          <w:b/>
          <w:bCs/>
          <w:kern w:val="0"/>
          <w:sz w:val="24"/>
        </w:rPr>
        <w:t>154</w:t>
      </w:r>
      <w:r w:rsidRPr="00330A98">
        <w:rPr>
          <w:rFonts w:ascii="Book Antiqua" w:hAnsi="Book Antiqua" w:cs="宋体"/>
          <w:kern w:val="0"/>
          <w:sz w:val="24"/>
        </w:rPr>
        <w:t>: 40-49 [PMID: 9882590]</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12 </w:t>
      </w:r>
      <w:r w:rsidRPr="00330A98">
        <w:rPr>
          <w:rFonts w:ascii="Book Antiqua" w:hAnsi="Book Antiqua" w:cs="宋体"/>
          <w:b/>
          <w:bCs/>
          <w:kern w:val="0"/>
          <w:sz w:val="24"/>
        </w:rPr>
        <w:t>Nolan JP</w:t>
      </w:r>
      <w:r w:rsidRPr="00330A98">
        <w:rPr>
          <w:rFonts w:ascii="Book Antiqua" w:hAnsi="Book Antiqua" w:cs="宋体"/>
          <w:kern w:val="0"/>
          <w:sz w:val="24"/>
        </w:rPr>
        <w:t>. Endotoxin, reticuloendothelial function, and liver injury. </w:t>
      </w:r>
      <w:r w:rsidRPr="00330A98">
        <w:rPr>
          <w:rFonts w:ascii="Book Antiqua" w:hAnsi="Book Antiqua" w:cs="宋体"/>
          <w:i/>
          <w:iCs/>
          <w:kern w:val="0"/>
          <w:sz w:val="24"/>
        </w:rPr>
        <w:t>Hepatology</w:t>
      </w:r>
      <w:r w:rsidRPr="00330A98">
        <w:rPr>
          <w:rFonts w:ascii="Book Antiqua" w:hAnsi="Book Antiqua" w:cs="宋体"/>
          <w:kern w:val="0"/>
          <w:sz w:val="24"/>
        </w:rPr>
        <w:t> </w:t>
      </w:r>
      <w:r>
        <w:rPr>
          <w:rFonts w:ascii="Book Antiqua" w:hAnsi="Book Antiqua" w:cs="宋体"/>
          <w:kern w:val="0"/>
          <w:sz w:val="24"/>
        </w:rPr>
        <w:t>1981</w:t>
      </w:r>
      <w:r w:rsidRPr="00330A98">
        <w:rPr>
          <w:rFonts w:ascii="Book Antiqua" w:hAnsi="Book Antiqua" w:cs="宋体"/>
          <w:kern w:val="0"/>
          <w:sz w:val="24"/>
        </w:rPr>
        <w:t>; </w:t>
      </w:r>
      <w:r w:rsidRPr="00330A98">
        <w:rPr>
          <w:rFonts w:ascii="Book Antiqua" w:hAnsi="Book Antiqua" w:cs="宋体"/>
          <w:b/>
          <w:bCs/>
          <w:kern w:val="0"/>
          <w:sz w:val="24"/>
        </w:rPr>
        <w:t>1</w:t>
      </w:r>
      <w:r w:rsidRPr="00330A98">
        <w:rPr>
          <w:rFonts w:ascii="Book Antiqua" w:hAnsi="Book Antiqua" w:cs="宋体"/>
          <w:kern w:val="0"/>
          <w:sz w:val="24"/>
        </w:rPr>
        <w:t>: 458-465 [PMID: 7030906]</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13 </w:t>
      </w:r>
      <w:r w:rsidRPr="00330A98">
        <w:rPr>
          <w:rFonts w:ascii="Book Antiqua" w:hAnsi="Book Antiqua" w:cs="宋体"/>
          <w:b/>
          <w:bCs/>
          <w:kern w:val="0"/>
          <w:sz w:val="24"/>
        </w:rPr>
        <w:t>Harstad EB</w:t>
      </w:r>
      <w:r w:rsidRPr="00330A98">
        <w:rPr>
          <w:rFonts w:ascii="Book Antiqua" w:hAnsi="Book Antiqua" w:cs="宋体"/>
          <w:kern w:val="0"/>
          <w:sz w:val="24"/>
        </w:rPr>
        <w:t>, Klaassen CD. Gadolinium chloride pretreatment prevents cadmium chloride-induced liver damage in both wild-type and MT-null mice. </w:t>
      </w:r>
      <w:r w:rsidRPr="00330A98">
        <w:rPr>
          <w:rFonts w:ascii="Book Antiqua" w:hAnsi="Book Antiqua" w:cs="宋体"/>
          <w:i/>
          <w:iCs/>
          <w:kern w:val="0"/>
          <w:sz w:val="24"/>
        </w:rPr>
        <w:t>Toxicol Appl Pharmacol</w:t>
      </w:r>
      <w:r w:rsidRPr="00330A98">
        <w:rPr>
          <w:rFonts w:ascii="Book Antiqua" w:hAnsi="Book Antiqua" w:cs="宋体"/>
          <w:kern w:val="0"/>
          <w:sz w:val="24"/>
        </w:rPr>
        <w:t> 2002; </w:t>
      </w:r>
      <w:r w:rsidRPr="00330A98">
        <w:rPr>
          <w:rFonts w:ascii="Book Antiqua" w:hAnsi="Book Antiqua" w:cs="宋体"/>
          <w:b/>
          <w:bCs/>
          <w:kern w:val="0"/>
          <w:sz w:val="24"/>
        </w:rPr>
        <w:t>180</w:t>
      </w:r>
      <w:r w:rsidRPr="00330A98">
        <w:rPr>
          <w:rFonts w:ascii="Book Antiqua" w:hAnsi="Book Antiqua" w:cs="宋体"/>
          <w:kern w:val="0"/>
          <w:sz w:val="24"/>
        </w:rPr>
        <w:t>: 178-185 [PMID: 12009857]</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14 </w:t>
      </w:r>
      <w:r w:rsidRPr="00330A98">
        <w:rPr>
          <w:rFonts w:ascii="Book Antiqua" w:hAnsi="Book Antiqua" w:cs="宋体"/>
          <w:b/>
          <w:bCs/>
          <w:kern w:val="0"/>
          <w:sz w:val="24"/>
        </w:rPr>
        <w:t>Iszard MB</w:t>
      </w:r>
      <w:r w:rsidRPr="00330A98">
        <w:rPr>
          <w:rFonts w:ascii="Book Antiqua" w:hAnsi="Book Antiqua" w:cs="宋体"/>
          <w:kern w:val="0"/>
          <w:sz w:val="24"/>
        </w:rPr>
        <w:t>, Liu J, Klaassen CD. Effect of several metallothionein inducers on oxidative stress defense mechanisms in rats. </w:t>
      </w:r>
      <w:r w:rsidRPr="00330A98">
        <w:rPr>
          <w:rFonts w:ascii="Book Antiqua" w:hAnsi="Book Antiqua" w:cs="宋体"/>
          <w:i/>
          <w:iCs/>
          <w:kern w:val="0"/>
          <w:sz w:val="24"/>
        </w:rPr>
        <w:t>Toxicology</w:t>
      </w:r>
      <w:r w:rsidRPr="00330A98">
        <w:rPr>
          <w:rFonts w:ascii="Book Antiqua" w:hAnsi="Book Antiqua" w:cs="宋体"/>
          <w:kern w:val="0"/>
          <w:sz w:val="24"/>
        </w:rPr>
        <w:t> 1995; </w:t>
      </w:r>
      <w:r w:rsidRPr="00330A98">
        <w:rPr>
          <w:rFonts w:ascii="Book Antiqua" w:hAnsi="Book Antiqua" w:cs="宋体"/>
          <w:b/>
          <w:bCs/>
          <w:kern w:val="0"/>
          <w:sz w:val="24"/>
        </w:rPr>
        <w:t>104</w:t>
      </w:r>
      <w:r w:rsidRPr="00330A98">
        <w:rPr>
          <w:rFonts w:ascii="Book Antiqua" w:hAnsi="Book Antiqua" w:cs="宋体"/>
          <w:kern w:val="0"/>
          <w:sz w:val="24"/>
        </w:rPr>
        <w:t>: 25-33 [PMID: 8560499]</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15 </w:t>
      </w:r>
      <w:r w:rsidRPr="00330A98">
        <w:rPr>
          <w:rFonts w:ascii="Book Antiqua" w:hAnsi="Book Antiqua" w:cs="宋体"/>
          <w:b/>
          <w:bCs/>
          <w:kern w:val="0"/>
          <w:sz w:val="24"/>
        </w:rPr>
        <w:t>Bauman JW</w:t>
      </w:r>
      <w:r w:rsidRPr="00330A98">
        <w:rPr>
          <w:rFonts w:ascii="Book Antiqua" w:hAnsi="Book Antiqua" w:cs="宋体"/>
          <w:kern w:val="0"/>
          <w:sz w:val="24"/>
        </w:rPr>
        <w:t>, Liu J, Liu YP, Klaassen CD. Increase in metallothionein produced by chemicals that induce oxidative stress. </w:t>
      </w:r>
      <w:r w:rsidRPr="00330A98">
        <w:rPr>
          <w:rFonts w:ascii="Book Antiqua" w:hAnsi="Book Antiqua" w:cs="宋体"/>
          <w:i/>
          <w:iCs/>
          <w:kern w:val="0"/>
          <w:sz w:val="24"/>
        </w:rPr>
        <w:t>Toxicol Appl Pharmacol</w:t>
      </w:r>
      <w:r w:rsidRPr="00330A98">
        <w:rPr>
          <w:rFonts w:ascii="Book Antiqua" w:hAnsi="Book Antiqua" w:cs="宋体"/>
          <w:kern w:val="0"/>
          <w:sz w:val="24"/>
        </w:rPr>
        <w:t> 1991; </w:t>
      </w:r>
      <w:r w:rsidRPr="00330A98">
        <w:rPr>
          <w:rFonts w:ascii="Book Antiqua" w:hAnsi="Book Antiqua" w:cs="宋体"/>
          <w:b/>
          <w:bCs/>
          <w:kern w:val="0"/>
          <w:sz w:val="24"/>
        </w:rPr>
        <w:t>110</w:t>
      </w:r>
      <w:r w:rsidRPr="00330A98">
        <w:rPr>
          <w:rFonts w:ascii="Book Antiqua" w:hAnsi="Book Antiqua" w:cs="宋体"/>
          <w:kern w:val="0"/>
          <w:sz w:val="24"/>
        </w:rPr>
        <w:t>: 347-354 [PMID: 1891778]</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16 </w:t>
      </w:r>
      <w:r w:rsidRPr="00330A98">
        <w:rPr>
          <w:rFonts w:ascii="Book Antiqua" w:hAnsi="Book Antiqua" w:cs="宋体"/>
          <w:b/>
          <w:bCs/>
          <w:kern w:val="0"/>
          <w:sz w:val="24"/>
        </w:rPr>
        <w:t>Theocharis SE</w:t>
      </w:r>
      <w:r w:rsidRPr="00330A98">
        <w:rPr>
          <w:rFonts w:ascii="Book Antiqua" w:hAnsi="Book Antiqua" w:cs="宋体"/>
          <w:kern w:val="0"/>
          <w:sz w:val="24"/>
        </w:rPr>
        <w:t>, Kanelli H, Margeli AP, Spiliopoulou CA, Koutselinis AS. Metallothionein and heat shock protein expression during acute liver injury and regeneration in rats. </w:t>
      </w:r>
      <w:r w:rsidRPr="00330A98">
        <w:rPr>
          <w:rFonts w:ascii="Book Antiqua" w:hAnsi="Book Antiqua" w:cs="宋体"/>
          <w:i/>
          <w:iCs/>
          <w:kern w:val="0"/>
          <w:sz w:val="24"/>
        </w:rPr>
        <w:t>Clin Chem Lab Med</w:t>
      </w:r>
      <w:r w:rsidRPr="00330A98">
        <w:rPr>
          <w:rFonts w:ascii="Book Antiqua" w:hAnsi="Book Antiqua" w:cs="宋体"/>
          <w:kern w:val="0"/>
          <w:sz w:val="24"/>
        </w:rPr>
        <w:t> 2000; </w:t>
      </w:r>
      <w:r w:rsidRPr="00330A98">
        <w:rPr>
          <w:rFonts w:ascii="Book Antiqua" w:hAnsi="Book Antiqua" w:cs="宋体"/>
          <w:b/>
          <w:bCs/>
          <w:kern w:val="0"/>
          <w:sz w:val="24"/>
        </w:rPr>
        <w:t>38</w:t>
      </w:r>
      <w:r w:rsidRPr="00330A98">
        <w:rPr>
          <w:rFonts w:ascii="Book Antiqua" w:hAnsi="Book Antiqua" w:cs="宋体"/>
          <w:kern w:val="0"/>
          <w:sz w:val="24"/>
        </w:rPr>
        <w:t>: 1137-1140 [PMID: 11156344]</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17 </w:t>
      </w:r>
      <w:r w:rsidRPr="00330A98">
        <w:rPr>
          <w:rFonts w:ascii="Book Antiqua" w:hAnsi="Book Antiqua" w:cs="宋体"/>
          <w:b/>
          <w:bCs/>
          <w:kern w:val="0"/>
          <w:sz w:val="24"/>
        </w:rPr>
        <w:t>Theocharis SE</w:t>
      </w:r>
      <w:r w:rsidRPr="00330A98">
        <w:rPr>
          <w:rFonts w:ascii="Book Antiqua" w:hAnsi="Book Antiqua" w:cs="宋体"/>
          <w:kern w:val="0"/>
          <w:sz w:val="24"/>
        </w:rPr>
        <w:t>, Margeli AP, Karandrea DN, Tsarpalis KS, Agapitos EV, Spiliopoulou CA, Koutselinis AS. Liver metallothionein expression in thioacetamide-intoxicated rats. </w:t>
      </w:r>
      <w:r w:rsidRPr="00330A98">
        <w:rPr>
          <w:rFonts w:ascii="Book Antiqua" w:hAnsi="Book Antiqua" w:cs="宋体"/>
          <w:i/>
          <w:iCs/>
          <w:kern w:val="0"/>
          <w:sz w:val="24"/>
        </w:rPr>
        <w:t>Pathol Res Pract</w:t>
      </w:r>
      <w:r w:rsidRPr="00330A98">
        <w:rPr>
          <w:rFonts w:ascii="Book Antiqua" w:hAnsi="Book Antiqua" w:cs="宋体"/>
          <w:kern w:val="0"/>
          <w:sz w:val="24"/>
        </w:rPr>
        <w:t> 2000; </w:t>
      </w:r>
      <w:r w:rsidRPr="00330A98">
        <w:rPr>
          <w:rFonts w:ascii="Book Antiqua" w:hAnsi="Book Antiqua" w:cs="宋体"/>
          <w:b/>
          <w:bCs/>
          <w:kern w:val="0"/>
          <w:sz w:val="24"/>
        </w:rPr>
        <w:t>196</w:t>
      </w:r>
      <w:r w:rsidRPr="00330A98">
        <w:rPr>
          <w:rFonts w:ascii="Book Antiqua" w:hAnsi="Book Antiqua" w:cs="宋体"/>
          <w:kern w:val="0"/>
          <w:sz w:val="24"/>
        </w:rPr>
        <w:t>: 313-319 [PMID: 10834388]</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18 </w:t>
      </w:r>
      <w:r w:rsidRPr="00330A98">
        <w:rPr>
          <w:rFonts w:ascii="Book Antiqua" w:hAnsi="Book Antiqua" w:cs="宋体"/>
          <w:b/>
          <w:bCs/>
          <w:kern w:val="0"/>
          <w:sz w:val="24"/>
        </w:rPr>
        <w:t>Fujita J</w:t>
      </w:r>
      <w:r w:rsidRPr="00330A98">
        <w:rPr>
          <w:rFonts w:ascii="Book Antiqua" w:hAnsi="Book Antiqua" w:cs="宋体"/>
          <w:kern w:val="0"/>
          <w:sz w:val="24"/>
        </w:rPr>
        <w:t>, Marino MW, Wada H, Jungbluth AA, Mackrell PJ, Rivadeneira DE, Stapleton PP, Daly JM. Effect of TNF gene depletion on liver regeneration after partial hepatectomy in mice. </w:t>
      </w:r>
      <w:r w:rsidRPr="00330A98">
        <w:rPr>
          <w:rFonts w:ascii="Book Antiqua" w:hAnsi="Book Antiqua" w:cs="宋体"/>
          <w:i/>
          <w:iCs/>
          <w:kern w:val="0"/>
          <w:sz w:val="24"/>
        </w:rPr>
        <w:t>Surgery</w:t>
      </w:r>
      <w:r w:rsidRPr="00330A98">
        <w:rPr>
          <w:rFonts w:ascii="Book Antiqua" w:hAnsi="Book Antiqua" w:cs="宋体"/>
          <w:kern w:val="0"/>
          <w:sz w:val="24"/>
        </w:rPr>
        <w:t> 2001; </w:t>
      </w:r>
      <w:r w:rsidRPr="00330A98">
        <w:rPr>
          <w:rFonts w:ascii="Book Antiqua" w:hAnsi="Book Antiqua" w:cs="宋体"/>
          <w:b/>
          <w:bCs/>
          <w:kern w:val="0"/>
          <w:sz w:val="24"/>
        </w:rPr>
        <w:t>129</w:t>
      </w:r>
      <w:r w:rsidRPr="00330A98">
        <w:rPr>
          <w:rFonts w:ascii="Book Antiqua" w:hAnsi="Book Antiqua" w:cs="宋体"/>
          <w:kern w:val="0"/>
          <w:sz w:val="24"/>
        </w:rPr>
        <w:t>: 48-54 [PMID: 11150033]</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19 </w:t>
      </w:r>
      <w:r w:rsidRPr="00330A98">
        <w:rPr>
          <w:rFonts w:ascii="Book Antiqua" w:hAnsi="Book Antiqua" w:cs="宋体"/>
          <w:b/>
          <w:bCs/>
          <w:kern w:val="0"/>
          <w:sz w:val="24"/>
        </w:rPr>
        <w:t>Van Rooijen N</w:t>
      </w:r>
      <w:r w:rsidRPr="00330A98">
        <w:rPr>
          <w:rFonts w:ascii="Book Antiqua" w:hAnsi="Book Antiqua" w:cs="宋体"/>
          <w:kern w:val="0"/>
          <w:sz w:val="24"/>
        </w:rPr>
        <w:t>, Sanders A. Liposome mediated depletion of macrophages: mechanism of action, preparation of liposomes and applications. </w:t>
      </w:r>
      <w:r w:rsidRPr="00330A98">
        <w:rPr>
          <w:rFonts w:ascii="Book Antiqua" w:hAnsi="Book Antiqua" w:cs="宋体"/>
          <w:i/>
          <w:iCs/>
          <w:kern w:val="0"/>
          <w:sz w:val="24"/>
        </w:rPr>
        <w:t>J Immunol Methods</w:t>
      </w:r>
      <w:r w:rsidRPr="00330A98">
        <w:rPr>
          <w:rFonts w:ascii="Book Antiqua" w:hAnsi="Book Antiqua" w:cs="宋体"/>
          <w:kern w:val="0"/>
          <w:sz w:val="24"/>
        </w:rPr>
        <w:t> 1994; </w:t>
      </w:r>
      <w:r w:rsidRPr="00330A98">
        <w:rPr>
          <w:rFonts w:ascii="Book Antiqua" w:hAnsi="Book Antiqua" w:cs="宋体"/>
          <w:b/>
          <w:bCs/>
          <w:kern w:val="0"/>
          <w:sz w:val="24"/>
        </w:rPr>
        <w:t>174</w:t>
      </w:r>
      <w:r w:rsidRPr="00330A98">
        <w:rPr>
          <w:rFonts w:ascii="Book Antiqua" w:hAnsi="Book Antiqua" w:cs="宋体"/>
          <w:kern w:val="0"/>
          <w:sz w:val="24"/>
        </w:rPr>
        <w:t>: 83-93 [PMID: 8083541]</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lastRenderedPageBreak/>
        <w:t>20 </w:t>
      </w:r>
      <w:r w:rsidRPr="00330A98">
        <w:rPr>
          <w:rFonts w:ascii="Book Antiqua" w:hAnsi="Book Antiqua" w:cs="宋体"/>
          <w:b/>
          <w:bCs/>
          <w:kern w:val="0"/>
          <w:sz w:val="24"/>
        </w:rPr>
        <w:t>Cascales M</w:t>
      </w:r>
      <w:r w:rsidRPr="00330A98">
        <w:rPr>
          <w:rFonts w:ascii="Book Antiqua" w:hAnsi="Book Antiqua" w:cs="宋体"/>
          <w:kern w:val="0"/>
          <w:sz w:val="24"/>
        </w:rPr>
        <w:t>, Martín-Sanz P, Craciunescu DG, Mayo I, Aguilar A, Robles-Chillida EM, Cascales C. Alterations in hepatic peroxidation mechanisms in thioacetamide-induced tumors in rats. Effect of a rhodium(III) complex. </w:t>
      </w:r>
      <w:r w:rsidRPr="00330A98">
        <w:rPr>
          <w:rFonts w:ascii="Book Antiqua" w:hAnsi="Book Antiqua" w:cs="宋体"/>
          <w:i/>
          <w:iCs/>
          <w:kern w:val="0"/>
          <w:sz w:val="24"/>
        </w:rPr>
        <w:t>Carcinogenesis</w:t>
      </w:r>
      <w:r w:rsidRPr="00330A98">
        <w:rPr>
          <w:rFonts w:ascii="Book Antiqua" w:hAnsi="Book Antiqua" w:cs="宋体"/>
          <w:kern w:val="0"/>
          <w:sz w:val="24"/>
        </w:rPr>
        <w:t> 1991; </w:t>
      </w:r>
      <w:r w:rsidRPr="00330A98">
        <w:rPr>
          <w:rFonts w:ascii="Book Antiqua" w:hAnsi="Book Antiqua" w:cs="宋体"/>
          <w:b/>
          <w:bCs/>
          <w:kern w:val="0"/>
          <w:sz w:val="24"/>
        </w:rPr>
        <w:t>12</w:t>
      </w:r>
      <w:r w:rsidRPr="00330A98">
        <w:rPr>
          <w:rFonts w:ascii="Book Antiqua" w:hAnsi="Book Antiqua" w:cs="宋体"/>
          <w:kern w:val="0"/>
          <w:sz w:val="24"/>
        </w:rPr>
        <w:t>: 233-240 [PMID: 1671654]</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21 </w:t>
      </w:r>
      <w:r w:rsidRPr="00330A98">
        <w:rPr>
          <w:rFonts w:ascii="Book Antiqua" w:hAnsi="Book Antiqua" w:cs="宋体"/>
          <w:b/>
          <w:bCs/>
          <w:kern w:val="0"/>
          <w:sz w:val="24"/>
        </w:rPr>
        <w:t>Sanz N</w:t>
      </w:r>
      <w:r w:rsidRPr="00330A98">
        <w:rPr>
          <w:rFonts w:ascii="Book Antiqua" w:hAnsi="Book Antiqua" w:cs="宋体"/>
          <w:kern w:val="0"/>
          <w:sz w:val="24"/>
        </w:rPr>
        <w:t>, Díez-Fernández C, Fernández-Simón L, Alvarez A, Cascales M. Necrogenic and regenerative responses of liver of newly weaned rats against a sublethal dose of thioacetamide. </w:t>
      </w:r>
      <w:r w:rsidRPr="00330A98">
        <w:rPr>
          <w:rFonts w:ascii="Book Antiqua" w:hAnsi="Book Antiqua" w:cs="宋体"/>
          <w:i/>
          <w:iCs/>
          <w:kern w:val="0"/>
          <w:sz w:val="24"/>
        </w:rPr>
        <w:t>Biochim Biophys Acta</w:t>
      </w:r>
      <w:r w:rsidRPr="00330A98">
        <w:rPr>
          <w:rFonts w:ascii="Book Antiqua" w:hAnsi="Book Antiqua" w:cs="宋体"/>
          <w:kern w:val="0"/>
          <w:sz w:val="24"/>
        </w:rPr>
        <w:t> 1998; </w:t>
      </w:r>
      <w:r w:rsidRPr="00330A98">
        <w:rPr>
          <w:rFonts w:ascii="Book Antiqua" w:hAnsi="Book Antiqua" w:cs="宋体"/>
          <w:b/>
          <w:bCs/>
          <w:kern w:val="0"/>
          <w:sz w:val="24"/>
        </w:rPr>
        <w:t>1384</w:t>
      </w:r>
      <w:r w:rsidRPr="00330A98">
        <w:rPr>
          <w:rFonts w:ascii="Book Antiqua" w:hAnsi="Book Antiqua" w:cs="宋体"/>
          <w:kern w:val="0"/>
          <w:sz w:val="24"/>
        </w:rPr>
        <w:t>: 66-78 [PMID: 9602062]</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22 . Seglen PO. Isolation of hepatocytes by collagenase perfusion. In Methods in Toxicology. In vitro biological systems. Ed CA Tyson &amp; JM Frazier. New York, London: Academic Press, pp 231-243, 1993.</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23 </w:t>
      </w:r>
      <w:r w:rsidRPr="00330A98">
        <w:rPr>
          <w:rFonts w:ascii="Book Antiqua" w:hAnsi="Book Antiqua" w:cs="宋体"/>
          <w:b/>
          <w:bCs/>
          <w:kern w:val="0"/>
          <w:sz w:val="24"/>
        </w:rPr>
        <w:t>Barbé E</w:t>
      </w:r>
      <w:r w:rsidRPr="00330A98">
        <w:rPr>
          <w:rFonts w:ascii="Book Antiqua" w:hAnsi="Book Antiqua" w:cs="宋体"/>
          <w:kern w:val="0"/>
          <w:sz w:val="24"/>
        </w:rPr>
        <w:t>, Damoiseaux JG, Döpp EA, Dijkstra CD. Characterization and expression of the antigen present on resident rat macrophages recognized by monoclonal antibody ED2. </w:t>
      </w:r>
      <w:r w:rsidRPr="00330A98">
        <w:rPr>
          <w:rFonts w:ascii="Book Antiqua" w:hAnsi="Book Antiqua" w:cs="宋体"/>
          <w:i/>
          <w:iCs/>
          <w:kern w:val="0"/>
          <w:sz w:val="24"/>
        </w:rPr>
        <w:t>Immunobiology</w:t>
      </w:r>
      <w:r w:rsidRPr="00330A98">
        <w:rPr>
          <w:rFonts w:ascii="Book Antiqua" w:hAnsi="Book Antiqua" w:cs="宋体"/>
          <w:kern w:val="0"/>
          <w:sz w:val="24"/>
        </w:rPr>
        <w:t> 1990; </w:t>
      </w:r>
      <w:r w:rsidRPr="00330A98">
        <w:rPr>
          <w:rFonts w:ascii="Book Antiqua" w:hAnsi="Book Antiqua" w:cs="宋体"/>
          <w:b/>
          <w:bCs/>
          <w:kern w:val="0"/>
          <w:sz w:val="24"/>
        </w:rPr>
        <w:t>182</w:t>
      </w:r>
      <w:r w:rsidRPr="00330A98">
        <w:rPr>
          <w:rFonts w:ascii="Book Antiqua" w:hAnsi="Book Antiqua" w:cs="宋体"/>
          <w:kern w:val="0"/>
          <w:sz w:val="24"/>
        </w:rPr>
        <w:t>: 88-99 [PMID: 2098324]</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24 </w:t>
      </w:r>
      <w:r w:rsidRPr="00330A98">
        <w:rPr>
          <w:rFonts w:ascii="Book Antiqua" w:hAnsi="Book Antiqua" w:cs="宋体"/>
          <w:b/>
          <w:bCs/>
          <w:kern w:val="0"/>
          <w:sz w:val="24"/>
        </w:rPr>
        <w:t>Van Rooijen N</w:t>
      </w:r>
      <w:r w:rsidRPr="00330A98">
        <w:rPr>
          <w:rFonts w:ascii="Book Antiqua" w:hAnsi="Book Antiqua" w:cs="宋体"/>
          <w:kern w:val="0"/>
          <w:sz w:val="24"/>
        </w:rPr>
        <w:t>, Sanders A. Kupffer cell depletion by liposome-delivered drugs: comparative activity of intracellular clodronate, propamidine, and ethylenediaminetetraacetic acid. </w:t>
      </w:r>
      <w:r w:rsidRPr="00330A98">
        <w:rPr>
          <w:rFonts w:ascii="Book Antiqua" w:hAnsi="Book Antiqua" w:cs="宋体"/>
          <w:i/>
          <w:iCs/>
          <w:kern w:val="0"/>
          <w:sz w:val="24"/>
        </w:rPr>
        <w:t>Hepatology</w:t>
      </w:r>
      <w:r w:rsidRPr="00330A98">
        <w:rPr>
          <w:rFonts w:ascii="Book Antiqua" w:hAnsi="Book Antiqua" w:cs="宋体"/>
          <w:kern w:val="0"/>
          <w:sz w:val="24"/>
        </w:rPr>
        <w:t> 1996; </w:t>
      </w:r>
      <w:r w:rsidRPr="00330A98">
        <w:rPr>
          <w:rFonts w:ascii="Book Antiqua" w:hAnsi="Book Antiqua" w:cs="宋体"/>
          <w:b/>
          <w:bCs/>
          <w:kern w:val="0"/>
          <w:sz w:val="24"/>
        </w:rPr>
        <w:t>23</w:t>
      </w:r>
      <w:r w:rsidRPr="00330A98">
        <w:rPr>
          <w:rFonts w:ascii="Book Antiqua" w:hAnsi="Book Antiqua" w:cs="宋体"/>
          <w:kern w:val="0"/>
          <w:sz w:val="24"/>
        </w:rPr>
        <w:t>: 1239-1243 [PMID: 8621159]</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 xml:space="preserve">25 </w:t>
      </w:r>
      <w:r w:rsidRPr="00330A98">
        <w:rPr>
          <w:rFonts w:ascii="Book Antiqua" w:hAnsi="Book Antiqua" w:cs="宋体"/>
          <w:b/>
          <w:kern w:val="0"/>
          <w:sz w:val="24"/>
        </w:rPr>
        <w:t>Rej R</w:t>
      </w:r>
      <w:r w:rsidRPr="00330A98">
        <w:rPr>
          <w:rFonts w:ascii="Book Antiqua" w:hAnsi="Book Antiqua" w:cs="宋体"/>
          <w:kern w:val="0"/>
          <w:sz w:val="24"/>
        </w:rPr>
        <w:t>, Horder M. Aspartate aminotransferase. L-aspartate: 2-oxoglutarate aminotranferase, EC 2.6.2.1. Routine U.V. method. In Bergmeyer HU (ed) Methods of Enzymatic Analysis 3rd edn, vol III. Weinheim.Verlag Chemie, pp 416-424, 1984.</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 xml:space="preserve">26 </w:t>
      </w:r>
      <w:r w:rsidRPr="00330A98">
        <w:rPr>
          <w:rFonts w:ascii="Book Antiqua" w:hAnsi="Book Antiqua" w:cs="宋体"/>
          <w:b/>
          <w:kern w:val="0"/>
          <w:sz w:val="24"/>
        </w:rPr>
        <w:t>Goldberg DM</w:t>
      </w:r>
      <w:r w:rsidRPr="00330A98">
        <w:rPr>
          <w:rFonts w:ascii="Book Antiqua" w:hAnsi="Book Antiqua" w:cs="宋体"/>
          <w:kern w:val="0"/>
          <w:sz w:val="24"/>
        </w:rPr>
        <w:t>, Ellis G. Isocitrate dehydrogenase. In: Bergmeyer HU, ed. Methods of Enzymatic Analysis. Vol 3, 3rd ed.Weinheim, Verlag Chemie, pp 183-189, 1986.</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27 </w:t>
      </w:r>
      <w:r w:rsidRPr="00330A98">
        <w:rPr>
          <w:rFonts w:ascii="Book Antiqua" w:hAnsi="Book Antiqua" w:cs="宋体"/>
          <w:b/>
          <w:bCs/>
          <w:kern w:val="0"/>
          <w:sz w:val="24"/>
        </w:rPr>
        <w:t>Chomczynski P</w:t>
      </w:r>
      <w:r w:rsidRPr="00330A98">
        <w:rPr>
          <w:rFonts w:ascii="Book Antiqua" w:hAnsi="Book Antiqua" w:cs="宋体"/>
          <w:kern w:val="0"/>
          <w:sz w:val="24"/>
        </w:rPr>
        <w:t>, Sacchi N. Single-step method of RNA isolation by acid guanidinium thiocyanate-phenol-chloroform extraction. </w:t>
      </w:r>
      <w:r w:rsidRPr="00330A98">
        <w:rPr>
          <w:rFonts w:ascii="Book Antiqua" w:hAnsi="Book Antiqua" w:cs="宋体"/>
          <w:i/>
          <w:iCs/>
          <w:kern w:val="0"/>
          <w:sz w:val="24"/>
        </w:rPr>
        <w:t>Anal Biochem</w:t>
      </w:r>
      <w:r w:rsidRPr="00330A98">
        <w:rPr>
          <w:rFonts w:ascii="Book Antiqua" w:hAnsi="Book Antiqua" w:cs="宋体"/>
          <w:kern w:val="0"/>
          <w:sz w:val="24"/>
        </w:rPr>
        <w:t> 1987; </w:t>
      </w:r>
      <w:r w:rsidRPr="00330A98">
        <w:rPr>
          <w:rFonts w:ascii="Book Antiqua" w:hAnsi="Book Antiqua" w:cs="宋体"/>
          <w:b/>
          <w:bCs/>
          <w:kern w:val="0"/>
          <w:sz w:val="24"/>
        </w:rPr>
        <w:t>162</w:t>
      </w:r>
      <w:r w:rsidRPr="00330A98">
        <w:rPr>
          <w:rFonts w:ascii="Book Antiqua" w:hAnsi="Book Antiqua" w:cs="宋体"/>
          <w:kern w:val="0"/>
          <w:sz w:val="24"/>
        </w:rPr>
        <w:t>: 156-159 [PMID: 2440339]</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28 </w:t>
      </w:r>
      <w:r w:rsidRPr="00330A98">
        <w:rPr>
          <w:rFonts w:ascii="Book Antiqua" w:hAnsi="Book Antiqua" w:cs="宋体"/>
          <w:b/>
          <w:bCs/>
          <w:kern w:val="0"/>
          <w:sz w:val="24"/>
        </w:rPr>
        <w:t>Vindeløv LL</w:t>
      </w:r>
      <w:r w:rsidRPr="00330A98">
        <w:rPr>
          <w:rFonts w:ascii="Book Antiqua" w:hAnsi="Book Antiqua" w:cs="宋体"/>
          <w:kern w:val="0"/>
          <w:sz w:val="24"/>
        </w:rPr>
        <w:t>, Christensen IJ, Nissen NI. A detergent-trypsin method for the preparation of nuclei for flow cytometric DNA analysis. </w:t>
      </w:r>
      <w:r w:rsidRPr="00330A98">
        <w:rPr>
          <w:rFonts w:ascii="Book Antiqua" w:hAnsi="Book Antiqua" w:cs="宋体"/>
          <w:i/>
          <w:iCs/>
          <w:kern w:val="0"/>
          <w:sz w:val="24"/>
        </w:rPr>
        <w:t>Cytometry</w:t>
      </w:r>
      <w:r w:rsidRPr="00330A98">
        <w:rPr>
          <w:rFonts w:ascii="Book Antiqua" w:hAnsi="Book Antiqua" w:cs="宋体"/>
          <w:kern w:val="0"/>
          <w:sz w:val="24"/>
        </w:rPr>
        <w:t> 1983; </w:t>
      </w:r>
      <w:r w:rsidRPr="00330A98">
        <w:rPr>
          <w:rFonts w:ascii="Book Antiqua" w:hAnsi="Book Antiqua" w:cs="宋体"/>
          <w:b/>
          <w:bCs/>
          <w:kern w:val="0"/>
          <w:sz w:val="24"/>
        </w:rPr>
        <w:t>3</w:t>
      </w:r>
      <w:r w:rsidRPr="00330A98">
        <w:rPr>
          <w:rFonts w:ascii="Book Antiqua" w:hAnsi="Book Antiqua" w:cs="宋体"/>
          <w:kern w:val="0"/>
          <w:sz w:val="24"/>
        </w:rPr>
        <w:t>: 323-327 [PMID: 6188586]</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29 </w:t>
      </w:r>
      <w:r w:rsidRPr="00330A98">
        <w:rPr>
          <w:rFonts w:ascii="Book Antiqua" w:hAnsi="Book Antiqua" w:cs="宋体"/>
          <w:b/>
          <w:bCs/>
          <w:kern w:val="0"/>
          <w:sz w:val="24"/>
        </w:rPr>
        <w:t>Gregory SH</w:t>
      </w:r>
      <w:r w:rsidRPr="00330A98">
        <w:rPr>
          <w:rFonts w:ascii="Book Antiqua" w:hAnsi="Book Antiqua" w:cs="宋体"/>
          <w:kern w:val="0"/>
          <w:sz w:val="24"/>
        </w:rPr>
        <w:t>, Wing EJ, Danowski KL, van Rooijen N, Dyer KF, Tweardy DJ. IL-6 produced by Kupffer cells induces STAT protein activation in hepatocytes early during the course of systemic listerial infections. </w:t>
      </w:r>
      <w:r w:rsidRPr="00330A98">
        <w:rPr>
          <w:rFonts w:ascii="Book Antiqua" w:hAnsi="Book Antiqua" w:cs="宋体"/>
          <w:i/>
          <w:iCs/>
          <w:kern w:val="0"/>
          <w:sz w:val="24"/>
        </w:rPr>
        <w:t>J Immunol</w:t>
      </w:r>
      <w:r w:rsidRPr="00330A98">
        <w:rPr>
          <w:rFonts w:ascii="Book Antiqua" w:hAnsi="Book Antiqua" w:cs="宋体"/>
          <w:kern w:val="0"/>
          <w:sz w:val="24"/>
        </w:rPr>
        <w:t> 1998; </w:t>
      </w:r>
      <w:r w:rsidRPr="00330A98">
        <w:rPr>
          <w:rFonts w:ascii="Book Antiqua" w:hAnsi="Book Antiqua" w:cs="宋体"/>
          <w:b/>
          <w:bCs/>
          <w:kern w:val="0"/>
          <w:sz w:val="24"/>
        </w:rPr>
        <w:t>160</w:t>
      </w:r>
      <w:r w:rsidRPr="00330A98">
        <w:rPr>
          <w:rFonts w:ascii="Book Antiqua" w:hAnsi="Book Antiqua" w:cs="宋体"/>
          <w:kern w:val="0"/>
          <w:sz w:val="24"/>
        </w:rPr>
        <w:t>: 6056-6061 [PMID: 9637522]</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lastRenderedPageBreak/>
        <w:t>30 </w:t>
      </w:r>
      <w:r w:rsidRPr="00330A98">
        <w:rPr>
          <w:rFonts w:ascii="Book Antiqua" w:hAnsi="Book Antiqua" w:cs="宋体"/>
          <w:b/>
          <w:bCs/>
          <w:kern w:val="0"/>
          <w:sz w:val="24"/>
        </w:rPr>
        <w:t>Bautista M</w:t>
      </w:r>
      <w:r w:rsidRPr="00330A98">
        <w:rPr>
          <w:rFonts w:ascii="Book Antiqua" w:hAnsi="Book Antiqua" w:cs="宋体"/>
          <w:kern w:val="0"/>
          <w:sz w:val="24"/>
        </w:rPr>
        <w:t>, Andres D, Cascales M, Morales-González JA, Sánchez-Reus MI, Madrigal-Santillán E, Valadez-Vega C, Fregoso-Aguilar T, Mendoza-Pérez JA, Gutiérrez-Salinas J, Esquivel-Soto J. Role of Kupffer cells in thioacetamide-induced cell cycle dysfunction. </w:t>
      </w:r>
      <w:r w:rsidRPr="00330A98">
        <w:rPr>
          <w:rFonts w:ascii="Book Antiqua" w:hAnsi="Book Antiqua" w:cs="宋体"/>
          <w:i/>
          <w:iCs/>
          <w:kern w:val="0"/>
          <w:sz w:val="24"/>
        </w:rPr>
        <w:t>Molecules</w:t>
      </w:r>
      <w:r w:rsidRPr="00330A98">
        <w:rPr>
          <w:rFonts w:ascii="Book Antiqua" w:hAnsi="Book Antiqua" w:cs="宋体"/>
          <w:kern w:val="0"/>
          <w:sz w:val="24"/>
        </w:rPr>
        <w:t> 2011; </w:t>
      </w:r>
      <w:r w:rsidRPr="00330A98">
        <w:rPr>
          <w:rFonts w:ascii="Book Antiqua" w:hAnsi="Book Antiqua" w:cs="宋体"/>
          <w:b/>
          <w:bCs/>
          <w:kern w:val="0"/>
          <w:sz w:val="24"/>
        </w:rPr>
        <w:t>16</w:t>
      </w:r>
      <w:r w:rsidRPr="00330A98">
        <w:rPr>
          <w:rFonts w:ascii="Book Antiqua" w:hAnsi="Book Antiqua" w:cs="宋体"/>
          <w:kern w:val="0"/>
          <w:sz w:val="24"/>
        </w:rPr>
        <w:t>: 8319-8331 [PMID: 21959302]</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31 </w:t>
      </w:r>
      <w:r w:rsidRPr="00330A98">
        <w:rPr>
          <w:rFonts w:ascii="Book Antiqua" w:hAnsi="Book Antiqua" w:cs="宋体"/>
          <w:b/>
          <w:bCs/>
          <w:kern w:val="0"/>
          <w:sz w:val="24"/>
        </w:rPr>
        <w:t>Blazka ME</w:t>
      </w:r>
      <w:r w:rsidRPr="00330A98">
        <w:rPr>
          <w:rFonts w:ascii="Book Antiqua" w:hAnsi="Book Antiqua" w:cs="宋体"/>
          <w:kern w:val="0"/>
          <w:sz w:val="24"/>
        </w:rPr>
        <w:t>, Wilmer JL, Holladay SD, Wilson RE, Luster MI. Role of proinflammatory cytokines in acetaminophen hepatotoxicity. </w:t>
      </w:r>
      <w:r w:rsidRPr="00330A98">
        <w:rPr>
          <w:rFonts w:ascii="Book Antiqua" w:hAnsi="Book Antiqua" w:cs="宋体"/>
          <w:i/>
          <w:iCs/>
          <w:kern w:val="0"/>
          <w:sz w:val="24"/>
        </w:rPr>
        <w:t>Toxicol Appl Pharmacol</w:t>
      </w:r>
      <w:r w:rsidRPr="00330A98">
        <w:rPr>
          <w:rFonts w:ascii="Book Antiqua" w:hAnsi="Book Antiqua" w:cs="宋体"/>
          <w:kern w:val="0"/>
          <w:sz w:val="24"/>
        </w:rPr>
        <w:t> 1995; </w:t>
      </w:r>
      <w:r w:rsidRPr="00330A98">
        <w:rPr>
          <w:rFonts w:ascii="Book Antiqua" w:hAnsi="Book Antiqua" w:cs="宋体"/>
          <w:b/>
          <w:bCs/>
          <w:kern w:val="0"/>
          <w:sz w:val="24"/>
        </w:rPr>
        <w:t>133</w:t>
      </w:r>
      <w:r w:rsidRPr="00330A98">
        <w:rPr>
          <w:rFonts w:ascii="Book Antiqua" w:hAnsi="Book Antiqua" w:cs="宋体"/>
          <w:kern w:val="0"/>
          <w:sz w:val="24"/>
        </w:rPr>
        <w:t>: 43-52 [PMID: 7597709]</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32 </w:t>
      </w:r>
      <w:r w:rsidRPr="00330A98">
        <w:rPr>
          <w:rFonts w:ascii="Book Antiqua" w:hAnsi="Book Antiqua" w:cs="宋体"/>
          <w:b/>
          <w:bCs/>
          <w:kern w:val="0"/>
          <w:sz w:val="24"/>
        </w:rPr>
        <w:t>Decker K</w:t>
      </w:r>
      <w:r w:rsidRPr="00330A98">
        <w:rPr>
          <w:rFonts w:ascii="Book Antiqua" w:hAnsi="Book Antiqua" w:cs="宋体"/>
          <w:kern w:val="0"/>
          <w:sz w:val="24"/>
        </w:rPr>
        <w:t>. Biologically active products of stimulated liver macrophages (Kupffer cells). </w:t>
      </w:r>
      <w:r w:rsidRPr="00330A98">
        <w:rPr>
          <w:rFonts w:ascii="Book Antiqua" w:hAnsi="Book Antiqua" w:cs="宋体"/>
          <w:i/>
          <w:iCs/>
          <w:kern w:val="0"/>
          <w:sz w:val="24"/>
        </w:rPr>
        <w:t>Eur J Biochem</w:t>
      </w:r>
      <w:r w:rsidRPr="00330A98">
        <w:rPr>
          <w:rFonts w:ascii="Book Antiqua" w:hAnsi="Book Antiqua" w:cs="宋体"/>
          <w:kern w:val="0"/>
          <w:sz w:val="24"/>
        </w:rPr>
        <w:t> 1990; </w:t>
      </w:r>
      <w:r w:rsidRPr="00330A98">
        <w:rPr>
          <w:rFonts w:ascii="Book Antiqua" w:hAnsi="Book Antiqua" w:cs="宋体"/>
          <w:b/>
          <w:bCs/>
          <w:kern w:val="0"/>
          <w:sz w:val="24"/>
        </w:rPr>
        <w:t>192</w:t>
      </w:r>
      <w:r w:rsidRPr="00330A98">
        <w:rPr>
          <w:rFonts w:ascii="Book Antiqua" w:hAnsi="Book Antiqua" w:cs="宋体"/>
          <w:kern w:val="0"/>
          <w:sz w:val="24"/>
        </w:rPr>
        <w:t>: 245-261 [PMID: 2170121]</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33 </w:t>
      </w:r>
      <w:r w:rsidRPr="00330A98">
        <w:rPr>
          <w:rFonts w:ascii="Book Antiqua" w:hAnsi="Book Antiqua" w:cs="宋体"/>
          <w:b/>
          <w:bCs/>
          <w:kern w:val="0"/>
          <w:sz w:val="24"/>
        </w:rPr>
        <w:t>Jaeschke H</w:t>
      </w:r>
      <w:r w:rsidRPr="00330A98">
        <w:rPr>
          <w:rFonts w:ascii="Book Antiqua" w:hAnsi="Book Antiqua" w:cs="宋体"/>
          <w:kern w:val="0"/>
          <w:sz w:val="24"/>
        </w:rPr>
        <w:t>, Smith CW. Mechanisms of neutrophil-induced parenchymal cell injury. </w:t>
      </w:r>
      <w:r w:rsidRPr="00330A98">
        <w:rPr>
          <w:rFonts w:ascii="Book Antiqua" w:hAnsi="Book Antiqua" w:cs="宋体"/>
          <w:i/>
          <w:iCs/>
          <w:kern w:val="0"/>
          <w:sz w:val="24"/>
        </w:rPr>
        <w:t>J Leukoc Biol</w:t>
      </w:r>
      <w:r w:rsidRPr="00330A98">
        <w:rPr>
          <w:rFonts w:ascii="Book Antiqua" w:hAnsi="Book Antiqua" w:cs="宋体"/>
          <w:kern w:val="0"/>
          <w:sz w:val="24"/>
        </w:rPr>
        <w:t> 1997; </w:t>
      </w:r>
      <w:r w:rsidRPr="00330A98">
        <w:rPr>
          <w:rFonts w:ascii="Book Antiqua" w:hAnsi="Book Antiqua" w:cs="宋体"/>
          <w:b/>
          <w:bCs/>
          <w:kern w:val="0"/>
          <w:sz w:val="24"/>
        </w:rPr>
        <w:t>61</w:t>
      </w:r>
      <w:r w:rsidRPr="00330A98">
        <w:rPr>
          <w:rFonts w:ascii="Book Antiqua" w:hAnsi="Book Antiqua" w:cs="宋体"/>
          <w:kern w:val="0"/>
          <w:sz w:val="24"/>
        </w:rPr>
        <w:t>: 647-653 [PMID: 9201255]</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34 </w:t>
      </w:r>
      <w:r w:rsidRPr="00330A98">
        <w:rPr>
          <w:rFonts w:ascii="Book Antiqua" w:hAnsi="Book Antiqua" w:cs="宋体"/>
          <w:b/>
          <w:bCs/>
          <w:kern w:val="0"/>
          <w:sz w:val="24"/>
        </w:rPr>
        <w:t>Essani NA</w:t>
      </w:r>
      <w:r w:rsidRPr="00330A98">
        <w:rPr>
          <w:rFonts w:ascii="Book Antiqua" w:hAnsi="Book Antiqua" w:cs="宋体"/>
          <w:kern w:val="0"/>
          <w:sz w:val="24"/>
        </w:rPr>
        <w:t>, Fisher MA, Farhood A, Manning AM, Smith CW, Jaeschke H. Cytokine-induced upregulation of hepatic intercellular adhesion molecule-1 messenger RNA expression and its role in the pathophysiology of murine endotoxin shock and acute liver failure. </w:t>
      </w:r>
      <w:r w:rsidRPr="00330A98">
        <w:rPr>
          <w:rFonts w:ascii="Book Antiqua" w:hAnsi="Book Antiqua" w:cs="宋体"/>
          <w:i/>
          <w:iCs/>
          <w:kern w:val="0"/>
          <w:sz w:val="24"/>
        </w:rPr>
        <w:t>Hepatology</w:t>
      </w:r>
      <w:r w:rsidRPr="00330A98">
        <w:rPr>
          <w:rFonts w:ascii="Book Antiqua" w:hAnsi="Book Antiqua" w:cs="宋体"/>
          <w:kern w:val="0"/>
          <w:sz w:val="24"/>
        </w:rPr>
        <w:t> 1995; </w:t>
      </w:r>
      <w:r w:rsidRPr="00330A98">
        <w:rPr>
          <w:rFonts w:ascii="Book Antiqua" w:hAnsi="Book Antiqua" w:cs="宋体"/>
          <w:b/>
          <w:bCs/>
          <w:kern w:val="0"/>
          <w:sz w:val="24"/>
        </w:rPr>
        <w:t>21</w:t>
      </w:r>
      <w:r w:rsidRPr="00330A98">
        <w:rPr>
          <w:rFonts w:ascii="Book Antiqua" w:hAnsi="Book Antiqua" w:cs="宋体"/>
          <w:kern w:val="0"/>
          <w:sz w:val="24"/>
        </w:rPr>
        <w:t>: 1632-1639 [PMID: 7768509]</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35 </w:t>
      </w:r>
      <w:r w:rsidRPr="00330A98">
        <w:rPr>
          <w:rFonts w:ascii="Book Antiqua" w:hAnsi="Book Antiqua" w:cs="宋体"/>
          <w:b/>
          <w:bCs/>
          <w:kern w:val="0"/>
          <w:sz w:val="24"/>
        </w:rPr>
        <w:t>Prins HA</w:t>
      </w:r>
      <w:r w:rsidRPr="00330A98">
        <w:rPr>
          <w:rFonts w:ascii="Book Antiqua" w:hAnsi="Book Antiqua" w:cs="宋体"/>
          <w:kern w:val="0"/>
          <w:sz w:val="24"/>
        </w:rPr>
        <w:t>, Meijer C, Boelens PG, Nijveldt RJ, Siroen MP, Masson S, Daveau M, Scotté M, Diks J, van Leeuwen PA. The role of Kupffer cells after major liver surgery. </w:t>
      </w:r>
      <w:r w:rsidRPr="00330A98">
        <w:rPr>
          <w:rFonts w:ascii="Book Antiqua" w:hAnsi="Book Antiqua" w:cs="宋体"/>
          <w:i/>
          <w:iCs/>
          <w:kern w:val="0"/>
          <w:sz w:val="24"/>
        </w:rPr>
        <w:t>JPEN J Parenter Enteral Nutr</w:t>
      </w:r>
      <w:r w:rsidRPr="00330A98">
        <w:rPr>
          <w:rFonts w:ascii="Book Antiqua" w:hAnsi="Book Antiqua" w:cs="宋体"/>
          <w:kern w:val="0"/>
          <w:sz w:val="24"/>
        </w:rPr>
        <w:t> </w:t>
      </w:r>
      <w:r>
        <w:rPr>
          <w:rFonts w:ascii="Book Antiqua" w:hAnsi="Book Antiqua" w:cs="宋体"/>
          <w:kern w:val="0"/>
          <w:sz w:val="24"/>
        </w:rPr>
        <w:t>2005</w:t>
      </w:r>
      <w:r w:rsidRPr="00330A98">
        <w:rPr>
          <w:rFonts w:ascii="Book Antiqua" w:hAnsi="Book Antiqua" w:cs="宋体"/>
          <w:kern w:val="0"/>
          <w:sz w:val="24"/>
        </w:rPr>
        <w:t>; </w:t>
      </w:r>
      <w:r w:rsidRPr="00330A98">
        <w:rPr>
          <w:rFonts w:ascii="Book Antiqua" w:hAnsi="Book Antiqua" w:cs="宋体"/>
          <w:b/>
          <w:bCs/>
          <w:kern w:val="0"/>
          <w:sz w:val="24"/>
        </w:rPr>
        <w:t>29</w:t>
      </w:r>
      <w:r w:rsidRPr="00330A98">
        <w:rPr>
          <w:rFonts w:ascii="Book Antiqua" w:hAnsi="Book Antiqua" w:cs="宋体"/>
          <w:kern w:val="0"/>
          <w:sz w:val="24"/>
        </w:rPr>
        <w:t>: 48-55 [PMID: 15715274]</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36 </w:t>
      </w:r>
      <w:r w:rsidRPr="00330A98">
        <w:rPr>
          <w:rFonts w:ascii="Book Antiqua" w:hAnsi="Book Antiqua" w:cs="宋体"/>
          <w:b/>
          <w:bCs/>
          <w:kern w:val="0"/>
          <w:sz w:val="24"/>
        </w:rPr>
        <w:t>Lázár G</w:t>
      </w:r>
      <w:r w:rsidRPr="00330A98">
        <w:rPr>
          <w:rFonts w:ascii="Book Antiqua" w:hAnsi="Book Antiqua" w:cs="宋体"/>
          <w:kern w:val="0"/>
          <w:sz w:val="24"/>
        </w:rPr>
        <w:t>, Lázár G, Kaszaki J, Oláh J, Kiss I, Husztik E. Inhibition of anaphylactic shock by gadolinium chloride-induced Kupffer cell blockade. </w:t>
      </w:r>
      <w:r w:rsidRPr="00330A98">
        <w:rPr>
          <w:rFonts w:ascii="Book Antiqua" w:hAnsi="Book Antiqua" w:cs="宋体"/>
          <w:i/>
          <w:iCs/>
          <w:kern w:val="0"/>
          <w:sz w:val="24"/>
        </w:rPr>
        <w:t>Agents Actions</w:t>
      </w:r>
      <w:r w:rsidRPr="00330A98">
        <w:rPr>
          <w:rFonts w:ascii="Book Antiqua" w:hAnsi="Book Antiqua" w:cs="宋体"/>
          <w:kern w:val="0"/>
          <w:sz w:val="24"/>
        </w:rPr>
        <w:t> 1994; </w:t>
      </w:r>
      <w:r w:rsidRPr="00330A98">
        <w:rPr>
          <w:rFonts w:ascii="Book Antiqua" w:hAnsi="Book Antiqua" w:cs="宋体"/>
          <w:b/>
          <w:bCs/>
          <w:kern w:val="0"/>
          <w:sz w:val="24"/>
        </w:rPr>
        <w:t xml:space="preserve">41 </w:t>
      </w:r>
      <w:r w:rsidRPr="00330A98">
        <w:rPr>
          <w:rFonts w:ascii="Book Antiqua" w:hAnsi="Book Antiqua" w:cs="宋体"/>
          <w:bCs/>
          <w:kern w:val="0"/>
          <w:sz w:val="24"/>
        </w:rPr>
        <w:t>Spec No</w:t>
      </w:r>
      <w:r w:rsidRPr="00330A98">
        <w:rPr>
          <w:rFonts w:ascii="Book Antiqua" w:hAnsi="Book Antiqua" w:cs="宋体"/>
          <w:kern w:val="0"/>
          <w:sz w:val="24"/>
        </w:rPr>
        <w:t>: C97-C98 [PMID: 7976819]</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37 </w:t>
      </w:r>
      <w:r w:rsidRPr="00330A98">
        <w:rPr>
          <w:rFonts w:ascii="Book Antiqua" w:hAnsi="Book Antiqua" w:cs="宋体"/>
          <w:b/>
          <w:bCs/>
          <w:kern w:val="0"/>
          <w:sz w:val="24"/>
        </w:rPr>
        <w:t>Rai RM</w:t>
      </w:r>
      <w:r w:rsidRPr="00330A98">
        <w:rPr>
          <w:rFonts w:ascii="Book Antiqua" w:hAnsi="Book Antiqua" w:cs="宋体"/>
          <w:kern w:val="0"/>
          <w:sz w:val="24"/>
        </w:rPr>
        <w:t>, Yang SQ, McClain C, Karp CL, Klein AS, Diehl AM. Kupffer cell depletion by gadolinium chloride enhances liver regeneration after partial hepatectomy in rats. </w:t>
      </w:r>
      <w:r w:rsidRPr="00330A98">
        <w:rPr>
          <w:rFonts w:ascii="Book Antiqua" w:hAnsi="Book Antiqua" w:cs="宋体"/>
          <w:i/>
          <w:iCs/>
          <w:kern w:val="0"/>
          <w:sz w:val="24"/>
        </w:rPr>
        <w:t>Am J Physiol</w:t>
      </w:r>
      <w:r w:rsidRPr="00330A98">
        <w:rPr>
          <w:rFonts w:ascii="Book Antiqua" w:hAnsi="Book Antiqua" w:cs="宋体"/>
          <w:kern w:val="0"/>
          <w:sz w:val="24"/>
        </w:rPr>
        <w:t> 1996; </w:t>
      </w:r>
      <w:r w:rsidRPr="00330A98">
        <w:rPr>
          <w:rFonts w:ascii="Book Antiqua" w:hAnsi="Book Antiqua" w:cs="宋体"/>
          <w:b/>
          <w:bCs/>
          <w:kern w:val="0"/>
          <w:sz w:val="24"/>
        </w:rPr>
        <w:t>270</w:t>
      </w:r>
      <w:r w:rsidRPr="00330A98">
        <w:rPr>
          <w:rFonts w:ascii="Book Antiqua" w:hAnsi="Book Antiqua" w:cs="宋体"/>
          <w:kern w:val="0"/>
          <w:sz w:val="24"/>
        </w:rPr>
        <w:t>: G909-G918 [PMID: 8764196]</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38 </w:t>
      </w:r>
      <w:r w:rsidRPr="00330A98">
        <w:rPr>
          <w:rFonts w:ascii="Book Antiqua" w:hAnsi="Book Antiqua" w:cs="宋体"/>
          <w:b/>
          <w:bCs/>
          <w:kern w:val="0"/>
          <w:sz w:val="24"/>
        </w:rPr>
        <w:t>Rose ML</w:t>
      </w:r>
      <w:r w:rsidRPr="00330A98">
        <w:rPr>
          <w:rFonts w:ascii="Book Antiqua" w:hAnsi="Book Antiqua" w:cs="宋体"/>
          <w:kern w:val="0"/>
          <w:sz w:val="24"/>
        </w:rPr>
        <w:t>, Bradford BU, Germolec DR, Lin M, Tsukamoto H, Thurman RG. Gadolinium chloride-induced hepatocyte proliferation is prevented by antibodies to tumor necrosis factor alpha. </w:t>
      </w:r>
      <w:r w:rsidRPr="00330A98">
        <w:rPr>
          <w:rFonts w:ascii="Book Antiqua" w:hAnsi="Book Antiqua" w:cs="宋体"/>
          <w:i/>
          <w:iCs/>
          <w:kern w:val="0"/>
          <w:sz w:val="24"/>
        </w:rPr>
        <w:t>Toxicol Appl Pharmacol</w:t>
      </w:r>
      <w:r w:rsidRPr="00330A98">
        <w:rPr>
          <w:rFonts w:ascii="Book Antiqua" w:hAnsi="Book Antiqua" w:cs="宋体"/>
          <w:kern w:val="0"/>
          <w:sz w:val="24"/>
        </w:rPr>
        <w:t> 2001; </w:t>
      </w:r>
      <w:r w:rsidRPr="00330A98">
        <w:rPr>
          <w:rFonts w:ascii="Book Antiqua" w:hAnsi="Book Antiqua" w:cs="宋体"/>
          <w:b/>
          <w:bCs/>
          <w:kern w:val="0"/>
          <w:sz w:val="24"/>
        </w:rPr>
        <w:t>170</w:t>
      </w:r>
      <w:r w:rsidRPr="00330A98">
        <w:rPr>
          <w:rFonts w:ascii="Book Antiqua" w:hAnsi="Book Antiqua" w:cs="宋体"/>
          <w:kern w:val="0"/>
          <w:sz w:val="24"/>
        </w:rPr>
        <w:t>: 39-45 [PMID: 11141354]</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39 </w:t>
      </w:r>
      <w:r w:rsidRPr="00330A98">
        <w:rPr>
          <w:rFonts w:ascii="Book Antiqua" w:hAnsi="Book Antiqua" w:cs="宋体"/>
          <w:b/>
          <w:bCs/>
          <w:kern w:val="0"/>
          <w:sz w:val="24"/>
        </w:rPr>
        <w:t>Laskin DL</w:t>
      </w:r>
      <w:r w:rsidRPr="00330A98">
        <w:rPr>
          <w:rFonts w:ascii="Book Antiqua" w:hAnsi="Book Antiqua" w:cs="宋体"/>
          <w:kern w:val="0"/>
          <w:sz w:val="24"/>
        </w:rPr>
        <w:t>, Pilaro AM. Potential role of activated macrophages in acetaminophen hepatotoxicity. I. Isolation and characterization of activated macrophages from rat liver. </w:t>
      </w:r>
      <w:r w:rsidRPr="00330A98">
        <w:rPr>
          <w:rFonts w:ascii="Book Antiqua" w:hAnsi="Book Antiqua" w:cs="宋体"/>
          <w:i/>
          <w:iCs/>
          <w:kern w:val="0"/>
          <w:sz w:val="24"/>
        </w:rPr>
        <w:t>Toxicol Appl Pharmacol</w:t>
      </w:r>
      <w:r w:rsidRPr="00330A98">
        <w:rPr>
          <w:rFonts w:ascii="Book Antiqua" w:hAnsi="Book Antiqua" w:cs="宋体"/>
          <w:kern w:val="0"/>
          <w:sz w:val="24"/>
        </w:rPr>
        <w:t> 1986; </w:t>
      </w:r>
      <w:r w:rsidRPr="00330A98">
        <w:rPr>
          <w:rFonts w:ascii="Book Antiqua" w:hAnsi="Book Antiqua" w:cs="宋体"/>
          <w:b/>
          <w:bCs/>
          <w:kern w:val="0"/>
          <w:sz w:val="24"/>
        </w:rPr>
        <w:t>86</w:t>
      </w:r>
      <w:r w:rsidRPr="00330A98">
        <w:rPr>
          <w:rFonts w:ascii="Book Antiqua" w:hAnsi="Book Antiqua" w:cs="宋体"/>
          <w:kern w:val="0"/>
          <w:sz w:val="24"/>
        </w:rPr>
        <w:t>: 204-215 [PMID: 3024356]</w:t>
      </w:r>
    </w:p>
    <w:p w:rsidR="0048476B" w:rsidRPr="00330A98" w:rsidRDefault="0048476B" w:rsidP="00D00447">
      <w:pPr>
        <w:widowControl/>
        <w:spacing w:line="360" w:lineRule="auto"/>
        <w:rPr>
          <w:rFonts w:ascii="Book Antiqua" w:hAnsi="Book Antiqua" w:cs="宋体"/>
          <w:kern w:val="0"/>
          <w:sz w:val="24"/>
        </w:rPr>
      </w:pPr>
      <w:r>
        <w:rPr>
          <w:rFonts w:ascii="Book Antiqua" w:hAnsi="Book Antiqua" w:cs="宋体"/>
          <w:kern w:val="0"/>
          <w:sz w:val="24"/>
        </w:rPr>
        <w:lastRenderedPageBreak/>
        <w:t xml:space="preserve">40 </w:t>
      </w:r>
      <w:r w:rsidRPr="00330A98">
        <w:rPr>
          <w:rFonts w:ascii="Book Antiqua" w:hAnsi="Book Antiqua" w:cs="宋体"/>
          <w:b/>
          <w:kern w:val="0"/>
          <w:sz w:val="24"/>
        </w:rPr>
        <w:t>Hardonk MJ</w:t>
      </w:r>
      <w:r w:rsidRPr="00330A98">
        <w:rPr>
          <w:rFonts w:ascii="Book Antiqua" w:hAnsi="Book Antiqua" w:cs="宋体"/>
          <w:kern w:val="0"/>
          <w:sz w:val="24"/>
        </w:rPr>
        <w:t>, Dijkhius FWJ, Jonker AM. Selective depletion of Kupffer cells by gadolinium Chloride attenuates both acute galactosemine-induced hepatitis and carbon tetrachloride toxicity in rats. In: Cells of the hepatic sinusoid (ed Wisse E, Knook DL, Wake K). The Kupffer Cell Foundation. The Netherlands, pp 29 – 32, 1995.</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41 </w:t>
      </w:r>
      <w:r w:rsidRPr="00330A98">
        <w:rPr>
          <w:rFonts w:ascii="Book Antiqua" w:hAnsi="Book Antiqua" w:cs="宋体"/>
          <w:b/>
          <w:bCs/>
          <w:kern w:val="0"/>
          <w:sz w:val="24"/>
        </w:rPr>
        <w:t>Badger DA</w:t>
      </w:r>
      <w:r w:rsidRPr="00330A98">
        <w:rPr>
          <w:rFonts w:ascii="Book Antiqua" w:hAnsi="Book Antiqua" w:cs="宋体"/>
          <w:kern w:val="0"/>
          <w:sz w:val="24"/>
        </w:rPr>
        <w:t>, Kuester RK, Sauer JM, Sipes IG. Gadolinium chloride reduces cytochrome P450: relevance to chemical-induced hepatotoxicity. </w:t>
      </w:r>
      <w:r w:rsidRPr="00330A98">
        <w:rPr>
          <w:rFonts w:ascii="Book Antiqua" w:hAnsi="Book Antiqua" w:cs="宋体"/>
          <w:i/>
          <w:iCs/>
          <w:kern w:val="0"/>
          <w:sz w:val="24"/>
        </w:rPr>
        <w:t>Toxicology</w:t>
      </w:r>
      <w:r w:rsidRPr="00330A98">
        <w:rPr>
          <w:rFonts w:ascii="Book Antiqua" w:hAnsi="Book Antiqua" w:cs="宋体"/>
          <w:kern w:val="0"/>
          <w:sz w:val="24"/>
        </w:rPr>
        <w:t> 1997; </w:t>
      </w:r>
      <w:r w:rsidRPr="00330A98">
        <w:rPr>
          <w:rFonts w:ascii="Book Antiqua" w:hAnsi="Book Antiqua" w:cs="宋体"/>
          <w:b/>
          <w:bCs/>
          <w:kern w:val="0"/>
          <w:sz w:val="24"/>
        </w:rPr>
        <w:t>121</w:t>
      </w:r>
      <w:r w:rsidRPr="00330A98">
        <w:rPr>
          <w:rFonts w:ascii="Book Antiqua" w:hAnsi="Book Antiqua" w:cs="宋体"/>
          <w:kern w:val="0"/>
          <w:sz w:val="24"/>
        </w:rPr>
        <w:t>: 143-153 [PMID: 9230446]</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42 </w:t>
      </w:r>
      <w:r w:rsidRPr="00330A98">
        <w:rPr>
          <w:rFonts w:ascii="Book Antiqua" w:hAnsi="Book Antiqua" w:cs="宋体"/>
          <w:b/>
          <w:bCs/>
          <w:kern w:val="0"/>
          <w:sz w:val="24"/>
        </w:rPr>
        <w:t>Shiratori Y</w:t>
      </w:r>
      <w:r w:rsidRPr="00330A98">
        <w:rPr>
          <w:rFonts w:ascii="Book Antiqua" w:hAnsi="Book Antiqua" w:cs="宋体"/>
          <w:kern w:val="0"/>
          <w:sz w:val="24"/>
        </w:rPr>
        <w:t>, Kiriyama H, Fukushi Y, Nagura T, Takada H, Hai K, Kamii K. Modulation of ischemia-reperfusion-induced hepatic injury by Kupffer cells. </w:t>
      </w:r>
      <w:r w:rsidRPr="00330A98">
        <w:rPr>
          <w:rFonts w:ascii="Book Antiqua" w:hAnsi="Book Antiqua" w:cs="宋体"/>
          <w:i/>
          <w:iCs/>
          <w:kern w:val="0"/>
          <w:sz w:val="24"/>
        </w:rPr>
        <w:t>Dig Dis Sci</w:t>
      </w:r>
      <w:r w:rsidRPr="00330A98">
        <w:rPr>
          <w:rFonts w:ascii="Book Antiqua" w:hAnsi="Book Antiqua" w:cs="宋体"/>
          <w:kern w:val="0"/>
          <w:sz w:val="24"/>
        </w:rPr>
        <w:t> 1994; </w:t>
      </w:r>
      <w:r w:rsidRPr="00330A98">
        <w:rPr>
          <w:rFonts w:ascii="Book Antiqua" w:hAnsi="Book Antiqua" w:cs="宋体"/>
          <w:b/>
          <w:bCs/>
          <w:kern w:val="0"/>
          <w:sz w:val="24"/>
        </w:rPr>
        <w:t>39</w:t>
      </w:r>
      <w:r w:rsidRPr="00330A98">
        <w:rPr>
          <w:rFonts w:ascii="Book Antiqua" w:hAnsi="Book Antiqua" w:cs="宋体"/>
          <w:kern w:val="0"/>
          <w:sz w:val="24"/>
        </w:rPr>
        <w:t>: 1265-1272 [PMID: 8200259]</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43 </w:t>
      </w:r>
      <w:r w:rsidRPr="00330A98">
        <w:rPr>
          <w:rFonts w:ascii="Book Antiqua" w:hAnsi="Book Antiqua" w:cs="宋体"/>
          <w:b/>
          <w:bCs/>
          <w:kern w:val="0"/>
          <w:sz w:val="24"/>
        </w:rPr>
        <w:t>Mehendale HM</w:t>
      </w:r>
      <w:r w:rsidRPr="00330A98">
        <w:rPr>
          <w:rFonts w:ascii="Book Antiqua" w:hAnsi="Book Antiqua" w:cs="宋体"/>
          <w:kern w:val="0"/>
          <w:sz w:val="24"/>
        </w:rPr>
        <w:t>, Roth RA, Gandolfi AJ, Klaunig JE, Lemasters JJ, Curtis LR. Novel mechanisms in chemically induced hepatotoxicity. </w:t>
      </w:r>
      <w:r w:rsidRPr="00330A98">
        <w:rPr>
          <w:rFonts w:ascii="Book Antiqua" w:hAnsi="Book Antiqua" w:cs="宋体"/>
          <w:i/>
          <w:iCs/>
          <w:kern w:val="0"/>
          <w:sz w:val="24"/>
        </w:rPr>
        <w:t>FASEB J</w:t>
      </w:r>
      <w:r w:rsidRPr="00330A98">
        <w:rPr>
          <w:rFonts w:ascii="Book Antiqua" w:hAnsi="Book Antiqua" w:cs="宋体"/>
          <w:kern w:val="0"/>
          <w:sz w:val="24"/>
        </w:rPr>
        <w:t> 1994; </w:t>
      </w:r>
      <w:r w:rsidRPr="00330A98">
        <w:rPr>
          <w:rFonts w:ascii="Book Antiqua" w:hAnsi="Book Antiqua" w:cs="宋体"/>
          <w:b/>
          <w:bCs/>
          <w:kern w:val="0"/>
          <w:sz w:val="24"/>
        </w:rPr>
        <w:t>8</w:t>
      </w:r>
      <w:r w:rsidRPr="00330A98">
        <w:rPr>
          <w:rFonts w:ascii="Book Antiqua" w:hAnsi="Book Antiqua" w:cs="宋体"/>
          <w:kern w:val="0"/>
          <w:sz w:val="24"/>
        </w:rPr>
        <w:t>: 1285-1295 [PMID: 8001741]</w:t>
      </w:r>
    </w:p>
    <w:p w:rsidR="0048476B" w:rsidRPr="00330A98" w:rsidRDefault="0048476B" w:rsidP="00D00447">
      <w:pPr>
        <w:widowControl/>
        <w:spacing w:line="360" w:lineRule="auto"/>
        <w:rPr>
          <w:rFonts w:ascii="Book Antiqua" w:hAnsi="Book Antiqua" w:cs="宋体"/>
          <w:kern w:val="0"/>
          <w:sz w:val="24"/>
        </w:rPr>
      </w:pPr>
      <w:r w:rsidRPr="00330A98">
        <w:rPr>
          <w:rFonts w:ascii="Book Antiqua" w:hAnsi="Book Antiqua" w:cs="宋体"/>
          <w:kern w:val="0"/>
          <w:sz w:val="24"/>
        </w:rPr>
        <w:t>44 </w:t>
      </w:r>
      <w:r w:rsidRPr="00330A98">
        <w:rPr>
          <w:rFonts w:ascii="Book Antiqua" w:hAnsi="Book Antiqua" w:cs="宋体"/>
          <w:b/>
          <w:bCs/>
          <w:kern w:val="0"/>
          <w:sz w:val="24"/>
        </w:rPr>
        <w:t>Zhang W</w:t>
      </w:r>
      <w:r w:rsidRPr="00330A98">
        <w:rPr>
          <w:rFonts w:ascii="Book Antiqua" w:hAnsi="Book Antiqua" w:cs="宋体"/>
          <w:kern w:val="0"/>
          <w:sz w:val="24"/>
        </w:rPr>
        <w:t>, Chen XP, Zhang WG, Zhang F, Xiang S, Dong HH, Zhang L. Hepatic non-parenchymal cells and extracellular matrix participate in oval cell-mediated liver regeneration. </w:t>
      </w:r>
      <w:r w:rsidRPr="00330A98">
        <w:rPr>
          <w:rFonts w:ascii="Book Antiqua" w:hAnsi="Book Antiqua" w:cs="宋体"/>
          <w:i/>
          <w:iCs/>
          <w:kern w:val="0"/>
          <w:sz w:val="24"/>
        </w:rPr>
        <w:t>World J Gastroenterol</w:t>
      </w:r>
      <w:r w:rsidRPr="00330A98">
        <w:rPr>
          <w:rFonts w:ascii="Book Antiqua" w:hAnsi="Book Antiqua" w:cs="宋体"/>
          <w:kern w:val="0"/>
          <w:sz w:val="24"/>
        </w:rPr>
        <w:t> 2009; </w:t>
      </w:r>
      <w:r w:rsidRPr="00330A98">
        <w:rPr>
          <w:rFonts w:ascii="Book Antiqua" w:hAnsi="Book Antiqua" w:cs="宋体"/>
          <w:b/>
          <w:bCs/>
          <w:kern w:val="0"/>
          <w:sz w:val="24"/>
        </w:rPr>
        <w:t>15</w:t>
      </w:r>
      <w:r w:rsidRPr="00330A98">
        <w:rPr>
          <w:rFonts w:ascii="Book Antiqua" w:hAnsi="Book Antiqua" w:cs="宋体"/>
          <w:kern w:val="0"/>
          <w:sz w:val="24"/>
        </w:rPr>
        <w:t>: 552-560 [PMID: 19195056]</w:t>
      </w:r>
    </w:p>
    <w:p w:rsidR="0048476B" w:rsidRPr="00D00447" w:rsidRDefault="0048476B" w:rsidP="000B17A3">
      <w:pPr>
        <w:shd w:val="clear" w:color="auto" w:fill="FFFFFF"/>
        <w:spacing w:line="360" w:lineRule="auto"/>
        <w:rPr>
          <w:rFonts w:ascii="Book Antiqua" w:hAnsi="Book Antiqua" w:cs="Arial"/>
          <w:sz w:val="24"/>
        </w:rPr>
      </w:pPr>
    </w:p>
    <w:p w:rsidR="0048476B" w:rsidRPr="00CE4867" w:rsidRDefault="0048476B" w:rsidP="00727D2F">
      <w:pPr>
        <w:spacing w:line="360" w:lineRule="auto"/>
        <w:rPr>
          <w:rFonts w:ascii="Book Antiqua" w:hAnsi="Book Antiqua"/>
          <w:b/>
          <w:bCs/>
          <w:color w:val="000000"/>
          <w:sz w:val="24"/>
        </w:rPr>
      </w:pPr>
      <w:bookmarkStart w:id="14" w:name="OLE_LINK11"/>
      <w:bookmarkStart w:id="15" w:name="OLE_LINK12"/>
      <w:bookmarkStart w:id="16" w:name="OLE_LINK36"/>
      <w:bookmarkStart w:id="17" w:name="OLE_LINK37"/>
      <w:bookmarkStart w:id="18" w:name="OLE_LINK20"/>
      <w:bookmarkStart w:id="19" w:name="OLE_LINK80"/>
      <w:bookmarkStart w:id="20" w:name="OLE_LINK85"/>
      <w:bookmarkStart w:id="21" w:name="OLE_LINK194"/>
      <w:bookmarkStart w:id="22" w:name="OLE_LINK118"/>
      <w:r w:rsidRPr="00CE4867">
        <w:rPr>
          <w:rStyle w:val="ac"/>
          <w:rFonts w:ascii="Book Antiqua" w:hAnsi="Book Antiqua"/>
          <w:bCs/>
          <w:noProof/>
          <w:color w:val="000000"/>
          <w:sz w:val="24"/>
        </w:rPr>
        <w:t>P-Reviewer</w:t>
      </w:r>
      <w:bookmarkEnd w:id="14"/>
      <w:bookmarkEnd w:id="15"/>
      <w:r>
        <w:rPr>
          <w:rStyle w:val="ac"/>
          <w:rFonts w:ascii="Book Antiqua" w:hAnsi="Book Antiqua"/>
          <w:bCs/>
          <w:noProof/>
          <w:color w:val="000000"/>
          <w:sz w:val="24"/>
        </w:rPr>
        <w:t>s</w:t>
      </w:r>
      <w:r w:rsidRPr="00CE4867">
        <w:rPr>
          <w:rFonts w:ascii="Book Antiqua" w:hAnsi="Book Antiqua"/>
          <w:b/>
          <w:bCs/>
          <w:color w:val="000000"/>
          <w:sz w:val="24"/>
        </w:rPr>
        <w:t xml:space="preserve"> </w:t>
      </w:r>
      <w:r w:rsidRPr="00727D2F">
        <w:rPr>
          <w:rFonts w:ascii="Book Antiqua" w:hAnsi="Book Antiqua"/>
          <w:bCs/>
          <w:color w:val="000000"/>
          <w:sz w:val="24"/>
        </w:rPr>
        <w:t>Tang</w:t>
      </w:r>
      <w:r w:rsidRPr="00CE4867">
        <w:rPr>
          <w:rFonts w:ascii="Book Antiqua" w:hAnsi="Book Antiqua"/>
          <w:b/>
          <w:bCs/>
          <w:color w:val="000000"/>
          <w:sz w:val="24"/>
        </w:rPr>
        <w:t xml:space="preserve"> </w:t>
      </w:r>
      <w:r w:rsidRPr="00727D2F">
        <w:rPr>
          <w:rFonts w:ascii="Book Antiqua" w:hAnsi="Book Antiqua"/>
          <w:bCs/>
          <w:color w:val="000000"/>
          <w:sz w:val="24"/>
        </w:rPr>
        <w:t xml:space="preserve">N, Teschke R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6"/>
    <w:bookmarkEnd w:id="17"/>
    <w:bookmarkEnd w:id="18"/>
    <w:bookmarkEnd w:id="19"/>
    <w:bookmarkEnd w:id="20"/>
    <w:bookmarkEnd w:id="21"/>
    <w:bookmarkEnd w:id="22"/>
    <w:p w:rsidR="0048476B" w:rsidRPr="00D34D82" w:rsidRDefault="0048476B" w:rsidP="00DD1A0F">
      <w:pPr>
        <w:spacing w:line="360" w:lineRule="auto"/>
        <w:rPr>
          <w:rFonts w:ascii="Book Antiqua" w:hAnsi="Book Antiqua" w:cs="Arial"/>
          <w:sz w:val="24"/>
        </w:rPr>
      </w:pPr>
      <w:r w:rsidRPr="00D34D82">
        <w:rPr>
          <w:rFonts w:ascii="Book Antiqua" w:hAnsi="Book Antiqua" w:cs="Tahoma"/>
          <w:sz w:val="24"/>
        </w:rPr>
        <w:br w:type="page"/>
      </w:r>
      <w:r w:rsidRPr="00D34D82">
        <w:rPr>
          <w:rFonts w:ascii="Book Antiqua" w:hAnsi="Book Antiqua" w:cs="Times-Roman"/>
          <w:b/>
          <w:color w:val="231F20"/>
          <w:kern w:val="0"/>
          <w:sz w:val="24"/>
          <w:lang w:eastAsia="en-US"/>
        </w:rPr>
        <w:lastRenderedPageBreak/>
        <w:t xml:space="preserve">Figure 1 Enzymatic activity after </w:t>
      </w:r>
      <w:r w:rsidRPr="00D34D82">
        <w:rPr>
          <w:rFonts w:ascii="Book Antiqua" w:hAnsi="Book Antiqua" w:cs="Arial"/>
          <w:b/>
          <w:sz w:val="24"/>
        </w:rPr>
        <w:t xml:space="preserve">dichloromethylene diphosphonate pre-treatment in rats intoxicated with one sublethal dose of Thioacetamide. </w:t>
      </w:r>
      <w:r w:rsidRPr="00D34D82">
        <w:rPr>
          <w:rFonts w:ascii="Book Antiqua" w:hAnsi="Book Antiqua" w:cs="Arial"/>
          <w:sz w:val="24"/>
        </w:rPr>
        <w:t xml:space="preserve">A: Effect of Dichloromethylene diphosphonate (DMDP) pre-treatment on aspartate aminotransferase (AST) activity in the serum of rats intoxicated with one sublethal dose of thioacetamide (TA); B: Llustrates the effect of DMDP pre-treatment on isocitrate dehydrogenase (ICDH) activity in the serum of rats intoxicated with one sublethal dose of TA. Samples were obtained at 0, 12, 24, 48, and 72 h following TA 6.6 mmol (per 500 mg/kg body weight). The results, expressed as nmol per min per mL of serum, are the mean </w:t>
      </w:r>
      <w:r w:rsidRPr="00D34D82">
        <w:rPr>
          <w:rFonts w:ascii="Book Antiqua" w:hAnsi="Book Antiqua" w:cs="Arial"/>
          <w:sz w:val="24"/>
        </w:rPr>
        <w:sym w:font="Symbol" w:char="F0B1"/>
      </w:r>
      <w:r w:rsidRPr="00D34D82">
        <w:rPr>
          <w:rFonts w:ascii="Book Antiqua" w:hAnsi="Book Antiqua" w:cs="Arial"/>
          <w:sz w:val="24"/>
        </w:rPr>
        <w:t xml:space="preserve"> SD of four determinations in duplicate from four rats. </w:t>
      </w:r>
      <w:r w:rsidRPr="00D34D82">
        <w:rPr>
          <w:rFonts w:ascii="Book Antiqua" w:hAnsi="Book Antiqua" w:cs="Arial"/>
          <w:sz w:val="24"/>
          <w:vertAlign w:val="superscript"/>
        </w:rPr>
        <w:t>a</w:t>
      </w:r>
      <w:r w:rsidRPr="00D34D82">
        <w:rPr>
          <w:rFonts w:ascii="Book Antiqua" w:hAnsi="Book Antiqua" w:cs="Arial"/>
          <w:i/>
          <w:sz w:val="24"/>
        </w:rPr>
        <w:t xml:space="preserve">P &lt; </w:t>
      </w:r>
      <w:r w:rsidRPr="00D34D82">
        <w:rPr>
          <w:rFonts w:ascii="Book Antiqua" w:hAnsi="Book Antiqua" w:cs="Arial"/>
          <w:sz w:val="24"/>
        </w:rPr>
        <w:t xml:space="preserve">0.05 </w:t>
      </w:r>
      <w:r w:rsidRPr="00D34D82">
        <w:rPr>
          <w:rFonts w:ascii="Book Antiqua" w:hAnsi="Book Antiqua" w:cs="Arial"/>
          <w:i/>
          <w:sz w:val="24"/>
        </w:rPr>
        <w:t>vs</w:t>
      </w:r>
      <w:r w:rsidRPr="00D34D82">
        <w:rPr>
          <w:rFonts w:ascii="Book Antiqua" w:hAnsi="Book Antiqua" w:cs="Arial"/>
          <w:sz w:val="24"/>
        </w:rPr>
        <w:t xml:space="preserve"> the respective contro,</w:t>
      </w:r>
      <w:r w:rsidRPr="00D34D82">
        <w:rPr>
          <w:rFonts w:ascii="Book Antiqua" w:hAnsi="Book Antiqua" w:cs="Arial"/>
          <w:i/>
          <w:sz w:val="24"/>
        </w:rPr>
        <w:t xml:space="preserve"> </w:t>
      </w:r>
      <w:r w:rsidRPr="00D34D82">
        <w:rPr>
          <w:rFonts w:ascii="Book Antiqua" w:hAnsi="Book Antiqua" w:cs="Arial"/>
          <w:i/>
          <w:sz w:val="24"/>
          <w:vertAlign w:val="superscript"/>
        </w:rPr>
        <w:t>c</w:t>
      </w:r>
      <w:r w:rsidRPr="00D34D82">
        <w:rPr>
          <w:rFonts w:ascii="Book Antiqua" w:hAnsi="Book Antiqua" w:cs="Arial"/>
          <w:i/>
          <w:sz w:val="24"/>
        </w:rPr>
        <w:t xml:space="preserve">P &lt; </w:t>
      </w:r>
      <w:r w:rsidRPr="00D34D82">
        <w:rPr>
          <w:rFonts w:ascii="Book Antiqua" w:hAnsi="Book Antiqua" w:cs="Arial"/>
          <w:sz w:val="24"/>
        </w:rPr>
        <w:t xml:space="preserve">0.05 </w:t>
      </w:r>
      <w:r w:rsidRPr="00D34D82">
        <w:rPr>
          <w:rFonts w:ascii="Book Antiqua" w:hAnsi="Book Antiqua" w:cs="Arial"/>
          <w:i/>
          <w:sz w:val="24"/>
        </w:rPr>
        <w:t>vs</w:t>
      </w:r>
      <w:r w:rsidRPr="00D34D82">
        <w:rPr>
          <w:rFonts w:ascii="Book Antiqua" w:hAnsi="Book Antiqua" w:cs="Arial"/>
          <w:sz w:val="24"/>
        </w:rPr>
        <w:t xml:space="preserve"> differences due to DMDP.</w:t>
      </w:r>
    </w:p>
    <w:p w:rsidR="0048476B" w:rsidRPr="00D34D82" w:rsidRDefault="0048476B" w:rsidP="000B17A3">
      <w:pPr>
        <w:spacing w:line="360" w:lineRule="auto"/>
        <w:rPr>
          <w:rFonts w:ascii="Book Antiqua" w:hAnsi="Book Antiqua" w:cs="Arial"/>
          <w:sz w:val="24"/>
        </w:rPr>
      </w:pPr>
    </w:p>
    <w:p w:rsidR="0048476B" w:rsidRPr="00D34D82" w:rsidRDefault="0048476B" w:rsidP="00DD1A0F">
      <w:pPr>
        <w:tabs>
          <w:tab w:val="left" w:pos="1390"/>
        </w:tabs>
        <w:spacing w:line="360" w:lineRule="auto"/>
        <w:rPr>
          <w:rFonts w:ascii="Book Antiqua" w:hAnsi="Book Antiqua" w:cs="Arial"/>
          <w:sz w:val="24"/>
        </w:rPr>
      </w:pPr>
      <w:r w:rsidRPr="00D34D82">
        <w:rPr>
          <w:rFonts w:ascii="Book Antiqua" w:hAnsi="Book Antiqua" w:cs="Arial"/>
          <w:b/>
          <w:sz w:val="24"/>
        </w:rPr>
        <w:t xml:space="preserve">Figure 2 Effects of dichloromethylene diphosphonate in protein levels, gene expression and messenger levels tumor necrosis factor-alpha. </w:t>
      </w:r>
      <w:r w:rsidRPr="00D34D82">
        <w:rPr>
          <w:rFonts w:ascii="Book Antiqua" w:hAnsi="Book Antiqua" w:cs="Arial"/>
          <w:sz w:val="24"/>
        </w:rPr>
        <w:t xml:space="preserve">A: Effects of Dichloromethylene diphosphonate (DMDP) pre-treatment on serum Tumor necrosis factor-alpha (TNF-α) levels determined by enzyme-linked immunosorbent assay (ELISA) tests on serum samples. Columns and vertical bars represent means ± SD evaluated in four determinations from four rats. </w:t>
      </w:r>
      <w:r w:rsidRPr="00D34D82">
        <w:rPr>
          <w:rFonts w:ascii="Book Antiqua" w:hAnsi="Book Antiqua" w:cs="Arial"/>
          <w:sz w:val="24"/>
          <w:vertAlign w:val="superscript"/>
        </w:rPr>
        <w:t>a</w:t>
      </w:r>
      <w:r w:rsidRPr="00D34D82">
        <w:rPr>
          <w:rFonts w:ascii="Book Antiqua" w:hAnsi="Book Antiqua" w:cs="Arial"/>
          <w:i/>
          <w:iCs/>
          <w:sz w:val="24"/>
        </w:rPr>
        <w:t xml:space="preserve">P &lt; </w:t>
      </w:r>
      <w:r w:rsidRPr="00D34D82">
        <w:rPr>
          <w:rFonts w:ascii="Book Antiqua" w:hAnsi="Book Antiqua" w:cs="Arial"/>
          <w:sz w:val="24"/>
        </w:rPr>
        <w:t>0.05</w:t>
      </w:r>
      <w:r w:rsidRPr="00D34D82">
        <w:rPr>
          <w:rFonts w:ascii="Book Antiqua" w:hAnsi="Book Antiqua" w:cs="Arial"/>
          <w:i/>
          <w:sz w:val="24"/>
        </w:rPr>
        <w:t xml:space="preserve"> vs</w:t>
      </w:r>
      <w:r w:rsidRPr="00D34D82">
        <w:rPr>
          <w:rFonts w:ascii="Book Antiqua" w:hAnsi="Book Antiqua" w:cs="Arial"/>
          <w:sz w:val="24"/>
        </w:rPr>
        <w:t xml:space="preserve"> control group; </w:t>
      </w:r>
      <w:r w:rsidRPr="00D34D82">
        <w:rPr>
          <w:rFonts w:ascii="Book Antiqua" w:hAnsi="Book Antiqua" w:cs="Arial"/>
          <w:sz w:val="24"/>
          <w:vertAlign w:val="superscript"/>
        </w:rPr>
        <w:t>c</w:t>
      </w:r>
      <w:r w:rsidRPr="00D34D82">
        <w:rPr>
          <w:rFonts w:ascii="Book Antiqua" w:hAnsi="Book Antiqua" w:cs="Arial"/>
          <w:i/>
          <w:iCs/>
          <w:sz w:val="24"/>
        </w:rPr>
        <w:t xml:space="preserve">P &lt; </w:t>
      </w:r>
      <w:r w:rsidRPr="00D34D82">
        <w:rPr>
          <w:rFonts w:ascii="Book Antiqua" w:hAnsi="Book Antiqua" w:cs="Arial"/>
          <w:sz w:val="24"/>
        </w:rPr>
        <w:t xml:space="preserve">0.05 </w:t>
      </w:r>
      <w:r w:rsidRPr="00D34D82">
        <w:rPr>
          <w:rFonts w:ascii="Book Antiqua" w:hAnsi="Book Antiqua" w:cs="Arial"/>
          <w:i/>
          <w:sz w:val="24"/>
        </w:rPr>
        <w:t xml:space="preserve">vs </w:t>
      </w:r>
      <w:r w:rsidRPr="00D34D82">
        <w:rPr>
          <w:rFonts w:ascii="Book Antiqua" w:hAnsi="Book Antiqua" w:cs="Arial"/>
          <w:sz w:val="24"/>
        </w:rPr>
        <w:t>the DMDP-treated group; B: Effects of DMDP in</w:t>
      </w:r>
      <w:r w:rsidRPr="00D34D82">
        <w:rPr>
          <w:rFonts w:ascii="Book Antiqua" w:hAnsi="Book Antiqua" w:cs="Arial"/>
          <w:b/>
          <w:sz w:val="24"/>
        </w:rPr>
        <w:t xml:space="preserve"> </w:t>
      </w:r>
      <w:r w:rsidRPr="00D34D82">
        <w:rPr>
          <w:rFonts w:ascii="Book Antiqua" w:hAnsi="Book Antiqua" w:cs="Arial"/>
          <w:sz w:val="24"/>
        </w:rPr>
        <w:t xml:space="preserve">gene expression profile of TNF-α assayed by RT-PCR analysis; C: Illustrates the effect of DMDP pre-treatment on the levels of TNF-α messenger RNA (mRNA) in liver homogenates of rats intoxicated with a sublethal dose of thioacetamide (TA). Samples were obtained at 0, 24, 48, and 72 h. The results, expressed in arbitrary units, are the mean </w:t>
      </w:r>
      <w:r w:rsidRPr="00D34D82">
        <w:rPr>
          <w:rFonts w:ascii="Book Antiqua" w:hAnsi="Book Antiqua" w:cs="Arial"/>
          <w:sz w:val="24"/>
        </w:rPr>
        <w:sym w:font="Symbol" w:char="F0B1"/>
      </w:r>
      <w:r w:rsidRPr="00D34D82">
        <w:rPr>
          <w:rFonts w:ascii="Book Antiqua" w:hAnsi="Book Antiqua" w:cs="Arial"/>
          <w:sz w:val="24"/>
        </w:rPr>
        <w:t xml:space="preserve"> SD of four determinations from four rats. </w:t>
      </w:r>
      <w:r w:rsidRPr="00D34D82">
        <w:rPr>
          <w:rFonts w:ascii="Book Antiqua" w:hAnsi="Book Antiqua" w:cs="Arial"/>
          <w:sz w:val="24"/>
          <w:vertAlign w:val="superscript"/>
        </w:rPr>
        <w:t>a</w:t>
      </w:r>
      <w:r w:rsidRPr="00D34D82">
        <w:rPr>
          <w:rFonts w:ascii="Book Antiqua" w:hAnsi="Book Antiqua" w:cs="Arial"/>
          <w:i/>
          <w:sz w:val="24"/>
        </w:rPr>
        <w:t xml:space="preserve">P &lt; </w:t>
      </w:r>
      <w:r w:rsidRPr="00D34D82">
        <w:rPr>
          <w:rFonts w:ascii="Book Antiqua" w:hAnsi="Book Antiqua" w:cs="Arial"/>
          <w:sz w:val="24"/>
        </w:rPr>
        <w:t xml:space="preserve">0.05 </w:t>
      </w:r>
      <w:r w:rsidRPr="00D34D82">
        <w:rPr>
          <w:rFonts w:ascii="Book Antiqua" w:hAnsi="Book Antiqua" w:cs="Arial"/>
          <w:i/>
          <w:sz w:val="24"/>
        </w:rPr>
        <w:t>vs</w:t>
      </w:r>
      <w:r w:rsidRPr="00D34D82">
        <w:rPr>
          <w:rFonts w:ascii="Book Antiqua" w:hAnsi="Book Antiqua" w:cs="Arial"/>
          <w:sz w:val="24"/>
        </w:rPr>
        <w:t xml:space="preserve"> the respective contro,</w:t>
      </w:r>
      <w:r w:rsidRPr="00D34D82">
        <w:rPr>
          <w:rFonts w:ascii="Book Antiqua" w:hAnsi="Book Antiqua" w:cs="Arial"/>
          <w:i/>
          <w:sz w:val="24"/>
        </w:rPr>
        <w:t xml:space="preserve"> </w:t>
      </w:r>
      <w:r w:rsidRPr="00D34D82">
        <w:rPr>
          <w:rFonts w:ascii="Book Antiqua" w:hAnsi="Book Antiqua" w:cs="Arial"/>
          <w:i/>
          <w:sz w:val="24"/>
          <w:vertAlign w:val="superscript"/>
        </w:rPr>
        <w:t>c</w:t>
      </w:r>
      <w:r w:rsidRPr="00D34D82">
        <w:rPr>
          <w:rFonts w:ascii="Book Antiqua" w:hAnsi="Book Antiqua" w:cs="Arial"/>
          <w:i/>
          <w:sz w:val="24"/>
        </w:rPr>
        <w:t xml:space="preserve">P &lt; </w:t>
      </w:r>
      <w:r w:rsidRPr="00D34D82">
        <w:rPr>
          <w:rFonts w:ascii="Book Antiqua" w:hAnsi="Book Antiqua" w:cs="Arial"/>
          <w:sz w:val="24"/>
        </w:rPr>
        <w:t xml:space="preserve">0.05 </w:t>
      </w:r>
      <w:r w:rsidRPr="00D34D82">
        <w:rPr>
          <w:rFonts w:ascii="Book Antiqua" w:hAnsi="Book Antiqua" w:cs="Arial"/>
          <w:i/>
          <w:sz w:val="24"/>
        </w:rPr>
        <w:t>vs</w:t>
      </w:r>
      <w:r w:rsidRPr="00D34D82">
        <w:rPr>
          <w:rFonts w:ascii="Book Antiqua" w:hAnsi="Book Antiqua" w:cs="Arial"/>
          <w:sz w:val="24"/>
        </w:rPr>
        <w:t xml:space="preserve"> differences due to DMDP.</w:t>
      </w:r>
    </w:p>
    <w:p w:rsidR="0048476B" w:rsidRPr="00D34D82" w:rsidRDefault="0048476B" w:rsidP="000B17A3">
      <w:pPr>
        <w:spacing w:line="360" w:lineRule="auto"/>
        <w:ind w:right="-483"/>
        <w:rPr>
          <w:rFonts w:ascii="Book Antiqua" w:hAnsi="Book Antiqua" w:cs="Tahoma"/>
          <w:sz w:val="24"/>
        </w:rPr>
      </w:pPr>
    </w:p>
    <w:p w:rsidR="0048476B" w:rsidRPr="00D34D82" w:rsidRDefault="0048476B" w:rsidP="000B17A3">
      <w:pPr>
        <w:spacing w:line="360" w:lineRule="auto"/>
        <w:rPr>
          <w:rFonts w:ascii="Book Antiqua" w:hAnsi="Book Antiqua"/>
          <w:sz w:val="24"/>
        </w:rPr>
      </w:pPr>
      <w:r w:rsidRPr="00D34D82">
        <w:rPr>
          <w:rFonts w:ascii="Book Antiqua" w:hAnsi="Book Antiqua" w:cs="Tahoma"/>
          <w:sz w:val="24"/>
        </w:rPr>
        <w:br w:type="page"/>
      </w:r>
      <w:r w:rsidRPr="00D34D82">
        <w:rPr>
          <w:rFonts w:ascii="Book Antiqua" w:hAnsi="Book Antiqua"/>
          <w:sz w:val="24"/>
        </w:rPr>
        <w:lastRenderedPageBreak/>
        <w:t xml:space="preserve">  </w:t>
      </w:r>
    </w:p>
    <w:p w:rsidR="0048476B" w:rsidRPr="00D34D82" w:rsidRDefault="0048476B" w:rsidP="000B17A3">
      <w:pPr>
        <w:spacing w:line="360" w:lineRule="auto"/>
        <w:rPr>
          <w:rFonts w:ascii="Book Antiqua" w:hAnsi="Book Antiqua"/>
          <w:sz w:val="24"/>
        </w:rPr>
      </w:pPr>
      <w:r w:rsidRPr="00D34D82">
        <w:rPr>
          <w:rFonts w:ascii="Book Antiqua" w:hAnsi="Book Antiqua"/>
          <w:sz w:val="24"/>
        </w:rPr>
        <w:t>Figure 1</w:t>
      </w:r>
    </w:p>
    <w:p w:rsidR="0048476B" w:rsidRPr="00D34D82" w:rsidRDefault="007E463D" w:rsidP="000B17A3">
      <w:pPr>
        <w:spacing w:line="360" w:lineRule="auto"/>
        <w:rPr>
          <w:rFonts w:ascii="Book Antiqua" w:hAnsi="Book Antiqua"/>
          <w:sz w:val="24"/>
        </w:rPr>
      </w:pPr>
      <w:r>
        <w:rPr>
          <w:rFonts w:ascii="Book Antiqua" w:hAnsi="Book Antiqua"/>
          <w:noProof/>
          <w:sz w:val="24"/>
        </w:rPr>
        <w:drawing>
          <wp:inline distT="0" distB="0" distL="0" distR="0">
            <wp:extent cx="3609975" cy="2886075"/>
            <wp:effectExtent l="0" t="0" r="0" b="0"/>
            <wp:docPr id="1"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476B" w:rsidRPr="00D34D82" w:rsidRDefault="0048476B" w:rsidP="000B17A3">
      <w:pPr>
        <w:spacing w:line="360" w:lineRule="auto"/>
        <w:rPr>
          <w:rFonts w:ascii="Book Antiqua" w:hAnsi="Book Antiqua"/>
          <w:sz w:val="24"/>
        </w:rPr>
      </w:pPr>
    </w:p>
    <w:p w:rsidR="0048476B" w:rsidRPr="00D34D82" w:rsidRDefault="0048476B" w:rsidP="000B17A3">
      <w:pPr>
        <w:spacing w:line="360" w:lineRule="auto"/>
        <w:rPr>
          <w:rFonts w:ascii="Book Antiqua" w:hAnsi="Book Antiqua"/>
          <w:sz w:val="24"/>
        </w:rPr>
      </w:pPr>
    </w:p>
    <w:p w:rsidR="0048476B" w:rsidRPr="00D34D82" w:rsidRDefault="007E463D" w:rsidP="000B17A3">
      <w:pPr>
        <w:spacing w:line="360" w:lineRule="auto"/>
        <w:rPr>
          <w:rFonts w:ascii="Book Antiqua" w:hAnsi="Book Antiqua"/>
          <w:sz w:val="24"/>
        </w:rPr>
      </w:pPr>
      <w:r>
        <w:rPr>
          <w:rFonts w:ascii="Book Antiqua" w:hAnsi="Book Antiqua"/>
          <w:noProof/>
          <w:sz w:val="24"/>
        </w:rPr>
        <w:drawing>
          <wp:inline distT="0" distB="0" distL="0" distR="0">
            <wp:extent cx="3816350" cy="2520315"/>
            <wp:effectExtent l="0" t="0" r="0" b="0"/>
            <wp:docPr id="2"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476B" w:rsidRPr="00D34D82" w:rsidRDefault="0048476B" w:rsidP="000B17A3">
      <w:pPr>
        <w:spacing w:line="360" w:lineRule="auto"/>
        <w:rPr>
          <w:rFonts w:ascii="Book Antiqua" w:hAnsi="Book Antiqua"/>
          <w:sz w:val="24"/>
        </w:rPr>
      </w:pPr>
    </w:p>
    <w:p w:rsidR="0048476B" w:rsidRPr="00D34D82" w:rsidRDefault="0048476B" w:rsidP="000B17A3">
      <w:pPr>
        <w:spacing w:line="360" w:lineRule="auto"/>
        <w:rPr>
          <w:rFonts w:ascii="Book Antiqua" w:hAnsi="Book Antiqua"/>
          <w:sz w:val="24"/>
        </w:rPr>
      </w:pPr>
    </w:p>
    <w:p w:rsidR="0048476B" w:rsidRPr="00D34D82" w:rsidRDefault="0048476B" w:rsidP="000B17A3">
      <w:pPr>
        <w:spacing w:line="360" w:lineRule="auto"/>
        <w:rPr>
          <w:rFonts w:ascii="Book Antiqua" w:hAnsi="Book Antiqua"/>
          <w:sz w:val="24"/>
        </w:rPr>
      </w:pPr>
    </w:p>
    <w:p w:rsidR="0048476B" w:rsidRPr="00D34D82" w:rsidRDefault="0048476B" w:rsidP="000B17A3">
      <w:pPr>
        <w:spacing w:line="360" w:lineRule="auto"/>
        <w:rPr>
          <w:rFonts w:ascii="Book Antiqua" w:hAnsi="Book Antiqua"/>
          <w:sz w:val="24"/>
        </w:rPr>
      </w:pPr>
    </w:p>
    <w:p w:rsidR="0048476B" w:rsidRPr="00D34D82" w:rsidRDefault="0048476B" w:rsidP="000B17A3">
      <w:pPr>
        <w:spacing w:line="360" w:lineRule="auto"/>
        <w:rPr>
          <w:rFonts w:ascii="Book Antiqua" w:hAnsi="Book Antiqua"/>
          <w:sz w:val="24"/>
        </w:rPr>
      </w:pPr>
      <w:r w:rsidRPr="00D34D82">
        <w:rPr>
          <w:rFonts w:ascii="Book Antiqua" w:hAnsi="Book Antiqua"/>
          <w:sz w:val="24"/>
        </w:rPr>
        <w:br w:type="page"/>
      </w:r>
      <w:r w:rsidRPr="00D34D82">
        <w:rPr>
          <w:rFonts w:ascii="Book Antiqua" w:hAnsi="Book Antiqua"/>
          <w:sz w:val="24"/>
        </w:rPr>
        <w:lastRenderedPageBreak/>
        <w:t>Figure 2</w:t>
      </w:r>
    </w:p>
    <w:p w:rsidR="0048476B" w:rsidRPr="00D34D82" w:rsidRDefault="007E463D" w:rsidP="000B17A3">
      <w:pPr>
        <w:spacing w:line="360" w:lineRule="auto"/>
        <w:rPr>
          <w:rFonts w:ascii="Book Antiqua" w:hAnsi="Book Antiqua"/>
          <w:sz w:val="24"/>
        </w:rPr>
      </w:pPr>
      <w:r>
        <w:rPr>
          <w:noProof/>
        </w:rPr>
        <mc:AlternateContent>
          <mc:Choice Requires="wpc">
            <w:drawing>
              <wp:anchor distT="0" distB="0" distL="114300" distR="114300" simplePos="0" relativeHeight="251658752" behindDoc="0" locked="0" layoutInCell="1" allowOverlap="1">
                <wp:simplePos x="0" y="0"/>
                <wp:positionH relativeFrom="column">
                  <wp:posOffset>-781050</wp:posOffset>
                </wp:positionH>
                <wp:positionV relativeFrom="paragraph">
                  <wp:posOffset>-1211580</wp:posOffset>
                </wp:positionV>
                <wp:extent cx="3736975" cy="2759075"/>
                <wp:effectExtent l="0" t="0" r="0" b="3175"/>
                <wp:wrapNone/>
                <wp:docPr id="4" name="画布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5"/>
                        <wps:cNvSpPr>
                          <a:spLocks noChangeArrowheads="1"/>
                        </wps:cNvSpPr>
                        <wps:spPr bwMode="auto">
                          <a:xfrm>
                            <a:off x="95388" y="65322"/>
                            <a:ext cx="3641725" cy="267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772160" y="2159635"/>
                            <a:ext cx="161925" cy="16192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1334770" y="1541145"/>
                            <a:ext cx="161925" cy="78041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1897380" y="1170305"/>
                            <a:ext cx="161925" cy="115125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11" name="Rectangle 9"/>
                        <wps:cNvSpPr>
                          <a:spLocks noChangeArrowheads="1"/>
                        </wps:cNvSpPr>
                        <wps:spPr bwMode="auto">
                          <a:xfrm>
                            <a:off x="2449830" y="2102485"/>
                            <a:ext cx="161925" cy="21907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12" name="Rectangle 10"/>
                        <wps:cNvSpPr>
                          <a:spLocks noChangeArrowheads="1"/>
                        </wps:cNvSpPr>
                        <wps:spPr bwMode="auto">
                          <a:xfrm>
                            <a:off x="934085" y="2121535"/>
                            <a:ext cx="161925" cy="200025"/>
                          </a:xfrm>
                          <a:prstGeom prst="rect">
                            <a:avLst/>
                          </a:prstGeom>
                          <a:noFill/>
                          <a:ln w="1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1"/>
                        <wps:cNvSpPr>
                          <a:spLocks noChangeArrowheads="1"/>
                        </wps:cNvSpPr>
                        <wps:spPr bwMode="auto">
                          <a:xfrm>
                            <a:off x="1496695" y="637540"/>
                            <a:ext cx="161925" cy="1684020"/>
                          </a:xfrm>
                          <a:prstGeom prst="rect">
                            <a:avLst/>
                          </a:prstGeom>
                          <a:noFill/>
                          <a:ln w="1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2"/>
                        <wps:cNvSpPr>
                          <a:spLocks noChangeArrowheads="1"/>
                        </wps:cNvSpPr>
                        <wps:spPr bwMode="auto">
                          <a:xfrm>
                            <a:off x="2059305" y="865505"/>
                            <a:ext cx="152400" cy="1456055"/>
                          </a:xfrm>
                          <a:prstGeom prst="rect">
                            <a:avLst/>
                          </a:prstGeom>
                          <a:noFill/>
                          <a:ln w="1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3"/>
                        <wps:cNvSpPr>
                          <a:spLocks noChangeArrowheads="1"/>
                        </wps:cNvSpPr>
                        <wps:spPr bwMode="auto">
                          <a:xfrm>
                            <a:off x="2611755" y="2073910"/>
                            <a:ext cx="162560" cy="247650"/>
                          </a:xfrm>
                          <a:prstGeom prst="rect">
                            <a:avLst/>
                          </a:prstGeom>
                          <a:noFill/>
                          <a:ln w="1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4"/>
                        <wps:cNvCnPr/>
                        <wps:spPr bwMode="auto">
                          <a:xfrm flipV="1">
                            <a:off x="848360" y="2150110"/>
                            <a:ext cx="0" cy="9525"/>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819785" y="2150110"/>
                            <a:ext cx="66675" cy="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wps:spPr bwMode="auto">
                          <a:xfrm flipV="1">
                            <a:off x="1410970" y="1474470"/>
                            <a:ext cx="0" cy="66675"/>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wps:spPr bwMode="auto">
                          <a:xfrm>
                            <a:off x="1382395" y="1474470"/>
                            <a:ext cx="66675" cy="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wps:spPr bwMode="auto">
                          <a:xfrm flipV="1">
                            <a:off x="1973580" y="1075055"/>
                            <a:ext cx="0" cy="9525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wps:spPr bwMode="auto">
                          <a:xfrm>
                            <a:off x="1945005" y="1075055"/>
                            <a:ext cx="66675" cy="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wps:spPr bwMode="auto">
                          <a:xfrm flipV="1">
                            <a:off x="2526030" y="2092960"/>
                            <a:ext cx="0" cy="9525"/>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wps:spPr bwMode="auto">
                          <a:xfrm>
                            <a:off x="2497455" y="2092960"/>
                            <a:ext cx="66675" cy="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wps:spPr bwMode="auto">
                          <a:xfrm flipV="1">
                            <a:off x="1010285" y="2112010"/>
                            <a:ext cx="0" cy="9525"/>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3"/>
                        <wps:cNvCnPr/>
                        <wps:spPr bwMode="auto">
                          <a:xfrm>
                            <a:off x="981710" y="2112010"/>
                            <a:ext cx="66675" cy="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wps:spPr bwMode="auto">
                          <a:xfrm flipV="1">
                            <a:off x="1572895" y="532765"/>
                            <a:ext cx="0" cy="104775"/>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wps:spPr bwMode="auto">
                          <a:xfrm>
                            <a:off x="1544320" y="532765"/>
                            <a:ext cx="66675" cy="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wps:spPr bwMode="auto">
                          <a:xfrm flipV="1">
                            <a:off x="2135505" y="751840"/>
                            <a:ext cx="0" cy="113665"/>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wps:spPr bwMode="auto">
                          <a:xfrm>
                            <a:off x="2106930" y="751840"/>
                            <a:ext cx="66675" cy="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wps:spPr bwMode="auto">
                          <a:xfrm flipV="1">
                            <a:off x="2688590" y="2035810"/>
                            <a:ext cx="0" cy="3810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wps:spPr bwMode="auto">
                          <a:xfrm>
                            <a:off x="2660015" y="2035810"/>
                            <a:ext cx="66675" cy="0"/>
                          </a:xfrm>
                          <a:prstGeom prst="line">
                            <a:avLst/>
                          </a:prstGeom>
                          <a:noFill/>
                          <a:ln w="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0"/>
                        <wps:cNvCnPr/>
                        <wps:spPr bwMode="auto">
                          <a:xfrm>
                            <a:off x="657860" y="408940"/>
                            <a:ext cx="0" cy="19126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wps:spPr bwMode="auto">
                          <a:xfrm>
                            <a:off x="629285" y="232156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2"/>
                        <wps:cNvCnPr/>
                        <wps:spPr bwMode="auto">
                          <a:xfrm>
                            <a:off x="629285" y="200723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wps:spPr bwMode="auto">
                          <a:xfrm>
                            <a:off x="629285" y="168402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629285" y="136969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5"/>
                        <wps:cNvCnPr/>
                        <wps:spPr bwMode="auto">
                          <a:xfrm>
                            <a:off x="629285" y="104648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6"/>
                        <wps:cNvCnPr/>
                        <wps:spPr bwMode="auto">
                          <a:xfrm>
                            <a:off x="629285" y="73279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wps:spPr bwMode="auto">
                          <a:xfrm>
                            <a:off x="629285" y="40894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wps:spPr bwMode="auto">
                          <a:xfrm>
                            <a:off x="657860" y="2321560"/>
                            <a:ext cx="22402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9"/>
                        <wps:cNvCnPr/>
                        <wps:spPr bwMode="auto">
                          <a:xfrm flipV="1">
                            <a:off x="657860" y="2321560"/>
                            <a:ext cx="0" cy="285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0"/>
                        <wps:cNvCnPr/>
                        <wps:spPr bwMode="auto">
                          <a:xfrm flipV="1">
                            <a:off x="1220470" y="2321560"/>
                            <a:ext cx="0" cy="285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1"/>
                        <wps:cNvCnPr/>
                        <wps:spPr bwMode="auto">
                          <a:xfrm flipV="1">
                            <a:off x="1782445" y="2321560"/>
                            <a:ext cx="0" cy="285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wps:spPr bwMode="auto">
                          <a:xfrm flipV="1">
                            <a:off x="2335530" y="2321560"/>
                            <a:ext cx="0" cy="285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3"/>
                        <wps:cNvCnPr/>
                        <wps:spPr bwMode="auto">
                          <a:xfrm flipV="1">
                            <a:off x="2898140" y="2321560"/>
                            <a:ext cx="0" cy="285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4"/>
                        <wps:cNvSpPr>
                          <a:spLocks noChangeArrowheads="1"/>
                        </wps:cNvSpPr>
                        <wps:spPr bwMode="auto">
                          <a:xfrm>
                            <a:off x="524510" y="2254885"/>
                            <a:ext cx="565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0</w:t>
                              </w:r>
                            </w:p>
                          </w:txbxContent>
                        </wps:txbx>
                        <wps:bodyPr rot="0" vert="horz" wrap="none" lIns="0" tIns="0" rIns="0" bIns="0" anchor="t" anchorCtr="0">
                          <a:spAutoFit/>
                        </wps:bodyPr>
                      </wps:wsp>
                      <wps:wsp>
                        <wps:cNvPr id="47" name="Rectangle 45"/>
                        <wps:cNvSpPr>
                          <a:spLocks noChangeArrowheads="1"/>
                        </wps:cNvSpPr>
                        <wps:spPr bwMode="auto">
                          <a:xfrm>
                            <a:off x="410210" y="1940560"/>
                            <a:ext cx="1695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100</w:t>
                              </w:r>
                            </w:p>
                          </w:txbxContent>
                        </wps:txbx>
                        <wps:bodyPr rot="0" vert="horz" wrap="none" lIns="0" tIns="0" rIns="0" bIns="0" anchor="t" anchorCtr="0">
                          <a:spAutoFit/>
                        </wps:bodyPr>
                      </wps:wsp>
                      <wps:wsp>
                        <wps:cNvPr id="48" name="Rectangle 46"/>
                        <wps:cNvSpPr>
                          <a:spLocks noChangeArrowheads="1"/>
                        </wps:cNvSpPr>
                        <wps:spPr bwMode="auto">
                          <a:xfrm>
                            <a:off x="410210" y="1617345"/>
                            <a:ext cx="1695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200</w:t>
                              </w:r>
                            </w:p>
                          </w:txbxContent>
                        </wps:txbx>
                        <wps:bodyPr rot="0" vert="horz" wrap="none" lIns="0" tIns="0" rIns="0" bIns="0" anchor="t" anchorCtr="0">
                          <a:spAutoFit/>
                        </wps:bodyPr>
                      </wps:wsp>
                      <wps:wsp>
                        <wps:cNvPr id="49" name="Rectangle 47"/>
                        <wps:cNvSpPr>
                          <a:spLocks noChangeArrowheads="1"/>
                        </wps:cNvSpPr>
                        <wps:spPr bwMode="auto">
                          <a:xfrm>
                            <a:off x="410210" y="1303655"/>
                            <a:ext cx="1695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300</w:t>
                              </w:r>
                            </w:p>
                          </w:txbxContent>
                        </wps:txbx>
                        <wps:bodyPr rot="0" vert="horz" wrap="none" lIns="0" tIns="0" rIns="0" bIns="0" anchor="t" anchorCtr="0">
                          <a:spAutoFit/>
                        </wps:bodyPr>
                      </wps:wsp>
                      <wps:wsp>
                        <wps:cNvPr id="50" name="Rectangle 48"/>
                        <wps:cNvSpPr>
                          <a:spLocks noChangeArrowheads="1"/>
                        </wps:cNvSpPr>
                        <wps:spPr bwMode="auto">
                          <a:xfrm>
                            <a:off x="410210" y="979805"/>
                            <a:ext cx="1695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400</w:t>
                              </w:r>
                            </w:p>
                          </w:txbxContent>
                        </wps:txbx>
                        <wps:bodyPr rot="0" vert="horz" wrap="none" lIns="0" tIns="0" rIns="0" bIns="0" anchor="t" anchorCtr="0">
                          <a:spAutoFit/>
                        </wps:bodyPr>
                      </wps:wsp>
                      <wps:wsp>
                        <wps:cNvPr id="51" name="Rectangle 49"/>
                        <wps:cNvSpPr>
                          <a:spLocks noChangeArrowheads="1"/>
                        </wps:cNvSpPr>
                        <wps:spPr bwMode="auto">
                          <a:xfrm>
                            <a:off x="410210" y="666115"/>
                            <a:ext cx="1695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500</w:t>
                              </w:r>
                            </w:p>
                          </w:txbxContent>
                        </wps:txbx>
                        <wps:bodyPr rot="0" vert="horz" wrap="none" lIns="0" tIns="0" rIns="0" bIns="0" anchor="t" anchorCtr="0">
                          <a:spAutoFit/>
                        </wps:bodyPr>
                      </wps:wsp>
                      <wps:wsp>
                        <wps:cNvPr id="52" name="Rectangle 50"/>
                        <wps:cNvSpPr>
                          <a:spLocks noChangeArrowheads="1"/>
                        </wps:cNvSpPr>
                        <wps:spPr bwMode="auto">
                          <a:xfrm>
                            <a:off x="410210" y="342265"/>
                            <a:ext cx="1695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600</w:t>
                              </w:r>
                            </w:p>
                          </w:txbxContent>
                        </wps:txbx>
                        <wps:bodyPr rot="0" vert="horz" wrap="none" lIns="0" tIns="0" rIns="0" bIns="0" anchor="t" anchorCtr="0">
                          <a:spAutoFit/>
                        </wps:bodyPr>
                      </wps:wsp>
                      <wps:wsp>
                        <wps:cNvPr id="53" name="Rectangle 51"/>
                        <wps:cNvSpPr>
                          <a:spLocks noChangeArrowheads="1"/>
                        </wps:cNvSpPr>
                        <wps:spPr bwMode="auto">
                          <a:xfrm>
                            <a:off x="905510" y="2407285"/>
                            <a:ext cx="565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0</w:t>
                              </w:r>
                            </w:p>
                          </w:txbxContent>
                        </wps:txbx>
                        <wps:bodyPr rot="0" vert="horz" wrap="none" lIns="0" tIns="0" rIns="0" bIns="0" anchor="t" anchorCtr="0">
                          <a:spAutoFit/>
                        </wps:bodyPr>
                      </wps:wsp>
                      <wps:wsp>
                        <wps:cNvPr id="54" name="Rectangle 52"/>
                        <wps:cNvSpPr>
                          <a:spLocks noChangeArrowheads="1"/>
                        </wps:cNvSpPr>
                        <wps:spPr bwMode="auto">
                          <a:xfrm>
                            <a:off x="1439545" y="2407285"/>
                            <a:ext cx="1130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24</w:t>
                              </w:r>
                            </w:p>
                          </w:txbxContent>
                        </wps:txbx>
                        <wps:bodyPr rot="0" vert="horz" wrap="none" lIns="0" tIns="0" rIns="0" bIns="0" anchor="t" anchorCtr="0">
                          <a:spAutoFit/>
                        </wps:bodyPr>
                      </wps:wsp>
                      <wps:wsp>
                        <wps:cNvPr id="55" name="Rectangle 53"/>
                        <wps:cNvSpPr>
                          <a:spLocks noChangeArrowheads="1"/>
                        </wps:cNvSpPr>
                        <wps:spPr bwMode="auto">
                          <a:xfrm>
                            <a:off x="2002155" y="2407285"/>
                            <a:ext cx="1130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48</w:t>
                              </w:r>
                            </w:p>
                          </w:txbxContent>
                        </wps:txbx>
                        <wps:bodyPr rot="0" vert="horz" wrap="none" lIns="0" tIns="0" rIns="0" bIns="0" anchor="t" anchorCtr="0">
                          <a:spAutoFit/>
                        </wps:bodyPr>
                      </wps:wsp>
                      <wps:wsp>
                        <wps:cNvPr id="56" name="Rectangle 54"/>
                        <wps:cNvSpPr>
                          <a:spLocks noChangeArrowheads="1"/>
                        </wps:cNvSpPr>
                        <wps:spPr bwMode="auto">
                          <a:xfrm>
                            <a:off x="2564130" y="2407285"/>
                            <a:ext cx="1130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72</w:t>
                              </w:r>
                            </w:p>
                          </w:txbxContent>
                        </wps:txbx>
                        <wps:bodyPr rot="0" vert="horz" wrap="none" lIns="0" tIns="0" rIns="0" bIns="0" anchor="t" anchorCtr="0">
                          <a:spAutoFit/>
                        </wps:bodyPr>
                      </wps:wsp>
                      <wps:wsp>
                        <wps:cNvPr id="57" name="Rectangle 55"/>
                        <wps:cNvSpPr>
                          <a:spLocks noChangeArrowheads="1"/>
                        </wps:cNvSpPr>
                        <wps:spPr bwMode="auto">
                          <a:xfrm>
                            <a:off x="1210945" y="2530475"/>
                            <a:ext cx="1118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8"/>
                                  <w:szCs w:val="18"/>
                                </w:rPr>
                                <w:t>Time following TA (hr)</w:t>
                              </w:r>
                            </w:p>
                          </w:txbxContent>
                        </wps:txbx>
                        <wps:bodyPr rot="0" vert="horz" wrap="none" lIns="0" tIns="0" rIns="0" bIns="0" anchor="t" anchorCtr="0">
                          <a:spAutoFit/>
                        </wps:bodyPr>
                      </wps:wsp>
                      <wps:wsp>
                        <wps:cNvPr id="58" name="Rectangle 56"/>
                        <wps:cNvSpPr>
                          <a:spLocks noChangeArrowheads="1"/>
                        </wps:cNvSpPr>
                        <wps:spPr bwMode="auto">
                          <a:xfrm rot="16200000">
                            <a:off x="325120" y="719455"/>
                            <a:ext cx="6953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8"/>
                                  <w:szCs w:val="18"/>
                                </w:rPr>
                                <w:t>Tnf-α (pg/mL)</w:t>
                              </w:r>
                            </w:p>
                          </w:txbxContent>
                        </wps:txbx>
                        <wps:bodyPr rot="0" vert="horz" wrap="none" lIns="0" tIns="0" rIns="0" bIns="0" anchor="t" anchorCtr="0">
                          <a:spAutoFit/>
                        </wps:bodyPr>
                      </wps:wsp>
                      <wps:wsp>
                        <wps:cNvPr id="59" name="Rectangle 57"/>
                        <wps:cNvSpPr>
                          <a:spLocks noChangeArrowheads="1"/>
                        </wps:cNvSpPr>
                        <wps:spPr bwMode="auto">
                          <a:xfrm rot="16200000">
                            <a:off x="186055" y="1353185"/>
                            <a:ext cx="114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txbxContent>
                        </wps:txbx>
                        <wps:bodyPr rot="0" vert="horz" wrap="none" lIns="0" tIns="0" rIns="0" bIns="0" anchor="t" anchorCtr="0">
                          <a:spAutoFit/>
                        </wps:bodyPr>
                      </wps:wsp>
                      <wps:wsp>
                        <wps:cNvPr id="60" name="Rectangle 58"/>
                        <wps:cNvSpPr>
                          <a:spLocks noChangeArrowheads="1"/>
                        </wps:cNvSpPr>
                        <wps:spPr bwMode="auto">
                          <a:xfrm>
                            <a:off x="2259330" y="180975"/>
                            <a:ext cx="676910" cy="361315"/>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61" name="Rectangle 59"/>
                        <wps:cNvSpPr>
                          <a:spLocks noChangeArrowheads="1"/>
                        </wps:cNvSpPr>
                        <wps:spPr bwMode="auto">
                          <a:xfrm>
                            <a:off x="2297430" y="247650"/>
                            <a:ext cx="57150" cy="5651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62" name="Rectangle 60"/>
                        <wps:cNvSpPr>
                          <a:spLocks noChangeArrowheads="1"/>
                        </wps:cNvSpPr>
                        <wps:spPr bwMode="auto">
                          <a:xfrm>
                            <a:off x="2392680" y="209550"/>
                            <a:ext cx="1301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TA</w:t>
                              </w:r>
                            </w:p>
                          </w:txbxContent>
                        </wps:txbx>
                        <wps:bodyPr rot="0" vert="horz" wrap="none" lIns="0" tIns="0" rIns="0" bIns="0" anchor="t" anchorCtr="0">
                          <a:spAutoFit/>
                        </wps:bodyPr>
                      </wps:wsp>
                      <wps:wsp>
                        <wps:cNvPr id="63" name="Rectangle 61"/>
                        <wps:cNvSpPr>
                          <a:spLocks noChangeArrowheads="1"/>
                        </wps:cNvSpPr>
                        <wps:spPr bwMode="auto">
                          <a:xfrm>
                            <a:off x="2297430" y="427990"/>
                            <a:ext cx="57150" cy="57150"/>
                          </a:xfrm>
                          <a:prstGeom prst="rect">
                            <a:avLst/>
                          </a:prstGeom>
                          <a:noFill/>
                          <a:ln w="1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2"/>
                        <wps:cNvSpPr>
                          <a:spLocks noChangeArrowheads="1"/>
                        </wps:cNvSpPr>
                        <wps:spPr bwMode="auto">
                          <a:xfrm>
                            <a:off x="2392680" y="389890"/>
                            <a:ext cx="5448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TA + DMDP</w:t>
                              </w:r>
                            </w:p>
                          </w:txbxContent>
                        </wps:txbx>
                        <wps:bodyPr rot="0" vert="horz" wrap="none" lIns="0" tIns="0" rIns="0" bIns="0" anchor="t" anchorCtr="0">
                          <a:spAutoFit/>
                        </wps:bodyPr>
                      </wps:wsp>
                      <wps:wsp>
                        <wps:cNvPr id="65" name="Rectangle 63"/>
                        <wps:cNvSpPr>
                          <a:spLocks noChangeArrowheads="1"/>
                        </wps:cNvSpPr>
                        <wps:spPr bwMode="auto">
                          <a:xfrm>
                            <a:off x="1382395" y="1265555"/>
                            <a:ext cx="1358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a,c</w:t>
                              </w:r>
                            </w:p>
                          </w:txbxContent>
                        </wps:txbx>
                        <wps:bodyPr rot="0" vert="horz" wrap="none" lIns="0" tIns="0" rIns="0" bIns="0" anchor="t" anchorCtr="0">
                          <a:spAutoFit/>
                        </wps:bodyPr>
                      </wps:wsp>
                      <wps:wsp>
                        <wps:cNvPr id="66" name="Rectangle 64"/>
                        <wps:cNvSpPr>
                          <a:spLocks noChangeArrowheads="1"/>
                        </wps:cNvSpPr>
                        <wps:spPr bwMode="auto">
                          <a:xfrm>
                            <a:off x="1897380" y="875030"/>
                            <a:ext cx="1358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a,c</w:t>
                              </w:r>
                            </w:p>
                          </w:txbxContent>
                        </wps:txbx>
                        <wps:bodyPr rot="0" vert="horz" wrap="none" lIns="0" tIns="0" rIns="0" bIns="0" anchor="t" anchorCtr="0">
                          <a:spAutoFit/>
                        </wps:bodyPr>
                      </wps:wsp>
                      <wps:wsp>
                        <wps:cNvPr id="67" name="Rectangle 65"/>
                        <wps:cNvSpPr>
                          <a:spLocks noChangeArrowheads="1"/>
                        </wps:cNvSpPr>
                        <wps:spPr bwMode="auto">
                          <a:xfrm>
                            <a:off x="1515745" y="332740"/>
                            <a:ext cx="565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a</w:t>
                              </w:r>
                            </w:p>
                          </w:txbxContent>
                        </wps:txbx>
                        <wps:bodyPr rot="0" vert="horz" wrap="none" lIns="0" tIns="0" rIns="0" bIns="0" anchor="t" anchorCtr="0">
                          <a:spAutoFit/>
                        </wps:bodyPr>
                      </wps:wsp>
                      <wps:wsp>
                        <wps:cNvPr id="3" name="Rectangle 66"/>
                        <wps:cNvSpPr>
                          <a:spLocks noChangeArrowheads="1"/>
                        </wps:cNvSpPr>
                        <wps:spPr bwMode="auto">
                          <a:xfrm>
                            <a:off x="2097405" y="523240"/>
                            <a:ext cx="565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16"/>
                                  <w:szCs w:val="16"/>
                                </w:rPr>
                                <w:t>a</w:t>
                              </w:r>
                            </w:p>
                          </w:txbxContent>
                        </wps:txbx>
                        <wps:bodyPr rot="0" vert="horz" wrap="none" lIns="0" tIns="0" rIns="0" bIns="0" anchor="t" anchorCtr="0">
                          <a:spAutoFit/>
                        </wps:bodyPr>
                      </wps:wsp>
                      <wps:wsp>
                        <wps:cNvPr id="69" name="Rectangle 67"/>
                        <wps:cNvSpPr>
                          <a:spLocks noChangeArrowheads="1"/>
                        </wps:cNvSpPr>
                        <wps:spPr bwMode="auto">
                          <a:xfrm>
                            <a:off x="123825" y="11430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6B" w:rsidRDefault="0048476B">
                              <w:r>
                                <w:rPr>
                                  <w:rFonts w:ascii="Arial" w:hAnsi="Arial" w:cs="Arial"/>
                                  <w:color w:val="000000"/>
                                  <w:kern w:val="0"/>
                                  <w:sz w:val="24"/>
                                </w:rPr>
                                <w:t>A</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画布 70" o:spid="_x0000_s1026" editas="canvas" style="position:absolute;left:0;text-align:left;margin-left:-61.5pt;margin-top:-95.4pt;width:294.25pt;height:217.25pt;z-index:251658752" coordsize="37369,2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69;height:27590;visibility:visible;mso-wrap-style:square">
                  <v:fill o:detectmouseclick="t"/>
                  <v:path o:connecttype="none"/>
                </v:shape>
                <v:rect id="Rectangle 5" o:spid="_x0000_s1028" style="position:absolute;left:953;top:653;width:36418;height:26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6" o:spid="_x0000_s1029" style="position:absolute;left:7721;top:21596;width:16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cGLwA&#10;AADaAAAADwAAAGRycy9kb3ducmV2LnhtbERPTYvCMBC9L/gfwgjetmn3IFJNpQiiV93F89CMbWkz&#10;qU2s3X/vHBb2+Hjfu/3sejXRGFrPBrIkBUVcedtybeDn+/i5ARUissXeMxn4pQD7YvGxw9z6F19o&#10;usZaSQiHHA00MQ651qFqyGFI/EAs3N2PDqPAsdZ2xJeEu15/pelaO2xZGhoc6NBQ1V2fzoAruz4r&#10;T9l9vh11Oj0f0jScjVkt53ILKtIc/8V/7rM1IFvlitwAXb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TxwYvAAAANoAAAAPAAAAAAAAAAAAAAAAAJgCAABkcnMvZG93bnJldi54&#10;bWxQSwUGAAAAAAQABAD1AAAAgQMAAAAA&#10;" fillcolor="black" strokeweight="42e-5mm"/>
                <v:rect id="Rectangle 7" o:spid="_x0000_s1030" style="position:absolute;left:13347;top:15411;width:1619;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5g7wA&#10;AADaAAAADwAAAGRycy9kb3ducmV2LnhtbESPywrCMBBF94L/EEZwZ9O6EK1GKYLo1geuh2Zsi82k&#10;NrHWvzeC4PJyH4e72vSmFh21rrKsIIliEMS51RUXCi7n3WQOwnlkjbVlUvAmB5v1cLDCVNsXH6k7&#10;+UKEEXYpKii9b1IpXV6SQRfZhjh4N9sa9EG2hdQtvsK4qeU0jmfSYMWBUGJD25Ly++lpFJjsXifZ&#10;Prn1152Mu+cjkJqDUuNRny1BeOr9P/xrH7SCBXyvhBs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A7mDvAAAANoAAAAPAAAAAAAAAAAAAAAAAJgCAABkcnMvZG93bnJldi54&#10;bWxQSwUGAAAAAAQABAD1AAAAgQMAAAAA&#10;" fillcolor="black" strokeweight="42e-5mm"/>
                <v:rect id="Rectangle 8" o:spid="_x0000_s1031" style="position:absolute;left:18973;top:11703;width:1620;height:1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oVL8A&#10;AADbAAAADwAAAGRycy9kb3ducmV2LnhtbESPTWvDMAyG74X9B6PCbq2THsbI4pZQKMt1adlZxMoH&#10;jeUsdtP030+HQm8Sej8e5YfFDWqmKfSeDaTbBBRx7W3PrYHL+bT5BBUissXBMxl4UIDD/m2VY2b9&#10;nX9ormKrJIRDhga6GMdM61B35DBs/Ugst8ZPDqOsU6vthHcJd4PeJcmHdtizNHQ40rGj+lrdnAFX&#10;XIe0+E6b5fekk/n2J01jacz7eim+QEVa4kv8dJdW8IVefpEB9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jmhUvwAAANsAAAAPAAAAAAAAAAAAAAAAAJgCAABkcnMvZG93bnJl&#10;di54bWxQSwUGAAAAAAQABAD1AAAAhAMAAAAA&#10;" fillcolor="black" strokeweight="42e-5mm"/>
                <v:rect id="Rectangle 9" o:spid="_x0000_s1032" style="position:absolute;left:24498;top:21024;width:161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Nz70A&#10;AADbAAAADwAAAGRycy9kb3ducmV2LnhtbESPzQrCMBCE74LvEFbwpmk9iFTTUgTRqz94Xpq1LTab&#10;2sRa394IgrddZna+2U02mEb01LnasoJ4HoEgLqyuuVRwOe9mKxDOI2tsLJOCNznI0vFog4m2Lz5S&#10;f/KlCCHsElRQed8mUrqiIoNublvioN1sZ9CHtSul7vAVwk0jF1G0lAZrDoQKW9pWVNxPT6PA5Pcm&#10;zvfxbbjuZNQ/H4HUHpSaToZ8DcLT4P/m3/VBh/oxfH8JA8j0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LNz70AAADbAAAADwAAAAAAAAAAAAAAAACYAgAAZHJzL2Rvd25yZXYu&#10;eG1sUEsFBgAAAAAEAAQA9QAAAIIDAAAAAA==&#10;" fillcolor="black" strokeweight="42e-5mm"/>
                <v:rect id="Rectangle 10" o:spid="_x0000_s1033" style="position:absolute;left:9340;top:21215;width:162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aoMIA&#10;AADbAAAADwAAAGRycy9kb3ducmV2LnhtbERPTWsCMRC9F/wPYQq9FM1WpcrWKFJY6E2rBfU2bKa7&#10;oZtJSFLd/nsjFLzN433OYtXbTpwpRONYwcuoAEFcO224UfC1r4ZzEDEha+wck4I/irBaDh4WWGp3&#10;4U8671IjcgjHEhW0KflSyli3ZDGOnCfO3LcLFlOGoZE64CWH206Oi+JVWjScG1r09N5S/bP7tQoO&#10;2+lmZsJmPqmmJ2/86bk6VqTU02O/fgORqE938b/7Q+f5Y7j9k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JqgwgAAANsAAAAPAAAAAAAAAAAAAAAAAJgCAABkcnMvZG93&#10;bnJldi54bWxQSwUGAAAAAAQABAD1AAAAhwMAAAAA&#10;" filled="f" strokeweight="42e-5mm"/>
                <v:rect id="Rectangle 11" o:spid="_x0000_s1034" style="position:absolute;left:14966;top:6375;width:1620;height: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O8IA&#10;AADbAAAADwAAAGRycy9kb3ducmV2LnhtbERPTWsCMRC9C/6HMIIXqdlWaWVrFCkseLPVQutt2Ex3&#10;g5tJSFJd/70pFLzN433Oct3bTpwpRONYweO0AEFcO224UfB5qB4WIGJC1tg5JgVXirBeDQdLLLW7&#10;8Aed96kROYRjiQralHwpZaxbshinzhNn7scFiynD0Egd8JLDbSefiuJZWjScG1r09NZSfdr/WgVf&#10;7/Pdiwm7xayaH73xx0n1XZFS41G/eQWRqE938b97q/P8Gfz9k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D87wgAAANsAAAAPAAAAAAAAAAAAAAAAAJgCAABkcnMvZG93&#10;bnJldi54bWxQSwUGAAAAAAQABAD1AAAAhwMAAAAA&#10;" filled="f" strokeweight="42e-5mm"/>
                <v:rect id="Rectangle 12" o:spid="_x0000_s1035" style="position:absolute;left:20593;top:8655;width:1524;height:1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nT8IA&#10;AADbAAAADwAAAGRycy9kb3ducmV2LnhtbERP30vDMBB+F/wfwgm+yJaqxY26rMigsLfpFHRvR3O2&#10;weYSkqzr/nsjCHu7j+/nrerJDmKkEI1jBffzAgRx67ThTsHHezNbgogJWePgmBScKUK9vr5aYaXd&#10;id9o3KdO5BCOFSroU/KVlLHtyWKcO0+cuW8XLKYMQyd1wFMOt4N8KIonadFwbujR06an9md/tAo+&#10;X8vdwoTd8rEpD974w13z1ZBStzfTyzOIRFO6iP/dW53nl/D3Sz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adPwgAAANsAAAAPAAAAAAAAAAAAAAAAAJgCAABkcnMvZG93&#10;bnJldi54bWxQSwUGAAAAAAQABAD1AAAAhwMAAAAA&#10;" filled="f" strokeweight="42e-5mm"/>
                <v:rect id="Rectangle 13" o:spid="_x0000_s1036" style="position:absolute;left:26117;top:20739;width:162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C1MIA&#10;AADbAAAADwAAAGRycy9kb3ducmV2LnhtbERPS2sCMRC+C/6HMIKXUrOt2srWKKWw4M36gNbbsJnu&#10;hm4mIYm6/fdNoeBtPr7nLNe97cSFQjSOFTxMChDEtdOGGwXHQ3W/ABETssbOMSn4oQjr1XCwxFK7&#10;K+/osk+NyCEcS1TQpuRLKWPdksU4cZ44c18uWEwZhkbqgNccbjv5WBRP0qLh3NCip7eW6u/92Sr4&#10;eJ9tn03YLqbV7OSNP91VnxUpNR71ry8gEvXpJv53b3SeP4e/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QLUwgAAANsAAAAPAAAAAAAAAAAAAAAAAJgCAABkcnMvZG93&#10;bnJldi54bWxQSwUGAAAAAAQABAD1AAAAhwMAAAAA&#10;" filled="f" strokeweight="42e-5mm"/>
                <v:line id="Line 14" o:spid="_x0000_s1037" style="position:absolute;flip:y;visibility:visible;mso-wrap-style:square" from="8483,21501" to="8483,2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2ysIAAADbAAAADwAAAGRycy9kb3ducmV2LnhtbERPzWrCQBC+F/oOywheim7swZboGqRQ&#10;yKFiG/sAQ3bMBrOzaXZNok/vFgRv8/H9zjobbSN66nztWMFinoAgLp2uuVLwe/icvYPwAVlj45gU&#10;XMhDtnl+WmOq3cA/1BehEjGEfYoKTAhtKqUvDVn0c9cSR+7oOoshwq6SusMhhttGvibJUlqsOTYY&#10;bOnDUHkqzlbBfqf/5LVo3l7yL9oP5vqdtP2g1HQyblcgAo3hIb67cx3nL+H/l3i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2ysIAAADbAAAADwAAAAAAAAAAAAAA&#10;AAChAgAAZHJzL2Rvd25yZXYueG1sUEsFBgAAAAAEAAQA+QAAAJADAAAAAA==&#10;" strokeweight="42e-5mm"/>
                <v:line id="Line 15" o:spid="_x0000_s1038" style="position:absolute;visibility:visible;mso-wrap-style:square" from="8197,21501" to="8864,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zFu8AAAADbAAAADwAAAGRycy9kb3ducmV2LnhtbERPS4vCMBC+C/6HMII3TVWo0jWK+IDK&#10;XnzswePQzLZlm0lJotZ/bxYW9jYf33OW68404kHO15YVTMYJCOLC6ppLBV/Xw2gBwgdkjY1lUvAi&#10;D+tVv7fETNsnn+lxCaWIIewzVFCF0GZS+qIig35sW+LIfVtnMEToSqkdPmO4aeQ0SVJpsObYUGFL&#10;24qKn8vdKMjRpx1/+nyWTve729Gd8vZWKjUcdJsPEIG68C/+c+c6zp/D7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sxbvAAAAA2wAAAA8AAAAAAAAAAAAAAAAA&#10;oQIAAGRycy9kb3ducmV2LnhtbFBLBQYAAAAABAAEAPkAAACOAwAAAAA=&#10;" strokeweight="42e-5mm"/>
                <v:line id="Line 16" o:spid="_x0000_s1039" style="position:absolute;flip:y;visibility:visible;mso-wrap-style:square" from="14109,14744" to="14109,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HI8UAAADbAAAADwAAAGRycy9kb3ducmV2LnhtbESPQWvCQBCF7wX/wzJCL6Vu6qGV1FWk&#10;UPCgaKM/YMhOs6HZ2ZjdJqm/3jkUvM3w3rz3zXI9+kb11MU6sIGXWQaKuAy25srA+fT5vAAVE7LF&#10;JjAZ+KMI69XkYYm5DQN/UV+kSkkIxxwNuJTaXOtYOvIYZ6ElFu07dB6TrF2lbYeDhPtGz7PsVXus&#10;WRoctvThqPwpfr2Bw95e9LVo3p62OzoM7nrM2n4w5nE6bt5BJRrT3fx/vbWCL7Dyiwy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JHI8UAAADbAAAADwAAAAAAAAAA&#10;AAAAAAChAgAAZHJzL2Rvd25yZXYueG1sUEsFBgAAAAAEAAQA+QAAAJMDAAAAAA==&#10;" strokeweight="42e-5mm"/>
                <v:line id="Line 17" o:spid="_x0000_s1040" style="position:absolute;visibility:visible;mso-wrap-style:square" from="13823,14744" to="14490,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0UsAAAADbAAAADwAAAGRycy9kb3ducmV2LnhtbERPS4vCMBC+C/6HMII3TVUo2jWK+IDK&#10;XnzswePQzLZlm0lJotZ/bxYW9jYf33OW68404kHO15YVTMYJCOLC6ppLBV/Xw2gOwgdkjY1lUvAi&#10;D+tVv7fETNsnn+lxCaWIIewzVFCF0GZS+qIig35sW+LIfVtnMEToSqkdPmO4aeQ0SVJpsObYUGFL&#10;24qKn8vdKMjRpx1/+nyWTve729Gd8vZWKjUcdJsPEIG68C/+c+c6zl/A7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9FLAAAAA2wAAAA8AAAAAAAAAAAAAAAAA&#10;oQIAAGRycy9kb3ducmV2LnhtbFBLBQYAAAAABAAEAPkAAACOAwAAAAA=&#10;" strokeweight="42e-5mm"/>
                <v:line id="Line 18" o:spid="_x0000_s1041" style="position:absolute;flip:y;visibility:visible;mso-wrap-style:square" from="19735,10750" to="19735,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iBmMAAAADbAAAADwAAAGRycy9kb3ducmV2LnhtbERPzYrCMBC+C75DGMGLaKoHd+kaZREE&#10;D4pu1wcYmtmmbDOpTWyrT28OgseP73+16W0lWmp86VjBfJaAIM6dLrlQcPndTT9B+ICssXJMCu7k&#10;YbMeDlaYatfxD7VZKEQMYZ+iAhNCnUrpc0MW/czVxJH7c43FEGFTSN1gF8NtJRdJspQWS44NBmva&#10;Gsr/s5tVcDrqq3xk1cdkf6BTZx7npG47pcaj/vsLRKA+vMUv914rWMT18Uv8A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0ogZjAAAAA2wAAAA8AAAAAAAAAAAAAAAAA&#10;oQIAAGRycy9kb3ducmV2LnhtbFBLBQYAAAAABAAEAPkAAACOAwAAAAA=&#10;" strokeweight="42e-5mm"/>
                <v:line id="Line 19" o:spid="_x0000_s1042" style="position:absolute;visibility:visible;mso-wrap-style:square" from="19450,10750" to="20116,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Uy6cMAAADbAAAADwAAAGRycy9kb3ducmV2LnhtbESPzWrDMBCE74G+g9hCb7FsF0xwo4TS&#10;H3DJJXF6yHGxNraJtTKS6rhvHxUKOQ4z8w2z3s5mEBM531tWkCUpCOLG6p5bBd/Hz+UKhA/IGgfL&#10;pOCXPGw3D4s1ltpe+UBTHVoRIexLVNCFMJZS+qYjgz6xI3H0ztYZDFG6VmqH1wg3g8zTtJAGe44L&#10;HY701lFzqX+Mggp9MfPOV89F/vF++nL7ajy1Sj09zq8vIALN4R7+b1daQZ7B3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lMunDAAAA2wAAAA8AAAAAAAAAAAAA&#10;AAAAoQIAAGRycy9kb3ducmV2LnhtbFBLBQYAAAAABAAEAPkAAACRAwAAAAA=&#10;" strokeweight="42e-5mm"/>
                <v:line id="Line 20" o:spid="_x0000_s1043" style="position:absolute;flip:y;visibility:visible;mso-wrap-style:square" from="25260,20929" to="25260,2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a6dMUAAADbAAAADwAAAGRycy9kb3ducmV2LnhtbESPwWrDMBBE74X8g9hALqWR40Mb3Mgm&#10;FAo5pKR18gGLtbVMrZVjKbabr68KgRyHmXnDbIrJtmKg3jeOFayWCQjiyumGawWn4/vTGoQPyBpb&#10;x6TglzwU+exhg5l2I3/RUIZaRAj7DBWYELpMSl8ZsuiXriOO3rfrLYYo+1rqHscIt61Mk+RZWmw4&#10;Lhjs6M1Q9VNerILDhz7La9m+PO72dBjN9TPphlGpxXzavoIINIV7+NbeaQVpCv9f4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a6dMUAAADbAAAADwAAAAAAAAAA&#10;AAAAAAChAgAAZHJzL2Rvd25yZXYueG1sUEsFBgAAAAAEAAQA+QAAAJMDAAAAAA==&#10;" strokeweight="42e-5mm"/>
                <v:line id="Line 21" o:spid="_x0000_s1044" style="position:absolute;visibility:visible;mso-wrap-style:square" from="24974,20929" to="25641,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sJBcIAAADbAAAADwAAAGRycy9kb3ducmV2LnhtbESPT4vCMBTE7wt+h/AEb2tqhbJUo4h/&#10;oLKXXfXg8dE822LzUpKo9dtvBGGPw8z8hpkve9OKOznfWFYwGScgiEurG64UnI67zy8QPiBrbC2T&#10;gid5WC4GH3PMtX3wL90PoRIRwj5HBXUIXS6lL2sy6Me2I47exTqDIUpXSe3wEeGmlWmSZNJgw3Gh&#10;xo7WNZXXw80oKNBnPX/7Ypql2815736K7lwpNRr2qxmIQH34D7/bhVaQTuH1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sJBcIAAADbAAAADwAAAAAAAAAAAAAA&#10;AAChAgAAZHJzL2Rvd25yZXYueG1sUEsFBgAAAAAEAAQA+QAAAJADAAAAAA==&#10;" strokeweight="42e-5mm"/>
                <v:line id="Line 22" o:spid="_x0000_s1045" style="position:absolute;flip:y;visibility:visible;mso-wrap-style:square" from="10102,21120" to="10102,2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OHm8UAAADbAAAADwAAAGRycy9kb3ducmV2LnhtbESP0WrCQBRE34X+w3ILfRHdVEQldRNK&#10;oeCDYk37AZfsbTY0ezfNbpPo17tCwcdhZs4w23y0jeip87VjBc/zBARx6XTNlYKvz/fZBoQPyBob&#10;x6TgTB7y7GGyxVS7gU/UF6ESEcI+RQUmhDaV0peGLPq5a4mj9+06iyHKrpK6wyHCbSMXSbKSFmuO&#10;CwZbejNU/hR/VsHxoH/lpWjW092ejoO5fCRtPyj19Di+voAINIZ7+L+90woWS7h9i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OHm8UAAADbAAAADwAAAAAAAAAA&#10;AAAAAAChAgAAZHJzL2Rvd25yZXYueG1sUEsFBgAAAAAEAAQA+QAAAJMDAAAAAA==&#10;" strokeweight="42e-5mm"/>
                <v:line id="Line 23" o:spid="_x0000_s1046" style="position:absolute;visibility:visible;mso-wrap-style:square" from="9817,21120" to="10483,2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406sMAAADbAAAADwAAAGRycy9kb3ducmV2LnhtbESPQWvCQBSE70L/w/IKvemmKQaJrlJa&#10;CyleNHrw+Mg+k2D2bdhdNf33XUHwOMzMN8xiNZhOXMn51rKC90kCgriyuuVawWH/M56B8AFZY2eZ&#10;FPyRh9XyZbTAXNsb7+hahlpECPscFTQh9LmUvmrIoJ/Ynjh6J+sMhihdLbXDW4SbTqZJkkmDLceF&#10;Bnv6aqg6lxejoECfDbzxxUeWrr+Pv25b9MdaqbfX4XMOItAQnuFHu9AK0incv8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NOrDAAAA2wAAAA8AAAAAAAAAAAAA&#10;AAAAoQIAAGRycy9kb3ducmV2LnhtbFBLBQYAAAAABAAEAPkAAACRAwAAAAA=&#10;" strokeweight="42e-5mm"/>
                <v:line id="Line 24" o:spid="_x0000_s1047" style="position:absolute;flip:y;visibility:visible;mso-wrap-style:square" from="15728,5327" to="15728,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28d8UAAADbAAAADwAAAGRycy9kb3ducmV2LnhtbESPwWrDMBBE74H+g9hCLqGRk0MSHCum&#10;FAI+tKRx+gGLtbFMrZVrqbaTr68KhR6HmXnDZPlkWzFQ7xvHClbLBARx5XTDtYKPy/FpB8IHZI2t&#10;Y1JwIw/54WGWYardyGcaylCLCGGfogITQpdK6StDFv3SdcTRu7reYoiyr6XucYxw28p1kmykxYbj&#10;gsGOXgxVn+W3VXB601/yXrbbRfFKp9Hc35NuGJWaP07PexCBpvAf/msXWsF6A79f4g+Qh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28d8UAAADbAAAADwAAAAAAAAAA&#10;AAAAAAChAgAAZHJzL2Rvd25yZXYueG1sUEsFBgAAAAAEAAQA+QAAAJMDAAAAAA==&#10;" strokeweight="42e-5mm"/>
                <v:line id="Line 25" o:spid="_x0000_s1048" style="position:absolute;visibility:visible;mso-wrap-style:square" from="15443,5327" to="16109,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APBsMAAADbAAAADwAAAGRycy9kb3ducmV2LnhtbESPQWvCQBSE70L/w/IKvemmKUSJrlJa&#10;CyleNHrw+Mg+k2D2bdhdNf33XUHwOMzMN8xiNZhOXMn51rKC90kCgriyuuVawWH/M56B8AFZY2eZ&#10;FPyRh9XyZbTAXNsb7+hahlpECPscFTQh9LmUvmrIoJ/Ynjh6J+sMhihdLbXDW4SbTqZJkkmDLceF&#10;Bnv6aqg6lxejoECfDbzxxUeWrr+Pv25b9MdaqbfX4XMOItAQnuFHu9AK0incv8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ADwbDAAAA2wAAAA8AAAAAAAAAAAAA&#10;AAAAoQIAAGRycy9kb3ducmV2LnhtbFBLBQYAAAAABAAEAPkAAACRAwAAAAA=&#10;" strokeweight="42e-5mm"/>
                <v:line id="Line 26" o:spid="_x0000_s1049" style="position:absolute;flip:y;visibility:visible;mso-wrap-style:square" from="21355,7518" to="21355,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6NnsAAAADbAAAADwAAAGRycy9kb3ducmV2LnhtbERPzYrCMBC+C75DGMGLaKoHd+kaZREE&#10;D4pu1wcYmtmmbDOpTWyrT28OgseP73+16W0lWmp86VjBfJaAIM6dLrlQcPndTT9B+ICssXJMCu7k&#10;YbMeDlaYatfxD7VZKEQMYZ+iAhNCnUrpc0MW/czVxJH7c43FEGFTSN1gF8NtJRdJspQWS44NBmva&#10;Gsr/s5tVcDrqq3xk1cdkf6BTZx7npG47pcaj/vsLRKA+vMUv914rWMSx8Uv8A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ejZ7AAAAA2wAAAA8AAAAAAAAAAAAAAAAA&#10;oQIAAGRycy9kb3ducmV2LnhtbFBLBQYAAAAABAAEAPkAAACOAwAAAAA=&#10;" strokeweight="42e-5mm"/>
                <v:line id="Line 27" o:spid="_x0000_s1050" style="position:absolute;visibility:visible;mso-wrap-style:square" from="21069,7518" to="21736,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M+78MAAADbAAAADwAAAGRycy9kb3ducmV2LnhtbESPQWvCQBSE70L/w/IKvemmKQSNrlJa&#10;CyleNHrw+Mg+k2D2bdhdNf33XUHwOMzMN8xiNZhOXMn51rKC90kCgriyuuVawWH/M56C8AFZY2eZ&#10;FPyRh9XyZbTAXNsb7+hahlpECPscFTQh9LmUvmrIoJ/Ynjh6J+sMhihdLbXDW4SbTqZJkkmDLceF&#10;Bnv6aqg6lxejoECfDbzxxUeWrr+Pv25b9MdaqbfX4XMOItAQnuFHu9AK0hncv8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TPu/DAAAA2wAAAA8AAAAAAAAAAAAA&#10;AAAAoQIAAGRycy9kb3ducmV2LnhtbFBLBQYAAAAABAAEAPkAAACRAwAAAAA=&#10;" strokeweight="42e-5mm"/>
                <v:line id="Line 28" o:spid="_x0000_s1051" style="position:absolute;flip:y;visibility:visible;mso-wrap-style:square" from="26885,20358" to="26885,20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RcEAAADbAAAADwAAAGRycy9kb3ducmV2LnhtbERP3WrCMBS+H/gO4Qy8GWuqwhzVKDIQ&#10;vFCc1Qc4NMemrDnpmthWn95cDHb58f0v14OtRUetrxwrmCQpCOLC6YpLBZfz9v0ThA/IGmvHpOBO&#10;Htar0csSM+16PlGXh1LEEPYZKjAhNJmUvjBk0SeuIY7c1bUWQ4RtKXWLfQy3tZym6Ye0WHFsMNjQ&#10;l6HiJ79ZBceD/pWPvJ6/7fZ07M3jO226Xqnx67BZgAg0hH/xn3unFczi+vgl/g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8RdFwQAAANsAAAAPAAAAAAAAAAAAAAAA&#10;AKECAABkcnMvZG93bnJldi54bWxQSwUGAAAAAAQABAD5AAAAjwMAAAAA&#10;" strokeweight="42e-5mm"/>
                <v:line id="Line 29" o:spid="_x0000_s1052" style="position:absolute;visibility:visible;mso-wrap-style:square" from="26600,20358" to="27266,2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kNMIAAADbAAAADwAAAGRycy9kb3ducmV2LnhtbESPT4vCMBTE74LfITzBm6YqFKlGEf9A&#10;Fy9rdw8eH82zLTYvJYna/fZmYWGPw8z8hllve9OKJznfWFYwmyYgiEurG64UfH+dJksQPiBrbC2T&#10;gh/ysN0MB2vMtH3xhZ5FqESEsM9QQR1Cl0npy5oM+qntiKN3s85giNJVUjt8Rbhp5TxJUmmw4bhQ&#10;Y0f7msp78TAKcvRpz2efL9L58XD9cJ95d62UGo/63QpEoD78h//auVawmMHvl/gD5O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vykNMIAAADbAAAADwAAAAAAAAAAAAAA&#10;AAChAgAAZHJzL2Rvd25yZXYueG1sUEsFBgAAAAAEAAQA+QAAAJADAAAAAA==&#10;" strokeweight="42e-5mm"/>
                <v:line id="Line 30" o:spid="_x0000_s1053" style="position:absolute;visibility:visible;mso-wrap-style:square" from="6578,4089" to="6578,2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31" o:spid="_x0000_s1054" style="position:absolute;visibility:visible;mso-wrap-style:square" from="6292,23215" to="6578,2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32" o:spid="_x0000_s1055" style="position:absolute;visibility:visible;mso-wrap-style:square" from="6292,20072" to="6578,20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33" o:spid="_x0000_s1056" style="position:absolute;visibility:visible;mso-wrap-style:square" from="6292,16840" to="6578,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34" o:spid="_x0000_s1057" style="position:absolute;visibility:visible;mso-wrap-style:square" from="6292,13696" to="6578,1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line id="Line 35" o:spid="_x0000_s1058" style="position:absolute;visibility:visible;mso-wrap-style:square" from="6292,10464" to="6578,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line id="Line 36" o:spid="_x0000_s1059" style="position:absolute;visibility:visible;mso-wrap-style:square" from="6292,7327" to="6578,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line id="Line 37" o:spid="_x0000_s1060" style="position:absolute;visibility:visible;mso-wrap-style:square" from="6292,4089" to="6578,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line id="Line 38" o:spid="_x0000_s1061" style="position:absolute;visibility:visible;mso-wrap-style:square" from="6578,23215" to="28981,2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line id="Line 39" o:spid="_x0000_s1062" style="position:absolute;flip:y;visibility:visible;mso-wrap-style:square" from="6578,23215" to="6578,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YJ8UAAADbAAAADwAAAGRycy9kb3ducmV2LnhtbESPQWsCMRSE70L/Q3iF3jSrl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YJ8UAAADbAAAADwAAAAAAAAAA&#10;AAAAAAChAgAAZHJzL2Rvd25yZXYueG1sUEsFBgAAAAAEAAQA+QAAAJMDAAAAAA==&#10;" strokeweight="0"/>
                <v:line id="Line 40" o:spid="_x0000_s1063" style="position:absolute;flip:y;visibility:visible;mso-wrap-style:square" from="12204,23215" to="12204,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UMUAAADbAAAADwAAAGRycy9kb3ducmV2LnhtbESPQWsCMRSE74L/ITyhN81WS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GUMUAAADbAAAADwAAAAAAAAAA&#10;AAAAAAChAgAAZHJzL2Rvd25yZXYueG1sUEsFBgAAAAAEAAQA+QAAAJMDAAAAAA==&#10;" strokeweight="0"/>
                <v:line id="Line 41" o:spid="_x0000_s1064" style="position:absolute;flip:y;visibility:visible;mso-wrap-style:square" from="17824,23215" to="17824,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jy8YAAADbAAAADwAAAGRycy9kb3ducmV2LnhtbESPQWsCMRSE7wX/Q3gFbzVbK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248vGAAAA2wAAAA8AAAAAAAAA&#10;AAAAAAAAoQIAAGRycy9kb3ducmV2LnhtbFBLBQYAAAAABAAEAPkAAACUAwAAAAA=&#10;" strokeweight="0"/>
                <v:line id="Line 42" o:spid="_x0000_s1065" style="position:absolute;flip:y;visibility:visible;mso-wrap-style:square" from="23355,23215" to="23355,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7v8UAAADbAAAADwAAAGRycy9kb3ducmV2LnhtbESPT2sCMRTE7wW/Q3hCbzVbk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97v8UAAADbAAAADwAAAAAAAAAA&#10;AAAAAAChAgAAZHJzL2Rvd25yZXYueG1sUEsFBgAAAAAEAAQA+QAAAJMDAAAAAA==&#10;" strokeweight="0"/>
                <v:line id="Line 43" o:spid="_x0000_s1066" style="position:absolute;flip:y;visibility:visible;mso-wrap-style:square" from="28981,23215" to="28981,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eJMYAAADbAAAADwAAAGRycy9kb3ducmV2LnhtbESPQWsCMRSE7wX/Q3gFbzVbqW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3iTGAAAA2wAAAA8AAAAAAAAA&#10;AAAAAAAAoQIAAGRycy9kb3ducmV2LnhtbFBLBQYAAAAABAAEAPkAAACUAwAAAAA=&#10;" strokeweight="0"/>
                <v:rect id="Rectangle 44" o:spid="_x0000_s1067" style="position:absolute;left:5245;top:22548;width:565;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48476B" w:rsidRDefault="0048476B">
                        <w:r>
                          <w:rPr>
                            <w:rFonts w:ascii="Arial" w:hAnsi="Arial" w:cs="Arial"/>
                            <w:color w:val="000000"/>
                            <w:kern w:val="0"/>
                            <w:sz w:val="16"/>
                            <w:szCs w:val="16"/>
                          </w:rPr>
                          <w:t>0</w:t>
                        </w:r>
                      </w:p>
                    </w:txbxContent>
                  </v:textbox>
                </v:rect>
                <v:rect id="Rectangle 45" o:spid="_x0000_s1068" style="position:absolute;left:4102;top:19405;width:169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48476B" w:rsidRDefault="0048476B">
                        <w:r>
                          <w:rPr>
                            <w:rFonts w:ascii="Arial" w:hAnsi="Arial" w:cs="Arial"/>
                            <w:color w:val="000000"/>
                            <w:kern w:val="0"/>
                            <w:sz w:val="16"/>
                            <w:szCs w:val="16"/>
                          </w:rPr>
                          <w:t>100</w:t>
                        </w:r>
                      </w:p>
                    </w:txbxContent>
                  </v:textbox>
                </v:rect>
                <v:rect id="Rectangle 46" o:spid="_x0000_s1069" style="position:absolute;left:4102;top:16173;width:169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48476B" w:rsidRDefault="0048476B">
                        <w:r>
                          <w:rPr>
                            <w:rFonts w:ascii="Arial" w:hAnsi="Arial" w:cs="Arial"/>
                            <w:color w:val="000000"/>
                            <w:kern w:val="0"/>
                            <w:sz w:val="16"/>
                            <w:szCs w:val="16"/>
                          </w:rPr>
                          <w:t>200</w:t>
                        </w:r>
                      </w:p>
                    </w:txbxContent>
                  </v:textbox>
                </v:rect>
                <v:rect id="Rectangle 47" o:spid="_x0000_s1070" style="position:absolute;left:4102;top:13036;width:169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48476B" w:rsidRDefault="0048476B">
                        <w:r>
                          <w:rPr>
                            <w:rFonts w:ascii="Arial" w:hAnsi="Arial" w:cs="Arial"/>
                            <w:color w:val="000000"/>
                            <w:kern w:val="0"/>
                            <w:sz w:val="16"/>
                            <w:szCs w:val="16"/>
                          </w:rPr>
                          <w:t>300</w:t>
                        </w:r>
                      </w:p>
                    </w:txbxContent>
                  </v:textbox>
                </v:rect>
                <v:rect id="Rectangle 48" o:spid="_x0000_s1071" style="position:absolute;left:4102;top:9798;width:169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48476B" w:rsidRDefault="0048476B">
                        <w:r>
                          <w:rPr>
                            <w:rFonts w:ascii="Arial" w:hAnsi="Arial" w:cs="Arial"/>
                            <w:color w:val="000000"/>
                            <w:kern w:val="0"/>
                            <w:sz w:val="16"/>
                            <w:szCs w:val="16"/>
                          </w:rPr>
                          <w:t>400</w:t>
                        </w:r>
                      </w:p>
                    </w:txbxContent>
                  </v:textbox>
                </v:rect>
                <v:rect id="Rectangle 49" o:spid="_x0000_s1072" style="position:absolute;left:4102;top:6661;width:169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48476B" w:rsidRDefault="0048476B">
                        <w:r>
                          <w:rPr>
                            <w:rFonts w:ascii="Arial" w:hAnsi="Arial" w:cs="Arial"/>
                            <w:color w:val="000000"/>
                            <w:kern w:val="0"/>
                            <w:sz w:val="16"/>
                            <w:szCs w:val="16"/>
                          </w:rPr>
                          <w:t>500</w:t>
                        </w:r>
                      </w:p>
                    </w:txbxContent>
                  </v:textbox>
                </v:rect>
                <v:rect id="Rectangle 50" o:spid="_x0000_s1073" style="position:absolute;left:4102;top:3422;width:169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48476B" w:rsidRDefault="0048476B">
                        <w:r>
                          <w:rPr>
                            <w:rFonts w:ascii="Arial" w:hAnsi="Arial" w:cs="Arial"/>
                            <w:color w:val="000000"/>
                            <w:kern w:val="0"/>
                            <w:sz w:val="16"/>
                            <w:szCs w:val="16"/>
                          </w:rPr>
                          <w:t>600</w:t>
                        </w:r>
                      </w:p>
                    </w:txbxContent>
                  </v:textbox>
                </v:rect>
                <v:rect id="Rectangle 51" o:spid="_x0000_s1074" style="position:absolute;left:9055;top:24072;width:565;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48476B" w:rsidRDefault="0048476B">
                        <w:r>
                          <w:rPr>
                            <w:rFonts w:ascii="Arial" w:hAnsi="Arial" w:cs="Arial"/>
                            <w:color w:val="000000"/>
                            <w:kern w:val="0"/>
                            <w:sz w:val="16"/>
                            <w:szCs w:val="16"/>
                          </w:rPr>
                          <w:t>0</w:t>
                        </w:r>
                      </w:p>
                    </w:txbxContent>
                  </v:textbox>
                </v:rect>
                <v:rect id="Rectangle 52" o:spid="_x0000_s1075" style="position:absolute;left:14395;top:24072;width:1130;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48476B" w:rsidRDefault="0048476B">
                        <w:r>
                          <w:rPr>
                            <w:rFonts w:ascii="Arial" w:hAnsi="Arial" w:cs="Arial"/>
                            <w:color w:val="000000"/>
                            <w:kern w:val="0"/>
                            <w:sz w:val="16"/>
                            <w:szCs w:val="16"/>
                          </w:rPr>
                          <w:t>24</w:t>
                        </w:r>
                      </w:p>
                    </w:txbxContent>
                  </v:textbox>
                </v:rect>
                <v:rect id="Rectangle 53" o:spid="_x0000_s1076" style="position:absolute;left:20021;top:24072;width:1130;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48476B" w:rsidRDefault="0048476B">
                        <w:r>
                          <w:rPr>
                            <w:rFonts w:ascii="Arial" w:hAnsi="Arial" w:cs="Arial"/>
                            <w:color w:val="000000"/>
                            <w:kern w:val="0"/>
                            <w:sz w:val="16"/>
                            <w:szCs w:val="16"/>
                          </w:rPr>
                          <w:t>48</w:t>
                        </w:r>
                      </w:p>
                    </w:txbxContent>
                  </v:textbox>
                </v:rect>
                <v:rect id="Rectangle 54" o:spid="_x0000_s1077" style="position:absolute;left:25641;top:24072;width:1130;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48476B" w:rsidRDefault="0048476B">
                        <w:r>
                          <w:rPr>
                            <w:rFonts w:ascii="Arial" w:hAnsi="Arial" w:cs="Arial"/>
                            <w:color w:val="000000"/>
                            <w:kern w:val="0"/>
                            <w:sz w:val="16"/>
                            <w:szCs w:val="16"/>
                          </w:rPr>
                          <w:t>72</w:t>
                        </w:r>
                      </w:p>
                    </w:txbxContent>
                  </v:textbox>
                </v:rect>
                <v:rect id="Rectangle 55" o:spid="_x0000_s1078" style="position:absolute;left:12109;top:25304;width:1118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48476B" w:rsidRDefault="0048476B">
                        <w:r>
                          <w:rPr>
                            <w:rFonts w:ascii="Arial" w:hAnsi="Arial" w:cs="Arial"/>
                            <w:color w:val="000000"/>
                            <w:kern w:val="0"/>
                            <w:sz w:val="18"/>
                            <w:szCs w:val="18"/>
                          </w:rPr>
                          <w:t>Time following TA (hr)</w:t>
                        </w:r>
                      </w:p>
                    </w:txbxContent>
                  </v:textbox>
                </v:rect>
                <v:rect id="Rectangle 56" o:spid="_x0000_s1079" style="position:absolute;left:3251;top:7194;width:6953;height:198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nu8EA&#10;AADbAAAADwAAAGRycy9kb3ducmV2LnhtbERPTWvCQBC9F/wPywi9FN1Y2mpTVwkBqadCYvU8ZKdJ&#10;aHY2ZFeN/945FHp8vO/1dnSdutAQWs8GFvMEFHHlbcu1ge/DbrYCFSKyxc4zGbhRgO1m8rDG1Por&#10;F3QpY60khEOKBpoY+1TrUDXkMMx9Tyzcjx8cRoFDre2AVwl3nX5OkjftsGVpaLCnvKHqtzw7A68J&#10;ng63ryXnTy9ZX7zH3enTHo15nI7ZB6hIY/wX/7n3VnwyVr7ID9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0Z7vBAAAA2wAAAA8AAAAAAAAAAAAAAAAAmAIAAGRycy9kb3du&#10;cmV2LnhtbFBLBQYAAAAABAAEAPUAAACGAwAAAAA=&#10;" filled="f" stroked="f">
                  <v:textbox style="mso-fit-shape-to-text:t" inset="0,0,0,0">
                    <w:txbxContent>
                      <w:p w:rsidR="0048476B" w:rsidRDefault="0048476B">
                        <w:r>
                          <w:rPr>
                            <w:rFonts w:ascii="Arial" w:hAnsi="Arial" w:cs="Arial"/>
                            <w:color w:val="000000"/>
                            <w:kern w:val="0"/>
                            <w:sz w:val="18"/>
                            <w:szCs w:val="18"/>
                          </w:rPr>
                          <w:t>Tnf-α (pg/mL)</w:t>
                        </w:r>
                      </w:p>
                    </w:txbxContent>
                  </v:textbox>
                </v:rect>
                <v:rect id="Rectangle 57" o:spid="_x0000_s1080" style="position:absolute;left:1860;top:13531;width:1150;height:198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CIMMA&#10;AADbAAAADwAAAGRycy9kb3ducmV2LnhtbESPT4vCMBTE78J+h/AWvMiarvhnW40iguhJsLo9P5q3&#10;bbF5KU1W67c3guBxmPnNMItVZ2pxpdZVlhV8DyMQxLnVFRcKzqft1w8I55E11pZJwZ0crJYfvQUm&#10;2t74SNfUFyKUsEtQQel9k0jp8pIMuqFtiIP3Z1uDPsi2kLrFWyg3tRxF0VQarDgslNjQpqT8kv4b&#10;BZMIs9P9MOPNYLxujrHfZjv9q1T/s1vPQXjq/Dv8ovc6cD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jCIMMAAADbAAAADwAAAAAAAAAAAAAAAACYAgAAZHJzL2Rv&#10;d25yZXYueG1sUEsFBgAAAAAEAAQA9QAAAIgDAAAAAA==&#10;" filled="f" stroked="f">
                  <v:textbox style="mso-fit-shape-to-text:t" inset="0,0,0,0">
                    <w:txbxContent>
                      <w:p w:rsidR="0048476B" w:rsidRDefault="0048476B"/>
                    </w:txbxContent>
                  </v:textbox>
                </v:rect>
                <v:rect id="Rectangle 58" o:spid="_x0000_s1081" style="position:absolute;left:22593;top:1809;width:6769;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Ig78A&#10;AADbAAAADwAAAGRycy9kb3ducmV2LnhtbERPy4rCMBTdC/5DuII7m44LKdUoOiC6cOMD7PLS3GnK&#10;NDe1iVr/3iwEl4fzXqx624gHdb52rOAnSUEQl07XXCm4nLeTDIQPyBobx6TgRR5Wy+Fggbl2Tz7S&#10;4xQqEUPY56jAhNDmUvrSkEWfuJY4cn+usxgi7CqpO3zGcNvIaZrOpMWaY4PBln4Nlf+nu1VAzW17&#10;zbL1sdhtNmXa6sLsDoVS41G/noMI1Iev+OPeawWz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iciDvwAAANsAAAAPAAAAAAAAAAAAAAAAAJgCAABkcnMvZG93bnJl&#10;di54bWxQSwUGAAAAAAQABAD1AAAAhAMAAAAA&#10;" strokeweight="0"/>
                <v:rect id="Rectangle 59" o:spid="_x0000_s1082" style="position:absolute;left:22974;top:2476;width:571;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srwA&#10;AADbAAAADwAAAGRycy9kb3ducmV2LnhtbESPywrCMBBF94L/EEZwp2ldiFTTUgTRrQ9cD83YFptJ&#10;bWKtf28EweXlPg53kw2mET11rrasIJ5HIIgLq2suFVzOu9kKhPPIGhvLpOBNDrJ0PNpgou2Lj9Sf&#10;fCnCCLsEFVTet4mUrqjIoJvbljh4N9sZ9EF2pdQdvsK4aeQiipbSYM2BUGFL24qK++lpFJj83sT5&#10;Pr4N152M+ucjkNqDUtPJkK9BeBr8P/xrH7SCZQzfL+EHyPQ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xL6yvAAAANsAAAAPAAAAAAAAAAAAAAAAAJgCAABkcnMvZG93bnJldi54&#10;bWxQSwUGAAAAAAQABAD1AAAAgQMAAAAA&#10;" fillcolor="black" strokeweight="42e-5mm"/>
                <v:rect id="Rectangle 60" o:spid="_x0000_s1083" style="position:absolute;left:23926;top:2095;width:130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48476B" w:rsidRDefault="0048476B">
                        <w:r>
                          <w:rPr>
                            <w:rFonts w:ascii="Arial" w:hAnsi="Arial" w:cs="Arial"/>
                            <w:color w:val="000000"/>
                            <w:kern w:val="0"/>
                            <w:sz w:val="16"/>
                            <w:szCs w:val="16"/>
                          </w:rPr>
                          <w:t>TA</w:t>
                        </w:r>
                      </w:p>
                    </w:txbxContent>
                  </v:textbox>
                </v:rect>
                <v:rect id="Rectangle 61" o:spid="_x0000_s1084" style="position:absolute;left:22974;top:4279;width:5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MRsQA&#10;AADbAAAADwAAAGRycy9kb3ducmV2LnhtbESPQWsCMRSE70L/Q3iCF9FsVaxsjVIKC95sbaF6e2xe&#10;d4Obl5BE3f77plDwOMzMN8x629tOXClE41jB47QAQVw7bbhR8PlRTVYgYkLW2DkmBT8UYbt5GKyx&#10;1O7G73Q9pEZkCMcSFbQp+VLKWLdkMU6dJ87etwsWU5ahkTrgLcNtJ2dFsZQWDeeFFj29tlSfDxer&#10;4OttsX8yYb+aV4uTN/40ro4VKTUa9i/PIBL16R7+b++0guUc/r7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TEbEAAAA2wAAAA8AAAAAAAAAAAAAAAAAmAIAAGRycy9k&#10;b3ducmV2LnhtbFBLBQYAAAAABAAEAPUAAACJAwAAAAA=&#10;" filled="f" strokeweight="42e-5mm"/>
                <v:rect id="Rectangle 62" o:spid="_x0000_s1085" style="position:absolute;left:23926;top:3898;width:5449;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48476B" w:rsidRDefault="0048476B">
                        <w:r>
                          <w:rPr>
                            <w:rFonts w:ascii="Arial" w:hAnsi="Arial" w:cs="Arial"/>
                            <w:color w:val="000000"/>
                            <w:kern w:val="0"/>
                            <w:sz w:val="16"/>
                            <w:szCs w:val="16"/>
                          </w:rPr>
                          <w:t>TA + DMDP</w:t>
                        </w:r>
                      </w:p>
                    </w:txbxContent>
                  </v:textbox>
                </v:rect>
                <v:rect id="Rectangle 63" o:spid="_x0000_s1086" style="position:absolute;left:13823;top:12655;width:135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48476B" w:rsidRDefault="0048476B">
                        <w:r>
                          <w:rPr>
                            <w:rFonts w:ascii="Arial" w:hAnsi="Arial" w:cs="Arial"/>
                            <w:color w:val="000000"/>
                            <w:kern w:val="0"/>
                            <w:sz w:val="16"/>
                            <w:szCs w:val="16"/>
                          </w:rPr>
                          <w:t>a,c</w:t>
                        </w:r>
                      </w:p>
                    </w:txbxContent>
                  </v:textbox>
                </v:rect>
                <v:rect id="Rectangle 64" o:spid="_x0000_s1087" style="position:absolute;left:18973;top:8750;width:135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48476B" w:rsidRDefault="0048476B">
                        <w:r>
                          <w:rPr>
                            <w:rFonts w:ascii="Arial" w:hAnsi="Arial" w:cs="Arial"/>
                            <w:color w:val="000000"/>
                            <w:kern w:val="0"/>
                            <w:sz w:val="16"/>
                            <w:szCs w:val="16"/>
                          </w:rPr>
                          <w:t>a,c</w:t>
                        </w:r>
                      </w:p>
                    </w:txbxContent>
                  </v:textbox>
                </v:rect>
                <v:rect id="Rectangle 65" o:spid="_x0000_s1088" style="position:absolute;left:15157;top:3327;width:56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48476B" w:rsidRDefault="0048476B">
                        <w:r>
                          <w:rPr>
                            <w:rFonts w:ascii="Arial" w:hAnsi="Arial" w:cs="Arial"/>
                            <w:color w:val="000000"/>
                            <w:kern w:val="0"/>
                            <w:sz w:val="16"/>
                            <w:szCs w:val="16"/>
                          </w:rPr>
                          <w:t>a</w:t>
                        </w:r>
                      </w:p>
                    </w:txbxContent>
                  </v:textbox>
                </v:rect>
                <v:rect id="Rectangle 66" o:spid="_x0000_s1089" style="position:absolute;left:20974;top:5232;width:56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8476B" w:rsidRDefault="0048476B">
                        <w:r>
                          <w:rPr>
                            <w:rFonts w:ascii="Arial" w:hAnsi="Arial" w:cs="Arial"/>
                            <w:color w:val="000000"/>
                            <w:kern w:val="0"/>
                            <w:sz w:val="16"/>
                            <w:szCs w:val="16"/>
                          </w:rPr>
                          <w:t>a</w:t>
                        </w:r>
                      </w:p>
                    </w:txbxContent>
                  </v:textbox>
                </v:rect>
                <v:rect id="Rectangle 67" o:spid="_x0000_s1090" style="position:absolute;left:1238;top:1143;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48476B" w:rsidRDefault="0048476B">
                        <w:r>
                          <w:rPr>
                            <w:rFonts w:ascii="Arial" w:hAnsi="Arial" w:cs="Arial"/>
                            <w:color w:val="000000"/>
                            <w:kern w:val="0"/>
                            <w:sz w:val="24"/>
                          </w:rPr>
                          <w:t>A</w:t>
                        </w:r>
                      </w:p>
                    </w:txbxContent>
                  </v:textbox>
                </v:rect>
              </v:group>
            </w:pict>
          </mc:Fallback>
        </mc:AlternateContent>
      </w:r>
    </w:p>
    <w:p w:rsidR="0048476B" w:rsidRPr="00D34D82" w:rsidRDefault="0048476B" w:rsidP="000B17A3">
      <w:pPr>
        <w:spacing w:line="360" w:lineRule="auto"/>
        <w:rPr>
          <w:rFonts w:ascii="Book Antiqua" w:hAnsi="Book Antiqua"/>
          <w:sz w:val="24"/>
        </w:rPr>
      </w:pPr>
    </w:p>
    <w:p w:rsidR="0048476B" w:rsidRPr="00D34D82" w:rsidRDefault="007E463D" w:rsidP="000B17A3">
      <w:pPr>
        <w:spacing w:line="360" w:lineRule="auto"/>
        <w:rPr>
          <w:rFonts w:ascii="Book Antiqua" w:hAnsi="Book Antiqua"/>
          <w:sz w:val="24"/>
        </w:rPr>
      </w:pPr>
      <w:r>
        <w:rPr>
          <w:noProof/>
        </w:rPr>
        <w:drawing>
          <wp:anchor distT="0" distB="0" distL="114300" distR="114300" simplePos="0" relativeHeight="251657728" behindDoc="0" locked="0" layoutInCell="1" allowOverlap="1">
            <wp:simplePos x="0" y="0"/>
            <wp:positionH relativeFrom="column">
              <wp:posOffset>-367030</wp:posOffset>
            </wp:positionH>
            <wp:positionV relativeFrom="paragraph">
              <wp:posOffset>1010285</wp:posOffset>
            </wp:positionV>
            <wp:extent cx="5608955" cy="1216660"/>
            <wp:effectExtent l="0" t="0" r="0" b="2540"/>
            <wp:wrapTopAndBottom/>
            <wp:docPr id="6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955" cy="1216660"/>
                    </a:xfrm>
                    <a:prstGeom prst="rect">
                      <a:avLst/>
                    </a:prstGeom>
                    <a:noFill/>
                  </pic:spPr>
                </pic:pic>
              </a:graphicData>
            </a:graphic>
            <wp14:sizeRelH relativeFrom="page">
              <wp14:pctWidth>0</wp14:pctWidth>
            </wp14:sizeRelH>
            <wp14:sizeRelV relativeFrom="page">
              <wp14:pctHeight>0</wp14:pctHeight>
            </wp14:sizeRelV>
          </wp:anchor>
        </w:drawing>
      </w:r>
    </w:p>
    <w:p w:rsidR="0048476B" w:rsidRPr="00D34D82" w:rsidRDefault="0048476B" w:rsidP="000B17A3">
      <w:pPr>
        <w:spacing w:line="360" w:lineRule="auto"/>
        <w:rPr>
          <w:rFonts w:ascii="Book Antiqua" w:hAnsi="Book Antiqua"/>
          <w:sz w:val="24"/>
        </w:rPr>
      </w:pPr>
    </w:p>
    <w:p w:rsidR="0048476B" w:rsidRPr="00D34D82" w:rsidRDefault="0048476B" w:rsidP="000B17A3">
      <w:pPr>
        <w:spacing w:line="360" w:lineRule="auto"/>
        <w:rPr>
          <w:rFonts w:ascii="Book Antiqua" w:hAnsi="Book Antiqua"/>
          <w:sz w:val="24"/>
        </w:rPr>
      </w:pPr>
    </w:p>
    <w:p w:rsidR="0048476B" w:rsidRPr="00D34D82" w:rsidRDefault="0048476B" w:rsidP="000B17A3">
      <w:pPr>
        <w:spacing w:line="360" w:lineRule="auto"/>
        <w:rPr>
          <w:rFonts w:ascii="Book Antiqua" w:hAnsi="Book Antiqua"/>
          <w:sz w:val="24"/>
        </w:rPr>
      </w:pPr>
      <w:r w:rsidRPr="006C30E5">
        <w:rPr>
          <w:rFonts w:ascii="Book Antiqua" w:hAnsi="Book Antiqua"/>
          <w:noProof/>
          <w:sz w:val="24"/>
        </w:rPr>
        <w:object w:dxaOrig="5760" w:dyaOrig="3975">
          <v:shape id="图表 1" o:spid="_x0000_i1025" type="#_x0000_t75" style="width:311.8pt;height:212.85pt;visibility:visible" o:ole="">
            <v:imagedata r:id="rId12" o:title="" croptop="-1270f" cropbottom="-4023f" cropleft="-1638f" cropright="-3777f"/>
            <o:lock v:ext="edit" aspectratio="f"/>
          </v:shape>
          <o:OLEObject Type="Embed" ProgID="Excel.Chart.8" ShapeID="图表 1" DrawAspect="Content" ObjectID="_1433021125" r:id="rId13"/>
        </w:object>
      </w:r>
    </w:p>
    <w:p w:rsidR="0048476B" w:rsidRPr="00D34D82" w:rsidRDefault="0048476B" w:rsidP="000B17A3">
      <w:pPr>
        <w:tabs>
          <w:tab w:val="left" w:pos="1390"/>
        </w:tabs>
        <w:spacing w:line="360" w:lineRule="auto"/>
        <w:rPr>
          <w:rFonts w:ascii="Book Antiqua" w:hAnsi="Book Antiqua"/>
          <w:sz w:val="24"/>
          <w:lang w:val="en-GB"/>
        </w:rPr>
      </w:pPr>
    </w:p>
    <w:p w:rsidR="0048476B" w:rsidRPr="00D34D82" w:rsidRDefault="0048476B" w:rsidP="000B17A3">
      <w:pPr>
        <w:tabs>
          <w:tab w:val="left" w:pos="1390"/>
        </w:tabs>
        <w:spacing w:line="360" w:lineRule="auto"/>
        <w:rPr>
          <w:rFonts w:ascii="Book Antiqua" w:hAnsi="Book Antiqua"/>
          <w:b/>
          <w:sz w:val="24"/>
        </w:rPr>
      </w:pPr>
      <w:r w:rsidRPr="00D34D82">
        <w:rPr>
          <w:rFonts w:ascii="Book Antiqua" w:hAnsi="Book Antiqua"/>
          <w:sz w:val="24"/>
          <w:lang w:val="en-GB"/>
        </w:rPr>
        <w:br w:type="page"/>
      </w:r>
      <w:r w:rsidRPr="00D34D82">
        <w:rPr>
          <w:rFonts w:ascii="Book Antiqua" w:hAnsi="Book Antiqua"/>
          <w:b/>
          <w:sz w:val="24"/>
        </w:rPr>
        <w:lastRenderedPageBreak/>
        <w:t>Table 1 Quantitative analysis of the DNA ploidy in hepatocytes of adult rats following different treatments</w:t>
      </w:r>
    </w:p>
    <w:tbl>
      <w:tblPr>
        <w:tblW w:w="5448" w:type="pct"/>
        <w:jc w:val="center"/>
        <w:tblBorders>
          <w:top w:val="single" w:sz="6" w:space="0" w:color="000000"/>
          <w:bottom w:val="single" w:sz="6" w:space="0" w:color="000000"/>
        </w:tblBorders>
        <w:tblCellMar>
          <w:left w:w="70" w:type="dxa"/>
          <w:right w:w="70" w:type="dxa"/>
        </w:tblCellMar>
        <w:tblLook w:val="00A0" w:firstRow="1" w:lastRow="0" w:firstColumn="1" w:lastColumn="0" w:noHBand="0" w:noVBand="0"/>
      </w:tblPr>
      <w:tblGrid>
        <w:gridCol w:w="1479"/>
        <w:gridCol w:w="1577"/>
        <w:gridCol w:w="1086"/>
        <w:gridCol w:w="1285"/>
        <w:gridCol w:w="1395"/>
        <w:gridCol w:w="1235"/>
        <w:gridCol w:w="2388"/>
      </w:tblGrid>
      <w:tr w:rsidR="0048476B" w:rsidRPr="00D34D82" w:rsidTr="00D44252">
        <w:trPr>
          <w:jc w:val="center"/>
        </w:trPr>
        <w:tc>
          <w:tcPr>
            <w:tcW w:w="708" w:type="pct"/>
            <w:tcBorders>
              <w:top w:val="single" w:sz="6" w:space="0" w:color="000000"/>
              <w:bottom w:val="single" w:sz="6" w:space="0" w:color="000000"/>
            </w:tcBorders>
            <w:vAlign w:val="center"/>
          </w:tcPr>
          <w:p w:rsidR="0048476B" w:rsidRPr="00D34D82" w:rsidRDefault="0048476B" w:rsidP="000B17A3">
            <w:pPr>
              <w:spacing w:line="360" w:lineRule="auto"/>
              <w:rPr>
                <w:rFonts w:ascii="Book Antiqua" w:hAnsi="Book Antiqua"/>
                <w:b/>
                <w:bCs/>
                <w:sz w:val="24"/>
                <w:lang w:val="en-GB"/>
              </w:rPr>
            </w:pPr>
          </w:p>
        </w:tc>
        <w:tc>
          <w:tcPr>
            <w:tcW w:w="755" w:type="pct"/>
            <w:tcBorders>
              <w:top w:val="single" w:sz="6" w:space="0" w:color="000000"/>
              <w:bottom w:val="single" w:sz="6" w:space="0" w:color="000000"/>
            </w:tcBorders>
            <w:vAlign w:val="center"/>
          </w:tcPr>
          <w:p w:rsidR="0048476B" w:rsidRPr="00D34D82" w:rsidRDefault="0048476B" w:rsidP="000B17A3">
            <w:pPr>
              <w:pStyle w:val="2"/>
              <w:spacing w:before="0" w:after="0" w:line="360" w:lineRule="auto"/>
              <w:rPr>
                <w:rFonts w:ascii="Book Antiqua" w:hAnsi="Book Antiqua"/>
                <w:sz w:val="24"/>
                <w:szCs w:val="24"/>
              </w:rPr>
            </w:pPr>
            <w:r w:rsidRPr="00D34D82">
              <w:rPr>
                <w:rFonts w:ascii="Book Antiqua" w:hAnsi="Book Antiqua"/>
                <w:sz w:val="24"/>
                <w:szCs w:val="24"/>
              </w:rPr>
              <w:t>Hypodiploid</w:t>
            </w:r>
          </w:p>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w:t>
            </w:r>
            <w:r w:rsidRPr="00D34D82">
              <w:rPr>
                <w:rFonts w:ascii="Book Antiqua" w:hAnsi="Book Antiqua"/>
                <w:b/>
                <w:bCs/>
                <w:sz w:val="24"/>
              </w:rPr>
              <w:sym w:font="Symbol" w:char="F03C"/>
            </w:r>
            <w:r w:rsidRPr="00D34D82">
              <w:rPr>
                <w:rFonts w:ascii="Book Antiqua" w:hAnsi="Book Antiqua"/>
                <w:b/>
                <w:bCs/>
                <w:sz w:val="24"/>
                <w:lang w:val="en-GB"/>
              </w:rPr>
              <w:t xml:space="preserve"> 2</w:t>
            </w:r>
            <w:r w:rsidRPr="00D34D82">
              <w:rPr>
                <w:rFonts w:ascii="Book Antiqua" w:hAnsi="Book Antiqua"/>
                <w:b/>
                <w:bCs/>
                <w:i/>
                <w:sz w:val="24"/>
                <w:lang w:val="en-GB"/>
              </w:rPr>
              <w:t>n</w:t>
            </w:r>
            <w:r w:rsidRPr="00D34D82">
              <w:rPr>
                <w:rFonts w:ascii="Book Antiqua" w:hAnsi="Book Antiqua"/>
                <w:b/>
                <w:bCs/>
                <w:sz w:val="24"/>
                <w:lang w:val="en-GB"/>
              </w:rPr>
              <w:t>)</w:t>
            </w:r>
          </w:p>
        </w:tc>
        <w:tc>
          <w:tcPr>
            <w:tcW w:w="520" w:type="pct"/>
            <w:tcBorders>
              <w:top w:val="single" w:sz="6" w:space="0" w:color="000000"/>
              <w:bottom w:val="single" w:sz="6" w:space="0" w:color="000000"/>
            </w:tcBorders>
            <w:vAlign w:val="center"/>
          </w:tcPr>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Diploid</w:t>
            </w:r>
          </w:p>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(2</w:t>
            </w:r>
            <w:r w:rsidRPr="00D34D82">
              <w:rPr>
                <w:rFonts w:ascii="Book Antiqua" w:hAnsi="Book Antiqua"/>
                <w:b/>
                <w:bCs/>
                <w:i/>
                <w:sz w:val="24"/>
                <w:lang w:val="en-GB"/>
              </w:rPr>
              <w:t xml:space="preserve"> n</w:t>
            </w:r>
            <w:r w:rsidRPr="00D34D82">
              <w:rPr>
                <w:rFonts w:ascii="Book Antiqua" w:hAnsi="Book Antiqua"/>
                <w:b/>
                <w:bCs/>
                <w:sz w:val="24"/>
                <w:lang w:val="en-GB"/>
              </w:rPr>
              <w:t>)</w:t>
            </w:r>
          </w:p>
        </w:tc>
        <w:tc>
          <w:tcPr>
            <w:tcW w:w="615" w:type="pct"/>
            <w:tcBorders>
              <w:top w:val="single" w:sz="6" w:space="0" w:color="000000"/>
              <w:bottom w:val="single" w:sz="6" w:space="0" w:color="000000"/>
            </w:tcBorders>
            <w:vAlign w:val="center"/>
          </w:tcPr>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 xml:space="preserve">  S</w:t>
            </w:r>
            <w:r w:rsidRPr="00D34D82">
              <w:rPr>
                <w:rFonts w:ascii="Book Antiqua" w:hAnsi="Book Antiqua"/>
                <w:b/>
                <w:bCs/>
                <w:sz w:val="24"/>
                <w:vertAlign w:val="subscript"/>
                <w:lang w:val="en-GB"/>
              </w:rPr>
              <w:t>1</w:t>
            </w:r>
            <w:r w:rsidRPr="00D34D82">
              <w:rPr>
                <w:rFonts w:ascii="Book Antiqua" w:hAnsi="Book Antiqua"/>
                <w:b/>
                <w:bCs/>
                <w:sz w:val="24"/>
                <w:lang w:val="en-GB"/>
              </w:rPr>
              <w:t xml:space="preserve"> Phase</w:t>
            </w:r>
          </w:p>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(2</w:t>
            </w:r>
            <w:r w:rsidRPr="00D34D82">
              <w:rPr>
                <w:rFonts w:ascii="Book Antiqua" w:hAnsi="Book Antiqua"/>
                <w:b/>
                <w:bCs/>
                <w:i/>
                <w:sz w:val="24"/>
                <w:lang w:val="en-GB"/>
              </w:rPr>
              <w:t xml:space="preserve"> n</w:t>
            </w:r>
            <w:r w:rsidRPr="00D34D82">
              <w:rPr>
                <w:rFonts w:ascii="Book Antiqua" w:hAnsi="Book Antiqua"/>
                <w:b/>
                <w:bCs/>
                <w:sz w:val="24"/>
                <w:lang w:val="en-GB"/>
              </w:rPr>
              <w:t xml:space="preserve"> </w:t>
            </w:r>
            <w:r w:rsidRPr="00D34D82">
              <w:rPr>
                <w:rFonts w:ascii="Book Antiqua" w:hAnsi="Book Antiqua"/>
                <w:b/>
                <w:bCs/>
                <w:sz w:val="24"/>
                <w:lang w:val="en-GB"/>
              </w:rPr>
              <w:sym w:font="Symbol" w:char="F0AE"/>
            </w:r>
            <w:r w:rsidRPr="00D34D82">
              <w:rPr>
                <w:rFonts w:ascii="Book Antiqua" w:hAnsi="Book Antiqua"/>
                <w:b/>
                <w:bCs/>
                <w:sz w:val="24"/>
                <w:lang w:val="en-GB"/>
              </w:rPr>
              <w:t xml:space="preserve"> 4</w:t>
            </w:r>
            <w:r w:rsidRPr="00D34D82">
              <w:rPr>
                <w:rFonts w:ascii="Book Antiqua" w:hAnsi="Book Antiqua"/>
                <w:b/>
                <w:bCs/>
                <w:i/>
                <w:sz w:val="24"/>
                <w:lang w:val="en-GB"/>
              </w:rPr>
              <w:t xml:space="preserve"> n</w:t>
            </w:r>
            <w:r w:rsidRPr="00D34D82">
              <w:rPr>
                <w:rFonts w:ascii="Book Antiqua" w:hAnsi="Book Antiqua"/>
                <w:b/>
                <w:bCs/>
                <w:sz w:val="24"/>
                <w:lang w:val="en-GB"/>
              </w:rPr>
              <w:t>)</w:t>
            </w:r>
          </w:p>
        </w:tc>
        <w:tc>
          <w:tcPr>
            <w:tcW w:w="668" w:type="pct"/>
            <w:tcBorders>
              <w:top w:val="single" w:sz="6" w:space="0" w:color="000000"/>
              <w:bottom w:val="single" w:sz="6" w:space="0" w:color="000000"/>
            </w:tcBorders>
            <w:vAlign w:val="center"/>
          </w:tcPr>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Tetraploid</w:t>
            </w:r>
          </w:p>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(4</w:t>
            </w:r>
            <w:r w:rsidRPr="00D34D82">
              <w:rPr>
                <w:rFonts w:ascii="Book Antiqua" w:hAnsi="Book Antiqua"/>
                <w:b/>
                <w:bCs/>
                <w:i/>
                <w:sz w:val="24"/>
                <w:lang w:val="en-GB"/>
              </w:rPr>
              <w:t xml:space="preserve"> n</w:t>
            </w:r>
            <w:r w:rsidRPr="00D34D82">
              <w:rPr>
                <w:rFonts w:ascii="Book Antiqua" w:hAnsi="Book Antiqua"/>
                <w:b/>
                <w:bCs/>
                <w:sz w:val="24"/>
                <w:lang w:val="en-GB"/>
              </w:rPr>
              <w:t>)</w:t>
            </w:r>
          </w:p>
        </w:tc>
        <w:tc>
          <w:tcPr>
            <w:tcW w:w="591" w:type="pct"/>
            <w:tcBorders>
              <w:top w:val="single" w:sz="6" w:space="0" w:color="000000"/>
              <w:bottom w:val="single" w:sz="6" w:space="0" w:color="000000"/>
            </w:tcBorders>
            <w:vAlign w:val="center"/>
          </w:tcPr>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 xml:space="preserve">   S</w:t>
            </w:r>
            <w:r w:rsidRPr="00D34D82">
              <w:rPr>
                <w:rFonts w:ascii="Book Antiqua" w:hAnsi="Book Antiqua"/>
                <w:b/>
                <w:bCs/>
                <w:sz w:val="24"/>
                <w:vertAlign w:val="subscript"/>
                <w:lang w:val="en-GB"/>
              </w:rPr>
              <w:t>2</w:t>
            </w:r>
            <w:r w:rsidRPr="00D34D82">
              <w:rPr>
                <w:rFonts w:ascii="Book Antiqua" w:hAnsi="Book Antiqua"/>
                <w:b/>
                <w:bCs/>
                <w:sz w:val="24"/>
                <w:lang w:val="en-GB"/>
              </w:rPr>
              <w:t xml:space="preserve"> Phase</w:t>
            </w:r>
          </w:p>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(4</w:t>
            </w:r>
            <w:r w:rsidRPr="00D34D82">
              <w:rPr>
                <w:rFonts w:ascii="Book Antiqua" w:hAnsi="Book Antiqua"/>
                <w:b/>
                <w:bCs/>
                <w:i/>
                <w:sz w:val="24"/>
                <w:lang w:val="en-GB"/>
              </w:rPr>
              <w:t xml:space="preserve"> n</w:t>
            </w:r>
            <w:r w:rsidRPr="00D34D82">
              <w:rPr>
                <w:rFonts w:ascii="Book Antiqua" w:hAnsi="Book Antiqua"/>
                <w:b/>
                <w:bCs/>
                <w:sz w:val="24"/>
                <w:lang w:val="en-GB"/>
              </w:rPr>
              <w:t xml:space="preserve"> </w:t>
            </w:r>
            <w:r w:rsidRPr="00D34D82">
              <w:rPr>
                <w:rFonts w:ascii="Book Antiqua" w:hAnsi="Book Antiqua"/>
                <w:b/>
                <w:bCs/>
                <w:sz w:val="24"/>
              </w:rPr>
              <w:sym w:font="Symbol" w:char="F0AE"/>
            </w:r>
            <w:r w:rsidRPr="00D34D82">
              <w:rPr>
                <w:rFonts w:ascii="Book Antiqua" w:hAnsi="Book Antiqua"/>
                <w:b/>
                <w:bCs/>
                <w:sz w:val="24"/>
                <w:lang w:val="en-GB"/>
              </w:rPr>
              <w:t>8</w:t>
            </w:r>
            <w:r w:rsidRPr="00D34D82">
              <w:rPr>
                <w:rFonts w:ascii="Book Antiqua" w:hAnsi="Book Antiqua"/>
                <w:b/>
                <w:bCs/>
                <w:i/>
                <w:sz w:val="24"/>
                <w:lang w:val="en-GB"/>
              </w:rPr>
              <w:t xml:space="preserve"> n</w:t>
            </w:r>
            <w:r w:rsidRPr="00D34D82">
              <w:rPr>
                <w:rFonts w:ascii="Book Antiqua" w:hAnsi="Book Antiqua"/>
                <w:b/>
                <w:bCs/>
                <w:sz w:val="24"/>
                <w:lang w:val="en-GB"/>
              </w:rPr>
              <w:t>)</w:t>
            </w:r>
          </w:p>
        </w:tc>
        <w:tc>
          <w:tcPr>
            <w:tcW w:w="1143" w:type="pct"/>
            <w:tcBorders>
              <w:top w:val="single" w:sz="6" w:space="0" w:color="000000"/>
              <w:bottom w:val="single" w:sz="6" w:space="0" w:color="000000"/>
            </w:tcBorders>
            <w:vAlign w:val="center"/>
          </w:tcPr>
          <w:p w:rsidR="0048476B" w:rsidRPr="00D34D82" w:rsidRDefault="0048476B" w:rsidP="000B17A3">
            <w:pPr>
              <w:spacing w:line="360" w:lineRule="auto"/>
              <w:ind w:left="-4"/>
              <w:rPr>
                <w:rFonts w:ascii="Book Antiqua" w:hAnsi="Book Antiqua"/>
                <w:b/>
                <w:bCs/>
                <w:sz w:val="24"/>
                <w:lang w:val="en-GB"/>
              </w:rPr>
            </w:pPr>
            <w:r w:rsidRPr="00D34D82">
              <w:rPr>
                <w:rFonts w:ascii="Book Antiqua" w:hAnsi="Book Antiqua"/>
                <w:b/>
                <w:bCs/>
                <w:sz w:val="24"/>
                <w:lang w:val="en-GB"/>
              </w:rPr>
              <w:t>Octoploid</w:t>
            </w:r>
          </w:p>
          <w:p w:rsidR="0048476B" w:rsidRPr="00D34D82" w:rsidRDefault="0048476B" w:rsidP="000B17A3">
            <w:pPr>
              <w:spacing w:line="360" w:lineRule="auto"/>
              <w:ind w:left="-4"/>
              <w:rPr>
                <w:rFonts w:ascii="Book Antiqua" w:hAnsi="Book Antiqua"/>
                <w:b/>
                <w:bCs/>
                <w:sz w:val="24"/>
                <w:lang w:val="en-GB"/>
              </w:rPr>
            </w:pPr>
            <w:r w:rsidRPr="00D34D82">
              <w:rPr>
                <w:rFonts w:ascii="Book Antiqua" w:hAnsi="Book Antiqua"/>
                <w:b/>
                <w:bCs/>
                <w:sz w:val="24"/>
                <w:lang w:val="en-GB"/>
              </w:rPr>
              <w:t>(8</w:t>
            </w:r>
            <w:r w:rsidRPr="00D34D82">
              <w:rPr>
                <w:rFonts w:ascii="Book Antiqua" w:hAnsi="Book Antiqua"/>
                <w:b/>
                <w:bCs/>
                <w:i/>
                <w:sz w:val="24"/>
                <w:lang w:val="en-GB"/>
              </w:rPr>
              <w:t xml:space="preserve"> n</w:t>
            </w:r>
            <w:r w:rsidRPr="00D34D82">
              <w:rPr>
                <w:rFonts w:ascii="Book Antiqua" w:hAnsi="Book Antiqua"/>
                <w:b/>
                <w:bCs/>
                <w:sz w:val="24"/>
                <w:lang w:val="en-GB"/>
              </w:rPr>
              <w:t>)</w:t>
            </w:r>
          </w:p>
        </w:tc>
      </w:tr>
      <w:tr w:rsidR="0048476B" w:rsidRPr="00D34D82" w:rsidTr="00D44252">
        <w:trPr>
          <w:trHeight w:val="680"/>
          <w:jc w:val="center"/>
        </w:trPr>
        <w:tc>
          <w:tcPr>
            <w:tcW w:w="708" w:type="pct"/>
            <w:tcBorders>
              <w:top w:val="single" w:sz="6" w:space="0" w:color="000000"/>
            </w:tcBorders>
            <w:vAlign w:val="center"/>
          </w:tcPr>
          <w:p w:rsidR="0048476B" w:rsidRPr="00D34D82" w:rsidRDefault="0048476B" w:rsidP="000B17A3">
            <w:pPr>
              <w:pStyle w:val="1"/>
              <w:spacing w:before="0" w:after="0" w:line="360" w:lineRule="auto"/>
              <w:rPr>
                <w:rFonts w:ascii="Book Antiqua" w:hAnsi="Book Antiqua"/>
                <w:bCs w:val="0"/>
                <w:sz w:val="24"/>
                <w:szCs w:val="24"/>
              </w:rPr>
            </w:pPr>
            <w:r w:rsidRPr="00D34D82">
              <w:rPr>
                <w:rFonts w:ascii="Book Antiqua" w:hAnsi="Book Antiqua"/>
                <w:bCs w:val="0"/>
                <w:sz w:val="24"/>
                <w:szCs w:val="24"/>
              </w:rPr>
              <w:t>Control</w:t>
            </w:r>
          </w:p>
        </w:tc>
        <w:tc>
          <w:tcPr>
            <w:tcW w:w="755" w:type="pct"/>
            <w:tcBorders>
              <w:top w:val="single" w:sz="6" w:space="0" w:color="000000"/>
            </w:tcBorders>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0.98</w:t>
            </w:r>
          </w:p>
        </w:tc>
        <w:tc>
          <w:tcPr>
            <w:tcW w:w="520" w:type="pct"/>
            <w:tcBorders>
              <w:top w:val="single" w:sz="6" w:space="0" w:color="000000"/>
            </w:tcBorders>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12.3</w:t>
            </w:r>
          </w:p>
        </w:tc>
        <w:tc>
          <w:tcPr>
            <w:tcW w:w="615" w:type="pct"/>
            <w:tcBorders>
              <w:top w:val="single" w:sz="6" w:space="0" w:color="000000"/>
            </w:tcBorders>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2.0</w:t>
            </w:r>
          </w:p>
        </w:tc>
        <w:tc>
          <w:tcPr>
            <w:tcW w:w="668" w:type="pct"/>
            <w:tcBorders>
              <w:top w:val="single" w:sz="6" w:space="0" w:color="000000"/>
            </w:tcBorders>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75.31</w:t>
            </w:r>
          </w:p>
        </w:tc>
        <w:tc>
          <w:tcPr>
            <w:tcW w:w="591" w:type="pct"/>
            <w:tcBorders>
              <w:top w:val="single" w:sz="6" w:space="0" w:color="000000"/>
            </w:tcBorders>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2.48</w:t>
            </w:r>
          </w:p>
        </w:tc>
        <w:tc>
          <w:tcPr>
            <w:tcW w:w="1143" w:type="pct"/>
            <w:tcBorders>
              <w:top w:val="single" w:sz="6" w:space="0" w:color="000000"/>
            </w:tcBorders>
            <w:vAlign w:val="center"/>
          </w:tcPr>
          <w:p w:rsidR="0048476B" w:rsidRPr="00D34D82" w:rsidRDefault="0048476B" w:rsidP="000B17A3">
            <w:pPr>
              <w:spacing w:line="360" w:lineRule="auto"/>
              <w:ind w:left="-4"/>
              <w:rPr>
                <w:rFonts w:ascii="Book Antiqua" w:hAnsi="Book Antiqua"/>
                <w:sz w:val="24"/>
                <w:lang w:val="en-GB"/>
              </w:rPr>
            </w:pPr>
            <w:r w:rsidRPr="00D34D82">
              <w:rPr>
                <w:rFonts w:ascii="Book Antiqua" w:hAnsi="Book Antiqua"/>
                <w:sz w:val="24"/>
                <w:lang w:val="en-GB"/>
              </w:rPr>
              <w:t>3.97</w:t>
            </w:r>
          </w:p>
        </w:tc>
      </w:tr>
      <w:tr w:rsidR="0048476B" w:rsidRPr="00D34D82" w:rsidTr="00D44252">
        <w:trPr>
          <w:trHeight w:val="680"/>
          <w:jc w:val="center"/>
        </w:trPr>
        <w:tc>
          <w:tcPr>
            <w:tcW w:w="708" w:type="pct"/>
            <w:vAlign w:val="center"/>
          </w:tcPr>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Control DMDP</w:t>
            </w:r>
          </w:p>
        </w:tc>
        <w:tc>
          <w:tcPr>
            <w:tcW w:w="755"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0.74</w:t>
            </w:r>
          </w:p>
        </w:tc>
        <w:tc>
          <w:tcPr>
            <w:tcW w:w="520"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18.86</w:t>
            </w:r>
          </w:p>
        </w:tc>
        <w:tc>
          <w:tcPr>
            <w:tcW w:w="615"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0.98</w:t>
            </w:r>
          </w:p>
        </w:tc>
        <w:tc>
          <w:tcPr>
            <w:tcW w:w="668"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71.09</w:t>
            </w:r>
          </w:p>
        </w:tc>
        <w:tc>
          <w:tcPr>
            <w:tcW w:w="591"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5.60</w:t>
            </w:r>
          </w:p>
        </w:tc>
        <w:tc>
          <w:tcPr>
            <w:tcW w:w="1143" w:type="pct"/>
            <w:vAlign w:val="center"/>
          </w:tcPr>
          <w:p w:rsidR="0048476B" w:rsidRPr="00D34D82" w:rsidRDefault="0048476B" w:rsidP="000B17A3">
            <w:pPr>
              <w:spacing w:line="360" w:lineRule="auto"/>
              <w:ind w:left="-4"/>
              <w:rPr>
                <w:rFonts w:ascii="Book Antiqua" w:hAnsi="Book Antiqua"/>
                <w:sz w:val="24"/>
                <w:lang w:val="en-GB"/>
              </w:rPr>
            </w:pPr>
            <w:r w:rsidRPr="00D34D82">
              <w:rPr>
                <w:rFonts w:ascii="Book Antiqua" w:hAnsi="Book Antiqua"/>
                <w:sz w:val="24"/>
                <w:lang w:val="en-GB"/>
              </w:rPr>
              <w:t>2.67</w:t>
            </w:r>
          </w:p>
        </w:tc>
      </w:tr>
      <w:tr w:rsidR="0048476B" w:rsidRPr="00D34D82" w:rsidTr="00D44252">
        <w:trPr>
          <w:trHeight w:val="680"/>
          <w:jc w:val="center"/>
        </w:trPr>
        <w:tc>
          <w:tcPr>
            <w:tcW w:w="708" w:type="pct"/>
            <w:vAlign w:val="center"/>
          </w:tcPr>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TA 24</w:t>
            </w:r>
          </w:p>
        </w:tc>
        <w:tc>
          <w:tcPr>
            <w:tcW w:w="755"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1.61</w:t>
            </w:r>
          </w:p>
        </w:tc>
        <w:tc>
          <w:tcPr>
            <w:tcW w:w="520"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41.74</w:t>
            </w:r>
            <w:r w:rsidRPr="00D34D82">
              <w:rPr>
                <w:rFonts w:ascii="Book Antiqua" w:hAnsi="Book Antiqua"/>
                <w:sz w:val="24"/>
                <w:vertAlign w:val="superscript"/>
                <w:lang w:val="en-GB"/>
              </w:rPr>
              <w:t>a</w:t>
            </w:r>
          </w:p>
        </w:tc>
        <w:tc>
          <w:tcPr>
            <w:tcW w:w="615"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8.57</w:t>
            </w:r>
            <w:r w:rsidRPr="00D34D82">
              <w:rPr>
                <w:rFonts w:ascii="Book Antiqua" w:hAnsi="Book Antiqua"/>
                <w:sz w:val="24"/>
                <w:vertAlign w:val="superscript"/>
                <w:lang w:val="en-GB"/>
              </w:rPr>
              <w:t>a</w:t>
            </w:r>
          </w:p>
        </w:tc>
        <w:tc>
          <w:tcPr>
            <w:tcW w:w="668"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39.0ª</w:t>
            </w:r>
          </w:p>
        </w:tc>
        <w:tc>
          <w:tcPr>
            <w:tcW w:w="591"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7.82ª</w:t>
            </w:r>
          </w:p>
        </w:tc>
        <w:tc>
          <w:tcPr>
            <w:tcW w:w="1143"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0.90</w:t>
            </w:r>
          </w:p>
        </w:tc>
      </w:tr>
      <w:tr w:rsidR="0048476B" w:rsidRPr="00D34D82" w:rsidTr="00D44252">
        <w:trPr>
          <w:trHeight w:val="680"/>
          <w:jc w:val="center"/>
        </w:trPr>
        <w:tc>
          <w:tcPr>
            <w:tcW w:w="708" w:type="pct"/>
            <w:vAlign w:val="center"/>
          </w:tcPr>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TA-DMDP 24</w:t>
            </w:r>
          </w:p>
        </w:tc>
        <w:tc>
          <w:tcPr>
            <w:tcW w:w="755"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2.01</w:t>
            </w:r>
          </w:p>
        </w:tc>
        <w:tc>
          <w:tcPr>
            <w:tcW w:w="520" w:type="pct"/>
            <w:vAlign w:val="center"/>
          </w:tcPr>
          <w:p w:rsidR="0048476B" w:rsidRPr="00D34D82" w:rsidRDefault="0048476B" w:rsidP="00537E42">
            <w:pPr>
              <w:spacing w:line="360" w:lineRule="auto"/>
              <w:rPr>
                <w:rFonts w:ascii="Book Antiqua" w:hAnsi="Book Antiqua"/>
                <w:sz w:val="24"/>
                <w:lang w:val="en-GB"/>
              </w:rPr>
            </w:pPr>
            <w:r w:rsidRPr="00D34D82">
              <w:rPr>
                <w:rFonts w:ascii="Book Antiqua" w:hAnsi="Book Antiqua"/>
                <w:sz w:val="24"/>
                <w:lang w:val="en-GB"/>
              </w:rPr>
              <w:t>25.45</w:t>
            </w:r>
            <w:r w:rsidRPr="00D34D82">
              <w:rPr>
                <w:rFonts w:ascii="Book Antiqua" w:hAnsi="Book Antiqua"/>
                <w:sz w:val="24"/>
                <w:vertAlign w:val="superscript"/>
                <w:lang w:val="en-GB"/>
              </w:rPr>
              <w:t>a,c</w:t>
            </w:r>
          </w:p>
        </w:tc>
        <w:tc>
          <w:tcPr>
            <w:tcW w:w="615" w:type="pct"/>
            <w:vAlign w:val="center"/>
          </w:tcPr>
          <w:p w:rsidR="0048476B" w:rsidRPr="00D34D82" w:rsidRDefault="0048476B" w:rsidP="00537E42">
            <w:pPr>
              <w:spacing w:line="360" w:lineRule="auto"/>
              <w:rPr>
                <w:rFonts w:ascii="Book Antiqua" w:hAnsi="Book Antiqua"/>
                <w:sz w:val="24"/>
                <w:lang w:val="en-GB"/>
              </w:rPr>
            </w:pPr>
            <w:r w:rsidRPr="00D34D82">
              <w:rPr>
                <w:rFonts w:ascii="Book Antiqua" w:hAnsi="Book Antiqua"/>
                <w:sz w:val="24"/>
                <w:lang w:val="en-GB"/>
              </w:rPr>
              <w:t>18.07</w:t>
            </w:r>
            <w:r w:rsidRPr="00D34D82">
              <w:rPr>
                <w:rFonts w:ascii="Book Antiqua" w:hAnsi="Book Antiqua"/>
                <w:sz w:val="24"/>
                <w:vertAlign w:val="superscript"/>
                <w:lang w:val="en-GB"/>
              </w:rPr>
              <w:t>a,c</w:t>
            </w:r>
          </w:p>
        </w:tc>
        <w:tc>
          <w:tcPr>
            <w:tcW w:w="668" w:type="pct"/>
            <w:vAlign w:val="center"/>
          </w:tcPr>
          <w:p w:rsidR="0048476B" w:rsidRPr="00D34D82" w:rsidRDefault="0048476B" w:rsidP="00537E42">
            <w:pPr>
              <w:spacing w:line="360" w:lineRule="auto"/>
              <w:rPr>
                <w:rFonts w:ascii="Book Antiqua" w:hAnsi="Book Antiqua"/>
                <w:sz w:val="24"/>
                <w:lang w:val="en-GB"/>
              </w:rPr>
            </w:pPr>
            <w:r w:rsidRPr="00D34D82">
              <w:rPr>
                <w:rFonts w:ascii="Book Antiqua" w:hAnsi="Book Antiqua"/>
                <w:sz w:val="24"/>
                <w:lang w:val="en-GB"/>
              </w:rPr>
              <w:t>49.20</w:t>
            </w:r>
            <w:r w:rsidRPr="00D34D82">
              <w:rPr>
                <w:rFonts w:ascii="Book Antiqua" w:hAnsi="Book Antiqua"/>
                <w:sz w:val="24"/>
                <w:vertAlign w:val="superscript"/>
                <w:lang w:val="en-GB"/>
              </w:rPr>
              <w:t>a,c</w:t>
            </w:r>
          </w:p>
        </w:tc>
        <w:tc>
          <w:tcPr>
            <w:tcW w:w="591"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3.92</w:t>
            </w:r>
          </w:p>
        </w:tc>
        <w:tc>
          <w:tcPr>
            <w:tcW w:w="1143"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0.76</w:t>
            </w:r>
          </w:p>
        </w:tc>
      </w:tr>
      <w:tr w:rsidR="0048476B" w:rsidRPr="00D34D82" w:rsidTr="00D44252">
        <w:trPr>
          <w:trHeight w:val="680"/>
          <w:jc w:val="center"/>
        </w:trPr>
        <w:tc>
          <w:tcPr>
            <w:tcW w:w="708" w:type="pct"/>
            <w:vAlign w:val="center"/>
          </w:tcPr>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TA 48</w:t>
            </w:r>
          </w:p>
        </w:tc>
        <w:tc>
          <w:tcPr>
            <w:tcW w:w="755"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1.59</w:t>
            </w:r>
          </w:p>
        </w:tc>
        <w:tc>
          <w:tcPr>
            <w:tcW w:w="520"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52.87</w:t>
            </w:r>
            <w:r w:rsidRPr="00D34D82">
              <w:rPr>
                <w:rFonts w:ascii="Book Antiqua" w:hAnsi="Book Antiqua"/>
                <w:sz w:val="24"/>
                <w:vertAlign w:val="superscript"/>
                <w:lang w:val="en-GB"/>
              </w:rPr>
              <w:t>a</w:t>
            </w:r>
          </w:p>
        </w:tc>
        <w:tc>
          <w:tcPr>
            <w:tcW w:w="615"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11.95</w:t>
            </w:r>
            <w:r w:rsidRPr="00D34D82">
              <w:rPr>
                <w:rFonts w:ascii="Book Antiqua" w:hAnsi="Book Antiqua"/>
                <w:sz w:val="24"/>
                <w:vertAlign w:val="superscript"/>
                <w:lang w:val="en-GB"/>
              </w:rPr>
              <w:t>a</w:t>
            </w:r>
          </w:p>
        </w:tc>
        <w:tc>
          <w:tcPr>
            <w:tcW w:w="668"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22.86</w:t>
            </w:r>
            <w:r w:rsidRPr="00D34D82">
              <w:rPr>
                <w:rFonts w:ascii="Book Antiqua" w:hAnsi="Book Antiqua"/>
                <w:sz w:val="24"/>
                <w:vertAlign w:val="superscript"/>
                <w:lang w:val="en-GB"/>
              </w:rPr>
              <w:t>a</w:t>
            </w:r>
          </w:p>
        </w:tc>
        <w:tc>
          <w:tcPr>
            <w:tcW w:w="591"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10.18</w:t>
            </w:r>
            <w:r w:rsidRPr="00D34D82">
              <w:rPr>
                <w:rFonts w:ascii="Book Antiqua" w:hAnsi="Book Antiqua"/>
                <w:sz w:val="24"/>
                <w:vertAlign w:val="superscript"/>
                <w:lang w:val="en-GB"/>
              </w:rPr>
              <w:t>a</w:t>
            </w:r>
          </w:p>
        </w:tc>
        <w:tc>
          <w:tcPr>
            <w:tcW w:w="1143"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0.2</w:t>
            </w:r>
          </w:p>
        </w:tc>
      </w:tr>
      <w:tr w:rsidR="0048476B" w:rsidRPr="00D34D82" w:rsidTr="00D44252">
        <w:trPr>
          <w:trHeight w:val="680"/>
          <w:jc w:val="center"/>
        </w:trPr>
        <w:tc>
          <w:tcPr>
            <w:tcW w:w="708" w:type="pct"/>
            <w:vAlign w:val="center"/>
          </w:tcPr>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TA-DMDP 48</w:t>
            </w:r>
          </w:p>
        </w:tc>
        <w:tc>
          <w:tcPr>
            <w:tcW w:w="755"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2.35</w:t>
            </w:r>
          </w:p>
        </w:tc>
        <w:tc>
          <w:tcPr>
            <w:tcW w:w="520"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42.77</w:t>
            </w:r>
            <w:r w:rsidRPr="00D34D82">
              <w:rPr>
                <w:rFonts w:ascii="Book Antiqua" w:hAnsi="Book Antiqua"/>
                <w:sz w:val="24"/>
                <w:vertAlign w:val="superscript"/>
                <w:lang w:val="en-GB"/>
              </w:rPr>
              <w:t>a</w:t>
            </w:r>
          </w:p>
        </w:tc>
        <w:tc>
          <w:tcPr>
            <w:tcW w:w="615"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14.92</w:t>
            </w:r>
            <w:r w:rsidRPr="00D34D82">
              <w:rPr>
                <w:rFonts w:ascii="Book Antiqua" w:hAnsi="Book Antiqua"/>
                <w:sz w:val="24"/>
                <w:vertAlign w:val="superscript"/>
                <w:lang w:val="en-GB"/>
              </w:rPr>
              <w:t>a</w:t>
            </w:r>
          </w:p>
        </w:tc>
        <w:tc>
          <w:tcPr>
            <w:tcW w:w="668"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28.0</w:t>
            </w:r>
            <w:r w:rsidRPr="00D34D82">
              <w:rPr>
                <w:rFonts w:ascii="Book Antiqua" w:hAnsi="Book Antiqua"/>
                <w:sz w:val="24"/>
                <w:vertAlign w:val="superscript"/>
                <w:lang w:val="en-GB"/>
              </w:rPr>
              <w:t>a</w:t>
            </w:r>
          </w:p>
        </w:tc>
        <w:tc>
          <w:tcPr>
            <w:tcW w:w="591"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10.25ª</w:t>
            </w:r>
          </w:p>
        </w:tc>
        <w:tc>
          <w:tcPr>
            <w:tcW w:w="1143"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1.70</w:t>
            </w:r>
          </w:p>
        </w:tc>
      </w:tr>
      <w:tr w:rsidR="0048476B" w:rsidRPr="00D34D82" w:rsidTr="00D44252">
        <w:trPr>
          <w:trHeight w:val="680"/>
          <w:jc w:val="center"/>
        </w:trPr>
        <w:tc>
          <w:tcPr>
            <w:tcW w:w="708" w:type="pct"/>
            <w:vAlign w:val="center"/>
          </w:tcPr>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TA 72</w:t>
            </w:r>
          </w:p>
        </w:tc>
        <w:tc>
          <w:tcPr>
            <w:tcW w:w="755"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3.78</w:t>
            </w:r>
            <w:r w:rsidRPr="00D34D82">
              <w:rPr>
                <w:rFonts w:ascii="Book Antiqua" w:hAnsi="Book Antiqua"/>
                <w:sz w:val="24"/>
                <w:vertAlign w:val="superscript"/>
                <w:lang w:val="en-GB"/>
              </w:rPr>
              <w:t>a</w:t>
            </w:r>
          </w:p>
        </w:tc>
        <w:tc>
          <w:tcPr>
            <w:tcW w:w="520"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47.61</w:t>
            </w:r>
            <w:r w:rsidRPr="00D34D82">
              <w:rPr>
                <w:rFonts w:ascii="Book Antiqua" w:hAnsi="Book Antiqua"/>
                <w:sz w:val="24"/>
                <w:vertAlign w:val="superscript"/>
                <w:lang w:val="en-GB"/>
              </w:rPr>
              <w:t>a</w:t>
            </w:r>
          </w:p>
        </w:tc>
        <w:tc>
          <w:tcPr>
            <w:tcW w:w="615"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7.21</w:t>
            </w:r>
            <w:r w:rsidRPr="00D34D82">
              <w:rPr>
                <w:rFonts w:ascii="Book Antiqua" w:hAnsi="Book Antiqua"/>
                <w:sz w:val="24"/>
                <w:vertAlign w:val="superscript"/>
                <w:lang w:val="en-GB"/>
              </w:rPr>
              <w:t>a</w:t>
            </w:r>
          </w:p>
        </w:tc>
        <w:tc>
          <w:tcPr>
            <w:tcW w:w="668"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35.6ª</w:t>
            </w:r>
          </w:p>
        </w:tc>
        <w:tc>
          <w:tcPr>
            <w:tcW w:w="591"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4.29ª</w:t>
            </w:r>
          </w:p>
        </w:tc>
        <w:tc>
          <w:tcPr>
            <w:tcW w:w="1143" w:type="pct"/>
            <w:vAlign w:val="center"/>
          </w:tcPr>
          <w:p w:rsidR="0048476B" w:rsidRPr="00D34D82" w:rsidRDefault="0048476B" w:rsidP="000B17A3">
            <w:pPr>
              <w:spacing w:line="360" w:lineRule="auto"/>
              <w:rPr>
                <w:rFonts w:ascii="Book Antiqua" w:hAnsi="Book Antiqua"/>
                <w:sz w:val="24"/>
                <w:lang w:val="en-GB"/>
              </w:rPr>
            </w:pPr>
            <w:r w:rsidRPr="00D34D82">
              <w:rPr>
                <w:rFonts w:ascii="Book Antiqua" w:hAnsi="Book Antiqua"/>
                <w:sz w:val="24"/>
                <w:lang w:val="en-GB"/>
              </w:rPr>
              <w:t>1.12</w:t>
            </w:r>
          </w:p>
        </w:tc>
      </w:tr>
      <w:tr w:rsidR="0048476B" w:rsidRPr="00D34D82" w:rsidTr="00D44252">
        <w:trPr>
          <w:trHeight w:val="680"/>
          <w:jc w:val="center"/>
        </w:trPr>
        <w:tc>
          <w:tcPr>
            <w:tcW w:w="708" w:type="pct"/>
            <w:tcBorders>
              <w:bottom w:val="single" w:sz="6" w:space="0" w:color="000000"/>
            </w:tcBorders>
            <w:vAlign w:val="center"/>
          </w:tcPr>
          <w:p w:rsidR="0048476B" w:rsidRPr="00D34D82" w:rsidRDefault="0048476B" w:rsidP="000B17A3">
            <w:pPr>
              <w:spacing w:line="360" w:lineRule="auto"/>
              <w:rPr>
                <w:rFonts w:ascii="Book Antiqua" w:hAnsi="Book Antiqua"/>
                <w:b/>
                <w:bCs/>
                <w:sz w:val="24"/>
                <w:lang w:val="en-GB"/>
              </w:rPr>
            </w:pPr>
            <w:r w:rsidRPr="00D34D82">
              <w:rPr>
                <w:rFonts w:ascii="Book Antiqua" w:hAnsi="Book Antiqua"/>
                <w:b/>
                <w:bCs/>
                <w:sz w:val="24"/>
                <w:lang w:val="en-GB"/>
              </w:rPr>
              <w:t>TA-DMDP 72</w:t>
            </w:r>
          </w:p>
        </w:tc>
        <w:tc>
          <w:tcPr>
            <w:tcW w:w="755" w:type="pct"/>
            <w:tcBorders>
              <w:bottom w:val="single" w:sz="6" w:space="0" w:color="000000"/>
            </w:tcBorders>
            <w:vAlign w:val="center"/>
          </w:tcPr>
          <w:p w:rsidR="0048476B" w:rsidRPr="00D34D82" w:rsidRDefault="0048476B" w:rsidP="00537E42">
            <w:pPr>
              <w:spacing w:line="360" w:lineRule="auto"/>
              <w:rPr>
                <w:rFonts w:ascii="Book Antiqua" w:hAnsi="Book Antiqua"/>
                <w:sz w:val="24"/>
              </w:rPr>
            </w:pPr>
            <w:r w:rsidRPr="00D34D82">
              <w:rPr>
                <w:rFonts w:ascii="Book Antiqua" w:hAnsi="Book Antiqua"/>
                <w:sz w:val="24"/>
              </w:rPr>
              <w:t>2.65</w:t>
            </w:r>
            <w:r w:rsidRPr="00D34D82">
              <w:rPr>
                <w:rFonts w:ascii="Book Antiqua" w:hAnsi="Book Antiqua"/>
                <w:sz w:val="24"/>
                <w:vertAlign w:val="superscript"/>
              </w:rPr>
              <w:t>a,c</w:t>
            </w:r>
          </w:p>
        </w:tc>
        <w:tc>
          <w:tcPr>
            <w:tcW w:w="520" w:type="pct"/>
            <w:tcBorders>
              <w:bottom w:val="single" w:sz="6" w:space="0" w:color="000000"/>
            </w:tcBorders>
            <w:vAlign w:val="center"/>
          </w:tcPr>
          <w:p w:rsidR="0048476B" w:rsidRPr="00D34D82" w:rsidRDefault="0048476B" w:rsidP="000B17A3">
            <w:pPr>
              <w:spacing w:line="360" w:lineRule="auto"/>
              <w:rPr>
                <w:rFonts w:ascii="Book Antiqua" w:hAnsi="Book Antiqua"/>
                <w:sz w:val="24"/>
              </w:rPr>
            </w:pPr>
            <w:r w:rsidRPr="00D34D82">
              <w:rPr>
                <w:rFonts w:ascii="Book Antiqua" w:hAnsi="Book Antiqua"/>
                <w:sz w:val="24"/>
              </w:rPr>
              <w:t>45.99</w:t>
            </w:r>
            <w:r w:rsidRPr="00D34D82">
              <w:rPr>
                <w:rFonts w:ascii="Book Antiqua" w:hAnsi="Book Antiqua"/>
                <w:sz w:val="24"/>
                <w:vertAlign w:val="superscript"/>
              </w:rPr>
              <w:t>a</w:t>
            </w:r>
          </w:p>
        </w:tc>
        <w:tc>
          <w:tcPr>
            <w:tcW w:w="615" w:type="pct"/>
            <w:tcBorders>
              <w:bottom w:val="single" w:sz="6" w:space="0" w:color="000000"/>
            </w:tcBorders>
            <w:vAlign w:val="center"/>
          </w:tcPr>
          <w:p w:rsidR="0048476B" w:rsidRPr="00D34D82" w:rsidRDefault="0048476B" w:rsidP="00537E42">
            <w:pPr>
              <w:spacing w:line="360" w:lineRule="auto"/>
              <w:rPr>
                <w:rFonts w:ascii="Book Antiqua" w:hAnsi="Book Antiqua"/>
                <w:sz w:val="24"/>
              </w:rPr>
            </w:pPr>
            <w:r w:rsidRPr="00D34D82">
              <w:rPr>
                <w:rFonts w:ascii="Book Antiqua" w:hAnsi="Book Antiqua"/>
                <w:sz w:val="24"/>
              </w:rPr>
              <w:t>1.44</w:t>
            </w:r>
            <w:r w:rsidRPr="00D34D82">
              <w:rPr>
                <w:rFonts w:ascii="Book Antiqua" w:hAnsi="Book Antiqua"/>
                <w:sz w:val="24"/>
                <w:vertAlign w:val="superscript"/>
              </w:rPr>
              <w:t>c</w:t>
            </w:r>
          </w:p>
        </w:tc>
        <w:tc>
          <w:tcPr>
            <w:tcW w:w="668" w:type="pct"/>
            <w:tcBorders>
              <w:bottom w:val="single" w:sz="6" w:space="0" w:color="000000"/>
            </w:tcBorders>
            <w:vAlign w:val="center"/>
          </w:tcPr>
          <w:p w:rsidR="0048476B" w:rsidRPr="00D34D82" w:rsidRDefault="0048476B" w:rsidP="000B17A3">
            <w:pPr>
              <w:spacing w:line="360" w:lineRule="auto"/>
              <w:rPr>
                <w:rFonts w:ascii="Book Antiqua" w:hAnsi="Book Antiqua"/>
                <w:sz w:val="24"/>
              </w:rPr>
            </w:pPr>
            <w:r w:rsidRPr="00D34D82">
              <w:rPr>
                <w:rFonts w:ascii="Book Antiqua" w:hAnsi="Book Antiqua"/>
                <w:sz w:val="24"/>
              </w:rPr>
              <w:t>41.71ª</w:t>
            </w:r>
          </w:p>
        </w:tc>
        <w:tc>
          <w:tcPr>
            <w:tcW w:w="591" w:type="pct"/>
            <w:tcBorders>
              <w:bottom w:val="single" w:sz="6" w:space="0" w:color="000000"/>
            </w:tcBorders>
            <w:vAlign w:val="center"/>
          </w:tcPr>
          <w:p w:rsidR="0048476B" w:rsidRPr="00D34D82" w:rsidRDefault="0048476B" w:rsidP="000B17A3">
            <w:pPr>
              <w:spacing w:line="360" w:lineRule="auto"/>
              <w:rPr>
                <w:rFonts w:ascii="Book Antiqua" w:hAnsi="Book Antiqua"/>
                <w:sz w:val="24"/>
              </w:rPr>
            </w:pPr>
            <w:r w:rsidRPr="00D34D82">
              <w:rPr>
                <w:rFonts w:ascii="Book Antiqua" w:hAnsi="Book Antiqua"/>
                <w:sz w:val="24"/>
              </w:rPr>
              <w:t>5.98</w:t>
            </w:r>
          </w:p>
        </w:tc>
        <w:tc>
          <w:tcPr>
            <w:tcW w:w="1143" w:type="pct"/>
            <w:tcBorders>
              <w:bottom w:val="single" w:sz="6" w:space="0" w:color="000000"/>
            </w:tcBorders>
            <w:vAlign w:val="center"/>
          </w:tcPr>
          <w:p w:rsidR="0048476B" w:rsidRPr="00D34D82" w:rsidRDefault="0048476B" w:rsidP="000B17A3">
            <w:pPr>
              <w:spacing w:line="360" w:lineRule="auto"/>
              <w:rPr>
                <w:rFonts w:ascii="Book Antiqua" w:hAnsi="Book Antiqua"/>
                <w:sz w:val="24"/>
              </w:rPr>
            </w:pPr>
            <w:r w:rsidRPr="00D34D82">
              <w:rPr>
                <w:rFonts w:ascii="Book Antiqua" w:hAnsi="Book Antiqua"/>
                <w:sz w:val="24"/>
              </w:rPr>
              <w:t>1.83</w:t>
            </w:r>
          </w:p>
        </w:tc>
      </w:tr>
    </w:tbl>
    <w:p w:rsidR="0048476B" w:rsidRPr="00D34D82" w:rsidRDefault="0048476B" w:rsidP="000B17A3">
      <w:pPr>
        <w:spacing w:line="360" w:lineRule="auto"/>
        <w:rPr>
          <w:rFonts w:ascii="Book Antiqua" w:hAnsi="Book Antiqua"/>
          <w:sz w:val="24"/>
        </w:rPr>
      </w:pPr>
    </w:p>
    <w:p w:rsidR="0048476B" w:rsidRPr="000B17A3" w:rsidRDefault="0048476B" w:rsidP="000B17A3">
      <w:pPr>
        <w:spacing w:line="360" w:lineRule="auto"/>
        <w:rPr>
          <w:rFonts w:ascii="Book Antiqua" w:hAnsi="Book Antiqua" w:cs="Arial"/>
          <w:sz w:val="24"/>
          <w:vertAlign w:val="superscript"/>
        </w:rPr>
      </w:pPr>
      <w:r w:rsidRPr="00D34D82">
        <w:rPr>
          <w:rFonts w:ascii="Book Antiqua" w:hAnsi="Book Antiqua" w:cs="Arial"/>
          <w:sz w:val="24"/>
        </w:rPr>
        <w:t>The values are expressed as the percentage of DNA in the following: hypodiploid population (&lt; 2</w:t>
      </w:r>
      <w:r w:rsidRPr="00D34D82">
        <w:rPr>
          <w:rFonts w:ascii="Book Antiqua" w:hAnsi="Book Antiqua" w:cs="Arial"/>
          <w:i/>
          <w:sz w:val="24"/>
        </w:rPr>
        <w:t>n</w:t>
      </w:r>
      <w:r w:rsidRPr="00D34D82">
        <w:rPr>
          <w:rFonts w:ascii="Book Antiqua" w:hAnsi="Book Antiqua" w:cs="Arial"/>
          <w:sz w:val="24"/>
        </w:rPr>
        <w:t>); diploid population, 2</w:t>
      </w:r>
      <w:r w:rsidRPr="00D34D82">
        <w:rPr>
          <w:rFonts w:ascii="Book Antiqua" w:hAnsi="Book Antiqua" w:cs="Arial"/>
          <w:i/>
          <w:sz w:val="24"/>
        </w:rPr>
        <w:t>n</w:t>
      </w:r>
      <w:r w:rsidRPr="00D34D82">
        <w:rPr>
          <w:rFonts w:ascii="Book Antiqua" w:hAnsi="Book Antiqua" w:cs="Arial"/>
          <w:sz w:val="24"/>
        </w:rPr>
        <w:t xml:space="preserve"> (cells in G</w:t>
      </w:r>
      <w:r w:rsidRPr="00D34D82">
        <w:rPr>
          <w:rFonts w:ascii="Book Antiqua" w:hAnsi="Book Antiqua" w:cs="Arial"/>
          <w:sz w:val="24"/>
          <w:vertAlign w:val="subscript"/>
        </w:rPr>
        <w:t>0</w:t>
      </w:r>
      <w:r w:rsidRPr="00D34D82">
        <w:rPr>
          <w:rFonts w:ascii="Book Antiqua" w:hAnsi="Book Antiqua" w:cs="Arial"/>
          <w:sz w:val="24"/>
        </w:rPr>
        <w:t>–G</w:t>
      </w:r>
      <w:r w:rsidRPr="00D34D82">
        <w:rPr>
          <w:rFonts w:ascii="Book Antiqua" w:hAnsi="Book Antiqua" w:cs="Arial"/>
          <w:sz w:val="24"/>
          <w:vertAlign w:val="subscript"/>
        </w:rPr>
        <w:t>1</w:t>
      </w:r>
      <w:r w:rsidRPr="00D34D82">
        <w:rPr>
          <w:rFonts w:ascii="Book Antiqua" w:hAnsi="Book Antiqua" w:cs="Arial"/>
          <w:sz w:val="24"/>
        </w:rPr>
        <w:t>); tetraploid population, 4</w:t>
      </w:r>
      <w:r w:rsidRPr="00D34D82">
        <w:rPr>
          <w:rFonts w:ascii="Book Antiqua" w:hAnsi="Book Antiqua" w:cs="Arial"/>
          <w:i/>
          <w:sz w:val="24"/>
        </w:rPr>
        <w:t>n</w:t>
      </w:r>
      <w:r w:rsidRPr="00D34D82">
        <w:rPr>
          <w:rFonts w:ascii="Book Antiqua" w:hAnsi="Book Antiqua" w:cs="Arial"/>
          <w:sz w:val="24"/>
        </w:rPr>
        <w:t xml:space="preserve"> (cells in G</w:t>
      </w:r>
      <w:r w:rsidRPr="00D34D82">
        <w:rPr>
          <w:rFonts w:ascii="Book Antiqua" w:hAnsi="Book Antiqua" w:cs="Arial"/>
          <w:sz w:val="24"/>
          <w:vertAlign w:val="subscript"/>
        </w:rPr>
        <w:t>2</w:t>
      </w:r>
      <w:r w:rsidRPr="00D34D82">
        <w:rPr>
          <w:rFonts w:ascii="Book Antiqua" w:hAnsi="Book Antiqua" w:cs="Arial"/>
          <w:sz w:val="24"/>
        </w:rPr>
        <w:t>+M); octaploid population, 8</w:t>
      </w:r>
      <w:r w:rsidRPr="00D34D82">
        <w:rPr>
          <w:rFonts w:ascii="Book Antiqua" w:hAnsi="Book Antiqua" w:cs="Arial"/>
          <w:i/>
          <w:sz w:val="24"/>
        </w:rPr>
        <w:t>n</w:t>
      </w:r>
      <w:r w:rsidRPr="00D34D82">
        <w:rPr>
          <w:rFonts w:ascii="Book Antiqua" w:hAnsi="Book Antiqua" w:cs="Arial"/>
          <w:sz w:val="24"/>
        </w:rPr>
        <w:t>, and cells synthesizing DNA, S</w:t>
      </w:r>
      <w:r w:rsidRPr="00D34D82">
        <w:rPr>
          <w:rFonts w:ascii="Book Antiqua" w:hAnsi="Book Antiqua" w:cs="Arial"/>
          <w:sz w:val="24"/>
          <w:vertAlign w:val="subscript"/>
        </w:rPr>
        <w:t>1</w:t>
      </w:r>
      <w:r w:rsidRPr="00D34D82">
        <w:rPr>
          <w:rFonts w:ascii="Book Antiqua" w:hAnsi="Book Antiqua" w:cs="Arial"/>
          <w:sz w:val="24"/>
        </w:rPr>
        <w:t xml:space="preserve"> phase (from G</w:t>
      </w:r>
      <w:r w:rsidRPr="00D34D82">
        <w:rPr>
          <w:rFonts w:ascii="Book Antiqua" w:hAnsi="Book Antiqua" w:cs="Arial"/>
          <w:sz w:val="24"/>
          <w:vertAlign w:val="subscript"/>
        </w:rPr>
        <w:t>1</w:t>
      </w:r>
      <w:r w:rsidRPr="00D34D82">
        <w:rPr>
          <w:rFonts w:ascii="Book Antiqua" w:hAnsi="Book Antiqua" w:cs="Arial"/>
          <w:sz w:val="24"/>
        </w:rPr>
        <w:t>–G</w:t>
      </w:r>
      <w:r w:rsidRPr="00D34D82">
        <w:rPr>
          <w:rFonts w:ascii="Book Antiqua" w:hAnsi="Book Antiqua" w:cs="Arial"/>
          <w:sz w:val="24"/>
          <w:vertAlign w:val="subscript"/>
        </w:rPr>
        <w:t>2</w:t>
      </w:r>
      <w:r w:rsidRPr="00D34D82">
        <w:rPr>
          <w:rFonts w:ascii="Book Antiqua" w:hAnsi="Book Antiqua" w:cs="Arial"/>
          <w:sz w:val="24"/>
        </w:rPr>
        <w:t>, 2</w:t>
      </w:r>
      <w:r w:rsidRPr="00D34D82">
        <w:rPr>
          <w:rFonts w:ascii="Book Antiqua" w:hAnsi="Book Antiqua" w:cs="Arial"/>
          <w:i/>
          <w:sz w:val="24"/>
        </w:rPr>
        <w:t>n</w:t>
      </w:r>
      <w:r w:rsidRPr="00D34D82">
        <w:rPr>
          <w:rFonts w:ascii="Book Antiqua" w:hAnsi="Book Antiqua" w:cs="Arial"/>
          <w:sz w:val="24"/>
        </w:rPr>
        <w:sym w:font="Symbol" w:char="F0AE"/>
      </w:r>
      <w:r w:rsidRPr="00D34D82">
        <w:rPr>
          <w:rFonts w:ascii="Book Antiqua" w:hAnsi="Book Antiqua" w:cs="Arial"/>
          <w:sz w:val="24"/>
        </w:rPr>
        <w:t>4</w:t>
      </w:r>
      <w:r w:rsidRPr="00D34D82">
        <w:rPr>
          <w:rFonts w:ascii="Book Antiqua" w:hAnsi="Book Antiqua" w:cs="Arial"/>
          <w:i/>
          <w:sz w:val="24"/>
        </w:rPr>
        <w:t>n</w:t>
      </w:r>
      <w:r w:rsidRPr="00D34D82">
        <w:rPr>
          <w:rFonts w:ascii="Book Antiqua" w:hAnsi="Book Antiqua" w:cs="Arial"/>
          <w:sz w:val="24"/>
        </w:rPr>
        <w:t>) and S</w:t>
      </w:r>
      <w:r w:rsidRPr="00D34D82">
        <w:rPr>
          <w:rFonts w:ascii="Book Antiqua" w:hAnsi="Book Antiqua" w:cs="Arial"/>
          <w:sz w:val="24"/>
          <w:vertAlign w:val="subscript"/>
        </w:rPr>
        <w:t>2</w:t>
      </w:r>
      <w:r w:rsidRPr="00D34D82">
        <w:rPr>
          <w:rFonts w:ascii="Book Antiqua" w:hAnsi="Book Antiqua" w:cs="Arial"/>
          <w:sz w:val="24"/>
        </w:rPr>
        <w:t xml:space="preserve"> phase (from 4</w:t>
      </w:r>
      <w:r w:rsidRPr="00D34D82">
        <w:rPr>
          <w:rFonts w:ascii="Book Antiqua" w:hAnsi="Book Antiqua" w:cs="Arial"/>
          <w:i/>
          <w:sz w:val="24"/>
        </w:rPr>
        <w:t>n</w:t>
      </w:r>
      <w:r w:rsidRPr="00D34D82">
        <w:rPr>
          <w:rFonts w:ascii="Book Antiqua" w:hAnsi="Book Antiqua" w:cs="Arial"/>
          <w:sz w:val="24"/>
        </w:rPr>
        <w:sym w:font="Symbol" w:char="F0AE"/>
      </w:r>
      <w:r w:rsidRPr="00D34D82">
        <w:rPr>
          <w:rFonts w:ascii="Book Antiqua" w:hAnsi="Book Antiqua" w:cs="Arial"/>
          <w:sz w:val="24"/>
        </w:rPr>
        <w:t>8</w:t>
      </w:r>
      <w:r w:rsidRPr="00D34D82">
        <w:rPr>
          <w:rFonts w:ascii="Book Antiqua" w:hAnsi="Book Antiqua" w:cs="Arial"/>
          <w:i/>
          <w:sz w:val="24"/>
        </w:rPr>
        <w:t>n</w:t>
      </w:r>
      <w:r w:rsidRPr="00D34D82">
        <w:rPr>
          <w:rFonts w:ascii="Book Antiqua" w:hAnsi="Book Antiqua" w:cs="Arial"/>
          <w:sz w:val="24"/>
        </w:rPr>
        <w:t xml:space="preserve">). Data are expressed as the means of four experimental observations (four rats) </w:t>
      </w:r>
      <w:r w:rsidRPr="00D34D82">
        <w:rPr>
          <w:rFonts w:ascii="Book Antiqua" w:hAnsi="Book Antiqua" w:cs="Arial"/>
          <w:sz w:val="24"/>
        </w:rPr>
        <w:sym w:font="Symbol" w:char="F0B1"/>
      </w:r>
      <w:r w:rsidRPr="00D34D82">
        <w:rPr>
          <w:rFonts w:ascii="Book Antiqua" w:hAnsi="Book Antiqua" w:cs="Arial"/>
          <w:sz w:val="24"/>
        </w:rPr>
        <w:t xml:space="preserve"> SD, </w:t>
      </w:r>
      <w:r w:rsidRPr="00D34D82">
        <w:rPr>
          <w:rFonts w:ascii="Book Antiqua" w:hAnsi="Book Antiqua" w:cs="Times-Roman"/>
          <w:color w:val="231F20"/>
          <w:kern w:val="0"/>
          <w:sz w:val="24"/>
          <w:vertAlign w:val="superscript"/>
        </w:rPr>
        <w:t>a</w:t>
      </w:r>
      <w:r w:rsidRPr="00D34D82">
        <w:rPr>
          <w:rFonts w:ascii="Book Antiqua" w:hAnsi="Book Antiqua" w:cs="Times-Italic"/>
          <w:i/>
          <w:iCs/>
          <w:color w:val="231F20"/>
          <w:kern w:val="0"/>
          <w:sz w:val="24"/>
        </w:rPr>
        <w:t>P</w:t>
      </w:r>
      <w:r w:rsidRPr="0035186B">
        <w:rPr>
          <w:rFonts w:ascii="宋体" w:hAnsi="宋体" w:cs="Times-Italic"/>
          <w:i/>
          <w:iCs/>
          <w:color w:val="231F20"/>
          <w:kern w:val="0"/>
          <w:sz w:val="24"/>
        </w:rPr>
        <w:t xml:space="preserve"> </w:t>
      </w:r>
      <w:r>
        <w:rPr>
          <w:rFonts w:ascii="宋体" w:hAnsi="宋体" w:hint="eastAsia"/>
          <w:color w:val="231F20"/>
          <w:kern w:val="0"/>
          <w:sz w:val="24"/>
        </w:rPr>
        <w:t>＜</w:t>
      </w:r>
      <w:r w:rsidRPr="00D34D82">
        <w:rPr>
          <w:color w:val="231F20"/>
          <w:kern w:val="0"/>
          <w:sz w:val="24"/>
        </w:rPr>
        <w:t xml:space="preserve"> </w:t>
      </w:r>
      <w:r w:rsidRPr="00D34D82">
        <w:rPr>
          <w:rFonts w:ascii="Book Antiqua" w:hAnsi="Book Antiqua" w:cs="Times-Roman"/>
          <w:color w:val="231F20"/>
          <w:kern w:val="0"/>
          <w:sz w:val="24"/>
        </w:rPr>
        <w:t>0.05</w:t>
      </w:r>
      <w:r w:rsidRPr="00D34D82">
        <w:rPr>
          <w:rFonts w:ascii="Book Antiqua" w:hAnsi="Book Antiqua" w:cs="Arial"/>
          <w:sz w:val="24"/>
        </w:rPr>
        <w:t xml:space="preserve"> </w:t>
      </w:r>
      <w:r w:rsidRPr="00D34D82">
        <w:rPr>
          <w:rFonts w:ascii="Book Antiqua" w:hAnsi="Book Antiqua" w:cs="Arial"/>
          <w:i/>
          <w:sz w:val="24"/>
        </w:rPr>
        <w:t>vs</w:t>
      </w:r>
      <w:r w:rsidRPr="00D34D82">
        <w:rPr>
          <w:rFonts w:ascii="Book Antiqua" w:hAnsi="Book Antiqua" w:cs="Arial"/>
          <w:sz w:val="24"/>
        </w:rPr>
        <w:t xml:space="preserve"> the untreated control group; </w:t>
      </w:r>
      <w:r w:rsidRPr="00D34D82">
        <w:rPr>
          <w:rFonts w:ascii="Book Antiqua" w:hAnsi="Book Antiqua" w:cs="Times-Roman"/>
          <w:color w:val="231F20"/>
          <w:kern w:val="0"/>
          <w:sz w:val="24"/>
          <w:vertAlign w:val="superscript"/>
        </w:rPr>
        <w:t>c</w:t>
      </w:r>
      <w:r w:rsidRPr="00D34D82">
        <w:rPr>
          <w:rFonts w:ascii="Book Antiqua" w:hAnsi="Book Antiqua" w:cs="Times-Italic"/>
          <w:i/>
          <w:iCs/>
          <w:color w:val="231F20"/>
          <w:kern w:val="0"/>
          <w:sz w:val="24"/>
        </w:rPr>
        <w:t>P</w:t>
      </w:r>
      <w:r w:rsidRPr="0035186B">
        <w:rPr>
          <w:rFonts w:ascii="宋体" w:hAnsi="宋体" w:cs="Times-Italic"/>
          <w:i/>
          <w:iCs/>
          <w:color w:val="231F20"/>
          <w:kern w:val="0"/>
          <w:sz w:val="24"/>
        </w:rPr>
        <w:t xml:space="preserve"> </w:t>
      </w:r>
      <w:r>
        <w:rPr>
          <w:rFonts w:ascii="宋体" w:hAnsi="宋体" w:hint="eastAsia"/>
          <w:color w:val="231F20"/>
          <w:kern w:val="0"/>
          <w:sz w:val="24"/>
        </w:rPr>
        <w:t>＜</w:t>
      </w:r>
      <w:r w:rsidRPr="00D34D82">
        <w:rPr>
          <w:rFonts w:ascii="Book Antiqua" w:hAnsi="Book Antiqua" w:cs="Times-Roman"/>
          <w:color w:val="231F20"/>
          <w:kern w:val="0"/>
          <w:sz w:val="24"/>
        </w:rPr>
        <w:t xml:space="preserve">0.05 </w:t>
      </w:r>
      <w:r w:rsidRPr="00D34D82">
        <w:rPr>
          <w:rFonts w:ascii="Book Antiqua" w:hAnsi="Book Antiqua" w:cs="Times-Roman"/>
          <w:i/>
          <w:color w:val="231F20"/>
          <w:kern w:val="0"/>
          <w:sz w:val="24"/>
        </w:rPr>
        <w:t xml:space="preserve">vs </w:t>
      </w:r>
      <w:r w:rsidRPr="00D34D82">
        <w:rPr>
          <w:rFonts w:ascii="Book Antiqua" w:hAnsi="Book Antiqua" w:cs="Arial"/>
          <w:sz w:val="24"/>
        </w:rPr>
        <w:t>changes due to dichloromethylene diphosphonate (DMDP). TA: Thioacetamide.</w:t>
      </w:r>
    </w:p>
    <w:p w:rsidR="0048476B" w:rsidRPr="0035186B" w:rsidRDefault="0048476B" w:rsidP="000B17A3">
      <w:pPr>
        <w:spacing w:line="360" w:lineRule="auto"/>
        <w:rPr>
          <w:rFonts w:ascii="Book Antiqua" w:hAnsi="Book Antiqua"/>
          <w:sz w:val="24"/>
          <w:vertAlign w:val="superscript"/>
        </w:rPr>
      </w:pPr>
    </w:p>
    <w:sectPr w:rsidR="0048476B" w:rsidRPr="0035186B" w:rsidSect="00393263">
      <w:footerReference w:type="even" r:id="rId14"/>
      <w:footerReference w:type="default" r:id="rId15"/>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2E" w:rsidRDefault="004F5C2E" w:rsidP="00401A1B">
      <w:r>
        <w:separator/>
      </w:r>
    </w:p>
  </w:endnote>
  <w:endnote w:type="continuationSeparator" w:id="0">
    <w:p w:rsidR="004F5C2E" w:rsidRDefault="004F5C2E" w:rsidP="0040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6B" w:rsidRDefault="0048476B" w:rsidP="002C0A70">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476B" w:rsidRDefault="0048476B" w:rsidP="0039326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6B" w:rsidRDefault="0048476B" w:rsidP="002C0A70">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E463D">
      <w:rPr>
        <w:rStyle w:val="a7"/>
        <w:noProof/>
      </w:rPr>
      <w:t>22</w:t>
    </w:r>
    <w:r>
      <w:rPr>
        <w:rStyle w:val="a7"/>
      </w:rPr>
      <w:fldChar w:fldCharType="end"/>
    </w:r>
  </w:p>
  <w:p w:rsidR="0048476B" w:rsidRDefault="0048476B" w:rsidP="0039326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2E" w:rsidRDefault="004F5C2E" w:rsidP="00401A1B">
      <w:r>
        <w:separator/>
      </w:r>
    </w:p>
  </w:footnote>
  <w:footnote w:type="continuationSeparator" w:id="0">
    <w:p w:rsidR="004F5C2E" w:rsidRDefault="004F5C2E" w:rsidP="00401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62E7"/>
    <w:multiLevelType w:val="hybridMultilevel"/>
    <w:tmpl w:val="F07EDC68"/>
    <w:lvl w:ilvl="0" w:tplc="24E247E0">
      <w:start w:val="1"/>
      <w:numFmt w:val="decimal"/>
      <w:lvlText w:val="%1."/>
      <w:lvlJc w:val="left"/>
      <w:pPr>
        <w:tabs>
          <w:tab w:val="num" w:pos="624"/>
        </w:tabs>
        <w:ind w:left="624" w:hanging="624"/>
      </w:pPr>
      <w:rPr>
        <w:rFonts w:cs="Times New Roman" w:hint="default"/>
        <w:b w:val="0"/>
      </w:rPr>
    </w:lvl>
    <w:lvl w:ilvl="1" w:tplc="0C0A0019" w:tentative="1">
      <w:start w:val="1"/>
      <w:numFmt w:val="lowerLetter"/>
      <w:lvlText w:val="%2."/>
      <w:lvlJc w:val="left"/>
      <w:pPr>
        <w:tabs>
          <w:tab w:val="num" w:pos="1327"/>
        </w:tabs>
        <w:ind w:left="1327" w:hanging="360"/>
      </w:pPr>
      <w:rPr>
        <w:rFonts w:cs="Times New Roman"/>
      </w:rPr>
    </w:lvl>
    <w:lvl w:ilvl="2" w:tplc="0C0A001B" w:tentative="1">
      <w:start w:val="1"/>
      <w:numFmt w:val="lowerRoman"/>
      <w:lvlText w:val="%3."/>
      <w:lvlJc w:val="right"/>
      <w:pPr>
        <w:tabs>
          <w:tab w:val="num" w:pos="2047"/>
        </w:tabs>
        <w:ind w:left="2047" w:hanging="180"/>
      </w:pPr>
      <w:rPr>
        <w:rFonts w:cs="Times New Roman"/>
      </w:rPr>
    </w:lvl>
    <w:lvl w:ilvl="3" w:tplc="0C0A000F" w:tentative="1">
      <w:start w:val="1"/>
      <w:numFmt w:val="decimal"/>
      <w:lvlText w:val="%4."/>
      <w:lvlJc w:val="left"/>
      <w:pPr>
        <w:tabs>
          <w:tab w:val="num" w:pos="2767"/>
        </w:tabs>
        <w:ind w:left="2767" w:hanging="360"/>
      </w:pPr>
      <w:rPr>
        <w:rFonts w:cs="Times New Roman"/>
      </w:rPr>
    </w:lvl>
    <w:lvl w:ilvl="4" w:tplc="0C0A0019" w:tentative="1">
      <w:start w:val="1"/>
      <w:numFmt w:val="lowerLetter"/>
      <w:lvlText w:val="%5."/>
      <w:lvlJc w:val="left"/>
      <w:pPr>
        <w:tabs>
          <w:tab w:val="num" w:pos="3487"/>
        </w:tabs>
        <w:ind w:left="3487" w:hanging="360"/>
      </w:pPr>
      <w:rPr>
        <w:rFonts w:cs="Times New Roman"/>
      </w:rPr>
    </w:lvl>
    <w:lvl w:ilvl="5" w:tplc="0C0A001B" w:tentative="1">
      <w:start w:val="1"/>
      <w:numFmt w:val="lowerRoman"/>
      <w:lvlText w:val="%6."/>
      <w:lvlJc w:val="right"/>
      <w:pPr>
        <w:tabs>
          <w:tab w:val="num" w:pos="4207"/>
        </w:tabs>
        <w:ind w:left="4207" w:hanging="180"/>
      </w:pPr>
      <w:rPr>
        <w:rFonts w:cs="Times New Roman"/>
      </w:rPr>
    </w:lvl>
    <w:lvl w:ilvl="6" w:tplc="0C0A000F" w:tentative="1">
      <w:start w:val="1"/>
      <w:numFmt w:val="decimal"/>
      <w:lvlText w:val="%7."/>
      <w:lvlJc w:val="left"/>
      <w:pPr>
        <w:tabs>
          <w:tab w:val="num" w:pos="4927"/>
        </w:tabs>
        <w:ind w:left="4927" w:hanging="360"/>
      </w:pPr>
      <w:rPr>
        <w:rFonts w:cs="Times New Roman"/>
      </w:rPr>
    </w:lvl>
    <w:lvl w:ilvl="7" w:tplc="0C0A0019" w:tentative="1">
      <w:start w:val="1"/>
      <w:numFmt w:val="lowerLetter"/>
      <w:lvlText w:val="%8."/>
      <w:lvlJc w:val="left"/>
      <w:pPr>
        <w:tabs>
          <w:tab w:val="num" w:pos="5647"/>
        </w:tabs>
        <w:ind w:left="5647" w:hanging="360"/>
      </w:pPr>
      <w:rPr>
        <w:rFonts w:cs="Times New Roman"/>
      </w:rPr>
    </w:lvl>
    <w:lvl w:ilvl="8" w:tplc="0C0A001B" w:tentative="1">
      <w:start w:val="1"/>
      <w:numFmt w:val="lowerRoman"/>
      <w:lvlText w:val="%9."/>
      <w:lvlJc w:val="right"/>
      <w:pPr>
        <w:tabs>
          <w:tab w:val="num" w:pos="6367"/>
        </w:tabs>
        <w:ind w:left="6367" w:hanging="180"/>
      </w:pPr>
      <w:rPr>
        <w:rFonts w:cs="Times New Roman"/>
      </w:rPr>
    </w:lvl>
  </w:abstractNum>
  <w:abstractNum w:abstractNumId="1">
    <w:nsid w:val="45A331AE"/>
    <w:multiLevelType w:val="hybridMultilevel"/>
    <w:tmpl w:val="362CC7B6"/>
    <w:lvl w:ilvl="0" w:tplc="BDD63D9E">
      <w:start w:val="32"/>
      <w:numFmt w:val="decimal"/>
      <w:lvlText w:val="%1."/>
      <w:lvlJc w:val="left"/>
      <w:pPr>
        <w:tabs>
          <w:tab w:val="num" w:pos="473"/>
        </w:tabs>
        <w:ind w:left="473" w:hanging="360"/>
      </w:pPr>
      <w:rPr>
        <w:rFonts w:cs="Times New Roman" w:hint="default"/>
      </w:rPr>
    </w:lvl>
    <w:lvl w:ilvl="1" w:tplc="0C0A0019" w:tentative="1">
      <w:start w:val="1"/>
      <w:numFmt w:val="lowerLetter"/>
      <w:lvlText w:val="%2."/>
      <w:lvlJc w:val="left"/>
      <w:pPr>
        <w:tabs>
          <w:tab w:val="num" w:pos="1193"/>
        </w:tabs>
        <w:ind w:left="1193" w:hanging="360"/>
      </w:pPr>
      <w:rPr>
        <w:rFonts w:cs="Times New Roman"/>
      </w:rPr>
    </w:lvl>
    <w:lvl w:ilvl="2" w:tplc="0C0A001B" w:tentative="1">
      <w:start w:val="1"/>
      <w:numFmt w:val="lowerRoman"/>
      <w:lvlText w:val="%3."/>
      <w:lvlJc w:val="right"/>
      <w:pPr>
        <w:tabs>
          <w:tab w:val="num" w:pos="1913"/>
        </w:tabs>
        <w:ind w:left="1913" w:hanging="180"/>
      </w:pPr>
      <w:rPr>
        <w:rFonts w:cs="Times New Roman"/>
      </w:rPr>
    </w:lvl>
    <w:lvl w:ilvl="3" w:tplc="0C0A000F" w:tentative="1">
      <w:start w:val="1"/>
      <w:numFmt w:val="decimal"/>
      <w:lvlText w:val="%4."/>
      <w:lvlJc w:val="left"/>
      <w:pPr>
        <w:tabs>
          <w:tab w:val="num" w:pos="2633"/>
        </w:tabs>
        <w:ind w:left="2633" w:hanging="360"/>
      </w:pPr>
      <w:rPr>
        <w:rFonts w:cs="Times New Roman"/>
      </w:rPr>
    </w:lvl>
    <w:lvl w:ilvl="4" w:tplc="0C0A0019" w:tentative="1">
      <w:start w:val="1"/>
      <w:numFmt w:val="lowerLetter"/>
      <w:lvlText w:val="%5."/>
      <w:lvlJc w:val="left"/>
      <w:pPr>
        <w:tabs>
          <w:tab w:val="num" w:pos="3353"/>
        </w:tabs>
        <w:ind w:left="3353" w:hanging="360"/>
      </w:pPr>
      <w:rPr>
        <w:rFonts w:cs="Times New Roman"/>
      </w:rPr>
    </w:lvl>
    <w:lvl w:ilvl="5" w:tplc="0C0A001B" w:tentative="1">
      <w:start w:val="1"/>
      <w:numFmt w:val="lowerRoman"/>
      <w:lvlText w:val="%6."/>
      <w:lvlJc w:val="right"/>
      <w:pPr>
        <w:tabs>
          <w:tab w:val="num" w:pos="4073"/>
        </w:tabs>
        <w:ind w:left="4073" w:hanging="180"/>
      </w:pPr>
      <w:rPr>
        <w:rFonts w:cs="Times New Roman"/>
      </w:rPr>
    </w:lvl>
    <w:lvl w:ilvl="6" w:tplc="0C0A000F" w:tentative="1">
      <w:start w:val="1"/>
      <w:numFmt w:val="decimal"/>
      <w:lvlText w:val="%7."/>
      <w:lvlJc w:val="left"/>
      <w:pPr>
        <w:tabs>
          <w:tab w:val="num" w:pos="4793"/>
        </w:tabs>
        <w:ind w:left="4793" w:hanging="360"/>
      </w:pPr>
      <w:rPr>
        <w:rFonts w:cs="Times New Roman"/>
      </w:rPr>
    </w:lvl>
    <w:lvl w:ilvl="7" w:tplc="0C0A0019" w:tentative="1">
      <w:start w:val="1"/>
      <w:numFmt w:val="lowerLetter"/>
      <w:lvlText w:val="%8."/>
      <w:lvlJc w:val="left"/>
      <w:pPr>
        <w:tabs>
          <w:tab w:val="num" w:pos="5513"/>
        </w:tabs>
        <w:ind w:left="5513" w:hanging="360"/>
      </w:pPr>
      <w:rPr>
        <w:rFonts w:cs="Times New Roman"/>
      </w:rPr>
    </w:lvl>
    <w:lvl w:ilvl="8" w:tplc="0C0A001B" w:tentative="1">
      <w:start w:val="1"/>
      <w:numFmt w:val="lowerRoman"/>
      <w:lvlText w:val="%9."/>
      <w:lvlJc w:val="right"/>
      <w:pPr>
        <w:tabs>
          <w:tab w:val="num" w:pos="6233"/>
        </w:tabs>
        <w:ind w:left="6233" w:hanging="180"/>
      </w:pPr>
      <w:rPr>
        <w:rFonts w:cs="Times New Roman"/>
      </w:rPr>
    </w:lvl>
  </w:abstractNum>
  <w:abstractNum w:abstractNumId="2">
    <w:nsid w:val="77195ED4"/>
    <w:multiLevelType w:val="hybridMultilevel"/>
    <w:tmpl w:val="F4E20B8E"/>
    <w:lvl w:ilvl="0" w:tplc="FBD83DE0">
      <w:start w:val="24"/>
      <w:numFmt w:val="decimal"/>
      <w:lvlText w:val="%1."/>
      <w:lvlJc w:val="left"/>
      <w:pPr>
        <w:tabs>
          <w:tab w:val="num" w:pos="473"/>
        </w:tabs>
        <w:ind w:left="473" w:hanging="360"/>
      </w:pPr>
      <w:rPr>
        <w:rFonts w:cs="Times New Roman" w:hint="default"/>
      </w:rPr>
    </w:lvl>
    <w:lvl w:ilvl="1" w:tplc="0C0A0019" w:tentative="1">
      <w:start w:val="1"/>
      <w:numFmt w:val="lowerLetter"/>
      <w:lvlText w:val="%2."/>
      <w:lvlJc w:val="left"/>
      <w:pPr>
        <w:tabs>
          <w:tab w:val="num" w:pos="1193"/>
        </w:tabs>
        <w:ind w:left="1193" w:hanging="360"/>
      </w:pPr>
      <w:rPr>
        <w:rFonts w:cs="Times New Roman"/>
      </w:rPr>
    </w:lvl>
    <w:lvl w:ilvl="2" w:tplc="0C0A001B" w:tentative="1">
      <w:start w:val="1"/>
      <w:numFmt w:val="lowerRoman"/>
      <w:lvlText w:val="%3."/>
      <w:lvlJc w:val="right"/>
      <w:pPr>
        <w:tabs>
          <w:tab w:val="num" w:pos="1913"/>
        </w:tabs>
        <w:ind w:left="1913" w:hanging="180"/>
      </w:pPr>
      <w:rPr>
        <w:rFonts w:cs="Times New Roman"/>
      </w:rPr>
    </w:lvl>
    <w:lvl w:ilvl="3" w:tplc="0C0A000F" w:tentative="1">
      <w:start w:val="1"/>
      <w:numFmt w:val="decimal"/>
      <w:lvlText w:val="%4."/>
      <w:lvlJc w:val="left"/>
      <w:pPr>
        <w:tabs>
          <w:tab w:val="num" w:pos="2633"/>
        </w:tabs>
        <w:ind w:left="2633" w:hanging="360"/>
      </w:pPr>
      <w:rPr>
        <w:rFonts w:cs="Times New Roman"/>
      </w:rPr>
    </w:lvl>
    <w:lvl w:ilvl="4" w:tplc="0C0A0019" w:tentative="1">
      <w:start w:val="1"/>
      <w:numFmt w:val="lowerLetter"/>
      <w:lvlText w:val="%5."/>
      <w:lvlJc w:val="left"/>
      <w:pPr>
        <w:tabs>
          <w:tab w:val="num" w:pos="3353"/>
        </w:tabs>
        <w:ind w:left="3353" w:hanging="360"/>
      </w:pPr>
      <w:rPr>
        <w:rFonts w:cs="Times New Roman"/>
      </w:rPr>
    </w:lvl>
    <w:lvl w:ilvl="5" w:tplc="0C0A001B" w:tentative="1">
      <w:start w:val="1"/>
      <w:numFmt w:val="lowerRoman"/>
      <w:lvlText w:val="%6."/>
      <w:lvlJc w:val="right"/>
      <w:pPr>
        <w:tabs>
          <w:tab w:val="num" w:pos="4073"/>
        </w:tabs>
        <w:ind w:left="4073" w:hanging="180"/>
      </w:pPr>
      <w:rPr>
        <w:rFonts w:cs="Times New Roman"/>
      </w:rPr>
    </w:lvl>
    <w:lvl w:ilvl="6" w:tplc="0C0A000F" w:tentative="1">
      <w:start w:val="1"/>
      <w:numFmt w:val="decimal"/>
      <w:lvlText w:val="%7."/>
      <w:lvlJc w:val="left"/>
      <w:pPr>
        <w:tabs>
          <w:tab w:val="num" w:pos="4793"/>
        </w:tabs>
        <w:ind w:left="4793" w:hanging="360"/>
      </w:pPr>
      <w:rPr>
        <w:rFonts w:cs="Times New Roman"/>
      </w:rPr>
    </w:lvl>
    <w:lvl w:ilvl="7" w:tplc="0C0A0019" w:tentative="1">
      <w:start w:val="1"/>
      <w:numFmt w:val="lowerLetter"/>
      <w:lvlText w:val="%8."/>
      <w:lvlJc w:val="left"/>
      <w:pPr>
        <w:tabs>
          <w:tab w:val="num" w:pos="5513"/>
        </w:tabs>
        <w:ind w:left="5513" w:hanging="360"/>
      </w:pPr>
      <w:rPr>
        <w:rFonts w:cs="Times New Roman"/>
      </w:rPr>
    </w:lvl>
    <w:lvl w:ilvl="8" w:tplc="0C0A001B" w:tentative="1">
      <w:start w:val="1"/>
      <w:numFmt w:val="lowerRoman"/>
      <w:lvlText w:val="%9."/>
      <w:lvlJc w:val="right"/>
      <w:pPr>
        <w:tabs>
          <w:tab w:val="num" w:pos="6233"/>
        </w:tabs>
        <w:ind w:left="6233"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hyphenationZone w:val="42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72"/>
    <w:rsid w:val="00002AA9"/>
    <w:rsid w:val="00004A73"/>
    <w:rsid w:val="00027A33"/>
    <w:rsid w:val="00036481"/>
    <w:rsid w:val="00044EAA"/>
    <w:rsid w:val="00056E95"/>
    <w:rsid w:val="0006513A"/>
    <w:rsid w:val="0008594C"/>
    <w:rsid w:val="000B17A3"/>
    <w:rsid w:val="000D09B3"/>
    <w:rsid w:val="000F3105"/>
    <w:rsid w:val="00123B76"/>
    <w:rsid w:val="0017075E"/>
    <w:rsid w:val="00190746"/>
    <w:rsid w:val="00192A9C"/>
    <w:rsid w:val="001D4EF0"/>
    <w:rsid w:val="001E0A31"/>
    <w:rsid w:val="001E5C73"/>
    <w:rsid w:val="001F64E7"/>
    <w:rsid w:val="00206874"/>
    <w:rsid w:val="00215DF6"/>
    <w:rsid w:val="002233A4"/>
    <w:rsid w:val="00233C1E"/>
    <w:rsid w:val="00240B00"/>
    <w:rsid w:val="002521D1"/>
    <w:rsid w:val="00260CCE"/>
    <w:rsid w:val="002975B1"/>
    <w:rsid w:val="002A609E"/>
    <w:rsid w:val="002C0A70"/>
    <w:rsid w:val="003119BA"/>
    <w:rsid w:val="00315E89"/>
    <w:rsid w:val="00330A98"/>
    <w:rsid w:val="0035186B"/>
    <w:rsid w:val="00353B12"/>
    <w:rsid w:val="00365AD6"/>
    <w:rsid w:val="00366C1B"/>
    <w:rsid w:val="00393263"/>
    <w:rsid w:val="003A5F3C"/>
    <w:rsid w:val="003B0ED2"/>
    <w:rsid w:val="003B5D0B"/>
    <w:rsid w:val="003C3282"/>
    <w:rsid w:val="00401A1B"/>
    <w:rsid w:val="0040384D"/>
    <w:rsid w:val="00421E83"/>
    <w:rsid w:val="00453BE7"/>
    <w:rsid w:val="00457CC5"/>
    <w:rsid w:val="004620F4"/>
    <w:rsid w:val="00466A36"/>
    <w:rsid w:val="004711DA"/>
    <w:rsid w:val="004715E2"/>
    <w:rsid w:val="0048476B"/>
    <w:rsid w:val="004978D6"/>
    <w:rsid w:val="004B07D8"/>
    <w:rsid w:val="004B5C4C"/>
    <w:rsid w:val="004E541C"/>
    <w:rsid w:val="004F5C2E"/>
    <w:rsid w:val="00506C76"/>
    <w:rsid w:val="00537E42"/>
    <w:rsid w:val="00562C35"/>
    <w:rsid w:val="00567172"/>
    <w:rsid w:val="00591588"/>
    <w:rsid w:val="005E533F"/>
    <w:rsid w:val="005F365D"/>
    <w:rsid w:val="00606D49"/>
    <w:rsid w:val="00607728"/>
    <w:rsid w:val="00611ABD"/>
    <w:rsid w:val="00630C5C"/>
    <w:rsid w:val="00645F13"/>
    <w:rsid w:val="00663275"/>
    <w:rsid w:val="006A790C"/>
    <w:rsid w:val="006C30E5"/>
    <w:rsid w:val="006C5C3C"/>
    <w:rsid w:val="006D559F"/>
    <w:rsid w:val="006D6D75"/>
    <w:rsid w:val="006F4512"/>
    <w:rsid w:val="00715FDA"/>
    <w:rsid w:val="00724D64"/>
    <w:rsid w:val="00727D2F"/>
    <w:rsid w:val="007310A9"/>
    <w:rsid w:val="00747010"/>
    <w:rsid w:val="00774FCA"/>
    <w:rsid w:val="00794235"/>
    <w:rsid w:val="007A78D1"/>
    <w:rsid w:val="007D13A3"/>
    <w:rsid w:val="007E463D"/>
    <w:rsid w:val="00810078"/>
    <w:rsid w:val="00825189"/>
    <w:rsid w:val="008354C8"/>
    <w:rsid w:val="0086499D"/>
    <w:rsid w:val="008F215B"/>
    <w:rsid w:val="0090149D"/>
    <w:rsid w:val="009A549F"/>
    <w:rsid w:val="009D6AE9"/>
    <w:rsid w:val="009F054E"/>
    <w:rsid w:val="00A04559"/>
    <w:rsid w:val="00A169CE"/>
    <w:rsid w:val="00A52C04"/>
    <w:rsid w:val="00A60117"/>
    <w:rsid w:val="00A90093"/>
    <w:rsid w:val="00AE3152"/>
    <w:rsid w:val="00B14E35"/>
    <w:rsid w:val="00B717FF"/>
    <w:rsid w:val="00BA6607"/>
    <w:rsid w:val="00BB47AB"/>
    <w:rsid w:val="00BD3D95"/>
    <w:rsid w:val="00BD5BCE"/>
    <w:rsid w:val="00BF3C6C"/>
    <w:rsid w:val="00C16A89"/>
    <w:rsid w:val="00C308DE"/>
    <w:rsid w:val="00C32B66"/>
    <w:rsid w:val="00C345EF"/>
    <w:rsid w:val="00C64D58"/>
    <w:rsid w:val="00C75121"/>
    <w:rsid w:val="00CA4C08"/>
    <w:rsid w:val="00CD3F68"/>
    <w:rsid w:val="00CE4867"/>
    <w:rsid w:val="00CE6DAE"/>
    <w:rsid w:val="00CF3CA7"/>
    <w:rsid w:val="00D00447"/>
    <w:rsid w:val="00D05F71"/>
    <w:rsid w:val="00D310FD"/>
    <w:rsid w:val="00D34D82"/>
    <w:rsid w:val="00D44252"/>
    <w:rsid w:val="00D46430"/>
    <w:rsid w:val="00D8129A"/>
    <w:rsid w:val="00D961EE"/>
    <w:rsid w:val="00DB2109"/>
    <w:rsid w:val="00DB616C"/>
    <w:rsid w:val="00DD1A0F"/>
    <w:rsid w:val="00DE0B28"/>
    <w:rsid w:val="00E07CBB"/>
    <w:rsid w:val="00E21640"/>
    <w:rsid w:val="00E222D3"/>
    <w:rsid w:val="00E27FB5"/>
    <w:rsid w:val="00E501E3"/>
    <w:rsid w:val="00E6036C"/>
    <w:rsid w:val="00E673D5"/>
    <w:rsid w:val="00E70700"/>
    <w:rsid w:val="00E80F75"/>
    <w:rsid w:val="00EA4781"/>
    <w:rsid w:val="00EB5D13"/>
    <w:rsid w:val="00EC454A"/>
    <w:rsid w:val="00EE7530"/>
    <w:rsid w:val="00F0485F"/>
    <w:rsid w:val="00F179CF"/>
    <w:rsid w:val="00F572D7"/>
    <w:rsid w:val="00F62E74"/>
    <w:rsid w:val="00F65015"/>
    <w:rsid w:val="00F76084"/>
    <w:rsid w:val="00F90AC8"/>
    <w:rsid w:val="00FA3BE3"/>
    <w:rsid w:val="00FA4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1B"/>
    <w:pPr>
      <w:widowControl w:val="0"/>
      <w:jc w:val="both"/>
    </w:pPr>
    <w:rPr>
      <w:rFonts w:ascii="Times New Roman" w:hAnsi="Times New Roman"/>
      <w:szCs w:val="24"/>
    </w:rPr>
  </w:style>
  <w:style w:type="paragraph" w:styleId="1">
    <w:name w:val="heading 1"/>
    <w:basedOn w:val="a"/>
    <w:next w:val="a"/>
    <w:link w:val="1Char"/>
    <w:uiPriority w:val="99"/>
    <w:qFormat/>
    <w:rsid w:val="00401A1B"/>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401A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01A1B"/>
    <w:rPr>
      <w:rFonts w:ascii="Cambria" w:hAnsi="Cambria" w:cs="Times New Roman"/>
      <w:b/>
      <w:bCs/>
      <w:kern w:val="32"/>
      <w:sz w:val="32"/>
      <w:szCs w:val="32"/>
    </w:rPr>
  </w:style>
  <w:style w:type="character" w:customStyle="1" w:styleId="2Char">
    <w:name w:val="标题 2 Char"/>
    <w:basedOn w:val="a0"/>
    <w:link w:val="2"/>
    <w:uiPriority w:val="99"/>
    <w:semiHidden/>
    <w:locked/>
    <w:rsid w:val="00401A1B"/>
    <w:rPr>
      <w:rFonts w:ascii="Cambria" w:hAnsi="Cambria" w:cs="Times New Roman"/>
      <w:b/>
      <w:bCs/>
      <w:i/>
      <w:iCs/>
      <w:sz w:val="28"/>
      <w:szCs w:val="28"/>
    </w:rPr>
  </w:style>
  <w:style w:type="paragraph" w:styleId="a3">
    <w:name w:val="header"/>
    <w:basedOn w:val="a"/>
    <w:link w:val="Char"/>
    <w:uiPriority w:val="99"/>
    <w:rsid w:val="00401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01A1B"/>
    <w:rPr>
      <w:rFonts w:cs="Times New Roman"/>
      <w:sz w:val="18"/>
      <w:szCs w:val="18"/>
    </w:rPr>
  </w:style>
  <w:style w:type="paragraph" w:styleId="a4">
    <w:name w:val="footer"/>
    <w:basedOn w:val="a"/>
    <w:link w:val="Char0"/>
    <w:uiPriority w:val="99"/>
    <w:rsid w:val="00401A1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01A1B"/>
    <w:rPr>
      <w:rFonts w:cs="Times New Roman"/>
      <w:sz w:val="18"/>
      <w:szCs w:val="18"/>
    </w:rPr>
  </w:style>
  <w:style w:type="character" w:styleId="a5">
    <w:name w:val="Hyperlink"/>
    <w:basedOn w:val="a0"/>
    <w:uiPriority w:val="99"/>
    <w:rsid w:val="00401A1B"/>
    <w:rPr>
      <w:rFonts w:cs="Times New Roman"/>
      <w:color w:val="0000FF"/>
      <w:u w:val="single"/>
    </w:rPr>
  </w:style>
  <w:style w:type="paragraph" w:styleId="a6">
    <w:name w:val="Body Text"/>
    <w:basedOn w:val="a"/>
    <w:link w:val="Char1"/>
    <w:uiPriority w:val="99"/>
    <w:rsid w:val="00401A1B"/>
    <w:pPr>
      <w:widowControl/>
      <w:spacing w:line="480" w:lineRule="auto"/>
    </w:pPr>
    <w:rPr>
      <w:kern w:val="0"/>
      <w:sz w:val="24"/>
      <w:lang w:val="en-GB" w:eastAsia="en-US"/>
    </w:rPr>
  </w:style>
  <w:style w:type="character" w:customStyle="1" w:styleId="Char1">
    <w:name w:val="正文文本 Char"/>
    <w:basedOn w:val="a0"/>
    <w:link w:val="a6"/>
    <w:uiPriority w:val="99"/>
    <w:locked/>
    <w:rsid w:val="00401A1B"/>
    <w:rPr>
      <w:rFonts w:ascii="Times New Roman" w:eastAsia="宋体" w:hAnsi="Times New Roman" w:cs="Times New Roman"/>
      <w:kern w:val="0"/>
      <w:sz w:val="24"/>
      <w:szCs w:val="24"/>
      <w:lang w:val="en-GB" w:eastAsia="en-US"/>
    </w:rPr>
  </w:style>
  <w:style w:type="character" w:styleId="a7">
    <w:name w:val="page number"/>
    <w:basedOn w:val="a0"/>
    <w:uiPriority w:val="99"/>
    <w:rsid w:val="00401A1B"/>
    <w:rPr>
      <w:rFonts w:cs="Times New Roman"/>
    </w:rPr>
  </w:style>
  <w:style w:type="paragraph" w:customStyle="1" w:styleId="Textodeglobo1">
    <w:name w:val="Texto de globo1"/>
    <w:basedOn w:val="a"/>
    <w:uiPriority w:val="99"/>
    <w:semiHidden/>
    <w:rsid w:val="00401A1B"/>
    <w:pPr>
      <w:widowControl/>
      <w:jc w:val="left"/>
    </w:pPr>
    <w:rPr>
      <w:rFonts w:ascii="Tahoma" w:hAnsi="Tahoma" w:cs="Tahoma"/>
      <w:kern w:val="0"/>
      <w:sz w:val="16"/>
      <w:szCs w:val="16"/>
      <w:lang w:val="es-ES" w:eastAsia="es-ES"/>
    </w:rPr>
  </w:style>
  <w:style w:type="character" w:customStyle="1" w:styleId="ti2">
    <w:name w:val="ti2"/>
    <w:uiPriority w:val="99"/>
    <w:rsid w:val="00401A1B"/>
    <w:rPr>
      <w:sz w:val="22"/>
    </w:rPr>
  </w:style>
  <w:style w:type="character" w:customStyle="1" w:styleId="apple-converted-space">
    <w:name w:val="apple-converted-space"/>
    <w:uiPriority w:val="99"/>
    <w:rsid w:val="00401A1B"/>
  </w:style>
  <w:style w:type="paragraph" w:styleId="a8">
    <w:name w:val="Balloon Text"/>
    <w:basedOn w:val="a"/>
    <w:link w:val="Char2"/>
    <w:uiPriority w:val="99"/>
    <w:semiHidden/>
    <w:rsid w:val="00401A1B"/>
    <w:rPr>
      <w:sz w:val="18"/>
      <w:szCs w:val="18"/>
    </w:rPr>
  </w:style>
  <w:style w:type="character" w:customStyle="1" w:styleId="Char2">
    <w:name w:val="批注框文本 Char"/>
    <w:basedOn w:val="a0"/>
    <w:link w:val="a8"/>
    <w:uiPriority w:val="99"/>
    <w:semiHidden/>
    <w:locked/>
    <w:rsid w:val="00401A1B"/>
    <w:rPr>
      <w:rFonts w:ascii="Times New Roman" w:eastAsia="宋体" w:hAnsi="Times New Roman" w:cs="Times New Roman"/>
      <w:sz w:val="18"/>
      <w:szCs w:val="18"/>
    </w:rPr>
  </w:style>
  <w:style w:type="character" w:styleId="a9">
    <w:name w:val="annotation reference"/>
    <w:basedOn w:val="a0"/>
    <w:uiPriority w:val="99"/>
    <w:semiHidden/>
    <w:rsid w:val="000D09B3"/>
    <w:rPr>
      <w:rFonts w:cs="Times New Roman"/>
      <w:sz w:val="21"/>
      <w:szCs w:val="21"/>
    </w:rPr>
  </w:style>
  <w:style w:type="paragraph" w:styleId="aa">
    <w:name w:val="annotation text"/>
    <w:basedOn w:val="a"/>
    <w:link w:val="Char3"/>
    <w:uiPriority w:val="99"/>
    <w:rsid w:val="000D09B3"/>
    <w:pPr>
      <w:jc w:val="left"/>
    </w:pPr>
  </w:style>
  <w:style w:type="character" w:customStyle="1" w:styleId="Char3">
    <w:name w:val="批注文字 Char"/>
    <w:basedOn w:val="a0"/>
    <w:link w:val="aa"/>
    <w:uiPriority w:val="99"/>
    <w:locked/>
    <w:rsid w:val="000D09B3"/>
    <w:rPr>
      <w:rFonts w:ascii="Times New Roman" w:eastAsia="宋体" w:hAnsi="Times New Roman" w:cs="Times New Roman"/>
      <w:sz w:val="24"/>
      <w:szCs w:val="24"/>
    </w:rPr>
  </w:style>
  <w:style w:type="paragraph" w:styleId="ab">
    <w:name w:val="annotation subject"/>
    <w:basedOn w:val="aa"/>
    <w:next w:val="aa"/>
    <w:link w:val="Char4"/>
    <w:uiPriority w:val="99"/>
    <w:semiHidden/>
    <w:rsid w:val="000D09B3"/>
    <w:rPr>
      <w:b/>
      <w:bCs/>
    </w:rPr>
  </w:style>
  <w:style w:type="character" w:customStyle="1" w:styleId="Char4">
    <w:name w:val="批注主题 Char"/>
    <w:basedOn w:val="Char3"/>
    <w:link w:val="ab"/>
    <w:uiPriority w:val="99"/>
    <w:semiHidden/>
    <w:locked/>
    <w:rsid w:val="000D09B3"/>
    <w:rPr>
      <w:rFonts w:ascii="Times New Roman" w:eastAsia="宋体" w:hAnsi="Times New Roman" w:cs="Times New Roman"/>
      <w:b/>
      <w:bCs/>
      <w:sz w:val="24"/>
      <w:szCs w:val="24"/>
    </w:rPr>
  </w:style>
  <w:style w:type="character" w:styleId="ac">
    <w:name w:val="Strong"/>
    <w:basedOn w:val="a0"/>
    <w:uiPriority w:val="99"/>
    <w:qFormat/>
    <w:rsid w:val="00727D2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1B"/>
    <w:pPr>
      <w:widowControl w:val="0"/>
      <w:jc w:val="both"/>
    </w:pPr>
    <w:rPr>
      <w:rFonts w:ascii="Times New Roman" w:hAnsi="Times New Roman"/>
      <w:szCs w:val="24"/>
    </w:rPr>
  </w:style>
  <w:style w:type="paragraph" w:styleId="1">
    <w:name w:val="heading 1"/>
    <w:basedOn w:val="a"/>
    <w:next w:val="a"/>
    <w:link w:val="1Char"/>
    <w:uiPriority w:val="99"/>
    <w:qFormat/>
    <w:rsid w:val="00401A1B"/>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401A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01A1B"/>
    <w:rPr>
      <w:rFonts w:ascii="Cambria" w:hAnsi="Cambria" w:cs="Times New Roman"/>
      <w:b/>
      <w:bCs/>
      <w:kern w:val="32"/>
      <w:sz w:val="32"/>
      <w:szCs w:val="32"/>
    </w:rPr>
  </w:style>
  <w:style w:type="character" w:customStyle="1" w:styleId="2Char">
    <w:name w:val="标题 2 Char"/>
    <w:basedOn w:val="a0"/>
    <w:link w:val="2"/>
    <w:uiPriority w:val="99"/>
    <w:semiHidden/>
    <w:locked/>
    <w:rsid w:val="00401A1B"/>
    <w:rPr>
      <w:rFonts w:ascii="Cambria" w:hAnsi="Cambria" w:cs="Times New Roman"/>
      <w:b/>
      <w:bCs/>
      <w:i/>
      <w:iCs/>
      <w:sz w:val="28"/>
      <w:szCs w:val="28"/>
    </w:rPr>
  </w:style>
  <w:style w:type="paragraph" w:styleId="a3">
    <w:name w:val="header"/>
    <w:basedOn w:val="a"/>
    <w:link w:val="Char"/>
    <w:uiPriority w:val="99"/>
    <w:rsid w:val="00401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01A1B"/>
    <w:rPr>
      <w:rFonts w:cs="Times New Roman"/>
      <w:sz w:val="18"/>
      <w:szCs w:val="18"/>
    </w:rPr>
  </w:style>
  <w:style w:type="paragraph" w:styleId="a4">
    <w:name w:val="footer"/>
    <w:basedOn w:val="a"/>
    <w:link w:val="Char0"/>
    <w:uiPriority w:val="99"/>
    <w:rsid w:val="00401A1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01A1B"/>
    <w:rPr>
      <w:rFonts w:cs="Times New Roman"/>
      <w:sz w:val="18"/>
      <w:szCs w:val="18"/>
    </w:rPr>
  </w:style>
  <w:style w:type="character" w:styleId="a5">
    <w:name w:val="Hyperlink"/>
    <w:basedOn w:val="a0"/>
    <w:uiPriority w:val="99"/>
    <w:rsid w:val="00401A1B"/>
    <w:rPr>
      <w:rFonts w:cs="Times New Roman"/>
      <w:color w:val="0000FF"/>
      <w:u w:val="single"/>
    </w:rPr>
  </w:style>
  <w:style w:type="paragraph" w:styleId="a6">
    <w:name w:val="Body Text"/>
    <w:basedOn w:val="a"/>
    <w:link w:val="Char1"/>
    <w:uiPriority w:val="99"/>
    <w:rsid w:val="00401A1B"/>
    <w:pPr>
      <w:widowControl/>
      <w:spacing w:line="480" w:lineRule="auto"/>
    </w:pPr>
    <w:rPr>
      <w:kern w:val="0"/>
      <w:sz w:val="24"/>
      <w:lang w:val="en-GB" w:eastAsia="en-US"/>
    </w:rPr>
  </w:style>
  <w:style w:type="character" w:customStyle="1" w:styleId="Char1">
    <w:name w:val="正文文本 Char"/>
    <w:basedOn w:val="a0"/>
    <w:link w:val="a6"/>
    <w:uiPriority w:val="99"/>
    <w:locked/>
    <w:rsid w:val="00401A1B"/>
    <w:rPr>
      <w:rFonts w:ascii="Times New Roman" w:eastAsia="宋体" w:hAnsi="Times New Roman" w:cs="Times New Roman"/>
      <w:kern w:val="0"/>
      <w:sz w:val="24"/>
      <w:szCs w:val="24"/>
      <w:lang w:val="en-GB" w:eastAsia="en-US"/>
    </w:rPr>
  </w:style>
  <w:style w:type="character" w:styleId="a7">
    <w:name w:val="page number"/>
    <w:basedOn w:val="a0"/>
    <w:uiPriority w:val="99"/>
    <w:rsid w:val="00401A1B"/>
    <w:rPr>
      <w:rFonts w:cs="Times New Roman"/>
    </w:rPr>
  </w:style>
  <w:style w:type="paragraph" w:customStyle="1" w:styleId="Textodeglobo1">
    <w:name w:val="Texto de globo1"/>
    <w:basedOn w:val="a"/>
    <w:uiPriority w:val="99"/>
    <w:semiHidden/>
    <w:rsid w:val="00401A1B"/>
    <w:pPr>
      <w:widowControl/>
      <w:jc w:val="left"/>
    </w:pPr>
    <w:rPr>
      <w:rFonts w:ascii="Tahoma" w:hAnsi="Tahoma" w:cs="Tahoma"/>
      <w:kern w:val="0"/>
      <w:sz w:val="16"/>
      <w:szCs w:val="16"/>
      <w:lang w:val="es-ES" w:eastAsia="es-ES"/>
    </w:rPr>
  </w:style>
  <w:style w:type="character" w:customStyle="1" w:styleId="ti2">
    <w:name w:val="ti2"/>
    <w:uiPriority w:val="99"/>
    <w:rsid w:val="00401A1B"/>
    <w:rPr>
      <w:sz w:val="22"/>
    </w:rPr>
  </w:style>
  <w:style w:type="character" w:customStyle="1" w:styleId="apple-converted-space">
    <w:name w:val="apple-converted-space"/>
    <w:uiPriority w:val="99"/>
    <w:rsid w:val="00401A1B"/>
  </w:style>
  <w:style w:type="paragraph" w:styleId="a8">
    <w:name w:val="Balloon Text"/>
    <w:basedOn w:val="a"/>
    <w:link w:val="Char2"/>
    <w:uiPriority w:val="99"/>
    <w:semiHidden/>
    <w:rsid w:val="00401A1B"/>
    <w:rPr>
      <w:sz w:val="18"/>
      <w:szCs w:val="18"/>
    </w:rPr>
  </w:style>
  <w:style w:type="character" w:customStyle="1" w:styleId="Char2">
    <w:name w:val="批注框文本 Char"/>
    <w:basedOn w:val="a0"/>
    <w:link w:val="a8"/>
    <w:uiPriority w:val="99"/>
    <w:semiHidden/>
    <w:locked/>
    <w:rsid w:val="00401A1B"/>
    <w:rPr>
      <w:rFonts w:ascii="Times New Roman" w:eastAsia="宋体" w:hAnsi="Times New Roman" w:cs="Times New Roman"/>
      <w:sz w:val="18"/>
      <w:szCs w:val="18"/>
    </w:rPr>
  </w:style>
  <w:style w:type="character" w:styleId="a9">
    <w:name w:val="annotation reference"/>
    <w:basedOn w:val="a0"/>
    <w:uiPriority w:val="99"/>
    <w:semiHidden/>
    <w:rsid w:val="000D09B3"/>
    <w:rPr>
      <w:rFonts w:cs="Times New Roman"/>
      <w:sz w:val="21"/>
      <w:szCs w:val="21"/>
    </w:rPr>
  </w:style>
  <w:style w:type="paragraph" w:styleId="aa">
    <w:name w:val="annotation text"/>
    <w:basedOn w:val="a"/>
    <w:link w:val="Char3"/>
    <w:uiPriority w:val="99"/>
    <w:rsid w:val="000D09B3"/>
    <w:pPr>
      <w:jc w:val="left"/>
    </w:pPr>
  </w:style>
  <w:style w:type="character" w:customStyle="1" w:styleId="Char3">
    <w:name w:val="批注文字 Char"/>
    <w:basedOn w:val="a0"/>
    <w:link w:val="aa"/>
    <w:uiPriority w:val="99"/>
    <w:locked/>
    <w:rsid w:val="000D09B3"/>
    <w:rPr>
      <w:rFonts w:ascii="Times New Roman" w:eastAsia="宋体" w:hAnsi="Times New Roman" w:cs="Times New Roman"/>
      <w:sz w:val="24"/>
      <w:szCs w:val="24"/>
    </w:rPr>
  </w:style>
  <w:style w:type="paragraph" w:styleId="ab">
    <w:name w:val="annotation subject"/>
    <w:basedOn w:val="aa"/>
    <w:next w:val="aa"/>
    <w:link w:val="Char4"/>
    <w:uiPriority w:val="99"/>
    <w:semiHidden/>
    <w:rsid w:val="000D09B3"/>
    <w:rPr>
      <w:b/>
      <w:bCs/>
    </w:rPr>
  </w:style>
  <w:style w:type="character" w:customStyle="1" w:styleId="Char4">
    <w:name w:val="批注主题 Char"/>
    <w:basedOn w:val="Char3"/>
    <w:link w:val="ab"/>
    <w:uiPriority w:val="99"/>
    <w:semiHidden/>
    <w:locked/>
    <w:rsid w:val="000D09B3"/>
    <w:rPr>
      <w:rFonts w:ascii="Times New Roman" w:eastAsia="宋体" w:hAnsi="Times New Roman" w:cs="Times New Roman"/>
      <w:b/>
      <w:bCs/>
      <w:sz w:val="24"/>
      <w:szCs w:val="24"/>
    </w:rPr>
  </w:style>
  <w:style w:type="character" w:styleId="ac">
    <w:name w:val="Strong"/>
    <w:basedOn w:val="a0"/>
    <w:uiPriority w:val="99"/>
    <w:qFormat/>
    <w:rsid w:val="00727D2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34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andeli@hotmail.com" TargetMode="External"/><Relationship Id="rId13" Type="http://schemas.openxmlformats.org/officeDocument/2006/relationships/oleObject" Target="embeddings/Microsoft_Excel_Chart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58" b="1" i="0" u="none" strike="noStrike" baseline="0">
                <a:solidFill>
                  <a:srgbClr val="000000"/>
                </a:solidFill>
                <a:latin typeface="Arial"/>
                <a:ea typeface="Arial"/>
                <a:cs typeface="Arial"/>
              </a:defRPr>
            </a:pPr>
            <a:r>
              <a:rPr lang="en-US" altLang="en-US"/>
              <a:t>AST</a:t>
            </a:r>
          </a:p>
        </c:rich>
      </c:tx>
      <c:layout>
        <c:manualLayout>
          <c:xMode val="edge"/>
          <c:yMode val="edge"/>
          <c:x val="0.46306809209824379"/>
          <c:y val="2.1276521036877077E-2"/>
        </c:manualLayout>
      </c:layout>
      <c:overlay val="0"/>
      <c:spPr>
        <a:noFill/>
        <a:ln w="24913">
          <a:noFill/>
        </a:ln>
      </c:spPr>
    </c:title>
    <c:autoTitleDeleted val="0"/>
    <c:plotArea>
      <c:layout>
        <c:manualLayout>
          <c:layoutTarget val="inner"/>
          <c:xMode val="edge"/>
          <c:yMode val="edge"/>
          <c:x val="0.19034090909090914"/>
          <c:y val="0.19148936170212777"/>
          <c:w val="0.59375000000000011"/>
          <c:h val="0.6028368794326241"/>
        </c:manualLayout>
      </c:layout>
      <c:barChart>
        <c:barDir val="col"/>
        <c:grouping val="clustered"/>
        <c:varyColors val="0"/>
        <c:ser>
          <c:idx val="0"/>
          <c:order val="0"/>
          <c:tx>
            <c:strRef>
              <c:f>Hoja6!$B$4</c:f>
              <c:strCache>
                <c:ptCount val="1"/>
                <c:pt idx="0">
                  <c:v>TA</c:v>
                </c:pt>
              </c:strCache>
            </c:strRef>
          </c:tx>
          <c:spPr>
            <a:solidFill>
              <a:srgbClr val="000000"/>
            </a:solidFill>
            <a:ln w="12451">
              <a:solidFill>
                <a:srgbClr val="000000"/>
              </a:solidFill>
              <a:prstDash val="solid"/>
            </a:ln>
          </c:spPr>
          <c:invertIfNegative val="0"/>
          <c:errBars>
            <c:errBarType val="plus"/>
            <c:errValType val="cust"/>
            <c:noEndCap val="0"/>
            <c:plus>
              <c:numRef>
                <c:f>Hoja6!$G$4:$J$4</c:f>
                <c:numCache>
                  <c:formatCode>General</c:formatCode>
                  <c:ptCount val="4"/>
                  <c:pt idx="0">
                    <c:v>4</c:v>
                  </c:pt>
                  <c:pt idx="1">
                    <c:v>167</c:v>
                  </c:pt>
                  <c:pt idx="2">
                    <c:v>156</c:v>
                  </c:pt>
                  <c:pt idx="3">
                    <c:v>45</c:v>
                  </c:pt>
                </c:numCache>
              </c:numRef>
            </c:plus>
            <c:spPr>
              <a:solidFill>
                <a:srgbClr val="000000"/>
              </a:solidFill>
              <a:ln w="12451">
                <a:solidFill>
                  <a:srgbClr val="000000"/>
                </a:solidFill>
                <a:prstDash val="solid"/>
              </a:ln>
            </c:spPr>
          </c:errBars>
          <c:cat>
            <c:numRef>
              <c:f>Hoja6!$C$3:$F$3</c:f>
              <c:numCache>
                <c:formatCode>General</c:formatCode>
                <c:ptCount val="4"/>
                <c:pt idx="0">
                  <c:v>0</c:v>
                </c:pt>
                <c:pt idx="1">
                  <c:v>24</c:v>
                </c:pt>
                <c:pt idx="2">
                  <c:v>48</c:v>
                </c:pt>
                <c:pt idx="3">
                  <c:v>72</c:v>
                </c:pt>
              </c:numCache>
            </c:numRef>
          </c:cat>
          <c:val>
            <c:numRef>
              <c:f>Hoja6!$C$4:$F$4</c:f>
              <c:numCache>
                <c:formatCode>General</c:formatCode>
                <c:ptCount val="4"/>
                <c:pt idx="0">
                  <c:v>68</c:v>
                </c:pt>
                <c:pt idx="1">
                  <c:v>2202</c:v>
                </c:pt>
                <c:pt idx="2">
                  <c:v>1823</c:v>
                </c:pt>
                <c:pt idx="3">
                  <c:v>401</c:v>
                </c:pt>
              </c:numCache>
            </c:numRef>
          </c:val>
        </c:ser>
        <c:ser>
          <c:idx val="1"/>
          <c:order val="1"/>
          <c:tx>
            <c:strRef>
              <c:f>Hoja6!$B$5</c:f>
              <c:strCache>
                <c:ptCount val="1"/>
                <c:pt idx="0">
                  <c:v>TA+DMDP</c:v>
                </c:pt>
              </c:strCache>
            </c:strRef>
          </c:tx>
          <c:spPr>
            <a:noFill/>
            <a:ln w="12451">
              <a:solidFill>
                <a:srgbClr val="000000"/>
              </a:solidFill>
              <a:prstDash val="solid"/>
            </a:ln>
          </c:spPr>
          <c:invertIfNegative val="0"/>
          <c:errBars>
            <c:errBarType val="plus"/>
            <c:errValType val="cust"/>
            <c:noEndCap val="0"/>
            <c:plus>
              <c:numRef>
                <c:f>Hoja6!$G$5:$J$5</c:f>
                <c:numCache>
                  <c:formatCode>General</c:formatCode>
                  <c:ptCount val="4"/>
                  <c:pt idx="0">
                    <c:v>5</c:v>
                  </c:pt>
                  <c:pt idx="1">
                    <c:v>78</c:v>
                  </c:pt>
                  <c:pt idx="2">
                    <c:v>90</c:v>
                  </c:pt>
                  <c:pt idx="3">
                    <c:v>23</c:v>
                  </c:pt>
                </c:numCache>
              </c:numRef>
            </c:plus>
            <c:spPr>
              <a:noFill/>
              <a:ln w="12451">
                <a:solidFill>
                  <a:srgbClr val="000000"/>
                </a:solidFill>
                <a:prstDash val="solid"/>
              </a:ln>
            </c:spPr>
          </c:errBars>
          <c:cat>
            <c:numRef>
              <c:f>Hoja6!$C$3:$F$3</c:f>
              <c:numCache>
                <c:formatCode>General</c:formatCode>
                <c:ptCount val="4"/>
                <c:pt idx="0">
                  <c:v>0</c:v>
                </c:pt>
                <c:pt idx="1">
                  <c:v>24</c:v>
                </c:pt>
                <c:pt idx="2">
                  <c:v>48</c:v>
                </c:pt>
                <c:pt idx="3">
                  <c:v>72</c:v>
                </c:pt>
              </c:numCache>
            </c:numRef>
          </c:cat>
          <c:val>
            <c:numRef>
              <c:f>Hoja6!$C$5:$F$5</c:f>
              <c:numCache>
                <c:formatCode>General</c:formatCode>
                <c:ptCount val="4"/>
                <c:pt idx="0">
                  <c:v>66.8</c:v>
                </c:pt>
                <c:pt idx="1">
                  <c:v>699</c:v>
                </c:pt>
                <c:pt idx="2">
                  <c:v>1075</c:v>
                </c:pt>
                <c:pt idx="3">
                  <c:v>366</c:v>
                </c:pt>
              </c:numCache>
            </c:numRef>
          </c:val>
        </c:ser>
        <c:dLbls>
          <c:showLegendKey val="0"/>
          <c:showVal val="0"/>
          <c:showCatName val="0"/>
          <c:showSerName val="0"/>
          <c:showPercent val="0"/>
          <c:showBubbleSize val="0"/>
        </c:dLbls>
        <c:gapWidth val="150"/>
        <c:axId val="140335360"/>
        <c:axId val="142078336"/>
      </c:barChart>
      <c:catAx>
        <c:axId val="140335360"/>
        <c:scaling>
          <c:orientation val="minMax"/>
        </c:scaling>
        <c:delete val="0"/>
        <c:axPos val="b"/>
        <c:title>
          <c:tx>
            <c:rich>
              <a:bodyPr/>
              <a:lstStyle/>
              <a:p>
                <a:pPr>
                  <a:defRPr sz="785" b="0" i="0" u="none" strike="noStrike" baseline="0">
                    <a:solidFill>
                      <a:srgbClr val="000000"/>
                    </a:solidFill>
                    <a:latin typeface="Arial"/>
                    <a:ea typeface="Arial"/>
                    <a:cs typeface="Arial"/>
                  </a:defRPr>
                </a:pPr>
                <a:r>
                  <a:t>Time following TA (hr)</a:t>
                </a:r>
              </a:p>
            </c:rich>
          </c:tx>
          <c:layout>
            <c:manualLayout>
              <c:xMode val="edge"/>
              <c:yMode val="edge"/>
              <c:x val="0.32670464972366259"/>
              <c:y val="0.88652498705220384"/>
            </c:manualLayout>
          </c:layout>
          <c:overlay val="0"/>
          <c:spPr>
            <a:noFill/>
            <a:ln w="24913">
              <a:noFill/>
            </a:ln>
          </c:spPr>
        </c:title>
        <c:numFmt formatCode="General" sourceLinked="1"/>
        <c:majorTickMark val="out"/>
        <c:minorTickMark val="none"/>
        <c:tickLblPos val="nextTo"/>
        <c:spPr>
          <a:ln w="3112">
            <a:solidFill>
              <a:srgbClr val="000000"/>
            </a:solidFill>
            <a:prstDash val="solid"/>
          </a:ln>
        </c:spPr>
        <c:txPr>
          <a:bodyPr rot="0" vert="horz"/>
          <a:lstStyle/>
          <a:p>
            <a:pPr>
              <a:defRPr sz="785" b="0" i="0" u="none" strike="noStrike" baseline="0">
                <a:solidFill>
                  <a:srgbClr val="000000"/>
                </a:solidFill>
                <a:latin typeface="Arial"/>
                <a:ea typeface="Arial"/>
                <a:cs typeface="Arial"/>
              </a:defRPr>
            </a:pPr>
            <a:endParaRPr lang="en-US"/>
          </a:p>
        </c:txPr>
        <c:crossAx val="142078336"/>
        <c:crosses val="autoZero"/>
        <c:auto val="1"/>
        <c:lblAlgn val="ctr"/>
        <c:lblOffset val="100"/>
        <c:tickLblSkip val="1"/>
        <c:tickMarkSkip val="1"/>
        <c:noMultiLvlLbl val="0"/>
      </c:catAx>
      <c:valAx>
        <c:axId val="142078336"/>
        <c:scaling>
          <c:orientation val="minMax"/>
        </c:scaling>
        <c:delete val="0"/>
        <c:axPos val="l"/>
        <c:title>
          <c:tx>
            <c:rich>
              <a:bodyPr/>
              <a:lstStyle/>
              <a:p>
                <a:pPr>
                  <a:defRPr sz="785" b="0" i="0" u="none" strike="noStrike" baseline="0">
                    <a:solidFill>
                      <a:srgbClr val="000000"/>
                    </a:solidFill>
                    <a:latin typeface="Arial"/>
                    <a:ea typeface="Arial"/>
                    <a:cs typeface="Arial"/>
                  </a:defRPr>
                </a:pPr>
                <a:r>
                  <a:t>IU/L serum</a:t>
                </a:r>
              </a:p>
            </c:rich>
          </c:tx>
          <c:layout>
            <c:manualLayout>
              <c:xMode val="edge"/>
              <c:yMode val="edge"/>
              <c:x val="3.1249955544174864E-2"/>
              <c:y val="0.39361686812559804"/>
            </c:manualLayout>
          </c:layout>
          <c:overlay val="0"/>
          <c:spPr>
            <a:noFill/>
            <a:ln w="24913">
              <a:noFill/>
            </a:ln>
          </c:spPr>
        </c:title>
        <c:numFmt formatCode="General" sourceLinked="1"/>
        <c:majorTickMark val="out"/>
        <c:minorTickMark val="none"/>
        <c:tickLblPos val="nextTo"/>
        <c:spPr>
          <a:ln w="3112">
            <a:solidFill>
              <a:srgbClr val="000000"/>
            </a:solidFill>
            <a:prstDash val="solid"/>
          </a:ln>
        </c:spPr>
        <c:txPr>
          <a:bodyPr rot="0" vert="horz"/>
          <a:lstStyle/>
          <a:p>
            <a:pPr>
              <a:defRPr sz="785" b="0" i="0" u="none" strike="noStrike" baseline="0">
                <a:solidFill>
                  <a:srgbClr val="000000"/>
                </a:solidFill>
                <a:latin typeface="Arial"/>
                <a:ea typeface="Arial"/>
                <a:cs typeface="Arial"/>
              </a:defRPr>
            </a:pPr>
            <a:endParaRPr lang="en-US"/>
          </a:p>
        </c:txPr>
        <c:crossAx val="140335360"/>
        <c:crosses val="autoZero"/>
        <c:crossBetween val="between"/>
      </c:valAx>
      <c:spPr>
        <a:noFill/>
        <a:ln w="24913">
          <a:noFill/>
        </a:ln>
      </c:spPr>
    </c:plotArea>
    <c:legend>
      <c:legendPos val="r"/>
      <c:layout>
        <c:manualLayout>
          <c:xMode val="edge"/>
          <c:yMode val="edge"/>
          <c:wMode val="edge"/>
          <c:hMode val="edge"/>
          <c:x val="0.66761354017739649"/>
          <c:y val="9.5744520229285715E-2"/>
          <c:w val="0.85511355795972654"/>
          <c:h val="0.23404243365900332"/>
        </c:manualLayout>
      </c:layout>
      <c:overlay val="0"/>
      <c:spPr>
        <a:solidFill>
          <a:srgbClr val="FFFFFF"/>
        </a:solidFill>
        <a:ln w="3112">
          <a:solidFill>
            <a:srgbClr val="000000"/>
          </a:solidFill>
          <a:prstDash val="solid"/>
        </a:ln>
      </c:spPr>
      <c:txPr>
        <a:bodyPr/>
        <a:lstStyle/>
        <a:p>
          <a:pPr>
            <a:defRPr sz="721"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a:noFill/>
    </a:ln>
  </c:spPr>
  <c:txPr>
    <a:bodyPr/>
    <a:lstStyle/>
    <a:p>
      <a:pPr>
        <a:defRPr sz="785"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44" b="1" i="0" u="none" strike="noStrike" baseline="0">
                <a:solidFill>
                  <a:srgbClr val="000000"/>
                </a:solidFill>
                <a:latin typeface="Arial"/>
                <a:ea typeface="Arial"/>
                <a:cs typeface="Arial"/>
              </a:defRPr>
            </a:pPr>
            <a:r>
              <a:rPr lang="en-US" altLang="en-US"/>
              <a:t>Isocitrate dehydrogenase</a:t>
            </a:r>
          </a:p>
        </c:rich>
      </c:tx>
      <c:layout>
        <c:manualLayout>
          <c:xMode val="edge"/>
          <c:yMode val="edge"/>
          <c:x val="0.28900255754475701"/>
          <c:y val="1.9011406844106463E-2"/>
        </c:manualLayout>
      </c:layout>
      <c:overlay val="0"/>
      <c:spPr>
        <a:noFill/>
        <a:ln w="24614">
          <a:noFill/>
        </a:ln>
      </c:spPr>
    </c:title>
    <c:autoTitleDeleted val="0"/>
    <c:plotArea>
      <c:layout>
        <c:manualLayout>
          <c:layoutTarget val="inner"/>
          <c:xMode val="edge"/>
          <c:yMode val="edge"/>
          <c:x val="0.17135549872122774"/>
          <c:y val="0.20912547528517111"/>
          <c:w val="0.61125319693094626"/>
          <c:h val="0.57034220532319413"/>
        </c:manualLayout>
      </c:layout>
      <c:barChart>
        <c:barDir val="col"/>
        <c:grouping val="clustered"/>
        <c:varyColors val="0"/>
        <c:ser>
          <c:idx val="0"/>
          <c:order val="0"/>
          <c:tx>
            <c:strRef>
              <c:f>Hoja2!$B$4</c:f>
              <c:strCache>
                <c:ptCount val="1"/>
                <c:pt idx="0">
                  <c:v>TA</c:v>
                </c:pt>
              </c:strCache>
            </c:strRef>
          </c:tx>
          <c:spPr>
            <a:solidFill>
              <a:srgbClr val="000000"/>
            </a:solidFill>
            <a:ln w="12297">
              <a:solidFill>
                <a:srgbClr val="000000"/>
              </a:solidFill>
              <a:prstDash val="solid"/>
            </a:ln>
          </c:spPr>
          <c:invertIfNegative val="0"/>
          <c:errBars>
            <c:errBarType val="plus"/>
            <c:errValType val="cust"/>
            <c:noEndCap val="0"/>
            <c:plus>
              <c:numRef>
                <c:f>Hoja2!$G$4:$J$4</c:f>
                <c:numCache>
                  <c:formatCode>General</c:formatCode>
                  <c:ptCount val="4"/>
                  <c:pt idx="0">
                    <c:v>28</c:v>
                  </c:pt>
                  <c:pt idx="1">
                    <c:v>19</c:v>
                  </c:pt>
                  <c:pt idx="2">
                    <c:v>34</c:v>
                  </c:pt>
                  <c:pt idx="3">
                    <c:v>45</c:v>
                  </c:pt>
                </c:numCache>
              </c:numRef>
            </c:plus>
            <c:spPr>
              <a:solidFill>
                <a:srgbClr val="000000"/>
              </a:solidFill>
              <a:ln w="12297">
                <a:solidFill>
                  <a:srgbClr val="000000"/>
                </a:solidFill>
                <a:prstDash val="solid"/>
              </a:ln>
            </c:spPr>
          </c:errBars>
          <c:cat>
            <c:numRef>
              <c:f>Hoja2!$C$3:$F$3</c:f>
              <c:numCache>
                <c:formatCode>General</c:formatCode>
                <c:ptCount val="4"/>
                <c:pt idx="0">
                  <c:v>0</c:v>
                </c:pt>
                <c:pt idx="1">
                  <c:v>24</c:v>
                </c:pt>
                <c:pt idx="2">
                  <c:v>48</c:v>
                </c:pt>
                <c:pt idx="3">
                  <c:v>72</c:v>
                </c:pt>
              </c:numCache>
            </c:numRef>
          </c:cat>
          <c:val>
            <c:numRef>
              <c:f>Hoja2!$C$4:$F$4</c:f>
              <c:numCache>
                <c:formatCode>General</c:formatCode>
                <c:ptCount val="4"/>
                <c:pt idx="0">
                  <c:v>72.180000000000007</c:v>
                </c:pt>
                <c:pt idx="1">
                  <c:v>1282.68</c:v>
                </c:pt>
                <c:pt idx="2">
                  <c:v>1010.9</c:v>
                </c:pt>
                <c:pt idx="3">
                  <c:v>126.2</c:v>
                </c:pt>
              </c:numCache>
            </c:numRef>
          </c:val>
        </c:ser>
        <c:ser>
          <c:idx val="1"/>
          <c:order val="1"/>
          <c:tx>
            <c:strRef>
              <c:f>Hoja2!$B$5</c:f>
              <c:strCache>
                <c:ptCount val="1"/>
                <c:pt idx="0">
                  <c:v>TA + DMDP</c:v>
                </c:pt>
              </c:strCache>
            </c:strRef>
          </c:tx>
          <c:spPr>
            <a:noFill/>
            <a:ln w="12297">
              <a:solidFill>
                <a:srgbClr val="000000"/>
              </a:solidFill>
              <a:prstDash val="solid"/>
            </a:ln>
          </c:spPr>
          <c:invertIfNegative val="0"/>
          <c:errBars>
            <c:errBarType val="plus"/>
            <c:errValType val="cust"/>
            <c:noEndCap val="0"/>
            <c:plus>
              <c:numRef>
                <c:f>Hoja2!$G$5:$J$5</c:f>
                <c:numCache>
                  <c:formatCode>General</c:formatCode>
                  <c:ptCount val="4"/>
                  <c:pt idx="0">
                    <c:v>10</c:v>
                  </c:pt>
                  <c:pt idx="1">
                    <c:v>21</c:v>
                  </c:pt>
                  <c:pt idx="2">
                    <c:v>51</c:v>
                  </c:pt>
                  <c:pt idx="3">
                    <c:v>23</c:v>
                  </c:pt>
                </c:numCache>
              </c:numRef>
            </c:plus>
            <c:spPr>
              <a:noFill/>
              <a:ln w="12297">
                <a:solidFill>
                  <a:srgbClr val="000000"/>
                </a:solidFill>
                <a:prstDash val="solid"/>
              </a:ln>
            </c:spPr>
          </c:errBars>
          <c:cat>
            <c:numRef>
              <c:f>Hoja2!$C$3:$F$3</c:f>
              <c:numCache>
                <c:formatCode>General</c:formatCode>
                <c:ptCount val="4"/>
                <c:pt idx="0">
                  <c:v>0</c:v>
                </c:pt>
                <c:pt idx="1">
                  <c:v>24</c:v>
                </c:pt>
                <c:pt idx="2">
                  <c:v>48</c:v>
                </c:pt>
                <c:pt idx="3">
                  <c:v>72</c:v>
                </c:pt>
              </c:numCache>
            </c:numRef>
          </c:cat>
          <c:val>
            <c:numRef>
              <c:f>Hoja2!$C$5:$F$5</c:f>
              <c:numCache>
                <c:formatCode>General</c:formatCode>
                <c:ptCount val="4"/>
                <c:pt idx="0">
                  <c:v>75.23</c:v>
                </c:pt>
                <c:pt idx="1">
                  <c:v>433.07</c:v>
                </c:pt>
                <c:pt idx="2">
                  <c:v>667.8</c:v>
                </c:pt>
                <c:pt idx="3">
                  <c:v>105.4</c:v>
                </c:pt>
              </c:numCache>
            </c:numRef>
          </c:val>
        </c:ser>
        <c:dLbls>
          <c:showLegendKey val="0"/>
          <c:showVal val="0"/>
          <c:showCatName val="0"/>
          <c:showSerName val="0"/>
          <c:showPercent val="0"/>
          <c:showBubbleSize val="0"/>
        </c:dLbls>
        <c:gapWidth val="150"/>
        <c:axId val="145171584"/>
        <c:axId val="145173504"/>
      </c:barChart>
      <c:catAx>
        <c:axId val="145171584"/>
        <c:scaling>
          <c:orientation val="minMax"/>
        </c:scaling>
        <c:delete val="0"/>
        <c:axPos val="b"/>
        <c:title>
          <c:tx>
            <c:rich>
              <a:bodyPr/>
              <a:lstStyle/>
              <a:p>
                <a:pPr>
                  <a:defRPr sz="770" b="0" i="0" u="none" strike="noStrike" baseline="0">
                    <a:solidFill>
                      <a:srgbClr val="000000"/>
                    </a:solidFill>
                    <a:latin typeface="Arial"/>
                    <a:ea typeface="Arial"/>
                    <a:cs typeface="Arial"/>
                  </a:defRPr>
                </a:pPr>
                <a:r>
                  <a:t>Time following TA (hr)</a:t>
                </a:r>
              </a:p>
            </c:rich>
          </c:tx>
          <c:layout>
            <c:manualLayout>
              <c:xMode val="edge"/>
              <c:yMode val="edge"/>
              <c:x val="0.33248081841432225"/>
              <c:y val="0.87832699619771859"/>
            </c:manualLayout>
          </c:layout>
          <c:overlay val="0"/>
          <c:spPr>
            <a:noFill/>
            <a:ln w="24614">
              <a:noFill/>
            </a:ln>
          </c:spPr>
        </c:title>
        <c:numFmt formatCode="General" sourceLinked="1"/>
        <c:majorTickMark val="out"/>
        <c:minorTickMark val="none"/>
        <c:tickLblPos val="nextTo"/>
        <c:spPr>
          <a:ln w="3074">
            <a:solidFill>
              <a:srgbClr val="000000"/>
            </a:solidFill>
            <a:prstDash val="solid"/>
          </a:ln>
        </c:spPr>
        <c:txPr>
          <a:bodyPr rot="0" vert="horz"/>
          <a:lstStyle/>
          <a:p>
            <a:pPr>
              <a:defRPr sz="775" b="0" i="0" u="none" strike="noStrike" baseline="0">
                <a:solidFill>
                  <a:srgbClr val="000000"/>
                </a:solidFill>
                <a:latin typeface="Arial"/>
                <a:ea typeface="Arial"/>
                <a:cs typeface="Arial"/>
              </a:defRPr>
            </a:pPr>
            <a:endParaRPr lang="en-US"/>
          </a:p>
        </c:txPr>
        <c:crossAx val="145173504"/>
        <c:crosses val="autoZero"/>
        <c:auto val="1"/>
        <c:lblAlgn val="ctr"/>
        <c:lblOffset val="100"/>
        <c:tickLblSkip val="1"/>
        <c:tickMarkSkip val="1"/>
        <c:noMultiLvlLbl val="0"/>
      </c:catAx>
      <c:valAx>
        <c:axId val="145173504"/>
        <c:scaling>
          <c:orientation val="minMax"/>
        </c:scaling>
        <c:delete val="0"/>
        <c:axPos val="l"/>
        <c:title>
          <c:tx>
            <c:rich>
              <a:bodyPr/>
              <a:lstStyle/>
              <a:p>
                <a:pPr>
                  <a:defRPr sz="770" b="0" i="0" u="none" strike="noStrike" baseline="0">
                    <a:solidFill>
                      <a:srgbClr val="000000"/>
                    </a:solidFill>
                    <a:latin typeface="Arial"/>
                    <a:ea typeface="Arial"/>
                    <a:cs typeface="Arial"/>
                  </a:defRPr>
                </a:pPr>
                <a:r>
                  <a:t>IU/L serum</a:t>
                </a:r>
              </a:p>
            </c:rich>
          </c:tx>
          <c:layout>
            <c:manualLayout>
              <c:xMode val="edge"/>
              <c:yMode val="edge"/>
              <c:x val="2.8132992327365727E-2"/>
              <c:y val="0.38783269961977185"/>
            </c:manualLayout>
          </c:layout>
          <c:overlay val="0"/>
          <c:spPr>
            <a:noFill/>
            <a:ln w="24614">
              <a:noFill/>
            </a:ln>
          </c:spPr>
        </c:title>
        <c:numFmt formatCode="General" sourceLinked="1"/>
        <c:majorTickMark val="out"/>
        <c:minorTickMark val="none"/>
        <c:tickLblPos val="nextTo"/>
        <c:spPr>
          <a:ln w="3074">
            <a:solidFill>
              <a:srgbClr val="000000"/>
            </a:solidFill>
            <a:prstDash val="solid"/>
          </a:ln>
        </c:spPr>
        <c:txPr>
          <a:bodyPr rot="0" vert="horz"/>
          <a:lstStyle/>
          <a:p>
            <a:pPr>
              <a:defRPr sz="775" b="0" i="0" u="none" strike="noStrike" baseline="0">
                <a:solidFill>
                  <a:srgbClr val="000000"/>
                </a:solidFill>
                <a:latin typeface="Arial"/>
                <a:ea typeface="Arial"/>
                <a:cs typeface="Arial"/>
              </a:defRPr>
            </a:pPr>
            <a:endParaRPr lang="en-US"/>
          </a:p>
        </c:txPr>
        <c:crossAx val="145171584"/>
        <c:crosses val="autoZero"/>
        <c:crossBetween val="between"/>
      </c:valAx>
      <c:spPr>
        <a:noFill/>
        <a:ln w="24614">
          <a:noFill/>
        </a:ln>
      </c:spPr>
    </c:plotArea>
    <c:legend>
      <c:legendPos val="r"/>
      <c:layout>
        <c:manualLayout>
          <c:xMode val="edge"/>
          <c:yMode val="edge"/>
          <c:wMode val="edge"/>
          <c:hMode val="edge"/>
          <c:x val="0.69820971867007675"/>
          <c:y val="0.12927756653992395"/>
          <c:w val="0.88235294117647056"/>
          <c:h val="0.27756653992395436"/>
        </c:manualLayout>
      </c:layout>
      <c:overlay val="0"/>
      <c:spPr>
        <a:solidFill>
          <a:srgbClr val="FFFFFF"/>
        </a:solidFill>
        <a:ln w="3074">
          <a:solidFill>
            <a:srgbClr val="000000"/>
          </a:solidFill>
          <a:prstDash val="solid"/>
        </a:ln>
      </c:spPr>
      <c:txPr>
        <a:bodyPr/>
        <a:lstStyle/>
        <a:p>
          <a:pPr>
            <a:defRPr sz="711"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a:noFill/>
    </a:ln>
  </c:spPr>
  <c:txPr>
    <a:bodyPr/>
    <a:lstStyle/>
    <a:p>
      <a:pPr>
        <a:defRPr sz="775"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0.412</cdr:x>
      <cdr:y>0.5375</cdr:y>
    </cdr:from>
    <cdr:to>
      <cdr:x>0.479</cdr:x>
      <cdr:y>0.60575</cdr:y>
    </cdr:to>
    <cdr:sp macro="" textlink="">
      <cdr:nvSpPr>
        <cdr:cNvPr id="18433" name="Text Box 1"/>
        <cdr:cNvSpPr txBox="1">
          <a:spLocks xmlns:a="http://schemas.openxmlformats.org/drawingml/2006/main" noChangeArrowheads="1"/>
        </cdr:cNvSpPr>
      </cdr:nvSpPr>
      <cdr:spPr bwMode="auto">
        <a:xfrm xmlns:a="http://schemas.openxmlformats.org/drawingml/2006/main">
          <a:off x="1381354" y="1443752"/>
          <a:ext cx="224637" cy="1833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800" b="0" i="0" u="none" strike="noStrike" baseline="0">
              <a:solidFill>
                <a:srgbClr val="000000"/>
              </a:solidFill>
              <a:latin typeface="Arial"/>
              <a:cs typeface="Arial"/>
            </a:rPr>
            <a:t>a</a:t>
          </a:r>
          <a:r>
            <a:rPr lang="en-US" altLang="zh-CN" sz="800" b="0" i="0" u="none" strike="noStrike" baseline="0">
              <a:solidFill>
                <a:srgbClr val="000000"/>
              </a:solidFill>
              <a:latin typeface="Arial"/>
              <a:cs typeface="Arial"/>
            </a:rPr>
            <a:t>,c</a:t>
          </a:r>
          <a:endParaRPr lang="zh-CN" altLang="en-US"/>
        </a:p>
      </cdr:txBody>
    </cdr:sp>
  </cdr:relSizeAnchor>
  <cdr:relSizeAnchor xmlns:cdr="http://schemas.openxmlformats.org/drawingml/2006/chartDrawing">
    <cdr:from>
      <cdr:x>0.36675</cdr:x>
      <cdr:y>0.1635</cdr:y>
    </cdr:from>
    <cdr:to>
      <cdr:x>0.412</cdr:x>
      <cdr:y>0.23375</cdr:y>
    </cdr:to>
    <cdr:sp macro="" textlink="">
      <cdr:nvSpPr>
        <cdr:cNvPr id="18434" name="Text Box 2"/>
        <cdr:cNvSpPr txBox="1">
          <a:spLocks xmlns:a="http://schemas.openxmlformats.org/drawingml/2006/main" noChangeArrowheads="1"/>
        </cdr:cNvSpPr>
      </cdr:nvSpPr>
      <cdr:spPr bwMode="auto">
        <a:xfrm xmlns:a="http://schemas.openxmlformats.org/drawingml/2006/main">
          <a:off x="1229639" y="439169"/>
          <a:ext cx="151715" cy="18869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800" b="0" i="0" u="none" strike="noStrike" baseline="0">
              <a:solidFill>
                <a:srgbClr val="000000"/>
              </a:solidFill>
              <a:latin typeface="Arial"/>
              <a:cs typeface="Arial"/>
            </a:rPr>
            <a:t>a</a:t>
          </a:r>
          <a:endParaRPr lang="zh-CN" altLang="en-US"/>
        </a:p>
      </cdr:txBody>
    </cdr:sp>
  </cdr:relSizeAnchor>
  <cdr:relSizeAnchor xmlns:cdr="http://schemas.openxmlformats.org/drawingml/2006/chartDrawing">
    <cdr:from>
      <cdr:x>0.71175</cdr:x>
      <cdr:y>0.64125</cdr:y>
    </cdr:from>
    <cdr:to>
      <cdr:x>0.757</cdr:x>
      <cdr:y>0.7095</cdr:y>
    </cdr:to>
    <cdr:sp macro="" textlink="">
      <cdr:nvSpPr>
        <cdr:cNvPr id="18435" name="Text Box 3"/>
        <cdr:cNvSpPr txBox="1">
          <a:spLocks xmlns:a="http://schemas.openxmlformats.org/drawingml/2006/main" noChangeArrowheads="1"/>
        </cdr:cNvSpPr>
      </cdr:nvSpPr>
      <cdr:spPr bwMode="auto">
        <a:xfrm xmlns:a="http://schemas.openxmlformats.org/drawingml/2006/main">
          <a:off x="2386355" y="1722430"/>
          <a:ext cx="151715" cy="1833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800" b="0" i="0" u="none" strike="noStrike" baseline="0">
              <a:solidFill>
                <a:srgbClr val="000000"/>
              </a:solidFill>
              <a:latin typeface="Arial"/>
              <a:cs typeface="Arial"/>
            </a:rPr>
            <a:t>a</a:t>
          </a:r>
          <a:endParaRPr lang="zh-CN" altLang="en-US"/>
        </a:p>
      </cdr:txBody>
    </cdr:sp>
  </cdr:relSizeAnchor>
  <cdr:relSizeAnchor xmlns:cdr="http://schemas.openxmlformats.org/drawingml/2006/chartDrawing">
    <cdr:from>
      <cdr:x>0.5165</cdr:x>
      <cdr:y>0.26875</cdr:y>
    </cdr:from>
    <cdr:to>
      <cdr:x>0.56225</cdr:x>
      <cdr:y>0.337</cdr:y>
    </cdr:to>
    <cdr:sp macro="" textlink="">
      <cdr:nvSpPr>
        <cdr:cNvPr id="18436" name="Text Box 4"/>
        <cdr:cNvSpPr txBox="1">
          <a:spLocks xmlns:a="http://schemas.openxmlformats.org/drawingml/2006/main" noChangeArrowheads="1"/>
        </cdr:cNvSpPr>
      </cdr:nvSpPr>
      <cdr:spPr bwMode="auto">
        <a:xfrm xmlns:a="http://schemas.openxmlformats.org/drawingml/2006/main">
          <a:off x="1731721" y="721876"/>
          <a:ext cx="153391" cy="1833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800" b="0" i="0" u="none" strike="noStrike" baseline="0">
              <a:solidFill>
                <a:srgbClr val="000000"/>
              </a:solidFill>
              <a:latin typeface="Arial"/>
              <a:cs typeface="Arial"/>
            </a:rPr>
            <a:t>a</a:t>
          </a:r>
          <a:endParaRPr lang="zh-CN" altLang="en-US"/>
        </a:p>
      </cdr:txBody>
    </cdr:sp>
  </cdr:relSizeAnchor>
  <cdr:relSizeAnchor xmlns:cdr="http://schemas.openxmlformats.org/drawingml/2006/chartDrawing">
    <cdr:from>
      <cdr:x>0.666</cdr:x>
      <cdr:y>0.64125</cdr:y>
    </cdr:from>
    <cdr:to>
      <cdr:x>0.71175</cdr:x>
      <cdr:y>0.7095</cdr:y>
    </cdr:to>
    <cdr:sp macro="" textlink="">
      <cdr:nvSpPr>
        <cdr:cNvPr id="18437" name="Text Box 5"/>
        <cdr:cNvSpPr txBox="1">
          <a:spLocks xmlns:a="http://schemas.openxmlformats.org/drawingml/2006/main" noChangeArrowheads="1"/>
        </cdr:cNvSpPr>
      </cdr:nvSpPr>
      <cdr:spPr bwMode="auto">
        <a:xfrm xmlns:a="http://schemas.openxmlformats.org/drawingml/2006/main">
          <a:off x="2232965" y="1722430"/>
          <a:ext cx="153390" cy="1833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800" b="0" i="0" u="none" strike="noStrike" baseline="0">
              <a:solidFill>
                <a:srgbClr val="000000"/>
              </a:solidFill>
              <a:latin typeface="Arial"/>
              <a:cs typeface="Arial"/>
            </a:rPr>
            <a:t>a</a:t>
          </a:r>
          <a:endParaRPr lang="zh-CN" altLang="en-US"/>
        </a:p>
      </cdr:txBody>
    </cdr:sp>
  </cdr:relSizeAnchor>
  <cdr:relSizeAnchor xmlns:cdr="http://schemas.openxmlformats.org/drawingml/2006/chartDrawing">
    <cdr:from>
      <cdr:x>0.56225</cdr:x>
      <cdr:y>0.434</cdr:y>
    </cdr:from>
    <cdr:to>
      <cdr:x>0.637</cdr:x>
      <cdr:y>0.502</cdr:y>
    </cdr:to>
    <cdr:sp macro="" textlink="">
      <cdr:nvSpPr>
        <cdr:cNvPr id="18438" name="Text Box 6"/>
        <cdr:cNvSpPr txBox="1">
          <a:spLocks xmlns:a="http://schemas.openxmlformats.org/drawingml/2006/main" noChangeArrowheads="1"/>
        </cdr:cNvSpPr>
      </cdr:nvSpPr>
      <cdr:spPr bwMode="auto">
        <a:xfrm xmlns:a="http://schemas.openxmlformats.org/drawingml/2006/main">
          <a:off x="1885112" y="1165746"/>
          <a:ext cx="250622" cy="18265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800" b="0" i="0" u="none" strike="noStrike" baseline="0">
              <a:solidFill>
                <a:srgbClr val="000000"/>
              </a:solidFill>
              <a:latin typeface="Arial"/>
              <a:cs typeface="Arial"/>
            </a:rPr>
            <a:t>a</a:t>
          </a:r>
          <a:r>
            <a:rPr lang="en-US" altLang="zh-CN" sz="800" b="0" i="0" u="none" strike="noStrike" baseline="0">
              <a:solidFill>
                <a:srgbClr val="000000"/>
              </a:solidFill>
              <a:latin typeface="Arial"/>
              <a:cs typeface="Arial"/>
            </a:rPr>
            <a:t>,c</a:t>
          </a:r>
          <a:endParaRPr lang="zh-CN" altLang="en-US"/>
        </a:p>
      </cdr:txBody>
    </cdr:sp>
  </cdr:relSizeAnchor>
  <cdr:relSizeAnchor xmlns:cdr="http://schemas.openxmlformats.org/drawingml/2006/chartDrawing">
    <cdr:from>
      <cdr:x>0.02275</cdr:x>
      <cdr:y>0.02075</cdr:y>
    </cdr:from>
    <cdr:to>
      <cdr:x>0.088</cdr:x>
      <cdr:y>0.0905</cdr:y>
    </cdr:to>
    <cdr:sp macro="" textlink="">
      <cdr:nvSpPr>
        <cdr:cNvPr id="18439" name="Text Box 7"/>
        <cdr:cNvSpPr txBox="1">
          <a:spLocks xmlns:a="http://schemas.openxmlformats.org/drawingml/2006/main" noChangeArrowheads="1"/>
        </cdr:cNvSpPr>
      </cdr:nvSpPr>
      <cdr:spPr bwMode="auto">
        <a:xfrm xmlns:a="http://schemas.openxmlformats.org/drawingml/2006/main">
          <a:off x="76276" y="55736"/>
          <a:ext cx="218770" cy="18735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950" b="0" i="0" u="none" strike="noStrike" baseline="0">
              <a:solidFill>
                <a:srgbClr val="000000"/>
              </a:solidFill>
              <a:latin typeface="Arial"/>
              <a:cs typeface="Arial"/>
            </a:rPr>
            <a:t>A</a:t>
          </a:r>
          <a:endParaRPr lang="zh-CN"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0.39675</cdr:x>
      <cdr:y>0.48375</cdr:y>
    </cdr:from>
    <cdr:to>
      <cdr:x>0.46225</cdr:x>
      <cdr:y>0.57675</cdr:y>
    </cdr:to>
    <cdr:sp macro="" textlink="">
      <cdr:nvSpPr>
        <cdr:cNvPr id="19457" name="Text Box 1"/>
        <cdr:cNvSpPr txBox="1">
          <a:spLocks xmlns:a="http://schemas.openxmlformats.org/drawingml/2006/main" noChangeArrowheads="1"/>
        </cdr:cNvSpPr>
      </cdr:nvSpPr>
      <cdr:spPr bwMode="auto">
        <a:xfrm xmlns:a="http://schemas.openxmlformats.org/drawingml/2006/main">
          <a:off x="1477606" y="1211830"/>
          <a:ext cx="243940" cy="23297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800" b="0" i="0" u="none" strike="noStrike" baseline="0">
              <a:solidFill>
                <a:srgbClr val="000000"/>
              </a:solidFill>
              <a:latin typeface="Arial"/>
              <a:cs typeface="Arial"/>
            </a:rPr>
            <a:t>a</a:t>
          </a:r>
          <a:r>
            <a:rPr lang="en-US" altLang="zh-CN" sz="800" b="0" i="0" u="none" strike="noStrike" baseline="0">
              <a:solidFill>
                <a:srgbClr val="000000"/>
              </a:solidFill>
              <a:latin typeface="Arial"/>
              <a:cs typeface="Arial"/>
            </a:rPr>
            <a:t>,c</a:t>
          </a:r>
          <a:endParaRPr lang="zh-CN" altLang="en-US"/>
        </a:p>
      </cdr:txBody>
    </cdr:sp>
  </cdr:relSizeAnchor>
  <cdr:relSizeAnchor xmlns:cdr="http://schemas.openxmlformats.org/drawingml/2006/chartDrawing">
    <cdr:from>
      <cdr:x>0.35525</cdr:x>
      <cdr:y>0.17525</cdr:y>
    </cdr:from>
    <cdr:to>
      <cdr:x>0.39675</cdr:x>
      <cdr:y>0.23975</cdr:y>
    </cdr:to>
    <cdr:sp macro="" textlink="">
      <cdr:nvSpPr>
        <cdr:cNvPr id="19458" name="Text Box 2"/>
        <cdr:cNvSpPr txBox="1">
          <a:spLocks xmlns:a="http://schemas.openxmlformats.org/drawingml/2006/main" noChangeArrowheads="1"/>
        </cdr:cNvSpPr>
      </cdr:nvSpPr>
      <cdr:spPr bwMode="auto">
        <a:xfrm xmlns:a="http://schemas.openxmlformats.org/drawingml/2006/main">
          <a:off x="1323049" y="439014"/>
          <a:ext cx="154557" cy="16157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800" b="0" i="0" u="none" strike="noStrike" baseline="0">
              <a:solidFill>
                <a:srgbClr val="000000"/>
              </a:solidFill>
              <a:latin typeface="Arial"/>
              <a:cs typeface="Arial"/>
            </a:rPr>
            <a:t>a</a:t>
          </a:r>
          <a:endParaRPr lang="zh-CN" altLang="en-US"/>
        </a:p>
      </cdr:txBody>
    </cdr:sp>
  </cdr:relSizeAnchor>
  <cdr:relSizeAnchor xmlns:cdr="http://schemas.openxmlformats.org/drawingml/2006/chartDrawing">
    <cdr:from>
      <cdr:x>0.0155</cdr:x>
      <cdr:y>0.0075</cdr:y>
    </cdr:from>
    <cdr:to>
      <cdr:x>0.0665</cdr:x>
      <cdr:y>0.101</cdr:y>
    </cdr:to>
    <cdr:sp macro="" textlink="">
      <cdr:nvSpPr>
        <cdr:cNvPr id="19459" name="Text Box 3"/>
        <cdr:cNvSpPr txBox="1">
          <a:spLocks xmlns:a="http://schemas.openxmlformats.org/drawingml/2006/main" noChangeArrowheads="1"/>
        </cdr:cNvSpPr>
      </cdr:nvSpPr>
      <cdr:spPr bwMode="auto">
        <a:xfrm xmlns:a="http://schemas.openxmlformats.org/drawingml/2006/main">
          <a:off x="57726" y="18788"/>
          <a:ext cx="189938" cy="2342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950" b="0" i="0" u="none" strike="noStrike" baseline="0">
              <a:solidFill>
                <a:srgbClr val="000000"/>
              </a:solidFill>
              <a:latin typeface="Arial"/>
              <a:cs typeface="Arial"/>
            </a:rPr>
            <a:t>B</a:t>
          </a:r>
          <a:endParaRPr lang="zh-CN" altLang="en-US"/>
        </a:p>
      </cdr:txBody>
    </cdr:sp>
  </cdr:relSizeAnchor>
  <cdr:relSizeAnchor xmlns:cdr="http://schemas.openxmlformats.org/drawingml/2006/chartDrawing">
    <cdr:from>
      <cdr:x>0.5575</cdr:x>
      <cdr:y>0.388</cdr:y>
    </cdr:from>
    <cdr:to>
      <cdr:x>0.62425</cdr:x>
      <cdr:y>0.449</cdr:y>
    </cdr:to>
    <cdr:sp macro="" textlink="">
      <cdr:nvSpPr>
        <cdr:cNvPr id="19460" name="Text Box 4"/>
        <cdr:cNvSpPr txBox="1">
          <a:spLocks xmlns:a="http://schemas.openxmlformats.org/drawingml/2006/main" noChangeArrowheads="1"/>
        </cdr:cNvSpPr>
      </cdr:nvSpPr>
      <cdr:spPr bwMode="auto">
        <a:xfrm xmlns:a="http://schemas.openxmlformats.org/drawingml/2006/main">
          <a:off x="2076283" y="971969"/>
          <a:ext cx="248596" cy="1528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800" b="0" i="0" u="none" strike="noStrike" baseline="0">
              <a:solidFill>
                <a:srgbClr val="000000"/>
              </a:solidFill>
              <a:latin typeface="Arial"/>
              <a:cs typeface="Arial"/>
            </a:rPr>
            <a:t>a</a:t>
          </a:r>
          <a:r>
            <a:rPr lang="en-US" altLang="zh-CN" sz="800" b="0" i="0" u="none" strike="noStrike" baseline="0">
              <a:solidFill>
                <a:srgbClr val="000000"/>
              </a:solidFill>
              <a:latin typeface="Arial"/>
              <a:cs typeface="Arial"/>
            </a:rPr>
            <a:t>,c</a:t>
          </a:r>
          <a:endParaRPr lang="zh-CN" altLang="en-US"/>
        </a:p>
      </cdr:txBody>
    </cdr:sp>
  </cdr:relSizeAnchor>
  <cdr:relSizeAnchor xmlns:cdr="http://schemas.openxmlformats.org/drawingml/2006/chartDrawing">
    <cdr:from>
      <cdr:x>0.51175</cdr:x>
      <cdr:y>0.2585</cdr:y>
    </cdr:from>
    <cdr:to>
      <cdr:x>0.5575</cdr:x>
      <cdr:y>0.331</cdr:y>
    </cdr:to>
    <cdr:sp macro="" textlink="">
      <cdr:nvSpPr>
        <cdr:cNvPr id="19461" name="Text Box 5"/>
        <cdr:cNvSpPr txBox="1">
          <a:spLocks xmlns:a="http://schemas.openxmlformats.org/drawingml/2006/main" noChangeArrowheads="1"/>
        </cdr:cNvSpPr>
      </cdr:nvSpPr>
      <cdr:spPr bwMode="auto">
        <a:xfrm xmlns:a="http://schemas.openxmlformats.org/drawingml/2006/main">
          <a:off x="1905898" y="647562"/>
          <a:ext cx="170385" cy="18161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zh-CN" altLang="en-US" sz="800" b="0" i="0" u="none" strike="noStrike" baseline="0">
              <a:solidFill>
                <a:srgbClr val="000000"/>
              </a:solidFill>
              <a:latin typeface="Arial"/>
              <a:cs typeface="Arial"/>
            </a:rPr>
            <a:t>a</a:t>
          </a:r>
          <a:endParaRPr lang="zh-CN" alt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22</Pages>
  <Words>5612</Words>
  <Characters>31989</Characters>
  <Application>Microsoft Office Word</Application>
  <DocSecurity>0</DocSecurity>
  <Lines>266</Lines>
  <Paragraphs>75</Paragraphs>
  <ScaleCrop>false</ScaleCrop>
  <Company>Hewlett-Packard Company</Company>
  <LinksUpToDate>false</LinksUpToDate>
  <CharactersWithSpaces>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2013-06-17T16:39:00Z</dcterms:created>
  <dcterms:modified xsi:type="dcterms:W3CDTF">2013-06-17T16:39:00Z</dcterms:modified>
</cp:coreProperties>
</file>