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9A" w:rsidRPr="00C33C2F" w:rsidRDefault="009C399A" w:rsidP="008B1267">
      <w:pPr>
        <w:adjustRightInd w:val="0"/>
        <w:snapToGrid w:val="0"/>
        <w:spacing w:after="0" w:line="360" w:lineRule="auto"/>
        <w:jc w:val="both"/>
        <w:rPr>
          <w:rFonts w:ascii="Book Antiqua" w:eastAsia="Times New Roman" w:hAnsi="Book Antiqua" w:cs="宋体"/>
          <w:b/>
          <w:i/>
          <w:color w:val="000000"/>
          <w:sz w:val="24"/>
          <w:lang w:val="en-US"/>
        </w:rPr>
      </w:pPr>
      <w:bookmarkStart w:id="0" w:name="OLE_LINK545"/>
      <w:bookmarkStart w:id="1" w:name="OLE_LINK546"/>
      <w:bookmarkStart w:id="2" w:name="OLE_LINK592"/>
      <w:r w:rsidRPr="00C33C2F">
        <w:rPr>
          <w:rFonts w:ascii="Book Antiqua" w:eastAsia="Times New Roman" w:hAnsi="Book Antiqua" w:cs="宋体"/>
          <w:b/>
          <w:color w:val="000000"/>
          <w:sz w:val="24"/>
          <w:lang w:val="en-US"/>
        </w:rPr>
        <w:t xml:space="preserve">Name of journal: </w:t>
      </w:r>
      <w:bookmarkStart w:id="3" w:name="OLE_LINK718"/>
      <w:bookmarkStart w:id="4" w:name="OLE_LINK719"/>
      <w:bookmarkStart w:id="5" w:name="OLE_LINK645"/>
      <w:bookmarkStart w:id="6" w:name="OLE_LINK661"/>
      <w:bookmarkStart w:id="7" w:name="OLE_LINK1068"/>
      <w:r w:rsidRPr="00C33C2F">
        <w:rPr>
          <w:rFonts w:ascii="Book Antiqua" w:eastAsia="Times New Roman" w:hAnsi="Book Antiqua" w:cs="宋体"/>
          <w:b/>
          <w:i/>
          <w:color w:val="000000"/>
          <w:sz w:val="24"/>
          <w:lang w:val="en-US"/>
        </w:rPr>
        <w:t xml:space="preserve">World Journal of </w:t>
      </w:r>
      <w:bookmarkStart w:id="8" w:name="OLE_LINK1222"/>
      <w:bookmarkStart w:id="9" w:name="OLE_LINK1223"/>
      <w:r w:rsidRPr="00C33C2F">
        <w:rPr>
          <w:rFonts w:ascii="Book Antiqua" w:eastAsia="Times New Roman" w:hAnsi="Book Antiqua" w:cs="宋体"/>
          <w:b/>
          <w:i/>
          <w:color w:val="000000"/>
          <w:sz w:val="24"/>
          <w:lang w:val="en-US"/>
        </w:rPr>
        <w:t>Gastroenterology</w:t>
      </w:r>
      <w:bookmarkEnd w:id="3"/>
      <w:bookmarkEnd w:id="4"/>
      <w:bookmarkEnd w:id="5"/>
      <w:bookmarkEnd w:id="6"/>
      <w:bookmarkEnd w:id="7"/>
      <w:bookmarkEnd w:id="8"/>
      <w:bookmarkEnd w:id="9"/>
    </w:p>
    <w:p w:rsidR="009C399A" w:rsidRPr="00C33C2F" w:rsidRDefault="009C399A" w:rsidP="008B1267">
      <w:pPr>
        <w:adjustRightInd w:val="0"/>
        <w:snapToGrid w:val="0"/>
        <w:spacing w:after="0" w:line="360" w:lineRule="auto"/>
        <w:jc w:val="both"/>
        <w:rPr>
          <w:rFonts w:ascii="Book Antiqua" w:hAnsi="Book Antiqua" w:cs="Arial"/>
          <w:color w:val="000000"/>
          <w:sz w:val="24"/>
          <w:lang w:val="en-US" w:eastAsia="zh-CN"/>
        </w:rPr>
      </w:pPr>
      <w:r w:rsidRPr="00C33C2F">
        <w:rPr>
          <w:rFonts w:ascii="Book Antiqua" w:hAnsi="Book Antiqua" w:cs="Arial"/>
          <w:b/>
          <w:color w:val="000000"/>
          <w:sz w:val="24"/>
          <w:lang w:val="en-US"/>
        </w:rPr>
        <w:t xml:space="preserve">ESPS Manuscript NO: </w:t>
      </w:r>
      <w:r w:rsidRPr="00C33C2F">
        <w:rPr>
          <w:rFonts w:ascii="Book Antiqua" w:hAnsi="Book Antiqua" w:cs="Arial"/>
          <w:b/>
          <w:color w:val="000000"/>
          <w:sz w:val="24"/>
          <w:lang w:val="en-US" w:eastAsia="zh-CN"/>
        </w:rPr>
        <w:t>29937</w:t>
      </w:r>
    </w:p>
    <w:p w:rsidR="009C399A" w:rsidRPr="00C33C2F" w:rsidRDefault="009C399A" w:rsidP="008B1267">
      <w:pPr>
        <w:spacing w:after="0" w:line="360" w:lineRule="auto"/>
        <w:jc w:val="both"/>
        <w:rPr>
          <w:rFonts w:ascii="Book Antiqua" w:hAnsi="Book Antiqua"/>
          <w:b/>
          <w:sz w:val="24"/>
          <w:lang w:val="en-US" w:eastAsia="zh-CN"/>
        </w:rPr>
      </w:pPr>
      <w:r w:rsidRPr="00C33C2F">
        <w:rPr>
          <w:rFonts w:ascii="Book Antiqua" w:hAnsi="Book Antiqua"/>
          <w:b/>
          <w:sz w:val="24"/>
          <w:lang w:val="en-US"/>
        </w:rPr>
        <w:t xml:space="preserve">Manuscript Type: </w:t>
      </w:r>
      <w:r w:rsidR="00302E87" w:rsidRPr="00C33C2F">
        <w:rPr>
          <w:rFonts w:ascii="Book Antiqua" w:hAnsi="Book Antiqua"/>
          <w:b/>
          <w:sz w:val="24"/>
          <w:lang w:val="en-US"/>
        </w:rPr>
        <w:t>MINIREVIEW</w:t>
      </w:r>
      <w:r w:rsidR="00302E87" w:rsidRPr="00C33C2F">
        <w:rPr>
          <w:rFonts w:ascii="Book Antiqua" w:hAnsi="Book Antiqua"/>
          <w:b/>
          <w:sz w:val="24"/>
          <w:lang w:val="en-US" w:eastAsia="zh-CN"/>
        </w:rPr>
        <w:t>S</w:t>
      </w:r>
    </w:p>
    <w:p w:rsidR="00302E87" w:rsidRPr="00C33C2F" w:rsidRDefault="00302E87" w:rsidP="008B1267">
      <w:pPr>
        <w:spacing w:after="0" w:line="360" w:lineRule="auto"/>
        <w:jc w:val="both"/>
        <w:rPr>
          <w:rFonts w:ascii="Book Antiqua" w:hAnsi="Book Antiqua"/>
          <w:b/>
          <w:sz w:val="24"/>
          <w:lang w:val="en-US" w:eastAsia="zh-CN"/>
        </w:rPr>
      </w:pPr>
    </w:p>
    <w:bookmarkEnd w:id="0"/>
    <w:bookmarkEnd w:id="1"/>
    <w:bookmarkEnd w:id="2"/>
    <w:p w:rsidR="009D4F8F" w:rsidRPr="00C33C2F" w:rsidRDefault="009D4F8F" w:rsidP="008B1267">
      <w:pPr>
        <w:shd w:val="clear" w:color="auto" w:fill="FFFFFF"/>
        <w:autoSpaceDE w:val="0"/>
        <w:autoSpaceDN w:val="0"/>
        <w:adjustRightInd w:val="0"/>
        <w:spacing w:after="0" w:line="360" w:lineRule="auto"/>
        <w:jc w:val="both"/>
        <w:rPr>
          <w:rFonts w:ascii="Book Antiqua" w:hAnsi="Book Antiqua" w:cs="Arial"/>
          <w:b/>
          <w:color w:val="222222"/>
          <w:sz w:val="24"/>
          <w:szCs w:val="24"/>
          <w:shd w:val="clear" w:color="auto" w:fill="FFFFFF"/>
          <w:lang w:val="en-GB"/>
        </w:rPr>
      </w:pPr>
      <w:proofErr w:type="spellStart"/>
      <w:r w:rsidRPr="00C33C2F">
        <w:rPr>
          <w:rFonts w:ascii="Book Antiqua" w:hAnsi="Book Antiqua" w:cs="Arial"/>
          <w:b/>
          <w:color w:val="222222"/>
          <w:sz w:val="24"/>
          <w:szCs w:val="24"/>
          <w:shd w:val="clear" w:color="auto" w:fill="FFFFFF"/>
          <w:lang w:val="en-GB"/>
        </w:rPr>
        <w:t>Biosimilars</w:t>
      </w:r>
      <w:proofErr w:type="spellEnd"/>
      <w:r w:rsidRPr="00C33C2F">
        <w:rPr>
          <w:rFonts w:ascii="Book Antiqua" w:hAnsi="Book Antiqua" w:cs="Arial"/>
          <w:b/>
          <w:color w:val="222222"/>
          <w:sz w:val="24"/>
          <w:szCs w:val="24"/>
          <w:shd w:val="clear" w:color="auto" w:fill="FFFFFF"/>
          <w:lang w:val="en-GB"/>
        </w:rPr>
        <w:t xml:space="preserve"> in </w:t>
      </w:r>
      <w:r w:rsidR="00C33C2F" w:rsidRPr="00C33C2F">
        <w:rPr>
          <w:rFonts w:ascii="Book Antiqua" w:hAnsi="Book Antiqua" w:cs="Arial"/>
          <w:b/>
          <w:color w:val="222222"/>
          <w:sz w:val="24"/>
          <w:szCs w:val="24"/>
          <w:shd w:val="clear" w:color="auto" w:fill="FFFFFF"/>
          <w:lang w:val="en-GB"/>
        </w:rPr>
        <w:t xml:space="preserve">inflammatory </w:t>
      </w:r>
      <w:r w:rsidRPr="00C33C2F">
        <w:rPr>
          <w:rFonts w:ascii="Book Antiqua" w:hAnsi="Book Antiqua" w:cs="Arial"/>
          <w:b/>
          <w:color w:val="222222"/>
          <w:sz w:val="24"/>
          <w:szCs w:val="24"/>
          <w:shd w:val="clear" w:color="auto" w:fill="FFFFFF"/>
          <w:lang w:val="en-GB"/>
        </w:rPr>
        <w:t xml:space="preserve">bowel disease: </w:t>
      </w:r>
      <w:r w:rsidR="00302E87" w:rsidRPr="00C33C2F">
        <w:rPr>
          <w:rFonts w:ascii="Book Antiqua" w:hAnsi="Book Antiqua" w:cs="Arial"/>
          <w:b/>
          <w:color w:val="222222"/>
          <w:sz w:val="24"/>
          <w:szCs w:val="24"/>
          <w:shd w:val="clear" w:color="auto" w:fill="FFFFFF"/>
          <w:lang w:val="en-GB"/>
        </w:rPr>
        <w:t>A</w:t>
      </w:r>
      <w:r w:rsidRPr="00C33C2F">
        <w:rPr>
          <w:rFonts w:ascii="Book Antiqua" w:hAnsi="Book Antiqua" w:cs="Arial"/>
          <w:b/>
          <w:color w:val="222222"/>
          <w:sz w:val="24"/>
          <w:szCs w:val="24"/>
          <w:shd w:val="clear" w:color="auto" w:fill="FFFFFF"/>
          <w:lang w:val="en-GB"/>
        </w:rPr>
        <w:t xml:space="preserve"> review of post-marketing experience</w:t>
      </w:r>
    </w:p>
    <w:p w:rsidR="009D4F8F" w:rsidRPr="00C33C2F" w:rsidRDefault="009D4F8F" w:rsidP="008B1267">
      <w:pPr>
        <w:shd w:val="clear" w:color="auto" w:fill="FFFFFF"/>
        <w:autoSpaceDE w:val="0"/>
        <w:autoSpaceDN w:val="0"/>
        <w:adjustRightInd w:val="0"/>
        <w:spacing w:after="0" w:line="360" w:lineRule="auto"/>
        <w:jc w:val="both"/>
        <w:rPr>
          <w:rFonts w:ascii="Book Antiqua" w:hAnsi="Book Antiqua" w:cs="Arial"/>
          <w:color w:val="222222"/>
          <w:sz w:val="24"/>
          <w:szCs w:val="24"/>
          <w:shd w:val="clear" w:color="auto" w:fill="FFFFFF"/>
          <w:lang w:val="en-GB"/>
        </w:rPr>
      </w:pPr>
    </w:p>
    <w:p w:rsidR="00123DE8" w:rsidRPr="00C33C2F" w:rsidRDefault="00302E87" w:rsidP="008B1267">
      <w:pPr>
        <w:shd w:val="clear" w:color="auto" w:fill="FFFFFF"/>
        <w:autoSpaceDE w:val="0"/>
        <w:autoSpaceDN w:val="0"/>
        <w:adjustRightInd w:val="0"/>
        <w:spacing w:after="0" w:line="360" w:lineRule="auto"/>
        <w:jc w:val="both"/>
        <w:rPr>
          <w:rFonts w:ascii="Book Antiqua" w:hAnsi="Book Antiqua" w:cs="Arial"/>
          <w:color w:val="222222"/>
          <w:sz w:val="24"/>
          <w:szCs w:val="24"/>
          <w:shd w:val="clear" w:color="auto" w:fill="FFFFFF"/>
          <w:lang w:val="en-GB"/>
        </w:rPr>
      </w:pPr>
      <w:proofErr w:type="spellStart"/>
      <w:r w:rsidRPr="00C33C2F">
        <w:rPr>
          <w:rFonts w:ascii="Book Antiqua" w:hAnsi="Book Antiqua"/>
          <w:sz w:val="24"/>
          <w:szCs w:val="24"/>
          <w:lang w:val="en-US"/>
        </w:rPr>
        <w:t>Deiana</w:t>
      </w:r>
      <w:proofErr w:type="spellEnd"/>
      <w:r w:rsidRPr="00C33C2F">
        <w:rPr>
          <w:rFonts w:ascii="Book Antiqua" w:hAnsi="Book Antiqua" w:cs="Arial"/>
          <w:color w:val="222222"/>
          <w:sz w:val="24"/>
          <w:szCs w:val="24"/>
          <w:shd w:val="clear" w:color="auto" w:fill="FFFFFF"/>
          <w:lang w:val="en-GB"/>
        </w:rPr>
        <w:t xml:space="preserve"> </w:t>
      </w:r>
      <w:r w:rsidRPr="00C33C2F">
        <w:rPr>
          <w:rFonts w:ascii="Book Antiqua" w:hAnsi="Book Antiqua" w:cs="Arial"/>
          <w:color w:val="222222"/>
          <w:sz w:val="24"/>
          <w:szCs w:val="24"/>
          <w:shd w:val="clear" w:color="auto" w:fill="FFFFFF"/>
          <w:lang w:val="en-GB" w:eastAsia="zh-CN"/>
        </w:rPr>
        <w:t xml:space="preserve">S </w:t>
      </w:r>
      <w:r w:rsidRPr="00C33C2F">
        <w:rPr>
          <w:rFonts w:ascii="Book Antiqua" w:hAnsi="Book Antiqua" w:cs="Arial"/>
          <w:i/>
          <w:color w:val="222222"/>
          <w:sz w:val="24"/>
          <w:szCs w:val="24"/>
          <w:shd w:val="clear" w:color="auto" w:fill="FFFFFF"/>
          <w:lang w:val="en-GB" w:eastAsia="zh-CN"/>
        </w:rPr>
        <w:t>et al.</w:t>
      </w:r>
      <w:r w:rsidRPr="00C33C2F">
        <w:rPr>
          <w:rFonts w:ascii="Book Antiqua" w:hAnsi="Book Antiqua" w:cs="Arial"/>
          <w:color w:val="222222"/>
          <w:sz w:val="24"/>
          <w:szCs w:val="24"/>
          <w:shd w:val="clear" w:color="auto" w:fill="FFFFFF"/>
          <w:lang w:val="en-GB" w:eastAsia="zh-CN"/>
        </w:rPr>
        <w:t xml:space="preserve"> </w:t>
      </w:r>
      <w:proofErr w:type="spellStart"/>
      <w:r w:rsidR="00123DE8" w:rsidRPr="00C33C2F">
        <w:rPr>
          <w:rFonts w:ascii="Book Antiqua" w:hAnsi="Book Antiqua" w:cs="Arial"/>
          <w:color w:val="222222"/>
          <w:sz w:val="24"/>
          <w:szCs w:val="24"/>
          <w:shd w:val="clear" w:color="auto" w:fill="FFFFFF"/>
          <w:lang w:val="en-GB"/>
        </w:rPr>
        <w:t>Biosimilars</w:t>
      </w:r>
      <w:proofErr w:type="spellEnd"/>
      <w:r w:rsidR="00123DE8" w:rsidRPr="00C33C2F">
        <w:rPr>
          <w:rFonts w:ascii="Book Antiqua" w:hAnsi="Book Antiqua" w:cs="Arial"/>
          <w:color w:val="222222"/>
          <w:sz w:val="24"/>
          <w:szCs w:val="24"/>
          <w:shd w:val="clear" w:color="auto" w:fill="FFFFFF"/>
          <w:lang w:val="en-GB"/>
        </w:rPr>
        <w:t xml:space="preserve"> in IBD: </w:t>
      </w:r>
      <w:r w:rsidR="00C33C2F" w:rsidRPr="00C33C2F">
        <w:rPr>
          <w:rFonts w:ascii="Book Antiqua" w:hAnsi="Book Antiqua" w:cs="Arial"/>
          <w:color w:val="222222"/>
          <w:sz w:val="24"/>
          <w:szCs w:val="24"/>
          <w:shd w:val="clear" w:color="auto" w:fill="FFFFFF"/>
          <w:lang w:val="en-GB"/>
        </w:rPr>
        <w:t>Post</w:t>
      </w:r>
      <w:r w:rsidR="00123DE8" w:rsidRPr="00C33C2F">
        <w:rPr>
          <w:rFonts w:ascii="Book Antiqua" w:hAnsi="Book Antiqua" w:cs="Arial"/>
          <w:color w:val="222222"/>
          <w:sz w:val="24"/>
          <w:szCs w:val="24"/>
          <w:shd w:val="clear" w:color="auto" w:fill="FFFFFF"/>
          <w:lang w:val="en-GB"/>
        </w:rPr>
        <w:t>-marketing review</w:t>
      </w:r>
    </w:p>
    <w:p w:rsidR="009C399A" w:rsidRPr="00C33C2F" w:rsidRDefault="009C399A" w:rsidP="008B1267">
      <w:pPr>
        <w:shd w:val="clear" w:color="auto" w:fill="FFFFFF"/>
        <w:autoSpaceDE w:val="0"/>
        <w:autoSpaceDN w:val="0"/>
        <w:adjustRightInd w:val="0"/>
        <w:spacing w:after="0" w:line="360" w:lineRule="auto"/>
        <w:jc w:val="both"/>
        <w:rPr>
          <w:rFonts w:ascii="Book Antiqua" w:hAnsi="Book Antiqua" w:cs="Arial"/>
          <w:color w:val="222222"/>
          <w:sz w:val="24"/>
          <w:szCs w:val="24"/>
          <w:shd w:val="clear" w:color="auto" w:fill="FFFFFF"/>
          <w:lang w:val="en-GB" w:eastAsia="zh-CN"/>
        </w:rPr>
      </w:pPr>
    </w:p>
    <w:p w:rsidR="009C399A" w:rsidRPr="00C33C2F" w:rsidRDefault="008030AC" w:rsidP="008B1267">
      <w:pPr>
        <w:shd w:val="clear" w:color="auto" w:fill="FFFFFF"/>
        <w:autoSpaceDE w:val="0"/>
        <w:autoSpaceDN w:val="0"/>
        <w:adjustRightInd w:val="0"/>
        <w:spacing w:after="0" w:line="360" w:lineRule="auto"/>
        <w:jc w:val="both"/>
        <w:rPr>
          <w:rFonts w:ascii="Book Antiqua" w:hAnsi="Book Antiqua"/>
          <w:sz w:val="24"/>
          <w:szCs w:val="24"/>
          <w:lang w:eastAsia="zh-CN"/>
        </w:rPr>
      </w:pPr>
      <w:r w:rsidRPr="00C33C2F">
        <w:rPr>
          <w:rFonts w:ascii="Book Antiqua" w:hAnsi="Book Antiqua"/>
          <w:sz w:val="24"/>
          <w:szCs w:val="24"/>
        </w:rPr>
        <w:t xml:space="preserve">Simona Deiana, </w:t>
      </w:r>
      <w:r w:rsidR="009D4F8F" w:rsidRPr="00C33C2F">
        <w:rPr>
          <w:rFonts w:ascii="Book Antiqua" w:hAnsi="Book Antiqua"/>
          <w:sz w:val="24"/>
          <w:szCs w:val="24"/>
        </w:rPr>
        <w:t>Tommaso Gabbani, Vito Annese</w:t>
      </w:r>
    </w:p>
    <w:p w:rsidR="009C399A" w:rsidRPr="00C33C2F" w:rsidRDefault="009C399A" w:rsidP="008B1267">
      <w:pPr>
        <w:shd w:val="clear" w:color="auto" w:fill="FFFFFF"/>
        <w:autoSpaceDE w:val="0"/>
        <w:autoSpaceDN w:val="0"/>
        <w:adjustRightInd w:val="0"/>
        <w:spacing w:after="0" w:line="360" w:lineRule="auto"/>
        <w:jc w:val="both"/>
        <w:rPr>
          <w:rFonts w:ascii="Book Antiqua" w:hAnsi="Book Antiqua"/>
          <w:sz w:val="24"/>
          <w:szCs w:val="24"/>
          <w:vertAlign w:val="superscript"/>
          <w:lang w:eastAsia="zh-CN"/>
        </w:rPr>
      </w:pPr>
    </w:p>
    <w:p w:rsidR="009D4F8F" w:rsidRPr="00C33C2F" w:rsidRDefault="00302E87" w:rsidP="008B1267">
      <w:pPr>
        <w:shd w:val="clear" w:color="auto" w:fill="FFFFFF"/>
        <w:autoSpaceDE w:val="0"/>
        <w:autoSpaceDN w:val="0"/>
        <w:adjustRightInd w:val="0"/>
        <w:spacing w:after="0" w:line="360" w:lineRule="auto"/>
        <w:jc w:val="both"/>
        <w:rPr>
          <w:rFonts w:ascii="Book Antiqua" w:hAnsi="Book Antiqua"/>
          <w:sz w:val="24"/>
          <w:szCs w:val="24"/>
          <w:lang w:eastAsia="zh-CN"/>
        </w:rPr>
      </w:pPr>
      <w:r w:rsidRPr="00C33C2F">
        <w:rPr>
          <w:rFonts w:ascii="Book Antiqua" w:hAnsi="Book Antiqua"/>
          <w:b/>
          <w:sz w:val="24"/>
          <w:szCs w:val="24"/>
        </w:rPr>
        <w:t>Simona Deiana, Tommaso Gabbani, Vito Annese</w:t>
      </w:r>
      <w:r w:rsidRPr="00C33C2F">
        <w:rPr>
          <w:rFonts w:ascii="Book Antiqua" w:hAnsi="Book Antiqua"/>
          <w:b/>
          <w:sz w:val="24"/>
          <w:szCs w:val="24"/>
          <w:lang w:eastAsia="zh-CN"/>
        </w:rPr>
        <w:t xml:space="preserve">, </w:t>
      </w:r>
      <w:r w:rsidR="009D4F8F" w:rsidRPr="00C33C2F">
        <w:rPr>
          <w:rFonts w:ascii="Book Antiqua" w:hAnsi="Book Antiqua"/>
          <w:sz w:val="24"/>
          <w:szCs w:val="24"/>
        </w:rPr>
        <w:t xml:space="preserve">Division of Gastroenterology, AOU Careggi University </w:t>
      </w:r>
      <w:r w:rsidR="00EC3488" w:rsidRPr="00C33C2F">
        <w:rPr>
          <w:rFonts w:ascii="Book Antiqua" w:hAnsi="Book Antiqua"/>
          <w:sz w:val="24"/>
          <w:szCs w:val="24"/>
        </w:rPr>
        <w:t>Hospital,</w:t>
      </w:r>
      <w:r w:rsidR="009D4F8F" w:rsidRPr="00C33C2F">
        <w:rPr>
          <w:rFonts w:ascii="Book Antiqua" w:hAnsi="Book Antiqua"/>
          <w:sz w:val="24"/>
          <w:szCs w:val="24"/>
        </w:rPr>
        <w:t xml:space="preserve"> </w:t>
      </w:r>
      <w:r w:rsidRPr="00C33C2F">
        <w:rPr>
          <w:rFonts w:ascii="Book Antiqua" w:hAnsi="Book Antiqua"/>
          <w:sz w:val="24"/>
          <w:szCs w:val="24"/>
        </w:rPr>
        <w:t>50139 Firenze, Italy</w:t>
      </w:r>
    </w:p>
    <w:p w:rsidR="009D4F8F" w:rsidRPr="00C33C2F" w:rsidRDefault="009D4F8F" w:rsidP="008B1267">
      <w:pPr>
        <w:autoSpaceDE w:val="0"/>
        <w:autoSpaceDN w:val="0"/>
        <w:adjustRightInd w:val="0"/>
        <w:spacing w:after="0" w:line="360" w:lineRule="auto"/>
        <w:jc w:val="both"/>
        <w:rPr>
          <w:rFonts w:ascii="Book Antiqua" w:hAnsi="Book Antiqua"/>
          <w:i/>
          <w:sz w:val="24"/>
          <w:szCs w:val="24"/>
        </w:rPr>
      </w:pPr>
    </w:p>
    <w:p w:rsidR="009C399A" w:rsidRPr="00C33C2F" w:rsidRDefault="009C399A" w:rsidP="008B1267">
      <w:pPr>
        <w:autoSpaceDE w:val="0"/>
        <w:autoSpaceDN w:val="0"/>
        <w:adjustRightInd w:val="0"/>
        <w:spacing w:after="0" w:line="360" w:lineRule="auto"/>
        <w:jc w:val="both"/>
        <w:rPr>
          <w:rFonts w:ascii="Book Antiqua" w:hAnsi="Book Antiqua" w:cs="Tahoma"/>
          <w:sz w:val="24"/>
          <w:szCs w:val="24"/>
          <w:lang w:val="en-GB" w:eastAsia="zh-CN"/>
        </w:rPr>
      </w:pPr>
      <w:bookmarkStart w:id="10" w:name="OLE_LINK231"/>
      <w:bookmarkStart w:id="11" w:name="OLE_LINK234"/>
      <w:bookmarkStart w:id="12" w:name="OLE_LINK342"/>
      <w:bookmarkStart w:id="13" w:name="OLE_LINK473"/>
      <w:r w:rsidRPr="00C33C2F">
        <w:rPr>
          <w:rFonts w:ascii="Book Antiqua" w:eastAsia="MS Mincho" w:hAnsi="Book Antiqua"/>
          <w:b/>
          <w:sz w:val="24"/>
          <w:lang w:val="en-US" w:eastAsia="ja-JP"/>
        </w:rPr>
        <w:t>Author contributions:</w:t>
      </w:r>
      <w:r w:rsidRPr="00C33C2F">
        <w:rPr>
          <w:rFonts w:ascii="Book Antiqua" w:hAnsi="Book Antiqua" w:cs="Tahoma"/>
          <w:b/>
          <w:color w:val="000000"/>
          <w:sz w:val="24"/>
          <w:szCs w:val="24"/>
          <w:lang w:val="en-GB"/>
        </w:rPr>
        <w:t xml:space="preserve"> </w:t>
      </w:r>
      <w:proofErr w:type="spellStart"/>
      <w:r w:rsidRPr="00C33C2F">
        <w:rPr>
          <w:rFonts w:ascii="Book Antiqua" w:hAnsi="Book Antiqua" w:cs="Tahoma"/>
          <w:sz w:val="24"/>
          <w:szCs w:val="24"/>
          <w:lang w:val="en-GB"/>
        </w:rPr>
        <w:t>Gabbani</w:t>
      </w:r>
      <w:proofErr w:type="spellEnd"/>
      <w:r w:rsidR="00302E87" w:rsidRPr="00C33C2F">
        <w:rPr>
          <w:rFonts w:ascii="Book Antiqua" w:hAnsi="Book Antiqua" w:cs="Tahoma"/>
          <w:sz w:val="24"/>
          <w:szCs w:val="24"/>
          <w:lang w:val="en-GB"/>
        </w:rPr>
        <w:t xml:space="preserve"> T</w:t>
      </w:r>
      <w:r w:rsidRPr="00C33C2F">
        <w:rPr>
          <w:rFonts w:ascii="Book Antiqua" w:hAnsi="Book Antiqua" w:cs="Tahoma"/>
          <w:sz w:val="24"/>
          <w:szCs w:val="24"/>
          <w:lang w:val="en-GB"/>
        </w:rPr>
        <w:t xml:space="preserve"> </w:t>
      </w:r>
      <w:r w:rsidR="00905714" w:rsidRPr="00C33C2F">
        <w:rPr>
          <w:rFonts w:ascii="Book Antiqua" w:hAnsi="Book Antiqua" w:cs="Tahoma"/>
          <w:sz w:val="24"/>
          <w:szCs w:val="24"/>
          <w:lang w:val="en-GB"/>
        </w:rPr>
        <w:t xml:space="preserve">performed literature research, wrote </w:t>
      </w:r>
      <w:r w:rsidR="00774F14" w:rsidRPr="00C33C2F">
        <w:rPr>
          <w:rFonts w:ascii="Book Antiqua" w:hAnsi="Book Antiqua" w:cs="Tahoma"/>
          <w:sz w:val="24"/>
          <w:szCs w:val="24"/>
          <w:lang w:val="en-GB"/>
        </w:rPr>
        <w:t xml:space="preserve">the first draft </w:t>
      </w:r>
      <w:r w:rsidR="00905714" w:rsidRPr="00C33C2F">
        <w:rPr>
          <w:rFonts w:ascii="Book Antiqua" w:hAnsi="Book Antiqua" w:cs="Tahoma"/>
          <w:sz w:val="24"/>
          <w:szCs w:val="24"/>
          <w:lang w:val="en-GB"/>
        </w:rPr>
        <w:t xml:space="preserve">and </w:t>
      </w:r>
      <w:proofErr w:type="gramStart"/>
      <w:r w:rsidR="00905714" w:rsidRPr="00C33C2F">
        <w:rPr>
          <w:rFonts w:ascii="Book Antiqua" w:hAnsi="Book Antiqua" w:cs="Tahoma"/>
          <w:sz w:val="24"/>
          <w:szCs w:val="24"/>
          <w:lang w:val="en-GB"/>
        </w:rPr>
        <w:t>reviewed</w:t>
      </w:r>
      <w:proofErr w:type="gramEnd"/>
      <w:r w:rsidR="00905714" w:rsidRPr="00C33C2F">
        <w:rPr>
          <w:rFonts w:ascii="Book Antiqua" w:hAnsi="Book Antiqua" w:cs="Tahoma"/>
          <w:sz w:val="24"/>
          <w:szCs w:val="24"/>
          <w:lang w:val="en-GB"/>
        </w:rPr>
        <w:t xml:space="preserve"> the article;</w:t>
      </w:r>
      <w:r w:rsidRPr="00C33C2F">
        <w:rPr>
          <w:rFonts w:ascii="Book Antiqua" w:hAnsi="Book Antiqua" w:cs="Tahoma"/>
          <w:sz w:val="24"/>
          <w:szCs w:val="24"/>
          <w:lang w:val="en-GB"/>
        </w:rPr>
        <w:t xml:space="preserve"> </w:t>
      </w:r>
      <w:proofErr w:type="spellStart"/>
      <w:r w:rsidRPr="00C33C2F">
        <w:rPr>
          <w:rFonts w:ascii="Book Antiqua" w:hAnsi="Book Antiqua" w:cs="Tahoma"/>
          <w:sz w:val="24"/>
          <w:szCs w:val="24"/>
          <w:lang w:val="en-GB"/>
        </w:rPr>
        <w:t>Deiana</w:t>
      </w:r>
      <w:proofErr w:type="spellEnd"/>
      <w:r w:rsidRPr="00C33C2F">
        <w:rPr>
          <w:rFonts w:ascii="Book Antiqua" w:hAnsi="Book Antiqua" w:cs="Tahoma"/>
          <w:sz w:val="24"/>
          <w:szCs w:val="24"/>
          <w:lang w:val="en-GB"/>
        </w:rPr>
        <w:t xml:space="preserve"> </w:t>
      </w:r>
      <w:r w:rsidR="00302E87" w:rsidRPr="00C33C2F">
        <w:rPr>
          <w:rFonts w:ascii="Book Antiqua" w:hAnsi="Book Antiqua" w:cs="Tahoma"/>
          <w:sz w:val="24"/>
          <w:szCs w:val="24"/>
          <w:lang w:val="en-GB"/>
        </w:rPr>
        <w:t xml:space="preserve">S </w:t>
      </w:r>
      <w:r w:rsidR="00774F14" w:rsidRPr="00C33C2F">
        <w:rPr>
          <w:rFonts w:ascii="Book Antiqua" w:hAnsi="Book Antiqua" w:cs="Tahoma"/>
          <w:sz w:val="24"/>
          <w:szCs w:val="24"/>
          <w:lang w:val="en-GB"/>
        </w:rPr>
        <w:t xml:space="preserve">collaborated to literature search </w:t>
      </w:r>
      <w:r w:rsidRPr="00C33C2F">
        <w:rPr>
          <w:rFonts w:ascii="Book Antiqua" w:hAnsi="Book Antiqua" w:cs="Tahoma"/>
          <w:sz w:val="24"/>
          <w:szCs w:val="24"/>
          <w:lang w:val="en-GB"/>
        </w:rPr>
        <w:t xml:space="preserve">and reviewed the article; </w:t>
      </w:r>
      <w:proofErr w:type="spellStart"/>
      <w:r w:rsidRPr="00C33C2F">
        <w:rPr>
          <w:rFonts w:ascii="Book Antiqua" w:hAnsi="Book Antiqua" w:cs="Tahoma"/>
          <w:sz w:val="24"/>
          <w:szCs w:val="24"/>
          <w:lang w:val="en-GB"/>
        </w:rPr>
        <w:t>Annese</w:t>
      </w:r>
      <w:proofErr w:type="spellEnd"/>
      <w:r w:rsidRPr="00C33C2F">
        <w:rPr>
          <w:rFonts w:ascii="Book Antiqua" w:hAnsi="Book Antiqua" w:cs="Tahoma"/>
          <w:sz w:val="24"/>
          <w:szCs w:val="24"/>
          <w:lang w:val="en-GB"/>
        </w:rPr>
        <w:t xml:space="preserve"> </w:t>
      </w:r>
      <w:r w:rsidR="00302E87" w:rsidRPr="00C33C2F">
        <w:rPr>
          <w:rFonts w:ascii="Book Antiqua" w:hAnsi="Book Antiqua" w:cs="Tahoma"/>
          <w:sz w:val="24"/>
          <w:szCs w:val="24"/>
          <w:lang w:val="en-GB"/>
        </w:rPr>
        <w:t xml:space="preserve">V </w:t>
      </w:r>
      <w:r w:rsidR="00774F14" w:rsidRPr="00C33C2F">
        <w:rPr>
          <w:rFonts w:ascii="Book Antiqua" w:hAnsi="Book Antiqua" w:cs="Tahoma"/>
          <w:sz w:val="24"/>
          <w:szCs w:val="24"/>
          <w:lang w:val="en-GB"/>
        </w:rPr>
        <w:t xml:space="preserve">designed and coordinated the review, </w:t>
      </w:r>
      <w:r w:rsidRPr="00C33C2F">
        <w:rPr>
          <w:rFonts w:ascii="Book Antiqua" w:hAnsi="Book Antiqua" w:cs="Tahoma"/>
          <w:sz w:val="24"/>
          <w:szCs w:val="24"/>
          <w:lang w:val="en-GB"/>
        </w:rPr>
        <w:t xml:space="preserve">and </w:t>
      </w:r>
      <w:r w:rsidR="00774F14" w:rsidRPr="00C33C2F">
        <w:rPr>
          <w:rFonts w:ascii="Book Antiqua" w:hAnsi="Book Antiqua" w:cs="Tahoma"/>
          <w:sz w:val="24"/>
          <w:szCs w:val="24"/>
          <w:lang w:val="en-GB"/>
        </w:rPr>
        <w:t xml:space="preserve">revised the final </w:t>
      </w:r>
      <w:r w:rsidRPr="00C33C2F">
        <w:rPr>
          <w:rFonts w:ascii="Book Antiqua" w:hAnsi="Book Antiqua" w:cs="Tahoma"/>
          <w:sz w:val="24"/>
          <w:szCs w:val="24"/>
          <w:lang w:val="en-GB"/>
        </w:rPr>
        <w:t>draft the manuscript.</w:t>
      </w:r>
    </w:p>
    <w:p w:rsidR="00302E87" w:rsidRPr="00C33C2F" w:rsidRDefault="00302E87" w:rsidP="008B1267">
      <w:pPr>
        <w:autoSpaceDE w:val="0"/>
        <w:autoSpaceDN w:val="0"/>
        <w:adjustRightInd w:val="0"/>
        <w:spacing w:after="0" w:line="360" w:lineRule="auto"/>
        <w:jc w:val="both"/>
        <w:rPr>
          <w:rFonts w:ascii="Book Antiqua" w:hAnsi="Book Antiqua"/>
          <w:sz w:val="24"/>
          <w:szCs w:val="24"/>
          <w:lang w:val="en-GB" w:eastAsia="zh-CN"/>
        </w:rPr>
      </w:pPr>
    </w:p>
    <w:p w:rsidR="00302E87" w:rsidRPr="00C33C2F" w:rsidRDefault="00302E87" w:rsidP="008B1267">
      <w:pPr>
        <w:autoSpaceDE w:val="0"/>
        <w:autoSpaceDN w:val="0"/>
        <w:adjustRightInd w:val="0"/>
        <w:spacing w:after="0" w:line="360" w:lineRule="auto"/>
        <w:rPr>
          <w:rFonts w:ascii="Book Antiqua" w:hAnsi="Book Antiqua"/>
          <w:sz w:val="24"/>
          <w:lang w:val="en-US"/>
        </w:rPr>
      </w:pPr>
      <w:bookmarkStart w:id="14" w:name="OLE_LINK526"/>
      <w:bookmarkStart w:id="15" w:name="OLE_LINK527"/>
      <w:bookmarkEnd w:id="10"/>
      <w:bookmarkEnd w:id="11"/>
      <w:bookmarkEnd w:id="12"/>
      <w:bookmarkEnd w:id="13"/>
      <w:r w:rsidRPr="00C33C2F">
        <w:rPr>
          <w:rFonts w:ascii="Book Antiqua" w:hAnsi="Book Antiqua" w:cs="TimesNewRomanPS-BoldItalicMT"/>
          <w:b/>
          <w:bCs/>
          <w:iCs/>
          <w:sz w:val="24"/>
          <w:lang w:val="en-US"/>
        </w:rPr>
        <w:t>Conflict-of-interest</w:t>
      </w:r>
      <w:r w:rsidRPr="00C33C2F">
        <w:rPr>
          <w:rFonts w:ascii="Book Antiqua" w:hAnsi="Book Antiqua"/>
          <w:lang w:val="en-US"/>
        </w:rPr>
        <w:t xml:space="preserve"> </w:t>
      </w:r>
      <w:r w:rsidRPr="00C33C2F">
        <w:rPr>
          <w:rFonts w:ascii="Book Antiqua" w:hAnsi="Book Antiqua" w:cs="TimesNewRomanPS-BoldItalicMT"/>
          <w:b/>
          <w:bCs/>
          <w:iCs/>
          <w:sz w:val="24"/>
          <w:lang w:val="en-US"/>
        </w:rPr>
        <w:t xml:space="preserve">statement: </w:t>
      </w:r>
      <w:r w:rsidRPr="00C33C2F">
        <w:rPr>
          <w:rFonts w:ascii="Book Antiqua" w:hAnsi="Book Antiqua"/>
          <w:sz w:val="24"/>
          <w:lang w:val="en-US"/>
        </w:rPr>
        <w:t>No potential conflicts of interest relevant to this article were reported.</w:t>
      </w:r>
    </w:p>
    <w:p w:rsidR="009C399A" w:rsidRPr="00C33C2F" w:rsidRDefault="009C399A" w:rsidP="008B1267">
      <w:pPr>
        <w:autoSpaceDE w:val="0"/>
        <w:autoSpaceDN w:val="0"/>
        <w:adjustRightInd w:val="0"/>
        <w:spacing w:after="0" w:line="360" w:lineRule="auto"/>
        <w:jc w:val="both"/>
        <w:rPr>
          <w:rFonts w:ascii="Book Antiqua" w:hAnsi="Book Antiqua" w:cs="TimesNewRomanPS-BoldItalicMT"/>
          <w:b/>
          <w:bCs/>
          <w:iCs/>
          <w:color w:val="000000"/>
          <w:sz w:val="24"/>
          <w:lang w:val="en-US"/>
        </w:rPr>
      </w:pPr>
    </w:p>
    <w:p w:rsidR="009C399A" w:rsidRPr="00C33C2F" w:rsidRDefault="009C399A" w:rsidP="008B1267">
      <w:pPr>
        <w:spacing w:after="0" w:line="360" w:lineRule="auto"/>
        <w:jc w:val="both"/>
        <w:rPr>
          <w:rFonts w:ascii="Book Antiqua" w:hAnsi="Book Antiqua"/>
          <w:color w:val="000000"/>
          <w:sz w:val="24"/>
          <w:lang w:val="en-US" w:eastAsia="zh-CN"/>
        </w:rPr>
      </w:pPr>
      <w:bookmarkStart w:id="16" w:name="OLE_LINK155"/>
      <w:bookmarkStart w:id="17" w:name="OLE_LINK183"/>
      <w:bookmarkStart w:id="18" w:name="OLE_LINK441"/>
      <w:bookmarkEnd w:id="14"/>
      <w:bookmarkEnd w:id="15"/>
      <w:r w:rsidRPr="00C33C2F">
        <w:rPr>
          <w:rFonts w:ascii="Book Antiqua" w:hAnsi="Book Antiqua"/>
          <w:b/>
          <w:color w:val="000000"/>
          <w:sz w:val="24"/>
          <w:lang w:val="en-US"/>
        </w:rPr>
        <w:t xml:space="preserve">Open-Access: </w:t>
      </w:r>
      <w:r w:rsidRPr="00C33C2F">
        <w:rPr>
          <w:rFonts w:ascii="Book Antiqua" w:hAnsi="Book Antiqua"/>
          <w:color w:val="000000"/>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302E87" w:rsidRPr="00C33C2F">
          <w:rPr>
            <w:rStyle w:val="a7"/>
            <w:rFonts w:ascii="Book Antiqua" w:hAnsi="Book Antiqua"/>
            <w:sz w:val="24"/>
            <w:u w:val="none"/>
            <w:lang w:val="en-US"/>
          </w:rPr>
          <w:t>http://creativecommons.org/licenses/by-nc/4.0/</w:t>
        </w:r>
      </w:hyperlink>
      <w:bookmarkEnd w:id="16"/>
      <w:bookmarkEnd w:id="17"/>
      <w:bookmarkEnd w:id="18"/>
    </w:p>
    <w:p w:rsidR="00302E87" w:rsidRPr="00C33C2F" w:rsidRDefault="00302E87" w:rsidP="008B1267">
      <w:pPr>
        <w:spacing w:after="0" w:line="360" w:lineRule="auto"/>
        <w:jc w:val="both"/>
        <w:rPr>
          <w:rFonts w:ascii="Book Antiqua" w:hAnsi="Book Antiqua"/>
          <w:b/>
          <w:color w:val="000000"/>
          <w:sz w:val="24"/>
          <w:lang w:val="en-US" w:eastAsia="zh-CN"/>
        </w:rPr>
      </w:pPr>
    </w:p>
    <w:p w:rsidR="009C399A" w:rsidRPr="00C33C2F" w:rsidRDefault="009C399A" w:rsidP="008B1267">
      <w:pPr>
        <w:spacing w:after="0" w:line="360" w:lineRule="auto"/>
        <w:jc w:val="both"/>
        <w:rPr>
          <w:rFonts w:ascii="Book Antiqua" w:hAnsi="Book Antiqua" w:cs="Arial Unicode MS"/>
          <w:color w:val="000000"/>
          <w:sz w:val="24"/>
          <w:lang w:val="en-US" w:eastAsia="zh-CN"/>
        </w:rPr>
      </w:pPr>
      <w:r w:rsidRPr="00C33C2F">
        <w:rPr>
          <w:rFonts w:ascii="Book Antiqua" w:hAnsi="Book Antiqua" w:cs="Arial Unicode MS"/>
          <w:b/>
          <w:color w:val="000000"/>
          <w:sz w:val="24"/>
          <w:lang w:val="en-US"/>
        </w:rPr>
        <w:t>Manuscript source:</w:t>
      </w:r>
      <w:r w:rsidRPr="00C33C2F">
        <w:rPr>
          <w:rFonts w:ascii="Book Antiqua" w:hAnsi="Book Antiqua" w:cs="Arial Unicode MS"/>
          <w:color w:val="000000"/>
          <w:sz w:val="24"/>
          <w:lang w:val="en-US"/>
        </w:rPr>
        <w:t xml:space="preserve"> Invited manuscript</w:t>
      </w:r>
    </w:p>
    <w:p w:rsidR="00302E87" w:rsidRPr="00C33C2F" w:rsidRDefault="00302E87" w:rsidP="008B1267">
      <w:pPr>
        <w:spacing w:after="0" w:line="360" w:lineRule="auto"/>
        <w:jc w:val="both"/>
        <w:rPr>
          <w:rFonts w:ascii="Book Antiqua" w:hAnsi="Book Antiqua" w:cs="Arial Unicode MS"/>
          <w:color w:val="000000"/>
          <w:sz w:val="24"/>
          <w:lang w:val="en-US" w:eastAsia="zh-CN"/>
        </w:rPr>
      </w:pPr>
    </w:p>
    <w:p w:rsidR="009D4F8F" w:rsidRPr="00C33C2F" w:rsidRDefault="009C399A" w:rsidP="008B1267">
      <w:pPr>
        <w:spacing w:after="0" w:line="360" w:lineRule="auto"/>
        <w:jc w:val="both"/>
        <w:rPr>
          <w:rFonts w:ascii="Book Antiqua" w:hAnsi="Book Antiqua"/>
          <w:b/>
          <w:color w:val="000000"/>
          <w:sz w:val="24"/>
          <w:lang w:val="en-US"/>
        </w:rPr>
      </w:pPr>
      <w:bookmarkStart w:id="19" w:name="OLE_LINK535"/>
      <w:bookmarkStart w:id="20" w:name="OLE_LINK536"/>
      <w:r w:rsidRPr="00C33C2F">
        <w:rPr>
          <w:rFonts w:ascii="Book Antiqua" w:hAnsi="Book Antiqua"/>
          <w:b/>
          <w:color w:val="000000"/>
          <w:sz w:val="24"/>
          <w:lang w:val="en-US"/>
        </w:rPr>
        <w:lastRenderedPageBreak/>
        <w:t>Correspondence to:</w:t>
      </w:r>
      <w:bookmarkEnd w:id="19"/>
      <w:bookmarkEnd w:id="20"/>
      <w:r w:rsidRPr="00C33C2F">
        <w:rPr>
          <w:rFonts w:ascii="Book Antiqua" w:hAnsi="Book Antiqua"/>
          <w:b/>
          <w:color w:val="000000"/>
          <w:sz w:val="24"/>
          <w:lang w:val="en-US" w:eastAsia="zh-CN"/>
        </w:rPr>
        <w:t xml:space="preserve"> </w:t>
      </w:r>
      <w:r w:rsidR="009D4F8F" w:rsidRPr="00C33C2F">
        <w:rPr>
          <w:rFonts w:ascii="Book Antiqua" w:hAnsi="Book Antiqua"/>
          <w:b/>
          <w:sz w:val="24"/>
          <w:szCs w:val="24"/>
          <w:lang w:val="en-US"/>
        </w:rPr>
        <w:t xml:space="preserve">Vito </w:t>
      </w:r>
      <w:proofErr w:type="spellStart"/>
      <w:r w:rsidR="009D4F8F" w:rsidRPr="00C33C2F">
        <w:rPr>
          <w:rFonts w:ascii="Book Antiqua" w:hAnsi="Book Antiqua"/>
          <w:b/>
          <w:sz w:val="24"/>
          <w:szCs w:val="24"/>
          <w:lang w:val="en-US"/>
        </w:rPr>
        <w:t>Annes</w:t>
      </w:r>
      <w:proofErr w:type="spellEnd"/>
      <w:r w:rsidR="009D4F8F" w:rsidRPr="00C33C2F">
        <w:rPr>
          <w:rFonts w:ascii="Book Antiqua" w:hAnsi="Book Antiqua"/>
          <w:b/>
          <w:sz w:val="24"/>
          <w:szCs w:val="24"/>
          <w:lang w:val="en-GB"/>
        </w:rPr>
        <w:t>e</w:t>
      </w:r>
      <w:r w:rsidR="00302E87" w:rsidRPr="00C33C2F">
        <w:rPr>
          <w:rFonts w:ascii="Book Antiqua" w:hAnsi="Book Antiqua"/>
          <w:sz w:val="24"/>
          <w:szCs w:val="24"/>
          <w:lang w:val="en-GB" w:eastAsia="zh-CN"/>
        </w:rPr>
        <w:t>,</w:t>
      </w:r>
      <w:r w:rsidR="009D4F8F" w:rsidRPr="00C33C2F">
        <w:rPr>
          <w:rFonts w:ascii="Book Antiqua" w:hAnsi="Book Antiqua"/>
          <w:sz w:val="24"/>
          <w:szCs w:val="24"/>
          <w:lang w:val="en-GB"/>
        </w:rPr>
        <w:t xml:space="preserve"> </w:t>
      </w:r>
      <w:r w:rsidR="009D4F8F" w:rsidRPr="00C33C2F">
        <w:rPr>
          <w:rFonts w:ascii="Book Antiqua" w:hAnsi="Book Antiqua"/>
          <w:b/>
          <w:sz w:val="24"/>
          <w:szCs w:val="24"/>
          <w:lang w:val="en-GB"/>
        </w:rPr>
        <w:t>MD</w:t>
      </w:r>
      <w:r w:rsidRPr="00C33C2F">
        <w:rPr>
          <w:rFonts w:ascii="Book Antiqua" w:hAnsi="Book Antiqua"/>
          <w:b/>
          <w:color w:val="000000"/>
          <w:sz w:val="24"/>
          <w:lang w:val="en-US" w:eastAsia="zh-CN"/>
        </w:rPr>
        <w:t xml:space="preserve">, </w:t>
      </w:r>
      <w:r w:rsidR="009D4F8F" w:rsidRPr="00C33C2F">
        <w:rPr>
          <w:rFonts w:ascii="Book Antiqua" w:hAnsi="Book Antiqua"/>
          <w:sz w:val="24"/>
          <w:szCs w:val="24"/>
          <w:lang w:val="en-GB"/>
        </w:rPr>
        <w:t>Emergency Department</w:t>
      </w:r>
      <w:r w:rsidRPr="00C33C2F">
        <w:rPr>
          <w:rFonts w:ascii="Book Antiqua" w:hAnsi="Book Antiqua"/>
          <w:b/>
          <w:color w:val="000000"/>
          <w:sz w:val="24"/>
          <w:lang w:val="en-US" w:eastAsia="zh-CN"/>
        </w:rPr>
        <w:t xml:space="preserve">, </w:t>
      </w:r>
      <w:r w:rsidR="009D4F8F" w:rsidRPr="00C33C2F">
        <w:rPr>
          <w:rFonts w:ascii="Book Antiqua" w:hAnsi="Book Antiqua"/>
          <w:sz w:val="24"/>
          <w:szCs w:val="24"/>
          <w:lang w:val="en-US"/>
        </w:rPr>
        <w:t xml:space="preserve">Division of Gastroenterology, AOU </w:t>
      </w:r>
      <w:proofErr w:type="spellStart"/>
      <w:r w:rsidR="009D4F8F" w:rsidRPr="00C33C2F">
        <w:rPr>
          <w:rFonts w:ascii="Book Antiqua" w:hAnsi="Book Antiqua"/>
          <w:sz w:val="24"/>
          <w:szCs w:val="24"/>
          <w:lang w:val="en-US"/>
        </w:rPr>
        <w:t>Careggi</w:t>
      </w:r>
      <w:proofErr w:type="spellEnd"/>
      <w:r w:rsidRPr="00C33C2F">
        <w:rPr>
          <w:rFonts w:ascii="Book Antiqua" w:hAnsi="Book Antiqua"/>
          <w:b/>
          <w:color w:val="000000"/>
          <w:sz w:val="24"/>
          <w:lang w:val="en-US" w:eastAsia="zh-CN"/>
        </w:rPr>
        <w:t xml:space="preserve">, </w:t>
      </w:r>
      <w:r w:rsidR="00302E87" w:rsidRPr="00C33C2F">
        <w:rPr>
          <w:rFonts w:ascii="Book Antiqua" w:hAnsi="Book Antiqua"/>
          <w:sz w:val="24"/>
          <w:szCs w:val="24"/>
          <w:lang w:val="en-US"/>
        </w:rPr>
        <w:t xml:space="preserve">Largo </w:t>
      </w:r>
      <w:proofErr w:type="spellStart"/>
      <w:r w:rsidR="00302E87" w:rsidRPr="00C33C2F">
        <w:rPr>
          <w:rFonts w:ascii="Book Antiqua" w:hAnsi="Book Antiqua"/>
          <w:sz w:val="24"/>
          <w:szCs w:val="24"/>
          <w:lang w:val="en-US"/>
        </w:rPr>
        <w:t>Brambilla</w:t>
      </w:r>
      <w:proofErr w:type="spellEnd"/>
      <w:r w:rsidR="009D4F8F" w:rsidRPr="00C33C2F">
        <w:rPr>
          <w:rFonts w:ascii="Book Antiqua" w:hAnsi="Book Antiqua"/>
          <w:sz w:val="24"/>
          <w:szCs w:val="24"/>
          <w:lang w:val="en-US"/>
        </w:rPr>
        <w:t xml:space="preserve"> 3</w:t>
      </w:r>
      <w:r w:rsidR="00302E87" w:rsidRPr="00C33C2F">
        <w:rPr>
          <w:rFonts w:ascii="Book Antiqua" w:hAnsi="Book Antiqua"/>
          <w:sz w:val="24"/>
          <w:szCs w:val="24"/>
          <w:lang w:val="en-US" w:eastAsia="zh-CN"/>
        </w:rPr>
        <w:t xml:space="preserve">, </w:t>
      </w:r>
      <w:r w:rsidR="009D4F8F" w:rsidRPr="00C33C2F">
        <w:rPr>
          <w:rFonts w:ascii="Book Antiqua" w:hAnsi="Book Antiqua"/>
          <w:sz w:val="24"/>
          <w:szCs w:val="24"/>
          <w:lang w:val="en-US"/>
        </w:rPr>
        <w:t>50139 Firenze, Italy</w:t>
      </w:r>
      <w:r w:rsidRPr="00307B02">
        <w:rPr>
          <w:rFonts w:ascii="Book Antiqua" w:hAnsi="Book Antiqua"/>
          <w:color w:val="000000"/>
          <w:sz w:val="24"/>
          <w:lang w:val="en-US" w:eastAsia="zh-CN"/>
        </w:rPr>
        <w:t>.</w:t>
      </w:r>
      <w:r w:rsidRPr="00C33C2F">
        <w:rPr>
          <w:rFonts w:ascii="Book Antiqua" w:hAnsi="Book Antiqua"/>
          <w:b/>
          <w:color w:val="000000"/>
          <w:sz w:val="24"/>
          <w:lang w:val="en-US" w:eastAsia="zh-CN"/>
        </w:rPr>
        <w:t xml:space="preserve"> </w:t>
      </w:r>
      <w:r w:rsidR="009D4F8F" w:rsidRPr="00C33C2F">
        <w:rPr>
          <w:rFonts w:ascii="Book Antiqua" w:hAnsi="Book Antiqua"/>
          <w:sz w:val="24"/>
          <w:szCs w:val="24"/>
          <w:lang w:val="en-US"/>
        </w:rPr>
        <w:t>annesev@aou-careggi.toscana.it</w:t>
      </w:r>
    </w:p>
    <w:p w:rsidR="009D4F8F" w:rsidRPr="00C33C2F" w:rsidRDefault="00302E87" w:rsidP="008B1267">
      <w:pPr>
        <w:autoSpaceDE w:val="0"/>
        <w:autoSpaceDN w:val="0"/>
        <w:adjustRightInd w:val="0"/>
        <w:spacing w:after="0" w:line="360" w:lineRule="auto"/>
        <w:jc w:val="both"/>
        <w:rPr>
          <w:rFonts w:ascii="Book Antiqua" w:hAnsi="Book Antiqua"/>
          <w:sz w:val="24"/>
          <w:szCs w:val="24"/>
          <w:lang w:val="en-US" w:eastAsia="zh-CN"/>
        </w:rPr>
      </w:pPr>
      <w:r w:rsidRPr="00C33C2F">
        <w:rPr>
          <w:rFonts w:ascii="Book Antiqua" w:hAnsi="Book Antiqua"/>
          <w:b/>
          <w:sz w:val="24"/>
          <w:szCs w:val="24"/>
          <w:lang w:val="en-US" w:eastAsia="zh-CN"/>
        </w:rPr>
        <w:t>Tele</w:t>
      </w:r>
      <w:r w:rsidR="009D4F8F" w:rsidRPr="00C33C2F">
        <w:rPr>
          <w:rFonts w:ascii="Book Antiqua" w:hAnsi="Book Antiqua"/>
          <w:b/>
          <w:sz w:val="24"/>
          <w:szCs w:val="24"/>
          <w:lang w:val="en-US"/>
        </w:rPr>
        <w:t>phone</w:t>
      </w:r>
      <w:r w:rsidR="009D4F8F" w:rsidRPr="00C33C2F">
        <w:rPr>
          <w:rFonts w:ascii="Book Antiqua" w:hAnsi="Book Antiqua"/>
          <w:sz w:val="24"/>
          <w:szCs w:val="24"/>
          <w:lang w:val="en-US"/>
        </w:rPr>
        <w:t>: +39</w:t>
      </w:r>
      <w:r w:rsidRPr="00C33C2F">
        <w:rPr>
          <w:rFonts w:ascii="Book Antiqua" w:hAnsi="Book Antiqua"/>
          <w:sz w:val="24"/>
          <w:szCs w:val="24"/>
          <w:lang w:val="en-US" w:eastAsia="zh-CN"/>
        </w:rPr>
        <w:t>-</w:t>
      </w:r>
      <w:r w:rsidR="009D4F8F" w:rsidRPr="00C33C2F">
        <w:rPr>
          <w:rFonts w:ascii="Book Antiqua" w:hAnsi="Book Antiqua"/>
          <w:sz w:val="24"/>
          <w:szCs w:val="24"/>
          <w:lang w:val="en-US"/>
        </w:rPr>
        <w:t>55</w:t>
      </w:r>
      <w:r w:rsidRPr="00C33C2F">
        <w:rPr>
          <w:rFonts w:ascii="Book Antiqua" w:hAnsi="Book Antiqua"/>
          <w:sz w:val="24"/>
          <w:szCs w:val="24"/>
          <w:lang w:val="en-US" w:eastAsia="zh-CN"/>
        </w:rPr>
        <w:t>-</w:t>
      </w:r>
      <w:r w:rsidR="009D4F8F" w:rsidRPr="00C33C2F">
        <w:rPr>
          <w:rFonts w:ascii="Book Antiqua" w:hAnsi="Book Antiqua"/>
          <w:sz w:val="24"/>
          <w:szCs w:val="24"/>
          <w:lang w:val="en-US"/>
        </w:rPr>
        <w:t>7946035</w:t>
      </w:r>
    </w:p>
    <w:p w:rsidR="009C399A" w:rsidRPr="00C33C2F" w:rsidRDefault="009C399A" w:rsidP="008B1267">
      <w:pPr>
        <w:autoSpaceDE w:val="0"/>
        <w:autoSpaceDN w:val="0"/>
        <w:adjustRightInd w:val="0"/>
        <w:spacing w:after="0" w:line="360" w:lineRule="auto"/>
        <w:jc w:val="both"/>
        <w:rPr>
          <w:rFonts w:ascii="Book Antiqua" w:hAnsi="Book Antiqua"/>
          <w:sz w:val="24"/>
          <w:szCs w:val="24"/>
          <w:lang w:val="en-US" w:eastAsia="zh-CN"/>
        </w:rPr>
      </w:pPr>
    </w:p>
    <w:p w:rsidR="009C399A" w:rsidRPr="00C33C2F" w:rsidRDefault="009C399A" w:rsidP="008B1267">
      <w:pPr>
        <w:spacing w:after="0" w:line="360" w:lineRule="auto"/>
        <w:jc w:val="both"/>
        <w:rPr>
          <w:rFonts w:ascii="Book Antiqua" w:hAnsi="Book Antiqua"/>
          <w:sz w:val="24"/>
          <w:lang w:val="en-US" w:eastAsia="zh-CN"/>
        </w:rPr>
      </w:pPr>
      <w:bookmarkStart w:id="21" w:name="OLE_LINK476"/>
      <w:bookmarkStart w:id="22" w:name="OLE_LINK477"/>
      <w:bookmarkStart w:id="23" w:name="OLE_LINK117"/>
      <w:bookmarkStart w:id="24" w:name="OLE_LINK528"/>
      <w:bookmarkStart w:id="25" w:name="OLE_LINK557"/>
      <w:r w:rsidRPr="00C33C2F">
        <w:rPr>
          <w:rFonts w:ascii="Book Antiqua" w:hAnsi="Book Antiqua"/>
          <w:b/>
          <w:sz w:val="24"/>
          <w:lang w:val="en-US"/>
        </w:rPr>
        <w:t>Received:</w:t>
      </w:r>
      <w:r w:rsidR="00302E87" w:rsidRPr="00C33C2F">
        <w:rPr>
          <w:rFonts w:ascii="Book Antiqua" w:hAnsi="Book Antiqua"/>
          <w:b/>
          <w:sz w:val="24"/>
          <w:lang w:val="en-US" w:eastAsia="zh-CN"/>
        </w:rPr>
        <w:t xml:space="preserve"> </w:t>
      </w:r>
      <w:r w:rsidR="00302E87" w:rsidRPr="00C33C2F">
        <w:rPr>
          <w:rFonts w:ascii="Book Antiqua" w:hAnsi="Book Antiqua"/>
          <w:sz w:val="24"/>
          <w:lang w:val="en-US" w:eastAsia="zh-CN"/>
        </w:rPr>
        <w:t>August 30, 2016</w:t>
      </w:r>
    </w:p>
    <w:p w:rsidR="009C399A" w:rsidRPr="00C33C2F" w:rsidRDefault="009C399A" w:rsidP="008B1267">
      <w:pPr>
        <w:spacing w:after="0" w:line="360" w:lineRule="auto"/>
        <w:jc w:val="both"/>
        <w:rPr>
          <w:rFonts w:ascii="Book Antiqua" w:hAnsi="Book Antiqua"/>
          <w:sz w:val="24"/>
          <w:lang w:val="en-US" w:eastAsia="zh-CN"/>
        </w:rPr>
      </w:pPr>
      <w:r w:rsidRPr="00C33C2F">
        <w:rPr>
          <w:rFonts w:ascii="Book Antiqua" w:hAnsi="Book Antiqua"/>
          <w:b/>
          <w:sz w:val="24"/>
          <w:lang w:val="en-US"/>
        </w:rPr>
        <w:t>Peer-review started:</w:t>
      </w:r>
      <w:r w:rsidR="00302E87" w:rsidRPr="00C33C2F">
        <w:rPr>
          <w:rFonts w:ascii="Book Antiqua" w:hAnsi="Book Antiqua"/>
          <w:b/>
          <w:sz w:val="24"/>
          <w:lang w:val="en-US" w:eastAsia="zh-CN"/>
        </w:rPr>
        <w:t xml:space="preserve"> </w:t>
      </w:r>
      <w:r w:rsidR="00302E87" w:rsidRPr="00C33C2F">
        <w:rPr>
          <w:rFonts w:ascii="Book Antiqua" w:hAnsi="Book Antiqua"/>
          <w:sz w:val="24"/>
          <w:lang w:val="en-US" w:eastAsia="zh-CN"/>
        </w:rPr>
        <w:t>August 31, 2016</w:t>
      </w:r>
    </w:p>
    <w:p w:rsidR="009C399A" w:rsidRPr="00C33C2F" w:rsidRDefault="009C399A" w:rsidP="008B1267">
      <w:pPr>
        <w:spacing w:after="0" w:line="360" w:lineRule="auto"/>
        <w:jc w:val="both"/>
        <w:rPr>
          <w:rFonts w:ascii="Book Antiqua" w:hAnsi="Book Antiqua"/>
          <w:sz w:val="24"/>
          <w:lang w:val="en-US" w:eastAsia="zh-CN"/>
        </w:rPr>
      </w:pPr>
      <w:r w:rsidRPr="00C33C2F">
        <w:rPr>
          <w:rFonts w:ascii="Book Antiqua" w:hAnsi="Book Antiqua"/>
          <w:b/>
          <w:sz w:val="24"/>
          <w:lang w:val="en-US"/>
        </w:rPr>
        <w:t>First decision:</w:t>
      </w:r>
      <w:r w:rsidR="00302E87" w:rsidRPr="00C33C2F">
        <w:rPr>
          <w:rFonts w:ascii="Book Antiqua" w:hAnsi="Book Antiqua"/>
          <w:b/>
          <w:sz w:val="24"/>
          <w:lang w:val="en-US" w:eastAsia="zh-CN"/>
        </w:rPr>
        <w:t xml:space="preserve"> </w:t>
      </w:r>
      <w:r w:rsidR="00302E87" w:rsidRPr="00C33C2F">
        <w:rPr>
          <w:rFonts w:ascii="Book Antiqua" w:hAnsi="Book Antiqua"/>
          <w:sz w:val="24"/>
          <w:lang w:val="en-US" w:eastAsia="zh-CN"/>
        </w:rPr>
        <w:t>September 21, 2016</w:t>
      </w:r>
    </w:p>
    <w:p w:rsidR="009C399A" w:rsidRPr="00C33C2F" w:rsidRDefault="009C399A" w:rsidP="008B1267">
      <w:pPr>
        <w:spacing w:after="0" w:line="360" w:lineRule="auto"/>
        <w:jc w:val="both"/>
        <w:rPr>
          <w:rFonts w:ascii="Book Antiqua" w:hAnsi="Book Antiqua"/>
          <w:sz w:val="24"/>
          <w:lang w:val="en-US" w:eastAsia="zh-CN"/>
        </w:rPr>
      </w:pPr>
      <w:r w:rsidRPr="00C33C2F">
        <w:rPr>
          <w:rFonts w:ascii="Book Antiqua" w:hAnsi="Book Antiqua"/>
          <w:b/>
          <w:sz w:val="24"/>
          <w:lang w:val="en-US"/>
        </w:rPr>
        <w:t>Revised:</w:t>
      </w:r>
      <w:r w:rsidR="00302E87" w:rsidRPr="00C33C2F">
        <w:rPr>
          <w:rFonts w:ascii="Book Antiqua" w:hAnsi="Book Antiqua"/>
          <w:b/>
          <w:sz w:val="24"/>
          <w:lang w:val="en-US" w:eastAsia="zh-CN"/>
        </w:rPr>
        <w:t xml:space="preserve"> </w:t>
      </w:r>
      <w:r w:rsidR="00302E87" w:rsidRPr="00C33C2F">
        <w:rPr>
          <w:rFonts w:ascii="Book Antiqua" w:hAnsi="Book Antiqua"/>
          <w:sz w:val="24"/>
          <w:lang w:val="en-US" w:eastAsia="zh-CN"/>
        </w:rPr>
        <w:t>October 1, 2016</w:t>
      </w:r>
    </w:p>
    <w:p w:rsidR="009C399A" w:rsidRPr="00D02240" w:rsidRDefault="009C399A" w:rsidP="00D02240">
      <w:pPr>
        <w:spacing w:line="360" w:lineRule="auto"/>
        <w:rPr>
          <w:rFonts w:ascii="Book Antiqua" w:hAnsi="Book Antiqua"/>
          <w:color w:val="000000"/>
          <w:sz w:val="24"/>
        </w:rPr>
      </w:pPr>
      <w:r w:rsidRPr="00C33C2F">
        <w:rPr>
          <w:rFonts w:ascii="Book Antiqua" w:hAnsi="Book Antiqua"/>
          <w:b/>
          <w:sz w:val="24"/>
          <w:lang w:val="en-US"/>
        </w:rPr>
        <w:t>Accepted:</w:t>
      </w:r>
      <w:r w:rsidR="00D02240" w:rsidRPr="00D02240">
        <w:rPr>
          <w:rFonts w:ascii="Book Antiqua" w:hAnsi="Book Antiqua"/>
          <w:color w:val="000000"/>
          <w:sz w:val="24"/>
        </w:rPr>
        <w:t xml:space="preserve"> </w:t>
      </w:r>
      <w:r w:rsidR="00D02240">
        <w:rPr>
          <w:rFonts w:ascii="Book Antiqua" w:hAnsi="Book Antiqua"/>
          <w:color w:val="000000"/>
          <w:sz w:val="24"/>
        </w:rPr>
        <w:t>December 21, 2016</w:t>
      </w:r>
      <w:r w:rsidRPr="00C33C2F">
        <w:rPr>
          <w:rFonts w:ascii="Book Antiqua" w:hAnsi="Book Antiqua"/>
          <w:b/>
          <w:sz w:val="24"/>
          <w:lang w:val="en-US"/>
        </w:rPr>
        <w:t xml:space="preserve">  </w:t>
      </w:r>
    </w:p>
    <w:p w:rsidR="009C399A" w:rsidRPr="00C33C2F" w:rsidRDefault="009C399A" w:rsidP="008B1267">
      <w:pPr>
        <w:spacing w:after="0" w:line="360" w:lineRule="auto"/>
        <w:jc w:val="both"/>
        <w:rPr>
          <w:rFonts w:ascii="Book Antiqua" w:hAnsi="Book Antiqua"/>
          <w:b/>
          <w:sz w:val="24"/>
          <w:lang w:val="en-US"/>
        </w:rPr>
      </w:pPr>
      <w:r w:rsidRPr="00C33C2F">
        <w:rPr>
          <w:rFonts w:ascii="Book Antiqua" w:hAnsi="Book Antiqua"/>
          <w:b/>
          <w:sz w:val="24"/>
          <w:lang w:val="en-US"/>
        </w:rPr>
        <w:t>Article in press:</w:t>
      </w:r>
    </w:p>
    <w:p w:rsidR="009C399A" w:rsidRPr="00C33C2F" w:rsidRDefault="009C399A" w:rsidP="008B1267">
      <w:pPr>
        <w:spacing w:after="0" w:line="360" w:lineRule="auto"/>
        <w:jc w:val="both"/>
        <w:rPr>
          <w:rFonts w:ascii="Book Antiqua" w:hAnsi="Book Antiqua"/>
          <w:b/>
          <w:sz w:val="24"/>
          <w:lang w:val="en-US" w:eastAsia="zh-CN"/>
        </w:rPr>
      </w:pPr>
      <w:r w:rsidRPr="00C33C2F">
        <w:rPr>
          <w:rFonts w:ascii="Book Antiqua" w:hAnsi="Book Antiqua"/>
          <w:b/>
          <w:sz w:val="24"/>
          <w:lang w:val="en-US"/>
        </w:rPr>
        <w:t>Published online:</w:t>
      </w:r>
    </w:p>
    <w:p w:rsidR="00302E87" w:rsidRPr="00C33C2F" w:rsidRDefault="00302E87" w:rsidP="008B1267">
      <w:pPr>
        <w:spacing w:after="0" w:line="360" w:lineRule="auto"/>
        <w:jc w:val="both"/>
        <w:rPr>
          <w:rFonts w:ascii="Book Antiqua" w:hAnsi="Book Antiqua"/>
          <w:b/>
          <w:sz w:val="24"/>
          <w:lang w:val="en-US" w:eastAsia="zh-CN"/>
        </w:rPr>
      </w:pPr>
    </w:p>
    <w:bookmarkEnd w:id="21"/>
    <w:bookmarkEnd w:id="22"/>
    <w:bookmarkEnd w:id="23"/>
    <w:bookmarkEnd w:id="24"/>
    <w:bookmarkEnd w:id="25"/>
    <w:p w:rsidR="009C399A" w:rsidRPr="00C33C2F" w:rsidRDefault="009C399A" w:rsidP="008B1267">
      <w:pPr>
        <w:spacing w:after="0"/>
        <w:jc w:val="both"/>
        <w:rPr>
          <w:rFonts w:ascii="Book Antiqua" w:hAnsi="Book Antiqua" w:cs="Tahoma"/>
          <w:b/>
          <w:color w:val="000000"/>
          <w:sz w:val="24"/>
          <w:szCs w:val="24"/>
          <w:lang w:val="en-GB"/>
        </w:rPr>
      </w:pPr>
      <w:r w:rsidRPr="00C33C2F">
        <w:rPr>
          <w:rFonts w:ascii="Book Antiqua" w:hAnsi="Book Antiqua" w:cs="Tahoma"/>
          <w:b/>
          <w:color w:val="000000"/>
          <w:sz w:val="24"/>
          <w:szCs w:val="24"/>
          <w:lang w:val="en-GB"/>
        </w:rPr>
        <w:br w:type="page"/>
      </w:r>
    </w:p>
    <w:p w:rsidR="00123DE8" w:rsidRPr="00C33C2F" w:rsidRDefault="00123DE8" w:rsidP="008B1267">
      <w:pPr>
        <w:autoSpaceDE w:val="0"/>
        <w:autoSpaceDN w:val="0"/>
        <w:adjustRightInd w:val="0"/>
        <w:spacing w:after="0" w:line="360" w:lineRule="auto"/>
        <w:jc w:val="both"/>
        <w:rPr>
          <w:rFonts w:ascii="Book Antiqua" w:hAnsi="Book Antiqua" w:cs="Tahoma"/>
          <w:b/>
          <w:color w:val="000000"/>
          <w:sz w:val="24"/>
          <w:szCs w:val="24"/>
          <w:lang w:val="en-GB"/>
        </w:rPr>
      </w:pPr>
      <w:r w:rsidRPr="00C33C2F">
        <w:rPr>
          <w:rFonts w:ascii="Book Antiqua" w:hAnsi="Book Antiqua" w:cs="Tahoma"/>
          <w:b/>
          <w:color w:val="000000"/>
          <w:sz w:val="24"/>
          <w:szCs w:val="24"/>
          <w:lang w:val="en-GB"/>
        </w:rPr>
        <w:lastRenderedPageBreak/>
        <w:t>Abstract</w:t>
      </w:r>
    </w:p>
    <w:p w:rsidR="00123DE8" w:rsidRPr="00C33C2F" w:rsidRDefault="00943FA3" w:rsidP="008B1267">
      <w:pPr>
        <w:spacing w:after="0" w:line="360" w:lineRule="auto"/>
        <w:jc w:val="both"/>
        <w:rPr>
          <w:rFonts w:ascii="Book Antiqua" w:hAnsi="Book Antiqua"/>
          <w:sz w:val="24"/>
          <w:szCs w:val="24"/>
          <w:lang w:val="en-US"/>
        </w:rPr>
      </w:pPr>
      <w:r w:rsidRPr="00C33C2F">
        <w:rPr>
          <w:rFonts w:ascii="Book Antiqua" w:hAnsi="Book Antiqua"/>
          <w:sz w:val="24"/>
          <w:szCs w:val="24"/>
          <w:lang w:val="en-US"/>
        </w:rPr>
        <w:t>B</w:t>
      </w:r>
      <w:r w:rsidR="00BE0EF0" w:rsidRPr="00C33C2F">
        <w:rPr>
          <w:rFonts w:ascii="Book Antiqua" w:hAnsi="Book Antiqua"/>
          <w:sz w:val="24"/>
          <w:szCs w:val="24"/>
          <w:lang w:val="en-US"/>
        </w:rPr>
        <w:t>iologic</w:t>
      </w:r>
      <w:r w:rsidRPr="00C33C2F">
        <w:rPr>
          <w:rFonts w:ascii="Book Antiqua" w:hAnsi="Book Antiqua"/>
          <w:sz w:val="24"/>
          <w:szCs w:val="24"/>
          <w:lang w:val="en-US"/>
        </w:rPr>
        <w:t xml:space="preserve"> compounds are obtained</w:t>
      </w:r>
      <w:r w:rsidR="00BE0EF0" w:rsidRPr="00C33C2F">
        <w:rPr>
          <w:rFonts w:ascii="Book Antiqua" w:hAnsi="Book Antiqua"/>
          <w:sz w:val="24"/>
          <w:szCs w:val="24"/>
          <w:lang w:val="en-US"/>
        </w:rPr>
        <w:t xml:space="preserve"> from living </w:t>
      </w:r>
      <w:r w:rsidR="00C34BA0" w:rsidRPr="00C33C2F">
        <w:rPr>
          <w:rFonts w:ascii="Book Antiqua" w:hAnsi="Book Antiqua"/>
          <w:sz w:val="24"/>
          <w:szCs w:val="24"/>
          <w:lang w:val="en-US"/>
        </w:rPr>
        <w:t xml:space="preserve">organisms or </w:t>
      </w:r>
      <w:r w:rsidR="00BE0EF0" w:rsidRPr="00C33C2F">
        <w:rPr>
          <w:rFonts w:ascii="Book Antiqua" w:hAnsi="Book Antiqua"/>
          <w:sz w:val="24"/>
          <w:szCs w:val="24"/>
          <w:lang w:val="en-US"/>
        </w:rPr>
        <w:t>cell</w:t>
      </w:r>
      <w:r w:rsidR="00C34BA0" w:rsidRPr="00C33C2F">
        <w:rPr>
          <w:rFonts w:ascii="Book Antiqua" w:hAnsi="Book Antiqua"/>
          <w:sz w:val="24"/>
          <w:szCs w:val="24"/>
          <w:lang w:val="en-US"/>
        </w:rPr>
        <w:t xml:space="preserve"> cultures by means of </w:t>
      </w:r>
      <w:r w:rsidR="00BE0EF0" w:rsidRPr="00C33C2F">
        <w:rPr>
          <w:rFonts w:ascii="Book Antiqua" w:hAnsi="Book Antiqua"/>
          <w:sz w:val="24"/>
          <w:szCs w:val="24"/>
          <w:lang w:val="en-US"/>
        </w:rPr>
        <w:t>biotechnolo</w:t>
      </w:r>
      <w:r w:rsidR="00C34BA0" w:rsidRPr="00C33C2F">
        <w:rPr>
          <w:rFonts w:ascii="Book Antiqua" w:hAnsi="Book Antiqua"/>
          <w:sz w:val="24"/>
          <w:szCs w:val="24"/>
          <w:lang w:val="en-US"/>
        </w:rPr>
        <w:t>gy methods. A similar biologic drug</w:t>
      </w:r>
      <w:r w:rsidR="00BE0EF0" w:rsidRPr="00C33C2F">
        <w:rPr>
          <w:rFonts w:ascii="Book Antiqua" w:hAnsi="Book Antiqua"/>
          <w:sz w:val="24"/>
          <w:szCs w:val="24"/>
          <w:lang w:val="en-US"/>
        </w:rPr>
        <w:t xml:space="preserve">, commonly </w:t>
      </w:r>
      <w:r w:rsidR="00C34BA0" w:rsidRPr="00C33C2F">
        <w:rPr>
          <w:rFonts w:ascii="Book Antiqua" w:hAnsi="Book Antiqua"/>
          <w:sz w:val="24"/>
          <w:szCs w:val="24"/>
          <w:lang w:val="en-US"/>
        </w:rPr>
        <w:t>called</w:t>
      </w:r>
      <w:r w:rsidR="00BE0EF0" w:rsidRPr="00C33C2F">
        <w:rPr>
          <w:rFonts w:ascii="Book Antiqua" w:hAnsi="Book Antiqua"/>
          <w:sz w:val="24"/>
          <w:szCs w:val="24"/>
          <w:lang w:val="en-US"/>
        </w:rPr>
        <w:t xml:space="preserve"> </w:t>
      </w:r>
      <w:proofErr w:type="spellStart"/>
      <w:r w:rsidR="00BE0EF0" w:rsidRPr="00C33C2F">
        <w:rPr>
          <w:rFonts w:ascii="Book Antiqua" w:hAnsi="Book Antiqua"/>
          <w:sz w:val="24"/>
          <w:szCs w:val="24"/>
          <w:lang w:val="en-US"/>
        </w:rPr>
        <w:t>biosimilar</w:t>
      </w:r>
      <w:proofErr w:type="spellEnd"/>
      <w:r w:rsidR="00BE0EF0" w:rsidRPr="00C33C2F">
        <w:rPr>
          <w:rFonts w:ascii="Book Antiqua" w:hAnsi="Book Antiqua"/>
          <w:sz w:val="24"/>
          <w:szCs w:val="24"/>
          <w:lang w:val="en-US"/>
        </w:rPr>
        <w:t xml:space="preserve">, is a </w:t>
      </w:r>
      <w:r w:rsidR="00274189" w:rsidRPr="00C33C2F">
        <w:rPr>
          <w:rFonts w:ascii="Book Antiqua" w:hAnsi="Book Antiqua"/>
          <w:sz w:val="24"/>
          <w:szCs w:val="24"/>
          <w:lang w:val="en-US"/>
        </w:rPr>
        <w:t>product copied by a</w:t>
      </w:r>
      <w:r w:rsidR="00BE0EF0" w:rsidRPr="00C33C2F">
        <w:rPr>
          <w:rFonts w:ascii="Book Antiqua" w:hAnsi="Book Antiqua"/>
          <w:sz w:val="24"/>
          <w:szCs w:val="24"/>
          <w:lang w:val="en-US"/>
        </w:rPr>
        <w:t xml:space="preserve"> </w:t>
      </w:r>
      <w:r w:rsidR="00C34BA0" w:rsidRPr="00C33C2F">
        <w:rPr>
          <w:rFonts w:ascii="Book Antiqua" w:hAnsi="Book Antiqua"/>
          <w:sz w:val="24"/>
          <w:szCs w:val="24"/>
          <w:lang w:val="en-US"/>
        </w:rPr>
        <w:t xml:space="preserve">native </w:t>
      </w:r>
      <w:r w:rsidR="00BE0EF0" w:rsidRPr="00C33C2F">
        <w:rPr>
          <w:rFonts w:ascii="Book Antiqua" w:hAnsi="Book Antiqua"/>
          <w:sz w:val="24"/>
          <w:szCs w:val="24"/>
          <w:lang w:val="en-US"/>
        </w:rPr>
        <w:t>approved biologic</w:t>
      </w:r>
      <w:r w:rsidR="00C34BA0" w:rsidRPr="00C33C2F">
        <w:rPr>
          <w:rFonts w:ascii="Book Antiqua" w:hAnsi="Book Antiqua"/>
          <w:sz w:val="24"/>
          <w:szCs w:val="24"/>
          <w:lang w:val="en-US"/>
        </w:rPr>
        <w:t xml:space="preserve"> drug</w:t>
      </w:r>
      <w:r w:rsidR="00BE0EF0" w:rsidRPr="00C33C2F">
        <w:rPr>
          <w:rFonts w:ascii="Book Antiqua" w:hAnsi="Book Antiqua"/>
          <w:sz w:val="24"/>
          <w:szCs w:val="24"/>
          <w:lang w:val="en-US"/>
        </w:rPr>
        <w:t xml:space="preserve"> whose </w:t>
      </w:r>
      <w:r w:rsidR="00C34BA0" w:rsidRPr="00C33C2F">
        <w:rPr>
          <w:rFonts w:ascii="Book Antiqua" w:hAnsi="Book Antiqua"/>
          <w:sz w:val="24"/>
          <w:szCs w:val="24"/>
          <w:lang w:val="en-US"/>
        </w:rPr>
        <w:t xml:space="preserve">license </w:t>
      </w:r>
      <w:r w:rsidR="00BE0EF0" w:rsidRPr="00C33C2F">
        <w:rPr>
          <w:rFonts w:ascii="Book Antiqua" w:hAnsi="Book Antiqua"/>
          <w:sz w:val="24"/>
          <w:szCs w:val="24"/>
          <w:lang w:val="en-US"/>
        </w:rPr>
        <w:t xml:space="preserve">has expired. </w:t>
      </w:r>
      <w:proofErr w:type="spellStart"/>
      <w:r w:rsidR="00C34BA0" w:rsidRPr="00C33C2F">
        <w:rPr>
          <w:rFonts w:ascii="Book Antiqua" w:hAnsi="Book Antiqua"/>
          <w:sz w:val="24"/>
          <w:szCs w:val="24"/>
          <w:lang w:val="en-US"/>
        </w:rPr>
        <w:t>B</w:t>
      </w:r>
      <w:r w:rsidR="00BE0EF0" w:rsidRPr="00C33C2F">
        <w:rPr>
          <w:rFonts w:ascii="Book Antiqua" w:hAnsi="Book Antiqua"/>
          <w:sz w:val="24"/>
          <w:szCs w:val="24"/>
          <w:lang w:val="en-US"/>
        </w:rPr>
        <w:t>iosimilar</w:t>
      </w:r>
      <w:proofErr w:type="spellEnd"/>
      <w:r w:rsidR="00C34BA0" w:rsidRPr="00C33C2F">
        <w:rPr>
          <w:rFonts w:ascii="Book Antiqua" w:hAnsi="Book Antiqua"/>
          <w:sz w:val="24"/>
          <w:szCs w:val="24"/>
          <w:lang w:val="en-US"/>
        </w:rPr>
        <w:t xml:space="preserve"> drugs usually</w:t>
      </w:r>
      <w:r w:rsidR="00BE0EF0" w:rsidRPr="00C33C2F">
        <w:rPr>
          <w:rFonts w:ascii="Book Antiqua" w:hAnsi="Book Antiqua"/>
          <w:sz w:val="24"/>
          <w:szCs w:val="24"/>
          <w:lang w:val="en-US"/>
        </w:rPr>
        <w:t xml:space="preserve"> </w:t>
      </w:r>
      <w:r w:rsidR="00C34BA0" w:rsidRPr="00C33C2F">
        <w:rPr>
          <w:rFonts w:ascii="Book Antiqua" w:hAnsi="Book Antiqua"/>
          <w:sz w:val="24"/>
          <w:szCs w:val="24"/>
          <w:lang w:val="en-US"/>
        </w:rPr>
        <w:t xml:space="preserve">are marketed at a </w:t>
      </w:r>
      <w:r w:rsidRPr="00C33C2F">
        <w:rPr>
          <w:rFonts w:ascii="Book Antiqua" w:hAnsi="Book Antiqua"/>
          <w:sz w:val="24"/>
          <w:szCs w:val="24"/>
          <w:lang w:val="en-US"/>
        </w:rPr>
        <w:t>lower price</w:t>
      </w:r>
      <w:r w:rsidR="00BE0EF0" w:rsidRPr="00C33C2F">
        <w:rPr>
          <w:rFonts w:ascii="Book Antiqua" w:hAnsi="Book Antiqua"/>
          <w:sz w:val="24"/>
          <w:szCs w:val="24"/>
          <w:lang w:val="en-US"/>
        </w:rPr>
        <w:t xml:space="preserve"> and </w:t>
      </w:r>
      <w:r w:rsidRPr="00C33C2F">
        <w:rPr>
          <w:rFonts w:ascii="Book Antiqua" w:hAnsi="Book Antiqua"/>
          <w:sz w:val="24"/>
          <w:szCs w:val="24"/>
          <w:lang w:val="en-US"/>
        </w:rPr>
        <w:t>provide</w:t>
      </w:r>
      <w:r w:rsidR="00C34BA0" w:rsidRPr="00C33C2F">
        <w:rPr>
          <w:rFonts w:ascii="Book Antiqua" w:hAnsi="Book Antiqua"/>
          <w:sz w:val="24"/>
          <w:szCs w:val="24"/>
          <w:lang w:val="en-US"/>
        </w:rPr>
        <w:t xml:space="preserve"> important</w:t>
      </w:r>
      <w:r w:rsidR="00BE0EF0" w:rsidRPr="00C33C2F">
        <w:rPr>
          <w:rFonts w:ascii="Book Antiqua" w:hAnsi="Book Antiqua"/>
          <w:sz w:val="24"/>
          <w:szCs w:val="24"/>
          <w:lang w:val="en-US"/>
        </w:rPr>
        <w:t xml:space="preserve"> financial savings for</w:t>
      </w:r>
      <w:r w:rsidR="00D27E5B" w:rsidRPr="00C33C2F">
        <w:rPr>
          <w:rFonts w:ascii="Book Antiqua" w:hAnsi="Book Antiqua"/>
          <w:sz w:val="24"/>
          <w:szCs w:val="24"/>
          <w:lang w:val="en-US"/>
        </w:rPr>
        <w:t xml:space="preserve"> public</w:t>
      </w:r>
      <w:r w:rsidR="00BE0EF0" w:rsidRPr="00C33C2F">
        <w:rPr>
          <w:rFonts w:ascii="Book Antiqua" w:hAnsi="Book Antiqua"/>
          <w:sz w:val="24"/>
          <w:szCs w:val="24"/>
          <w:lang w:val="en-US"/>
        </w:rPr>
        <w:t xml:space="preserve"> healthcare systems. Some differences between </w:t>
      </w:r>
      <w:proofErr w:type="spellStart"/>
      <w:r w:rsidR="00BE0EF0" w:rsidRPr="00C33C2F">
        <w:rPr>
          <w:rFonts w:ascii="Book Antiqua" w:hAnsi="Book Antiqua"/>
          <w:sz w:val="24"/>
          <w:szCs w:val="24"/>
          <w:lang w:val="en-US"/>
        </w:rPr>
        <w:t>biosimilars</w:t>
      </w:r>
      <w:proofErr w:type="spellEnd"/>
      <w:r w:rsidR="00BE0EF0" w:rsidRPr="00C33C2F">
        <w:rPr>
          <w:rFonts w:ascii="Book Antiqua" w:hAnsi="Book Antiqua"/>
          <w:sz w:val="24"/>
          <w:szCs w:val="24"/>
          <w:lang w:val="en-US"/>
        </w:rPr>
        <w:t xml:space="preserve"> and original biologic drugs </w:t>
      </w:r>
      <w:r w:rsidRPr="00C33C2F">
        <w:rPr>
          <w:rFonts w:ascii="Book Antiqua" w:hAnsi="Book Antiqua"/>
          <w:sz w:val="24"/>
          <w:szCs w:val="24"/>
          <w:lang w:val="en-US"/>
        </w:rPr>
        <w:t xml:space="preserve">might </w:t>
      </w:r>
      <w:r w:rsidR="00BE0EF0" w:rsidRPr="00C33C2F">
        <w:rPr>
          <w:rFonts w:ascii="Book Antiqua" w:hAnsi="Book Antiqua"/>
          <w:sz w:val="24"/>
          <w:szCs w:val="24"/>
          <w:lang w:val="en-US"/>
        </w:rPr>
        <w:t>exist but they are acceptable if the</w:t>
      </w:r>
      <w:r w:rsidRPr="00C33C2F">
        <w:rPr>
          <w:rFonts w:ascii="Book Antiqua" w:hAnsi="Book Antiqua"/>
          <w:sz w:val="24"/>
          <w:szCs w:val="24"/>
          <w:lang w:val="en-US"/>
        </w:rPr>
        <w:t>y fall wi</w:t>
      </w:r>
      <w:r w:rsidR="00BE0EF0" w:rsidRPr="00C33C2F">
        <w:rPr>
          <w:rFonts w:ascii="Book Antiqua" w:hAnsi="Book Antiqua"/>
          <w:sz w:val="24"/>
          <w:szCs w:val="24"/>
          <w:lang w:val="en-US"/>
        </w:rPr>
        <w:t>thin defined “boun</w:t>
      </w:r>
      <w:r w:rsidR="0085199A" w:rsidRPr="00C33C2F">
        <w:rPr>
          <w:rFonts w:ascii="Book Antiqua" w:hAnsi="Book Antiqua"/>
          <w:sz w:val="24"/>
          <w:szCs w:val="24"/>
          <w:lang w:val="en-US"/>
        </w:rPr>
        <w:t xml:space="preserve">daries of tolerance”: </w:t>
      </w:r>
      <w:r w:rsidR="00EC3488" w:rsidRPr="00C33C2F">
        <w:rPr>
          <w:rFonts w:ascii="Book Antiqua" w:hAnsi="Book Antiqua"/>
          <w:sz w:val="24"/>
          <w:szCs w:val="24"/>
          <w:lang w:val="en-US"/>
        </w:rPr>
        <w:t>differences in some features between the two molecules are</w:t>
      </w:r>
      <w:r w:rsidR="00BE0EF0" w:rsidRPr="00C33C2F">
        <w:rPr>
          <w:rFonts w:ascii="Book Antiqua" w:hAnsi="Book Antiqua"/>
          <w:sz w:val="24"/>
          <w:szCs w:val="24"/>
          <w:lang w:val="en-US"/>
        </w:rPr>
        <w:t xml:space="preserve"> considered important </w:t>
      </w:r>
      <w:r w:rsidR="0085199A" w:rsidRPr="00C33C2F">
        <w:rPr>
          <w:rFonts w:ascii="Book Antiqua" w:hAnsi="Book Antiqua"/>
          <w:sz w:val="24"/>
          <w:szCs w:val="24"/>
          <w:lang w:val="en-US"/>
        </w:rPr>
        <w:t xml:space="preserve">only </w:t>
      </w:r>
      <w:r w:rsidR="00BE0EF0" w:rsidRPr="00C33C2F">
        <w:rPr>
          <w:rFonts w:ascii="Book Antiqua" w:hAnsi="Book Antiqua"/>
          <w:sz w:val="24"/>
          <w:szCs w:val="24"/>
          <w:lang w:val="en-US"/>
        </w:rPr>
        <w:t xml:space="preserve">if clinical relevant. Considering that the efficacy of the innovator biologic drug has already been established, the clinical studies required for approval of a </w:t>
      </w:r>
      <w:proofErr w:type="spellStart"/>
      <w:r w:rsidR="00BE0EF0" w:rsidRPr="00C33C2F">
        <w:rPr>
          <w:rFonts w:ascii="Book Antiqua" w:hAnsi="Book Antiqua"/>
          <w:sz w:val="24"/>
          <w:szCs w:val="24"/>
          <w:lang w:val="en-US"/>
        </w:rPr>
        <w:t>biosimilar</w:t>
      </w:r>
      <w:proofErr w:type="spellEnd"/>
      <w:r w:rsidR="00BE0EF0" w:rsidRPr="00C33C2F">
        <w:rPr>
          <w:rFonts w:ascii="Book Antiqua" w:hAnsi="Book Antiqua"/>
          <w:sz w:val="24"/>
          <w:szCs w:val="24"/>
          <w:lang w:val="en-US"/>
        </w:rPr>
        <w:t xml:space="preserve"> could be reduced compared with </w:t>
      </w:r>
      <w:r w:rsidR="0085199A" w:rsidRPr="00C33C2F">
        <w:rPr>
          <w:rFonts w:ascii="Book Antiqua" w:hAnsi="Book Antiqua"/>
          <w:sz w:val="24"/>
          <w:szCs w:val="24"/>
          <w:lang w:val="en-US"/>
        </w:rPr>
        <w:t xml:space="preserve">those </w:t>
      </w:r>
      <w:r w:rsidR="00BE0EF0" w:rsidRPr="00C33C2F">
        <w:rPr>
          <w:rFonts w:ascii="Book Antiqua" w:hAnsi="Book Antiqua"/>
          <w:sz w:val="24"/>
          <w:szCs w:val="24"/>
          <w:lang w:val="en-US"/>
        </w:rPr>
        <w:t xml:space="preserve">required for </w:t>
      </w:r>
      <w:r w:rsidR="0085199A" w:rsidRPr="00C33C2F">
        <w:rPr>
          <w:rFonts w:ascii="Book Antiqua" w:hAnsi="Book Antiqua"/>
          <w:sz w:val="24"/>
          <w:szCs w:val="24"/>
          <w:lang w:val="en-US"/>
        </w:rPr>
        <w:t>the approval of the origina</w:t>
      </w:r>
      <w:r w:rsidRPr="00C33C2F">
        <w:rPr>
          <w:rFonts w:ascii="Book Antiqua" w:hAnsi="Book Antiqua"/>
          <w:sz w:val="24"/>
          <w:szCs w:val="24"/>
          <w:lang w:val="en-US"/>
        </w:rPr>
        <w:t>tor</w:t>
      </w:r>
      <w:r w:rsidR="00BE0EF0" w:rsidRPr="00C33C2F">
        <w:rPr>
          <w:rFonts w:ascii="Book Antiqua" w:hAnsi="Book Antiqua"/>
          <w:sz w:val="24"/>
          <w:szCs w:val="24"/>
          <w:lang w:val="en-US"/>
        </w:rPr>
        <w:t xml:space="preserve">. </w:t>
      </w:r>
      <w:r w:rsidR="00B40FAB" w:rsidRPr="00C33C2F">
        <w:rPr>
          <w:rFonts w:ascii="Book Antiqua" w:hAnsi="Book Antiqua"/>
          <w:sz w:val="24"/>
          <w:szCs w:val="24"/>
          <w:lang w:val="en-US"/>
        </w:rPr>
        <w:t>In this review</w:t>
      </w:r>
      <w:r w:rsidRPr="00C33C2F">
        <w:rPr>
          <w:rFonts w:ascii="Book Antiqua" w:hAnsi="Book Antiqua"/>
          <w:sz w:val="24"/>
          <w:szCs w:val="24"/>
          <w:lang w:val="en-US"/>
        </w:rPr>
        <w:t>,</w:t>
      </w:r>
      <w:r w:rsidR="00B40FAB" w:rsidRPr="00C33C2F">
        <w:rPr>
          <w:rFonts w:ascii="Book Antiqua" w:hAnsi="Book Antiqua"/>
          <w:sz w:val="24"/>
          <w:szCs w:val="24"/>
          <w:lang w:val="en-US"/>
        </w:rPr>
        <w:t xml:space="preserve"> real life data </w:t>
      </w:r>
      <w:r w:rsidR="00BE0EF0" w:rsidRPr="00C33C2F">
        <w:rPr>
          <w:rFonts w:ascii="Book Antiqua" w:hAnsi="Book Antiqua"/>
          <w:sz w:val="24"/>
          <w:szCs w:val="24"/>
          <w:lang w:val="en-US"/>
        </w:rPr>
        <w:t xml:space="preserve">available in </w:t>
      </w:r>
      <w:r w:rsidR="00C33C2F" w:rsidRPr="00C33C2F">
        <w:rPr>
          <w:rFonts w:ascii="Book Antiqua" w:hAnsi="Book Antiqua"/>
          <w:sz w:val="24"/>
          <w:szCs w:val="24"/>
          <w:lang w:val="en-US"/>
        </w:rPr>
        <w:t xml:space="preserve">inflammatory bowel disease </w:t>
      </w:r>
      <w:r w:rsidR="00BE0EF0" w:rsidRPr="00C33C2F">
        <w:rPr>
          <w:rFonts w:ascii="Book Antiqua" w:hAnsi="Book Antiqua"/>
          <w:sz w:val="24"/>
          <w:szCs w:val="24"/>
          <w:lang w:val="en-US"/>
        </w:rPr>
        <w:t xml:space="preserve">patients treated with </w:t>
      </w:r>
      <w:proofErr w:type="spellStart"/>
      <w:r w:rsidR="00BE0EF0" w:rsidRPr="00C33C2F">
        <w:rPr>
          <w:rFonts w:ascii="Book Antiqua" w:hAnsi="Book Antiqua"/>
          <w:sz w:val="24"/>
          <w:szCs w:val="24"/>
          <w:lang w:val="en-US"/>
        </w:rPr>
        <w:t>biosimilars</w:t>
      </w:r>
      <w:proofErr w:type="spellEnd"/>
      <w:r w:rsidR="00BE0EF0" w:rsidRPr="00C33C2F">
        <w:rPr>
          <w:rFonts w:ascii="Book Antiqua" w:hAnsi="Book Antiqua"/>
          <w:sz w:val="24"/>
          <w:szCs w:val="24"/>
          <w:lang w:val="en-US"/>
        </w:rPr>
        <w:t xml:space="preserve"> </w:t>
      </w:r>
      <w:r w:rsidR="00B40FAB" w:rsidRPr="00C33C2F">
        <w:rPr>
          <w:rFonts w:ascii="Book Antiqua" w:hAnsi="Book Antiqua"/>
          <w:sz w:val="24"/>
          <w:szCs w:val="24"/>
          <w:lang w:val="en-US"/>
        </w:rPr>
        <w:t xml:space="preserve">are reported, </w:t>
      </w:r>
      <w:r w:rsidRPr="00C33C2F">
        <w:rPr>
          <w:rFonts w:ascii="Book Antiqua" w:hAnsi="Book Antiqua"/>
          <w:sz w:val="24"/>
          <w:szCs w:val="24"/>
          <w:lang w:val="en-US"/>
        </w:rPr>
        <w:t xml:space="preserve">documenting </w:t>
      </w:r>
      <w:r w:rsidR="00B40FAB" w:rsidRPr="00C33C2F">
        <w:rPr>
          <w:rFonts w:ascii="Book Antiqua" w:hAnsi="Book Antiqua"/>
          <w:sz w:val="24"/>
          <w:szCs w:val="24"/>
          <w:lang w:val="en-US"/>
        </w:rPr>
        <w:t xml:space="preserve">in general </w:t>
      </w:r>
      <w:r w:rsidR="00BE0EF0" w:rsidRPr="00C33C2F">
        <w:rPr>
          <w:rFonts w:ascii="Book Antiqua" w:hAnsi="Book Antiqua"/>
          <w:sz w:val="24"/>
          <w:szCs w:val="24"/>
          <w:lang w:val="en-US"/>
        </w:rPr>
        <w:t>satisfactory outcomes, sustained efficacy and no sign of increased immunogenicity</w:t>
      </w:r>
      <w:r w:rsidR="0085199A" w:rsidRPr="00C33C2F">
        <w:rPr>
          <w:rFonts w:ascii="Book Antiqua" w:hAnsi="Book Antiqua"/>
          <w:sz w:val="24"/>
          <w:szCs w:val="24"/>
          <w:lang w:val="en-US"/>
        </w:rPr>
        <w:t>,</w:t>
      </w:r>
      <w:r w:rsidR="00BE0EF0" w:rsidRPr="00C33C2F">
        <w:rPr>
          <w:rFonts w:ascii="Book Antiqua" w:hAnsi="Book Antiqua"/>
          <w:sz w:val="24"/>
          <w:szCs w:val="24"/>
          <w:lang w:val="en-US"/>
        </w:rPr>
        <w:t xml:space="preserve"> </w:t>
      </w:r>
      <w:r w:rsidRPr="00C33C2F">
        <w:rPr>
          <w:rFonts w:ascii="Book Antiqua" w:hAnsi="Book Antiqua"/>
          <w:sz w:val="24"/>
          <w:szCs w:val="24"/>
          <w:lang w:val="en-US"/>
        </w:rPr>
        <w:t>although</w:t>
      </w:r>
      <w:r w:rsidR="0085199A" w:rsidRPr="00C33C2F">
        <w:rPr>
          <w:rFonts w:ascii="Book Antiqua" w:hAnsi="Book Antiqua"/>
          <w:sz w:val="24"/>
          <w:szCs w:val="24"/>
          <w:lang w:val="en-US"/>
        </w:rPr>
        <w:t xml:space="preserve">, </w:t>
      </w:r>
      <w:r w:rsidR="00BE0EF0" w:rsidRPr="00C33C2F">
        <w:rPr>
          <w:rFonts w:ascii="Book Antiqua" w:hAnsi="Book Antiqua"/>
          <w:sz w:val="24"/>
          <w:szCs w:val="24"/>
          <w:lang w:val="en-US"/>
        </w:rPr>
        <w:t xml:space="preserve">further </w:t>
      </w:r>
      <w:r w:rsidR="008C16DA" w:rsidRPr="00C33C2F">
        <w:rPr>
          <w:rFonts w:ascii="Book Antiqua" w:hAnsi="Book Antiqua"/>
          <w:sz w:val="24"/>
          <w:szCs w:val="24"/>
          <w:lang w:val="en-US"/>
        </w:rPr>
        <w:t xml:space="preserve">controlled </w:t>
      </w:r>
      <w:r w:rsidR="00BE0EF0" w:rsidRPr="00C33C2F">
        <w:rPr>
          <w:rFonts w:ascii="Book Antiqua" w:hAnsi="Book Antiqua"/>
          <w:sz w:val="24"/>
          <w:szCs w:val="24"/>
          <w:lang w:val="en-US"/>
        </w:rPr>
        <w:t xml:space="preserve">data are </w:t>
      </w:r>
      <w:r w:rsidR="008C16DA" w:rsidRPr="00C33C2F">
        <w:rPr>
          <w:rFonts w:ascii="Book Antiqua" w:hAnsi="Book Antiqua"/>
          <w:sz w:val="24"/>
          <w:szCs w:val="24"/>
          <w:lang w:val="en-US"/>
        </w:rPr>
        <w:t>awaited</w:t>
      </w:r>
      <w:r w:rsidR="00BE0EF0" w:rsidRPr="00C33C2F">
        <w:rPr>
          <w:rFonts w:ascii="Book Antiqua" w:hAnsi="Book Antiqua"/>
          <w:sz w:val="24"/>
          <w:szCs w:val="24"/>
          <w:lang w:val="en-US"/>
        </w:rPr>
        <w:t>.</w:t>
      </w:r>
    </w:p>
    <w:p w:rsidR="00123DE8" w:rsidRPr="00C33C2F" w:rsidRDefault="00123DE8" w:rsidP="008B1267">
      <w:pPr>
        <w:autoSpaceDE w:val="0"/>
        <w:autoSpaceDN w:val="0"/>
        <w:adjustRightInd w:val="0"/>
        <w:spacing w:after="0" w:line="360" w:lineRule="auto"/>
        <w:jc w:val="both"/>
        <w:rPr>
          <w:rFonts w:ascii="Book Antiqua" w:hAnsi="Book Antiqua"/>
          <w:sz w:val="24"/>
          <w:szCs w:val="24"/>
          <w:lang w:val="en-GB"/>
        </w:rPr>
      </w:pPr>
    </w:p>
    <w:p w:rsidR="00123DE8" w:rsidRPr="00C33C2F" w:rsidRDefault="00302E87" w:rsidP="008B1267">
      <w:pPr>
        <w:autoSpaceDE w:val="0"/>
        <w:autoSpaceDN w:val="0"/>
        <w:adjustRightInd w:val="0"/>
        <w:spacing w:after="0" w:line="360" w:lineRule="auto"/>
        <w:jc w:val="both"/>
        <w:rPr>
          <w:rFonts w:ascii="Book Antiqua" w:hAnsi="Book Antiqua"/>
          <w:sz w:val="24"/>
          <w:szCs w:val="24"/>
          <w:lang w:val="en-GB" w:eastAsia="zh-CN"/>
        </w:rPr>
      </w:pPr>
      <w:r w:rsidRPr="00C33C2F">
        <w:rPr>
          <w:rFonts w:ascii="Book Antiqua" w:hAnsi="Book Antiqua"/>
          <w:b/>
          <w:sz w:val="24"/>
          <w:szCs w:val="24"/>
          <w:lang w:val="en-GB"/>
        </w:rPr>
        <w:t>Key</w:t>
      </w:r>
      <w:r w:rsidRPr="00C33C2F">
        <w:rPr>
          <w:rFonts w:ascii="Book Antiqua" w:hAnsi="Book Antiqua"/>
          <w:b/>
          <w:sz w:val="24"/>
          <w:szCs w:val="24"/>
          <w:lang w:val="en-GB" w:eastAsia="zh-CN"/>
        </w:rPr>
        <w:t xml:space="preserve"> </w:t>
      </w:r>
      <w:r w:rsidR="007471DE" w:rsidRPr="00C33C2F">
        <w:rPr>
          <w:rFonts w:ascii="Book Antiqua" w:hAnsi="Book Antiqua"/>
          <w:b/>
          <w:sz w:val="24"/>
          <w:szCs w:val="24"/>
          <w:lang w:val="en-GB"/>
        </w:rPr>
        <w:t xml:space="preserve">words: </w:t>
      </w:r>
      <w:r w:rsidRPr="00C33C2F">
        <w:rPr>
          <w:rFonts w:ascii="Book Antiqua" w:hAnsi="Book Antiqua"/>
          <w:sz w:val="24"/>
          <w:szCs w:val="24"/>
          <w:lang w:val="en-GB"/>
        </w:rPr>
        <w:t xml:space="preserve">Biologic </w:t>
      </w:r>
      <w:r w:rsidR="007471DE" w:rsidRPr="00C33C2F">
        <w:rPr>
          <w:rFonts w:ascii="Book Antiqua" w:hAnsi="Book Antiqua"/>
          <w:sz w:val="24"/>
          <w:szCs w:val="24"/>
          <w:lang w:val="en-GB"/>
        </w:rPr>
        <w:t>drugs</w:t>
      </w:r>
      <w:r w:rsidRPr="00C33C2F">
        <w:rPr>
          <w:rFonts w:ascii="Book Antiqua" w:hAnsi="Book Antiqua"/>
          <w:sz w:val="24"/>
          <w:szCs w:val="24"/>
          <w:lang w:val="en-GB" w:eastAsia="zh-CN"/>
        </w:rPr>
        <w:t>;</w:t>
      </w:r>
      <w:r w:rsidR="007471DE" w:rsidRPr="00C33C2F">
        <w:rPr>
          <w:rFonts w:ascii="Book Antiqua" w:hAnsi="Book Antiqua"/>
          <w:sz w:val="24"/>
          <w:szCs w:val="24"/>
          <w:lang w:val="en-GB"/>
        </w:rPr>
        <w:t xml:space="preserve"> CTP-13</w:t>
      </w:r>
      <w:r w:rsidRPr="00C33C2F">
        <w:rPr>
          <w:rFonts w:ascii="Book Antiqua" w:hAnsi="Book Antiqua"/>
          <w:sz w:val="24"/>
          <w:szCs w:val="24"/>
          <w:lang w:val="en-GB" w:eastAsia="zh-CN"/>
        </w:rPr>
        <w:t>;</w:t>
      </w:r>
      <w:r w:rsidR="007471DE" w:rsidRPr="00C33C2F">
        <w:rPr>
          <w:rFonts w:ascii="Book Antiqua" w:hAnsi="Book Antiqua"/>
          <w:sz w:val="24"/>
          <w:szCs w:val="24"/>
          <w:lang w:val="en-GB"/>
        </w:rPr>
        <w:t xml:space="preserve"> </w:t>
      </w:r>
      <w:proofErr w:type="spellStart"/>
      <w:r w:rsidRPr="00C33C2F">
        <w:rPr>
          <w:rFonts w:ascii="Book Antiqua" w:hAnsi="Book Antiqua"/>
          <w:sz w:val="24"/>
          <w:szCs w:val="24"/>
          <w:lang w:val="en-GB"/>
        </w:rPr>
        <w:t>Adalimumab</w:t>
      </w:r>
      <w:proofErr w:type="spellEnd"/>
      <w:r w:rsidRPr="00C33C2F">
        <w:rPr>
          <w:rFonts w:ascii="Book Antiqua" w:hAnsi="Book Antiqua"/>
          <w:sz w:val="24"/>
          <w:szCs w:val="24"/>
          <w:lang w:val="en-GB"/>
        </w:rPr>
        <w:t xml:space="preserve"> </w:t>
      </w:r>
      <w:proofErr w:type="spellStart"/>
      <w:r w:rsidR="007471DE" w:rsidRPr="00C33C2F">
        <w:rPr>
          <w:rFonts w:ascii="Book Antiqua" w:hAnsi="Book Antiqua"/>
          <w:sz w:val="24"/>
          <w:szCs w:val="24"/>
          <w:lang w:val="en-GB"/>
        </w:rPr>
        <w:t>biosimilar</w:t>
      </w:r>
      <w:proofErr w:type="spellEnd"/>
      <w:r w:rsidRPr="00C33C2F">
        <w:rPr>
          <w:rFonts w:ascii="Book Antiqua" w:hAnsi="Book Antiqua"/>
          <w:sz w:val="24"/>
          <w:szCs w:val="24"/>
          <w:lang w:val="en-GB" w:eastAsia="zh-CN"/>
        </w:rPr>
        <w:t>;</w:t>
      </w:r>
      <w:r w:rsidR="007471DE" w:rsidRPr="00C33C2F">
        <w:rPr>
          <w:rFonts w:ascii="Book Antiqua" w:hAnsi="Book Antiqua"/>
          <w:sz w:val="24"/>
          <w:szCs w:val="24"/>
          <w:lang w:val="en-GB"/>
        </w:rPr>
        <w:t xml:space="preserve"> </w:t>
      </w:r>
      <w:r w:rsidRPr="00C33C2F">
        <w:rPr>
          <w:rFonts w:ascii="Book Antiqua" w:hAnsi="Book Antiqua"/>
          <w:sz w:val="24"/>
          <w:szCs w:val="24"/>
          <w:lang w:val="en-GB"/>
        </w:rPr>
        <w:t xml:space="preserve">Infliximab </w:t>
      </w:r>
      <w:proofErr w:type="spellStart"/>
      <w:r w:rsidR="007471DE" w:rsidRPr="00C33C2F">
        <w:rPr>
          <w:rFonts w:ascii="Book Antiqua" w:hAnsi="Book Antiqua"/>
          <w:sz w:val="24"/>
          <w:szCs w:val="24"/>
          <w:lang w:val="en-GB"/>
        </w:rPr>
        <w:t>biosimilars</w:t>
      </w:r>
      <w:proofErr w:type="spellEnd"/>
      <w:r w:rsidRPr="00C33C2F">
        <w:rPr>
          <w:rFonts w:ascii="Book Antiqua" w:hAnsi="Book Antiqua"/>
          <w:sz w:val="24"/>
          <w:szCs w:val="24"/>
          <w:lang w:val="en-GB" w:eastAsia="zh-CN"/>
        </w:rPr>
        <w:t>;</w:t>
      </w:r>
      <w:r w:rsidR="007471DE" w:rsidRPr="00C33C2F">
        <w:rPr>
          <w:rFonts w:ascii="Book Antiqua" w:hAnsi="Book Antiqua"/>
          <w:sz w:val="24"/>
          <w:szCs w:val="24"/>
          <w:lang w:val="en-GB"/>
        </w:rPr>
        <w:t xml:space="preserve"> ZRC-3197</w:t>
      </w:r>
    </w:p>
    <w:p w:rsidR="009C399A" w:rsidRPr="00C33C2F" w:rsidRDefault="009C399A" w:rsidP="008B1267">
      <w:pPr>
        <w:autoSpaceDE w:val="0"/>
        <w:autoSpaceDN w:val="0"/>
        <w:adjustRightInd w:val="0"/>
        <w:spacing w:after="0" w:line="360" w:lineRule="auto"/>
        <w:jc w:val="both"/>
        <w:rPr>
          <w:rFonts w:ascii="Book Antiqua" w:hAnsi="Book Antiqua"/>
          <w:sz w:val="24"/>
          <w:szCs w:val="24"/>
          <w:lang w:val="en-GB" w:eastAsia="zh-CN"/>
        </w:rPr>
      </w:pPr>
    </w:p>
    <w:p w:rsidR="009C399A" w:rsidRPr="00C33C2F" w:rsidRDefault="009C399A" w:rsidP="008B1267">
      <w:pPr>
        <w:spacing w:after="0" w:line="360" w:lineRule="auto"/>
        <w:jc w:val="both"/>
        <w:rPr>
          <w:rFonts w:ascii="Book Antiqua" w:hAnsi="Book Antiqua" w:cs="Arial"/>
          <w:sz w:val="24"/>
          <w:lang w:val="en-US"/>
        </w:rPr>
      </w:pPr>
      <w:bookmarkStart w:id="26" w:name="OLE_LINK55"/>
      <w:bookmarkStart w:id="27" w:name="OLE_LINK56"/>
      <w:bookmarkStart w:id="28" w:name="OLE_LINK105"/>
      <w:bookmarkStart w:id="29" w:name="OLE_LINK116"/>
      <w:bookmarkStart w:id="30" w:name="OLE_LINK89"/>
      <w:proofErr w:type="gramStart"/>
      <w:r w:rsidRPr="00C33C2F">
        <w:rPr>
          <w:rFonts w:ascii="Book Antiqua" w:hAnsi="Book Antiqua"/>
          <w:b/>
          <w:sz w:val="24"/>
          <w:lang w:val="en-US"/>
        </w:rPr>
        <w:t>©</w:t>
      </w:r>
      <w:bookmarkEnd w:id="26"/>
      <w:bookmarkEnd w:id="27"/>
      <w:r w:rsidRPr="00C33C2F">
        <w:rPr>
          <w:rFonts w:ascii="Book Antiqua" w:hAnsi="Book Antiqua"/>
          <w:b/>
          <w:sz w:val="24"/>
          <w:lang w:val="en-US"/>
        </w:rPr>
        <w:t xml:space="preserve"> </w:t>
      </w:r>
      <w:r w:rsidRPr="00C33C2F">
        <w:rPr>
          <w:rFonts w:ascii="Book Antiqua" w:hAnsi="Book Antiqua" w:cs="Arial"/>
          <w:b/>
          <w:sz w:val="24"/>
          <w:lang w:val="en-US"/>
        </w:rPr>
        <w:t>The Author(s) 2016.</w:t>
      </w:r>
      <w:proofErr w:type="gramEnd"/>
      <w:r w:rsidRPr="00C33C2F">
        <w:rPr>
          <w:rFonts w:ascii="Book Antiqua" w:hAnsi="Book Antiqua" w:cs="Arial"/>
          <w:b/>
          <w:sz w:val="24"/>
          <w:lang w:val="en-US"/>
        </w:rPr>
        <w:t xml:space="preserve"> </w:t>
      </w:r>
      <w:proofErr w:type="gramStart"/>
      <w:r w:rsidRPr="00C33C2F">
        <w:rPr>
          <w:rFonts w:ascii="Book Antiqua" w:hAnsi="Book Antiqua" w:cs="Arial"/>
          <w:sz w:val="24"/>
          <w:lang w:val="en-US"/>
        </w:rPr>
        <w:t xml:space="preserve">Published by </w:t>
      </w:r>
      <w:proofErr w:type="spellStart"/>
      <w:r w:rsidRPr="00C33C2F">
        <w:rPr>
          <w:rFonts w:ascii="Book Antiqua" w:hAnsi="Book Antiqua" w:cs="Arial"/>
          <w:sz w:val="24"/>
          <w:lang w:val="en-US"/>
        </w:rPr>
        <w:t>Baishideng</w:t>
      </w:r>
      <w:proofErr w:type="spellEnd"/>
      <w:r w:rsidRPr="00C33C2F">
        <w:rPr>
          <w:rFonts w:ascii="Book Antiqua" w:hAnsi="Book Antiqua" w:cs="Arial"/>
          <w:sz w:val="24"/>
          <w:lang w:val="en-US"/>
        </w:rPr>
        <w:t xml:space="preserve"> Publishing Group Inc.</w:t>
      </w:r>
      <w:proofErr w:type="gramEnd"/>
      <w:r w:rsidRPr="00C33C2F">
        <w:rPr>
          <w:rFonts w:ascii="Book Antiqua" w:hAnsi="Book Antiqua" w:cs="Arial"/>
          <w:sz w:val="24"/>
          <w:lang w:val="en-US"/>
        </w:rPr>
        <w:t xml:space="preserve"> All rights reserved.</w:t>
      </w:r>
    </w:p>
    <w:bookmarkEnd w:id="28"/>
    <w:bookmarkEnd w:id="29"/>
    <w:bookmarkEnd w:id="30"/>
    <w:p w:rsidR="007471DE" w:rsidRPr="00C33C2F" w:rsidRDefault="007471DE" w:rsidP="008B1267">
      <w:pPr>
        <w:autoSpaceDE w:val="0"/>
        <w:autoSpaceDN w:val="0"/>
        <w:adjustRightInd w:val="0"/>
        <w:spacing w:after="0" w:line="360" w:lineRule="auto"/>
        <w:jc w:val="both"/>
        <w:rPr>
          <w:rFonts w:ascii="Book Antiqua" w:hAnsi="Book Antiqua"/>
          <w:sz w:val="24"/>
          <w:szCs w:val="24"/>
          <w:lang w:val="en-GB"/>
        </w:rPr>
      </w:pPr>
    </w:p>
    <w:p w:rsidR="007471DE" w:rsidRPr="00C33C2F" w:rsidRDefault="007471DE" w:rsidP="008B1267">
      <w:pPr>
        <w:autoSpaceDE w:val="0"/>
        <w:autoSpaceDN w:val="0"/>
        <w:adjustRightInd w:val="0"/>
        <w:spacing w:after="0" w:line="360" w:lineRule="auto"/>
        <w:jc w:val="both"/>
        <w:rPr>
          <w:rFonts w:ascii="Book Antiqua" w:hAnsi="Book Antiqua"/>
          <w:b/>
          <w:sz w:val="24"/>
          <w:szCs w:val="24"/>
          <w:lang w:val="en-GB"/>
        </w:rPr>
      </w:pPr>
      <w:r w:rsidRPr="00C33C2F">
        <w:rPr>
          <w:rFonts w:ascii="Book Antiqua" w:hAnsi="Book Antiqua"/>
          <w:b/>
          <w:sz w:val="24"/>
          <w:szCs w:val="24"/>
          <w:lang w:val="en-GB"/>
        </w:rPr>
        <w:t xml:space="preserve">Core-tip: </w:t>
      </w:r>
      <w:r w:rsidR="00F4259F" w:rsidRPr="00C33C2F">
        <w:rPr>
          <w:rFonts w:ascii="Book Antiqua" w:hAnsi="Book Antiqua"/>
          <w:sz w:val="24"/>
          <w:szCs w:val="24"/>
          <w:lang w:val="en-US"/>
        </w:rPr>
        <w:t xml:space="preserve">Some differences between </w:t>
      </w:r>
      <w:proofErr w:type="spellStart"/>
      <w:r w:rsidR="00F4259F" w:rsidRPr="00C33C2F">
        <w:rPr>
          <w:rFonts w:ascii="Book Antiqua" w:hAnsi="Book Antiqua"/>
          <w:sz w:val="24"/>
          <w:szCs w:val="24"/>
          <w:lang w:val="en-US"/>
        </w:rPr>
        <w:t>biosimilars</w:t>
      </w:r>
      <w:proofErr w:type="spellEnd"/>
      <w:r w:rsidR="00F4259F" w:rsidRPr="00C33C2F">
        <w:rPr>
          <w:rFonts w:ascii="Book Antiqua" w:hAnsi="Book Antiqua"/>
          <w:sz w:val="24"/>
          <w:szCs w:val="24"/>
          <w:lang w:val="en-US"/>
        </w:rPr>
        <w:t xml:space="preserve"> and original biologic drugs exist but they are acceptable if the</w:t>
      </w:r>
      <w:r w:rsidR="00943FA3" w:rsidRPr="00C33C2F">
        <w:rPr>
          <w:rFonts w:ascii="Book Antiqua" w:hAnsi="Book Antiqua"/>
          <w:sz w:val="24"/>
          <w:szCs w:val="24"/>
          <w:lang w:val="en-US"/>
        </w:rPr>
        <w:t xml:space="preserve">y </w:t>
      </w:r>
      <w:r w:rsidR="00F4259F" w:rsidRPr="00C33C2F">
        <w:rPr>
          <w:rFonts w:ascii="Book Antiqua" w:hAnsi="Book Antiqua"/>
          <w:sz w:val="24"/>
          <w:szCs w:val="24"/>
          <w:lang w:val="en-US"/>
        </w:rPr>
        <w:t xml:space="preserve">fall within defined “boundaries of tolerance”: variations in some features of the two molecules are considered important </w:t>
      </w:r>
      <w:r w:rsidR="00943FA3" w:rsidRPr="00C33C2F">
        <w:rPr>
          <w:rFonts w:ascii="Book Antiqua" w:hAnsi="Book Antiqua"/>
          <w:sz w:val="24"/>
          <w:szCs w:val="24"/>
          <w:lang w:val="en-US"/>
        </w:rPr>
        <w:t xml:space="preserve">only </w:t>
      </w:r>
      <w:r w:rsidR="00F4259F" w:rsidRPr="00C33C2F">
        <w:rPr>
          <w:rFonts w:ascii="Book Antiqua" w:hAnsi="Book Antiqua"/>
          <w:sz w:val="24"/>
          <w:szCs w:val="24"/>
          <w:lang w:val="en-US"/>
        </w:rPr>
        <w:t xml:space="preserve">if clinical relevant. Several </w:t>
      </w:r>
      <w:r w:rsidR="00943FA3" w:rsidRPr="00C33C2F">
        <w:rPr>
          <w:rFonts w:ascii="Book Antiqua" w:hAnsi="Book Antiqua"/>
          <w:sz w:val="24"/>
          <w:szCs w:val="24"/>
          <w:lang w:val="en-US"/>
        </w:rPr>
        <w:t>real-</w:t>
      </w:r>
      <w:r w:rsidR="00B40FAB" w:rsidRPr="00C33C2F">
        <w:rPr>
          <w:rFonts w:ascii="Book Antiqua" w:hAnsi="Book Antiqua"/>
          <w:sz w:val="24"/>
          <w:szCs w:val="24"/>
          <w:lang w:val="en-US"/>
        </w:rPr>
        <w:t xml:space="preserve">life </w:t>
      </w:r>
      <w:r w:rsidR="00F4259F" w:rsidRPr="00C33C2F">
        <w:rPr>
          <w:rFonts w:ascii="Book Antiqua" w:hAnsi="Book Antiqua"/>
          <w:sz w:val="24"/>
          <w:szCs w:val="24"/>
          <w:lang w:val="en-US"/>
        </w:rPr>
        <w:t xml:space="preserve">clinical data are already available in </w:t>
      </w:r>
      <w:r w:rsidR="00C33C2F" w:rsidRPr="00C33C2F">
        <w:rPr>
          <w:rFonts w:ascii="Book Antiqua" w:hAnsi="Book Antiqua"/>
          <w:sz w:val="24"/>
          <w:szCs w:val="24"/>
          <w:lang w:val="en-US"/>
        </w:rPr>
        <w:t xml:space="preserve">inflammatory bowel disease </w:t>
      </w:r>
      <w:r w:rsidR="00F4259F" w:rsidRPr="00C33C2F">
        <w:rPr>
          <w:rFonts w:ascii="Book Antiqua" w:hAnsi="Book Antiqua"/>
          <w:sz w:val="24"/>
          <w:szCs w:val="24"/>
          <w:lang w:val="en-US"/>
        </w:rPr>
        <w:t xml:space="preserve">patients treated with </w:t>
      </w:r>
      <w:proofErr w:type="spellStart"/>
      <w:r w:rsidR="00F4259F" w:rsidRPr="00C33C2F">
        <w:rPr>
          <w:rFonts w:ascii="Book Antiqua" w:hAnsi="Book Antiqua"/>
          <w:sz w:val="24"/>
          <w:szCs w:val="24"/>
          <w:lang w:val="en-US"/>
        </w:rPr>
        <w:t>biosimilars</w:t>
      </w:r>
      <w:proofErr w:type="spellEnd"/>
      <w:r w:rsidR="00F4259F" w:rsidRPr="00C33C2F">
        <w:rPr>
          <w:rFonts w:ascii="Book Antiqua" w:hAnsi="Book Antiqua"/>
          <w:sz w:val="24"/>
          <w:szCs w:val="24"/>
          <w:lang w:val="en-US"/>
        </w:rPr>
        <w:t xml:space="preserve"> with satisfactory outcomes, but </w:t>
      </w:r>
      <w:r w:rsidR="0085199A" w:rsidRPr="00C33C2F">
        <w:rPr>
          <w:rFonts w:ascii="Book Antiqua" w:hAnsi="Book Antiqua"/>
          <w:sz w:val="24"/>
          <w:szCs w:val="24"/>
          <w:lang w:val="en-US"/>
        </w:rPr>
        <w:t xml:space="preserve">further controlled </w:t>
      </w:r>
      <w:r w:rsidR="00B40FAB" w:rsidRPr="00C33C2F">
        <w:rPr>
          <w:rFonts w:ascii="Book Antiqua" w:hAnsi="Book Antiqua"/>
          <w:sz w:val="24"/>
          <w:szCs w:val="24"/>
          <w:lang w:val="en-US"/>
        </w:rPr>
        <w:t xml:space="preserve">trials </w:t>
      </w:r>
      <w:r w:rsidR="0085199A" w:rsidRPr="00C33C2F">
        <w:rPr>
          <w:rFonts w:ascii="Book Antiqua" w:hAnsi="Book Antiqua"/>
          <w:sz w:val="24"/>
          <w:szCs w:val="24"/>
          <w:lang w:val="en-US"/>
        </w:rPr>
        <w:t>are awaited</w:t>
      </w:r>
      <w:r w:rsidR="00F4259F" w:rsidRPr="00C33C2F">
        <w:rPr>
          <w:rFonts w:ascii="Book Antiqua" w:hAnsi="Book Antiqua"/>
          <w:sz w:val="24"/>
          <w:szCs w:val="24"/>
          <w:lang w:val="en-US"/>
        </w:rPr>
        <w:t>.</w:t>
      </w:r>
    </w:p>
    <w:p w:rsidR="00302E87" w:rsidRPr="00C33C2F" w:rsidRDefault="00302E87" w:rsidP="008B1267">
      <w:pPr>
        <w:adjustRightInd w:val="0"/>
        <w:snapToGrid w:val="0"/>
        <w:spacing w:after="0" w:line="360" w:lineRule="auto"/>
        <w:jc w:val="both"/>
        <w:rPr>
          <w:rFonts w:ascii="Book Antiqua" w:hAnsi="Book Antiqua" w:cs="Tahoma"/>
          <w:sz w:val="24"/>
          <w:lang w:val="en-US" w:eastAsia="zh-CN"/>
        </w:rPr>
      </w:pPr>
      <w:bookmarkStart w:id="31" w:name="OLE_LINK130"/>
      <w:bookmarkStart w:id="32" w:name="OLE_LINK134"/>
      <w:bookmarkStart w:id="33" w:name="OLE_LINK455"/>
      <w:bookmarkStart w:id="34" w:name="OLE_LINK464"/>
      <w:bookmarkStart w:id="35" w:name="OLE_LINK73"/>
      <w:bookmarkStart w:id="36" w:name="OLE_LINK74"/>
      <w:bookmarkStart w:id="37" w:name="OLE_LINK424"/>
      <w:bookmarkStart w:id="38" w:name="OLE_LINK425"/>
    </w:p>
    <w:p w:rsidR="009C399A" w:rsidRPr="00C33C2F" w:rsidRDefault="00302E87" w:rsidP="008B1267">
      <w:pPr>
        <w:shd w:val="clear" w:color="auto" w:fill="FFFFFF"/>
        <w:autoSpaceDE w:val="0"/>
        <w:autoSpaceDN w:val="0"/>
        <w:adjustRightInd w:val="0"/>
        <w:spacing w:after="0" w:line="360" w:lineRule="auto"/>
        <w:jc w:val="both"/>
        <w:rPr>
          <w:rFonts w:ascii="Book Antiqua" w:hAnsi="Book Antiqua"/>
          <w:sz w:val="24"/>
          <w:szCs w:val="24"/>
          <w:vertAlign w:val="superscript"/>
          <w:lang w:val="en-US" w:eastAsia="zh-CN"/>
        </w:rPr>
      </w:pPr>
      <w:proofErr w:type="spellStart"/>
      <w:r w:rsidRPr="00C33C2F">
        <w:rPr>
          <w:rFonts w:ascii="Book Antiqua" w:hAnsi="Book Antiqua"/>
          <w:sz w:val="24"/>
          <w:szCs w:val="24"/>
          <w:lang w:val="en-US"/>
        </w:rPr>
        <w:t>Deiana</w:t>
      </w:r>
      <w:proofErr w:type="spellEnd"/>
      <w:r w:rsidRPr="00C33C2F">
        <w:rPr>
          <w:rFonts w:ascii="Book Antiqua" w:hAnsi="Book Antiqua"/>
          <w:sz w:val="24"/>
          <w:szCs w:val="24"/>
          <w:lang w:val="en-US" w:eastAsia="zh-CN"/>
        </w:rPr>
        <w:t xml:space="preserve"> S, </w:t>
      </w:r>
      <w:proofErr w:type="spellStart"/>
      <w:r w:rsidRPr="00C33C2F">
        <w:rPr>
          <w:rFonts w:ascii="Book Antiqua" w:hAnsi="Book Antiqua"/>
          <w:sz w:val="24"/>
          <w:szCs w:val="24"/>
          <w:lang w:val="en-US"/>
        </w:rPr>
        <w:t>Gabbani</w:t>
      </w:r>
      <w:proofErr w:type="spellEnd"/>
      <w:r w:rsidRPr="00C33C2F">
        <w:rPr>
          <w:rFonts w:ascii="Book Antiqua" w:hAnsi="Book Antiqua"/>
          <w:sz w:val="24"/>
          <w:szCs w:val="24"/>
          <w:lang w:val="en-US" w:eastAsia="zh-CN"/>
        </w:rPr>
        <w:t xml:space="preserve"> T, </w:t>
      </w:r>
      <w:proofErr w:type="spellStart"/>
      <w:r w:rsidRPr="00C33C2F">
        <w:rPr>
          <w:rFonts w:ascii="Book Antiqua" w:hAnsi="Book Antiqua"/>
          <w:sz w:val="24"/>
          <w:szCs w:val="24"/>
          <w:lang w:val="en-US"/>
        </w:rPr>
        <w:t>Annese</w:t>
      </w:r>
      <w:proofErr w:type="spellEnd"/>
      <w:r w:rsidRPr="00C33C2F">
        <w:rPr>
          <w:rFonts w:ascii="Book Antiqua" w:hAnsi="Book Antiqua"/>
          <w:sz w:val="24"/>
          <w:szCs w:val="24"/>
          <w:lang w:val="en-US" w:eastAsia="zh-CN"/>
        </w:rPr>
        <w:t xml:space="preserve"> V. </w:t>
      </w:r>
      <w:proofErr w:type="spellStart"/>
      <w:r w:rsidRPr="00C33C2F">
        <w:rPr>
          <w:rFonts w:ascii="Book Antiqua" w:hAnsi="Book Antiqua"/>
          <w:sz w:val="24"/>
          <w:szCs w:val="24"/>
          <w:lang w:val="en-US" w:eastAsia="zh-CN"/>
        </w:rPr>
        <w:t>Biosimilars</w:t>
      </w:r>
      <w:proofErr w:type="spellEnd"/>
      <w:r w:rsidRPr="00C33C2F">
        <w:rPr>
          <w:rFonts w:ascii="Book Antiqua" w:hAnsi="Book Antiqua"/>
          <w:sz w:val="24"/>
          <w:szCs w:val="24"/>
          <w:lang w:val="en-US" w:eastAsia="zh-CN"/>
        </w:rPr>
        <w:t xml:space="preserve"> in Inflammatory bowel disease: A review of post-marketing experience. </w:t>
      </w:r>
      <w:r w:rsidRPr="00C33C2F">
        <w:rPr>
          <w:rFonts w:ascii="Book Antiqua" w:hAnsi="Book Antiqua"/>
          <w:sz w:val="24"/>
          <w:szCs w:val="24"/>
          <w:vertAlign w:val="superscript"/>
          <w:lang w:val="en-US" w:eastAsia="zh-CN"/>
        </w:rPr>
        <w:t xml:space="preserve"> </w:t>
      </w:r>
      <w:r w:rsidR="009C399A" w:rsidRPr="00C33C2F">
        <w:rPr>
          <w:rFonts w:ascii="Book Antiqua" w:hAnsi="Book Antiqua"/>
          <w:i/>
          <w:sz w:val="24"/>
          <w:lang w:val="en-US"/>
        </w:rPr>
        <w:t xml:space="preserve">World J </w:t>
      </w:r>
      <w:proofErr w:type="spellStart"/>
      <w:r w:rsidR="009C399A" w:rsidRPr="00C33C2F">
        <w:rPr>
          <w:rFonts w:ascii="Book Antiqua" w:hAnsi="Book Antiqua"/>
          <w:i/>
          <w:sz w:val="24"/>
          <w:lang w:val="en-US"/>
        </w:rPr>
        <w:t>Gastroenterol</w:t>
      </w:r>
      <w:proofErr w:type="spellEnd"/>
      <w:r w:rsidR="009C399A" w:rsidRPr="00C33C2F">
        <w:rPr>
          <w:rFonts w:ascii="Book Antiqua" w:hAnsi="Book Antiqua"/>
          <w:sz w:val="24"/>
          <w:lang w:val="en-US"/>
        </w:rPr>
        <w:t xml:space="preserve"> 2016; </w:t>
      </w:r>
      <w:bookmarkStart w:id="39" w:name="OLE_LINK1689"/>
      <w:bookmarkStart w:id="40" w:name="OLE_LINK1298"/>
      <w:bookmarkStart w:id="41" w:name="OLE_LINK1297"/>
      <w:proofErr w:type="gramStart"/>
      <w:r w:rsidR="009C399A" w:rsidRPr="00C33C2F">
        <w:rPr>
          <w:rFonts w:ascii="Book Antiqua" w:hAnsi="Book Antiqua"/>
          <w:sz w:val="24"/>
          <w:lang w:val="en-US"/>
        </w:rPr>
        <w:t>In</w:t>
      </w:r>
      <w:proofErr w:type="gramEnd"/>
      <w:r w:rsidR="009C399A" w:rsidRPr="00C33C2F">
        <w:rPr>
          <w:rFonts w:ascii="Book Antiqua" w:hAnsi="Book Antiqua"/>
          <w:sz w:val="24"/>
          <w:lang w:val="en-US"/>
        </w:rPr>
        <w:t xml:space="preserve"> press</w:t>
      </w:r>
      <w:bookmarkEnd w:id="39"/>
      <w:bookmarkEnd w:id="40"/>
      <w:bookmarkEnd w:id="41"/>
    </w:p>
    <w:bookmarkEnd w:id="31"/>
    <w:bookmarkEnd w:id="32"/>
    <w:bookmarkEnd w:id="33"/>
    <w:bookmarkEnd w:id="34"/>
    <w:bookmarkEnd w:id="35"/>
    <w:bookmarkEnd w:id="36"/>
    <w:bookmarkEnd w:id="37"/>
    <w:bookmarkEnd w:id="38"/>
    <w:p w:rsidR="00123DE8" w:rsidRPr="00C33C2F" w:rsidRDefault="00123DE8" w:rsidP="008B1267">
      <w:pPr>
        <w:autoSpaceDE w:val="0"/>
        <w:autoSpaceDN w:val="0"/>
        <w:adjustRightInd w:val="0"/>
        <w:spacing w:after="0" w:line="360" w:lineRule="auto"/>
        <w:jc w:val="both"/>
        <w:rPr>
          <w:rFonts w:ascii="Book Antiqua" w:hAnsi="Book Antiqua"/>
          <w:sz w:val="24"/>
          <w:szCs w:val="24"/>
          <w:lang w:val="en-GB"/>
        </w:rPr>
      </w:pPr>
    </w:p>
    <w:p w:rsidR="00774F14" w:rsidRPr="00C33C2F" w:rsidRDefault="00774F14" w:rsidP="008B1267">
      <w:pPr>
        <w:autoSpaceDE w:val="0"/>
        <w:autoSpaceDN w:val="0"/>
        <w:adjustRightInd w:val="0"/>
        <w:spacing w:after="0" w:line="360" w:lineRule="auto"/>
        <w:jc w:val="both"/>
        <w:rPr>
          <w:rFonts w:ascii="Book Antiqua" w:hAnsi="Book Antiqua"/>
          <w:sz w:val="24"/>
          <w:szCs w:val="24"/>
          <w:lang w:val="en-GB"/>
        </w:rPr>
      </w:pPr>
    </w:p>
    <w:p w:rsidR="00302E87" w:rsidRPr="00C33C2F" w:rsidRDefault="00302E87" w:rsidP="008B1267">
      <w:pPr>
        <w:spacing w:after="0"/>
        <w:rPr>
          <w:rFonts w:ascii="Book Antiqua" w:hAnsi="Book Antiqua"/>
          <w:b/>
          <w:sz w:val="24"/>
          <w:szCs w:val="24"/>
          <w:lang w:val="en-US"/>
        </w:rPr>
      </w:pPr>
      <w:r w:rsidRPr="00C33C2F">
        <w:rPr>
          <w:rFonts w:ascii="Book Antiqua" w:hAnsi="Book Antiqua"/>
          <w:b/>
          <w:sz w:val="24"/>
          <w:szCs w:val="24"/>
          <w:lang w:val="en-US"/>
        </w:rPr>
        <w:br w:type="page"/>
      </w:r>
    </w:p>
    <w:p w:rsidR="008259CB" w:rsidRPr="00C33C2F" w:rsidRDefault="00302E87" w:rsidP="008B1267">
      <w:pPr>
        <w:spacing w:after="0" w:line="360" w:lineRule="auto"/>
        <w:jc w:val="both"/>
        <w:rPr>
          <w:rFonts w:ascii="Book Antiqua" w:hAnsi="Book Antiqua"/>
          <w:b/>
          <w:sz w:val="24"/>
          <w:szCs w:val="24"/>
          <w:lang w:val="en-US"/>
        </w:rPr>
      </w:pPr>
      <w:r w:rsidRPr="00C33C2F">
        <w:rPr>
          <w:rFonts w:ascii="Book Antiqua" w:hAnsi="Book Antiqua"/>
          <w:b/>
          <w:sz w:val="24"/>
          <w:szCs w:val="24"/>
          <w:lang w:val="en-US"/>
        </w:rPr>
        <w:lastRenderedPageBreak/>
        <w:t>INTRODUCTION</w:t>
      </w:r>
    </w:p>
    <w:p w:rsidR="00F46116" w:rsidRPr="00C33C2F" w:rsidRDefault="00507CFE" w:rsidP="008B1267">
      <w:pPr>
        <w:spacing w:after="0" w:line="360" w:lineRule="auto"/>
        <w:jc w:val="both"/>
        <w:rPr>
          <w:rFonts w:ascii="Book Antiqua" w:hAnsi="Book Antiqua"/>
          <w:sz w:val="24"/>
          <w:szCs w:val="24"/>
          <w:lang w:val="en-US"/>
        </w:rPr>
      </w:pPr>
      <w:proofErr w:type="spellStart"/>
      <w:r w:rsidRPr="00C33C2F">
        <w:rPr>
          <w:rFonts w:ascii="Book Antiqua" w:hAnsi="Book Antiqua"/>
          <w:sz w:val="24"/>
          <w:szCs w:val="24"/>
          <w:lang w:val="en-US"/>
        </w:rPr>
        <w:t>Crohn’s</w:t>
      </w:r>
      <w:proofErr w:type="spellEnd"/>
      <w:r w:rsidRPr="00C33C2F">
        <w:rPr>
          <w:rFonts w:ascii="Book Antiqua" w:hAnsi="Book Antiqua"/>
          <w:sz w:val="24"/>
          <w:szCs w:val="24"/>
          <w:lang w:val="en-US"/>
        </w:rPr>
        <w:t xml:space="preserve"> disease (CD) and Ulcerative Colitis (UC) are chronic immune-mediated inflammatory </w:t>
      </w:r>
      <w:r w:rsidR="00F46116" w:rsidRPr="00C33C2F">
        <w:rPr>
          <w:rFonts w:ascii="Book Antiqua" w:hAnsi="Book Antiqua"/>
          <w:sz w:val="24"/>
          <w:szCs w:val="24"/>
          <w:lang w:val="en-US"/>
        </w:rPr>
        <w:t>gastrointestinal disorders that lead to impaired quality of life, disease complication</w:t>
      </w:r>
      <w:r w:rsidR="009B0A9F" w:rsidRPr="00C33C2F">
        <w:rPr>
          <w:rFonts w:ascii="Book Antiqua" w:hAnsi="Book Antiqua"/>
          <w:sz w:val="24"/>
          <w:szCs w:val="24"/>
          <w:lang w:val="en-US"/>
        </w:rPr>
        <w:t>s</w:t>
      </w:r>
      <w:r w:rsidR="00F46116" w:rsidRPr="00C33C2F">
        <w:rPr>
          <w:rFonts w:ascii="Book Antiqua" w:hAnsi="Book Antiqua"/>
          <w:sz w:val="24"/>
          <w:szCs w:val="24"/>
          <w:lang w:val="en-US"/>
        </w:rPr>
        <w:t xml:space="preserve"> and frequent </w:t>
      </w:r>
      <w:r w:rsidR="00943FA3" w:rsidRPr="00C33C2F">
        <w:rPr>
          <w:rFonts w:ascii="Book Antiqua" w:hAnsi="Book Antiqua"/>
          <w:sz w:val="24"/>
          <w:szCs w:val="24"/>
          <w:lang w:val="en-US"/>
        </w:rPr>
        <w:t xml:space="preserve">need of </w:t>
      </w:r>
      <w:r w:rsidR="00F46116" w:rsidRPr="00C33C2F">
        <w:rPr>
          <w:rFonts w:ascii="Book Antiqua" w:hAnsi="Book Antiqua"/>
          <w:sz w:val="24"/>
          <w:szCs w:val="24"/>
          <w:lang w:val="en-US"/>
        </w:rPr>
        <w:t>surgery and hospitalization</w:t>
      </w:r>
      <w:r w:rsidR="001F7029" w:rsidRPr="00C33C2F">
        <w:rPr>
          <w:rFonts w:ascii="Book Antiqua" w:hAnsi="Book Antiqua"/>
          <w:sz w:val="24"/>
          <w:szCs w:val="24"/>
          <w:vertAlign w:val="superscript"/>
          <w:lang w:val="en-US" w:eastAsia="zh-CN"/>
        </w:rPr>
        <w:t>[1,2]</w:t>
      </w:r>
      <w:r w:rsidR="00F46116" w:rsidRPr="00C33C2F">
        <w:rPr>
          <w:rFonts w:ascii="Book Antiqua" w:hAnsi="Book Antiqua"/>
          <w:sz w:val="24"/>
          <w:szCs w:val="24"/>
          <w:lang w:val="en-US"/>
        </w:rPr>
        <w:t xml:space="preserve">. </w:t>
      </w:r>
      <w:r w:rsidRPr="00C33C2F">
        <w:rPr>
          <w:rFonts w:ascii="Book Antiqua" w:hAnsi="Book Antiqua"/>
          <w:sz w:val="24"/>
          <w:szCs w:val="24"/>
          <w:lang w:val="en-US"/>
        </w:rPr>
        <w:t>They represent</w:t>
      </w:r>
      <w:r w:rsidR="00464F31" w:rsidRPr="00C33C2F">
        <w:rPr>
          <w:rFonts w:ascii="Book Antiqua" w:hAnsi="Book Antiqua"/>
          <w:sz w:val="24"/>
          <w:szCs w:val="24"/>
          <w:lang w:val="en-US"/>
        </w:rPr>
        <w:t xml:space="preserve"> a global public health problem</w:t>
      </w:r>
      <w:r w:rsidRPr="00C33C2F">
        <w:rPr>
          <w:rFonts w:ascii="Book Antiqua" w:hAnsi="Book Antiqua"/>
          <w:sz w:val="24"/>
          <w:szCs w:val="24"/>
          <w:lang w:val="en-US"/>
        </w:rPr>
        <w:t>; m</w:t>
      </w:r>
      <w:r w:rsidR="0096775B" w:rsidRPr="00C33C2F">
        <w:rPr>
          <w:rFonts w:ascii="Book Antiqua" w:hAnsi="Book Antiqua"/>
          <w:sz w:val="24"/>
          <w:szCs w:val="24"/>
          <w:lang w:val="en-US"/>
        </w:rPr>
        <w:t>ore than 3</w:t>
      </w:r>
      <w:r w:rsidR="00C33C2F" w:rsidRPr="00C33C2F">
        <w:rPr>
          <w:rFonts w:ascii="Book Antiqua" w:hAnsi="Book Antiqua" w:hint="eastAsia"/>
          <w:sz w:val="24"/>
          <w:szCs w:val="24"/>
          <w:lang w:val="en-US" w:eastAsia="zh-CN"/>
        </w:rPr>
        <w:t>.</w:t>
      </w:r>
      <w:r w:rsidR="0096775B" w:rsidRPr="00C33C2F">
        <w:rPr>
          <w:rFonts w:ascii="Book Antiqua" w:hAnsi="Book Antiqua"/>
          <w:sz w:val="24"/>
          <w:szCs w:val="24"/>
          <w:lang w:val="en-US"/>
        </w:rPr>
        <w:t>5 mill</w:t>
      </w:r>
      <w:r w:rsidR="00464F31" w:rsidRPr="00C33C2F">
        <w:rPr>
          <w:rFonts w:ascii="Book Antiqua" w:hAnsi="Book Antiqua"/>
          <w:sz w:val="24"/>
          <w:szCs w:val="24"/>
          <w:lang w:val="en-US"/>
        </w:rPr>
        <w:t>ion</w:t>
      </w:r>
      <w:r w:rsidR="0096775B" w:rsidRPr="00C33C2F">
        <w:rPr>
          <w:rFonts w:ascii="Book Antiqua" w:hAnsi="Book Antiqua"/>
          <w:sz w:val="24"/>
          <w:szCs w:val="24"/>
          <w:lang w:val="en-US"/>
        </w:rPr>
        <w:t>s</w:t>
      </w:r>
      <w:r w:rsidR="00464F31" w:rsidRPr="00C33C2F">
        <w:rPr>
          <w:rFonts w:ascii="Book Antiqua" w:hAnsi="Book Antiqua"/>
          <w:sz w:val="24"/>
          <w:szCs w:val="24"/>
          <w:lang w:val="en-US"/>
        </w:rPr>
        <w:t xml:space="preserve"> of people</w:t>
      </w:r>
      <w:r w:rsidRPr="00C33C2F">
        <w:rPr>
          <w:rFonts w:ascii="Book Antiqua" w:hAnsi="Book Antiqua"/>
          <w:sz w:val="24"/>
          <w:szCs w:val="24"/>
          <w:lang w:val="en-US"/>
        </w:rPr>
        <w:t xml:space="preserve"> are affected</w:t>
      </w:r>
      <w:r w:rsidR="00464F31" w:rsidRPr="00C33C2F">
        <w:rPr>
          <w:rFonts w:ascii="Book Antiqua" w:hAnsi="Book Antiqua"/>
          <w:sz w:val="24"/>
          <w:szCs w:val="24"/>
          <w:lang w:val="en-US"/>
        </w:rPr>
        <w:t xml:space="preserve"> in Europe </w:t>
      </w:r>
      <w:r w:rsidR="001807F3" w:rsidRPr="00C33C2F">
        <w:rPr>
          <w:rFonts w:ascii="Book Antiqua" w:hAnsi="Book Antiqua"/>
          <w:sz w:val="24"/>
          <w:szCs w:val="24"/>
          <w:lang w:val="en-US"/>
        </w:rPr>
        <w:t>alone with a direct hea</w:t>
      </w:r>
      <w:r w:rsidR="0096775B" w:rsidRPr="00C33C2F">
        <w:rPr>
          <w:rFonts w:ascii="Book Antiqua" w:hAnsi="Book Antiqua"/>
          <w:sz w:val="24"/>
          <w:szCs w:val="24"/>
          <w:lang w:val="en-US"/>
        </w:rPr>
        <w:t>lthcare cost of 4</w:t>
      </w:r>
      <w:r w:rsidR="00C33C2F" w:rsidRPr="00C33C2F">
        <w:rPr>
          <w:rFonts w:ascii="Book Antiqua" w:hAnsi="Book Antiqua" w:hint="eastAsia"/>
          <w:sz w:val="24"/>
          <w:szCs w:val="24"/>
          <w:lang w:val="en-US" w:eastAsia="zh-CN"/>
        </w:rPr>
        <w:t>.</w:t>
      </w:r>
      <w:r w:rsidR="0096775B" w:rsidRPr="00C33C2F">
        <w:rPr>
          <w:rFonts w:ascii="Book Antiqua" w:hAnsi="Book Antiqua"/>
          <w:sz w:val="24"/>
          <w:szCs w:val="24"/>
          <w:lang w:val="en-US"/>
        </w:rPr>
        <w:t>6-5.6 b</w:t>
      </w:r>
      <w:r w:rsidR="00B40FAB" w:rsidRPr="00C33C2F">
        <w:rPr>
          <w:rFonts w:ascii="Book Antiqua" w:hAnsi="Book Antiqua"/>
          <w:sz w:val="24"/>
          <w:szCs w:val="24"/>
          <w:lang w:val="en-US"/>
        </w:rPr>
        <w:t>illions of Euros</w:t>
      </w:r>
      <w:r w:rsidR="001807F3" w:rsidRPr="00C33C2F">
        <w:rPr>
          <w:rFonts w:ascii="Book Antiqua" w:hAnsi="Book Antiqua"/>
          <w:sz w:val="24"/>
          <w:szCs w:val="24"/>
          <w:lang w:val="en-US"/>
        </w:rPr>
        <w:t>/</w:t>
      </w:r>
      <w:proofErr w:type="gramStart"/>
      <w:r w:rsidR="001807F3" w:rsidRPr="00C33C2F">
        <w:rPr>
          <w:rFonts w:ascii="Book Antiqua" w:hAnsi="Book Antiqua"/>
          <w:sz w:val="24"/>
          <w:szCs w:val="24"/>
          <w:lang w:val="en-US"/>
        </w:rPr>
        <w:t>year</w:t>
      </w:r>
      <w:r w:rsidR="00297812" w:rsidRPr="00C33C2F">
        <w:rPr>
          <w:rFonts w:ascii="Book Antiqua" w:hAnsi="Book Antiqua"/>
          <w:sz w:val="24"/>
          <w:szCs w:val="24"/>
          <w:vertAlign w:val="superscript"/>
          <w:lang w:val="en-US"/>
        </w:rPr>
        <w:t>[</w:t>
      </w:r>
      <w:proofErr w:type="gramEnd"/>
      <w:r w:rsidR="001F7029" w:rsidRPr="00C33C2F">
        <w:rPr>
          <w:rStyle w:val="a4"/>
          <w:rFonts w:ascii="Book Antiqua" w:hAnsi="Book Antiqua"/>
          <w:sz w:val="24"/>
          <w:szCs w:val="24"/>
          <w:lang w:val="en-US" w:eastAsia="zh-CN"/>
        </w:rPr>
        <w:t>3</w:t>
      </w:r>
      <w:r w:rsidR="00297812" w:rsidRPr="00C33C2F">
        <w:rPr>
          <w:rFonts w:ascii="Book Antiqua" w:hAnsi="Book Antiqua"/>
          <w:sz w:val="24"/>
          <w:szCs w:val="24"/>
          <w:vertAlign w:val="superscript"/>
          <w:lang w:val="en-US"/>
        </w:rPr>
        <w:t>]</w:t>
      </w:r>
      <w:r w:rsidR="001807F3" w:rsidRPr="00C33C2F">
        <w:rPr>
          <w:rFonts w:ascii="Book Antiqua" w:hAnsi="Book Antiqua"/>
          <w:sz w:val="24"/>
          <w:szCs w:val="24"/>
          <w:lang w:val="en-US"/>
        </w:rPr>
        <w:t>. The prevalence of IBD is expected to increase further due to the early age of onset</w:t>
      </w:r>
      <w:r w:rsidR="0096775B" w:rsidRPr="00C33C2F">
        <w:rPr>
          <w:rFonts w:ascii="Book Antiqua" w:hAnsi="Book Antiqua"/>
          <w:sz w:val="24"/>
          <w:szCs w:val="24"/>
          <w:lang w:val="en-US"/>
        </w:rPr>
        <w:t>,</w:t>
      </w:r>
      <w:r w:rsidR="001807F3" w:rsidRPr="00C33C2F">
        <w:rPr>
          <w:rFonts w:ascii="Book Antiqua" w:hAnsi="Book Antiqua"/>
          <w:sz w:val="24"/>
          <w:szCs w:val="24"/>
          <w:lang w:val="en-US"/>
        </w:rPr>
        <w:t xml:space="preserve"> </w:t>
      </w:r>
      <w:r w:rsidR="00B40FAB" w:rsidRPr="00C33C2F">
        <w:rPr>
          <w:rFonts w:ascii="Book Antiqua" w:hAnsi="Book Antiqua"/>
          <w:sz w:val="24"/>
          <w:szCs w:val="24"/>
          <w:lang w:val="en-US"/>
        </w:rPr>
        <w:t xml:space="preserve">the lifelong course and </w:t>
      </w:r>
      <w:r w:rsidR="0096775B" w:rsidRPr="00C33C2F">
        <w:rPr>
          <w:rFonts w:ascii="Book Antiqua" w:hAnsi="Book Antiqua"/>
          <w:sz w:val="24"/>
          <w:szCs w:val="24"/>
          <w:lang w:val="en-US"/>
        </w:rPr>
        <w:t xml:space="preserve">no increased </w:t>
      </w:r>
      <w:r w:rsidR="001807F3" w:rsidRPr="00C33C2F">
        <w:rPr>
          <w:rFonts w:ascii="Book Antiqua" w:hAnsi="Book Antiqua"/>
          <w:sz w:val="24"/>
          <w:szCs w:val="24"/>
          <w:lang w:val="en-US"/>
        </w:rPr>
        <w:t>mortality</w:t>
      </w:r>
      <w:r w:rsidR="00B40FAB" w:rsidRPr="00C33C2F">
        <w:rPr>
          <w:rFonts w:ascii="Book Antiqua" w:hAnsi="Book Antiqua"/>
          <w:sz w:val="24"/>
          <w:szCs w:val="24"/>
          <w:lang w:val="en-US"/>
        </w:rPr>
        <w:t>,</w:t>
      </w:r>
      <w:r w:rsidR="001807F3" w:rsidRPr="00C33C2F">
        <w:rPr>
          <w:rFonts w:ascii="Book Antiqua" w:hAnsi="Book Antiqua"/>
          <w:sz w:val="24"/>
          <w:szCs w:val="24"/>
          <w:lang w:val="en-US"/>
        </w:rPr>
        <w:t xml:space="preserve"> </w:t>
      </w:r>
      <w:r w:rsidR="0096775B" w:rsidRPr="00C33C2F">
        <w:rPr>
          <w:rFonts w:ascii="Book Antiqua" w:hAnsi="Book Antiqua"/>
          <w:sz w:val="24"/>
          <w:szCs w:val="24"/>
          <w:lang w:val="en-US"/>
        </w:rPr>
        <w:t xml:space="preserve">therefore an appropriate </w:t>
      </w:r>
      <w:r w:rsidR="001807F3" w:rsidRPr="00C33C2F">
        <w:rPr>
          <w:rFonts w:ascii="Book Antiqua" w:hAnsi="Book Antiqua"/>
          <w:sz w:val="24"/>
          <w:szCs w:val="24"/>
          <w:lang w:val="en-US"/>
        </w:rPr>
        <w:t>long-term con</w:t>
      </w:r>
      <w:r w:rsidR="00B40FAB" w:rsidRPr="00C33C2F">
        <w:rPr>
          <w:rFonts w:ascii="Book Antiqua" w:hAnsi="Book Antiqua"/>
          <w:sz w:val="24"/>
          <w:szCs w:val="24"/>
          <w:lang w:val="en-US"/>
        </w:rPr>
        <w:t>trol of the disease is mandatory</w:t>
      </w:r>
      <w:r w:rsidR="001807F3" w:rsidRPr="00C33C2F">
        <w:rPr>
          <w:rFonts w:ascii="Book Antiqua" w:hAnsi="Book Antiqua"/>
          <w:sz w:val="24"/>
          <w:szCs w:val="24"/>
          <w:lang w:val="en-US"/>
        </w:rPr>
        <w:t xml:space="preserve"> considering</w:t>
      </w:r>
      <w:r w:rsidR="001451C5" w:rsidRPr="00C33C2F">
        <w:rPr>
          <w:rFonts w:ascii="Book Antiqua" w:hAnsi="Book Antiqua"/>
          <w:sz w:val="24"/>
          <w:szCs w:val="24"/>
          <w:lang w:val="en-US"/>
        </w:rPr>
        <w:t xml:space="preserve"> its social </w:t>
      </w:r>
      <w:r w:rsidR="0096775B" w:rsidRPr="00C33C2F">
        <w:rPr>
          <w:rFonts w:ascii="Book Antiqua" w:hAnsi="Book Antiqua"/>
          <w:sz w:val="24"/>
          <w:szCs w:val="24"/>
          <w:lang w:val="en-US"/>
        </w:rPr>
        <w:t>and economic burden</w:t>
      </w:r>
      <w:r w:rsidR="001451C5" w:rsidRPr="00C33C2F">
        <w:rPr>
          <w:rFonts w:ascii="Book Antiqua" w:hAnsi="Book Antiqua"/>
          <w:sz w:val="24"/>
          <w:szCs w:val="24"/>
          <w:lang w:val="en-US"/>
        </w:rPr>
        <w:t xml:space="preserve">. </w:t>
      </w:r>
      <w:r w:rsidR="004F44D7" w:rsidRPr="00C33C2F">
        <w:rPr>
          <w:rFonts w:ascii="Book Antiqua" w:hAnsi="Book Antiqua"/>
          <w:sz w:val="24"/>
          <w:szCs w:val="24"/>
          <w:lang w:val="en-US"/>
        </w:rPr>
        <w:t xml:space="preserve">The </w:t>
      </w:r>
      <w:r w:rsidR="00F46116" w:rsidRPr="00C33C2F">
        <w:rPr>
          <w:rFonts w:ascii="Book Antiqua" w:hAnsi="Book Antiqua"/>
          <w:sz w:val="24"/>
          <w:szCs w:val="24"/>
          <w:lang w:val="en-US"/>
        </w:rPr>
        <w:t>introduction</w:t>
      </w:r>
      <w:r w:rsidR="004F44D7" w:rsidRPr="00C33C2F">
        <w:rPr>
          <w:rFonts w:ascii="Book Antiqua" w:hAnsi="Book Antiqua"/>
          <w:sz w:val="24"/>
          <w:szCs w:val="24"/>
          <w:lang w:val="en-US"/>
        </w:rPr>
        <w:t xml:space="preserve"> of</w:t>
      </w:r>
      <w:r w:rsidR="00F46116" w:rsidRPr="00C33C2F">
        <w:rPr>
          <w:rFonts w:ascii="Book Antiqua" w:hAnsi="Book Antiqua"/>
          <w:sz w:val="24"/>
          <w:szCs w:val="24"/>
          <w:lang w:val="en-US"/>
        </w:rPr>
        <w:t xml:space="preserve"> targeted</w:t>
      </w:r>
      <w:r w:rsidR="004F44D7" w:rsidRPr="00C33C2F">
        <w:rPr>
          <w:rFonts w:ascii="Book Antiqua" w:hAnsi="Book Antiqua"/>
          <w:sz w:val="24"/>
          <w:szCs w:val="24"/>
          <w:lang w:val="en-US"/>
        </w:rPr>
        <w:t xml:space="preserve"> biological </w:t>
      </w:r>
      <w:r w:rsidR="00F46116" w:rsidRPr="00C33C2F">
        <w:rPr>
          <w:rFonts w:ascii="Book Antiqua" w:hAnsi="Book Antiqua"/>
          <w:sz w:val="24"/>
          <w:szCs w:val="24"/>
          <w:lang w:val="en-US"/>
        </w:rPr>
        <w:t>therapies</w:t>
      </w:r>
      <w:r w:rsidR="004F44D7" w:rsidRPr="00C33C2F">
        <w:rPr>
          <w:rFonts w:ascii="Book Antiqua" w:hAnsi="Book Antiqua"/>
          <w:sz w:val="24"/>
          <w:szCs w:val="24"/>
          <w:lang w:val="en-US"/>
        </w:rPr>
        <w:t xml:space="preserve"> has significantly improved </w:t>
      </w:r>
      <w:r w:rsidR="0096775B" w:rsidRPr="00C33C2F">
        <w:rPr>
          <w:rFonts w:ascii="Book Antiqua" w:hAnsi="Book Antiqua"/>
          <w:sz w:val="24"/>
          <w:szCs w:val="24"/>
          <w:lang w:val="en-US"/>
        </w:rPr>
        <w:t xml:space="preserve">the </w:t>
      </w:r>
      <w:r w:rsidR="004F44D7" w:rsidRPr="00C33C2F">
        <w:rPr>
          <w:rFonts w:ascii="Book Antiqua" w:hAnsi="Book Antiqua"/>
          <w:sz w:val="24"/>
          <w:szCs w:val="24"/>
          <w:lang w:val="en-US"/>
        </w:rPr>
        <w:t xml:space="preserve">outcomes </w:t>
      </w:r>
      <w:r w:rsidR="0096775B" w:rsidRPr="00C33C2F">
        <w:rPr>
          <w:rFonts w:ascii="Book Antiqua" w:hAnsi="Book Antiqua"/>
          <w:sz w:val="24"/>
          <w:szCs w:val="24"/>
          <w:lang w:val="en-US"/>
        </w:rPr>
        <w:t>o</w:t>
      </w:r>
      <w:r w:rsidR="004F44D7" w:rsidRPr="00C33C2F">
        <w:rPr>
          <w:rFonts w:ascii="Book Antiqua" w:hAnsi="Book Antiqua"/>
          <w:sz w:val="24"/>
          <w:szCs w:val="24"/>
          <w:lang w:val="en-US"/>
        </w:rPr>
        <w:t>f</w:t>
      </w:r>
      <w:r w:rsidR="0096775B" w:rsidRPr="00C33C2F">
        <w:rPr>
          <w:rFonts w:ascii="Book Antiqua" w:hAnsi="Book Antiqua"/>
          <w:sz w:val="24"/>
          <w:szCs w:val="24"/>
          <w:lang w:val="en-US"/>
        </w:rPr>
        <w:t xml:space="preserve"> IBD patients</w:t>
      </w:r>
      <w:r w:rsidR="004F44D7" w:rsidRPr="00C33C2F">
        <w:rPr>
          <w:rFonts w:ascii="Book Antiqua" w:hAnsi="Book Antiqua"/>
          <w:sz w:val="24"/>
          <w:szCs w:val="24"/>
          <w:lang w:val="en-US"/>
        </w:rPr>
        <w:t xml:space="preserve">. </w:t>
      </w:r>
    </w:p>
    <w:p w:rsidR="00F46116" w:rsidRPr="00C33C2F" w:rsidRDefault="00F46116" w:rsidP="008B1267">
      <w:pPr>
        <w:spacing w:after="0" w:line="360" w:lineRule="auto"/>
        <w:ind w:firstLineChars="150" w:firstLine="360"/>
        <w:jc w:val="both"/>
        <w:rPr>
          <w:rFonts w:ascii="Book Antiqua" w:hAnsi="Book Antiqua"/>
          <w:sz w:val="24"/>
          <w:szCs w:val="24"/>
          <w:lang w:val="en-US"/>
        </w:rPr>
      </w:pPr>
      <w:r w:rsidRPr="00C33C2F">
        <w:rPr>
          <w:rFonts w:ascii="Book Antiqua" w:hAnsi="Book Antiqua"/>
          <w:sz w:val="24"/>
          <w:szCs w:val="24"/>
          <w:lang w:val="en-US"/>
        </w:rPr>
        <w:t>Infliximab was the first biological therapy approved in IBD followed by othe</w:t>
      </w:r>
      <w:r w:rsidR="00B40FAB" w:rsidRPr="00C33C2F">
        <w:rPr>
          <w:rFonts w:ascii="Book Antiqua" w:hAnsi="Book Antiqua"/>
          <w:sz w:val="24"/>
          <w:szCs w:val="24"/>
          <w:lang w:val="en-US"/>
        </w:rPr>
        <w:t>r anti-TNFα drugs (</w:t>
      </w:r>
      <w:proofErr w:type="spellStart"/>
      <w:r w:rsidR="00B40FAB" w:rsidRPr="00C33C2F">
        <w:rPr>
          <w:rFonts w:ascii="Book Antiqua" w:hAnsi="Book Antiqua"/>
          <w:sz w:val="24"/>
          <w:szCs w:val="24"/>
          <w:lang w:val="en-US"/>
        </w:rPr>
        <w:t>Adalimumab</w:t>
      </w:r>
      <w:proofErr w:type="spellEnd"/>
      <w:r w:rsidR="00B40FAB" w:rsidRPr="00C33C2F">
        <w:rPr>
          <w:rFonts w:ascii="Book Antiqua" w:hAnsi="Book Antiqua"/>
          <w:sz w:val="24"/>
          <w:szCs w:val="24"/>
          <w:lang w:val="en-US"/>
        </w:rPr>
        <w:t xml:space="preserve">, </w:t>
      </w:r>
      <w:proofErr w:type="spellStart"/>
      <w:r w:rsidR="00B40FAB" w:rsidRPr="00C33C2F">
        <w:rPr>
          <w:rFonts w:ascii="Book Antiqua" w:hAnsi="Book Antiqua"/>
          <w:sz w:val="24"/>
          <w:szCs w:val="24"/>
          <w:lang w:val="en-US"/>
        </w:rPr>
        <w:t>Certolizumab</w:t>
      </w:r>
      <w:proofErr w:type="spellEnd"/>
      <w:r w:rsidR="00B40FAB" w:rsidRPr="00C33C2F">
        <w:rPr>
          <w:rFonts w:ascii="Book Antiqua" w:hAnsi="Book Antiqua"/>
          <w:sz w:val="24"/>
          <w:szCs w:val="24"/>
          <w:lang w:val="en-US"/>
        </w:rPr>
        <w:t xml:space="preserve">, </w:t>
      </w:r>
      <w:proofErr w:type="spellStart"/>
      <w:proofErr w:type="gramStart"/>
      <w:r w:rsidR="00B40FAB" w:rsidRPr="00C33C2F">
        <w:rPr>
          <w:rFonts w:ascii="Book Antiqua" w:hAnsi="Book Antiqua"/>
          <w:sz w:val="24"/>
          <w:szCs w:val="24"/>
          <w:lang w:val="en-US"/>
        </w:rPr>
        <w:t>G</w:t>
      </w:r>
      <w:r w:rsidRPr="00C33C2F">
        <w:rPr>
          <w:rFonts w:ascii="Book Antiqua" w:hAnsi="Book Antiqua"/>
          <w:sz w:val="24"/>
          <w:szCs w:val="24"/>
          <w:lang w:val="en-US"/>
        </w:rPr>
        <w:t>olimumab</w:t>
      </w:r>
      <w:proofErr w:type="spellEnd"/>
      <w:proofErr w:type="gramEnd"/>
      <w:r w:rsidRPr="00C33C2F">
        <w:rPr>
          <w:rFonts w:ascii="Book Antiqua" w:hAnsi="Book Antiqua"/>
          <w:sz w:val="24"/>
          <w:szCs w:val="24"/>
          <w:lang w:val="en-US"/>
        </w:rPr>
        <w:t>) and by anti-integrin antibodies (</w:t>
      </w:r>
      <w:proofErr w:type="spellStart"/>
      <w:r w:rsidRPr="00C33C2F">
        <w:rPr>
          <w:rFonts w:ascii="Book Antiqua" w:hAnsi="Book Antiqua"/>
          <w:sz w:val="24"/>
          <w:szCs w:val="24"/>
          <w:lang w:val="en-US"/>
        </w:rPr>
        <w:t>Natalizumab</w:t>
      </w:r>
      <w:proofErr w:type="spellEnd"/>
      <w:r w:rsidRPr="00C33C2F">
        <w:rPr>
          <w:rFonts w:ascii="Book Antiqua" w:hAnsi="Book Antiqua"/>
          <w:sz w:val="24"/>
          <w:szCs w:val="24"/>
          <w:lang w:val="en-US"/>
        </w:rPr>
        <w:t xml:space="preserve">, </w:t>
      </w:r>
      <w:proofErr w:type="spellStart"/>
      <w:r w:rsidRPr="00C33C2F">
        <w:rPr>
          <w:rFonts w:ascii="Book Antiqua" w:hAnsi="Book Antiqua"/>
          <w:sz w:val="24"/>
          <w:szCs w:val="24"/>
          <w:lang w:val="en-US"/>
        </w:rPr>
        <w:t>Vedolizumab</w:t>
      </w:r>
      <w:proofErr w:type="spellEnd"/>
      <w:r w:rsidRPr="00C33C2F">
        <w:rPr>
          <w:rFonts w:ascii="Book Antiqua" w:hAnsi="Book Antiqua"/>
          <w:sz w:val="24"/>
          <w:szCs w:val="24"/>
          <w:lang w:val="en-US"/>
        </w:rPr>
        <w:t>). Other agents are under investigati</w:t>
      </w:r>
      <w:r w:rsidR="00B40FAB" w:rsidRPr="00C33C2F">
        <w:rPr>
          <w:rFonts w:ascii="Book Antiqua" w:hAnsi="Book Antiqua"/>
          <w:sz w:val="24"/>
          <w:szCs w:val="24"/>
          <w:lang w:val="en-US"/>
        </w:rPr>
        <w:t xml:space="preserve">ons in IBD, as </w:t>
      </w:r>
      <w:proofErr w:type="spellStart"/>
      <w:r w:rsidR="00B40FAB" w:rsidRPr="00C33C2F">
        <w:rPr>
          <w:rFonts w:ascii="Book Antiqua" w:hAnsi="Book Antiqua"/>
          <w:sz w:val="24"/>
          <w:szCs w:val="24"/>
          <w:lang w:val="en-US"/>
        </w:rPr>
        <w:t>Ustekinumab</w:t>
      </w:r>
      <w:proofErr w:type="spellEnd"/>
      <w:r w:rsidR="00B40FAB" w:rsidRPr="00C33C2F">
        <w:rPr>
          <w:rFonts w:ascii="Book Antiqua" w:hAnsi="Book Antiqua"/>
          <w:sz w:val="24"/>
          <w:szCs w:val="24"/>
          <w:lang w:val="en-US"/>
        </w:rPr>
        <w:t xml:space="preserve"> and </w:t>
      </w:r>
      <w:proofErr w:type="spellStart"/>
      <w:proofErr w:type="gramStart"/>
      <w:r w:rsidR="00B40FAB" w:rsidRPr="00C33C2F">
        <w:rPr>
          <w:rFonts w:ascii="Book Antiqua" w:hAnsi="Book Antiqua"/>
          <w:sz w:val="24"/>
          <w:szCs w:val="24"/>
          <w:lang w:val="en-US"/>
        </w:rPr>
        <w:t>T</w:t>
      </w:r>
      <w:r w:rsidRPr="00C33C2F">
        <w:rPr>
          <w:rFonts w:ascii="Book Antiqua" w:hAnsi="Book Antiqua"/>
          <w:sz w:val="24"/>
          <w:szCs w:val="24"/>
          <w:lang w:val="en-US"/>
        </w:rPr>
        <w:t>ofacitinib</w:t>
      </w:r>
      <w:proofErr w:type="spellEnd"/>
      <w:r w:rsidR="00302E87" w:rsidRPr="00C33C2F">
        <w:rPr>
          <w:rFonts w:ascii="Book Antiqua" w:hAnsi="Book Antiqua"/>
          <w:sz w:val="24"/>
          <w:szCs w:val="24"/>
          <w:vertAlign w:val="superscript"/>
          <w:lang w:val="en-US"/>
        </w:rPr>
        <w:t>[</w:t>
      </w:r>
      <w:proofErr w:type="gramEnd"/>
      <w:r w:rsidR="001F7029" w:rsidRPr="00C33C2F">
        <w:rPr>
          <w:rStyle w:val="a4"/>
          <w:rFonts w:ascii="Book Antiqua" w:hAnsi="Book Antiqua"/>
          <w:sz w:val="24"/>
          <w:szCs w:val="24"/>
          <w:lang w:val="en-US" w:eastAsia="zh-CN"/>
        </w:rPr>
        <w:t>4</w:t>
      </w:r>
      <w:r w:rsidR="00297812" w:rsidRPr="00C33C2F">
        <w:rPr>
          <w:rFonts w:ascii="Book Antiqua" w:hAnsi="Book Antiqua"/>
          <w:sz w:val="24"/>
          <w:szCs w:val="24"/>
          <w:vertAlign w:val="superscript"/>
          <w:lang w:val="en-US"/>
        </w:rPr>
        <w:t>]</w:t>
      </w:r>
      <w:r w:rsidRPr="00C33C2F">
        <w:rPr>
          <w:rFonts w:ascii="Book Antiqua" w:hAnsi="Book Antiqua"/>
          <w:sz w:val="24"/>
          <w:szCs w:val="24"/>
          <w:lang w:val="en-US"/>
        </w:rPr>
        <w:t xml:space="preserve">. </w:t>
      </w:r>
    </w:p>
    <w:p w:rsidR="000B2B32" w:rsidRPr="00C33C2F" w:rsidRDefault="009B0A9F" w:rsidP="008B1267">
      <w:pPr>
        <w:spacing w:after="0" w:line="360" w:lineRule="auto"/>
        <w:ind w:firstLineChars="100" w:firstLine="240"/>
        <w:jc w:val="both"/>
        <w:rPr>
          <w:rFonts w:ascii="Book Antiqua" w:hAnsi="Book Antiqua"/>
          <w:sz w:val="24"/>
          <w:szCs w:val="24"/>
          <w:lang w:val="en-US"/>
        </w:rPr>
      </w:pPr>
      <w:r w:rsidRPr="00C33C2F">
        <w:rPr>
          <w:rFonts w:ascii="Book Antiqua" w:hAnsi="Book Antiqua"/>
          <w:sz w:val="24"/>
          <w:szCs w:val="24"/>
          <w:lang w:val="en-US"/>
        </w:rPr>
        <w:t>In the therapeutic paradigm</w:t>
      </w:r>
      <w:r w:rsidR="00943FA3" w:rsidRPr="00C33C2F">
        <w:rPr>
          <w:rFonts w:ascii="Book Antiqua" w:hAnsi="Book Antiqua"/>
          <w:sz w:val="24"/>
          <w:szCs w:val="24"/>
          <w:lang w:val="en-US"/>
        </w:rPr>
        <w:t>,</w:t>
      </w:r>
      <w:r w:rsidRPr="00C33C2F">
        <w:rPr>
          <w:rFonts w:ascii="Book Antiqua" w:hAnsi="Book Antiqua"/>
          <w:sz w:val="24"/>
          <w:szCs w:val="24"/>
          <w:lang w:val="en-US"/>
        </w:rPr>
        <w:t xml:space="preserve"> b</w:t>
      </w:r>
      <w:r w:rsidR="004F44D7" w:rsidRPr="00C33C2F">
        <w:rPr>
          <w:rFonts w:ascii="Book Antiqua" w:hAnsi="Book Antiqua"/>
          <w:sz w:val="24"/>
          <w:szCs w:val="24"/>
          <w:lang w:val="en-US"/>
        </w:rPr>
        <w:t xml:space="preserve">iological therapy was generally considered as separated from </w:t>
      </w:r>
      <w:r w:rsidRPr="00C33C2F">
        <w:rPr>
          <w:rFonts w:ascii="Book Antiqua" w:hAnsi="Book Antiqua"/>
          <w:sz w:val="24"/>
          <w:szCs w:val="24"/>
          <w:lang w:val="en-US"/>
        </w:rPr>
        <w:t>“c</w:t>
      </w:r>
      <w:r w:rsidR="001451C5" w:rsidRPr="00C33C2F">
        <w:rPr>
          <w:rFonts w:ascii="Book Antiqua" w:hAnsi="Book Antiqua"/>
          <w:sz w:val="24"/>
          <w:szCs w:val="24"/>
          <w:lang w:val="en-US"/>
        </w:rPr>
        <w:t xml:space="preserve">onventional” treatment strategy, </w:t>
      </w:r>
      <w:r w:rsidR="00943FA3" w:rsidRPr="00C33C2F">
        <w:rPr>
          <w:rFonts w:ascii="Book Antiqua" w:hAnsi="Book Antiqua"/>
          <w:sz w:val="24"/>
          <w:szCs w:val="24"/>
          <w:lang w:val="en-US"/>
        </w:rPr>
        <w:t xml:space="preserve">which </w:t>
      </w:r>
      <w:r w:rsidR="001451C5" w:rsidRPr="00C33C2F">
        <w:rPr>
          <w:rFonts w:ascii="Book Antiqua" w:hAnsi="Book Antiqua"/>
          <w:sz w:val="24"/>
          <w:szCs w:val="24"/>
          <w:lang w:val="en-US"/>
        </w:rPr>
        <w:t>includ</w:t>
      </w:r>
      <w:r w:rsidR="00943FA3" w:rsidRPr="00C33C2F">
        <w:rPr>
          <w:rFonts w:ascii="Book Antiqua" w:hAnsi="Book Antiqua"/>
          <w:sz w:val="24"/>
          <w:szCs w:val="24"/>
          <w:lang w:val="en-US"/>
        </w:rPr>
        <w:t xml:space="preserve">es </w:t>
      </w:r>
      <w:proofErr w:type="spellStart"/>
      <w:r w:rsidR="00B40FAB" w:rsidRPr="00C33C2F">
        <w:rPr>
          <w:rFonts w:ascii="Book Antiqua" w:hAnsi="Book Antiqua"/>
          <w:sz w:val="24"/>
          <w:szCs w:val="24"/>
          <w:lang w:val="en-US"/>
        </w:rPr>
        <w:t>mesalazine</w:t>
      </w:r>
      <w:proofErr w:type="spellEnd"/>
      <w:r w:rsidR="00B40FAB" w:rsidRPr="00C33C2F">
        <w:rPr>
          <w:rFonts w:ascii="Book Antiqua" w:hAnsi="Book Antiqua"/>
          <w:sz w:val="24"/>
          <w:szCs w:val="24"/>
          <w:lang w:val="en-US"/>
        </w:rPr>
        <w:t xml:space="preserve">, </w:t>
      </w:r>
      <w:r w:rsidR="001451C5" w:rsidRPr="00C33C2F">
        <w:rPr>
          <w:rFonts w:ascii="Book Antiqua" w:hAnsi="Book Antiqua"/>
          <w:sz w:val="24"/>
          <w:szCs w:val="24"/>
          <w:lang w:val="en-US"/>
        </w:rPr>
        <w:t>glucocortico</w:t>
      </w:r>
      <w:r w:rsidR="004F44D7" w:rsidRPr="00C33C2F">
        <w:rPr>
          <w:rFonts w:ascii="Book Antiqua" w:hAnsi="Book Antiqua"/>
          <w:sz w:val="24"/>
          <w:szCs w:val="24"/>
          <w:lang w:val="en-US"/>
        </w:rPr>
        <w:t xml:space="preserve">ids and oral </w:t>
      </w:r>
      <w:proofErr w:type="spellStart"/>
      <w:r w:rsidR="004F44D7" w:rsidRPr="00C33C2F">
        <w:rPr>
          <w:rFonts w:ascii="Book Antiqua" w:hAnsi="Book Antiqua"/>
          <w:sz w:val="24"/>
          <w:szCs w:val="24"/>
          <w:lang w:val="en-US"/>
        </w:rPr>
        <w:t>immunosuppressants</w:t>
      </w:r>
      <w:proofErr w:type="spellEnd"/>
      <w:r w:rsidR="004F44D7" w:rsidRPr="00C33C2F">
        <w:rPr>
          <w:rFonts w:ascii="Book Antiqua" w:hAnsi="Book Antiqua"/>
          <w:sz w:val="24"/>
          <w:szCs w:val="24"/>
          <w:lang w:val="en-US"/>
        </w:rPr>
        <w:t xml:space="preserve">. The </w:t>
      </w:r>
      <w:r w:rsidR="000B2B32" w:rsidRPr="00C33C2F">
        <w:rPr>
          <w:rFonts w:ascii="Book Antiqua" w:hAnsi="Book Antiqua"/>
          <w:sz w:val="24"/>
          <w:szCs w:val="24"/>
          <w:lang w:val="en-US"/>
        </w:rPr>
        <w:t xml:space="preserve">reasons are mostly related </w:t>
      </w:r>
      <w:r w:rsidR="001451C5" w:rsidRPr="00C33C2F">
        <w:rPr>
          <w:rFonts w:ascii="Book Antiqua" w:hAnsi="Book Antiqua"/>
          <w:sz w:val="24"/>
          <w:szCs w:val="24"/>
          <w:lang w:val="en-US"/>
        </w:rPr>
        <w:t xml:space="preserve">to </w:t>
      </w:r>
      <w:r w:rsidR="00B40FAB" w:rsidRPr="00C33C2F">
        <w:rPr>
          <w:rFonts w:ascii="Book Antiqua" w:hAnsi="Book Antiqua"/>
          <w:sz w:val="24"/>
          <w:szCs w:val="24"/>
          <w:lang w:val="en-US"/>
        </w:rPr>
        <w:t xml:space="preserve">the </w:t>
      </w:r>
      <w:r w:rsidR="001451C5" w:rsidRPr="00C33C2F">
        <w:rPr>
          <w:rFonts w:ascii="Book Antiqua" w:hAnsi="Book Antiqua"/>
          <w:sz w:val="24"/>
          <w:szCs w:val="24"/>
          <w:lang w:val="en-US"/>
        </w:rPr>
        <w:t>unknown safety pr</w:t>
      </w:r>
      <w:r w:rsidR="004F44D7" w:rsidRPr="00C33C2F">
        <w:rPr>
          <w:rFonts w:ascii="Book Antiqua" w:hAnsi="Book Antiqua"/>
          <w:sz w:val="24"/>
          <w:szCs w:val="24"/>
          <w:lang w:val="en-US"/>
        </w:rPr>
        <w:t xml:space="preserve">ofile </w:t>
      </w:r>
      <w:r w:rsidR="00B40FAB" w:rsidRPr="00C33C2F">
        <w:rPr>
          <w:rFonts w:ascii="Book Antiqua" w:hAnsi="Book Antiqua"/>
          <w:sz w:val="24"/>
          <w:szCs w:val="24"/>
          <w:lang w:val="en-US"/>
        </w:rPr>
        <w:t xml:space="preserve">of the biologics </w:t>
      </w:r>
      <w:r w:rsidR="004F44D7" w:rsidRPr="00C33C2F">
        <w:rPr>
          <w:rFonts w:ascii="Book Antiqua" w:hAnsi="Book Antiqua"/>
          <w:sz w:val="24"/>
          <w:szCs w:val="24"/>
          <w:lang w:val="en-US"/>
        </w:rPr>
        <w:t xml:space="preserve">when </w:t>
      </w:r>
      <w:r w:rsidR="00B40FAB" w:rsidRPr="00C33C2F">
        <w:rPr>
          <w:rFonts w:ascii="Book Antiqua" w:hAnsi="Book Antiqua"/>
          <w:sz w:val="24"/>
          <w:szCs w:val="24"/>
          <w:lang w:val="en-US"/>
        </w:rPr>
        <w:t xml:space="preserve">they were first approved and </w:t>
      </w:r>
      <w:r w:rsidR="004F44D7" w:rsidRPr="00C33C2F">
        <w:rPr>
          <w:rFonts w:ascii="Book Antiqua" w:hAnsi="Book Antiqua"/>
          <w:sz w:val="24"/>
          <w:szCs w:val="24"/>
          <w:lang w:val="en-US"/>
        </w:rPr>
        <w:t xml:space="preserve">their high </w:t>
      </w:r>
      <w:r w:rsidR="00B40FAB" w:rsidRPr="00C33C2F">
        <w:rPr>
          <w:rFonts w:ascii="Book Antiqua" w:hAnsi="Book Antiqua"/>
          <w:sz w:val="24"/>
          <w:szCs w:val="24"/>
          <w:lang w:val="en-US"/>
        </w:rPr>
        <w:t>cost</w:t>
      </w:r>
      <w:r w:rsidR="000B2B32" w:rsidRPr="00C33C2F">
        <w:rPr>
          <w:rFonts w:ascii="Book Antiqua" w:hAnsi="Book Antiqua"/>
          <w:sz w:val="24"/>
          <w:szCs w:val="24"/>
          <w:lang w:val="en-US"/>
        </w:rPr>
        <w:t>. However</w:t>
      </w:r>
      <w:r w:rsidR="00B40FAB" w:rsidRPr="00C33C2F">
        <w:rPr>
          <w:rFonts w:ascii="Book Antiqua" w:hAnsi="Book Antiqua"/>
          <w:sz w:val="24"/>
          <w:szCs w:val="24"/>
          <w:lang w:val="en-US"/>
        </w:rPr>
        <w:t>, this distinction</w:t>
      </w:r>
      <w:r w:rsidR="000B2B32" w:rsidRPr="00C33C2F">
        <w:rPr>
          <w:rFonts w:ascii="Book Antiqua" w:hAnsi="Book Antiqua"/>
          <w:sz w:val="24"/>
          <w:szCs w:val="24"/>
          <w:lang w:val="en-US"/>
        </w:rPr>
        <w:t xml:space="preserve"> is </w:t>
      </w:r>
      <w:r w:rsidR="00B40FAB" w:rsidRPr="00C33C2F">
        <w:rPr>
          <w:rFonts w:ascii="Book Antiqua" w:hAnsi="Book Antiqua"/>
          <w:sz w:val="24"/>
          <w:szCs w:val="24"/>
          <w:lang w:val="en-US"/>
        </w:rPr>
        <w:t xml:space="preserve">not </w:t>
      </w:r>
      <w:r w:rsidR="000B2B32" w:rsidRPr="00C33C2F">
        <w:rPr>
          <w:rFonts w:ascii="Book Antiqua" w:hAnsi="Book Antiqua"/>
          <w:sz w:val="24"/>
          <w:szCs w:val="24"/>
          <w:lang w:val="en-US"/>
        </w:rPr>
        <w:t>justified</w:t>
      </w:r>
      <w:r w:rsidR="00B40FAB" w:rsidRPr="00C33C2F">
        <w:rPr>
          <w:rFonts w:ascii="Book Antiqua" w:hAnsi="Book Antiqua"/>
          <w:sz w:val="24"/>
          <w:szCs w:val="24"/>
          <w:lang w:val="en-US"/>
        </w:rPr>
        <w:t xml:space="preserve"> yet</w:t>
      </w:r>
      <w:r w:rsidR="000B2B32" w:rsidRPr="00C33C2F">
        <w:rPr>
          <w:rFonts w:ascii="Book Antiqua" w:hAnsi="Book Antiqua"/>
          <w:sz w:val="24"/>
          <w:szCs w:val="24"/>
          <w:lang w:val="en-US"/>
        </w:rPr>
        <w:t xml:space="preserve">, </w:t>
      </w:r>
      <w:r w:rsidR="00B40FAB" w:rsidRPr="00C33C2F">
        <w:rPr>
          <w:rFonts w:ascii="Book Antiqua" w:hAnsi="Book Antiqua"/>
          <w:sz w:val="24"/>
          <w:szCs w:val="24"/>
          <w:lang w:val="en-US"/>
        </w:rPr>
        <w:t xml:space="preserve">especially by </w:t>
      </w:r>
      <w:r w:rsidR="000B2B32" w:rsidRPr="00C33C2F">
        <w:rPr>
          <w:rFonts w:ascii="Book Antiqua" w:hAnsi="Book Antiqua"/>
          <w:sz w:val="24"/>
          <w:szCs w:val="24"/>
          <w:lang w:val="en-US"/>
        </w:rPr>
        <w:t>considering the progress made in the field of biologic</w:t>
      </w:r>
      <w:r w:rsidRPr="00C33C2F">
        <w:rPr>
          <w:rFonts w:ascii="Book Antiqua" w:hAnsi="Book Antiqua"/>
          <w:sz w:val="24"/>
          <w:szCs w:val="24"/>
          <w:lang w:val="en-US"/>
        </w:rPr>
        <w:t>al</w:t>
      </w:r>
      <w:r w:rsidR="000B2B32" w:rsidRPr="00C33C2F">
        <w:rPr>
          <w:rFonts w:ascii="Book Antiqua" w:hAnsi="Book Antiqua"/>
          <w:sz w:val="24"/>
          <w:szCs w:val="24"/>
          <w:lang w:val="en-US"/>
        </w:rPr>
        <w:t xml:space="preserve"> therapy and the advent of </w:t>
      </w:r>
      <w:proofErr w:type="spellStart"/>
      <w:r w:rsidR="000B2B32" w:rsidRPr="00C33C2F">
        <w:rPr>
          <w:rFonts w:ascii="Book Antiqua" w:hAnsi="Book Antiqua"/>
          <w:sz w:val="24"/>
          <w:szCs w:val="24"/>
          <w:lang w:val="en-US"/>
        </w:rPr>
        <w:t>biosimilar</w:t>
      </w:r>
      <w:proofErr w:type="spellEnd"/>
      <w:r w:rsidR="000B2B32" w:rsidRPr="00C33C2F">
        <w:rPr>
          <w:rFonts w:ascii="Book Antiqua" w:hAnsi="Book Antiqua"/>
          <w:sz w:val="24"/>
          <w:szCs w:val="24"/>
          <w:lang w:val="en-US"/>
        </w:rPr>
        <w:t xml:space="preserve"> drugs. </w:t>
      </w:r>
    </w:p>
    <w:p w:rsidR="00DF1E91" w:rsidRPr="00C33C2F" w:rsidRDefault="00943C26" w:rsidP="00307B02">
      <w:pPr>
        <w:spacing w:after="0" w:line="360" w:lineRule="auto"/>
        <w:ind w:firstLineChars="150" w:firstLine="360"/>
        <w:jc w:val="both"/>
        <w:rPr>
          <w:rFonts w:ascii="Book Antiqua" w:hAnsi="Book Antiqua"/>
          <w:sz w:val="24"/>
          <w:szCs w:val="24"/>
          <w:lang w:val="en-US"/>
        </w:rPr>
      </w:pPr>
      <w:r w:rsidRPr="00C33C2F">
        <w:rPr>
          <w:rFonts w:ascii="Book Antiqua" w:hAnsi="Book Antiqua"/>
          <w:sz w:val="24"/>
          <w:szCs w:val="24"/>
          <w:lang w:val="en-US"/>
        </w:rPr>
        <w:t>In response to the high cost of reference biological drug</w:t>
      </w:r>
      <w:r w:rsidR="009B0A9F" w:rsidRPr="00C33C2F">
        <w:rPr>
          <w:rFonts w:ascii="Book Antiqua" w:hAnsi="Book Antiqua"/>
          <w:sz w:val="24"/>
          <w:szCs w:val="24"/>
          <w:lang w:val="en-US"/>
        </w:rPr>
        <w:t>s</w:t>
      </w:r>
      <w:r w:rsidRPr="00C33C2F">
        <w:rPr>
          <w:rFonts w:ascii="Book Antiqua" w:hAnsi="Book Antiqua"/>
          <w:sz w:val="24"/>
          <w:szCs w:val="24"/>
          <w:lang w:val="en-US"/>
        </w:rPr>
        <w:t xml:space="preserve"> and with the recent or imminent patent expiry, interest in </w:t>
      </w:r>
      <w:proofErr w:type="spellStart"/>
      <w:r w:rsidRPr="00C33C2F">
        <w:rPr>
          <w:rFonts w:ascii="Book Antiqua" w:hAnsi="Book Antiqua"/>
          <w:sz w:val="24"/>
          <w:szCs w:val="24"/>
          <w:lang w:val="en-US"/>
        </w:rPr>
        <w:t>biosimilars</w:t>
      </w:r>
      <w:proofErr w:type="spellEnd"/>
      <w:r w:rsidRPr="00C33C2F">
        <w:rPr>
          <w:rFonts w:ascii="Book Antiqua" w:hAnsi="Book Antiqua"/>
          <w:sz w:val="24"/>
          <w:szCs w:val="24"/>
          <w:lang w:val="en-US"/>
        </w:rPr>
        <w:t xml:space="preserve"> has gro</w:t>
      </w:r>
      <w:r w:rsidR="00943FA3" w:rsidRPr="00C33C2F">
        <w:rPr>
          <w:rFonts w:ascii="Book Antiqua" w:hAnsi="Book Antiqua"/>
          <w:sz w:val="24"/>
          <w:szCs w:val="24"/>
          <w:lang w:val="en-US"/>
        </w:rPr>
        <w:t>wn. Because of their lower cost</w:t>
      </w:r>
      <w:r w:rsidRPr="00C33C2F">
        <w:rPr>
          <w:rFonts w:ascii="Book Antiqua" w:hAnsi="Book Antiqua"/>
          <w:sz w:val="24"/>
          <w:szCs w:val="24"/>
          <w:lang w:val="en-US"/>
        </w:rPr>
        <w:t>, they lead to a significant cost savings for the health commu</w:t>
      </w:r>
      <w:r w:rsidR="00284B3F" w:rsidRPr="00C33C2F">
        <w:rPr>
          <w:rFonts w:ascii="Book Antiqua" w:hAnsi="Book Antiqua"/>
          <w:sz w:val="24"/>
          <w:szCs w:val="24"/>
          <w:lang w:val="en-US"/>
        </w:rPr>
        <w:t>nity, increase</w:t>
      </w:r>
      <w:r w:rsidR="00943FA3" w:rsidRPr="00C33C2F">
        <w:rPr>
          <w:rFonts w:ascii="Book Antiqua" w:hAnsi="Book Antiqua"/>
          <w:sz w:val="24"/>
          <w:szCs w:val="24"/>
          <w:lang w:val="en-US"/>
        </w:rPr>
        <w:t>d</w:t>
      </w:r>
      <w:r w:rsidR="00284B3F" w:rsidRPr="00C33C2F">
        <w:rPr>
          <w:rFonts w:ascii="Book Antiqua" w:hAnsi="Book Antiqua"/>
          <w:sz w:val="24"/>
          <w:szCs w:val="24"/>
          <w:lang w:val="en-US"/>
        </w:rPr>
        <w:t xml:space="preserve"> earlier access to biological therapy and may facilitate the efficient allocation of </w:t>
      </w:r>
      <w:r w:rsidR="00943FA3" w:rsidRPr="00C33C2F">
        <w:rPr>
          <w:rFonts w:ascii="Book Antiqua" w:hAnsi="Book Antiqua"/>
          <w:sz w:val="24"/>
          <w:szCs w:val="24"/>
          <w:lang w:val="en-US"/>
        </w:rPr>
        <w:t xml:space="preserve">the always </w:t>
      </w:r>
      <w:r w:rsidR="00284B3F" w:rsidRPr="00C33C2F">
        <w:rPr>
          <w:rFonts w:ascii="Book Antiqua" w:hAnsi="Book Antiqua"/>
          <w:sz w:val="24"/>
          <w:szCs w:val="24"/>
          <w:lang w:val="en-US"/>
        </w:rPr>
        <w:t>limited financial resources</w:t>
      </w:r>
      <w:r w:rsidR="00302E87" w:rsidRPr="00C33C2F">
        <w:rPr>
          <w:rFonts w:ascii="Book Antiqua" w:hAnsi="Book Antiqua"/>
          <w:sz w:val="24"/>
          <w:szCs w:val="24"/>
          <w:vertAlign w:val="superscript"/>
          <w:lang w:val="en-US"/>
        </w:rPr>
        <w:t>[</w:t>
      </w:r>
      <w:r w:rsidR="001F7029" w:rsidRPr="00C33C2F">
        <w:rPr>
          <w:rStyle w:val="a4"/>
          <w:rFonts w:ascii="Book Antiqua" w:hAnsi="Book Antiqua"/>
          <w:sz w:val="24"/>
          <w:szCs w:val="24"/>
          <w:lang w:val="en-US" w:eastAsia="zh-CN"/>
        </w:rPr>
        <w:t>5</w:t>
      </w:r>
      <w:r w:rsidR="00297812" w:rsidRPr="00C33C2F">
        <w:rPr>
          <w:rFonts w:ascii="Book Antiqua" w:hAnsi="Book Antiqua"/>
          <w:sz w:val="24"/>
          <w:szCs w:val="24"/>
          <w:vertAlign w:val="superscript"/>
          <w:lang w:val="en-US"/>
        </w:rPr>
        <w:t>]</w:t>
      </w:r>
      <w:r w:rsidR="00284B3F" w:rsidRPr="00C33C2F">
        <w:rPr>
          <w:rFonts w:ascii="Book Antiqua" w:hAnsi="Book Antiqua"/>
          <w:sz w:val="24"/>
          <w:szCs w:val="24"/>
          <w:lang w:val="en-US"/>
        </w:rPr>
        <w:t xml:space="preserve">; </w:t>
      </w:r>
      <w:r w:rsidRPr="00C33C2F">
        <w:rPr>
          <w:rFonts w:ascii="Book Antiqua" w:hAnsi="Book Antiqua"/>
          <w:sz w:val="24"/>
          <w:szCs w:val="24"/>
          <w:lang w:val="en-US"/>
        </w:rPr>
        <w:t>more patients in the world could</w:t>
      </w:r>
      <w:r w:rsidR="00284B3F" w:rsidRPr="00C33C2F">
        <w:rPr>
          <w:rFonts w:ascii="Book Antiqua" w:hAnsi="Book Antiqua"/>
          <w:sz w:val="24"/>
          <w:szCs w:val="24"/>
          <w:lang w:val="en-US"/>
        </w:rPr>
        <w:t xml:space="preserve"> access biological agents earlier with also the possibility to switch from costly originator versions to </w:t>
      </w:r>
      <w:proofErr w:type="spellStart"/>
      <w:r w:rsidR="00284B3F" w:rsidRPr="00C33C2F">
        <w:rPr>
          <w:rFonts w:ascii="Book Antiqua" w:hAnsi="Book Antiqua"/>
          <w:sz w:val="24"/>
          <w:szCs w:val="24"/>
          <w:lang w:val="en-US"/>
        </w:rPr>
        <w:t>biosimilar</w:t>
      </w:r>
      <w:proofErr w:type="spellEnd"/>
      <w:r w:rsidR="00284B3F" w:rsidRPr="00C33C2F">
        <w:rPr>
          <w:rFonts w:ascii="Book Antiqua" w:hAnsi="Book Antiqua"/>
          <w:sz w:val="24"/>
          <w:szCs w:val="24"/>
          <w:lang w:val="en-US"/>
        </w:rPr>
        <w:t xml:space="preserve"> alternatives</w:t>
      </w:r>
      <w:r w:rsidR="00302E87" w:rsidRPr="00C33C2F">
        <w:rPr>
          <w:rFonts w:ascii="Book Antiqua" w:hAnsi="Book Antiqua"/>
          <w:sz w:val="24"/>
          <w:szCs w:val="24"/>
          <w:vertAlign w:val="superscript"/>
          <w:lang w:val="en-US"/>
        </w:rPr>
        <w:t>[</w:t>
      </w:r>
      <w:r w:rsidR="001F7029" w:rsidRPr="00C33C2F">
        <w:rPr>
          <w:rStyle w:val="a4"/>
          <w:rFonts w:ascii="Book Antiqua" w:hAnsi="Book Antiqua"/>
          <w:sz w:val="24"/>
          <w:szCs w:val="24"/>
          <w:lang w:val="en-US" w:eastAsia="zh-CN"/>
        </w:rPr>
        <w:t>6</w:t>
      </w:r>
      <w:r w:rsidR="00297812" w:rsidRPr="00C33C2F">
        <w:rPr>
          <w:rFonts w:ascii="Book Antiqua" w:hAnsi="Book Antiqua"/>
          <w:sz w:val="24"/>
          <w:szCs w:val="24"/>
          <w:vertAlign w:val="superscript"/>
          <w:lang w:val="en-US"/>
        </w:rPr>
        <w:t>]</w:t>
      </w:r>
      <w:r w:rsidRPr="00C33C2F">
        <w:rPr>
          <w:rFonts w:ascii="Book Antiqua" w:hAnsi="Book Antiqua"/>
          <w:sz w:val="24"/>
          <w:szCs w:val="24"/>
          <w:lang w:val="en-US"/>
        </w:rPr>
        <w:t xml:space="preserve">. </w:t>
      </w:r>
      <w:proofErr w:type="spellStart"/>
      <w:r w:rsidR="00284B3F" w:rsidRPr="00C33C2F">
        <w:rPr>
          <w:rFonts w:ascii="Book Antiqua" w:hAnsi="Book Antiqua"/>
          <w:sz w:val="24"/>
          <w:szCs w:val="24"/>
          <w:lang w:val="en-US"/>
        </w:rPr>
        <w:t>Biosimilars</w:t>
      </w:r>
      <w:proofErr w:type="spellEnd"/>
      <w:r w:rsidR="00284B3F" w:rsidRPr="00C33C2F">
        <w:rPr>
          <w:rFonts w:ascii="Book Antiqua" w:hAnsi="Book Antiqua"/>
          <w:sz w:val="24"/>
          <w:szCs w:val="24"/>
          <w:lang w:val="en-US"/>
        </w:rPr>
        <w:t xml:space="preserve"> are expected to save 11.8-33.4 billion Euros between 2007 and 2020 in the EU and 44.2 billion US dollars over the 10</w:t>
      </w:r>
      <w:r w:rsidR="00943FA3" w:rsidRPr="00C33C2F">
        <w:rPr>
          <w:rFonts w:ascii="Book Antiqua" w:hAnsi="Book Antiqua"/>
          <w:sz w:val="24"/>
          <w:szCs w:val="24"/>
          <w:lang w:val="en-US"/>
        </w:rPr>
        <w:t>-</w:t>
      </w:r>
      <w:r w:rsidR="00284B3F" w:rsidRPr="00C33C2F">
        <w:rPr>
          <w:rFonts w:ascii="Book Antiqua" w:hAnsi="Book Antiqua"/>
          <w:sz w:val="24"/>
          <w:szCs w:val="24"/>
          <w:lang w:val="en-US"/>
        </w:rPr>
        <w:t xml:space="preserve"> year period between 2014 and 2024</w:t>
      </w:r>
      <w:r w:rsidR="00302E87" w:rsidRPr="00C33C2F">
        <w:rPr>
          <w:rFonts w:ascii="Book Antiqua" w:hAnsi="Book Antiqua"/>
          <w:sz w:val="24"/>
          <w:szCs w:val="24"/>
          <w:vertAlign w:val="superscript"/>
          <w:lang w:val="en-US"/>
        </w:rPr>
        <w:t>[</w:t>
      </w:r>
      <w:r w:rsidR="001F7029" w:rsidRPr="00C33C2F">
        <w:rPr>
          <w:rStyle w:val="a4"/>
          <w:rFonts w:ascii="Book Antiqua" w:hAnsi="Book Antiqua"/>
          <w:sz w:val="24"/>
          <w:szCs w:val="24"/>
          <w:lang w:val="en-US" w:eastAsia="zh-CN"/>
        </w:rPr>
        <w:t>7</w:t>
      </w:r>
      <w:r w:rsidR="00297812" w:rsidRPr="00C33C2F">
        <w:rPr>
          <w:rFonts w:ascii="Book Antiqua" w:hAnsi="Book Antiqua"/>
          <w:sz w:val="24"/>
          <w:szCs w:val="24"/>
          <w:vertAlign w:val="superscript"/>
          <w:lang w:val="en-US"/>
        </w:rPr>
        <w:t>]</w:t>
      </w:r>
      <w:r w:rsidR="00284B3F" w:rsidRPr="00C33C2F">
        <w:rPr>
          <w:rFonts w:ascii="Book Antiqua" w:hAnsi="Book Antiqua"/>
          <w:sz w:val="24"/>
          <w:szCs w:val="24"/>
          <w:lang w:val="en-US"/>
        </w:rPr>
        <w:t xml:space="preserve">. </w:t>
      </w:r>
    </w:p>
    <w:p w:rsidR="00DF1E91" w:rsidRPr="00C33C2F" w:rsidRDefault="00DF1E91" w:rsidP="008B1267">
      <w:pPr>
        <w:spacing w:after="0" w:line="360" w:lineRule="auto"/>
        <w:jc w:val="both"/>
        <w:rPr>
          <w:rFonts w:ascii="Book Antiqua" w:hAnsi="Book Antiqua"/>
          <w:sz w:val="24"/>
          <w:szCs w:val="24"/>
          <w:lang w:val="en-US"/>
        </w:rPr>
      </w:pPr>
    </w:p>
    <w:p w:rsidR="00284B3F" w:rsidRPr="00C33C2F" w:rsidRDefault="00302E87" w:rsidP="008B1267">
      <w:pPr>
        <w:spacing w:after="0" w:line="360" w:lineRule="auto"/>
        <w:jc w:val="both"/>
        <w:rPr>
          <w:rFonts w:ascii="Book Antiqua" w:hAnsi="Book Antiqua"/>
          <w:b/>
          <w:sz w:val="24"/>
          <w:szCs w:val="24"/>
          <w:lang w:val="en-US"/>
        </w:rPr>
      </w:pPr>
      <w:r w:rsidRPr="00C33C2F">
        <w:rPr>
          <w:rFonts w:ascii="Book Antiqua" w:hAnsi="Book Antiqua"/>
          <w:b/>
          <w:sz w:val="24"/>
          <w:szCs w:val="24"/>
          <w:lang w:val="en-US"/>
        </w:rPr>
        <w:t>BIOLOGICAL THERAPIES AND BIOSIMILARS</w:t>
      </w:r>
    </w:p>
    <w:p w:rsidR="00304173" w:rsidRPr="00C33C2F" w:rsidRDefault="00D650F4" w:rsidP="008B1267">
      <w:pPr>
        <w:spacing w:after="0" w:line="360" w:lineRule="auto"/>
        <w:jc w:val="both"/>
        <w:rPr>
          <w:rFonts w:ascii="Book Antiqua" w:hAnsi="Book Antiqua"/>
          <w:vanish/>
          <w:sz w:val="24"/>
          <w:szCs w:val="24"/>
          <w:lang w:val="en-US"/>
          <w:specVanish/>
        </w:rPr>
      </w:pPr>
      <w:r w:rsidRPr="00C33C2F">
        <w:rPr>
          <w:rFonts w:ascii="Book Antiqua" w:hAnsi="Book Antiqua"/>
          <w:sz w:val="24"/>
          <w:szCs w:val="24"/>
          <w:lang w:val="en-US"/>
        </w:rPr>
        <w:t xml:space="preserve">Biological products (or biologics) are defined as active substances derived from living cells or organisms with the aid of biotechnology methods (recombinant DNA, controlled gene </w:t>
      </w:r>
      <w:r w:rsidRPr="00C33C2F">
        <w:rPr>
          <w:rFonts w:ascii="Book Antiqua" w:hAnsi="Book Antiqua"/>
          <w:sz w:val="24"/>
          <w:szCs w:val="24"/>
          <w:lang w:val="en-US"/>
        </w:rPr>
        <w:lastRenderedPageBreak/>
        <w:t>expression, antibody technologies</w:t>
      </w:r>
      <w:proofErr w:type="gramStart"/>
      <w:r w:rsidRPr="00C33C2F">
        <w:rPr>
          <w:rFonts w:ascii="Book Antiqua" w:hAnsi="Book Antiqua"/>
          <w:sz w:val="24"/>
          <w:szCs w:val="24"/>
          <w:lang w:val="en-US"/>
        </w:rPr>
        <w:t>)</w:t>
      </w:r>
      <w:r w:rsidR="00302E87" w:rsidRPr="00C33C2F">
        <w:rPr>
          <w:rFonts w:ascii="Book Antiqua" w:hAnsi="Book Antiqua"/>
          <w:sz w:val="24"/>
          <w:szCs w:val="24"/>
          <w:vertAlign w:val="superscript"/>
          <w:lang w:val="en-US"/>
        </w:rPr>
        <w:t>[</w:t>
      </w:r>
      <w:proofErr w:type="gramEnd"/>
      <w:r w:rsidR="001F7029" w:rsidRPr="00C33C2F">
        <w:rPr>
          <w:rFonts w:ascii="Book Antiqua" w:hAnsi="Book Antiqua"/>
          <w:sz w:val="24"/>
          <w:szCs w:val="24"/>
          <w:vertAlign w:val="superscript"/>
          <w:lang w:val="en-US" w:eastAsia="zh-CN"/>
        </w:rPr>
        <w:t>8</w:t>
      </w:r>
      <w:r w:rsidR="00297812" w:rsidRPr="00C33C2F">
        <w:rPr>
          <w:rFonts w:ascii="Book Antiqua" w:hAnsi="Book Antiqua"/>
          <w:sz w:val="24"/>
          <w:szCs w:val="24"/>
          <w:vertAlign w:val="superscript"/>
          <w:lang w:val="en-US"/>
        </w:rPr>
        <w:t>]</w:t>
      </w:r>
      <w:r w:rsidR="009B0A9F" w:rsidRPr="00C33C2F">
        <w:rPr>
          <w:rFonts w:ascii="Book Antiqua" w:hAnsi="Book Antiqua"/>
          <w:sz w:val="24"/>
          <w:szCs w:val="24"/>
          <w:lang w:val="en-US"/>
        </w:rPr>
        <w:t>.</w:t>
      </w:r>
      <w:r w:rsidRPr="00C33C2F">
        <w:rPr>
          <w:rFonts w:ascii="Book Antiqua" w:hAnsi="Book Antiqua"/>
          <w:sz w:val="24"/>
          <w:szCs w:val="24"/>
          <w:lang w:val="en-US"/>
        </w:rPr>
        <w:t xml:space="preserve"> </w:t>
      </w:r>
      <w:r w:rsidR="00530D56" w:rsidRPr="00C33C2F">
        <w:rPr>
          <w:rFonts w:ascii="Book Antiqua" w:hAnsi="Book Antiqua"/>
          <w:sz w:val="24"/>
          <w:szCs w:val="24"/>
          <w:lang w:val="en-US"/>
        </w:rPr>
        <w:t>The relatively high price of biologic agents and their r</w:t>
      </w:r>
      <w:r w:rsidR="00206B95" w:rsidRPr="00C33C2F">
        <w:rPr>
          <w:rFonts w:ascii="Book Antiqua" w:hAnsi="Book Antiqua"/>
          <w:sz w:val="24"/>
          <w:szCs w:val="24"/>
          <w:lang w:val="en-US"/>
        </w:rPr>
        <w:t xml:space="preserve">ecent or impending </w:t>
      </w:r>
      <w:r w:rsidR="00530D56" w:rsidRPr="00C33C2F">
        <w:rPr>
          <w:rFonts w:ascii="Book Antiqua" w:hAnsi="Book Antiqua"/>
          <w:sz w:val="24"/>
          <w:szCs w:val="24"/>
          <w:lang w:val="en-US"/>
        </w:rPr>
        <w:t xml:space="preserve">patent </w:t>
      </w:r>
      <w:r w:rsidR="00206B95" w:rsidRPr="00C33C2F">
        <w:rPr>
          <w:rFonts w:ascii="Book Antiqua" w:hAnsi="Book Antiqua"/>
          <w:sz w:val="24"/>
          <w:szCs w:val="24"/>
          <w:lang w:val="en-US"/>
        </w:rPr>
        <w:t>expiration</w:t>
      </w:r>
      <w:r w:rsidR="00530D56" w:rsidRPr="00C33C2F">
        <w:rPr>
          <w:rFonts w:ascii="Book Antiqua" w:hAnsi="Book Antiqua"/>
          <w:sz w:val="24"/>
          <w:szCs w:val="24"/>
          <w:lang w:val="en-US"/>
        </w:rPr>
        <w:t xml:space="preserve"> has led to development of similar versions of these drugs, called “</w:t>
      </w:r>
      <w:proofErr w:type="spellStart"/>
      <w:r w:rsidR="00530D56" w:rsidRPr="00C33C2F">
        <w:rPr>
          <w:rFonts w:ascii="Book Antiqua" w:hAnsi="Book Antiqua"/>
          <w:sz w:val="24"/>
          <w:szCs w:val="24"/>
          <w:lang w:val="en-US"/>
        </w:rPr>
        <w:t>biosimilar</w:t>
      </w:r>
      <w:proofErr w:type="spellEnd"/>
      <w:r w:rsidR="00530D56" w:rsidRPr="00C33C2F">
        <w:rPr>
          <w:rFonts w:ascii="Book Antiqua" w:hAnsi="Book Antiqua"/>
          <w:sz w:val="24"/>
          <w:szCs w:val="24"/>
          <w:lang w:val="en-US"/>
        </w:rPr>
        <w:t xml:space="preserve"> agents”. </w:t>
      </w:r>
      <w:r w:rsidRPr="00C33C2F">
        <w:rPr>
          <w:rFonts w:ascii="Book Antiqua" w:hAnsi="Book Antiqua"/>
          <w:sz w:val="24"/>
          <w:szCs w:val="24"/>
          <w:lang w:val="en-US"/>
        </w:rPr>
        <w:t xml:space="preserve">The World Health Organization defines a </w:t>
      </w:r>
      <w:proofErr w:type="spellStart"/>
      <w:r w:rsidRPr="00C33C2F">
        <w:rPr>
          <w:rFonts w:ascii="Book Antiqua" w:hAnsi="Book Antiqua"/>
          <w:sz w:val="24"/>
          <w:szCs w:val="24"/>
          <w:lang w:val="en-US"/>
        </w:rPr>
        <w:t>biosimilar</w:t>
      </w:r>
      <w:proofErr w:type="spellEnd"/>
      <w:r w:rsidRPr="00C33C2F">
        <w:rPr>
          <w:rFonts w:ascii="Book Antiqua" w:hAnsi="Book Antiqua"/>
          <w:sz w:val="24"/>
          <w:szCs w:val="24"/>
          <w:lang w:val="en-US"/>
        </w:rPr>
        <w:t xml:space="preserve"> as a “</w:t>
      </w:r>
      <w:proofErr w:type="spellStart"/>
      <w:r w:rsidRPr="00C33C2F">
        <w:rPr>
          <w:rFonts w:ascii="Book Antiqua" w:hAnsi="Book Antiqua"/>
          <w:sz w:val="24"/>
          <w:szCs w:val="24"/>
          <w:lang w:val="en-US"/>
        </w:rPr>
        <w:t>biotherapeutic</w:t>
      </w:r>
      <w:proofErr w:type="spellEnd"/>
      <w:r w:rsidRPr="00C33C2F">
        <w:rPr>
          <w:rFonts w:ascii="Book Antiqua" w:hAnsi="Book Antiqua"/>
          <w:sz w:val="24"/>
          <w:szCs w:val="24"/>
          <w:lang w:val="en-US"/>
        </w:rPr>
        <w:t xml:space="preserve"> product which is similar in terms of quality, safety and efficacy to an already licensed r</w:t>
      </w:r>
      <w:r w:rsidR="00302E87" w:rsidRPr="00C33C2F">
        <w:rPr>
          <w:rFonts w:ascii="Book Antiqua" w:hAnsi="Book Antiqua"/>
          <w:sz w:val="24"/>
          <w:szCs w:val="24"/>
          <w:lang w:val="en-US"/>
        </w:rPr>
        <w:t xml:space="preserve">eference </w:t>
      </w:r>
      <w:proofErr w:type="spellStart"/>
      <w:r w:rsidR="00302E87" w:rsidRPr="00C33C2F">
        <w:rPr>
          <w:rFonts w:ascii="Book Antiqua" w:hAnsi="Book Antiqua"/>
          <w:sz w:val="24"/>
          <w:szCs w:val="24"/>
          <w:lang w:val="en-US"/>
        </w:rPr>
        <w:t>biotherapeutic</w:t>
      </w:r>
      <w:proofErr w:type="spellEnd"/>
      <w:r w:rsidR="00302E87" w:rsidRPr="00C33C2F">
        <w:rPr>
          <w:rFonts w:ascii="Book Antiqua" w:hAnsi="Book Antiqua"/>
          <w:sz w:val="24"/>
          <w:szCs w:val="24"/>
          <w:lang w:val="en-US"/>
        </w:rPr>
        <w:t xml:space="preserve"> </w:t>
      </w:r>
      <w:proofErr w:type="gramStart"/>
      <w:r w:rsidR="00302E87" w:rsidRPr="00C33C2F">
        <w:rPr>
          <w:rFonts w:ascii="Book Antiqua" w:hAnsi="Book Antiqua"/>
          <w:sz w:val="24"/>
          <w:szCs w:val="24"/>
          <w:lang w:val="en-US"/>
        </w:rPr>
        <w:t>product</w:t>
      </w:r>
      <w:r w:rsidR="00302E87" w:rsidRPr="00C33C2F">
        <w:rPr>
          <w:rFonts w:ascii="Book Antiqua" w:hAnsi="Book Antiqua"/>
          <w:sz w:val="24"/>
          <w:szCs w:val="24"/>
          <w:vertAlign w:val="superscript"/>
          <w:lang w:val="en-US" w:eastAsia="zh-CN"/>
        </w:rPr>
        <w:t>[</w:t>
      </w:r>
      <w:proofErr w:type="gramEnd"/>
      <w:r w:rsidR="00302E87" w:rsidRPr="00C33C2F">
        <w:rPr>
          <w:rFonts w:ascii="Book Antiqua" w:hAnsi="Book Antiqua"/>
          <w:sz w:val="24"/>
          <w:szCs w:val="24"/>
          <w:vertAlign w:val="superscript"/>
          <w:lang w:val="en-US" w:eastAsia="zh-CN"/>
        </w:rPr>
        <w:t>9]</w:t>
      </w:r>
      <w:r w:rsidR="00302E87" w:rsidRPr="00C33C2F">
        <w:rPr>
          <w:rFonts w:ascii="Book Antiqua" w:hAnsi="Book Antiqua"/>
          <w:sz w:val="24"/>
          <w:szCs w:val="24"/>
          <w:lang w:val="en-US"/>
        </w:rPr>
        <w:t>.</w:t>
      </w:r>
      <w:r w:rsidR="00302E87" w:rsidRPr="00C33C2F">
        <w:rPr>
          <w:rFonts w:ascii="Book Antiqua" w:hAnsi="Book Antiqua"/>
          <w:sz w:val="24"/>
          <w:szCs w:val="24"/>
          <w:lang w:val="en-US" w:eastAsia="zh-CN"/>
        </w:rPr>
        <w:t xml:space="preserve"> </w:t>
      </w:r>
      <w:r w:rsidR="00DF1E91" w:rsidRPr="00C33C2F">
        <w:rPr>
          <w:rFonts w:ascii="Book Antiqua" w:hAnsi="Book Antiqua"/>
          <w:sz w:val="24"/>
          <w:szCs w:val="24"/>
          <w:lang w:val="en-US"/>
        </w:rPr>
        <w:t xml:space="preserve">Indeed, </w:t>
      </w:r>
      <w:r w:rsidR="00C61216" w:rsidRPr="00C33C2F">
        <w:rPr>
          <w:rFonts w:ascii="Book Antiqua" w:hAnsi="Book Antiqua"/>
          <w:sz w:val="24"/>
          <w:szCs w:val="24"/>
          <w:lang w:val="en-US"/>
        </w:rPr>
        <w:t>post-</w:t>
      </w:r>
      <w:r w:rsidR="00EC3488" w:rsidRPr="00C33C2F">
        <w:rPr>
          <w:rFonts w:ascii="Book Antiqua" w:hAnsi="Book Antiqua"/>
          <w:sz w:val="24"/>
          <w:szCs w:val="24"/>
          <w:lang w:val="en-US"/>
        </w:rPr>
        <w:t>translational</w:t>
      </w:r>
      <w:r w:rsidR="00C61216" w:rsidRPr="00C33C2F">
        <w:rPr>
          <w:rFonts w:ascii="Book Antiqua" w:hAnsi="Book Antiqua"/>
          <w:sz w:val="24"/>
          <w:szCs w:val="24"/>
          <w:lang w:val="en-US"/>
        </w:rPr>
        <w:t xml:space="preserve"> modifications, in particular </w:t>
      </w:r>
      <w:proofErr w:type="spellStart"/>
      <w:r w:rsidR="00C61216" w:rsidRPr="00C33C2F">
        <w:rPr>
          <w:rFonts w:ascii="Book Antiqua" w:hAnsi="Book Antiqua"/>
          <w:sz w:val="24"/>
          <w:szCs w:val="24"/>
          <w:lang w:val="en-US"/>
        </w:rPr>
        <w:t>glycosilation</w:t>
      </w:r>
      <w:proofErr w:type="spellEnd"/>
      <w:r w:rsidR="00C61216" w:rsidRPr="00C33C2F">
        <w:rPr>
          <w:rFonts w:ascii="Book Antiqua" w:hAnsi="Book Antiqua"/>
          <w:sz w:val="24"/>
          <w:szCs w:val="24"/>
          <w:lang w:val="en-US"/>
        </w:rPr>
        <w:t>, are specific to th</w:t>
      </w:r>
      <w:r w:rsidR="00304173" w:rsidRPr="00C33C2F">
        <w:rPr>
          <w:rFonts w:ascii="Book Antiqua" w:hAnsi="Book Antiqua"/>
          <w:sz w:val="24"/>
          <w:szCs w:val="24"/>
          <w:lang w:val="en-US"/>
        </w:rPr>
        <w:t>e individual production process;</w:t>
      </w:r>
      <w:r w:rsidR="00C61216" w:rsidRPr="00C33C2F">
        <w:rPr>
          <w:rFonts w:ascii="Book Antiqua" w:hAnsi="Book Antiqua"/>
          <w:sz w:val="24"/>
          <w:szCs w:val="24"/>
          <w:lang w:val="en-US"/>
        </w:rPr>
        <w:t xml:space="preserve"> </w:t>
      </w:r>
      <w:r w:rsidR="00304173" w:rsidRPr="00C33C2F">
        <w:rPr>
          <w:rFonts w:ascii="Book Antiqua" w:hAnsi="Book Antiqua"/>
          <w:sz w:val="24"/>
          <w:szCs w:val="24"/>
          <w:lang w:val="en-US"/>
        </w:rPr>
        <w:t xml:space="preserve">no </w:t>
      </w:r>
      <w:r w:rsidR="00C61216" w:rsidRPr="00C33C2F">
        <w:rPr>
          <w:rFonts w:ascii="Book Antiqua" w:hAnsi="Book Antiqua"/>
          <w:sz w:val="24"/>
          <w:szCs w:val="24"/>
          <w:lang w:val="en-US"/>
        </w:rPr>
        <w:t xml:space="preserve">two </w:t>
      </w:r>
      <w:r w:rsidR="00304173" w:rsidRPr="00C33C2F">
        <w:rPr>
          <w:rFonts w:ascii="Book Antiqua" w:hAnsi="Book Antiqua"/>
          <w:sz w:val="24"/>
          <w:szCs w:val="24"/>
          <w:lang w:val="en-US"/>
        </w:rPr>
        <w:t xml:space="preserve">batches of a single biologic </w:t>
      </w:r>
      <w:r w:rsidR="00302E87" w:rsidRPr="00C33C2F">
        <w:rPr>
          <w:rFonts w:ascii="Book Antiqua" w:hAnsi="Book Antiqua"/>
          <w:sz w:val="24"/>
          <w:szCs w:val="24"/>
          <w:lang w:val="en-US" w:eastAsia="zh-CN"/>
        </w:rPr>
        <w:t>[</w:t>
      </w:r>
      <w:r w:rsidR="00304173" w:rsidRPr="00C33C2F">
        <w:rPr>
          <w:rFonts w:ascii="Book Antiqua" w:hAnsi="Book Antiqua"/>
          <w:sz w:val="24"/>
          <w:szCs w:val="24"/>
          <w:lang w:val="en-US"/>
        </w:rPr>
        <w:t>either a</w:t>
      </w:r>
      <w:r w:rsidR="00DF1E91" w:rsidRPr="00C33C2F">
        <w:rPr>
          <w:rFonts w:ascii="Book Antiqua" w:hAnsi="Book Antiqua"/>
          <w:sz w:val="24"/>
          <w:szCs w:val="24"/>
          <w:lang w:val="en-US"/>
        </w:rPr>
        <w:t xml:space="preserve"> reference product</w:t>
      </w:r>
      <w:r w:rsidR="00302E87" w:rsidRPr="00C33C2F">
        <w:rPr>
          <w:rFonts w:ascii="Book Antiqua" w:hAnsi="Book Antiqua"/>
          <w:sz w:val="24"/>
          <w:szCs w:val="24"/>
          <w:lang w:val="en-US" w:eastAsia="zh-CN"/>
        </w:rPr>
        <w:t xml:space="preserve"> (</w:t>
      </w:r>
      <w:r w:rsidR="00DF1E91" w:rsidRPr="00C33C2F">
        <w:rPr>
          <w:rFonts w:ascii="Book Antiqua" w:hAnsi="Book Antiqua"/>
          <w:sz w:val="24"/>
          <w:szCs w:val="24"/>
          <w:lang w:val="en-US"/>
        </w:rPr>
        <w:t>RP</w:t>
      </w:r>
      <w:r w:rsidR="00302E87" w:rsidRPr="00C33C2F">
        <w:rPr>
          <w:rFonts w:ascii="Book Antiqua" w:hAnsi="Book Antiqua"/>
          <w:sz w:val="24"/>
          <w:szCs w:val="24"/>
          <w:lang w:val="en-US" w:eastAsia="zh-CN"/>
        </w:rPr>
        <w:t>)</w:t>
      </w:r>
      <w:r w:rsidR="00DF1E91" w:rsidRPr="00C33C2F">
        <w:rPr>
          <w:rFonts w:ascii="Book Antiqua" w:hAnsi="Book Antiqua"/>
          <w:sz w:val="24"/>
          <w:szCs w:val="24"/>
          <w:lang w:val="en-US"/>
        </w:rPr>
        <w:t xml:space="preserve"> </w:t>
      </w:r>
      <w:r w:rsidR="00304173" w:rsidRPr="00C33C2F">
        <w:rPr>
          <w:rFonts w:ascii="Book Antiqua" w:hAnsi="Book Antiqua"/>
          <w:sz w:val="24"/>
          <w:szCs w:val="24"/>
          <w:lang w:val="en-US"/>
        </w:rPr>
        <w:t xml:space="preserve">or a </w:t>
      </w:r>
      <w:proofErr w:type="spellStart"/>
      <w:r w:rsidR="00304173" w:rsidRPr="00C33C2F">
        <w:rPr>
          <w:rFonts w:ascii="Book Antiqua" w:hAnsi="Book Antiqua"/>
          <w:sz w:val="24"/>
          <w:szCs w:val="24"/>
          <w:lang w:val="en-US"/>
        </w:rPr>
        <w:t>biosimilar</w:t>
      </w:r>
      <w:proofErr w:type="spellEnd"/>
      <w:r w:rsidR="00302E87" w:rsidRPr="00C33C2F">
        <w:rPr>
          <w:rFonts w:ascii="Book Antiqua" w:hAnsi="Book Antiqua"/>
          <w:sz w:val="24"/>
          <w:szCs w:val="24"/>
          <w:lang w:val="en-US" w:eastAsia="zh-CN"/>
        </w:rPr>
        <w:t>]</w:t>
      </w:r>
      <w:r w:rsidR="00304173" w:rsidRPr="00C33C2F">
        <w:rPr>
          <w:rFonts w:ascii="Book Antiqua" w:hAnsi="Book Antiqua"/>
          <w:sz w:val="24"/>
          <w:szCs w:val="24"/>
          <w:lang w:val="en-US"/>
        </w:rPr>
        <w:t xml:space="preserve"> will ever be identical</w:t>
      </w:r>
      <w:r w:rsidR="004E6699" w:rsidRPr="00C33C2F">
        <w:rPr>
          <w:rFonts w:ascii="Book Antiqua" w:hAnsi="Book Antiqua"/>
          <w:sz w:val="24"/>
          <w:szCs w:val="24"/>
          <w:lang w:val="en-US"/>
        </w:rPr>
        <w:t xml:space="preserve"> </w:t>
      </w:r>
      <w:r w:rsidR="00302E87" w:rsidRPr="00C33C2F">
        <w:rPr>
          <w:rFonts w:ascii="Book Antiqua" w:hAnsi="Book Antiqua"/>
          <w:sz w:val="24"/>
          <w:szCs w:val="24"/>
          <w:vertAlign w:val="superscript"/>
          <w:lang w:val="en-US"/>
        </w:rPr>
        <w:t>[</w:t>
      </w:r>
      <w:r w:rsidR="001F7029" w:rsidRPr="00C33C2F">
        <w:rPr>
          <w:rStyle w:val="a4"/>
          <w:rFonts w:ascii="Book Antiqua" w:hAnsi="Book Antiqua"/>
          <w:sz w:val="24"/>
          <w:szCs w:val="24"/>
          <w:lang w:val="en-US" w:eastAsia="zh-CN"/>
        </w:rPr>
        <w:t>1</w:t>
      </w:r>
      <w:r w:rsidR="001F7029" w:rsidRPr="00C33C2F">
        <w:rPr>
          <w:rFonts w:ascii="Book Antiqua" w:hAnsi="Book Antiqua"/>
          <w:sz w:val="24"/>
          <w:szCs w:val="24"/>
          <w:vertAlign w:val="superscript"/>
          <w:lang w:val="en-US" w:eastAsia="zh-CN"/>
        </w:rPr>
        <w:t>0</w:t>
      </w:r>
      <w:r w:rsidR="00297812" w:rsidRPr="00C33C2F">
        <w:rPr>
          <w:rFonts w:ascii="Book Antiqua" w:hAnsi="Book Antiqua"/>
          <w:sz w:val="24"/>
          <w:szCs w:val="24"/>
          <w:vertAlign w:val="superscript"/>
          <w:lang w:val="en-US"/>
        </w:rPr>
        <w:t>]</w:t>
      </w:r>
      <w:r w:rsidR="00C61216" w:rsidRPr="00C33C2F">
        <w:rPr>
          <w:rFonts w:ascii="Book Antiqua" w:hAnsi="Book Antiqua"/>
          <w:sz w:val="24"/>
          <w:szCs w:val="24"/>
          <w:lang w:val="en-US"/>
        </w:rPr>
        <w:t xml:space="preserve">.  </w:t>
      </w:r>
      <w:r w:rsidR="00304173" w:rsidRPr="00C33C2F">
        <w:rPr>
          <w:rFonts w:ascii="Book Antiqua" w:hAnsi="Book Antiqua"/>
          <w:sz w:val="24"/>
          <w:szCs w:val="24"/>
          <w:lang w:val="en-US"/>
        </w:rPr>
        <w:t>T</w:t>
      </w:r>
      <w:r w:rsidR="00FE01B3" w:rsidRPr="00C33C2F">
        <w:rPr>
          <w:rFonts w:ascii="Book Antiqua" w:hAnsi="Book Antiqua"/>
          <w:sz w:val="24"/>
          <w:szCs w:val="24"/>
          <w:lang w:val="en-US"/>
        </w:rPr>
        <w:t>hose differe</w:t>
      </w:r>
      <w:r w:rsidR="004E6699" w:rsidRPr="00C33C2F">
        <w:rPr>
          <w:rFonts w:ascii="Book Antiqua" w:hAnsi="Book Antiqua"/>
          <w:sz w:val="24"/>
          <w:szCs w:val="24"/>
          <w:lang w:val="en-US"/>
        </w:rPr>
        <w:t xml:space="preserve">nces are acceptable if </w:t>
      </w:r>
      <w:r w:rsidR="00FE01B3" w:rsidRPr="00C33C2F">
        <w:rPr>
          <w:rFonts w:ascii="Book Antiqua" w:hAnsi="Book Antiqua"/>
          <w:sz w:val="24"/>
          <w:szCs w:val="24"/>
          <w:lang w:val="en-US"/>
        </w:rPr>
        <w:t>molecule falls within defined “</w:t>
      </w:r>
      <w:r w:rsidR="00D95764" w:rsidRPr="00C33C2F">
        <w:rPr>
          <w:rFonts w:ascii="Book Antiqua" w:hAnsi="Book Antiqua"/>
          <w:sz w:val="24"/>
          <w:szCs w:val="24"/>
          <w:lang w:val="en-US"/>
        </w:rPr>
        <w:t xml:space="preserve">boundaries of tolerance”: variations in some features of the two molecules are only considered important if they are clinical </w:t>
      </w:r>
      <w:proofErr w:type="gramStart"/>
      <w:r w:rsidR="00D95764" w:rsidRPr="00C33C2F">
        <w:rPr>
          <w:rFonts w:ascii="Book Antiqua" w:hAnsi="Book Antiqua"/>
          <w:sz w:val="24"/>
          <w:szCs w:val="24"/>
          <w:lang w:val="en-US"/>
        </w:rPr>
        <w:t>relevant</w:t>
      </w:r>
      <w:r w:rsidR="00302E87" w:rsidRPr="00C33C2F">
        <w:rPr>
          <w:rFonts w:ascii="Book Antiqua" w:hAnsi="Book Antiqua"/>
          <w:sz w:val="24"/>
          <w:szCs w:val="24"/>
          <w:vertAlign w:val="superscript"/>
          <w:lang w:val="en-US"/>
        </w:rPr>
        <w:t>[</w:t>
      </w:r>
      <w:proofErr w:type="gramEnd"/>
      <w:r w:rsidR="001F7029" w:rsidRPr="00C33C2F">
        <w:rPr>
          <w:rStyle w:val="a4"/>
          <w:rFonts w:ascii="Book Antiqua" w:hAnsi="Book Antiqua"/>
          <w:sz w:val="24"/>
          <w:szCs w:val="24"/>
          <w:lang w:val="en-US" w:eastAsia="zh-CN"/>
        </w:rPr>
        <w:t>1</w:t>
      </w:r>
      <w:r w:rsidR="001F7029" w:rsidRPr="00C33C2F">
        <w:rPr>
          <w:rFonts w:ascii="Book Antiqua" w:hAnsi="Book Antiqua"/>
          <w:sz w:val="24"/>
          <w:szCs w:val="24"/>
          <w:vertAlign w:val="superscript"/>
          <w:lang w:val="en-US" w:eastAsia="zh-CN"/>
        </w:rPr>
        <w:t>1,12</w:t>
      </w:r>
      <w:r w:rsidR="00297812" w:rsidRPr="00C33C2F">
        <w:rPr>
          <w:rFonts w:ascii="Book Antiqua" w:hAnsi="Book Antiqua"/>
          <w:sz w:val="24"/>
          <w:szCs w:val="24"/>
          <w:vertAlign w:val="superscript"/>
          <w:lang w:val="en-US"/>
        </w:rPr>
        <w:t>]</w:t>
      </w:r>
      <w:r w:rsidR="00D95764" w:rsidRPr="00C33C2F">
        <w:rPr>
          <w:rFonts w:ascii="Book Antiqua" w:hAnsi="Book Antiqua"/>
          <w:sz w:val="24"/>
          <w:szCs w:val="24"/>
          <w:lang w:val="en-US"/>
        </w:rPr>
        <w:t>. This principle a</w:t>
      </w:r>
      <w:r w:rsidR="00063C0A" w:rsidRPr="00C33C2F">
        <w:rPr>
          <w:rFonts w:ascii="Book Antiqua" w:hAnsi="Book Antiqua"/>
          <w:sz w:val="24"/>
          <w:szCs w:val="24"/>
          <w:lang w:val="en-US"/>
        </w:rPr>
        <w:t xml:space="preserve">pplies also to </w:t>
      </w:r>
      <w:proofErr w:type="spellStart"/>
      <w:r w:rsidR="00063C0A" w:rsidRPr="00C33C2F">
        <w:rPr>
          <w:rFonts w:ascii="Book Antiqua" w:hAnsi="Book Antiqua"/>
          <w:sz w:val="24"/>
          <w:szCs w:val="24"/>
          <w:lang w:val="en-US"/>
        </w:rPr>
        <w:t>biosimilars</w:t>
      </w:r>
      <w:proofErr w:type="spellEnd"/>
      <w:r w:rsidR="00063C0A" w:rsidRPr="00C33C2F">
        <w:rPr>
          <w:rFonts w:ascii="Book Antiqua" w:hAnsi="Book Antiqua"/>
          <w:sz w:val="24"/>
          <w:szCs w:val="24"/>
          <w:lang w:val="en-US"/>
        </w:rPr>
        <w:t xml:space="preserve"> and their differences from RP are not significant if there are no clinically meaningful differences between </w:t>
      </w:r>
      <w:r w:rsidR="004E6699" w:rsidRPr="00C33C2F">
        <w:rPr>
          <w:rFonts w:ascii="Book Antiqua" w:hAnsi="Book Antiqua"/>
          <w:sz w:val="24"/>
          <w:szCs w:val="24"/>
          <w:lang w:val="en-US"/>
        </w:rPr>
        <w:t xml:space="preserve">the </w:t>
      </w:r>
      <w:r w:rsidR="00063C0A" w:rsidRPr="00C33C2F">
        <w:rPr>
          <w:rFonts w:ascii="Book Antiqua" w:hAnsi="Book Antiqua"/>
          <w:sz w:val="24"/>
          <w:szCs w:val="24"/>
          <w:lang w:val="en-US"/>
        </w:rPr>
        <w:t>two drugs in terms of safety, purity and potency</w:t>
      </w:r>
      <w:r w:rsidR="004E6699" w:rsidRPr="00C33C2F">
        <w:rPr>
          <w:rFonts w:ascii="Book Antiqua" w:hAnsi="Book Antiqua"/>
          <w:sz w:val="24"/>
          <w:szCs w:val="24"/>
          <w:lang w:val="en-US"/>
        </w:rPr>
        <w:t xml:space="preserve"> </w:t>
      </w:r>
      <w:r w:rsidR="001F7029" w:rsidRPr="00C33C2F">
        <w:rPr>
          <w:rFonts w:ascii="Book Antiqua" w:hAnsi="Book Antiqua"/>
          <w:sz w:val="24"/>
          <w:szCs w:val="24"/>
          <w:vertAlign w:val="superscript"/>
          <w:lang w:val="en-US"/>
        </w:rPr>
        <w:t>[</w:t>
      </w:r>
      <w:r w:rsidR="001F7029" w:rsidRPr="00C33C2F">
        <w:rPr>
          <w:rStyle w:val="a4"/>
          <w:rFonts w:ascii="Book Antiqua" w:hAnsi="Book Antiqua"/>
          <w:sz w:val="24"/>
          <w:szCs w:val="24"/>
          <w:lang w:val="en-US" w:eastAsia="zh-CN"/>
        </w:rPr>
        <w:t>1</w:t>
      </w:r>
      <w:r w:rsidR="001F7029" w:rsidRPr="00C33C2F">
        <w:rPr>
          <w:rFonts w:ascii="Book Antiqua" w:hAnsi="Book Antiqua"/>
          <w:sz w:val="24"/>
          <w:szCs w:val="24"/>
          <w:vertAlign w:val="superscript"/>
          <w:lang w:val="en-US" w:eastAsia="zh-CN"/>
        </w:rPr>
        <w:t>3</w:t>
      </w:r>
      <w:r w:rsidR="001F7029" w:rsidRPr="00C33C2F">
        <w:rPr>
          <w:rFonts w:ascii="Book Antiqua" w:hAnsi="Book Antiqua"/>
          <w:sz w:val="24"/>
          <w:szCs w:val="24"/>
          <w:vertAlign w:val="superscript"/>
          <w:lang w:val="en-US"/>
        </w:rPr>
        <w:t>]</w:t>
      </w:r>
      <w:r w:rsidR="00063C0A" w:rsidRPr="00C33C2F">
        <w:rPr>
          <w:rFonts w:ascii="Book Antiqua" w:hAnsi="Book Antiqua"/>
          <w:sz w:val="24"/>
          <w:szCs w:val="24"/>
          <w:lang w:val="en-US"/>
        </w:rPr>
        <w:t xml:space="preserve">. </w:t>
      </w:r>
      <w:r w:rsidR="002423F4" w:rsidRPr="00C33C2F">
        <w:rPr>
          <w:rFonts w:ascii="Book Antiqua" w:hAnsi="Book Antiqua"/>
          <w:sz w:val="24"/>
          <w:szCs w:val="24"/>
          <w:lang w:val="en-US"/>
        </w:rPr>
        <w:t xml:space="preserve">Comprehensive comparability testing is required to prove </w:t>
      </w:r>
      <w:proofErr w:type="spellStart"/>
      <w:r w:rsidR="002423F4" w:rsidRPr="00C33C2F">
        <w:rPr>
          <w:rFonts w:ascii="Book Antiqua" w:hAnsi="Book Antiqua"/>
          <w:sz w:val="24"/>
          <w:szCs w:val="24"/>
          <w:lang w:val="en-US"/>
        </w:rPr>
        <w:t>biosimilarity</w:t>
      </w:r>
      <w:proofErr w:type="spellEnd"/>
      <w:r w:rsidR="002423F4" w:rsidRPr="00C33C2F">
        <w:rPr>
          <w:rFonts w:ascii="Book Antiqua" w:hAnsi="Book Antiqua"/>
          <w:sz w:val="24"/>
          <w:szCs w:val="24"/>
          <w:lang w:val="en-US"/>
        </w:rPr>
        <w:t xml:space="preserve"> and to show that any differences found are not clinically meaningful: </w:t>
      </w:r>
      <w:proofErr w:type="spellStart"/>
      <w:r w:rsidR="00063C0A" w:rsidRPr="00C33C2F">
        <w:rPr>
          <w:rFonts w:ascii="Book Antiqua" w:hAnsi="Book Antiqua"/>
          <w:sz w:val="24"/>
          <w:szCs w:val="24"/>
          <w:lang w:val="en-US"/>
        </w:rPr>
        <w:t>biosimilars</w:t>
      </w:r>
      <w:proofErr w:type="spellEnd"/>
      <w:r w:rsidR="00063C0A" w:rsidRPr="00C33C2F">
        <w:rPr>
          <w:rFonts w:ascii="Book Antiqua" w:hAnsi="Book Antiqua"/>
          <w:sz w:val="24"/>
          <w:szCs w:val="24"/>
          <w:lang w:val="en-US"/>
        </w:rPr>
        <w:t xml:space="preserve"> undergo a</w:t>
      </w:r>
      <w:r w:rsidR="00DF1E91" w:rsidRPr="00C33C2F">
        <w:rPr>
          <w:rFonts w:ascii="Book Antiqua" w:hAnsi="Book Antiqua"/>
          <w:sz w:val="24"/>
          <w:szCs w:val="24"/>
          <w:lang w:val="en-US"/>
        </w:rPr>
        <w:t xml:space="preserve"> strict </w:t>
      </w:r>
      <w:r w:rsidR="00063C0A" w:rsidRPr="00C33C2F">
        <w:rPr>
          <w:rFonts w:ascii="Book Antiqua" w:hAnsi="Book Antiqua"/>
          <w:sz w:val="24"/>
          <w:szCs w:val="24"/>
          <w:lang w:val="en-US"/>
        </w:rPr>
        <w:t xml:space="preserve">regulatory process that involves proving structural, functional and biological </w:t>
      </w:r>
      <w:proofErr w:type="spellStart"/>
      <w:r w:rsidR="00063C0A" w:rsidRPr="00C33C2F">
        <w:rPr>
          <w:rFonts w:ascii="Book Antiqua" w:hAnsi="Book Antiqua"/>
          <w:sz w:val="24"/>
          <w:szCs w:val="24"/>
          <w:lang w:val="en-US"/>
        </w:rPr>
        <w:t>biosimilarity</w:t>
      </w:r>
      <w:proofErr w:type="spellEnd"/>
      <w:r w:rsidR="00063C0A" w:rsidRPr="00C33C2F">
        <w:rPr>
          <w:rFonts w:ascii="Book Antiqua" w:hAnsi="Book Antiqua"/>
          <w:sz w:val="24"/>
          <w:szCs w:val="24"/>
          <w:lang w:val="en-US"/>
        </w:rPr>
        <w:t xml:space="preserve"> to the RP. </w:t>
      </w:r>
    </w:p>
    <w:p w:rsidR="00D85E2C" w:rsidRPr="00C33C2F" w:rsidRDefault="00297812" w:rsidP="008B1267">
      <w:pPr>
        <w:autoSpaceDE w:val="0"/>
        <w:autoSpaceDN w:val="0"/>
        <w:adjustRightInd w:val="0"/>
        <w:spacing w:after="0" w:line="360" w:lineRule="auto"/>
        <w:jc w:val="both"/>
        <w:rPr>
          <w:rFonts w:ascii="Book Antiqua" w:hAnsi="Book Antiqua" w:cs="Times-Roman"/>
          <w:sz w:val="24"/>
          <w:szCs w:val="24"/>
          <w:lang w:val="en-US"/>
        </w:rPr>
      </w:pPr>
      <w:r w:rsidRPr="00C33C2F">
        <w:rPr>
          <w:rFonts w:ascii="Book Antiqua" w:hAnsi="Book Antiqua" w:cs="Times-Roman"/>
          <w:sz w:val="24"/>
          <w:szCs w:val="24"/>
          <w:lang w:val="en-US"/>
        </w:rPr>
        <w:t xml:space="preserve"> </w:t>
      </w:r>
      <w:r w:rsidR="002423F4" w:rsidRPr="00C33C2F">
        <w:rPr>
          <w:rFonts w:ascii="Book Antiqua" w:hAnsi="Book Antiqua" w:cs="Times-Roman"/>
          <w:sz w:val="24"/>
          <w:szCs w:val="24"/>
          <w:lang w:val="en-US"/>
        </w:rPr>
        <w:t xml:space="preserve">Considering </w:t>
      </w:r>
      <w:r w:rsidR="00D85E2C" w:rsidRPr="00C33C2F">
        <w:rPr>
          <w:rFonts w:ascii="Book Antiqua" w:hAnsi="Book Antiqua" w:cs="Times-Roman"/>
          <w:sz w:val="24"/>
          <w:szCs w:val="24"/>
          <w:lang w:val="en-US"/>
        </w:rPr>
        <w:t xml:space="preserve">that the efficacy of the </w:t>
      </w:r>
      <w:r w:rsidR="00274189" w:rsidRPr="00C33C2F">
        <w:rPr>
          <w:rFonts w:ascii="Book Antiqua" w:hAnsi="Book Antiqua" w:cs="Times-Roman"/>
          <w:sz w:val="24"/>
          <w:szCs w:val="24"/>
          <w:lang w:val="en-US"/>
        </w:rPr>
        <w:t>original</w:t>
      </w:r>
      <w:r w:rsidR="00D85E2C" w:rsidRPr="00C33C2F">
        <w:rPr>
          <w:rFonts w:ascii="Book Antiqua" w:hAnsi="Book Antiqua" w:cs="Times-Roman"/>
          <w:sz w:val="24"/>
          <w:szCs w:val="24"/>
          <w:lang w:val="en-US"/>
        </w:rPr>
        <w:t xml:space="preserve"> biologic drug has already been </w:t>
      </w:r>
      <w:r w:rsidR="00274189" w:rsidRPr="00C33C2F">
        <w:rPr>
          <w:rFonts w:ascii="Book Antiqua" w:hAnsi="Book Antiqua" w:cs="Times-Roman"/>
          <w:sz w:val="24"/>
          <w:szCs w:val="24"/>
          <w:lang w:val="en-US"/>
        </w:rPr>
        <w:t>confirmed,</w:t>
      </w:r>
      <w:r w:rsidR="00D85E2C" w:rsidRPr="00C33C2F">
        <w:rPr>
          <w:rFonts w:ascii="Book Antiqua" w:hAnsi="Book Antiqua" w:cs="Times-Roman"/>
          <w:sz w:val="24"/>
          <w:szCs w:val="24"/>
          <w:lang w:val="en-US"/>
        </w:rPr>
        <w:t xml:space="preserve"> the clinical studies required for </w:t>
      </w:r>
      <w:r w:rsidR="00DF1E91" w:rsidRPr="00C33C2F">
        <w:rPr>
          <w:rFonts w:ascii="Book Antiqua" w:hAnsi="Book Antiqua" w:cs="Times-Roman"/>
          <w:sz w:val="24"/>
          <w:szCs w:val="24"/>
          <w:lang w:val="en-US"/>
        </w:rPr>
        <w:t xml:space="preserve">the </w:t>
      </w:r>
      <w:r w:rsidR="00D85E2C" w:rsidRPr="00C33C2F">
        <w:rPr>
          <w:rFonts w:ascii="Book Antiqua" w:hAnsi="Book Antiqua" w:cs="Times-Roman"/>
          <w:sz w:val="24"/>
          <w:szCs w:val="24"/>
          <w:lang w:val="en-US"/>
        </w:rPr>
        <w:t xml:space="preserve">approval of a </w:t>
      </w:r>
      <w:proofErr w:type="spellStart"/>
      <w:r w:rsidR="00D85E2C" w:rsidRPr="00C33C2F">
        <w:rPr>
          <w:rFonts w:ascii="Book Antiqua" w:hAnsi="Book Antiqua" w:cs="Times-Roman"/>
          <w:sz w:val="24"/>
          <w:szCs w:val="24"/>
          <w:lang w:val="en-US"/>
        </w:rPr>
        <w:t>biosimilar</w:t>
      </w:r>
      <w:proofErr w:type="spellEnd"/>
      <w:r w:rsidR="00D85E2C" w:rsidRPr="00C33C2F">
        <w:rPr>
          <w:rFonts w:ascii="Book Antiqua" w:hAnsi="Book Antiqua" w:cs="Times-Roman"/>
          <w:sz w:val="24"/>
          <w:szCs w:val="24"/>
          <w:lang w:val="en-US"/>
        </w:rPr>
        <w:t xml:space="preserve"> could be </w:t>
      </w:r>
      <w:r w:rsidR="004E6699" w:rsidRPr="00C33C2F">
        <w:rPr>
          <w:rFonts w:ascii="Book Antiqua" w:hAnsi="Book Antiqua" w:cs="Times-Roman"/>
          <w:sz w:val="24"/>
          <w:szCs w:val="24"/>
          <w:lang w:val="en-US"/>
        </w:rPr>
        <w:t>significantly less c</w:t>
      </w:r>
      <w:r w:rsidR="00D85E2C" w:rsidRPr="00C33C2F">
        <w:rPr>
          <w:rFonts w:ascii="Book Antiqua" w:hAnsi="Book Antiqua" w:cs="Times-Roman"/>
          <w:sz w:val="24"/>
          <w:szCs w:val="24"/>
          <w:lang w:val="en-US"/>
        </w:rPr>
        <w:t xml:space="preserve">ompared with clinical trials required for </w:t>
      </w:r>
      <w:r w:rsidR="004E6699" w:rsidRPr="00C33C2F">
        <w:rPr>
          <w:rFonts w:ascii="Book Antiqua" w:hAnsi="Book Antiqua" w:cs="Times-Roman"/>
          <w:sz w:val="24"/>
          <w:szCs w:val="24"/>
          <w:lang w:val="en-US"/>
        </w:rPr>
        <w:t xml:space="preserve">the </w:t>
      </w:r>
      <w:r w:rsidR="00D85E2C" w:rsidRPr="00C33C2F">
        <w:rPr>
          <w:rFonts w:ascii="Book Antiqua" w:hAnsi="Book Antiqua" w:cs="Times-Roman"/>
          <w:sz w:val="24"/>
          <w:szCs w:val="24"/>
          <w:lang w:val="en-US"/>
        </w:rPr>
        <w:t xml:space="preserve">approval of the </w:t>
      </w:r>
      <w:r w:rsidR="00274189" w:rsidRPr="00C33C2F">
        <w:rPr>
          <w:rFonts w:ascii="Book Antiqua" w:hAnsi="Book Antiqua" w:cs="Times-Roman"/>
          <w:sz w:val="24"/>
          <w:szCs w:val="24"/>
          <w:lang w:val="en-US"/>
        </w:rPr>
        <w:t xml:space="preserve">reference product. </w:t>
      </w:r>
      <w:r w:rsidR="00975B7E" w:rsidRPr="00C33C2F">
        <w:rPr>
          <w:rFonts w:ascii="Book Antiqua" w:hAnsi="Book Antiqua" w:cs="Times-Roman"/>
          <w:sz w:val="24"/>
          <w:szCs w:val="24"/>
          <w:lang w:val="en-US"/>
        </w:rPr>
        <w:t>Moreover, d</w:t>
      </w:r>
      <w:r w:rsidR="00D85E2C" w:rsidRPr="00C33C2F">
        <w:rPr>
          <w:rFonts w:ascii="Book Antiqua" w:hAnsi="Book Antiqua" w:cs="Times-Roman"/>
          <w:sz w:val="24"/>
          <w:szCs w:val="24"/>
          <w:lang w:val="en-US"/>
        </w:rPr>
        <w:t xml:space="preserve">eveloping a </w:t>
      </w:r>
      <w:proofErr w:type="spellStart"/>
      <w:r w:rsidR="00D85E2C" w:rsidRPr="00C33C2F">
        <w:rPr>
          <w:rFonts w:ascii="Book Antiqua" w:hAnsi="Book Antiqua" w:cs="Times-Roman"/>
          <w:sz w:val="24"/>
          <w:szCs w:val="24"/>
          <w:lang w:val="en-US"/>
        </w:rPr>
        <w:t>biosimilar</w:t>
      </w:r>
      <w:proofErr w:type="spellEnd"/>
      <w:r w:rsidR="00D85E2C" w:rsidRPr="00C33C2F">
        <w:rPr>
          <w:rFonts w:ascii="Book Antiqua" w:hAnsi="Book Antiqua" w:cs="Times-Roman"/>
          <w:sz w:val="24"/>
          <w:szCs w:val="24"/>
          <w:lang w:val="en-US"/>
        </w:rPr>
        <w:t xml:space="preserve"> </w:t>
      </w:r>
      <w:r w:rsidR="00975B7E" w:rsidRPr="00C33C2F">
        <w:rPr>
          <w:rFonts w:ascii="Book Antiqua" w:hAnsi="Book Antiqua" w:cs="Times-Roman"/>
          <w:sz w:val="24"/>
          <w:szCs w:val="24"/>
          <w:lang w:val="en-US"/>
        </w:rPr>
        <w:t xml:space="preserve">give </w:t>
      </w:r>
      <w:r w:rsidR="00D85E2C" w:rsidRPr="00C33C2F">
        <w:rPr>
          <w:rFonts w:ascii="Book Antiqua" w:hAnsi="Book Antiqua" w:cs="Times-Roman"/>
          <w:sz w:val="24"/>
          <w:szCs w:val="24"/>
          <w:lang w:val="en-US"/>
        </w:rPr>
        <w:t>the opportunity</w:t>
      </w:r>
      <w:r w:rsidR="00975B7E" w:rsidRPr="00C33C2F">
        <w:rPr>
          <w:rFonts w:ascii="Book Antiqua" w:hAnsi="Book Antiqua" w:cs="Times-Roman"/>
          <w:sz w:val="24"/>
          <w:szCs w:val="24"/>
          <w:lang w:val="en-US"/>
        </w:rPr>
        <w:t xml:space="preserve"> to pharmaceutical companies</w:t>
      </w:r>
      <w:r w:rsidR="00D85E2C" w:rsidRPr="00C33C2F">
        <w:rPr>
          <w:rFonts w:ascii="Book Antiqua" w:hAnsi="Book Antiqua" w:cs="Times-Roman"/>
          <w:sz w:val="24"/>
          <w:szCs w:val="24"/>
          <w:lang w:val="en-US"/>
        </w:rPr>
        <w:t xml:space="preserve"> </w:t>
      </w:r>
      <w:r w:rsidR="00975B7E" w:rsidRPr="00C33C2F">
        <w:rPr>
          <w:rFonts w:ascii="Book Antiqua" w:hAnsi="Book Antiqua" w:cs="Times-Roman"/>
          <w:sz w:val="24"/>
          <w:szCs w:val="24"/>
          <w:lang w:val="en-US"/>
        </w:rPr>
        <w:t>to</w:t>
      </w:r>
      <w:r w:rsidR="00D85E2C" w:rsidRPr="00C33C2F">
        <w:rPr>
          <w:rFonts w:ascii="Book Antiqua" w:hAnsi="Book Antiqua" w:cs="Times-Roman"/>
          <w:sz w:val="24"/>
          <w:szCs w:val="24"/>
          <w:lang w:val="en-US"/>
        </w:rPr>
        <w:t xml:space="preserve"> get the </w:t>
      </w:r>
      <w:r w:rsidR="00975B7E" w:rsidRPr="00C33C2F">
        <w:rPr>
          <w:rFonts w:ascii="Book Antiqua" w:hAnsi="Book Antiqua" w:cs="Times-Roman"/>
          <w:sz w:val="24"/>
          <w:szCs w:val="24"/>
          <w:lang w:val="en-US"/>
        </w:rPr>
        <w:t xml:space="preserve">authorization </w:t>
      </w:r>
      <w:r w:rsidR="00D85E2C" w:rsidRPr="00C33C2F">
        <w:rPr>
          <w:rFonts w:ascii="Book Antiqua" w:hAnsi="Book Antiqua" w:cs="Times-Roman"/>
          <w:sz w:val="24"/>
          <w:szCs w:val="24"/>
          <w:lang w:val="en-US"/>
        </w:rPr>
        <w:t xml:space="preserve">for all indications held by the </w:t>
      </w:r>
      <w:r w:rsidR="00975B7E" w:rsidRPr="00C33C2F">
        <w:rPr>
          <w:rFonts w:ascii="Book Antiqua" w:hAnsi="Book Antiqua" w:cs="Times-Roman"/>
          <w:sz w:val="24"/>
          <w:szCs w:val="24"/>
          <w:lang w:val="en-US"/>
        </w:rPr>
        <w:t xml:space="preserve">native biologic </w:t>
      </w:r>
      <w:r w:rsidR="002423F4" w:rsidRPr="00C33C2F">
        <w:rPr>
          <w:rFonts w:ascii="Book Antiqua" w:hAnsi="Book Antiqua" w:cs="Times-Roman"/>
          <w:sz w:val="24"/>
          <w:szCs w:val="24"/>
          <w:lang w:val="en-US"/>
        </w:rPr>
        <w:t xml:space="preserve">drug, </w:t>
      </w:r>
      <w:r w:rsidR="00DF1E91" w:rsidRPr="00C33C2F">
        <w:rPr>
          <w:rFonts w:ascii="Book Antiqua" w:hAnsi="Book Antiqua" w:cs="Times-Roman"/>
          <w:sz w:val="24"/>
          <w:szCs w:val="24"/>
          <w:lang w:val="en-US"/>
        </w:rPr>
        <w:t xml:space="preserve">the </w:t>
      </w:r>
      <w:r w:rsidR="002423F4" w:rsidRPr="00C33C2F">
        <w:rPr>
          <w:rFonts w:ascii="Book Antiqua" w:hAnsi="Book Antiqua" w:cs="Times-Roman"/>
          <w:sz w:val="24"/>
          <w:szCs w:val="24"/>
          <w:lang w:val="en-US"/>
        </w:rPr>
        <w:t xml:space="preserve">so-called </w:t>
      </w:r>
      <w:r w:rsidR="00975B7E" w:rsidRPr="00C33C2F">
        <w:rPr>
          <w:rFonts w:ascii="Book Antiqua" w:hAnsi="Book Antiqua" w:cs="Times-Roman"/>
          <w:sz w:val="24"/>
          <w:szCs w:val="24"/>
          <w:lang w:val="en-US"/>
        </w:rPr>
        <w:t>“</w:t>
      </w:r>
      <w:r w:rsidR="002423F4" w:rsidRPr="00C33C2F">
        <w:rPr>
          <w:rFonts w:ascii="Book Antiqua" w:hAnsi="Book Antiqua" w:cs="Times-Roman"/>
          <w:sz w:val="24"/>
          <w:szCs w:val="24"/>
          <w:lang w:val="en-US"/>
        </w:rPr>
        <w:t>extrapolation</w:t>
      </w:r>
      <w:r w:rsidR="00975B7E" w:rsidRPr="00C33C2F">
        <w:rPr>
          <w:rFonts w:ascii="Book Antiqua" w:hAnsi="Book Antiqua" w:cs="Times-Roman"/>
          <w:sz w:val="24"/>
          <w:szCs w:val="24"/>
          <w:lang w:val="en-US"/>
        </w:rPr>
        <w:t>”</w:t>
      </w:r>
      <w:r w:rsidR="00D85E2C" w:rsidRPr="00C33C2F">
        <w:rPr>
          <w:rFonts w:ascii="Book Antiqua" w:hAnsi="Book Antiqua" w:cs="Times-Roman"/>
          <w:sz w:val="24"/>
          <w:szCs w:val="24"/>
          <w:lang w:val="en-US"/>
        </w:rPr>
        <w:t xml:space="preserve">. </w:t>
      </w:r>
      <w:r w:rsidR="002423F4" w:rsidRPr="00C33C2F">
        <w:rPr>
          <w:rFonts w:ascii="Book Antiqua" w:hAnsi="Book Antiqua" w:cs="Times-Roman"/>
          <w:sz w:val="24"/>
          <w:szCs w:val="24"/>
          <w:lang w:val="en-US"/>
        </w:rPr>
        <w:t xml:space="preserve">Extrapolation of data from one indication to another is also a pivotal aspect of </w:t>
      </w:r>
      <w:proofErr w:type="spellStart"/>
      <w:r w:rsidR="002423F4" w:rsidRPr="00C33C2F">
        <w:rPr>
          <w:rFonts w:ascii="Book Antiqua" w:hAnsi="Book Antiqua" w:cs="Times-Roman"/>
          <w:sz w:val="24"/>
          <w:szCs w:val="24"/>
          <w:lang w:val="en-US"/>
        </w:rPr>
        <w:t>biosimilar</w:t>
      </w:r>
      <w:proofErr w:type="spellEnd"/>
      <w:r w:rsidR="002423F4" w:rsidRPr="00C33C2F">
        <w:rPr>
          <w:rFonts w:ascii="Book Antiqua" w:hAnsi="Book Antiqua" w:cs="Times-Roman"/>
          <w:sz w:val="24"/>
          <w:szCs w:val="24"/>
          <w:lang w:val="en-US"/>
        </w:rPr>
        <w:t xml:space="preserve"> </w:t>
      </w:r>
      <w:proofErr w:type="gramStart"/>
      <w:r w:rsidR="002423F4" w:rsidRPr="00C33C2F">
        <w:rPr>
          <w:rFonts w:ascii="Book Antiqua" w:hAnsi="Book Antiqua" w:cs="Times-Roman"/>
          <w:sz w:val="24"/>
          <w:szCs w:val="24"/>
          <w:lang w:val="en-US"/>
        </w:rPr>
        <w:t>development</w:t>
      </w:r>
      <w:r w:rsidR="00302E87" w:rsidRPr="00C33C2F">
        <w:rPr>
          <w:rFonts w:ascii="Book Antiqua" w:hAnsi="Book Antiqua" w:cs="Times-Roman"/>
          <w:sz w:val="24"/>
          <w:szCs w:val="24"/>
          <w:vertAlign w:val="superscript"/>
          <w:lang w:val="en-US"/>
        </w:rPr>
        <w:t>[</w:t>
      </w:r>
      <w:proofErr w:type="gramEnd"/>
      <w:r w:rsidR="001F7029" w:rsidRPr="00C33C2F">
        <w:rPr>
          <w:rFonts w:ascii="Book Antiqua" w:hAnsi="Book Antiqua" w:cs="Times-Roman"/>
          <w:sz w:val="24"/>
          <w:szCs w:val="24"/>
          <w:vertAlign w:val="superscript"/>
          <w:lang w:val="en-US" w:eastAsia="zh-CN"/>
        </w:rPr>
        <w:t>1</w:t>
      </w:r>
      <w:r w:rsidR="001F7029" w:rsidRPr="00C33C2F">
        <w:rPr>
          <w:rFonts w:ascii="Book Antiqua" w:hAnsi="Book Antiqua" w:cs="Times-Roman" w:hint="eastAsia"/>
          <w:sz w:val="24"/>
          <w:szCs w:val="24"/>
          <w:vertAlign w:val="superscript"/>
          <w:lang w:val="en-US" w:eastAsia="zh-CN"/>
        </w:rPr>
        <w:t>4</w:t>
      </w:r>
      <w:r w:rsidR="00302E87" w:rsidRPr="00C33C2F">
        <w:rPr>
          <w:rFonts w:ascii="Book Antiqua" w:hAnsi="Book Antiqua" w:cs="Times-Roman"/>
          <w:sz w:val="24"/>
          <w:szCs w:val="24"/>
          <w:vertAlign w:val="superscript"/>
          <w:lang w:val="en-US" w:eastAsia="zh-CN"/>
        </w:rPr>
        <w:t>-1</w:t>
      </w:r>
      <w:r w:rsidR="001F7029" w:rsidRPr="00C33C2F">
        <w:rPr>
          <w:rFonts w:ascii="Book Antiqua" w:hAnsi="Book Antiqua" w:cs="Times-Roman" w:hint="eastAsia"/>
          <w:sz w:val="24"/>
          <w:szCs w:val="24"/>
          <w:vertAlign w:val="superscript"/>
          <w:lang w:val="en-US" w:eastAsia="zh-CN"/>
        </w:rPr>
        <w:t>6</w:t>
      </w:r>
      <w:r w:rsidRPr="00C33C2F">
        <w:rPr>
          <w:rFonts w:ascii="Book Antiqua" w:hAnsi="Book Antiqua" w:cs="Times-Roman"/>
          <w:sz w:val="24"/>
          <w:szCs w:val="24"/>
          <w:vertAlign w:val="superscript"/>
          <w:lang w:val="en-US"/>
        </w:rPr>
        <w:t>]</w:t>
      </w:r>
      <w:r w:rsidR="002423F4" w:rsidRPr="00C33C2F">
        <w:rPr>
          <w:rFonts w:ascii="Book Antiqua" w:hAnsi="Book Antiqua" w:cs="Times-Roman"/>
          <w:sz w:val="24"/>
          <w:szCs w:val="24"/>
          <w:lang w:val="en-US"/>
        </w:rPr>
        <w:t xml:space="preserve">. </w:t>
      </w:r>
      <w:r w:rsidR="00D85E2C" w:rsidRPr="00C33C2F">
        <w:rPr>
          <w:rFonts w:ascii="Book Antiqua" w:hAnsi="Book Antiqua" w:cs="Times-Roman"/>
          <w:sz w:val="24"/>
          <w:szCs w:val="24"/>
          <w:lang w:val="en-US"/>
        </w:rPr>
        <w:t>FDA</w:t>
      </w:r>
      <w:r w:rsidR="00975B7E" w:rsidRPr="00C33C2F">
        <w:rPr>
          <w:rFonts w:ascii="Book Antiqua" w:hAnsi="Book Antiqua" w:cs="Times-Roman"/>
          <w:sz w:val="24"/>
          <w:szCs w:val="24"/>
          <w:lang w:val="en-US"/>
        </w:rPr>
        <w:t>,</w:t>
      </w:r>
      <w:r w:rsidR="00D85E2C" w:rsidRPr="00C33C2F">
        <w:rPr>
          <w:rFonts w:ascii="Book Antiqua" w:hAnsi="Book Antiqua" w:cs="Times-Roman"/>
          <w:sz w:val="24"/>
          <w:szCs w:val="24"/>
          <w:lang w:val="en-US"/>
        </w:rPr>
        <w:t xml:space="preserve"> Health Canada</w:t>
      </w:r>
      <w:r w:rsidR="00975B7E" w:rsidRPr="00C33C2F">
        <w:rPr>
          <w:rFonts w:ascii="Book Antiqua" w:hAnsi="Book Antiqua" w:cs="Times-Roman"/>
          <w:sz w:val="24"/>
          <w:szCs w:val="24"/>
          <w:lang w:val="en-US"/>
        </w:rPr>
        <w:t xml:space="preserve"> and EMA in the past</w:t>
      </w:r>
      <w:r w:rsidR="00D85E2C" w:rsidRPr="00C33C2F">
        <w:rPr>
          <w:rFonts w:ascii="Book Antiqua" w:hAnsi="Book Antiqua" w:cs="Times-Roman"/>
          <w:sz w:val="24"/>
          <w:szCs w:val="24"/>
          <w:lang w:val="en-US"/>
        </w:rPr>
        <w:t xml:space="preserve"> have</w:t>
      </w:r>
      <w:r w:rsidR="00975B7E" w:rsidRPr="00C33C2F">
        <w:rPr>
          <w:rFonts w:ascii="Book Antiqua" w:hAnsi="Book Antiqua" w:cs="Times-Roman"/>
          <w:sz w:val="24"/>
          <w:szCs w:val="24"/>
          <w:lang w:val="en-US"/>
        </w:rPr>
        <w:t xml:space="preserve"> usually</w:t>
      </w:r>
      <w:r w:rsidR="00D85E2C" w:rsidRPr="00C33C2F">
        <w:rPr>
          <w:rFonts w:ascii="Book Antiqua" w:hAnsi="Book Antiqua" w:cs="Times-Roman"/>
          <w:sz w:val="24"/>
          <w:szCs w:val="24"/>
          <w:lang w:val="en-US"/>
        </w:rPr>
        <w:t xml:space="preserve"> allowed the </w:t>
      </w:r>
      <w:r w:rsidR="00975B7E" w:rsidRPr="00C33C2F">
        <w:rPr>
          <w:rFonts w:ascii="Book Antiqua" w:hAnsi="Book Antiqua" w:cs="Times-Roman"/>
          <w:sz w:val="24"/>
          <w:szCs w:val="24"/>
          <w:lang w:val="en-US"/>
        </w:rPr>
        <w:t xml:space="preserve">medical </w:t>
      </w:r>
      <w:r w:rsidR="00D85E2C" w:rsidRPr="00C33C2F">
        <w:rPr>
          <w:rFonts w:ascii="Book Antiqua" w:hAnsi="Book Antiqua" w:cs="Times-Roman"/>
          <w:sz w:val="24"/>
          <w:szCs w:val="24"/>
          <w:lang w:val="en-US"/>
        </w:rPr>
        <w:t xml:space="preserve">companies </w:t>
      </w:r>
      <w:r w:rsidR="00975B7E" w:rsidRPr="00C33C2F">
        <w:rPr>
          <w:rFonts w:ascii="Book Antiqua" w:hAnsi="Book Antiqua" w:cs="Times-Roman"/>
          <w:sz w:val="24"/>
          <w:szCs w:val="24"/>
          <w:lang w:val="en-US"/>
        </w:rPr>
        <w:t>to perform extrapolation</w:t>
      </w:r>
      <w:r w:rsidR="00D85E2C" w:rsidRPr="00C33C2F">
        <w:rPr>
          <w:rFonts w:ascii="Book Antiqua" w:hAnsi="Book Antiqua" w:cs="Times-Roman"/>
          <w:sz w:val="24"/>
          <w:szCs w:val="24"/>
          <w:lang w:val="en-US"/>
        </w:rPr>
        <w:t xml:space="preserve"> </w:t>
      </w:r>
      <w:r w:rsidR="00975B7E" w:rsidRPr="00C33C2F">
        <w:rPr>
          <w:rFonts w:ascii="Book Antiqua" w:hAnsi="Book Antiqua" w:cs="Times-Roman"/>
          <w:sz w:val="24"/>
          <w:szCs w:val="24"/>
          <w:lang w:val="en-US"/>
        </w:rPr>
        <w:t xml:space="preserve">for all indications, thanks to </w:t>
      </w:r>
      <w:r w:rsidR="00D85E2C" w:rsidRPr="00C33C2F">
        <w:rPr>
          <w:rFonts w:ascii="Book Antiqua" w:hAnsi="Book Antiqua" w:cs="Times-Roman"/>
          <w:sz w:val="24"/>
          <w:szCs w:val="24"/>
          <w:lang w:val="en-US"/>
        </w:rPr>
        <w:t xml:space="preserve">comparability exercises without </w:t>
      </w:r>
      <w:r w:rsidR="00975B7E" w:rsidRPr="00C33C2F">
        <w:rPr>
          <w:rFonts w:ascii="Book Antiqua" w:hAnsi="Book Antiqua" w:cs="Times-Roman"/>
          <w:sz w:val="24"/>
          <w:szCs w:val="24"/>
          <w:lang w:val="en-US"/>
        </w:rPr>
        <w:t xml:space="preserve">real </w:t>
      </w:r>
      <w:r w:rsidR="00D85E2C" w:rsidRPr="00C33C2F">
        <w:rPr>
          <w:rFonts w:ascii="Book Antiqua" w:hAnsi="Book Antiqua" w:cs="Times-Roman"/>
          <w:sz w:val="24"/>
          <w:szCs w:val="24"/>
          <w:lang w:val="en-US"/>
        </w:rPr>
        <w:t xml:space="preserve">clinical data </w:t>
      </w:r>
      <w:r w:rsidR="00DD20EF" w:rsidRPr="00C33C2F">
        <w:rPr>
          <w:rFonts w:ascii="Book Antiqua" w:hAnsi="Book Antiqua" w:cs="Times-Roman"/>
          <w:sz w:val="24"/>
          <w:szCs w:val="24"/>
          <w:lang w:val="en-US"/>
        </w:rPr>
        <w:t xml:space="preserve">for all </w:t>
      </w:r>
      <w:proofErr w:type="gramStart"/>
      <w:r w:rsidR="00DD20EF" w:rsidRPr="00C33C2F">
        <w:rPr>
          <w:rFonts w:ascii="Book Antiqua" w:hAnsi="Book Antiqua" w:cs="Times-Roman"/>
          <w:sz w:val="24"/>
          <w:szCs w:val="24"/>
          <w:lang w:val="en-US"/>
        </w:rPr>
        <w:t>indications</w:t>
      </w:r>
      <w:r w:rsidR="00302E87" w:rsidRPr="00C33C2F">
        <w:rPr>
          <w:rFonts w:ascii="Book Antiqua" w:hAnsi="Book Antiqua" w:cs="Times-Roman"/>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15</w:t>
      </w:r>
      <w:r w:rsidRPr="00C33C2F">
        <w:rPr>
          <w:rFonts w:ascii="Book Antiqua" w:hAnsi="Book Antiqua" w:cs="Times-Roman"/>
          <w:sz w:val="24"/>
          <w:szCs w:val="24"/>
          <w:vertAlign w:val="superscript"/>
          <w:lang w:val="en-US"/>
        </w:rPr>
        <w:t>]</w:t>
      </w:r>
      <w:r w:rsidR="002423F4" w:rsidRPr="00C33C2F">
        <w:rPr>
          <w:rFonts w:ascii="Book Antiqua" w:hAnsi="Book Antiqua" w:cs="Times-Roman"/>
          <w:sz w:val="24"/>
          <w:szCs w:val="24"/>
          <w:lang w:val="en-US"/>
        </w:rPr>
        <w:t>.</w:t>
      </w:r>
    </w:p>
    <w:p w:rsidR="00720C57" w:rsidRPr="00C33C2F" w:rsidRDefault="00720C57" w:rsidP="008B1267">
      <w:pPr>
        <w:spacing w:after="0" w:line="360" w:lineRule="auto"/>
        <w:jc w:val="both"/>
        <w:rPr>
          <w:rFonts w:ascii="Book Antiqua" w:hAnsi="Book Antiqua" w:cs="Times-Roman"/>
          <w:sz w:val="24"/>
          <w:szCs w:val="24"/>
          <w:lang w:val="en-US" w:eastAsia="zh-CN"/>
        </w:rPr>
      </w:pPr>
    </w:p>
    <w:p w:rsidR="00BC06CC" w:rsidRPr="00C33C2F" w:rsidRDefault="00302E87" w:rsidP="008B1267">
      <w:pPr>
        <w:autoSpaceDE w:val="0"/>
        <w:autoSpaceDN w:val="0"/>
        <w:adjustRightInd w:val="0"/>
        <w:spacing w:after="0" w:line="360" w:lineRule="auto"/>
        <w:jc w:val="both"/>
        <w:rPr>
          <w:rFonts w:ascii="Book Antiqua" w:hAnsi="Book Antiqua"/>
          <w:b/>
          <w:sz w:val="24"/>
          <w:szCs w:val="24"/>
          <w:lang w:val="en-US"/>
        </w:rPr>
      </w:pPr>
      <w:r w:rsidRPr="00C33C2F">
        <w:rPr>
          <w:rFonts w:ascii="Book Antiqua" w:hAnsi="Book Antiqua"/>
          <w:b/>
          <w:sz w:val="24"/>
          <w:szCs w:val="24"/>
          <w:lang w:val="en-US"/>
        </w:rPr>
        <w:t>INFLIXIMAB AND INFLIXIMAB BIOSIMILAR</w:t>
      </w:r>
    </w:p>
    <w:p w:rsidR="00FE3C93" w:rsidRPr="00C33C2F" w:rsidRDefault="00FE3C93" w:rsidP="008B1267">
      <w:pPr>
        <w:autoSpaceDE w:val="0"/>
        <w:autoSpaceDN w:val="0"/>
        <w:adjustRightInd w:val="0"/>
        <w:spacing w:after="0" w:line="360" w:lineRule="auto"/>
        <w:jc w:val="both"/>
        <w:rPr>
          <w:rFonts w:ascii="Book Antiqua" w:hAnsi="Book Antiqua" w:cs="Calibri"/>
          <w:sz w:val="24"/>
          <w:szCs w:val="24"/>
          <w:lang w:val="en-US"/>
        </w:rPr>
      </w:pPr>
      <w:r w:rsidRPr="00C33C2F">
        <w:rPr>
          <w:rFonts w:ascii="Book Antiqua" w:hAnsi="Book Antiqua" w:cs="Calibri"/>
          <w:sz w:val="24"/>
          <w:szCs w:val="24"/>
          <w:lang w:val="en-US"/>
        </w:rPr>
        <w:t>Several multicenter, randomized, double-blind clinical trials have established the efficacy and safety of the infliximab in the treatment of IBD</w:t>
      </w:r>
      <w:r w:rsidR="004E6699" w:rsidRPr="00C33C2F">
        <w:rPr>
          <w:rFonts w:ascii="Book Antiqua" w:hAnsi="Book Antiqua" w:cs="Calibri"/>
          <w:sz w:val="24"/>
          <w:szCs w:val="24"/>
          <w:lang w:val="en-US"/>
        </w:rPr>
        <w:t xml:space="preserve"> </w:t>
      </w:r>
      <w:r w:rsidR="00302E87" w:rsidRPr="00C33C2F">
        <w:rPr>
          <w:rFonts w:ascii="Book Antiqua" w:hAnsi="Book Antiqua" w:cs="Calibri"/>
          <w:sz w:val="24"/>
          <w:szCs w:val="24"/>
          <w:vertAlign w:val="superscript"/>
          <w:lang w:val="en-US"/>
        </w:rPr>
        <w:t>[</w:t>
      </w:r>
      <w:r w:rsidR="00FD6DD3" w:rsidRPr="00C33C2F">
        <w:rPr>
          <w:rStyle w:val="a4"/>
          <w:rFonts w:ascii="Book Antiqua" w:hAnsi="Book Antiqua" w:cs="Calibri" w:hint="eastAsia"/>
          <w:sz w:val="24"/>
          <w:szCs w:val="24"/>
          <w:lang w:val="en-US" w:eastAsia="zh-CN"/>
        </w:rPr>
        <w:t>1</w:t>
      </w:r>
      <w:r w:rsidR="00FD6DD3" w:rsidRPr="00C33C2F">
        <w:rPr>
          <w:rFonts w:ascii="Book Antiqua" w:hAnsi="Book Antiqua" w:cs="Calibri" w:hint="eastAsia"/>
          <w:sz w:val="24"/>
          <w:szCs w:val="24"/>
          <w:vertAlign w:val="superscript"/>
          <w:lang w:val="en-US" w:eastAsia="zh-CN"/>
        </w:rPr>
        <w:t>7</w:t>
      </w:r>
      <w:r w:rsidR="001F7029" w:rsidRPr="00C33C2F">
        <w:rPr>
          <w:rFonts w:ascii="Book Antiqua" w:hAnsi="Book Antiqua" w:cs="Calibri" w:hint="eastAsia"/>
          <w:sz w:val="24"/>
          <w:szCs w:val="24"/>
          <w:vertAlign w:val="superscript"/>
          <w:lang w:val="en-US" w:eastAsia="zh-CN"/>
        </w:rPr>
        <w:t>-</w:t>
      </w:r>
      <w:r w:rsidR="00FD6DD3" w:rsidRPr="00C33C2F">
        <w:rPr>
          <w:rFonts w:ascii="Book Antiqua" w:hAnsi="Book Antiqua" w:cs="Calibri" w:hint="eastAsia"/>
          <w:sz w:val="24"/>
          <w:szCs w:val="24"/>
          <w:vertAlign w:val="superscript"/>
          <w:lang w:val="en-US" w:eastAsia="zh-CN"/>
        </w:rPr>
        <w:t>19</w:t>
      </w:r>
      <w:r w:rsidR="00297812" w:rsidRPr="00C33C2F">
        <w:rPr>
          <w:rFonts w:ascii="Book Antiqua" w:hAnsi="Book Antiqua" w:cs="Calibri"/>
          <w:sz w:val="24"/>
          <w:szCs w:val="24"/>
          <w:vertAlign w:val="superscript"/>
          <w:lang w:val="en-US"/>
        </w:rPr>
        <w:t>]</w:t>
      </w:r>
      <w:r w:rsidR="00302E87" w:rsidRPr="00C33C2F">
        <w:rPr>
          <w:rFonts w:ascii="Book Antiqua" w:hAnsi="Book Antiqua" w:cs="Calibri"/>
          <w:sz w:val="24"/>
          <w:szCs w:val="24"/>
          <w:lang w:val="en-US"/>
        </w:rPr>
        <w:t xml:space="preserve">. The </w:t>
      </w:r>
      <w:r w:rsidRPr="00C33C2F">
        <w:rPr>
          <w:rFonts w:ascii="Book Antiqua" w:hAnsi="Book Antiqua" w:cs="Calibri"/>
          <w:sz w:val="24"/>
          <w:szCs w:val="24"/>
          <w:lang w:val="en-US"/>
        </w:rPr>
        <w:t xml:space="preserve">results of the ACCENT I </w:t>
      </w:r>
      <w:proofErr w:type="gramStart"/>
      <w:r w:rsidRPr="00C33C2F">
        <w:rPr>
          <w:rFonts w:ascii="Book Antiqua" w:hAnsi="Book Antiqua" w:cs="Calibri"/>
          <w:sz w:val="24"/>
          <w:szCs w:val="24"/>
          <w:lang w:val="en-US"/>
        </w:rPr>
        <w:t>study</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20</w:t>
      </w:r>
      <w:r w:rsidR="00297812" w:rsidRPr="00C33C2F">
        <w:rPr>
          <w:rFonts w:ascii="Book Antiqua" w:hAnsi="Book Antiqua" w:cs="Calibri"/>
          <w:sz w:val="24"/>
          <w:szCs w:val="24"/>
          <w:vertAlign w:val="superscript"/>
          <w:lang w:val="en-US"/>
        </w:rPr>
        <w:t>]</w:t>
      </w:r>
      <w:r w:rsidRPr="00C33C2F">
        <w:rPr>
          <w:rFonts w:ascii="Book Antiqua" w:hAnsi="Book Antiqua" w:cs="Calibri"/>
          <w:sz w:val="24"/>
          <w:szCs w:val="24"/>
          <w:lang w:val="en-US"/>
        </w:rPr>
        <w:t xml:space="preserve"> laid the foundations for the management and dosage of infliximab in CD patients in clinical practice. The major experience with infliximab in UC is based on the pivotal ACT trials; ACT I and ACT II demonstrated that Infliximab is able to </w:t>
      </w:r>
      <w:r w:rsidR="00606353" w:rsidRPr="00C33C2F">
        <w:rPr>
          <w:rFonts w:ascii="Book Antiqua" w:hAnsi="Book Antiqua" w:cs="Calibri"/>
          <w:sz w:val="24"/>
          <w:szCs w:val="24"/>
          <w:lang w:val="en-US"/>
        </w:rPr>
        <w:t xml:space="preserve">induce clinical remission, mucosal healing and steroid sparing in UC </w:t>
      </w:r>
      <w:proofErr w:type="gramStart"/>
      <w:r w:rsidR="00606353" w:rsidRPr="00C33C2F">
        <w:rPr>
          <w:rFonts w:ascii="Book Antiqua" w:hAnsi="Book Antiqua" w:cs="Calibri"/>
          <w:sz w:val="24"/>
          <w:szCs w:val="24"/>
          <w:lang w:val="en-US"/>
        </w:rPr>
        <w:t>patients</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21</w:t>
      </w:r>
      <w:r w:rsidR="00297812" w:rsidRPr="00C33C2F">
        <w:rPr>
          <w:rFonts w:ascii="Book Antiqua" w:hAnsi="Book Antiqua" w:cs="Calibri"/>
          <w:sz w:val="24"/>
          <w:szCs w:val="24"/>
          <w:vertAlign w:val="superscript"/>
          <w:lang w:val="en-US"/>
        </w:rPr>
        <w:t>]</w:t>
      </w:r>
      <w:r w:rsidR="00606353" w:rsidRPr="00C33C2F">
        <w:rPr>
          <w:rFonts w:ascii="Book Antiqua" w:hAnsi="Book Antiqua" w:cs="Calibri"/>
          <w:sz w:val="24"/>
          <w:szCs w:val="24"/>
          <w:lang w:val="en-US"/>
        </w:rPr>
        <w:t xml:space="preserve">. </w:t>
      </w:r>
      <w:r w:rsidRPr="00C33C2F">
        <w:rPr>
          <w:rFonts w:ascii="Book Antiqua" w:hAnsi="Book Antiqua" w:cs="Calibri"/>
          <w:sz w:val="24"/>
          <w:szCs w:val="24"/>
          <w:lang w:val="en-US"/>
        </w:rPr>
        <w:t xml:space="preserve"> </w:t>
      </w:r>
    </w:p>
    <w:p w:rsidR="00BC06CC" w:rsidRPr="00C33C2F" w:rsidRDefault="00AB1644"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lastRenderedPageBreak/>
        <w:t>T</w:t>
      </w:r>
      <w:r w:rsidR="00BC06CC" w:rsidRPr="00C33C2F">
        <w:rPr>
          <w:rFonts w:ascii="Book Antiqua" w:hAnsi="Book Antiqua" w:cs="Calibri"/>
          <w:sz w:val="24"/>
          <w:szCs w:val="24"/>
          <w:lang w:val="en-US"/>
        </w:rPr>
        <w:t>he CT-P13 (</w:t>
      </w:r>
      <w:proofErr w:type="spellStart"/>
      <w:r w:rsidRPr="00C33C2F">
        <w:rPr>
          <w:rFonts w:ascii="Book Antiqua" w:hAnsi="Book Antiqua" w:cs="Calibri"/>
          <w:sz w:val="24"/>
          <w:szCs w:val="24"/>
          <w:lang w:val="en-US"/>
        </w:rPr>
        <w:t>Remsima-Celltrion</w:t>
      </w:r>
      <w:proofErr w:type="spellEnd"/>
      <w:r w:rsidRPr="00C33C2F">
        <w:rPr>
          <w:rFonts w:ascii="Book Antiqua" w:hAnsi="Book Antiqua" w:cs="Calibri"/>
          <w:sz w:val="24"/>
          <w:szCs w:val="24"/>
          <w:lang w:val="en-US"/>
        </w:rPr>
        <w:t xml:space="preserve">, Incheon, South Korea and </w:t>
      </w:r>
      <w:proofErr w:type="spellStart"/>
      <w:r w:rsidR="00BC06CC" w:rsidRPr="00C33C2F">
        <w:rPr>
          <w:rFonts w:ascii="Book Antiqua" w:hAnsi="Book Antiqua" w:cs="Calibri"/>
          <w:sz w:val="24"/>
          <w:szCs w:val="24"/>
          <w:lang w:val="en-US"/>
        </w:rPr>
        <w:t>Inflectra-Hospira</w:t>
      </w:r>
      <w:proofErr w:type="spellEnd"/>
      <w:r w:rsidR="00BC06CC" w:rsidRPr="00C33C2F">
        <w:rPr>
          <w:rFonts w:ascii="Book Antiqua" w:hAnsi="Book Antiqua" w:cs="Calibri"/>
          <w:sz w:val="24"/>
          <w:szCs w:val="24"/>
          <w:lang w:val="en-US"/>
        </w:rPr>
        <w:t xml:space="preserve">, Lake Forest, IL, </w:t>
      </w:r>
      <w:r w:rsidR="00302E87" w:rsidRPr="00C33C2F">
        <w:rPr>
          <w:rFonts w:ascii="Book Antiqua" w:hAnsi="Book Antiqua" w:cs="Calibri"/>
          <w:sz w:val="24"/>
          <w:szCs w:val="24"/>
          <w:lang w:val="en-US"/>
        </w:rPr>
        <w:t>United States</w:t>
      </w:r>
      <w:r w:rsidR="00BC06CC" w:rsidRPr="00C33C2F">
        <w:rPr>
          <w:rFonts w:ascii="Book Antiqua" w:hAnsi="Book Antiqua" w:cs="Calibri"/>
          <w:sz w:val="24"/>
          <w:szCs w:val="24"/>
          <w:lang w:val="en-US"/>
        </w:rPr>
        <w:t>)</w:t>
      </w:r>
      <w:r w:rsidRPr="00C33C2F">
        <w:rPr>
          <w:rFonts w:ascii="Book Antiqua" w:hAnsi="Book Antiqua" w:cs="Calibri"/>
          <w:sz w:val="24"/>
          <w:szCs w:val="24"/>
          <w:lang w:val="en-US"/>
        </w:rPr>
        <w:t>, which is</w:t>
      </w:r>
      <w:r w:rsidR="00BC06CC" w:rsidRPr="00C33C2F">
        <w:rPr>
          <w:rFonts w:ascii="Book Antiqua" w:hAnsi="Book Antiqua" w:cs="Calibri"/>
          <w:sz w:val="24"/>
          <w:szCs w:val="24"/>
          <w:lang w:val="en-US"/>
        </w:rPr>
        <w:t xml:space="preserve"> </w:t>
      </w:r>
      <w:r w:rsidRPr="00C33C2F">
        <w:rPr>
          <w:rFonts w:ascii="Book Antiqua" w:hAnsi="Book Antiqua" w:cs="Calibri"/>
          <w:sz w:val="24"/>
          <w:szCs w:val="24"/>
          <w:lang w:val="en-US"/>
        </w:rPr>
        <w:t xml:space="preserve">the first </w:t>
      </w:r>
      <w:proofErr w:type="spellStart"/>
      <w:r w:rsidRPr="00C33C2F">
        <w:rPr>
          <w:rFonts w:ascii="Book Antiqua" w:hAnsi="Book Antiqua" w:cs="Calibri"/>
          <w:sz w:val="24"/>
          <w:szCs w:val="24"/>
          <w:lang w:val="en-US"/>
        </w:rPr>
        <w:t>biosimilar</w:t>
      </w:r>
      <w:proofErr w:type="spellEnd"/>
      <w:r w:rsidRPr="00C33C2F">
        <w:rPr>
          <w:rFonts w:ascii="Book Antiqua" w:hAnsi="Book Antiqua" w:cs="Calibri"/>
          <w:sz w:val="24"/>
          <w:szCs w:val="24"/>
          <w:lang w:val="en-US"/>
        </w:rPr>
        <w:t xml:space="preserve"> agent of Infliximab, </w:t>
      </w:r>
      <w:r w:rsidR="00BC06CC" w:rsidRPr="00C33C2F">
        <w:rPr>
          <w:rFonts w:ascii="Book Antiqua" w:hAnsi="Book Antiqua" w:cs="Calibri"/>
          <w:sz w:val="24"/>
          <w:szCs w:val="24"/>
          <w:lang w:val="en-US"/>
        </w:rPr>
        <w:t xml:space="preserve">has been </w:t>
      </w:r>
      <w:r w:rsidRPr="00C33C2F">
        <w:rPr>
          <w:rFonts w:ascii="Book Antiqua" w:hAnsi="Book Antiqua" w:cs="Calibri"/>
          <w:sz w:val="24"/>
          <w:szCs w:val="24"/>
          <w:lang w:val="en-US"/>
        </w:rPr>
        <w:t>approved for the therapy</w:t>
      </w:r>
      <w:r w:rsidR="00BC06CC" w:rsidRPr="00C33C2F">
        <w:rPr>
          <w:rFonts w:ascii="Book Antiqua" w:hAnsi="Book Antiqua" w:cs="Calibri"/>
          <w:sz w:val="24"/>
          <w:szCs w:val="24"/>
          <w:lang w:val="en-US"/>
        </w:rPr>
        <w:t xml:space="preserve"> of </w:t>
      </w:r>
      <w:r w:rsidRPr="00C33C2F">
        <w:rPr>
          <w:rFonts w:ascii="Book Antiqua" w:hAnsi="Book Antiqua" w:cs="Calibri"/>
          <w:sz w:val="24"/>
          <w:szCs w:val="24"/>
          <w:lang w:val="en-US"/>
        </w:rPr>
        <w:t xml:space="preserve">IBD and other </w:t>
      </w:r>
      <w:r w:rsidR="00BC06CC" w:rsidRPr="00C33C2F">
        <w:rPr>
          <w:rFonts w:ascii="Book Antiqua" w:hAnsi="Book Antiqua" w:cs="Calibri"/>
          <w:sz w:val="24"/>
          <w:szCs w:val="24"/>
          <w:lang w:val="en-US"/>
        </w:rPr>
        <w:t>autoimmune diseases in India and South Korea</w:t>
      </w:r>
      <w:r w:rsidRPr="00C33C2F">
        <w:rPr>
          <w:rFonts w:ascii="Book Antiqua" w:hAnsi="Book Antiqua" w:cs="Calibri"/>
          <w:sz w:val="24"/>
          <w:szCs w:val="24"/>
          <w:lang w:val="en-US"/>
        </w:rPr>
        <w:t xml:space="preserve"> during the year 2012</w:t>
      </w:r>
      <w:r w:rsidR="00302E87" w:rsidRPr="00C33C2F">
        <w:rPr>
          <w:rFonts w:ascii="Book Antiqua" w:hAnsi="Book Antiqua" w:cs="Calibri"/>
          <w:sz w:val="24"/>
          <w:szCs w:val="24"/>
          <w:vertAlign w:val="superscript"/>
          <w:lang w:val="en-US"/>
        </w:rPr>
        <w:t>[</w:t>
      </w:r>
      <w:r w:rsidR="00FD6DD3" w:rsidRPr="00C33C2F">
        <w:rPr>
          <w:rFonts w:ascii="Book Antiqua" w:hAnsi="Book Antiqua" w:cs="Times-Roman" w:hint="eastAsia"/>
          <w:sz w:val="24"/>
          <w:szCs w:val="24"/>
          <w:vertAlign w:val="superscript"/>
          <w:lang w:val="en-US" w:eastAsia="zh-CN"/>
        </w:rPr>
        <w:t>22</w:t>
      </w:r>
      <w:r w:rsidR="00297812" w:rsidRPr="00C33C2F">
        <w:rPr>
          <w:rFonts w:ascii="Book Antiqua" w:hAnsi="Book Antiqua" w:cs="Calibri"/>
          <w:sz w:val="24"/>
          <w:szCs w:val="24"/>
          <w:vertAlign w:val="superscript"/>
          <w:lang w:val="en-US"/>
        </w:rPr>
        <w:t>]</w:t>
      </w:r>
      <w:r w:rsidR="00A12850" w:rsidRPr="00C33C2F">
        <w:rPr>
          <w:rFonts w:ascii="Book Antiqua" w:hAnsi="Book Antiqua" w:cs="Calibri"/>
          <w:sz w:val="24"/>
          <w:szCs w:val="24"/>
          <w:lang w:val="en-US"/>
        </w:rPr>
        <w:t xml:space="preserve">. </w:t>
      </w:r>
      <w:r w:rsidR="00284B3F" w:rsidRPr="00C33C2F">
        <w:rPr>
          <w:rFonts w:ascii="Book Antiqua" w:hAnsi="Book Antiqua" w:cs="Calibri"/>
          <w:sz w:val="24"/>
          <w:szCs w:val="24"/>
          <w:lang w:val="en-US"/>
        </w:rPr>
        <w:t xml:space="preserve">Today more than 34000 patients in more than 40 countries worldwide have </w:t>
      </w:r>
      <w:r w:rsidR="00DF1E91" w:rsidRPr="00C33C2F">
        <w:rPr>
          <w:rFonts w:ascii="Book Antiqua" w:hAnsi="Book Antiqua" w:cs="Calibri"/>
          <w:sz w:val="24"/>
          <w:szCs w:val="24"/>
          <w:lang w:val="en-US"/>
        </w:rPr>
        <w:t xml:space="preserve">been </w:t>
      </w:r>
      <w:r w:rsidR="00284B3F" w:rsidRPr="00C33C2F">
        <w:rPr>
          <w:rFonts w:ascii="Book Antiqua" w:hAnsi="Book Antiqua" w:cs="Calibri"/>
          <w:sz w:val="24"/>
          <w:szCs w:val="24"/>
          <w:lang w:val="en-US"/>
        </w:rPr>
        <w:t xml:space="preserve">treated with this </w:t>
      </w:r>
      <w:proofErr w:type="gramStart"/>
      <w:r w:rsidR="00284B3F" w:rsidRPr="00C33C2F">
        <w:rPr>
          <w:rFonts w:ascii="Book Antiqua" w:hAnsi="Book Antiqua" w:cs="Calibri"/>
          <w:sz w:val="24"/>
          <w:szCs w:val="24"/>
          <w:lang w:val="en-US"/>
        </w:rPr>
        <w:t>drug</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23</w:t>
      </w:r>
      <w:r w:rsidR="00297812" w:rsidRPr="00C33C2F">
        <w:rPr>
          <w:rFonts w:ascii="Book Antiqua" w:hAnsi="Book Antiqua" w:cs="Calibri"/>
          <w:sz w:val="24"/>
          <w:szCs w:val="24"/>
          <w:vertAlign w:val="superscript"/>
          <w:lang w:val="en-US"/>
        </w:rPr>
        <w:t>]</w:t>
      </w:r>
      <w:r w:rsidR="00C33C2F">
        <w:rPr>
          <w:rFonts w:ascii="Book Antiqua" w:hAnsi="Book Antiqua" w:cs="Calibri"/>
          <w:sz w:val="24"/>
          <w:szCs w:val="24"/>
          <w:lang w:val="en-US"/>
        </w:rPr>
        <w:t>.</w:t>
      </w:r>
      <w:r w:rsidR="00C33C2F">
        <w:rPr>
          <w:rFonts w:ascii="Book Antiqua" w:hAnsi="Book Antiqua" w:cs="Calibri" w:hint="eastAsia"/>
          <w:sz w:val="24"/>
          <w:szCs w:val="24"/>
          <w:lang w:val="en-US" w:eastAsia="zh-CN"/>
        </w:rPr>
        <w:t xml:space="preserve"> </w:t>
      </w:r>
      <w:r w:rsidR="00274189" w:rsidRPr="00C33C2F">
        <w:rPr>
          <w:rFonts w:ascii="Book Antiqua" w:hAnsi="Book Antiqua" w:cs="Calibri"/>
          <w:sz w:val="24"/>
          <w:szCs w:val="24"/>
          <w:lang w:val="en-US"/>
        </w:rPr>
        <w:t>Two pivot</w:t>
      </w:r>
      <w:r w:rsidR="004E6699" w:rsidRPr="00C33C2F">
        <w:rPr>
          <w:rFonts w:ascii="Book Antiqua" w:hAnsi="Book Antiqua" w:cs="Calibri"/>
          <w:sz w:val="24"/>
          <w:szCs w:val="24"/>
          <w:lang w:val="en-US"/>
        </w:rPr>
        <w:t>al trials conducted in rheumatologic</w:t>
      </w:r>
      <w:r w:rsidR="00274189" w:rsidRPr="00C33C2F">
        <w:rPr>
          <w:rFonts w:ascii="Book Antiqua" w:hAnsi="Book Antiqua" w:cs="Calibri"/>
          <w:sz w:val="24"/>
          <w:szCs w:val="24"/>
          <w:lang w:val="en-US"/>
        </w:rPr>
        <w:t xml:space="preserve"> diseases have demonstrated its efficacy and its safety. </w:t>
      </w:r>
      <w:r w:rsidR="00A15F0C" w:rsidRPr="00C33C2F">
        <w:rPr>
          <w:rFonts w:ascii="Book Antiqua" w:hAnsi="Book Antiqua" w:cs="Calibri"/>
          <w:sz w:val="24"/>
          <w:szCs w:val="24"/>
          <w:lang w:val="en-US"/>
        </w:rPr>
        <w:t>T</w:t>
      </w:r>
      <w:r w:rsidR="004E6699" w:rsidRPr="00C33C2F">
        <w:rPr>
          <w:rFonts w:ascii="Book Antiqua" w:hAnsi="Book Antiqua" w:cs="Calibri"/>
          <w:sz w:val="24"/>
          <w:szCs w:val="24"/>
          <w:lang w:val="en-US"/>
        </w:rPr>
        <w:t xml:space="preserve">he first randomized, phase </w:t>
      </w:r>
      <w:r w:rsidR="00BC06CC" w:rsidRPr="00C33C2F">
        <w:rPr>
          <w:rFonts w:ascii="Book Antiqua" w:hAnsi="Book Antiqua" w:cs="Calibri"/>
          <w:sz w:val="24"/>
          <w:szCs w:val="24"/>
          <w:lang w:val="en-US"/>
        </w:rPr>
        <w:t>I, double-blind study</w:t>
      </w:r>
      <w:r w:rsidR="00274189" w:rsidRPr="00C33C2F">
        <w:rPr>
          <w:rFonts w:ascii="Book Antiqua" w:hAnsi="Book Antiqua" w:cs="Calibri"/>
          <w:sz w:val="24"/>
          <w:szCs w:val="24"/>
          <w:lang w:val="en-US"/>
        </w:rPr>
        <w:t xml:space="preserve"> </w:t>
      </w:r>
      <w:r w:rsidR="00A15F0C" w:rsidRPr="00C33C2F">
        <w:rPr>
          <w:rFonts w:ascii="Book Antiqua" w:hAnsi="Book Antiqua" w:cs="Calibri"/>
          <w:sz w:val="24"/>
          <w:szCs w:val="24"/>
          <w:lang w:val="en-US"/>
        </w:rPr>
        <w:t>w</w:t>
      </w:r>
      <w:r w:rsidR="00BC06CC" w:rsidRPr="00C33C2F">
        <w:rPr>
          <w:rFonts w:ascii="Book Antiqua" w:hAnsi="Book Antiqua" w:cs="Calibri"/>
          <w:sz w:val="24"/>
          <w:szCs w:val="24"/>
          <w:lang w:val="en-US"/>
        </w:rPr>
        <w:t>a</w:t>
      </w:r>
      <w:r w:rsidR="00A15F0C" w:rsidRPr="00C33C2F">
        <w:rPr>
          <w:rFonts w:ascii="Book Antiqua" w:hAnsi="Book Antiqua" w:cs="Calibri"/>
          <w:sz w:val="24"/>
          <w:szCs w:val="24"/>
          <w:lang w:val="en-US"/>
        </w:rPr>
        <w:t xml:space="preserve">s performed in patients with </w:t>
      </w:r>
      <w:proofErr w:type="spellStart"/>
      <w:r w:rsidR="00A15F0C" w:rsidRPr="00C33C2F">
        <w:rPr>
          <w:rFonts w:ascii="Book Antiqua" w:hAnsi="Book Antiqua" w:cs="Calibri"/>
          <w:sz w:val="24"/>
          <w:szCs w:val="24"/>
          <w:lang w:val="en-US"/>
        </w:rPr>
        <w:t>ankylosing</w:t>
      </w:r>
      <w:proofErr w:type="spellEnd"/>
      <w:r w:rsidR="00A15F0C" w:rsidRPr="00C33C2F">
        <w:rPr>
          <w:rFonts w:ascii="Book Antiqua" w:hAnsi="Book Antiqua" w:cs="Calibri"/>
          <w:sz w:val="24"/>
          <w:szCs w:val="24"/>
          <w:lang w:val="en-US"/>
        </w:rPr>
        <w:t xml:space="preserve"> spondylitis. In this study the CT-P13 pharmacokinetic </w:t>
      </w:r>
      <w:r w:rsidR="00BC06CC" w:rsidRPr="00C33C2F">
        <w:rPr>
          <w:rFonts w:ascii="Book Antiqua" w:hAnsi="Book Antiqua" w:cs="Calibri"/>
          <w:sz w:val="24"/>
          <w:szCs w:val="24"/>
          <w:lang w:val="en-US"/>
        </w:rPr>
        <w:t xml:space="preserve">was </w:t>
      </w:r>
      <w:r w:rsidR="00A15F0C" w:rsidRPr="00C33C2F">
        <w:rPr>
          <w:rFonts w:ascii="Book Antiqua" w:hAnsi="Book Antiqua" w:cs="Calibri"/>
          <w:sz w:val="24"/>
          <w:szCs w:val="24"/>
          <w:lang w:val="en-US"/>
        </w:rPr>
        <w:t xml:space="preserve">demonstrated </w:t>
      </w:r>
      <w:r w:rsidR="00BC06CC" w:rsidRPr="00C33C2F">
        <w:rPr>
          <w:rFonts w:ascii="Book Antiqua" w:hAnsi="Book Antiqua" w:cs="Calibri"/>
          <w:sz w:val="24"/>
          <w:szCs w:val="24"/>
          <w:lang w:val="en-US"/>
        </w:rPr>
        <w:t xml:space="preserve">to be </w:t>
      </w:r>
      <w:r w:rsidR="00A15F0C" w:rsidRPr="00C33C2F">
        <w:rPr>
          <w:rFonts w:ascii="Book Antiqua" w:hAnsi="Book Antiqua" w:cs="Calibri"/>
          <w:sz w:val="24"/>
          <w:szCs w:val="24"/>
          <w:lang w:val="en-US"/>
        </w:rPr>
        <w:t>similar</w:t>
      </w:r>
      <w:r w:rsidR="00A12850" w:rsidRPr="00C33C2F">
        <w:rPr>
          <w:rFonts w:ascii="Book Antiqua" w:hAnsi="Book Antiqua" w:cs="Calibri"/>
          <w:sz w:val="24"/>
          <w:szCs w:val="24"/>
          <w:lang w:val="en-US"/>
        </w:rPr>
        <w:t xml:space="preserve"> to </w:t>
      </w:r>
      <w:r w:rsidR="004E6699" w:rsidRPr="00C33C2F">
        <w:rPr>
          <w:rFonts w:ascii="Book Antiqua" w:hAnsi="Book Antiqua" w:cs="Calibri"/>
          <w:sz w:val="24"/>
          <w:szCs w:val="24"/>
          <w:lang w:val="en-US"/>
        </w:rPr>
        <w:t xml:space="preserve">that of </w:t>
      </w:r>
      <w:r w:rsidR="00A15F0C" w:rsidRPr="00C33C2F">
        <w:rPr>
          <w:rFonts w:ascii="Book Antiqua" w:hAnsi="Book Antiqua" w:cs="Calibri"/>
          <w:sz w:val="24"/>
          <w:szCs w:val="24"/>
          <w:lang w:val="en-US"/>
        </w:rPr>
        <w:t xml:space="preserve">the </w:t>
      </w:r>
      <w:r w:rsidR="00A12850" w:rsidRPr="00C33C2F">
        <w:rPr>
          <w:rFonts w:ascii="Book Antiqua" w:hAnsi="Book Antiqua" w:cs="Calibri"/>
          <w:sz w:val="24"/>
          <w:szCs w:val="24"/>
          <w:lang w:val="en-US"/>
        </w:rPr>
        <w:t>original</w:t>
      </w:r>
      <w:r w:rsidR="00A15F0C" w:rsidRPr="00C33C2F">
        <w:rPr>
          <w:rFonts w:ascii="Book Antiqua" w:hAnsi="Book Antiqua" w:cs="Calibri"/>
          <w:sz w:val="24"/>
          <w:szCs w:val="24"/>
          <w:lang w:val="en-US"/>
        </w:rPr>
        <w:t xml:space="preserve"> drug.</w:t>
      </w:r>
      <w:r w:rsidR="00A12850" w:rsidRPr="00C33C2F">
        <w:rPr>
          <w:rFonts w:ascii="Book Antiqua" w:hAnsi="Book Antiqua" w:cs="Calibri"/>
          <w:sz w:val="24"/>
          <w:szCs w:val="24"/>
          <w:lang w:val="en-US"/>
        </w:rPr>
        <w:t xml:space="preserve"> </w:t>
      </w:r>
      <w:r w:rsidR="00A15F0C" w:rsidRPr="00C33C2F">
        <w:rPr>
          <w:rFonts w:ascii="Book Antiqua" w:hAnsi="Book Antiqua" w:cs="Calibri"/>
          <w:sz w:val="24"/>
          <w:szCs w:val="24"/>
          <w:lang w:val="en-US"/>
        </w:rPr>
        <w:t>Moreover,</w:t>
      </w:r>
      <w:r w:rsidR="00A12850" w:rsidRPr="00C33C2F">
        <w:rPr>
          <w:rFonts w:ascii="Book Antiqua" w:hAnsi="Book Antiqua" w:cs="Calibri"/>
          <w:sz w:val="24"/>
          <w:szCs w:val="24"/>
          <w:lang w:val="en-US"/>
        </w:rPr>
        <w:t xml:space="preserve"> </w:t>
      </w:r>
      <w:r w:rsidR="00A15F0C" w:rsidRPr="00C33C2F">
        <w:rPr>
          <w:rFonts w:ascii="Book Antiqua" w:hAnsi="Book Antiqua" w:cs="Calibri"/>
          <w:sz w:val="24"/>
          <w:szCs w:val="24"/>
          <w:lang w:val="en-US"/>
        </w:rPr>
        <w:t>th</w:t>
      </w:r>
      <w:r w:rsidR="004E6699" w:rsidRPr="00C33C2F">
        <w:rPr>
          <w:rFonts w:ascii="Book Antiqua" w:hAnsi="Book Antiqua" w:cs="Calibri"/>
          <w:sz w:val="24"/>
          <w:szCs w:val="24"/>
          <w:lang w:val="en-US"/>
        </w:rPr>
        <w:t xml:space="preserve">e two </w:t>
      </w:r>
      <w:proofErr w:type="spellStart"/>
      <w:r w:rsidR="004E6699" w:rsidRPr="00C33C2F">
        <w:rPr>
          <w:rFonts w:ascii="Book Antiqua" w:hAnsi="Book Antiqua" w:cs="Calibri"/>
          <w:sz w:val="24"/>
          <w:szCs w:val="24"/>
          <w:lang w:val="en-US"/>
        </w:rPr>
        <w:t>biosimilar</w:t>
      </w:r>
      <w:proofErr w:type="spellEnd"/>
      <w:r w:rsidR="004E6699" w:rsidRPr="00C33C2F">
        <w:rPr>
          <w:rFonts w:ascii="Book Antiqua" w:hAnsi="Book Antiqua" w:cs="Calibri"/>
          <w:sz w:val="24"/>
          <w:szCs w:val="24"/>
          <w:lang w:val="en-US"/>
        </w:rPr>
        <w:t xml:space="preserve"> drugs showed </w:t>
      </w:r>
      <w:r w:rsidR="00A15F0C" w:rsidRPr="00C33C2F">
        <w:rPr>
          <w:rFonts w:ascii="Book Antiqua" w:hAnsi="Book Antiqua" w:cs="Calibri"/>
          <w:sz w:val="24"/>
          <w:szCs w:val="24"/>
          <w:lang w:val="en-US"/>
        </w:rPr>
        <w:t xml:space="preserve">good </w:t>
      </w:r>
      <w:r w:rsidR="004E6699" w:rsidRPr="00C33C2F">
        <w:rPr>
          <w:rFonts w:ascii="Book Antiqua" w:hAnsi="Book Antiqua" w:cs="Calibri"/>
          <w:sz w:val="24"/>
          <w:szCs w:val="24"/>
          <w:lang w:val="en-US"/>
        </w:rPr>
        <w:t xml:space="preserve">performance </w:t>
      </w:r>
      <w:r w:rsidR="00A15F0C" w:rsidRPr="00C33C2F">
        <w:rPr>
          <w:rFonts w:ascii="Book Antiqua" w:hAnsi="Book Antiqua" w:cs="Calibri"/>
          <w:sz w:val="24"/>
          <w:szCs w:val="24"/>
          <w:lang w:val="en-US"/>
        </w:rPr>
        <w:t>in terms of efficacy</w:t>
      </w:r>
      <w:r w:rsidR="00BC06CC" w:rsidRPr="00C33C2F">
        <w:rPr>
          <w:rFonts w:ascii="Book Antiqua" w:hAnsi="Book Antiqua" w:cs="Calibri"/>
          <w:sz w:val="24"/>
          <w:szCs w:val="24"/>
          <w:lang w:val="en-US"/>
        </w:rPr>
        <w:t xml:space="preserve"> and </w:t>
      </w:r>
      <w:proofErr w:type="gramStart"/>
      <w:r w:rsidR="00DD20EF" w:rsidRPr="00C33C2F">
        <w:rPr>
          <w:rFonts w:ascii="Book Antiqua" w:hAnsi="Book Antiqua" w:cs="Calibri"/>
          <w:sz w:val="24"/>
          <w:szCs w:val="24"/>
          <w:lang w:val="en-US"/>
        </w:rPr>
        <w:t>safety</w:t>
      </w:r>
      <w:r w:rsidR="0078482B"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24</w:t>
      </w:r>
      <w:r w:rsidR="0078482B" w:rsidRPr="00C33C2F">
        <w:rPr>
          <w:rFonts w:ascii="Book Antiqua" w:hAnsi="Book Antiqua" w:cs="Calibri"/>
          <w:sz w:val="24"/>
          <w:szCs w:val="24"/>
          <w:vertAlign w:val="superscript"/>
          <w:lang w:val="en-US"/>
        </w:rPr>
        <w:t>]</w:t>
      </w:r>
      <w:r w:rsidR="00BC06CC" w:rsidRPr="00C33C2F">
        <w:rPr>
          <w:rFonts w:ascii="Book Antiqua" w:hAnsi="Book Antiqua" w:cs="Calibri"/>
          <w:sz w:val="24"/>
          <w:szCs w:val="24"/>
          <w:lang w:val="en-US"/>
        </w:rPr>
        <w:t>.</w:t>
      </w:r>
      <w:r w:rsidR="00A12850" w:rsidRPr="00C33C2F">
        <w:rPr>
          <w:rFonts w:ascii="Book Antiqua" w:hAnsi="Book Antiqua" w:cs="Calibri"/>
          <w:sz w:val="24"/>
          <w:szCs w:val="24"/>
          <w:lang w:val="en-US"/>
        </w:rPr>
        <w:t xml:space="preserve"> </w:t>
      </w:r>
    </w:p>
    <w:p w:rsidR="00BC06CC" w:rsidRPr="00C33C2F" w:rsidRDefault="00A15F0C"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Subsequently a</w:t>
      </w:r>
      <w:r w:rsidR="004E6699" w:rsidRPr="00C33C2F">
        <w:rPr>
          <w:rFonts w:ascii="Book Antiqua" w:hAnsi="Book Antiqua" w:cs="Calibri"/>
          <w:sz w:val="24"/>
          <w:szCs w:val="24"/>
          <w:lang w:val="en-US"/>
        </w:rPr>
        <w:t xml:space="preserve"> </w:t>
      </w:r>
      <w:r w:rsidR="00BC06CC" w:rsidRPr="00C33C2F">
        <w:rPr>
          <w:rFonts w:ascii="Book Antiqua" w:hAnsi="Book Antiqua" w:cs="Calibri"/>
          <w:sz w:val="24"/>
          <w:szCs w:val="24"/>
          <w:lang w:val="en-US"/>
        </w:rPr>
        <w:t>phase III</w:t>
      </w:r>
      <w:r w:rsidRPr="00C33C2F">
        <w:rPr>
          <w:rFonts w:ascii="Book Antiqua" w:hAnsi="Book Antiqua" w:cs="Calibri"/>
          <w:sz w:val="24"/>
          <w:szCs w:val="24"/>
          <w:lang w:val="en-US"/>
        </w:rPr>
        <w:t>,</w:t>
      </w:r>
      <w:r w:rsidR="00BC06CC" w:rsidRPr="00C33C2F">
        <w:rPr>
          <w:rFonts w:ascii="Book Antiqua" w:hAnsi="Book Antiqua" w:cs="Calibri"/>
          <w:sz w:val="24"/>
          <w:szCs w:val="24"/>
          <w:lang w:val="en-US"/>
        </w:rPr>
        <w:t xml:space="preserve"> double-blind </w:t>
      </w:r>
      <w:r w:rsidRPr="00C33C2F">
        <w:rPr>
          <w:rFonts w:ascii="Book Antiqua" w:hAnsi="Book Antiqua" w:cs="Calibri"/>
          <w:sz w:val="24"/>
          <w:szCs w:val="24"/>
          <w:lang w:val="en-US"/>
        </w:rPr>
        <w:t xml:space="preserve">study was performed </w:t>
      </w:r>
      <w:r w:rsidR="00274189" w:rsidRPr="00C33C2F">
        <w:rPr>
          <w:rFonts w:ascii="Book Antiqua" w:hAnsi="Book Antiqua" w:cs="Calibri"/>
          <w:sz w:val="24"/>
          <w:szCs w:val="24"/>
          <w:lang w:val="en-US"/>
        </w:rPr>
        <w:t>in</w:t>
      </w:r>
      <w:r w:rsidR="00BC06CC" w:rsidRPr="00C33C2F">
        <w:rPr>
          <w:rFonts w:ascii="Book Antiqua" w:hAnsi="Book Antiqua" w:cs="Calibri"/>
          <w:sz w:val="24"/>
          <w:szCs w:val="24"/>
          <w:lang w:val="en-US"/>
        </w:rPr>
        <w:t xml:space="preserve"> 604 </w:t>
      </w:r>
      <w:r w:rsidRPr="00C33C2F">
        <w:rPr>
          <w:rFonts w:ascii="Book Antiqua" w:hAnsi="Book Antiqua" w:cs="Calibri"/>
          <w:sz w:val="24"/>
          <w:szCs w:val="24"/>
          <w:lang w:val="en-US"/>
        </w:rPr>
        <w:t xml:space="preserve">rheumatoid arthritis </w:t>
      </w:r>
      <w:r w:rsidR="00BC06CC" w:rsidRPr="00C33C2F">
        <w:rPr>
          <w:rFonts w:ascii="Book Antiqua" w:hAnsi="Book Antiqua" w:cs="Calibri"/>
          <w:sz w:val="24"/>
          <w:szCs w:val="24"/>
          <w:lang w:val="en-US"/>
        </w:rPr>
        <w:t>patients</w:t>
      </w:r>
      <w:r w:rsidRPr="00C33C2F">
        <w:rPr>
          <w:rFonts w:ascii="Book Antiqua" w:hAnsi="Book Antiqua" w:cs="Calibri"/>
          <w:sz w:val="24"/>
          <w:szCs w:val="24"/>
          <w:lang w:val="en-US"/>
        </w:rPr>
        <w:t xml:space="preserve">. Two groups of patients were randomized to receive </w:t>
      </w:r>
      <w:r w:rsidR="00BC06CC" w:rsidRPr="00C33C2F">
        <w:rPr>
          <w:rFonts w:ascii="Book Antiqua" w:hAnsi="Book Antiqua" w:cs="Calibri"/>
          <w:sz w:val="24"/>
          <w:szCs w:val="24"/>
          <w:lang w:val="en-US"/>
        </w:rPr>
        <w:t xml:space="preserve">CT-P13 </w:t>
      </w:r>
      <w:r w:rsidRPr="00C33C2F">
        <w:rPr>
          <w:rFonts w:ascii="Book Antiqua" w:hAnsi="Book Antiqua" w:cs="Calibri"/>
          <w:sz w:val="24"/>
          <w:szCs w:val="24"/>
          <w:lang w:val="en-US"/>
        </w:rPr>
        <w:t>or I</w:t>
      </w:r>
      <w:r w:rsidR="00BC06CC" w:rsidRPr="00C33C2F">
        <w:rPr>
          <w:rFonts w:ascii="Book Antiqua" w:hAnsi="Book Antiqua" w:cs="Calibri"/>
          <w:sz w:val="24"/>
          <w:szCs w:val="24"/>
          <w:lang w:val="en-US"/>
        </w:rPr>
        <w:t>nfliximab</w:t>
      </w:r>
      <w:r w:rsidRPr="00C33C2F">
        <w:rPr>
          <w:rFonts w:ascii="Book Antiqua" w:hAnsi="Book Antiqua" w:cs="Calibri"/>
          <w:sz w:val="24"/>
          <w:szCs w:val="24"/>
          <w:lang w:val="en-US"/>
        </w:rPr>
        <w:t>,</w:t>
      </w:r>
      <w:r w:rsidR="00BC06CC" w:rsidRPr="00C33C2F">
        <w:rPr>
          <w:rFonts w:ascii="Book Antiqua" w:hAnsi="Book Antiqua" w:cs="Calibri"/>
          <w:sz w:val="24"/>
          <w:szCs w:val="24"/>
          <w:lang w:val="en-US"/>
        </w:rPr>
        <w:t xml:space="preserve"> </w:t>
      </w:r>
      <w:r w:rsidRPr="00C33C2F">
        <w:rPr>
          <w:rFonts w:ascii="Book Antiqua" w:hAnsi="Book Antiqua" w:cs="Calibri"/>
          <w:sz w:val="24"/>
          <w:szCs w:val="24"/>
          <w:lang w:val="en-US"/>
        </w:rPr>
        <w:t xml:space="preserve">at the same dose of </w:t>
      </w:r>
      <w:r w:rsidR="00BC06CC" w:rsidRPr="00C33C2F">
        <w:rPr>
          <w:rFonts w:ascii="Book Antiqua" w:hAnsi="Book Antiqua" w:cs="Calibri"/>
          <w:sz w:val="24"/>
          <w:szCs w:val="24"/>
          <w:lang w:val="en-US"/>
        </w:rPr>
        <w:t>3 mg/kg</w:t>
      </w:r>
      <w:r w:rsidR="004E6699" w:rsidRPr="00C33C2F">
        <w:rPr>
          <w:rFonts w:ascii="Book Antiqua" w:hAnsi="Book Antiqua" w:cs="Calibri"/>
          <w:sz w:val="24"/>
          <w:szCs w:val="24"/>
          <w:lang w:val="en-US"/>
        </w:rPr>
        <w:t xml:space="preserve"> and both received</w:t>
      </w:r>
      <w:r w:rsidRPr="00C33C2F">
        <w:rPr>
          <w:rFonts w:ascii="Book Antiqua" w:hAnsi="Book Antiqua" w:cs="Calibri"/>
          <w:sz w:val="24"/>
          <w:szCs w:val="24"/>
          <w:lang w:val="en-US"/>
        </w:rPr>
        <w:t xml:space="preserve"> </w:t>
      </w:r>
      <w:r w:rsidR="004E6699" w:rsidRPr="00C33C2F">
        <w:rPr>
          <w:rFonts w:ascii="Book Antiqua" w:hAnsi="Book Antiqua" w:cs="Calibri"/>
          <w:sz w:val="24"/>
          <w:szCs w:val="24"/>
          <w:lang w:val="en-US"/>
        </w:rPr>
        <w:t xml:space="preserve">also </w:t>
      </w:r>
      <w:r w:rsidR="00BC06CC" w:rsidRPr="00C33C2F">
        <w:rPr>
          <w:rFonts w:ascii="Book Antiqua" w:hAnsi="Book Antiqua" w:cs="Calibri"/>
          <w:sz w:val="24"/>
          <w:szCs w:val="24"/>
          <w:lang w:val="en-US"/>
        </w:rPr>
        <w:t xml:space="preserve">methotrexate.  The two patient groups </w:t>
      </w:r>
      <w:r w:rsidRPr="00C33C2F">
        <w:rPr>
          <w:rFonts w:ascii="Book Antiqua" w:hAnsi="Book Antiqua" w:cs="Calibri"/>
          <w:sz w:val="24"/>
          <w:szCs w:val="24"/>
          <w:lang w:val="en-US"/>
        </w:rPr>
        <w:t>showed</w:t>
      </w:r>
      <w:r w:rsidR="00BC06CC" w:rsidRPr="00C33C2F">
        <w:rPr>
          <w:rFonts w:ascii="Book Antiqua" w:hAnsi="Book Antiqua" w:cs="Calibri"/>
          <w:sz w:val="24"/>
          <w:szCs w:val="24"/>
          <w:lang w:val="en-US"/>
        </w:rPr>
        <w:t xml:space="preserve"> </w:t>
      </w:r>
      <w:r w:rsidRPr="00C33C2F">
        <w:rPr>
          <w:rFonts w:ascii="Book Antiqua" w:hAnsi="Book Antiqua" w:cs="Calibri"/>
          <w:sz w:val="24"/>
          <w:szCs w:val="24"/>
          <w:lang w:val="en-US"/>
        </w:rPr>
        <w:t>similar</w:t>
      </w:r>
      <w:r w:rsidR="00BC06CC" w:rsidRPr="00C33C2F">
        <w:rPr>
          <w:rFonts w:ascii="Book Antiqua" w:hAnsi="Book Antiqua" w:cs="Calibri"/>
          <w:sz w:val="24"/>
          <w:szCs w:val="24"/>
          <w:lang w:val="en-US"/>
        </w:rPr>
        <w:t xml:space="preserve"> </w:t>
      </w:r>
      <w:r w:rsidR="004E6699" w:rsidRPr="00C33C2F">
        <w:rPr>
          <w:rFonts w:ascii="Book Antiqua" w:hAnsi="Book Antiqua" w:cs="Calibri"/>
          <w:sz w:val="24"/>
          <w:szCs w:val="24"/>
          <w:lang w:val="en-US"/>
        </w:rPr>
        <w:t xml:space="preserve">response </w:t>
      </w:r>
      <w:r w:rsidR="00BC06CC" w:rsidRPr="00C33C2F">
        <w:rPr>
          <w:rFonts w:ascii="Book Antiqua" w:hAnsi="Book Antiqua" w:cs="Calibri"/>
          <w:sz w:val="24"/>
          <w:szCs w:val="24"/>
          <w:lang w:val="en-US"/>
        </w:rPr>
        <w:t>rate</w:t>
      </w:r>
      <w:r w:rsidRPr="00C33C2F">
        <w:rPr>
          <w:rFonts w:ascii="Book Antiqua" w:hAnsi="Book Antiqua" w:cs="Calibri"/>
          <w:sz w:val="24"/>
          <w:szCs w:val="24"/>
          <w:lang w:val="en-US"/>
        </w:rPr>
        <w:t>, drug-related adverse events</w:t>
      </w:r>
      <w:r w:rsidR="00BC06CC" w:rsidRPr="00C33C2F">
        <w:rPr>
          <w:rFonts w:ascii="Book Antiqua" w:hAnsi="Book Antiqua" w:cs="Calibri"/>
          <w:sz w:val="24"/>
          <w:szCs w:val="24"/>
          <w:lang w:val="en-US"/>
        </w:rPr>
        <w:t xml:space="preserve"> and </w:t>
      </w:r>
      <w:r w:rsidR="004E6699" w:rsidRPr="00C33C2F">
        <w:rPr>
          <w:rFonts w:ascii="Book Antiqua" w:hAnsi="Book Antiqua" w:cs="Calibri"/>
          <w:sz w:val="24"/>
          <w:szCs w:val="24"/>
          <w:lang w:val="en-US"/>
        </w:rPr>
        <w:t xml:space="preserve">development </w:t>
      </w:r>
      <w:r w:rsidR="00BC06CC" w:rsidRPr="00C33C2F">
        <w:rPr>
          <w:rFonts w:ascii="Book Antiqua" w:hAnsi="Book Antiqua" w:cs="Calibri"/>
          <w:sz w:val="24"/>
          <w:szCs w:val="24"/>
          <w:lang w:val="en-US"/>
        </w:rPr>
        <w:t>rate of anti-drug antibodies</w:t>
      </w:r>
      <w:r w:rsidRPr="00C33C2F">
        <w:rPr>
          <w:rFonts w:ascii="Book Antiqua" w:hAnsi="Book Antiqua" w:cs="Calibri"/>
          <w:sz w:val="24"/>
          <w:szCs w:val="24"/>
          <w:lang w:val="en-US"/>
        </w:rPr>
        <w:t xml:space="preserve"> at the end of the </w:t>
      </w:r>
      <w:proofErr w:type="gramStart"/>
      <w:r w:rsidRPr="00C33C2F">
        <w:rPr>
          <w:rFonts w:ascii="Book Antiqua" w:hAnsi="Book Antiqua" w:cs="Calibri"/>
          <w:sz w:val="24"/>
          <w:szCs w:val="24"/>
          <w:lang w:val="en-US"/>
        </w:rPr>
        <w:t>study</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25</w:t>
      </w:r>
      <w:r w:rsidR="00815AFD" w:rsidRPr="00C33C2F">
        <w:rPr>
          <w:rFonts w:ascii="Book Antiqua" w:hAnsi="Book Antiqua" w:cs="Calibri"/>
          <w:sz w:val="24"/>
          <w:szCs w:val="24"/>
          <w:vertAlign w:val="superscript"/>
          <w:lang w:val="en-US"/>
        </w:rPr>
        <w:t>]</w:t>
      </w:r>
      <w:r w:rsidR="00EB17F6" w:rsidRPr="00C33C2F">
        <w:rPr>
          <w:rFonts w:ascii="Book Antiqua" w:hAnsi="Book Antiqua" w:cs="Calibri"/>
          <w:sz w:val="24"/>
          <w:szCs w:val="24"/>
          <w:lang w:val="en-US"/>
        </w:rPr>
        <w:t>.</w:t>
      </w:r>
    </w:p>
    <w:p w:rsidR="000973AE" w:rsidRPr="00C33C2F" w:rsidRDefault="00606353"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 xml:space="preserve">Regarding immunogenicity, it is well-known that </w:t>
      </w:r>
      <w:r w:rsidR="004E6699" w:rsidRPr="00C33C2F">
        <w:rPr>
          <w:rFonts w:ascii="Book Antiqua" w:hAnsi="Book Antiqua" w:cs="Calibri"/>
          <w:sz w:val="24"/>
          <w:szCs w:val="24"/>
          <w:lang w:val="en-US"/>
        </w:rPr>
        <w:t>is common to</w:t>
      </w:r>
      <w:r w:rsidR="004540A4" w:rsidRPr="00C33C2F">
        <w:rPr>
          <w:rFonts w:ascii="Book Antiqua" w:hAnsi="Book Antiqua" w:cs="Calibri"/>
          <w:sz w:val="24"/>
          <w:szCs w:val="24"/>
          <w:lang w:val="en-US"/>
        </w:rPr>
        <w:t xml:space="preserve"> most biologics including Infliximab. It is associated with the loss of response, an increased rate of infusion reactions and other adverse events</w:t>
      </w:r>
      <w:r w:rsidR="004E6699" w:rsidRPr="00C33C2F">
        <w:rPr>
          <w:rFonts w:ascii="Book Antiqua" w:hAnsi="Book Antiqua" w:cs="Calibri"/>
          <w:sz w:val="24"/>
          <w:szCs w:val="24"/>
          <w:lang w:val="en-US"/>
        </w:rPr>
        <w:t xml:space="preserve"> </w:t>
      </w:r>
      <w:r w:rsidR="00302E87" w:rsidRPr="00C33C2F">
        <w:rPr>
          <w:rFonts w:ascii="Book Antiqua" w:hAnsi="Book Antiqua" w:cs="Calibri"/>
          <w:sz w:val="24"/>
          <w:szCs w:val="24"/>
          <w:vertAlign w:val="superscript"/>
          <w:lang w:val="en-US"/>
        </w:rPr>
        <w:t>[</w:t>
      </w:r>
      <w:r w:rsidR="00FD6DD3" w:rsidRPr="00C33C2F">
        <w:rPr>
          <w:rFonts w:ascii="Book Antiqua" w:hAnsi="Book Antiqua" w:cs="Times-Roman" w:hint="eastAsia"/>
          <w:sz w:val="24"/>
          <w:szCs w:val="24"/>
          <w:vertAlign w:val="superscript"/>
          <w:lang w:val="en-US" w:eastAsia="zh-CN"/>
        </w:rPr>
        <w:t>26</w:t>
      </w:r>
      <w:r w:rsidR="00815AFD" w:rsidRPr="00C33C2F">
        <w:rPr>
          <w:rFonts w:ascii="Book Antiqua" w:hAnsi="Book Antiqua" w:cs="Calibri"/>
          <w:sz w:val="24"/>
          <w:szCs w:val="24"/>
          <w:vertAlign w:val="superscript"/>
          <w:lang w:val="en-US"/>
        </w:rPr>
        <w:t>]</w:t>
      </w:r>
      <w:r w:rsidR="004540A4" w:rsidRPr="00C33C2F">
        <w:rPr>
          <w:rFonts w:ascii="Book Antiqua" w:hAnsi="Book Antiqua" w:cs="Calibri"/>
          <w:sz w:val="24"/>
          <w:szCs w:val="24"/>
          <w:lang w:val="en-US"/>
        </w:rPr>
        <w:t>. The degree of immunogenicity is not the same for all biologics and only minor differences in the formulation, purity or packaging of a biological drug can affects its immunogenicity profile. In</w:t>
      </w:r>
      <w:r w:rsidR="00486D00" w:rsidRPr="00C33C2F">
        <w:rPr>
          <w:rFonts w:ascii="Book Antiqua" w:hAnsi="Book Antiqua"/>
          <w:color w:val="222222"/>
          <w:sz w:val="24"/>
          <w:szCs w:val="24"/>
          <w:shd w:val="clear" w:color="auto" w:fill="FFFFFF"/>
          <w:lang w:val="en-US"/>
        </w:rPr>
        <w:t xml:space="preserve"> </w:t>
      </w:r>
      <w:r w:rsidR="00DD20EF" w:rsidRPr="00C33C2F">
        <w:rPr>
          <w:rFonts w:ascii="Book Antiqua" w:hAnsi="Book Antiqua" w:cs="Calibri"/>
          <w:sz w:val="24"/>
          <w:szCs w:val="24"/>
          <w:lang w:val="en-US"/>
        </w:rPr>
        <w:t xml:space="preserve">both PLANETAS and </w:t>
      </w:r>
      <w:proofErr w:type="gramStart"/>
      <w:r w:rsidR="00DD20EF" w:rsidRPr="00C33C2F">
        <w:rPr>
          <w:rFonts w:ascii="Book Antiqua" w:hAnsi="Book Antiqua" w:cs="Calibri"/>
          <w:sz w:val="24"/>
          <w:szCs w:val="24"/>
          <w:lang w:val="en-US"/>
        </w:rPr>
        <w:t>PLANETRA</w:t>
      </w:r>
      <w:r w:rsidR="00507CB3" w:rsidRPr="00C33C2F">
        <w:rPr>
          <w:rFonts w:ascii="Book Antiqua" w:hAnsi="Book Antiqua" w:cs="Calibri"/>
          <w:sz w:val="24"/>
          <w:szCs w:val="24"/>
          <w:vertAlign w:val="superscript"/>
          <w:lang w:val="en-US"/>
        </w:rPr>
        <w:t>[</w:t>
      </w:r>
      <w:proofErr w:type="gramEnd"/>
      <w:r w:rsidR="00507CB3" w:rsidRPr="00C33C2F">
        <w:rPr>
          <w:rFonts w:ascii="Book Antiqua" w:hAnsi="Book Antiqua" w:cs="Calibri"/>
          <w:sz w:val="24"/>
          <w:szCs w:val="24"/>
          <w:vertAlign w:val="superscript"/>
          <w:lang w:val="en-US"/>
        </w:rPr>
        <w:t>24,25]</w:t>
      </w:r>
      <w:r w:rsidR="004540A4" w:rsidRPr="00C33C2F">
        <w:rPr>
          <w:rFonts w:ascii="Book Antiqua" w:hAnsi="Book Antiqua" w:cs="Calibri"/>
          <w:sz w:val="24"/>
          <w:szCs w:val="24"/>
          <w:lang w:val="en-US"/>
        </w:rPr>
        <w:t xml:space="preserve"> study, ADAs against CT-P13 and Infliximab were measured with similar findings for the two agents. During the extension phase</w:t>
      </w:r>
      <w:r w:rsidR="00507CB3" w:rsidRPr="00C33C2F">
        <w:rPr>
          <w:rFonts w:ascii="Book Antiqua" w:hAnsi="Book Antiqua" w:cs="Calibri"/>
          <w:sz w:val="24"/>
          <w:szCs w:val="24"/>
          <w:lang w:val="en-US"/>
        </w:rPr>
        <w:t>,</w:t>
      </w:r>
      <w:r w:rsidR="004540A4" w:rsidRPr="00C33C2F">
        <w:rPr>
          <w:rFonts w:ascii="Book Antiqua" w:hAnsi="Book Antiqua" w:cs="Calibri"/>
          <w:sz w:val="24"/>
          <w:szCs w:val="24"/>
          <w:lang w:val="en-US"/>
        </w:rPr>
        <w:t xml:space="preserve"> ADA </w:t>
      </w:r>
      <w:r w:rsidR="00EC3488" w:rsidRPr="00C33C2F">
        <w:rPr>
          <w:rFonts w:ascii="Book Antiqua" w:hAnsi="Book Antiqua" w:cs="Calibri"/>
          <w:sz w:val="24"/>
          <w:szCs w:val="24"/>
          <w:lang w:val="en-US"/>
        </w:rPr>
        <w:t>incidence was comparable between maintenance and switches</w:t>
      </w:r>
      <w:r w:rsidR="004540A4" w:rsidRPr="00C33C2F">
        <w:rPr>
          <w:rFonts w:ascii="Book Antiqua" w:hAnsi="Book Antiqua" w:cs="Calibri"/>
          <w:sz w:val="24"/>
          <w:szCs w:val="24"/>
          <w:lang w:val="en-US"/>
        </w:rPr>
        <w:t xml:space="preserve"> groups and did not increase significantly. </w:t>
      </w:r>
    </w:p>
    <w:p w:rsidR="00C10A8F" w:rsidRPr="00C33C2F" w:rsidRDefault="00507CB3"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 xml:space="preserve">All </w:t>
      </w:r>
      <w:r w:rsidR="004540A4" w:rsidRPr="00C33C2F">
        <w:rPr>
          <w:rFonts w:ascii="Book Antiqua" w:hAnsi="Book Antiqua" w:cs="Calibri"/>
          <w:sz w:val="24"/>
          <w:szCs w:val="24"/>
          <w:lang w:val="en-US"/>
        </w:rPr>
        <w:t>these data further support</w:t>
      </w:r>
      <w:r w:rsidR="000973AE" w:rsidRPr="00C33C2F">
        <w:rPr>
          <w:rFonts w:ascii="Book Antiqua" w:hAnsi="Book Antiqua" w:cs="Calibri"/>
          <w:sz w:val="24"/>
          <w:szCs w:val="24"/>
          <w:lang w:val="en-US"/>
        </w:rPr>
        <w:t xml:space="preserve"> the extrapolation of CT-P13 to all the indication</w:t>
      </w:r>
      <w:r w:rsidR="002947BC" w:rsidRPr="00C33C2F">
        <w:rPr>
          <w:rFonts w:ascii="Book Antiqua" w:hAnsi="Book Antiqua" w:cs="Calibri"/>
          <w:sz w:val="24"/>
          <w:szCs w:val="24"/>
          <w:lang w:val="en-US"/>
        </w:rPr>
        <w:t>s</w:t>
      </w:r>
      <w:r w:rsidRPr="00C33C2F">
        <w:rPr>
          <w:rFonts w:ascii="Book Antiqua" w:hAnsi="Book Antiqua" w:cs="Calibri"/>
          <w:sz w:val="24"/>
          <w:szCs w:val="24"/>
          <w:lang w:val="en-US"/>
        </w:rPr>
        <w:t xml:space="preserve"> for which IFX is approved. A</w:t>
      </w:r>
      <w:r w:rsidR="00DF1E91" w:rsidRPr="00C33C2F">
        <w:rPr>
          <w:rFonts w:ascii="Book Antiqua" w:hAnsi="Book Antiqua" w:cs="Calibri"/>
          <w:sz w:val="24"/>
          <w:szCs w:val="24"/>
          <w:lang w:val="en-US"/>
        </w:rPr>
        <w:t xml:space="preserve">lthough </w:t>
      </w:r>
      <w:r w:rsidR="000973AE" w:rsidRPr="00C33C2F">
        <w:rPr>
          <w:rFonts w:ascii="Book Antiqua" w:hAnsi="Book Antiqua" w:cs="Calibri"/>
          <w:sz w:val="24"/>
          <w:szCs w:val="24"/>
          <w:lang w:val="en-US"/>
        </w:rPr>
        <w:t>clinical efficacy has onl</w:t>
      </w:r>
      <w:r w:rsidRPr="00C33C2F">
        <w:rPr>
          <w:rFonts w:ascii="Book Antiqua" w:hAnsi="Book Antiqua" w:cs="Calibri"/>
          <w:sz w:val="24"/>
          <w:szCs w:val="24"/>
          <w:lang w:val="en-US"/>
        </w:rPr>
        <w:t>y been demonstrated in rheumatologic</w:t>
      </w:r>
      <w:r w:rsidR="000973AE" w:rsidRPr="00C33C2F">
        <w:rPr>
          <w:rFonts w:ascii="Book Antiqua" w:hAnsi="Book Antiqua" w:cs="Calibri"/>
          <w:sz w:val="24"/>
          <w:szCs w:val="24"/>
          <w:lang w:val="en-US"/>
        </w:rPr>
        <w:t xml:space="preserve"> disease</w:t>
      </w:r>
      <w:r w:rsidRPr="00C33C2F">
        <w:rPr>
          <w:rFonts w:ascii="Book Antiqua" w:hAnsi="Book Antiqua" w:cs="Calibri"/>
          <w:sz w:val="24"/>
          <w:szCs w:val="24"/>
          <w:lang w:val="en-US"/>
        </w:rPr>
        <w:t>s</w:t>
      </w:r>
      <w:r w:rsidR="000973AE" w:rsidRPr="00C33C2F">
        <w:rPr>
          <w:rFonts w:ascii="Book Antiqua" w:hAnsi="Book Antiqua" w:cs="Calibri"/>
          <w:sz w:val="24"/>
          <w:szCs w:val="24"/>
          <w:lang w:val="en-US"/>
        </w:rPr>
        <w:t xml:space="preserve">, in September 2013 EMA </w:t>
      </w:r>
      <w:r w:rsidR="00BC06CC" w:rsidRPr="00C33C2F">
        <w:rPr>
          <w:rFonts w:ascii="Book Antiqua" w:hAnsi="Book Antiqua" w:cs="Calibri"/>
          <w:sz w:val="24"/>
          <w:szCs w:val="24"/>
          <w:lang w:val="en-US"/>
        </w:rPr>
        <w:t xml:space="preserve">approved the </w:t>
      </w:r>
      <w:proofErr w:type="spellStart"/>
      <w:r w:rsidR="00BC06CC" w:rsidRPr="00C33C2F">
        <w:rPr>
          <w:rFonts w:ascii="Book Antiqua" w:hAnsi="Book Antiqua" w:cs="Calibri"/>
          <w:sz w:val="24"/>
          <w:szCs w:val="24"/>
          <w:lang w:val="en-US"/>
        </w:rPr>
        <w:t>biosimilar</w:t>
      </w:r>
      <w:proofErr w:type="spellEnd"/>
      <w:r w:rsidR="00BC06CC" w:rsidRPr="00C33C2F">
        <w:rPr>
          <w:rFonts w:ascii="Book Antiqua" w:hAnsi="Book Antiqua" w:cs="Calibri"/>
          <w:sz w:val="24"/>
          <w:szCs w:val="24"/>
          <w:lang w:val="en-US"/>
        </w:rPr>
        <w:t xml:space="preserve"> of infliximab </w:t>
      </w:r>
      <w:r w:rsidR="000973AE" w:rsidRPr="00C33C2F">
        <w:rPr>
          <w:rFonts w:ascii="Book Antiqua" w:hAnsi="Book Antiqua" w:cs="Calibri"/>
          <w:sz w:val="24"/>
          <w:szCs w:val="24"/>
          <w:lang w:val="en-US"/>
        </w:rPr>
        <w:t xml:space="preserve">not only </w:t>
      </w:r>
      <w:r w:rsidR="00BC06CC" w:rsidRPr="00C33C2F">
        <w:rPr>
          <w:rFonts w:ascii="Book Antiqua" w:hAnsi="Book Antiqua" w:cs="Calibri"/>
          <w:sz w:val="24"/>
          <w:szCs w:val="24"/>
          <w:lang w:val="en-US"/>
        </w:rPr>
        <w:t>for treatment of rheumatoid ar</w:t>
      </w:r>
      <w:r w:rsidR="000973AE" w:rsidRPr="00C33C2F">
        <w:rPr>
          <w:rFonts w:ascii="Book Antiqua" w:hAnsi="Book Antiqua" w:cs="Calibri"/>
          <w:sz w:val="24"/>
          <w:szCs w:val="24"/>
          <w:lang w:val="en-US"/>
        </w:rPr>
        <w:t xml:space="preserve">thritis, </w:t>
      </w:r>
      <w:proofErr w:type="spellStart"/>
      <w:r w:rsidR="000973AE" w:rsidRPr="00C33C2F">
        <w:rPr>
          <w:rFonts w:ascii="Book Antiqua" w:hAnsi="Book Antiqua" w:cs="Calibri"/>
          <w:sz w:val="24"/>
          <w:szCs w:val="24"/>
          <w:lang w:val="en-US"/>
        </w:rPr>
        <w:t>ankylosing</w:t>
      </w:r>
      <w:proofErr w:type="spellEnd"/>
      <w:r w:rsidR="000973AE" w:rsidRPr="00C33C2F">
        <w:rPr>
          <w:rFonts w:ascii="Book Antiqua" w:hAnsi="Book Antiqua" w:cs="Calibri"/>
          <w:sz w:val="24"/>
          <w:szCs w:val="24"/>
          <w:lang w:val="en-US"/>
        </w:rPr>
        <w:t xml:space="preserve"> spondylitis and</w:t>
      </w:r>
      <w:r w:rsidR="00BC06CC" w:rsidRPr="00C33C2F">
        <w:rPr>
          <w:rFonts w:ascii="Book Antiqua" w:hAnsi="Book Antiqua" w:cs="Calibri"/>
          <w:sz w:val="24"/>
          <w:szCs w:val="24"/>
          <w:lang w:val="en-US"/>
        </w:rPr>
        <w:t xml:space="preserve"> psoriatic arthritis</w:t>
      </w:r>
      <w:r w:rsidR="000973AE" w:rsidRPr="00C33C2F">
        <w:rPr>
          <w:rFonts w:ascii="Book Antiqua" w:hAnsi="Book Antiqua" w:cs="Calibri"/>
          <w:sz w:val="24"/>
          <w:szCs w:val="24"/>
          <w:lang w:val="en-US"/>
        </w:rPr>
        <w:t xml:space="preserve">, but also for </w:t>
      </w:r>
      <w:r w:rsidR="00BC06CC" w:rsidRPr="00C33C2F">
        <w:rPr>
          <w:rFonts w:ascii="Book Antiqua" w:hAnsi="Book Antiqua" w:cs="Calibri"/>
          <w:sz w:val="24"/>
          <w:szCs w:val="24"/>
          <w:lang w:val="en-US"/>
        </w:rPr>
        <w:t>inflammatory bowel disease (IBD)</w:t>
      </w:r>
      <w:r w:rsidRPr="00C33C2F">
        <w:rPr>
          <w:rFonts w:ascii="Book Antiqua" w:hAnsi="Book Antiqua" w:cs="Calibri"/>
          <w:sz w:val="24"/>
          <w:szCs w:val="24"/>
          <w:lang w:val="en-US"/>
        </w:rPr>
        <w:t xml:space="preserve"> in adults and children</w:t>
      </w:r>
      <w:r w:rsidR="00BC06CC" w:rsidRPr="00C33C2F">
        <w:rPr>
          <w:rFonts w:ascii="Book Antiqua" w:hAnsi="Book Antiqua" w:cs="Calibri"/>
          <w:sz w:val="24"/>
          <w:szCs w:val="24"/>
          <w:lang w:val="en-US"/>
        </w:rPr>
        <w:t>. Even if the number of IBD patients treated with CT-P13 is limited</w:t>
      </w:r>
      <w:r w:rsidR="00F46116" w:rsidRPr="00C33C2F">
        <w:rPr>
          <w:rFonts w:ascii="Book Antiqua" w:hAnsi="Book Antiqua" w:cs="Calibri"/>
          <w:sz w:val="24"/>
          <w:szCs w:val="24"/>
          <w:lang w:val="en-US"/>
        </w:rPr>
        <w:t>, clinical experience is growing a</w:t>
      </w:r>
      <w:r w:rsidR="002947BC" w:rsidRPr="00C33C2F">
        <w:rPr>
          <w:rFonts w:ascii="Book Antiqua" w:hAnsi="Book Antiqua" w:cs="Calibri"/>
          <w:sz w:val="24"/>
          <w:szCs w:val="24"/>
          <w:lang w:val="en-US"/>
        </w:rPr>
        <w:t xml:space="preserve">nd initial data are now available: some studies have been published as full articles and some additional studies have also </w:t>
      </w:r>
      <w:r w:rsidR="00EE2B79" w:rsidRPr="00C33C2F">
        <w:rPr>
          <w:rFonts w:ascii="Book Antiqua" w:hAnsi="Book Antiqua" w:cs="Calibri"/>
          <w:sz w:val="24"/>
          <w:szCs w:val="24"/>
          <w:lang w:val="en-US"/>
        </w:rPr>
        <w:t xml:space="preserve">been presented </w:t>
      </w:r>
      <w:r w:rsidRPr="00C33C2F">
        <w:rPr>
          <w:rFonts w:ascii="Book Antiqua" w:hAnsi="Book Antiqua" w:cs="Calibri"/>
          <w:sz w:val="24"/>
          <w:szCs w:val="24"/>
          <w:lang w:val="en-US"/>
        </w:rPr>
        <w:t xml:space="preserve">only in </w:t>
      </w:r>
      <w:r w:rsidR="00EE2B79" w:rsidRPr="00C33C2F">
        <w:rPr>
          <w:rFonts w:ascii="Book Antiqua" w:hAnsi="Book Antiqua" w:cs="Calibri"/>
          <w:sz w:val="24"/>
          <w:szCs w:val="24"/>
          <w:lang w:val="en-US"/>
        </w:rPr>
        <w:t xml:space="preserve">abstract </w:t>
      </w:r>
      <w:r w:rsidRPr="00C33C2F">
        <w:rPr>
          <w:rFonts w:ascii="Book Antiqua" w:hAnsi="Book Antiqua" w:cs="Calibri"/>
          <w:sz w:val="24"/>
          <w:szCs w:val="24"/>
          <w:lang w:val="en-US"/>
        </w:rPr>
        <w:t xml:space="preserve">form </w:t>
      </w:r>
      <w:r w:rsidR="00EE2B79" w:rsidRPr="00C33C2F">
        <w:rPr>
          <w:rFonts w:ascii="Book Antiqua" w:hAnsi="Book Antiqua" w:cs="Calibri"/>
          <w:sz w:val="24"/>
          <w:szCs w:val="24"/>
          <w:lang w:val="en-US"/>
        </w:rPr>
        <w:t>(Table</w:t>
      </w:r>
      <w:r w:rsidR="00815AFD" w:rsidRPr="00C33C2F">
        <w:rPr>
          <w:rFonts w:ascii="Book Antiqua" w:hAnsi="Book Antiqua" w:cs="Calibri"/>
          <w:sz w:val="24"/>
          <w:szCs w:val="24"/>
          <w:lang w:val="en-US"/>
        </w:rPr>
        <w:t xml:space="preserve"> 1</w:t>
      </w:r>
      <w:r w:rsidR="00EE2B79" w:rsidRPr="00C33C2F">
        <w:rPr>
          <w:rFonts w:ascii="Book Antiqua" w:hAnsi="Book Antiqua" w:cs="Calibri"/>
          <w:sz w:val="24"/>
          <w:szCs w:val="24"/>
          <w:lang w:val="en-US"/>
        </w:rPr>
        <w:t>).</w:t>
      </w:r>
    </w:p>
    <w:p w:rsidR="003E15D1" w:rsidRPr="00C33C2F" w:rsidRDefault="003E15D1" w:rsidP="008B1267">
      <w:pPr>
        <w:autoSpaceDE w:val="0"/>
        <w:autoSpaceDN w:val="0"/>
        <w:adjustRightInd w:val="0"/>
        <w:spacing w:after="0" w:line="360" w:lineRule="auto"/>
        <w:jc w:val="both"/>
        <w:rPr>
          <w:rFonts w:ascii="Book Antiqua" w:hAnsi="Book Antiqua" w:cs="Calibri"/>
          <w:sz w:val="24"/>
          <w:szCs w:val="24"/>
          <w:lang w:val="en-US"/>
        </w:rPr>
      </w:pPr>
    </w:p>
    <w:p w:rsidR="000973AE" w:rsidRPr="00C33C2F" w:rsidRDefault="00302E87" w:rsidP="008B1267">
      <w:pPr>
        <w:autoSpaceDE w:val="0"/>
        <w:autoSpaceDN w:val="0"/>
        <w:adjustRightInd w:val="0"/>
        <w:spacing w:after="0" w:line="360" w:lineRule="auto"/>
        <w:jc w:val="both"/>
        <w:rPr>
          <w:rFonts w:ascii="Book Antiqua" w:hAnsi="Book Antiqua" w:cs="Calibri"/>
          <w:b/>
          <w:sz w:val="24"/>
          <w:szCs w:val="24"/>
          <w:lang w:val="en-US"/>
        </w:rPr>
      </w:pPr>
      <w:r w:rsidRPr="00C33C2F">
        <w:rPr>
          <w:rFonts w:ascii="Book Antiqua" w:hAnsi="Book Antiqua" w:cs="Calibri"/>
          <w:b/>
          <w:sz w:val="24"/>
          <w:szCs w:val="24"/>
          <w:lang w:val="en-US"/>
        </w:rPr>
        <w:lastRenderedPageBreak/>
        <w:t>CT-P13 POST-MARKETING STUDIES IN ADULT IBD</w:t>
      </w:r>
    </w:p>
    <w:p w:rsidR="00D04EE4" w:rsidRPr="00C33C2F" w:rsidRDefault="00D04EE4" w:rsidP="008B1267">
      <w:pPr>
        <w:autoSpaceDE w:val="0"/>
        <w:autoSpaceDN w:val="0"/>
        <w:adjustRightInd w:val="0"/>
        <w:spacing w:after="0" w:line="360" w:lineRule="auto"/>
        <w:jc w:val="both"/>
        <w:rPr>
          <w:rFonts w:ascii="Book Antiqua" w:hAnsi="Book Antiqua" w:cs="Calibri"/>
          <w:sz w:val="24"/>
          <w:szCs w:val="24"/>
          <w:lang w:val="en-US"/>
        </w:rPr>
      </w:pPr>
      <w:r w:rsidRPr="00C33C2F">
        <w:rPr>
          <w:rFonts w:ascii="Book Antiqua" w:hAnsi="Book Antiqua" w:cs="Calibri"/>
          <w:sz w:val="24"/>
          <w:szCs w:val="24"/>
          <w:lang w:val="en-US"/>
        </w:rPr>
        <w:t>No randomized controlled trials are available on the use of CT-P13 in IBD. A randomized, double-blind, parallel group study, the NOR-SWITCH study</w:t>
      </w:r>
      <w:r w:rsidR="00302E87" w:rsidRPr="00C33C2F">
        <w:rPr>
          <w:rFonts w:ascii="Book Antiqua" w:hAnsi="Book Antiqua" w:cs="Calibri"/>
          <w:sz w:val="24"/>
          <w:szCs w:val="24"/>
          <w:lang w:val="en-US" w:eastAsia="zh-CN"/>
        </w:rPr>
        <w:t xml:space="preserve"> </w:t>
      </w:r>
      <w:r w:rsidR="00302E87" w:rsidRPr="00C33C2F">
        <w:rPr>
          <w:rFonts w:ascii="Book Antiqua" w:hAnsi="Book Antiqua" w:cs="Calibri"/>
          <w:sz w:val="24"/>
          <w:szCs w:val="24"/>
          <w:lang w:val="en-US"/>
        </w:rPr>
        <w:t>[</w:t>
      </w:r>
      <w:r w:rsidRPr="00C33C2F">
        <w:rPr>
          <w:rFonts w:ascii="Book Antiqua" w:hAnsi="Book Antiqua" w:cs="Calibri"/>
          <w:sz w:val="24"/>
          <w:szCs w:val="24"/>
          <w:lang w:val="en-US"/>
        </w:rPr>
        <w:t>ClinicalTrials.gov identifier: NCT02148640] is currently being pursued in Norway. The purpose of this study is to assess the safety and efficacy of switching from infliximab to t</w:t>
      </w:r>
      <w:r w:rsidR="00A95A70" w:rsidRPr="00C33C2F">
        <w:rPr>
          <w:rFonts w:ascii="Book Antiqua" w:hAnsi="Book Antiqua" w:cs="Calibri"/>
          <w:sz w:val="24"/>
          <w:szCs w:val="24"/>
          <w:lang w:val="en-US"/>
        </w:rPr>
        <w:t xml:space="preserve">he </w:t>
      </w:r>
      <w:proofErr w:type="spellStart"/>
      <w:r w:rsidR="00A95A70" w:rsidRPr="00C33C2F">
        <w:rPr>
          <w:rFonts w:ascii="Book Antiqua" w:hAnsi="Book Antiqua" w:cs="Calibri"/>
          <w:sz w:val="24"/>
          <w:szCs w:val="24"/>
          <w:lang w:val="en-US"/>
        </w:rPr>
        <w:t>biosimilar</w:t>
      </w:r>
      <w:proofErr w:type="spellEnd"/>
      <w:r w:rsidR="00A95A70" w:rsidRPr="00C33C2F">
        <w:rPr>
          <w:rFonts w:ascii="Book Antiqua" w:hAnsi="Book Antiqua" w:cs="Calibri"/>
          <w:sz w:val="24"/>
          <w:szCs w:val="24"/>
          <w:lang w:val="en-US"/>
        </w:rPr>
        <w:t xml:space="preserve"> treatment </w:t>
      </w:r>
      <w:proofErr w:type="spellStart"/>
      <w:r w:rsidR="00A95A70" w:rsidRPr="00C33C2F">
        <w:rPr>
          <w:rFonts w:ascii="Book Antiqua" w:hAnsi="Book Antiqua" w:cs="Calibri"/>
          <w:sz w:val="24"/>
          <w:szCs w:val="24"/>
          <w:lang w:val="en-US"/>
        </w:rPr>
        <w:t>Remsima</w:t>
      </w:r>
      <w:proofErr w:type="spellEnd"/>
      <w:r w:rsidRPr="00C33C2F">
        <w:rPr>
          <w:rFonts w:ascii="Book Antiqua" w:hAnsi="Book Antiqua" w:cs="Calibri"/>
          <w:sz w:val="24"/>
          <w:szCs w:val="24"/>
          <w:lang w:val="en-US"/>
        </w:rPr>
        <w:t xml:space="preserve"> in patients with rheumatoid arthritis, </w:t>
      </w:r>
      <w:proofErr w:type="spellStart"/>
      <w:r w:rsidRPr="00C33C2F">
        <w:rPr>
          <w:rFonts w:ascii="Book Antiqua" w:hAnsi="Book Antiqua" w:cs="Calibri"/>
          <w:sz w:val="24"/>
          <w:szCs w:val="24"/>
          <w:lang w:val="en-US"/>
        </w:rPr>
        <w:t>spondyloarthritis</w:t>
      </w:r>
      <w:proofErr w:type="spellEnd"/>
      <w:r w:rsidRPr="00C33C2F">
        <w:rPr>
          <w:rFonts w:ascii="Book Antiqua" w:hAnsi="Book Antiqua" w:cs="Calibri"/>
          <w:sz w:val="24"/>
          <w:szCs w:val="24"/>
          <w:lang w:val="en-US"/>
        </w:rPr>
        <w:t xml:space="preserve">, psoriatic arthritis, ulcerative colitis, </w:t>
      </w:r>
      <w:proofErr w:type="spellStart"/>
      <w:r w:rsidRPr="00C33C2F">
        <w:rPr>
          <w:rFonts w:ascii="Book Antiqua" w:hAnsi="Book Antiqua" w:cs="Calibri"/>
          <w:sz w:val="24"/>
          <w:szCs w:val="24"/>
          <w:lang w:val="en-US"/>
        </w:rPr>
        <w:t>Crohn's</w:t>
      </w:r>
      <w:proofErr w:type="spellEnd"/>
      <w:r w:rsidRPr="00C33C2F">
        <w:rPr>
          <w:rFonts w:ascii="Book Antiqua" w:hAnsi="Book Antiqua" w:cs="Calibri"/>
          <w:sz w:val="24"/>
          <w:szCs w:val="24"/>
          <w:lang w:val="en-US"/>
        </w:rPr>
        <w:t xml:space="preserve"> disease and chronic plaque psoriasis.</w:t>
      </w:r>
      <w:r w:rsidR="00A95A70" w:rsidRPr="00C33C2F">
        <w:rPr>
          <w:rFonts w:ascii="Book Antiqua" w:hAnsi="Book Antiqua" w:cs="Calibri"/>
          <w:sz w:val="24"/>
          <w:szCs w:val="24"/>
          <w:lang w:val="en-US"/>
        </w:rPr>
        <w:t xml:space="preserve"> </w:t>
      </w:r>
      <w:r w:rsidR="00EC3488" w:rsidRPr="00C33C2F">
        <w:rPr>
          <w:rFonts w:ascii="Book Antiqua" w:hAnsi="Book Antiqua" w:cs="Calibri"/>
          <w:sz w:val="24"/>
          <w:szCs w:val="24"/>
          <w:lang w:val="en-US"/>
        </w:rPr>
        <w:t xml:space="preserve">It was estimated to be completed in May 2016, but </w:t>
      </w:r>
      <w:r w:rsidR="00507CB3" w:rsidRPr="00C33C2F">
        <w:rPr>
          <w:rFonts w:ascii="Book Antiqua" w:hAnsi="Book Antiqua" w:cs="Calibri"/>
          <w:sz w:val="24"/>
          <w:szCs w:val="24"/>
          <w:lang w:val="en-US"/>
        </w:rPr>
        <w:t xml:space="preserve">fully published </w:t>
      </w:r>
      <w:r w:rsidR="00EC3488" w:rsidRPr="00C33C2F">
        <w:rPr>
          <w:rFonts w:ascii="Book Antiqua" w:hAnsi="Book Antiqua" w:cs="Calibri"/>
          <w:sz w:val="24"/>
          <w:szCs w:val="24"/>
          <w:lang w:val="en-US"/>
        </w:rPr>
        <w:t>data are not available yet.</w:t>
      </w:r>
      <w:r w:rsidRPr="00C33C2F">
        <w:rPr>
          <w:rFonts w:ascii="Book Antiqua" w:hAnsi="Book Antiqua" w:cs="Calibri"/>
          <w:sz w:val="24"/>
          <w:szCs w:val="24"/>
          <w:lang w:val="en-US"/>
        </w:rPr>
        <w:t xml:space="preserve"> Another study, sponsored by </w:t>
      </w:r>
      <w:proofErr w:type="spellStart"/>
      <w:r w:rsidRPr="00C33C2F">
        <w:rPr>
          <w:rFonts w:ascii="Book Antiqua" w:hAnsi="Book Antiqua" w:cs="Calibri"/>
          <w:sz w:val="24"/>
          <w:szCs w:val="24"/>
          <w:lang w:val="en-US"/>
        </w:rPr>
        <w:t>Celltrion</w:t>
      </w:r>
      <w:proofErr w:type="spellEnd"/>
      <w:r w:rsidRPr="00C33C2F">
        <w:rPr>
          <w:rFonts w:ascii="Book Antiqua" w:hAnsi="Book Antiqua" w:cs="Calibri"/>
          <w:sz w:val="24"/>
          <w:szCs w:val="24"/>
          <w:lang w:val="en-US"/>
        </w:rPr>
        <w:t xml:space="preserve">, has been designed to assess non-inferiority in efficacy and to assess overall safety of CT-P13 compared to infliximab in patients with active </w:t>
      </w:r>
      <w:proofErr w:type="spellStart"/>
      <w:r w:rsidRPr="00C33C2F">
        <w:rPr>
          <w:rFonts w:ascii="Book Antiqua" w:hAnsi="Book Antiqua" w:cs="Calibri"/>
          <w:sz w:val="24"/>
          <w:szCs w:val="24"/>
          <w:lang w:val="en-US"/>
        </w:rPr>
        <w:t>Crohn's</w:t>
      </w:r>
      <w:proofErr w:type="spellEnd"/>
      <w:r w:rsidRPr="00C33C2F">
        <w:rPr>
          <w:rFonts w:ascii="Book Antiqua" w:hAnsi="Book Antiqua" w:cs="Calibri"/>
          <w:sz w:val="24"/>
          <w:szCs w:val="24"/>
          <w:lang w:val="en-US"/>
        </w:rPr>
        <w:t xml:space="preserve"> disease up to week 54</w:t>
      </w:r>
      <w:r w:rsidR="00507CB3" w:rsidRPr="00C33C2F">
        <w:rPr>
          <w:rFonts w:ascii="Book Antiqua" w:hAnsi="Book Antiqua" w:cs="Calibri"/>
          <w:sz w:val="24"/>
          <w:szCs w:val="24"/>
          <w:lang w:val="en-US"/>
        </w:rPr>
        <w:t xml:space="preserve"> </w:t>
      </w:r>
      <w:r w:rsidR="00302E87" w:rsidRPr="00C33C2F">
        <w:rPr>
          <w:rFonts w:ascii="Book Antiqua" w:hAnsi="Book Antiqua" w:cs="Calibri"/>
          <w:sz w:val="24"/>
          <w:szCs w:val="24"/>
          <w:lang w:val="en-US"/>
        </w:rPr>
        <w:t>[</w:t>
      </w:r>
      <w:r w:rsidRPr="00C33C2F">
        <w:rPr>
          <w:rFonts w:ascii="Book Antiqua" w:hAnsi="Book Antiqua" w:cs="Calibri"/>
          <w:sz w:val="24"/>
          <w:szCs w:val="24"/>
          <w:lang w:val="en-US"/>
        </w:rPr>
        <w:t xml:space="preserve">ClinicalTrials.gov Identifier: NCT02096861]. This study will also provide information about switching from infliximab to CT-P13 and from CT-P13 back to infliximab; the enrolment is closed with 214 patients included but no data are available yet. </w:t>
      </w:r>
    </w:p>
    <w:p w:rsidR="00F72E53" w:rsidRPr="00C33C2F" w:rsidRDefault="0028178D" w:rsidP="008B1267">
      <w:pPr>
        <w:autoSpaceDE w:val="0"/>
        <w:autoSpaceDN w:val="0"/>
        <w:adjustRightInd w:val="0"/>
        <w:spacing w:after="0" w:line="360" w:lineRule="auto"/>
        <w:jc w:val="both"/>
        <w:rPr>
          <w:rFonts w:ascii="Book Antiqua" w:hAnsi="Book Antiqua" w:cs="Calibri"/>
          <w:sz w:val="24"/>
          <w:szCs w:val="24"/>
          <w:lang w:val="en-US"/>
        </w:rPr>
      </w:pPr>
      <w:r w:rsidRPr="00C33C2F">
        <w:rPr>
          <w:rFonts w:ascii="Book Antiqua" w:hAnsi="Book Antiqua" w:cs="Calibri"/>
          <w:sz w:val="24"/>
          <w:szCs w:val="24"/>
          <w:lang w:val="en-US"/>
        </w:rPr>
        <w:t>An open-label, retrospective, multicenter study has e</w:t>
      </w:r>
      <w:r w:rsidR="00606353" w:rsidRPr="00C33C2F">
        <w:rPr>
          <w:rFonts w:ascii="Book Antiqua" w:hAnsi="Book Antiqua" w:cs="Calibri"/>
          <w:sz w:val="24"/>
          <w:szCs w:val="24"/>
          <w:lang w:val="en-US"/>
        </w:rPr>
        <w:t>valuate</w:t>
      </w:r>
      <w:r w:rsidR="00944CCE" w:rsidRPr="00C33C2F">
        <w:rPr>
          <w:rFonts w:ascii="Book Antiqua" w:hAnsi="Book Antiqua" w:cs="Calibri"/>
          <w:sz w:val="24"/>
          <w:szCs w:val="24"/>
          <w:lang w:val="en-US"/>
        </w:rPr>
        <w:t>d</w:t>
      </w:r>
      <w:r w:rsidR="00606353" w:rsidRPr="00C33C2F">
        <w:rPr>
          <w:rFonts w:ascii="Book Antiqua" w:hAnsi="Book Antiqua" w:cs="Calibri"/>
          <w:sz w:val="24"/>
          <w:szCs w:val="24"/>
          <w:lang w:val="en-US"/>
        </w:rPr>
        <w:t xml:space="preserve"> the safety and </w:t>
      </w:r>
      <w:r w:rsidR="00944CCE" w:rsidRPr="00C33C2F">
        <w:rPr>
          <w:rFonts w:ascii="Book Antiqua" w:hAnsi="Book Antiqua" w:cs="Calibri"/>
          <w:sz w:val="24"/>
          <w:szCs w:val="24"/>
          <w:lang w:val="en-US"/>
        </w:rPr>
        <w:t xml:space="preserve">the </w:t>
      </w:r>
      <w:r w:rsidR="00606353" w:rsidRPr="00C33C2F">
        <w:rPr>
          <w:rFonts w:ascii="Book Antiqua" w:hAnsi="Book Antiqua" w:cs="Calibri"/>
          <w:sz w:val="24"/>
          <w:szCs w:val="24"/>
          <w:lang w:val="en-US"/>
        </w:rPr>
        <w:t>efficacy of CT-P13 (</w:t>
      </w:r>
      <w:proofErr w:type="spellStart"/>
      <w:r w:rsidR="00606353" w:rsidRPr="00C33C2F">
        <w:rPr>
          <w:rFonts w:ascii="Book Antiqua" w:hAnsi="Book Antiqua" w:cs="Calibri"/>
          <w:sz w:val="24"/>
          <w:szCs w:val="24"/>
          <w:lang w:val="en-US"/>
        </w:rPr>
        <w:t>Remsima</w:t>
      </w:r>
      <w:proofErr w:type="spellEnd"/>
      <w:r w:rsidR="00606353" w:rsidRPr="00C33C2F">
        <w:rPr>
          <w:rFonts w:ascii="Book Antiqua" w:hAnsi="Book Antiqua" w:cs="Calibri"/>
          <w:sz w:val="24"/>
          <w:szCs w:val="24"/>
          <w:vertAlign w:val="superscript"/>
          <w:lang w:val="en-US"/>
        </w:rPr>
        <w:t>®</w:t>
      </w:r>
      <w:r w:rsidR="00606353" w:rsidRPr="00C33C2F">
        <w:rPr>
          <w:rFonts w:ascii="Book Antiqua" w:hAnsi="Book Antiqua" w:cs="Calibri"/>
          <w:sz w:val="24"/>
          <w:szCs w:val="24"/>
          <w:lang w:val="en-US"/>
        </w:rPr>
        <w:t xml:space="preserve">) in patients with IBD in South </w:t>
      </w:r>
      <w:proofErr w:type="gramStart"/>
      <w:r w:rsidR="00606353" w:rsidRPr="00C33C2F">
        <w:rPr>
          <w:rFonts w:ascii="Book Antiqua" w:hAnsi="Book Antiqua" w:cs="Calibri"/>
          <w:sz w:val="24"/>
          <w:szCs w:val="24"/>
          <w:lang w:val="en-US"/>
        </w:rPr>
        <w:t>Korea</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27</w:t>
      </w:r>
      <w:r w:rsidR="00815AFD" w:rsidRPr="00C33C2F">
        <w:rPr>
          <w:rFonts w:ascii="Book Antiqua" w:hAnsi="Book Antiqua" w:cs="Calibri"/>
          <w:sz w:val="24"/>
          <w:szCs w:val="24"/>
          <w:vertAlign w:val="superscript"/>
          <w:lang w:val="en-US"/>
        </w:rPr>
        <w:t>]</w:t>
      </w:r>
      <w:r w:rsidR="00944CCE" w:rsidRPr="00C33C2F">
        <w:rPr>
          <w:rFonts w:ascii="Book Antiqua" w:hAnsi="Book Antiqua" w:cs="Calibri"/>
          <w:sz w:val="24"/>
          <w:szCs w:val="24"/>
          <w:lang w:val="en-US"/>
        </w:rPr>
        <w:t xml:space="preserve">. </w:t>
      </w:r>
      <w:r w:rsidR="00C33C2F" w:rsidRPr="00C33C2F">
        <w:rPr>
          <w:rFonts w:ascii="Book Antiqua" w:hAnsi="Book Antiqua" w:cs="Calibri"/>
          <w:sz w:val="24"/>
          <w:szCs w:val="24"/>
          <w:lang w:val="en-US"/>
        </w:rPr>
        <w:t>One hundred and seventy-three</w:t>
      </w:r>
      <w:r w:rsidR="00944CCE" w:rsidRPr="00C33C2F">
        <w:rPr>
          <w:rFonts w:ascii="Book Antiqua" w:hAnsi="Book Antiqua" w:cs="Calibri"/>
          <w:sz w:val="24"/>
          <w:szCs w:val="24"/>
          <w:lang w:val="en-US"/>
        </w:rPr>
        <w:t xml:space="preserve"> patients were included: 95 patients </w:t>
      </w:r>
      <w:r w:rsidR="00302E87" w:rsidRPr="00C33C2F">
        <w:rPr>
          <w:rFonts w:ascii="Book Antiqua" w:hAnsi="Book Antiqua" w:cs="Calibri"/>
          <w:sz w:val="24"/>
          <w:szCs w:val="24"/>
          <w:lang w:val="en-US"/>
        </w:rPr>
        <w:t>with moderate-to-severe CD</w:t>
      </w:r>
      <w:r w:rsidRPr="00C33C2F">
        <w:rPr>
          <w:rFonts w:ascii="Book Antiqua" w:hAnsi="Book Antiqua" w:cs="Calibri"/>
          <w:sz w:val="24"/>
          <w:szCs w:val="24"/>
          <w:lang w:val="en-US"/>
        </w:rPr>
        <w:t xml:space="preserve"> and </w:t>
      </w:r>
      <w:r w:rsidR="00944CCE" w:rsidRPr="00C33C2F">
        <w:rPr>
          <w:rFonts w:ascii="Book Antiqua" w:hAnsi="Book Antiqua" w:cs="Calibri"/>
          <w:sz w:val="24"/>
          <w:szCs w:val="24"/>
          <w:lang w:val="en-US"/>
        </w:rPr>
        <w:t>78 patients with moderate-to-severe UC</w:t>
      </w:r>
      <w:r w:rsidR="003B06BE" w:rsidRPr="00C33C2F">
        <w:rPr>
          <w:rFonts w:ascii="Book Antiqua" w:hAnsi="Book Antiqua" w:cs="Calibri"/>
          <w:sz w:val="24"/>
          <w:szCs w:val="24"/>
          <w:lang w:val="en-US"/>
        </w:rPr>
        <w:t>.</w:t>
      </w:r>
      <w:r w:rsidR="00944CCE" w:rsidRPr="00C33C2F">
        <w:rPr>
          <w:rFonts w:ascii="Book Antiqua" w:hAnsi="Book Antiqua" w:cs="Calibri"/>
          <w:sz w:val="24"/>
          <w:szCs w:val="24"/>
          <w:lang w:val="en-US"/>
        </w:rPr>
        <w:t xml:space="preserve"> </w:t>
      </w:r>
      <w:r w:rsidR="00F72E53" w:rsidRPr="00C33C2F">
        <w:rPr>
          <w:rFonts w:ascii="Book Antiqua" w:hAnsi="Book Antiqua" w:cs="Calibri"/>
          <w:sz w:val="24"/>
          <w:szCs w:val="24"/>
          <w:lang w:val="en-US"/>
        </w:rPr>
        <w:t xml:space="preserve">Treatment-related adverse events occurred in 10% of patients and were mostly mild-moderate in severity. There were five serious treatment-related adverse events (two infusion-related reactions, two infections, one abdominal pain) and no cases of malignancy, pneumonia, or death. No significant differences were observed in </w:t>
      </w:r>
      <w:r w:rsidR="00EC3488" w:rsidRPr="00C33C2F">
        <w:rPr>
          <w:rFonts w:ascii="Book Antiqua" w:hAnsi="Book Antiqua" w:cs="Calibri"/>
          <w:sz w:val="24"/>
          <w:szCs w:val="24"/>
          <w:lang w:val="en-US"/>
        </w:rPr>
        <w:t>treatment</w:t>
      </w:r>
      <w:r w:rsidR="003E15D1" w:rsidRPr="00C33C2F">
        <w:rPr>
          <w:rFonts w:ascii="Book Antiqua" w:hAnsi="Book Antiqua" w:cs="Calibri"/>
          <w:sz w:val="24"/>
          <w:szCs w:val="24"/>
          <w:lang w:val="en-US"/>
        </w:rPr>
        <w:t>-emergent antibody response (</w:t>
      </w:r>
      <w:r w:rsidR="00F72E53" w:rsidRPr="00C33C2F">
        <w:rPr>
          <w:rFonts w:ascii="Book Antiqua" w:hAnsi="Book Antiqua" w:cs="Calibri"/>
          <w:sz w:val="24"/>
          <w:szCs w:val="24"/>
          <w:lang w:val="en-US"/>
        </w:rPr>
        <w:t>TEA</w:t>
      </w:r>
      <w:r w:rsidR="003E15D1" w:rsidRPr="00C33C2F">
        <w:rPr>
          <w:rFonts w:ascii="Book Antiqua" w:hAnsi="Book Antiqua" w:cs="Calibri"/>
          <w:sz w:val="24"/>
          <w:szCs w:val="24"/>
          <w:lang w:val="en-US"/>
        </w:rPr>
        <w:t>R)</w:t>
      </w:r>
      <w:r w:rsidR="00F72E53" w:rsidRPr="00C33C2F">
        <w:rPr>
          <w:rFonts w:ascii="Book Antiqua" w:hAnsi="Book Antiqua" w:cs="Calibri"/>
          <w:sz w:val="24"/>
          <w:szCs w:val="24"/>
          <w:lang w:val="en-US"/>
        </w:rPr>
        <w:t xml:space="preserve"> incidence between naïve patients and the switch group. No unexpected treatment-emergent adverse events were observed during the study. Although the study was not powered for efficacy, positive outcomes for response and remission were also reported in patients with CD, and UC. </w:t>
      </w:r>
      <w:r w:rsidR="005A659D" w:rsidRPr="00C33C2F">
        <w:rPr>
          <w:rFonts w:ascii="Book Antiqua" w:hAnsi="Book Antiqua" w:cs="Calibri"/>
          <w:sz w:val="24"/>
          <w:szCs w:val="24"/>
          <w:lang w:val="en-US"/>
        </w:rPr>
        <w:t>All data confirm t</w:t>
      </w:r>
      <w:r w:rsidR="00606353" w:rsidRPr="00C33C2F">
        <w:rPr>
          <w:rFonts w:ascii="Book Antiqua" w:hAnsi="Book Antiqua" w:cs="Calibri"/>
          <w:sz w:val="24"/>
          <w:szCs w:val="24"/>
          <w:lang w:val="en-US"/>
        </w:rPr>
        <w:t>hat CT-P13 was well tolerated and efficacious in patients with IBD.</w:t>
      </w:r>
    </w:p>
    <w:p w:rsidR="00F16C4B" w:rsidRPr="00C33C2F" w:rsidRDefault="00F16C4B"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A</w:t>
      </w:r>
      <w:r w:rsidR="00606353" w:rsidRPr="00C33C2F">
        <w:rPr>
          <w:rFonts w:ascii="Book Antiqua" w:hAnsi="Book Antiqua" w:cs="Calibri"/>
          <w:sz w:val="24"/>
          <w:szCs w:val="24"/>
          <w:lang w:val="en-US"/>
        </w:rPr>
        <w:t xml:space="preserve">nother retrospective multicenter study from South Korea </w:t>
      </w:r>
      <w:r w:rsidRPr="00C33C2F">
        <w:rPr>
          <w:rFonts w:ascii="Book Antiqua" w:hAnsi="Book Antiqua" w:cs="Calibri"/>
          <w:sz w:val="24"/>
          <w:szCs w:val="24"/>
          <w:lang w:val="en-US"/>
        </w:rPr>
        <w:t xml:space="preserve">has evaluated CD and UC patients treated with IFX </w:t>
      </w:r>
      <w:proofErr w:type="spellStart"/>
      <w:r w:rsidRPr="00C33C2F">
        <w:rPr>
          <w:rFonts w:ascii="Book Antiqua" w:hAnsi="Book Antiqua" w:cs="Calibri"/>
          <w:sz w:val="24"/>
          <w:szCs w:val="24"/>
          <w:lang w:val="en-US"/>
        </w:rPr>
        <w:t>biosimilar</w:t>
      </w:r>
      <w:proofErr w:type="spellEnd"/>
      <w:r w:rsidRPr="00C33C2F">
        <w:rPr>
          <w:rFonts w:ascii="Book Antiqua" w:hAnsi="Book Antiqua" w:cs="Calibri"/>
          <w:sz w:val="24"/>
          <w:szCs w:val="24"/>
          <w:lang w:val="en-US"/>
        </w:rPr>
        <w:t xml:space="preserve"> (</w:t>
      </w:r>
      <w:r w:rsidR="00606353" w:rsidRPr="00C33C2F">
        <w:rPr>
          <w:rFonts w:ascii="Book Antiqua" w:hAnsi="Book Antiqua" w:cs="Calibri"/>
          <w:sz w:val="24"/>
          <w:szCs w:val="24"/>
          <w:lang w:val="en-US"/>
        </w:rPr>
        <w:t>both infliximab-naïve patients and patients who switched to CT-P13 from its originator</w:t>
      </w:r>
      <w:r w:rsidRPr="00C33C2F">
        <w:rPr>
          <w:rFonts w:ascii="Book Antiqua" w:hAnsi="Book Antiqua" w:cs="Calibri"/>
          <w:sz w:val="24"/>
          <w:szCs w:val="24"/>
          <w:lang w:val="en-US"/>
        </w:rPr>
        <w:t>)</w:t>
      </w:r>
      <w:r w:rsidR="00606353" w:rsidRPr="00C33C2F">
        <w:rPr>
          <w:rFonts w:ascii="Book Antiqua" w:hAnsi="Book Antiqua" w:cs="Calibri"/>
          <w:sz w:val="24"/>
          <w:szCs w:val="24"/>
          <w:lang w:val="en-US"/>
        </w:rPr>
        <w:t xml:space="preserve"> </w:t>
      </w:r>
      <w:r w:rsidR="00B115AF" w:rsidRPr="00C33C2F">
        <w:rPr>
          <w:rFonts w:ascii="Book Antiqua" w:hAnsi="Book Antiqua" w:cs="Calibri"/>
          <w:sz w:val="24"/>
          <w:szCs w:val="24"/>
          <w:lang w:val="en-US"/>
        </w:rPr>
        <w:t xml:space="preserve">by </w:t>
      </w:r>
      <w:r w:rsidRPr="00C33C2F">
        <w:rPr>
          <w:rFonts w:ascii="Book Antiqua" w:hAnsi="Book Antiqua" w:cs="Calibri"/>
          <w:sz w:val="24"/>
          <w:szCs w:val="24"/>
          <w:lang w:val="en-US"/>
        </w:rPr>
        <w:t>u</w:t>
      </w:r>
      <w:r w:rsidR="00606353" w:rsidRPr="00C33C2F">
        <w:rPr>
          <w:rFonts w:ascii="Book Antiqua" w:hAnsi="Book Antiqua" w:cs="Calibri"/>
          <w:sz w:val="24"/>
          <w:szCs w:val="24"/>
          <w:lang w:val="en-US"/>
        </w:rPr>
        <w:t>sing CDAI and partial Mayo score</w:t>
      </w:r>
      <w:r w:rsidR="00507CB3" w:rsidRPr="00C33C2F">
        <w:rPr>
          <w:rFonts w:ascii="Book Antiqua" w:hAnsi="Book Antiqua" w:cs="Calibri"/>
          <w:sz w:val="24"/>
          <w:szCs w:val="24"/>
          <w:lang w:val="en-US"/>
        </w:rPr>
        <w:t xml:space="preserve"> </w:t>
      </w:r>
      <w:r w:rsidR="00302E87" w:rsidRPr="00C33C2F">
        <w:rPr>
          <w:rFonts w:ascii="Book Antiqua" w:hAnsi="Book Antiqua" w:cs="Calibri"/>
          <w:sz w:val="24"/>
          <w:szCs w:val="24"/>
          <w:vertAlign w:val="superscript"/>
          <w:lang w:val="en-US"/>
        </w:rPr>
        <w:t>[</w:t>
      </w:r>
      <w:r w:rsidR="00FD6DD3" w:rsidRPr="00C33C2F">
        <w:rPr>
          <w:rFonts w:ascii="Book Antiqua" w:hAnsi="Book Antiqua" w:cs="Times-Roman" w:hint="eastAsia"/>
          <w:sz w:val="24"/>
          <w:szCs w:val="24"/>
          <w:vertAlign w:val="superscript"/>
          <w:lang w:val="en-US" w:eastAsia="zh-CN"/>
        </w:rPr>
        <w:t>28</w:t>
      </w:r>
      <w:r w:rsidR="00815AFD" w:rsidRPr="00C33C2F">
        <w:rPr>
          <w:rFonts w:ascii="Book Antiqua" w:hAnsi="Book Antiqua" w:cs="Calibri"/>
          <w:sz w:val="24"/>
          <w:szCs w:val="24"/>
          <w:vertAlign w:val="superscript"/>
          <w:lang w:val="en-US"/>
        </w:rPr>
        <w:t>]</w:t>
      </w:r>
      <w:r w:rsidRPr="00C33C2F">
        <w:rPr>
          <w:rFonts w:ascii="Book Antiqua" w:hAnsi="Book Antiqua" w:cs="Calibri"/>
          <w:sz w:val="24"/>
          <w:szCs w:val="24"/>
          <w:lang w:val="en-US"/>
        </w:rPr>
        <w:t xml:space="preserve">. The efﬁcacy of CT-P13 was maintained in 92.6% of patients with CD and in 66.7% of patients with UC after the switch from inﬂiximab to </w:t>
      </w:r>
      <w:proofErr w:type="spellStart"/>
      <w:r w:rsidRPr="00C33C2F">
        <w:rPr>
          <w:rFonts w:ascii="Book Antiqua" w:hAnsi="Book Antiqua" w:cs="Calibri"/>
          <w:sz w:val="24"/>
          <w:szCs w:val="24"/>
          <w:lang w:val="en-US"/>
        </w:rPr>
        <w:t>biosimilar</w:t>
      </w:r>
      <w:proofErr w:type="spellEnd"/>
      <w:r w:rsidRPr="00C33C2F">
        <w:rPr>
          <w:rFonts w:ascii="Book Antiqua" w:hAnsi="Book Antiqua" w:cs="Calibri"/>
          <w:sz w:val="24"/>
          <w:szCs w:val="24"/>
          <w:lang w:val="en-US"/>
        </w:rPr>
        <w:t xml:space="preserve"> drug. Only 2 CD patients and 1 UC patient </w:t>
      </w:r>
      <w:r w:rsidR="00AE6460" w:rsidRPr="00C33C2F">
        <w:rPr>
          <w:rFonts w:ascii="Book Antiqua" w:hAnsi="Book Antiqua" w:cs="Calibri"/>
          <w:sz w:val="24"/>
          <w:szCs w:val="24"/>
          <w:lang w:val="en-US"/>
        </w:rPr>
        <w:t>stopped therapy after swi</w:t>
      </w:r>
      <w:r w:rsidR="00B115AF" w:rsidRPr="00C33C2F">
        <w:rPr>
          <w:rFonts w:ascii="Book Antiqua" w:hAnsi="Book Antiqua" w:cs="Calibri"/>
          <w:sz w:val="24"/>
          <w:szCs w:val="24"/>
          <w:lang w:val="en-US"/>
        </w:rPr>
        <w:t>tch because of lack of efficacy. Regarding</w:t>
      </w:r>
      <w:r w:rsidR="00AE6460" w:rsidRPr="00C33C2F">
        <w:rPr>
          <w:rFonts w:ascii="Book Antiqua" w:hAnsi="Book Antiqua" w:cs="Calibri"/>
          <w:sz w:val="24"/>
          <w:szCs w:val="24"/>
          <w:lang w:val="en-US"/>
        </w:rPr>
        <w:t xml:space="preserve"> safety, no CD </w:t>
      </w:r>
      <w:r w:rsidR="00AE6460" w:rsidRPr="00C33C2F">
        <w:rPr>
          <w:rFonts w:ascii="Book Antiqua" w:hAnsi="Book Antiqua" w:cs="Calibri"/>
          <w:sz w:val="24"/>
          <w:szCs w:val="24"/>
          <w:lang w:val="en-US"/>
        </w:rPr>
        <w:lastRenderedPageBreak/>
        <w:t xml:space="preserve">patients reported </w:t>
      </w:r>
      <w:r w:rsidRPr="00C33C2F">
        <w:rPr>
          <w:rFonts w:ascii="Book Antiqua" w:hAnsi="Book Antiqua" w:cs="Calibri"/>
          <w:sz w:val="24"/>
          <w:szCs w:val="24"/>
          <w:lang w:val="en-US"/>
        </w:rPr>
        <w:t>adve</w:t>
      </w:r>
      <w:r w:rsidR="00AE6460" w:rsidRPr="00C33C2F">
        <w:rPr>
          <w:rFonts w:ascii="Book Antiqua" w:hAnsi="Book Antiqua" w:cs="Calibri"/>
          <w:sz w:val="24"/>
          <w:szCs w:val="24"/>
          <w:lang w:val="en-US"/>
        </w:rPr>
        <w:t>rse event during CT-P13 therapy, while 6 UC patients (11</w:t>
      </w:r>
      <w:r w:rsidR="001F7029" w:rsidRPr="00C33C2F">
        <w:rPr>
          <w:rFonts w:ascii="Book Antiqua" w:hAnsi="Book Antiqua" w:cs="Calibri" w:hint="eastAsia"/>
          <w:sz w:val="24"/>
          <w:szCs w:val="24"/>
          <w:lang w:val="en-US" w:eastAsia="zh-CN"/>
        </w:rPr>
        <w:t>.</w:t>
      </w:r>
      <w:r w:rsidR="00AE6460" w:rsidRPr="00C33C2F">
        <w:rPr>
          <w:rFonts w:ascii="Book Antiqua" w:hAnsi="Book Antiqua" w:cs="Calibri"/>
          <w:sz w:val="24"/>
          <w:szCs w:val="24"/>
          <w:lang w:val="en-US"/>
        </w:rPr>
        <w:t xml:space="preserve">8%) </w:t>
      </w:r>
      <w:r w:rsidRPr="00C33C2F">
        <w:rPr>
          <w:rFonts w:ascii="Book Antiqua" w:hAnsi="Book Antiqua" w:cs="Calibri"/>
          <w:sz w:val="24"/>
          <w:szCs w:val="24"/>
          <w:lang w:val="en-US"/>
        </w:rPr>
        <w:t>ex</w:t>
      </w:r>
      <w:r w:rsidR="00AE6460" w:rsidRPr="00C33C2F">
        <w:rPr>
          <w:rFonts w:ascii="Book Antiqua" w:hAnsi="Book Antiqua" w:cs="Calibri"/>
          <w:sz w:val="24"/>
          <w:szCs w:val="24"/>
          <w:lang w:val="en-US"/>
        </w:rPr>
        <w:t xml:space="preserve">perienced adverse events. </w:t>
      </w:r>
    </w:p>
    <w:p w:rsidR="00583AC2" w:rsidRPr="00C33C2F" w:rsidRDefault="00A95A70" w:rsidP="00507CB3">
      <w:pPr>
        <w:autoSpaceDE w:val="0"/>
        <w:autoSpaceDN w:val="0"/>
        <w:adjustRightInd w:val="0"/>
        <w:spacing w:after="0" w:line="360" w:lineRule="auto"/>
        <w:ind w:firstLineChars="200" w:firstLine="480"/>
        <w:jc w:val="both"/>
        <w:rPr>
          <w:rFonts w:ascii="Book Antiqua" w:hAnsi="Book Antiqua" w:cs="Calibri"/>
          <w:sz w:val="24"/>
          <w:szCs w:val="24"/>
          <w:lang w:val="en-US"/>
        </w:rPr>
      </w:pPr>
      <w:r w:rsidRPr="00C33C2F">
        <w:rPr>
          <w:rFonts w:ascii="Book Antiqua" w:hAnsi="Book Antiqua" w:cs="Calibri"/>
          <w:sz w:val="24"/>
          <w:szCs w:val="24"/>
          <w:lang w:val="en-US"/>
        </w:rPr>
        <w:t>Moreover, a</w:t>
      </w:r>
      <w:r w:rsidR="001C71A7" w:rsidRPr="00C33C2F">
        <w:rPr>
          <w:rFonts w:ascii="Book Antiqua" w:hAnsi="Book Antiqua" w:cs="Calibri"/>
          <w:sz w:val="24"/>
          <w:szCs w:val="24"/>
          <w:lang w:val="en-US"/>
        </w:rPr>
        <w:t>n open-label</w:t>
      </w:r>
      <w:r w:rsidR="00606353" w:rsidRPr="00C33C2F">
        <w:rPr>
          <w:rFonts w:ascii="Book Antiqua" w:hAnsi="Book Antiqua" w:cs="Calibri"/>
          <w:sz w:val="24"/>
          <w:szCs w:val="24"/>
          <w:lang w:val="en-US"/>
        </w:rPr>
        <w:t xml:space="preserve"> case series </w:t>
      </w:r>
      <w:r w:rsidR="00D424AB" w:rsidRPr="00C33C2F">
        <w:rPr>
          <w:rFonts w:ascii="Book Antiqua" w:hAnsi="Book Antiqua" w:cs="Calibri"/>
          <w:sz w:val="24"/>
          <w:szCs w:val="24"/>
          <w:lang w:val="en-US"/>
        </w:rPr>
        <w:t xml:space="preserve">has evaluated </w:t>
      </w:r>
      <w:r w:rsidR="00606353" w:rsidRPr="00C33C2F">
        <w:rPr>
          <w:rFonts w:ascii="Book Antiqua" w:hAnsi="Book Antiqua" w:cs="Calibri"/>
          <w:sz w:val="24"/>
          <w:szCs w:val="24"/>
          <w:lang w:val="en-US"/>
        </w:rPr>
        <w:t xml:space="preserve">17 IBD patients (8 CD and 9 UC) at a tertiary center in South </w:t>
      </w:r>
      <w:proofErr w:type="gramStart"/>
      <w:r w:rsidR="00606353" w:rsidRPr="00C33C2F">
        <w:rPr>
          <w:rFonts w:ascii="Book Antiqua" w:hAnsi="Book Antiqua" w:cs="Calibri"/>
          <w:sz w:val="24"/>
          <w:szCs w:val="24"/>
          <w:lang w:val="en-US"/>
        </w:rPr>
        <w:t>Korea</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29</w:t>
      </w:r>
      <w:r w:rsidR="00815AFD" w:rsidRPr="00C33C2F">
        <w:rPr>
          <w:rFonts w:ascii="Book Antiqua" w:hAnsi="Book Antiqua" w:cs="Calibri"/>
          <w:sz w:val="24"/>
          <w:szCs w:val="24"/>
          <w:vertAlign w:val="superscript"/>
          <w:lang w:val="en-US"/>
        </w:rPr>
        <w:t>]</w:t>
      </w:r>
      <w:r w:rsidR="00D424AB" w:rsidRPr="00C33C2F">
        <w:rPr>
          <w:rFonts w:ascii="Book Antiqua" w:hAnsi="Book Antiqua" w:cs="Calibri"/>
          <w:sz w:val="24"/>
          <w:szCs w:val="24"/>
          <w:lang w:val="en-US"/>
        </w:rPr>
        <w:t>.</w:t>
      </w:r>
      <w:r w:rsidR="001F7029" w:rsidRPr="00C33C2F">
        <w:rPr>
          <w:rFonts w:ascii="Book Antiqua" w:hAnsi="Book Antiqua" w:cs="Calibri" w:hint="eastAsia"/>
          <w:sz w:val="24"/>
          <w:szCs w:val="24"/>
          <w:lang w:val="en-US" w:eastAsia="zh-CN"/>
        </w:rPr>
        <w:t xml:space="preserve"> </w:t>
      </w:r>
      <w:r w:rsidR="00606353" w:rsidRPr="00C33C2F">
        <w:rPr>
          <w:rFonts w:ascii="Book Antiqua" w:hAnsi="Book Antiqua" w:cs="Calibri"/>
          <w:sz w:val="24"/>
          <w:szCs w:val="24"/>
          <w:lang w:val="en-US"/>
        </w:rPr>
        <w:t>Nine patients (four</w:t>
      </w:r>
      <w:r w:rsidR="00606353" w:rsidRPr="00C33C2F">
        <w:rPr>
          <w:rFonts w:ascii="Book Antiqua" w:hAnsi="Book Antiqua"/>
          <w:sz w:val="24"/>
          <w:szCs w:val="24"/>
          <w:lang w:val="en-US"/>
        </w:rPr>
        <w:t xml:space="preserve"> </w:t>
      </w:r>
      <w:r w:rsidR="00606353" w:rsidRPr="00C33C2F">
        <w:rPr>
          <w:rFonts w:ascii="Book Antiqua" w:hAnsi="Book Antiqua" w:cs="Calibri"/>
          <w:sz w:val="24"/>
          <w:szCs w:val="24"/>
          <w:lang w:val="en-US"/>
        </w:rPr>
        <w:t xml:space="preserve">UC and five CD) switched </w:t>
      </w:r>
      <w:r w:rsidR="00D424AB" w:rsidRPr="00C33C2F">
        <w:rPr>
          <w:rFonts w:ascii="Book Antiqua" w:hAnsi="Book Antiqua" w:cs="Calibri"/>
          <w:sz w:val="24"/>
          <w:szCs w:val="24"/>
          <w:lang w:val="en-US"/>
        </w:rPr>
        <w:t xml:space="preserve">from IFX </w:t>
      </w:r>
      <w:r w:rsidR="00606353" w:rsidRPr="00C33C2F">
        <w:rPr>
          <w:rFonts w:ascii="Book Antiqua" w:hAnsi="Book Antiqua" w:cs="Calibri"/>
          <w:sz w:val="24"/>
          <w:szCs w:val="24"/>
          <w:lang w:val="en-US"/>
        </w:rPr>
        <w:t xml:space="preserve">to CT-P13 </w:t>
      </w:r>
      <w:r w:rsidR="00D424AB" w:rsidRPr="00C33C2F">
        <w:rPr>
          <w:rFonts w:ascii="Book Antiqua" w:hAnsi="Book Antiqua" w:cs="Calibri"/>
          <w:sz w:val="24"/>
          <w:szCs w:val="24"/>
          <w:lang w:val="en-US"/>
        </w:rPr>
        <w:t xml:space="preserve">during the remission period </w:t>
      </w:r>
      <w:r w:rsidR="00606353" w:rsidRPr="00C33C2F">
        <w:rPr>
          <w:rFonts w:ascii="Book Antiqua" w:hAnsi="Book Antiqua" w:cs="Calibri"/>
          <w:sz w:val="24"/>
          <w:szCs w:val="24"/>
          <w:lang w:val="en-US"/>
        </w:rPr>
        <w:t>and among these, one patient lost effect and another discon</w:t>
      </w:r>
      <w:r w:rsidR="00D424AB" w:rsidRPr="00C33C2F">
        <w:rPr>
          <w:rFonts w:ascii="Book Antiqua" w:hAnsi="Book Antiqua" w:cs="Calibri"/>
          <w:sz w:val="24"/>
          <w:szCs w:val="24"/>
          <w:lang w:val="en-US"/>
        </w:rPr>
        <w:t>tinued CT-P13 due to arthralgia. No serious or unexpected ADRs were evident.</w:t>
      </w:r>
    </w:p>
    <w:p w:rsidR="007019DA" w:rsidRPr="00C33C2F" w:rsidRDefault="006B0284"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Unlike previous studies, which only evaluate</w:t>
      </w:r>
      <w:r w:rsidR="009D598B" w:rsidRPr="00C33C2F">
        <w:rPr>
          <w:rFonts w:ascii="Book Antiqua" w:hAnsi="Book Antiqua" w:cs="Calibri"/>
          <w:sz w:val="24"/>
          <w:szCs w:val="24"/>
          <w:lang w:val="en-US"/>
        </w:rPr>
        <w:t>d</w:t>
      </w:r>
      <w:r w:rsidRPr="00C33C2F">
        <w:rPr>
          <w:rFonts w:ascii="Book Antiqua" w:hAnsi="Book Antiqua" w:cs="Calibri"/>
          <w:sz w:val="24"/>
          <w:szCs w:val="24"/>
          <w:lang w:val="en-US"/>
        </w:rPr>
        <w:t xml:space="preserve"> the efficacy and safety</w:t>
      </w:r>
      <w:r w:rsidR="009D598B" w:rsidRPr="00C33C2F">
        <w:rPr>
          <w:rFonts w:ascii="Book Antiqua" w:hAnsi="Book Antiqua" w:cs="Calibri"/>
          <w:sz w:val="24"/>
          <w:szCs w:val="24"/>
          <w:lang w:val="en-US"/>
        </w:rPr>
        <w:t xml:space="preserve"> of CT-P13</w:t>
      </w:r>
      <w:r w:rsidRPr="00C33C2F">
        <w:rPr>
          <w:rFonts w:ascii="Book Antiqua" w:hAnsi="Book Antiqua" w:cs="Calibri"/>
          <w:sz w:val="24"/>
          <w:szCs w:val="24"/>
          <w:lang w:val="en-US"/>
        </w:rPr>
        <w:t>, an Hungarian prospective</w:t>
      </w:r>
      <w:r w:rsidR="00606353" w:rsidRPr="00C33C2F">
        <w:rPr>
          <w:rFonts w:ascii="Book Antiqua" w:hAnsi="Book Antiqua" w:cs="Calibri"/>
          <w:sz w:val="24"/>
          <w:szCs w:val="24"/>
          <w:lang w:val="en-US"/>
        </w:rPr>
        <w:t xml:space="preserve">, multicenter, observational </w:t>
      </w:r>
      <w:r w:rsidRPr="00C33C2F">
        <w:rPr>
          <w:rFonts w:ascii="Book Antiqua" w:hAnsi="Book Antiqua" w:cs="Calibri"/>
          <w:sz w:val="24"/>
          <w:szCs w:val="24"/>
          <w:lang w:val="en-US"/>
        </w:rPr>
        <w:t>study</w:t>
      </w:r>
      <w:r w:rsidR="009D598B" w:rsidRPr="00C33C2F">
        <w:rPr>
          <w:rFonts w:ascii="Book Antiqua" w:hAnsi="Book Antiqua" w:cs="Calibri"/>
          <w:sz w:val="24"/>
          <w:szCs w:val="24"/>
          <w:lang w:val="en-US"/>
        </w:rPr>
        <w:t xml:space="preserve"> also</w:t>
      </w:r>
      <w:r w:rsidRPr="00C33C2F">
        <w:rPr>
          <w:rFonts w:ascii="Book Antiqua" w:hAnsi="Book Antiqua" w:cs="Calibri"/>
          <w:sz w:val="24"/>
          <w:szCs w:val="24"/>
          <w:lang w:val="en-US"/>
        </w:rPr>
        <w:t xml:space="preserve"> examined </w:t>
      </w:r>
      <w:r w:rsidR="009D598B" w:rsidRPr="00C33C2F">
        <w:rPr>
          <w:rFonts w:ascii="Book Antiqua" w:hAnsi="Book Antiqua" w:cs="Calibri"/>
          <w:sz w:val="24"/>
          <w:szCs w:val="24"/>
          <w:lang w:val="en-US"/>
        </w:rPr>
        <w:t xml:space="preserve">the </w:t>
      </w:r>
      <w:r w:rsidR="00B115AF" w:rsidRPr="00C33C2F">
        <w:rPr>
          <w:rFonts w:ascii="Book Antiqua" w:hAnsi="Book Antiqua" w:cs="Calibri"/>
          <w:sz w:val="24"/>
          <w:szCs w:val="24"/>
          <w:lang w:val="en-US"/>
        </w:rPr>
        <w:t xml:space="preserve">immunogenicity of </w:t>
      </w:r>
      <w:r w:rsidR="00606353" w:rsidRPr="00C33C2F">
        <w:rPr>
          <w:rFonts w:ascii="Book Antiqua" w:hAnsi="Book Antiqua" w:cs="Calibri"/>
          <w:sz w:val="24"/>
          <w:szCs w:val="24"/>
          <w:lang w:val="en-US"/>
        </w:rPr>
        <w:t>treatment</w:t>
      </w:r>
      <w:r w:rsidR="00D93E14" w:rsidRPr="00C33C2F">
        <w:rPr>
          <w:rFonts w:ascii="Book Antiqua" w:hAnsi="Book Antiqua" w:cs="Calibri"/>
          <w:sz w:val="24"/>
          <w:szCs w:val="24"/>
          <w:lang w:val="en-US"/>
        </w:rPr>
        <w:t xml:space="preserve"> with CT-P13</w:t>
      </w:r>
      <w:r w:rsidR="00606353" w:rsidRPr="00C33C2F">
        <w:rPr>
          <w:rFonts w:ascii="Book Antiqua" w:hAnsi="Book Antiqua" w:cs="Calibri"/>
          <w:sz w:val="24"/>
          <w:szCs w:val="24"/>
          <w:lang w:val="en-US"/>
        </w:rPr>
        <w:t xml:space="preserve"> </w:t>
      </w:r>
      <w:r w:rsidR="00B115AF" w:rsidRPr="00C33C2F">
        <w:rPr>
          <w:rFonts w:ascii="Book Antiqua" w:hAnsi="Book Antiqua" w:cs="Calibri"/>
          <w:sz w:val="24"/>
          <w:szCs w:val="24"/>
          <w:lang w:val="en-US"/>
        </w:rPr>
        <w:t xml:space="preserve">in </w:t>
      </w:r>
      <w:proofErr w:type="gramStart"/>
      <w:r w:rsidR="00B115AF" w:rsidRPr="00C33C2F">
        <w:rPr>
          <w:rFonts w:ascii="Book Antiqua" w:hAnsi="Book Antiqua" w:cs="Calibri"/>
          <w:sz w:val="24"/>
          <w:szCs w:val="24"/>
          <w:lang w:val="en-US"/>
        </w:rPr>
        <w:t>IBD</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30</w:t>
      </w:r>
      <w:r w:rsidR="00815AFD" w:rsidRPr="00C33C2F">
        <w:rPr>
          <w:rFonts w:ascii="Book Antiqua" w:hAnsi="Book Antiqua" w:cs="Calibri"/>
          <w:sz w:val="24"/>
          <w:szCs w:val="24"/>
          <w:vertAlign w:val="superscript"/>
          <w:lang w:val="en-US"/>
        </w:rPr>
        <w:t>]</w:t>
      </w:r>
      <w:r w:rsidR="009D598B" w:rsidRPr="00C33C2F">
        <w:rPr>
          <w:rFonts w:ascii="Book Antiqua" w:hAnsi="Book Antiqua" w:cs="Calibri"/>
          <w:sz w:val="24"/>
          <w:szCs w:val="24"/>
          <w:lang w:val="en-US"/>
        </w:rPr>
        <w:t xml:space="preserve">. </w:t>
      </w:r>
      <w:r w:rsidR="00BF6F91" w:rsidRPr="00C33C2F">
        <w:rPr>
          <w:rFonts w:ascii="Book Antiqua" w:hAnsi="Book Antiqua" w:cs="Calibri"/>
          <w:sz w:val="24"/>
          <w:szCs w:val="24"/>
          <w:lang w:val="en-US"/>
        </w:rPr>
        <w:t xml:space="preserve">210 </w:t>
      </w:r>
      <w:r w:rsidR="00B115AF" w:rsidRPr="00C33C2F">
        <w:rPr>
          <w:rFonts w:ascii="Book Antiqua" w:hAnsi="Book Antiqua" w:cs="Calibri"/>
          <w:sz w:val="24"/>
          <w:szCs w:val="24"/>
          <w:lang w:val="en-US"/>
        </w:rPr>
        <w:t>patients (126 CD and 84 UC)</w:t>
      </w:r>
      <w:r w:rsidR="00BF6F91" w:rsidRPr="00C33C2F">
        <w:rPr>
          <w:rFonts w:ascii="Book Antiqua" w:hAnsi="Book Antiqua" w:cs="Calibri"/>
          <w:sz w:val="24"/>
          <w:szCs w:val="24"/>
          <w:lang w:val="en-US"/>
        </w:rPr>
        <w:t xml:space="preserve"> patients were included</w:t>
      </w:r>
      <w:r w:rsidR="003B06BE" w:rsidRPr="00C33C2F">
        <w:rPr>
          <w:rFonts w:ascii="Book Antiqua" w:hAnsi="Book Antiqua" w:cs="Calibri"/>
          <w:sz w:val="24"/>
          <w:szCs w:val="24"/>
          <w:lang w:val="en-US"/>
        </w:rPr>
        <w:t>.</w:t>
      </w:r>
      <w:r w:rsidR="00BF6F91" w:rsidRPr="00C33C2F">
        <w:rPr>
          <w:rFonts w:ascii="Book Antiqua" w:hAnsi="Book Antiqua" w:cs="Calibri"/>
          <w:sz w:val="24"/>
          <w:szCs w:val="24"/>
          <w:lang w:val="en-US"/>
        </w:rPr>
        <w:t xml:space="preserve"> </w:t>
      </w:r>
      <w:r w:rsidR="00D93E14" w:rsidRPr="00C33C2F">
        <w:rPr>
          <w:rFonts w:ascii="Book Antiqua" w:hAnsi="Book Antiqua" w:cs="Calibri"/>
          <w:sz w:val="24"/>
          <w:szCs w:val="24"/>
          <w:lang w:val="en-US"/>
        </w:rPr>
        <w:t>A</w:t>
      </w:r>
      <w:r w:rsidR="007019DA" w:rsidRPr="00C33C2F">
        <w:rPr>
          <w:rFonts w:ascii="Book Antiqua" w:hAnsi="Book Antiqua" w:cs="Calibri"/>
          <w:sz w:val="24"/>
          <w:szCs w:val="24"/>
          <w:lang w:val="en-US"/>
        </w:rPr>
        <w:t xml:space="preserve">dverse events were </w:t>
      </w:r>
      <w:r w:rsidR="00D93E14" w:rsidRPr="00C33C2F">
        <w:rPr>
          <w:rFonts w:ascii="Book Antiqua" w:hAnsi="Book Antiqua" w:cs="Calibri"/>
          <w:sz w:val="24"/>
          <w:szCs w:val="24"/>
          <w:lang w:val="en-US"/>
        </w:rPr>
        <w:t xml:space="preserve">reported </w:t>
      </w:r>
      <w:r w:rsidR="007019DA" w:rsidRPr="00C33C2F">
        <w:rPr>
          <w:rFonts w:ascii="Book Antiqua" w:hAnsi="Book Antiqua" w:cs="Calibri"/>
          <w:sz w:val="24"/>
          <w:szCs w:val="24"/>
          <w:lang w:val="en-US"/>
        </w:rPr>
        <w:t xml:space="preserve">in 17.1% of all patients. Infusion reactions </w:t>
      </w:r>
      <w:r w:rsidR="00D93E14" w:rsidRPr="00C33C2F">
        <w:rPr>
          <w:rFonts w:ascii="Book Antiqua" w:hAnsi="Book Antiqua" w:cs="Calibri"/>
          <w:sz w:val="24"/>
          <w:szCs w:val="24"/>
          <w:lang w:val="en-US"/>
        </w:rPr>
        <w:t>occurred in 6</w:t>
      </w:r>
      <w:r w:rsidR="00302E87" w:rsidRPr="00C33C2F">
        <w:rPr>
          <w:rFonts w:ascii="Book Antiqua" w:hAnsi="Book Antiqua" w:cs="Calibri"/>
          <w:sz w:val="24"/>
          <w:szCs w:val="24"/>
          <w:lang w:val="en-US" w:eastAsia="zh-CN"/>
        </w:rPr>
        <w:t>.</w:t>
      </w:r>
      <w:r w:rsidR="00D93E14" w:rsidRPr="00C33C2F">
        <w:rPr>
          <w:rFonts w:ascii="Book Antiqua" w:hAnsi="Book Antiqua" w:cs="Calibri"/>
          <w:sz w:val="24"/>
          <w:szCs w:val="24"/>
          <w:lang w:val="en-US"/>
        </w:rPr>
        <w:t>6% of patients and were significantly more common in those with previous IFX exposure;</w:t>
      </w:r>
      <w:r w:rsidR="00B04C17" w:rsidRPr="00C33C2F">
        <w:rPr>
          <w:rFonts w:ascii="Book Antiqua" w:hAnsi="Book Antiqua" w:cs="Calibri"/>
          <w:sz w:val="24"/>
          <w:szCs w:val="24"/>
          <w:lang w:val="en-US"/>
        </w:rPr>
        <w:t xml:space="preserve"> </w:t>
      </w:r>
      <w:r w:rsidR="007019DA" w:rsidRPr="00C33C2F">
        <w:rPr>
          <w:rFonts w:ascii="Book Antiqua" w:hAnsi="Book Antiqua" w:cs="Calibri"/>
          <w:sz w:val="24"/>
          <w:szCs w:val="24"/>
          <w:lang w:val="en-US"/>
        </w:rPr>
        <w:t xml:space="preserve">serious infectious adverse events occurred </w:t>
      </w:r>
      <w:r w:rsidR="00B04C17" w:rsidRPr="00C33C2F">
        <w:rPr>
          <w:rFonts w:ascii="Book Antiqua" w:hAnsi="Book Antiqua" w:cs="Calibri"/>
          <w:sz w:val="24"/>
          <w:szCs w:val="24"/>
          <w:lang w:val="en-US"/>
        </w:rPr>
        <w:t>in 5</w:t>
      </w:r>
      <w:r w:rsidR="00302E87" w:rsidRPr="00C33C2F">
        <w:rPr>
          <w:rFonts w:ascii="Book Antiqua" w:hAnsi="Book Antiqua" w:cs="Calibri"/>
          <w:sz w:val="24"/>
          <w:szCs w:val="24"/>
          <w:lang w:val="en-US" w:eastAsia="zh-CN"/>
        </w:rPr>
        <w:t>.</w:t>
      </w:r>
      <w:r w:rsidR="00B04C17" w:rsidRPr="00C33C2F">
        <w:rPr>
          <w:rFonts w:ascii="Book Antiqua" w:hAnsi="Book Antiqua" w:cs="Calibri"/>
          <w:sz w:val="24"/>
          <w:szCs w:val="24"/>
          <w:lang w:val="en-US"/>
        </w:rPr>
        <w:t xml:space="preserve">7% of all patients, resulting in one death. </w:t>
      </w:r>
      <w:r w:rsidR="007019DA" w:rsidRPr="00C33C2F">
        <w:rPr>
          <w:rFonts w:ascii="Book Antiqua" w:hAnsi="Book Antiqua" w:cs="Calibri"/>
          <w:sz w:val="24"/>
          <w:szCs w:val="24"/>
          <w:lang w:val="en-US"/>
        </w:rPr>
        <w:t>Therapeutic drug level</w:t>
      </w:r>
      <w:r w:rsidR="00B115AF" w:rsidRPr="00C33C2F">
        <w:rPr>
          <w:rFonts w:ascii="Book Antiqua" w:hAnsi="Book Antiqua" w:cs="Calibri"/>
          <w:sz w:val="24"/>
          <w:szCs w:val="24"/>
          <w:lang w:val="en-US"/>
        </w:rPr>
        <w:t>s were</w:t>
      </w:r>
      <w:r w:rsidR="007019DA" w:rsidRPr="00C33C2F">
        <w:rPr>
          <w:rFonts w:ascii="Book Antiqua" w:hAnsi="Book Antiqua" w:cs="Calibri"/>
          <w:sz w:val="24"/>
          <w:szCs w:val="24"/>
          <w:lang w:val="en-US"/>
        </w:rPr>
        <w:t xml:space="preserve"> monitored and </w:t>
      </w:r>
      <w:r w:rsidR="00B115AF" w:rsidRPr="00C33C2F">
        <w:rPr>
          <w:rFonts w:ascii="Book Antiqua" w:hAnsi="Book Antiqua" w:cs="Calibri"/>
          <w:sz w:val="24"/>
          <w:szCs w:val="24"/>
          <w:lang w:val="en-US"/>
        </w:rPr>
        <w:t>anti-drug antibodies (</w:t>
      </w:r>
      <w:r w:rsidR="007019DA" w:rsidRPr="00C33C2F">
        <w:rPr>
          <w:rFonts w:ascii="Book Antiqua" w:hAnsi="Book Antiqua" w:cs="Calibri"/>
          <w:sz w:val="24"/>
          <w:szCs w:val="24"/>
          <w:lang w:val="en-US"/>
        </w:rPr>
        <w:t>ADAs</w:t>
      </w:r>
      <w:r w:rsidR="00B115AF" w:rsidRPr="00C33C2F">
        <w:rPr>
          <w:rFonts w:ascii="Book Antiqua" w:hAnsi="Book Antiqua" w:cs="Calibri"/>
          <w:sz w:val="24"/>
          <w:szCs w:val="24"/>
          <w:lang w:val="en-US"/>
        </w:rPr>
        <w:t>)</w:t>
      </w:r>
      <w:r w:rsidR="007019DA" w:rsidRPr="00C33C2F">
        <w:rPr>
          <w:rFonts w:ascii="Book Antiqua" w:hAnsi="Book Antiqua" w:cs="Calibri"/>
          <w:sz w:val="24"/>
          <w:szCs w:val="24"/>
          <w:lang w:val="en-US"/>
        </w:rPr>
        <w:t xml:space="preserve"> were measured</w:t>
      </w:r>
      <w:r w:rsidR="003B06BE" w:rsidRPr="00C33C2F">
        <w:rPr>
          <w:rFonts w:ascii="Book Antiqua" w:hAnsi="Book Antiqua" w:cs="Calibri"/>
          <w:sz w:val="24"/>
          <w:szCs w:val="24"/>
          <w:lang w:val="en-US"/>
        </w:rPr>
        <w:t>.</w:t>
      </w:r>
      <w:r w:rsidR="00302E87" w:rsidRPr="00C33C2F">
        <w:rPr>
          <w:rFonts w:ascii="Book Antiqua" w:hAnsi="Book Antiqua" w:cs="Calibri"/>
          <w:sz w:val="24"/>
          <w:szCs w:val="24"/>
          <w:lang w:val="en-US" w:eastAsia="zh-CN"/>
        </w:rPr>
        <w:t xml:space="preserve"> </w:t>
      </w:r>
      <w:r w:rsidR="003153DD" w:rsidRPr="00C33C2F">
        <w:rPr>
          <w:rFonts w:ascii="Book Antiqua" w:hAnsi="Book Antiqua" w:cs="Calibri"/>
          <w:sz w:val="24"/>
          <w:szCs w:val="24"/>
          <w:lang w:val="en-US"/>
        </w:rPr>
        <w:t>P</w:t>
      </w:r>
      <w:r w:rsidR="007019DA" w:rsidRPr="00C33C2F">
        <w:rPr>
          <w:rFonts w:ascii="Book Antiqua" w:hAnsi="Book Antiqua" w:cs="Calibri"/>
          <w:sz w:val="24"/>
          <w:szCs w:val="24"/>
          <w:lang w:val="en-US"/>
        </w:rPr>
        <w:t xml:space="preserve">atients exposed to previous infliximab treatment had significantly higher baseline ADA positivity as compared with naïve patients (CD patients </w:t>
      </w:r>
      <w:r w:rsidR="00302E87" w:rsidRPr="00C33C2F">
        <w:rPr>
          <w:rFonts w:ascii="Book Antiqua" w:hAnsi="Book Antiqua" w:cs="Calibri"/>
          <w:i/>
          <w:sz w:val="24"/>
          <w:szCs w:val="24"/>
          <w:lang w:val="en-US"/>
        </w:rPr>
        <w:t>P</w:t>
      </w:r>
      <w:r w:rsidR="007019DA" w:rsidRPr="00C33C2F">
        <w:rPr>
          <w:rFonts w:ascii="Book Antiqua" w:hAnsi="Book Antiqua" w:cs="Calibri"/>
          <w:sz w:val="24"/>
          <w:szCs w:val="24"/>
          <w:lang w:val="en-US"/>
        </w:rPr>
        <w:t xml:space="preserve"> = 0.006, UC patients </w:t>
      </w:r>
      <w:r w:rsidR="00302E87" w:rsidRPr="00C33C2F">
        <w:rPr>
          <w:rFonts w:ascii="Book Antiqua" w:hAnsi="Book Antiqua" w:cs="Calibri"/>
          <w:i/>
          <w:sz w:val="24"/>
          <w:szCs w:val="24"/>
          <w:lang w:val="en-US"/>
        </w:rPr>
        <w:t>P</w:t>
      </w:r>
      <w:r w:rsidR="00302E87" w:rsidRPr="00C33C2F">
        <w:rPr>
          <w:rFonts w:ascii="Book Antiqua" w:hAnsi="Book Antiqua" w:cs="Calibri"/>
          <w:i/>
          <w:sz w:val="24"/>
          <w:szCs w:val="24"/>
          <w:lang w:val="en-US" w:eastAsia="zh-CN"/>
        </w:rPr>
        <w:t xml:space="preserve"> </w:t>
      </w:r>
      <w:r w:rsidR="007019DA" w:rsidRPr="00C33C2F">
        <w:rPr>
          <w:rFonts w:ascii="Book Antiqua" w:hAnsi="Book Antiqua" w:cs="Calibri"/>
          <w:sz w:val="24"/>
          <w:szCs w:val="24"/>
          <w:lang w:val="en-US"/>
        </w:rPr>
        <w:t xml:space="preserve">= 0.02), while there was no significant difference in ADA positivity at Week 14 between patient groups when stratified according to previous infliximab exposure. </w:t>
      </w:r>
      <w:r w:rsidR="00A13685" w:rsidRPr="00C33C2F">
        <w:rPr>
          <w:rFonts w:ascii="Book Antiqua" w:hAnsi="Book Antiqua" w:cs="Calibri"/>
          <w:sz w:val="24"/>
          <w:szCs w:val="24"/>
          <w:lang w:val="en-US"/>
        </w:rPr>
        <w:t>Moreover</w:t>
      </w:r>
      <w:r w:rsidR="00B115AF" w:rsidRPr="00C33C2F">
        <w:rPr>
          <w:rFonts w:ascii="Book Antiqua" w:hAnsi="Book Antiqua" w:cs="Calibri"/>
          <w:sz w:val="24"/>
          <w:szCs w:val="24"/>
          <w:lang w:val="en-US"/>
        </w:rPr>
        <w:t>,</w:t>
      </w:r>
      <w:r w:rsidR="00A13685" w:rsidRPr="00C33C2F">
        <w:rPr>
          <w:rFonts w:ascii="Book Antiqua" w:hAnsi="Book Antiqua" w:cs="Calibri"/>
          <w:sz w:val="24"/>
          <w:szCs w:val="24"/>
          <w:lang w:val="en-US"/>
        </w:rPr>
        <w:t xml:space="preserve"> this study showed that </w:t>
      </w:r>
      <w:r w:rsidR="007019DA" w:rsidRPr="00C33C2F">
        <w:rPr>
          <w:rFonts w:ascii="Book Antiqua" w:hAnsi="Book Antiqua" w:cs="Calibri"/>
          <w:sz w:val="24"/>
          <w:szCs w:val="24"/>
          <w:lang w:val="en-US"/>
        </w:rPr>
        <w:t>patients with previous infliximab exposure had a tendency towards lower early mean troug</w:t>
      </w:r>
      <w:r w:rsidR="00B115AF" w:rsidRPr="00C33C2F">
        <w:rPr>
          <w:rFonts w:ascii="Book Antiqua" w:hAnsi="Book Antiqua" w:cs="Calibri"/>
          <w:sz w:val="24"/>
          <w:szCs w:val="24"/>
          <w:lang w:val="en-US"/>
        </w:rPr>
        <w:t xml:space="preserve">h levels of the drug, </w:t>
      </w:r>
      <w:r w:rsidR="007019DA" w:rsidRPr="00C33C2F">
        <w:rPr>
          <w:rFonts w:ascii="Book Antiqua" w:hAnsi="Book Antiqua" w:cs="Calibri"/>
          <w:sz w:val="24"/>
          <w:szCs w:val="24"/>
          <w:lang w:val="en-US"/>
        </w:rPr>
        <w:t xml:space="preserve">decreased response rates and were more likely to develop allergic reactions. </w:t>
      </w:r>
    </w:p>
    <w:p w:rsidR="00583AC2" w:rsidRPr="00C33C2F" w:rsidRDefault="00606353"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A</w:t>
      </w:r>
      <w:r w:rsidR="00B115AF" w:rsidRPr="00C33C2F">
        <w:rPr>
          <w:rFonts w:ascii="Book Antiqua" w:hAnsi="Book Antiqua" w:cs="Calibri"/>
          <w:sz w:val="24"/>
          <w:szCs w:val="24"/>
          <w:lang w:val="en-US"/>
        </w:rPr>
        <w:t>nother H</w:t>
      </w:r>
      <w:r w:rsidR="00730335" w:rsidRPr="00C33C2F">
        <w:rPr>
          <w:rFonts w:ascii="Book Antiqua" w:hAnsi="Book Antiqua" w:cs="Calibri"/>
          <w:sz w:val="24"/>
          <w:szCs w:val="24"/>
          <w:lang w:val="en-US"/>
        </w:rPr>
        <w:t>ungarian</w:t>
      </w:r>
      <w:r w:rsidR="00A13685" w:rsidRPr="00C33C2F">
        <w:rPr>
          <w:rFonts w:ascii="Book Antiqua" w:hAnsi="Book Antiqua" w:cs="Calibri"/>
          <w:sz w:val="24"/>
          <w:szCs w:val="24"/>
          <w:lang w:val="en-US"/>
        </w:rPr>
        <w:t xml:space="preserve"> observational, prospective study enrolled </w:t>
      </w:r>
      <w:r w:rsidRPr="00C33C2F">
        <w:rPr>
          <w:rFonts w:ascii="Book Antiqua" w:hAnsi="Book Antiqua" w:cs="Calibri"/>
          <w:sz w:val="24"/>
          <w:szCs w:val="24"/>
          <w:lang w:val="en-US"/>
        </w:rPr>
        <w:t xml:space="preserve">39 IBD (18 CD and 21 UC) patients </w:t>
      </w:r>
      <w:r w:rsidR="00B115AF" w:rsidRPr="00C33C2F">
        <w:rPr>
          <w:rFonts w:ascii="Book Antiqua" w:hAnsi="Book Antiqua" w:cs="Calibri"/>
          <w:sz w:val="24"/>
          <w:szCs w:val="24"/>
          <w:lang w:val="en-US"/>
        </w:rPr>
        <w:t>to evaluate</w:t>
      </w:r>
      <w:r w:rsidR="00A13685" w:rsidRPr="00C33C2F">
        <w:rPr>
          <w:rFonts w:ascii="Book Antiqua" w:hAnsi="Book Antiqua" w:cs="Calibri"/>
          <w:sz w:val="24"/>
          <w:szCs w:val="24"/>
          <w:lang w:val="en-US"/>
        </w:rPr>
        <w:t xml:space="preserve"> efficacy, safety and immunogenicity of CT-</w:t>
      </w:r>
      <w:proofErr w:type="gramStart"/>
      <w:r w:rsidR="00A13685" w:rsidRPr="00C33C2F">
        <w:rPr>
          <w:rFonts w:ascii="Book Antiqua" w:hAnsi="Book Antiqua" w:cs="Calibri"/>
          <w:sz w:val="24"/>
          <w:szCs w:val="24"/>
          <w:lang w:val="en-US"/>
        </w:rPr>
        <w:t>P13</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31</w:t>
      </w:r>
      <w:r w:rsidR="00815AFD" w:rsidRPr="00C33C2F">
        <w:rPr>
          <w:rFonts w:ascii="Book Antiqua" w:hAnsi="Book Antiqua" w:cs="Calibri"/>
          <w:sz w:val="24"/>
          <w:szCs w:val="24"/>
          <w:vertAlign w:val="superscript"/>
          <w:lang w:val="en-US"/>
        </w:rPr>
        <w:t>]</w:t>
      </w:r>
      <w:r w:rsidR="00A13685" w:rsidRPr="00C33C2F">
        <w:rPr>
          <w:rFonts w:ascii="Book Antiqua" w:hAnsi="Book Antiqua" w:cs="Calibri"/>
          <w:sz w:val="24"/>
          <w:szCs w:val="24"/>
          <w:lang w:val="en-US"/>
        </w:rPr>
        <w:t>.</w:t>
      </w:r>
      <w:r w:rsidR="0078482B" w:rsidRPr="00C33C2F">
        <w:rPr>
          <w:rFonts w:ascii="Book Antiqua" w:hAnsi="Book Antiqua" w:cs="Calibri" w:hint="eastAsia"/>
          <w:sz w:val="24"/>
          <w:szCs w:val="24"/>
          <w:lang w:val="en-US" w:eastAsia="zh-CN"/>
        </w:rPr>
        <w:t xml:space="preserve"> </w:t>
      </w:r>
      <w:r w:rsidR="003F27ED" w:rsidRPr="00C33C2F">
        <w:rPr>
          <w:rFonts w:ascii="Book Antiqua" w:hAnsi="Book Antiqua" w:cs="Calibri"/>
          <w:sz w:val="24"/>
          <w:szCs w:val="24"/>
          <w:lang w:val="en-US"/>
        </w:rPr>
        <w:t xml:space="preserve">At week 8 </w:t>
      </w:r>
      <w:r w:rsidR="003F27ED" w:rsidRPr="00C33C2F">
        <w:rPr>
          <w:rFonts w:ascii="Book Antiqua" w:hAnsi="Book Antiqua" w:cs="Arial"/>
          <w:color w:val="333333"/>
          <w:sz w:val="24"/>
          <w:szCs w:val="24"/>
          <w:lang w:val="en-US"/>
        </w:rPr>
        <w:t xml:space="preserve">clinical response and remission was achieved in 37.5% and 50% of the patients with luminal CD, and in 20% and 66.7% of UC patients. </w:t>
      </w:r>
      <w:r w:rsidR="003B040A" w:rsidRPr="00C33C2F">
        <w:rPr>
          <w:rFonts w:ascii="Book Antiqua" w:hAnsi="Book Antiqua" w:cs="Calibri"/>
          <w:sz w:val="24"/>
          <w:szCs w:val="24"/>
          <w:lang w:val="en-US"/>
        </w:rPr>
        <w:t xml:space="preserve">The study reported a </w:t>
      </w:r>
      <w:r w:rsidRPr="00C33C2F">
        <w:rPr>
          <w:rFonts w:ascii="Book Antiqua" w:hAnsi="Book Antiqua" w:cs="Calibri"/>
          <w:sz w:val="24"/>
          <w:szCs w:val="24"/>
          <w:lang w:val="en-US"/>
        </w:rPr>
        <w:t xml:space="preserve">mild arthralgia and an anaphylactic reaction after the second infusion of CT-P13 </w:t>
      </w:r>
      <w:r w:rsidR="003B040A" w:rsidRPr="00C33C2F">
        <w:rPr>
          <w:rFonts w:ascii="Book Antiqua" w:hAnsi="Book Antiqua" w:cs="Calibri"/>
          <w:sz w:val="24"/>
          <w:szCs w:val="24"/>
          <w:lang w:val="en-US"/>
        </w:rPr>
        <w:t xml:space="preserve">in a patient with </w:t>
      </w:r>
      <w:r w:rsidRPr="00C33C2F">
        <w:rPr>
          <w:rFonts w:ascii="Book Antiqua" w:hAnsi="Book Antiqua" w:cs="Calibri"/>
          <w:sz w:val="24"/>
          <w:szCs w:val="24"/>
          <w:lang w:val="en-US"/>
        </w:rPr>
        <w:t xml:space="preserve">high ADA levels </w:t>
      </w:r>
      <w:r w:rsidR="003B040A" w:rsidRPr="00C33C2F">
        <w:rPr>
          <w:rFonts w:ascii="Book Antiqua" w:hAnsi="Book Antiqua" w:cs="Calibri"/>
          <w:sz w:val="24"/>
          <w:szCs w:val="24"/>
          <w:lang w:val="en-US"/>
        </w:rPr>
        <w:t>and</w:t>
      </w:r>
      <w:r w:rsidRPr="00C33C2F">
        <w:rPr>
          <w:rFonts w:ascii="Book Antiqua" w:hAnsi="Book Antiqua" w:cs="Calibri"/>
          <w:sz w:val="24"/>
          <w:szCs w:val="24"/>
          <w:lang w:val="en-US"/>
        </w:rPr>
        <w:t xml:space="preserve"> previously treated with the originator</w:t>
      </w:r>
      <w:r w:rsidR="003B040A" w:rsidRPr="00C33C2F">
        <w:rPr>
          <w:rFonts w:ascii="Book Antiqua" w:hAnsi="Book Antiqua" w:cs="Calibri"/>
          <w:sz w:val="24"/>
          <w:szCs w:val="24"/>
          <w:lang w:val="en-US"/>
        </w:rPr>
        <w:t xml:space="preserve"> IFX</w:t>
      </w:r>
      <w:r w:rsidRPr="00C33C2F">
        <w:rPr>
          <w:rFonts w:ascii="Book Antiqua" w:hAnsi="Book Antiqua" w:cs="Calibri"/>
          <w:sz w:val="24"/>
          <w:szCs w:val="24"/>
          <w:lang w:val="en-US"/>
        </w:rPr>
        <w:t xml:space="preserve">. One UC patient </w:t>
      </w:r>
      <w:r w:rsidR="003B040A" w:rsidRPr="00C33C2F">
        <w:rPr>
          <w:rFonts w:ascii="Book Antiqua" w:hAnsi="Book Antiqua" w:cs="Calibri"/>
          <w:sz w:val="24"/>
          <w:szCs w:val="24"/>
          <w:lang w:val="en-US"/>
        </w:rPr>
        <w:t xml:space="preserve">developed toxic </w:t>
      </w:r>
      <w:proofErr w:type="spellStart"/>
      <w:r w:rsidR="003B040A" w:rsidRPr="00C33C2F">
        <w:rPr>
          <w:rFonts w:ascii="Book Antiqua" w:hAnsi="Book Antiqua" w:cs="Calibri"/>
          <w:sz w:val="24"/>
          <w:szCs w:val="24"/>
          <w:lang w:val="en-US"/>
        </w:rPr>
        <w:t>megacolon</w:t>
      </w:r>
      <w:proofErr w:type="spellEnd"/>
      <w:r w:rsidR="003B040A" w:rsidRPr="00C33C2F">
        <w:rPr>
          <w:rFonts w:ascii="Book Antiqua" w:hAnsi="Book Antiqua" w:cs="Calibri"/>
          <w:sz w:val="24"/>
          <w:szCs w:val="24"/>
          <w:lang w:val="en-US"/>
        </w:rPr>
        <w:t xml:space="preserve"> and underwent to </w:t>
      </w:r>
      <w:r w:rsidRPr="00C33C2F">
        <w:rPr>
          <w:rFonts w:ascii="Book Antiqua" w:hAnsi="Book Antiqua" w:cs="Calibri"/>
          <w:sz w:val="24"/>
          <w:szCs w:val="24"/>
          <w:lang w:val="en-US"/>
        </w:rPr>
        <w:t>colectomy</w:t>
      </w:r>
      <w:r w:rsidR="003B040A" w:rsidRPr="00C33C2F">
        <w:rPr>
          <w:rFonts w:ascii="Book Antiqua" w:hAnsi="Book Antiqua" w:cs="Calibri"/>
          <w:sz w:val="24"/>
          <w:szCs w:val="24"/>
          <w:lang w:val="en-US"/>
        </w:rPr>
        <w:t xml:space="preserve">. </w:t>
      </w:r>
    </w:p>
    <w:p w:rsidR="00583AC2" w:rsidRPr="00C33C2F" w:rsidRDefault="00F971E5" w:rsidP="008B1267">
      <w:pPr>
        <w:spacing w:after="0" w:line="360" w:lineRule="auto"/>
        <w:ind w:firstLineChars="150" w:firstLine="360"/>
        <w:jc w:val="both"/>
        <w:rPr>
          <w:rFonts w:ascii="Book Antiqua" w:hAnsi="Book Antiqua" w:cs="Calibri"/>
          <w:strike/>
          <w:sz w:val="24"/>
          <w:szCs w:val="24"/>
          <w:lang w:val="en-US"/>
        </w:rPr>
      </w:pPr>
      <w:r w:rsidRPr="00C33C2F">
        <w:rPr>
          <w:rFonts w:ascii="Book Antiqua" w:hAnsi="Book Antiqua"/>
          <w:sz w:val="24"/>
          <w:szCs w:val="24"/>
          <w:lang w:val="en-US"/>
        </w:rPr>
        <w:t>A prospective observational study performed in a single center in Norway</w:t>
      </w:r>
      <w:r w:rsidRPr="00C33C2F">
        <w:rPr>
          <w:rFonts w:ascii="Book Antiqua" w:hAnsi="Book Antiqua" w:cs="Calibri"/>
          <w:sz w:val="24"/>
          <w:szCs w:val="24"/>
          <w:lang w:val="en-US"/>
        </w:rPr>
        <w:t xml:space="preserve"> has evaluated the </w:t>
      </w:r>
      <w:r w:rsidR="00606353" w:rsidRPr="00C33C2F">
        <w:rPr>
          <w:rFonts w:ascii="Book Antiqua" w:hAnsi="Book Antiqua" w:cs="Calibri"/>
          <w:sz w:val="24"/>
          <w:szCs w:val="24"/>
          <w:lang w:val="en-US"/>
        </w:rPr>
        <w:t xml:space="preserve">efficacy, tolerability, and safety of CT-P13 </w:t>
      </w:r>
      <w:r w:rsidRPr="00C33C2F">
        <w:rPr>
          <w:rFonts w:ascii="Book Antiqua" w:hAnsi="Book Antiqua" w:cs="Calibri"/>
          <w:sz w:val="24"/>
          <w:szCs w:val="24"/>
          <w:lang w:val="en-US"/>
        </w:rPr>
        <w:t xml:space="preserve">in </w:t>
      </w:r>
      <w:r w:rsidR="00606353" w:rsidRPr="00C33C2F">
        <w:rPr>
          <w:rFonts w:ascii="Book Antiqua" w:hAnsi="Book Antiqua" w:cs="Calibri"/>
          <w:sz w:val="24"/>
          <w:szCs w:val="24"/>
          <w:lang w:val="en-US"/>
        </w:rPr>
        <w:t>78 patients with moderate to severe disease (46 CD, 32 UC</w:t>
      </w:r>
      <w:proofErr w:type="gramStart"/>
      <w:r w:rsidR="00606353" w:rsidRPr="00C33C2F">
        <w:rPr>
          <w:rFonts w:ascii="Book Antiqua" w:hAnsi="Book Antiqua" w:cs="Calibri"/>
          <w:sz w:val="24"/>
          <w:szCs w:val="24"/>
          <w:lang w:val="en-US"/>
        </w:rPr>
        <w:t>)</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32</w:t>
      </w:r>
      <w:r w:rsidR="00815AFD" w:rsidRPr="00C33C2F">
        <w:rPr>
          <w:rFonts w:ascii="Book Antiqua" w:hAnsi="Book Antiqua" w:cs="Calibri"/>
          <w:sz w:val="24"/>
          <w:szCs w:val="24"/>
          <w:vertAlign w:val="superscript"/>
          <w:lang w:val="en-US"/>
        </w:rPr>
        <w:t>]</w:t>
      </w:r>
      <w:r w:rsidR="00606353" w:rsidRPr="00C33C2F">
        <w:rPr>
          <w:rFonts w:ascii="Book Antiqua" w:hAnsi="Book Antiqua" w:cs="Calibri"/>
          <w:sz w:val="24"/>
          <w:szCs w:val="24"/>
          <w:lang w:val="en-US"/>
        </w:rPr>
        <w:t>.</w:t>
      </w:r>
      <w:r w:rsidR="003521C7" w:rsidRPr="00C33C2F">
        <w:rPr>
          <w:rFonts w:ascii="Book Antiqua" w:hAnsi="Book Antiqua" w:cs="Calibri"/>
          <w:sz w:val="24"/>
          <w:szCs w:val="24"/>
          <w:lang w:val="en-US"/>
        </w:rPr>
        <w:t xml:space="preserve"> </w:t>
      </w:r>
      <w:r w:rsidR="003B06BE" w:rsidRPr="00C33C2F">
        <w:rPr>
          <w:rFonts w:ascii="Book Antiqua" w:hAnsi="Book Antiqua" w:cs="Calibri"/>
          <w:sz w:val="24"/>
          <w:szCs w:val="24"/>
          <w:lang w:val="en-US"/>
        </w:rPr>
        <w:t xml:space="preserve">About </w:t>
      </w:r>
      <w:r w:rsidR="003521C7" w:rsidRPr="00C33C2F">
        <w:rPr>
          <w:rFonts w:ascii="Book Antiqua" w:hAnsi="Book Antiqua" w:cs="AdvP45A506"/>
          <w:color w:val="231F20"/>
          <w:sz w:val="24"/>
          <w:szCs w:val="24"/>
          <w:lang w:val="en-US"/>
        </w:rPr>
        <w:t>79% of CD patients and 56% of UC patients achieved remission at week 14</w:t>
      </w:r>
      <w:r w:rsidR="003B06BE" w:rsidRPr="00C33C2F">
        <w:rPr>
          <w:rFonts w:ascii="Book Antiqua" w:hAnsi="Book Antiqua" w:cs="AdvP45A506"/>
          <w:color w:val="231F20"/>
          <w:sz w:val="24"/>
          <w:szCs w:val="24"/>
          <w:lang w:val="en-US"/>
        </w:rPr>
        <w:t>.</w:t>
      </w:r>
      <w:r w:rsidR="003521C7" w:rsidRPr="00C33C2F">
        <w:rPr>
          <w:rFonts w:ascii="Book Antiqua" w:hAnsi="Book Antiqua" w:cs="AdvP45A506"/>
          <w:color w:val="231F20"/>
          <w:sz w:val="24"/>
          <w:szCs w:val="24"/>
          <w:lang w:val="en-US"/>
        </w:rPr>
        <w:t xml:space="preserve"> There were no unexpected adverse events reported during </w:t>
      </w:r>
      <w:r w:rsidR="003521C7" w:rsidRPr="00C33C2F">
        <w:rPr>
          <w:rFonts w:ascii="Book Antiqua" w:hAnsi="Book Antiqua" w:cs="AdvP45A506"/>
          <w:color w:val="231F20"/>
          <w:sz w:val="24"/>
          <w:szCs w:val="24"/>
          <w:lang w:val="en-US"/>
        </w:rPr>
        <w:lastRenderedPageBreak/>
        <w:t>the study. I</w:t>
      </w:r>
      <w:r w:rsidR="003521C7" w:rsidRPr="00C33C2F">
        <w:rPr>
          <w:rFonts w:ascii="Book Antiqua" w:hAnsi="Book Antiqua" w:cs="Calibri"/>
          <w:sz w:val="24"/>
          <w:szCs w:val="24"/>
          <w:lang w:val="en-US"/>
        </w:rPr>
        <w:t>mmunogenicity</w:t>
      </w:r>
      <w:r w:rsidR="00B115AF" w:rsidRPr="00C33C2F">
        <w:rPr>
          <w:rFonts w:ascii="Book Antiqua" w:hAnsi="Book Antiqua" w:cs="Calibri"/>
          <w:sz w:val="24"/>
          <w:szCs w:val="24"/>
          <w:lang w:val="en-US"/>
        </w:rPr>
        <w:t xml:space="preserve"> was</w:t>
      </w:r>
      <w:r w:rsidR="003521C7" w:rsidRPr="00C33C2F">
        <w:rPr>
          <w:rFonts w:ascii="Book Antiqua" w:hAnsi="Book Antiqua" w:cs="Calibri"/>
          <w:sz w:val="24"/>
          <w:szCs w:val="24"/>
          <w:lang w:val="en-US"/>
        </w:rPr>
        <w:t xml:space="preserve"> seen</w:t>
      </w:r>
      <w:r w:rsidR="00606353" w:rsidRPr="00C33C2F">
        <w:rPr>
          <w:rFonts w:ascii="Book Antiqua" w:hAnsi="Book Antiqua" w:cs="Calibri"/>
          <w:sz w:val="24"/>
          <w:szCs w:val="24"/>
          <w:lang w:val="en-US"/>
        </w:rPr>
        <w:t xml:space="preserve"> in </w:t>
      </w:r>
      <w:r w:rsidR="003521C7" w:rsidRPr="00C33C2F">
        <w:rPr>
          <w:rFonts w:ascii="Book Antiqua" w:hAnsi="Book Antiqua" w:cs="Calibri"/>
          <w:sz w:val="24"/>
          <w:szCs w:val="24"/>
          <w:lang w:val="en-US"/>
        </w:rPr>
        <w:t>8 patients (4</w:t>
      </w:r>
      <w:r w:rsidR="00606353" w:rsidRPr="00C33C2F">
        <w:rPr>
          <w:rFonts w:ascii="Book Antiqua" w:hAnsi="Book Antiqua" w:cs="Calibri"/>
          <w:sz w:val="24"/>
          <w:szCs w:val="24"/>
          <w:lang w:val="en-US"/>
        </w:rPr>
        <w:t xml:space="preserve"> CD and </w:t>
      </w:r>
      <w:r w:rsidR="003521C7" w:rsidRPr="00C33C2F">
        <w:rPr>
          <w:rFonts w:ascii="Book Antiqua" w:hAnsi="Book Antiqua" w:cs="Calibri"/>
          <w:sz w:val="24"/>
          <w:szCs w:val="24"/>
          <w:lang w:val="en-US"/>
        </w:rPr>
        <w:t xml:space="preserve">4 </w:t>
      </w:r>
      <w:r w:rsidR="00606353" w:rsidRPr="00C33C2F">
        <w:rPr>
          <w:rFonts w:ascii="Book Antiqua" w:hAnsi="Book Antiqua" w:cs="Calibri"/>
          <w:sz w:val="24"/>
          <w:szCs w:val="24"/>
          <w:lang w:val="en-US"/>
        </w:rPr>
        <w:t xml:space="preserve">UC) </w:t>
      </w:r>
      <w:r w:rsidR="00B115AF" w:rsidRPr="00C33C2F">
        <w:rPr>
          <w:rFonts w:ascii="Book Antiqua" w:hAnsi="Book Antiqua" w:cs="Calibri"/>
          <w:sz w:val="24"/>
          <w:szCs w:val="24"/>
          <w:lang w:val="en-US"/>
        </w:rPr>
        <w:t xml:space="preserve">and </w:t>
      </w:r>
      <w:r w:rsidR="003521C7" w:rsidRPr="00C33C2F">
        <w:rPr>
          <w:rFonts w:ascii="Book Antiqua" w:hAnsi="Book Antiqua" w:cs="Calibri"/>
          <w:sz w:val="24"/>
          <w:szCs w:val="24"/>
          <w:lang w:val="en-US"/>
        </w:rPr>
        <w:t>lead to</w:t>
      </w:r>
      <w:r w:rsidR="00606353" w:rsidRPr="00C33C2F">
        <w:rPr>
          <w:rFonts w:ascii="Book Antiqua" w:hAnsi="Book Antiqua" w:cs="Calibri"/>
          <w:sz w:val="24"/>
          <w:szCs w:val="24"/>
          <w:lang w:val="en-US"/>
        </w:rPr>
        <w:t xml:space="preserve"> discontinuation of treatment in seven patients. </w:t>
      </w:r>
    </w:p>
    <w:p w:rsidR="00583AC2" w:rsidRPr="00C33C2F" w:rsidRDefault="00B115AF" w:rsidP="008B1267">
      <w:pPr>
        <w:spacing w:after="0" w:line="360" w:lineRule="auto"/>
        <w:ind w:firstLineChars="150" w:firstLine="360"/>
        <w:jc w:val="both"/>
        <w:rPr>
          <w:rFonts w:ascii="Book Antiqua" w:hAnsi="Book Antiqua" w:cs="PlantinStd"/>
          <w:sz w:val="24"/>
          <w:szCs w:val="24"/>
          <w:lang w:val="en-US"/>
        </w:rPr>
      </w:pPr>
      <w:r w:rsidRPr="00C33C2F">
        <w:rPr>
          <w:rFonts w:ascii="Book Antiqua" w:hAnsi="Book Antiqua" w:cs="PlantinStd"/>
          <w:sz w:val="24"/>
          <w:szCs w:val="24"/>
          <w:lang w:val="en-US"/>
        </w:rPr>
        <w:t>A G</w:t>
      </w:r>
      <w:r w:rsidR="00507CB3" w:rsidRPr="00C33C2F">
        <w:rPr>
          <w:rFonts w:ascii="Book Antiqua" w:hAnsi="Book Antiqua" w:cs="PlantinStd"/>
          <w:sz w:val="24"/>
          <w:szCs w:val="24"/>
          <w:lang w:val="en-US"/>
        </w:rPr>
        <w:t>erman single</w:t>
      </w:r>
      <w:r w:rsidR="00583AC2" w:rsidRPr="00C33C2F">
        <w:rPr>
          <w:rFonts w:ascii="Book Antiqua" w:hAnsi="Book Antiqua" w:cs="PlantinStd"/>
          <w:sz w:val="24"/>
          <w:szCs w:val="24"/>
          <w:lang w:val="en-US"/>
        </w:rPr>
        <w:t xml:space="preserve">-center study has evaluated 33 IBD patients treated with </w:t>
      </w:r>
      <w:r w:rsidR="00EE2B79" w:rsidRPr="00C33C2F">
        <w:rPr>
          <w:rFonts w:ascii="Book Antiqua" w:hAnsi="Book Antiqua" w:cs="PlantinStd"/>
          <w:sz w:val="24"/>
          <w:szCs w:val="24"/>
          <w:lang w:val="en-US"/>
        </w:rPr>
        <w:t xml:space="preserve">CT-P13 </w:t>
      </w:r>
      <w:proofErr w:type="spellStart"/>
      <w:r w:rsidR="00583AC2" w:rsidRPr="00C33C2F">
        <w:rPr>
          <w:rFonts w:ascii="Book Antiqua" w:hAnsi="Book Antiqua" w:cs="PlantinStd"/>
          <w:sz w:val="24"/>
          <w:szCs w:val="24"/>
          <w:lang w:val="en-US"/>
        </w:rPr>
        <w:t>biosimilar</w:t>
      </w:r>
      <w:proofErr w:type="spellEnd"/>
      <w:r w:rsidR="00583AC2" w:rsidRPr="00C33C2F">
        <w:rPr>
          <w:rFonts w:ascii="Book Antiqua" w:hAnsi="Book Antiqua" w:cs="PlantinStd"/>
          <w:sz w:val="24"/>
          <w:szCs w:val="24"/>
          <w:lang w:val="en-US"/>
        </w:rPr>
        <w:t xml:space="preserve"> and 86 IBD patients who receive</w:t>
      </w:r>
      <w:r w:rsidR="00EE2B79" w:rsidRPr="00C33C2F">
        <w:rPr>
          <w:rFonts w:ascii="Book Antiqua" w:hAnsi="Book Antiqua" w:cs="PlantinStd"/>
          <w:sz w:val="24"/>
          <w:szCs w:val="24"/>
          <w:lang w:val="en-US"/>
        </w:rPr>
        <w:t>d</w:t>
      </w:r>
      <w:r w:rsidR="00583AC2" w:rsidRPr="00C33C2F">
        <w:rPr>
          <w:rFonts w:ascii="Book Antiqua" w:hAnsi="Book Antiqua" w:cs="PlantinStd"/>
          <w:sz w:val="24"/>
          <w:szCs w:val="24"/>
          <w:lang w:val="en-US"/>
        </w:rPr>
        <w:t xml:space="preserve"> </w:t>
      </w:r>
      <w:r w:rsidR="00EE2B79" w:rsidRPr="00C33C2F">
        <w:rPr>
          <w:rFonts w:ascii="Book Antiqua" w:hAnsi="Book Antiqua" w:cs="PlantinStd"/>
          <w:sz w:val="24"/>
          <w:szCs w:val="24"/>
          <w:lang w:val="en-US"/>
        </w:rPr>
        <w:t xml:space="preserve">the </w:t>
      </w:r>
      <w:proofErr w:type="gramStart"/>
      <w:r w:rsidR="00EE2B79" w:rsidRPr="00C33C2F">
        <w:rPr>
          <w:rFonts w:ascii="Book Antiqua" w:hAnsi="Book Antiqua" w:cs="PlantinStd"/>
          <w:sz w:val="24"/>
          <w:szCs w:val="24"/>
          <w:lang w:val="en-US"/>
        </w:rPr>
        <w:t>infliximab</w:t>
      </w:r>
      <w:r w:rsidR="00302E87" w:rsidRPr="00C33C2F">
        <w:rPr>
          <w:rFonts w:ascii="Book Antiqua" w:hAnsi="Book Antiqua" w:cs="PlantinStd"/>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33</w:t>
      </w:r>
      <w:r w:rsidR="00815AFD" w:rsidRPr="00C33C2F">
        <w:rPr>
          <w:rFonts w:ascii="Book Antiqua" w:hAnsi="Book Antiqua" w:cs="PlantinStd"/>
          <w:sz w:val="24"/>
          <w:szCs w:val="24"/>
          <w:vertAlign w:val="superscript"/>
          <w:lang w:val="en-US"/>
        </w:rPr>
        <w:t>]</w:t>
      </w:r>
      <w:r w:rsidR="00EE2B79" w:rsidRPr="00C33C2F">
        <w:rPr>
          <w:rFonts w:ascii="Book Antiqua" w:hAnsi="Book Antiqua" w:cs="PlantinStd"/>
          <w:sz w:val="24"/>
          <w:szCs w:val="24"/>
          <w:lang w:val="en-US"/>
        </w:rPr>
        <w:t xml:space="preserve">. </w:t>
      </w:r>
      <w:r w:rsidR="00583AC2" w:rsidRPr="00C33C2F">
        <w:rPr>
          <w:rFonts w:ascii="Book Antiqua" w:hAnsi="Book Antiqua" w:cs="PlantinStd"/>
          <w:sz w:val="24"/>
          <w:szCs w:val="24"/>
          <w:lang w:val="en-US"/>
        </w:rPr>
        <w:t xml:space="preserve">CT-P13 serum levels, IFX serum levels and anti-drug antibody serum levels were measured in both groups to uncover significant differences in anti-drug immunogenicity. In total the analysis revealed no significant differences in anti-drug immunogenicity in patients receiving </w:t>
      </w:r>
      <w:r w:rsidR="00EE2B79" w:rsidRPr="00C33C2F">
        <w:rPr>
          <w:rFonts w:ascii="Book Antiqua" w:hAnsi="Book Antiqua" w:cs="PlantinStd"/>
          <w:sz w:val="24"/>
          <w:szCs w:val="24"/>
          <w:lang w:val="en-US"/>
        </w:rPr>
        <w:t xml:space="preserve">CT-P13 </w:t>
      </w:r>
      <w:r w:rsidR="00583AC2" w:rsidRPr="00C33C2F">
        <w:rPr>
          <w:rFonts w:ascii="Book Antiqua" w:hAnsi="Book Antiqua" w:cs="PlantinStd"/>
          <w:sz w:val="24"/>
          <w:szCs w:val="24"/>
          <w:lang w:val="en-US"/>
        </w:rPr>
        <w:t xml:space="preserve">and </w:t>
      </w:r>
      <w:r w:rsidR="00EE2B79" w:rsidRPr="00C33C2F">
        <w:rPr>
          <w:rFonts w:ascii="Book Antiqua" w:hAnsi="Book Antiqua" w:cs="PlantinStd"/>
          <w:sz w:val="24"/>
          <w:szCs w:val="24"/>
          <w:lang w:val="en-US"/>
        </w:rPr>
        <w:t xml:space="preserve">Infliximab, </w:t>
      </w:r>
      <w:r w:rsidR="00583AC2" w:rsidRPr="00C33C2F">
        <w:rPr>
          <w:rFonts w:ascii="Book Antiqua" w:hAnsi="Book Antiqua" w:cs="PlantinStd"/>
          <w:sz w:val="24"/>
          <w:szCs w:val="24"/>
          <w:lang w:val="en-US"/>
        </w:rPr>
        <w:t>demonstrating the feasibility of drug monitoring in IBD patients treate</w:t>
      </w:r>
      <w:r w:rsidR="00EE2B79" w:rsidRPr="00C33C2F">
        <w:rPr>
          <w:rFonts w:ascii="Book Antiqua" w:hAnsi="Book Antiqua" w:cs="PlantinStd"/>
          <w:sz w:val="24"/>
          <w:szCs w:val="24"/>
          <w:lang w:val="en-US"/>
        </w:rPr>
        <w:t xml:space="preserve">d with the </w:t>
      </w:r>
      <w:proofErr w:type="spellStart"/>
      <w:r w:rsidR="00EE2B79" w:rsidRPr="00C33C2F">
        <w:rPr>
          <w:rFonts w:ascii="Book Antiqua" w:hAnsi="Book Antiqua" w:cs="PlantinStd"/>
          <w:sz w:val="24"/>
          <w:szCs w:val="24"/>
          <w:lang w:val="en-US"/>
        </w:rPr>
        <w:t>biosimilar</w:t>
      </w:r>
      <w:proofErr w:type="spellEnd"/>
      <w:r w:rsidR="00583AC2" w:rsidRPr="00C33C2F">
        <w:rPr>
          <w:rFonts w:ascii="Book Antiqua" w:hAnsi="Book Antiqua" w:cs="PlantinStd"/>
          <w:sz w:val="24"/>
          <w:szCs w:val="24"/>
          <w:lang w:val="en-US"/>
        </w:rPr>
        <w:t xml:space="preserve">.  </w:t>
      </w:r>
    </w:p>
    <w:p w:rsidR="00583AC2" w:rsidRPr="00C33C2F" w:rsidRDefault="00583AC2" w:rsidP="008B1267">
      <w:pPr>
        <w:spacing w:after="0" w:line="360" w:lineRule="auto"/>
        <w:ind w:firstLineChars="150" w:firstLine="360"/>
        <w:jc w:val="both"/>
        <w:rPr>
          <w:rFonts w:ascii="Book Antiqua" w:hAnsi="Book Antiqua" w:cs="PlantinStd"/>
          <w:sz w:val="24"/>
          <w:szCs w:val="24"/>
          <w:lang w:val="en-US"/>
        </w:rPr>
      </w:pPr>
      <w:r w:rsidRPr="00C33C2F">
        <w:rPr>
          <w:rFonts w:ascii="Book Antiqua" w:hAnsi="Book Antiqua" w:cs="PlantinStd"/>
          <w:sz w:val="24"/>
          <w:szCs w:val="24"/>
          <w:lang w:val="en-US"/>
        </w:rPr>
        <w:t xml:space="preserve">A recent </w:t>
      </w:r>
      <w:proofErr w:type="gramStart"/>
      <w:r w:rsidRPr="00C33C2F">
        <w:rPr>
          <w:rFonts w:ascii="Book Antiqua" w:hAnsi="Book Antiqua" w:cs="PlantinStd"/>
          <w:sz w:val="24"/>
          <w:szCs w:val="24"/>
          <w:lang w:val="en-US"/>
        </w:rPr>
        <w:t>study</w:t>
      </w:r>
      <w:r w:rsidR="00302E87" w:rsidRPr="00C33C2F">
        <w:rPr>
          <w:rFonts w:ascii="Book Antiqua" w:hAnsi="Book Antiqua" w:cs="PlantinStd"/>
          <w:sz w:val="24"/>
          <w:szCs w:val="24"/>
          <w:vertAlign w:val="superscript"/>
          <w:lang w:val="en-US"/>
        </w:rPr>
        <w:t>[</w:t>
      </w:r>
      <w:proofErr w:type="gramEnd"/>
      <w:r w:rsidR="00FD6DD3" w:rsidRPr="00C33C2F">
        <w:rPr>
          <w:rFonts w:ascii="Book Antiqua" w:hAnsi="Book Antiqua" w:cs="Times-Roman" w:hint="eastAsia"/>
          <w:sz w:val="24"/>
          <w:szCs w:val="24"/>
          <w:vertAlign w:val="superscript"/>
          <w:lang w:val="en-US" w:eastAsia="zh-CN"/>
        </w:rPr>
        <w:t>34</w:t>
      </w:r>
      <w:r w:rsidR="00815AFD" w:rsidRPr="00C33C2F">
        <w:rPr>
          <w:rFonts w:ascii="Book Antiqua" w:hAnsi="Book Antiqua" w:cs="PlantinStd"/>
          <w:sz w:val="24"/>
          <w:szCs w:val="24"/>
          <w:vertAlign w:val="superscript"/>
          <w:lang w:val="en-US"/>
        </w:rPr>
        <w:t>]</w:t>
      </w:r>
      <w:r w:rsidR="00EE2B79" w:rsidRPr="00C33C2F">
        <w:rPr>
          <w:rFonts w:ascii="Book Antiqua" w:hAnsi="Book Antiqua" w:cs="PlantinStd"/>
          <w:sz w:val="24"/>
          <w:szCs w:val="24"/>
          <w:lang w:val="en-US"/>
        </w:rPr>
        <w:t xml:space="preserve"> demonstrated that anti-Infliximab</w:t>
      </w:r>
      <w:r w:rsidRPr="00C33C2F">
        <w:rPr>
          <w:rFonts w:ascii="Book Antiqua" w:hAnsi="Book Antiqua" w:cs="PlantinStd"/>
          <w:sz w:val="24"/>
          <w:szCs w:val="24"/>
          <w:lang w:val="en-US"/>
        </w:rPr>
        <w:t xml:space="preserve"> antibodies in IBD patients recognize and functionally inhibit </w:t>
      </w:r>
      <w:r w:rsidR="00EE2B79" w:rsidRPr="00C33C2F">
        <w:rPr>
          <w:rFonts w:ascii="Book Antiqua" w:hAnsi="Book Antiqua" w:cs="PlantinStd"/>
          <w:sz w:val="24"/>
          <w:szCs w:val="24"/>
          <w:lang w:val="en-US"/>
        </w:rPr>
        <w:t xml:space="preserve">CT-P13 </w:t>
      </w:r>
      <w:r w:rsidRPr="00C33C2F">
        <w:rPr>
          <w:rFonts w:ascii="Book Antiqua" w:hAnsi="Book Antiqua" w:cs="PlantinStd"/>
          <w:sz w:val="24"/>
          <w:szCs w:val="24"/>
          <w:lang w:val="en-US"/>
        </w:rPr>
        <w:t>to a similar degree, suggesting similar immunogenicity profil</w:t>
      </w:r>
      <w:r w:rsidR="00EE2B79" w:rsidRPr="00C33C2F">
        <w:rPr>
          <w:rFonts w:ascii="Book Antiqua" w:hAnsi="Book Antiqua" w:cs="PlantinStd"/>
          <w:sz w:val="24"/>
          <w:szCs w:val="24"/>
          <w:lang w:val="en-US"/>
        </w:rPr>
        <w:t>e. All 69 positive anti-Infliximab</w:t>
      </w:r>
      <w:r w:rsidRPr="00C33C2F">
        <w:rPr>
          <w:rFonts w:ascii="Book Antiqua" w:hAnsi="Book Antiqua" w:cs="PlantinStd"/>
          <w:sz w:val="24"/>
          <w:szCs w:val="24"/>
          <w:lang w:val="en-US"/>
        </w:rPr>
        <w:t xml:space="preserve"> patients were cross-reactive </w:t>
      </w:r>
      <w:r w:rsidR="00EE2B79" w:rsidRPr="00C33C2F">
        <w:rPr>
          <w:rFonts w:ascii="Book Antiqua" w:hAnsi="Book Antiqua" w:cs="PlantinStd"/>
          <w:sz w:val="24"/>
          <w:szCs w:val="24"/>
          <w:lang w:val="en-US"/>
        </w:rPr>
        <w:t>to CT-P13</w:t>
      </w:r>
      <w:r w:rsidRPr="00C33C2F">
        <w:rPr>
          <w:rFonts w:ascii="Book Antiqua" w:hAnsi="Book Antiqua" w:cs="PlantinStd"/>
          <w:sz w:val="24"/>
          <w:szCs w:val="24"/>
          <w:lang w:val="en-US"/>
        </w:rPr>
        <w:t xml:space="preserve">. </w:t>
      </w:r>
      <w:r w:rsidR="00EE2B79" w:rsidRPr="00C33C2F">
        <w:rPr>
          <w:rFonts w:ascii="Book Antiqua" w:hAnsi="Book Antiqua" w:cs="PlantinStd"/>
          <w:sz w:val="24"/>
          <w:szCs w:val="24"/>
          <w:lang w:val="en-US"/>
        </w:rPr>
        <w:t>Titers of a</w:t>
      </w:r>
      <w:r w:rsidRPr="00C33C2F">
        <w:rPr>
          <w:rFonts w:ascii="Book Antiqua" w:hAnsi="Book Antiqua" w:cs="PlantinStd"/>
          <w:sz w:val="24"/>
          <w:szCs w:val="24"/>
          <w:lang w:val="en-US"/>
        </w:rPr>
        <w:t>ntibod</w:t>
      </w:r>
      <w:r w:rsidR="00EE2B79" w:rsidRPr="00C33C2F">
        <w:rPr>
          <w:rFonts w:ascii="Book Antiqua" w:hAnsi="Book Antiqua" w:cs="PlantinStd"/>
          <w:sz w:val="24"/>
          <w:szCs w:val="24"/>
          <w:lang w:val="en-US"/>
        </w:rPr>
        <w:t xml:space="preserve">ies </w:t>
      </w:r>
      <w:r w:rsidRPr="00C33C2F">
        <w:rPr>
          <w:rFonts w:ascii="Book Antiqua" w:hAnsi="Book Antiqua" w:cs="PlantinStd"/>
          <w:sz w:val="24"/>
          <w:szCs w:val="24"/>
          <w:lang w:val="en-US"/>
        </w:rPr>
        <w:t xml:space="preserve">to infliximab </w:t>
      </w:r>
      <w:r w:rsidR="00EE2B79" w:rsidRPr="00C33C2F">
        <w:rPr>
          <w:rFonts w:ascii="Book Antiqua" w:hAnsi="Book Antiqua" w:cs="PlantinStd"/>
          <w:sz w:val="24"/>
          <w:szCs w:val="24"/>
          <w:lang w:val="en-US"/>
        </w:rPr>
        <w:t xml:space="preserve">and CT-P13 </w:t>
      </w:r>
      <w:r w:rsidRPr="00C33C2F">
        <w:rPr>
          <w:rFonts w:ascii="Book Antiqua" w:hAnsi="Book Antiqua" w:cs="PlantinStd"/>
          <w:sz w:val="24"/>
          <w:szCs w:val="24"/>
          <w:lang w:val="en-US"/>
        </w:rPr>
        <w:t>we</w:t>
      </w:r>
      <w:r w:rsidR="00421059" w:rsidRPr="00C33C2F">
        <w:rPr>
          <w:rFonts w:ascii="Book Antiqua" w:hAnsi="Book Antiqua" w:cs="PlantinStd"/>
          <w:sz w:val="24"/>
          <w:szCs w:val="24"/>
          <w:lang w:val="en-US"/>
        </w:rPr>
        <w:t>re strongly correlated (</w:t>
      </w:r>
      <w:r w:rsidR="00421059" w:rsidRPr="00C33C2F">
        <w:rPr>
          <w:rFonts w:ascii="Book Antiqua" w:hAnsi="Book Antiqua" w:cs="PlantinStd"/>
          <w:i/>
          <w:sz w:val="24"/>
          <w:szCs w:val="24"/>
          <w:lang w:val="en-US"/>
        </w:rPr>
        <w:t>r</w:t>
      </w:r>
      <w:r w:rsidR="00421059" w:rsidRPr="00C33C2F">
        <w:rPr>
          <w:rFonts w:ascii="Book Antiqua" w:hAnsi="Book Antiqua" w:cs="PlantinStd"/>
          <w:sz w:val="24"/>
          <w:szCs w:val="24"/>
          <w:lang w:val="en-US"/>
        </w:rPr>
        <w:t xml:space="preserve"> values</w:t>
      </w:r>
      <w:r w:rsidRPr="00C33C2F">
        <w:rPr>
          <w:rFonts w:ascii="Book Antiqua" w:hAnsi="Book Antiqua" w:cs="PlantinStd"/>
          <w:sz w:val="24"/>
          <w:szCs w:val="24"/>
          <w:lang w:val="en-US"/>
        </w:rPr>
        <w:t xml:space="preserve"> between 0.92 an</w:t>
      </w:r>
      <w:r w:rsidR="00EE2B79" w:rsidRPr="00C33C2F">
        <w:rPr>
          <w:rFonts w:ascii="Book Antiqua" w:hAnsi="Book Antiqua" w:cs="PlantinStd"/>
          <w:sz w:val="24"/>
          <w:szCs w:val="24"/>
          <w:lang w:val="en-US"/>
        </w:rPr>
        <w:t xml:space="preserve">d 0.99, </w:t>
      </w:r>
      <w:r w:rsidR="00EE2B79" w:rsidRPr="00C33C2F">
        <w:rPr>
          <w:rFonts w:ascii="Book Antiqua" w:hAnsi="Book Antiqua" w:cs="PlantinStd"/>
          <w:i/>
          <w:sz w:val="24"/>
          <w:szCs w:val="24"/>
          <w:lang w:val="en-US"/>
        </w:rPr>
        <w:t>P</w:t>
      </w:r>
      <w:r w:rsidR="00EE2B79" w:rsidRPr="00C33C2F">
        <w:rPr>
          <w:rFonts w:ascii="Book Antiqua" w:hAnsi="Book Antiqua" w:cs="PlantinStd"/>
          <w:sz w:val="24"/>
          <w:szCs w:val="24"/>
          <w:lang w:val="en-US"/>
        </w:rPr>
        <w:t xml:space="preserve"> &lt;</w:t>
      </w:r>
      <w:r w:rsidR="00302E87" w:rsidRPr="00C33C2F">
        <w:rPr>
          <w:rFonts w:ascii="Book Antiqua" w:hAnsi="Book Antiqua" w:cs="PlantinStd"/>
          <w:sz w:val="24"/>
          <w:szCs w:val="24"/>
          <w:lang w:val="en-US" w:eastAsia="zh-CN"/>
        </w:rPr>
        <w:t xml:space="preserve"> </w:t>
      </w:r>
      <w:r w:rsidR="00EE2B79" w:rsidRPr="00C33C2F">
        <w:rPr>
          <w:rFonts w:ascii="Book Antiqua" w:hAnsi="Book Antiqua" w:cs="PlantinStd"/>
          <w:sz w:val="24"/>
          <w:szCs w:val="24"/>
          <w:lang w:val="en-US"/>
        </w:rPr>
        <w:t>0.001). Anti-Infliximab</w:t>
      </w:r>
      <w:r w:rsidRPr="00C33C2F">
        <w:rPr>
          <w:rFonts w:ascii="Book Antiqua" w:hAnsi="Book Antiqua" w:cs="PlantinStd"/>
          <w:sz w:val="24"/>
          <w:szCs w:val="24"/>
          <w:lang w:val="en-US"/>
        </w:rPr>
        <w:t xml:space="preserve"> antibodies of IBD patients exerted similar functional inhibition on </w:t>
      </w:r>
      <w:r w:rsidR="00EE2B79" w:rsidRPr="00C33C2F">
        <w:rPr>
          <w:rFonts w:ascii="Book Antiqua" w:hAnsi="Book Antiqua" w:cs="PlantinStd"/>
          <w:sz w:val="24"/>
          <w:szCs w:val="24"/>
          <w:lang w:val="en-US"/>
        </w:rPr>
        <w:t xml:space="preserve">CT-P13 or Infliximab </w:t>
      </w:r>
      <w:r w:rsidRPr="00C33C2F">
        <w:rPr>
          <w:rFonts w:ascii="Book Antiqua" w:hAnsi="Book Antiqua" w:cs="PlantinStd"/>
          <w:sz w:val="24"/>
          <w:szCs w:val="24"/>
          <w:lang w:val="en-US"/>
        </w:rPr>
        <w:t>TNF-α binding capacity.</w:t>
      </w:r>
    </w:p>
    <w:p w:rsidR="00583AC2" w:rsidRPr="00C33C2F" w:rsidRDefault="0066037A"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In conclusion</w:t>
      </w:r>
      <w:r w:rsidR="00EE2B79" w:rsidRPr="00C33C2F">
        <w:rPr>
          <w:rFonts w:ascii="Book Antiqua" w:hAnsi="Book Antiqua" w:cs="Calibri"/>
          <w:sz w:val="24"/>
          <w:szCs w:val="24"/>
          <w:lang w:val="en-US"/>
        </w:rPr>
        <w:t>,</w:t>
      </w:r>
      <w:r w:rsidRPr="00C33C2F">
        <w:rPr>
          <w:rFonts w:ascii="Book Antiqua" w:hAnsi="Book Antiqua" w:cs="Calibri"/>
          <w:sz w:val="24"/>
          <w:szCs w:val="24"/>
          <w:lang w:val="en-US"/>
        </w:rPr>
        <w:t xml:space="preserve"> </w:t>
      </w:r>
      <w:r w:rsidR="00EE2B79" w:rsidRPr="00C33C2F">
        <w:rPr>
          <w:rFonts w:ascii="Book Antiqua" w:hAnsi="Book Antiqua" w:cs="Calibri"/>
          <w:sz w:val="24"/>
          <w:szCs w:val="24"/>
          <w:lang w:val="en-US"/>
        </w:rPr>
        <w:t xml:space="preserve">all published </w:t>
      </w:r>
      <w:r w:rsidRPr="00C33C2F">
        <w:rPr>
          <w:rFonts w:ascii="Book Antiqua" w:hAnsi="Book Antiqua" w:cs="Calibri"/>
          <w:sz w:val="24"/>
          <w:szCs w:val="24"/>
          <w:lang w:val="en-US"/>
        </w:rPr>
        <w:t>studi</w:t>
      </w:r>
      <w:r w:rsidR="00EE2B79" w:rsidRPr="00C33C2F">
        <w:rPr>
          <w:rFonts w:ascii="Book Antiqua" w:hAnsi="Book Antiqua" w:cs="Calibri"/>
          <w:sz w:val="24"/>
          <w:szCs w:val="24"/>
          <w:lang w:val="en-US"/>
        </w:rPr>
        <w:t xml:space="preserve">es show </w:t>
      </w:r>
      <w:r w:rsidRPr="00C33C2F">
        <w:rPr>
          <w:rFonts w:ascii="Book Antiqua" w:hAnsi="Book Antiqua" w:cs="Calibri"/>
          <w:sz w:val="24"/>
          <w:szCs w:val="24"/>
          <w:lang w:val="en-US"/>
        </w:rPr>
        <w:t xml:space="preserve">no </w:t>
      </w:r>
      <w:r w:rsidR="00EE2B79" w:rsidRPr="00C33C2F">
        <w:rPr>
          <w:rFonts w:ascii="Book Antiqua" w:hAnsi="Book Antiqua" w:cs="Calibri"/>
          <w:sz w:val="24"/>
          <w:szCs w:val="24"/>
          <w:lang w:val="en-US"/>
        </w:rPr>
        <w:t xml:space="preserve">apparent </w:t>
      </w:r>
      <w:r w:rsidRPr="00C33C2F">
        <w:rPr>
          <w:rFonts w:ascii="Book Antiqua" w:hAnsi="Book Antiqua" w:cs="Calibri"/>
          <w:sz w:val="24"/>
          <w:szCs w:val="24"/>
          <w:lang w:val="en-US"/>
        </w:rPr>
        <w:t xml:space="preserve">differences between </w:t>
      </w:r>
      <w:proofErr w:type="spellStart"/>
      <w:r w:rsidRPr="00C33C2F">
        <w:rPr>
          <w:rFonts w:ascii="Book Antiqua" w:hAnsi="Book Antiqua" w:cs="Calibri"/>
          <w:sz w:val="24"/>
          <w:szCs w:val="24"/>
          <w:lang w:val="en-US"/>
        </w:rPr>
        <w:t>biosimilar</w:t>
      </w:r>
      <w:proofErr w:type="spellEnd"/>
      <w:r w:rsidRPr="00C33C2F">
        <w:rPr>
          <w:rFonts w:ascii="Book Antiqua" w:hAnsi="Book Antiqua" w:cs="Calibri"/>
          <w:sz w:val="24"/>
          <w:szCs w:val="24"/>
          <w:lang w:val="en-US"/>
        </w:rPr>
        <w:t xml:space="preserve"> infliximab and the originator. However</w:t>
      </w:r>
      <w:r w:rsidR="00EE2B79" w:rsidRPr="00C33C2F">
        <w:rPr>
          <w:rFonts w:ascii="Book Antiqua" w:hAnsi="Book Antiqua" w:cs="Calibri"/>
          <w:sz w:val="24"/>
          <w:szCs w:val="24"/>
          <w:lang w:val="en-US"/>
        </w:rPr>
        <w:t>,</w:t>
      </w:r>
      <w:r w:rsidRPr="00C33C2F">
        <w:rPr>
          <w:rFonts w:ascii="Book Antiqua" w:hAnsi="Book Antiqua" w:cs="Calibri"/>
          <w:sz w:val="24"/>
          <w:szCs w:val="24"/>
          <w:lang w:val="en-US"/>
        </w:rPr>
        <w:t xml:space="preserve"> contrasting data </w:t>
      </w:r>
      <w:r w:rsidR="00EE2B79" w:rsidRPr="00C33C2F">
        <w:rPr>
          <w:rFonts w:ascii="Book Antiqua" w:hAnsi="Book Antiqua" w:cs="Calibri"/>
          <w:sz w:val="24"/>
          <w:szCs w:val="24"/>
          <w:lang w:val="en-US"/>
        </w:rPr>
        <w:t xml:space="preserve">have </w:t>
      </w:r>
      <w:r w:rsidR="003153DD" w:rsidRPr="00C33C2F">
        <w:rPr>
          <w:rFonts w:ascii="Book Antiqua" w:hAnsi="Book Antiqua" w:cs="Calibri"/>
          <w:sz w:val="24"/>
          <w:szCs w:val="24"/>
          <w:lang w:val="en-US"/>
        </w:rPr>
        <w:t>been</w:t>
      </w:r>
      <w:r w:rsidR="00EE2B79" w:rsidRPr="00C33C2F">
        <w:rPr>
          <w:rFonts w:ascii="Book Antiqua" w:hAnsi="Book Antiqua" w:cs="Calibri"/>
          <w:sz w:val="24"/>
          <w:szCs w:val="24"/>
          <w:lang w:val="en-US"/>
        </w:rPr>
        <w:t xml:space="preserve"> reported in</w:t>
      </w:r>
      <w:r w:rsidR="003153DD" w:rsidRPr="00C33C2F">
        <w:rPr>
          <w:rFonts w:ascii="Book Antiqua" w:hAnsi="Book Antiqua" w:cs="Calibri"/>
          <w:sz w:val="24"/>
          <w:szCs w:val="24"/>
          <w:lang w:val="en-US"/>
        </w:rPr>
        <w:t xml:space="preserve"> a</w:t>
      </w:r>
      <w:r w:rsidR="00EE2B79" w:rsidRPr="00C33C2F">
        <w:rPr>
          <w:rFonts w:ascii="Book Antiqua" w:hAnsi="Book Antiqua" w:cs="Calibri"/>
          <w:sz w:val="24"/>
          <w:szCs w:val="24"/>
          <w:lang w:val="en-US"/>
        </w:rPr>
        <w:t xml:space="preserve"> study reported in abstract </w:t>
      </w:r>
      <w:r w:rsidR="00421059" w:rsidRPr="00C33C2F">
        <w:rPr>
          <w:rFonts w:ascii="Book Antiqua" w:hAnsi="Book Antiqua" w:cs="Calibri"/>
          <w:sz w:val="24"/>
          <w:szCs w:val="24"/>
          <w:lang w:val="en-US"/>
        </w:rPr>
        <w:t>by Murphy</w:t>
      </w:r>
      <w:r w:rsidR="00421059" w:rsidRPr="00C33C2F">
        <w:rPr>
          <w:rFonts w:ascii="Book Antiqua" w:hAnsi="Book Antiqua" w:cs="Calibri"/>
          <w:i/>
          <w:sz w:val="24"/>
          <w:szCs w:val="24"/>
          <w:lang w:val="en-US"/>
        </w:rPr>
        <w:t xml:space="preserve"> et </w:t>
      </w:r>
      <w:proofErr w:type="gramStart"/>
      <w:r w:rsidR="00421059" w:rsidRPr="00C33C2F">
        <w:rPr>
          <w:rFonts w:ascii="Book Antiqua" w:hAnsi="Book Antiqua" w:cs="Calibri"/>
          <w:i/>
          <w:sz w:val="24"/>
          <w:szCs w:val="24"/>
          <w:lang w:val="en-US"/>
        </w:rPr>
        <w:t>al</w:t>
      </w:r>
      <w:r w:rsidR="00DD20EF" w:rsidRPr="00C33C2F">
        <w:rPr>
          <w:rFonts w:ascii="Book Antiqua" w:hAnsi="Book Antiqua" w:cs="Calibri"/>
          <w:sz w:val="24"/>
          <w:szCs w:val="24"/>
          <w:vertAlign w:val="superscript"/>
          <w:lang w:val="en-US"/>
        </w:rPr>
        <w:t>[</w:t>
      </w:r>
      <w:proofErr w:type="gramEnd"/>
      <w:r w:rsidR="00DD20EF" w:rsidRPr="00C33C2F">
        <w:rPr>
          <w:rFonts w:ascii="Book Antiqua" w:hAnsi="Book Antiqua" w:cs="Calibri"/>
          <w:sz w:val="24"/>
          <w:szCs w:val="24"/>
          <w:vertAlign w:val="superscript"/>
          <w:lang w:val="en-US"/>
        </w:rPr>
        <w:t>41]</w:t>
      </w:r>
      <w:r w:rsidR="00421059" w:rsidRPr="00C33C2F">
        <w:rPr>
          <w:rFonts w:ascii="Book Antiqua" w:hAnsi="Book Antiqua" w:cs="Calibri"/>
          <w:sz w:val="24"/>
          <w:szCs w:val="24"/>
          <w:lang w:val="en-US"/>
        </w:rPr>
        <w:t xml:space="preserve"> They</w:t>
      </w:r>
      <w:r w:rsidRPr="00C33C2F">
        <w:rPr>
          <w:rFonts w:ascii="Book Antiqua" w:hAnsi="Book Antiqua" w:cs="Calibri"/>
          <w:sz w:val="24"/>
          <w:szCs w:val="24"/>
          <w:lang w:val="en-US"/>
        </w:rPr>
        <w:t xml:space="preserve"> showed </w:t>
      </w:r>
      <w:r w:rsidR="00421059" w:rsidRPr="00C33C2F">
        <w:rPr>
          <w:rFonts w:ascii="Book Antiqua" w:hAnsi="Book Antiqua" w:cs="Calibri"/>
          <w:sz w:val="24"/>
          <w:szCs w:val="24"/>
          <w:lang w:val="en-US"/>
        </w:rPr>
        <w:t>a higher rate</w:t>
      </w:r>
      <w:r w:rsidRPr="00C33C2F">
        <w:rPr>
          <w:rFonts w:ascii="Book Antiqua" w:hAnsi="Book Antiqua" w:cs="Calibri"/>
          <w:sz w:val="24"/>
          <w:szCs w:val="24"/>
          <w:lang w:val="en-US"/>
        </w:rPr>
        <w:t xml:space="preserve"> of surgery and </w:t>
      </w:r>
      <w:r w:rsidR="00421059" w:rsidRPr="00C33C2F">
        <w:rPr>
          <w:rFonts w:ascii="Book Antiqua" w:hAnsi="Book Antiqua" w:cs="Calibri"/>
          <w:sz w:val="24"/>
          <w:szCs w:val="24"/>
          <w:lang w:val="en-US"/>
        </w:rPr>
        <w:t xml:space="preserve">inadequate </w:t>
      </w:r>
      <w:r w:rsidRPr="00C33C2F">
        <w:rPr>
          <w:rFonts w:ascii="Book Antiqua" w:hAnsi="Book Antiqua" w:cs="Calibri"/>
          <w:sz w:val="24"/>
          <w:szCs w:val="24"/>
          <w:lang w:val="en-US"/>
        </w:rPr>
        <w:t>disease control in patients treated with CT-P13 compared with those treated</w:t>
      </w:r>
      <w:r w:rsidR="00EE2B79" w:rsidRPr="00C33C2F">
        <w:rPr>
          <w:rFonts w:ascii="Book Antiqua" w:hAnsi="Book Antiqua" w:cs="Calibri"/>
          <w:sz w:val="24"/>
          <w:szCs w:val="24"/>
          <w:lang w:val="en-US"/>
        </w:rPr>
        <w:t xml:space="preserve"> with infliximab</w:t>
      </w:r>
      <w:r w:rsidRPr="00C33C2F">
        <w:rPr>
          <w:rFonts w:ascii="Book Antiqua" w:hAnsi="Book Antiqua" w:cs="Calibri"/>
          <w:sz w:val="24"/>
          <w:szCs w:val="24"/>
          <w:lang w:val="en-US"/>
        </w:rPr>
        <w:t xml:space="preserve">. </w:t>
      </w:r>
      <w:r w:rsidR="003153DD" w:rsidRPr="00C33C2F">
        <w:rPr>
          <w:rFonts w:ascii="Book Antiqua" w:hAnsi="Book Antiqua" w:cs="Calibri"/>
          <w:sz w:val="24"/>
          <w:szCs w:val="24"/>
          <w:lang w:val="en-US"/>
        </w:rPr>
        <w:t xml:space="preserve">But, </w:t>
      </w:r>
      <w:r w:rsidRPr="00C33C2F">
        <w:rPr>
          <w:rFonts w:ascii="Book Antiqua" w:hAnsi="Book Antiqua" w:cs="Calibri"/>
          <w:sz w:val="24"/>
          <w:szCs w:val="24"/>
          <w:lang w:val="en-US"/>
        </w:rPr>
        <w:t xml:space="preserve">response and remission </w:t>
      </w:r>
      <w:r w:rsidR="00421059" w:rsidRPr="00C33C2F">
        <w:rPr>
          <w:rFonts w:ascii="Book Antiqua" w:hAnsi="Book Antiqua" w:cs="Calibri"/>
          <w:sz w:val="24"/>
          <w:szCs w:val="24"/>
          <w:lang w:val="en-US"/>
        </w:rPr>
        <w:t xml:space="preserve">rates </w:t>
      </w:r>
      <w:r w:rsidRPr="00C33C2F">
        <w:rPr>
          <w:rFonts w:ascii="Book Antiqua" w:hAnsi="Book Antiqua" w:cs="Calibri"/>
          <w:sz w:val="24"/>
          <w:szCs w:val="24"/>
          <w:lang w:val="en-US"/>
        </w:rPr>
        <w:t>were not reported and no descriptions of baseline characteristics are available</w:t>
      </w:r>
      <w:r w:rsidR="001639FC" w:rsidRPr="00C33C2F">
        <w:rPr>
          <w:rFonts w:ascii="Book Antiqua" w:hAnsi="Book Antiqua" w:cs="Calibri"/>
          <w:sz w:val="24"/>
          <w:szCs w:val="24"/>
          <w:lang w:val="en-US"/>
        </w:rPr>
        <w:t>.</w:t>
      </w:r>
    </w:p>
    <w:p w:rsidR="00774F14" w:rsidRPr="00C33C2F" w:rsidRDefault="00774F14" w:rsidP="008B1267">
      <w:pPr>
        <w:autoSpaceDE w:val="0"/>
        <w:autoSpaceDN w:val="0"/>
        <w:adjustRightInd w:val="0"/>
        <w:spacing w:after="0" w:line="360" w:lineRule="auto"/>
        <w:jc w:val="both"/>
        <w:rPr>
          <w:rFonts w:ascii="Book Antiqua" w:hAnsi="Book Antiqua" w:cs="Calibri"/>
          <w:sz w:val="24"/>
          <w:szCs w:val="24"/>
          <w:lang w:val="en-US" w:eastAsia="zh-CN"/>
        </w:rPr>
      </w:pPr>
    </w:p>
    <w:p w:rsidR="00512D84" w:rsidRPr="00C33C2F" w:rsidRDefault="00302E87" w:rsidP="008B1267">
      <w:pPr>
        <w:autoSpaceDE w:val="0"/>
        <w:autoSpaceDN w:val="0"/>
        <w:adjustRightInd w:val="0"/>
        <w:spacing w:after="0" w:line="360" w:lineRule="auto"/>
        <w:jc w:val="both"/>
        <w:rPr>
          <w:rFonts w:ascii="Book Antiqua" w:hAnsi="Book Antiqua" w:cs="Calibri"/>
          <w:b/>
          <w:sz w:val="24"/>
          <w:szCs w:val="24"/>
          <w:lang w:val="en-US"/>
        </w:rPr>
      </w:pPr>
      <w:r w:rsidRPr="00C33C2F">
        <w:rPr>
          <w:rFonts w:ascii="Book Antiqua" w:hAnsi="Book Antiqua" w:cs="Calibri"/>
          <w:b/>
          <w:sz w:val="24"/>
          <w:szCs w:val="24"/>
          <w:lang w:val="en-US"/>
        </w:rPr>
        <w:t>CT-P13 POST-MARKETING STUDY IN PEDIATRIC IBD</w:t>
      </w:r>
    </w:p>
    <w:p w:rsidR="00C062E8" w:rsidRPr="00C33C2F" w:rsidRDefault="00B27349" w:rsidP="008B1267">
      <w:pPr>
        <w:autoSpaceDE w:val="0"/>
        <w:autoSpaceDN w:val="0"/>
        <w:adjustRightInd w:val="0"/>
        <w:spacing w:after="0" w:line="360" w:lineRule="auto"/>
        <w:jc w:val="both"/>
        <w:rPr>
          <w:rFonts w:ascii="Book Antiqua" w:hAnsi="Book Antiqua" w:cs="Calibri"/>
          <w:sz w:val="24"/>
          <w:szCs w:val="24"/>
          <w:lang w:val="en-US"/>
        </w:rPr>
      </w:pPr>
      <w:r w:rsidRPr="00C33C2F">
        <w:rPr>
          <w:rFonts w:ascii="Book Antiqua" w:hAnsi="Book Antiqua"/>
          <w:color w:val="030303"/>
          <w:sz w:val="24"/>
          <w:szCs w:val="24"/>
          <w:lang w:val="en-US"/>
        </w:rPr>
        <w:t xml:space="preserve">The </w:t>
      </w:r>
      <w:r w:rsidR="00EC3488" w:rsidRPr="00C33C2F">
        <w:rPr>
          <w:rFonts w:ascii="Book Antiqua" w:hAnsi="Book Antiqua"/>
          <w:color w:val="030303"/>
          <w:sz w:val="24"/>
          <w:szCs w:val="24"/>
          <w:lang w:val="en-US"/>
        </w:rPr>
        <w:t>effects of switching to CT-P13 from infliximab have</w:t>
      </w:r>
      <w:r w:rsidR="00EE2B79" w:rsidRPr="00C33C2F">
        <w:rPr>
          <w:rFonts w:ascii="Book Antiqua" w:hAnsi="Book Antiqua"/>
          <w:color w:val="030303"/>
          <w:sz w:val="24"/>
          <w:szCs w:val="24"/>
          <w:lang w:val="en-US"/>
        </w:rPr>
        <w:t xml:space="preserve"> been </w:t>
      </w:r>
      <w:r w:rsidRPr="00C33C2F">
        <w:rPr>
          <w:rFonts w:ascii="Book Antiqua" w:hAnsi="Book Antiqua"/>
          <w:color w:val="030303"/>
          <w:sz w:val="24"/>
          <w:szCs w:val="24"/>
          <w:lang w:val="en-US"/>
        </w:rPr>
        <w:t>investigated in a small prospective observational study from Poland of 39 pediatric IBD patients</w:t>
      </w:r>
      <w:r w:rsidR="00583AC2" w:rsidRPr="00C33C2F">
        <w:rPr>
          <w:rFonts w:ascii="Book Antiqua" w:hAnsi="Book Antiqua"/>
          <w:color w:val="030303"/>
          <w:sz w:val="24"/>
          <w:szCs w:val="24"/>
          <w:lang w:val="en-US"/>
        </w:rPr>
        <w:t xml:space="preserve"> </w:t>
      </w:r>
      <w:r w:rsidRPr="00C33C2F">
        <w:rPr>
          <w:rFonts w:ascii="Book Antiqua" w:hAnsi="Book Antiqua" w:cs="Calibri"/>
          <w:sz w:val="24"/>
          <w:szCs w:val="24"/>
          <w:lang w:val="en-US"/>
        </w:rPr>
        <w:t>(32 CD, 7 UC)</w:t>
      </w:r>
      <w:r w:rsidR="00421059" w:rsidRPr="00C33C2F">
        <w:rPr>
          <w:rFonts w:ascii="Book Antiqua" w:hAnsi="Book Antiqua" w:cs="Calibri"/>
          <w:sz w:val="24"/>
          <w:szCs w:val="24"/>
          <w:lang w:val="en-US"/>
        </w:rPr>
        <w:t xml:space="preserve"> </w:t>
      </w:r>
      <w:r w:rsidR="00302E87" w:rsidRPr="00C33C2F">
        <w:rPr>
          <w:rFonts w:ascii="Book Antiqua" w:hAnsi="Book Antiqua" w:cs="Calibri"/>
          <w:sz w:val="24"/>
          <w:szCs w:val="24"/>
          <w:vertAlign w:val="superscript"/>
          <w:lang w:val="en-US"/>
        </w:rPr>
        <w:t>[</w:t>
      </w:r>
      <w:r w:rsidR="00FD6DD3" w:rsidRPr="00C33C2F">
        <w:rPr>
          <w:rFonts w:ascii="Book Antiqua" w:hAnsi="Book Antiqua" w:cs="Times-Roman" w:hint="eastAsia"/>
          <w:sz w:val="24"/>
          <w:szCs w:val="24"/>
          <w:vertAlign w:val="superscript"/>
          <w:lang w:val="en-US" w:eastAsia="zh-CN"/>
        </w:rPr>
        <w:t>35</w:t>
      </w:r>
      <w:r w:rsidR="00815AFD" w:rsidRPr="00C33C2F">
        <w:rPr>
          <w:rFonts w:ascii="Book Antiqua" w:hAnsi="Book Antiqua" w:cs="Calibri"/>
          <w:sz w:val="24"/>
          <w:szCs w:val="24"/>
          <w:vertAlign w:val="superscript"/>
          <w:lang w:val="en-US"/>
        </w:rPr>
        <w:t>]</w:t>
      </w:r>
      <w:r w:rsidR="00512D84" w:rsidRPr="00C33C2F">
        <w:rPr>
          <w:rFonts w:ascii="Book Antiqua" w:hAnsi="Book Antiqua" w:cs="Calibri"/>
          <w:sz w:val="24"/>
          <w:szCs w:val="24"/>
          <w:lang w:val="en-US"/>
        </w:rPr>
        <w:t xml:space="preserve">. </w:t>
      </w:r>
      <w:r w:rsidRPr="00C33C2F">
        <w:rPr>
          <w:rFonts w:ascii="Book Antiqua" w:hAnsi="Book Antiqua"/>
          <w:color w:val="030303"/>
          <w:sz w:val="24"/>
          <w:szCs w:val="24"/>
          <w:lang w:val="en-US"/>
        </w:rPr>
        <w:t xml:space="preserve">In the CD subgroup, 22 (69%) patients were in clinical </w:t>
      </w:r>
      <w:r w:rsidR="00F72E53" w:rsidRPr="00C33C2F">
        <w:rPr>
          <w:rFonts w:ascii="Book Antiqua" w:hAnsi="Book Antiqua"/>
          <w:color w:val="030303"/>
          <w:sz w:val="24"/>
          <w:szCs w:val="24"/>
          <w:lang w:val="en-US"/>
        </w:rPr>
        <w:t>remission before switching</w:t>
      </w:r>
      <w:r w:rsidR="003B06BE" w:rsidRPr="00C33C2F">
        <w:rPr>
          <w:rFonts w:ascii="Book Antiqua" w:hAnsi="Book Antiqua"/>
          <w:color w:val="030303"/>
          <w:sz w:val="24"/>
          <w:szCs w:val="24"/>
          <w:lang w:val="en-US"/>
        </w:rPr>
        <w:t>.</w:t>
      </w:r>
      <w:r w:rsidR="00302E87" w:rsidRPr="00C33C2F">
        <w:rPr>
          <w:rFonts w:ascii="Book Antiqua" w:hAnsi="Book Antiqua" w:cs="Calibri"/>
          <w:sz w:val="24"/>
          <w:szCs w:val="24"/>
          <w:lang w:val="en-US"/>
        </w:rPr>
        <w:t xml:space="preserve"> </w:t>
      </w:r>
      <w:r w:rsidR="00606353" w:rsidRPr="00C33C2F">
        <w:rPr>
          <w:rFonts w:ascii="Book Antiqua" w:hAnsi="Book Antiqua" w:cs="Calibri"/>
          <w:sz w:val="24"/>
          <w:szCs w:val="24"/>
          <w:lang w:val="en-US"/>
        </w:rPr>
        <w:t xml:space="preserve">In the CD group 69% were in remission at the time of switching and 31% had mild to moderate disease activity. After two infusions with CT-P13 a significant reduction in pediatric CDAI (PCDAI) was </w:t>
      </w:r>
      <w:r w:rsidR="00445CC9" w:rsidRPr="00C33C2F">
        <w:rPr>
          <w:rFonts w:ascii="Book Antiqua" w:hAnsi="Book Antiqua" w:cs="Calibri"/>
          <w:sz w:val="24"/>
          <w:szCs w:val="24"/>
          <w:lang w:val="en-US"/>
        </w:rPr>
        <w:t>seen</w:t>
      </w:r>
      <w:r w:rsidR="00606353" w:rsidRPr="00C33C2F">
        <w:rPr>
          <w:rFonts w:ascii="Book Antiqua" w:hAnsi="Book Antiqua" w:cs="Calibri"/>
          <w:sz w:val="24"/>
          <w:szCs w:val="24"/>
          <w:lang w:val="en-US"/>
        </w:rPr>
        <w:t xml:space="preserve">. After a further mean follow-up of 8 </w:t>
      </w:r>
      <w:r w:rsidR="00302E87" w:rsidRPr="00C33C2F">
        <w:rPr>
          <w:rFonts w:ascii="Book Antiqua" w:hAnsi="Book Antiqua" w:cs="Calibri"/>
          <w:sz w:val="24"/>
          <w:szCs w:val="24"/>
          <w:lang w:val="en-US" w:eastAsia="zh-CN"/>
        </w:rPr>
        <w:t>mo</w:t>
      </w:r>
      <w:r w:rsidR="00421059" w:rsidRPr="00C33C2F">
        <w:rPr>
          <w:rFonts w:ascii="Book Antiqua" w:hAnsi="Book Antiqua" w:cs="Calibri"/>
          <w:sz w:val="24"/>
          <w:szCs w:val="24"/>
          <w:lang w:val="en-US" w:eastAsia="zh-CN"/>
        </w:rPr>
        <w:t>nths</w:t>
      </w:r>
      <w:r w:rsidR="00606353" w:rsidRPr="00C33C2F">
        <w:rPr>
          <w:rFonts w:ascii="Book Antiqua" w:hAnsi="Book Antiqua" w:cs="Calibri"/>
          <w:sz w:val="24"/>
          <w:szCs w:val="24"/>
          <w:lang w:val="en-US"/>
        </w:rPr>
        <w:t xml:space="preserve"> after switching, 88% of the patients were in clinical remission. </w:t>
      </w:r>
      <w:r w:rsidR="00445CC9" w:rsidRPr="00C33C2F">
        <w:rPr>
          <w:rFonts w:ascii="Book Antiqua" w:hAnsi="Book Antiqua"/>
          <w:color w:val="030303"/>
          <w:sz w:val="24"/>
          <w:szCs w:val="24"/>
          <w:lang w:val="en-US"/>
        </w:rPr>
        <w:t xml:space="preserve">One infusion reaction to infliximab </w:t>
      </w:r>
      <w:proofErr w:type="spellStart"/>
      <w:r w:rsidR="00445CC9" w:rsidRPr="00C33C2F">
        <w:rPr>
          <w:rFonts w:ascii="Book Antiqua" w:hAnsi="Book Antiqua"/>
          <w:color w:val="030303"/>
          <w:sz w:val="24"/>
          <w:szCs w:val="24"/>
          <w:lang w:val="en-US"/>
        </w:rPr>
        <w:t>biosimilar</w:t>
      </w:r>
      <w:proofErr w:type="spellEnd"/>
      <w:r w:rsidR="00445CC9" w:rsidRPr="00C33C2F">
        <w:rPr>
          <w:rFonts w:ascii="Book Antiqua" w:hAnsi="Book Antiqua"/>
          <w:color w:val="030303"/>
          <w:sz w:val="24"/>
          <w:szCs w:val="24"/>
          <w:lang w:val="en-US"/>
        </w:rPr>
        <w:t xml:space="preserve"> was observed in a CD patient, which led to treatment discontinuation. </w:t>
      </w:r>
      <w:r w:rsidRPr="00C33C2F">
        <w:rPr>
          <w:rFonts w:ascii="Book Antiqua" w:hAnsi="Book Antiqua"/>
          <w:color w:val="030303"/>
          <w:sz w:val="24"/>
          <w:szCs w:val="24"/>
          <w:lang w:val="en-US"/>
        </w:rPr>
        <w:t xml:space="preserve">In general, adverse event incidence did not differ significantly before and after the switch from infliximab RP </w:t>
      </w:r>
      <w:r w:rsidRPr="00C33C2F">
        <w:rPr>
          <w:rFonts w:ascii="Book Antiqua" w:hAnsi="Book Antiqua"/>
          <w:color w:val="030303"/>
          <w:sz w:val="24"/>
          <w:szCs w:val="24"/>
          <w:lang w:val="en-US"/>
        </w:rPr>
        <w:lastRenderedPageBreak/>
        <w:t xml:space="preserve">to CT-P13. </w:t>
      </w:r>
      <w:r w:rsidR="00445CC9" w:rsidRPr="00C33C2F">
        <w:rPr>
          <w:rFonts w:ascii="Book Antiqua" w:hAnsi="Book Antiqua" w:cs="Calibri"/>
          <w:sz w:val="24"/>
          <w:szCs w:val="24"/>
          <w:lang w:val="en-US"/>
        </w:rPr>
        <w:t>Despite several limitations of this study, as the</w:t>
      </w:r>
      <w:r w:rsidR="00C062E8" w:rsidRPr="00C33C2F">
        <w:rPr>
          <w:rFonts w:ascii="Book Antiqua" w:hAnsi="Book Antiqua" w:cs="Calibri"/>
          <w:sz w:val="24"/>
          <w:szCs w:val="24"/>
          <w:lang w:val="en-US"/>
        </w:rPr>
        <w:t xml:space="preserve"> small sample size, the heterogeneity of time of </w:t>
      </w:r>
      <w:r w:rsidR="00445CC9" w:rsidRPr="00C33C2F">
        <w:rPr>
          <w:rFonts w:ascii="Book Antiqua" w:hAnsi="Book Antiqua" w:cs="Calibri"/>
          <w:sz w:val="24"/>
          <w:szCs w:val="24"/>
          <w:lang w:val="en-US"/>
        </w:rPr>
        <w:t>switching during therapy</w:t>
      </w:r>
      <w:r w:rsidR="00C062E8" w:rsidRPr="00C33C2F">
        <w:rPr>
          <w:rFonts w:ascii="Book Antiqua" w:hAnsi="Book Antiqua" w:cs="Calibri"/>
          <w:sz w:val="24"/>
          <w:szCs w:val="24"/>
          <w:lang w:val="en-US"/>
        </w:rPr>
        <w:t xml:space="preserve"> and </w:t>
      </w:r>
      <w:r w:rsidR="00445CC9" w:rsidRPr="00C33C2F">
        <w:rPr>
          <w:rFonts w:ascii="Book Antiqua" w:hAnsi="Book Antiqua" w:cs="Calibri"/>
          <w:sz w:val="24"/>
          <w:szCs w:val="24"/>
          <w:lang w:val="en-US"/>
        </w:rPr>
        <w:t xml:space="preserve">the great variation in length of the individual follow-up period, </w:t>
      </w:r>
      <w:r w:rsidR="00C062E8" w:rsidRPr="00C33C2F">
        <w:rPr>
          <w:rFonts w:ascii="Book Antiqua" w:hAnsi="Book Antiqua" w:cs="Calibri"/>
          <w:sz w:val="24"/>
          <w:szCs w:val="24"/>
          <w:lang w:val="en-US"/>
        </w:rPr>
        <w:t xml:space="preserve">it </w:t>
      </w:r>
      <w:r w:rsidR="00445CC9" w:rsidRPr="00C33C2F">
        <w:rPr>
          <w:rFonts w:ascii="Book Antiqua" w:hAnsi="Book Antiqua" w:cs="Calibri"/>
          <w:sz w:val="24"/>
          <w:szCs w:val="24"/>
          <w:lang w:val="en-US"/>
        </w:rPr>
        <w:t xml:space="preserve">demonstrates that switching from infliximab RMP to CT-P13 seems to be well tolerated in children with CD. </w:t>
      </w:r>
    </w:p>
    <w:p w:rsidR="008259CB" w:rsidRPr="00C33C2F" w:rsidRDefault="008259CB" w:rsidP="008B1267">
      <w:pPr>
        <w:spacing w:after="0" w:line="360" w:lineRule="auto"/>
        <w:jc w:val="both"/>
        <w:rPr>
          <w:rFonts w:ascii="Book Antiqua" w:hAnsi="Book Antiqua" w:cs="PlantinStd"/>
          <w:sz w:val="24"/>
          <w:szCs w:val="24"/>
          <w:lang w:val="en-US" w:eastAsia="zh-CN"/>
        </w:rPr>
      </w:pPr>
    </w:p>
    <w:p w:rsidR="009D4F8F" w:rsidRPr="00C33C2F" w:rsidRDefault="00302E87" w:rsidP="008B1267">
      <w:pPr>
        <w:autoSpaceDE w:val="0"/>
        <w:autoSpaceDN w:val="0"/>
        <w:adjustRightInd w:val="0"/>
        <w:spacing w:after="0" w:line="360" w:lineRule="auto"/>
        <w:jc w:val="both"/>
        <w:rPr>
          <w:rFonts w:ascii="Book Antiqua" w:hAnsi="Book Antiqua" w:cs="Calibri"/>
          <w:b/>
          <w:sz w:val="24"/>
          <w:szCs w:val="24"/>
          <w:lang w:val="en-US"/>
        </w:rPr>
      </w:pPr>
      <w:r w:rsidRPr="00C33C2F">
        <w:rPr>
          <w:rFonts w:ascii="Book Antiqua" w:hAnsi="Book Antiqua" w:cs="Calibri"/>
          <w:b/>
          <w:sz w:val="24"/>
          <w:szCs w:val="24"/>
          <w:lang w:val="en-US"/>
        </w:rPr>
        <w:t xml:space="preserve">ADALIMUMAB BIOSIMILARS </w:t>
      </w:r>
    </w:p>
    <w:p w:rsidR="009D4F8F" w:rsidRPr="00C33C2F" w:rsidRDefault="00421059" w:rsidP="008B1267">
      <w:pPr>
        <w:autoSpaceDE w:val="0"/>
        <w:autoSpaceDN w:val="0"/>
        <w:adjustRightInd w:val="0"/>
        <w:spacing w:after="0" w:line="360" w:lineRule="auto"/>
        <w:jc w:val="both"/>
        <w:rPr>
          <w:rFonts w:ascii="Book Antiqua" w:hAnsi="Book Antiqua" w:cs="Calibri"/>
          <w:sz w:val="24"/>
          <w:szCs w:val="24"/>
          <w:lang w:val="en-US"/>
        </w:rPr>
      </w:pPr>
      <w:r w:rsidRPr="00C33C2F">
        <w:rPr>
          <w:rFonts w:ascii="Book Antiqua" w:hAnsi="Book Antiqua" w:cs="Calibri"/>
          <w:bCs/>
          <w:sz w:val="24"/>
          <w:szCs w:val="24"/>
          <w:lang w:val="en-US"/>
        </w:rPr>
        <w:t>The originator biologic</w:t>
      </w:r>
      <w:r w:rsidR="00842154" w:rsidRPr="00C33C2F">
        <w:rPr>
          <w:rFonts w:ascii="Book Antiqua" w:hAnsi="Book Antiqua" w:cs="Calibri"/>
          <w:bCs/>
          <w:sz w:val="24"/>
          <w:szCs w:val="24"/>
          <w:lang w:val="en-US"/>
        </w:rPr>
        <w:t xml:space="preserve"> </w:t>
      </w:r>
      <w:proofErr w:type="spellStart"/>
      <w:r w:rsidR="009D4F8F" w:rsidRPr="00C33C2F">
        <w:rPr>
          <w:rFonts w:ascii="Book Antiqua" w:hAnsi="Book Antiqua" w:cs="Calibri"/>
          <w:bCs/>
          <w:sz w:val="24"/>
          <w:szCs w:val="24"/>
          <w:lang w:val="en-US"/>
        </w:rPr>
        <w:t>Adalimumab</w:t>
      </w:r>
      <w:proofErr w:type="spellEnd"/>
      <w:r w:rsidR="009D4F8F" w:rsidRPr="00C33C2F">
        <w:rPr>
          <w:rFonts w:ascii="Book Antiqua" w:hAnsi="Book Antiqua" w:cs="Calibri"/>
          <w:sz w:val="24"/>
          <w:szCs w:val="24"/>
          <w:lang w:val="en-US"/>
        </w:rPr>
        <w:t xml:space="preserve"> (</w:t>
      </w:r>
      <w:proofErr w:type="spellStart"/>
      <w:r w:rsidR="009D4F8F" w:rsidRPr="00C33C2F">
        <w:rPr>
          <w:rFonts w:ascii="Book Antiqua" w:hAnsi="Book Antiqua" w:cs="Calibri"/>
          <w:sz w:val="24"/>
          <w:szCs w:val="24"/>
          <w:lang w:val="en-US"/>
        </w:rPr>
        <w:t>Humira</w:t>
      </w:r>
      <w:proofErr w:type="spellEnd"/>
      <w:r w:rsidR="009D4F8F" w:rsidRPr="00C33C2F">
        <w:rPr>
          <w:rFonts w:ascii="Book Antiqua" w:hAnsi="Book Antiqua" w:cs="Calibri"/>
          <w:sz w:val="24"/>
          <w:szCs w:val="24"/>
          <w:lang w:val="en-US"/>
        </w:rPr>
        <w:t xml:space="preserve">) </w:t>
      </w:r>
      <w:r w:rsidRPr="00C33C2F">
        <w:rPr>
          <w:rFonts w:ascii="Book Antiqua" w:hAnsi="Book Antiqua" w:cs="Calibri"/>
          <w:sz w:val="24"/>
          <w:szCs w:val="24"/>
          <w:lang w:val="en-US"/>
        </w:rPr>
        <w:t xml:space="preserve">is </w:t>
      </w:r>
      <w:r w:rsidR="00842154" w:rsidRPr="00C33C2F">
        <w:rPr>
          <w:rFonts w:ascii="Book Antiqua" w:hAnsi="Book Antiqua" w:cs="Calibri"/>
          <w:sz w:val="24"/>
          <w:szCs w:val="24"/>
          <w:lang w:val="en-US"/>
        </w:rPr>
        <w:t xml:space="preserve">a </w:t>
      </w:r>
      <w:r w:rsidR="009D4F8F" w:rsidRPr="00C33C2F">
        <w:rPr>
          <w:rFonts w:ascii="Book Antiqua" w:hAnsi="Book Antiqua" w:cs="Calibri"/>
          <w:sz w:val="24"/>
          <w:szCs w:val="24"/>
          <w:lang w:val="en-US"/>
        </w:rPr>
        <w:t>human recombinant monoclonal antibody</w:t>
      </w:r>
      <w:r w:rsidR="00842154" w:rsidRPr="00C33C2F">
        <w:rPr>
          <w:rFonts w:ascii="Book Antiqua" w:hAnsi="Book Antiqua" w:cs="Calibri"/>
          <w:sz w:val="24"/>
          <w:szCs w:val="24"/>
          <w:lang w:val="en-US"/>
        </w:rPr>
        <w:t>. This IgG1 antibody</w:t>
      </w:r>
      <w:r w:rsidR="009D4F8F" w:rsidRPr="00C33C2F">
        <w:rPr>
          <w:rFonts w:ascii="Book Antiqua" w:hAnsi="Book Antiqua" w:cs="Calibri"/>
          <w:sz w:val="24"/>
          <w:szCs w:val="24"/>
          <w:lang w:val="en-US"/>
        </w:rPr>
        <w:t xml:space="preserve"> binds </w:t>
      </w:r>
      <w:r w:rsidRPr="00C33C2F">
        <w:rPr>
          <w:rFonts w:ascii="Book Antiqua" w:hAnsi="Book Antiqua" w:cs="Calibri"/>
          <w:sz w:val="24"/>
          <w:szCs w:val="24"/>
          <w:lang w:val="en-US"/>
        </w:rPr>
        <w:t xml:space="preserve">to </w:t>
      </w:r>
      <w:r w:rsidR="009D4F8F" w:rsidRPr="00C33C2F">
        <w:rPr>
          <w:rFonts w:ascii="Book Antiqua" w:hAnsi="Book Antiqua" w:cs="Calibri"/>
          <w:sz w:val="24"/>
          <w:szCs w:val="24"/>
          <w:lang w:val="en-US"/>
        </w:rPr>
        <w:t>TNF-alpha,</w:t>
      </w:r>
      <w:r w:rsidR="00842154" w:rsidRPr="00C33C2F">
        <w:rPr>
          <w:rFonts w:ascii="Book Antiqua" w:hAnsi="Book Antiqua" w:cs="Calibri"/>
          <w:sz w:val="24"/>
          <w:szCs w:val="24"/>
          <w:lang w:val="en-US"/>
        </w:rPr>
        <w:t xml:space="preserve"> </w:t>
      </w:r>
      <w:r w:rsidRPr="00C33C2F">
        <w:rPr>
          <w:rFonts w:ascii="Book Antiqua" w:hAnsi="Book Antiqua" w:cs="Calibri"/>
          <w:sz w:val="24"/>
          <w:szCs w:val="24"/>
          <w:lang w:val="en-US"/>
        </w:rPr>
        <w:t xml:space="preserve">avoiding it </w:t>
      </w:r>
      <w:r w:rsidR="00842154" w:rsidRPr="00C33C2F">
        <w:rPr>
          <w:rFonts w:ascii="Book Antiqua" w:hAnsi="Book Antiqua" w:cs="Calibri"/>
          <w:sz w:val="24"/>
          <w:szCs w:val="24"/>
          <w:lang w:val="en-US"/>
        </w:rPr>
        <w:t xml:space="preserve">to join </w:t>
      </w:r>
      <w:r w:rsidR="009D4F8F" w:rsidRPr="00C33C2F">
        <w:rPr>
          <w:rFonts w:ascii="Book Antiqua" w:hAnsi="Book Antiqua" w:cs="Calibri"/>
          <w:sz w:val="24"/>
          <w:szCs w:val="24"/>
          <w:lang w:val="en-US"/>
        </w:rPr>
        <w:t xml:space="preserve">with </w:t>
      </w:r>
      <w:r w:rsidR="00842154" w:rsidRPr="00C33C2F">
        <w:rPr>
          <w:rFonts w:ascii="Book Antiqua" w:hAnsi="Book Antiqua" w:cs="Calibri"/>
          <w:sz w:val="24"/>
          <w:szCs w:val="24"/>
          <w:lang w:val="en-US"/>
        </w:rPr>
        <w:t xml:space="preserve">its specific </w:t>
      </w:r>
      <w:r w:rsidR="009D4F8F" w:rsidRPr="00C33C2F">
        <w:rPr>
          <w:rFonts w:ascii="Book Antiqua" w:hAnsi="Book Antiqua" w:cs="Calibri"/>
          <w:sz w:val="24"/>
          <w:szCs w:val="24"/>
          <w:lang w:val="en-US"/>
        </w:rPr>
        <w:t>receptors</w:t>
      </w:r>
      <w:r w:rsidR="00842154" w:rsidRPr="00C33C2F">
        <w:rPr>
          <w:rFonts w:ascii="Book Antiqua" w:hAnsi="Book Antiqua" w:cs="Calibri"/>
          <w:sz w:val="24"/>
          <w:szCs w:val="24"/>
          <w:lang w:val="en-US"/>
        </w:rPr>
        <w:t xml:space="preserve">. As </w:t>
      </w:r>
      <w:r w:rsidRPr="00C33C2F">
        <w:rPr>
          <w:rFonts w:ascii="Book Antiqua" w:hAnsi="Book Antiqua" w:cs="Calibri"/>
          <w:sz w:val="24"/>
          <w:szCs w:val="24"/>
          <w:lang w:val="en-US"/>
        </w:rPr>
        <w:t xml:space="preserve">is largely </w:t>
      </w:r>
      <w:r w:rsidR="00842154" w:rsidRPr="00C33C2F">
        <w:rPr>
          <w:rFonts w:ascii="Book Antiqua" w:hAnsi="Book Antiqua" w:cs="Calibri"/>
          <w:sz w:val="24"/>
          <w:szCs w:val="24"/>
          <w:lang w:val="en-US"/>
        </w:rPr>
        <w:t>know</w:t>
      </w:r>
      <w:r w:rsidRPr="00C33C2F">
        <w:rPr>
          <w:rFonts w:ascii="Book Antiqua" w:hAnsi="Book Antiqua" w:cs="Calibri"/>
          <w:sz w:val="24"/>
          <w:szCs w:val="24"/>
          <w:lang w:val="en-US"/>
        </w:rPr>
        <w:t>n</w:t>
      </w:r>
      <w:r w:rsidR="00842154" w:rsidRPr="00C33C2F">
        <w:rPr>
          <w:rFonts w:ascii="Book Antiqua" w:hAnsi="Book Antiqua" w:cs="Calibri"/>
          <w:sz w:val="24"/>
          <w:szCs w:val="24"/>
          <w:lang w:val="en-US"/>
        </w:rPr>
        <w:t>, TNF-alpha is an important activator</w:t>
      </w:r>
      <w:r w:rsidR="009D4F8F" w:rsidRPr="00C33C2F">
        <w:rPr>
          <w:rFonts w:ascii="Book Antiqua" w:hAnsi="Book Antiqua" w:cs="Calibri"/>
          <w:sz w:val="24"/>
          <w:szCs w:val="24"/>
          <w:lang w:val="en-US"/>
        </w:rPr>
        <w:t xml:space="preserve"> of the inflammatory cascade</w:t>
      </w:r>
      <w:r w:rsidR="00842154" w:rsidRPr="00C33C2F">
        <w:rPr>
          <w:rFonts w:ascii="Book Antiqua" w:hAnsi="Book Antiqua" w:cs="Calibri"/>
          <w:sz w:val="24"/>
          <w:szCs w:val="24"/>
          <w:lang w:val="en-US"/>
        </w:rPr>
        <w:t xml:space="preserve"> and a modulator of</w:t>
      </w:r>
      <w:r w:rsidR="00CD3A15" w:rsidRPr="00C33C2F">
        <w:rPr>
          <w:rFonts w:ascii="Book Antiqua" w:hAnsi="Book Antiqua" w:cs="Calibri"/>
          <w:sz w:val="24"/>
          <w:szCs w:val="24"/>
          <w:lang w:val="en-US"/>
        </w:rPr>
        <w:t xml:space="preserve"> </w:t>
      </w:r>
      <w:r w:rsidR="009D4F8F" w:rsidRPr="00C33C2F">
        <w:rPr>
          <w:rFonts w:ascii="Book Antiqua" w:hAnsi="Book Antiqua" w:cs="Calibri"/>
          <w:sz w:val="24"/>
          <w:szCs w:val="24"/>
          <w:lang w:val="en-US"/>
        </w:rPr>
        <w:t xml:space="preserve">apoptosis </w:t>
      </w:r>
      <w:r w:rsidR="00842154" w:rsidRPr="00C33C2F">
        <w:rPr>
          <w:rFonts w:ascii="Book Antiqua" w:hAnsi="Book Antiqua" w:cs="Calibri"/>
          <w:sz w:val="24"/>
          <w:szCs w:val="24"/>
          <w:lang w:val="en-US"/>
        </w:rPr>
        <w:t>mechanisms</w:t>
      </w:r>
      <w:r w:rsidR="009D4F8F" w:rsidRPr="00C33C2F">
        <w:rPr>
          <w:rFonts w:ascii="Book Antiqua" w:hAnsi="Book Antiqua" w:cs="Calibri"/>
          <w:sz w:val="24"/>
          <w:szCs w:val="24"/>
          <w:lang w:val="en-US"/>
        </w:rPr>
        <w:t>.</w:t>
      </w:r>
      <w:r w:rsidR="00842154" w:rsidRPr="00C33C2F">
        <w:rPr>
          <w:rFonts w:ascii="Book Antiqua" w:hAnsi="Book Antiqua" w:cs="Calibri"/>
          <w:sz w:val="24"/>
          <w:szCs w:val="24"/>
          <w:lang w:val="en-US"/>
        </w:rPr>
        <w:t xml:space="preserve"> The originator drug (</w:t>
      </w:r>
      <w:proofErr w:type="spellStart"/>
      <w:r w:rsidR="00842154" w:rsidRPr="00C33C2F">
        <w:rPr>
          <w:rFonts w:ascii="Book Antiqua" w:hAnsi="Book Antiqua" w:cs="Calibri"/>
          <w:sz w:val="24"/>
          <w:szCs w:val="24"/>
          <w:lang w:val="en-US"/>
        </w:rPr>
        <w:t>AbbVie’s</w:t>
      </w:r>
      <w:proofErr w:type="spellEnd"/>
      <w:r w:rsidR="00842154" w:rsidRPr="00C33C2F">
        <w:rPr>
          <w:rFonts w:ascii="Book Antiqua" w:hAnsi="Book Antiqua" w:cs="Calibri"/>
          <w:sz w:val="24"/>
          <w:szCs w:val="24"/>
          <w:lang w:val="en-US"/>
        </w:rPr>
        <w:t xml:space="preserve"> </w:t>
      </w:r>
      <w:proofErr w:type="spellStart"/>
      <w:r w:rsidR="00842154" w:rsidRPr="00C33C2F">
        <w:rPr>
          <w:rFonts w:ascii="Book Antiqua" w:hAnsi="Book Antiqua" w:cs="Calibri"/>
          <w:sz w:val="24"/>
          <w:szCs w:val="24"/>
          <w:lang w:val="en-US"/>
        </w:rPr>
        <w:t>Humira</w:t>
      </w:r>
      <w:proofErr w:type="spellEnd"/>
      <w:r w:rsidR="00842154" w:rsidRPr="00C33C2F">
        <w:rPr>
          <w:rFonts w:ascii="Book Antiqua" w:hAnsi="Book Antiqua" w:cs="Calibri"/>
          <w:sz w:val="24"/>
          <w:szCs w:val="24"/>
          <w:lang w:val="en-US"/>
        </w:rPr>
        <w:t xml:space="preserve">) </w:t>
      </w:r>
      <w:proofErr w:type="spellStart"/>
      <w:proofErr w:type="gramStart"/>
      <w:r w:rsidR="00842154" w:rsidRPr="00C33C2F">
        <w:rPr>
          <w:rFonts w:ascii="Book Antiqua" w:hAnsi="Book Antiqua" w:cs="Calibri"/>
          <w:sz w:val="24"/>
          <w:szCs w:val="24"/>
          <w:lang w:val="en-US"/>
        </w:rPr>
        <w:t>adalimumab</w:t>
      </w:r>
      <w:proofErr w:type="spellEnd"/>
      <w:r w:rsidR="00842154" w:rsidRPr="00C33C2F">
        <w:rPr>
          <w:rFonts w:ascii="Book Antiqua" w:hAnsi="Book Antiqua" w:cs="Calibri"/>
          <w:sz w:val="24"/>
          <w:szCs w:val="24"/>
          <w:lang w:val="en-US"/>
        </w:rPr>
        <w:t>,</w:t>
      </w:r>
      <w:proofErr w:type="gramEnd"/>
      <w:r w:rsidR="00842154" w:rsidRPr="00C33C2F">
        <w:rPr>
          <w:rFonts w:ascii="Book Antiqua" w:hAnsi="Book Antiqua" w:cs="Calibri"/>
          <w:sz w:val="24"/>
          <w:szCs w:val="24"/>
          <w:lang w:val="en-US"/>
        </w:rPr>
        <w:t xml:space="preserve"> </w:t>
      </w:r>
      <w:r w:rsidRPr="00C33C2F">
        <w:rPr>
          <w:rFonts w:ascii="Book Antiqua" w:hAnsi="Book Antiqua" w:cs="Calibri"/>
          <w:sz w:val="24"/>
          <w:szCs w:val="24"/>
          <w:lang w:val="en-US"/>
        </w:rPr>
        <w:t>wa</w:t>
      </w:r>
      <w:r w:rsidR="00842154" w:rsidRPr="00C33C2F">
        <w:rPr>
          <w:rFonts w:ascii="Book Antiqua" w:hAnsi="Book Antiqua" w:cs="Calibri"/>
          <w:sz w:val="24"/>
          <w:szCs w:val="24"/>
          <w:lang w:val="en-US"/>
        </w:rPr>
        <w:t xml:space="preserve">s approved since 2002 in US and since 2003 in Europe. This drug has generated </w:t>
      </w:r>
      <w:r w:rsidRPr="00C33C2F">
        <w:rPr>
          <w:rFonts w:ascii="Book Antiqua" w:hAnsi="Book Antiqua" w:cs="Calibri"/>
          <w:sz w:val="24"/>
          <w:szCs w:val="24"/>
          <w:lang w:val="en-US"/>
        </w:rPr>
        <w:t xml:space="preserve">income </w:t>
      </w:r>
      <w:r w:rsidR="00842154" w:rsidRPr="00C33C2F">
        <w:rPr>
          <w:rFonts w:ascii="Book Antiqua" w:hAnsi="Book Antiqua" w:cs="Calibri"/>
          <w:sz w:val="24"/>
          <w:szCs w:val="24"/>
          <w:lang w:val="en-US"/>
        </w:rPr>
        <w:t xml:space="preserve">for 12.5 billion of dollars worldwide in 2014, but </w:t>
      </w:r>
      <w:r w:rsidR="000465B7" w:rsidRPr="00C33C2F">
        <w:rPr>
          <w:rFonts w:ascii="Book Antiqua" w:hAnsi="Book Antiqua" w:cs="Calibri"/>
          <w:sz w:val="24"/>
          <w:szCs w:val="24"/>
          <w:lang w:val="en-US"/>
        </w:rPr>
        <w:t>at the end of</w:t>
      </w:r>
      <w:r w:rsidR="00842154" w:rsidRPr="00C33C2F">
        <w:rPr>
          <w:rFonts w:ascii="Book Antiqua" w:hAnsi="Book Antiqua" w:cs="Calibri"/>
          <w:sz w:val="24"/>
          <w:szCs w:val="24"/>
          <w:lang w:val="en-US"/>
        </w:rPr>
        <w:t xml:space="preserve"> 2016 </w:t>
      </w:r>
      <w:r w:rsidR="000465B7" w:rsidRPr="00C33C2F">
        <w:rPr>
          <w:rFonts w:ascii="Book Antiqua" w:hAnsi="Book Antiqua" w:cs="Calibri"/>
          <w:sz w:val="24"/>
          <w:szCs w:val="24"/>
          <w:lang w:val="en-US"/>
        </w:rPr>
        <w:t>the license will expire in the USA</w:t>
      </w:r>
      <w:r w:rsidRPr="00C33C2F">
        <w:rPr>
          <w:rFonts w:ascii="Book Antiqua" w:hAnsi="Book Antiqua" w:cs="Calibri"/>
          <w:sz w:val="24"/>
          <w:szCs w:val="24"/>
          <w:lang w:val="en-US"/>
        </w:rPr>
        <w:t>, while i</w:t>
      </w:r>
      <w:r w:rsidR="000465B7" w:rsidRPr="00C33C2F">
        <w:rPr>
          <w:rFonts w:ascii="Book Antiqua" w:hAnsi="Book Antiqua" w:cs="Calibri"/>
          <w:sz w:val="24"/>
          <w:szCs w:val="24"/>
          <w:lang w:val="en-US"/>
        </w:rPr>
        <w:t xml:space="preserve">n </w:t>
      </w:r>
      <w:r w:rsidR="00842154" w:rsidRPr="00C33C2F">
        <w:rPr>
          <w:rFonts w:ascii="Book Antiqua" w:hAnsi="Book Antiqua" w:cs="Calibri"/>
          <w:sz w:val="24"/>
          <w:szCs w:val="24"/>
          <w:lang w:val="en-US"/>
        </w:rPr>
        <w:t>Europe</w:t>
      </w:r>
      <w:r w:rsidR="000465B7" w:rsidRPr="00C33C2F">
        <w:rPr>
          <w:rFonts w:ascii="Book Antiqua" w:hAnsi="Book Antiqua" w:cs="Calibri"/>
          <w:sz w:val="24"/>
          <w:szCs w:val="24"/>
          <w:lang w:val="en-US"/>
        </w:rPr>
        <w:t xml:space="preserve"> will expire in first half of</w:t>
      </w:r>
      <w:r w:rsidR="00842154" w:rsidRPr="00C33C2F">
        <w:rPr>
          <w:rFonts w:ascii="Book Antiqua" w:hAnsi="Book Antiqua" w:cs="Calibri"/>
          <w:sz w:val="24"/>
          <w:szCs w:val="24"/>
          <w:lang w:val="en-US"/>
        </w:rPr>
        <w:t xml:space="preserve"> 2018</w:t>
      </w:r>
      <w:r w:rsidR="000465B7" w:rsidRPr="00C33C2F">
        <w:rPr>
          <w:rFonts w:ascii="Book Antiqua" w:hAnsi="Book Antiqua" w:cs="Calibri"/>
          <w:sz w:val="24"/>
          <w:szCs w:val="24"/>
          <w:lang w:val="en-US"/>
        </w:rPr>
        <w:t>. Nowadays,</w:t>
      </w:r>
      <w:r w:rsidR="009D4F8F" w:rsidRPr="00C33C2F">
        <w:rPr>
          <w:rFonts w:ascii="Book Antiqua" w:hAnsi="Book Antiqua" w:cs="Calibri"/>
          <w:sz w:val="24"/>
          <w:szCs w:val="24"/>
          <w:lang w:val="en-US"/>
        </w:rPr>
        <w:t xml:space="preserve"> </w:t>
      </w:r>
      <w:proofErr w:type="spellStart"/>
      <w:r w:rsidR="009D4F8F" w:rsidRPr="00C33C2F">
        <w:rPr>
          <w:rFonts w:ascii="Book Antiqua" w:hAnsi="Book Antiqua" w:cs="Calibri"/>
          <w:sz w:val="24"/>
          <w:szCs w:val="24"/>
          <w:lang w:val="en-US"/>
        </w:rPr>
        <w:t>Adalimumab</w:t>
      </w:r>
      <w:proofErr w:type="spellEnd"/>
      <w:r w:rsidR="009D4F8F" w:rsidRPr="00C33C2F">
        <w:rPr>
          <w:rFonts w:ascii="Book Antiqua" w:hAnsi="Book Antiqua" w:cs="Calibri"/>
          <w:sz w:val="24"/>
          <w:szCs w:val="24"/>
          <w:lang w:val="en-US"/>
        </w:rPr>
        <w:t xml:space="preserve"> is </w:t>
      </w:r>
      <w:r w:rsidR="000465B7" w:rsidRPr="00C33C2F">
        <w:rPr>
          <w:rFonts w:ascii="Book Antiqua" w:hAnsi="Book Antiqua" w:cs="Calibri"/>
          <w:sz w:val="24"/>
          <w:szCs w:val="24"/>
          <w:lang w:val="en-US"/>
        </w:rPr>
        <w:t xml:space="preserve">authorized </w:t>
      </w:r>
      <w:r w:rsidR="009D4F8F" w:rsidRPr="00C33C2F">
        <w:rPr>
          <w:rFonts w:ascii="Book Antiqua" w:hAnsi="Book Antiqua" w:cs="Calibri"/>
          <w:sz w:val="24"/>
          <w:szCs w:val="24"/>
          <w:lang w:val="en-US"/>
        </w:rPr>
        <w:t xml:space="preserve">for </w:t>
      </w:r>
      <w:r w:rsidR="00D418FF" w:rsidRPr="00C33C2F">
        <w:rPr>
          <w:rFonts w:ascii="Book Antiqua" w:hAnsi="Book Antiqua" w:cs="Calibri"/>
          <w:sz w:val="24"/>
          <w:szCs w:val="24"/>
          <w:lang w:val="en-US"/>
        </w:rPr>
        <w:t xml:space="preserve">the </w:t>
      </w:r>
      <w:r w:rsidR="000465B7" w:rsidRPr="00C33C2F">
        <w:rPr>
          <w:rFonts w:ascii="Book Antiqua" w:hAnsi="Book Antiqua" w:cs="Calibri"/>
          <w:sz w:val="24"/>
          <w:szCs w:val="24"/>
          <w:lang w:val="en-US"/>
        </w:rPr>
        <w:t>therapy of Rheumatoid A</w:t>
      </w:r>
      <w:r w:rsidR="009D4F8F" w:rsidRPr="00C33C2F">
        <w:rPr>
          <w:rFonts w:ascii="Book Antiqua" w:hAnsi="Book Antiqua" w:cs="Calibri"/>
          <w:sz w:val="24"/>
          <w:szCs w:val="24"/>
          <w:lang w:val="en-US"/>
        </w:rPr>
        <w:t xml:space="preserve">rthritis, </w:t>
      </w:r>
      <w:proofErr w:type="spellStart"/>
      <w:r w:rsidR="000465B7" w:rsidRPr="00C33C2F">
        <w:rPr>
          <w:rFonts w:ascii="Book Antiqua" w:hAnsi="Book Antiqua" w:cs="Calibri"/>
          <w:sz w:val="24"/>
          <w:szCs w:val="24"/>
          <w:lang w:val="en-US"/>
        </w:rPr>
        <w:t>Ankylosing</w:t>
      </w:r>
      <w:proofErr w:type="spellEnd"/>
      <w:r w:rsidR="000465B7" w:rsidRPr="00C33C2F">
        <w:rPr>
          <w:rFonts w:ascii="Book Antiqua" w:hAnsi="Book Antiqua" w:cs="Calibri"/>
          <w:sz w:val="24"/>
          <w:szCs w:val="24"/>
          <w:lang w:val="en-US"/>
        </w:rPr>
        <w:t xml:space="preserve"> Spondylitis, Psoriatic A</w:t>
      </w:r>
      <w:r w:rsidR="009D4F8F" w:rsidRPr="00C33C2F">
        <w:rPr>
          <w:rFonts w:ascii="Book Antiqua" w:hAnsi="Book Antiqua" w:cs="Calibri"/>
          <w:sz w:val="24"/>
          <w:szCs w:val="24"/>
          <w:lang w:val="en-US"/>
        </w:rPr>
        <w:t xml:space="preserve">rthritis, </w:t>
      </w:r>
      <w:r w:rsidR="000465B7" w:rsidRPr="00C33C2F">
        <w:rPr>
          <w:rFonts w:ascii="Book Antiqua" w:hAnsi="Book Antiqua" w:cs="Calibri"/>
          <w:sz w:val="24"/>
          <w:szCs w:val="24"/>
          <w:lang w:val="en-US"/>
        </w:rPr>
        <w:t xml:space="preserve">Juvenile Idiopathic Arthritis, Psoriasis, </w:t>
      </w:r>
      <w:proofErr w:type="spellStart"/>
      <w:r w:rsidR="000465B7" w:rsidRPr="00C33C2F">
        <w:rPr>
          <w:rFonts w:ascii="Book Antiqua" w:hAnsi="Book Antiqua" w:cs="Calibri"/>
          <w:sz w:val="24"/>
          <w:szCs w:val="24"/>
          <w:lang w:val="en-US"/>
        </w:rPr>
        <w:t>Crohn’s</w:t>
      </w:r>
      <w:proofErr w:type="spellEnd"/>
      <w:r w:rsidR="000465B7" w:rsidRPr="00C33C2F">
        <w:rPr>
          <w:rFonts w:ascii="Book Antiqua" w:hAnsi="Book Antiqua" w:cs="Calibri"/>
          <w:sz w:val="24"/>
          <w:szCs w:val="24"/>
          <w:lang w:val="en-US"/>
        </w:rPr>
        <w:t xml:space="preserve"> </w:t>
      </w:r>
      <w:r w:rsidR="00C33C2F" w:rsidRPr="00C33C2F">
        <w:rPr>
          <w:rFonts w:ascii="Book Antiqua" w:hAnsi="Book Antiqua" w:cs="Calibri"/>
          <w:sz w:val="24"/>
          <w:szCs w:val="24"/>
          <w:lang w:val="en-US"/>
        </w:rPr>
        <w:t>disease</w:t>
      </w:r>
      <w:r w:rsidR="009D4F8F" w:rsidRPr="00C33C2F">
        <w:rPr>
          <w:rFonts w:ascii="Book Antiqua" w:hAnsi="Book Antiqua" w:cs="Calibri"/>
          <w:sz w:val="24"/>
          <w:szCs w:val="24"/>
          <w:lang w:val="en-US"/>
        </w:rPr>
        <w:t xml:space="preserve">, and </w:t>
      </w:r>
      <w:r w:rsidR="000465B7" w:rsidRPr="00C33C2F">
        <w:rPr>
          <w:rFonts w:ascii="Book Antiqua" w:hAnsi="Book Antiqua" w:cs="Calibri"/>
          <w:sz w:val="24"/>
          <w:szCs w:val="24"/>
          <w:lang w:val="en-US"/>
        </w:rPr>
        <w:t>Ulcerative C</w:t>
      </w:r>
      <w:r w:rsidR="00842154" w:rsidRPr="00C33C2F">
        <w:rPr>
          <w:rFonts w:ascii="Book Antiqua" w:hAnsi="Book Antiqua" w:cs="Calibri"/>
          <w:sz w:val="24"/>
          <w:szCs w:val="24"/>
          <w:lang w:val="en-US"/>
        </w:rPr>
        <w:t>olitis.</w:t>
      </w:r>
    </w:p>
    <w:p w:rsidR="00BE0EF0" w:rsidRPr="00C33C2F" w:rsidRDefault="000465B7" w:rsidP="008B1267">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C33C2F">
        <w:rPr>
          <w:rFonts w:ascii="Book Antiqua" w:hAnsi="Book Antiqua" w:cs="Calibri"/>
          <w:sz w:val="24"/>
          <w:szCs w:val="24"/>
          <w:lang w:val="en-US"/>
        </w:rPr>
        <w:t>At the end of 2014, the first</w:t>
      </w:r>
      <w:r w:rsidR="00D418FF" w:rsidRPr="00C33C2F">
        <w:rPr>
          <w:rFonts w:ascii="Book Antiqua" w:hAnsi="Book Antiqua" w:cs="Calibri"/>
          <w:sz w:val="24"/>
          <w:szCs w:val="24"/>
          <w:lang w:val="en-US"/>
        </w:rPr>
        <w:t xml:space="preserve"> </w:t>
      </w:r>
      <w:proofErr w:type="spellStart"/>
      <w:r w:rsidR="00D418FF" w:rsidRPr="00C33C2F">
        <w:rPr>
          <w:rFonts w:ascii="Book Antiqua" w:hAnsi="Book Antiqua" w:cs="Calibri"/>
          <w:sz w:val="24"/>
          <w:szCs w:val="24"/>
          <w:lang w:val="en-US"/>
        </w:rPr>
        <w:t>Adalimumab</w:t>
      </w:r>
      <w:proofErr w:type="spellEnd"/>
      <w:r w:rsidR="00D418FF" w:rsidRPr="00C33C2F">
        <w:rPr>
          <w:rFonts w:ascii="Book Antiqua" w:hAnsi="Book Antiqua" w:cs="Calibri"/>
          <w:sz w:val="24"/>
          <w:szCs w:val="24"/>
          <w:lang w:val="en-US"/>
        </w:rPr>
        <w:t xml:space="preserve"> </w:t>
      </w:r>
      <w:proofErr w:type="spellStart"/>
      <w:r w:rsidR="00D418FF" w:rsidRPr="00C33C2F">
        <w:rPr>
          <w:rFonts w:ascii="Book Antiqua" w:hAnsi="Book Antiqua" w:cs="Calibri"/>
          <w:sz w:val="24"/>
          <w:szCs w:val="24"/>
          <w:lang w:val="en-US"/>
        </w:rPr>
        <w:t>biosimilar</w:t>
      </w:r>
      <w:proofErr w:type="spellEnd"/>
      <w:r w:rsidR="00D418FF" w:rsidRPr="00C33C2F">
        <w:rPr>
          <w:rFonts w:ascii="Book Antiqua" w:hAnsi="Book Antiqua" w:cs="Calibri"/>
          <w:sz w:val="24"/>
          <w:szCs w:val="24"/>
          <w:lang w:val="en-US"/>
        </w:rPr>
        <w:t xml:space="preserve"> drug </w:t>
      </w:r>
      <w:r w:rsidRPr="00C33C2F">
        <w:rPr>
          <w:rFonts w:ascii="Book Antiqua" w:hAnsi="Book Antiqua" w:cs="Calibri"/>
          <w:sz w:val="24"/>
          <w:szCs w:val="24"/>
          <w:lang w:val="en-US"/>
        </w:rPr>
        <w:t xml:space="preserve">started to be commercialized in India. </w:t>
      </w:r>
      <w:r w:rsidR="009D4F8F" w:rsidRPr="00C33C2F">
        <w:rPr>
          <w:rFonts w:ascii="Book Antiqua" w:hAnsi="Book Antiqua" w:cs="Calibri"/>
          <w:sz w:val="24"/>
          <w:szCs w:val="24"/>
          <w:lang w:val="en-US"/>
        </w:rPr>
        <w:t xml:space="preserve">The Indian </w:t>
      </w:r>
      <w:r w:rsidRPr="00C33C2F">
        <w:rPr>
          <w:rFonts w:ascii="Book Antiqua" w:hAnsi="Book Antiqua" w:cs="Calibri"/>
          <w:sz w:val="24"/>
          <w:szCs w:val="24"/>
          <w:lang w:val="en-US"/>
        </w:rPr>
        <w:t xml:space="preserve">drug company </w:t>
      </w:r>
      <w:proofErr w:type="spellStart"/>
      <w:r w:rsidR="009D4F8F" w:rsidRPr="00C33C2F">
        <w:rPr>
          <w:rFonts w:ascii="Book Antiqua" w:hAnsi="Book Antiqua" w:cs="Calibri"/>
          <w:sz w:val="24"/>
          <w:szCs w:val="24"/>
          <w:lang w:val="en-US"/>
        </w:rPr>
        <w:t>Zydus</w:t>
      </w:r>
      <w:proofErr w:type="spellEnd"/>
      <w:r w:rsidR="00CD3A15" w:rsidRPr="00C33C2F">
        <w:rPr>
          <w:rFonts w:ascii="Book Antiqua" w:hAnsi="Book Antiqua" w:cs="Calibri"/>
          <w:sz w:val="24"/>
          <w:szCs w:val="24"/>
          <w:lang w:val="en-US"/>
        </w:rPr>
        <w:t xml:space="preserve"> </w:t>
      </w:r>
      <w:proofErr w:type="spellStart"/>
      <w:r w:rsidR="009D4F8F" w:rsidRPr="00C33C2F">
        <w:rPr>
          <w:rFonts w:ascii="Book Antiqua" w:hAnsi="Book Antiqua" w:cs="Calibri"/>
          <w:sz w:val="24"/>
          <w:szCs w:val="24"/>
          <w:lang w:val="en-US"/>
        </w:rPr>
        <w:t>Cadila</w:t>
      </w:r>
      <w:proofErr w:type="spellEnd"/>
      <w:r w:rsidR="009D4F8F" w:rsidRPr="00C33C2F">
        <w:rPr>
          <w:rFonts w:ascii="Book Antiqua" w:hAnsi="Book Antiqua" w:cs="Calibri"/>
          <w:sz w:val="24"/>
          <w:szCs w:val="24"/>
          <w:lang w:val="en-US"/>
        </w:rPr>
        <w:t xml:space="preserve"> </w:t>
      </w:r>
      <w:proofErr w:type="spellStart"/>
      <w:r w:rsidR="009D4F8F" w:rsidRPr="00C33C2F">
        <w:rPr>
          <w:rFonts w:ascii="Book Antiqua" w:hAnsi="Book Antiqua" w:cs="Calibri"/>
          <w:sz w:val="24"/>
          <w:szCs w:val="24"/>
          <w:lang w:val="en-US"/>
        </w:rPr>
        <w:t>Healtcare</w:t>
      </w:r>
      <w:proofErr w:type="spellEnd"/>
      <w:r w:rsidR="009D4F8F" w:rsidRPr="00C33C2F">
        <w:rPr>
          <w:rFonts w:ascii="Book Antiqua" w:hAnsi="Book Antiqua" w:cs="Calibri"/>
          <w:sz w:val="24"/>
          <w:szCs w:val="24"/>
          <w:lang w:val="en-US"/>
        </w:rPr>
        <w:t xml:space="preserve"> Ltd </w:t>
      </w:r>
      <w:r w:rsidRPr="00C33C2F">
        <w:rPr>
          <w:rFonts w:ascii="Book Antiqua" w:hAnsi="Book Antiqua" w:cs="Calibri"/>
          <w:sz w:val="24"/>
          <w:szCs w:val="24"/>
          <w:lang w:val="en-US"/>
        </w:rPr>
        <w:t xml:space="preserve">started to sell the </w:t>
      </w:r>
      <w:proofErr w:type="spellStart"/>
      <w:r w:rsidRPr="00C33C2F">
        <w:rPr>
          <w:rFonts w:ascii="Book Antiqua" w:hAnsi="Book Antiqua" w:cs="Calibri"/>
          <w:sz w:val="24"/>
          <w:szCs w:val="24"/>
          <w:lang w:val="en-US"/>
        </w:rPr>
        <w:t>adalimumab</w:t>
      </w:r>
      <w:proofErr w:type="spellEnd"/>
      <w:r w:rsidRPr="00C33C2F">
        <w:rPr>
          <w:rFonts w:ascii="Book Antiqua" w:hAnsi="Book Antiqua" w:cs="Calibri"/>
          <w:sz w:val="24"/>
          <w:szCs w:val="24"/>
          <w:lang w:val="en-US"/>
        </w:rPr>
        <w:t xml:space="preserve"> </w:t>
      </w:r>
      <w:proofErr w:type="spellStart"/>
      <w:r w:rsidRPr="00C33C2F">
        <w:rPr>
          <w:rFonts w:ascii="Book Antiqua" w:hAnsi="Book Antiqua" w:cs="Calibri"/>
          <w:sz w:val="24"/>
          <w:szCs w:val="24"/>
          <w:lang w:val="en-US"/>
        </w:rPr>
        <w:t>biosimilar</w:t>
      </w:r>
      <w:proofErr w:type="spellEnd"/>
      <w:r w:rsidRPr="00C33C2F">
        <w:rPr>
          <w:rFonts w:ascii="Book Antiqua" w:hAnsi="Book Antiqua" w:cs="Calibri"/>
          <w:sz w:val="24"/>
          <w:szCs w:val="24"/>
          <w:lang w:val="en-US"/>
        </w:rPr>
        <w:t xml:space="preserve"> drug, ZRC-3197, with the name of</w:t>
      </w:r>
      <w:r w:rsidR="009D4F8F" w:rsidRPr="00C33C2F">
        <w:rPr>
          <w:rFonts w:ascii="Book Antiqua" w:hAnsi="Book Antiqua" w:cs="Calibri"/>
          <w:sz w:val="24"/>
          <w:szCs w:val="24"/>
          <w:lang w:val="en-US"/>
        </w:rPr>
        <w:t xml:space="preserve"> </w:t>
      </w:r>
      <w:proofErr w:type="spellStart"/>
      <w:r w:rsidRPr="00C33C2F">
        <w:rPr>
          <w:rFonts w:ascii="Book Antiqua" w:hAnsi="Book Antiqua" w:cs="Calibri"/>
          <w:sz w:val="24"/>
          <w:szCs w:val="24"/>
          <w:lang w:val="en-US"/>
        </w:rPr>
        <w:t>Exemptia</w:t>
      </w:r>
      <w:proofErr w:type="spellEnd"/>
      <w:r w:rsidRPr="00C33C2F">
        <w:rPr>
          <w:rFonts w:ascii="Book Antiqua" w:hAnsi="Book Antiqua" w:cs="Calibri"/>
          <w:sz w:val="24"/>
          <w:szCs w:val="24"/>
          <w:lang w:val="en-US"/>
        </w:rPr>
        <w:t xml:space="preserve">, for the first time in the </w:t>
      </w:r>
      <w:proofErr w:type="gramStart"/>
      <w:r w:rsidRPr="00C33C2F">
        <w:rPr>
          <w:rFonts w:ascii="Book Antiqua" w:hAnsi="Book Antiqua" w:cs="Calibri"/>
          <w:sz w:val="24"/>
          <w:szCs w:val="24"/>
          <w:lang w:val="en-US"/>
        </w:rPr>
        <w:t>world</w:t>
      </w:r>
      <w:r w:rsidRPr="00C33C2F">
        <w:rPr>
          <w:rFonts w:ascii="Book Antiqua" w:hAnsi="Book Antiqua" w:cs="Calibri"/>
          <w:sz w:val="24"/>
          <w:szCs w:val="24"/>
          <w:vertAlign w:val="superscript"/>
          <w:lang w:val="en-US"/>
        </w:rPr>
        <w:t>[</w:t>
      </w:r>
      <w:proofErr w:type="gramEnd"/>
      <w:r w:rsidR="00FD6DD3" w:rsidRPr="00C33C2F">
        <w:rPr>
          <w:rFonts w:ascii="Book Antiqua" w:hAnsi="Book Antiqua" w:cs="Calibri" w:hint="eastAsia"/>
          <w:sz w:val="24"/>
          <w:szCs w:val="24"/>
          <w:vertAlign w:val="superscript"/>
          <w:lang w:val="en-US" w:eastAsia="zh-CN"/>
        </w:rPr>
        <w:t>36</w:t>
      </w:r>
      <w:r w:rsidR="00815AFD" w:rsidRPr="00C33C2F">
        <w:rPr>
          <w:rFonts w:ascii="Book Antiqua" w:hAnsi="Book Antiqua" w:cs="Calibri"/>
          <w:sz w:val="24"/>
          <w:szCs w:val="24"/>
          <w:vertAlign w:val="superscript"/>
          <w:lang w:val="en-US"/>
        </w:rPr>
        <w:t>]</w:t>
      </w:r>
      <w:r w:rsidR="001F7029" w:rsidRPr="00C33C2F">
        <w:rPr>
          <w:rFonts w:ascii="Book Antiqua" w:hAnsi="Book Antiqua" w:cs="Calibri"/>
          <w:sz w:val="24"/>
          <w:szCs w:val="24"/>
          <w:lang w:val="en-US" w:eastAsia="zh-CN"/>
        </w:rPr>
        <w:t xml:space="preserve">. </w:t>
      </w:r>
      <w:r w:rsidR="00776322" w:rsidRPr="00C33C2F">
        <w:rPr>
          <w:rFonts w:ascii="Book Antiqua" w:hAnsi="Book Antiqua" w:cs="Calibri"/>
          <w:sz w:val="24"/>
          <w:szCs w:val="24"/>
          <w:lang w:val="en-US" w:eastAsia="zh-CN"/>
        </w:rPr>
        <w:t xml:space="preserve">Analytical techniques were behind demonstration of the </w:t>
      </w:r>
      <w:proofErr w:type="spellStart"/>
      <w:r w:rsidR="00776322" w:rsidRPr="00C33C2F">
        <w:rPr>
          <w:rFonts w:ascii="Book Antiqua" w:hAnsi="Book Antiqua" w:cs="Calibri"/>
          <w:sz w:val="24"/>
          <w:szCs w:val="24"/>
          <w:lang w:val="en-US" w:eastAsia="zh-CN"/>
        </w:rPr>
        <w:t>biosimilarity</w:t>
      </w:r>
      <w:proofErr w:type="spellEnd"/>
      <w:r w:rsidR="00776322" w:rsidRPr="00C33C2F">
        <w:rPr>
          <w:rFonts w:ascii="Book Antiqua" w:hAnsi="Book Antiqua" w:cs="Calibri"/>
          <w:sz w:val="24"/>
          <w:szCs w:val="24"/>
          <w:lang w:val="en-US" w:eastAsia="zh-CN"/>
        </w:rPr>
        <w:t xml:space="preserve"> of ZRC-3197 in comparison with the original </w:t>
      </w:r>
      <w:proofErr w:type="spellStart"/>
      <w:r w:rsidR="00776322" w:rsidRPr="00C33C2F">
        <w:rPr>
          <w:rFonts w:ascii="Book Antiqua" w:hAnsi="Book Antiqua" w:cs="Calibri"/>
          <w:sz w:val="24"/>
          <w:szCs w:val="24"/>
          <w:lang w:val="en-US" w:eastAsia="zh-CN"/>
        </w:rPr>
        <w:t>adalimumab</w:t>
      </w:r>
      <w:proofErr w:type="spellEnd"/>
      <w:r w:rsidR="00776322" w:rsidRPr="00C33C2F">
        <w:rPr>
          <w:rFonts w:ascii="Book Antiqua" w:hAnsi="Book Antiqua" w:cs="Calibri"/>
          <w:sz w:val="24"/>
          <w:szCs w:val="24"/>
          <w:lang w:val="en-US" w:eastAsia="zh-CN"/>
        </w:rPr>
        <w:t xml:space="preserve">. Primary and secondary structures were showed to be identical to the originator product. </w:t>
      </w:r>
      <w:r w:rsidR="00675C56" w:rsidRPr="00C33C2F">
        <w:rPr>
          <w:rFonts w:ascii="Book Antiqua" w:hAnsi="Book Antiqua" w:cs="Calibri"/>
          <w:sz w:val="24"/>
          <w:szCs w:val="24"/>
          <w:lang w:val="en-US" w:eastAsia="zh-CN"/>
        </w:rPr>
        <w:t>Also</w:t>
      </w:r>
      <w:r w:rsidR="00776322" w:rsidRPr="00C33C2F">
        <w:rPr>
          <w:rFonts w:ascii="Book Antiqua" w:hAnsi="Book Antiqua" w:cs="Calibri"/>
          <w:sz w:val="24"/>
          <w:szCs w:val="24"/>
          <w:lang w:val="en-US" w:eastAsia="zh-CN"/>
        </w:rPr>
        <w:t>, ZRC-3197 showed comparable level</w:t>
      </w:r>
      <w:r w:rsidR="00D418FF" w:rsidRPr="00C33C2F">
        <w:rPr>
          <w:rFonts w:ascii="Book Antiqua" w:hAnsi="Book Antiqua" w:cs="Calibri"/>
          <w:sz w:val="24"/>
          <w:szCs w:val="24"/>
          <w:lang w:val="en-US" w:eastAsia="zh-CN"/>
        </w:rPr>
        <w:t xml:space="preserve"> of heterogeneity and purity, when</w:t>
      </w:r>
      <w:r w:rsidR="00776322" w:rsidRPr="00C33C2F">
        <w:rPr>
          <w:rFonts w:ascii="Book Antiqua" w:hAnsi="Book Antiqua" w:cs="Calibri"/>
          <w:sz w:val="24"/>
          <w:szCs w:val="24"/>
          <w:lang w:val="en-US" w:eastAsia="zh-CN"/>
        </w:rPr>
        <w:t xml:space="preserve"> matched with originator </w:t>
      </w:r>
      <w:proofErr w:type="spellStart"/>
      <w:r w:rsidR="00776322" w:rsidRPr="00C33C2F">
        <w:rPr>
          <w:rFonts w:ascii="Book Antiqua" w:hAnsi="Book Antiqua" w:cs="Calibri"/>
          <w:sz w:val="24"/>
          <w:szCs w:val="24"/>
          <w:lang w:val="en-US" w:eastAsia="zh-CN"/>
        </w:rPr>
        <w:t>adalimumab</w:t>
      </w:r>
      <w:proofErr w:type="spellEnd"/>
      <w:r w:rsidR="00776322" w:rsidRPr="00C33C2F">
        <w:rPr>
          <w:rFonts w:ascii="Book Antiqua" w:hAnsi="Book Antiqua" w:cs="Calibri"/>
          <w:sz w:val="24"/>
          <w:szCs w:val="24"/>
          <w:lang w:val="en-US" w:eastAsia="zh-CN"/>
        </w:rPr>
        <w:t xml:space="preserve"> </w:t>
      </w:r>
      <w:r w:rsidR="00D418FF" w:rsidRPr="00C33C2F">
        <w:rPr>
          <w:rFonts w:ascii="Book Antiqua" w:hAnsi="Book Antiqua" w:cs="Calibri"/>
          <w:sz w:val="24"/>
          <w:szCs w:val="24"/>
          <w:lang w:val="en-US" w:eastAsia="zh-CN"/>
        </w:rPr>
        <w:t>d</w:t>
      </w:r>
      <w:r w:rsidR="00776322" w:rsidRPr="00C33C2F">
        <w:rPr>
          <w:rFonts w:ascii="Book Antiqua" w:hAnsi="Book Antiqua" w:cs="Calibri"/>
          <w:sz w:val="24"/>
          <w:szCs w:val="24"/>
          <w:lang w:val="en-US" w:eastAsia="zh-CN"/>
        </w:rPr>
        <w:t xml:space="preserve">rug. </w:t>
      </w:r>
      <w:r w:rsidR="00675C56" w:rsidRPr="00C33C2F">
        <w:rPr>
          <w:rFonts w:ascii="Book Antiqua" w:hAnsi="Book Antiqua" w:cs="Calibri"/>
          <w:sz w:val="24"/>
          <w:szCs w:val="24"/>
          <w:lang w:val="en-US" w:eastAsia="zh-CN"/>
        </w:rPr>
        <w:t xml:space="preserve">Moreover, </w:t>
      </w:r>
      <w:r w:rsidR="009D4F8F" w:rsidRPr="00C33C2F">
        <w:rPr>
          <w:rFonts w:ascii="Book Antiqua" w:hAnsi="Book Antiqua" w:cs="Calibri"/>
          <w:sz w:val="24"/>
          <w:szCs w:val="24"/>
          <w:lang w:val="en-US"/>
        </w:rPr>
        <w:t xml:space="preserve">ZRC-3197 </w:t>
      </w:r>
      <w:r w:rsidR="00776322" w:rsidRPr="00C33C2F">
        <w:rPr>
          <w:rFonts w:ascii="Book Antiqua" w:hAnsi="Book Antiqua" w:cs="Calibri"/>
          <w:sz w:val="24"/>
          <w:szCs w:val="24"/>
          <w:lang w:val="en-US"/>
        </w:rPr>
        <w:t>demonstrated similar</w:t>
      </w:r>
      <w:r w:rsidR="009D4F8F" w:rsidRPr="00C33C2F">
        <w:rPr>
          <w:rFonts w:ascii="Book Antiqua" w:hAnsi="Book Antiqua" w:cs="Calibri"/>
          <w:sz w:val="24"/>
          <w:szCs w:val="24"/>
          <w:lang w:val="en-US"/>
        </w:rPr>
        <w:t xml:space="preserve"> key properties</w:t>
      </w:r>
      <w:r w:rsidR="00675C56" w:rsidRPr="00C33C2F">
        <w:rPr>
          <w:rFonts w:ascii="Book Antiqua" w:hAnsi="Book Antiqua" w:cs="Calibri"/>
          <w:sz w:val="24"/>
          <w:szCs w:val="24"/>
          <w:lang w:val="en-US"/>
        </w:rPr>
        <w:t xml:space="preserve"> if compared with </w:t>
      </w:r>
      <w:proofErr w:type="spellStart"/>
      <w:r w:rsidR="00675C56" w:rsidRPr="00C33C2F">
        <w:rPr>
          <w:rFonts w:ascii="Book Antiqua" w:hAnsi="Book Antiqua" w:cs="Calibri"/>
          <w:sz w:val="24"/>
          <w:szCs w:val="24"/>
          <w:lang w:val="en-US"/>
        </w:rPr>
        <w:t>Humira</w:t>
      </w:r>
      <w:proofErr w:type="spellEnd"/>
      <w:r w:rsidR="00675C56" w:rsidRPr="00C33C2F">
        <w:rPr>
          <w:rFonts w:ascii="Book Antiqua" w:hAnsi="Book Antiqua" w:cs="Calibri"/>
          <w:sz w:val="24"/>
          <w:szCs w:val="24"/>
          <w:lang w:val="en-US"/>
        </w:rPr>
        <w:t>, analyzed</w:t>
      </w:r>
      <w:r w:rsidR="009D4F8F" w:rsidRPr="00C33C2F">
        <w:rPr>
          <w:rFonts w:ascii="Book Antiqua" w:hAnsi="Book Antiqua" w:cs="Calibri"/>
          <w:sz w:val="24"/>
          <w:szCs w:val="24"/>
          <w:lang w:val="en-US"/>
        </w:rPr>
        <w:t xml:space="preserve"> </w:t>
      </w:r>
      <w:r w:rsidR="00D418FF" w:rsidRPr="00C33C2F">
        <w:rPr>
          <w:rFonts w:ascii="Book Antiqua" w:hAnsi="Book Antiqua" w:cs="Calibri"/>
          <w:sz w:val="24"/>
          <w:szCs w:val="24"/>
          <w:lang w:val="en-US"/>
        </w:rPr>
        <w:t xml:space="preserve">by </w:t>
      </w:r>
      <w:r w:rsidR="00675C56" w:rsidRPr="00C33C2F">
        <w:rPr>
          <w:rFonts w:ascii="Book Antiqua" w:hAnsi="Book Antiqua" w:cs="Calibri"/>
          <w:sz w:val="24"/>
          <w:szCs w:val="24"/>
          <w:lang w:val="en-US"/>
        </w:rPr>
        <w:t>with</w:t>
      </w:r>
      <w:r w:rsidR="009D4F8F" w:rsidRPr="00C33C2F">
        <w:rPr>
          <w:rFonts w:ascii="Book Antiqua" w:hAnsi="Book Antiqua" w:cs="Calibri"/>
          <w:sz w:val="24"/>
          <w:szCs w:val="24"/>
          <w:lang w:val="en-US"/>
        </w:rPr>
        <w:t xml:space="preserve"> cell-based assay and plasma resonance technique</w:t>
      </w:r>
      <w:r w:rsidR="00675C56" w:rsidRPr="00C33C2F">
        <w:rPr>
          <w:rFonts w:ascii="Book Antiqua" w:hAnsi="Book Antiqua" w:cs="Calibri"/>
          <w:sz w:val="24"/>
          <w:szCs w:val="24"/>
          <w:lang w:val="en-US"/>
        </w:rPr>
        <w:t>s</w:t>
      </w:r>
      <w:r w:rsidR="009D4F8F" w:rsidRPr="00C33C2F">
        <w:rPr>
          <w:rFonts w:ascii="Book Antiqua" w:hAnsi="Book Antiqua" w:cs="Calibri"/>
          <w:sz w:val="24"/>
          <w:szCs w:val="24"/>
          <w:lang w:val="en-US"/>
        </w:rPr>
        <w:t xml:space="preserve">. ZRC-3197 </w:t>
      </w:r>
      <w:r w:rsidR="00675C56" w:rsidRPr="00C33C2F">
        <w:rPr>
          <w:rFonts w:ascii="Book Antiqua" w:hAnsi="Book Antiqua" w:cs="Calibri"/>
          <w:sz w:val="24"/>
          <w:szCs w:val="24"/>
          <w:lang w:val="en-US"/>
        </w:rPr>
        <w:t>showed</w:t>
      </w:r>
      <w:r w:rsidR="009D4F8F" w:rsidRPr="00C33C2F">
        <w:rPr>
          <w:rFonts w:ascii="Book Antiqua" w:hAnsi="Book Antiqua" w:cs="Calibri"/>
          <w:sz w:val="24"/>
          <w:szCs w:val="24"/>
          <w:lang w:val="en-US"/>
        </w:rPr>
        <w:t xml:space="preserve"> a T</w:t>
      </w:r>
      <w:r w:rsidR="00675C56" w:rsidRPr="00C33C2F">
        <w:rPr>
          <w:rFonts w:ascii="Book Antiqua" w:hAnsi="Book Antiqua" w:cs="Calibri"/>
          <w:sz w:val="24"/>
          <w:szCs w:val="24"/>
          <w:lang w:val="en-US"/>
        </w:rPr>
        <w:t xml:space="preserve">umor </w:t>
      </w:r>
      <w:r w:rsidR="009D4F8F" w:rsidRPr="00C33C2F">
        <w:rPr>
          <w:rFonts w:ascii="Book Antiqua" w:hAnsi="Book Antiqua" w:cs="Calibri"/>
          <w:sz w:val="24"/>
          <w:szCs w:val="24"/>
          <w:lang w:val="en-US"/>
        </w:rPr>
        <w:t>N</w:t>
      </w:r>
      <w:r w:rsidR="00675C56" w:rsidRPr="00C33C2F">
        <w:rPr>
          <w:rFonts w:ascii="Book Antiqua" w:hAnsi="Book Antiqua" w:cs="Calibri"/>
          <w:sz w:val="24"/>
          <w:szCs w:val="24"/>
          <w:lang w:val="en-US"/>
        </w:rPr>
        <w:t xml:space="preserve">ecrosis </w:t>
      </w:r>
      <w:r w:rsidR="009D4F8F" w:rsidRPr="00C33C2F">
        <w:rPr>
          <w:rFonts w:ascii="Book Antiqua" w:hAnsi="Book Antiqua" w:cs="Calibri"/>
          <w:sz w:val="24"/>
          <w:szCs w:val="24"/>
          <w:lang w:val="en-US"/>
        </w:rPr>
        <w:t>F</w:t>
      </w:r>
      <w:r w:rsidR="00675C56" w:rsidRPr="00C33C2F">
        <w:rPr>
          <w:rFonts w:ascii="Book Antiqua" w:hAnsi="Book Antiqua" w:cs="Calibri"/>
          <w:sz w:val="24"/>
          <w:szCs w:val="24"/>
          <w:lang w:val="en-US"/>
        </w:rPr>
        <w:t>actor</w:t>
      </w:r>
      <w:r w:rsidR="009D4F8F" w:rsidRPr="00C33C2F">
        <w:rPr>
          <w:rFonts w:ascii="Book Antiqua" w:hAnsi="Book Antiqua" w:cs="Calibri"/>
          <w:sz w:val="24"/>
          <w:szCs w:val="24"/>
          <w:lang w:val="en-US"/>
        </w:rPr>
        <w:t xml:space="preserve"> </w:t>
      </w:r>
      <w:r w:rsidR="00675C56" w:rsidRPr="00C33C2F">
        <w:rPr>
          <w:rFonts w:ascii="Book Antiqua" w:hAnsi="Book Antiqua" w:cs="Calibri"/>
          <w:sz w:val="24"/>
          <w:szCs w:val="24"/>
          <w:lang w:val="en-US"/>
        </w:rPr>
        <w:t>counteracting</w:t>
      </w:r>
      <w:r w:rsidR="009D4F8F" w:rsidRPr="00C33C2F">
        <w:rPr>
          <w:rFonts w:ascii="Book Antiqua" w:hAnsi="Book Antiqua" w:cs="Calibri"/>
          <w:sz w:val="24"/>
          <w:szCs w:val="24"/>
          <w:lang w:val="en-US"/>
        </w:rPr>
        <w:t xml:space="preserve"> activity and a </w:t>
      </w:r>
      <w:r w:rsidR="00675C56" w:rsidRPr="00C33C2F">
        <w:rPr>
          <w:rFonts w:ascii="Book Antiqua" w:hAnsi="Book Antiqua" w:cs="Calibri"/>
          <w:sz w:val="24"/>
          <w:szCs w:val="24"/>
          <w:lang w:val="en-US"/>
        </w:rPr>
        <w:t>tie kinship</w:t>
      </w:r>
      <w:r w:rsidR="009D4F8F" w:rsidRPr="00C33C2F">
        <w:rPr>
          <w:rFonts w:ascii="Book Antiqua" w:hAnsi="Book Antiqua" w:cs="Calibri"/>
          <w:sz w:val="24"/>
          <w:szCs w:val="24"/>
          <w:lang w:val="en-US"/>
        </w:rPr>
        <w:t xml:space="preserve"> for </w:t>
      </w:r>
      <w:proofErr w:type="spellStart"/>
      <w:r w:rsidR="009D4F8F" w:rsidRPr="00C33C2F">
        <w:rPr>
          <w:rFonts w:ascii="Book Antiqua" w:hAnsi="Book Antiqua" w:cs="Calibri"/>
          <w:sz w:val="24"/>
          <w:szCs w:val="24"/>
          <w:lang w:val="en-US"/>
        </w:rPr>
        <w:t>FcγRIIIa</w:t>
      </w:r>
      <w:proofErr w:type="spellEnd"/>
      <w:r w:rsidR="009D4F8F" w:rsidRPr="00C33C2F">
        <w:rPr>
          <w:rFonts w:ascii="Book Antiqua" w:hAnsi="Book Antiqua" w:cs="Calibri"/>
          <w:sz w:val="24"/>
          <w:szCs w:val="24"/>
          <w:lang w:val="en-US"/>
        </w:rPr>
        <w:t xml:space="preserve"> receptor </w:t>
      </w:r>
      <w:r w:rsidR="00675C56" w:rsidRPr="00C33C2F">
        <w:rPr>
          <w:rFonts w:ascii="Book Antiqua" w:hAnsi="Book Antiqua" w:cs="Calibri"/>
          <w:sz w:val="24"/>
          <w:szCs w:val="24"/>
          <w:lang w:val="en-US"/>
        </w:rPr>
        <w:t xml:space="preserve">comparable with </w:t>
      </w:r>
      <w:proofErr w:type="spellStart"/>
      <w:r w:rsidR="00675C56" w:rsidRPr="00C33C2F">
        <w:rPr>
          <w:rFonts w:ascii="Book Antiqua" w:hAnsi="Book Antiqua" w:cs="Calibri"/>
          <w:sz w:val="24"/>
          <w:szCs w:val="24"/>
          <w:lang w:val="en-US"/>
        </w:rPr>
        <w:t>Adalimumab</w:t>
      </w:r>
      <w:proofErr w:type="spellEnd"/>
      <w:r w:rsidR="00675C56" w:rsidRPr="00C33C2F">
        <w:rPr>
          <w:rFonts w:ascii="Book Antiqua" w:hAnsi="Book Antiqua" w:cs="Calibri"/>
          <w:sz w:val="24"/>
          <w:szCs w:val="24"/>
          <w:lang w:val="en-US"/>
        </w:rPr>
        <w:t xml:space="preserve"> </w:t>
      </w:r>
      <w:proofErr w:type="gramStart"/>
      <w:r w:rsidR="00675C56" w:rsidRPr="00C33C2F">
        <w:rPr>
          <w:rFonts w:ascii="Book Antiqua" w:hAnsi="Book Antiqua" w:cs="Calibri"/>
          <w:sz w:val="24"/>
          <w:szCs w:val="24"/>
          <w:lang w:val="en-US"/>
        </w:rPr>
        <w:t>originator</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Calibri" w:hint="eastAsia"/>
          <w:sz w:val="24"/>
          <w:szCs w:val="24"/>
          <w:vertAlign w:val="superscript"/>
          <w:lang w:val="en-US" w:eastAsia="zh-CN"/>
        </w:rPr>
        <w:t>37</w:t>
      </w:r>
      <w:r w:rsidR="00815AFD" w:rsidRPr="00C33C2F">
        <w:rPr>
          <w:rFonts w:ascii="Book Antiqua" w:hAnsi="Book Antiqua" w:cs="Calibri"/>
          <w:sz w:val="24"/>
          <w:szCs w:val="24"/>
          <w:vertAlign w:val="superscript"/>
          <w:lang w:val="en-US"/>
        </w:rPr>
        <w:t>]</w:t>
      </w:r>
      <w:r w:rsidR="00815AFD" w:rsidRPr="00C33C2F">
        <w:rPr>
          <w:rFonts w:ascii="Book Antiqua" w:hAnsi="Book Antiqua" w:cs="Calibri"/>
          <w:sz w:val="24"/>
          <w:szCs w:val="24"/>
          <w:lang w:val="en-US"/>
        </w:rPr>
        <w:t>.</w:t>
      </w:r>
      <w:r w:rsidR="009D4F8F" w:rsidRPr="00C33C2F">
        <w:rPr>
          <w:rFonts w:ascii="Book Antiqua" w:hAnsi="Book Antiqua" w:cs="Calibri"/>
          <w:sz w:val="24"/>
          <w:szCs w:val="24"/>
          <w:lang w:val="en-US"/>
        </w:rPr>
        <w:t xml:space="preserve"> </w:t>
      </w:r>
      <w:proofErr w:type="spellStart"/>
      <w:r w:rsidR="009D4F8F" w:rsidRPr="00C33C2F">
        <w:rPr>
          <w:rFonts w:ascii="Book Antiqua" w:hAnsi="Book Antiqua" w:cs="Calibri"/>
          <w:sz w:val="24"/>
          <w:szCs w:val="24"/>
          <w:lang w:val="en-US"/>
        </w:rPr>
        <w:t>Cadila</w:t>
      </w:r>
      <w:proofErr w:type="spellEnd"/>
      <w:r w:rsidR="009D4F8F" w:rsidRPr="00C33C2F">
        <w:rPr>
          <w:rFonts w:ascii="Book Antiqua" w:hAnsi="Book Antiqua" w:cs="Calibri"/>
          <w:sz w:val="24"/>
          <w:szCs w:val="24"/>
          <w:lang w:val="en-US"/>
        </w:rPr>
        <w:t xml:space="preserve"> Healthcare </w:t>
      </w:r>
      <w:r w:rsidR="001C17F1" w:rsidRPr="00C33C2F">
        <w:rPr>
          <w:rFonts w:ascii="Book Antiqua" w:hAnsi="Book Antiqua" w:cs="Calibri"/>
          <w:sz w:val="24"/>
          <w:szCs w:val="24"/>
          <w:lang w:val="en-US"/>
        </w:rPr>
        <w:t xml:space="preserve">Ltd at the end of 2013, </w:t>
      </w:r>
      <w:r w:rsidR="00D418FF" w:rsidRPr="00C33C2F">
        <w:rPr>
          <w:rFonts w:ascii="Book Antiqua" w:hAnsi="Book Antiqua" w:cs="Calibri"/>
          <w:sz w:val="24"/>
          <w:szCs w:val="24"/>
          <w:lang w:val="en-US"/>
        </w:rPr>
        <w:t xml:space="preserve">launched </w:t>
      </w:r>
      <w:r w:rsidR="001C17F1" w:rsidRPr="00C33C2F">
        <w:rPr>
          <w:rFonts w:ascii="Book Antiqua" w:hAnsi="Book Antiqua" w:cs="Calibri"/>
          <w:sz w:val="24"/>
          <w:szCs w:val="24"/>
          <w:lang w:val="en-US"/>
        </w:rPr>
        <w:t xml:space="preserve">a randomized, parallel-group, active controller, phase III trial </w:t>
      </w:r>
      <w:r w:rsidR="009D4F8F" w:rsidRPr="00C33C2F">
        <w:rPr>
          <w:rFonts w:ascii="Book Antiqua" w:hAnsi="Book Antiqua" w:cs="Calibri"/>
          <w:sz w:val="24"/>
          <w:szCs w:val="24"/>
          <w:lang w:val="en-US"/>
        </w:rPr>
        <w:t xml:space="preserve">to evaluate efficacy, tolerability and safety of </w:t>
      </w:r>
      <w:r w:rsidR="001C17F1" w:rsidRPr="00C33C2F">
        <w:rPr>
          <w:rFonts w:ascii="Book Antiqua" w:hAnsi="Book Antiqua" w:cs="Calibri"/>
          <w:sz w:val="24"/>
          <w:szCs w:val="24"/>
          <w:lang w:val="en-US"/>
        </w:rPr>
        <w:t xml:space="preserve">ZRC-3197 in comparison with </w:t>
      </w:r>
      <w:proofErr w:type="spellStart"/>
      <w:r w:rsidR="001C17F1" w:rsidRPr="00C33C2F">
        <w:rPr>
          <w:rFonts w:ascii="Book Antiqua" w:hAnsi="Book Antiqua" w:cs="Calibri"/>
          <w:sz w:val="24"/>
          <w:szCs w:val="24"/>
          <w:lang w:val="en-US"/>
        </w:rPr>
        <w:t>Humira</w:t>
      </w:r>
      <w:proofErr w:type="spellEnd"/>
      <w:r w:rsidR="009D4F8F" w:rsidRPr="00C33C2F">
        <w:rPr>
          <w:rFonts w:ascii="Book Antiqua" w:hAnsi="Book Antiqua" w:cs="Calibri"/>
          <w:sz w:val="24"/>
          <w:szCs w:val="24"/>
          <w:lang w:val="en-US"/>
        </w:rPr>
        <w:t xml:space="preserve"> in Rheumatoid Arthritis</w:t>
      </w:r>
      <w:r w:rsidR="001C17F1" w:rsidRPr="00C33C2F">
        <w:rPr>
          <w:rFonts w:ascii="Book Antiqua" w:hAnsi="Book Antiqua" w:cs="Calibri"/>
          <w:sz w:val="24"/>
          <w:szCs w:val="24"/>
          <w:lang w:val="en-US"/>
        </w:rPr>
        <w:t xml:space="preserve"> patients</w:t>
      </w:r>
      <w:r w:rsidR="009D4F8F" w:rsidRPr="00C33C2F">
        <w:rPr>
          <w:rFonts w:ascii="Book Antiqua" w:hAnsi="Book Antiqua" w:cs="Calibri"/>
          <w:sz w:val="24"/>
          <w:szCs w:val="24"/>
          <w:lang w:val="en-US"/>
        </w:rPr>
        <w:t xml:space="preserve">. </w:t>
      </w:r>
      <w:r w:rsidR="001C17F1" w:rsidRPr="00C33C2F">
        <w:rPr>
          <w:rFonts w:ascii="Book Antiqua" w:hAnsi="Book Antiqua" w:cs="Calibri"/>
          <w:sz w:val="24"/>
          <w:szCs w:val="24"/>
          <w:lang w:val="en-US"/>
        </w:rPr>
        <w:t>In this study, 120 patient</w:t>
      </w:r>
      <w:r w:rsidR="009D4F8F" w:rsidRPr="00C33C2F">
        <w:rPr>
          <w:rFonts w:ascii="Book Antiqua" w:hAnsi="Book Antiqua" w:cs="Calibri"/>
          <w:sz w:val="24"/>
          <w:szCs w:val="24"/>
          <w:lang w:val="en-US"/>
        </w:rPr>
        <w:t xml:space="preserve">s </w:t>
      </w:r>
      <w:r w:rsidR="001C17F1" w:rsidRPr="00C33C2F">
        <w:rPr>
          <w:rFonts w:ascii="Book Antiqua" w:hAnsi="Book Antiqua" w:cs="Calibri"/>
          <w:sz w:val="24"/>
          <w:szCs w:val="24"/>
          <w:lang w:val="en-US"/>
        </w:rPr>
        <w:t>affected by Rheumatoid Art</w:t>
      </w:r>
      <w:r w:rsidR="00D827B5" w:rsidRPr="00C33C2F">
        <w:rPr>
          <w:rFonts w:ascii="Book Antiqua" w:hAnsi="Book Antiqua" w:cs="Calibri"/>
          <w:sz w:val="24"/>
          <w:szCs w:val="24"/>
          <w:lang w:val="en-US"/>
        </w:rPr>
        <w:t xml:space="preserve">hritis for at least six months </w:t>
      </w:r>
      <w:r w:rsidR="001C17F1" w:rsidRPr="00C33C2F">
        <w:rPr>
          <w:rFonts w:ascii="Book Antiqua" w:hAnsi="Book Antiqua" w:cs="Calibri"/>
          <w:sz w:val="24"/>
          <w:szCs w:val="24"/>
          <w:lang w:val="en-US"/>
        </w:rPr>
        <w:t xml:space="preserve">and seropositive </w:t>
      </w:r>
      <w:r w:rsidR="00D827B5" w:rsidRPr="00C33C2F">
        <w:rPr>
          <w:rFonts w:ascii="Book Antiqua" w:hAnsi="Book Antiqua" w:cs="Calibri"/>
          <w:sz w:val="24"/>
          <w:szCs w:val="24"/>
          <w:lang w:val="en-US"/>
        </w:rPr>
        <w:t>active illness,</w:t>
      </w:r>
      <w:r w:rsidR="001C17F1" w:rsidRPr="00C33C2F">
        <w:rPr>
          <w:rFonts w:ascii="Book Antiqua" w:hAnsi="Book Antiqua" w:cs="Calibri"/>
          <w:sz w:val="24"/>
          <w:szCs w:val="24"/>
          <w:lang w:val="en-US"/>
        </w:rPr>
        <w:t xml:space="preserve"> </w:t>
      </w:r>
      <w:r w:rsidR="009D4F8F" w:rsidRPr="00C33C2F">
        <w:rPr>
          <w:rFonts w:ascii="Book Antiqua" w:hAnsi="Book Antiqua" w:cs="Calibri"/>
          <w:sz w:val="24"/>
          <w:szCs w:val="24"/>
          <w:lang w:val="en-US"/>
        </w:rPr>
        <w:t xml:space="preserve">were enrolled. </w:t>
      </w:r>
      <w:r w:rsidR="00D827B5" w:rsidRPr="00C33C2F">
        <w:rPr>
          <w:rFonts w:ascii="Book Antiqua" w:hAnsi="Book Antiqua" w:cs="Calibri"/>
          <w:sz w:val="24"/>
          <w:szCs w:val="24"/>
          <w:lang w:val="en-US"/>
        </w:rPr>
        <w:t xml:space="preserve">All </w:t>
      </w:r>
      <w:r w:rsidR="009D4F8F" w:rsidRPr="00C33C2F">
        <w:rPr>
          <w:rFonts w:ascii="Book Antiqua" w:hAnsi="Book Antiqua" w:cs="Calibri"/>
          <w:sz w:val="24"/>
          <w:szCs w:val="24"/>
          <w:lang w:val="en-US"/>
        </w:rPr>
        <w:t xml:space="preserve">patients </w:t>
      </w:r>
      <w:r w:rsidR="00D827B5" w:rsidRPr="00C33C2F">
        <w:rPr>
          <w:rFonts w:ascii="Book Antiqua" w:hAnsi="Book Antiqua" w:cs="Calibri"/>
          <w:sz w:val="24"/>
          <w:szCs w:val="24"/>
          <w:lang w:val="en-US"/>
        </w:rPr>
        <w:t>were in treatment with M</w:t>
      </w:r>
      <w:r w:rsidR="009D4F8F" w:rsidRPr="00C33C2F">
        <w:rPr>
          <w:rFonts w:ascii="Book Antiqua" w:hAnsi="Book Antiqua" w:cs="Calibri"/>
          <w:sz w:val="24"/>
          <w:szCs w:val="24"/>
          <w:lang w:val="en-US"/>
        </w:rPr>
        <w:t>ethotrexate, 10-25</w:t>
      </w:r>
      <w:r w:rsidR="00DD20EF" w:rsidRPr="00C33C2F">
        <w:rPr>
          <w:rFonts w:ascii="Book Antiqua" w:hAnsi="Book Antiqua" w:cs="Calibri" w:hint="eastAsia"/>
          <w:sz w:val="24"/>
          <w:szCs w:val="24"/>
          <w:lang w:val="en-US" w:eastAsia="zh-CN"/>
        </w:rPr>
        <w:t xml:space="preserve"> </w:t>
      </w:r>
      <w:r w:rsidR="009D4F8F" w:rsidRPr="00C33C2F">
        <w:rPr>
          <w:rFonts w:ascii="Book Antiqua" w:hAnsi="Book Antiqua" w:cs="Calibri"/>
          <w:sz w:val="24"/>
          <w:szCs w:val="24"/>
          <w:lang w:val="en-US"/>
        </w:rPr>
        <w:t>mg</w:t>
      </w:r>
      <w:r w:rsidR="00D827B5" w:rsidRPr="00C33C2F">
        <w:rPr>
          <w:rFonts w:ascii="Book Antiqua" w:hAnsi="Book Antiqua" w:cs="Calibri"/>
          <w:sz w:val="24"/>
          <w:szCs w:val="24"/>
          <w:lang w:val="en-US"/>
        </w:rPr>
        <w:t>/</w:t>
      </w:r>
      <w:proofErr w:type="spellStart"/>
      <w:r w:rsidR="00DD20EF" w:rsidRPr="00C33C2F">
        <w:rPr>
          <w:rFonts w:ascii="Book Antiqua" w:hAnsi="Book Antiqua" w:cs="Calibri" w:hint="eastAsia"/>
          <w:sz w:val="24"/>
          <w:szCs w:val="24"/>
          <w:lang w:val="en-US" w:eastAsia="zh-CN"/>
        </w:rPr>
        <w:t>wk</w:t>
      </w:r>
      <w:proofErr w:type="spellEnd"/>
      <w:r w:rsidR="009D4F8F" w:rsidRPr="00C33C2F">
        <w:rPr>
          <w:rFonts w:ascii="Book Antiqua" w:hAnsi="Book Antiqua" w:cs="Calibri"/>
          <w:sz w:val="24"/>
          <w:szCs w:val="24"/>
          <w:lang w:val="en-US"/>
        </w:rPr>
        <w:t xml:space="preserve"> for </w:t>
      </w:r>
      <w:r w:rsidR="00D827B5" w:rsidRPr="00C33C2F">
        <w:rPr>
          <w:rFonts w:ascii="Book Antiqua" w:hAnsi="Book Antiqua" w:cs="Calibri"/>
          <w:sz w:val="24"/>
          <w:szCs w:val="24"/>
          <w:lang w:val="en-US"/>
        </w:rPr>
        <w:t>a minimum of twelve</w:t>
      </w:r>
      <w:r w:rsidR="009D4F8F" w:rsidRPr="00C33C2F">
        <w:rPr>
          <w:rFonts w:ascii="Book Antiqua" w:hAnsi="Book Antiqua" w:cs="Calibri"/>
          <w:sz w:val="24"/>
          <w:szCs w:val="24"/>
          <w:lang w:val="en-US"/>
        </w:rPr>
        <w:t xml:space="preserve"> </w:t>
      </w:r>
      <w:r w:rsidR="0078482B" w:rsidRPr="00C33C2F">
        <w:rPr>
          <w:rFonts w:ascii="Book Antiqua" w:hAnsi="Book Antiqua" w:cs="Calibri" w:hint="eastAsia"/>
          <w:sz w:val="24"/>
          <w:szCs w:val="24"/>
          <w:lang w:val="en-US" w:eastAsia="zh-CN"/>
        </w:rPr>
        <w:t>w</w:t>
      </w:r>
      <w:r w:rsidR="00D827B5" w:rsidRPr="00C33C2F">
        <w:rPr>
          <w:rFonts w:ascii="Book Antiqua" w:hAnsi="Book Antiqua" w:cs="Calibri"/>
          <w:sz w:val="24"/>
          <w:szCs w:val="24"/>
          <w:lang w:val="en-US" w:eastAsia="zh-CN"/>
        </w:rPr>
        <w:t>ee</w:t>
      </w:r>
      <w:r w:rsidR="0078482B" w:rsidRPr="00C33C2F">
        <w:rPr>
          <w:rFonts w:ascii="Book Antiqua" w:hAnsi="Book Antiqua" w:cs="Calibri" w:hint="eastAsia"/>
          <w:sz w:val="24"/>
          <w:szCs w:val="24"/>
          <w:lang w:val="en-US" w:eastAsia="zh-CN"/>
        </w:rPr>
        <w:t>k</w:t>
      </w:r>
      <w:r w:rsidR="00D827B5" w:rsidRPr="00C33C2F">
        <w:rPr>
          <w:rFonts w:ascii="Book Antiqua" w:hAnsi="Book Antiqua" w:cs="Calibri"/>
          <w:sz w:val="24"/>
          <w:szCs w:val="24"/>
          <w:lang w:val="en-US" w:eastAsia="zh-CN"/>
        </w:rPr>
        <w:t>s</w:t>
      </w:r>
      <w:r w:rsidR="009D4F8F" w:rsidRPr="00C33C2F">
        <w:rPr>
          <w:rFonts w:ascii="Book Antiqua" w:hAnsi="Book Antiqua" w:cs="Calibri"/>
          <w:sz w:val="24"/>
          <w:szCs w:val="24"/>
          <w:lang w:val="en-US"/>
        </w:rPr>
        <w:t xml:space="preserve"> </w:t>
      </w:r>
      <w:r w:rsidR="00D827B5" w:rsidRPr="00C33C2F">
        <w:rPr>
          <w:rFonts w:ascii="Book Antiqua" w:hAnsi="Book Antiqua" w:cs="Calibri"/>
          <w:sz w:val="24"/>
          <w:szCs w:val="24"/>
          <w:lang w:val="en-US"/>
        </w:rPr>
        <w:t>at a fixed</w:t>
      </w:r>
      <w:r w:rsidR="009D4F8F" w:rsidRPr="00C33C2F">
        <w:rPr>
          <w:rFonts w:ascii="Book Antiqua" w:hAnsi="Book Antiqua" w:cs="Calibri"/>
          <w:sz w:val="24"/>
          <w:szCs w:val="24"/>
          <w:lang w:val="en-US"/>
        </w:rPr>
        <w:t xml:space="preserve"> dose in the </w:t>
      </w:r>
      <w:r w:rsidR="009D4F8F" w:rsidRPr="00C33C2F">
        <w:rPr>
          <w:rFonts w:ascii="Book Antiqua" w:hAnsi="Book Antiqua" w:cs="Calibri"/>
          <w:sz w:val="24"/>
          <w:szCs w:val="24"/>
          <w:lang w:val="en-US"/>
        </w:rPr>
        <w:lastRenderedPageBreak/>
        <w:t xml:space="preserve">last </w:t>
      </w:r>
      <w:r w:rsidR="00D827B5" w:rsidRPr="00C33C2F">
        <w:rPr>
          <w:rFonts w:ascii="Book Antiqua" w:hAnsi="Book Antiqua" w:cs="Calibri"/>
          <w:sz w:val="24"/>
          <w:szCs w:val="24"/>
          <w:lang w:val="en-US"/>
        </w:rPr>
        <w:t>four</w:t>
      </w:r>
      <w:r w:rsidR="009D4F8F" w:rsidRPr="00C33C2F">
        <w:rPr>
          <w:rFonts w:ascii="Book Antiqua" w:hAnsi="Book Antiqua" w:cs="Calibri"/>
          <w:sz w:val="24"/>
          <w:szCs w:val="24"/>
          <w:lang w:val="en-US"/>
        </w:rPr>
        <w:t xml:space="preserve"> weeks. Patients were randomized to </w:t>
      </w:r>
      <w:r w:rsidR="00D827B5" w:rsidRPr="00C33C2F">
        <w:rPr>
          <w:rFonts w:ascii="Book Antiqua" w:hAnsi="Book Antiqua" w:cs="Calibri"/>
          <w:sz w:val="24"/>
          <w:szCs w:val="24"/>
          <w:lang w:val="en-US"/>
        </w:rPr>
        <w:t xml:space="preserve">the administration of </w:t>
      </w:r>
      <w:proofErr w:type="spellStart"/>
      <w:r w:rsidR="00D827B5" w:rsidRPr="00C33C2F">
        <w:rPr>
          <w:rFonts w:ascii="Book Antiqua" w:hAnsi="Book Antiqua" w:cs="Calibri"/>
          <w:sz w:val="24"/>
          <w:szCs w:val="24"/>
          <w:lang w:val="en-US"/>
        </w:rPr>
        <w:t>Humira</w:t>
      </w:r>
      <w:proofErr w:type="spellEnd"/>
      <w:r w:rsidR="009D4F8F" w:rsidRPr="00C33C2F">
        <w:rPr>
          <w:rFonts w:ascii="Book Antiqua" w:hAnsi="Book Antiqua" w:cs="Calibri"/>
          <w:sz w:val="24"/>
          <w:szCs w:val="24"/>
          <w:lang w:val="en-US"/>
        </w:rPr>
        <w:t xml:space="preserve"> (</w:t>
      </w:r>
      <w:proofErr w:type="spellStart"/>
      <w:r w:rsidR="009D4F8F" w:rsidRPr="00C33C2F">
        <w:rPr>
          <w:rFonts w:ascii="Book Antiqua" w:hAnsi="Book Antiqua" w:cs="Calibri"/>
          <w:sz w:val="24"/>
          <w:szCs w:val="24"/>
          <w:lang w:val="en-US"/>
        </w:rPr>
        <w:t>AbbVie</w:t>
      </w:r>
      <w:proofErr w:type="spellEnd"/>
      <w:r w:rsidR="009D4F8F" w:rsidRPr="00C33C2F">
        <w:rPr>
          <w:rFonts w:ascii="Book Antiqua" w:hAnsi="Book Antiqua" w:cs="Calibri"/>
          <w:sz w:val="24"/>
          <w:szCs w:val="24"/>
          <w:lang w:val="en-US"/>
        </w:rPr>
        <w:t xml:space="preserve">) </w:t>
      </w:r>
      <w:r w:rsidR="00D827B5" w:rsidRPr="00C33C2F">
        <w:rPr>
          <w:rFonts w:ascii="Book Antiqua" w:hAnsi="Book Antiqua" w:cs="Calibri"/>
          <w:sz w:val="24"/>
          <w:szCs w:val="24"/>
          <w:lang w:val="en-US"/>
        </w:rPr>
        <w:t xml:space="preserve">40mg </w:t>
      </w:r>
      <w:r w:rsidR="009D4F8F" w:rsidRPr="00C33C2F">
        <w:rPr>
          <w:rFonts w:ascii="Book Antiqua" w:hAnsi="Book Antiqua" w:cs="Calibri"/>
          <w:sz w:val="24"/>
          <w:szCs w:val="24"/>
          <w:lang w:val="en-US"/>
        </w:rPr>
        <w:t xml:space="preserve">or </w:t>
      </w:r>
      <w:proofErr w:type="spellStart"/>
      <w:r w:rsidR="00D827B5" w:rsidRPr="00C33C2F">
        <w:rPr>
          <w:rFonts w:ascii="Book Antiqua" w:hAnsi="Book Antiqua" w:cs="Calibri"/>
          <w:sz w:val="24"/>
          <w:szCs w:val="24"/>
          <w:lang w:val="en-US"/>
        </w:rPr>
        <w:t>Exemptia</w:t>
      </w:r>
      <w:proofErr w:type="spellEnd"/>
      <w:r w:rsidR="00D827B5" w:rsidRPr="00C33C2F">
        <w:rPr>
          <w:rFonts w:ascii="Book Antiqua" w:hAnsi="Book Antiqua" w:cs="Calibri"/>
          <w:sz w:val="24"/>
          <w:szCs w:val="24"/>
          <w:lang w:val="en-US"/>
        </w:rPr>
        <w:t xml:space="preserve"> (</w:t>
      </w:r>
      <w:proofErr w:type="spellStart"/>
      <w:r w:rsidR="00D827B5" w:rsidRPr="00C33C2F">
        <w:rPr>
          <w:rFonts w:ascii="Book Antiqua" w:hAnsi="Book Antiqua" w:cs="Calibri"/>
          <w:sz w:val="24"/>
          <w:szCs w:val="24"/>
          <w:lang w:val="en-US"/>
        </w:rPr>
        <w:t>Zyndus</w:t>
      </w:r>
      <w:proofErr w:type="spellEnd"/>
      <w:r w:rsidR="00D827B5" w:rsidRPr="00C33C2F">
        <w:rPr>
          <w:rFonts w:ascii="Book Antiqua" w:hAnsi="Book Antiqua" w:cs="Calibri"/>
          <w:sz w:val="24"/>
          <w:szCs w:val="24"/>
          <w:lang w:val="en-US"/>
        </w:rPr>
        <w:t>) 40</w:t>
      </w:r>
      <w:r w:rsidR="00DD20EF" w:rsidRPr="00C33C2F">
        <w:rPr>
          <w:rFonts w:ascii="Book Antiqua" w:hAnsi="Book Antiqua" w:cs="Calibri" w:hint="eastAsia"/>
          <w:sz w:val="24"/>
          <w:szCs w:val="24"/>
          <w:lang w:val="en-US" w:eastAsia="zh-CN"/>
        </w:rPr>
        <w:t xml:space="preserve"> </w:t>
      </w:r>
      <w:r w:rsidR="00D827B5" w:rsidRPr="00C33C2F">
        <w:rPr>
          <w:rFonts w:ascii="Book Antiqua" w:hAnsi="Book Antiqua" w:cs="Calibri"/>
          <w:sz w:val="24"/>
          <w:szCs w:val="24"/>
          <w:lang w:val="en-US"/>
        </w:rPr>
        <w:t xml:space="preserve">mg every two weeks for three </w:t>
      </w:r>
      <w:r w:rsidR="00D827B5" w:rsidRPr="00C33C2F">
        <w:rPr>
          <w:rFonts w:ascii="Book Antiqua" w:hAnsi="Book Antiqua" w:cs="Calibri"/>
          <w:sz w:val="24"/>
          <w:szCs w:val="24"/>
          <w:lang w:val="en-US" w:eastAsia="zh-CN"/>
        </w:rPr>
        <w:t>months</w:t>
      </w:r>
      <w:r w:rsidR="009D4F8F" w:rsidRPr="00C33C2F">
        <w:rPr>
          <w:rFonts w:ascii="Book Antiqua" w:hAnsi="Book Antiqua" w:cs="Calibri"/>
          <w:sz w:val="24"/>
          <w:szCs w:val="24"/>
          <w:lang w:val="en-US"/>
        </w:rPr>
        <w:t xml:space="preserve"> by </w:t>
      </w:r>
      <w:r w:rsidR="00D827B5" w:rsidRPr="00C33C2F">
        <w:rPr>
          <w:rFonts w:ascii="Book Antiqua" w:hAnsi="Book Antiqua" w:cs="Calibri"/>
          <w:sz w:val="24"/>
          <w:szCs w:val="24"/>
          <w:lang w:val="en-US"/>
        </w:rPr>
        <w:t xml:space="preserve">a </w:t>
      </w:r>
      <w:r w:rsidR="009D4F8F" w:rsidRPr="00C33C2F">
        <w:rPr>
          <w:rFonts w:ascii="Book Antiqua" w:hAnsi="Book Antiqua" w:cs="Calibri"/>
          <w:sz w:val="24"/>
          <w:szCs w:val="24"/>
          <w:lang w:val="en-US"/>
        </w:rPr>
        <w:t xml:space="preserve">subcutaneous </w:t>
      </w:r>
      <w:r w:rsidR="00D827B5" w:rsidRPr="00C33C2F">
        <w:rPr>
          <w:rFonts w:ascii="Book Antiqua" w:hAnsi="Book Antiqua" w:cs="Calibri"/>
          <w:sz w:val="24"/>
          <w:szCs w:val="24"/>
          <w:lang w:val="en-US"/>
        </w:rPr>
        <w:t>route</w:t>
      </w:r>
      <w:r w:rsidR="009D4F8F" w:rsidRPr="00C33C2F">
        <w:rPr>
          <w:rFonts w:ascii="Book Antiqua" w:hAnsi="Book Antiqua" w:cs="Calibri"/>
          <w:sz w:val="24"/>
          <w:szCs w:val="24"/>
          <w:lang w:val="en-US"/>
        </w:rPr>
        <w:t xml:space="preserve">.  The proportion of </w:t>
      </w:r>
      <w:r w:rsidR="00035DA4" w:rsidRPr="00C33C2F">
        <w:rPr>
          <w:rFonts w:ascii="Book Antiqua" w:hAnsi="Book Antiqua" w:cs="Calibri"/>
          <w:sz w:val="24"/>
          <w:szCs w:val="24"/>
          <w:lang w:val="en-US"/>
        </w:rPr>
        <w:t xml:space="preserve">subjects </w:t>
      </w:r>
      <w:r w:rsidR="009D4F8F" w:rsidRPr="00C33C2F">
        <w:rPr>
          <w:rFonts w:ascii="Book Antiqua" w:hAnsi="Book Antiqua" w:cs="Calibri"/>
          <w:sz w:val="24"/>
          <w:szCs w:val="24"/>
          <w:lang w:val="en-US"/>
        </w:rPr>
        <w:t xml:space="preserve">with an ACR 20 response on day 84 </w:t>
      </w:r>
      <w:r w:rsidR="00035DA4" w:rsidRPr="00C33C2F">
        <w:rPr>
          <w:rFonts w:ascii="Book Antiqua" w:hAnsi="Book Antiqua" w:cs="Calibri"/>
          <w:sz w:val="24"/>
          <w:szCs w:val="24"/>
          <w:lang w:val="en-US"/>
        </w:rPr>
        <w:t>was the primary endpoint</w:t>
      </w:r>
      <w:r w:rsidR="009D4F8F" w:rsidRPr="00C33C2F">
        <w:rPr>
          <w:rFonts w:ascii="Book Antiqua" w:hAnsi="Book Antiqua" w:cs="Calibri"/>
          <w:sz w:val="24"/>
          <w:szCs w:val="24"/>
          <w:lang w:val="en-US"/>
        </w:rPr>
        <w:t xml:space="preserve">. </w:t>
      </w:r>
      <w:r w:rsidR="00320A18" w:rsidRPr="00C33C2F">
        <w:rPr>
          <w:rFonts w:ascii="Book Antiqua" w:hAnsi="Book Antiqua" w:cs="Calibri"/>
          <w:sz w:val="24"/>
          <w:szCs w:val="24"/>
          <w:lang w:val="en-US"/>
        </w:rPr>
        <w:t xml:space="preserve">The secondary end-points were: modification of </w:t>
      </w:r>
      <w:r w:rsidR="009D4F8F" w:rsidRPr="00C33C2F">
        <w:rPr>
          <w:rFonts w:ascii="Book Antiqua" w:hAnsi="Book Antiqua" w:cs="Calibri"/>
          <w:sz w:val="24"/>
          <w:szCs w:val="24"/>
          <w:lang w:val="en-US"/>
        </w:rPr>
        <w:t xml:space="preserve">Disease Activity Score 28, proportion of </w:t>
      </w:r>
      <w:r w:rsidR="00320A18" w:rsidRPr="00C33C2F">
        <w:rPr>
          <w:rFonts w:ascii="Book Antiqua" w:hAnsi="Book Antiqua" w:cs="Calibri"/>
          <w:sz w:val="24"/>
          <w:szCs w:val="24"/>
          <w:lang w:val="en-US"/>
        </w:rPr>
        <w:t>subjects</w:t>
      </w:r>
      <w:r w:rsidR="009D4F8F" w:rsidRPr="00C33C2F">
        <w:rPr>
          <w:rFonts w:ascii="Book Antiqua" w:hAnsi="Book Antiqua" w:cs="Calibri"/>
          <w:sz w:val="24"/>
          <w:szCs w:val="24"/>
          <w:lang w:val="en-US"/>
        </w:rPr>
        <w:t xml:space="preserve"> with an ACR 50 response, proportion of </w:t>
      </w:r>
      <w:r w:rsidR="00320A18" w:rsidRPr="00C33C2F">
        <w:rPr>
          <w:rFonts w:ascii="Book Antiqua" w:hAnsi="Book Antiqua" w:cs="Calibri"/>
          <w:sz w:val="24"/>
          <w:szCs w:val="24"/>
          <w:lang w:val="en-US"/>
        </w:rPr>
        <w:t>subjects</w:t>
      </w:r>
      <w:r w:rsidR="009D4F8F" w:rsidRPr="00C33C2F">
        <w:rPr>
          <w:rFonts w:ascii="Book Antiqua" w:hAnsi="Book Antiqua" w:cs="Calibri"/>
          <w:sz w:val="24"/>
          <w:szCs w:val="24"/>
          <w:lang w:val="en-US"/>
        </w:rPr>
        <w:t xml:space="preserve"> with an ACR 70 response</w:t>
      </w:r>
      <w:r w:rsidR="00320A18" w:rsidRPr="00C33C2F">
        <w:rPr>
          <w:rFonts w:ascii="Book Antiqua" w:hAnsi="Book Antiqua" w:cs="Calibri"/>
          <w:sz w:val="24"/>
          <w:szCs w:val="24"/>
          <w:lang w:val="en-US"/>
        </w:rPr>
        <w:t xml:space="preserve"> an</w:t>
      </w:r>
      <w:r w:rsidR="009D4F8F" w:rsidRPr="00C33C2F">
        <w:rPr>
          <w:rFonts w:ascii="Book Antiqua" w:hAnsi="Book Antiqua" w:cs="Calibri"/>
          <w:sz w:val="24"/>
          <w:szCs w:val="24"/>
          <w:lang w:val="en-US"/>
        </w:rPr>
        <w:t xml:space="preserve">d </w:t>
      </w:r>
      <w:r w:rsidR="00320A18" w:rsidRPr="00C33C2F">
        <w:rPr>
          <w:rFonts w:ascii="Book Antiqua" w:hAnsi="Book Antiqua" w:cs="Calibri"/>
          <w:sz w:val="24"/>
          <w:szCs w:val="24"/>
          <w:lang w:val="en-US"/>
        </w:rPr>
        <w:t xml:space="preserve">comparison between the two groups of </w:t>
      </w:r>
      <w:r w:rsidR="009D4F8F" w:rsidRPr="00C33C2F">
        <w:rPr>
          <w:rFonts w:ascii="Book Antiqua" w:hAnsi="Book Antiqua" w:cs="Calibri"/>
          <w:sz w:val="24"/>
          <w:szCs w:val="24"/>
          <w:lang w:val="en-US"/>
        </w:rPr>
        <w:t xml:space="preserve">percentage of </w:t>
      </w:r>
      <w:r w:rsidR="00320A18" w:rsidRPr="00C33C2F">
        <w:rPr>
          <w:rFonts w:ascii="Book Antiqua" w:hAnsi="Book Antiqua" w:cs="Calibri"/>
          <w:sz w:val="24"/>
          <w:szCs w:val="24"/>
          <w:lang w:val="en-US"/>
        </w:rPr>
        <w:t xml:space="preserve">patients with </w:t>
      </w:r>
      <w:r w:rsidR="009D4F8F" w:rsidRPr="00C33C2F">
        <w:rPr>
          <w:rFonts w:ascii="Book Antiqua" w:hAnsi="Book Antiqua" w:cs="Calibri"/>
          <w:sz w:val="24"/>
          <w:szCs w:val="24"/>
          <w:lang w:val="en-US"/>
        </w:rPr>
        <w:t xml:space="preserve">antidrug </w:t>
      </w:r>
      <w:proofErr w:type="gramStart"/>
      <w:r w:rsidR="009D4F8F" w:rsidRPr="00C33C2F">
        <w:rPr>
          <w:rFonts w:ascii="Book Antiqua" w:hAnsi="Book Antiqua" w:cs="Calibri"/>
          <w:sz w:val="24"/>
          <w:szCs w:val="24"/>
          <w:lang w:val="en-US"/>
        </w:rPr>
        <w:t>antibodies</w:t>
      </w:r>
      <w:r w:rsidR="00302E87" w:rsidRPr="00C33C2F">
        <w:rPr>
          <w:rFonts w:ascii="Book Antiqua" w:hAnsi="Book Antiqua" w:cs="Calibri"/>
          <w:sz w:val="24"/>
          <w:szCs w:val="24"/>
          <w:vertAlign w:val="superscript"/>
          <w:lang w:val="en-US"/>
        </w:rPr>
        <w:t>[</w:t>
      </w:r>
      <w:proofErr w:type="gramEnd"/>
      <w:r w:rsidR="00FD6DD3" w:rsidRPr="00C33C2F">
        <w:rPr>
          <w:rFonts w:ascii="Book Antiqua" w:hAnsi="Book Antiqua" w:cs="Calibri" w:hint="eastAsia"/>
          <w:sz w:val="24"/>
          <w:szCs w:val="24"/>
          <w:vertAlign w:val="superscript"/>
          <w:lang w:val="en-US" w:eastAsia="zh-CN"/>
        </w:rPr>
        <w:t>38</w:t>
      </w:r>
      <w:r w:rsidR="00815AFD" w:rsidRPr="00C33C2F">
        <w:rPr>
          <w:rFonts w:ascii="Book Antiqua" w:hAnsi="Book Antiqua" w:cs="Calibri"/>
          <w:sz w:val="24"/>
          <w:szCs w:val="24"/>
          <w:vertAlign w:val="superscript"/>
          <w:lang w:val="en-US"/>
        </w:rPr>
        <w:t>]</w:t>
      </w:r>
      <w:r w:rsidR="00815AFD" w:rsidRPr="00C33C2F">
        <w:rPr>
          <w:rFonts w:ascii="Book Antiqua" w:hAnsi="Book Antiqua" w:cs="Calibri"/>
          <w:sz w:val="24"/>
          <w:szCs w:val="24"/>
          <w:lang w:val="en-US"/>
        </w:rPr>
        <w:t>.</w:t>
      </w:r>
      <w:r w:rsidR="009D4F8F" w:rsidRPr="00C33C2F">
        <w:rPr>
          <w:rFonts w:ascii="Book Antiqua" w:hAnsi="Book Antiqua" w:cs="Calibri"/>
          <w:sz w:val="24"/>
          <w:szCs w:val="24"/>
          <w:lang w:val="en-US"/>
        </w:rPr>
        <w:t xml:space="preserve"> </w:t>
      </w:r>
      <w:r w:rsidR="00320A18" w:rsidRPr="00C33C2F">
        <w:rPr>
          <w:rFonts w:ascii="Book Antiqua" w:hAnsi="Book Antiqua" w:cs="Calibri"/>
          <w:sz w:val="24"/>
          <w:szCs w:val="24"/>
          <w:lang w:val="en-US"/>
        </w:rPr>
        <w:t xml:space="preserve">By analyzing the data from this study, </w:t>
      </w:r>
      <w:r w:rsidR="009D4F8F" w:rsidRPr="00C33C2F">
        <w:rPr>
          <w:rFonts w:ascii="Book Antiqua" w:hAnsi="Book Antiqua" w:cs="Calibri"/>
          <w:sz w:val="24"/>
          <w:szCs w:val="24"/>
          <w:lang w:val="en-US"/>
        </w:rPr>
        <w:t xml:space="preserve">ZRC-3197 </w:t>
      </w:r>
      <w:r w:rsidR="00320A18" w:rsidRPr="00C33C2F">
        <w:rPr>
          <w:rFonts w:ascii="Book Antiqua" w:hAnsi="Book Antiqua" w:cs="Calibri"/>
          <w:sz w:val="24"/>
          <w:szCs w:val="24"/>
          <w:lang w:val="en-US"/>
        </w:rPr>
        <w:t>showed comparable</w:t>
      </w:r>
      <w:r w:rsidR="009D4F8F" w:rsidRPr="00C33C2F">
        <w:rPr>
          <w:rFonts w:ascii="Book Antiqua" w:hAnsi="Book Antiqua" w:cs="Calibri"/>
          <w:sz w:val="24"/>
          <w:szCs w:val="24"/>
          <w:lang w:val="en-US"/>
        </w:rPr>
        <w:t xml:space="preserve"> </w:t>
      </w:r>
      <w:r w:rsidR="00320A18" w:rsidRPr="00C33C2F">
        <w:rPr>
          <w:rFonts w:ascii="Book Antiqua" w:hAnsi="Book Antiqua" w:cs="Calibri"/>
          <w:sz w:val="24"/>
          <w:szCs w:val="24"/>
          <w:lang w:val="en-US"/>
        </w:rPr>
        <w:t>degree</w:t>
      </w:r>
      <w:r w:rsidR="009D4F8F" w:rsidRPr="00C33C2F">
        <w:rPr>
          <w:rFonts w:ascii="Book Antiqua" w:hAnsi="Book Antiqua" w:cs="Calibri"/>
          <w:sz w:val="24"/>
          <w:szCs w:val="24"/>
          <w:lang w:val="en-US"/>
        </w:rPr>
        <w:t xml:space="preserve"> of efficacy, safety, and tolerability </w:t>
      </w:r>
      <w:r w:rsidR="00320A18" w:rsidRPr="00C33C2F">
        <w:rPr>
          <w:rFonts w:ascii="Book Antiqua" w:hAnsi="Book Antiqua" w:cs="Calibri"/>
          <w:sz w:val="24"/>
          <w:szCs w:val="24"/>
          <w:lang w:val="en-US"/>
        </w:rPr>
        <w:t xml:space="preserve">if compared with the original drug </w:t>
      </w:r>
      <w:proofErr w:type="spellStart"/>
      <w:r w:rsidR="00320A18" w:rsidRPr="00C33C2F">
        <w:rPr>
          <w:rFonts w:ascii="Book Antiqua" w:hAnsi="Book Antiqua" w:cs="Calibri"/>
          <w:sz w:val="24"/>
          <w:szCs w:val="24"/>
          <w:lang w:val="en-US"/>
        </w:rPr>
        <w:t>Humira</w:t>
      </w:r>
      <w:proofErr w:type="spellEnd"/>
      <w:r w:rsidR="00320A18" w:rsidRPr="00C33C2F">
        <w:rPr>
          <w:rFonts w:ascii="Book Antiqua" w:hAnsi="Book Antiqua" w:cs="Calibri"/>
          <w:sz w:val="24"/>
          <w:szCs w:val="24"/>
          <w:lang w:val="en-US"/>
        </w:rPr>
        <w:t xml:space="preserve">. However, complete </w:t>
      </w:r>
      <w:r w:rsidR="009D4F8F" w:rsidRPr="00C33C2F">
        <w:rPr>
          <w:rFonts w:ascii="Book Antiqua" w:hAnsi="Book Antiqua" w:cs="Calibri"/>
          <w:sz w:val="24"/>
          <w:szCs w:val="24"/>
          <w:lang w:val="en-US"/>
        </w:rPr>
        <w:t>data</w:t>
      </w:r>
      <w:r w:rsidR="00320A18" w:rsidRPr="00C33C2F">
        <w:rPr>
          <w:rFonts w:ascii="Book Antiqua" w:hAnsi="Book Antiqua" w:cs="Calibri"/>
          <w:sz w:val="24"/>
          <w:szCs w:val="24"/>
          <w:lang w:val="en-US"/>
        </w:rPr>
        <w:t xml:space="preserve"> of this trial</w:t>
      </w:r>
      <w:r w:rsidR="009D4F8F" w:rsidRPr="00C33C2F">
        <w:rPr>
          <w:rFonts w:ascii="Book Antiqua" w:hAnsi="Book Antiqua" w:cs="Calibri"/>
          <w:sz w:val="24"/>
          <w:szCs w:val="24"/>
          <w:lang w:val="en-US"/>
        </w:rPr>
        <w:t xml:space="preserve"> are not yet </w:t>
      </w:r>
      <w:r w:rsidR="00320A18" w:rsidRPr="00C33C2F">
        <w:rPr>
          <w:rFonts w:ascii="Book Antiqua" w:hAnsi="Book Antiqua" w:cs="Calibri"/>
          <w:sz w:val="24"/>
          <w:szCs w:val="24"/>
          <w:lang w:val="en-US"/>
        </w:rPr>
        <w:t>available</w:t>
      </w:r>
      <w:r w:rsidR="009D4F8F" w:rsidRPr="00C33C2F">
        <w:rPr>
          <w:rFonts w:ascii="Book Antiqua" w:hAnsi="Book Antiqua" w:cs="Calibri"/>
          <w:sz w:val="24"/>
          <w:szCs w:val="24"/>
          <w:lang w:val="en-US"/>
        </w:rPr>
        <w:t xml:space="preserve">. </w:t>
      </w:r>
      <w:r w:rsidR="00320A18" w:rsidRPr="00C33C2F">
        <w:rPr>
          <w:rFonts w:ascii="Book Antiqua" w:hAnsi="Book Antiqua" w:cs="Calibri"/>
          <w:sz w:val="24"/>
          <w:szCs w:val="24"/>
          <w:lang w:val="en-US"/>
        </w:rPr>
        <w:t>In any case, b</w:t>
      </w:r>
      <w:r w:rsidR="009D4F8F" w:rsidRPr="00C33C2F">
        <w:rPr>
          <w:rFonts w:ascii="Book Antiqua" w:hAnsi="Book Antiqua" w:cs="Calibri"/>
          <w:sz w:val="24"/>
          <w:szCs w:val="24"/>
          <w:lang w:val="en-US"/>
        </w:rPr>
        <w:t xml:space="preserve">ased on these </w:t>
      </w:r>
      <w:r w:rsidR="00320A18" w:rsidRPr="00C33C2F">
        <w:rPr>
          <w:rFonts w:ascii="Book Antiqua" w:hAnsi="Book Antiqua" w:cs="Calibri"/>
          <w:sz w:val="24"/>
          <w:szCs w:val="24"/>
          <w:lang w:val="en-US"/>
        </w:rPr>
        <w:t>data</w:t>
      </w:r>
      <w:r w:rsidR="009D4F8F" w:rsidRPr="00C33C2F">
        <w:rPr>
          <w:rFonts w:ascii="Book Antiqua" w:hAnsi="Book Antiqua" w:cs="Calibri"/>
          <w:sz w:val="24"/>
          <w:szCs w:val="24"/>
          <w:lang w:val="en-US"/>
        </w:rPr>
        <w:t xml:space="preserve">, Indian </w:t>
      </w:r>
      <w:r w:rsidR="00320A18" w:rsidRPr="00C33C2F">
        <w:rPr>
          <w:rFonts w:ascii="Book Antiqua" w:hAnsi="Book Antiqua" w:cs="Calibri"/>
          <w:sz w:val="24"/>
          <w:szCs w:val="24"/>
          <w:lang w:val="en-US"/>
        </w:rPr>
        <w:t>drugs authority gave the agreement for</w:t>
      </w:r>
      <w:r w:rsidR="009D4F8F" w:rsidRPr="00C33C2F">
        <w:rPr>
          <w:rFonts w:ascii="Book Antiqua" w:hAnsi="Book Antiqua" w:cs="Calibri"/>
          <w:sz w:val="24"/>
          <w:szCs w:val="24"/>
          <w:lang w:val="en-US"/>
        </w:rPr>
        <w:t xml:space="preserve"> ZRC-3197</w:t>
      </w:r>
      <w:r w:rsidR="00320A18" w:rsidRPr="00C33C2F">
        <w:rPr>
          <w:rFonts w:ascii="Book Antiqua" w:hAnsi="Book Antiqua" w:cs="Calibri"/>
          <w:sz w:val="24"/>
          <w:szCs w:val="24"/>
          <w:lang w:val="en-US"/>
        </w:rPr>
        <w:t xml:space="preserve"> marketing</w:t>
      </w:r>
      <w:r w:rsidR="009D4F8F" w:rsidRPr="00C33C2F">
        <w:rPr>
          <w:rFonts w:ascii="Book Antiqua" w:hAnsi="Book Antiqua" w:cs="Calibri"/>
          <w:sz w:val="24"/>
          <w:szCs w:val="24"/>
          <w:lang w:val="en-US"/>
        </w:rPr>
        <w:t xml:space="preserve">. </w:t>
      </w:r>
      <w:r w:rsidR="00320A18" w:rsidRPr="00C33C2F">
        <w:rPr>
          <w:rFonts w:ascii="Book Antiqua" w:hAnsi="Book Antiqua" w:cs="Calibri"/>
          <w:sz w:val="24"/>
          <w:szCs w:val="24"/>
          <w:lang w:val="en-US"/>
        </w:rPr>
        <w:t>In European Union and United States this drug</w:t>
      </w:r>
      <w:r w:rsidR="0064700F" w:rsidRPr="00C33C2F">
        <w:rPr>
          <w:rFonts w:ascii="Book Antiqua" w:hAnsi="Book Antiqua" w:cs="Calibri"/>
          <w:sz w:val="24"/>
          <w:szCs w:val="24"/>
          <w:lang w:val="en-US"/>
        </w:rPr>
        <w:t xml:space="preserve"> would not had the agreement for marketing because of a </w:t>
      </w:r>
      <w:r w:rsidR="00CD3A15" w:rsidRPr="00C33C2F">
        <w:rPr>
          <w:rFonts w:ascii="Book Antiqua" w:hAnsi="Book Antiqua" w:cs="Calibri"/>
          <w:sz w:val="24"/>
          <w:szCs w:val="24"/>
          <w:lang w:val="en-US"/>
        </w:rPr>
        <w:t xml:space="preserve">more </w:t>
      </w:r>
      <w:r w:rsidR="0064700F" w:rsidRPr="00C33C2F">
        <w:rPr>
          <w:rFonts w:ascii="Book Antiqua" w:hAnsi="Book Antiqua" w:cs="Calibri"/>
          <w:sz w:val="24"/>
          <w:szCs w:val="24"/>
          <w:lang w:val="en-US"/>
        </w:rPr>
        <w:t>strict</w:t>
      </w:r>
      <w:r w:rsidR="009D4F8F" w:rsidRPr="00C33C2F">
        <w:rPr>
          <w:rFonts w:ascii="Book Antiqua" w:hAnsi="Book Antiqua" w:cs="Calibri"/>
          <w:sz w:val="24"/>
          <w:szCs w:val="24"/>
          <w:lang w:val="en-US"/>
        </w:rPr>
        <w:t xml:space="preserve"> regulatory </w:t>
      </w:r>
      <w:proofErr w:type="gramStart"/>
      <w:r w:rsidR="009D4F8F" w:rsidRPr="00C33C2F">
        <w:rPr>
          <w:rFonts w:ascii="Book Antiqua" w:hAnsi="Book Antiqua" w:cs="Calibri"/>
          <w:sz w:val="24"/>
          <w:szCs w:val="24"/>
          <w:lang w:val="en-US"/>
        </w:rPr>
        <w:t>process</w:t>
      </w:r>
      <w:r w:rsidR="001F7029" w:rsidRPr="00C33C2F">
        <w:rPr>
          <w:rFonts w:ascii="Book Antiqua" w:hAnsi="Book Antiqua" w:cs="Calibri"/>
          <w:sz w:val="24"/>
          <w:szCs w:val="24"/>
          <w:vertAlign w:val="superscript"/>
          <w:lang w:val="en-US" w:eastAsia="zh-CN"/>
        </w:rPr>
        <w:t>[</w:t>
      </w:r>
      <w:proofErr w:type="gramEnd"/>
      <w:r w:rsidR="00FD6DD3" w:rsidRPr="00C33C2F">
        <w:rPr>
          <w:rFonts w:ascii="Book Antiqua" w:hAnsi="Book Antiqua" w:cs="Calibri" w:hint="eastAsia"/>
          <w:sz w:val="24"/>
          <w:szCs w:val="24"/>
          <w:vertAlign w:val="superscript"/>
          <w:lang w:val="en-US" w:eastAsia="zh-CN"/>
        </w:rPr>
        <w:t>39</w:t>
      </w:r>
      <w:r w:rsidR="001F7029" w:rsidRPr="00C33C2F">
        <w:rPr>
          <w:rFonts w:ascii="Book Antiqua" w:hAnsi="Book Antiqua" w:cs="Calibri"/>
          <w:sz w:val="24"/>
          <w:szCs w:val="24"/>
          <w:vertAlign w:val="superscript"/>
          <w:lang w:val="en-US" w:eastAsia="zh-CN"/>
        </w:rPr>
        <w:t>]</w:t>
      </w:r>
      <w:r w:rsidR="00815AFD" w:rsidRPr="00C33C2F">
        <w:rPr>
          <w:rFonts w:ascii="Book Antiqua" w:hAnsi="Book Antiqua" w:cs="Calibri"/>
          <w:sz w:val="24"/>
          <w:szCs w:val="24"/>
          <w:lang w:val="en-US"/>
        </w:rPr>
        <w:t>.</w:t>
      </w:r>
      <w:r w:rsidR="009D4F8F" w:rsidRPr="00C33C2F">
        <w:rPr>
          <w:rFonts w:ascii="Book Antiqua" w:hAnsi="Book Antiqua" w:cs="Calibri"/>
          <w:sz w:val="24"/>
          <w:szCs w:val="24"/>
          <w:lang w:val="en-US"/>
        </w:rPr>
        <w:t xml:space="preserve"> </w:t>
      </w:r>
      <w:r w:rsidR="0064700F" w:rsidRPr="00C33C2F">
        <w:rPr>
          <w:rFonts w:ascii="Book Antiqua" w:hAnsi="Book Antiqua" w:cs="Calibri"/>
          <w:sz w:val="24"/>
          <w:szCs w:val="24"/>
          <w:lang w:val="en-US"/>
        </w:rPr>
        <w:t>P</w:t>
      </w:r>
      <w:r w:rsidR="001639FC" w:rsidRPr="00C33C2F">
        <w:rPr>
          <w:rFonts w:ascii="Book Antiqua" w:hAnsi="Book Antiqua" w:cs="PlantinStd"/>
          <w:sz w:val="24"/>
          <w:szCs w:val="24"/>
          <w:lang w:val="en-US"/>
        </w:rPr>
        <w:t xml:space="preserve">ost-marketing </w:t>
      </w:r>
      <w:r w:rsidR="0064700F" w:rsidRPr="00C33C2F">
        <w:rPr>
          <w:rFonts w:ascii="Book Antiqua" w:hAnsi="Book Antiqua" w:cs="PlantinStd"/>
          <w:sz w:val="24"/>
          <w:szCs w:val="24"/>
          <w:lang w:val="en-US"/>
        </w:rPr>
        <w:t xml:space="preserve">efficacy and </w:t>
      </w:r>
      <w:r w:rsidR="001639FC" w:rsidRPr="00C33C2F">
        <w:rPr>
          <w:rFonts w:ascii="Book Antiqua" w:hAnsi="Book Antiqua" w:cs="PlantinStd"/>
          <w:sz w:val="24"/>
          <w:szCs w:val="24"/>
          <w:lang w:val="en-US"/>
        </w:rPr>
        <w:t>safety</w:t>
      </w:r>
      <w:r w:rsidR="0064700F" w:rsidRPr="00C33C2F">
        <w:rPr>
          <w:rFonts w:ascii="Book Antiqua" w:hAnsi="Book Antiqua" w:cs="PlantinStd"/>
          <w:sz w:val="24"/>
          <w:szCs w:val="24"/>
          <w:lang w:val="en-US"/>
        </w:rPr>
        <w:t xml:space="preserve"> data</w:t>
      </w:r>
      <w:r w:rsidR="001639FC" w:rsidRPr="00C33C2F">
        <w:rPr>
          <w:rFonts w:ascii="Book Antiqua" w:hAnsi="Book Antiqua" w:cs="PlantinStd"/>
          <w:sz w:val="24"/>
          <w:szCs w:val="24"/>
          <w:lang w:val="en-US"/>
        </w:rPr>
        <w:t xml:space="preserve"> has </w:t>
      </w:r>
      <w:r w:rsidR="0064700F" w:rsidRPr="00C33C2F">
        <w:rPr>
          <w:rFonts w:ascii="Book Antiqua" w:hAnsi="Book Antiqua" w:cs="PlantinStd"/>
          <w:sz w:val="24"/>
          <w:szCs w:val="24"/>
          <w:lang w:val="en-US"/>
        </w:rPr>
        <w:t>not</w:t>
      </w:r>
      <w:r w:rsidR="001639FC" w:rsidRPr="00C33C2F">
        <w:rPr>
          <w:rFonts w:ascii="Book Antiqua" w:hAnsi="Book Antiqua" w:cs="PlantinStd"/>
          <w:sz w:val="24"/>
          <w:szCs w:val="24"/>
          <w:lang w:val="en-US"/>
        </w:rPr>
        <w:t xml:space="preserve"> been </w:t>
      </w:r>
      <w:proofErr w:type="gramStart"/>
      <w:r w:rsidR="0064700F" w:rsidRPr="00C33C2F">
        <w:rPr>
          <w:rFonts w:ascii="Book Antiqua" w:hAnsi="Book Antiqua" w:cs="PlantinStd"/>
          <w:sz w:val="24"/>
          <w:szCs w:val="24"/>
          <w:lang w:val="en-US"/>
        </w:rPr>
        <w:t>showed</w:t>
      </w:r>
      <w:r w:rsidR="0022713F" w:rsidRPr="00C33C2F">
        <w:rPr>
          <w:rFonts w:ascii="Book Antiqua" w:hAnsi="Book Antiqua" w:cs="PlantinStd"/>
          <w:sz w:val="24"/>
          <w:szCs w:val="24"/>
          <w:vertAlign w:val="superscript"/>
          <w:lang w:val="en-US"/>
        </w:rPr>
        <w:t>[</w:t>
      </w:r>
      <w:proofErr w:type="gramEnd"/>
      <w:r w:rsidR="0022713F" w:rsidRPr="00C33C2F">
        <w:rPr>
          <w:rFonts w:ascii="Book Antiqua" w:hAnsi="Book Antiqua" w:cs="PlantinStd"/>
          <w:sz w:val="24"/>
          <w:szCs w:val="24"/>
          <w:vertAlign w:val="superscript"/>
          <w:lang w:val="en-US"/>
        </w:rPr>
        <w:t>40]</w:t>
      </w:r>
      <w:r w:rsidR="001639FC" w:rsidRPr="00C33C2F">
        <w:rPr>
          <w:rFonts w:ascii="Book Antiqua" w:hAnsi="Book Antiqua" w:cs="PlantinStd"/>
          <w:sz w:val="24"/>
          <w:szCs w:val="24"/>
          <w:lang w:val="en-US"/>
        </w:rPr>
        <w:t>.</w:t>
      </w:r>
    </w:p>
    <w:p w:rsidR="001639FC" w:rsidRPr="00C33C2F" w:rsidRDefault="001639FC" w:rsidP="008B1267">
      <w:pPr>
        <w:spacing w:after="0" w:line="360" w:lineRule="auto"/>
        <w:jc w:val="both"/>
        <w:rPr>
          <w:rFonts w:ascii="Book Antiqua" w:hAnsi="Book Antiqua" w:cs="PlantinStd"/>
          <w:sz w:val="24"/>
          <w:szCs w:val="24"/>
          <w:lang w:val="en-US"/>
        </w:rPr>
      </w:pPr>
    </w:p>
    <w:p w:rsidR="009D4F8F" w:rsidRPr="00C33C2F" w:rsidRDefault="001F7029" w:rsidP="008B1267">
      <w:pPr>
        <w:spacing w:after="0" w:line="360" w:lineRule="auto"/>
        <w:jc w:val="both"/>
        <w:rPr>
          <w:rFonts w:ascii="Book Antiqua" w:hAnsi="Book Antiqua" w:cs="PlantinStd"/>
          <w:b/>
          <w:sz w:val="24"/>
          <w:szCs w:val="24"/>
          <w:lang w:val="en-US" w:eastAsia="zh-CN"/>
        </w:rPr>
      </w:pPr>
      <w:r w:rsidRPr="00C33C2F">
        <w:rPr>
          <w:rFonts w:ascii="Book Antiqua" w:hAnsi="Book Antiqua" w:cs="PlantinStd"/>
          <w:b/>
          <w:sz w:val="24"/>
          <w:szCs w:val="24"/>
          <w:lang w:val="en-US"/>
        </w:rPr>
        <w:t>CONCLUSION</w:t>
      </w:r>
    </w:p>
    <w:p w:rsidR="009D4F8F" w:rsidRPr="00C33C2F" w:rsidRDefault="001639FC" w:rsidP="008B1267">
      <w:pPr>
        <w:autoSpaceDE w:val="0"/>
        <w:autoSpaceDN w:val="0"/>
        <w:adjustRightInd w:val="0"/>
        <w:spacing w:after="0" w:line="360" w:lineRule="auto"/>
        <w:jc w:val="both"/>
        <w:rPr>
          <w:rFonts w:ascii="Book Antiqua" w:hAnsi="Book Antiqua" w:cs="AdvOT863180fb"/>
          <w:color w:val="000000"/>
          <w:sz w:val="24"/>
          <w:szCs w:val="24"/>
          <w:lang w:val="en-US" w:eastAsia="zh-CN"/>
        </w:rPr>
      </w:pPr>
      <w:r w:rsidRPr="00C33C2F">
        <w:rPr>
          <w:rFonts w:ascii="Book Antiqua" w:hAnsi="Book Antiqua" w:cs="AdvOT863180fb"/>
          <w:color w:val="000000"/>
          <w:sz w:val="24"/>
          <w:szCs w:val="24"/>
          <w:lang w:val="en-US"/>
        </w:rPr>
        <w:t>S</w:t>
      </w:r>
      <w:r w:rsidR="00CD3A15" w:rsidRPr="00C33C2F">
        <w:rPr>
          <w:rFonts w:ascii="Book Antiqua" w:hAnsi="Book Antiqua" w:cs="AdvOT863180fb"/>
          <w:color w:val="000000"/>
          <w:sz w:val="24"/>
          <w:szCs w:val="24"/>
          <w:lang w:val="en-US"/>
        </w:rPr>
        <w:t>everal clinical data are</w:t>
      </w:r>
      <w:r w:rsidR="009D4F8F" w:rsidRPr="00C33C2F">
        <w:rPr>
          <w:rFonts w:ascii="Book Antiqua" w:hAnsi="Book Antiqua" w:cs="AdvOT863180fb"/>
          <w:color w:val="000000"/>
          <w:sz w:val="24"/>
          <w:szCs w:val="24"/>
          <w:lang w:val="en-US"/>
        </w:rPr>
        <w:t xml:space="preserve"> already available in IBD patients treated with IFX-</w:t>
      </w:r>
      <w:proofErr w:type="spellStart"/>
      <w:r w:rsidR="009D4F8F" w:rsidRPr="00C33C2F">
        <w:rPr>
          <w:rFonts w:ascii="Book Antiqua" w:hAnsi="Book Antiqua" w:cs="AdvOT863180fb"/>
          <w:color w:val="000000"/>
          <w:sz w:val="24"/>
          <w:szCs w:val="24"/>
          <w:lang w:val="en-US"/>
        </w:rPr>
        <w:t>biosi</w:t>
      </w:r>
      <w:r w:rsidR="00CD3A15" w:rsidRPr="00C33C2F">
        <w:rPr>
          <w:rFonts w:ascii="Book Antiqua" w:hAnsi="Book Antiqua" w:cs="AdvOT863180fb"/>
          <w:color w:val="000000"/>
          <w:sz w:val="24"/>
          <w:szCs w:val="24"/>
          <w:lang w:val="en-US"/>
        </w:rPr>
        <w:t>milar</w:t>
      </w:r>
      <w:proofErr w:type="spellEnd"/>
      <w:r w:rsidR="00CD3A15" w:rsidRPr="00C33C2F">
        <w:rPr>
          <w:rFonts w:ascii="Book Antiqua" w:hAnsi="Book Antiqua" w:cs="AdvOT863180fb"/>
          <w:color w:val="000000"/>
          <w:sz w:val="24"/>
          <w:szCs w:val="24"/>
          <w:lang w:val="en-US"/>
        </w:rPr>
        <w:t xml:space="preserve"> or who were switched from</w:t>
      </w:r>
      <w:r w:rsidR="009D4F8F" w:rsidRPr="00C33C2F">
        <w:rPr>
          <w:rFonts w:ascii="Book Antiqua" w:hAnsi="Book Antiqua" w:cs="AdvOT863180fb"/>
          <w:color w:val="000000"/>
          <w:sz w:val="24"/>
          <w:szCs w:val="24"/>
          <w:lang w:val="en-US"/>
        </w:rPr>
        <w:t xml:space="preserve"> to CT-P13 with satisfactory outcomes, sustained efficacy and no sign of increased immunogenicity or any other safety concerns. However, further </w:t>
      </w:r>
      <w:r w:rsidR="00CD3A15" w:rsidRPr="00C33C2F">
        <w:rPr>
          <w:rFonts w:ascii="Book Antiqua" w:hAnsi="Book Antiqua" w:cs="AdvOT863180fb"/>
          <w:color w:val="000000"/>
          <w:sz w:val="24"/>
          <w:szCs w:val="24"/>
          <w:lang w:val="en-US"/>
        </w:rPr>
        <w:t xml:space="preserve">controlled </w:t>
      </w:r>
      <w:r w:rsidR="00D418FF" w:rsidRPr="00C33C2F">
        <w:rPr>
          <w:rFonts w:ascii="Book Antiqua" w:hAnsi="Book Antiqua" w:cs="AdvOT863180fb"/>
          <w:color w:val="000000"/>
          <w:sz w:val="24"/>
          <w:szCs w:val="24"/>
          <w:lang w:val="en-US"/>
        </w:rPr>
        <w:t>data are needed</w:t>
      </w:r>
      <w:r w:rsidR="009D4F8F" w:rsidRPr="00C33C2F">
        <w:rPr>
          <w:rFonts w:ascii="Book Antiqua" w:hAnsi="Book Antiqua" w:cs="AdvOT863180fb"/>
          <w:color w:val="000000"/>
          <w:sz w:val="24"/>
          <w:szCs w:val="24"/>
          <w:lang w:val="en-US"/>
        </w:rPr>
        <w:t xml:space="preserve">, and additional studies that will support the validity of indication extrapolation to IBD are ongoing. </w:t>
      </w:r>
      <w:r w:rsidRPr="00C33C2F">
        <w:rPr>
          <w:rFonts w:ascii="Book Antiqua" w:hAnsi="Book Antiqua" w:cs="AdvOT863180fb"/>
          <w:color w:val="000000"/>
          <w:sz w:val="24"/>
          <w:szCs w:val="24"/>
          <w:lang w:val="en-US"/>
        </w:rPr>
        <w:t>N</w:t>
      </w:r>
      <w:r w:rsidR="009D4F8F" w:rsidRPr="00C33C2F">
        <w:rPr>
          <w:rFonts w:ascii="Book Antiqua" w:hAnsi="Book Antiqua" w:cs="AdvOT863180fb"/>
          <w:color w:val="000000"/>
          <w:sz w:val="24"/>
          <w:szCs w:val="24"/>
          <w:lang w:val="en-US"/>
        </w:rPr>
        <w:t xml:space="preserve">o contraindication for switching from the originator to the relative </w:t>
      </w:r>
      <w:proofErr w:type="spellStart"/>
      <w:r w:rsidR="009D4F8F" w:rsidRPr="00C33C2F">
        <w:rPr>
          <w:rFonts w:ascii="Book Antiqua" w:hAnsi="Book Antiqua" w:cs="AdvOT863180fb"/>
          <w:color w:val="000000"/>
          <w:sz w:val="24"/>
          <w:szCs w:val="24"/>
          <w:lang w:val="en-US"/>
        </w:rPr>
        <w:t>biosimilar</w:t>
      </w:r>
      <w:proofErr w:type="spellEnd"/>
      <w:r w:rsidR="009D4F8F" w:rsidRPr="00C33C2F">
        <w:rPr>
          <w:rFonts w:ascii="Book Antiqua" w:hAnsi="Book Antiqua" w:cs="AdvOT863180fb"/>
          <w:color w:val="000000"/>
          <w:sz w:val="24"/>
          <w:szCs w:val="24"/>
          <w:lang w:val="en-US"/>
        </w:rPr>
        <w:t xml:space="preserve"> </w:t>
      </w:r>
      <w:r w:rsidR="00D418FF" w:rsidRPr="00C33C2F">
        <w:rPr>
          <w:rFonts w:ascii="Book Antiqua" w:hAnsi="Book Antiqua" w:cs="AdvOT863180fb"/>
          <w:color w:val="000000"/>
          <w:sz w:val="24"/>
          <w:szCs w:val="24"/>
          <w:lang w:val="en-US"/>
        </w:rPr>
        <w:t xml:space="preserve">have been raised, however </w:t>
      </w:r>
      <w:r w:rsidR="00480A86" w:rsidRPr="00C33C2F">
        <w:rPr>
          <w:rFonts w:ascii="Book Antiqua" w:hAnsi="Book Antiqua" w:cs="AdvOT863180fb"/>
          <w:color w:val="000000"/>
          <w:sz w:val="24"/>
          <w:szCs w:val="24"/>
          <w:lang w:val="en-US"/>
        </w:rPr>
        <w:t>some</w:t>
      </w:r>
      <w:r w:rsidRPr="00C33C2F">
        <w:rPr>
          <w:rFonts w:ascii="Book Antiqua" w:hAnsi="Book Antiqua" w:cs="AdvOT863180fb"/>
          <w:color w:val="000000"/>
          <w:sz w:val="24"/>
          <w:szCs w:val="24"/>
          <w:lang w:val="en-US"/>
        </w:rPr>
        <w:t xml:space="preserve"> </w:t>
      </w:r>
      <w:r w:rsidR="00480A86" w:rsidRPr="00C33C2F">
        <w:rPr>
          <w:rFonts w:ascii="Book Antiqua" w:hAnsi="Book Antiqua" w:cs="AdvOT863180fb"/>
          <w:color w:val="000000"/>
          <w:sz w:val="24"/>
          <w:szCs w:val="24"/>
          <w:lang w:val="en-US"/>
        </w:rPr>
        <w:t xml:space="preserve">gastroenterological </w:t>
      </w:r>
      <w:r w:rsidR="00DC301F" w:rsidRPr="00C33C2F">
        <w:rPr>
          <w:rFonts w:ascii="Book Antiqua" w:hAnsi="Book Antiqua" w:cs="AdvOT863180fb"/>
          <w:color w:val="000000"/>
          <w:sz w:val="24"/>
          <w:szCs w:val="24"/>
          <w:lang w:val="en-US"/>
        </w:rPr>
        <w:t xml:space="preserve">and </w:t>
      </w:r>
      <w:r w:rsidRPr="00C33C2F">
        <w:rPr>
          <w:rFonts w:ascii="Book Antiqua" w:hAnsi="Book Antiqua" w:cs="AdvOT863180fb"/>
          <w:color w:val="000000"/>
          <w:sz w:val="24"/>
          <w:szCs w:val="24"/>
          <w:lang w:val="en-US"/>
        </w:rPr>
        <w:t xml:space="preserve">rheumatologic </w:t>
      </w:r>
      <w:r w:rsidR="00480A86" w:rsidRPr="00C33C2F">
        <w:rPr>
          <w:rFonts w:ascii="Book Antiqua" w:hAnsi="Book Antiqua" w:cs="AdvOT863180fb"/>
          <w:color w:val="000000"/>
          <w:sz w:val="24"/>
          <w:szCs w:val="24"/>
          <w:lang w:val="en-US"/>
        </w:rPr>
        <w:t>scientific associations</w:t>
      </w:r>
      <w:r w:rsidRPr="00C33C2F">
        <w:rPr>
          <w:rFonts w:ascii="Book Antiqua" w:hAnsi="Book Antiqua" w:cs="AdvOT863180fb"/>
          <w:color w:val="000000"/>
          <w:sz w:val="24"/>
          <w:szCs w:val="24"/>
          <w:lang w:val="en-US"/>
        </w:rPr>
        <w:t xml:space="preserve"> have </w:t>
      </w:r>
      <w:r w:rsidR="00DC301F" w:rsidRPr="00C33C2F">
        <w:rPr>
          <w:rFonts w:ascii="Book Antiqua" w:hAnsi="Book Antiqua" w:cs="AdvOT863180fb"/>
          <w:color w:val="000000"/>
          <w:sz w:val="24"/>
          <w:szCs w:val="24"/>
          <w:lang w:val="en-US"/>
        </w:rPr>
        <w:t xml:space="preserve">pointed out </w:t>
      </w:r>
      <w:r w:rsidR="00480A86" w:rsidRPr="00C33C2F">
        <w:rPr>
          <w:rFonts w:ascii="Book Antiqua" w:hAnsi="Book Antiqua" w:cs="AdvOT863180fb"/>
          <w:color w:val="000000"/>
          <w:sz w:val="24"/>
          <w:szCs w:val="24"/>
          <w:lang w:val="en-US"/>
        </w:rPr>
        <w:t xml:space="preserve">doubts about </w:t>
      </w:r>
      <w:r w:rsidRPr="00C33C2F">
        <w:rPr>
          <w:rFonts w:ascii="Book Antiqua" w:hAnsi="Book Antiqua" w:cs="AdvOT863180fb"/>
          <w:color w:val="000000"/>
          <w:sz w:val="24"/>
          <w:szCs w:val="24"/>
          <w:lang w:val="en-US"/>
        </w:rPr>
        <w:t>extrapolat</w:t>
      </w:r>
      <w:r w:rsidR="00480A86" w:rsidRPr="00C33C2F">
        <w:rPr>
          <w:rFonts w:ascii="Book Antiqua" w:hAnsi="Book Antiqua" w:cs="AdvOT863180fb"/>
          <w:color w:val="000000"/>
          <w:sz w:val="24"/>
          <w:szCs w:val="24"/>
          <w:lang w:val="en-US"/>
        </w:rPr>
        <w:t xml:space="preserve">ion technique </w:t>
      </w:r>
      <w:r w:rsidR="00DC301F" w:rsidRPr="00C33C2F">
        <w:rPr>
          <w:rFonts w:ascii="Book Antiqua" w:hAnsi="Book Antiqua" w:cs="AdvOT863180fb"/>
          <w:color w:val="000000"/>
          <w:sz w:val="24"/>
          <w:szCs w:val="24"/>
          <w:lang w:val="en-US"/>
        </w:rPr>
        <w:t xml:space="preserve">of indication </w:t>
      </w:r>
      <w:r w:rsidR="00480A86" w:rsidRPr="00C33C2F">
        <w:rPr>
          <w:rFonts w:ascii="Book Antiqua" w:hAnsi="Book Antiqua" w:cs="AdvOT863180fb"/>
          <w:color w:val="000000"/>
          <w:sz w:val="24"/>
          <w:szCs w:val="24"/>
          <w:lang w:val="en-US"/>
        </w:rPr>
        <w:t>and its</w:t>
      </w:r>
      <w:r w:rsidRPr="00C33C2F">
        <w:rPr>
          <w:rFonts w:ascii="Book Antiqua" w:hAnsi="Book Antiqua" w:cs="AdvOT863180fb"/>
          <w:color w:val="000000"/>
          <w:sz w:val="24"/>
          <w:szCs w:val="24"/>
          <w:lang w:val="en-US"/>
        </w:rPr>
        <w:t xml:space="preserve"> results</w:t>
      </w:r>
      <w:r w:rsidR="00DC301F" w:rsidRPr="00C33C2F">
        <w:rPr>
          <w:rFonts w:ascii="Book Antiqua" w:hAnsi="Book Antiqua" w:cs="AdvOT863180fb"/>
          <w:color w:val="000000"/>
          <w:sz w:val="24"/>
          <w:szCs w:val="24"/>
          <w:lang w:val="en-US"/>
        </w:rPr>
        <w:t>. R</w:t>
      </w:r>
      <w:r w:rsidRPr="00C33C2F">
        <w:rPr>
          <w:rFonts w:ascii="Book Antiqua" w:hAnsi="Book Antiqua" w:cs="AdvOT863180fb"/>
          <w:color w:val="000000"/>
          <w:sz w:val="24"/>
          <w:szCs w:val="24"/>
          <w:lang w:val="en-US"/>
        </w:rPr>
        <w:t>ealization of specific trials for each</w:t>
      </w:r>
      <w:r w:rsidR="00DC301F" w:rsidRPr="00C33C2F">
        <w:rPr>
          <w:rFonts w:ascii="Book Antiqua" w:hAnsi="Book Antiqua" w:cs="AdvOT863180fb"/>
          <w:color w:val="000000"/>
          <w:sz w:val="24"/>
          <w:szCs w:val="24"/>
          <w:lang w:val="en-US"/>
        </w:rPr>
        <w:t xml:space="preserve"> disease </w:t>
      </w:r>
      <w:r w:rsidR="00D418FF" w:rsidRPr="00C33C2F">
        <w:rPr>
          <w:rFonts w:ascii="Book Antiqua" w:hAnsi="Book Antiqua" w:cs="AdvOT863180fb"/>
          <w:color w:val="000000"/>
          <w:sz w:val="24"/>
          <w:szCs w:val="24"/>
          <w:lang w:val="en-US"/>
        </w:rPr>
        <w:t xml:space="preserve">is desirable </w:t>
      </w:r>
      <w:r w:rsidR="00DC301F" w:rsidRPr="00C33C2F">
        <w:rPr>
          <w:rFonts w:ascii="Book Antiqua" w:hAnsi="Book Antiqua" w:cs="AdvOT863180fb"/>
          <w:color w:val="000000"/>
          <w:sz w:val="24"/>
          <w:szCs w:val="24"/>
          <w:lang w:val="en-US"/>
        </w:rPr>
        <w:t xml:space="preserve">before </w:t>
      </w:r>
      <w:proofErr w:type="spellStart"/>
      <w:r w:rsidR="00DC301F" w:rsidRPr="00C33C2F">
        <w:rPr>
          <w:rFonts w:ascii="Book Antiqua" w:hAnsi="Book Antiqua" w:cs="AdvOT863180fb"/>
          <w:color w:val="000000"/>
          <w:sz w:val="24"/>
          <w:szCs w:val="24"/>
          <w:lang w:val="en-US"/>
        </w:rPr>
        <w:t>biosimilar</w:t>
      </w:r>
      <w:proofErr w:type="spellEnd"/>
      <w:r w:rsidR="00DC301F" w:rsidRPr="00C33C2F">
        <w:rPr>
          <w:rFonts w:ascii="Book Antiqua" w:hAnsi="Book Antiqua" w:cs="AdvOT863180fb"/>
          <w:color w:val="000000"/>
          <w:sz w:val="24"/>
          <w:szCs w:val="24"/>
          <w:lang w:val="en-US"/>
        </w:rPr>
        <w:t xml:space="preserve"> approval</w:t>
      </w:r>
      <w:r w:rsidRPr="00C33C2F">
        <w:rPr>
          <w:rFonts w:ascii="Book Antiqua" w:hAnsi="Book Antiqua" w:cs="AdvOT863180fb"/>
          <w:color w:val="000000"/>
          <w:sz w:val="24"/>
          <w:szCs w:val="24"/>
          <w:lang w:val="en-US"/>
        </w:rPr>
        <w:t xml:space="preserve">. </w:t>
      </w:r>
      <w:r w:rsidR="00F81492" w:rsidRPr="00C33C2F">
        <w:rPr>
          <w:rFonts w:ascii="Book Antiqua" w:hAnsi="Book Antiqua" w:cs="AdvOT863180fb"/>
          <w:color w:val="000000"/>
          <w:sz w:val="24"/>
          <w:szCs w:val="24"/>
          <w:lang w:val="en-US"/>
        </w:rPr>
        <w:t>Unfortunately, the increasingly number of treatment wit</w:t>
      </w:r>
      <w:r w:rsidR="00D418FF" w:rsidRPr="00C33C2F">
        <w:rPr>
          <w:rFonts w:ascii="Book Antiqua" w:hAnsi="Book Antiqua" w:cs="AdvOT863180fb"/>
          <w:color w:val="000000"/>
          <w:sz w:val="24"/>
          <w:szCs w:val="24"/>
          <w:lang w:val="en-US"/>
        </w:rPr>
        <w:t>h biologics and their high cost</w:t>
      </w:r>
      <w:r w:rsidR="00F81492" w:rsidRPr="00C33C2F">
        <w:rPr>
          <w:rFonts w:ascii="Book Antiqua" w:hAnsi="Book Antiqua" w:cs="AdvOT863180fb"/>
          <w:color w:val="000000"/>
          <w:sz w:val="24"/>
          <w:szCs w:val="24"/>
          <w:lang w:val="en-US"/>
        </w:rPr>
        <w:t xml:space="preserve">, </w:t>
      </w:r>
      <w:r w:rsidR="00D418FF" w:rsidRPr="00C33C2F">
        <w:rPr>
          <w:rFonts w:ascii="Book Antiqua" w:hAnsi="Book Antiqua" w:cs="AdvOT863180fb"/>
          <w:color w:val="000000"/>
          <w:sz w:val="24"/>
          <w:szCs w:val="24"/>
          <w:lang w:val="en-US"/>
        </w:rPr>
        <w:t xml:space="preserve">necessarily </w:t>
      </w:r>
      <w:r w:rsidR="00F81492" w:rsidRPr="00C33C2F">
        <w:rPr>
          <w:rFonts w:ascii="Book Antiqua" w:hAnsi="Book Antiqua" w:cs="AdvOT863180fb"/>
          <w:color w:val="000000"/>
          <w:sz w:val="24"/>
          <w:szCs w:val="24"/>
          <w:lang w:val="en-US"/>
        </w:rPr>
        <w:t xml:space="preserve">require a reduction </w:t>
      </w:r>
      <w:r w:rsidR="00D418FF" w:rsidRPr="00C33C2F">
        <w:rPr>
          <w:rFonts w:ascii="Book Antiqua" w:hAnsi="Book Antiqua" w:cs="AdvOT863180fb"/>
          <w:color w:val="000000"/>
          <w:sz w:val="24"/>
          <w:szCs w:val="24"/>
          <w:lang w:val="en-US"/>
        </w:rPr>
        <w:t>of</w:t>
      </w:r>
      <w:r w:rsidR="00F81492" w:rsidRPr="00C33C2F">
        <w:rPr>
          <w:rFonts w:ascii="Book Antiqua" w:hAnsi="Book Antiqua" w:cs="AdvOT863180fb"/>
          <w:color w:val="000000"/>
          <w:sz w:val="24"/>
          <w:szCs w:val="24"/>
          <w:lang w:val="en-US"/>
        </w:rPr>
        <w:t xml:space="preserve"> the price of these </w:t>
      </w:r>
      <w:r w:rsidR="00D418FF" w:rsidRPr="00C33C2F">
        <w:rPr>
          <w:rFonts w:ascii="Book Antiqua" w:hAnsi="Book Antiqua" w:cs="AdvOT863180fb"/>
          <w:color w:val="000000"/>
          <w:sz w:val="24"/>
          <w:szCs w:val="24"/>
          <w:lang w:val="en-US"/>
        </w:rPr>
        <w:t xml:space="preserve">compounds </w:t>
      </w:r>
      <w:r w:rsidR="00F81492" w:rsidRPr="00C33C2F">
        <w:rPr>
          <w:rFonts w:ascii="Book Antiqua" w:hAnsi="Book Antiqua" w:cs="AdvOT863180fb"/>
          <w:color w:val="000000"/>
          <w:sz w:val="24"/>
          <w:szCs w:val="24"/>
          <w:lang w:val="en-US"/>
        </w:rPr>
        <w:t xml:space="preserve">to </w:t>
      </w:r>
      <w:r w:rsidR="00D418FF" w:rsidRPr="00C33C2F">
        <w:rPr>
          <w:rFonts w:ascii="Book Antiqua" w:hAnsi="Book Antiqua" w:cs="AdvOT863180fb"/>
          <w:color w:val="000000"/>
          <w:sz w:val="24"/>
          <w:szCs w:val="24"/>
          <w:lang w:val="en-US"/>
        </w:rPr>
        <w:t xml:space="preserve">allow </w:t>
      </w:r>
      <w:r w:rsidR="00F81492" w:rsidRPr="00C33C2F">
        <w:rPr>
          <w:rFonts w:ascii="Book Antiqua" w:hAnsi="Book Antiqua" w:cs="AdvOT863180fb"/>
          <w:color w:val="000000"/>
          <w:sz w:val="24"/>
          <w:szCs w:val="24"/>
          <w:lang w:val="en-US"/>
        </w:rPr>
        <w:t xml:space="preserve">their sustainability by healthcare systems. </w:t>
      </w:r>
      <w:r w:rsidR="001D6CF5" w:rsidRPr="00C33C2F">
        <w:rPr>
          <w:rFonts w:ascii="Book Antiqua" w:hAnsi="Book Antiqua" w:cs="AdvOT863180fb"/>
          <w:color w:val="000000"/>
          <w:sz w:val="24"/>
          <w:szCs w:val="24"/>
          <w:lang w:val="en-US"/>
        </w:rPr>
        <w:t xml:space="preserve">More </w:t>
      </w:r>
      <w:r w:rsidR="009D4F8F" w:rsidRPr="00C33C2F">
        <w:rPr>
          <w:rFonts w:ascii="Book Antiqua" w:hAnsi="Book Antiqua" w:cs="AdvOT863180fb"/>
          <w:color w:val="000000"/>
          <w:sz w:val="24"/>
          <w:szCs w:val="24"/>
          <w:lang w:val="en-US"/>
        </w:rPr>
        <w:t>long</w:t>
      </w:r>
      <w:r w:rsidR="001D6CF5" w:rsidRPr="00C33C2F">
        <w:rPr>
          <w:rFonts w:ascii="Book Antiqua" w:hAnsi="Book Antiqua" w:cs="AdvOT863180fb"/>
          <w:color w:val="000000"/>
          <w:sz w:val="24"/>
          <w:szCs w:val="24"/>
          <w:lang w:val="en-US"/>
        </w:rPr>
        <w:t xml:space="preserve"> </w:t>
      </w:r>
      <w:r w:rsidR="009D4F8F" w:rsidRPr="00C33C2F">
        <w:rPr>
          <w:rFonts w:ascii="Book Antiqua" w:hAnsi="Book Antiqua" w:cs="AdvOT863180fb"/>
          <w:color w:val="000000"/>
          <w:sz w:val="24"/>
          <w:szCs w:val="24"/>
          <w:lang w:val="en-US"/>
        </w:rPr>
        <w:t xml:space="preserve">term data on loss of response rates in switched therapies of IBD, as well as more data on drug levels and antibodies </w:t>
      </w:r>
      <w:r w:rsidR="00D418FF" w:rsidRPr="00C33C2F">
        <w:rPr>
          <w:rFonts w:ascii="Book Antiqua" w:hAnsi="Book Antiqua" w:cs="AdvOT863180fb"/>
          <w:color w:val="000000"/>
          <w:sz w:val="24"/>
          <w:szCs w:val="24"/>
          <w:lang w:val="en-US"/>
        </w:rPr>
        <w:t xml:space="preserve">are awaited </w:t>
      </w:r>
      <w:r w:rsidR="009D4F8F" w:rsidRPr="00C33C2F">
        <w:rPr>
          <w:rFonts w:ascii="Book Antiqua" w:hAnsi="Book Antiqua" w:cs="AdvOT863180fb"/>
          <w:color w:val="000000"/>
          <w:sz w:val="24"/>
          <w:szCs w:val="24"/>
          <w:lang w:val="en-US"/>
        </w:rPr>
        <w:t xml:space="preserve">to </w:t>
      </w:r>
      <w:r w:rsidR="00D418FF" w:rsidRPr="00C33C2F">
        <w:rPr>
          <w:rFonts w:ascii="Book Antiqua" w:hAnsi="Book Antiqua" w:cs="AdvOT863180fb"/>
          <w:color w:val="000000"/>
          <w:sz w:val="24"/>
          <w:szCs w:val="24"/>
          <w:lang w:val="en-US"/>
        </w:rPr>
        <w:t xml:space="preserve">assist physicians’ and patients’ confidence. </w:t>
      </w:r>
    </w:p>
    <w:p w:rsidR="00DD20EF" w:rsidRPr="00C33C2F" w:rsidRDefault="00DD20EF" w:rsidP="008B1267">
      <w:pPr>
        <w:autoSpaceDE w:val="0"/>
        <w:autoSpaceDN w:val="0"/>
        <w:adjustRightInd w:val="0"/>
        <w:spacing w:after="0" w:line="360" w:lineRule="auto"/>
        <w:jc w:val="both"/>
        <w:rPr>
          <w:rFonts w:ascii="Book Antiqua" w:hAnsi="Book Antiqua" w:cs="AdvOT863180fb"/>
          <w:color w:val="000000"/>
          <w:sz w:val="24"/>
          <w:szCs w:val="24"/>
          <w:lang w:val="en-US" w:eastAsia="zh-CN"/>
        </w:rPr>
      </w:pPr>
    </w:p>
    <w:p w:rsidR="00C33C2F" w:rsidRDefault="00C33C2F">
      <w:pPr>
        <w:rPr>
          <w:rFonts w:ascii="Book Antiqua" w:hAnsi="Book Antiqua"/>
          <w:b/>
          <w:sz w:val="24"/>
          <w:szCs w:val="24"/>
          <w:lang w:val="en-US"/>
        </w:rPr>
      </w:pPr>
      <w:r>
        <w:rPr>
          <w:rFonts w:ascii="Book Antiqua" w:hAnsi="Book Antiqua"/>
          <w:b/>
          <w:sz w:val="24"/>
          <w:szCs w:val="24"/>
          <w:lang w:val="en-US"/>
        </w:rPr>
        <w:br w:type="page"/>
      </w:r>
    </w:p>
    <w:p w:rsidR="00D650F4" w:rsidRPr="00C33C2F" w:rsidRDefault="009C399A" w:rsidP="008B1267">
      <w:pPr>
        <w:spacing w:after="0" w:line="360" w:lineRule="auto"/>
        <w:jc w:val="both"/>
        <w:rPr>
          <w:rFonts w:ascii="Book Antiqua" w:hAnsi="Book Antiqua"/>
          <w:b/>
          <w:sz w:val="24"/>
          <w:szCs w:val="24"/>
          <w:lang w:val="en-US" w:eastAsia="zh-CN"/>
        </w:rPr>
      </w:pPr>
      <w:r w:rsidRPr="00C33C2F">
        <w:rPr>
          <w:rFonts w:ascii="Book Antiqua" w:hAnsi="Book Antiqua"/>
          <w:b/>
          <w:sz w:val="24"/>
          <w:szCs w:val="24"/>
          <w:lang w:val="en-US"/>
        </w:rPr>
        <w:lastRenderedPageBreak/>
        <w:t>REFERENCES</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1 </w:t>
      </w:r>
      <w:r w:rsidRPr="00C33C2F">
        <w:rPr>
          <w:rFonts w:ascii="Book Antiqua" w:eastAsia="宋体" w:hAnsi="Book Antiqua" w:cs="宋体"/>
          <w:b/>
          <w:bCs/>
          <w:sz w:val="24"/>
          <w:szCs w:val="24"/>
          <w:lang w:val="en-US"/>
        </w:rPr>
        <w:t>Solberg IC</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Lygren</w:t>
      </w:r>
      <w:proofErr w:type="spellEnd"/>
      <w:r w:rsidRPr="00C33C2F">
        <w:rPr>
          <w:rFonts w:ascii="Book Antiqua" w:eastAsia="宋体" w:hAnsi="Book Antiqua" w:cs="宋体"/>
          <w:sz w:val="24"/>
          <w:szCs w:val="24"/>
          <w:lang w:val="en-US"/>
        </w:rPr>
        <w:t xml:space="preserve"> I, </w:t>
      </w:r>
      <w:proofErr w:type="spellStart"/>
      <w:r w:rsidRPr="00C33C2F">
        <w:rPr>
          <w:rFonts w:ascii="Book Antiqua" w:eastAsia="宋体" w:hAnsi="Book Antiqua" w:cs="宋体"/>
          <w:sz w:val="24"/>
          <w:szCs w:val="24"/>
          <w:lang w:val="en-US"/>
        </w:rPr>
        <w:t>Jahnsen</w:t>
      </w:r>
      <w:proofErr w:type="spellEnd"/>
      <w:r w:rsidRPr="00C33C2F">
        <w:rPr>
          <w:rFonts w:ascii="Book Antiqua" w:eastAsia="宋体" w:hAnsi="Book Antiqua" w:cs="宋体"/>
          <w:sz w:val="24"/>
          <w:szCs w:val="24"/>
          <w:lang w:val="en-US"/>
        </w:rPr>
        <w:t xml:space="preserve"> J, </w:t>
      </w:r>
      <w:proofErr w:type="spellStart"/>
      <w:r w:rsidRPr="00C33C2F">
        <w:rPr>
          <w:rFonts w:ascii="Book Antiqua" w:eastAsia="宋体" w:hAnsi="Book Antiqua" w:cs="宋体"/>
          <w:sz w:val="24"/>
          <w:szCs w:val="24"/>
          <w:lang w:val="en-US"/>
        </w:rPr>
        <w:t>Aadland</w:t>
      </w:r>
      <w:proofErr w:type="spellEnd"/>
      <w:r w:rsidRPr="00C33C2F">
        <w:rPr>
          <w:rFonts w:ascii="Book Antiqua" w:eastAsia="宋体" w:hAnsi="Book Antiqua" w:cs="宋体"/>
          <w:sz w:val="24"/>
          <w:szCs w:val="24"/>
          <w:lang w:val="en-US"/>
        </w:rPr>
        <w:t xml:space="preserve"> E, </w:t>
      </w:r>
      <w:proofErr w:type="spellStart"/>
      <w:r w:rsidRPr="00C33C2F">
        <w:rPr>
          <w:rFonts w:ascii="Book Antiqua" w:eastAsia="宋体" w:hAnsi="Book Antiqua" w:cs="宋体"/>
          <w:sz w:val="24"/>
          <w:szCs w:val="24"/>
          <w:lang w:val="en-US"/>
        </w:rPr>
        <w:t>Høie</w:t>
      </w:r>
      <w:proofErr w:type="spellEnd"/>
      <w:r w:rsidRPr="00C33C2F">
        <w:rPr>
          <w:rFonts w:ascii="Book Antiqua" w:eastAsia="宋体" w:hAnsi="Book Antiqua" w:cs="宋体"/>
          <w:sz w:val="24"/>
          <w:szCs w:val="24"/>
          <w:lang w:val="en-US"/>
        </w:rPr>
        <w:t xml:space="preserve"> O, </w:t>
      </w:r>
      <w:proofErr w:type="spellStart"/>
      <w:r w:rsidRPr="00C33C2F">
        <w:rPr>
          <w:rFonts w:ascii="Book Antiqua" w:eastAsia="宋体" w:hAnsi="Book Antiqua" w:cs="宋体"/>
          <w:sz w:val="24"/>
          <w:szCs w:val="24"/>
          <w:lang w:val="en-US"/>
        </w:rPr>
        <w:t>Cvancarova</w:t>
      </w:r>
      <w:proofErr w:type="spellEnd"/>
      <w:r w:rsidRPr="00C33C2F">
        <w:rPr>
          <w:rFonts w:ascii="Book Antiqua" w:eastAsia="宋体" w:hAnsi="Book Antiqua" w:cs="宋体"/>
          <w:sz w:val="24"/>
          <w:szCs w:val="24"/>
          <w:lang w:val="en-US"/>
        </w:rPr>
        <w:t xml:space="preserve"> M, </w:t>
      </w:r>
      <w:proofErr w:type="spellStart"/>
      <w:r w:rsidRPr="00C33C2F">
        <w:rPr>
          <w:rFonts w:ascii="Book Antiqua" w:eastAsia="宋体" w:hAnsi="Book Antiqua" w:cs="宋体"/>
          <w:sz w:val="24"/>
          <w:szCs w:val="24"/>
          <w:lang w:val="en-US"/>
        </w:rPr>
        <w:t>Bernklev</w:t>
      </w:r>
      <w:proofErr w:type="spellEnd"/>
      <w:r w:rsidRPr="00C33C2F">
        <w:rPr>
          <w:rFonts w:ascii="Book Antiqua" w:eastAsia="宋体" w:hAnsi="Book Antiqua" w:cs="宋体"/>
          <w:sz w:val="24"/>
          <w:szCs w:val="24"/>
          <w:lang w:val="en-US"/>
        </w:rPr>
        <w:t xml:space="preserve"> T, </w:t>
      </w:r>
      <w:proofErr w:type="spellStart"/>
      <w:r w:rsidRPr="00C33C2F">
        <w:rPr>
          <w:rFonts w:ascii="Book Antiqua" w:eastAsia="宋体" w:hAnsi="Book Antiqua" w:cs="宋体"/>
          <w:sz w:val="24"/>
          <w:szCs w:val="24"/>
          <w:lang w:val="en-US"/>
        </w:rPr>
        <w:t>Henriksen</w:t>
      </w:r>
      <w:proofErr w:type="spellEnd"/>
      <w:r w:rsidRPr="00C33C2F">
        <w:rPr>
          <w:rFonts w:ascii="Book Antiqua" w:eastAsia="宋体" w:hAnsi="Book Antiqua" w:cs="宋体"/>
          <w:sz w:val="24"/>
          <w:szCs w:val="24"/>
          <w:lang w:val="en-US"/>
        </w:rPr>
        <w:t xml:space="preserve"> M, </w:t>
      </w:r>
      <w:proofErr w:type="spellStart"/>
      <w:r w:rsidRPr="00C33C2F">
        <w:rPr>
          <w:rFonts w:ascii="Book Antiqua" w:eastAsia="宋体" w:hAnsi="Book Antiqua" w:cs="宋体"/>
          <w:sz w:val="24"/>
          <w:szCs w:val="24"/>
          <w:lang w:val="en-US"/>
        </w:rPr>
        <w:t>Sauar</w:t>
      </w:r>
      <w:proofErr w:type="spellEnd"/>
      <w:r w:rsidRPr="00C33C2F">
        <w:rPr>
          <w:rFonts w:ascii="Book Antiqua" w:eastAsia="宋体" w:hAnsi="Book Antiqua" w:cs="宋体"/>
          <w:sz w:val="24"/>
          <w:szCs w:val="24"/>
          <w:lang w:val="en-US"/>
        </w:rPr>
        <w:t xml:space="preserve"> J, </w:t>
      </w:r>
      <w:proofErr w:type="spellStart"/>
      <w:r w:rsidRPr="00C33C2F">
        <w:rPr>
          <w:rFonts w:ascii="Book Antiqua" w:eastAsia="宋体" w:hAnsi="Book Antiqua" w:cs="宋体"/>
          <w:sz w:val="24"/>
          <w:szCs w:val="24"/>
          <w:lang w:val="en-US"/>
        </w:rPr>
        <w:t>Vatn</w:t>
      </w:r>
      <w:proofErr w:type="spellEnd"/>
      <w:r w:rsidRPr="00C33C2F">
        <w:rPr>
          <w:rFonts w:ascii="Book Antiqua" w:eastAsia="宋体" w:hAnsi="Book Antiqua" w:cs="宋体"/>
          <w:sz w:val="24"/>
          <w:szCs w:val="24"/>
          <w:lang w:val="en-US"/>
        </w:rPr>
        <w:t xml:space="preserve"> MH, </w:t>
      </w:r>
      <w:proofErr w:type="spellStart"/>
      <w:proofErr w:type="gramStart"/>
      <w:r w:rsidRPr="00C33C2F">
        <w:rPr>
          <w:rFonts w:ascii="Book Antiqua" w:eastAsia="宋体" w:hAnsi="Book Antiqua" w:cs="宋体"/>
          <w:sz w:val="24"/>
          <w:szCs w:val="24"/>
          <w:lang w:val="en-US"/>
        </w:rPr>
        <w:t>Moum</w:t>
      </w:r>
      <w:proofErr w:type="spellEnd"/>
      <w:proofErr w:type="gramEnd"/>
      <w:r w:rsidRPr="00C33C2F">
        <w:rPr>
          <w:rFonts w:ascii="Book Antiqua" w:eastAsia="宋体" w:hAnsi="Book Antiqua" w:cs="宋体"/>
          <w:sz w:val="24"/>
          <w:szCs w:val="24"/>
          <w:lang w:val="en-US"/>
        </w:rPr>
        <w:t xml:space="preserve"> B. Clinical course during the first 10 years of ulcerative colitis: results from a population-based inception cohort (IBSEN Study). </w:t>
      </w:r>
      <w:proofErr w:type="spellStart"/>
      <w:r w:rsidRPr="00C33C2F">
        <w:rPr>
          <w:rFonts w:ascii="Book Antiqua" w:eastAsia="宋体" w:hAnsi="Book Antiqua" w:cs="宋体"/>
          <w:i/>
          <w:iCs/>
          <w:sz w:val="24"/>
          <w:szCs w:val="24"/>
          <w:lang w:val="en-US"/>
        </w:rPr>
        <w:t>Scand</w:t>
      </w:r>
      <w:proofErr w:type="spellEnd"/>
      <w:r w:rsidRPr="00C33C2F">
        <w:rPr>
          <w:rFonts w:ascii="Book Antiqua" w:eastAsia="宋体" w:hAnsi="Book Antiqua" w:cs="宋体"/>
          <w:i/>
          <w:iCs/>
          <w:sz w:val="24"/>
          <w:szCs w:val="24"/>
          <w:lang w:val="en-US"/>
        </w:rPr>
        <w:t xml:space="preserve"> J </w:t>
      </w:r>
      <w:proofErr w:type="spellStart"/>
      <w:r w:rsidRPr="00C33C2F">
        <w:rPr>
          <w:rFonts w:ascii="Book Antiqua" w:eastAsia="宋体" w:hAnsi="Book Antiqua" w:cs="宋体"/>
          <w:i/>
          <w:iCs/>
          <w:sz w:val="24"/>
          <w:szCs w:val="24"/>
          <w:lang w:val="en-US"/>
        </w:rPr>
        <w:t>Gastroenterol</w:t>
      </w:r>
      <w:proofErr w:type="spellEnd"/>
      <w:r w:rsidRPr="00C33C2F">
        <w:rPr>
          <w:rFonts w:ascii="Book Antiqua" w:eastAsia="宋体" w:hAnsi="Book Antiqua" w:cs="宋体"/>
          <w:sz w:val="24"/>
          <w:szCs w:val="24"/>
          <w:lang w:val="en-US"/>
        </w:rPr>
        <w:t> 2009; </w:t>
      </w:r>
      <w:r w:rsidRPr="00C33C2F">
        <w:rPr>
          <w:rFonts w:ascii="Book Antiqua" w:eastAsia="宋体" w:hAnsi="Book Antiqua" w:cs="宋体"/>
          <w:b/>
          <w:bCs/>
          <w:sz w:val="24"/>
          <w:szCs w:val="24"/>
          <w:lang w:val="en-US"/>
        </w:rPr>
        <w:t>44</w:t>
      </w:r>
      <w:r w:rsidRPr="00C33C2F">
        <w:rPr>
          <w:rFonts w:ascii="Book Antiqua" w:eastAsia="宋体" w:hAnsi="Book Antiqua" w:cs="宋体"/>
          <w:sz w:val="24"/>
          <w:szCs w:val="24"/>
          <w:lang w:val="en-US"/>
        </w:rPr>
        <w:t>: 431-440 [PMID: 19101844 DOI: 10.1080/00365520802600961]</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2 </w:t>
      </w:r>
      <w:r w:rsidRPr="00C33C2F">
        <w:rPr>
          <w:rFonts w:ascii="Book Antiqua" w:eastAsia="宋体" w:hAnsi="Book Antiqua" w:cs="宋体"/>
          <w:b/>
          <w:bCs/>
          <w:sz w:val="24"/>
          <w:szCs w:val="24"/>
          <w:lang w:val="en-US"/>
        </w:rPr>
        <w:t>Solberg IC</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Vatn</w:t>
      </w:r>
      <w:proofErr w:type="spellEnd"/>
      <w:r w:rsidRPr="00C33C2F">
        <w:rPr>
          <w:rFonts w:ascii="Book Antiqua" w:eastAsia="宋体" w:hAnsi="Book Antiqua" w:cs="宋体"/>
          <w:sz w:val="24"/>
          <w:szCs w:val="24"/>
          <w:lang w:val="en-US"/>
        </w:rPr>
        <w:t xml:space="preserve"> MH, </w:t>
      </w:r>
      <w:proofErr w:type="spellStart"/>
      <w:r w:rsidRPr="00C33C2F">
        <w:rPr>
          <w:rFonts w:ascii="Book Antiqua" w:eastAsia="宋体" w:hAnsi="Book Antiqua" w:cs="宋体"/>
          <w:sz w:val="24"/>
          <w:szCs w:val="24"/>
          <w:lang w:val="en-US"/>
        </w:rPr>
        <w:t>Høie</w:t>
      </w:r>
      <w:proofErr w:type="spellEnd"/>
      <w:r w:rsidRPr="00C33C2F">
        <w:rPr>
          <w:rFonts w:ascii="Book Antiqua" w:eastAsia="宋体" w:hAnsi="Book Antiqua" w:cs="宋体"/>
          <w:sz w:val="24"/>
          <w:szCs w:val="24"/>
          <w:lang w:val="en-US"/>
        </w:rPr>
        <w:t xml:space="preserve"> O, Stray N, </w:t>
      </w:r>
      <w:proofErr w:type="spellStart"/>
      <w:r w:rsidRPr="00C33C2F">
        <w:rPr>
          <w:rFonts w:ascii="Book Antiqua" w:eastAsia="宋体" w:hAnsi="Book Antiqua" w:cs="宋体"/>
          <w:sz w:val="24"/>
          <w:szCs w:val="24"/>
          <w:lang w:val="en-US"/>
        </w:rPr>
        <w:t>Sauar</w:t>
      </w:r>
      <w:proofErr w:type="spellEnd"/>
      <w:r w:rsidRPr="00C33C2F">
        <w:rPr>
          <w:rFonts w:ascii="Book Antiqua" w:eastAsia="宋体" w:hAnsi="Book Antiqua" w:cs="宋体"/>
          <w:sz w:val="24"/>
          <w:szCs w:val="24"/>
          <w:lang w:val="en-US"/>
        </w:rPr>
        <w:t xml:space="preserve"> J, </w:t>
      </w:r>
      <w:proofErr w:type="spellStart"/>
      <w:r w:rsidRPr="00C33C2F">
        <w:rPr>
          <w:rFonts w:ascii="Book Antiqua" w:eastAsia="宋体" w:hAnsi="Book Antiqua" w:cs="宋体"/>
          <w:sz w:val="24"/>
          <w:szCs w:val="24"/>
          <w:lang w:val="en-US"/>
        </w:rPr>
        <w:t>Jahnsen</w:t>
      </w:r>
      <w:proofErr w:type="spellEnd"/>
      <w:r w:rsidRPr="00C33C2F">
        <w:rPr>
          <w:rFonts w:ascii="Book Antiqua" w:eastAsia="宋体" w:hAnsi="Book Antiqua" w:cs="宋体"/>
          <w:sz w:val="24"/>
          <w:szCs w:val="24"/>
          <w:lang w:val="en-US"/>
        </w:rPr>
        <w:t xml:space="preserve"> J, </w:t>
      </w:r>
      <w:proofErr w:type="spellStart"/>
      <w:r w:rsidRPr="00C33C2F">
        <w:rPr>
          <w:rFonts w:ascii="Book Antiqua" w:eastAsia="宋体" w:hAnsi="Book Antiqua" w:cs="宋体"/>
          <w:sz w:val="24"/>
          <w:szCs w:val="24"/>
          <w:lang w:val="en-US"/>
        </w:rPr>
        <w:t>Moum</w:t>
      </w:r>
      <w:proofErr w:type="spellEnd"/>
      <w:r w:rsidRPr="00C33C2F">
        <w:rPr>
          <w:rFonts w:ascii="Book Antiqua" w:eastAsia="宋体" w:hAnsi="Book Antiqua" w:cs="宋体"/>
          <w:sz w:val="24"/>
          <w:szCs w:val="24"/>
          <w:lang w:val="en-US"/>
        </w:rPr>
        <w:t xml:space="preserve"> B, </w:t>
      </w:r>
      <w:proofErr w:type="spellStart"/>
      <w:r w:rsidRPr="00C33C2F">
        <w:rPr>
          <w:rFonts w:ascii="Book Antiqua" w:eastAsia="宋体" w:hAnsi="Book Antiqua" w:cs="宋体"/>
          <w:sz w:val="24"/>
          <w:szCs w:val="24"/>
          <w:lang w:val="en-US"/>
        </w:rPr>
        <w:t>Lygren</w:t>
      </w:r>
      <w:proofErr w:type="spellEnd"/>
      <w:r w:rsidRPr="00C33C2F">
        <w:rPr>
          <w:rFonts w:ascii="Book Antiqua" w:eastAsia="宋体" w:hAnsi="Book Antiqua" w:cs="宋体"/>
          <w:sz w:val="24"/>
          <w:szCs w:val="24"/>
          <w:lang w:val="en-US"/>
        </w:rPr>
        <w:t xml:space="preserve"> I. Clinical course in </w:t>
      </w:r>
      <w:proofErr w:type="spellStart"/>
      <w:r w:rsidRPr="00C33C2F">
        <w:rPr>
          <w:rFonts w:ascii="Book Antiqua" w:eastAsia="宋体" w:hAnsi="Book Antiqua" w:cs="宋体"/>
          <w:sz w:val="24"/>
          <w:szCs w:val="24"/>
          <w:lang w:val="en-US"/>
        </w:rPr>
        <w:t>Crohn's</w:t>
      </w:r>
      <w:proofErr w:type="spellEnd"/>
      <w:r w:rsidRPr="00C33C2F">
        <w:rPr>
          <w:rFonts w:ascii="Book Antiqua" w:eastAsia="宋体" w:hAnsi="Book Antiqua" w:cs="宋体"/>
          <w:sz w:val="24"/>
          <w:szCs w:val="24"/>
          <w:lang w:val="en-US"/>
        </w:rPr>
        <w:t xml:space="preserve"> disease: results of a Norwegian population-based ten-year follow-up study. </w:t>
      </w:r>
      <w:proofErr w:type="spellStart"/>
      <w:r w:rsidRPr="00C33C2F">
        <w:rPr>
          <w:rFonts w:ascii="Book Antiqua" w:eastAsia="宋体" w:hAnsi="Book Antiqua" w:cs="宋体"/>
          <w:i/>
          <w:iCs/>
          <w:sz w:val="24"/>
          <w:szCs w:val="24"/>
          <w:lang w:val="en-US"/>
        </w:rPr>
        <w:t>Clin</w:t>
      </w:r>
      <w:proofErr w:type="spellEnd"/>
      <w:r w:rsidRPr="00C33C2F">
        <w:rPr>
          <w:rFonts w:ascii="Book Antiqua" w:eastAsia="宋体" w:hAnsi="Book Antiqua" w:cs="宋体"/>
          <w:i/>
          <w:iCs/>
          <w:sz w:val="24"/>
          <w:szCs w:val="24"/>
          <w:lang w:val="en-US"/>
        </w:rPr>
        <w:t xml:space="preserve"> </w:t>
      </w:r>
      <w:proofErr w:type="spellStart"/>
      <w:r w:rsidRPr="00C33C2F">
        <w:rPr>
          <w:rFonts w:ascii="Book Antiqua" w:eastAsia="宋体" w:hAnsi="Book Antiqua" w:cs="宋体"/>
          <w:i/>
          <w:iCs/>
          <w:sz w:val="24"/>
          <w:szCs w:val="24"/>
          <w:lang w:val="en-US"/>
        </w:rPr>
        <w:t>Gastroenterol</w:t>
      </w:r>
      <w:proofErr w:type="spellEnd"/>
      <w:r w:rsidRPr="00C33C2F">
        <w:rPr>
          <w:rFonts w:ascii="Book Antiqua" w:eastAsia="宋体" w:hAnsi="Book Antiqua" w:cs="宋体"/>
          <w:i/>
          <w:iCs/>
          <w:sz w:val="24"/>
          <w:szCs w:val="24"/>
          <w:lang w:val="en-US"/>
        </w:rPr>
        <w:t xml:space="preserve"> </w:t>
      </w:r>
      <w:proofErr w:type="spellStart"/>
      <w:r w:rsidRPr="00C33C2F">
        <w:rPr>
          <w:rFonts w:ascii="Book Antiqua" w:eastAsia="宋体" w:hAnsi="Book Antiqua" w:cs="宋体"/>
          <w:i/>
          <w:iCs/>
          <w:sz w:val="24"/>
          <w:szCs w:val="24"/>
          <w:lang w:val="en-US"/>
        </w:rPr>
        <w:t>Hepatol</w:t>
      </w:r>
      <w:proofErr w:type="spellEnd"/>
      <w:r w:rsidRPr="00C33C2F">
        <w:rPr>
          <w:rFonts w:ascii="Book Antiqua" w:eastAsia="宋体" w:hAnsi="Book Antiqua" w:cs="宋体"/>
          <w:sz w:val="24"/>
          <w:szCs w:val="24"/>
          <w:lang w:val="en-US"/>
        </w:rPr>
        <w:t> 2007; </w:t>
      </w:r>
      <w:r w:rsidRPr="00C33C2F">
        <w:rPr>
          <w:rFonts w:ascii="Book Antiqua" w:eastAsia="宋体" w:hAnsi="Book Antiqua" w:cs="宋体"/>
          <w:b/>
          <w:bCs/>
          <w:sz w:val="24"/>
          <w:szCs w:val="24"/>
          <w:lang w:val="en-US"/>
        </w:rPr>
        <w:t>5</w:t>
      </w:r>
      <w:r w:rsidRPr="00C33C2F">
        <w:rPr>
          <w:rFonts w:ascii="Book Antiqua" w:eastAsia="宋体" w:hAnsi="Book Antiqua" w:cs="宋体"/>
          <w:sz w:val="24"/>
          <w:szCs w:val="24"/>
          <w:lang w:val="en-US"/>
        </w:rPr>
        <w:t>: 1430-1438 [PMID: 18054751 DOI: 10.1016/j.cgh.2007.09.002]</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3 </w:t>
      </w:r>
      <w:proofErr w:type="spellStart"/>
      <w:r w:rsidRPr="00C33C2F">
        <w:rPr>
          <w:rFonts w:ascii="Book Antiqua" w:eastAsia="宋体" w:hAnsi="Book Antiqua" w:cs="宋体"/>
          <w:b/>
          <w:bCs/>
          <w:sz w:val="24"/>
          <w:szCs w:val="24"/>
          <w:lang w:val="en-US"/>
        </w:rPr>
        <w:t>Burisch</w:t>
      </w:r>
      <w:proofErr w:type="spellEnd"/>
      <w:r w:rsidRPr="00C33C2F">
        <w:rPr>
          <w:rFonts w:ascii="Book Antiqua" w:eastAsia="宋体" w:hAnsi="Book Antiqua" w:cs="宋体"/>
          <w:b/>
          <w:bCs/>
          <w:sz w:val="24"/>
          <w:szCs w:val="24"/>
          <w:lang w:val="en-US"/>
        </w:rPr>
        <w:t xml:space="preserve"> J</w:t>
      </w:r>
      <w:r w:rsidRPr="00C33C2F">
        <w:rPr>
          <w:rFonts w:ascii="Book Antiqua" w:eastAsia="宋体" w:hAnsi="Book Antiqua" w:cs="宋体"/>
          <w:sz w:val="24"/>
          <w:szCs w:val="24"/>
          <w:lang w:val="en-US"/>
        </w:rPr>
        <w:t xml:space="preserve">, Jess T, </w:t>
      </w:r>
      <w:proofErr w:type="spellStart"/>
      <w:r w:rsidRPr="00C33C2F">
        <w:rPr>
          <w:rFonts w:ascii="Book Antiqua" w:eastAsia="宋体" w:hAnsi="Book Antiqua" w:cs="宋体"/>
          <w:sz w:val="24"/>
          <w:szCs w:val="24"/>
          <w:lang w:val="en-US"/>
        </w:rPr>
        <w:t>Martinato</w:t>
      </w:r>
      <w:proofErr w:type="spellEnd"/>
      <w:r w:rsidRPr="00C33C2F">
        <w:rPr>
          <w:rFonts w:ascii="Book Antiqua" w:eastAsia="宋体" w:hAnsi="Book Antiqua" w:cs="宋体"/>
          <w:sz w:val="24"/>
          <w:szCs w:val="24"/>
          <w:lang w:val="en-US"/>
        </w:rPr>
        <w:t xml:space="preserve"> M, </w:t>
      </w:r>
      <w:proofErr w:type="spellStart"/>
      <w:r w:rsidRPr="00C33C2F">
        <w:rPr>
          <w:rFonts w:ascii="Book Antiqua" w:eastAsia="宋体" w:hAnsi="Book Antiqua" w:cs="宋体"/>
          <w:sz w:val="24"/>
          <w:szCs w:val="24"/>
          <w:lang w:val="en-US"/>
        </w:rPr>
        <w:t>Lakatos</w:t>
      </w:r>
      <w:proofErr w:type="spellEnd"/>
      <w:r w:rsidRPr="00C33C2F">
        <w:rPr>
          <w:rFonts w:ascii="Book Antiqua" w:eastAsia="宋体" w:hAnsi="Book Antiqua" w:cs="宋体"/>
          <w:sz w:val="24"/>
          <w:szCs w:val="24"/>
          <w:lang w:val="en-US"/>
        </w:rPr>
        <w:t xml:space="preserve"> PL. </w:t>
      </w:r>
      <w:proofErr w:type="gramStart"/>
      <w:r w:rsidRPr="00C33C2F">
        <w:rPr>
          <w:rFonts w:ascii="Book Antiqua" w:eastAsia="宋体" w:hAnsi="Book Antiqua" w:cs="宋体"/>
          <w:sz w:val="24"/>
          <w:szCs w:val="24"/>
          <w:lang w:val="en-US"/>
        </w:rPr>
        <w:t>The burden of inflammatory bowel disease in Europe.</w:t>
      </w:r>
      <w:proofErr w:type="gramEnd"/>
      <w:r w:rsidRPr="00C33C2F">
        <w:rPr>
          <w:rFonts w:ascii="Book Antiqua" w:eastAsia="宋体" w:hAnsi="Book Antiqua" w:cs="宋体"/>
          <w:sz w:val="24"/>
          <w:szCs w:val="24"/>
          <w:lang w:val="en-US"/>
        </w:rPr>
        <w:t> </w:t>
      </w:r>
      <w:r w:rsidRPr="00C33C2F">
        <w:rPr>
          <w:rFonts w:ascii="Book Antiqua" w:eastAsia="宋体" w:hAnsi="Book Antiqua" w:cs="宋体"/>
          <w:i/>
          <w:iCs/>
          <w:sz w:val="24"/>
          <w:szCs w:val="24"/>
          <w:lang w:val="en-US"/>
        </w:rPr>
        <w:t xml:space="preserve">J </w:t>
      </w:r>
      <w:proofErr w:type="spellStart"/>
      <w:r w:rsidRPr="00C33C2F">
        <w:rPr>
          <w:rFonts w:ascii="Book Antiqua" w:eastAsia="宋体" w:hAnsi="Book Antiqua" w:cs="宋体"/>
          <w:i/>
          <w:iCs/>
          <w:sz w:val="24"/>
          <w:szCs w:val="24"/>
          <w:lang w:val="en-US"/>
        </w:rPr>
        <w:t>Crohns</w:t>
      </w:r>
      <w:proofErr w:type="spellEnd"/>
      <w:r w:rsidRPr="00C33C2F">
        <w:rPr>
          <w:rFonts w:ascii="Book Antiqua" w:eastAsia="宋体" w:hAnsi="Book Antiqua" w:cs="宋体"/>
          <w:i/>
          <w:iCs/>
          <w:sz w:val="24"/>
          <w:szCs w:val="24"/>
          <w:lang w:val="en-US"/>
        </w:rPr>
        <w:t xml:space="preserve"> Colitis</w:t>
      </w:r>
      <w:r w:rsidRPr="00C33C2F">
        <w:rPr>
          <w:rFonts w:ascii="Book Antiqua" w:eastAsia="宋体" w:hAnsi="Book Antiqua" w:cs="宋体"/>
          <w:sz w:val="24"/>
          <w:szCs w:val="24"/>
          <w:lang w:val="en-US"/>
        </w:rPr>
        <w:t> 2013; </w:t>
      </w:r>
      <w:r w:rsidRPr="00C33C2F">
        <w:rPr>
          <w:rFonts w:ascii="Book Antiqua" w:eastAsia="宋体" w:hAnsi="Book Antiqua" w:cs="宋体"/>
          <w:b/>
          <w:bCs/>
          <w:sz w:val="24"/>
          <w:szCs w:val="24"/>
          <w:lang w:val="en-US"/>
        </w:rPr>
        <w:t>7</w:t>
      </w:r>
      <w:r w:rsidRPr="00C33C2F">
        <w:rPr>
          <w:rFonts w:ascii="Book Antiqua" w:eastAsia="宋体" w:hAnsi="Book Antiqua" w:cs="宋体"/>
          <w:sz w:val="24"/>
          <w:szCs w:val="24"/>
          <w:lang w:val="en-US"/>
        </w:rPr>
        <w:t>: 322-337 [PMID: 23395397 DOI: 10.1016/j.crohns.2013.01.010]</w:t>
      </w:r>
    </w:p>
    <w:p w:rsidR="006A6500" w:rsidRPr="00C33C2F" w:rsidRDefault="006A6500" w:rsidP="008B1267">
      <w:pPr>
        <w:spacing w:after="0" w:line="360" w:lineRule="auto"/>
        <w:jc w:val="both"/>
        <w:rPr>
          <w:rFonts w:ascii="Book Antiqua" w:eastAsia="宋体" w:hAnsi="Book Antiqua" w:cs="宋体"/>
          <w:sz w:val="24"/>
          <w:szCs w:val="24"/>
          <w:lang w:val="en-US"/>
        </w:rPr>
      </w:pPr>
      <w:proofErr w:type="gramStart"/>
      <w:r w:rsidRPr="00C33C2F">
        <w:rPr>
          <w:rFonts w:ascii="Book Antiqua" w:eastAsia="宋体" w:hAnsi="Book Antiqua" w:cs="宋体"/>
          <w:sz w:val="24"/>
          <w:szCs w:val="24"/>
          <w:lang w:val="en-US"/>
        </w:rPr>
        <w:t>4 </w:t>
      </w:r>
      <w:r w:rsidRPr="00C33C2F">
        <w:rPr>
          <w:rFonts w:ascii="Book Antiqua" w:eastAsia="宋体" w:hAnsi="Book Antiqua" w:cs="宋体"/>
          <w:b/>
          <w:bCs/>
          <w:sz w:val="24"/>
          <w:szCs w:val="24"/>
          <w:lang w:val="en-US"/>
        </w:rPr>
        <w:t>Pedersen J</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Coskun</w:t>
      </w:r>
      <w:proofErr w:type="spellEnd"/>
      <w:r w:rsidRPr="00C33C2F">
        <w:rPr>
          <w:rFonts w:ascii="Book Antiqua" w:eastAsia="宋体" w:hAnsi="Book Antiqua" w:cs="宋体"/>
          <w:sz w:val="24"/>
          <w:szCs w:val="24"/>
          <w:lang w:val="en-US"/>
        </w:rPr>
        <w:t xml:space="preserve"> M, </w:t>
      </w:r>
      <w:proofErr w:type="spellStart"/>
      <w:r w:rsidRPr="00C33C2F">
        <w:rPr>
          <w:rFonts w:ascii="Book Antiqua" w:eastAsia="宋体" w:hAnsi="Book Antiqua" w:cs="宋体"/>
          <w:sz w:val="24"/>
          <w:szCs w:val="24"/>
          <w:lang w:val="en-US"/>
        </w:rPr>
        <w:t>Soendergaard</w:t>
      </w:r>
      <w:proofErr w:type="spellEnd"/>
      <w:r w:rsidRPr="00C33C2F">
        <w:rPr>
          <w:rFonts w:ascii="Book Antiqua" w:eastAsia="宋体" w:hAnsi="Book Antiqua" w:cs="宋体"/>
          <w:sz w:val="24"/>
          <w:szCs w:val="24"/>
          <w:lang w:val="en-US"/>
        </w:rPr>
        <w:t xml:space="preserve"> C, Salem M, Nielsen OH.</w:t>
      </w:r>
      <w:proofErr w:type="gramEnd"/>
      <w:r w:rsidRPr="00C33C2F">
        <w:rPr>
          <w:rFonts w:ascii="Book Antiqua" w:eastAsia="宋体" w:hAnsi="Book Antiqua" w:cs="宋体"/>
          <w:sz w:val="24"/>
          <w:szCs w:val="24"/>
          <w:lang w:val="en-US"/>
        </w:rPr>
        <w:t xml:space="preserve"> </w:t>
      </w:r>
      <w:proofErr w:type="gramStart"/>
      <w:r w:rsidRPr="00C33C2F">
        <w:rPr>
          <w:rFonts w:ascii="Book Antiqua" w:eastAsia="宋体" w:hAnsi="Book Antiqua" w:cs="宋体"/>
          <w:sz w:val="24"/>
          <w:szCs w:val="24"/>
          <w:lang w:val="en-US"/>
        </w:rPr>
        <w:t>Inflammatory pathways of importance for management of inflammatory bowel disease.</w:t>
      </w:r>
      <w:proofErr w:type="gramEnd"/>
      <w:r w:rsidRPr="00C33C2F">
        <w:rPr>
          <w:rFonts w:ascii="Book Antiqua" w:eastAsia="宋体" w:hAnsi="Book Antiqua" w:cs="宋体"/>
          <w:sz w:val="24"/>
          <w:szCs w:val="24"/>
          <w:lang w:val="en-US"/>
        </w:rPr>
        <w:t> </w:t>
      </w:r>
      <w:r w:rsidRPr="00C33C2F">
        <w:rPr>
          <w:rFonts w:ascii="Book Antiqua" w:eastAsia="宋体" w:hAnsi="Book Antiqua" w:cs="宋体"/>
          <w:i/>
          <w:iCs/>
          <w:sz w:val="24"/>
          <w:szCs w:val="24"/>
          <w:lang w:val="en-US"/>
        </w:rPr>
        <w:t xml:space="preserve">World J </w:t>
      </w:r>
      <w:proofErr w:type="spellStart"/>
      <w:r w:rsidRPr="00C33C2F">
        <w:rPr>
          <w:rFonts w:ascii="Book Antiqua" w:eastAsia="宋体" w:hAnsi="Book Antiqua" w:cs="宋体"/>
          <w:i/>
          <w:iCs/>
          <w:sz w:val="24"/>
          <w:szCs w:val="24"/>
          <w:lang w:val="en-US"/>
        </w:rPr>
        <w:t>Gastroenterol</w:t>
      </w:r>
      <w:proofErr w:type="spellEnd"/>
      <w:r w:rsidRPr="00C33C2F">
        <w:rPr>
          <w:rFonts w:ascii="Book Antiqua" w:eastAsia="宋体" w:hAnsi="Book Antiqua" w:cs="宋体"/>
          <w:sz w:val="24"/>
          <w:szCs w:val="24"/>
          <w:lang w:val="en-US"/>
        </w:rPr>
        <w:t> 2014; </w:t>
      </w:r>
      <w:r w:rsidRPr="00C33C2F">
        <w:rPr>
          <w:rFonts w:ascii="Book Antiqua" w:eastAsia="宋体" w:hAnsi="Book Antiqua" w:cs="宋体"/>
          <w:b/>
          <w:bCs/>
          <w:sz w:val="24"/>
          <w:szCs w:val="24"/>
          <w:lang w:val="en-US"/>
        </w:rPr>
        <w:t>20</w:t>
      </w:r>
      <w:r w:rsidRPr="00C33C2F">
        <w:rPr>
          <w:rFonts w:ascii="Book Antiqua" w:eastAsia="宋体" w:hAnsi="Book Antiqua" w:cs="宋体"/>
          <w:sz w:val="24"/>
          <w:szCs w:val="24"/>
          <w:lang w:val="en-US"/>
        </w:rPr>
        <w:t>: 64-77 [PMID: 24415859 DOI: 10.3748/wjg.v20.i1.64]</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5 </w:t>
      </w:r>
      <w:r w:rsidRPr="00C33C2F">
        <w:rPr>
          <w:rFonts w:ascii="Book Antiqua" w:eastAsia="宋体" w:hAnsi="Book Antiqua" w:cs="宋体"/>
          <w:b/>
          <w:bCs/>
          <w:sz w:val="24"/>
          <w:szCs w:val="24"/>
          <w:lang w:val="en-US"/>
        </w:rPr>
        <w:t>Abraham J</w:t>
      </w:r>
      <w:r w:rsidRPr="00C33C2F">
        <w:rPr>
          <w:rFonts w:ascii="Book Antiqua" w:eastAsia="宋体" w:hAnsi="Book Antiqua" w:cs="宋体"/>
          <w:sz w:val="24"/>
          <w:szCs w:val="24"/>
          <w:lang w:val="en-US"/>
        </w:rPr>
        <w:t xml:space="preserve">. Developing oncology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 an essential approach for the future. </w:t>
      </w:r>
      <w:proofErr w:type="spellStart"/>
      <w:r w:rsidRPr="00C33C2F">
        <w:rPr>
          <w:rFonts w:ascii="Book Antiqua" w:eastAsia="宋体" w:hAnsi="Book Antiqua" w:cs="宋体"/>
          <w:i/>
          <w:iCs/>
          <w:sz w:val="24"/>
          <w:szCs w:val="24"/>
          <w:lang w:val="en-US"/>
        </w:rPr>
        <w:t>Semin</w:t>
      </w:r>
      <w:proofErr w:type="spellEnd"/>
      <w:r w:rsidRPr="00C33C2F">
        <w:rPr>
          <w:rFonts w:ascii="Book Antiqua" w:eastAsia="宋体" w:hAnsi="Book Antiqua" w:cs="宋体"/>
          <w:i/>
          <w:iCs/>
          <w:sz w:val="24"/>
          <w:szCs w:val="24"/>
          <w:lang w:val="en-US"/>
        </w:rPr>
        <w:t xml:space="preserve"> </w:t>
      </w:r>
      <w:proofErr w:type="spellStart"/>
      <w:r w:rsidRPr="00C33C2F">
        <w:rPr>
          <w:rFonts w:ascii="Book Antiqua" w:eastAsia="宋体" w:hAnsi="Book Antiqua" w:cs="宋体"/>
          <w:i/>
          <w:iCs/>
          <w:sz w:val="24"/>
          <w:szCs w:val="24"/>
          <w:lang w:val="en-US"/>
        </w:rPr>
        <w:t>Oncol</w:t>
      </w:r>
      <w:proofErr w:type="spellEnd"/>
      <w:r w:rsidRPr="00C33C2F">
        <w:rPr>
          <w:rFonts w:ascii="Book Antiqua" w:eastAsia="宋体" w:hAnsi="Book Antiqua" w:cs="宋体"/>
          <w:sz w:val="24"/>
          <w:szCs w:val="24"/>
          <w:lang w:val="en-US"/>
        </w:rPr>
        <w:t> 2013; </w:t>
      </w:r>
      <w:r w:rsidRPr="00C33C2F">
        <w:rPr>
          <w:rFonts w:ascii="Book Antiqua" w:eastAsia="宋体" w:hAnsi="Book Antiqua" w:cs="宋体"/>
          <w:b/>
          <w:bCs/>
          <w:sz w:val="24"/>
          <w:szCs w:val="24"/>
          <w:lang w:val="en-US"/>
        </w:rPr>
        <w:t xml:space="preserve">40 </w:t>
      </w:r>
      <w:proofErr w:type="spellStart"/>
      <w:r w:rsidRPr="00C33C2F">
        <w:rPr>
          <w:rFonts w:ascii="Book Antiqua" w:eastAsia="宋体" w:hAnsi="Book Antiqua" w:cs="宋体"/>
          <w:bCs/>
          <w:sz w:val="24"/>
          <w:szCs w:val="24"/>
          <w:lang w:val="en-US"/>
        </w:rPr>
        <w:t>Suppl</w:t>
      </w:r>
      <w:proofErr w:type="spellEnd"/>
      <w:r w:rsidRPr="00C33C2F">
        <w:rPr>
          <w:rFonts w:ascii="Book Antiqua" w:eastAsia="宋体" w:hAnsi="Book Antiqua" w:cs="宋体"/>
          <w:bCs/>
          <w:sz w:val="24"/>
          <w:szCs w:val="24"/>
          <w:lang w:val="en-US"/>
        </w:rPr>
        <w:t xml:space="preserve"> 1</w:t>
      </w:r>
      <w:r w:rsidRPr="00C33C2F">
        <w:rPr>
          <w:rFonts w:ascii="Book Antiqua" w:eastAsia="宋体" w:hAnsi="Book Antiqua" w:cs="宋体"/>
          <w:sz w:val="24"/>
          <w:szCs w:val="24"/>
          <w:lang w:val="en-US"/>
        </w:rPr>
        <w:t>: S5-24 [PMID: 24267944 DOI: 10.1053/j.seminoncol.2013.09.015]</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6</w:t>
      </w:r>
      <w:r w:rsidRPr="00C33C2F">
        <w:rPr>
          <w:rFonts w:ascii="Book Antiqua" w:eastAsia="宋体" w:hAnsi="Book Antiqua" w:cs="宋体"/>
          <w:b/>
          <w:sz w:val="24"/>
          <w:szCs w:val="24"/>
          <w:lang w:val="en-US"/>
        </w:rPr>
        <w:t xml:space="preserve"> </w:t>
      </w:r>
      <w:proofErr w:type="spellStart"/>
      <w:r w:rsidRPr="00C33C2F">
        <w:rPr>
          <w:rFonts w:ascii="Book Antiqua" w:eastAsia="宋体" w:hAnsi="Book Antiqua" w:cs="宋体"/>
          <w:b/>
          <w:sz w:val="24"/>
          <w:szCs w:val="24"/>
          <w:lang w:val="en-US"/>
        </w:rPr>
        <w:t>Brodszky</w:t>
      </w:r>
      <w:proofErr w:type="spellEnd"/>
      <w:r w:rsidRPr="00C33C2F">
        <w:rPr>
          <w:rFonts w:ascii="Book Antiqua" w:eastAsia="宋体" w:hAnsi="Book Antiqua" w:cs="宋体"/>
          <w:b/>
          <w:sz w:val="24"/>
          <w:szCs w:val="24"/>
          <w:lang w:val="en-US"/>
        </w:rPr>
        <w:t xml:space="preserve"> V</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Baji</w:t>
      </w:r>
      <w:proofErr w:type="spellEnd"/>
      <w:r w:rsidRPr="00C33C2F">
        <w:rPr>
          <w:rFonts w:ascii="Book Antiqua" w:eastAsia="宋体" w:hAnsi="Book Antiqua" w:cs="宋体"/>
          <w:sz w:val="24"/>
          <w:szCs w:val="24"/>
          <w:lang w:val="en-US"/>
        </w:rPr>
        <w:t xml:space="preserve"> P, </w:t>
      </w:r>
      <w:proofErr w:type="spellStart"/>
      <w:r w:rsidRPr="00C33C2F">
        <w:rPr>
          <w:rFonts w:ascii="Book Antiqua" w:eastAsia="宋体" w:hAnsi="Book Antiqua" w:cs="宋体"/>
          <w:sz w:val="24"/>
          <w:szCs w:val="24"/>
          <w:lang w:val="en-US"/>
        </w:rPr>
        <w:t>Balogh</w:t>
      </w:r>
      <w:proofErr w:type="spellEnd"/>
      <w:r w:rsidRPr="00C33C2F">
        <w:rPr>
          <w:rFonts w:ascii="Book Antiqua" w:eastAsia="宋体" w:hAnsi="Book Antiqua" w:cs="宋体"/>
          <w:sz w:val="24"/>
          <w:szCs w:val="24"/>
          <w:lang w:val="en-US"/>
        </w:rPr>
        <w:t xml:space="preserve"> O, </w:t>
      </w:r>
      <w:proofErr w:type="spellStart"/>
      <w:r w:rsidRPr="00C33C2F">
        <w:rPr>
          <w:rFonts w:ascii="Book Antiqua" w:eastAsia="宋体" w:hAnsi="Book Antiqua" w:cs="宋体"/>
          <w:sz w:val="24"/>
          <w:szCs w:val="24"/>
          <w:lang w:val="en-US"/>
        </w:rPr>
        <w:t>Pentek</w:t>
      </w:r>
      <w:proofErr w:type="spellEnd"/>
      <w:r w:rsidRPr="00C33C2F">
        <w:rPr>
          <w:rFonts w:ascii="Book Antiqua" w:eastAsia="宋体" w:hAnsi="Book Antiqua" w:cs="宋体"/>
          <w:sz w:val="24"/>
          <w:szCs w:val="24"/>
          <w:lang w:val="en-US"/>
        </w:rPr>
        <w:t xml:space="preserve"> M. Budget impact analysis of </w:t>
      </w:r>
      <w:proofErr w:type="spellStart"/>
      <w:r w:rsidRPr="00C33C2F">
        <w:rPr>
          <w:rFonts w:ascii="Book Antiqua" w:eastAsia="宋体" w:hAnsi="Book Antiqua" w:cs="宋体"/>
          <w:sz w:val="24"/>
          <w:szCs w:val="24"/>
          <w:lang w:val="en-US"/>
        </w:rPr>
        <w:t>biosimilar</w:t>
      </w:r>
      <w:proofErr w:type="spellEnd"/>
      <w:r w:rsidRPr="00C33C2F">
        <w:rPr>
          <w:rFonts w:ascii="Book Antiqua" w:eastAsia="宋体" w:hAnsi="Book Antiqua" w:cs="宋体"/>
          <w:sz w:val="24"/>
          <w:szCs w:val="24"/>
          <w:lang w:val="en-US"/>
        </w:rPr>
        <w:t xml:space="preserve"> infliximab (CT-P13) for the treatment of rheumatoid arthritis in six Central and Eastern European countries. </w:t>
      </w:r>
      <w:proofErr w:type="spellStart"/>
      <w:r w:rsidRPr="00C33C2F">
        <w:rPr>
          <w:rFonts w:ascii="Book Antiqua" w:eastAsia="宋体" w:hAnsi="Book Antiqua" w:cs="宋体"/>
          <w:i/>
          <w:sz w:val="24"/>
          <w:szCs w:val="24"/>
          <w:lang w:val="en-US"/>
        </w:rPr>
        <w:t>Eur</w:t>
      </w:r>
      <w:proofErr w:type="spellEnd"/>
      <w:r w:rsidRPr="00C33C2F">
        <w:rPr>
          <w:rFonts w:ascii="Book Antiqua" w:eastAsia="宋体" w:hAnsi="Book Antiqua" w:cs="宋体"/>
          <w:i/>
          <w:sz w:val="24"/>
          <w:szCs w:val="24"/>
          <w:lang w:val="en-US"/>
        </w:rPr>
        <w:t xml:space="preserve"> J Health Econ</w:t>
      </w:r>
      <w:r w:rsidRPr="00C33C2F">
        <w:rPr>
          <w:rFonts w:ascii="Book Antiqua" w:eastAsia="宋体" w:hAnsi="Book Antiqua" w:cs="宋体"/>
          <w:sz w:val="24"/>
          <w:szCs w:val="24"/>
          <w:lang w:val="en-US"/>
        </w:rPr>
        <w:t xml:space="preserve"> 2014; </w:t>
      </w:r>
      <w:r w:rsidRPr="00C33C2F">
        <w:rPr>
          <w:rFonts w:ascii="Book Antiqua" w:eastAsia="宋体" w:hAnsi="Book Antiqua" w:cs="宋体"/>
          <w:b/>
          <w:sz w:val="24"/>
          <w:szCs w:val="24"/>
          <w:lang w:val="en-US"/>
        </w:rPr>
        <w:t>15</w:t>
      </w:r>
      <w:r w:rsidRPr="00C33C2F">
        <w:rPr>
          <w:rFonts w:ascii="Book Antiqua" w:eastAsia="宋体" w:hAnsi="Book Antiqua" w:cs="宋体" w:hint="eastAsia"/>
          <w:sz w:val="24"/>
          <w:szCs w:val="24"/>
          <w:lang w:val="en-US"/>
        </w:rPr>
        <w:t xml:space="preserve"> </w:t>
      </w:r>
      <w:r w:rsidRPr="00C33C2F">
        <w:rPr>
          <w:rFonts w:ascii="Book Antiqua" w:eastAsia="宋体" w:hAnsi="Book Antiqua" w:cs="宋体"/>
          <w:sz w:val="24"/>
          <w:szCs w:val="24"/>
          <w:lang w:val="en-US"/>
        </w:rPr>
        <w:t>(</w:t>
      </w:r>
      <w:proofErr w:type="spellStart"/>
      <w:r w:rsidRPr="00C33C2F">
        <w:rPr>
          <w:rFonts w:ascii="Book Antiqua" w:eastAsia="宋体" w:hAnsi="Book Antiqua" w:cs="宋体"/>
          <w:sz w:val="24"/>
          <w:szCs w:val="24"/>
          <w:lang w:val="en-US"/>
        </w:rPr>
        <w:t>Suppl</w:t>
      </w:r>
      <w:proofErr w:type="spellEnd"/>
      <w:r w:rsidRPr="00C33C2F">
        <w:rPr>
          <w:rFonts w:ascii="Book Antiqua" w:eastAsia="宋体" w:hAnsi="Book Antiqua" w:cs="宋体"/>
          <w:sz w:val="24"/>
          <w:szCs w:val="24"/>
          <w:lang w:val="en-US"/>
        </w:rPr>
        <w:t xml:space="preserve"> 1): 65-71 [DOI: 10.1007/s10198-014-0595-3</w:t>
      </w:r>
      <w:r w:rsidRPr="00C33C2F">
        <w:rPr>
          <w:rFonts w:ascii="Book Antiqua" w:eastAsia="宋体" w:hAnsi="Book Antiqua" w:cs="宋体" w:hint="eastAsia"/>
          <w:sz w:val="24"/>
          <w:szCs w:val="24"/>
          <w:lang w:val="en-US"/>
        </w:rPr>
        <w:t>]</w:t>
      </w:r>
    </w:p>
    <w:p w:rsidR="006A6500" w:rsidRPr="00C33C2F" w:rsidRDefault="006A6500" w:rsidP="008B1267">
      <w:pPr>
        <w:spacing w:after="0" w:line="360" w:lineRule="auto"/>
        <w:rPr>
          <w:rFonts w:ascii="Book Antiqua" w:eastAsia="宋体" w:hAnsi="Book Antiqua" w:cs="宋体"/>
          <w:sz w:val="24"/>
          <w:szCs w:val="24"/>
          <w:lang w:val="en-US"/>
        </w:rPr>
      </w:pPr>
      <w:r w:rsidRPr="00C33C2F">
        <w:rPr>
          <w:rFonts w:ascii="Book Antiqua" w:eastAsia="宋体" w:hAnsi="Book Antiqua" w:cs="宋体"/>
          <w:sz w:val="24"/>
          <w:szCs w:val="24"/>
          <w:lang w:val="en-US"/>
        </w:rPr>
        <w:t xml:space="preserve">7 </w:t>
      </w:r>
      <w:proofErr w:type="spellStart"/>
      <w:r w:rsidRPr="00C33C2F">
        <w:rPr>
          <w:rFonts w:ascii="Book Antiqua" w:eastAsia="宋体" w:hAnsi="Book Antiqua" w:cs="宋体"/>
          <w:b/>
          <w:sz w:val="24"/>
          <w:szCs w:val="24"/>
          <w:lang w:val="en-US"/>
        </w:rPr>
        <w:t>Haustein</w:t>
      </w:r>
      <w:proofErr w:type="spellEnd"/>
      <w:r w:rsidRPr="00C33C2F">
        <w:rPr>
          <w:rFonts w:ascii="Book Antiqua" w:eastAsia="宋体" w:hAnsi="Book Antiqua" w:cs="宋体"/>
          <w:b/>
          <w:sz w:val="24"/>
          <w:szCs w:val="24"/>
          <w:lang w:val="en-US"/>
        </w:rPr>
        <w:t xml:space="preserve"> R, </w:t>
      </w:r>
      <w:proofErr w:type="spellStart"/>
      <w:r w:rsidRPr="00C33C2F">
        <w:rPr>
          <w:rFonts w:ascii="Book Antiqua" w:eastAsia="宋体" w:hAnsi="Book Antiqua" w:cs="宋体"/>
          <w:sz w:val="24"/>
          <w:szCs w:val="24"/>
          <w:lang w:val="en-US"/>
        </w:rPr>
        <w:t>Millas</w:t>
      </w:r>
      <w:proofErr w:type="spellEnd"/>
      <w:r w:rsidRPr="00C33C2F">
        <w:rPr>
          <w:rFonts w:ascii="Book Antiqua" w:eastAsia="宋体" w:hAnsi="Book Antiqua" w:cs="宋体"/>
          <w:sz w:val="24"/>
          <w:szCs w:val="24"/>
          <w:lang w:val="en-US"/>
        </w:rPr>
        <w:t xml:space="preserve"> C, Hoer A, Haussler B. Saving money in the European healthcare systems with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 xml:space="preserve">. </w:t>
      </w:r>
      <w:r w:rsidRPr="00C33C2F">
        <w:rPr>
          <w:rFonts w:ascii="Book Antiqua" w:eastAsia="宋体" w:hAnsi="Book Antiqua" w:cs="宋体"/>
          <w:i/>
          <w:sz w:val="24"/>
          <w:szCs w:val="24"/>
          <w:lang w:val="en-US"/>
        </w:rPr>
        <w:t xml:space="preserve">Generics </w:t>
      </w:r>
      <w:proofErr w:type="spellStart"/>
      <w:r w:rsidRPr="00C33C2F">
        <w:rPr>
          <w:rFonts w:ascii="Book Antiqua" w:eastAsia="宋体" w:hAnsi="Book Antiqua" w:cs="宋体"/>
          <w:i/>
          <w:sz w:val="24"/>
          <w:szCs w:val="24"/>
          <w:lang w:val="en-US"/>
        </w:rPr>
        <w:t>Biosimilars</w:t>
      </w:r>
      <w:proofErr w:type="spellEnd"/>
      <w:r w:rsidRPr="00C33C2F">
        <w:rPr>
          <w:rFonts w:ascii="Book Antiqua" w:eastAsia="宋体" w:hAnsi="Book Antiqua" w:cs="宋体"/>
          <w:i/>
          <w:sz w:val="24"/>
          <w:szCs w:val="24"/>
          <w:lang w:val="en-US"/>
        </w:rPr>
        <w:t xml:space="preserve"> </w:t>
      </w:r>
      <w:proofErr w:type="spellStart"/>
      <w:r w:rsidRPr="00C33C2F">
        <w:rPr>
          <w:rFonts w:ascii="Book Antiqua" w:eastAsia="宋体" w:hAnsi="Book Antiqua" w:cs="宋体"/>
          <w:i/>
          <w:sz w:val="24"/>
          <w:szCs w:val="24"/>
          <w:lang w:val="en-US"/>
        </w:rPr>
        <w:t>Initiat</w:t>
      </w:r>
      <w:proofErr w:type="spellEnd"/>
      <w:r w:rsidRPr="00C33C2F">
        <w:rPr>
          <w:rFonts w:ascii="Book Antiqua" w:eastAsia="宋体" w:hAnsi="Book Antiqua" w:cs="宋体"/>
          <w:i/>
          <w:sz w:val="24"/>
          <w:szCs w:val="24"/>
          <w:lang w:val="en-US"/>
        </w:rPr>
        <w:t xml:space="preserve"> J</w:t>
      </w:r>
      <w:r w:rsidRPr="00C33C2F">
        <w:rPr>
          <w:rFonts w:ascii="Book Antiqua" w:eastAsia="宋体" w:hAnsi="Book Antiqua" w:cs="宋体"/>
          <w:sz w:val="24"/>
          <w:szCs w:val="24"/>
          <w:lang w:val="en-US"/>
        </w:rPr>
        <w:t xml:space="preserve"> 2012; </w:t>
      </w:r>
      <w:r w:rsidRPr="00C33C2F">
        <w:rPr>
          <w:rFonts w:ascii="Book Antiqua" w:eastAsia="宋体" w:hAnsi="Book Antiqua" w:cs="宋体"/>
          <w:b/>
          <w:sz w:val="24"/>
          <w:szCs w:val="24"/>
          <w:lang w:val="en-US"/>
        </w:rPr>
        <w:t>1</w:t>
      </w:r>
      <w:r w:rsidRPr="00C33C2F">
        <w:rPr>
          <w:rFonts w:ascii="Book Antiqua" w:eastAsia="宋体" w:hAnsi="Book Antiqua" w:cs="宋体"/>
          <w:sz w:val="24"/>
          <w:szCs w:val="24"/>
          <w:lang w:val="en-US"/>
        </w:rPr>
        <w:t xml:space="preserve">: 120e6. [DOI: 10.5639/gabij.2012.0103-4.036] </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8 </w:t>
      </w:r>
      <w:proofErr w:type="spellStart"/>
      <w:r w:rsidRPr="00C33C2F">
        <w:rPr>
          <w:rFonts w:ascii="Book Antiqua" w:eastAsia="宋体" w:hAnsi="Book Antiqua" w:cs="宋体"/>
          <w:b/>
          <w:bCs/>
          <w:sz w:val="24"/>
          <w:szCs w:val="24"/>
          <w:lang w:val="en-US"/>
        </w:rPr>
        <w:t>Annese</w:t>
      </w:r>
      <w:proofErr w:type="spellEnd"/>
      <w:r w:rsidRPr="00C33C2F">
        <w:rPr>
          <w:rFonts w:ascii="Book Antiqua" w:eastAsia="宋体" w:hAnsi="Book Antiqua" w:cs="宋体"/>
          <w:b/>
          <w:bCs/>
          <w:sz w:val="24"/>
          <w:szCs w:val="24"/>
          <w:lang w:val="en-US"/>
        </w:rPr>
        <w:t xml:space="preserve"> V</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Vecchi</w:t>
      </w:r>
      <w:proofErr w:type="spellEnd"/>
      <w:r w:rsidRPr="00C33C2F">
        <w:rPr>
          <w:rFonts w:ascii="Book Antiqua" w:eastAsia="宋体" w:hAnsi="Book Antiqua" w:cs="宋体"/>
          <w:sz w:val="24"/>
          <w:szCs w:val="24"/>
          <w:lang w:val="en-US"/>
        </w:rPr>
        <w:t xml:space="preserve"> M. Use of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 xml:space="preserve"> in inflammatory bowel disease: Statements of the Italian Group for Inflammatory Bowel Disease. </w:t>
      </w:r>
      <w:r w:rsidRPr="00C33C2F">
        <w:rPr>
          <w:rFonts w:ascii="Book Antiqua" w:eastAsia="宋体" w:hAnsi="Book Antiqua" w:cs="宋体"/>
          <w:i/>
          <w:iCs/>
          <w:sz w:val="24"/>
          <w:szCs w:val="24"/>
          <w:lang w:val="en-US"/>
        </w:rPr>
        <w:t>Dig Liver Dis</w:t>
      </w:r>
      <w:r w:rsidRPr="00C33C2F">
        <w:rPr>
          <w:rFonts w:ascii="Book Antiqua" w:eastAsia="宋体" w:hAnsi="Book Antiqua" w:cs="宋体"/>
          <w:sz w:val="24"/>
          <w:szCs w:val="24"/>
          <w:lang w:val="en-US"/>
        </w:rPr>
        <w:t> 2014; </w:t>
      </w:r>
      <w:r w:rsidRPr="00C33C2F">
        <w:rPr>
          <w:rFonts w:ascii="Book Antiqua" w:eastAsia="宋体" w:hAnsi="Book Antiqua" w:cs="宋体"/>
          <w:b/>
          <w:bCs/>
          <w:sz w:val="24"/>
          <w:szCs w:val="24"/>
          <w:lang w:val="en-US"/>
        </w:rPr>
        <w:t>46</w:t>
      </w:r>
      <w:r w:rsidRPr="00C33C2F">
        <w:rPr>
          <w:rFonts w:ascii="Book Antiqua" w:eastAsia="宋体" w:hAnsi="Book Antiqua" w:cs="宋体"/>
          <w:sz w:val="24"/>
          <w:szCs w:val="24"/>
          <w:lang w:val="en-US"/>
        </w:rPr>
        <w:t>: 963-968 [PMID: 25139379 DOI: 10.1016/j.dld.2014.07.019]</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 xml:space="preserve">9 </w:t>
      </w:r>
      <w:r w:rsidRPr="00C33C2F">
        <w:rPr>
          <w:rFonts w:ascii="Book Antiqua" w:eastAsia="宋体" w:hAnsi="Book Antiqua" w:cs="宋体"/>
          <w:b/>
          <w:sz w:val="24"/>
          <w:szCs w:val="24"/>
          <w:lang w:val="en-US"/>
        </w:rPr>
        <w:t xml:space="preserve">World Health </w:t>
      </w:r>
      <w:proofErr w:type="gramStart"/>
      <w:r w:rsidRPr="00C33C2F">
        <w:rPr>
          <w:rFonts w:ascii="Book Antiqua" w:eastAsia="宋体" w:hAnsi="Book Antiqua" w:cs="宋体"/>
          <w:b/>
          <w:sz w:val="24"/>
          <w:szCs w:val="24"/>
          <w:lang w:val="en-US"/>
        </w:rPr>
        <w:t>Organization</w:t>
      </w:r>
      <w:proofErr w:type="gramEnd"/>
      <w:r w:rsidRPr="00C33C2F">
        <w:rPr>
          <w:rFonts w:ascii="Book Antiqua" w:eastAsia="宋体" w:hAnsi="Book Antiqua" w:cs="宋体"/>
          <w:b/>
          <w:sz w:val="24"/>
          <w:szCs w:val="24"/>
          <w:lang w:val="en-US"/>
        </w:rPr>
        <w:t>.</w:t>
      </w:r>
      <w:r w:rsidRPr="00C33C2F">
        <w:rPr>
          <w:rFonts w:ascii="Book Antiqua" w:eastAsia="宋体" w:hAnsi="Book Antiqua" w:cs="宋体"/>
          <w:sz w:val="24"/>
          <w:szCs w:val="24"/>
          <w:lang w:val="en-US"/>
        </w:rPr>
        <w:t xml:space="preserve"> </w:t>
      </w:r>
      <w:proofErr w:type="gramStart"/>
      <w:r w:rsidRPr="00C33C2F">
        <w:rPr>
          <w:rFonts w:ascii="Book Antiqua" w:eastAsia="宋体" w:hAnsi="Book Antiqua" w:cs="宋体"/>
          <w:sz w:val="24"/>
          <w:szCs w:val="24"/>
          <w:lang w:val="en-US"/>
        </w:rPr>
        <w:t>Expert Committee on Biological Standardization.</w:t>
      </w:r>
      <w:proofErr w:type="gramEnd"/>
      <w:r w:rsidRPr="00C33C2F">
        <w:rPr>
          <w:rFonts w:ascii="Book Antiqua" w:eastAsia="宋体" w:hAnsi="Book Antiqua" w:cs="宋体"/>
          <w:sz w:val="24"/>
          <w:szCs w:val="24"/>
          <w:lang w:val="en-US"/>
        </w:rPr>
        <w:t xml:space="preserve"> </w:t>
      </w:r>
      <w:proofErr w:type="gramStart"/>
      <w:r w:rsidRPr="00C33C2F">
        <w:rPr>
          <w:rFonts w:ascii="Book Antiqua" w:eastAsia="宋体" w:hAnsi="Book Antiqua" w:cs="宋体"/>
          <w:sz w:val="24"/>
          <w:szCs w:val="24"/>
          <w:lang w:val="en-US"/>
        </w:rPr>
        <w:t xml:space="preserve">Guidelines on evaluation of similar </w:t>
      </w:r>
      <w:proofErr w:type="spellStart"/>
      <w:r w:rsidRPr="00C33C2F">
        <w:rPr>
          <w:rFonts w:ascii="Book Antiqua" w:eastAsia="宋体" w:hAnsi="Book Antiqua" w:cs="宋体"/>
          <w:sz w:val="24"/>
          <w:szCs w:val="24"/>
          <w:lang w:val="en-US"/>
        </w:rPr>
        <w:t>biotherapeutic</w:t>
      </w:r>
      <w:proofErr w:type="spellEnd"/>
      <w:r w:rsidRPr="00C33C2F">
        <w:rPr>
          <w:rFonts w:ascii="Book Antiqua" w:eastAsia="宋体" w:hAnsi="Book Antiqua" w:cs="宋体"/>
          <w:sz w:val="24"/>
          <w:szCs w:val="24"/>
          <w:lang w:val="en-US"/>
        </w:rPr>
        <w:t xml:space="preserve"> products.</w:t>
      </w:r>
      <w:proofErr w:type="gramEnd"/>
      <w:r w:rsidRPr="00C33C2F">
        <w:rPr>
          <w:rFonts w:ascii="Book Antiqua" w:eastAsia="宋体" w:hAnsi="Book Antiqua" w:cs="宋体"/>
          <w:sz w:val="24"/>
          <w:szCs w:val="24"/>
          <w:lang w:val="en-US"/>
        </w:rPr>
        <w:t xml:space="preserve"> 2009. Available at: http: //www.who.int/biologicals/areas/biological_therapeutics/BIOTHERAPEUTICS_FOR_WEB_22AP RIL2010.pdf [Accessed February 28, 2016].</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rPr>
        <w:t>10</w:t>
      </w:r>
      <w:r w:rsidRPr="00C33C2F">
        <w:rPr>
          <w:rFonts w:ascii="Book Antiqua" w:eastAsia="宋体" w:hAnsi="Book Antiqua" w:cs="宋体"/>
          <w:b/>
          <w:sz w:val="24"/>
          <w:szCs w:val="24"/>
        </w:rPr>
        <w:t xml:space="preserve"> Al-Sabbagh A</w:t>
      </w:r>
      <w:r w:rsidRPr="00C33C2F">
        <w:rPr>
          <w:rFonts w:ascii="Book Antiqua" w:eastAsia="宋体" w:hAnsi="Book Antiqua" w:cs="宋体"/>
          <w:sz w:val="24"/>
          <w:szCs w:val="24"/>
        </w:rPr>
        <w:t>, Olech E, McClellan JE, Kirchhoff</w:t>
      </w:r>
      <w:r w:rsidRPr="00C33C2F">
        <w:rPr>
          <w:rFonts w:ascii="Book Antiqua" w:eastAsia="宋体" w:hAnsi="Book Antiqua" w:cs="宋体" w:hint="eastAsia"/>
          <w:sz w:val="24"/>
          <w:szCs w:val="24"/>
        </w:rPr>
        <w:t xml:space="preserve"> CF</w:t>
      </w:r>
      <w:r w:rsidRPr="00C33C2F">
        <w:rPr>
          <w:rFonts w:ascii="Book Antiqua" w:eastAsia="宋体" w:hAnsi="Book Antiqua" w:cs="宋体"/>
          <w:sz w:val="24"/>
          <w:szCs w:val="24"/>
        </w:rPr>
        <w:t xml:space="preserve">. </w:t>
      </w:r>
      <w:proofErr w:type="gramStart"/>
      <w:r w:rsidRPr="00C33C2F">
        <w:rPr>
          <w:rFonts w:ascii="Book Antiqua" w:eastAsia="宋体" w:hAnsi="Book Antiqua" w:cs="宋体"/>
          <w:sz w:val="24"/>
          <w:szCs w:val="24"/>
          <w:lang w:val="en-US"/>
        </w:rPr>
        <w:t xml:space="preserve">Development of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w:t>
      </w:r>
      <w:proofErr w:type="gramEnd"/>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i/>
          <w:sz w:val="24"/>
          <w:szCs w:val="24"/>
          <w:lang w:val="en-US"/>
        </w:rPr>
        <w:t>Semin</w:t>
      </w:r>
      <w:proofErr w:type="spellEnd"/>
      <w:r w:rsidRPr="00C33C2F">
        <w:rPr>
          <w:rFonts w:ascii="Book Antiqua" w:eastAsia="宋体" w:hAnsi="Book Antiqua" w:cs="宋体"/>
          <w:i/>
          <w:sz w:val="24"/>
          <w:szCs w:val="24"/>
          <w:lang w:val="en-US"/>
        </w:rPr>
        <w:t xml:space="preserve"> Arthritis Rheum</w:t>
      </w:r>
      <w:r w:rsidRPr="00C33C2F">
        <w:rPr>
          <w:rFonts w:ascii="Book Antiqua" w:eastAsia="宋体" w:hAnsi="Book Antiqua" w:cs="宋体"/>
          <w:sz w:val="24"/>
          <w:szCs w:val="24"/>
          <w:lang w:val="en-US"/>
        </w:rPr>
        <w:t xml:space="preserve"> 2016; </w:t>
      </w:r>
      <w:proofErr w:type="gramStart"/>
      <w:r w:rsidRPr="00C33C2F">
        <w:rPr>
          <w:rFonts w:ascii="Book Antiqua" w:eastAsia="宋体" w:hAnsi="Book Antiqua" w:cs="宋体"/>
          <w:sz w:val="24"/>
          <w:szCs w:val="24"/>
          <w:lang w:val="en-US"/>
        </w:rPr>
        <w:t>In</w:t>
      </w:r>
      <w:proofErr w:type="gramEnd"/>
      <w:r w:rsidRPr="00C33C2F">
        <w:rPr>
          <w:rFonts w:ascii="Book Antiqua" w:eastAsia="宋体" w:hAnsi="Book Antiqua" w:cs="宋体"/>
          <w:sz w:val="24"/>
          <w:szCs w:val="24"/>
          <w:lang w:val="en-US"/>
        </w:rPr>
        <w:t xml:space="preserve"> press [DOI: 10.1016/j.semarthrit.2016.01.002]</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lastRenderedPageBreak/>
        <w:t>11</w:t>
      </w:r>
      <w:r w:rsidRPr="00C33C2F">
        <w:rPr>
          <w:rFonts w:ascii="Book Antiqua" w:eastAsia="宋体" w:hAnsi="Book Antiqua" w:cs="宋体" w:hint="eastAsia"/>
          <w:sz w:val="24"/>
          <w:szCs w:val="24"/>
          <w:lang w:val="en-US"/>
        </w:rPr>
        <w:t xml:space="preserve"> </w:t>
      </w:r>
      <w:r w:rsidRPr="00C33C2F">
        <w:rPr>
          <w:rFonts w:ascii="Book Antiqua" w:eastAsia="宋体" w:hAnsi="Book Antiqua" w:cs="宋体"/>
          <w:b/>
          <w:sz w:val="24"/>
          <w:szCs w:val="24"/>
          <w:lang w:val="en-US"/>
        </w:rPr>
        <w:t>United States</w:t>
      </w:r>
      <w:r w:rsidRPr="00C33C2F">
        <w:rPr>
          <w:rFonts w:ascii="Book Antiqua" w:eastAsia="宋体" w:hAnsi="Book Antiqua" w:cs="宋体" w:hint="eastAsia"/>
          <w:b/>
          <w:sz w:val="24"/>
          <w:szCs w:val="24"/>
          <w:lang w:val="en-US"/>
        </w:rPr>
        <w:t xml:space="preserve"> </w:t>
      </w:r>
      <w:proofErr w:type="gramStart"/>
      <w:r w:rsidRPr="00C33C2F">
        <w:rPr>
          <w:rFonts w:ascii="Book Antiqua" w:eastAsia="宋体" w:hAnsi="Book Antiqua" w:cs="宋体"/>
          <w:b/>
          <w:sz w:val="24"/>
          <w:szCs w:val="24"/>
          <w:lang w:val="en-US"/>
        </w:rPr>
        <w:t>Food</w:t>
      </w:r>
      <w:proofErr w:type="gramEnd"/>
      <w:r w:rsidRPr="00C33C2F">
        <w:rPr>
          <w:rFonts w:ascii="Book Antiqua" w:eastAsia="宋体" w:hAnsi="Book Antiqua" w:cs="宋体"/>
          <w:b/>
          <w:sz w:val="24"/>
          <w:szCs w:val="24"/>
          <w:lang w:val="en-US"/>
        </w:rPr>
        <w:t xml:space="preserve"> and Drugs Administration.</w:t>
      </w:r>
      <w:r w:rsidRPr="00C33C2F">
        <w:rPr>
          <w:rFonts w:ascii="Book Antiqua" w:eastAsia="宋体" w:hAnsi="Book Antiqua" w:cs="宋体"/>
          <w:sz w:val="24"/>
          <w:szCs w:val="24"/>
          <w:lang w:val="en-US"/>
        </w:rPr>
        <w:t xml:space="preserve"> </w:t>
      </w:r>
      <w:proofErr w:type="gramStart"/>
      <w:r w:rsidRPr="00C33C2F">
        <w:rPr>
          <w:rFonts w:ascii="Book Antiqua" w:eastAsia="宋体" w:hAnsi="Book Antiqua" w:cs="宋体"/>
          <w:sz w:val="24"/>
          <w:szCs w:val="24"/>
          <w:lang w:val="en-US"/>
        </w:rPr>
        <w:t>Demonstration of comparability of human biological products, including therapeutic biotechnology-derived products.</w:t>
      </w:r>
      <w:proofErr w:type="gramEnd"/>
      <w:r w:rsidRPr="00C33C2F">
        <w:rPr>
          <w:rFonts w:ascii="Book Antiqua" w:eastAsia="宋体" w:hAnsi="Book Antiqua" w:cs="宋体"/>
          <w:sz w:val="24"/>
          <w:szCs w:val="24"/>
          <w:lang w:val="en-US"/>
        </w:rPr>
        <w:t xml:space="preserve"> Available from: URL:</w:t>
      </w:r>
      <w:r w:rsidRPr="00C33C2F">
        <w:rPr>
          <w:rFonts w:ascii="Book Antiqua" w:eastAsia="宋体" w:hAnsi="Book Antiqua" w:cs="宋体" w:hint="eastAsia"/>
          <w:sz w:val="24"/>
          <w:szCs w:val="24"/>
          <w:lang w:val="en-US"/>
        </w:rPr>
        <w:t xml:space="preserve"> </w:t>
      </w:r>
      <w:r w:rsidRPr="00C33C2F">
        <w:rPr>
          <w:rFonts w:ascii="Book Antiqua" w:eastAsia="宋体" w:hAnsi="Book Antiqua" w:cs="宋体"/>
          <w:sz w:val="24"/>
          <w:szCs w:val="24"/>
          <w:lang w:val="en-US"/>
        </w:rPr>
        <w:t>http: //www.fda.gov/Drugs/GuidanceComplianceRegulatoryInformation/Guidances/ucm122879.htm</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 xml:space="preserve">12 </w:t>
      </w:r>
      <w:r w:rsidRPr="00C33C2F">
        <w:rPr>
          <w:rFonts w:ascii="Book Antiqua" w:eastAsia="宋体" w:hAnsi="Book Antiqua" w:cs="宋体"/>
          <w:b/>
          <w:sz w:val="24"/>
          <w:szCs w:val="24"/>
          <w:lang w:val="en-US"/>
        </w:rPr>
        <w:t xml:space="preserve">International </w:t>
      </w:r>
      <w:proofErr w:type="gramStart"/>
      <w:r w:rsidRPr="00C33C2F">
        <w:rPr>
          <w:rFonts w:ascii="Book Antiqua" w:eastAsia="宋体" w:hAnsi="Book Antiqua" w:cs="宋体"/>
          <w:b/>
          <w:sz w:val="24"/>
          <w:szCs w:val="24"/>
          <w:lang w:val="en-US"/>
        </w:rPr>
        <w:t>Conference</w:t>
      </w:r>
      <w:proofErr w:type="gramEnd"/>
      <w:r w:rsidRPr="00C33C2F">
        <w:rPr>
          <w:rFonts w:ascii="Book Antiqua" w:eastAsia="宋体" w:hAnsi="Book Antiqua" w:cs="宋体"/>
          <w:b/>
          <w:sz w:val="24"/>
          <w:szCs w:val="24"/>
          <w:lang w:val="en-US"/>
        </w:rPr>
        <w:t xml:space="preserve"> on </w:t>
      </w:r>
      <w:proofErr w:type="spellStart"/>
      <w:r w:rsidRPr="00C33C2F">
        <w:rPr>
          <w:rFonts w:ascii="Book Antiqua" w:eastAsia="宋体" w:hAnsi="Book Antiqua" w:cs="宋体"/>
          <w:b/>
          <w:sz w:val="24"/>
          <w:szCs w:val="24"/>
          <w:lang w:val="en-US"/>
        </w:rPr>
        <w:t>Harmonisation</w:t>
      </w:r>
      <w:proofErr w:type="spellEnd"/>
      <w:r w:rsidRPr="00C33C2F">
        <w:rPr>
          <w:rFonts w:ascii="Book Antiqua" w:eastAsia="宋体" w:hAnsi="Book Antiqua" w:cs="宋体"/>
          <w:b/>
          <w:sz w:val="24"/>
          <w:szCs w:val="24"/>
          <w:lang w:val="en-US"/>
        </w:rPr>
        <w:t xml:space="preserve">. </w:t>
      </w:r>
      <w:r w:rsidRPr="00C33C2F">
        <w:rPr>
          <w:rFonts w:ascii="Book Antiqua" w:eastAsia="宋体" w:hAnsi="Book Antiqua" w:cs="宋体"/>
          <w:sz w:val="24"/>
          <w:szCs w:val="24"/>
          <w:lang w:val="en-US"/>
        </w:rPr>
        <w:t>Q5E Comparability of biotechnological/biological products subject to changes in their manufacturing process. Available from: URL:</w:t>
      </w:r>
      <w:r w:rsidRPr="00C33C2F">
        <w:rPr>
          <w:rFonts w:ascii="Book Antiqua" w:eastAsia="宋体" w:hAnsi="Book Antiqua" w:cs="宋体" w:hint="eastAsia"/>
          <w:sz w:val="24"/>
          <w:szCs w:val="24"/>
          <w:lang w:val="en-US"/>
        </w:rPr>
        <w:t xml:space="preserve"> </w:t>
      </w:r>
      <w:r w:rsidRPr="00C33C2F">
        <w:rPr>
          <w:rFonts w:ascii="Book Antiqua" w:eastAsia="宋体" w:hAnsi="Book Antiqua" w:cs="宋体"/>
          <w:sz w:val="24"/>
          <w:szCs w:val="24"/>
          <w:lang w:val="en-US"/>
        </w:rPr>
        <w:t xml:space="preserve">http: //www.ich.org/fileadmin/Public_Web_Site/ICH_Products/Guidelines/Quality/Q5E/Step4/Q5E_Guideline.pdf </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 xml:space="preserve">13 </w:t>
      </w:r>
      <w:r w:rsidRPr="00C33C2F">
        <w:rPr>
          <w:rFonts w:ascii="Book Antiqua" w:eastAsia="宋体" w:hAnsi="Book Antiqua" w:cs="宋体"/>
          <w:b/>
          <w:sz w:val="24"/>
          <w:szCs w:val="24"/>
          <w:lang w:val="en-US"/>
        </w:rPr>
        <w:t>United States</w:t>
      </w:r>
      <w:r w:rsidRPr="00C33C2F">
        <w:rPr>
          <w:rFonts w:ascii="Book Antiqua" w:eastAsia="宋体" w:hAnsi="Book Antiqua" w:cs="宋体" w:hint="eastAsia"/>
          <w:b/>
          <w:sz w:val="24"/>
          <w:szCs w:val="24"/>
          <w:lang w:val="en-US"/>
        </w:rPr>
        <w:t xml:space="preserve"> </w:t>
      </w:r>
      <w:proofErr w:type="gramStart"/>
      <w:r w:rsidRPr="00C33C2F">
        <w:rPr>
          <w:rFonts w:ascii="Book Antiqua" w:eastAsia="宋体" w:hAnsi="Book Antiqua" w:cs="宋体"/>
          <w:b/>
          <w:sz w:val="24"/>
          <w:szCs w:val="24"/>
          <w:lang w:val="en-US"/>
        </w:rPr>
        <w:t>Food</w:t>
      </w:r>
      <w:proofErr w:type="gramEnd"/>
      <w:r w:rsidRPr="00C33C2F">
        <w:rPr>
          <w:rFonts w:ascii="Book Antiqua" w:eastAsia="宋体" w:hAnsi="Book Antiqua" w:cs="宋体"/>
          <w:b/>
          <w:sz w:val="24"/>
          <w:szCs w:val="24"/>
          <w:lang w:val="en-US"/>
        </w:rPr>
        <w:t xml:space="preserve"> and Drug Administration. </w:t>
      </w:r>
      <w:proofErr w:type="gramStart"/>
      <w:r w:rsidRPr="00C33C2F">
        <w:rPr>
          <w:rFonts w:ascii="Book Antiqua" w:eastAsia="宋体" w:hAnsi="Book Antiqua" w:cs="宋体"/>
          <w:sz w:val="24"/>
          <w:szCs w:val="24"/>
          <w:lang w:val="en-US"/>
        </w:rPr>
        <w:t xml:space="preserve">Scientific considerations in demonstrating </w:t>
      </w:r>
      <w:proofErr w:type="spellStart"/>
      <w:r w:rsidRPr="00C33C2F">
        <w:rPr>
          <w:rFonts w:ascii="Book Antiqua" w:eastAsia="宋体" w:hAnsi="Book Antiqua" w:cs="宋体"/>
          <w:sz w:val="24"/>
          <w:szCs w:val="24"/>
          <w:lang w:val="en-US"/>
        </w:rPr>
        <w:t>biosimilarity</w:t>
      </w:r>
      <w:proofErr w:type="spellEnd"/>
      <w:r w:rsidRPr="00C33C2F">
        <w:rPr>
          <w:rFonts w:ascii="Book Antiqua" w:eastAsia="宋体" w:hAnsi="Book Antiqua" w:cs="宋体"/>
          <w:sz w:val="24"/>
          <w:szCs w:val="24"/>
          <w:lang w:val="en-US"/>
        </w:rPr>
        <w:t xml:space="preserve"> to a reference product.</w:t>
      </w:r>
      <w:proofErr w:type="gramEnd"/>
      <w:r w:rsidRPr="00C33C2F">
        <w:rPr>
          <w:rFonts w:ascii="Book Antiqua" w:eastAsia="宋体" w:hAnsi="Book Antiqua" w:cs="宋体"/>
          <w:sz w:val="24"/>
          <w:szCs w:val="24"/>
          <w:lang w:val="en-US"/>
        </w:rPr>
        <w:t xml:space="preserve"> </w:t>
      </w:r>
      <w:proofErr w:type="gramStart"/>
      <w:r w:rsidRPr="00C33C2F">
        <w:rPr>
          <w:rFonts w:ascii="Book Antiqua" w:eastAsia="宋体" w:hAnsi="Book Antiqua" w:cs="宋体"/>
          <w:sz w:val="24"/>
          <w:szCs w:val="24"/>
          <w:lang w:val="en-US"/>
        </w:rPr>
        <w:t>Guidance for industry.</w:t>
      </w:r>
      <w:proofErr w:type="gramEnd"/>
      <w:r w:rsidRPr="00C33C2F">
        <w:rPr>
          <w:rFonts w:ascii="Book Antiqua" w:eastAsia="宋体" w:hAnsi="Book Antiqua" w:cs="宋体"/>
          <w:sz w:val="24"/>
          <w:szCs w:val="24"/>
          <w:lang w:val="en-US"/>
        </w:rPr>
        <w:t xml:space="preserve"> April 2015. Available from: URL:</w:t>
      </w:r>
      <w:r w:rsidRPr="00C33C2F">
        <w:rPr>
          <w:rFonts w:ascii="Book Antiqua" w:eastAsia="宋体" w:hAnsi="Book Antiqua" w:cs="宋体" w:hint="eastAsia"/>
          <w:sz w:val="24"/>
          <w:szCs w:val="24"/>
          <w:lang w:val="en-US"/>
        </w:rPr>
        <w:t xml:space="preserve"> </w:t>
      </w:r>
      <w:r w:rsidRPr="00C33C2F">
        <w:rPr>
          <w:rFonts w:ascii="Book Antiqua" w:eastAsia="宋体" w:hAnsi="Book Antiqua" w:cs="宋体"/>
          <w:sz w:val="24"/>
          <w:szCs w:val="24"/>
          <w:lang w:val="en-US"/>
        </w:rPr>
        <w:t>http: //www.fda.gov/downloads/DrugsGuidanceComplianceRegulatoryInformation/Guidances/UCM</w:t>
      </w:r>
    </w:p>
    <w:p w:rsidR="006A6500" w:rsidRPr="00C33C2F" w:rsidRDefault="006A6500" w:rsidP="008B1267">
      <w:pPr>
        <w:spacing w:after="0" w:line="360" w:lineRule="auto"/>
        <w:jc w:val="both"/>
        <w:rPr>
          <w:rFonts w:ascii="Book Antiqua" w:eastAsia="宋体" w:hAnsi="Book Antiqua" w:cs="宋体"/>
          <w:sz w:val="24"/>
          <w:szCs w:val="24"/>
          <w:lang w:val="en-US"/>
        </w:rPr>
      </w:pPr>
      <w:proofErr w:type="gramStart"/>
      <w:r w:rsidRPr="00C33C2F">
        <w:rPr>
          <w:rFonts w:ascii="Book Antiqua" w:eastAsia="宋体" w:hAnsi="Book Antiqua" w:cs="宋体"/>
          <w:sz w:val="24"/>
          <w:szCs w:val="24"/>
          <w:lang w:val="en-US"/>
        </w:rPr>
        <w:t>14 </w:t>
      </w:r>
      <w:proofErr w:type="spellStart"/>
      <w:r w:rsidRPr="00C33C2F">
        <w:rPr>
          <w:rFonts w:ascii="Book Antiqua" w:eastAsia="宋体" w:hAnsi="Book Antiqua" w:cs="宋体"/>
          <w:b/>
          <w:bCs/>
          <w:sz w:val="24"/>
          <w:szCs w:val="24"/>
          <w:lang w:val="en-US"/>
        </w:rPr>
        <w:t>Ebbers</w:t>
      </w:r>
      <w:proofErr w:type="spellEnd"/>
      <w:r w:rsidRPr="00C33C2F">
        <w:rPr>
          <w:rFonts w:ascii="Book Antiqua" w:eastAsia="宋体" w:hAnsi="Book Antiqua" w:cs="宋体"/>
          <w:b/>
          <w:bCs/>
          <w:sz w:val="24"/>
          <w:szCs w:val="24"/>
          <w:lang w:val="en-US"/>
        </w:rPr>
        <w:t xml:space="preserve"> HC</w:t>
      </w:r>
      <w:r w:rsidRPr="00C33C2F">
        <w:rPr>
          <w:rFonts w:ascii="Book Antiqua" w:eastAsia="宋体" w:hAnsi="Book Antiqua" w:cs="宋体"/>
          <w:sz w:val="24"/>
          <w:szCs w:val="24"/>
          <w:lang w:val="en-US"/>
        </w:rPr>
        <w:t>.</w:t>
      </w:r>
      <w:proofErr w:type="gramEnd"/>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 in support of extrapolation of indications. </w:t>
      </w:r>
      <w:r w:rsidRPr="00C33C2F">
        <w:rPr>
          <w:rFonts w:ascii="Book Antiqua" w:eastAsia="宋体" w:hAnsi="Book Antiqua" w:cs="宋体"/>
          <w:i/>
          <w:iCs/>
          <w:sz w:val="24"/>
          <w:szCs w:val="24"/>
          <w:lang w:val="en-US"/>
        </w:rPr>
        <w:t xml:space="preserve">J </w:t>
      </w:r>
      <w:proofErr w:type="spellStart"/>
      <w:r w:rsidRPr="00C33C2F">
        <w:rPr>
          <w:rFonts w:ascii="Book Antiqua" w:eastAsia="宋体" w:hAnsi="Book Antiqua" w:cs="宋体"/>
          <w:i/>
          <w:iCs/>
          <w:sz w:val="24"/>
          <w:szCs w:val="24"/>
          <w:lang w:val="en-US"/>
        </w:rPr>
        <w:t>Crohns</w:t>
      </w:r>
      <w:proofErr w:type="spellEnd"/>
      <w:r w:rsidRPr="00C33C2F">
        <w:rPr>
          <w:rFonts w:ascii="Book Antiqua" w:eastAsia="宋体" w:hAnsi="Book Antiqua" w:cs="宋体"/>
          <w:i/>
          <w:iCs/>
          <w:sz w:val="24"/>
          <w:szCs w:val="24"/>
          <w:lang w:val="en-US"/>
        </w:rPr>
        <w:t xml:space="preserve"> Colitis</w:t>
      </w:r>
      <w:r w:rsidRPr="00C33C2F">
        <w:rPr>
          <w:rFonts w:ascii="Book Antiqua" w:eastAsia="宋体" w:hAnsi="Book Antiqua" w:cs="宋体"/>
          <w:sz w:val="24"/>
          <w:szCs w:val="24"/>
          <w:lang w:val="en-US"/>
        </w:rPr>
        <w:t> 2014; </w:t>
      </w:r>
      <w:r w:rsidRPr="00C33C2F">
        <w:rPr>
          <w:rFonts w:ascii="Book Antiqua" w:eastAsia="宋体" w:hAnsi="Book Antiqua" w:cs="宋体"/>
          <w:b/>
          <w:bCs/>
          <w:sz w:val="24"/>
          <w:szCs w:val="24"/>
          <w:lang w:val="en-US"/>
        </w:rPr>
        <w:t>8</w:t>
      </w:r>
      <w:r w:rsidRPr="00C33C2F">
        <w:rPr>
          <w:rFonts w:ascii="Book Antiqua" w:eastAsia="宋体" w:hAnsi="Book Antiqua" w:cs="宋体"/>
          <w:sz w:val="24"/>
          <w:szCs w:val="24"/>
          <w:lang w:val="en-US"/>
        </w:rPr>
        <w:t>: 431-435 [PMID: 24594005 DOI: 10.1016/j.crohns.2014.02.007]</w:t>
      </w:r>
    </w:p>
    <w:p w:rsidR="006A6500" w:rsidRPr="00C33C2F" w:rsidRDefault="006A6500"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sz w:val="24"/>
          <w:szCs w:val="24"/>
          <w:lang w:val="en-US"/>
        </w:rPr>
        <w:t>15 </w:t>
      </w:r>
      <w:proofErr w:type="spellStart"/>
      <w:r w:rsidRPr="00C33C2F">
        <w:rPr>
          <w:rFonts w:ascii="Book Antiqua" w:eastAsia="宋体" w:hAnsi="Book Antiqua" w:cs="宋体"/>
          <w:b/>
          <w:bCs/>
          <w:sz w:val="24"/>
          <w:szCs w:val="24"/>
          <w:lang w:val="en-US"/>
        </w:rPr>
        <w:t>Feagan</w:t>
      </w:r>
      <w:proofErr w:type="spellEnd"/>
      <w:r w:rsidRPr="00C33C2F">
        <w:rPr>
          <w:rFonts w:ascii="Book Antiqua" w:eastAsia="宋体" w:hAnsi="Book Antiqua" w:cs="宋体"/>
          <w:b/>
          <w:bCs/>
          <w:sz w:val="24"/>
          <w:szCs w:val="24"/>
          <w:lang w:val="en-US"/>
        </w:rPr>
        <w:t xml:space="preserve"> BG</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Choquette</w:t>
      </w:r>
      <w:proofErr w:type="spellEnd"/>
      <w:r w:rsidRPr="00C33C2F">
        <w:rPr>
          <w:rFonts w:ascii="Book Antiqua" w:eastAsia="宋体" w:hAnsi="Book Antiqua" w:cs="宋体"/>
          <w:sz w:val="24"/>
          <w:szCs w:val="24"/>
          <w:lang w:val="en-US"/>
        </w:rPr>
        <w:t xml:space="preserve"> D, </w:t>
      </w:r>
      <w:proofErr w:type="spellStart"/>
      <w:r w:rsidRPr="00C33C2F">
        <w:rPr>
          <w:rFonts w:ascii="Book Antiqua" w:eastAsia="宋体" w:hAnsi="Book Antiqua" w:cs="宋体"/>
          <w:sz w:val="24"/>
          <w:szCs w:val="24"/>
          <w:lang w:val="en-US"/>
        </w:rPr>
        <w:t>Ghosh</w:t>
      </w:r>
      <w:proofErr w:type="spellEnd"/>
      <w:r w:rsidRPr="00C33C2F">
        <w:rPr>
          <w:rFonts w:ascii="Book Antiqua" w:eastAsia="宋体" w:hAnsi="Book Antiqua" w:cs="宋体"/>
          <w:sz w:val="24"/>
          <w:szCs w:val="24"/>
          <w:lang w:val="en-US"/>
        </w:rPr>
        <w:t xml:space="preserve"> S, </w:t>
      </w:r>
      <w:proofErr w:type="spellStart"/>
      <w:r w:rsidRPr="00C33C2F">
        <w:rPr>
          <w:rFonts w:ascii="Book Antiqua" w:eastAsia="宋体" w:hAnsi="Book Antiqua" w:cs="宋体"/>
          <w:sz w:val="24"/>
          <w:szCs w:val="24"/>
          <w:lang w:val="en-US"/>
        </w:rPr>
        <w:t>Gladman</w:t>
      </w:r>
      <w:proofErr w:type="spellEnd"/>
      <w:r w:rsidRPr="00C33C2F">
        <w:rPr>
          <w:rFonts w:ascii="Book Antiqua" w:eastAsia="宋体" w:hAnsi="Book Antiqua" w:cs="宋体"/>
          <w:sz w:val="24"/>
          <w:szCs w:val="24"/>
          <w:lang w:val="en-US"/>
        </w:rPr>
        <w:t xml:space="preserve"> DD, Ho V, </w:t>
      </w:r>
      <w:proofErr w:type="spellStart"/>
      <w:r w:rsidRPr="00C33C2F">
        <w:rPr>
          <w:rFonts w:ascii="Book Antiqua" w:eastAsia="宋体" w:hAnsi="Book Antiqua" w:cs="宋体"/>
          <w:sz w:val="24"/>
          <w:szCs w:val="24"/>
          <w:lang w:val="en-US"/>
        </w:rPr>
        <w:t>Meibohm</w:t>
      </w:r>
      <w:proofErr w:type="spellEnd"/>
      <w:r w:rsidRPr="00C33C2F">
        <w:rPr>
          <w:rFonts w:ascii="Book Antiqua" w:eastAsia="宋体" w:hAnsi="Book Antiqua" w:cs="宋体"/>
          <w:sz w:val="24"/>
          <w:szCs w:val="24"/>
          <w:lang w:val="en-US"/>
        </w:rPr>
        <w:t xml:space="preserve"> B, </w:t>
      </w:r>
      <w:proofErr w:type="spellStart"/>
      <w:r w:rsidRPr="00C33C2F">
        <w:rPr>
          <w:rFonts w:ascii="Book Antiqua" w:eastAsia="宋体" w:hAnsi="Book Antiqua" w:cs="宋体"/>
          <w:sz w:val="24"/>
          <w:szCs w:val="24"/>
          <w:lang w:val="en-US"/>
        </w:rPr>
        <w:t>Zou</w:t>
      </w:r>
      <w:proofErr w:type="spellEnd"/>
      <w:r w:rsidRPr="00C33C2F">
        <w:rPr>
          <w:rFonts w:ascii="Book Antiqua" w:eastAsia="宋体" w:hAnsi="Book Antiqua" w:cs="宋体"/>
          <w:sz w:val="24"/>
          <w:szCs w:val="24"/>
          <w:lang w:val="en-US"/>
        </w:rPr>
        <w:t xml:space="preserve"> G, </w:t>
      </w:r>
      <w:proofErr w:type="spellStart"/>
      <w:r w:rsidRPr="00C33C2F">
        <w:rPr>
          <w:rFonts w:ascii="Book Antiqua" w:eastAsia="宋体" w:hAnsi="Book Antiqua" w:cs="宋体"/>
          <w:sz w:val="24"/>
          <w:szCs w:val="24"/>
          <w:lang w:val="en-US"/>
        </w:rPr>
        <w:t>Xu</w:t>
      </w:r>
      <w:proofErr w:type="spellEnd"/>
      <w:r w:rsidRPr="00C33C2F">
        <w:rPr>
          <w:rFonts w:ascii="Book Antiqua" w:eastAsia="宋体" w:hAnsi="Book Antiqua" w:cs="宋体"/>
          <w:sz w:val="24"/>
          <w:szCs w:val="24"/>
          <w:lang w:val="en-US"/>
        </w:rPr>
        <w:t xml:space="preserve"> Z, Shankar G, </w:t>
      </w:r>
      <w:proofErr w:type="spellStart"/>
      <w:r w:rsidRPr="00C33C2F">
        <w:rPr>
          <w:rFonts w:ascii="Book Antiqua" w:eastAsia="宋体" w:hAnsi="Book Antiqua" w:cs="宋体"/>
          <w:sz w:val="24"/>
          <w:szCs w:val="24"/>
          <w:lang w:val="en-US"/>
        </w:rPr>
        <w:t>Sealey</w:t>
      </w:r>
      <w:proofErr w:type="spellEnd"/>
      <w:r w:rsidRPr="00C33C2F">
        <w:rPr>
          <w:rFonts w:ascii="Book Antiqua" w:eastAsia="宋体" w:hAnsi="Book Antiqua" w:cs="宋体"/>
          <w:sz w:val="24"/>
          <w:szCs w:val="24"/>
          <w:lang w:val="en-US"/>
        </w:rPr>
        <w:t xml:space="preserve"> DC, Russell AS. </w:t>
      </w:r>
      <w:proofErr w:type="gramStart"/>
      <w:r w:rsidRPr="00C33C2F">
        <w:rPr>
          <w:rFonts w:ascii="Book Antiqua" w:eastAsia="宋体" w:hAnsi="Book Antiqua" w:cs="宋体"/>
          <w:sz w:val="24"/>
          <w:szCs w:val="24"/>
          <w:lang w:val="en-US"/>
        </w:rPr>
        <w:t xml:space="preserve">The challenge of indication extrapolation for infliximab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w:t>
      </w:r>
      <w:proofErr w:type="gramEnd"/>
      <w:r w:rsidRPr="00C33C2F">
        <w:rPr>
          <w:rFonts w:ascii="Book Antiqua" w:eastAsia="宋体" w:hAnsi="Book Antiqua" w:cs="宋体"/>
          <w:sz w:val="24"/>
          <w:szCs w:val="24"/>
          <w:lang w:val="en-US"/>
        </w:rPr>
        <w:t> </w:t>
      </w:r>
      <w:proofErr w:type="spellStart"/>
      <w:r w:rsidRPr="00C33C2F">
        <w:rPr>
          <w:rFonts w:ascii="Book Antiqua" w:eastAsia="宋体" w:hAnsi="Book Antiqua" w:cs="宋体"/>
          <w:i/>
          <w:iCs/>
          <w:sz w:val="24"/>
          <w:szCs w:val="24"/>
          <w:lang w:val="en-US"/>
        </w:rPr>
        <w:t>Biologicals</w:t>
      </w:r>
      <w:proofErr w:type="spellEnd"/>
      <w:r w:rsidRPr="00C33C2F">
        <w:rPr>
          <w:rFonts w:ascii="Book Antiqua" w:eastAsia="宋体" w:hAnsi="Book Antiqua" w:cs="宋体"/>
          <w:sz w:val="24"/>
          <w:szCs w:val="24"/>
          <w:lang w:val="en-US"/>
        </w:rPr>
        <w:t> 2014; </w:t>
      </w:r>
      <w:r w:rsidRPr="00C33C2F">
        <w:rPr>
          <w:rFonts w:ascii="Book Antiqua" w:eastAsia="宋体" w:hAnsi="Book Antiqua" w:cs="宋体"/>
          <w:b/>
          <w:bCs/>
          <w:sz w:val="24"/>
          <w:szCs w:val="24"/>
          <w:lang w:val="en-US"/>
        </w:rPr>
        <w:t>42</w:t>
      </w:r>
      <w:r w:rsidRPr="00C33C2F">
        <w:rPr>
          <w:rFonts w:ascii="Book Antiqua" w:eastAsia="宋体" w:hAnsi="Book Antiqua" w:cs="宋体"/>
          <w:sz w:val="24"/>
          <w:szCs w:val="24"/>
          <w:lang w:val="en-US"/>
        </w:rPr>
        <w:t>: 177-183 [PMID: 24962198 DOI: 10.1016/j.biologicals.2014.05.005]</w:t>
      </w:r>
    </w:p>
    <w:p w:rsidR="006A6500" w:rsidRPr="00C33C2F" w:rsidRDefault="006A6500" w:rsidP="008B1267">
      <w:pPr>
        <w:spacing w:after="0" w:line="360" w:lineRule="auto"/>
        <w:rPr>
          <w:rFonts w:ascii="Book Antiqua" w:eastAsia="宋体" w:hAnsi="Book Antiqua" w:cs="宋体"/>
          <w:sz w:val="24"/>
          <w:szCs w:val="24"/>
          <w:lang w:val="en-US"/>
        </w:rPr>
      </w:pPr>
      <w:r w:rsidRPr="00C33C2F">
        <w:rPr>
          <w:rFonts w:ascii="Book Antiqua" w:eastAsia="宋体" w:hAnsi="Book Antiqua" w:cs="宋体"/>
          <w:sz w:val="24"/>
          <w:szCs w:val="24"/>
          <w:lang w:val="en-US"/>
        </w:rPr>
        <w:t>16 </w:t>
      </w:r>
      <w:r w:rsidRPr="00C33C2F">
        <w:rPr>
          <w:rFonts w:ascii="Book Antiqua" w:eastAsia="宋体" w:hAnsi="Book Antiqua" w:cs="宋体"/>
          <w:b/>
          <w:bCs/>
          <w:sz w:val="24"/>
          <w:szCs w:val="24"/>
          <w:lang w:val="en-US"/>
        </w:rPr>
        <w:t>Weise M</w:t>
      </w:r>
      <w:r w:rsidRPr="00C33C2F">
        <w:rPr>
          <w:rFonts w:ascii="Book Antiqua" w:eastAsia="宋体" w:hAnsi="Book Antiqua" w:cs="宋体"/>
          <w:sz w:val="24"/>
          <w:szCs w:val="24"/>
          <w:lang w:val="en-US"/>
        </w:rPr>
        <w:t xml:space="preserve">, </w:t>
      </w:r>
      <w:proofErr w:type="spellStart"/>
      <w:r w:rsidRPr="00C33C2F">
        <w:rPr>
          <w:rFonts w:ascii="Book Antiqua" w:eastAsia="宋体" w:hAnsi="Book Antiqua" w:cs="宋体"/>
          <w:sz w:val="24"/>
          <w:szCs w:val="24"/>
          <w:lang w:val="en-US"/>
        </w:rPr>
        <w:t>Kurki</w:t>
      </w:r>
      <w:proofErr w:type="spellEnd"/>
      <w:r w:rsidRPr="00C33C2F">
        <w:rPr>
          <w:rFonts w:ascii="Book Antiqua" w:eastAsia="宋体" w:hAnsi="Book Antiqua" w:cs="宋体"/>
          <w:sz w:val="24"/>
          <w:szCs w:val="24"/>
          <w:lang w:val="en-US"/>
        </w:rPr>
        <w:t xml:space="preserve"> P, Wolff-</w:t>
      </w:r>
      <w:proofErr w:type="spellStart"/>
      <w:r w:rsidRPr="00C33C2F">
        <w:rPr>
          <w:rFonts w:ascii="Book Antiqua" w:eastAsia="宋体" w:hAnsi="Book Antiqua" w:cs="宋体"/>
          <w:sz w:val="24"/>
          <w:szCs w:val="24"/>
          <w:lang w:val="en-US"/>
        </w:rPr>
        <w:t>Holz</w:t>
      </w:r>
      <w:proofErr w:type="spellEnd"/>
      <w:r w:rsidRPr="00C33C2F">
        <w:rPr>
          <w:rFonts w:ascii="Book Antiqua" w:eastAsia="宋体" w:hAnsi="Book Antiqua" w:cs="宋体"/>
          <w:sz w:val="24"/>
          <w:szCs w:val="24"/>
          <w:lang w:val="en-US"/>
        </w:rPr>
        <w:t xml:space="preserve"> E, </w:t>
      </w:r>
      <w:proofErr w:type="spellStart"/>
      <w:r w:rsidRPr="00C33C2F">
        <w:rPr>
          <w:rFonts w:ascii="Book Antiqua" w:eastAsia="宋体" w:hAnsi="Book Antiqua" w:cs="宋体"/>
          <w:sz w:val="24"/>
          <w:szCs w:val="24"/>
          <w:lang w:val="en-US"/>
        </w:rPr>
        <w:t>Bielsky</w:t>
      </w:r>
      <w:proofErr w:type="spellEnd"/>
      <w:r w:rsidRPr="00C33C2F">
        <w:rPr>
          <w:rFonts w:ascii="Book Antiqua" w:eastAsia="宋体" w:hAnsi="Book Antiqua" w:cs="宋体"/>
          <w:sz w:val="24"/>
          <w:szCs w:val="24"/>
          <w:lang w:val="en-US"/>
        </w:rPr>
        <w:t xml:space="preserve"> MC, Schneider CK. </w:t>
      </w:r>
      <w:proofErr w:type="spellStart"/>
      <w:r w:rsidRPr="00C33C2F">
        <w:rPr>
          <w:rFonts w:ascii="Book Antiqua" w:eastAsia="宋体" w:hAnsi="Book Antiqua" w:cs="宋体"/>
          <w:sz w:val="24"/>
          <w:szCs w:val="24"/>
          <w:lang w:val="en-US"/>
        </w:rPr>
        <w:t>Biosimilars</w:t>
      </w:r>
      <w:proofErr w:type="spellEnd"/>
      <w:r w:rsidRPr="00C33C2F">
        <w:rPr>
          <w:rFonts w:ascii="Book Antiqua" w:eastAsia="宋体" w:hAnsi="Book Antiqua" w:cs="宋体"/>
          <w:sz w:val="24"/>
          <w:szCs w:val="24"/>
          <w:lang w:val="en-US"/>
        </w:rPr>
        <w:t>: the science of extrapolation. </w:t>
      </w:r>
      <w:r w:rsidRPr="00C33C2F">
        <w:rPr>
          <w:rFonts w:ascii="Book Antiqua" w:eastAsia="宋体" w:hAnsi="Book Antiqua" w:cs="宋体"/>
          <w:i/>
          <w:iCs/>
          <w:sz w:val="24"/>
          <w:szCs w:val="24"/>
          <w:lang w:val="en-US"/>
        </w:rPr>
        <w:t>Blood</w:t>
      </w:r>
      <w:r w:rsidRPr="00C33C2F">
        <w:rPr>
          <w:rFonts w:ascii="Book Antiqua" w:eastAsia="宋体" w:hAnsi="Book Antiqua" w:cs="宋体"/>
          <w:sz w:val="24"/>
          <w:szCs w:val="24"/>
          <w:lang w:val="en-US"/>
        </w:rPr>
        <w:t> 2014; </w:t>
      </w:r>
      <w:r w:rsidRPr="00C33C2F">
        <w:rPr>
          <w:rFonts w:ascii="Book Antiqua" w:eastAsia="宋体" w:hAnsi="Book Antiqua" w:cs="宋体"/>
          <w:b/>
          <w:bCs/>
          <w:sz w:val="24"/>
          <w:szCs w:val="24"/>
          <w:lang w:val="en-US"/>
        </w:rPr>
        <w:t>124</w:t>
      </w:r>
      <w:r w:rsidRPr="00C33C2F">
        <w:rPr>
          <w:rFonts w:ascii="Book Antiqua" w:eastAsia="宋体" w:hAnsi="Book Antiqua" w:cs="宋体"/>
          <w:sz w:val="24"/>
          <w:szCs w:val="24"/>
          <w:lang w:val="en-US"/>
        </w:rPr>
        <w:t>: 3191-3196 [PMID: 25298038 DOI: 10.1182/blood-2014-06-583617]</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17</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Lémann</w:t>
      </w:r>
      <w:proofErr w:type="spellEnd"/>
      <w:r w:rsidR="006A6500" w:rsidRPr="00C33C2F">
        <w:rPr>
          <w:rFonts w:ascii="Book Antiqua" w:eastAsia="宋体" w:hAnsi="Book Antiqua" w:cs="宋体"/>
          <w:b/>
          <w:bCs/>
          <w:sz w:val="24"/>
          <w:szCs w:val="24"/>
          <w:lang w:val="en-US"/>
        </w:rPr>
        <w:t xml:space="preserve"> M</w:t>
      </w:r>
      <w:r w:rsidR="006A6500" w:rsidRPr="00C33C2F">
        <w:rPr>
          <w:rFonts w:ascii="Book Antiqua" w:eastAsia="宋体" w:hAnsi="Book Antiqua" w:cs="宋体"/>
          <w:sz w:val="24"/>
          <w:szCs w:val="24"/>
          <w:lang w:val="en-US"/>
        </w:rPr>
        <w:t xml:space="preserve">, Mary JY, </w:t>
      </w:r>
      <w:proofErr w:type="spellStart"/>
      <w:r w:rsidR="006A6500" w:rsidRPr="00C33C2F">
        <w:rPr>
          <w:rFonts w:ascii="Book Antiqua" w:eastAsia="宋体" w:hAnsi="Book Antiqua" w:cs="宋体"/>
          <w:sz w:val="24"/>
          <w:szCs w:val="24"/>
          <w:lang w:val="en-US"/>
        </w:rPr>
        <w:t>Duclos</w:t>
      </w:r>
      <w:proofErr w:type="spellEnd"/>
      <w:r w:rsidR="006A6500" w:rsidRPr="00C33C2F">
        <w:rPr>
          <w:rFonts w:ascii="Book Antiqua" w:eastAsia="宋体" w:hAnsi="Book Antiqua" w:cs="宋体"/>
          <w:sz w:val="24"/>
          <w:szCs w:val="24"/>
          <w:lang w:val="en-US"/>
        </w:rPr>
        <w:t xml:space="preserve"> B, </w:t>
      </w:r>
      <w:proofErr w:type="spellStart"/>
      <w:r w:rsidR="006A6500" w:rsidRPr="00C33C2F">
        <w:rPr>
          <w:rFonts w:ascii="Book Antiqua" w:eastAsia="宋体" w:hAnsi="Book Antiqua" w:cs="宋体"/>
          <w:sz w:val="24"/>
          <w:szCs w:val="24"/>
          <w:lang w:val="en-US"/>
        </w:rPr>
        <w:t>Veyrac</w:t>
      </w:r>
      <w:proofErr w:type="spellEnd"/>
      <w:r w:rsidR="006A6500" w:rsidRPr="00C33C2F">
        <w:rPr>
          <w:rFonts w:ascii="Book Antiqua" w:eastAsia="宋体" w:hAnsi="Book Antiqua" w:cs="宋体"/>
          <w:sz w:val="24"/>
          <w:szCs w:val="24"/>
          <w:lang w:val="en-US"/>
        </w:rPr>
        <w:t xml:space="preserve"> M, </w:t>
      </w:r>
      <w:proofErr w:type="spellStart"/>
      <w:r w:rsidR="006A6500" w:rsidRPr="00C33C2F">
        <w:rPr>
          <w:rFonts w:ascii="Book Antiqua" w:eastAsia="宋体" w:hAnsi="Book Antiqua" w:cs="宋体"/>
          <w:sz w:val="24"/>
          <w:szCs w:val="24"/>
          <w:lang w:val="en-US"/>
        </w:rPr>
        <w:t>Dupas</w:t>
      </w:r>
      <w:proofErr w:type="spellEnd"/>
      <w:r w:rsidR="006A6500" w:rsidRPr="00C33C2F">
        <w:rPr>
          <w:rFonts w:ascii="Book Antiqua" w:eastAsia="宋体" w:hAnsi="Book Antiqua" w:cs="宋体"/>
          <w:sz w:val="24"/>
          <w:szCs w:val="24"/>
          <w:lang w:val="en-US"/>
        </w:rPr>
        <w:t xml:space="preserve"> JL, </w:t>
      </w:r>
      <w:proofErr w:type="spellStart"/>
      <w:r w:rsidR="006A6500" w:rsidRPr="00C33C2F">
        <w:rPr>
          <w:rFonts w:ascii="Book Antiqua" w:eastAsia="宋体" w:hAnsi="Book Antiqua" w:cs="宋体"/>
          <w:sz w:val="24"/>
          <w:szCs w:val="24"/>
          <w:lang w:val="en-US"/>
        </w:rPr>
        <w:t>Delchier</w:t>
      </w:r>
      <w:proofErr w:type="spellEnd"/>
      <w:r w:rsidR="006A6500" w:rsidRPr="00C33C2F">
        <w:rPr>
          <w:rFonts w:ascii="Book Antiqua" w:eastAsia="宋体" w:hAnsi="Book Antiqua" w:cs="宋体"/>
          <w:sz w:val="24"/>
          <w:szCs w:val="24"/>
          <w:lang w:val="en-US"/>
        </w:rPr>
        <w:t xml:space="preserve"> JC, </w:t>
      </w:r>
      <w:proofErr w:type="spellStart"/>
      <w:r w:rsidR="006A6500" w:rsidRPr="00C33C2F">
        <w:rPr>
          <w:rFonts w:ascii="Book Antiqua" w:eastAsia="宋体" w:hAnsi="Book Antiqua" w:cs="宋体"/>
          <w:sz w:val="24"/>
          <w:szCs w:val="24"/>
          <w:lang w:val="en-US"/>
        </w:rPr>
        <w:t>Laharie</w:t>
      </w:r>
      <w:proofErr w:type="spellEnd"/>
      <w:r w:rsidR="006A6500" w:rsidRPr="00C33C2F">
        <w:rPr>
          <w:rFonts w:ascii="Book Antiqua" w:eastAsia="宋体" w:hAnsi="Book Antiqua" w:cs="宋体"/>
          <w:sz w:val="24"/>
          <w:szCs w:val="24"/>
          <w:lang w:val="en-US"/>
        </w:rPr>
        <w:t xml:space="preserve"> D, Moreau J, </w:t>
      </w:r>
      <w:proofErr w:type="spellStart"/>
      <w:r w:rsidR="006A6500" w:rsidRPr="00C33C2F">
        <w:rPr>
          <w:rFonts w:ascii="Book Antiqua" w:eastAsia="宋体" w:hAnsi="Book Antiqua" w:cs="宋体"/>
          <w:sz w:val="24"/>
          <w:szCs w:val="24"/>
          <w:lang w:val="en-US"/>
        </w:rPr>
        <w:t>Cadiot</w:t>
      </w:r>
      <w:proofErr w:type="spellEnd"/>
      <w:r w:rsidR="006A6500" w:rsidRPr="00C33C2F">
        <w:rPr>
          <w:rFonts w:ascii="Book Antiqua" w:eastAsia="宋体" w:hAnsi="Book Antiqua" w:cs="宋体"/>
          <w:sz w:val="24"/>
          <w:szCs w:val="24"/>
          <w:lang w:val="en-US"/>
        </w:rPr>
        <w:t xml:space="preserve"> G, </w:t>
      </w:r>
      <w:proofErr w:type="spellStart"/>
      <w:r w:rsidR="006A6500" w:rsidRPr="00C33C2F">
        <w:rPr>
          <w:rFonts w:ascii="Book Antiqua" w:eastAsia="宋体" w:hAnsi="Book Antiqua" w:cs="宋体"/>
          <w:sz w:val="24"/>
          <w:szCs w:val="24"/>
          <w:lang w:val="en-US"/>
        </w:rPr>
        <w:t>Picon</w:t>
      </w:r>
      <w:proofErr w:type="spellEnd"/>
      <w:r w:rsidR="006A6500" w:rsidRPr="00C33C2F">
        <w:rPr>
          <w:rFonts w:ascii="Book Antiqua" w:eastAsia="宋体" w:hAnsi="Book Antiqua" w:cs="宋体"/>
          <w:sz w:val="24"/>
          <w:szCs w:val="24"/>
          <w:lang w:val="en-US"/>
        </w:rPr>
        <w:t xml:space="preserve"> L, </w:t>
      </w:r>
      <w:proofErr w:type="spellStart"/>
      <w:r w:rsidR="006A6500" w:rsidRPr="00C33C2F">
        <w:rPr>
          <w:rFonts w:ascii="Book Antiqua" w:eastAsia="宋体" w:hAnsi="Book Antiqua" w:cs="宋体"/>
          <w:sz w:val="24"/>
          <w:szCs w:val="24"/>
          <w:lang w:val="en-US"/>
        </w:rPr>
        <w:t>Bourreille</w:t>
      </w:r>
      <w:proofErr w:type="spellEnd"/>
      <w:r w:rsidR="006A6500" w:rsidRPr="00C33C2F">
        <w:rPr>
          <w:rFonts w:ascii="Book Antiqua" w:eastAsia="宋体" w:hAnsi="Book Antiqua" w:cs="宋体"/>
          <w:sz w:val="24"/>
          <w:szCs w:val="24"/>
          <w:lang w:val="en-US"/>
        </w:rPr>
        <w:t xml:space="preserve"> A, </w:t>
      </w:r>
      <w:proofErr w:type="spellStart"/>
      <w:r w:rsidR="006A6500" w:rsidRPr="00C33C2F">
        <w:rPr>
          <w:rFonts w:ascii="Book Antiqua" w:eastAsia="宋体" w:hAnsi="Book Antiqua" w:cs="宋体"/>
          <w:sz w:val="24"/>
          <w:szCs w:val="24"/>
          <w:lang w:val="en-US"/>
        </w:rPr>
        <w:t>Sobahni</w:t>
      </w:r>
      <w:proofErr w:type="spellEnd"/>
      <w:r w:rsidR="006A6500" w:rsidRPr="00C33C2F">
        <w:rPr>
          <w:rFonts w:ascii="Book Antiqua" w:eastAsia="宋体" w:hAnsi="Book Antiqua" w:cs="宋体"/>
          <w:sz w:val="24"/>
          <w:szCs w:val="24"/>
          <w:lang w:val="en-US"/>
        </w:rPr>
        <w:t xml:space="preserve"> I, </w:t>
      </w:r>
      <w:proofErr w:type="spellStart"/>
      <w:r w:rsidR="006A6500" w:rsidRPr="00C33C2F">
        <w:rPr>
          <w:rFonts w:ascii="Book Antiqua" w:eastAsia="宋体" w:hAnsi="Book Antiqua" w:cs="宋体"/>
          <w:sz w:val="24"/>
          <w:szCs w:val="24"/>
          <w:lang w:val="en-US"/>
        </w:rPr>
        <w:t>Colombel</w:t>
      </w:r>
      <w:proofErr w:type="spellEnd"/>
      <w:r w:rsidR="006A6500" w:rsidRPr="00C33C2F">
        <w:rPr>
          <w:rFonts w:ascii="Book Antiqua" w:eastAsia="宋体" w:hAnsi="Book Antiqua" w:cs="宋体"/>
          <w:sz w:val="24"/>
          <w:szCs w:val="24"/>
          <w:lang w:val="en-US"/>
        </w:rPr>
        <w:t xml:space="preserve"> JF. Infliximab plus azathioprine for steroid-dependent </w:t>
      </w:r>
      <w:proofErr w:type="spellStart"/>
      <w:r w:rsidR="006A6500" w:rsidRPr="00C33C2F">
        <w:rPr>
          <w:rFonts w:ascii="Book Antiqua" w:eastAsia="宋体" w:hAnsi="Book Antiqua" w:cs="宋体"/>
          <w:sz w:val="24"/>
          <w:szCs w:val="24"/>
          <w:lang w:val="en-US"/>
        </w:rPr>
        <w:t>Crohn's</w:t>
      </w:r>
      <w:proofErr w:type="spellEnd"/>
      <w:r w:rsidR="006A6500" w:rsidRPr="00C33C2F">
        <w:rPr>
          <w:rFonts w:ascii="Book Antiqua" w:eastAsia="宋体" w:hAnsi="Book Antiqua" w:cs="宋体"/>
          <w:sz w:val="24"/>
          <w:szCs w:val="24"/>
          <w:lang w:val="en-US"/>
        </w:rPr>
        <w:t xml:space="preserve"> disease patients: a randomized placebo-controlled trial. </w:t>
      </w:r>
      <w:r w:rsidR="006A6500" w:rsidRPr="00C33C2F">
        <w:rPr>
          <w:rFonts w:ascii="Book Antiqua" w:eastAsia="宋体" w:hAnsi="Book Antiqua" w:cs="宋体"/>
          <w:i/>
          <w:iCs/>
          <w:sz w:val="24"/>
          <w:szCs w:val="24"/>
          <w:lang w:val="en-US"/>
        </w:rPr>
        <w:t>Gastroenterology</w:t>
      </w:r>
      <w:r w:rsidR="006A6500" w:rsidRPr="00C33C2F">
        <w:rPr>
          <w:rFonts w:ascii="Book Antiqua" w:eastAsia="宋体" w:hAnsi="Book Antiqua" w:cs="宋体"/>
          <w:sz w:val="24"/>
          <w:szCs w:val="24"/>
          <w:lang w:val="en-US"/>
        </w:rPr>
        <w:t> 2006; </w:t>
      </w:r>
      <w:r w:rsidR="006A6500" w:rsidRPr="00C33C2F">
        <w:rPr>
          <w:rFonts w:ascii="Book Antiqua" w:eastAsia="宋体" w:hAnsi="Book Antiqua" w:cs="宋体"/>
          <w:b/>
          <w:bCs/>
          <w:sz w:val="24"/>
          <w:szCs w:val="24"/>
          <w:lang w:val="en-US"/>
        </w:rPr>
        <w:t>130</w:t>
      </w:r>
      <w:r w:rsidR="006A6500" w:rsidRPr="00C33C2F">
        <w:rPr>
          <w:rFonts w:ascii="Book Antiqua" w:eastAsia="宋体" w:hAnsi="Book Antiqua" w:cs="宋体"/>
          <w:sz w:val="24"/>
          <w:szCs w:val="24"/>
          <w:lang w:val="en-US"/>
        </w:rPr>
        <w:t>: 1054-1061 [PMID: 16618399 DOI: 10.1053/j.gastro.2006.02.014]</w:t>
      </w:r>
    </w:p>
    <w:p w:rsidR="006A6500" w:rsidRPr="00C33C2F" w:rsidRDefault="00FD6DD3" w:rsidP="008B1267">
      <w:pPr>
        <w:spacing w:after="0" w:line="360" w:lineRule="auto"/>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18</w:t>
      </w:r>
      <w:r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b/>
          <w:sz w:val="24"/>
          <w:szCs w:val="24"/>
          <w:lang w:val="en-US"/>
        </w:rPr>
        <w:t>Colombel</w:t>
      </w:r>
      <w:proofErr w:type="spellEnd"/>
      <w:r w:rsidR="006A6500" w:rsidRPr="00C33C2F">
        <w:rPr>
          <w:rFonts w:ascii="Book Antiqua" w:eastAsia="宋体" w:hAnsi="Book Antiqua" w:cs="宋体"/>
          <w:b/>
          <w:sz w:val="24"/>
          <w:szCs w:val="24"/>
          <w:lang w:val="en-US"/>
        </w:rPr>
        <w:t xml:space="preserve"> J,</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Sandborn</w:t>
      </w:r>
      <w:proofErr w:type="spellEnd"/>
      <w:r w:rsidR="006A6500" w:rsidRPr="00C33C2F">
        <w:rPr>
          <w:rFonts w:ascii="Book Antiqua" w:eastAsia="宋体" w:hAnsi="Book Antiqua" w:cs="宋体"/>
          <w:sz w:val="24"/>
          <w:szCs w:val="24"/>
          <w:lang w:val="en-US"/>
        </w:rPr>
        <w:t xml:space="preserve"> W, </w:t>
      </w:r>
      <w:proofErr w:type="spellStart"/>
      <w:r w:rsidR="006A6500" w:rsidRPr="00C33C2F">
        <w:rPr>
          <w:rFonts w:ascii="Book Antiqua" w:eastAsia="宋体" w:hAnsi="Book Antiqua" w:cs="宋体"/>
          <w:sz w:val="24"/>
          <w:szCs w:val="24"/>
          <w:lang w:val="en-US"/>
        </w:rPr>
        <w:t>Reinisch</w:t>
      </w:r>
      <w:proofErr w:type="spellEnd"/>
      <w:r w:rsidR="006A6500" w:rsidRPr="00C33C2F">
        <w:rPr>
          <w:rFonts w:ascii="Book Antiqua" w:eastAsia="宋体" w:hAnsi="Book Antiqua" w:cs="宋体"/>
          <w:sz w:val="24"/>
          <w:szCs w:val="24"/>
          <w:lang w:val="en-US"/>
        </w:rPr>
        <w:t xml:space="preserve"> W, </w:t>
      </w:r>
      <w:proofErr w:type="spellStart"/>
      <w:r w:rsidR="006A6500" w:rsidRPr="00C33C2F">
        <w:rPr>
          <w:rFonts w:ascii="Book Antiqua" w:eastAsia="宋体" w:hAnsi="Book Antiqua" w:cs="宋体"/>
          <w:sz w:val="24"/>
          <w:szCs w:val="24"/>
          <w:lang w:val="en-US"/>
        </w:rPr>
        <w:t>Mantzaris</w:t>
      </w:r>
      <w:proofErr w:type="spellEnd"/>
      <w:r w:rsidR="006A6500" w:rsidRPr="00C33C2F">
        <w:rPr>
          <w:rFonts w:ascii="Book Antiqua" w:eastAsia="宋体" w:hAnsi="Book Antiqua" w:cs="宋体"/>
          <w:sz w:val="24"/>
          <w:szCs w:val="24"/>
          <w:lang w:val="en-US"/>
        </w:rPr>
        <w:t xml:space="preserve"> G, </w:t>
      </w:r>
      <w:proofErr w:type="spellStart"/>
      <w:r w:rsidR="006A6500" w:rsidRPr="00C33C2F">
        <w:rPr>
          <w:rFonts w:ascii="Book Antiqua" w:eastAsia="宋体" w:hAnsi="Book Antiqua" w:cs="宋体"/>
          <w:sz w:val="24"/>
          <w:szCs w:val="24"/>
          <w:lang w:val="en-US"/>
        </w:rPr>
        <w:t>Kornbluth</w:t>
      </w:r>
      <w:proofErr w:type="spellEnd"/>
      <w:r w:rsidR="006A6500" w:rsidRPr="00C33C2F">
        <w:rPr>
          <w:rFonts w:ascii="Book Antiqua" w:eastAsia="宋体" w:hAnsi="Book Antiqua" w:cs="宋体"/>
          <w:sz w:val="24"/>
          <w:szCs w:val="24"/>
          <w:lang w:val="en-US"/>
        </w:rPr>
        <w:t xml:space="preserve"> A, </w:t>
      </w:r>
      <w:proofErr w:type="spellStart"/>
      <w:r w:rsidR="006A6500" w:rsidRPr="00C33C2F">
        <w:rPr>
          <w:rFonts w:ascii="Book Antiqua" w:eastAsia="宋体" w:hAnsi="Book Antiqua" w:cs="宋体"/>
          <w:sz w:val="24"/>
          <w:szCs w:val="24"/>
          <w:lang w:val="en-US"/>
        </w:rPr>
        <w:t>Rachmilewitz</w:t>
      </w:r>
      <w:proofErr w:type="spellEnd"/>
      <w:r w:rsidR="006A6500" w:rsidRPr="00C33C2F">
        <w:rPr>
          <w:rFonts w:ascii="Book Antiqua" w:eastAsia="宋体" w:hAnsi="Book Antiqua" w:cs="宋体"/>
          <w:sz w:val="24"/>
          <w:szCs w:val="24"/>
          <w:lang w:val="en-US"/>
        </w:rPr>
        <w:t xml:space="preserve"> D, </w:t>
      </w:r>
      <w:proofErr w:type="spellStart"/>
      <w:r w:rsidR="006A6500" w:rsidRPr="00C33C2F">
        <w:rPr>
          <w:rFonts w:ascii="Book Antiqua" w:eastAsia="宋体" w:hAnsi="Book Antiqua" w:cs="宋体"/>
          <w:sz w:val="24"/>
          <w:szCs w:val="24"/>
          <w:lang w:val="en-US"/>
        </w:rPr>
        <w:t>Lichtiger</w:t>
      </w:r>
      <w:proofErr w:type="spellEnd"/>
      <w:r w:rsidR="006A6500" w:rsidRPr="00C33C2F">
        <w:rPr>
          <w:rFonts w:ascii="Book Antiqua" w:eastAsia="宋体" w:hAnsi="Book Antiqua" w:cs="宋体"/>
          <w:sz w:val="24"/>
          <w:szCs w:val="24"/>
          <w:lang w:val="en-US"/>
        </w:rPr>
        <w:t xml:space="preserve"> S, </w:t>
      </w:r>
      <w:proofErr w:type="spellStart"/>
      <w:r w:rsidR="006A6500" w:rsidRPr="00C33C2F">
        <w:rPr>
          <w:rFonts w:ascii="Book Antiqua" w:eastAsia="宋体" w:hAnsi="Book Antiqua" w:cs="宋体"/>
          <w:sz w:val="24"/>
          <w:szCs w:val="24"/>
          <w:lang w:val="en-US"/>
        </w:rPr>
        <w:t>D'Haens</w:t>
      </w:r>
      <w:proofErr w:type="spellEnd"/>
      <w:r w:rsidR="006A6500" w:rsidRPr="00C33C2F">
        <w:rPr>
          <w:rFonts w:ascii="Book Antiqua" w:eastAsia="宋体" w:hAnsi="Book Antiqua" w:cs="宋体"/>
          <w:sz w:val="24"/>
          <w:szCs w:val="24"/>
          <w:lang w:val="en-US"/>
        </w:rPr>
        <w:t xml:space="preserve"> G, Diamond RH, Broussard DL, Tang KL, van der </w:t>
      </w:r>
      <w:proofErr w:type="spellStart"/>
      <w:r w:rsidR="006A6500" w:rsidRPr="00C33C2F">
        <w:rPr>
          <w:rFonts w:ascii="Book Antiqua" w:eastAsia="宋体" w:hAnsi="Book Antiqua" w:cs="宋体"/>
          <w:sz w:val="24"/>
          <w:szCs w:val="24"/>
          <w:lang w:val="en-US"/>
        </w:rPr>
        <w:t>Woude</w:t>
      </w:r>
      <w:proofErr w:type="spellEnd"/>
      <w:r w:rsidR="006A6500" w:rsidRPr="00C33C2F">
        <w:rPr>
          <w:rFonts w:ascii="Book Antiqua" w:eastAsia="宋体" w:hAnsi="Book Antiqua" w:cs="宋体"/>
          <w:sz w:val="24"/>
          <w:szCs w:val="24"/>
          <w:lang w:val="en-US"/>
        </w:rPr>
        <w:t xml:space="preserve"> CJ, </w:t>
      </w:r>
      <w:proofErr w:type="spellStart"/>
      <w:r w:rsidR="006A6500" w:rsidRPr="00C33C2F">
        <w:rPr>
          <w:rFonts w:ascii="Book Antiqua" w:eastAsia="宋体" w:hAnsi="Book Antiqua" w:cs="宋体"/>
          <w:sz w:val="24"/>
          <w:szCs w:val="24"/>
          <w:lang w:val="en-US"/>
        </w:rPr>
        <w:lastRenderedPageBreak/>
        <w:t>Rutgeerts</w:t>
      </w:r>
      <w:proofErr w:type="spellEnd"/>
      <w:r w:rsidR="006A6500" w:rsidRPr="00C33C2F">
        <w:rPr>
          <w:rFonts w:ascii="Book Antiqua" w:eastAsia="宋体" w:hAnsi="Book Antiqua" w:cs="宋体"/>
          <w:sz w:val="24"/>
          <w:szCs w:val="24"/>
          <w:lang w:val="en-US"/>
        </w:rPr>
        <w:t xml:space="preserve"> P; SONIC Study Group. </w:t>
      </w:r>
      <w:proofErr w:type="gramStart"/>
      <w:r w:rsidR="006A6500" w:rsidRPr="00C33C2F">
        <w:rPr>
          <w:rFonts w:ascii="Book Antiqua" w:eastAsia="宋体" w:hAnsi="Book Antiqua" w:cs="宋体"/>
          <w:sz w:val="24"/>
          <w:szCs w:val="24"/>
          <w:lang w:val="en-US"/>
        </w:rPr>
        <w:t xml:space="preserve">Infliximab, azathioprine, or combination therapy for </w:t>
      </w:r>
      <w:proofErr w:type="spellStart"/>
      <w:r w:rsidR="006A6500" w:rsidRPr="00C33C2F">
        <w:rPr>
          <w:rFonts w:ascii="Book Antiqua" w:eastAsia="宋体" w:hAnsi="Book Antiqua" w:cs="宋体"/>
          <w:sz w:val="24"/>
          <w:szCs w:val="24"/>
          <w:lang w:val="en-US"/>
        </w:rPr>
        <w:t>Crohn's</w:t>
      </w:r>
      <w:proofErr w:type="spellEnd"/>
      <w:r w:rsidR="006A6500" w:rsidRPr="00C33C2F">
        <w:rPr>
          <w:rFonts w:ascii="Book Antiqua" w:eastAsia="宋体" w:hAnsi="Book Antiqua" w:cs="宋体"/>
          <w:sz w:val="24"/>
          <w:szCs w:val="24"/>
          <w:lang w:val="en-US"/>
        </w:rPr>
        <w:t xml:space="preserve"> disease.</w:t>
      </w:r>
      <w:proofErr w:type="gramEnd"/>
      <w:r w:rsidR="006A6500" w:rsidRPr="00C33C2F">
        <w:rPr>
          <w:rFonts w:ascii="Book Antiqua" w:eastAsia="宋体" w:hAnsi="Book Antiqua" w:cs="宋体"/>
          <w:sz w:val="24"/>
          <w:szCs w:val="24"/>
          <w:lang w:val="en-US"/>
        </w:rPr>
        <w:t xml:space="preserve"> </w:t>
      </w:r>
      <w:r w:rsidR="006A6500" w:rsidRPr="00C33C2F">
        <w:rPr>
          <w:rFonts w:ascii="Book Antiqua" w:eastAsia="宋体" w:hAnsi="Book Antiqua" w:cs="宋体"/>
          <w:i/>
          <w:sz w:val="24"/>
          <w:szCs w:val="24"/>
          <w:lang w:val="en-US"/>
        </w:rPr>
        <w:t xml:space="preserve">N </w:t>
      </w:r>
      <w:proofErr w:type="spellStart"/>
      <w:r w:rsidR="006A6500" w:rsidRPr="00C33C2F">
        <w:rPr>
          <w:rFonts w:ascii="Book Antiqua" w:eastAsia="宋体" w:hAnsi="Book Antiqua" w:cs="宋体"/>
          <w:i/>
          <w:sz w:val="24"/>
          <w:szCs w:val="24"/>
          <w:lang w:val="en-US"/>
        </w:rPr>
        <w:t>Engl</w:t>
      </w:r>
      <w:proofErr w:type="spellEnd"/>
      <w:r w:rsidR="006A6500" w:rsidRPr="00C33C2F">
        <w:rPr>
          <w:rFonts w:ascii="Book Antiqua" w:eastAsia="宋体" w:hAnsi="Book Antiqua" w:cs="宋体"/>
          <w:i/>
          <w:sz w:val="24"/>
          <w:szCs w:val="24"/>
          <w:lang w:val="en-US"/>
        </w:rPr>
        <w:t xml:space="preserve"> J Med</w:t>
      </w:r>
      <w:r w:rsidR="006A6500" w:rsidRPr="00C33C2F">
        <w:rPr>
          <w:rFonts w:ascii="Book Antiqua" w:eastAsia="宋体" w:hAnsi="Book Antiqua" w:cs="宋体"/>
          <w:sz w:val="24"/>
          <w:szCs w:val="24"/>
          <w:lang w:val="en-US"/>
        </w:rPr>
        <w:t xml:space="preserve"> 2010; </w:t>
      </w:r>
      <w:r w:rsidR="006A6500" w:rsidRPr="00C33C2F">
        <w:rPr>
          <w:rFonts w:ascii="Book Antiqua" w:eastAsia="宋体" w:hAnsi="Book Antiqua" w:cs="宋体"/>
          <w:b/>
          <w:sz w:val="24"/>
          <w:szCs w:val="24"/>
          <w:lang w:val="en-US"/>
        </w:rPr>
        <w:t>362</w:t>
      </w:r>
      <w:r w:rsidR="006A6500" w:rsidRPr="00C33C2F">
        <w:rPr>
          <w:rFonts w:ascii="Book Antiqua" w:eastAsia="宋体" w:hAnsi="Book Antiqua" w:cs="宋体"/>
          <w:sz w:val="24"/>
          <w:szCs w:val="24"/>
          <w:lang w:val="en-US"/>
        </w:rPr>
        <w:t xml:space="preserve">: 1383–1395 [DOI: 10.1056/NEJMoa0904492] </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19</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Panaccione</w:t>
      </w:r>
      <w:proofErr w:type="spellEnd"/>
      <w:r w:rsidR="006A6500" w:rsidRPr="00C33C2F">
        <w:rPr>
          <w:rFonts w:ascii="Book Antiqua" w:eastAsia="宋体" w:hAnsi="Book Antiqua" w:cs="宋体"/>
          <w:b/>
          <w:bCs/>
          <w:sz w:val="24"/>
          <w:szCs w:val="24"/>
          <w:lang w:val="en-US"/>
        </w:rPr>
        <w:t xml:space="preserve"> R</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Ghosh</w:t>
      </w:r>
      <w:proofErr w:type="spellEnd"/>
      <w:r w:rsidR="006A6500" w:rsidRPr="00C33C2F">
        <w:rPr>
          <w:rFonts w:ascii="Book Antiqua" w:eastAsia="宋体" w:hAnsi="Book Antiqua" w:cs="宋体"/>
          <w:sz w:val="24"/>
          <w:szCs w:val="24"/>
          <w:lang w:val="en-US"/>
        </w:rPr>
        <w:t xml:space="preserve"> S, Middleton S, </w:t>
      </w:r>
      <w:proofErr w:type="spellStart"/>
      <w:r w:rsidR="006A6500" w:rsidRPr="00C33C2F">
        <w:rPr>
          <w:rFonts w:ascii="Book Antiqua" w:eastAsia="宋体" w:hAnsi="Book Antiqua" w:cs="宋体"/>
          <w:sz w:val="24"/>
          <w:szCs w:val="24"/>
          <w:lang w:val="en-US"/>
        </w:rPr>
        <w:t>Márquez</w:t>
      </w:r>
      <w:proofErr w:type="spellEnd"/>
      <w:r w:rsidR="006A6500" w:rsidRPr="00C33C2F">
        <w:rPr>
          <w:rFonts w:ascii="Book Antiqua" w:eastAsia="宋体" w:hAnsi="Book Antiqua" w:cs="宋体"/>
          <w:sz w:val="24"/>
          <w:szCs w:val="24"/>
          <w:lang w:val="en-US"/>
        </w:rPr>
        <w:t xml:space="preserve"> JR, Scott BB, Flint L, van </w:t>
      </w:r>
      <w:proofErr w:type="spellStart"/>
      <w:r w:rsidR="006A6500" w:rsidRPr="00C33C2F">
        <w:rPr>
          <w:rFonts w:ascii="Book Antiqua" w:eastAsia="宋体" w:hAnsi="Book Antiqua" w:cs="宋体"/>
          <w:sz w:val="24"/>
          <w:szCs w:val="24"/>
          <w:lang w:val="en-US"/>
        </w:rPr>
        <w:t>Hoogstraten</w:t>
      </w:r>
      <w:proofErr w:type="spellEnd"/>
      <w:r w:rsidR="006A6500" w:rsidRPr="00C33C2F">
        <w:rPr>
          <w:rFonts w:ascii="Book Antiqua" w:eastAsia="宋体" w:hAnsi="Book Antiqua" w:cs="宋体"/>
          <w:sz w:val="24"/>
          <w:szCs w:val="24"/>
          <w:lang w:val="en-US"/>
        </w:rPr>
        <w:t xml:space="preserve"> HJ, Chen AC, </w:t>
      </w:r>
      <w:proofErr w:type="spellStart"/>
      <w:r w:rsidR="006A6500" w:rsidRPr="00C33C2F">
        <w:rPr>
          <w:rFonts w:ascii="Book Antiqua" w:eastAsia="宋体" w:hAnsi="Book Antiqua" w:cs="宋体"/>
          <w:sz w:val="24"/>
          <w:szCs w:val="24"/>
          <w:lang w:val="en-US"/>
        </w:rPr>
        <w:t>Zheng</w:t>
      </w:r>
      <w:proofErr w:type="spellEnd"/>
      <w:r w:rsidR="006A6500" w:rsidRPr="00C33C2F">
        <w:rPr>
          <w:rFonts w:ascii="Book Antiqua" w:eastAsia="宋体" w:hAnsi="Book Antiqua" w:cs="宋体"/>
          <w:sz w:val="24"/>
          <w:szCs w:val="24"/>
          <w:lang w:val="en-US"/>
        </w:rPr>
        <w:t xml:space="preserve"> H, </w:t>
      </w:r>
      <w:proofErr w:type="spellStart"/>
      <w:r w:rsidR="006A6500" w:rsidRPr="00C33C2F">
        <w:rPr>
          <w:rFonts w:ascii="Book Antiqua" w:eastAsia="宋体" w:hAnsi="Book Antiqua" w:cs="宋体"/>
          <w:sz w:val="24"/>
          <w:szCs w:val="24"/>
          <w:lang w:val="en-US"/>
        </w:rPr>
        <w:t>Danese</w:t>
      </w:r>
      <w:proofErr w:type="spellEnd"/>
      <w:r w:rsidR="006A6500" w:rsidRPr="00C33C2F">
        <w:rPr>
          <w:rFonts w:ascii="Book Antiqua" w:eastAsia="宋体" w:hAnsi="Book Antiqua" w:cs="宋体"/>
          <w:sz w:val="24"/>
          <w:szCs w:val="24"/>
          <w:lang w:val="en-US"/>
        </w:rPr>
        <w:t xml:space="preserve"> S, </w:t>
      </w:r>
      <w:proofErr w:type="spellStart"/>
      <w:r w:rsidR="006A6500" w:rsidRPr="00C33C2F">
        <w:rPr>
          <w:rFonts w:ascii="Book Antiqua" w:eastAsia="宋体" w:hAnsi="Book Antiqua" w:cs="宋体"/>
          <w:sz w:val="24"/>
          <w:szCs w:val="24"/>
          <w:lang w:val="en-US"/>
        </w:rPr>
        <w:t>Rutgeerts</w:t>
      </w:r>
      <w:proofErr w:type="spellEnd"/>
      <w:r w:rsidR="006A6500" w:rsidRPr="00C33C2F">
        <w:rPr>
          <w:rFonts w:ascii="Book Antiqua" w:eastAsia="宋体" w:hAnsi="Book Antiqua" w:cs="宋体"/>
          <w:sz w:val="24"/>
          <w:szCs w:val="24"/>
          <w:lang w:val="en-US"/>
        </w:rPr>
        <w:t xml:space="preserve"> P. Combination therapy with infliximab and azathioprine is superior to </w:t>
      </w:r>
      <w:proofErr w:type="spellStart"/>
      <w:r w:rsidR="006A6500" w:rsidRPr="00C33C2F">
        <w:rPr>
          <w:rFonts w:ascii="Book Antiqua" w:eastAsia="宋体" w:hAnsi="Book Antiqua" w:cs="宋体"/>
          <w:sz w:val="24"/>
          <w:szCs w:val="24"/>
          <w:lang w:val="en-US"/>
        </w:rPr>
        <w:t>monotherapy</w:t>
      </w:r>
      <w:proofErr w:type="spellEnd"/>
      <w:r w:rsidR="006A6500" w:rsidRPr="00C33C2F">
        <w:rPr>
          <w:rFonts w:ascii="Book Antiqua" w:eastAsia="宋体" w:hAnsi="Book Antiqua" w:cs="宋体"/>
          <w:sz w:val="24"/>
          <w:szCs w:val="24"/>
          <w:lang w:val="en-US"/>
        </w:rPr>
        <w:t xml:space="preserve"> with either agent in ulcerative colitis. </w:t>
      </w:r>
      <w:r w:rsidR="006A6500" w:rsidRPr="00C33C2F">
        <w:rPr>
          <w:rFonts w:ascii="Book Antiqua" w:eastAsia="宋体" w:hAnsi="Book Antiqua" w:cs="宋体"/>
          <w:i/>
          <w:iCs/>
          <w:sz w:val="24"/>
          <w:szCs w:val="24"/>
          <w:lang w:val="en-US"/>
        </w:rPr>
        <w:t>Gastroenterology</w:t>
      </w:r>
      <w:r w:rsidR="006A6500" w:rsidRPr="00C33C2F">
        <w:rPr>
          <w:rFonts w:ascii="Book Antiqua" w:eastAsia="宋体" w:hAnsi="Book Antiqua" w:cs="宋体"/>
          <w:sz w:val="24"/>
          <w:szCs w:val="24"/>
          <w:lang w:val="en-US"/>
        </w:rPr>
        <w:t> 2014; </w:t>
      </w:r>
      <w:r w:rsidR="006A6500" w:rsidRPr="00C33C2F">
        <w:rPr>
          <w:rFonts w:ascii="Book Antiqua" w:eastAsia="宋体" w:hAnsi="Book Antiqua" w:cs="宋体"/>
          <w:b/>
          <w:bCs/>
          <w:sz w:val="24"/>
          <w:szCs w:val="24"/>
          <w:lang w:val="en-US"/>
        </w:rPr>
        <w:t>146</w:t>
      </w:r>
      <w:r w:rsidR="006A6500" w:rsidRPr="00C33C2F">
        <w:rPr>
          <w:rFonts w:ascii="Book Antiqua" w:eastAsia="宋体" w:hAnsi="Book Antiqua" w:cs="宋体"/>
          <w:sz w:val="24"/>
          <w:szCs w:val="24"/>
          <w:lang w:val="en-US"/>
        </w:rPr>
        <w:t>: 392-400.e3 [PMID: 24512909 DOI: 10.1053/j.gastro.2013.10.052]</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20</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Hanauer</w:t>
      </w:r>
      <w:proofErr w:type="spellEnd"/>
      <w:r w:rsidR="006A6500" w:rsidRPr="00C33C2F">
        <w:rPr>
          <w:rFonts w:ascii="Book Antiqua" w:eastAsia="宋体" w:hAnsi="Book Antiqua" w:cs="宋体"/>
          <w:b/>
          <w:bCs/>
          <w:sz w:val="24"/>
          <w:szCs w:val="24"/>
          <w:lang w:val="en-US"/>
        </w:rPr>
        <w:t xml:space="preserve"> SB</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Feagan</w:t>
      </w:r>
      <w:proofErr w:type="spellEnd"/>
      <w:r w:rsidR="006A6500" w:rsidRPr="00C33C2F">
        <w:rPr>
          <w:rFonts w:ascii="Book Antiqua" w:eastAsia="宋体" w:hAnsi="Book Antiqua" w:cs="宋体"/>
          <w:sz w:val="24"/>
          <w:szCs w:val="24"/>
          <w:lang w:val="en-US"/>
        </w:rPr>
        <w:t xml:space="preserve"> BG, Lichtenstein GR, Mayer LF, Schreiber S, </w:t>
      </w:r>
      <w:proofErr w:type="spellStart"/>
      <w:r w:rsidR="006A6500" w:rsidRPr="00C33C2F">
        <w:rPr>
          <w:rFonts w:ascii="Book Antiqua" w:eastAsia="宋体" w:hAnsi="Book Antiqua" w:cs="宋体"/>
          <w:sz w:val="24"/>
          <w:szCs w:val="24"/>
          <w:lang w:val="en-US"/>
        </w:rPr>
        <w:t>Colombel</w:t>
      </w:r>
      <w:proofErr w:type="spellEnd"/>
      <w:r w:rsidR="006A6500" w:rsidRPr="00C33C2F">
        <w:rPr>
          <w:rFonts w:ascii="Book Antiqua" w:eastAsia="宋体" w:hAnsi="Book Antiqua" w:cs="宋体"/>
          <w:sz w:val="24"/>
          <w:szCs w:val="24"/>
          <w:lang w:val="en-US"/>
        </w:rPr>
        <w:t xml:space="preserve"> JF, </w:t>
      </w:r>
      <w:proofErr w:type="spellStart"/>
      <w:r w:rsidR="006A6500" w:rsidRPr="00C33C2F">
        <w:rPr>
          <w:rFonts w:ascii="Book Antiqua" w:eastAsia="宋体" w:hAnsi="Book Antiqua" w:cs="宋体"/>
          <w:sz w:val="24"/>
          <w:szCs w:val="24"/>
          <w:lang w:val="en-US"/>
        </w:rPr>
        <w:t>Rachmilewitz</w:t>
      </w:r>
      <w:proofErr w:type="spellEnd"/>
      <w:r w:rsidR="006A6500" w:rsidRPr="00C33C2F">
        <w:rPr>
          <w:rFonts w:ascii="Book Antiqua" w:eastAsia="宋体" w:hAnsi="Book Antiqua" w:cs="宋体"/>
          <w:sz w:val="24"/>
          <w:szCs w:val="24"/>
          <w:lang w:val="en-US"/>
        </w:rPr>
        <w:t xml:space="preserve"> D, Wolf DC, Olson A, </w:t>
      </w:r>
      <w:proofErr w:type="spellStart"/>
      <w:r w:rsidR="006A6500" w:rsidRPr="00C33C2F">
        <w:rPr>
          <w:rFonts w:ascii="Book Antiqua" w:eastAsia="宋体" w:hAnsi="Book Antiqua" w:cs="宋体"/>
          <w:sz w:val="24"/>
          <w:szCs w:val="24"/>
          <w:lang w:val="en-US"/>
        </w:rPr>
        <w:t>Bao</w:t>
      </w:r>
      <w:proofErr w:type="spellEnd"/>
      <w:r w:rsidR="006A6500" w:rsidRPr="00C33C2F">
        <w:rPr>
          <w:rFonts w:ascii="Book Antiqua" w:eastAsia="宋体" w:hAnsi="Book Antiqua" w:cs="宋体"/>
          <w:sz w:val="24"/>
          <w:szCs w:val="24"/>
          <w:lang w:val="en-US"/>
        </w:rPr>
        <w:t xml:space="preserve"> W, </w:t>
      </w:r>
      <w:proofErr w:type="spellStart"/>
      <w:r w:rsidR="006A6500" w:rsidRPr="00C33C2F">
        <w:rPr>
          <w:rFonts w:ascii="Book Antiqua" w:eastAsia="宋体" w:hAnsi="Book Antiqua" w:cs="宋体"/>
          <w:sz w:val="24"/>
          <w:szCs w:val="24"/>
          <w:lang w:val="en-US"/>
        </w:rPr>
        <w:t>Rutgeerts</w:t>
      </w:r>
      <w:proofErr w:type="spellEnd"/>
      <w:r w:rsidR="006A6500" w:rsidRPr="00C33C2F">
        <w:rPr>
          <w:rFonts w:ascii="Book Antiqua" w:eastAsia="宋体" w:hAnsi="Book Antiqua" w:cs="宋体"/>
          <w:sz w:val="24"/>
          <w:szCs w:val="24"/>
          <w:lang w:val="en-US"/>
        </w:rPr>
        <w:t xml:space="preserve"> P. Maintenance infliximab for </w:t>
      </w:r>
      <w:proofErr w:type="spellStart"/>
      <w:r w:rsidR="006A6500" w:rsidRPr="00C33C2F">
        <w:rPr>
          <w:rFonts w:ascii="Book Antiqua" w:eastAsia="宋体" w:hAnsi="Book Antiqua" w:cs="宋体"/>
          <w:sz w:val="24"/>
          <w:szCs w:val="24"/>
          <w:lang w:val="en-US"/>
        </w:rPr>
        <w:t>Crohn's</w:t>
      </w:r>
      <w:proofErr w:type="spellEnd"/>
      <w:r w:rsidR="006A6500" w:rsidRPr="00C33C2F">
        <w:rPr>
          <w:rFonts w:ascii="Book Antiqua" w:eastAsia="宋体" w:hAnsi="Book Antiqua" w:cs="宋体"/>
          <w:sz w:val="24"/>
          <w:szCs w:val="24"/>
          <w:lang w:val="en-US"/>
        </w:rPr>
        <w:t xml:space="preserve"> disease: the ACCENT I </w:t>
      </w:r>
      <w:proofErr w:type="spellStart"/>
      <w:r w:rsidR="006A6500" w:rsidRPr="00C33C2F">
        <w:rPr>
          <w:rFonts w:ascii="Book Antiqua" w:eastAsia="宋体" w:hAnsi="Book Antiqua" w:cs="宋体"/>
          <w:sz w:val="24"/>
          <w:szCs w:val="24"/>
          <w:lang w:val="en-US"/>
        </w:rPr>
        <w:t>randomised</w:t>
      </w:r>
      <w:proofErr w:type="spellEnd"/>
      <w:r w:rsidR="006A6500" w:rsidRPr="00C33C2F">
        <w:rPr>
          <w:rFonts w:ascii="Book Antiqua" w:eastAsia="宋体" w:hAnsi="Book Antiqua" w:cs="宋体"/>
          <w:sz w:val="24"/>
          <w:szCs w:val="24"/>
          <w:lang w:val="en-US"/>
        </w:rPr>
        <w:t xml:space="preserve"> trial. </w:t>
      </w:r>
      <w:r w:rsidR="006A6500" w:rsidRPr="00C33C2F">
        <w:rPr>
          <w:rFonts w:ascii="Book Antiqua" w:eastAsia="宋体" w:hAnsi="Book Antiqua" w:cs="宋体"/>
          <w:i/>
          <w:iCs/>
          <w:sz w:val="24"/>
          <w:szCs w:val="24"/>
          <w:lang w:val="en-US"/>
        </w:rPr>
        <w:t>Lancet</w:t>
      </w:r>
      <w:r w:rsidR="006A6500" w:rsidRPr="00C33C2F">
        <w:rPr>
          <w:rFonts w:ascii="Book Antiqua" w:eastAsia="宋体" w:hAnsi="Book Antiqua" w:cs="宋体"/>
          <w:sz w:val="24"/>
          <w:szCs w:val="24"/>
          <w:lang w:val="en-US"/>
        </w:rPr>
        <w:t> 2002; </w:t>
      </w:r>
      <w:r w:rsidR="006A6500" w:rsidRPr="00C33C2F">
        <w:rPr>
          <w:rFonts w:ascii="Book Antiqua" w:eastAsia="宋体" w:hAnsi="Book Antiqua" w:cs="宋体"/>
          <w:b/>
          <w:bCs/>
          <w:sz w:val="24"/>
          <w:szCs w:val="24"/>
          <w:lang w:val="en-US"/>
        </w:rPr>
        <w:t>359</w:t>
      </w:r>
      <w:r w:rsidR="006A6500" w:rsidRPr="00C33C2F">
        <w:rPr>
          <w:rFonts w:ascii="Book Antiqua" w:eastAsia="宋体" w:hAnsi="Book Antiqua" w:cs="宋体"/>
          <w:sz w:val="24"/>
          <w:szCs w:val="24"/>
          <w:lang w:val="en-US"/>
        </w:rPr>
        <w:t>: 1541-1549 [PMID: 12047962 DOI: 10.1016/S0140-6736(02)08512-4]</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21</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Rutgeerts</w:t>
      </w:r>
      <w:proofErr w:type="spellEnd"/>
      <w:r w:rsidR="006A6500" w:rsidRPr="00C33C2F">
        <w:rPr>
          <w:rFonts w:ascii="Book Antiqua" w:eastAsia="宋体" w:hAnsi="Book Antiqua" w:cs="宋体"/>
          <w:b/>
          <w:bCs/>
          <w:sz w:val="24"/>
          <w:szCs w:val="24"/>
          <w:lang w:val="en-US"/>
        </w:rPr>
        <w:t xml:space="preserve"> P</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Sandborn</w:t>
      </w:r>
      <w:proofErr w:type="spellEnd"/>
      <w:r w:rsidR="006A6500" w:rsidRPr="00C33C2F">
        <w:rPr>
          <w:rFonts w:ascii="Book Antiqua" w:eastAsia="宋体" w:hAnsi="Book Antiqua" w:cs="宋体"/>
          <w:sz w:val="24"/>
          <w:szCs w:val="24"/>
          <w:lang w:val="en-US"/>
        </w:rPr>
        <w:t xml:space="preserve"> WJ, </w:t>
      </w:r>
      <w:proofErr w:type="spellStart"/>
      <w:r w:rsidR="006A6500" w:rsidRPr="00C33C2F">
        <w:rPr>
          <w:rFonts w:ascii="Book Antiqua" w:eastAsia="宋体" w:hAnsi="Book Antiqua" w:cs="宋体"/>
          <w:sz w:val="24"/>
          <w:szCs w:val="24"/>
          <w:lang w:val="en-US"/>
        </w:rPr>
        <w:t>Feagan</w:t>
      </w:r>
      <w:proofErr w:type="spellEnd"/>
      <w:r w:rsidR="006A6500" w:rsidRPr="00C33C2F">
        <w:rPr>
          <w:rFonts w:ascii="Book Antiqua" w:eastAsia="宋体" w:hAnsi="Book Antiqua" w:cs="宋体"/>
          <w:sz w:val="24"/>
          <w:szCs w:val="24"/>
          <w:lang w:val="en-US"/>
        </w:rPr>
        <w:t xml:space="preserve"> BG, </w:t>
      </w:r>
      <w:proofErr w:type="spellStart"/>
      <w:r w:rsidR="006A6500" w:rsidRPr="00C33C2F">
        <w:rPr>
          <w:rFonts w:ascii="Book Antiqua" w:eastAsia="宋体" w:hAnsi="Book Antiqua" w:cs="宋体"/>
          <w:sz w:val="24"/>
          <w:szCs w:val="24"/>
          <w:lang w:val="en-US"/>
        </w:rPr>
        <w:t>Reinisch</w:t>
      </w:r>
      <w:proofErr w:type="spellEnd"/>
      <w:r w:rsidR="006A6500" w:rsidRPr="00C33C2F">
        <w:rPr>
          <w:rFonts w:ascii="Book Antiqua" w:eastAsia="宋体" w:hAnsi="Book Antiqua" w:cs="宋体"/>
          <w:sz w:val="24"/>
          <w:szCs w:val="24"/>
          <w:lang w:val="en-US"/>
        </w:rPr>
        <w:t xml:space="preserve"> W, Olson A, </w:t>
      </w:r>
      <w:proofErr w:type="spellStart"/>
      <w:r w:rsidR="006A6500" w:rsidRPr="00C33C2F">
        <w:rPr>
          <w:rFonts w:ascii="Book Antiqua" w:eastAsia="宋体" w:hAnsi="Book Antiqua" w:cs="宋体"/>
          <w:sz w:val="24"/>
          <w:szCs w:val="24"/>
          <w:lang w:val="en-US"/>
        </w:rPr>
        <w:t>Johanns</w:t>
      </w:r>
      <w:proofErr w:type="spellEnd"/>
      <w:r w:rsidR="006A6500" w:rsidRPr="00C33C2F">
        <w:rPr>
          <w:rFonts w:ascii="Book Antiqua" w:eastAsia="宋体" w:hAnsi="Book Antiqua" w:cs="宋体"/>
          <w:sz w:val="24"/>
          <w:szCs w:val="24"/>
          <w:lang w:val="en-US"/>
        </w:rPr>
        <w:t xml:space="preserve"> J, Travers S, </w:t>
      </w:r>
      <w:proofErr w:type="spellStart"/>
      <w:r w:rsidR="006A6500" w:rsidRPr="00C33C2F">
        <w:rPr>
          <w:rFonts w:ascii="Book Antiqua" w:eastAsia="宋体" w:hAnsi="Book Antiqua" w:cs="宋体"/>
          <w:sz w:val="24"/>
          <w:szCs w:val="24"/>
          <w:lang w:val="en-US"/>
        </w:rPr>
        <w:t>Rachmilewitz</w:t>
      </w:r>
      <w:proofErr w:type="spellEnd"/>
      <w:r w:rsidR="006A6500" w:rsidRPr="00C33C2F">
        <w:rPr>
          <w:rFonts w:ascii="Book Antiqua" w:eastAsia="宋体" w:hAnsi="Book Antiqua" w:cs="宋体"/>
          <w:sz w:val="24"/>
          <w:szCs w:val="24"/>
          <w:lang w:val="en-US"/>
        </w:rPr>
        <w:t xml:space="preserve"> D, </w:t>
      </w:r>
      <w:proofErr w:type="spellStart"/>
      <w:r w:rsidR="006A6500" w:rsidRPr="00C33C2F">
        <w:rPr>
          <w:rFonts w:ascii="Book Antiqua" w:eastAsia="宋体" w:hAnsi="Book Antiqua" w:cs="宋体"/>
          <w:sz w:val="24"/>
          <w:szCs w:val="24"/>
          <w:lang w:val="en-US"/>
        </w:rPr>
        <w:t>Hanauer</w:t>
      </w:r>
      <w:proofErr w:type="spellEnd"/>
      <w:r w:rsidR="006A6500" w:rsidRPr="00C33C2F">
        <w:rPr>
          <w:rFonts w:ascii="Book Antiqua" w:eastAsia="宋体" w:hAnsi="Book Antiqua" w:cs="宋体"/>
          <w:sz w:val="24"/>
          <w:szCs w:val="24"/>
          <w:lang w:val="en-US"/>
        </w:rPr>
        <w:t xml:space="preserve"> SB, Lichtenstein GR, de Villiers WJ, Present D, Sands BE, </w:t>
      </w:r>
      <w:proofErr w:type="spellStart"/>
      <w:r w:rsidR="006A6500" w:rsidRPr="00C33C2F">
        <w:rPr>
          <w:rFonts w:ascii="Book Antiqua" w:eastAsia="宋体" w:hAnsi="Book Antiqua" w:cs="宋体"/>
          <w:sz w:val="24"/>
          <w:szCs w:val="24"/>
          <w:lang w:val="en-US"/>
        </w:rPr>
        <w:t>Colombel</w:t>
      </w:r>
      <w:proofErr w:type="spellEnd"/>
      <w:r w:rsidR="006A6500" w:rsidRPr="00C33C2F">
        <w:rPr>
          <w:rFonts w:ascii="Book Antiqua" w:eastAsia="宋体" w:hAnsi="Book Antiqua" w:cs="宋体"/>
          <w:sz w:val="24"/>
          <w:szCs w:val="24"/>
          <w:lang w:val="en-US"/>
        </w:rPr>
        <w:t xml:space="preserve"> JF. </w:t>
      </w:r>
      <w:proofErr w:type="gramStart"/>
      <w:r w:rsidR="006A6500" w:rsidRPr="00C33C2F">
        <w:rPr>
          <w:rFonts w:ascii="Book Antiqua" w:eastAsia="宋体" w:hAnsi="Book Antiqua" w:cs="宋体"/>
          <w:sz w:val="24"/>
          <w:szCs w:val="24"/>
          <w:lang w:val="en-US"/>
        </w:rPr>
        <w:t>Infliximab for induction and maintenance therapy for ulcerative colitis.</w:t>
      </w:r>
      <w:proofErr w:type="gramEnd"/>
      <w:r w:rsidR="006A6500" w:rsidRPr="00C33C2F">
        <w:rPr>
          <w:rFonts w:ascii="Book Antiqua" w:eastAsia="宋体" w:hAnsi="Book Antiqua" w:cs="宋体"/>
          <w:sz w:val="24"/>
          <w:szCs w:val="24"/>
          <w:lang w:val="en-US"/>
        </w:rPr>
        <w:t> </w:t>
      </w:r>
      <w:r w:rsidR="006A6500" w:rsidRPr="00C33C2F">
        <w:rPr>
          <w:rFonts w:ascii="Book Antiqua" w:eastAsia="宋体" w:hAnsi="Book Antiqua" w:cs="宋体"/>
          <w:i/>
          <w:iCs/>
          <w:sz w:val="24"/>
          <w:szCs w:val="24"/>
          <w:lang w:val="en-US"/>
        </w:rPr>
        <w:t xml:space="preserve">N </w:t>
      </w:r>
      <w:proofErr w:type="spellStart"/>
      <w:r w:rsidR="006A6500" w:rsidRPr="00C33C2F">
        <w:rPr>
          <w:rFonts w:ascii="Book Antiqua" w:eastAsia="宋体" w:hAnsi="Book Antiqua" w:cs="宋体"/>
          <w:i/>
          <w:iCs/>
          <w:sz w:val="24"/>
          <w:szCs w:val="24"/>
          <w:lang w:val="en-US"/>
        </w:rPr>
        <w:t>Engl</w:t>
      </w:r>
      <w:proofErr w:type="spellEnd"/>
      <w:r w:rsidR="006A6500" w:rsidRPr="00C33C2F">
        <w:rPr>
          <w:rFonts w:ascii="Book Antiqua" w:eastAsia="宋体" w:hAnsi="Book Antiqua" w:cs="宋体"/>
          <w:i/>
          <w:iCs/>
          <w:sz w:val="24"/>
          <w:szCs w:val="24"/>
          <w:lang w:val="en-US"/>
        </w:rPr>
        <w:t xml:space="preserve"> J Med</w:t>
      </w:r>
      <w:r w:rsidR="006A6500" w:rsidRPr="00C33C2F">
        <w:rPr>
          <w:rFonts w:ascii="Book Antiqua" w:eastAsia="宋体" w:hAnsi="Book Antiqua" w:cs="宋体"/>
          <w:sz w:val="24"/>
          <w:szCs w:val="24"/>
          <w:lang w:val="en-US"/>
        </w:rPr>
        <w:t> 2005; </w:t>
      </w:r>
      <w:r w:rsidR="006A6500" w:rsidRPr="00C33C2F">
        <w:rPr>
          <w:rFonts w:ascii="Book Antiqua" w:eastAsia="宋体" w:hAnsi="Book Antiqua" w:cs="宋体"/>
          <w:b/>
          <w:bCs/>
          <w:sz w:val="24"/>
          <w:szCs w:val="24"/>
          <w:lang w:val="en-US"/>
        </w:rPr>
        <w:t>353</w:t>
      </w:r>
      <w:r w:rsidR="006A6500" w:rsidRPr="00C33C2F">
        <w:rPr>
          <w:rFonts w:ascii="Book Antiqua" w:eastAsia="宋体" w:hAnsi="Book Antiqua" w:cs="宋体"/>
          <w:sz w:val="24"/>
          <w:szCs w:val="24"/>
          <w:lang w:val="en-US"/>
        </w:rPr>
        <w:t>: 2462-2476 [PMID: 16339095 DOI: 10.1056/NEJMoa050516]</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22</w:t>
      </w:r>
      <w:r w:rsidRPr="00C33C2F">
        <w:rPr>
          <w:rFonts w:ascii="Book Antiqua" w:eastAsia="宋体" w:hAnsi="Book Antiqua" w:cs="宋体"/>
          <w:sz w:val="24"/>
          <w:szCs w:val="24"/>
          <w:lang w:val="en-US"/>
        </w:rPr>
        <w:t xml:space="preserve"> </w:t>
      </w:r>
      <w:r w:rsidR="006A6500" w:rsidRPr="00C33C2F">
        <w:rPr>
          <w:rFonts w:ascii="Book Antiqua" w:eastAsia="宋体" w:hAnsi="Book Antiqua" w:cs="宋体"/>
          <w:b/>
          <w:sz w:val="24"/>
          <w:szCs w:val="24"/>
          <w:lang w:val="en-US"/>
        </w:rPr>
        <w:t xml:space="preserve">Evaluate™. </w:t>
      </w:r>
      <w:proofErr w:type="gramStart"/>
      <w:r w:rsidR="006A6500" w:rsidRPr="00C33C2F">
        <w:rPr>
          <w:rFonts w:ascii="Book Antiqua" w:eastAsia="宋体" w:hAnsi="Book Antiqua" w:cs="宋体"/>
          <w:sz w:val="24"/>
          <w:szCs w:val="24"/>
          <w:lang w:val="en-US"/>
        </w:rPr>
        <w:t xml:space="preserve">KFDA Approves </w:t>
      </w:r>
      <w:proofErr w:type="spellStart"/>
      <w:r w:rsidR="006A6500" w:rsidRPr="00C33C2F">
        <w:rPr>
          <w:rFonts w:ascii="Book Antiqua" w:eastAsia="宋体" w:hAnsi="Book Antiqua" w:cs="宋体"/>
          <w:sz w:val="24"/>
          <w:szCs w:val="24"/>
          <w:lang w:val="en-US"/>
        </w:rPr>
        <w:t>Remsima</w:t>
      </w:r>
      <w:proofErr w:type="spellEnd"/>
      <w:r w:rsidR="006A6500" w:rsidRPr="00C33C2F">
        <w:rPr>
          <w:rFonts w:ascii="Book Antiqua" w:eastAsia="宋体" w:hAnsi="Book Antiqua" w:cs="宋体"/>
          <w:sz w:val="24"/>
          <w:szCs w:val="24"/>
          <w:lang w:val="en-US"/>
        </w:rPr>
        <w:t xml:space="preserve">(TM) (infliximab), the World's First Antibody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[press release].</w:t>
      </w:r>
      <w:proofErr w:type="gram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Celltrion</w:t>
      </w:r>
      <w:proofErr w:type="spellEnd"/>
      <w:r w:rsidR="006A6500" w:rsidRPr="00C33C2F">
        <w:rPr>
          <w:rFonts w:ascii="Book Antiqua" w:eastAsia="宋体" w:hAnsi="Book Antiqua" w:cs="宋体"/>
          <w:sz w:val="24"/>
          <w:szCs w:val="24"/>
          <w:lang w:val="en-US"/>
        </w:rPr>
        <w:t>, Johnson &amp; Johnson; 2012 [July 23]. Available from: URL:</w:t>
      </w:r>
      <w:r w:rsidR="006A6500" w:rsidRPr="00C33C2F">
        <w:rPr>
          <w:rFonts w:ascii="Book Antiqua" w:eastAsia="宋体" w:hAnsi="Book Antiqua" w:cs="宋体" w:hint="eastAsia"/>
          <w:sz w:val="24"/>
          <w:szCs w:val="24"/>
          <w:lang w:val="en-US"/>
        </w:rPr>
        <w:t xml:space="preserve"> </w:t>
      </w:r>
      <w:r w:rsidR="006A6500" w:rsidRPr="00C33C2F">
        <w:rPr>
          <w:rFonts w:ascii="Book Antiqua" w:eastAsia="宋体" w:hAnsi="Book Antiqua" w:cs="宋体"/>
          <w:sz w:val="24"/>
          <w:szCs w:val="24"/>
          <w:lang w:val="en-US"/>
        </w:rPr>
        <w:t xml:space="preserve">http: //www.evaluategroup.com/Universal/View.aspx?type=Story&amp;id=320129. </w:t>
      </w:r>
    </w:p>
    <w:p w:rsidR="006A6500" w:rsidRPr="00C33C2F" w:rsidRDefault="00FD6DD3" w:rsidP="008B1267">
      <w:pPr>
        <w:spacing w:after="0" w:line="360" w:lineRule="auto"/>
        <w:jc w:val="both"/>
        <w:rPr>
          <w:rFonts w:ascii="Book Antiqua" w:eastAsia="宋体" w:hAnsi="Book Antiqua" w:cs="宋体"/>
          <w:sz w:val="24"/>
          <w:szCs w:val="24"/>
          <w:lang w:val="en-US"/>
        </w:rPr>
      </w:pPr>
      <w:proofErr w:type="gramStart"/>
      <w:r w:rsidRPr="00C33C2F">
        <w:rPr>
          <w:rFonts w:ascii="Book Antiqua" w:eastAsia="宋体" w:hAnsi="Book Antiqua" w:cs="宋体" w:hint="eastAsia"/>
          <w:sz w:val="24"/>
          <w:szCs w:val="24"/>
          <w:lang w:val="en-US" w:eastAsia="zh-CN"/>
        </w:rPr>
        <w:t>23</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Jahnsen</w:t>
      </w:r>
      <w:proofErr w:type="spellEnd"/>
      <w:r w:rsidR="006A6500" w:rsidRPr="00C33C2F">
        <w:rPr>
          <w:rFonts w:ascii="Book Antiqua" w:eastAsia="宋体" w:hAnsi="Book Antiqua" w:cs="宋体"/>
          <w:b/>
          <w:bCs/>
          <w:sz w:val="24"/>
          <w:szCs w:val="24"/>
          <w:lang w:val="en-US"/>
        </w:rPr>
        <w:t xml:space="preserve"> J</w:t>
      </w:r>
      <w:r w:rsidR="006A6500" w:rsidRPr="00C33C2F">
        <w:rPr>
          <w:rFonts w:ascii="Book Antiqua" w:eastAsia="宋体" w:hAnsi="Book Antiqua" w:cs="宋体"/>
          <w:sz w:val="24"/>
          <w:szCs w:val="24"/>
          <w:lang w:val="en-US"/>
        </w:rPr>
        <w:t xml:space="preserve">. Clinical experience with infliximab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Remsima</w:t>
      </w:r>
      <w:proofErr w:type="spellEnd"/>
      <w:r w:rsidR="006A6500" w:rsidRPr="00C33C2F">
        <w:rPr>
          <w:rFonts w:ascii="Book Antiqua" w:eastAsia="宋体" w:hAnsi="Book Antiqua" w:cs="宋体"/>
          <w:sz w:val="24"/>
          <w:szCs w:val="24"/>
          <w:lang w:val="en-US"/>
        </w:rPr>
        <w:t xml:space="preserve"> (CT-P13) in inflammatory bowel disease patients.</w:t>
      </w:r>
      <w:proofErr w:type="gramEnd"/>
      <w:r w:rsidR="006A6500"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i/>
          <w:iCs/>
          <w:sz w:val="24"/>
          <w:szCs w:val="24"/>
          <w:lang w:val="en-US"/>
        </w:rPr>
        <w:t>Therap</w:t>
      </w:r>
      <w:proofErr w:type="spellEnd"/>
      <w:r w:rsidR="006A6500" w:rsidRPr="00C33C2F">
        <w:rPr>
          <w:rFonts w:ascii="Book Antiqua" w:eastAsia="宋体" w:hAnsi="Book Antiqua" w:cs="宋体"/>
          <w:i/>
          <w:iCs/>
          <w:sz w:val="24"/>
          <w:szCs w:val="24"/>
          <w:lang w:val="en-US"/>
        </w:rPr>
        <w:t xml:space="preserve"> </w:t>
      </w:r>
      <w:proofErr w:type="spellStart"/>
      <w:r w:rsidR="006A6500" w:rsidRPr="00C33C2F">
        <w:rPr>
          <w:rFonts w:ascii="Book Antiqua" w:eastAsia="宋体" w:hAnsi="Book Antiqua" w:cs="宋体"/>
          <w:i/>
          <w:iCs/>
          <w:sz w:val="24"/>
          <w:szCs w:val="24"/>
          <w:lang w:val="en-US"/>
        </w:rPr>
        <w:t>Adv</w:t>
      </w:r>
      <w:proofErr w:type="spellEnd"/>
      <w:r w:rsidR="006A6500" w:rsidRPr="00C33C2F">
        <w:rPr>
          <w:rFonts w:ascii="Book Antiqua" w:eastAsia="宋体" w:hAnsi="Book Antiqua" w:cs="宋体"/>
          <w:i/>
          <w:iCs/>
          <w:sz w:val="24"/>
          <w:szCs w:val="24"/>
          <w:lang w:val="en-US"/>
        </w:rPr>
        <w:t xml:space="preserve"> </w:t>
      </w:r>
      <w:proofErr w:type="spellStart"/>
      <w:r w:rsidR="006A6500" w:rsidRPr="00C33C2F">
        <w:rPr>
          <w:rFonts w:ascii="Book Antiqua" w:eastAsia="宋体" w:hAnsi="Book Antiqua" w:cs="宋体"/>
          <w:i/>
          <w:iCs/>
          <w:sz w:val="24"/>
          <w:szCs w:val="24"/>
          <w:lang w:val="en-US"/>
        </w:rPr>
        <w:t>Gastroenterol</w:t>
      </w:r>
      <w:proofErr w:type="spellEnd"/>
      <w:r w:rsidR="006A6500" w:rsidRPr="00C33C2F">
        <w:rPr>
          <w:rFonts w:ascii="Book Antiqua" w:eastAsia="宋体" w:hAnsi="Book Antiqua" w:cs="宋体"/>
          <w:sz w:val="24"/>
          <w:szCs w:val="24"/>
          <w:lang w:val="en-US"/>
        </w:rPr>
        <w:t> 2016; </w:t>
      </w:r>
      <w:r w:rsidR="006A6500" w:rsidRPr="00C33C2F">
        <w:rPr>
          <w:rFonts w:ascii="Book Antiqua" w:eastAsia="宋体" w:hAnsi="Book Antiqua" w:cs="宋体"/>
          <w:b/>
          <w:bCs/>
          <w:sz w:val="24"/>
          <w:szCs w:val="24"/>
          <w:lang w:val="en-US"/>
        </w:rPr>
        <w:t>9</w:t>
      </w:r>
      <w:r w:rsidR="006A6500" w:rsidRPr="00C33C2F">
        <w:rPr>
          <w:rFonts w:ascii="Book Antiqua" w:eastAsia="宋体" w:hAnsi="Book Antiqua" w:cs="宋体"/>
          <w:sz w:val="24"/>
          <w:szCs w:val="24"/>
          <w:lang w:val="en-US"/>
        </w:rPr>
        <w:t>: 322-329 [PMID: 27134662 DOI: 10.1177/1756283X16636764]</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24</w:t>
      </w:r>
      <w:r w:rsidRPr="00C33C2F">
        <w:rPr>
          <w:rFonts w:ascii="Book Antiqua" w:eastAsia="宋体" w:hAnsi="Book Antiqua" w:cs="宋体"/>
          <w:b/>
          <w:sz w:val="24"/>
          <w:szCs w:val="24"/>
          <w:lang w:val="en-US"/>
        </w:rPr>
        <w:t xml:space="preserve"> </w:t>
      </w:r>
      <w:r w:rsidR="006A6500" w:rsidRPr="00C33C2F">
        <w:rPr>
          <w:rFonts w:ascii="Book Antiqua" w:eastAsia="宋体" w:hAnsi="Book Antiqua" w:cs="宋体"/>
          <w:b/>
          <w:sz w:val="24"/>
          <w:szCs w:val="24"/>
          <w:lang w:val="en-US"/>
        </w:rPr>
        <w:t xml:space="preserve">Park W, </w:t>
      </w:r>
      <w:proofErr w:type="spellStart"/>
      <w:r w:rsidR="006A6500" w:rsidRPr="00C33C2F">
        <w:rPr>
          <w:rFonts w:ascii="Book Antiqua" w:eastAsia="宋体" w:hAnsi="Book Antiqua" w:cs="宋体"/>
          <w:sz w:val="24"/>
          <w:szCs w:val="24"/>
          <w:lang w:val="en-US"/>
        </w:rPr>
        <w:t>Hrycaj</w:t>
      </w:r>
      <w:proofErr w:type="spellEnd"/>
      <w:r w:rsidR="006A6500" w:rsidRPr="00C33C2F">
        <w:rPr>
          <w:rFonts w:ascii="Book Antiqua" w:eastAsia="宋体" w:hAnsi="Book Antiqua" w:cs="宋体"/>
          <w:sz w:val="24"/>
          <w:szCs w:val="24"/>
          <w:lang w:val="en-US"/>
        </w:rPr>
        <w:t xml:space="preserve"> P, </w:t>
      </w:r>
      <w:proofErr w:type="spellStart"/>
      <w:r w:rsidR="006A6500" w:rsidRPr="00C33C2F">
        <w:rPr>
          <w:rFonts w:ascii="Book Antiqua" w:eastAsia="宋体" w:hAnsi="Book Antiqua" w:cs="宋体"/>
          <w:sz w:val="24"/>
          <w:szCs w:val="24"/>
          <w:lang w:val="en-US"/>
        </w:rPr>
        <w:t>Jeka</w:t>
      </w:r>
      <w:proofErr w:type="spellEnd"/>
      <w:r w:rsidR="006A6500" w:rsidRPr="00C33C2F">
        <w:rPr>
          <w:rFonts w:ascii="Book Antiqua" w:eastAsia="宋体" w:hAnsi="Book Antiqua" w:cs="宋体"/>
          <w:sz w:val="24"/>
          <w:szCs w:val="24"/>
          <w:lang w:val="en-US"/>
        </w:rPr>
        <w:t xml:space="preserve"> S, </w:t>
      </w:r>
      <w:proofErr w:type="spellStart"/>
      <w:r w:rsidR="006A6500" w:rsidRPr="00C33C2F">
        <w:rPr>
          <w:rFonts w:ascii="Book Antiqua" w:eastAsia="宋体" w:hAnsi="Book Antiqua" w:cs="宋体"/>
          <w:sz w:val="24"/>
          <w:szCs w:val="24"/>
          <w:lang w:val="en-US"/>
        </w:rPr>
        <w:t>Kovalenko</w:t>
      </w:r>
      <w:proofErr w:type="spellEnd"/>
      <w:r w:rsidR="006A6500" w:rsidRPr="00C33C2F">
        <w:rPr>
          <w:rFonts w:ascii="Book Antiqua" w:eastAsia="宋体" w:hAnsi="Book Antiqua" w:cs="宋体"/>
          <w:sz w:val="24"/>
          <w:szCs w:val="24"/>
          <w:lang w:val="en-US"/>
        </w:rPr>
        <w:t xml:space="preserve"> V, Lysenko G, Miranda P, </w:t>
      </w:r>
      <w:proofErr w:type="spellStart"/>
      <w:r w:rsidR="006A6500" w:rsidRPr="00C33C2F">
        <w:rPr>
          <w:rFonts w:ascii="Book Antiqua" w:eastAsia="宋体" w:hAnsi="Book Antiqua" w:cs="宋体"/>
          <w:sz w:val="24"/>
          <w:szCs w:val="24"/>
          <w:lang w:val="en-US"/>
        </w:rPr>
        <w:t>Mikazane</w:t>
      </w:r>
      <w:proofErr w:type="spellEnd"/>
      <w:r w:rsidR="006A6500" w:rsidRPr="00C33C2F">
        <w:rPr>
          <w:rFonts w:ascii="Book Antiqua" w:eastAsia="宋体" w:hAnsi="Book Antiqua" w:cs="宋体"/>
          <w:sz w:val="24"/>
          <w:szCs w:val="24"/>
          <w:lang w:val="en-US"/>
        </w:rPr>
        <w:t xml:space="preserve"> H, Gutierrez-</w:t>
      </w:r>
      <w:proofErr w:type="spellStart"/>
      <w:r w:rsidR="006A6500" w:rsidRPr="00C33C2F">
        <w:rPr>
          <w:rFonts w:ascii="Book Antiqua" w:eastAsia="宋体" w:hAnsi="Book Antiqua" w:cs="宋体"/>
          <w:sz w:val="24"/>
          <w:szCs w:val="24"/>
          <w:lang w:val="en-US"/>
        </w:rPr>
        <w:t>Ure</w:t>
      </w:r>
      <w:proofErr w:type="spellEnd"/>
      <w:r w:rsidR="006A6500" w:rsidRPr="00C33C2F">
        <w:rPr>
          <w:rFonts w:ascii="Book Antiqua" w:eastAsia="宋体" w:hAnsi="Book Antiqua" w:cs="宋体"/>
          <w:sz w:val="24"/>
          <w:szCs w:val="24"/>
          <w:lang w:val="en-US"/>
        </w:rPr>
        <w:t xml:space="preserve">-a S, Lim M, Lee YA, Lee SJ, Kim H, </w:t>
      </w:r>
      <w:proofErr w:type="spellStart"/>
      <w:r w:rsidR="006A6500" w:rsidRPr="00C33C2F">
        <w:rPr>
          <w:rFonts w:ascii="Book Antiqua" w:eastAsia="宋体" w:hAnsi="Book Antiqua" w:cs="宋体"/>
          <w:sz w:val="24"/>
          <w:szCs w:val="24"/>
          <w:lang w:val="en-US"/>
        </w:rPr>
        <w:t>Yoo</w:t>
      </w:r>
      <w:proofErr w:type="spellEnd"/>
      <w:r w:rsidR="006A6500" w:rsidRPr="00C33C2F">
        <w:rPr>
          <w:rFonts w:ascii="Book Antiqua" w:eastAsia="宋体" w:hAnsi="Book Antiqua" w:cs="宋体"/>
          <w:sz w:val="24"/>
          <w:szCs w:val="24"/>
          <w:lang w:val="en-US"/>
        </w:rPr>
        <w:t xml:space="preserve"> DH, Braun J. A </w:t>
      </w:r>
      <w:proofErr w:type="spellStart"/>
      <w:r w:rsidR="006A6500" w:rsidRPr="00C33C2F">
        <w:rPr>
          <w:rFonts w:ascii="Book Antiqua" w:eastAsia="宋体" w:hAnsi="Book Antiqua" w:cs="宋体"/>
          <w:sz w:val="24"/>
          <w:szCs w:val="24"/>
          <w:lang w:val="en-US"/>
        </w:rPr>
        <w:t>randomised</w:t>
      </w:r>
      <w:proofErr w:type="spellEnd"/>
      <w:r w:rsidR="006A6500" w:rsidRPr="00C33C2F">
        <w:rPr>
          <w:rFonts w:ascii="Book Antiqua" w:eastAsia="宋体" w:hAnsi="Book Antiqua" w:cs="宋体"/>
          <w:sz w:val="24"/>
          <w:szCs w:val="24"/>
          <w:lang w:val="en-US"/>
        </w:rPr>
        <w:t xml:space="preserve">, double-blind, </w:t>
      </w:r>
      <w:proofErr w:type="spellStart"/>
      <w:r w:rsidR="006A6500" w:rsidRPr="00C33C2F">
        <w:rPr>
          <w:rFonts w:ascii="Book Antiqua" w:eastAsia="宋体" w:hAnsi="Book Antiqua" w:cs="宋体"/>
          <w:sz w:val="24"/>
          <w:szCs w:val="24"/>
          <w:lang w:val="en-US"/>
        </w:rPr>
        <w:t>multicentre</w:t>
      </w:r>
      <w:proofErr w:type="spellEnd"/>
      <w:r w:rsidR="006A6500" w:rsidRPr="00C33C2F">
        <w:rPr>
          <w:rFonts w:ascii="Book Antiqua" w:eastAsia="宋体" w:hAnsi="Book Antiqua" w:cs="宋体"/>
          <w:sz w:val="24"/>
          <w:szCs w:val="24"/>
          <w:lang w:val="en-US"/>
        </w:rPr>
        <w:t xml:space="preserve">, parallel-group, prospective study comparing the pharmacokinetics, </w:t>
      </w:r>
      <w:proofErr w:type="spellStart"/>
      <w:r w:rsidR="006A6500" w:rsidRPr="00C33C2F">
        <w:rPr>
          <w:rFonts w:ascii="Book Antiqua" w:eastAsia="宋体" w:hAnsi="Book Antiqua" w:cs="宋体"/>
          <w:sz w:val="24"/>
          <w:szCs w:val="24"/>
          <w:lang w:val="en-US"/>
        </w:rPr>
        <w:t>safety</w:t>
      </w:r>
      <w:proofErr w:type="gramStart"/>
      <w:r w:rsidR="006A6500" w:rsidRPr="00C33C2F">
        <w:rPr>
          <w:rFonts w:ascii="Book Antiqua" w:eastAsia="宋体" w:hAnsi="Book Antiqua" w:cs="宋体"/>
          <w:sz w:val="24"/>
          <w:szCs w:val="24"/>
          <w:lang w:val="en-US"/>
        </w:rPr>
        <w:t>,and</w:t>
      </w:r>
      <w:proofErr w:type="spellEnd"/>
      <w:proofErr w:type="gramEnd"/>
      <w:r w:rsidR="006A6500" w:rsidRPr="00C33C2F">
        <w:rPr>
          <w:rFonts w:ascii="Book Antiqua" w:eastAsia="宋体" w:hAnsi="Book Antiqua" w:cs="宋体"/>
          <w:sz w:val="24"/>
          <w:szCs w:val="24"/>
          <w:lang w:val="en-US"/>
        </w:rPr>
        <w:t xml:space="preserve"> efficacy of CT-P13 and innovator infliximab in patients with </w:t>
      </w:r>
      <w:proofErr w:type="spellStart"/>
      <w:r w:rsidR="006A6500" w:rsidRPr="00C33C2F">
        <w:rPr>
          <w:rFonts w:ascii="Book Antiqua" w:eastAsia="宋体" w:hAnsi="Book Antiqua" w:cs="宋体"/>
          <w:sz w:val="24"/>
          <w:szCs w:val="24"/>
          <w:lang w:val="en-US"/>
        </w:rPr>
        <w:t>ankylosing</w:t>
      </w:r>
      <w:proofErr w:type="spellEnd"/>
      <w:r w:rsidR="006A6500" w:rsidRPr="00C33C2F">
        <w:rPr>
          <w:rFonts w:ascii="Book Antiqua" w:eastAsia="宋体" w:hAnsi="Book Antiqua" w:cs="宋体"/>
          <w:sz w:val="24"/>
          <w:szCs w:val="24"/>
          <w:lang w:val="en-US"/>
        </w:rPr>
        <w:t xml:space="preserve"> spondylitis: the PLANETAS study. </w:t>
      </w:r>
      <w:r w:rsidR="006A6500" w:rsidRPr="00C33C2F">
        <w:rPr>
          <w:rFonts w:ascii="Book Antiqua" w:eastAsia="宋体" w:hAnsi="Book Antiqua" w:cs="宋体"/>
          <w:i/>
          <w:sz w:val="24"/>
          <w:szCs w:val="24"/>
          <w:lang w:val="en-US"/>
        </w:rPr>
        <w:t>Ann</w:t>
      </w:r>
      <w:r w:rsidR="006A6500" w:rsidRPr="00C33C2F">
        <w:rPr>
          <w:rFonts w:ascii="Book Antiqua" w:eastAsia="宋体" w:hAnsi="Book Antiqua" w:cs="宋体" w:hint="eastAsia"/>
          <w:i/>
          <w:sz w:val="24"/>
          <w:szCs w:val="24"/>
          <w:lang w:val="en-US"/>
        </w:rPr>
        <w:t xml:space="preserve"> </w:t>
      </w:r>
      <w:r w:rsidR="006A6500" w:rsidRPr="00C33C2F">
        <w:rPr>
          <w:rFonts w:ascii="Book Antiqua" w:eastAsia="宋体" w:hAnsi="Book Antiqua" w:cs="宋体"/>
          <w:i/>
          <w:sz w:val="24"/>
          <w:szCs w:val="24"/>
          <w:lang w:val="en-US"/>
        </w:rPr>
        <w:t xml:space="preserve">Rheum Dis </w:t>
      </w:r>
      <w:r w:rsidR="006A6500" w:rsidRPr="00C33C2F">
        <w:rPr>
          <w:rFonts w:ascii="Book Antiqua" w:eastAsia="宋体" w:hAnsi="Book Antiqua" w:cs="宋体"/>
          <w:sz w:val="24"/>
          <w:szCs w:val="24"/>
          <w:lang w:val="en-US"/>
        </w:rPr>
        <w:t xml:space="preserve">2013; </w:t>
      </w:r>
      <w:r w:rsidR="006A6500" w:rsidRPr="00C33C2F">
        <w:rPr>
          <w:rFonts w:ascii="Book Antiqua" w:eastAsia="宋体" w:hAnsi="Book Antiqua" w:cs="宋体"/>
          <w:b/>
          <w:sz w:val="24"/>
          <w:szCs w:val="24"/>
          <w:lang w:val="en-US"/>
        </w:rPr>
        <w:t>72</w:t>
      </w:r>
      <w:r w:rsidR="006A6500" w:rsidRPr="00C33C2F">
        <w:rPr>
          <w:rFonts w:ascii="Book Antiqua" w:eastAsia="宋体" w:hAnsi="Book Antiqua" w:cs="宋体"/>
          <w:sz w:val="24"/>
          <w:szCs w:val="24"/>
          <w:lang w:val="en-US"/>
        </w:rPr>
        <w:t>: 1605–</w:t>
      </w:r>
      <w:r w:rsidR="006A6500" w:rsidRPr="00C33C2F">
        <w:rPr>
          <w:rFonts w:ascii="Book Antiqua" w:eastAsia="宋体" w:hAnsi="Book Antiqua" w:cs="宋体" w:hint="eastAsia"/>
          <w:sz w:val="24"/>
          <w:szCs w:val="24"/>
          <w:lang w:val="en-US"/>
        </w:rPr>
        <w:t>16</w:t>
      </w:r>
      <w:r w:rsidR="006A6500" w:rsidRPr="00C33C2F">
        <w:rPr>
          <w:rFonts w:ascii="Book Antiqua" w:eastAsia="宋体" w:hAnsi="Book Antiqua" w:cs="宋体"/>
          <w:sz w:val="24"/>
          <w:szCs w:val="24"/>
          <w:lang w:val="en-US"/>
        </w:rPr>
        <w:t>12 [DOI: 10.1136/annrheumdis-2012-203091</w:t>
      </w:r>
      <w:r w:rsidR="006A6500" w:rsidRPr="00C33C2F">
        <w:rPr>
          <w:rFonts w:ascii="Book Antiqua" w:eastAsia="宋体" w:hAnsi="Book Antiqua" w:cs="宋体" w:hint="eastAsia"/>
          <w:sz w:val="24"/>
          <w:szCs w:val="24"/>
          <w:lang w:val="en-US"/>
        </w:rPr>
        <w:t>]</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25</w:t>
      </w:r>
      <w:r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b/>
          <w:sz w:val="24"/>
          <w:szCs w:val="24"/>
          <w:lang w:val="en-US"/>
        </w:rPr>
        <w:t>Yoo</w:t>
      </w:r>
      <w:proofErr w:type="spellEnd"/>
      <w:r w:rsidR="006A6500" w:rsidRPr="00C33C2F">
        <w:rPr>
          <w:rFonts w:ascii="Book Antiqua" w:eastAsia="宋体" w:hAnsi="Book Antiqua" w:cs="宋体"/>
          <w:b/>
          <w:sz w:val="24"/>
          <w:szCs w:val="24"/>
          <w:lang w:val="en-US"/>
        </w:rPr>
        <w:t xml:space="preserve"> DH</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Hrycaj</w:t>
      </w:r>
      <w:proofErr w:type="spellEnd"/>
      <w:r w:rsidR="006A6500" w:rsidRPr="00C33C2F">
        <w:rPr>
          <w:rFonts w:ascii="Book Antiqua" w:eastAsia="宋体" w:hAnsi="Book Antiqua" w:cs="宋体"/>
          <w:sz w:val="24"/>
          <w:szCs w:val="24"/>
          <w:lang w:val="en-US"/>
        </w:rPr>
        <w:t xml:space="preserve"> P, Miranda P, </w:t>
      </w:r>
      <w:proofErr w:type="spellStart"/>
      <w:r w:rsidR="006A6500" w:rsidRPr="00C33C2F">
        <w:rPr>
          <w:rFonts w:ascii="Book Antiqua" w:eastAsia="宋体" w:hAnsi="Book Antiqua" w:cs="宋体"/>
          <w:sz w:val="24"/>
          <w:szCs w:val="24"/>
          <w:lang w:val="en-US"/>
        </w:rPr>
        <w:t>Ramiterre</w:t>
      </w:r>
      <w:proofErr w:type="spellEnd"/>
      <w:r w:rsidR="006A6500" w:rsidRPr="00C33C2F">
        <w:rPr>
          <w:rFonts w:ascii="Book Antiqua" w:eastAsia="宋体" w:hAnsi="Book Antiqua" w:cs="宋体"/>
          <w:sz w:val="24"/>
          <w:szCs w:val="24"/>
          <w:lang w:val="en-US"/>
        </w:rPr>
        <w:t xml:space="preserve"> E, </w:t>
      </w:r>
      <w:proofErr w:type="spellStart"/>
      <w:r w:rsidR="006A6500" w:rsidRPr="00C33C2F">
        <w:rPr>
          <w:rFonts w:ascii="Book Antiqua" w:eastAsia="宋体" w:hAnsi="Book Antiqua" w:cs="宋体"/>
          <w:sz w:val="24"/>
          <w:szCs w:val="24"/>
          <w:lang w:val="en-US"/>
        </w:rPr>
        <w:t>Piotrowski</w:t>
      </w:r>
      <w:proofErr w:type="spellEnd"/>
      <w:r w:rsidR="006A6500" w:rsidRPr="00C33C2F">
        <w:rPr>
          <w:rFonts w:ascii="Book Antiqua" w:eastAsia="宋体" w:hAnsi="Book Antiqua" w:cs="宋体"/>
          <w:sz w:val="24"/>
          <w:szCs w:val="24"/>
          <w:lang w:val="en-US"/>
        </w:rPr>
        <w:t xml:space="preserve"> M, </w:t>
      </w:r>
      <w:proofErr w:type="spellStart"/>
      <w:r w:rsidR="006A6500" w:rsidRPr="00C33C2F">
        <w:rPr>
          <w:rFonts w:ascii="Book Antiqua" w:eastAsia="宋体" w:hAnsi="Book Antiqua" w:cs="宋体"/>
          <w:sz w:val="24"/>
          <w:szCs w:val="24"/>
          <w:lang w:val="en-US"/>
        </w:rPr>
        <w:t>Shevchuk</w:t>
      </w:r>
      <w:proofErr w:type="spellEnd"/>
      <w:r w:rsidR="006A6500" w:rsidRPr="00C33C2F">
        <w:rPr>
          <w:rFonts w:ascii="Book Antiqua" w:eastAsia="宋体" w:hAnsi="Book Antiqua" w:cs="宋体"/>
          <w:sz w:val="24"/>
          <w:szCs w:val="24"/>
          <w:lang w:val="en-US"/>
        </w:rPr>
        <w:t xml:space="preserve"> S, </w:t>
      </w:r>
      <w:proofErr w:type="spellStart"/>
      <w:r w:rsidR="006A6500" w:rsidRPr="00C33C2F">
        <w:rPr>
          <w:rFonts w:ascii="Book Antiqua" w:eastAsia="宋体" w:hAnsi="Book Antiqua" w:cs="宋体"/>
          <w:sz w:val="24"/>
          <w:szCs w:val="24"/>
          <w:lang w:val="en-US"/>
        </w:rPr>
        <w:t>Kovalenko</w:t>
      </w:r>
      <w:proofErr w:type="spellEnd"/>
      <w:r w:rsidR="006A6500" w:rsidRPr="00C33C2F">
        <w:rPr>
          <w:rFonts w:ascii="Book Antiqua" w:eastAsia="宋体" w:hAnsi="Book Antiqua" w:cs="宋体"/>
          <w:sz w:val="24"/>
          <w:szCs w:val="24"/>
          <w:lang w:val="en-US"/>
        </w:rPr>
        <w:t xml:space="preserve"> V, </w:t>
      </w:r>
      <w:proofErr w:type="spellStart"/>
      <w:r w:rsidR="006A6500" w:rsidRPr="00C33C2F">
        <w:rPr>
          <w:rFonts w:ascii="Book Antiqua" w:eastAsia="宋体" w:hAnsi="Book Antiqua" w:cs="宋体"/>
          <w:sz w:val="24"/>
          <w:szCs w:val="24"/>
          <w:lang w:val="en-US"/>
        </w:rPr>
        <w:t>Prodanovic</w:t>
      </w:r>
      <w:proofErr w:type="spellEnd"/>
      <w:r w:rsidR="006A6500" w:rsidRPr="00C33C2F">
        <w:rPr>
          <w:rFonts w:ascii="Book Antiqua" w:eastAsia="宋体" w:hAnsi="Book Antiqua" w:cs="宋体"/>
          <w:sz w:val="24"/>
          <w:szCs w:val="24"/>
          <w:lang w:val="en-US"/>
        </w:rPr>
        <w:t xml:space="preserve"> N, </w:t>
      </w:r>
      <w:proofErr w:type="spellStart"/>
      <w:r w:rsidR="006A6500" w:rsidRPr="00C33C2F">
        <w:rPr>
          <w:rFonts w:ascii="Book Antiqua" w:eastAsia="宋体" w:hAnsi="Book Antiqua" w:cs="宋体"/>
          <w:sz w:val="24"/>
          <w:szCs w:val="24"/>
          <w:lang w:val="en-US"/>
        </w:rPr>
        <w:t>Abello-Banfi</w:t>
      </w:r>
      <w:proofErr w:type="spellEnd"/>
      <w:r w:rsidR="006A6500" w:rsidRPr="00C33C2F">
        <w:rPr>
          <w:rFonts w:ascii="Book Antiqua" w:eastAsia="宋体" w:hAnsi="Book Antiqua" w:cs="宋体"/>
          <w:sz w:val="24"/>
          <w:szCs w:val="24"/>
          <w:lang w:val="en-US"/>
        </w:rPr>
        <w:t xml:space="preserve"> M, Gutierrez-</w:t>
      </w:r>
      <w:proofErr w:type="spellStart"/>
      <w:r w:rsidR="006A6500" w:rsidRPr="00C33C2F">
        <w:rPr>
          <w:rFonts w:ascii="Book Antiqua" w:eastAsia="宋体" w:hAnsi="Book Antiqua" w:cs="宋体"/>
          <w:sz w:val="24"/>
          <w:szCs w:val="24"/>
          <w:lang w:val="en-US"/>
        </w:rPr>
        <w:t>Ure</w:t>
      </w:r>
      <w:proofErr w:type="spellEnd"/>
      <w:r w:rsidR="006A6500" w:rsidRPr="00C33C2F">
        <w:rPr>
          <w:rFonts w:ascii="Book Antiqua" w:eastAsia="宋体" w:hAnsi="Book Antiqua" w:cs="宋体"/>
          <w:sz w:val="24"/>
          <w:szCs w:val="24"/>
          <w:lang w:val="en-US"/>
        </w:rPr>
        <w:t>-a S, Morales-</w:t>
      </w:r>
      <w:proofErr w:type="spellStart"/>
      <w:r w:rsidR="006A6500" w:rsidRPr="00C33C2F">
        <w:rPr>
          <w:rFonts w:ascii="Book Antiqua" w:eastAsia="宋体" w:hAnsi="Book Antiqua" w:cs="宋体"/>
          <w:sz w:val="24"/>
          <w:szCs w:val="24"/>
          <w:lang w:val="en-US"/>
        </w:rPr>
        <w:t>Olazabal</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L,Tee</w:t>
      </w:r>
      <w:proofErr w:type="spellEnd"/>
      <w:r w:rsidR="006A6500" w:rsidRPr="00C33C2F">
        <w:rPr>
          <w:rFonts w:ascii="Book Antiqua" w:eastAsia="宋体" w:hAnsi="Book Antiqua" w:cs="宋体"/>
          <w:sz w:val="24"/>
          <w:szCs w:val="24"/>
          <w:lang w:val="en-US"/>
        </w:rPr>
        <w:t xml:space="preserve"> M, Jimenez R, </w:t>
      </w:r>
      <w:proofErr w:type="spellStart"/>
      <w:r w:rsidR="006A6500" w:rsidRPr="00C33C2F">
        <w:rPr>
          <w:rFonts w:ascii="Book Antiqua" w:eastAsia="宋体" w:hAnsi="Book Antiqua" w:cs="宋体"/>
          <w:sz w:val="24"/>
          <w:szCs w:val="24"/>
          <w:lang w:val="en-US"/>
        </w:rPr>
        <w:t>Zamani</w:t>
      </w:r>
      <w:proofErr w:type="spellEnd"/>
      <w:r w:rsidR="006A6500" w:rsidRPr="00C33C2F">
        <w:rPr>
          <w:rFonts w:ascii="Book Antiqua" w:eastAsia="宋体" w:hAnsi="Book Antiqua" w:cs="宋体"/>
          <w:sz w:val="24"/>
          <w:szCs w:val="24"/>
          <w:lang w:val="en-US"/>
        </w:rPr>
        <w:t xml:space="preserve"> O, Lee SJ, Kim H, Park W, Müller-Ladner U. A </w:t>
      </w:r>
      <w:proofErr w:type="spellStart"/>
      <w:r w:rsidR="006A6500" w:rsidRPr="00C33C2F">
        <w:rPr>
          <w:rFonts w:ascii="Book Antiqua" w:eastAsia="宋体" w:hAnsi="Book Antiqua" w:cs="宋体"/>
          <w:sz w:val="24"/>
          <w:szCs w:val="24"/>
          <w:lang w:val="en-US"/>
        </w:rPr>
        <w:t>randomised</w:t>
      </w:r>
      <w:proofErr w:type="spellEnd"/>
      <w:r w:rsidR="006A6500" w:rsidRPr="00C33C2F">
        <w:rPr>
          <w:rFonts w:ascii="Book Antiqua" w:eastAsia="宋体" w:hAnsi="Book Antiqua" w:cs="宋体"/>
          <w:sz w:val="24"/>
          <w:szCs w:val="24"/>
          <w:lang w:val="en-US"/>
        </w:rPr>
        <w:t xml:space="preserve">, double-blind, parallel-group study to demonstrate equivalence in efficacy and safety of CT-P13 compared with innovator infliximab when </w:t>
      </w:r>
      <w:proofErr w:type="spellStart"/>
      <w:r w:rsidR="006A6500" w:rsidRPr="00C33C2F">
        <w:rPr>
          <w:rFonts w:ascii="Book Antiqua" w:eastAsia="宋体" w:hAnsi="Book Antiqua" w:cs="宋体"/>
          <w:sz w:val="24"/>
          <w:szCs w:val="24"/>
          <w:lang w:val="en-US"/>
        </w:rPr>
        <w:t>coadministered</w:t>
      </w:r>
      <w:proofErr w:type="spellEnd"/>
      <w:r w:rsidR="006A6500" w:rsidRPr="00C33C2F">
        <w:rPr>
          <w:rFonts w:ascii="Book Antiqua" w:eastAsia="宋体" w:hAnsi="Book Antiqua" w:cs="宋体"/>
          <w:sz w:val="24"/>
          <w:szCs w:val="24"/>
          <w:lang w:val="en-US"/>
        </w:rPr>
        <w:t xml:space="preserve"> with methotrexate in patients </w:t>
      </w:r>
      <w:r w:rsidR="006A6500" w:rsidRPr="00C33C2F">
        <w:rPr>
          <w:rFonts w:ascii="Book Antiqua" w:eastAsia="宋体" w:hAnsi="Book Antiqua" w:cs="宋体"/>
          <w:sz w:val="24"/>
          <w:szCs w:val="24"/>
          <w:lang w:val="en-US"/>
        </w:rPr>
        <w:lastRenderedPageBreak/>
        <w:t xml:space="preserve">with active rheumatoid arthritis: the PLANETRA study. </w:t>
      </w:r>
      <w:r w:rsidR="006A6500" w:rsidRPr="00C33C2F">
        <w:rPr>
          <w:rFonts w:ascii="Book Antiqua" w:eastAsia="宋体" w:hAnsi="Book Antiqua" w:cs="宋体"/>
          <w:i/>
          <w:sz w:val="24"/>
          <w:szCs w:val="24"/>
          <w:lang w:val="en-US"/>
        </w:rPr>
        <w:t>Ann</w:t>
      </w:r>
      <w:r w:rsidR="006A6500" w:rsidRPr="00C33C2F">
        <w:rPr>
          <w:rFonts w:ascii="Book Antiqua" w:eastAsia="宋体" w:hAnsi="Book Antiqua" w:cs="宋体" w:hint="eastAsia"/>
          <w:i/>
          <w:sz w:val="24"/>
          <w:szCs w:val="24"/>
          <w:lang w:val="en-US"/>
        </w:rPr>
        <w:t xml:space="preserve"> </w:t>
      </w:r>
      <w:r w:rsidR="006A6500" w:rsidRPr="00C33C2F">
        <w:rPr>
          <w:rFonts w:ascii="Book Antiqua" w:eastAsia="宋体" w:hAnsi="Book Antiqua" w:cs="宋体"/>
          <w:i/>
          <w:sz w:val="24"/>
          <w:szCs w:val="24"/>
          <w:lang w:val="en-US"/>
        </w:rPr>
        <w:t xml:space="preserve">Rheum Dis </w:t>
      </w:r>
      <w:r w:rsidR="006A6500" w:rsidRPr="00C33C2F">
        <w:rPr>
          <w:rFonts w:ascii="Book Antiqua" w:eastAsia="宋体" w:hAnsi="Book Antiqua" w:cs="宋体"/>
          <w:sz w:val="24"/>
          <w:szCs w:val="24"/>
          <w:lang w:val="en-US"/>
        </w:rPr>
        <w:t xml:space="preserve">2013; </w:t>
      </w:r>
      <w:r w:rsidR="006A6500" w:rsidRPr="00C33C2F">
        <w:rPr>
          <w:rFonts w:ascii="Book Antiqua" w:eastAsia="宋体" w:hAnsi="Book Antiqua" w:cs="宋体"/>
          <w:b/>
          <w:sz w:val="24"/>
          <w:szCs w:val="24"/>
          <w:lang w:val="en-US"/>
        </w:rPr>
        <w:t>72</w:t>
      </w:r>
      <w:r w:rsidR="006A6500" w:rsidRPr="00C33C2F">
        <w:rPr>
          <w:rFonts w:ascii="Book Antiqua" w:eastAsia="宋体" w:hAnsi="Book Antiqua" w:cs="宋体"/>
          <w:sz w:val="24"/>
          <w:szCs w:val="24"/>
          <w:lang w:val="en-US"/>
        </w:rPr>
        <w:t>: 1613–</w:t>
      </w:r>
      <w:r w:rsidR="006A6500" w:rsidRPr="00C33C2F">
        <w:rPr>
          <w:rFonts w:ascii="Book Antiqua" w:eastAsia="宋体" w:hAnsi="Book Antiqua" w:cs="宋体" w:hint="eastAsia"/>
          <w:sz w:val="24"/>
          <w:szCs w:val="24"/>
          <w:lang w:val="en-US"/>
        </w:rPr>
        <w:t>16</w:t>
      </w:r>
      <w:r w:rsidR="006A6500" w:rsidRPr="00C33C2F">
        <w:rPr>
          <w:rFonts w:ascii="Book Antiqua" w:eastAsia="宋体" w:hAnsi="Book Antiqua" w:cs="宋体"/>
          <w:sz w:val="24"/>
          <w:szCs w:val="24"/>
          <w:lang w:val="en-US"/>
        </w:rPr>
        <w:t>20 [DOI: 10.1136/annrheumdis-2012-203090</w:t>
      </w:r>
      <w:r w:rsidR="006A6500" w:rsidRPr="00C33C2F">
        <w:rPr>
          <w:rFonts w:ascii="Book Antiqua" w:eastAsia="宋体" w:hAnsi="Book Antiqua" w:cs="宋体" w:hint="eastAsia"/>
          <w:sz w:val="24"/>
          <w:szCs w:val="24"/>
          <w:lang w:val="en-US"/>
        </w:rPr>
        <w:t>]</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26</w:t>
      </w:r>
      <w:r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b/>
          <w:sz w:val="24"/>
          <w:szCs w:val="24"/>
          <w:lang w:val="en-US"/>
        </w:rPr>
        <w:t>Allez</w:t>
      </w:r>
      <w:proofErr w:type="spellEnd"/>
      <w:r w:rsidR="006A6500" w:rsidRPr="00C33C2F">
        <w:rPr>
          <w:rFonts w:ascii="Book Antiqua" w:eastAsia="宋体" w:hAnsi="Book Antiqua" w:cs="宋体"/>
          <w:b/>
          <w:sz w:val="24"/>
          <w:szCs w:val="24"/>
          <w:lang w:val="en-US"/>
        </w:rPr>
        <w:t xml:space="preserve"> M</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Karmiris</w:t>
      </w:r>
      <w:proofErr w:type="spellEnd"/>
      <w:r w:rsidR="006A6500" w:rsidRPr="00C33C2F">
        <w:rPr>
          <w:rFonts w:ascii="Book Antiqua" w:eastAsia="宋体" w:hAnsi="Book Antiqua" w:cs="宋体"/>
          <w:sz w:val="24"/>
          <w:szCs w:val="24"/>
          <w:lang w:val="en-US"/>
        </w:rPr>
        <w:t xml:space="preserve"> K, Louis E, Van </w:t>
      </w:r>
      <w:proofErr w:type="spellStart"/>
      <w:r w:rsidR="006A6500" w:rsidRPr="00C33C2F">
        <w:rPr>
          <w:rFonts w:ascii="Book Antiqua" w:eastAsia="宋体" w:hAnsi="Book Antiqua" w:cs="宋体"/>
          <w:sz w:val="24"/>
          <w:szCs w:val="24"/>
          <w:lang w:val="en-US"/>
        </w:rPr>
        <w:t>Assche</w:t>
      </w:r>
      <w:proofErr w:type="spellEnd"/>
      <w:r w:rsidR="006A6500" w:rsidRPr="00C33C2F">
        <w:rPr>
          <w:rFonts w:ascii="Book Antiqua" w:eastAsia="宋体" w:hAnsi="Book Antiqua" w:cs="宋体"/>
          <w:sz w:val="24"/>
          <w:szCs w:val="24"/>
          <w:lang w:val="en-US"/>
        </w:rPr>
        <w:t xml:space="preserve"> G, Ben-</w:t>
      </w:r>
      <w:proofErr w:type="spellStart"/>
      <w:r w:rsidR="006A6500" w:rsidRPr="00C33C2F">
        <w:rPr>
          <w:rFonts w:ascii="Book Antiqua" w:eastAsia="宋体" w:hAnsi="Book Antiqua" w:cs="宋体"/>
          <w:sz w:val="24"/>
          <w:szCs w:val="24"/>
          <w:lang w:val="en-US"/>
        </w:rPr>
        <w:t>Horin</w:t>
      </w:r>
      <w:proofErr w:type="spellEnd"/>
      <w:r w:rsidR="006A6500" w:rsidRPr="00C33C2F">
        <w:rPr>
          <w:rFonts w:ascii="Book Antiqua" w:eastAsia="宋体" w:hAnsi="Book Antiqua" w:cs="宋体"/>
          <w:sz w:val="24"/>
          <w:szCs w:val="24"/>
          <w:lang w:val="en-US"/>
        </w:rPr>
        <w:t xml:space="preserve"> S, Klein A, Van der </w:t>
      </w:r>
      <w:proofErr w:type="spellStart"/>
      <w:r w:rsidR="006A6500" w:rsidRPr="00C33C2F">
        <w:rPr>
          <w:rFonts w:ascii="Book Antiqua" w:eastAsia="宋体" w:hAnsi="Book Antiqua" w:cs="宋体"/>
          <w:sz w:val="24"/>
          <w:szCs w:val="24"/>
          <w:lang w:val="en-US"/>
        </w:rPr>
        <w:t>Woude</w:t>
      </w:r>
      <w:proofErr w:type="spellEnd"/>
      <w:r w:rsidR="006A6500" w:rsidRPr="00C33C2F">
        <w:rPr>
          <w:rFonts w:ascii="Book Antiqua" w:eastAsia="宋体" w:hAnsi="Book Antiqua" w:cs="宋体"/>
          <w:sz w:val="24"/>
          <w:szCs w:val="24"/>
          <w:lang w:val="en-US"/>
        </w:rPr>
        <w:t xml:space="preserve"> J, </w:t>
      </w:r>
      <w:proofErr w:type="spellStart"/>
      <w:r w:rsidR="006A6500" w:rsidRPr="00C33C2F">
        <w:rPr>
          <w:rFonts w:ascii="Book Antiqua" w:eastAsia="宋体" w:hAnsi="Book Antiqua" w:cs="宋体"/>
          <w:sz w:val="24"/>
          <w:szCs w:val="24"/>
          <w:lang w:val="en-US"/>
        </w:rPr>
        <w:t>Baert</w:t>
      </w:r>
      <w:proofErr w:type="spellEnd"/>
      <w:r w:rsidR="006A6500" w:rsidRPr="00C33C2F">
        <w:rPr>
          <w:rFonts w:ascii="Book Antiqua" w:eastAsia="宋体" w:hAnsi="Book Antiqua" w:cs="宋体"/>
          <w:sz w:val="24"/>
          <w:szCs w:val="24"/>
          <w:lang w:val="en-US"/>
        </w:rPr>
        <w:t xml:space="preserve"> F, </w:t>
      </w:r>
      <w:proofErr w:type="spellStart"/>
      <w:r w:rsidR="006A6500" w:rsidRPr="00C33C2F">
        <w:rPr>
          <w:rFonts w:ascii="Book Antiqua" w:eastAsia="宋体" w:hAnsi="Book Antiqua" w:cs="宋体"/>
          <w:sz w:val="24"/>
          <w:szCs w:val="24"/>
          <w:lang w:val="en-US"/>
        </w:rPr>
        <w:t>Eliakim</w:t>
      </w:r>
      <w:proofErr w:type="spellEnd"/>
      <w:r w:rsidR="006A6500" w:rsidRPr="00C33C2F">
        <w:rPr>
          <w:rFonts w:ascii="Book Antiqua" w:eastAsia="宋体" w:hAnsi="Book Antiqua" w:cs="宋体"/>
          <w:sz w:val="24"/>
          <w:szCs w:val="24"/>
          <w:lang w:val="en-US"/>
        </w:rPr>
        <w:t xml:space="preserve"> R, </w:t>
      </w:r>
      <w:proofErr w:type="spellStart"/>
      <w:r w:rsidR="006A6500" w:rsidRPr="00C33C2F">
        <w:rPr>
          <w:rFonts w:ascii="Book Antiqua" w:eastAsia="宋体" w:hAnsi="Book Antiqua" w:cs="宋体"/>
          <w:sz w:val="24"/>
          <w:szCs w:val="24"/>
          <w:lang w:val="en-US"/>
        </w:rPr>
        <w:t>Katsanos</w:t>
      </w:r>
      <w:proofErr w:type="spellEnd"/>
      <w:r w:rsidR="006A6500" w:rsidRPr="00C33C2F">
        <w:rPr>
          <w:rFonts w:ascii="Book Antiqua" w:eastAsia="宋体" w:hAnsi="Book Antiqua" w:cs="宋体"/>
          <w:sz w:val="24"/>
          <w:szCs w:val="24"/>
          <w:lang w:val="en-US"/>
        </w:rPr>
        <w:t xml:space="preserve"> K, </w:t>
      </w:r>
      <w:proofErr w:type="spellStart"/>
      <w:r w:rsidR="006A6500" w:rsidRPr="00C33C2F">
        <w:rPr>
          <w:rFonts w:ascii="Book Antiqua" w:eastAsia="宋体" w:hAnsi="Book Antiqua" w:cs="宋体"/>
          <w:sz w:val="24"/>
          <w:szCs w:val="24"/>
          <w:lang w:val="en-US"/>
        </w:rPr>
        <w:t>Brynskov</w:t>
      </w:r>
      <w:proofErr w:type="spellEnd"/>
      <w:r w:rsidR="006A6500" w:rsidRPr="00C33C2F">
        <w:rPr>
          <w:rFonts w:ascii="Book Antiqua" w:eastAsia="宋体" w:hAnsi="Book Antiqua" w:cs="宋体"/>
          <w:sz w:val="24"/>
          <w:szCs w:val="24"/>
          <w:lang w:val="en-US"/>
        </w:rPr>
        <w:t xml:space="preserve"> J, </w:t>
      </w:r>
      <w:proofErr w:type="spellStart"/>
      <w:r w:rsidR="006A6500" w:rsidRPr="00C33C2F">
        <w:rPr>
          <w:rFonts w:ascii="Book Antiqua" w:eastAsia="宋体" w:hAnsi="Book Antiqua" w:cs="宋体"/>
          <w:sz w:val="24"/>
          <w:szCs w:val="24"/>
          <w:lang w:val="en-US"/>
        </w:rPr>
        <w:t>Steinwurz</w:t>
      </w:r>
      <w:proofErr w:type="spellEnd"/>
      <w:r w:rsidR="006A6500" w:rsidRPr="00C33C2F">
        <w:rPr>
          <w:rFonts w:ascii="Book Antiqua" w:eastAsia="宋体" w:hAnsi="Book Antiqua" w:cs="宋体"/>
          <w:sz w:val="24"/>
          <w:szCs w:val="24"/>
          <w:lang w:val="en-US"/>
        </w:rPr>
        <w:t xml:space="preserve"> F, </w:t>
      </w:r>
      <w:proofErr w:type="spellStart"/>
      <w:r w:rsidR="006A6500" w:rsidRPr="00C33C2F">
        <w:rPr>
          <w:rFonts w:ascii="Book Antiqua" w:eastAsia="宋体" w:hAnsi="Book Antiqua" w:cs="宋体"/>
          <w:sz w:val="24"/>
          <w:szCs w:val="24"/>
          <w:lang w:val="en-US"/>
        </w:rPr>
        <w:t>Danese</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S,Vermeire</w:t>
      </w:r>
      <w:proofErr w:type="spellEnd"/>
      <w:r w:rsidR="006A6500" w:rsidRPr="00C33C2F">
        <w:rPr>
          <w:rFonts w:ascii="Book Antiqua" w:eastAsia="宋体" w:hAnsi="Book Antiqua" w:cs="宋体"/>
          <w:sz w:val="24"/>
          <w:szCs w:val="24"/>
          <w:lang w:val="en-US"/>
        </w:rPr>
        <w:t xml:space="preserve"> S, </w:t>
      </w:r>
      <w:proofErr w:type="spellStart"/>
      <w:r w:rsidR="006A6500" w:rsidRPr="00C33C2F">
        <w:rPr>
          <w:rFonts w:ascii="Book Antiqua" w:eastAsia="宋体" w:hAnsi="Book Antiqua" w:cs="宋体"/>
          <w:sz w:val="24"/>
          <w:szCs w:val="24"/>
          <w:lang w:val="en-US"/>
        </w:rPr>
        <w:t>Teillaud</w:t>
      </w:r>
      <w:proofErr w:type="spellEnd"/>
      <w:r w:rsidR="006A6500" w:rsidRPr="00C33C2F">
        <w:rPr>
          <w:rFonts w:ascii="Book Antiqua" w:eastAsia="宋体" w:hAnsi="Book Antiqua" w:cs="宋体"/>
          <w:sz w:val="24"/>
          <w:szCs w:val="24"/>
          <w:lang w:val="en-US"/>
        </w:rPr>
        <w:t xml:space="preserve"> JL,</w:t>
      </w:r>
      <w:r w:rsidR="006A6500" w:rsidRPr="00C33C2F">
        <w:rPr>
          <w:lang w:val="en-US"/>
        </w:rPr>
        <w:t xml:space="preserve"> </w:t>
      </w:r>
      <w:proofErr w:type="spellStart"/>
      <w:r w:rsidR="006A6500" w:rsidRPr="00C33C2F">
        <w:rPr>
          <w:rFonts w:ascii="Book Antiqua" w:eastAsia="宋体" w:hAnsi="Book Antiqua" w:cs="宋体"/>
          <w:sz w:val="24"/>
          <w:szCs w:val="24"/>
          <w:lang w:val="en-US"/>
        </w:rPr>
        <w:t>Lémann</w:t>
      </w:r>
      <w:proofErr w:type="spellEnd"/>
      <w:r w:rsidR="006A6500" w:rsidRPr="00C33C2F">
        <w:rPr>
          <w:rFonts w:ascii="Book Antiqua" w:eastAsia="宋体" w:hAnsi="Book Antiqua" w:cs="宋体"/>
          <w:sz w:val="24"/>
          <w:szCs w:val="24"/>
          <w:lang w:val="en-US"/>
        </w:rPr>
        <w:t xml:space="preserve"> M, </w:t>
      </w:r>
      <w:proofErr w:type="spellStart"/>
      <w:r w:rsidR="006A6500" w:rsidRPr="00C33C2F">
        <w:rPr>
          <w:rFonts w:ascii="Book Antiqua" w:eastAsia="宋体" w:hAnsi="Book Antiqua" w:cs="宋体"/>
          <w:sz w:val="24"/>
          <w:szCs w:val="24"/>
          <w:lang w:val="en-US"/>
        </w:rPr>
        <w:t>Chowers</w:t>
      </w:r>
      <w:proofErr w:type="spellEnd"/>
      <w:r w:rsidR="006A6500" w:rsidRPr="00C33C2F">
        <w:rPr>
          <w:rFonts w:ascii="Book Antiqua" w:eastAsia="宋体" w:hAnsi="Book Antiqua" w:cs="宋体"/>
          <w:sz w:val="24"/>
          <w:szCs w:val="24"/>
          <w:lang w:val="en-US"/>
        </w:rPr>
        <w:t xml:space="preserve"> Y. Report of the ECCO pathogenesis workshop on anti-TNF therapy failures in inflammatory bowel diseases: definitions, frequency and pharmacological aspects. </w:t>
      </w:r>
      <w:r w:rsidR="006A6500" w:rsidRPr="00C33C2F">
        <w:rPr>
          <w:rFonts w:ascii="Book Antiqua" w:eastAsia="宋体" w:hAnsi="Book Antiqua" w:cs="宋体"/>
          <w:i/>
          <w:sz w:val="24"/>
          <w:szCs w:val="24"/>
          <w:lang w:val="en-US"/>
        </w:rPr>
        <w:t xml:space="preserve">J </w:t>
      </w:r>
      <w:proofErr w:type="spellStart"/>
      <w:r w:rsidR="006A6500" w:rsidRPr="00C33C2F">
        <w:rPr>
          <w:rFonts w:ascii="Book Antiqua" w:eastAsia="宋体" w:hAnsi="Book Antiqua" w:cs="宋体"/>
          <w:i/>
          <w:sz w:val="24"/>
          <w:szCs w:val="24"/>
          <w:lang w:val="en-US"/>
        </w:rPr>
        <w:t>Crohn's</w:t>
      </w:r>
      <w:proofErr w:type="spellEnd"/>
      <w:r w:rsidR="006A6500" w:rsidRPr="00C33C2F">
        <w:rPr>
          <w:rFonts w:ascii="Book Antiqua" w:eastAsia="宋体" w:hAnsi="Book Antiqua" w:cs="宋体"/>
          <w:i/>
          <w:sz w:val="24"/>
          <w:szCs w:val="24"/>
          <w:lang w:val="en-US"/>
        </w:rPr>
        <w:t xml:space="preserve"> Colitis </w:t>
      </w:r>
      <w:r w:rsidR="006A6500" w:rsidRPr="00C33C2F">
        <w:rPr>
          <w:rFonts w:ascii="Book Antiqua" w:eastAsia="宋体" w:hAnsi="Book Antiqua" w:cs="宋体"/>
          <w:sz w:val="24"/>
          <w:szCs w:val="24"/>
          <w:lang w:val="en-US"/>
        </w:rPr>
        <w:t xml:space="preserve">2010; </w:t>
      </w:r>
      <w:r w:rsidR="006A6500" w:rsidRPr="00C33C2F">
        <w:rPr>
          <w:rFonts w:ascii="Book Antiqua" w:eastAsia="宋体" w:hAnsi="Book Antiqua" w:cs="宋体"/>
          <w:b/>
          <w:sz w:val="24"/>
          <w:szCs w:val="24"/>
          <w:lang w:val="en-US"/>
        </w:rPr>
        <w:t>4</w:t>
      </w:r>
      <w:r w:rsidR="006A6500" w:rsidRPr="00C33C2F">
        <w:rPr>
          <w:rFonts w:ascii="Book Antiqua" w:eastAsia="宋体" w:hAnsi="Book Antiqua" w:cs="宋体"/>
          <w:sz w:val="24"/>
          <w:szCs w:val="24"/>
          <w:lang w:val="en-US"/>
        </w:rPr>
        <w:t>: 355–366 [DOI: 10.1016/j.crohns.2010.04.004</w:t>
      </w:r>
      <w:r w:rsidR="006A6500" w:rsidRPr="00C33C2F">
        <w:rPr>
          <w:rFonts w:ascii="Book Antiqua" w:eastAsia="宋体" w:hAnsi="Book Antiqua" w:cs="宋体" w:hint="eastAsia"/>
          <w:sz w:val="24"/>
          <w:szCs w:val="24"/>
          <w:lang w:val="en-US"/>
        </w:rPr>
        <w:t>]</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27</w:t>
      </w:r>
      <w:r w:rsidRPr="00C33C2F">
        <w:rPr>
          <w:rFonts w:ascii="Book Antiqua" w:eastAsia="宋体" w:hAnsi="Book Antiqua" w:cs="宋体"/>
          <w:sz w:val="24"/>
          <w:szCs w:val="24"/>
          <w:lang w:val="en-US"/>
        </w:rPr>
        <w:t xml:space="preserve"> </w:t>
      </w:r>
      <w:r w:rsidR="006A6500" w:rsidRPr="00C33C2F">
        <w:rPr>
          <w:rFonts w:ascii="Book Antiqua" w:eastAsia="宋体" w:hAnsi="Book Antiqua" w:cs="宋体"/>
          <w:b/>
          <w:sz w:val="24"/>
          <w:szCs w:val="24"/>
          <w:lang w:val="en-US"/>
        </w:rPr>
        <w:t>Park S,</w:t>
      </w:r>
      <w:r w:rsidR="006A6500" w:rsidRPr="00C33C2F">
        <w:rPr>
          <w:rFonts w:ascii="Book Antiqua" w:eastAsia="宋体" w:hAnsi="Book Antiqua" w:cs="宋体"/>
          <w:sz w:val="24"/>
          <w:szCs w:val="24"/>
          <w:lang w:val="en-US"/>
        </w:rPr>
        <w:t xml:space="preserve"> Kim Y, Lee J, Kwon H, Lee S, Park D, Kim HK, </w:t>
      </w:r>
      <w:proofErr w:type="spellStart"/>
      <w:r w:rsidR="006A6500" w:rsidRPr="00C33C2F">
        <w:rPr>
          <w:rFonts w:ascii="Book Antiqua" w:eastAsia="宋体" w:hAnsi="Book Antiqua" w:cs="宋体"/>
          <w:sz w:val="24"/>
          <w:szCs w:val="24"/>
          <w:lang w:val="en-US"/>
        </w:rPr>
        <w:t>Cheon</w:t>
      </w:r>
      <w:proofErr w:type="spellEnd"/>
      <w:r w:rsidR="006A6500" w:rsidRPr="00C33C2F">
        <w:rPr>
          <w:rFonts w:ascii="Book Antiqua" w:eastAsia="宋体" w:hAnsi="Book Antiqua" w:cs="宋体"/>
          <w:sz w:val="24"/>
          <w:szCs w:val="24"/>
          <w:lang w:val="en-US"/>
        </w:rPr>
        <w:t xml:space="preserve"> JH, </w:t>
      </w:r>
      <w:proofErr w:type="spellStart"/>
      <w:r w:rsidR="006A6500" w:rsidRPr="00C33C2F">
        <w:rPr>
          <w:rFonts w:ascii="Book Antiqua" w:eastAsia="宋体" w:hAnsi="Book Antiqua" w:cs="宋体"/>
          <w:sz w:val="24"/>
          <w:szCs w:val="24"/>
          <w:lang w:val="en-US"/>
        </w:rPr>
        <w:t>Im</w:t>
      </w:r>
      <w:proofErr w:type="spellEnd"/>
      <w:r w:rsidR="006A6500" w:rsidRPr="00C33C2F">
        <w:rPr>
          <w:rFonts w:ascii="Book Antiqua" w:eastAsia="宋体" w:hAnsi="Book Antiqua" w:cs="宋体"/>
          <w:sz w:val="24"/>
          <w:szCs w:val="24"/>
          <w:lang w:val="en-US"/>
        </w:rPr>
        <w:t xml:space="preserve"> JP, Kim YS, Lee SY, Lee SJ. </w:t>
      </w:r>
      <w:proofErr w:type="gramStart"/>
      <w:r w:rsidR="006A6500" w:rsidRPr="00C33C2F">
        <w:rPr>
          <w:rFonts w:ascii="Book Antiqua" w:eastAsia="宋体" w:hAnsi="Book Antiqua" w:cs="宋体"/>
          <w:sz w:val="24"/>
          <w:szCs w:val="24"/>
          <w:lang w:val="en-US"/>
        </w:rPr>
        <w:t xml:space="preserve">Post-marketing study of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infliximab (CT-P13) to evaluate its safety and efficacy in Korea.</w:t>
      </w:r>
      <w:proofErr w:type="gramEnd"/>
      <w:r w:rsidR="006A6500" w:rsidRPr="00C33C2F">
        <w:rPr>
          <w:rFonts w:ascii="Book Antiqua" w:eastAsia="宋体" w:hAnsi="Book Antiqua" w:cs="宋体"/>
          <w:i/>
          <w:sz w:val="24"/>
          <w:szCs w:val="24"/>
          <w:lang w:val="en-US"/>
        </w:rPr>
        <w:t xml:space="preserve"> Expert Rev </w:t>
      </w:r>
      <w:proofErr w:type="spellStart"/>
      <w:r w:rsidR="006A6500" w:rsidRPr="00C33C2F">
        <w:rPr>
          <w:rFonts w:ascii="Book Antiqua" w:eastAsia="宋体" w:hAnsi="Book Antiqua" w:cs="宋体"/>
          <w:i/>
          <w:sz w:val="24"/>
          <w:szCs w:val="24"/>
          <w:lang w:val="en-US"/>
        </w:rPr>
        <w:t>Gastroenterol</w:t>
      </w:r>
      <w:proofErr w:type="spellEnd"/>
      <w:r w:rsidR="006A6500" w:rsidRPr="00C33C2F">
        <w:rPr>
          <w:rFonts w:ascii="Book Antiqua" w:eastAsia="宋体" w:hAnsi="Book Antiqua" w:cs="宋体"/>
          <w:i/>
          <w:sz w:val="24"/>
          <w:szCs w:val="24"/>
          <w:lang w:val="en-US"/>
        </w:rPr>
        <w:t xml:space="preserve"> </w:t>
      </w:r>
      <w:proofErr w:type="spellStart"/>
      <w:r w:rsidR="006A6500" w:rsidRPr="00C33C2F">
        <w:rPr>
          <w:rFonts w:ascii="Book Antiqua" w:eastAsia="宋体" w:hAnsi="Book Antiqua" w:cs="宋体"/>
          <w:i/>
          <w:sz w:val="24"/>
          <w:szCs w:val="24"/>
          <w:lang w:val="en-US"/>
        </w:rPr>
        <w:t>Hepatol</w:t>
      </w:r>
      <w:proofErr w:type="spellEnd"/>
      <w:r w:rsidR="006A6500" w:rsidRPr="00C33C2F">
        <w:rPr>
          <w:rFonts w:ascii="Book Antiqua" w:eastAsia="宋体" w:hAnsi="Book Antiqua" w:cs="宋体"/>
          <w:i/>
          <w:sz w:val="24"/>
          <w:szCs w:val="24"/>
          <w:lang w:val="en-US"/>
        </w:rPr>
        <w:t xml:space="preserve"> </w:t>
      </w:r>
      <w:r w:rsidR="006A6500" w:rsidRPr="00C33C2F">
        <w:rPr>
          <w:rFonts w:ascii="Book Antiqua" w:eastAsia="宋体" w:hAnsi="Book Antiqua" w:cs="宋体"/>
          <w:sz w:val="24"/>
          <w:szCs w:val="24"/>
          <w:lang w:val="en-US"/>
        </w:rPr>
        <w:t xml:space="preserve">2015; </w:t>
      </w:r>
      <w:r w:rsidR="006A6500" w:rsidRPr="00C33C2F">
        <w:rPr>
          <w:rFonts w:ascii="Book Antiqua" w:eastAsia="宋体" w:hAnsi="Book Antiqua" w:cs="宋体"/>
          <w:b/>
          <w:sz w:val="24"/>
          <w:szCs w:val="24"/>
          <w:lang w:val="en-US"/>
        </w:rPr>
        <w:t>9</w:t>
      </w:r>
      <w:r w:rsidR="006A6500" w:rsidRPr="00C33C2F">
        <w:rPr>
          <w:rFonts w:ascii="Book Antiqua" w:eastAsia="宋体" w:hAnsi="Book Antiqua" w:cs="宋体"/>
          <w:sz w:val="24"/>
          <w:szCs w:val="24"/>
          <w:lang w:val="en-US"/>
        </w:rPr>
        <w:t>: 35–44 [DOI: 10.1586/17474124.2015.1091309</w:t>
      </w:r>
      <w:r w:rsidR="006A6500" w:rsidRPr="00C33C2F">
        <w:rPr>
          <w:rFonts w:ascii="Book Antiqua" w:eastAsia="宋体" w:hAnsi="Book Antiqua" w:cs="宋体" w:hint="eastAsia"/>
          <w:sz w:val="24"/>
          <w:szCs w:val="24"/>
          <w:lang w:val="en-US"/>
        </w:rPr>
        <w:t>]</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28</w:t>
      </w:r>
      <w:r w:rsidRPr="00C33C2F">
        <w:rPr>
          <w:rFonts w:ascii="Book Antiqua" w:eastAsia="宋体" w:hAnsi="Book Antiqua" w:cs="宋体"/>
          <w:sz w:val="24"/>
          <w:szCs w:val="24"/>
          <w:lang w:val="en-US"/>
        </w:rPr>
        <w:t> </w:t>
      </w:r>
      <w:r w:rsidR="006A6500" w:rsidRPr="00C33C2F">
        <w:rPr>
          <w:rFonts w:ascii="Book Antiqua" w:eastAsia="宋体" w:hAnsi="Book Antiqua" w:cs="宋体"/>
          <w:b/>
          <w:bCs/>
          <w:sz w:val="24"/>
          <w:szCs w:val="24"/>
          <w:lang w:val="en-US"/>
        </w:rPr>
        <w:t>Jung YS</w:t>
      </w:r>
      <w:r w:rsidR="006A6500" w:rsidRPr="00C33C2F">
        <w:rPr>
          <w:rFonts w:ascii="Book Antiqua" w:eastAsia="宋体" w:hAnsi="Book Antiqua" w:cs="宋体"/>
          <w:sz w:val="24"/>
          <w:szCs w:val="24"/>
          <w:lang w:val="en-US"/>
        </w:rPr>
        <w:t xml:space="preserve">, Park DI, Kim YH, Lee JH, </w:t>
      </w:r>
      <w:proofErr w:type="spellStart"/>
      <w:r w:rsidR="006A6500" w:rsidRPr="00C33C2F">
        <w:rPr>
          <w:rFonts w:ascii="Book Antiqua" w:eastAsia="宋体" w:hAnsi="Book Antiqua" w:cs="宋体"/>
          <w:sz w:val="24"/>
          <w:szCs w:val="24"/>
          <w:lang w:val="en-US"/>
        </w:rPr>
        <w:t>Seo</w:t>
      </w:r>
      <w:proofErr w:type="spellEnd"/>
      <w:r w:rsidR="006A6500" w:rsidRPr="00C33C2F">
        <w:rPr>
          <w:rFonts w:ascii="Book Antiqua" w:eastAsia="宋体" w:hAnsi="Book Antiqua" w:cs="宋体"/>
          <w:sz w:val="24"/>
          <w:szCs w:val="24"/>
          <w:lang w:val="en-US"/>
        </w:rPr>
        <w:t xml:space="preserve"> PJ, </w:t>
      </w:r>
      <w:proofErr w:type="spellStart"/>
      <w:r w:rsidR="006A6500" w:rsidRPr="00C33C2F">
        <w:rPr>
          <w:rFonts w:ascii="Book Antiqua" w:eastAsia="宋体" w:hAnsi="Book Antiqua" w:cs="宋体"/>
          <w:sz w:val="24"/>
          <w:szCs w:val="24"/>
          <w:lang w:val="en-US"/>
        </w:rPr>
        <w:t>Cheon</w:t>
      </w:r>
      <w:proofErr w:type="spellEnd"/>
      <w:r w:rsidR="006A6500" w:rsidRPr="00C33C2F">
        <w:rPr>
          <w:rFonts w:ascii="Book Antiqua" w:eastAsia="宋体" w:hAnsi="Book Antiqua" w:cs="宋体"/>
          <w:sz w:val="24"/>
          <w:szCs w:val="24"/>
          <w:lang w:val="en-US"/>
        </w:rPr>
        <w:t xml:space="preserve"> JH, Kang HW, Kim JW. Efficacy and safety of CT-P13, a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of infliximab, in patients with inflammatory bowel disease: A retrospective multicenter study. </w:t>
      </w:r>
      <w:r w:rsidR="006A6500" w:rsidRPr="00C33C2F">
        <w:rPr>
          <w:rFonts w:ascii="Book Antiqua" w:eastAsia="宋体" w:hAnsi="Book Antiqua" w:cs="宋体"/>
          <w:i/>
          <w:iCs/>
          <w:sz w:val="24"/>
          <w:szCs w:val="24"/>
          <w:lang w:val="en-US"/>
        </w:rPr>
        <w:t xml:space="preserve">J </w:t>
      </w:r>
      <w:proofErr w:type="spellStart"/>
      <w:r w:rsidR="006A6500" w:rsidRPr="00C33C2F">
        <w:rPr>
          <w:rFonts w:ascii="Book Antiqua" w:eastAsia="宋体" w:hAnsi="Book Antiqua" w:cs="宋体"/>
          <w:i/>
          <w:iCs/>
          <w:sz w:val="24"/>
          <w:szCs w:val="24"/>
          <w:lang w:val="en-US"/>
        </w:rPr>
        <w:t>Gastroenterol</w:t>
      </w:r>
      <w:proofErr w:type="spellEnd"/>
      <w:r w:rsidR="006A6500" w:rsidRPr="00C33C2F">
        <w:rPr>
          <w:rFonts w:ascii="Book Antiqua" w:eastAsia="宋体" w:hAnsi="Book Antiqua" w:cs="宋体"/>
          <w:i/>
          <w:iCs/>
          <w:sz w:val="24"/>
          <w:szCs w:val="24"/>
          <w:lang w:val="en-US"/>
        </w:rPr>
        <w:t xml:space="preserve"> </w:t>
      </w:r>
      <w:proofErr w:type="spellStart"/>
      <w:r w:rsidR="006A6500" w:rsidRPr="00C33C2F">
        <w:rPr>
          <w:rFonts w:ascii="Book Antiqua" w:eastAsia="宋体" w:hAnsi="Book Antiqua" w:cs="宋体"/>
          <w:i/>
          <w:iCs/>
          <w:sz w:val="24"/>
          <w:szCs w:val="24"/>
          <w:lang w:val="en-US"/>
        </w:rPr>
        <w:t>Hepatol</w:t>
      </w:r>
      <w:proofErr w:type="spellEnd"/>
      <w:r w:rsidR="006A6500" w:rsidRPr="00C33C2F">
        <w:rPr>
          <w:rFonts w:ascii="Book Antiqua" w:eastAsia="宋体" w:hAnsi="Book Antiqua" w:cs="宋体"/>
          <w:sz w:val="24"/>
          <w:szCs w:val="24"/>
          <w:lang w:val="en-US"/>
        </w:rPr>
        <w:t> 2015; </w:t>
      </w:r>
      <w:r w:rsidR="006A6500" w:rsidRPr="00C33C2F">
        <w:rPr>
          <w:rFonts w:ascii="Book Antiqua" w:eastAsia="宋体" w:hAnsi="Book Antiqua" w:cs="宋体"/>
          <w:b/>
          <w:bCs/>
          <w:sz w:val="24"/>
          <w:szCs w:val="24"/>
          <w:lang w:val="en-US"/>
        </w:rPr>
        <w:t>30</w:t>
      </w:r>
      <w:r w:rsidR="006A6500" w:rsidRPr="00C33C2F">
        <w:rPr>
          <w:rFonts w:ascii="Book Antiqua" w:eastAsia="宋体" w:hAnsi="Book Antiqua" w:cs="宋体"/>
          <w:sz w:val="24"/>
          <w:szCs w:val="24"/>
          <w:lang w:val="en-US"/>
        </w:rPr>
        <w:t>: 1705-1712 [PMID: 25974251 DOI: 10.1111/jgh.12997]</w:t>
      </w:r>
    </w:p>
    <w:p w:rsidR="006A6500" w:rsidRPr="00C33C2F" w:rsidRDefault="00FD6DD3" w:rsidP="008B1267">
      <w:pPr>
        <w:spacing w:after="0" w:line="360" w:lineRule="auto"/>
        <w:jc w:val="both"/>
        <w:rPr>
          <w:rFonts w:ascii="Book Antiqua" w:eastAsia="宋体" w:hAnsi="Book Antiqua" w:cs="宋体"/>
          <w:sz w:val="24"/>
          <w:szCs w:val="24"/>
          <w:lang w:val="en-US"/>
        </w:rPr>
      </w:pPr>
      <w:proofErr w:type="gramStart"/>
      <w:r w:rsidRPr="00C33C2F">
        <w:rPr>
          <w:rFonts w:ascii="Book Antiqua" w:eastAsia="宋体" w:hAnsi="Book Antiqua" w:cs="宋体" w:hint="eastAsia"/>
          <w:sz w:val="24"/>
          <w:szCs w:val="24"/>
          <w:lang w:val="en-US" w:eastAsia="zh-CN"/>
        </w:rPr>
        <w:t>29</w:t>
      </w:r>
      <w:r w:rsidRPr="00C33C2F">
        <w:rPr>
          <w:rFonts w:ascii="Book Antiqua" w:eastAsia="宋体" w:hAnsi="Book Antiqua" w:cs="宋体"/>
          <w:sz w:val="24"/>
          <w:szCs w:val="24"/>
          <w:lang w:val="en-US"/>
        </w:rPr>
        <w:t> </w:t>
      </w:r>
      <w:r w:rsidR="006A6500" w:rsidRPr="00C33C2F">
        <w:rPr>
          <w:rFonts w:ascii="Book Antiqua" w:eastAsia="宋体" w:hAnsi="Book Antiqua" w:cs="宋体"/>
          <w:b/>
          <w:bCs/>
          <w:sz w:val="24"/>
          <w:szCs w:val="24"/>
          <w:lang w:val="en-US"/>
        </w:rPr>
        <w:t>Kang YS</w:t>
      </w:r>
      <w:r w:rsidR="006A6500" w:rsidRPr="00C33C2F">
        <w:rPr>
          <w:rFonts w:ascii="Book Antiqua" w:eastAsia="宋体" w:hAnsi="Book Antiqua" w:cs="宋体"/>
          <w:sz w:val="24"/>
          <w:szCs w:val="24"/>
          <w:lang w:val="en-US"/>
        </w:rPr>
        <w:t>, Moon HH, Lee SE, Lim YJ, Kang HW.</w:t>
      </w:r>
      <w:proofErr w:type="gramEnd"/>
      <w:r w:rsidR="006A6500" w:rsidRPr="00C33C2F">
        <w:rPr>
          <w:rFonts w:ascii="Book Antiqua" w:eastAsia="宋体" w:hAnsi="Book Antiqua" w:cs="宋体"/>
          <w:sz w:val="24"/>
          <w:szCs w:val="24"/>
          <w:lang w:val="en-US"/>
        </w:rPr>
        <w:t xml:space="preserve"> Clinical Experience of the Use of CT-P13, a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to Infliximab in Patients with Inflammatory Bowel Disease: A Case Series. </w:t>
      </w:r>
      <w:r w:rsidR="006A6500" w:rsidRPr="00C33C2F">
        <w:rPr>
          <w:rFonts w:ascii="Book Antiqua" w:eastAsia="宋体" w:hAnsi="Book Antiqua" w:cs="宋体"/>
          <w:i/>
          <w:iCs/>
          <w:sz w:val="24"/>
          <w:szCs w:val="24"/>
          <w:lang w:val="en-US"/>
        </w:rPr>
        <w:t xml:space="preserve">Dig Dis </w:t>
      </w:r>
      <w:proofErr w:type="spellStart"/>
      <w:r w:rsidR="006A6500" w:rsidRPr="00C33C2F">
        <w:rPr>
          <w:rFonts w:ascii="Book Antiqua" w:eastAsia="宋体" w:hAnsi="Book Antiqua" w:cs="宋体"/>
          <w:i/>
          <w:iCs/>
          <w:sz w:val="24"/>
          <w:szCs w:val="24"/>
          <w:lang w:val="en-US"/>
        </w:rPr>
        <w:t>Sci</w:t>
      </w:r>
      <w:proofErr w:type="spellEnd"/>
      <w:r w:rsidR="006A6500" w:rsidRPr="00C33C2F">
        <w:rPr>
          <w:rFonts w:ascii="Book Antiqua" w:eastAsia="宋体" w:hAnsi="Book Antiqua" w:cs="宋体"/>
          <w:sz w:val="24"/>
          <w:szCs w:val="24"/>
          <w:lang w:val="en-US"/>
        </w:rPr>
        <w:t> 2015; </w:t>
      </w:r>
      <w:r w:rsidR="006A6500" w:rsidRPr="00C33C2F">
        <w:rPr>
          <w:rFonts w:ascii="Book Antiqua" w:eastAsia="宋体" w:hAnsi="Book Antiqua" w:cs="宋体"/>
          <w:b/>
          <w:bCs/>
          <w:sz w:val="24"/>
          <w:szCs w:val="24"/>
          <w:lang w:val="en-US"/>
        </w:rPr>
        <w:t>60</w:t>
      </w:r>
      <w:r w:rsidR="006A6500" w:rsidRPr="00C33C2F">
        <w:rPr>
          <w:rFonts w:ascii="Book Antiqua" w:eastAsia="宋体" w:hAnsi="Book Antiqua" w:cs="宋体"/>
          <w:sz w:val="24"/>
          <w:szCs w:val="24"/>
          <w:lang w:val="en-US"/>
        </w:rPr>
        <w:t>: 951-956 [PMID: 25326115 DOI: 10.1007/s10620-014-3392-z]</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30</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Gecse</w:t>
      </w:r>
      <w:proofErr w:type="spellEnd"/>
      <w:r w:rsidR="006A6500" w:rsidRPr="00C33C2F">
        <w:rPr>
          <w:rFonts w:ascii="Book Antiqua" w:eastAsia="宋体" w:hAnsi="Book Antiqua" w:cs="宋体"/>
          <w:b/>
          <w:bCs/>
          <w:sz w:val="24"/>
          <w:szCs w:val="24"/>
          <w:lang w:val="en-US"/>
        </w:rPr>
        <w:t xml:space="preserve"> KB</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Lovász</w:t>
      </w:r>
      <w:proofErr w:type="spellEnd"/>
      <w:r w:rsidR="006A6500" w:rsidRPr="00C33C2F">
        <w:rPr>
          <w:rFonts w:ascii="Book Antiqua" w:eastAsia="宋体" w:hAnsi="Book Antiqua" w:cs="宋体"/>
          <w:sz w:val="24"/>
          <w:szCs w:val="24"/>
          <w:lang w:val="en-US"/>
        </w:rPr>
        <w:t xml:space="preserve"> BD, </w:t>
      </w:r>
      <w:proofErr w:type="spellStart"/>
      <w:r w:rsidR="006A6500" w:rsidRPr="00C33C2F">
        <w:rPr>
          <w:rFonts w:ascii="Book Antiqua" w:eastAsia="宋体" w:hAnsi="Book Antiqua" w:cs="宋体"/>
          <w:sz w:val="24"/>
          <w:szCs w:val="24"/>
          <w:lang w:val="en-US"/>
        </w:rPr>
        <w:t>Farkas</w:t>
      </w:r>
      <w:proofErr w:type="spellEnd"/>
      <w:r w:rsidR="006A6500" w:rsidRPr="00C33C2F">
        <w:rPr>
          <w:rFonts w:ascii="Book Antiqua" w:eastAsia="宋体" w:hAnsi="Book Antiqua" w:cs="宋体"/>
          <w:sz w:val="24"/>
          <w:szCs w:val="24"/>
          <w:lang w:val="en-US"/>
        </w:rPr>
        <w:t xml:space="preserve"> K, </w:t>
      </w:r>
      <w:proofErr w:type="spellStart"/>
      <w:r w:rsidR="006A6500" w:rsidRPr="00C33C2F">
        <w:rPr>
          <w:rFonts w:ascii="Book Antiqua" w:eastAsia="宋体" w:hAnsi="Book Antiqua" w:cs="宋体"/>
          <w:sz w:val="24"/>
          <w:szCs w:val="24"/>
          <w:lang w:val="en-US"/>
        </w:rPr>
        <w:t>Banai</w:t>
      </w:r>
      <w:proofErr w:type="spellEnd"/>
      <w:r w:rsidR="006A6500" w:rsidRPr="00C33C2F">
        <w:rPr>
          <w:rFonts w:ascii="Book Antiqua" w:eastAsia="宋体" w:hAnsi="Book Antiqua" w:cs="宋体"/>
          <w:sz w:val="24"/>
          <w:szCs w:val="24"/>
          <w:lang w:val="en-US"/>
        </w:rPr>
        <w:t xml:space="preserve"> J, </w:t>
      </w:r>
      <w:proofErr w:type="spellStart"/>
      <w:r w:rsidR="006A6500" w:rsidRPr="00C33C2F">
        <w:rPr>
          <w:rFonts w:ascii="Book Antiqua" w:eastAsia="宋体" w:hAnsi="Book Antiqua" w:cs="宋体"/>
          <w:sz w:val="24"/>
          <w:szCs w:val="24"/>
          <w:lang w:val="en-US"/>
        </w:rPr>
        <w:t>Bene</w:t>
      </w:r>
      <w:proofErr w:type="spellEnd"/>
      <w:r w:rsidR="006A6500" w:rsidRPr="00C33C2F">
        <w:rPr>
          <w:rFonts w:ascii="Book Antiqua" w:eastAsia="宋体" w:hAnsi="Book Antiqua" w:cs="宋体"/>
          <w:sz w:val="24"/>
          <w:szCs w:val="24"/>
          <w:lang w:val="en-US"/>
        </w:rPr>
        <w:t xml:space="preserve"> L, </w:t>
      </w:r>
      <w:proofErr w:type="spellStart"/>
      <w:r w:rsidR="006A6500" w:rsidRPr="00C33C2F">
        <w:rPr>
          <w:rFonts w:ascii="Book Antiqua" w:eastAsia="宋体" w:hAnsi="Book Antiqua" w:cs="宋体"/>
          <w:sz w:val="24"/>
          <w:szCs w:val="24"/>
          <w:lang w:val="en-US"/>
        </w:rPr>
        <w:t>Gasztonyi</w:t>
      </w:r>
      <w:proofErr w:type="spellEnd"/>
      <w:r w:rsidR="006A6500" w:rsidRPr="00C33C2F">
        <w:rPr>
          <w:rFonts w:ascii="Book Antiqua" w:eastAsia="宋体" w:hAnsi="Book Antiqua" w:cs="宋体"/>
          <w:sz w:val="24"/>
          <w:szCs w:val="24"/>
          <w:lang w:val="en-US"/>
        </w:rPr>
        <w:t xml:space="preserve"> B, </w:t>
      </w:r>
      <w:proofErr w:type="spellStart"/>
      <w:r w:rsidR="006A6500" w:rsidRPr="00C33C2F">
        <w:rPr>
          <w:rFonts w:ascii="Book Antiqua" w:eastAsia="宋体" w:hAnsi="Book Antiqua" w:cs="宋体"/>
          <w:sz w:val="24"/>
          <w:szCs w:val="24"/>
          <w:lang w:val="en-US"/>
        </w:rPr>
        <w:t>Golovics</w:t>
      </w:r>
      <w:proofErr w:type="spellEnd"/>
      <w:r w:rsidR="006A6500" w:rsidRPr="00C33C2F">
        <w:rPr>
          <w:rFonts w:ascii="Book Antiqua" w:eastAsia="宋体" w:hAnsi="Book Antiqua" w:cs="宋体"/>
          <w:sz w:val="24"/>
          <w:szCs w:val="24"/>
          <w:lang w:val="en-US"/>
        </w:rPr>
        <w:t xml:space="preserve"> PA, </w:t>
      </w:r>
      <w:proofErr w:type="spellStart"/>
      <w:r w:rsidR="006A6500" w:rsidRPr="00C33C2F">
        <w:rPr>
          <w:rFonts w:ascii="Book Antiqua" w:eastAsia="宋体" w:hAnsi="Book Antiqua" w:cs="宋体"/>
          <w:sz w:val="24"/>
          <w:szCs w:val="24"/>
          <w:lang w:val="en-US"/>
        </w:rPr>
        <w:t>Kristóf</w:t>
      </w:r>
      <w:proofErr w:type="spellEnd"/>
      <w:r w:rsidR="006A6500" w:rsidRPr="00C33C2F">
        <w:rPr>
          <w:rFonts w:ascii="Book Antiqua" w:eastAsia="宋体" w:hAnsi="Book Antiqua" w:cs="宋体"/>
          <w:sz w:val="24"/>
          <w:szCs w:val="24"/>
          <w:lang w:val="en-US"/>
        </w:rPr>
        <w:t xml:space="preserve"> T, </w:t>
      </w:r>
      <w:proofErr w:type="spellStart"/>
      <w:r w:rsidR="006A6500" w:rsidRPr="00C33C2F">
        <w:rPr>
          <w:rFonts w:ascii="Book Antiqua" w:eastAsia="宋体" w:hAnsi="Book Antiqua" w:cs="宋体"/>
          <w:sz w:val="24"/>
          <w:szCs w:val="24"/>
          <w:lang w:val="en-US"/>
        </w:rPr>
        <w:t>Lakatos</w:t>
      </w:r>
      <w:proofErr w:type="spellEnd"/>
      <w:r w:rsidR="006A6500" w:rsidRPr="00C33C2F">
        <w:rPr>
          <w:rFonts w:ascii="Book Antiqua" w:eastAsia="宋体" w:hAnsi="Book Antiqua" w:cs="宋体"/>
          <w:sz w:val="24"/>
          <w:szCs w:val="24"/>
          <w:lang w:val="en-US"/>
        </w:rPr>
        <w:t xml:space="preserve"> L, </w:t>
      </w:r>
      <w:proofErr w:type="spellStart"/>
      <w:r w:rsidR="006A6500" w:rsidRPr="00C33C2F">
        <w:rPr>
          <w:rFonts w:ascii="Book Antiqua" w:eastAsia="宋体" w:hAnsi="Book Antiqua" w:cs="宋体"/>
          <w:sz w:val="24"/>
          <w:szCs w:val="24"/>
          <w:lang w:val="en-US"/>
        </w:rPr>
        <w:t>Csontos</w:t>
      </w:r>
      <w:proofErr w:type="spellEnd"/>
      <w:r w:rsidR="006A6500" w:rsidRPr="00C33C2F">
        <w:rPr>
          <w:rFonts w:ascii="Book Antiqua" w:eastAsia="宋体" w:hAnsi="Book Antiqua" w:cs="宋体"/>
          <w:sz w:val="24"/>
          <w:szCs w:val="24"/>
          <w:lang w:val="en-US"/>
        </w:rPr>
        <w:t xml:space="preserve"> ÁA, </w:t>
      </w:r>
      <w:proofErr w:type="spellStart"/>
      <w:r w:rsidR="006A6500" w:rsidRPr="00C33C2F">
        <w:rPr>
          <w:rFonts w:ascii="Book Antiqua" w:eastAsia="宋体" w:hAnsi="Book Antiqua" w:cs="宋体"/>
          <w:sz w:val="24"/>
          <w:szCs w:val="24"/>
          <w:lang w:val="en-US"/>
        </w:rPr>
        <w:t>Juhász</w:t>
      </w:r>
      <w:proofErr w:type="spellEnd"/>
      <w:r w:rsidR="006A6500" w:rsidRPr="00C33C2F">
        <w:rPr>
          <w:rFonts w:ascii="Book Antiqua" w:eastAsia="宋体" w:hAnsi="Book Antiqua" w:cs="宋体"/>
          <w:sz w:val="24"/>
          <w:szCs w:val="24"/>
          <w:lang w:val="en-US"/>
        </w:rPr>
        <w:t xml:space="preserve"> M, Nagy F, Palatka K, Papp M, </w:t>
      </w:r>
      <w:proofErr w:type="spellStart"/>
      <w:r w:rsidR="006A6500" w:rsidRPr="00C33C2F">
        <w:rPr>
          <w:rFonts w:ascii="Book Antiqua" w:eastAsia="宋体" w:hAnsi="Book Antiqua" w:cs="宋体"/>
          <w:sz w:val="24"/>
          <w:szCs w:val="24"/>
          <w:lang w:val="en-US"/>
        </w:rPr>
        <w:t>Patai</w:t>
      </w:r>
      <w:proofErr w:type="spellEnd"/>
      <w:r w:rsidR="006A6500" w:rsidRPr="00C33C2F">
        <w:rPr>
          <w:rFonts w:ascii="Book Antiqua" w:eastAsia="宋体" w:hAnsi="Book Antiqua" w:cs="宋体"/>
          <w:sz w:val="24"/>
          <w:szCs w:val="24"/>
          <w:lang w:val="en-US"/>
        </w:rPr>
        <w:t xml:space="preserve"> Á, </w:t>
      </w:r>
      <w:proofErr w:type="spellStart"/>
      <w:r w:rsidR="006A6500" w:rsidRPr="00C33C2F">
        <w:rPr>
          <w:rFonts w:ascii="Book Antiqua" w:eastAsia="宋体" w:hAnsi="Book Antiqua" w:cs="宋体"/>
          <w:sz w:val="24"/>
          <w:szCs w:val="24"/>
          <w:lang w:val="en-US"/>
        </w:rPr>
        <w:t>Lakner</w:t>
      </w:r>
      <w:proofErr w:type="spellEnd"/>
      <w:r w:rsidR="006A6500" w:rsidRPr="00C33C2F">
        <w:rPr>
          <w:rFonts w:ascii="Book Antiqua" w:eastAsia="宋体" w:hAnsi="Book Antiqua" w:cs="宋体"/>
          <w:sz w:val="24"/>
          <w:szCs w:val="24"/>
          <w:lang w:val="en-US"/>
        </w:rPr>
        <w:t xml:space="preserve"> L, </w:t>
      </w:r>
      <w:proofErr w:type="spellStart"/>
      <w:r w:rsidR="006A6500" w:rsidRPr="00C33C2F">
        <w:rPr>
          <w:rFonts w:ascii="Book Antiqua" w:eastAsia="宋体" w:hAnsi="Book Antiqua" w:cs="宋体"/>
          <w:sz w:val="24"/>
          <w:szCs w:val="24"/>
          <w:lang w:val="en-US"/>
        </w:rPr>
        <w:t>Salamon</w:t>
      </w:r>
      <w:proofErr w:type="spellEnd"/>
      <w:r w:rsidR="006A6500" w:rsidRPr="00C33C2F">
        <w:rPr>
          <w:rFonts w:ascii="Book Antiqua" w:eastAsia="宋体" w:hAnsi="Book Antiqua" w:cs="宋体"/>
          <w:sz w:val="24"/>
          <w:szCs w:val="24"/>
          <w:lang w:val="en-US"/>
        </w:rPr>
        <w:t xml:space="preserve"> Á, </w:t>
      </w:r>
      <w:proofErr w:type="spellStart"/>
      <w:r w:rsidR="006A6500" w:rsidRPr="00C33C2F">
        <w:rPr>
          <w:rFonts w:ascii="Book Antiqua" w:eastAsia="宋体" w:hAnsi="Book Antiqua" w:cs="宋体"/>
          <w:sz w:val="24"/>
          <w:szCs w:val="24"/>
          <w:lang w:val="en-US"/>
        </w:rPr>
        <w:t>Szamosi</w:t>
      </w:r>
      <w:proofErr w:type="spellEnd"/>
      <w:r w:rsidR="006A6500" w:rsidRPr="00C33C2F">
        <w:rPr>
          <w:rFonts w:ascii="Book Antiqua" w:eastAsia="宋体" w:hAnsi="Book Antiqua" w:cs="宋体"/>
          <w:sz w:val="24"/>
          <w:szCs w:val="24"/>
          <w:lang w:val="en-US"/>
        </w:rPr>
        <w:t xml:space="preserve"> T, </w:t>
      </w:r>
      <w:proofErr w:type="spellStart"/>
      <w:r w:rsidR="006A6500" w:rsidRPr="00C33C2F">
        <w:rPr>
          <w:rFonts w:ascii="Book Antiqua" w:eastAsia="宋体" w:hAnsi="Book Antiqua" w:cs="宋体"/>
          <w:sz w:val="24"/>
          <w:szCs w:val="24"/>
          <w:lang w:val="en-US"/>
        </w:rPr>
        <w:t>Szepes</w:t>
      </w:r>
      <w:proofErr w:type="spellEnd"/>
      <w:r w:rsidR="006A6500" w:rsidRPr="00C33C2F">
        <w:rPr>
          <w:rFonts w:ascii="Book Antiqua" w:eastAsia="宋体" w:hAnsi="Book Antiqua" w:cs="宋体"/>
          <w:sz w:val="24"/>
          <w:szCs w:val="24"/>
          <w:lang w:val="en-US"/>
        </w:rPr>
        <w:t xml:space="preserve"> Z, </w:t>
      </w:r>
      <w:proofErr w:type="spellStart"/>
      <w:r w:rsidR="006A6500" w:rsidRPr="00C33C2F">
        <w:rPr>
          <w:rFonts w:ascii="Book Antiqua" w:eastAsia="宋体" w:hAnsi="Book Antiqua" w:cs="宋体"/>
          <w:sz w:val="24"/>
          <w:szCs w:val="24"/>
          <w:lang w:val="en-US"/>
        </w:rPr>
        <w:t>Tóth</w:t>
      </w:r>
      <w:proofErr w:type="spellEnd"/>
      <w:r w:rsidR="006A6500" w:rsidRPr="00C33C2F">
        <w:rPr>
          <w:rFonts w:ascii="Book Antiqua" w:eastAsia="宋体" w:hAnsi="Book Antiqua" w:cs="宋体"/>
          <w:sz w:val="24"/>
          <w:szCs w:val="24"/>
          <w:lang w:val="en-US"/>
        </w:rPr>
        <w:t xml:space="preserve"> GT, </w:t>
      </w:r>
      <w:proofErr w:type="spellStart"/>
      <w:r w:rsidR="006A6500" w:rsidRPr="00C33C2F">
        <w:rPr>
          <w:rFonts w:ascii="Book Antiqua" w:eastAsia="宋体" w:hAnsi="Book Antiqua" w:cs="宋体"/>
          <w:sz w:val="24"/>
          <w:szCs w:val="24"/>
          <w:lang w:val="en-US"/>
        </w:rPr>
        <w:t>Vincze</w:t>
      </w:r>
      <w:proofErr w:type="spellEnd"/>
      <w:r w:rsidR="006A6500" w:rsidRPr="00C33C2F">
        <w:rPr>
          <w:rFonts w:ascii="Book Antiqua" w:eastAsia="宋体" w:hAnsi="Book Antiqua" w:cs="宋体"/>
          <w:sz w:val="24"/>
          <w:szCs w:val="24"/>
          <w:lang w:val="en-US"/>
        </w:rPr>
        <w:t xml:space="preserve"> Á, </w:t>
      </w:r>
      <w:proofErr w:type="spellStart"/>
      <w:r w:rsidR="006A6500" w:rsidRPr="00C33C2F">
        <w:rPr>
          <w:rFonts w:ascii="Book Antiqua" w:eastAsia="宋体" w:hAnsi="Book Antiqua" w:cs="宋体"/>
          <w:sz w:val="24"/>
          <w:szCs w:val="24"/>
          <w:lang w:val="en-US"/>
        </w:rPr>
        <w:t>Szalay</w:t>
      </w:r>
      <w:proofErr w:type="spellEnd"/>
      <w:r w:rsidR="006A6500" w:rsidRPr="00C33C2F">
        <w:rPr>
          <w:rFonts w:ascii="Book Antiqua" w:eastAsia="宋体" w:hAnsi="Book Antiqua" w:cs="宋体"/>
          <w:sz w:val="24"/>
          <w:szCs w:val="24"/>
          <w:lang w:val="en-US"/>
        </w:rPr>
        <w:t xml:space="preserve"> B, </w:t>
      </w:r>
      <w:proofErr w:type="spellStart"/>
      <w:r w:rsidR="006A6500" w:rsidRPr="00C33C2F">
        <w:rPr>
          <w:rFonts w:ascii="Book Antiqua" w:eastAsia="宋体" w:hAnsi="Book Antiqua" w:cs="宋体"/>
          <w:sz w:val="24"/>
          <w:szCs w:val="24"/>
          <w:lang w:val="en-US"/>
        </w:rPr>
        <w:t>Molnár</w:t>
      </w:r>
      <w:proofErr w:type="spellEnd"/>
      <w:r w:rsidR="006A6500" w:rsidRPr="00C33C2F">
        <w:rPr>
          <w:rFonts w:ascii="Book Antiqua" w:eastAsia="宋体" w:hAnsi="Book Antiqua" w:cs="宋体"/>
          <w:sz w:val="24"/>
          <w:szCs w:val="24"/>
          <w:lang w:val="en-US"/>
        </w:rPr>
        <w:t xml:space="preserve"> T, </w:t>
      </w:r>
      <w:proofErr w:type="spellStart"/>
      <w:r w:rsidR="006A6500" w:rsidRPr="00C33C2F">
        <w:rPr>
          <w:rFonts w:ascii="Book Antiqua" w:eastAsia="宋体" w:hAnsi="Book Antiqua" w:cs="宋体"/>
          <w:sz w:val="24"/>
          <w:szCs w:val="24"/>
          <w:lang w:val="en-US"/>
        </w:rPr>
        <w:t>Lakatos</w:t>
      </w:r>
      <w:proofErr w:type="spellEnd"/>
      <w:r w:rsidR="006A6500" w:rsidRPr="00C33C2F">
        <w:rPr>
          <w:rFonts w:ascii="Book Antiqua" w:eastAsia="宋体" w:hAnsi="Book Antiqua" w:cs="宋体"/>
          <w:sz w:val="24"/>
          <w:szCs w:val="24"/>
          <w:lang w:val="en-US"/>
        </w:rPr>
        <w:t xml:space="preserve"> PL. Efficacy and Safety of the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Infliximab CT-P13 Treatment in Inflammatory Bowel Diseases: A Prospective, </w:t>
      </w:r>
      <w:proofErr w:type="spellStart"/>
      <w:r w:rsidR="006A6500" w:rsidRPr="00C33C2F">
        <w:rPr>
          <w:rFonts w:ascii="Book Antiqua" w:eastAsia="宋体" w:hAnsi="Book Antiqua" w:cs="宋体"/>
          <w:sz w:val="24"/>
          <w:szCs w:val="24"/>
          <w:lang w:val="en-US"/>
        </w:rPr>
        <w:t>Multicentre</w:t>
      </w:r>
      <w:proofErr w:type="spellEnd"/>
      <w:r w:rsidR="006A6500" w:rsidRPr="00C33C2F">
        <w:rPr>
          <w:rFonts w:ascii="Book Antiqua" w:eastAsia="宋体" w:hAnsi="Book Antiqua" w:cs="宋体"/>
          <w:sz w:val="24"/>
          <w:szCs w:val="24"/>
          <w:lang w:val="en-US"/>
        </w:rPr>
        <w:t>, Nationwide Cohort. </w:t>
      </w:r>
      <w:r w:rsidR="006A6500" w:rsidRPr="00C33C2F">
        <w:rPr>
          <w:rFonts w:ascii="Book Antiqua" w:eastAsia="宋体" w:hAnsi="Book Antiqua" w:cs="宋体"/>
          <w:i/>
          <w:iCs/>
          <w:sz w:val="24"/>
          <w:szCs w:val="24"/>
          <w:lang w:val="en-US"/>
        </w:rPr>
        <w:t xml:space="preserve">J </w:t>
      </w:r>
      <w:proofErr w:type="spellStart"/>
      <w:r w:rsidR="006A6500" w:rsidRPr="00C33C2F">
        <w:rPr>
          <w:rFonts w:ascii="Book Antiqua" w:eastAsia="宋体" w:hAnsi="Book Antiqua" w:cs="宋体"/>
          <w:i/>
          <w:iCs/>
          <w:sz w:val="24"/>
          <w:szCs w:val="24"/>
          <w:lang w:val="en-US"/>
        </w:rPr>
        <w:t>Crohns</w:t>
      </w:r>
      <w:proofErr w:type="spellEnd"/>
      <w:r w:rsidR="006A6500" w:rsidRPr="00C33C2F">
        <w:rPr>
          <w:rFonts w:ascii="Book Antiqua" w:eastAsia="宋体" w:hAnsi="Book Antiqua" w:cs="宋体"/>
          <w:i/>
          <w:iCs/>
          <w:sz w:val="24"/>
          <w:szCs w:val="24"/>
          <w:lang w:val="en-US"/>
        </w:rPr>
        <w:t xml:space="preserve"> Colitis</w:t>
      </w:r>
      <w:r w:rsidR="006A6500" w:rsidRPr="00C33C2F">
        <w:rPr>
          <w:rFonts w:ascii="Book Antiqua" w:eastAsia="宋体" w:hAnsi="Book Antiqua" w:cs="宋体"/>
          <w:sz w:val="24"/>
          <w:szCs w:val="24"/>
          <w:lang w:val="en-US"/>
        </w:rPr>
        <w:t> 2016; </w:t>
      </w:r>
      <w:r w:rsidR="006A6500" w:rsidRPr="00C33C2F">
        <w:rPr>
          <w:rFonts w:ascii="Book Antiqua" w:eastAsia="宋体" w:hAnsi="Book Antiqua" w:cs="宋体"/>
          <w:b/>
          <w:bCs/>
          <w:sz w:val="24"/>
          <w:szCs w:val="24"/>
          <w:lang w:val="en-US"/>
        </w:rPr>
        <w:t>10</w:t>
      </w:r>
      <w:r w:rsidR="006A6500" w:rsidRPr="00C33C2F">
        <w:rPr>
          <w:rFonts w:ascii="Book Antiqua" w:eastAsia="宋体" w:hAnsi="Book Antiqua" w:cs="宋体"/>
          <w:sz w:val="24"/>
          <w:szCs w:val="24"/>
          <w:lang w:val="en-US"/>
        </w:rPr>
        <w:t>: 133-140 [PMID: 26661272 DOI: 10.1093/</w:t>
      </w:r>
      <w:proofErr w:type="spellStart"/>
      <w:r w:rsidR="006A6500" w:rsidRPr="00C33C2F">
        <w:rPr>
          <w:rFonts w:ascii="Book Antiqua" w:eastAsia="宋体" w:hAnsi="Book Antiqua" w:cs="宋体"/>
          <w:sz w:val="24"/>
          <w:szCs w:val="24"/>
          <w:lang w:val="en-US"/>
        </w:rPr>
        <w:t>ecco-jcc</w:t>
      </w:r>
      <w:proofErr w:type="spellEnd"/>
      <w:r w:rsidR="006A6500" w:rsidRPr="00C33C2F">
        <w:rPr>
          <w:rFonts w:ascii="Book Antiqua" w:eastAsia="宋体" w:hAnsi="Book Antiqua" w:cs="宋体"/>
          <w:sz w:val="24"/>
          <w:szCs w:val="24"/>
          <w:lang w:val="en-US"/>
        </w:rPr>
        <w:t>/jjv220]</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31</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Farkas</w:t>
      </w:r>
      <w:proofErr w:type="spellEnd"/>
      <w:r w:rsidR="006A6500" w:rsidRPr="00C33C2F">
        <w:rPr>
          <w:rFonts w:ascii="Book Antiqua" w:eastAsia="宋体" w:hAnsi="Book Antiqua" w:cs="宋体"/>
          <w:b/>
          <w:bCs/>
          <w:sz w:val="24"/>
          <w:szCs w:val="24"/>
          <w:lang w:val="en-US"/>
        </w:rPr>
        <w:t xml:space="preserve"> K</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Rutka</w:t>
      </w:r>
      <w:proofErr w:type="spellEnd"/>
      <w:r w:rsidR="006A6500" w:rsidRPr="00C33C2F">
        <w:rPr>
          <w:rFonts w:ascii="Book Antiqua" w:eastAsia="宋体" w:hAnsi="Book Antiqua" w:cs="宋体"/>
          <w:sz w:val="24"/>
          <w:szCs w:val="24"/>
          <w:lang w:val="en-US"/>
        </w:rPr>
        <w:t xml:space="preserve"> M, </w:t>
      </w:r>
      <w:proofErr w:type="spellStart"/>
      <w:r w:rsidR="006A6500" w:rsidRPr="00C33C2F">
        <w:rPr>
          <w:rFonts w:ascii="Book Antiqua" w:eastAsia="宋体" w:hAnsi="Book Antiqua" w:cs="宋体"/>
          <w:sz w:val="24"/>
          <w:szCs w:val="24"/>
          <w:lang w:val="en-US"/>
        </w:rPr>
        <w:t>Bálint</w:t>
      </w:r>
      <w:proofErr w:type="spellEnd"/>
      <w:r w:rsidR="006A6500" w:rsidRPr="00C33C2F">
        <w:rPr>
          <w:rFonts w:ascii="Book Antiqua" w:eastAsia="宋体" w:hAnsi="Book Antiqua" w:cs="宋体"/>
          <w:sz w:val="24"/>
          <w:szCs w:val="24"/>
          <w:lang w:val="en-US"/>
        </w:rPr>
        <w:t xml:space="preserve"> A, Nagy F, </w:t>
      </w:r>
      <w:proofErr w:type="spellStart"/>
      <w:r w:rsidR="006A6500" w:rsidRPr="00C33C2F">
        <w:rPr>
          <w:rFonts w:ascii="Book Antiqua" w:eastAsia="宋体" w:hAnsi="Book Antiqua" w:cs="宋体"/>
          <w:sz w:val="24"/>
          <w:szCs w:val="24"/>
          <w:lang w:val="en-US"/>
        </w:rPr>
        <w:t>Bor</w:t>
      </w:r>
      <w:proofErr w:type="spellEnd"/>
      <w:r w:rsidR="006A6500" w:rsidRPr="00C33C2F">
        <w:rPr>
          <w:rFonts w:ascii="Book Antiqua" w:eastAsia="宋体" w:hAnsi="Book Antiqua" w:cs="宋体"/>
          <w:sz w:val="24"/>
          <w:szCs w:val="24"/>
          <w:lang w:val="en-US"/>
        </w:rPr>
        <w:t xml:space="preserve"> R, </w:t>
      </w:r>
      <w:proofErr w:type="spellStart"/>
      <w:r w:rsidR="006A6500" w:rsidRPr="00C33C2F">
        <w:rPr>
          <w:rFonts w:ascii="Book Antiqua" w:eastAsia="宋体" w:hAnsi="Book Antiqua" w:cs="宋体"/>
          <w:sz w:val="24"/>
          <w:szCs w:val="24"/>
          <w:lang w:val="en-US"/>
        </w:rPr>
        <w:t>Milassin</w:t>
      </w:r>
      <w:proofErr w:type="spellEnd"/>
      <w:r w:rsidR="006A6500" w:rsidRPr="00C33C2F">
        <w:rPr>
          <w:rFonts w:ascii="Book Antiqua" w:eastAsia="宋体" w:hAnsi="Book Antiqua" w:cs="宋体"/>
          <w:sz w:val="24"/>
          <w:szCs w:val="24"/>
          <w:lang w:val="en-US"/>
        </w:rPr>
        <w:t xml:space="preserve"> Á, </w:t>
      </w:r>
      <w:proofErr w:type="spellStart"/>
      <w:r w:rsidR="006A6500" w:rsidRPr="00C33C2F">
        <w:rPr>
          <w:rFonts w:ascii="Book Antiqua" w:eastAsia="宋体" w:hAnsi="Book Antiqua" w:cs="宋体"/>
          <w:sz w:val="24"/>
          <w:szCs w:val="24"/>
          <w:lang w:val="en-US"/>
        </w:rPr>
        <w:t>Szepes</w:t>
      </w:r>
      <w:proofErr w:type="spellEnd"/>
      <w:r w:rsidR="006A6500" w:rsidRPr="00C33C2F">
        <w:rPr>
          <w:rFonts w:ascii="Book Antiqua" w:eastAsia="宋体" w:hAnsi="Book Antiqua" w:cs="宋体"/>
          <w:sz w:val="24"/>
          <w:szCs w:val="24"/>
          <w:lang w:val="en-US"/>
        </w:rPr>
        <w:t xml:space="preserve"> Z, </w:t>
      </w:r>
      <w:proofErr w:type="spellStart"/>
      <w:r w:rsidR="006A6500" w:rsidRPr="00C33C2F">
        <w:rPr>
          <w:rFonts w:ascii="Book Antiqua" w:eastAsia="宋体" w:hAnsi="Book Antiqua" w:cs="宋体"/>
          <w:sz w:val="24"/>
          <w:szCs w:val="24"/>
          <w:lang w:val="en-US"/>
        </w:rPr>
        <w:t>Molnár</w:t>
      </w:r>
      <w:proofErr w:type="spellEnd"/>
      <w:r w:rsidR="006A6500" w:rsidRPr="00C33C2F">
        <w:rPr>
          <w:rFonts w:ascii="Book Antiqua" w:eastAsia="宋体" w:hAnsi="Book Antiqua" w:cs="宋体"/>
          <w:sz w:val="24"/>
          <w:szCs w:val="24"/>
          <w:lang w:val="en-US"/>
        </w:rPr>
        <w:t xml:space="preserve"> T. Efficacy of the new infliximab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CT-P13 induction therapy in </w:t>
      </w:r>
      <w:proofErr w:type="spellStart"/>
      <w:r w:rsidR="006A6500" w:rsidRPr="00C33C2F">
        <w:rPr>
          <w:rFonts w:ascii="Book Antiqua" w:eastAsia="宋体" w:hAnsi="Book Antiqua" w:cs="宋体"/>
          <w:sz w:val="24"/>
          <w:szCs w:val="24"/>
          <w:lang w:val="en-US"/>
        </w:rPr>
        <w:t>Crohn's</w:t>
      </w:r>
      <w:proofErr w:type="spellEnd"/>
      <w:r w:rsidR="006A6500" w:rsidRPr="00C33C2F">
        <w:rPr>
          <w:rFonts w:ascii="Book Antiqua" w:eastAsia="宋体" w:hAnsi="Book Antiqua" w:cs="宋体"/>
          <w:sz w:val="24"/>
          <w:szCs w:val="24"/>
          <w:lang w:val="en-US"/>
        </w:rPr>
        <w:t xml:space="preserve"> disease and ulcerative colitis - experiences from a single center. </w:t>
      </w:r>
      <w:r w:rsidR="006A6500" w:rsidRPr="00C33C2F">
        <w:rPr>
          <w:rFonts w:ascii="Book Antiqua" w:eastAsia="宋体" w:hAnsi="Book Antiqua" w:cs="宋体"/>
          <w:i/>
          <w:iCs/>
          <w:sz w:val="24"/>
          <w:szCs w:val="24"/>
          <w:lang w:val="en-US"/>
        </w:rPr>
        <w:t xml:space="preserve">Expert </w:t>
      </w:r>
      <w:proofErr w:type="spellStart"/>
      <w:r w:rsidR="006A6500" w:rsidRPr="00C33C2F">
        <w:rPr>
          <w:rFonts w:ascii="Book Antiqua" w:eastAsia="宋体" w:hAnsi="Book Antiqua" w:cs="宋体"/>
          <w:i/>
          <w:iCs/>
          <w:sz w:val="24"/>
          <w:szCs w:val="24"/>
          <w:lang w:val="en-US"/>
        </w:rPr>
        <w:t>Opin</w:t>
      </w:r>
      <w:proofErr w:type="spellEnd"/>
      <w:r w:rsidR="006A6500" w:rsidRPr="00C33C2F">
        <w:rPr>
          <w:rFonts w:ascii="Book Antiqua" w:eastAsia="宋体" w:hAnsi="Book Antiqua" w:cs="宋体"/>
          <w:i/>
          <w:iCs/>
          <w:sz w:val="24"/>
          <w:szCs w:val="24"/>
          <w:lang w:val="en-US"/>
        </w:rPr>
        <w:t xml:space="preserve"> </w:t>
      </w:r>
      <w:proofErr w:type="spellStart"/>
      <w:r w:rsidR="006A6500" w:rsidRPr="00C33C2F">
        <w:rPr>
          <w:rFonts w:ascii="Book Antiqua" w:eastAsia="宋体" w:hAnsi="Book Antiqua" w:cs="宋体"/>
          <w:i/>
          <w:iCs/>
          <w:sz w:val="24"/>
          <w:szCs w:val="24"/>
          <w:lang w:val="en-US"/>
        </w:rPr>
        <w:t>Biol</w:t>
      </w:r>
      <w:proofErr w:type="spellEnd"/>
      <w:r w:rsidR="006A6500" w:rsidRPr="00C33C2F">
        <w:rPr>
          <w:rFonts w:ascii="Book Antiqua" w:eastAsia="宋体" w:hAnsi="Book Antiqua" w:cs="宋体"/>
          <w:i/>
          <w:iCs/>
          <w:sz w:val="24"/>
          <w:szCs w:val="24"/>
          <w:lang w:val="en-US"/>
        </w:rPr>
        <w:t xml:space="preserve"> </w:t>
      </w:r>
      <w:proofErr w:type="spellStart"/>
      <w:r w:rsidR="006A6500" w:rsidRPr="00C33C2F">
        <w:rPr>
          <w:rFonts w:ascii="Book Antiqua" w:eastAsia="宋体" w:hAnsi="Book Antiqua" w:cs="宋体"/>
          <w:i/>
          <w:iCs/>
          <w:sz w:val="24"/>
          <w:szCs w:val="24"/>
          <w:lang w:val="en-US"/>
        </w:rPr>
        <w:t>Ther</w:t>
      </w:r>
      <w:proofErr w:type="spellEnd"/>
      <w:r w:rsidR="006A6500" w:rsidRPr="00C33C2F">
        <w:rPr>
          <w:rFonts w:ascii="Book Antiqua" w:eastAsia="宋体" w:hAnsi="Book Antiqua" w:cs="宋体"/>
          <w:sz w:val="24"/>
          <w:szCs w:val="24"/>
          <w:lang w:val="en-US"/>
        </w:rPr>
        <w:t> 2015; </w:t>
      </w:r>
      <w:r w:rsidR="006A6500" w:rsidRPr="00C33C2F">
        <w:rPr>
          <w:rFonts w:ascii="Book Antiqua" w:eastAsia="宋体" w:hAnsi="Book Antiqua" w:cs="宋体"/>
          <w:b/>
          <w:bCs/>
          <w:sz w:val="24"/>
          <w:szCs w:val="24"/>
          <w:lang w:val="en-US"/>
        </w:rPr>
        <w:t>15</w:t>
      </w:r>
      <w:r w:rsidR="006A6500" w:rsidRPr="00C33C2F">
        <w:rPr>
          <w:rFonts w:ascii="Book Antiqua" w:eastAsia="宋体" w:hAnsi="Book Antiqua" w:cs="宋体"/>
          <w:sz w:val="24"/>
          <w:szCs w:val="24"/>
          <w:lang w:val="en-US"/>
        </w:rPr>
        <w:t>: 1257-1262 [PMID: 26134250 DOI: 10.1517/14712598.2015.1064893]</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32</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Jahnsen</w:t>
      </w:r>
      <w:proofErr w:type="spellEnd"/>
      <w:r w:rsidR="006A6500" w:rsidRPr="00C33C2F">
        <w:rPr>
          <w:rFonts w:ascii="Book Antiqua" w:eastAsia="宋体" w:hAnsi="Book Antiqua" w:cs="宋体"/>
          <w:b/>
          <w:bCs/>
          <w:sz w:val="24"/>
          <w:szCs w:val="24"/>
          <w:lang w:val="en-US"/>
        </w:rPr>
        <w:t xml:space="preserve"> J</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Detlie</w:t>
      </w:r>
      <w:proofErr w:type="spellEnd"/>
      <w:r w:rsidR="006A6500" w:rsidRPr="00C33C2F">
        <w:rPr>
          <w:rFonts w:ascii="Book Antiqua" w:eastAsia="宋体" w:hAnsi="Book Antiqua" w:cs="宋体"/>
          <w:sz w:val="24"/>
          <w:szCs w:val="24"/>
          <w:lang w:val="en-US"/>
        </w:rPr>
        <w:t xml:space="preserve"> TE, </w:t>
      </w:r>
      <w:proofErr w:type="spellStart"/>
      <w:r w:rsidR="006A6500" w:rsidRPr="00C33C2F">
        <w:rPr>
          <w:rFonts w:ascii="Book Antiqua" w:eastAsia="宋体" w:hAnsi="Book Antiqua" w:cs="宋体"/>
          <w:sz w:val="24"/>
          <w:szCs w:val="24"/>
          <w:lang w:val="en-US"/>
        </w:rPr>
        <w:t>Vatn</w:t>
      </w:r>
      <w:proofErr w:type="spellEnd"/>
      <w:r w:rsidR="006A6500" w:rsidRPr="00C33C2F">
        <w:rPr>
          <w:rFonts w:ascii="Book Antiqua" w:eastAsia="宋体" w:hAnsi="Book Antiqua" w:cs="宋体"/>
          <w:sz w:val="24"/>
          <w:szCs w:val="24"/>
          <w:lang w:val="en-US"/>
        </w:rPr>
        <w:t xml:space="preserve"> S, </w:t>
      </w:r>
      <w:proofErr w:type="spellStart"/>
      <w:r w:rsidR="006A6500" w:rsidRPr="00C33C2F">
        <w:rPr>
          <w:rFonts w:ascii="Book Antiqua" w:eastAsia="宋体" w:hAnsi="Book Antiqua" w:cs="宋体"/>
          <w:sz w:val="24"/>
          <w:szCs w:val="24"/>
          <w:lang w:val="en-US"/>
        </w:rPr>
        <w:t>Ricanek</w:t>
      </w:r>
      <w:proofErr w:type="spellEnd"/>
      <w:r w:rsidR="006A6500" w:rsidRPr="00C33C2F">
        <w:rPr>
          <w:rFonts w:ascii="Book Antiqua" w:eastAsia="宋体" w:hAnsi="Book Antiqua" w:cs="宋体"/>
          <w:sz w:val="24"/>
          <w:szCs w:val="24"/>
          <w:lang w:val="en-US"/>
        </w:rPr>
        <w:t xml:space="preserve"> P.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infliximab (CT-P13) in the treatment of inflammatory bowel disease: A Norwegian observational study. </w:t>
      </w:r>
      <w:r w:rsidR="006A6500" w:rsidRPr="00C33C2F">
        <w:rPr>
          <w:rFonts w:ascii="Book Antiqua" w:eastAsia="宋体" w:hAnsi="Book Antiqua" w:cs="宋体"/>
          <w:i/>
          <w:iCs/>
          <w:sz w:val="24"/>
          <w:szCs w:val="24"/>
          <w:lang w:val="en-US"/>
        </w:rPr>
        <w:t xml:space="preserve">Expert Rev </w:t>
      </w:r>
      <w:proofErr w:type="spellStart"/>
      <w:r w:rsidR="006A6500" w:rsidRPr="00C33C2F">
        <w:rPr>
          <w:rFonts w:ascii="Book Antiqua" w:eastAsia="宋体" w:hAnsi="Book Antiqua" w:cs="宋体"/>
          <w:i/>
          <w:iCs/>
          <w:sz w:val="24"/>
          <w:szCs w:val="24"/>
          <w:lang w:val="en-US"/>
        </w:rPr>
        <w:t>Gastroenterol</w:t>
      </w:r>
      <w:proofErr w:type="spellEnd"/>
      <w:r w:rsidR="006A6500" w:rsidRPr="00C33C2F">
        <w:rPr>
          <w:rFonts w:ascii="Book Antiqua" w:eastAsia="宋体" w:hAnsi="Book Antiqua" w:cs="宋体"/>
          <w:i/>
          <w:iCs/>
          <w:sz w:val="24"/>
          <w:szCs w:val="24"/>
          <w:lang w:val="en-US"/>
        </w:rPr>
        <w:t xml:space="preserve"> </w:t>
      </w:r>
      <w:proofErr w:type="spellStart"/>
      <w:r w:rsidR="006A6500" w:rsidRPr="00C33C2F">
        <w:rPr>
          <w:rFonts w:ascii="Book Antiqua" w:eastAsia="宋体" w:hAnsi="Book Antiqua" w:cs="宋体"/>
          <w:i/>
          <w:iCs/>
          <w:sz w:val="24"/>
          <w:szCs w:val="24"/>
          <w:lang w:val="en-US"/>
        </w:rPr>
        <w:t>Hepatol</w:t>
      </w:r>
      <w:proofErr w:type="spellEnd"/>
      <w:r w:rsidR="006A6500" w:rsidRPr="00C33C2F">
        <w:rPr>
          <w:rFonts w:ascii="Book Antiqua" w:eastAsia="宋体" w:hAnsi="Book Antiqua" w:cs="宋体"/>
          <w:sz w:val="24"/>
          <w:szCs w:val="24"/>
          <w:lang w:val="en-US"/>
        </w:rPr>
        <w:t> 2015; </w:t>
      </w:r>
      <w:r w:rsidR="006A6500" w:rsidRPr="00C33C2F">
        <w:rPr>
          <w:rFonts w:ascii="Book Antiqua" w:eastAsia="宋体" w:hAnsi="Book Antiqua" w:cs="宋体"/>
          <w:b/>
          <w:bCs/>
          <w:sz w:val="24"/>
          <w:szCs w:val="24"/>
          <w:lang w:val="en-US"/>
        </w:rPr>
        <w:t>9</w:t>
      </w:r>
      <w:r w:rsidR="006A6500" w:rsidRPr="00C33C2F">
        <w:rPr>
          <w:rFonts w:ascii="Book Antiqua" w:eastAsia="宋体" w:hAnsi="Book Antiqua" w:cs="宋体"/>
          <w:bCs/>
          <w:sz w:val="24"/>
          <w:szCs w:val="24"/>
          <w:lang w:val="en-US"/>
        </w:rPr>
        <w:t xml:space="preserve"> </w:t>
      </w:r>
      <w:proofErr w:type="spellStart"/>
      <w:r w:rsidR="006A6500" w:rsidRPr="00C33C2F">
        <w:rPr>
          <w:rFonts w:ascii="Book Antiqua" w:eastAsia="宋体" w:hAnsi="Book Antiqua" w:cs="宋体"/>
          <w:bCs/>
          <w:sz w:val="24"/>
          <w:szCs w:val="24"/>
          <w:lang w:val="en-US"/>
        </w:rPr>
        <w:t>Suppl</w:t>
      </w:r>
      <w:proofErr w:type="spellEnd"/>
      <w:r w:rsidR="006A6500" w:rsidRPr="00C33C2F">
        <w:rPr>
          <w:rFonts w:ascii="Book Antiqua" w:eastAsia="宋体" w:hAnsi="Book Antiqua" w:cs="宋体"/>
          <w:bCs/>
          <w:sz w:val="24"/>
          <w:szCs w:val="24"/>
          <w:lang w:val="en-US"/>
        </w:rPr>
        <w:t xml:space="preserve"> 1</w:t>
      </w:r>
      <w:r w:rsidR="006A6500" w:rsidRPr="00C33C2F">
        <w:rPr>
          <w:rFonts w:ascii="Book Antiqua" w:eastAsia="宋体" w:hAnsi="Book Antiqua" w:cs="宋体"/>
          <w:sz w:val="24"/>
          <w:szCs w:val="24"/>
          <w:lang w:val="en-US"/>
        </w:rPr>
        <w:t>: 45-52 [PMID: 26395534 DOI: 10.1586/17474124.2015.1091308]</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lastRenderedPageBreak/>
        <w:t>33</w:t>
      </w:r>
      <w:r w:rsidRPr="00C33C2F">
        <w:rPr>
          <w:rFonts w:ascii="Book Antiqua" w:eastAsia="宋体" w:hAnsi="Book Antiqua" w:cs="宋体"/>
          <w:sz w:val="24"/>
          <w:szCs w:val="24"/>
          <w:lang w:val="en-US"/>
        </w:rPr>
        <w:t> </w:t>
      </w:r>
      <w:r w:rsidR="006A6500" w:rsidRPr="00C33C2F">
        <w:rPr>
          <w:rFonts w:ascii="Book Antiqua" w:eastAsia="宋体" w:hAnsi="Book Antiqua" w:cs="宋体"/>
          <w:b/>
          <w:bCs/>
          <w:sz w:val="24"/>
          <w:szCs w:val="24"/>
          <w:lang w:val="en-US"/>
        </w:rPr>
        <w:t>Schulze K</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Koppka</w:t>
      </w:r>
      <w:proofErr w:type="spellEnd"/>
      <w:r w:rsidR="006A6500" w:rsidRPr="00C33C2F">
        <w:rPr>
          <w:rFonts w:ascii="Book Antiqua" w:eastAsia="宋体" w:hAnsi="Book Antiqua" w:cs="宋体"/>
          <w:sz w:val="24"/>
          <w:szCs w:val="24"/>
          <w:lang w:val="en-US"/>
        </w:rPr>
        <w:t xml:space="preserve"> N, </w:t>
      </w:r>
      <w:proofErr w:type="spellStart"/>
      <w:r w:rsidR="006A6500" w:rsidRPr="00C33C2F">
        <w:rPr>
          <w:rFonts w:ascii="Book Antiqua" w:eastAsia="宋体" w:hAnsi="Book Antiqua" w:cs="宋体"/>
          <w:sz w:val="24"/>
          <w:szCs w:val="24"/>
          <w:lang w:val="en-US"/>
        </w:rPr>
        <w:t>Lutter</w:t>
      </w:r>
      <w:proofErr w:type="spellEnd"/>
      <w:r w:rsidR="006A6500" w:rsidRPr="00C33C2F">
        <w:rPr>
          <w:rFonts w:ascii="Book Antiqua" w:eastAsia="宋体" w:hAnsi="Book Antiqua" w:cs="宋体"/>
          <w:sz w:val="24"/>
          <w:szCs w:val="24"/>
          <w:lang w:val="en-US"/>
        </w:rPr>
        <w:t xml:space="preserve"> F, </w:t>
      </w:r>
      <w:proofErr w:type="spellStart"/>
      <w:r w:rsidR="006A6500" w:rsidRPr="00C33C2F">
        <w:rPr>
          <w:rFonts w:ascii="Book Antiqua" w:eastAsia="宋体" w:hAnsi="Book Antiqua" w:cs="宋体"/>
          <w:sz w:val="24"/>
          <w:szCs w:val="24"/>
          <w:lang w:val="en-US"/>
        </w:rPr>
        <w:t>Brandhorst</w:t>
      </w:r>
      <w:proofErr w:type="spellEnd"/>
      <w:r w:rsidR="006A6500" w:rsidRPr="00C33C2F">
        <w:rPr>
          <w:rFonts w:ascii="Book Antiqua" w:eastAsia="宋体" w:hAnsi="Book Antiqua" w:cs="宋体"/>
          <w:sz w:val="24"/>
          <w:szCs w:val="24"/>
          <w:lang w:val="en-US"/>
        </w:rPr>
        <w:t xml:space="preserve"> G, Schreiber S, </w:t>
      </w:r>
      <w:proofErr w:type="spellStart"/>
      <w:r w:rsidR="006A6500" w:rsidRPr="00C33C2F">
        <w:rPr>
          <w:rFonts w:ascii="Book Antiqua" w:eastAsia="宋体" w:hAnsi="Book Antiqua" w:cs="宋体"/>
          <w:sz w:val="24"/>
          <w:szCs w:val="24"/>
          <w:lang w:val="en-US"/>
        </w:rPr>
        <w:t>Helwig</w:t>
      </w:r>
      <w:proofErr w:type="spellEnd"/>
      <w:r w:rsidR="006A6500" w:rsidRPr="00C33C2F">
        <w:rPr>
          <w:rFonts w:ascii="Book Antiqua" w:eastAsia="宋体" w:hAnsi="Book Antiqua" w:cs="宋体"/>
          <w:sz w:val="24"/>
          <w:szCs w:val="24"/>
          <w:lang w:val="en-US"/>
        </w:rPr>
        <w:t xml:space="preserve"> U. CT-P13 (</w:t>
      </w:r>
      <w:proofErr w:type="spellStart"/>
      <w:r w:rsidR="006A6500" w:rsidRPr="00C33C2F">
        <w:rPr>
          <w:rFonts w:ascii="Book Antiqua" w:eastAsia="宋体" w:hAnsi="Book Antiqua" w:cs="宋体"/>
          <w:sz w:val="24"/>
          <w:szCs w:val="24"/>
          <w:lang w:val="en-US"/>
        </w:rPr>
        <w:t>Inflectra</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Remsima</w:t>
      </w:r>
      <w:proofErr w:type="spellEnd"/>
      <w:r w:rsidR="006A6500" w:rsidRPr="00C33C2F">
        <w:rPr>
          <w:rFonts w:ascii="Book Antiqua" w:eastAsia="宋体" w:hAnsi="Book Antiqua" w:cs="宋体"/>
          <w:sz w:val="24"/>
          <w:szCs w:val="24"/>
          <w:lang w:val="en-US"/>
        </w:rPr>
        <w:t>™) monitoring in patients with inflammatory bowel disease. </w:t>
      </w:r>
      <w:proofErr w:type="spellStart"/>
      <w:r w:rsidR="006A6500" w:rsidRPr="00C33C2F">
        <w:rPr>
          <w:rFonts w:ascii="Book Antiqua" w:eastAsia="宋体" w:hAnsi="Book Antiqua" w:cs="宋体"/>
          <w:i/>
          <w:iCs/>
          <w:sz w:val="24"/>
          <w:szCs w:val="24"/>
          <w:lang w:val="en-US"/>
        </w:rPr>
        <w:t>Biologicals</w:t>
      </w:r>
      <w:proofErr w:type="spellEnd"/>
      <w:r w:rsidR="006A6500" w:rsidRPr="00C33C2F">
        <w:rPr>
          <w:rFonts w:ascii="Book Antiqua" w:eastAsia="宋体" w:hAnsi="Book Antiqua" w:cs="宋体"/>
          <w:sz w:val="24"/>
          <w:szCs w:val="24"/>
          <w:lang w:val="en-US"/>
        </w:rPr>
        <w:t> 2016; </w:t>
      </w:r>
      <w:r w:rsidR="006A6500" w:rsidRPr="00C33C2F">
        <w:rPr>
          <w:rFonts w:ascii="Book Antiqua" w:eastAsia="宋体" w:hAnsi="Book Antiqua" w:cs="宋体"/>
          <w:b/>
          <w:bCs/>
          <w:sz w:val="24"/>
          <w:szCs w:val="24"/>
          <w:lang w:val="en-US"/>
        </w:rPr>
        <w:t>44</w:t>
      </w:r>
      <w:r w:rsidR="006A6500" w:rsidRPr="00C33C2F">
        <w:rPr>
          <w:rFonts w:ascii="Book Antiqua" w:eastAsia="宋体" w:hAnsi="Book Antiqua" w:cs="宋体"/>
          <w:sz w:val="24"/>
          <w:szCs w:val="24"/>
          <w:lang w:val="en-US"/>
        </w:rPr>
        <w:t>: 463-466 [PMID: 27435444 DOI: 10.1016/j.biologicals.2016.06.011]</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34</w:t>
      </w:r>
      <w:r w:rsidRPr="00C33C2F">
        <w:rPr>
          <w:rFonts w:ascii="Book Antiqua" w:eastAsia="宋体" w:hAnsi="Book Antiqua" w:cs="宋体"/>
          <w:sz w:val="24"/>
          <w:szCs w:val="24"/>
          <w:lang w:val="en-US"/>
        </w:rPr>
        <w:t xml:space="preserve"> </w:t>
      </w:r>
      <w:r w:rsidR="006A6500" w:rsidRPr="00C33C2F">
        <w:rPr>
          <w:rFonts w:ascii="Book Antiqua" w:eastAsia="宋体" w:hAnsi="Book Antiqua" w:cs="宋体"/>
          <w:b/>
          <w:sz w:val="24"/>
          <w:szCs w:val="24"/>
          <w:lang w:val="en-US"/>
        </w:rPr>
        <w:t>Ben-</w:t>
      </w:r>
      <w:proofErr w:type="spellStart"/>
      <w:r w:rsidR="006A6500" w:rsidRPr="00C33C2F">
        <w:rPr>
          <w:rFonts w:ascii="Book Antiqua" w:eastAsia="宋体" w:hAnsi="Book Antiqua" w:cs="宋体"/>
          <w:b/>
          <w:sz w:val="24"/>
          <w:szCs w:val="24"/>
          <w:lang w:val="en-US"/>
        </w:rPr>
        <w:t>Horin</w:t>
      </w:r>
      <w:proofErr w:type="spellEnd"/>
      <w:r w:rsidR="006A6500" w:rsidRPr="00C33C2F">
        <w:rPr>
          <w:rFonts w:ascii="Book Antiqua" w:eastAsia="宋体" w:hAnsi="Book Antiqua" w:cs="宋体"/>
          <w:b/>
          <w:sz w:val="24"/>
          <w:szCs w:val="24"/>
          <w:lang w:val="en-US"/>
        </w:rPr>
        <w:t xml:space="preserve"> S,</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Yavzori</w:t>
      </w:r>
      <w:proofErr w:type="spellEnd"/>
      <w:r w:rsidR="006A6500" w:rsidRPr="00C33C2F">
        <w:rPr>
          <w:rFonts w:ascii="Book Antiqua" w:eastAsia="宋体" w:hAnsi="Book Antiqua" w:cs="宋体"/>
          <w:sz w:val="24"/>
          <w:szCs w:val="24"/>
          <w:lang w:val="en-US"/>
        </w:rPr>
        <w:t xml:space="preserve"> M, </w:t>
      </w:r>
      <w:proofErr w:type="spellStart"/>
      <w:r w:rsidR="006A6500" w:rsidRPr="00C33C2F">
        <w:rPr>
          <w:rFonts w:ascii="Book Antiqua" w:eastAsia="宋体" w:hAnsi="Book Antiqua" w:cs="宋体"/>
          <w:sz w:val="24"/>
          <w:szCs w:val="24"/>
          <w:lang w:val="en-US"/>
        </w:rPr>
        <w:t>Benhar</w:t>
      </w:r>
      <w:proofErr w:type="spellEnd"/>
      <w:r w:rsidR="006A6500" w:rsidRPr="00C33C2F">
        <w:rPr>
          <w:rFonts w:ascii="Book Antiqua" w:eastAsia="宋体" w:hAnsi="Book Antiqua" w:cs="宋体"/>
          <w:sz w:val="24"/>
          <w:szCs w:val="24"/>
          <w:lang w:val="en-US"/>
        </w:rPr>
        <w:t xml:space="preserve"> I, </w:t>
      </w:r>
      <w:proofErr w:type="spellStart"/>
      <w:r w:rsidR="006A6500" w:rsidRPr="00C33C2F">
        <w:rPr>
          <w:rFonts w:ascii="Book Antiqua" w:eastAsia="宋体" w:hAnsi="Book Antiqua" w:cs="宋体"/>
          <w:sz w:val="24"/>
          <w:szCs w:val="24"/>
          <w:lang w:val="en-US"/>
        </w:rPr>
        <w:t>Fudim</w:t>
      </w:r>
      <w:proofErr w:type="spellEnd"/>
      <w:r w:rsidR="006A6500" w:rsidRPr="00C33C2F">
        <w:rPr>
          <w:rFonts w:ascii="Book Antiqua" w:eastAsia="宋体" w:hAnsi="Book Antiqua" w:cs="宋体"/>
          <w:sz w:val="24"/>
          <w:szCs w:val="24"/>
          <w:lang w:val="en-US"/>
        </w:rPr>
        <w:t xml:space="preserve"> E, Picard O, </w:t>
      </w:r>
      <w:proofErr w:type="spellStart"/>
      <w:r w:rsidR="006A6500" w:rsidRPr="00C33C2F">
        <w:rPr>
          <w:rFonts w:ascii="Book Antiqua" w:eastAsia="宋体" w:hAnsi="Book Antiqua" w:cs="宋体"/>
          <w:sz w:val="24"/>
          <w:szCs w:val="24"/>
          <w:lang w:val="en-US"/>
        </w:rPr>
        <w:t>Ungar</w:t>
      </w:r>
      <w:proofErr w:type="spellEnd"/>
      <w:r w:rsidR="006A6500" w:rsidRPr="00C33C2F">
        <w:rPr>
          <w:rFonts w:ascii="Book Antiqua" w:eastAsia="宋体" w:hAnsi="Book Antiqua" w:cs="宋体"/>
          <w:sz w:val="24"/>
          <w:szCs w:val="24"/>
          <w:lang w:val="en-US"/>
        </w:rPr>
        <w:t xml:space="preserve"> B, Lee S, Kim S, </w:t>
      </w:r>
      <w:proofErr w:type="spellStart"/>
      <w:r w:rsidR="006A6500" w:rsidRPr="00C33C2F">
        <w:rPr>
          <w:rFonts w:ascii="Book Antiqua" w:eastAsia="宋体" w:hAnsi="Book Antiqua" w:cs="宋体"/>
          <w:sz w:val="24"/>
          <w:szCs w:val="24"/>
          <w:lang w:val="en-US"/>
        </w:rPr>
        <w:t>Eliakim</w:t>
      </w:r>
      <w:proofErr w:type="spellEnd"/>
      <w:r w:rsidR="006A6500" w:rsidRPr="00C33C2F">
        <w:rPr>
          <w:rFonts w:ascii="Book Antiqua" w:eastAsia="宋体" w:hAnsi="Book Antiqua" w:cs="宋体"/>
          <w:sz w:val="24"/>
          <w:szCs w:val="24"/>
          <w:lang w:val="en-US"/>
        </w:rPr>
        <w:t xml:space="preserve"> R, </w:t>
      </w:r>
      <w:proofErr w:type="spellStart"/>
      <w:proofErr w:type="gramStart"/>
      <w:r w:rsidR="006A6500" w:rsidRPr="00C33C2F">
        <w:rPr>
          <w:rFonts w:ascii="Book Antiqua" w:eastAsia="宋体" w:hAnsi="Book Antiqua" w:cs="宋体"/>
          <w:sz w:val="24"/>
          <w:szCs w:val="24"/>
          <w:lang w:val="en-US"/>
        </w:rPr>
        <w:t>Chowers</w:t>
      </w:r>
      <w:proofErr w:type="spellEnd"/>
      <w:proofErr w:type="gramEnd"/>
      <w:r w:rsidR="006A6500" w:rsidRPr="00C33C2F">
        <w:rPr>
          <w:rFonts w:ascii="Book Antiqua" w:eastAsia="宋体" w:hAnsi="Book Antiqua" w:cs="宋体"/>
          <w:sz w:val="24"/>
          <w:szCs w:val="24"/>
          <w:lang w:val="en-US"/>
        </w:rPr>
        <w:t xml:space="preserve"> Y. Cross-immunogenicity: antibodies to infliximab in </w:t>
      </w:r>
      <w:proofErr w:type="spellStart"/>
      <w:r w:rsidR="006A6500" w:rsidRPr="00C33C2F">
        <w:rPr>
          <w:rFonts w:ascii="Book Antiqua" w:eastAsia="宋体" w:hAnsi="Book Antiqua" w:cs="宋体"/>
          <w:sz w:val="24"/>
          <w:szCs w:val="24"/>
          <w:lang w:val="en-US"/>
        </w:rPr>
        <w:t>Remicade</w:t>
      </w:r>
      <w:proofErr w:type="spellEnd"/>
      <w:r w:rsidR="006A6500" w:rsidRPr="00C33C2F">
        <w:rPr>
          <w:rFonts w:ascii="Book Antiqua" w:eastAsia="宋体" w:hAnsi="Book Antiqua" w:cs="宋体"/>
          <w:sz w:val="24"/>
          <w:szCs w:val="24"/>
          <w:lang w:val="en-US"/>
        </w:rPr>
        <w:t xml:space="preserve">-treated patients with IBD similarly </w:t>
      </w:r>
      <w:proofErr w:type="spellStart"/>
      <w:r w:rsidR="006A6500" w:rsidRPr="00C33C2F">
        <w:rPr>
          <w:rFonts w:ascii="Book Antiqua" w:eastAsia="宋体" w:hAnsi="Book Antiqua" w:cs="宋体"/>
          <w:sz w:val="24"/>
          <w:szCs w:val="24"/>
          <w:lang w:val="en-US"/>
        </w:rPr>
        <w:t>recognise</w:t>
      </w:r>
      <w:proofErr w:type="spellEnd"/>
      <w:r w:rsidR="006A6500" w:rsidRPr="00C33C2F">
        <w:rPr>
          <w:rFonts w:ascii="Book Antiqua" w:eastAsia="宋体" w:hAnsi="Book Antiqua" w:cs="宋体"/>
          <w:sz w:val="24"/>
          <w:szCs w:val="24"/>
          <w:lang w:val="en-US"/>
        </w:rPr>
        <w:t xml:space="preserve"> the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Remsima</w:t>
      </w:r>
      <w:proofErr w:type="spellEnd"/>
      <w:r w:rsidR="006A6500" w:rsidRPr="00C33C2F">
        <w:rPr>
          <w:rFonts w:ascii="Book Antiqua" w:eastAsia="宋体" w:hAnsi="Book Antiqua" w:cs="宋体"/>
          <w:sz w:val="24"/>
          <w:szCs w:val="24"/>
          <w:lang w:val="en-US"/>
        </w:rPr>
        <w:t xml:space="preserve">. </w:t>
      </w:r>
      <w:r w:rsidR="006A6500" w:rsidRPr="00C33C2F">
        <w:rPr>
          <w:rFonts w:ascii="Book Antiqua" w:eastAsia="宋体" w:hAnsi="Book Antiqua" w:cs="宋体"/>
          <w:i/>
          <w:sz w:val="24"/>
          <w:szCs w:val="24"/>
          <w:lang w:val="en-US"/>
        </w:rPr>
        <w:t>Gut</w:t>
      </w:r>
      <w:r w:rsidR="006A6500" w:rsidRPr="00C33C2F">
        <w:rPr>
          <w:rFonts w:ascii="Book Antiqua" w:eastAsia="宋体" w:hAnsi="Book Antiqua" w:cs="宋体"/>
          <w:sz w:val="24"/>
          <w:szCs w:val="24"/>
          <w:lang w:val="en-US"/>
        </w:rPr>
        <w:t xml:space="preserve"> 2015</w:t>
      </w:r>
      <w:r w:rsidR="006A6500" w:rsidRPr="00C33C2F">
        <w:rPr>
          <w:rFonts w:ascii="Book Antiqua" w:eastAsia="宋体" w:hAnsi="Book Antiqua" w:cs="宋体" w:hint="eastAsia"/>
          <w:sz w:val="24"/>
          <w:szCs w:val="24"/>
          <w:lang w:val="en-US"/>
        </w:rPr>
        <w:t>;</w:t>
      </w:r>
      <w:r w:rsidR="006A6500" w:rsidRPr="00C33C2F">
        <w:rPr>
          <w:rFonts w:ascii="Book Antiqua" w:eastAsia="宋体" w:hAnsi="Book Antiqua" w:cs="宋体"/>
          <w:sz w:val="24"/>
          <w:szCs w:val="24"/>
          <w:lang w:val="en-US"/>
        </w:rPr>
        <w:t xml:space="preserve"> [DOI: 10.1136/ gutjnl-2015-309290]</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35</w:t>
      </w:r>
      <w:r w:rsidRPr="00C33C2F">
        <w:rPr>
          <w:rFonts w:ascii="Book Antiqua" w:eastAsia="宋体" w:hAnsi="Book Antiqua" w:cs="宋体"/>
          <w:sz w:val="24"/>
          <w:szCs w:val="24"/>
          <w:lang w:val="en-US"/>
        </w:rPr>
        <w:t> </w:t>
      </w:r>
      <w:proofErr w:type="spellStart"/>
      <w:r w:rsidR="006A6500" w:rsidRPr="00C33C2F">
        <w:rPr>
          <w:rFonts w:ascii="Book Antiqua" w:eastAsia="宋体" w:hAnsi="Book Antiqua" w:cs="宋体"/>
          <w:b/>
          <w:bCs/>
          <w:sz w:val="24"/>
          <w:szCs w:val="24"/>
          <w:lang w:val="en-US"/>
        </w:rPr>
        <w:t>Sieczkowska</w:t>
      </w:r>
      <w:proofErr w:type="spellEnd"/>
      <w:r w:rsidR="006A6500" w:rsidRPr="00C33C2F">
        <w:rPr>
          <w:rFonts w:ascii="Book Antiqua" w:eastAsia="宋体" w:hAnsi="Book Antiqua" w:cs="宋体"/>
          <w:b/>
          <w:bCs/>
          <w:sz w:val="24"/>
          <w:szCs w:val="24"/>
          <w:lang w:val="en-US"/>
        </w:rPr>
        <w:t xml:space="preserve"> J</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Jarz</w:t>
      </w:r>
      <w:r w:rsidR="006A6500" w:rsidRPr="00C33C2F">
        <w:rPr>
          <w:rFonts w:ascii="Book Antiqua" w:eastAsia="MS Mincho" w:hAnsi="Book Antiqua" w:cs="MS Mincho"/>
          <w:sz w:val="24"/>
          <w:szCs w:val="24"/>
          <w:lang w:val="en-US"/>
        </w:rPr>
        <w:t>ę</w:t>
      </w:r>
      <w:r w:rsidR="006A6500" w:rsidRPr="00C33C2F">
        <w:rPr>
          <w:rFonts w:ascii="Book Antiqua" w:eastAsia="宋体" w:hAnsi="Book Antiqua" w:cs="宋体"/>
          <w:sz w:val="24"/>
          <w:szCs w:val="24"/>
          <w:lang w:val="en-US"/>
        </w:rPr>
        <w:t>bicka</w:t>
      </w:r>
      <w:proofErr w:type="spellEnd"/>
      <w:r w:rsidR="006A6500" w:rsidRPr="00C33C2F">
        <w:rPr>
          <w:rFonts w:ascii="Book Antiqua" w:eastAsia="宋体" w:hAnsi="Book Antiqua" w:cs="宋体"/>
          <w:sz w:val="24"/>
          <w:szCs w:val="24"/>
          <w:lang w:val="en-US"/>
        </w:rPr>
        <w:t xml:space="preserve"> D, </w:t>
      </w:r>
      <w:proofErr w:type="spellStart"/>
      <w:r w:rsidR="006A6500" w:rsidRPr="00C33C2F">
        <w:rPr>
          <w:rFonts w:ascii="Book Antiqua" w:eastAsia="宋体" w:hAnsi="Book Antiqua" w:cs="宋体"/>
          <w:sz w:val="24"/>
          <w:szCs w:val="24"/>
          <w:lang w:val="en-US"/>
        </w:rPr>
        <w:t>Banaszkiewicz</w:t>
      </w:r>
      <w:proofErr w:type="spellEnd"/>
      <w:r w:rsidR="006A6500" w:rsidRPr="00C33C2F">
        <w:rPr>
          <w:rFonts w:ascii="Book Antiqua" w:eastAsia="宋体" w:hAnsi="Book Antiqua" w:cs="宋体"/>
          <w:sz w:val="24"/>
          <w:szCs w:val="24"/>
          <w:lang w:val="en-US"/>
        </w:rPr>
        <w:t xml:space="preserve"> A, </w:t>
      </w:r>
      <w:proofErr w:type="spellStart"/>
      <w:r w:rsidR="006A6500" w:rsidRPr="00C33C2F">
        <w:rPr>
          <w:rFonts w:ascii="Book Antiqua" w:eastAsia="宋体" w:hAnsi="Book Antiqua" w:cs="宋体"/>
          <w:sz w:val="24"/>
          <w:szCs w:val="24"/>
          <w:lang w:val="en-US"/>
        </w:rPr>
        <w:t>Plocek</w:t>
      </w:r>
      <w:proofErr w:type="spellEnd"/>
      <w:r w:rsidR="006A6500" w:rsidRPr="00C33C2F">
        <w:rPr>
          <w:rFonts w:ascii="Book Antiqua" w:eastAsia="宋体" w:hAnsi="Book Antiqua" w:cs="宋体"/>
          <w:sz w:val="24"/>
          <w:szCs w:val="24"/>
          <w:lang w:val="en-US"/>
        </w:rPr>
        <w:t xml:space="preserve"> A, </w:t>
      </w:r>
      <w:proofErr w:type="spellStart"/>
      <w:r w:rsidR="006A6500" w:rsidRPr="00C33C2F">
        <w:rPr>
          <w:rFonts w:ascii="Book Antiqua" w:eastAsia="宋体" w:hAnsi="Book Antiqua" w:cs="宋体"/>
          <w:sz w:val="24"/>
          <w:szCs w:val="24"/>
          <w:lang w:val="en-US"/>
        </w:rPr>
        <w:t>Gawronska</w:t>
      </w:r>
      <w:proofErr w:type="spellEnd"/>
      <w:r w:rsidR="006A6500" w:rsidRPr="00C33C2F">
        <w:rPr>
          <w:rFonts w:ascii="Book Antiqua" w:eastAsia="宋体" w:hAnsi="Book Antiqua" w:cs="宋体"/>
          <w:sz w:val="24"/>
          <w:szCs w:val="24"/>
          <w:lang w:val="en-US"/>
        </w:rPr>
        <w:t xml:space="preserve"> A, </w:t>
      </w:r>
      <w:proofErr w:type="spellStart"/>
      <w:r w:rsidR="006A6500" w:rsidRPr="00C33C2F">
        <w:rPr>
          <w:rFonts w:ascii="Book Antiqua" w:eastAsia="宋体" w:hAnsi="Book Antiqua" w:cs="宋体"/>
          <w:sz w:val="24"/>
          <w:szCs w:val="24"/>
          <w:lang w:val="en-US"/>
        </w:rPr>
        <w:t>Toporowska-Kowalska</w:t>
      </w:r>
      <w:proofErr w:type="spellEnd"/>
      <w:r w:rsidR="006A6500" w:rsidRPr="00C33C2F">
        <w:rPr>
          <w:rFonts w:ascii="Book Antiqua" w:eastAsia="宋体" w:hAnsi="Book Antiqua" w:cs="宋体"/>
          <w:sz w:val="24"/>
          <w:szCs w:val="24"/>
          <w:lang w:val="en-US"/>
        </w:rPr>
        <w:t xml:space="preserve"> E, </w:t>
      </w:r>
      <w:proofErr w:type="spellStart"/>
      <w:r w:rsidR="006A6500" w:rsidRPr="00C33C2F">
        <w:rPr>
          <w:rFonts w:ascii="Book Antiqua" w:eastAsia="宋体" w:hAnsi="Book Antiqua" w:cs="宋体"/>
          <w:sz w:val="24"/>
          <w:szCs w:val="24"/>
          <w:lang w:val="en-US"/>
        </w:rPr>
        <w:t>Oracz</w:t>
      </w:r>
      <w:proofErr w:type="spellEnd"/>
      <w:r w:rsidR="006A6500" w:rsidRPr="00C33C2F">
        <w:rPr>
          <w:rFonts w:ascii="Book Antiqua" w:eastAsia="宋体" w:hAnsi="Book Antiqua" w:cs="宋体"/>
          <w:sz w:val="24"/>
          <w:szCs w:val="24"/>
          <w:lang w:val="en-US"/>
        </w:rPr>
        <w:t xml:space="preserve"> G, </w:t>
      </w:r>
      <w:proofErr w:type="spellStart"/>
      <w:r w:rsidR="006A6500" w:rsidRPr="00C33C2F">
        <w:rPr>
          <w:rFonts w:ascii="Book Antiqua" w:eastAsia="宋体" w:hAnsi="Book Antiqua" w:cs="宋体"/>
          <w:sz w:val="24"/>
          <w:szCs w:val="24"/>
          <w:lang w:val="en-US"/>
        </w:rPr>
        <w:t>Meglicka</w:t>
      </w:r>
      <w:proofErr w:type="spellEnd"/>
      <w:r w:rsidR="006A6500" w:rsidRPr="00C33C2F">
        <w:rPr>
          <w:rFonts w:ascii="Book Antiqua" w:eastAsia="宋体" w:hAnsi="Book Antiqua" w:cs="宋体"/>
          <w:sz w:val="24"/>
          <w:szCs w:val="24"/>
          <w:lang w:val="en-US"/>
        </w:rPr>
        <w:t xml:space="preserve"> M, </w:t>
      </w:r>
      <w:proofErr w:type="spellStart"/>
      <w:r w:rsidR="006A6500" w:rsidRPr="00C33C2F">
        <w:rPr>
          <w:rFonts w:ascii="Book Antiqua" w:eastAsia="宋体" w:hAnsi="Book Antiqua" w:cs="宋体"/>
          <w:sz w:val="24"/>
          <w:szCs w:val="24"/>
          <w:lang w:val="en-US"/>
        </w:rPr>
        <w:t>Kierkus</w:t>
      </w:r>
      <w:proofErr w:type="spellEnd"/>
      <w:r w:rsidR="006A6500" w:rsidRPr="00C33C2F">
        <w:rPr>
          <w:rFonts w:ascii="Book Antiqua" w:eastAsia="宋体" w:hAnsi="Book Antiqua" w:cs="宋体"/>
          <w:sz w:val="24"/>
          <w:szCs w:val="24"/>
          <w:lang w:val="en-US"/>
        </w:rPr>
        <w:t xml:space="preserve"> J. Switching Between Infliximab Originator and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in </w:t>
      </w:r>
      <w:proofErr w:type="spellStart"/>
      <w:r w:rsidR="006A6500" w:rsidRPr="00C33C2F">
        <w:rPr>
          <w:rFonts w:ascii="Book Antiqua" w:eastAsia="宋体" w:hAnsi="Book Antiqua" w:cs="宋体"/>
          <w:sz w:val="24"/>
          <w:szCs w:val="24"/>
          <w:lang w:val="en-US"/>
        </w:rPr>
        <w:t>Paediatric</w:t>
      </w:r>
      <w:proofErr w:type="spellEnd"/>
      <w:r w:rsidR="006A6500" w:rsidRPr="00C33C2F">
        <w:rPr>
          <w:rFonts w:ascii="Book Antiqua" w:eastAsia="宋体" w:hAnsi="Book Antiqua" w:cs="宋体"/>
          <w:sz w:val="24"/>
          <w:szCs w:val="24"/>
          <w:lang w:val="en-US"/>
        </w:rPr>
        <w:t xml:space="preserve"> Patients with Inflammatory Bowel Disease. </w:t>
      </w:r>
      <w:proofErr w:type="gramStart"/>
      <w:r w:rsidR="006A6500" w:rsidRPr="00C33C2F">
        <w:rPr>
          <w:rFonts w:ascii="Book Antiqua" w:eastAsia="宋体" w:hAnsi="Book Antiqua" w:cs="宋体"/>
          <w:sz w:val="24"/>
          <w:szCs w:val="24"/>
          <w:lang w:val="en-US"/>
        </w:rPr>
        <w:t>Preliminary Observations.</w:t>
      </w:r>
      <w:proofErr w:type="gramEnd"/>
      <w:r w:rsidR="006A6500" w:rsidRPr="00C33C2F">
        <w:rPr>
          <w:rFonts w:ascii="Book Antiqua" w:eastAsia="宋体" w:hAnsi="Book Antiqua" w:cs="宋体"/>
          <w:sz w:val="24"/>
          <w:szCs w:val="24"/>
          <w:lang w:val="en-US"/>
        </w:rPr>
        <w:t> </w:t>
      </w:r>
      <w:r w:rsidR="006A6500" w:rsidRPr="00C33C2F">
        <w:rPr>
          <w:rFonts w:ascii="Book Antiqua" w:eastAsia="宋体" w:hAnsi="Book Antiqua" w:cs="宋体"/>
          <w:i/>
          <w:iCs/>
          <w:sz w:val="24"/>
          <w:szCs w:val="24"/>
          <w:lang w:val="en-US"/>
        </w:rPr>
        <w:t xml:space="preserve">J </w:t>
      </w:r>
      <w:proofErr w:type="spellStart"/>
      <w:r w:rsidR="006A6500" w:rsidRPr="00C33C2F">
        <w:rPr>
          <w:rFonts w:ascii="Book Antiqua" w:eastAsia="宋体" w:hAnsi="Book Antiqua" w:cs="宋体"/>
          <w:i/>
          <w:iCs/>
          <w:sz w:val="24"/>
          <w:szCs w:val="24"/>
          <w:lang w:val="en-US"/>
        </w:rPr>
        <w:t>Crohns</w:t>
      </w:r>
      <w:proofErr w:type="spellEnd"/>
      <w:r w:rsidR="006A6500" w:rsidRPr="00C33C2F">
        <w:rPr>
          <w:rFonts w:ascii="Book Antiqua" w:eastAsia="宋体" w:hAnsi="Book Antiqua" w:cs="宋体"/>
          <w:i/>
          <w:iCs/>
          <w:sz w:val="24"/>
          <w:szCs w:val="24"/>
          <w:lang w:val="en-US"/>
        </w:rPr>
        <w:t xml:space="preserve"> Colitis</w:t>
      </w:r>
      <w:r w:rsidR="006A6500" w:rsidRPr="00C33C2F">
        <w:rPr>
          <w:rFonts w:ascii="Book Antiqua" w:eastAsia="宋体" w:hAnsi="Book Antiqua" w:cs="宋体"/>
          <w:sz w:val="24"/>
          <w:szCs w:val="24"/>
          <w:lang w:val="en-US"/>
        </w:rPr>
        <w:t> 2016; </w:t>
      </w:r>
      <w:r w:rsidR="006A6500" w:rsidRPr="00C33C2F">
        <w:rPr>
          <w:rFonts w:ascii="Book Antiqua" w:eastAsia="宋体" w:hAnsi="Book Antiqua" w:cs="宋体"/>
          <w:b/>
          <w:bCs/>
          <w:sz w:val="24"/>
          <w:szCs w:val="24"/>
          <w:lang w:val="en-US"/>
        </w:rPr>
        <w:t>10</w:t>
      </w:r>
      <w:r w:rsidR="006A6500" w:rsidRPr="00C33C2F">
        <w:rPr>
          <w:rFonts w:ascii="Book Antiqua" w:eastAsia="宋体" w:hAnsi="Book Antiqua" w:cs="宋体"/>
          <w:sz w:val="24"/>
          <w:szCs w:val="24"/>
          <w:lang w:val="en-US"/>
        </w:rPr>
        <w:t>: 127-132 [PMID: 26721942 DOI: 10.1093/</w:t>
      </w:r>
      <w:proofErr w:type="spellStart"/>
      <w:r w:rsidR="006A6500" w:rsidRPr="00C33C2F">
        <w:rPr>
          <w:rFonts w:ascii="Book Antiqua" w:eastAsia="宋体" w:hAnsi="Book Antiqua" w:cs="宋体"/>
          <w:sz w:val="24"/>
          <w:szCs w:val="24"/>
          <w:lang w:val="en-US"/>
        </w:rPr>
        <w:t>ecco-jcc</w:t>
      </w:r>
      <w:proofErr w:type="spellEnd"/>
      <w:r w:rsidR="006A6500" w:rsidRPr="00C33C2F">
        <w:rPr>
          <w:rFonts w:ascii="Book Antiqua" w:eastAsia="宋体" w:hAnsi="Book Antiqua" w:cs="宋体"/>
          <w:sz w:val="24"/>
          <w:szCs w:val="24"/>
          <w:lang w:val="en-US"/>
        </w:rPr>
        <w:t>/jjv233]</w:t>
      </w:r>
    </w:p>
    <w:p w:rsidR="006A6500" w:rsidRPr="00C33C2F" w:rsidRDefault="00FD6DD3" w:rsidP="008B1267">
      <w:pPr>
        <w:spacing w:after="0" w:line="360" w:lineRule="auto"/>
        <w:jc w:val="both"/>
        <w:rPr>
          <w:rFonts w:ascii="Book Antiqua" w:eastAsia="宋体" w:hAnsi="Book Antiqua" w:cs="宋体"/>
          <w:sz w:val="24"/>
          <w:szCs w:val="24"/>
          <w:lang w:val="en-US"/>
        </w:rPr>
      </w:pPr>
      <w:proofErr w:type="gramStart"/>
      <w:r w:rsidRPr="00C33C2F">
        <w:rPr>
          <w:rFonts w:ascii="Book Antiqua" w:eastAsia="宋体" w:hAnsi="Book Antiqua" w:cs="宋体" w:hint="eastAsia"/>
          <w:sz w:val="24"/>
          <w:szCs w:val="24"/>
          <w:lang w:val="en-US" w:eastAsia="zh-CN"/>
        </w:rPr>
        <w:t>36</w:t>
      </w:r>
      <w:r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b/>
          <w:sz w:val="24"/>
          <w:szCs w:val="24"/>
          <w:lang w:val="en-US"/>
        </w:rPr>
        <w:t>Cadila</w:t>
      </w:r>
      <w:proofErr w:type="spellEnd"/>
      <w:r w:rsidR="006A6500" w:rsidRPr="00C33C2F">
        <w:rPr>
          <w:rFonts w:ascii="Book Antiqua" w:eastAsia="宋体" w:hAnsi="Book Antiqua" w:cs="宋体"/>
          <w:b/>
          <w:sz w:val="24"/>
          <w:szCs w:val="24"/>
          <w:lang w:val="en-US"/>
        </w:rPr>
        <w:t xml:space="preserve"> Healthcare Ltd. </w:t>
      </w:r>
      <w:proofErr w:type="spellStart"/>
      <w:r w:rsidR="006A6500" w:rsidRPr="00C33C2F">
        <w:rPr>
          <w:rFonts w:ascii="Book Antiqua" w:eastAsia="宋体" w:hAnsi="Book Antiqua" w:cs="宋体"/>
          <w:sz w:val="24"/>
          <w:szCs w:val="24"/>
          <w:lang w:val="en-US"/>
        </w:rPr>
        <w:t>Zydus</w:t>
      </w:r>
      <w:proofErr w:type="spellEnd"/>
      <w:r w:rsidR="006A6500" w:rsidRPr="00C33C2F">
        <w:rPr>
          <w:rFonts w:ascii="Book Antiqua" w:eastAsia="宋体" w:hAnsi="Book Antiqua" w:cs="宋体"/>
          <w:sz w:val="24"/>
          <w:szCs w:val="24"/>
          <w:lang w:val="en-US"/>
        </w:rPr>
        <w:t xml:space="preserve"> Launches World's First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of </w:t>
      </w:r>
      <w:proofErr w:type="spellStart"/>
      <w:r w:rsidR="006A6500" w:rsidRPr="00C33C2F">
        <w:rPr>
          <w:rFonts w:ascii="Book Antiqua" w:eastAsia="宋体" w:hAnsi="Book Antiqua" w:cs="宋体"/>
          <w:sz w:val="24"/>
          <w:szCs w:val="24"/>
          <w:lang w:val="en-US"/>
        </w:rPr>
        <w:t>Adalimumab</w:t>
      </w:r>
      <w:proofErr w:type="spellEnd"/>
      <w:r w:rsidR="006A6500" w:rsidRPr="00C33C2F">
        <w:rPr>
          <w:rFonts w:ascii="Book Antiqua" w:eastAsia="宋体" w:hAnsi="Book Antiqua" w:cs="宋体"/>
          <w:sz w:val="24"/>
          <w:szCs w:val="24"/>
          <w:lang w:val="en-US"/>
        </w:rPr>
        <w:t>.</w:t>
      </w:r>
      <w:proofErr w:type="gram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Zydus</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Cadila</w:t>
      </w:r>
      <w:proofErr w:type="spellEnd"/>
      <w:r w:rsidR="006A6500" w:rsidRPr="00C33C2F">
        <w:rPr>
          <w:rFonts w:ascii="Book Antiqua" w:eastAsia="宋体" w:hAnsi="Book Antiqua" w:cs="宋体"/>
          <w:sz w:val="24"/>
          <w:szCs w:val="24"/>
          <w:lang w:val="en-US"/>
        </w:rPr>
        <w:t>. Available from: URL: http: //exemptia.com/zydus-launches-worlds-first-biosimilar-of-adalimumab-2/ [Accessed April 04, 2016].</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37</w:t>
      </w:r>
      <w:r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b/>
          <w:sz w:val="24"/>
          <w:szCs w:val="24"/>
          <w:lang w:val="en-US"/>
        </w:rPr>
        <w:t>Bandyopadhyay</w:t>
      </w:r>
      <w:proofErr w:type="spellEnd"/>
      <w:r w:rsidR="006A6500" w:rsidRPr="00C33C2F">
        <w:rPr>
          <w:rFonts w:ascii="Book Antiqua" w:eastAsia="宋体" w:hAnsi="Book Antiqua" w:cs="宋体"/>
          <w:b/>
          <w:sz w:val="24"/>
          <w:szCs w:val="24"/>
          <w:lang w:val="en-US"/>
        </w:rPr>
        <w:t xml:space="preserve"> S,</w:t>
      </w:r>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Mahajan</w:t>
      </w:r>
      <w:proofErr w:type="spellEnd"/>
      <w:r w:rsidR="006A6500" w:rsidRPr="00C33C2F">
        <w:rPr>
          <w:rFonts w:ascii="Book Antiqua" w:eastAsia="宋体" w:hAnsi="Book Antiqua" w:cs="宋体"/>
          <w:sz w:val="24"/>
          <w:szCs w:val="24"/>
          <w:lang w:val="en-US"/>
        </w:rPr>
        <w:t xml:space="preserve"> M, Mehta T, Singh AK, Parikh A, Gupta AK, </w:t>
      </w:r>
      <w:proofErr w:type="spellStart"/>
      <w:r w:rsidR="006A6500" w:rsidRPr="00C33C2F">
        <w:rPr>
          <w:rFonts w:ascii="Book Antiqua" w:eastAsia="宋体" w:hAnsi="Book Antiqua" w:cs="宋体"/>
          <w:sz w:val="24"/>
          <w:szCs w:val="24"/>
          <w:lang w:val="en-US"/>
        </w:rPr>
        <w:t>Kalita</w:t>
      </w:r>
      <w:proofErr w:type="spellEnd"/>
      <w:r w:rsidR="006A6500" w:rsidRPr="00C33C2F">
        <w:rPr>
          <w:rFonts w:ascii="Book Antiqua" w:eastAsia="宋体" w:hAnsi="Book Antiqua" w:cs="宋体"/>
          <w:sz w:val="24"/>
          <w:szCs w:val="24"/>
          <w:lang w:val="en-US"/>
        </w:rPr>
        <w:t xml:space="preserve"> P, Patel M, </w:t>
      </w:r>
      <w:proofErr w:type="spellStart"/>
      <w:r w:rsidR="006A6500" w:rsidRPr="00C33C2F">
        <w:rPr>
          <w:rFonts w:ascii="Book Antiqua" w:eastAsia="宋体" w:hAnsi="Book Antiqua" w:cs="宋体"/>
          <w:sz w:val="24"/>
          <w:szCs w:val="24"/>
          <w:lang w:val="en-US"/>
        </w:rPr>
        <w:t>Mendiratta</w:t>
      </w:r>
      <w:proofErr w:type="spellEnd"/>
      <w:r w:rsidR="006A6500" w:rsidRPr="00C33C2F">
        <w:rPr>
          <w:rFonts w:ascii="Book Antiqua" w:eastAsia="宋体" w:hAnsi="Book Antiqua" w:cs="宋体"/>
          <w:sz w:val="24"/>
          <w:szCs w:val="24"/>
          <w:lang w:val="en-US"/>
        </w:rPr>
        <w:t xml:space="preserve"> SK. Physicochemical and functional characterization of a </w:t>
      </w:r>
      <w:proofErr w:type="spellStart"/>
      <w:r w:rsidR="006A6500" w:rsidRPr="00C33C2F">
        <w:rPr>
          <w:rFonts w:ascii="Book Antiqua" w:eastAsia="宋体" w:hAnsi="Book Antiqua" w:cs="宋体"/>
          <w:sz w:val="24"/>
          <w:szCs w:val="24"/>
          <w:lang w:val="en-US"/>
        </w:rPr>
        <w:t>biosimilar</w:t>
      </w:r>
      <w:proofErr w:type="spellEnd"/>
      <w:r w:rsidR="006A6500" w:rsidRPr="00C33C2F">
        <w:rPr>
          <w:rFonts w:ascii="Book Antiqua" w:eastAsia="宋体" w:hAnsi="Book Antiqua" w:cs="宋体"/>
          <w:sz w:val="24"/>
          <w:szCs w:val="24"/>
          <w:lang w:val="en-US"/>
        </w:rPr>
        <w:t xml:space="preserve"> </w:t>
      </w:r>
      <w:proofErr w:type="spellStart"/>
      <w:r w:rsidR="006A6500" w:rsidRPr="00C33C2F">
        <w:rPr>
          <w:rFonts w:ascii="Book Antiqua" w:eastAsia="宋体" w:hAnsi="Book Antiqua" w:cs="宋体"/>
          <w:sz w:val="24"/>
          <w:szCs w:val="24"/>
          <w:lang w:val="en-US"/>
        </w:rPr>
        <w:t>adalimumab</w:t>
      </w:r>
      <w:proofErr w:type="spellEnd"/>
      <w:r w:rsidR="006A6500" w:rsidRPr="00C33C2F">
        <w:rPr>
          <w:rFonts w:ascii="Book Antiqua" w:eastAsia="宋体" w:hAnsi="Book Antiqua" w:cs="宋体"/>
          <w:sz w:val="24"/>
          <w:szCs w:val="24"/>
          <w:lang w:val="en-US"/>
        </w:rPr>
        <w:t xml:space="preserve"> ZRC-3197. </w:t>
      </w:r>
      <w:proofErr w:type="spellStart"/>
      <w:r w:rsidR="006A6500" w:rsidRPr="00C33C2F">
        <w:rPr>
          <w:rFonts w:ascii="Book Antiqua" w:eastAsia="宋体" w:hAnsi="Book Antiqua" w:cs="宋体"/>
          <w:i/>
          <w:sz w:val="24"/>
          <w:szCs w:val="24"/>
          <w:lang w:val="en-US"/>
        </w:rPr>
        <w:t>Biosimilars</w:t>
      </w:r>
      <w:proofErr w:type="spellEnd"/>
      <w:r w:rsidR="006A6500" w:rsidRPr="00C33C2F">
        <w:rPr>
          <w:rFonts w:ascii="Book Antiqua" w:eastAsia="宋体" w:hAnsi="Book Antiqua" w:cs="宋体"/>
          <w:sz w:val="24"/>
          <w:szCs w:val="24"/>
          <w:lang w:val="en-US"/>
        </w:rPr>
        <w:t xml:space="preserve"> 2015:</w:t>
      </w:r>
      <w:r w:rsidR="006A6500" w:rsidRPr="00C33C2F">
        <w:rPr>
          <w:rFonts w:ascii="Book Antiqua" w:eastAsia="宋体" w:hAnsi="Book Antiqua" w:cs="宋体"/>
          <w:b/>
          <w:sz w:val="24"/>
          <w:szCs w:val="24"/>
          <w:lang w:val="en-US"/>
        </w:rPr>
        <w:t xml:space="preserve"> 5</w:t>
      </w:r>
      <w:r w:rsidR="006A6500" w:rsidRPr="00C33C2F">
        <w:rPr>
          <w:rFonts w:ascii="Book Antiqua" w:eastAsia="宋体" w:hAnsi="Book Antiqua" w:cs="宋体" w:hint="eastAsia"/>
          <w:sz w:val="24"/>
          <w:szCs w:val="24"/>
          <w:lang w:val="en-US"/>
        </w:rPr>
        <w:t>:</w:t>
      </w:r>
      <w:r w:rsidR="006A6500" w:rsidRPr="00C33C2F">
        <w:rPr>
          <w:rFonts w:ascii="Book Antiqua" w:eastAsia="宋体" w:hAnsi="Book Antiqua" w:cs="宋体"/>
          <w:sz w:val="24"/>
          <w:szCs w:val="24"/>
          <w:lang w:val="en-US"/>
        </w:rPr>
        <w:t xml:space="preserve"> 1–18 [DOI</w:t>
      </w:r>
      <w:r w:rsidR="006A6500" w:rsidRPr="00C33C2F">
        <w:rPr>
          <w:rFonts w:ascii="Book Antiqua" w:eastAsia="宋体" w:hAnsi="Book Antiqua" w:cs="宋体" w:hint="eastAsia"/>
          <w:sz w:val="24"/>
          <w:szCs w:val="24"/>
          <w:lang w:val="en-US"/>
        </w:rPr>
        <w:t xml:space="preserve">: </w:t>
      </w:r>
      <w:r w:rsidR="006A6500" w:rsidRPr="00C33C2F">
        <w:rPr>
          <w:rFonts w:ascii="Book Antiqua" w:eastAsia="宋体" w:hAnsi="Book Antiqua" w:cs="宋体"/>
          <w:sz w:val="24"/>
          <w:szCs w:val="24"/>
          <w:lang w:val="en-US"/>
        </w:rPr>
        <w:t>10.2147/BS.S75573]</w:t>
      </w:r>
    </w:p>
    <w:p w:rsidR="006A6500" w:rsidRPr="00C33C2F" w:rsidRDefault="00FD6DD3" w:rsidP="008B1267">
      <w:pPr>
        <w:spacing w:after="0" w:line="360" w:lineRule="auto"/>
        <w:jc w:val="both"/>
        <w:rPr>
          <w:rFonts w:ascii="Book Antiqua" w:eastAsia="宋体" w:hAnsi="Book Antiqua" w:cs="宋体"/>
          <w:sz w:val="24"/>
          <w:szCs w:val="24"/>
          <w:lang w:val="en-US"/>
        </w:rPr>
      </w:pPr>
      <w:r w:rsidRPr="00C33C2F">
        <w:rPr>
          <w:rFonts w:ascii="Book Antiqua" w:eastAsia="宋体" w:hAnsi="Book Antiqua" w:cs="宋体" w:hint="eastAsia"/>
          <w:sz w:val="24"/>
          <w:szCs w:val="24"/>
          <w:lang w:val="en-US" w:eastAsia="zh-CN"/>
        </w:rPr>
        <w:t>38</w:t>
      </w:r>
      <w:r w:rsidRPr="00C33C2F">
        <w:rPr>
          <w:rFonts w:ascii="Book Antiqua" w:eastAsia="宋体" w:hAnsi="Book Antiqua" w:cs="宋体"/>
          <w:sz w:val="24"/>
          <w:szCs w:val="24"/>
          <w:lang w:val="en-US"/>
        </w:rPr>
        <w:t xml:space="preserve"> </w:t>
      </w:r>
      <w:r w:rsidR="006A6500" w:rsidRPr="00C33C2F">
        <w:rPr>
          <w:rFonts w:ascii="Book Antiqua" w:eastAsia="宋体" w:hAnsi="Book Antiqua" w:cs="宋体"/>
          <w:sz w:val="24"/>
          <w:szCs w:val="24"/>
          <w:lang w:val="en-US"/>
        </w:rPr>
        <w:t>From Clinical trial registry India, a service of Indian National Institute of Medical Statistics (NIMS), Available from: URL: http: //ctri.nic.in/Clinicaltrials/showallp.php?mid1=7595&amp;EncHid=&amp;userName=adalimumab [Accessed April 04, 2016]</w:t>
      </w:r>
    </w:p>
    <w:p w:rsidR="006A6500" w:rsidRPr="00C33C2F" w:rsidRDefault="00FD6DD3" w:rsidP="008B1267">
      <w:pPr>
        <w:spacing w:after="0" w:line="360" w:lineRule="auto"/>
        <w:jc w:val="both"/>
        <w:rPr>
          <w:rFonts w:ascii="Book Antiqua" w:eastAsia="宋体" w:hAnsi="Book Antiqua" w:cs="宋体"/>
          <w:sz w:val="24"/>
          <w:szCs w:val="24"/>
          <w:lang w:val="en-US"/>
        </w:rPr>
      </w:pPr>
      <w:proofErr w:type="gramStart"/>
      <w:r w:rsidRPr="00C33C2F">
        <w:rPr>
          <w:rFonts w:ascii="Book Antiqua" w:eastAsia="宋体" w:hAnsi="Book Antiqua" w:cs="宋体" w:hint="eastAsia"/>
          <w:sz w:val="24"/>
          <w:szCs w:val="24"/>
          <w:lang w:val="en-US" w:eastAsia="zh-CN"/>
        </w:rPr>
        <w:t>39</w:t>
      </w:r>
      <w:r w:rsidRPr="00C33C2F">
        <w:rPr>
          <w:rFonts w:ascii="Book Antiqua" w:eastAsia="宋体" w:hAnsi="Book Antiqua" w:cs="宋体"/>
          <w:sz w:val="24"/>
          <w:szCs w:val="24"/>
          <w:lang w:val="en-US"/>
        </w:rPr>
        <w:t xml:space="preserve"> </w:t>
      </w:r>
      <w:r w:rsidR="006A6500" w:rsidRPr="00C33C2F">
        <w:rPr>
          <w:rFonts w:ascii="Book Antiqua" w:eastAsia="宋体" w:hAnsi="Book Antiqua" w:cs="宋体"/>
          <w:b/>
          <w:sz w:val="24"/>
          <w:szCs w:val="24"/>
          <w:lang w:val="en-US"/>
        </w:rPr>
        <w:t>CTRI/2013/10/004040.</w:t>
      </w:r>
      <w:proofErr w:type="gramEnd"/>
      <w:r w:rsidR="006A6500" w:rsidRPr="00C33C2F">
        <w:rPr>
          <w:rFonts w:ascii="Book Antiqua" w:eastAsia="宋体" w:hAnsi="Book Antiqua" w:cs="宋体"/>
          <w:b/>
          <w:sz w:val="24"/>
          <w:szCs w:val="24"/>
          <w:lang w:val="en-US"/>
        </w:rPr>
        <w:t xml:space="preserve"> </w:t>
      </w:r>
      <w:proofErr w:type="gramStart"/>
      <w:r w:rsidR="006A6500" w:rsidRPr="00C33C2F">
        <w:rPr>
          <w:rFonts w:ascii="Book Antiqua" w:eastAsia="宋体" w:hAnsi="Book Antiqua" w:cs="宋体"/>
          <w:sz w:val="24"/>
          <w:szCs w:val="24"/>
          <w:lang w:val="en-US"/>
        </w:rPr>
        <w:t>Medicines Agency [database on the Internet].</w:t>
      </w:r>
      <w:proofErr w:type="gramEnd"/>
      <w:r w:rsidR="006A6500" w:rsidRPr="00C33C2F">
        <w:rPr>
          <w:rFonts w:ascii="Book Antiqua" w:eastAsia="宋体" w:hAnsi="Book Antiqua" w:cs="宋体"/>
          <w:sz w:val="24"/>
          <w:szCs w:val="24"/>
          <w:lang w:val="en-US"/>
        </w:rPr>
        <w:t xml:space="preserve"> London: Medicines Agency. Available from: URL: http: //www.ema.europa.eu/ema/index.jsp?curl=pages/about_us/general/general_content_000109. </w:t>
      </w:r>
      <w:proofErr w:type="spellStart"/>
      <w:proofErr w:type="gramStart"/>
      <w:r w:rsidR="006A6500" w:rsidRPr="00C33C2F">
        <w:rPr>
          <w:rFonts w:ascii="Book Antiqua" w:eastAsia="宋体" w:hAnsi="Book Antiqua" w:cs="宋体"/>
          <w:sz w:val="24"/>
          <w:szCs w:val="24"/>
          <w:lang w:val="en-US"/>
        </w:rPr>
        <w:t>jsp</w:t>
      </w:r>
      <w:proofErr w:type="spellEnd"/>
      <w:proofErr w:type="gramEnd"/>
      <w:r w:rsidR="006A6500" w:rsidRPr="00C33C2F">
        <w:rPr>
          <w:rFonts w:ascii="Book Antiqua" w:eastAsia="宋体" w:hAnsi="Book Antiqua" w:cs="宋体"/>
          <w:sz w:val="24"/>
          <w:szCs w:val="24"/>
          <w:lang w:val="en-US"/>
        </w:rPr>
        <w:t xml:space="preserve">. </w:t>
      </w:r>
      <w:proofErr w:type="gramStart"/>
      <w:r w:rsidR="006A6500" w:rsidRPr="00C33C2F">
        <w:rPr>
          <w:rFonts w:ascii="Book Antiqua" w:eastAsia="宋体" w:hAnsi="Book Antiqua" w:cs="宋体"/>
          <w:sz w:val="24"/>
          <w:szCs w:val="24"/>
          <w:lang w:val="en-US"/>
        </w:rPr>
        <w:t>And Central Drugs Standard Control Organization.</w:t>
      </w:r>
      <w:proofErr w:type="gramEnd"/>
      <w:r w:rsidR="006A6500" w:rsidRPr="00C33C2F">
        <w:rPr>
          <w:rFonts w:ascii="Book Antiqua" w:eastAsia="宋体" w:hAnsi="Book Antiqua" w:cs="宋体"/>
          <w:sz w:val="24"/>
          <w:szCs w:val="24"/>
          <w:lang w:val="en-US"/>
        </w:rPr>
        <w:t xml:space="preserve"> Available from: http: //www.cdsco.nic.in/ [Accessed April 04, 2016].</w:t>
      </w:r>
    </w:p>
    <w:p w:rsidR="00DF0CA6" w:rsidRPr="00C33C2F" w:rsidRDefault="00FD6DD3" w:rsidP="0022713F">
      <w:pPr>
        <w:spacing w:after="0" w:line="360" w:lineRule="auto"/>
        <w:jc w:val="both"/>
        <w:rPr>
          <w:rFonts w:ascii="Book Antiqua" w:eastAsia="宋体" w:hAnsi="Book Antiqua" w:cs="宋体"/>
          <w:bCs/>
          <w:sz w:val="24"/>
          <w:szCs w:val="24"/>
          <w:lang w:val="en-US"/>
        </w:rPr>
      </w:pPr>
      <w:r w:rsidRPr="00C33C2F">
        <w:rPr>
          <w:rFonts w:ascii="Book Antiqua" w:eastAsia="宋体" w:hAnsi="Book Antiqua" w:cs="宋体" w:hint="eastAsia"/>
          <w:sz w:val="24"/>
          <w:szCs w:val="24"/>
          <w:lang w:val="en-US" w:eastAsia="zh-CN"/>
        </w:rPr>
        <w:t>40</w:t>
      </w:r>
      <w:r w:rsidRPr="00C33C2F">
        <w:rPr>
          <w:rFonts w:ascii="Book Antiqua" w:eastAsia="宋体" w:hAnsi="Book Antiqua" w:cs="宋体"/>
          <w:sz w:val="24"/>
          <w:szCs w:val="24"/>
          <w:lang w:val="en-US"/>
        </w:rPr>
        <w:t> </w:t>
      </w:r>
      <w:proofErr w:type="spellStart"/>
      <w:r w:rsidR="0022713F" w:rsidRPr="00C33C2F">
        <w:rPr>
          <w:rFonts w:ascii="Book Antiqua" w:eastAsia="宋体" w:hAnsi="Book Antiqua" w:cs="宋体"/>
          <w:b/>
          <w:bCs/>
          <w:sz w:val="24"/>
          <w:szCs w:val="24"/>
          <w:lang w:val="en-US"/>
        </w:rPr>
        <w:t>Gabbani</w:t>
      </w:r>
      <w:proofErr w:type="spellEnd"/>
      <w:r w:rsidR="0022713F" w:rsidRPr="00C33C2F">
        <w:rPr>
          <w:rFonts w:ascii="Book Antiqua" w:eastAsia="宋体" w:hAnsi="Book Antiqua" w:cs="宋体"/>
          <w:b/>
          <w:bCs/>
          <w:sz w:val="24"/>
          <w:szCs w:val="24"/>
          <w:lang w:val="en-US"/>
        </w:rPr>
        <w:t xml:space="preserve"> T, </w:t>
      </w:r>
      <w:proofErr w:type="spellStart"/>
      <w:r w:rsidR="0022713F" w:rsidRPr="00C33C2F">
        <w:rPr>
          <w:rFonts w:ascii="Book Antiqua" w:eastAsia="宋体" w:hAnsi="Book Antiqua" w:cs="宋体"/>
          <w:bCs/>
          <w:sz w:val="24"/>
          <w:szCs w:val="24"/>
          <w:lang w:val="en-US"/>
        </w:rPr>
        <w:t>Deiana</w:t>
      </w:r>
      <w:proofErr w:type="spellEnd"/>
      <w:r w:rsidR="0022713F" w:rsidRPr="00C33C2F">
        <w:rPr>
          <w:rFonts w:ascii="Book Antiqua" w:eastAsia="宋体" w:hAnsi="Book Antiqua" w:cs="宋体"/>
          <w:bCs/>
          <w:sz w:val="24"/>
          <w:szCs w:val="24"/>
          <w:lang w:val="en-US"/>
        </w:rPr>
        <w:t xml:space="preserve"> S, </w:t>
      </w:r>
      <w:proofErr w:type="spellStart"/>
      <w:r w:rsidR="0022713F" w:rsidRPr="00C33C2F">
        <w:rPr>
          <w:rFonts w:ascii="Book Antiqua" w:eastAsia="宋体" w:hAnsi="Book Antiqua" w:cs="宋体"/>
          <w:bCs/>
          <w:sz w:val="24"/>
          <w:szCs w:val="24"/>
          <w:lang w:val="en-US"/>
        </w:rPr>
        <w:t>Bagnoli</w:t>
      </w:r>
      <w:proofErr w:type="spellEnd"/>
      <w:r w:rsidR="0022713F" w:rsidRPr="00C33C2F">
        <w:rPr>
          <w:rFonts w:ascii="Book Antiqua" w:eastAsia="宋体" w:hAnsi="Book Antiqua" w:cs="宋体"/>
          <w:bCs/>
          <w:sz w:val="24"/>
          <w:szCs w:val="24"/>
          <w:lang w:val="en-US"/>
        </w:rPr>
        <w:t xml:space="preserve"> S, </w:t>
      </w:r>
      <w:proofErr w:type="spellStart"/>
      <w:r w:rsidR="0022713F" w:rsidRPr="00C33C2F">
        <w:rPr>
          <w:rFonts w:ascii="Book Antiqua" w:eastAsia="宋体" w:hAnsi="Book Antiqua" w:cs="宋体"/>
          <w:bCs/>
          <w:sz w:val="24"/>
          <w:szCs w:val="24"/>
          <w:lang w:val="en-US"/>
        </w:rPr>
        <w:t>Annese</w:t>
      </w:r>
      <w:proofErr w:type="spellEnd"/>
      <w:r w:rsidR="0022713F" w:rsidRPr="00C33C2F">
        <w:rPr>
          <w:rFonts w:ascii="Book Antiqua" w:eastAsia="宋体" w:hAnsi="Book Antiqua" w:cs="宋体"/>
          <w:bCs/>
          <w:sz w:val="24"/>
          <w:szCs w:val="24"/>
          <w:lang w:val="en-US"/>
        </w:rPr>
        <w:t xml:space="preserve"> V. Development, safety and efficacy of </w:t>
      </w:r>
      <w:proofErr w:type="spellStart"/>
      <w:r w:rsidR="0022713F" w:rsidRPr="00C33C2F">
        <w:rPr>
          <w:rFonts w:ascii="Book Antiqua" w:eastAsia="宋体" w:hAnsi="Book Antiqua" w:cs="宋体"/>
          <w:bCs/>
          <w:sz w:val="24"/>
          <w:szCs w:val="24"/>
          <w:lang w:val="en-US"/>
        </w:rPr>
        <w:t>biosimilar</w:t>
      </w:r>
      <w:proofErr w:type="spellEnd"/>
      <w:r w:rsidR="0022713F" w:rsidRPr="00C33C2F">
        <w:rPr>
          <w:rFonts w:ascii="Book Antiqua" w:eastAsia="宋体" w:hAnsi="Book Antiqua" w:cs="宋体"/>
          <w:bCs/>
          <w:sz w:val="24"/>
          <w:szCs w:val="24"/>
          <w:lang w:val="en-US"/>
        </w:rPr>
        <w:t xml:space="preserve"> </w:t>
      </w:r>
      <w:proofErr w:type="spellStart"/>
      <w:r w:rsidR="0022713F" w:rsidRPr="00C33C2F">
        <w:rPr>
          <w:rFonts w:ascii="Book Antiqua" w:eastAsia="宋体" w:hAnsi="Book Antiqua" w:cs="宋体"/>
          <w:bCs/>
          <w:sz w:val="24"/>
          <w:szCs w:val="24"/>
          <w:lang w:val="en-US"/>
        </w:rPr>
        <w:t>adalimumab</w:t>
      </w:r>
      <w:proofErr w:type="spellEnd"/>
      <w:r w:rsidR="0022713F" w:rsidRPr="00C33C2F">
        <w:rPr>
          <w:rFonts w:ascii="Book Antiqua" w:eastAsia="宋体" w:hAnsi="Book Antiqua" w:cs="宋体"/>
          <w:bCs/>
          <w:sz w:val="24"/>
          <w:szCs w:val="24"/>
          <w:lang w:val="en-US"/>
        </w:rPr>
        <w:t xml:space="preserve">: the data so far. </w:t>
      </w:r>
      <w:proofErr w:type="spellStart"/>
      <w:r w:rsidR="0022713F" w:rsidRPr="00C33C2F">
        <w:rPr>
          <w:rFonts w:ascii="Book Antiqua" w:eastAsia="宋体" w:hAnsi="Book Antiqua" w:cs="宋体"/>
          <w:bCs/>
          <w:i/>
          <w:sz w:val="24"/>
          <w:szCs w:val="24"/>
          <w:lang w:val="en-US"/>
        </w:rPr>
        <w:t>Biosimilars</w:t>
      </w:r>
      <w:proofErr w:type="spellEnd"/>
      <w:r w:rsidR="0022713F" w:rsidRPr="00C33C2F">
        <w:rPr>
          <w:rFonts w:ascii="Book Antiqua" w:eastAsia="宋体" w:hAnsi="Book Antiqua" w:cs="宋体"/>
          <w:bCs/>
          <w:i/>
          <w:sz w:val="24"/>
          <w:szCs w:val="24"/>
          <w:lang w:val="en-US"/>
        </w:rPr>
        <w:t xml:space="preserve"> </w:t>
      </w:r>
      <w:r w:rsidR="0022713F" w:rsidRPr="00C33C2F">
        <w:rPr>
          <w:rFonts w:ascii="Book Antiqua" w:eastAsia="宋体" w:hAnsi="Book Antiqua" w:cs="宋体"/>
          <w:bCs/>
          <w:sz w:val="24"/>
          <w:szCs w:val="24"/>
          <w:lang w:val="en-US"/>
        </w:rPr>
        <w:t>2016;</w:t>
      </w:r>
      <w:r w:rsidR="00DD20EF" w:rsidRPr="00C33C2F">
        <w:rPr>
          <w:rFonts w:ascii="Book Antiqua" w:eastAsia="宋体" w:hAnsi="Book Antiqua" w:cs="宋体" w:hint="eastAsia"/>
          <w:bCs/>
          <w:sz w:val="24"/>
          <w:szCs w:val="24"/>
          <w:lang w:val="en-US" w:eastAsia="zh-CN"/>
        </w:rPr>
        <w:t xml:space="preserve"> </w:t>
      </w:r>
      <w:r w:rsidR="0022713F" w:rsidRPr="00C33C2F">
        <w:rPr>
          <w:rFonts w:ascii="Book Antiqua" w:eastAsia="宋体" w:hAnsi="Book Antiqua" w:cs="宋体"/>
          <w:b/>
          <w:bCs/>
          <w:sz w:val="24"/>
          <w:szCs w:val="24"/>
          <w:lang w:val="en-US"/>
        </w:rPr>
        <w:t>6:</w:t>
      </w:r>
      <w:r w:rsidR="00DD20EF" w:rsidRPr="00C33C2F">
        <w:rPr>
          <w:rFonts w:ascii="Book Antiqua" w:eastAsia="宋体" w:hAnsi="Book Antiqua" w:cs="宋体" w:hint="eastAsia"/>
          <w:b/>
          <w:bCs/>
          <w:sz w:val="24"/>
          <w:szCs w:val="24"/>
          <w:lang w:val="en-US" w:eastAsia="zh-CN"/>
        </w:rPr>
        <w:t xml:space="preserve"> </w:t>
      </w:r>
      <w:r w:rsidR="0022713F" w:rsidRPr="00C33C2F">
        <w:rPr>
          <w:rFonts w:ascii="Book Antiqua" w:eastAsia="宋体" w:hAnsi="Book Antiqua" w:cs="宋体"/>
          <w:bCs/>
          <w:sz w:val="24"/>
          <w:szCs w:val="24"/>
          <w:lang w:val="en-US"/>
        </w:rPr>
        <w:t>1-7</w:t>
      </w:r>
    </w:p>
    <w:p w:rsidR="00D97EAC" w:rsidRPr="00C33C2F" w:rsidRDefault="00D97EAC" w:rsidP="0022713F">
      <w:pPr>
        <w:spacing w:after="0" w:line="360" w:lineRule="auto"/>
        <w:jc w:val="both"/>
        <w:rPr>
          <w:rFonts w:ascii="Book Antiqua" w:eastAsia="宋体" w:hAnsi="Book Antiqua" w:cs="宋体"/>
          <w:b/>
          <w:bCs/>
          <w:sz w:val="24"/>
          <w:szCs w:val="24"/>
          <w:lang w:val="en-US"/>
        </w:rPr>
      </w:pPr>
      <w:proofErr w:type="gramStart"/>
      <w:r w:rsidRPr="00C33C2F">
        <w:rPr>
          <w:rFonts w:ascii="Book Antiqua" w:eastAsia="宋体" w:hAnsi="Book Antiqua" w:cs="宋体"/>
          <w:bCs/>
          <w:sz w:val="24"/>
          <w:szCs w:val="24"/>
          <w:lang w:val="en-US"/>
        </w:rPr>
        <w:t>41</w:t>
      </w:r>
      <w:r w:rsidRPr="00C33C2F">
        <w:rPr>
          <w:rFonts w:ascii="Book Antiqua" w:eastAsia="宋体" w:hAnsi="Book Antiqua" w:cs="宋体"/>
          <w:b/>
          <w:bCs/>
          <w:sz w:val="24"/>
          <w:szCs w:val="24"/>
          <w:lang w:val="en-US"/>
        </w:rPr>
        <w:t xml:space="preserve"> Murphy</w:t>
      </w:r>
      <w:r w:rsidR="00DD20EF" w:rsidRPr="00C33C2F">
        <w:rPr>
          <w:rFonts w:ascii="Book Antiqua" w:eastAsia="宋体" w:hAnsi="Book Antiqua" w:cs="宋体" w:hint="eastAsia"/>
          <w:b/>
          <w:bCs/>
          <w:sz w:val="24"/>
          <w:szCs w:val="24"/>
          <w:lang w:val="en-US" w:eastAsia="zh-CN"/>
        </w:rPr>
        <w:t xml:space="preserve"> C</w:t>
      </w:r>
      <w:r w:rsidRPr="00C33C2F">
        <w:rPr>
          <w:rFonts w:ascii="Book Antiqua" w:eastAsia="宋体" w:hAnsi="Book Antiqua" w:cs="宋体"/>
          <w:b/>
          <w:bCs/>
          <w:sz w:val="24"/>
          <w:szCs w:val="24"/>
          <w:lang w:val="en-US"/>
        </w:rPr>
        <w:t xml:space="preserve">, </w:t>
      </w:r>
      <w:proofErr w:type="spellStart"/>
      <w:r w:rsidRPr="00C33C2F">
        <w:rPr>
          <w:rFonts w:ascii="Book Antiqua" w:eastAsia="宋体" w:hAnsi="Book Antiqua" w:cs="宋体"/>
          <w:bCs/>
          <w:sz w:val="24"/>
          <w:szCs w:val="24"/>
          <w:lang w:val="en-US"/>
        </w:rPr>
        <w:t>Sugrue</w:t>
      </w:r>
      <w:proofErr w:type="spellEnd"/>
      <w:r w:rsidR="00DD20EF" w:rsidRPr="00C33C2F">
        <w:rPr>
          <w:rFonts w:ascii="Book Antiqua" w:eastAsia="宋体" w:hAnsi="Book Antiqua" w:cs="宋体" w:hint="eastAsia"/>
          <w:bCs/>
          <w:sz w:val="24"/>
          <w:szCs w:val="24"/>
          <w:lang w:val="en-US" w:eastAsia="zh-CN"/>
        </w:rPr>
        <w:t xml:space="preserve"> K</w:t>
      </w:r>
      <w:r w:rsidRPr="00C33C2F">
        <w:rPr>
          <w:rFonts w:ascii="Book Antiqua" w:eastAsia="宋体" w:hAnsi="Book Antiqua" w:cs="宋体"/>
          <w:bCs/>
          <w:sz w:val="24"/>
          <w:szCs w:val="24"/>
          <w:lang w:val="en-US"/>
        </w:rPr>
        <w:t xml:space="preserve">, </w:t>
      </w:r>
      <w:proofErr w:type="spellStart"/>
      <w:r w:rsidRPr="00C33C2F">
        <w:rPr>
          <w:rFonts w:ascii="Book Antiqua" w:eastAsia="宋体" w:hAnsi="Book Antiqua" w:cs="宋体"/>
          <w:bCs/>
          <w:sz w:val="24"/>
          <w:szCs w:val="24"/>
          <w:lang w:val="en-US"/>
        </w:rPr>
        <w:t>Mohamad</w:t>
      </w:r>
      <w:r w:rsidR="00DD20EF" w:rsidRPr="00C33C2F">
        <w:rPr>
          <w:rFonts w:ascii="Book Antiqua" w:eastAsia="宋体" w:hAnsi="Book Antiqua" w:cs="宋体" w:hint="eastAsia"/>
          <w:bCs/>
          <w:sz w:val="24"/>
          <w:szCs w:val="24"/>
          <w:lang w:val="en-US" w:eastAsia="zh-CN"/>
        </w:rPr>
        <w:t>G</w:t>
      </w:r>
      <w:proofErr w:type="spellEnd"/>
      <w:r w:rsidR="00DD20EF" w:rsidRPr="00C33C2F">
        <w:rPr>
          <w:rFonts w:ascii="Book Antiqua" w:eastAsia="宋体" w:hAnsi="Book Antiqua" w:cs="宋体" w:hint="eastAsia"/>
          <w:bCs/>
          <w:sz w:val="24"/>
          <w:szCs w:val="24"/>
          <w:lang w:val="en-US" w:eastAsia="zh-CN"/>
        </w:rPr>
        <w:t xml:space="preserve">, </w:t>
      </w:r>
      <w:r w:rsidR="00DD20EF" w:rsidRPr="00C33C2F">
        <w:rPr>
          <w:rFonts w:ascii="Book Antiqua" w:eastAsia="宋体" w:hAnsi="Book Antiqua" w:cs="宋体"/>
          <w:bCs/>
          <w:sz w:val="24"/>
          <w:szCs w:val="24"/>
          <w:lang w:val="en-US" w:eastAsia="zh-CN"/>
        </w:rPr>
        <w:t>McCarthy</w:t>
      </w:r>
      <w:r w:rsidR="00DD20EF" w:rsidRPr="00C33C2F">
        <w:rPr>
          <w:rFonts w:ascii="Book Antiqua" w:eastAsia="宋体" w:hAnsi="Book Antiqua" w:cs="宋体" w:hint="eastAsia"/>
          <w:bCs/>
          <w:sz w:val="24"/>
          <w:szCs w:val="24"/>
          <w:lang w:val="en-US" w:eastAsia="zh-CN"/>
        </w:rPr>
        <w:t xml:space="preserve"> J</w:t>
      </w:r>
      <w:r w:rsidR="00DD20EF" w:rsidRPr="00C33C2F">
        <w:rPr>
          <w:rFonts w:ascii="Book Antiqua" w:eastAsia="宋体" w:hAnsi="Book Antiqua" w:cs="宋体"/>
          <w:bCs/>
          <w:sz w:val="24"/>
          <w:szCs w:val="24"/>
          <w:lang w:val="en-US" w:eastAsia="zh-CN"/>
        </w:rPr>
        <w:t>, Buckley</w:t>
      </w:r>
      <w:r w:rsidR="00DD20EF" w:rsidRPr="00C33C2F">
        <w:rPr>
          <w:rFonts w:ascii="Book Antiqua" w:eastAsia="宋体" w:hAnsi="Book Antiqua" w:cs="宋体" w:hint="eastAsia"/>
          <w:bCs/>
          <w:sz w:val="24"/>
          <w:szCs w:val="24"/>
          <w:lang w:val="en-US" w:eastAsia="zh-CN"/>
        </w:rPr>
        <w:t xml:space="preserve"> M</w:t>
      </w:r>
      <w:r w:rsidRPr="00C33C2F">
        <w:rPr>
          <w:rFonts w:ascii="Book Antiqua" w:eastAsia="宋体" w:hAnsi="Book Antiqua" w:cs="宋体"/>
          <w:bCs/>
          <w:sz w:val="24"/>
          <w:szCs w:val="24"/>
          <w:lang w:val="en-US"/>
        </w:rPr>
        <w:t xml:space="preserve">. </w:t>
      </w:r>
      <w:proofErr w:type="spellStart"/>
      <w:r w:rsidRPr="00C33C2F">
        <w:rPr>
          <w:rFonts w:ascii="Book Antiqua" w:eastAsia="宋体" w:hAnsi="Book Antiqua" w:cs="宋体"/>
          <w:bCs/>
          <w:sz w:val="24"/>
          <w:szCs w:val="24"/>
          <w:lang w:val="en-US"/>
        </w:rPr>
        <w:t>Biosimilar</w:t>
      </w:r>
      <w:proofErr w:type="spellEnd"/>
      <w:r w:rsidRPr="00C33C2F">
        <w:rPr>
          <w:rFonts w:ascii="Book Antiqua" w:eastAsia="宋体" w:hAnsi="Book Antiqua" w:cs="宋体"/>
          <w:bCs/>
          <w:sz w:val="24"/>
          <w:szCs w:val="24"/>
          <w:lang w:val="en-US"/>
        </w:rPr>
        <w:t xml:space="preserve"> but not the same.</w:t>
      </w:r>
      <w:proofErr w:type="gramEnd"/>
      <w:r w:rsidRPr="00C33C2F">
        <w:rPr>
          <w:rFonts w:ascii="Book Antiqua" w:eastAsia="宋体" w:hAnsi="Book Antiqua" w:cs="宋体"/>
          <w:bCs/>
          <w:sz w:val="24"/>
          <w:szCs w:val="24"/>
          <w:lang w:val="en-US"/>
        </w:rPr>
        <w:t xml:space="preserve"> </w:t>
      </w:r>
      <w:r w:rsidRPr="00C33C2F">
        <w:rPr>
          <w:rFonts w:ascii="Book Antiqua" w:eastAsia="宋体" w:hAnsi="Book Antiqua" w:cs="宋体"/>
          <w:bCs/>
          <w:i/>
          <w:sz w:val="24"/>
          <w:szCs w:val="24"/>
          <w:lang w:val="en-US"/>
        </w:rPr>
        <w:t xml:space="preserve">J </w:t>
      </w:r>
      <w:proofErr w:type="spellStart"/>
      <w:r w:rsidRPr="00C33C2F">
        <w:rPr>
          <w:rFonts w:ascii="Book Antiqua" w:eastAsia="宋体" w:hAnsi="Book Antiqua" w:cs="宋体"/>
          <w:bCs/>
          <w:i/>
          <w:sz w:val="24"/>
          <w:szCs w:val="24"/>
          <w:lang w:val="en-US"/>
        </w:rPr>
        <w:t>Crohns</w:t>
      </w:r>
      <w:proofErr w:type="spellEnd"/>
      <w:r w:rsidRPr="00C33C2F">
        <w:rPr>
          <w:rFonts w:ascii="Book Antiqua" w:eastAsia="宋体" w:hAnsi="Book Antiqua" w:cs="宋体"/>
          <w:bCs/>
          <w:i/>
          <w:sz w:val="24"/>
          <w:szCs w:val="24"/>
          <w:lang w:val="en-US"/>
        </w:rPr>
        <w:t xml:space="preserve"> Colitis </w:t>
      </w:r>
      <w:r w:rsidRPr="00C33C2F">
        <w:rPr>
          <w:rFonts w:ascii="Book Antiqua" w:eastAsia="宋体" w:hAnsi="Book Antiqua" w:cs="宋体"/>
          <w:bCs/>
          <w:sz w:val="24"/>
          <w:szCs w:val="24"/>
          <w:lang w:val="en-US"/>
        </w:rPr>
        <w:t>2014</w:t>
      </w:r>
      <w:r w:rsidR="00DD20EF" w:rsidRPr="00C33C2F">
        <w:rPr>
          <w:rFonts w:ascii="Book Antiqua" w:eastAsia="宋体" w:hAnsi="Book Antiqua" w:cs="宋体" w:hint="eastAsia"/>
          <w:bCs/>
          <w:sz w:val="24"/>
          <w:szCs w:val="24"/>
          <w:lang w:val="en-US" w:eastAsia="zh-CN"/>
        </w:rPr>
        <w:t>;</w:t>
      </w:r>
      <w:r w:rsidR="00DD20EF" w:rsidRPr="00C33C2F">
        <w:rPr>
          <w:rFonts w:ascii="Book Antiqua" w:eastAsia="宋体" w:hAnsi="Book Antiqua" w:cs="宋体" w:hint="eastAsia"/>
          <w:b/>
          <w:bCs/>
          <w:sz w:val="24"/>
          <w:szCs w:val="24"/>
          <w:lang w:val="en-US" w:eastAsia="zh-CN"/>
        </w:rPr>
        <w:t xml:space="preserve"> </w:t>
      </w:r>
      <w:r w:rsidRPr="00C33C2F">
        <w:rPr>
          <w:rFonts w:ascii="Book Antiqua" w:eastAsia="宋体" w:hAnsi="Book Antiqua" w:cs="宋体"/>
          <w:b/>
          <w:bCs/>
          <w:sz w:val="24"/>
          <w:szCs w:val="24"/>
          <w:lang w:val="en-US"/>
        </w:rPr>
        <w:t>8</w:t>
      </w:r>
      <w:r w:rsidR="00DD20EF" w:rsidRPr="00C33C2F">
        <w:rPr>
          <w:rFonts w:ascii="Book Antiqua" w:eastAsia="宋体" w:hAnsi="Book Antiqua" w:cs="宋体" w:hint="eastAsia"/>
          <w:bCs/>
          <w:sz w:val="24"/>
          <w:szCs w:val="24"/>
          <w:lang w:val="en-US" w:eastAsia="zh-CN"/>
        </w:rPr>
        <w:t xml:space="preserve"> </w:t>
      </w:r>
      <w:r w:rsidRPr="00C33C2F">
        <w:rPr>
          <w:rFonts w:ascii="Book Antiqua" w:eastAsia="宋体" w:hAnsi="Book Antiqua" w:cs="宋体"/>
          <w:bCs/>
          <w:sz w:val="24"/>
          <w:szCs w:val="24"/>
          <w:lang w:val="en-US"/>
        </w:rPr>
        <w:t>(</w:t>
      </w:r>
      <w:proofErr w:type="spellStart"/>
      <w:r w:rsidRPr="00C33C2F">
        <w:rPr>
          <w:rFonts w:ascii="Book Antiqua" w:eastAsia="宋体" w:hAnsi="Book Antiqua" w:cs="宋体"/>
          <w:bCs/>
          <w:sz w:val="24"/>
          <w:szCs w:val="24"/>
          <w:lang w:val="en-US"/>
        </w:rPr>
        <w:t>suppl</w:t>
      </w:r>
      <w:proofErr w:type="spellEnd"/>
      <w:r w:rsidRPr="00C33C2F">
        <w:rPr>
          <w:rFonts w:ascii="Book Antiqua" w:eastAsia="宋体" w:hAnsi="Book Antiqua" w:cs="宋体"/>
          <w:bCs/>
          <w:sz w:val="24"/>
          <w:szCs w:val="24"/>
          <w:lang w:val="en-US"/>
        </w:rPr>
        <w:t xml:space="preserve"> 1)</w:t>
      </w:r>
      <w:r w:rsidR="00DD20EF" w:rsidRPr="00C33C2F">
        <w:rPr>
          <w:rFonts w:ascii="Book Antiqua" w:eastAsia="宋体" w:hAnsi="Book Antiqua" w:cs="宋体" w:hint="eastAsia"/>
          <w:bCs/>
          <w:sz w:val="24"/>
          <w:szCs w:val="24"/>
          <w:lang w:val="en-US" w:eastAsia="zh-CN"/>
        </w:rPr>
        <w:t xml:space="preserve">: </w:t>
      </w:r>
      <w:r w:rsidRPr="00C33C2F">
        <w:rPr>
          <w:rFonts w:ascii="Book Antiqua" w:eastAsia="宋体" w:hAnsi="Book Antiqua" w:cs="宋体"/>
          <w:bCs/>
          <w:sz w:val="24"/>
          <w:szCs w:val="24"/>
          <w:lang w:val="en-US"/>
        </w:rPr>
        <w:t>P505</w:t>
      </w:r>
    </w:p>
    <w:p w:rsidR="00DF0CA6" w:rsidRPr="00C33C2F" w:rsidRDefault="00DF0CA6" w:rsidP="008B1267">
      <w:pPr>
        <w:spacing w:after="0" w:line="360" w:lineRule="auto"/>
        <w:jc w:val="both"/>
        <w:rPr>
          <w:rFonts w:ascii="Book Antiqua" w:hAnsi="Book Antiqua"/>
          <w:b/>
          <w:sz w:val="24"/>
          <w:szCs w:val="24"/>
          <w:lang w:val="en-US" w:eastAsia="zh-CN"/>
        </w:rPr>
      </w:pPr>
    </w:p>
    <w:p w:rsidR="00DF0CA6" w:rsidRPr="00C33C2F" w:rsidRDefault="00DF0CA6" w:rsidP="008B1267">
      <w:pPr>
        <w:pStyle w:val="af0"/>
        <w:spacing w:line="360" w:lineRule="auto"/>
        <w:ind w:right="120" w:firstLineChars="0" w:firstLine="0"/>
        <w:rPr>
          <w:rFonts w:ascii="Book Antiqua" w:eastAsia="宋体" w:hAnsi="Book Antiqua"/>
          <w:b/>
          <w:bCs/>
          <w:color w:val="000000"/>
          <w:lang w:val="en-US" w:eastAsia="zh-CN"/>
        </w:rPr>
      </w:pPr>
      <w:r w:rsidRPr="00C33C2F">
        <w:rPr>
          <w:rStyle w:val="a6"/>
          <w:rFonts w:ascii="Book Antiqua" w:hAnsi="Book Antiqua" w:cs="Arial"/>
          <w:bCs w:val="0"/>
          <w:noProof/>
          <w:color w:val="000000"/>
          <w:lang w:val="en-US"/>
        </w:rPr>
        <w:t>P-Reviewer</w:t>
      </w:r>
      <w:r w:rsidRPr="00C33C2F">
        <w:rPr>
          <w:rStyle w:val="a6"/>
          <w:rFonts w:ascii="Book Antiqua" w:eastAsia="宋体" w:hAnsi="Book Antiqua" w:cs="Arial"/>
          <w:bCs w:val="0"/>
          <w:noProof/>
          <w:color w:val="000000"/>
          <w:lang w:val="en-US" w:eastAsia="zh-CN"/>
        </w:rPr>
        <w:t>:</w:t>
      </w:r>
      <w:r w:rsidRPr="00C33C2F">
        <w:rPr>
          <w:rFonts w:ascii="Book Antiqua" w:hAnsi="Book Antiqua"/>
          <w:bCs/>
          <w:color w:val="000000"/>
          <w:lang w:val="en-US"/>
        </w:rPr>
        <w:t xml:space="preserve">  Feldman SR</w:t>
      </w:r>
      <w:r w:rsidRPr="00C33C2F">
        <w:rPr>
          <w:rFonts w:ascii="Book Antiqua" w:eastAsiaTheme="minorEastAsia" w:hAnsi="Book Antiqua" w:hint="eastAsia"/>
          <w:bCs/>
          <w:color w:val="000000"/>
          <w:lang w:val="en-US" w:eastAsia="zh-CN"/>
        </w:rPr>
        <w:t>,</w:t>
      </w:r>
      <w:r w:rsidRPr="00C33C2F">
        <w:rPr>
          <w:rFonts w:ascii="Book Antiqua" w:hAnsi="Book Antiqua"/>
          <w:bCs/>
          <w:color w:val="000000"/>
          <w:lang w:val="en-US"/>
        </w:rPr>
        <w:t xml:space="preserve"> </w:t>
      </w:r>
      <w:proofErr w:type="spellStart"/>
      <w:r w:rsidRPr="00C33C2F">
        <w:rPr>
          <w:rFonts w:ascii="Book Antiqua" w:hAnsi="Book Antiqua"/>
          <w:bCs/>
          <w:color w:val="000000"/>
          <w:lang w:val="en-US"/>
        </w:rPr>
        <w:t>Gomollon</w:t>
      </w:r>
      <w:proofErr w:type="spellEnd"/>
      <w:r w:rsidRPr="00C33C2F">
        <w:rPr>
          <w:rFonts w:ascii="Book Antiqua" w:eastAsiaTheme="minorEastAsia" w:hAnsi="Book Antiqua" w:hint="eastAsia"/>
          <w:bCs/>
          <w:color w:val="000000"/>
          <w:lang w:val="en-US" w:eastAsia="zh-CN"/>
        </w:rPr>
        <w:t xml:space="preserve"> </w:t>
      </w:r>
      <w:r w:rsidRPr="00C33C2F">
        <w:rPr>
          <w:rFonts w:ascii="Book Antiqua" w:hAnsi="Book Antiqua"/>
          <w:bCs/>
          <w:color w:val="000000"/>
          <w:lang w:val="en-US"/>
        </w:rPr>
        <w:t>F</w:t>
      </w:r>
      <w:r w:rsidRPr="00C33C2F">
        <w:rPr>
          <w:rFonts w:ascii="Book Antiqua" w:eastAsiaTheme="minorEastAsia" w:hAnsi="Book Antiqua" w:hint="eastAsia"/>
          <w:bCs/>
          <w:color w:val="000000"/>
          <w:lang w:val="en-US" w:eastAsia="zh-CN"/>
        </w:rPr>
        <w:t>,</w:t>
      </w:r>
      <w:r w:rsidRPr="00C33C2F">
        <w:rPr>
          <w:rFonts w:ascii="Book Antiqua" w:hAnsi="Book Antiqua"/>
          <w:bCs/>
          <w:color w:val="000000"/>
          <w:lang w:val="en-US"/>
        </w:rPr>
        <w:t xml:space="preserve"> </w:t>
      </w:r>
      <w:proofErr w:type="spellStart"/>
      <w:r w:rsidRPr="00C33C2F">
        <w:rPr>
          <w:rFonts w:ascii="Book Antiqua" w:hAnsi="Book Antiqua"/>
          <w:bCs/>
          <w:color w:val="000000"/>
          <w:lang w:val="en-US"/>
        </w:rPr>
        <w:t>Thelwell</w:t>
      </w:r>
      <w:proofErr w:type="spellEnd"/>
      <w:r w:rsidRPr="00C33C2F">
        <w:rPr>
          <w:rFonts w:ascii="Book Antiqua" w:hAnsi="Book Antiqua"/>
          <w:bCs/>
          <w:color w:val="000000"/>
          <w:lang w:val="en-US"/>
        </w:rPr>
        <w:t xml:space="preserve"> C</w:t>
      </w:r>
      <w:r w:rsidR="00D31B34">
        <w:rPr>
          <w:rFonts w:ascii="Book Antiqua" w:eastAsiaTheme="minorEastAsia" w:hAnsi="Book Antiqua" w:hint="eastAsia"/>
          <w:bCs/>
          <w:color w:val="000000"/>
          <w:lang w:val="en-US" w:eastAsia="zh-CN"/>
        </w:rPr>
        <w:t xml:space="preserve">, </w:t>
      </w:r>
      <w:proofErr w:type="spellStart"/>
      <w:proofErr w:type="gramStart"/>
      <w:r w:rsidR="00D31B34" w:rsidRPr="00D31B34">
        <w:rPr>
          <w:rFonts w:ascii="Book Antiqua" w:eastAsiaTheme="minorEastAsia" w:hAnsi="Book Antiqua"/>
          <w:bCs/>
          <w:color w:val="000000"/>
          <w:lang w:val="en-US" w:eastAsia="zh-CN"/>
        </w:rPr>
        <w:t>Lakatos</w:t>
      </w:r>
      <w:proofErr w:type="spellEnd"/>
      <w:proofErr w:type="gramEnd"/>
      <w:r w:rsidR="00D31B34">
        <w:rPr>
          <w:rFonts w:ascii="Book Antiqua" w:eastAsiaTheme="minorEastAsia" w:hAnsi="Book Antiqua" w:hint="eastAsia"/>
          <w:bCs/>
          <w:color w:val="000000"/>
          <w:lang w:val="en-US" w:eastAsia="zh-CN"/>
        </w:rPr>
        <w:t xml:space="preserve"> PL</w:t>
      </w:r>
      <w:r w:rsidRPr="00C33C2F">
        <w:rPr>
          <w:rFonts w:ascii="Book Antiqua" w:eastAsiaTheme="minorEastAsia" w:hAnsi="Book Antiqua" w:hint="eastAsia"/>
          <w:bCs/>
          <w:color w:val="000000"/>
          <w:lang w:val="en-US" w:eastAsia="zh-CN"/>
        </w:rPr>
        <w:t xml:space="preserve"> </w:t>
      </w:r>
      <w:r w:rsidRPr="00C33C2F">
        <w:rPr>
          <w:rFonts w:ascii="Book Antiqua" w:hAnsi="Book Antiqua"/>
          <w:b/>
          <w:bCs/>
          <w:color w:val="000000"/>
          <w:lang w:val="en-US"/>
        </w:rPr>
        <w:t>S-Editor</w:t>
      </w:r>
      <w:r w:rsidRPr="00C33C2F">
        <w:rPr>
          <w:rFonts w:ascii="Book Antiqua" w:eastAsia="宋体" w:hAnsi="Book Antiqua"/>
          <w:b/>
          <w:bCs/>
          <w:color w:val="000000"/>
          <w:lang w:val="en-US" w:eastAsia="zh-CN"/>
        </w:rPr>
        <w:t>:</w:t>
      </w:r>
      <w:r w:rsidRPr="00C33C2F">
        <w:rPr>
          <w:rFonts w:ascii="Book Antiqua" w:hAnsi="Book Antiqua"/>
          <w:bCs/>
          <w:color w:val="000000"/>
          <w:lang w:val="en-US"/>
        </w:rPr>
        <w:t xml:space="preserve"> </w:t>
      </w:r>
      <w:r w:rsidRPr="00C33C2F">
        <w:rPr>
          <w:rFonts w:ascii="Book Antiqua" w:eastAsia="宋体" w:hAnsi="Book Antiqua"/>
          <w:bCs/>
          <w:color w:val="000000"/>
          <w:lang w:val="en-US" w:eastAsia="zh-CN"/>
        </w:rPr>
        <w:t>Qi Y</w:t>
      </w:r>
      <w:r w:rsidRPr="00C33C2F">
        <w:rPr>
          <w:rFonts w:ascii="Book Antiqua" w:hAnsi="Book Antiqua"/>
          <w:b/>
          <w:bCs/>
          <w:color w:val="000000"/>
          <w:lang w:val="en-US"/>
        </w:rPr>
        <w:t xml:space="preserve">   L-Editor</w:t>
      </w:r>
      <w:r w:rsidRPr="00C33C2F">
        <w:rPr>
          <w:rFonts w:ascii="Book Antiqua" w:eastAsia="宋体" w:hAnsi="Book Antiqua"/>
          <w:b/>
          <w:bCs/>
          <w:color w:val="000000"/>
          <w:lang w:val="en-US" w:eastAsia="zh-CN"/>
        </w:rPr>
        <w:t>:</w:t>
      </w:r>
      <w:r w:rsidRPr="00C33C2F">
        <w:rPr>
          <w:rFonts w:ascii="Book Antiqua" w:hAnsi="Book Antiqua"/>
          <w:b/>
          <w:bCs/>
          <w:color w:val="000000"/>
          <w:lang w:val="en-US"/>
        </w:rPr>
        <w:t xml:space="preserve">   E-Editor</w:t>
      </w:r>
      <w:r w:rsidRPr="00C33C2F">
        <w:rPr>
          <w:rFonts w:ascii="Book Antiqua" w:eastAsia="宋体" w:hAnsi="Book Antiqua"/>
          <w:b/>
          <w:bCs/>
          <w:color w:val="000000"/>
          <w:lang w:val="en-US" w:eastAsia="zh-CN"/>
        </w:rPr>
        <w:t>:</w:t>
      </w:r>
    </w:p>
    <w:p w:rsidR="00307B02" w:rsidRDefault="00307B02" w:rsidP="008B1267">
      <w:pPr>
        <w:shd w:val="clear" w:color="auto" w:fill="FFFFFF"/>
        <w:snapToGrid w:val="0"/>
        <w:spacing w:after="0" w:line="360" w:lineRule="auto"/>
        <w:rPr>
          <w:rFonts w:ascii="Book Antiqua" w:hAnsi="Book Antiqua" w:cs="Helvetica"/>
          <w:b/>
          <w:sz w:val="24"/>
          <w:lang w:val="en-US" w:eastAsia="zh-CN"/>
        </w:rPr>
      </w:pPr>
    </w:p>
    <w:p w:rsidR="00DF0CA6" w:rsidRPr="00C33C2F" w:rsidRDefault="00DF0CA6" w:rsidP="008B1267">
      <w:pPr>
        <w:shd w:val="clear" w:color="auto" w:fill="FFFFFF"/>
        <w:snapToGrid w:val="0"/>
        <w:spacing w:after="0" w:line="360" w:lineRule="auto"/>
        <w:rPr>
          <w:rFonts w:ascii="Book Antiqua" w:hAnsi="Book Antiqua" w:cs="Helvetica"/>
          <w:b/>
          <w:sz w:val="24"/>
          <w:lang w:val="en-US"/>
        </w:rPr>
      </w:pPr>
      <w:r w:rsidRPr="00C33C2F">
        <w:rPr>
          <w:rFonts w:ascii="Book Antiqua" w:hAnsi="Book Antiqua" w:cs="Helvetica"/>
          <w:b/>
          <w:sz w:val="24"/>
          <w:lang w:val="en-US"/>
        </w:rPr>
        <w:t xml:space="preserve">Specialty type: </w:t>
      </w:r>
      <w:r w:rsidRPr="00C33C2F">
        <w:rPr>
          <w:rFonts w:ascii="Book Antiqua" w:hAnsi="Book Antiqua" w:cs="Helvetica"/>
          <w:sz w:val="24"/>
          <w:lang w:val="en-US"/>
        </w:rPr>
        <w:t>Gastroenterology and</w:t>
      </w:r>
      <w:r w:rsidRPr="00C33C2F">
        <w:rPr>
          <w:rFonts w:ascii="Book Antiqua" w:hAnsi="Book Antiqua" w:cs="Helvetica" w:hint="eastAsia"/>
          <w:sz w:val="24"/>
          <w:lang w:val="en-US"/>
        </w:rPr>
        <w:t xml:space="preserve"> </w:t>
      </w:r>
      <w:proofErr w:type="spellStart"/>
      <w:r w:rsidRPr="00C33C2F">
        <w:rPr>
          <w:rFonts w:ascii="Book Antiqua" w:hAnsi="Book Antiqua" w:cs="Helvetica"/>
          <w:sz w:val="24"/>
          <w:lang w:val="en-US"/>
        </w:rPr>
        <w:t>hepatology</w:t>
      </w:r>
      <w:proofErr w:type="spellEnd"/>
    </w:p>
    <w:p w:rsidR="00DF0CA6" w:rsidRPr="00C33C2F" w:rsidRDefault="00DF0CA6" w:rsidP="008B1267">
      <w:pPr>
        <w:shd w:val="clear" w:color="auto" w:fill="FFFFFF"/>
        <w:snapToGrid w:val="0"/>
        <w:spacing w:after="0" w:line="360" w:lineRule="auto"/>
        <w:rPr>
          <w:rFonts w:ascii="Book Antiqua" w:hAnsi="Book Antiqua" w:cs="Helvetica"/>
          <w:b/>
          <w:sz w:val="24"/>
          <w:lang w:val="en-US"/>
        </w:rPr>
      </w:pPr>
      <w:r w:rsidRPr="00C33C2F">
        <w:rPr>
          <w:rFonts w:ascii="Book Antiqua" w:hAnsi="Book Antiqua" w:cs="Helvetica"/>
          <w:b/>
          <w:sz w:val="24"/>
          <w:lang w:val="en-US"/>
        </w:rPr>
        <w:t xml:space="preserve">Country of origin: </w:t>
      </w:r>
      <w:r w:rsidRPr="00C33C2F">
        <w:rPr>
          <w:rFonts w:ascii="Book Antiqua" w:hAnsi="Book Antiqua" w:cs="Helvetica"/>
          <w:sz w:val="24"/>
          <w:lang w:val="en-US"/>
        </w:rPr>
        <w:t>Italy</w:t>
      </w:r>
    </w:p>
    <w:p w:rsidR="00DF0CA6" w:rsidRPr="00C33C2F" w:rsidRDefault="00DF0CA6" w:rsidP="008B1267">
      <w:pPr>
        <w:shd w:val="clear" w:color="auto" w:fill="FFFFFF"/>
        <w:snapToGrid w:val="0"/>
        <w:spacing w:after="0" w:line="360" w:lineRule="auto"/>
        <w:rPr>
          <w:rFonts w:ascii="Book Antiqua" w:hAnsi="Book Antiqua" w:cs="Helvetica"/>
          <w:b/>
          <w:sz w:val="24"/>
          <w:lang w:val="en-US"/>
        </w:rPr>
      </w:pPr>
      <w:r w:rsidRPr="00C33C2F">
        <w:rPr>
          <w:rFonts w:ascii="Book Antiqua" w:hAnsi="Book Antiqua" w:cs="Helvetica"/>
          <w:b/>
          <w:sz w:val="24"/>
          <w:lang w:val="en-US"/>
        </w:rPr>
        <w:t>Peer-review report classification</w:t>
      </w:r>
    </w:p>
    <w:p w:rsidR="00DF0CA6" w:rsidRPr="00C33C2F" w:rsidRDefault="00DF0CA6" w:rsidP="008B1267">
      <w:pPr>
        <w:shd w:val="clear" w:color="auto" w:fill="FFFFFF"/>
        <w:snapToGrid w:val="0"/>
        <w:spacing w:after="0" w:line="360" w:lineRule="auto"/>
        <w:rPr>
          <w:rFonts w:ascii="Book Antiqua" w:hAnsi="Book Antiqua" w:cs="Helvetica"/>
          <w:sz w:val="24"/>
          <w:lang w:val="en-US" w:eastAsia="zh-CN"/>
        </w:rPr>
      </w:pPr>
      <w:r w:rsidRPr="00C33C2F">
        <w:rPr>
          <w:rFonts w:ascii="Book Antiqua" w:hAnsi="Book Antiqua" w:cs="Helvetica"/>
          <w:sz w:val="24"/>
          <w:lang w:val="en-US"/>
        </w:rPr>
        <w:t xml:space="preserve">Grade </w:t>
      </w:r>
      <w:proofErr w:type="gramStart"/>
      <w:r w:rsidRPr="00C33C2F">
        <w:rPr>
          <w:rFonts w:ascii="Book Antiqua" w:hAnsi="Book Antiqua" w:cs="Helvetica"/>
          <w:sz w:val="24"/>
          <w:lang w:val="en-US"/>
        </w:rPr>
        <w:t>A</w:t>
      </w:r>
      <w:proofErr w:type="gramEnd"/>
      <w:r w:rsidRPr="00C33C2F">
        <w:rPr>
          <w:rFonts w:ascii="Book Antiqua" w:hAnsi="Book Antiqua" w:cs="Helvetica"/>
          <w:sz w:val="24"/>
          <w:lang w:val="en-US"/>
        </w:rPr>
        <w:t xml:space="preserve"> (Excellent): </w:t>
      </w:r>
      <w:r w:rsidRPr="00C33C2F">
        <w:rPr>
          <w:rFonts w:ascii="Book Antiqua" w:hAnsi="Book Antiqua" w:cs="Helvetica" w:hint="eastAsia"/>
          <w:sz w:val="24"/>
          <w:lang w:val="en-US" w:eastAsia="zh-CN"/>
        </w:rPr>
        <w:t>A</w:t>
      </w:r>
    </w:p>
    <w:p w:rsidR="00DF0CA6" w:rsidRPr="00C33C2F" w:rsidRDefault="00DF0CA6" w:rsidP="008B1267">
      <w:pPr>
        <w:shd w:val="clear" w:color="auto" w:fill="FFFFFF"/>
        <w:snapToGrid w:val="0"/>
        <w:spacing w:after="0" w:line="360" w:lineRule="auto"/>
        <w:rPr>
          <w:rFonts w:ascii="Book Antiqua" w:hAnsi="Book Antiqua" w:cs="Helvetica"/>
          <w:sz w:val="24"/>
          <w:lang w:val="en-US" w:eastAsia="zh-CN"/>
        </w:rPr>
      </w:pPr>
      <w:r w:rsidRPr="00C33C2F">
        <w:rPr>
          <w:rFonts w:ascii="Book Antiqua" w:hAnsi="Book Antiqua" w:cs="Helvetica"/>
          <w:sz w:val="24"/>
          <w:lang w:val="en-US"/>
        </w:rPr>
        <w:t xml:space="preserve">Grade B (Very good): </w:t>
      </w:r>
      <w:r w:rsidRPr="00C33C2F">
        <w:rPr>
          <w:rFonts w:ascii="Book Antiqua" w:hAnsi="Book Antiqua" w:cs="Helvetica" w:hint="eastAsia"/>
          <w:sz w:val="24"/>
          <w:lang w:val="en-US" w:eastAsia="zh-CN"/>
        </w:rPr>
        <w:t>B, B</w:t>
      </w:r>
    </w:p>
    <w:p w:rsidR="00DF0CA6" w:rsidRPr="00C33C2F" w:rsidRDefault="00DF0CA6" w:rsidP="008B1267">
      <w:pPr>
        <w:shd w:val="clear" w:color="auto" w:fill="FFFFFF"/>
        <w:snapToGrid w:val="0"/>
        <w:spacing w:after="0" w:line="360" w:lineRule="auto"/>
        <w:rPr>
          <w:rFonts w:ascii="Book Antiqua" w:hAnsi="Book Antiqua" w:cs="Helvetica"/>
          <w:sz w:val="24"/>
          <w:lang w:val="en-US" w:eastAsia="zh-CN"/>
        </w:rPr>
      </w:pPr>
      <w:r w:rsidRPr="00C33C2F">
        <w:rPr>
          <w:rFonts w:ascii="Book Antiqua" w:hAnsi="Book Antiqua" w:cs="Helvetica"/>
          <w:sz w:val="24"/>
          <w:lang w:val="en-US"/>
        </w:rPr>
        <w:t xml:space="preserve">Grade C (Good): </w:t>
      </w:r>
      <w:r w:rsidR="00D31B34">
        <w:rPr>
          <w:rFonts w:ascii="Book Antiqua" w:hAnsi="Book Antiqua" w:cs="Helvetica"/>
          <w:sz w:val="24"/>
          <w:lang w:val="en-US" w:eastAsia="zh-CN"/>
        </w:rPr>
        <w:t>C</w:t>
      </w:r>
    </w:p>
    <w:p w:rsidR="00DF0CA6" w:rsidRPr="00C33C2F" w:rsidRDefault="00DF0CA6" w:rsidP="008B1267">
      <w:pPr>
        <w:shd w:val="clear" w:color="auto" w:fill="FFFFFF"/>
        <w:snapToGrid w:val="0"/>
        <w:spacing w:after="0" w:line="360" w:lineRule="auto"/>
        <w:rPr>
          <w:rFonts w:ascii="Book Antiqua" w:hAnsi="Book Antiqua" w:cs="Helvetica"/>
          <w:sz w:val="24"/>
          <w:lang w:val="en-US"/>
        </w:rPr>
      </w:pPr>
      <w:r w:rsidRPr="00C33C2F">
        <w:rPr>
          <w:rFonts w:ascii="Book Antiqua" w:hAnsi="Book Antiqua" w:cs="Helvetica"/>
          <w:sz w:val="24"/>
          <w:lang w:val="en-US"/>
        </w:rPr>
        <w:t xml:space="preserve">Grade D (Fair): </w:t>
      </w:r>
      <w:r w:rsidRPr="00C33C2F">
        <w:rPr>
          <w:rFonts w:ascii="Book Antiqua" w:hAnsi="Book Antiqua" w:cs="Helvetica" w:hint="eastAsia"/>
          <w:sz w:val="24"/>
          <w:lang w:val="en-US"/>
        </w:rPr>
        <w:t>0</w:t>
      </w:r>
    </w:p>
    <w:p w:rsidR="00DF0CA6" w:rsidRPr="00C33C2F" w:rsidRDefault="00DF0CA6" w:rsidP="008B1267">
      <w:pPr>
        <w:shd w:val="clear" w:color="auto" w:fill="FFFFFF"/>
        <w:snapToGrid w:val="0"/>
        <w:spacing w:after="0" w:line="360" w:lineRule="auto"/>
        <w:rPr>
          <w:rFonts w:ascii="Book Antiqua" w:hAnsi="Book Antiqua" w:cs="Helvetica"/>
          <w:sz w:val="24"/>
          <w:lang w:val="en-US"/>
        </w:rPr>
      </w:pPr>
      <w:r w:rsidRPr="00C33C2F">
        <w:rPr>
          <w:rFonts w:ascii="Book Antiqua" w:hAnsi="Book Antiqua" w:cs="Helvetica"/>
          <w:sz w:val="24"/>
          <w:lang w:val="en-US"/>
        </w:rPr>
        <w:t xml:space="preserve">Grade E (Poor): </w:t>
      </w:r>
      <w:r w:rsidRPr="00C33C2F">
        <w:rPr>
          <w:rFonts w:ascii="Book Antiqua" w:hAnsi="Book Antiqua" w:cs="Helvetica" w:hint="eastAsia"/>
          <w:sz w:val="24"/>
          <w:lang w:val="en-US"/>
        </w:rPr>
        <w:t>0</w:t>
      </w:r>
    </w:p>
    <w:p w:rsidR="00523610" w:rsidRPr="00C33C2F" w:rsidRDefault="00523610" w:rsidP="008B1267">
      <w:pPr>
        <w:spacing w:after="0"/>
        <w:rPr>
          <w:rFonts w:ascii="Book Antiqua" w:hAnsi="Book Antiqua"/>
          <w:lang w:val="en-US"/>
        </w:rPr>
      </w:pPr>
      <w:r w:rsidRPr="00C33C2F">
        <w:rPr>
          <w:rFonts w:ascii="Book Antiqua" w:hAnsi="Book Antiqua"/>
          <w:lang w:val="en-US"/>
        </w:rPr>
        <w:br w:type="page"/>
      </w:r>
    </w:p>
    <w:p w:rsidR="00523610" w:rsidRPr="00C33C2F" w:rsidRDefault="00523610" w:rsidP="008B1267">
      <w:pPr>
        <w:autoSpaceDE w:val="0"/>
        <w:autoSpaceDN w:val="0"/>
        <w:adjustRightInd w:val="0"/>
        <w:spacing w:after="0" w:line="360" w:lineRule="auto"/>
        <w:jc w:val="both"/>
        <w:rPr>
          <w:rFonts w:ascii="Book Antiqua" w:hAnsi="Book Antiqua" w:cs="AdvOT863180fb"/>
          <w:color w:val="000000"/>
          <w:sz w:val="24"/>
          <w:szCs w:val="24"/>
          <w:lang w:val="en-US" w:eastAsia="zh-CN"/>
        </w:rPr>
      </w:pPr>
      <w:r w:rsidRPr="00C33C2F">
        <w:rPr>
          <w:rFonts w:ascii="Book Antiqua" w:hAnsi="Book Antiqua" w:cs="AdvOT863180fb"/>
          <w:b/>
          <w:color w:val="000000"/>
          <w:sz w:val="24"/>
          <w:szCs w:val="24"/>
          <w:lang w:val="en-US"/>
        </w:rPr>
        <w:lastRenderedPageBreak/>
        <w:t>Table 1</w:t>
      </w:r>
      <w:r w:rsidRPr="00C33C2F">
        <w:rPr>
          <w:rFonts w:ascii="Book Antiqua" w:hAnsi="Book Antiqua" w:cs="AdvOT863180fb"/>
          <w:b/>
          <w:color w:val="000000"/>
          <w:sz w:val="24"/>
          <w:szCs w:val="24"/>
          <w:lang w:val="en-US" w:eastAsia="zh-CN"/>
        </w:rPr>
        <w:t xml:space="preserve"> </w:t>
      </w:r>
      <w:r w:rsidRPr="00C33C2F">
        <w:rPr>
          <w:rFonts w:ascii="Book Antiqua" w:hAnsi="Book Antiqua" w:cs="AdvOT863180fb"/>
          <w:b/>
          <w:color w:val="000000"/>
          <w:sz w:val="24"/>
          <w:szCs w:val="24"/>
          <w:lang w:val="en-US"/>
        </w:rPr>
        <w:t xml:space="preserve">Major real-world studies of CT-P13 in </w:t>
      </w:r>
      <w:r w:rsidR="00B36D1C" w:rsidRPr="00C33C2F">
        <w:rPr>
          <w:rFonts w:ascii="Book Antiqua" w:hAnsi="Book Antiqua" w:cs="AdvOT863180fb"/>
          <w:b/>
          <w:color w:val="000000"/>
          <w:sz w:val="24"/>
          <w:szCs w:val="24"/>
          <w:lang w:val="en-US"/>
        </w:rPr>
        <w:t xml:space="preserve">inflammatory bowel </w:t>
      </w:r>
      <w:proofErr w:type="gramStart"/>
      <w:r w:rsidR="00B36D1C" w:rsidRPr="00C33C2F">
        <w:rPr>
          <w:rFonts w:ascii="Book Antiqua" w:hAnsi="Book Antiqua" w:cs="AdvOT863180fb"/>
          <w:b/>
          <w:color w:val="000000"/>
          <w:sz w:val="24"/>
          <w:szCs w:val="24"/>
          <w:lang w:val="en-US"/>
        </w:rPr>
        <w:t>disease</w:t>
      </w:r>
      <w:r w:rsidRPr="00C33C2F">
        <w:rPr>
          <w:rFonts w:ascii="Book Antiqua" w:hAnsi="Book Antiqua" w:cs="AdvOT863180fb"/>
          <w:b/>
          <w:color w:val="000000"/>
          <w:sz w:val="24"/>
          <w:szCs w:val="24"/>
          <w:vertAlign w:val="superscript"/>
          <w:lang w:val="en-US"/>
        </w:rPr>
        <w:t>[</w:t>
      </w:r>
      <w:proofErr w:type="gramEnd"/>
      <w:r w:rsidR="00FD6DD3" w:rsidRPr="00C33C2F">
        <w:rPr>
          <w:rFonts w:ascii="Book Antiqua" w:hAnsi="Book Antiqua" w:cs="AdvOT863180fb" w:hint="eastAsia"/>
          <w:b/>
          <w:color w:val="000000"/>
          <w:sz w:val="24"/>
          <w:szCs w:val="24"/>
          <w:vertAlign w:val="superscript"/>
          <w:lang w:val="en-US" w:eastAsia="zh-CN"/>
        </w:rPr>
        <w:t>40</w:t>
      </w:r>
      <w:r w:rsidRPr="00C33C2F">
        <w:rPr>
          <w:rFonts w:ascii="Book Antiqua" w:hAnsi="Book Antiqua" w:cs="AdvOT863180fb" w:hint="eastAsia"/>
          <w:b/>
          <w:color w:val="000000"/>
          <w:sz w:val="24"/>
          <w:szCs w:val="24"/>
          <w:vertAlign w:val="superscript"/>
          <w:lang w:val="en-US" w:eastAsia="zh-CN"/>
        </w:rPr>
        <w:t>,</w:t>
      </w:r>
      <w:r w:rsidR="00FD6DD3" w:rsidRPr="00C33C2F">
        <w:rPr>
          <w:rFonts w:ascii="Book Antiqua" w:hAnsi="Book Antiqua" w:cs="AdvOT863180fb" w:hint="eastAsia"/>
          <w:b/>
          <w:color w:val="000000"/>
          <w:sz w:val="24"/>
          <w:szCs w:val="24"/>
          <w:vertAlign w:val="superscript"/>
          <w:lang w:val="en-US" w:eastAsia="zh-CN"/>
        </w:rPr>
        <w:t>41</w:t>
      </w:r>
      <w:r w:rsidRPr="00C33C2F">
        <w:rPr>
          <w:rFonts w:ascii="Book Antiqua" w:hAnsi="Book Antiqua" w:cs="AdvOT863180fb"/>
          <w:b/>
          <w:color w:val="000000"/>
          <w:sz w:val="24"/>
          <w:szCs w:val="24"/>
          <w:vertAlign w:val="superscript"/>
          <w:lang w:val="en-US"/>
        </w:rPr>
        <w:t>]</w:t>
      </w:r>
    </w:p>
    <w:tbl>
      <w:tblPr>
        <w:tblStyle w:val="-20"/>
        <w:tblW w:w="10490" w:type="dxa"/>
        <w:tblInd w:w="-176" w:type="dxa"/>
        <w:tblBorders>
          <w:top w:val="sing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879"/>
        <w:gridCol w:w="822"/>
        <w:gridCol w:w="709"/>
        <w:gridCol w:w="567"/>
        <w:gridCol w:w="709"/>
        <w:gridCol w:w="1057"/>
        <w:gridCol w:w="955"/>
        <w:gridCol w:w="1106"/>
        <w:gridCol w:w="1134"/>
      </w:tblGrid>
      <w:tr w:rsidR="00523610" w:rsidRPr="00C33C2F" w:rsidTr="0052361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sz w:val="21"/>
                <w:szCs w:val="21"/>
                <w:lang w:val="en-US"/>
              </w:rPr>
            </w:pPr>
            <w:r w:rsidRPr="00C33C2F">
              <w:rPr>
                <w:rFonts w:ascii="Book Antiqua" w:hAnsi="Book Antiqua" w:cs="Calibri"/>
                <w:sz w:val="21"/>
                <w:szCs w:val="21"/>
                <w:lang w:val="en-US"/>
              </w:rPr>
              <w:t>Study</w:t>
            </w:r>
          </w:p>
        </w:tc>
        <w:tc>
          <w:tcPr>
            <w:tcW w:w="1134"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Design</w:t>
            </w:r>
          </w:p>
        </w:tc>
        <w:tc>
          <w:tcPr>
            <w:tcW w:w="879"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Follow-up</w:t>
            </w:r>
          </w:p>
        </w:tc>
        <w:tc>
          <w:tcPr>
            <w:tcW w:w="822"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Effect parameters</w:t>
            </w:r>
          </w:p>
        </w:tc>
        <w:tc>
          <w:tcPr>
            <w:tcW w:w="709"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IBD</w:t>
            </w:r>
          </w:p>
        </w:tc>
        <w:tc>
          <w:tcPr>
            <w:tcW w:w="567"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709" w:type="dxa"/>
            <w:vMerge w:val="restart"/>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TNF-naive</w:t>
            </w:r>
          </w:p>
        </w:tc>
        <w:tc>
          <w:tcPr>
            <w:tcW w:w="2012" w:type="dxa"/>
            <w:gridSpan w:val="2"/>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Efficacy</w:t>
            </w:r>
          </w:p>
        </w:tc>
        <w:tc>
          <w:tcPr>
            <w:tcW w:w="2240" w:type="dxa"/>
            <w:gridSpan w:val="2"/>
            <w:tcBorders>
              <w:top w:val="single" w:sz="4" w:space="0" w:color="auto"/>
              <w:left w:val="none" w:sz="0" w:space="0" w:color="auto"/>
              <w:bottom w:val="nil"/>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Safety</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sz w:val="21"/>
                <w:szCs w:val="21"/>
                <w:lang w:val="en-US"/>
              </w:rPr>
            </w:pPr>
          </w:p>
        </w:tc>
        <w:tc>
          <w:tcPr>
            <w:tcW w:w="1134"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p>
        </w:tc>
        <w:tc>
          <w:tcPr>
            <w:tcW w:w="879"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p>
        </w:tc>
        <w:tc>
          <w:tcPr>
            <w:tcW w:w="822"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p>
        </w:tc>
        <w:tc>
          <w:tcPr>
            <w:tcW w:w="709"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p>
        </w:tc>
        <w:tc>
          <w:tcPr>
            <w:tcW w:w="567"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p>
        </w:tc>
        <w:tc>
          <w:tcPr>
            <w:tcW w:w="709" w:type="dxa"/>
            <w:vMerge/>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p>
        </w:tc>
        <w:tc>
          <w:tcPr>
            <w:tcW w:w="1057" w:type="dxa"/>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r w:rsidRPr="00C33C2F">
              <w:rPr>
                <w:rFonts w:ascii="Book Antiqua" w:hAnsi="Book Antiqua" w:cs="Calibri"/>
                <w:b/>
                <w:sz w:val="21"/>
                <w:szCs w:val="21"/>
                <w:lang w:val="en-US"/>
              </w:rPr>
              <w:t>Clinical response (%,</w:t>
            </w:r>
            <w:r w:rsidRPr="00C33C2F">
              <w:rPr>
                <w:rFonts w:ascii="Book Antiqua" w:hAnsi="Book Antiqua" w:cs="Calibri" w:hint="eastAsia"/>
                <w:b/>
                <w:sz w:val="21"/>
                <w:szCs w:val="21"/>
                <w:lang w:val="en-US" w:eastAsia="zh-CN"/>
              </w:rPr>
              <w:t xml:space="preserve"> </w:t>
            </w:r>
            <w:r w:rsidRPr="00C33C2F">
              <w:rPr>
                <w:rFonts w:ascii="Book Antiqua" w:hAnsi="Book Antiqua" w:cs="Calibri"/>
                <w:b/>
                <w:sz w:val="21"/>
                <w:szCs w:val="21"/>
                <w:lang w:val="en-US"/>
              </w:rPr>
              <w:t>n/N)</w:t>
            </w:r>
          </w:p>
        </w:tc>
        <w:tc>
          <w:tcPr>
            <w:tcW w:w="955" w:type="dxa"/>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r w:rsidRPr="00C33C2F">
              <w:rPr>
                <w:rFonts w:ascii="Book Antiqua" w:hAnsi="Book Antiqua" w:cs="Calibri"/>
                <w:b/>
                <w:sz w:val="21"/>
                <w:szCs w:val="21"/>
                <w:lang w:val="en-US"/>
              </w:rPr>
              <w:t>Remission rate (%,</w:t>
            </w:r>
            <w:r w:rsidRPr="00C33C2F">
              <w:rPr>
                <w:rFonts w:ascii="Book Antiqua" w:hAnsi="Book Antiqua" w:cs="Calibri" w:hint="eastAsia"/>
                <w:b/>
                <w:sz w:val="21"/>
                <w:szCs w:val="21"/>
                <w:lang w:val="en-US" w:eastAsia="zh-CN"/>
              </w:rPr>
              <w:t xml:space="preserve"> </w:t>
            </w:r>
            <w:r w:rsidRPr="00C33C2F">
              <w:rPr>
                <w:rFonts w:ascii="Book Antiqua" w:hAnsi="Book Antiqua" w:cs="Calibri"/>
                <w:b/>
                <w:sz w:val="21"/>
                <w:szCs w:val="21"/>
                <w:lang w:val="en-US"/>
              </w:rPr>
              <w:t>n/N)</w:t>
            </w:r>
          </w:p>
        </w:tc>
        <w:tc>
          <w:tcPr>
            <w:tcW w:w="1106" w:type="dxa"/>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r w:rsidRPr="00C33C2F">
              <w:rPr>
                <w:rFonts w:ascii="Book Antiqua" w:hAnsi="Book Antiqua" w:cs="Calibri"/>
                <w:b/>
                <w:sz w:val="21"/>
                <w:szCs w:val="21"/>
                <w:lang w:val="en-US"/>
              </w:rPr>
              <w:t>Adverse event (%,</w:t>
            </w:r>
            <w:r w:rsidRPr="00C33C2F">
              <w:rPr>
                <w:rFonts w:ascii="Book Antiqua" w:hAnsi="Book Antiqua" w:cs="Calibri" w:hint="eastAsia"/>
                <w:b/>
                <w:sz w:val="21"/>
                <w:szCs w:val="21"/>
                <w:lang w:val="en-US" w:eastAsia="zh-CN"/>
              </w:rPr>
              <w:t xml:space="preserve"> </w:t>
            </w:r>
            <w:r w:rsidRPr="00C33C2F">
              <w:rPr>
                <w:rFonts w:ascii="Book Antiqua" w:hAnsi="Book Antiqua" w:cs="Calibri"/>
                <w:b/>
                <w:sz w:val="21"/>
                <w:szCs w:val="21"/>
                <w:lang w:val="en-US"/>
              </w:rPr>
              <w:t>n/N)</w:t>
            </w:r>
          </w:p>
        </w:tc>
        <w:tc>
          <w:tcPr>
            <w:tcW w:w="1134" w:type="dxa"/>
            <w:tcBorders>
              <w:top w:val="nil"/>
              <w:left w:val="none" w:sz="0" w:space="0" w:color="auto"/>
              <w:bottom w:val="single" w:sz="4"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sz w:val="21"/>
                <w:szCs w:val="21"/>
                <w:lang w:val="en-US"/>
              </w:rPr>
            </w:pPr>
            <w:r w:rsidRPr="00C33C2F">
              <w:rPr>
                <w:rFonts w:ascii="Book Antiqua" w:hAnsi="Book Antiqua" w:cs="Calibri"/>
                <w:b/>
                <w:sz w:val="21"/>
                <w:szCs w:val="21"/>
                <w:lang w:val="en-US"/>
              </w:rPr>
              <w:t>IRR (%;</w:t>
            </w:r>
            <w:r w:rsidRPr="00C33C2F">
              <w:rPr>
                <w:rFonts w:ascii="Book Antiqua" w:hAnsi="Book Antiqua" w:cs="Calibri" w:hint="eastAsia"/>
                <w:b/>
                <w:sz w:val="21"/>
                <w:szCs w:val="21"/>
                <w:lang w:val="en-US" w:eastAsia="zh-CN"/>
              </w:rPr>
              <w:t xml:space="preserve"> </w:t>
            </w:r>
            <w:r w:rsidRPr="00C33C2F">
              <w:rPr>
                <w:rFonts w:ascii="Book Antiqua" w:hAnsi="Book Antiqua" w:cs="Calibri"/>
                <w:b/>
                <w:sz w:val="21"/>
                <w:szCs w:val="21"/>
                <w:lang w:val="en-US"/>
              </w:rPr>
              <w:t>n/N)</w:t>
            </w: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 xml:space="preserve">Park </w:t>
            </w:r>
            <w:r w:rsidRPr="00C33C2F">
              <w:rPr>
                <w:rFonts w:ascii="Book Antiqua" w:hAnsi="Book Antiqua" w:cs="Calibri"/>
                <w:b w:val="0"/>
                <w:i/>
                <w:sz w:val="21"/>
                <w:szCs w:val="21"/>
                <w:lang w:val="en-US"/>
              </w:rPr>
              <w:t>et al</w:t>
            </w:r>
            <w:r w:rsidR="00B36D1C" w:rsidRPr="00C33C2F">
              <w:rPr>
                <w:rFonts w:ascii="Book Antiqua" w:hAnsi="Book Antiqua" w:cs="Calibri" w:hint="eastAsia"/>
                <w:b w:val="0"/>
                <w:sz w:val="21"/>
                <w:szCs w:val="21"/>
                <w:vertAlign w:val="superscript"/>
                <w:lang w:val="en-US" w:eastAsia="zh-CN"/>
              </w:rPr>
              <w:t>[27]</w:t>
            </w:r>
            <w:r w:rsidRPr="00C33C2F">
              <w:rPr>
                <w:rFonts w:ascii="Book Antiqua" w:hAnsi="Book Antiqua" w:cs="Calibri"/>
                <w:b w:val="0"/>
                <w:i/>
                <w:sz w:val="21"/>
                <w:szCs w:val="21"/>
                <w:lang w:val="en-US"/>
              </w:rPr>
              <w:t>,</w:t>
            </w:r>
            <w:r w:rsidRPr="00C33C2F">
              <w:rPr>
                <w:rFonts w:ascii="Book Antiqua" w:hAnsi="Book Antiqua" w:cs="Calibri"/>
                <w:b w:val="0"/>
                <w:sz w:val="21"/>
                <w:szCs w:val="21"/>
                <w:lang w:val="en-US"/>
              </w:rPr>
              <w:t xml:space="preserve"> 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South Korea</w:t>
            </w:r>
          </w:p>
        </w:tc>
        <w:tc>
          <w:tcPr>
            <w:tcW w:w="1134" w:type="dxa"/>
            <w:vMerge w:val="restart"/>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Open-label, retrospective, multicenter</w:t>
            </w:r>
          </w:p>
        </w:tc>
        <w:tc>
          <w:tcPr>
            <w:tcW w:w="879" w:type="dxa"/>
            <w:vMerge w:val="restart"/>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30 </w:t>
            </w:r>
            <w:proofErr w:type="spellStart"/>
            <w:r w:rsidRPr="00C33C2F">
              <w:rPr>
                <w:rFonts w:ascii="Book Antiqua" w:hAnsi="Book Antiqua" w:cs="Calibri"/>
                <w:sz w:val="21"/>
                <w:szCs w:val="21"/>
                <w:lang w:val="en-US"/>
              </w:rPr>
              <w:t>wk</w:t>
            </w:r>
            <w:proofErr w:type="spellEnd"/>
          </w:p>
        </w:tc>
        <w:tc>
          <w:tcPr>
            <w:tcW w:w="822" w:type="dxa"/>
            <w:vMerge w:val="restart"/>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Mayo score</w:t>
            </w:r>
          </w:p>
        </w:tc>
        <w:tc>
          <w:tcPr>
            <w:tcW w:w="709"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CD</w:t>
            </w:r>
            <w:r w:rsidRPr="00C33C2F">
              <w:rPr>
                <w:rFonts w:ascii="Book Antiqua" w:hAnsi="Book Antiqua" w:cs="Calibri" w:hint="eastAsia"/>
                <w:sz w:val="21"/>
                <w:szCs w:val="21"/>
                <w:vertAlign w:val="superscript"/>
                <w:lang w:val="en-US" w:eastAsia="zh-CN"/>
              </w:rPr>
              <w:t>4</w:t>
            </w:r>
          </w:p>
        </w:tc>
        <w:tc>
          <w:tcPr>
            <w:tcW w:w="567"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95</w:t>
            </w:r>
          </w:p>
        </w:tc>
        <w:tc>
          <w:tcPr>
            <w:tcW w:w="709"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51</w:t>
            </w:r>
          </w:p>
        </w:tc>
        <w:tc>
          <w:tcPr>
            <w:tcW w:w="1057"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77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8</w:t>
            </w:r>
            <w:r w:rsidRPr="00C33C2F">
              <w:rPr>
                <w:rFonts w:ascii="Book Antiqua" w:hAnsi="Book Antiqua" w:cs="Calibri" w:hint="eastAsia"/>
                <w:sz w:val="21"/>
                <w:szCs w:val="21"/>
                <w:vertAlign w:val="superscript"/>
                <w:lang w:val="en-US" w:eastAsia="zh-CN"/>
              </w:rPr>
              <w:t>3</w:t>
            </w:r>
            <w:r w:rsidRPr="00C33C2F">
              <w:rPr>
                <w:rFonts w:ascii="Book Antiqua" w:hAnsi="Book Antiqua" w:cs="Calibri"/>
                <w:sz w:val="21"/>
                <w:szCs w:val="21"/>
                <w:lang w:val="en-US"/>
              </w:rPr>
              <w:t>(35/45)</w:t>
            </w:r>
          </w:p>
        </w:tc>
        <w:tc>
          <w:tcPr>
            <w:tcW w:w="955"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8</w:t>
            </w:r>
            <w:r w:rsidRPr="00C33C2F">
              <w:rPr>
                <w:rFonts w:ascii="Book Antiqua" w:hAnsi="Book Antiqua" w:cs="Calibri" w:hint="eastAsia"/>
                <w:sz w:val="21"/>
                <w:szCs w:val="21"/>
                <w:vertAlign w:val="superscript"/>
                <w:lang w:val="en-US" w:eastAsia="zh-CN"/>
              </w:rPr>
              <w:t>3</w:t>
            </w:r>
            <w:r w:rsidRPr="00C33C2F">
              <w:rPr>
                <w:rFonts w:ascii="Book Antiqua" w:hAnsi="Book Antiqua" w:cs="Calibri"/>
                <w:sz w:val="21"/>
                <w:szCs w:val="21"/>
                <w:lang w:val="en-US"/>
              </w:rPr>
              <w:t>(26/45)</w:t>
            </w:r>
          </w:p>
        </w:tc>
        <w:tc>
          <w:tcPr>
            <w:tcW w:w="1106"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17.9 (17/95)</w:t>
            </w:r>
          </w:p>
        </w:tc>
        <w:tc>
          <w:tcPr>
            <w:tcW w:w="1134" w:type="dxa"/>
            <w:tcBorders>
              <w:top w:val="single" w:sz="4"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1 (2/95)</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UC</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78</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62</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72</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2</w:t>
            </w:r>
            <w:r w:rsidRPr="00C33C2F">
              <w:rPr>
                <w:rFonts w:ascii="Book Antiqua" w:hAnsi="Book Antiqua" w:cs="Calibri" w:hint="eastAsia"/>
                <w:sz w:val="21"/>
                <w:szCs w:val="21"/>
                <w:vertAlign w:val="superscript"/>
                <w:lang w:val="en-US" w:eastAsia="zh-CN"/>
              </w:rPr>
              <w:t>5</w:t>
            </w:r>
          </w:p>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(39/54)</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37</w:t>
            </w:r>
            <w:r w:rsidRPr="00C33C2F">
              <w:rPr>
                <w:rFonts w:ascii="Book Antiqua" w:hAnsi="Book Antiqua" w:cs="Calibri" w:hint="eastAsia"/>
                <w:sz w:val="21"/>
                <w:szCs w:val="21"/>
                <w:vertAlign w:val="superscript"/>
                <w:lang w:val="en-US" w:eastAsia="zh-CN"/>
              </w:rPr>
              <w:t>5</w:t>
            </w:r>
          </w:p>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 (20/54)</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26</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9 (21/78)</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3 (1/78)</w:t>
            </w: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Jung</w:t>
            </w:r>
            <w:r w:rsidR="00B36D1C" w:rsidRPr="00C33C2F">
              <w:rPr>
                <w:rFonts w:ascii="Book Antiqua" w:hAnsi="Book Antiqua" w:cs="Calibri"/>
                <w:b w:val="0"/>
                <w:i/>
                <w:sz w:val="21"/>
                <w:szCs w:val="21"/>
                <w:lang w:val="en-US"/>
              </w:rPr>
              <w:t xml:space="preserve"> et al</w:t>
            </w:r>
            <w:r w:rsidR="00B36D1C" w:rsidRPr="00C33C2F">
              <w:rPr>
                <w:rFonts w:ascii="Book Antiqua" w:hAnsi="Book Antiqua" w:cs="Calibri" w:hint="eastAsia"/>
                <w:b w:val="0"/>
                <w:sz w:val="21"/>
                <w:szCs w:val="21"/>
                <w:vertAlign w:val="superscript"/>
                <w:lang w:val="en-US" w:eastAsia="zh-CN"/>
              </w:rPr>
              <w:t>[28]</w:t>
            </w:r>
            <w:r w:rsidR="00B36D1C" w:rsidRPr="00C33C2F">
              <w:rPr>
                <w:rFonts w:ascii="Book Antiqua" w:hAnsi="Book Antiqua" w:cs="Calibri"/>
                <w:b w:val="0"/>
                <w:i/>
                <w:sz w:val="21"/>
                <w:szCs w:val="21"/>
                <w:lang w:val="en-US"/>
              </w:rPr>
              <w:t>,</w:t>
            </w:r>
            <w:r w:rsidR="00B36D1C" w:rsidRPr="00C33C2F">
              <w:rPr>
                <w:rFonts w:ascii="Book Antiqua" w:hAnsi="Book Antiqua" w:cs="Calibri"/>
                <w:b w:val="0"/>
                <w:sz w:val="21"/>
                <w:szCs w:val="21"/>
                <w:lang w:val="en-US"/>
              </w:rPr>
              <w:t xml:space="preserve"> </w:t>
            </w:r>
            <w:r w:rsidRPr="00C33C2F">
              <w:rPr>
                <w:rFonts w:ascii="Book Antiqua" w:hAnsi="Book Antiqua" w:cs="Calibri"/>
                <w:b w:val="0"/>
                <w:sz w:val="21"/>
                <w:szCs w:val="21"/>
                <w:lang w:val="en-US"/>
              </w:rPr>
              <w:t xml:space="preserve"> 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South Korea</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Open-label, retrospective, multicenter</w:t>
            </w:r>
          </w:p>
        </w:tc>
        <w:tc>
          <w:tcPr>
            <w:tcW w:w="879"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54 </w:t>
            </w:r>
            <w:proofErr w:type="spellStart"/>
            <w:r w:rsidRPr="00C33C2F">
              <w:rPr>
                <w:rFonts w:ascii="Book Antiqua" w:hAnsi="Book Antiqua" w:cs="Calibri"/>
                <w:sz w:val="21"/>
                <w:szCs w:val="21"/>
                <w:lang w:val="en-US"/>
              </w:rPr>
              <w:t>wk</w:t>
            </w:r>
            <w:proofErr w:type="spellEnd"/>
          </w:p>
        </w:tc>
        <w:tc>
          <w:tcPr>
            <w:tcW w:w="822"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Mayo score</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CRP</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59</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32</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87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5</w:t>
            </w:r>
            <w:r w:rsidRPr="00C33C2F">
              <w:rPr>
                <w:rFonts w:ascii="Book Antiqua" w:hAnsi="Book Antiqua" w:cs="Calibri"/>
                <w:sz w:val="21"/>
                <w:szCs w:val="21"/>
                <w:vertAlign w:val="superscript"/>
                <w:lang w:val="en-US"/>
              </w:rPr>
              <w:t>c</w:t>
            </w:r>
            <w:r w:rsidRPr="00C33C2F">
              <w:rPr>
                <w:rFonts w:ascii="Book Antiqua" w:hAnsi="Book Antiqua" w:cs="Calibri"/>
                <w:sz w:val="21"/>
                <w:szCs w:val="21"/>
                <w:lang w:val="en-US"/>
              </w:rPr>
              <w:t xml:space="preserve"> (7/8)</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rPr>
            </w:pPr>
            <w:r w:rsidRPr="00C33C2F">
              <w:rPr>
                <w:rFonts w:ascii="Book Antiqua" w:hAnsi="Book Antiqua" w:cs="Calibri"/>
                <w:sz w:val="21"/>
                <w:szCs w:val="21"/>
                <w:lang w:val="en-US"/>
              </w:rPr>
              <w:t>75</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0</w:t>
            </w:r>
            <w:r w:rsidRPr="00C33C2F">
              <w:rPr>
                <w:rFonts w:ascii="Book Antiqua" w:hAnsi="Book Antiqua" w:cs="Calibri"/>
                <w:sz w:val="21"/>
                <w:szCs w:val="21"/>
                <w:vertAlign w:val="superscript"/>
                <w:lang w:val="en-US"/>
              </w:rPr>
              <w:t>c</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 (6/8)</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0 (0/59)</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0</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UC</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51</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42</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100</w:t>
            </w:r>
            <w:r w:rsidRPr="00C33C2F">
              <w:rPr>
                <w:rFonts w:ascii="Book Antiqua" w:hAnsi="Book Antiqua" w:cs="Calibri"/>
                <w:sz w:val="21"/>
                <w:szCs w:val="21"/>
                <w:vertAlign w:val="superscript"/>
                <w:lang w:val="en-US"/>
              </w:rPr>
              <w:t>c</w:t>
            </w:r>
            <w:r w:rsidRPr="00C33C2F">
              <w:rPr>
                <w:rFonts w:ascii="Book Antiqua" w:hAnsi="Book Antiqua" w:cs="Calibri"/>
                <w:sz w:val="21"/>
                <w:szCs w:val="21"/>
                <w:lang w:val="en-US"/>
              </w:rPr>
              <w:t xml:space="preserve"> (12/12)</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50</w:t>
            </w:r>
            <w:r w:rsidRPr="00C33C2F">
              <w:rPr>
                <w:rFonts w:ascii="Book Antiqua" w:hAnsi="Book Antiqua" w:cs="Calibri" w:hint="eastAsia"/>
                <w:sz w:val="21"/>
                <w:szCs w:val="21"/>
                <w:vertAlign w:val="superscript"/>
                <w:lang w:val="en-US" w:eastAsia="zh-CN"/>
              </w:rPr>
              <w:t>3</w:t>
            </w:r>
          </w:p>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 (6/12)</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11</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8 (6/51)</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 xml:space="preserve">Kang </w:t>
            </w:r>
            <w:r w:rsidR="00B36D1C" w:rsidRPr="00C33C2F">
              <w:rPr>
                <w:rFonts w:ascii="Book Antiqua" w:hAnsi="Book Antiqua" w:cs="Calibri"/>
                <w:b w:val="0"/>
                <w:i/>
                <w:sz w:val="21"/>
                <w:szCs w:val="21"/>
                <w:lang w:val="en-US"/>
              </w:rPr>
              <w:t>et al</w:t>
            </w:r>
            <w:r w:rsidR="00B36D1C" w:rsidRPr="00C33C2F">
              <w:rPr>
                <w:rFonts w:ascii="Book Antiqua" w:hAnsi="Book Antiqua" w:cs="Calibri" w:hint="eastAsia"/>
                <w:b w:val="0"/>
                <w:sz w:val="21"/>
                <w:szCs w:val="21"/>
                <w:vertAlign w:val="superscript"/>
                <w:lang w:val="en-US" w:eastAsia="zh-CN"/>
              </w:rPr>
              <w:t>[29]</w:t>
            </w:r>
            <w:r w:rsidR="00B36D1C" w:rsidRPr="00C33C2F">
              <w:rPr>
                <w:rFonts w:ascii="Book Antiqua" w:hAnsi="Book Antiqua" w:cs="Calibri"/>
                <w:b w:val="0"/>
                <w:i/>
                <w:sz w:val="21"/>
                <w:szCs w:val="21"/>
                <w:lang w:val="en-US"/>
              </w:rPr>
              <w:t>,</w:t>
            </w:r>
            <w:r w:rsidR="00B36D1C" w:rsidRPr="00C33C2F">
              <w:rPr>
                <w:rFonts w:ascii="Book Antiqua" w:hAnsi="Book Antiqua" w:cs="Calibri" w:hint="eastAsia"/>
                <w:b w:val="0"/>
                <w:i/>
                <w:sz w:val="21"/>
                <w:szCs w:val="21"/>
                <w:lang w:val="en-US" w:eastAsia="zh-CN"/>
              </w:rPr>
              <w:t xml:space="preserve"> </w:t>
            </w:r>
            <w:r w:rsidRPr="00C33C2F">
              <w:rPr>
                <w:rFonts w:ascii="Book Antiqua" w:hAnsi="Book Antiqua" w:cs="Calibri"/>
                <w:b w:val="0"/>
                <w:sz w:val="21"/>
                <w:szCs w:val="21"/>
                <w:lang w:val="en-US"/>
              </w:rPr>
              <w:t>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South Korea</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Open-label, case-series, tertiary center</w:t>
            </w:r>
          </w:p>
        </w:tc>
        <w:tc>
          <w:tcPr>
            <w:tcW w:w="879"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8 </w:t>
            </w:r>
            <w:proofErr w:type="spellStart"/>
            <w:r w:rsidRPr="00C33C2F">
              <w:rPr>
                <w:rFonts w:ascii="Book Antiqua" w:hAnsi="Book Antiqua" w:cs="Calibri"/>
                <w:sz w:val="21"/>
                <w:szCs w:val="21"/>
                <w:lang w:val="en-US"/>
              </w:rPr>
              <w:t>wk</w:t>
            </w:r>
            <w:proofErr w:type="spellEnd"/>
          </w:p>
        </w:tc>
        <w:tc>
          <w:tcPr>
            <w:tcW w:w="822"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Mayo score</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8</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66</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7</w:t>
            </w:r>
            <w:r w:rsidRPr="00C33C2F">
              <w:rPr>
                <w:rFonts w:ascii="Book Antiqua" w:hAnsi="Book Antiqua" w:cs="Calibri"/>
                <w:sz w:val="21"/>
                <w:szCs w:val="21"/>
                <w:vertAlign w:val="superscript"/>
                <w:lang w:val="en-US"/>
              </w:rPr>
              <w:t>c</w:t>
            </w:r>
            <w:r w:rsidRPr="00C33C2F">
              <w:rPr>
                <w:rFonts w:ascii="Book Antiqua" w:hAnsi="Book Antiqua" w:cs="Calibri"/>
                <w:sz w:val="21"/>
                <w:szCs w:val="21"/>
                <w:lang w:val="en-US"/>
              </w:rPr>
              <w:t xml:space="preserve"> (2/3)</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66</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7</w:t>
            </w:r>
            <w:r w:rsidRPr="00C33C2F">
              <w:rPr>
                <w:rFonts w:ascii="Book Antiqua" w:hAnsi="Book Antiqua" w:cs="Calibri" w:hint="eastAsia"/>
                <w:sz w:val="21"/>
                <w:szCs w:val="21"/>
                <w:vertAlign w:val="superscript"/>
                <w:lang w:val="en-US" w:eastAsia="zh-CN"/>
              </w:rPr>
              <w:t>3</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 (2/3)</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0</w:t>
            </w:r>
          </w:p>
          <w:p w:rsidR="00523610" w:rsidRPr="00C33C2F" w:rsidRDefault="00523610" w:rsidP="008B1267">
            <w:pPr>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p>
          <w:p w:rsidR="00523610" w:rsidRPr="00C33C2F" w:rsidRDefault="00523610" w:rsidP="008B1267">
            <w:pPr>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p>
          <w:p w:rsidR="00523610" w:rsidRPr="00C33C2F" w:rsidRDefault="00523610" w:rsidP="008B1267">
            <w:pPr>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UC</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9</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100</w:t>
            </w:r>
            <w:r w:rsidRPr="00C33C2F">
              <w:rPr>
                <w:rFonts w:ascii="Book Antiqua" w:hAnsi="Book Antiqua" w:cs="Calibri"/>
                <w:sz w:val="21"/>
                <w:szCs w:val="21"/>
                <w:vertAlign w:val="superscript"/>
                <w:lang w:val="en-US"/>
              </w:rPr>
              <w:t>c</w:t>
            </w:r>
            <w:r w:rsidRPr="00C33C2F">
              <w:rPr>
                <w:rFonts w:ascii="Book Antiqua" w:hAnsi="Book Antiqua" w:cs="Calibri"/>
                <w:sz w:val="21"/>
                <w:szCs w:val="21"/>
                <w:lang w:val="en-US"/>
              </w:rPr>
              <w:t xml:space="preserve"> (5/5)</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vertAlign w:val="superscript"/>
                <w:lang w:val="en-US"/>
              </w:rPr>
            </w:pPr>
            <w:r w:rsidRPr="00C33C2F">
              <w:rPr>
                <w:rFonts w:ascii="Book Antiqua" w:hAnsi="Book Antiqua" w:cs="Calibri"/>
                <w:sz w:val="21"/>
                <w:szCs w:val="21"/>
                <w:lang w:val="en-US"/>
              </w:rPr>
              <w:t>100</w:t>
            </w:r>
            <w:r w:rsidRPr="00C33C2F">
              <w:rPr>
                <w:rFonts w:ascii="Book Antiqua" w:hAnsi="Book Antiqua" w:cs="Calibri"/>
                <w:sz w:val="21"/>
                <w:szCs w:val="21"/>
                <w:vertAlign w:val="superscript"/>
                <w:lang w:val="en-US"/>
              </w:rPr>
              <w:t>c</w:t>
            </w:r>
          </w:p>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(5/5)</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0</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roofErr w:type="spellStart"/>
            <w:r w:rsidRPr="00C33C2F">
              <w:rPr>
                <w:rFonts w:ascii="Book Antiqua" w:hAnsi="Book Antiqua" w:cs="Calibri"/>
                <w:b w:val="0"/>
                <w:sz w:val="21"/>
                <w:szCs w:val="21"/>
                <w:lang w:val="en-US"/>
              </w:rPr>
              <w:t>Gecse</w:t>
            </w:r>
            <w:proofErr w:type="spellEnd"/>
            <w:r w:rsidRPr="00C33C2F">
              <w:rPr>
                <w:rFonts w:ascii="Book Antiqua" w:hAnsi="Book Antiqua" w:cs="Calibri"/>
                <w:b w:val="0"/>
                <w:sz w:val="21"/>
                <w:szCs w:val="21"/>
                <w:lang w:val="en-US"/>
              </w:rPr>
              <w:t xml:space="preserve"> </w:t>
            </w:r>
            <w:r w:rsidR="00B36D1C" w:rsidRPr="00C33C2F">
              <w:rPr>
                <w:rFonts w:ascii="Book Antiqua" w:hAnsi="Book Antiqua" w:cs="Calibri"/>
                <w:b w:val="0"/>
                <w:i/>
                <w:sz w:val="21"/>
                <w:szCs w:val="21"/>
                <w:lang w:val="en-US"/>
              </w:rPr>
              <w:t>et al</w:t>
            </w:r>
            <w:r w:rsidR="00B36D1C" w:rsidRPr="00C33C2F">
              <w:rPr>
                <w:rFonts w:ascii="Book Antiqua" w:hAnsi="Book Antiqua" w:cs="Calibri" w:hint="eastAsia"/>
                <w:b w:val="0"/>
                <w:sz w:val="21"/>
                <w:szCs w:val="21"/>
                <w:vertAlign w:val="superscript"/>
                <w:lang w:val="en-US" w:eastAsia="zh-CN"/>
              </w:rPr>
              <w:t>[30]</w:t>
            </w:r>
            <w:r w:rsidR="00B36D1C" w:rsidRPr="00C33C2F">
              <w:rPr>
                <w:rFonts w:ascii="Book Antiqua" w:hAnsi="Book Antiqua" w:cs="Calibri"/>
                <w:b w:val="0"/>
                <w:i/>
                <w:sz w:val="21"/>
                <w:szCs w:val="21"/>
                <w:lang w:val="en-US"/>
              </w:rPr>
              <w:t>,</w:t>
            </w:r>
            <w:r w:rsidRPr="00C33C2F">
              <w:rPr>
                <w:rFonts w:ascii="Book Antiqua" w:hAnsi="Book Antiqua" w:cs="Calibri"/>
                <w:b w:val="0"/>
                <w:sz w:val="21"/>
                <w:szCs w:val="21"/>
                <w:lang w:val="en-US"/>
              </w:rPr>
              <w:t xml:space="preserve"> 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lastRenderedPageBreak/>
              <w:t>Hungary</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lastRenderedPageBreak/>
              <w:t xml:space="preserve">Open-label, </w:t>
            </w:r>
            <w:r w:rsidRPr="00C33C2F">
              <w:rPr>
                <w:rFonts w:ascii="Book Antiqua" w:hAnsi="Book Antiqua" w:cs="Calibri"/>
                <w:sz w:val="21"/>
                <w:szCs w:val="21"/>
                <w:lang w:val="en-US"/>
              </w:rPr>
              <w:lastRenderedPageBreak/>
              <w:t xml:space="preserve">prospective, </w:t>
            </w:r>
            <w:proofErr w:type="spellStart"/>
            <w:r w:rsidRPr="00C33C2F">
              <w:rPr>
                <w:rFonts w:ascii="Book Antiqua" w:hAnsi="Book Antiqua" w:cs="Calibri"/>
                <w:sz w:val="21"/>
                <w:szCs w:val="21"/>
                <w:lang w:val="en-US"/>
              </w:rPr>
              <w:t>observationalmulticenter</w:t>
            </w:r>
            <w:proofErr w:type="spellEnd"/>
          </w:p>
        </w:tc>
        <w:tc>
          <w:tcPr>
            <w:tcW w:w="879"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lastRenderedPageBreak/>
              <w:t xml:space="preserve">14 </w:t>
            </w:r>
            <w:proofErr w:type="spellStart"/>
            <w:r w:rsidRPr="00C33C2F">
              <w:rPr>
                <w:rFonts w:ascii="Book Antiqua" w:hAnsi="Book Antiqua" w:cs="Calibri"/>
                <w:sz w:val="21"/>
                <w:szCs w:val="21"/>
                <w:lang w:val="en-US"/>
              </w:rPr>
              <w:t>wk</w:t>
            </w:r>
            <w:proofErr w:type="spellEnd"/>
          </w:p>
        </w:tc>
        <w:tc>
          <w:tcPr>
            <w:tcW w:w="822"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FDA</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lastRenderedPageBreak/>
              <w:t>Mayo score</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CRP</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PLT count</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lastRenderedPageBreak/>
              <w:t>CD</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126</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93</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81</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4 (79/97)</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53</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6 (52/97)</w:t>
            </w:r>
          </w:p>
        </w:tc>
        <w:tc>
          <w:tcPr>
            <w:tcW w:w="1106"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17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1</w:t>
            </w:r>
            <w:r w:rsidRPr="00C33C2F">
              <w:rPr>
                <w:rFonts w:ascii="Book Antiqua" w:hAnsi="Book Antiqua" w:cs="Calibri" w:hint="eastAsia"/>
                <w:sz w:val="21"/>
                <w:szCs w:val="21"/>
                <w:vertAlign w:val="superscript"/>
                <w:lang w:val="en-US" w:eastAsia="zh-CN"/>
              </w:rPr>
              <w:t>2</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(36/210)</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6</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6</w:t>
            </w:r>
            <w:r w:rsidRPr="00C33C2F">
              <w:rPr>
                <w:rFonts w:ascii="Book Antiqua" w:hAnsi="Book Antiqua" w:cs="Calibri" w:hint="eastAsia"/>
                <w:sz w:val="21"/>
                <w:szCs w:val="21"/>
                <w:vertAlign w:val="superscript"/>
                <w:lang w:val="en-US" w:eastAsia="zh-CN"/>
              </w:rPr>
              <w:t>2</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 (14/210)</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UC</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84</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68</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77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6 (45/58)</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58</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6 (34/58)</w:t>
            </w:r>
          </w:p>
        </w:tc>
        <w:tc>
          <w:tcPr>
            <w:tcW w:w="1106"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roofErr w:type="spellStart"/>
            <w:r w:rsidRPr="00C33C2F">
              <w:rPr>
                <w:rFonts w:ascii="Book Antiqua" w:hAnsi="Book Antiqua" w:cs="Calibri"/>
                <w:b w:val="0"/>
                <w:sz w:val="21"/>
                <w:szCs w:val="21"/>
                <w:lang w:val="en-US"/>
              </w:rPr>
              <w:lastRenderedPageBreak/>
              <w:t>Farkas</w:t>
            </w:r>
            <w:proofErr w:type="spellEnd"/>
            <w:r w:rsidRPr="00C33C2F">
              <w:rPr>
                <w:rFonts w:ascii="Book Antiqua" w:hAnsi="Book Antiqua" w:cs="Calibri"/>
                <w:b w:val="0"/>
                <w:sz w:val="21"/>
                <w:szCs w:val="21"/>
                <w:lang w:val="en-US"/>
              </w:rPr>
              <w:t xml:space="preserve"> </w:t>
            </w:r>
            <w:r w:rsidR="00B36D1C" w:rsidRPr="00C33C2F">
              <w:rPr>
                <w:rFonts w:ascii="Book Antiqua" w:hAnsi="Book Antiqua" w:cs="Calibri"/>
                <w:b w:val="0"/>
                <w:i/>
                <w:sz w:val="21"/>
                <w:szCs w:val="21"/>
                <w:lang w:val="en-US"/>
              </w:rPr>
              <w:t>et al</w:t>
            </w:r>
            <w:r w:rsidR="00B36D1C" w:rsidRPr="00C33C2F">
              <w:rPr>
                <w:rFonts w:ascii="Book Antiqua" w:hAnsi="Book Antiqua" w:cs="Calibri" w:hint="eastAsia"/>
                <w:b w:val="0"/>
                <w:sz w:val="21"/>
                <w:szCs w:val="21"/>
                <w:vertAlign w:val="superscript"/>
                <w:lang w:val="en-US" w:eastAsia="zh-CN"/>
              </w:rPr>
              <w:t>[31]</w:t>
            </w:r>
            <w:r w:rsidR="00B36D1C" w:rsidRPr="00C33C2F">
              <w:rPr>
                <w:rFonts w:ascii="Book Antiqua" w:hAnsi="Book Antiqua" w:cs="Calibri"/>
                <w:b w:val="0"/>
                <w:i/>
                <w:sz w:val="21"/>
                <w:szCs w:val="21"/>
                <w:lang w:val="en-US"/>
              </w:rPr>
              <w:t>,</w:t>
            </w:r>
            <w:r w:rsidR="00B36D1C" w:rsidRPr="00C33C2F">
              <w:rPr>
                <w:rFonts w:ascii="Book Antiqua" w:hAnsi="Book Antiqua" w:cs="Calibri"/>
                <w:b w:val="0"/>
                <w:sz w:val="21"/>
                <w:szCs w:val="21"/>
                <w:lang w:val="en-US"/>
              </w:rPr>
              <w:t xml:space="preserve"> </w:t>
            </w:r>
            <w:r w:rsidRPr="00C33C2F">
              <w:rPr>
                <w:rFonts w:ascii="Book Antiqua" w:hAnsi="Book Antiqua" w:cs="Calibri"/>
                <w:b w:val="0"/>
                <w:sz w:val="21"/>
                <w:szCs w:val="21"/>
                <w:lang w:val="en-US"/>
              </w:rPr>
              <w:t>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Hungary</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Open-label, prospective, observational tertiary center</w:t>
            </w:r>
          </w:p>
        </w:tc>
        <w:tc>
          <w:tcPr>
            <w:tcW w:w="879"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8 </w:t>
            </w:r>
            <w:proofErr w:type="spellStart"/>
            <w:r w:rsidRPr="00C33C2F">
              <w:rPr>
                <w:rFonts w:ascii="Book Antiqua" w:hAnsi="Book Antiqua" w:cs="Calibri"/>
                <w:sz w:val="21"/>
                <w:szCs w:val="21"/>
                <w:lang w:val="en-US"/>
              </w:rPr>
              <w:t>wk</w:t>
            </w:r>
            <w:proofErr w:type="spellEnd"/>
          </w:p>
        </w:tc>
        <w:tc>
          <w:tcPr>
            <w:tcW w:w="822"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Mayo score</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18</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16</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5</w:t>
            </w:r>
            <w:r w:rsidRPr="00C33C2F">
              <w:rPr>
                <w:rFonts w:ascii="Book Antiqua" w:hAnsi="Book Antiqua" w:cs="Calibri" w:hint="eastAsia"/>
                <w:sz w:val="21"/>
                <w:szCs w:val="21"/>
                <w:vertAlign w:val="superscript"/>
                <w:lang w:val="en-US" w:eastAsia="zh-CN"/>
              </w:rPr>
              <w:t>1</w:t>
            </w:r>
            <w:r w:rsidRPr="00C33C2F">
              <w:rPr>
                <w:rFonts w:ascii="Book Antiqua" w:hAnsi="Book Antiqua" w:cs="Calibri"/>
                <w:sz w:val="21"/>
                <w:szCs w:val="21"/>
                <w:lang w:val="en-US"/>
              </w:rPr>
              <w:t xml:space="preserve"> (6/16)</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50 (8/16)</w:t>
            </w:r>
            <w:r w:rsidRPr="00C33C2F">
              <w:rPr>
                <w:rFonts w:ascii="Book Antiqua" w:hAnsi="Book Antiqua" w:cs="Calibri" w:hint="eastAsia"/>
                <w:sz w:val="21"/>
                <w:szCs w:val="21"/>
                <w:vertAlign w:val="superscript"/>
                <w:lang w:val="en-US" w:eastAsia="zh-CN"/>
              </w:rPr>
              <w:t>1</w:t>
            </w:r>
          </w:p>
        </w:tc>
        <w:tc>
          <w:tcPr>
            <w:tcW w:w="1106"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UC</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21</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19</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20</w:t>
            </w:r>
            <w:r w:rsidRPr="00C33C2F">
              <w:rPr>
                <w:rFonts w:ascii="Book Antiqua" w:hAnsi="Book Antiqua" w:cs="Calibri" w:hint="eastAsia"/>
                <w:sz w:val="21"/>
                <w:szCs w:val="21"/>
                <w:vertAlign w:val="superscript"/>
                <w:lang w:val="en-US" w:eastAsia="zh-CN"/>
              </w:rPr>
              <w:t xml:space="preserve">1 </w:t>
            </w:r>
            <w:r w:rsidRPr="00C33C2F">
              <w:rPr>
                <w:rFonts w:ascii="Book Antiqua" w:hAnsi="Book Antiqua" w:cs="Calibri"/>
                <w:sz w:val="21"/>
                <w:szCs w:val="21"/>
                <w:lang w:val="en-US"/>
              </w:rPr>
              <w:t>(3/15)</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66</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7</w:t>
            </w:r>
            <w:r w:rsidRPr="00C33C2F">
              <w:rPr>
                <w:rFonts w:ascii="Book Antiqua" w:hAnsi="Book Antiqua" w:cs="Calibri" w:hint="eastAsia"/>
                <w:sz w:val="21"/>
                <w:szCs w:val="21"/>
                <w:vertAlign w:val="superscript"/>
                <w:lang w:val="en-US" w:eastAsia="zh-CN"/>
              </w:rPr>
              <w:t>1</w:t>
            </w:r>
          </w:p>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(10/15)</w:t>
            </w:r>
          </w:p>
        </w:tc>
        <w:tc>
          <w:tcPr>
            <w:tcW w:w="1106"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roofErr w:type="spellStart"/>
            <w:r w:rsidRPr="00C33C2F">
              <w:rPr>
                <w:rFonts w:ascii="Book Antiqua" w:hAnsi="Book Antiqua" w:cs="Calibri"/>
                <w:b w:val="0"/>
                <w:sz w:val="21"/>
                <w:szCs w:val="21"/>
                <w:lang w:val="en-US"/>
              </w:rPr>
              <w:t>Jahnsen</w:t>
            </w:r>
            <w:proofErr w:type="spellEnd"/>
            <w:r w:rsidRPr="00C33C2F">
              <w:rPr>
                <w:rFonts w:ascii="Book Antiqua" w:hAnsi="Book Antiqua" w:cs="Calibri"/>
                <w:b w:val="0"/>
                <w:sz w:val="21"/>
                <w:szCs w:val="21"/>
                <w:lang w:val="en-US"/>
              </w:rPr>
              <w:t xml:space="preserve"> </w:t>
            </w:r>
            <w:r w:rsidR="00B36D1C" w:rsidRPr="00C33C2F">
              <w:rPr>
                <w:rFonts w:ascii="Book Antiqua" w:hAnsi="Book Antiqua" w:cs="Calibri"/>
                <w:b w:val="0"/>
                <w:i/>
                <w:sz w:val="21"/>
                <w:szCs w:val="21"/>
                <w:lang w:val="en-US"/>
              </w:rPr>
              <w:t>et al</w:t>
            </w:r>
            <w:r w:rsidR="00B36D1C" w:rsidRPr="00C33C2F">
              <w:rPr>
                <w:rFonts w:ascii="Book Antiqua" w:hAnsi="Book Antiqua" w:cs="Calibri" w:hint="eastAsia"/>
                <w:b w:val="0"/>
                <w:sz w:val="21"/>
                <w:szCs w:val="21"/>
                <w:vertAlign w:val="superscript"/>
                <w:lang w:val="en-US" w:eastAsia="zh-CN"/>
              </w:rPr>
              <w:t>[32]</w:t>
            </w:r>
            <w:r w:rsidR="00B36D1C" w:rsidRPr="00C33C2F">
              <w:rPr>
                <w:rFonts w:ascii="Book Antiqua" w:hAnsi="Book Antiqua" w:cs="Calibri"/>
                <w:b w:val="0"/>
                <w:i/>
                <w:sz w:val="21"/>
                <w:szCs w:val="21"/>
                <w:lang w:val="en-US"/>
              </w:rPr>
              <w:t>,</w:t>
            </w:r>
            <w:r w:rsidR="00B36D1C" w:rsidRPr="00C33C2F">
              <w:rPr>
                <w:rFonts w:ascii="Book Antiqua" w:hAnsi="Book Antiqua" w:cs="Calibri"/>
                <w:b w:val="0"/>
                <w:sz w:val="21"/>
                <w:szCs w:val="21"/>
                <w:lang w:val="en-US"/>
              </w:rPr>
              <w:t xml:space="preserve"> </w:t>
            </w:r>
            <w:r w:rsidRPr="00C33C2F">
              <w:rPr>
                <w:rFonts w:ascii="Book Antiqua" w:hAnsi="Book Antiqua" w:cs="Calibri"/>
                <w:b w:val="0"/>
                <w:sz w:val="21"/>
                <w:szCs w:val="21"/>
                <w:lang w:val="en-US"/>
              </w:rPr>
              <w:t xml:space="preserve"> 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 xml:space="preserve">Norway </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Open-label, prospective, observational single-center</w:t>
            </w:r>
          </w:p>
        </w:tc>
        <w:tc>
          <w:tcPr>
            <w:tcW w:w="879"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14 </w:t>
            </w:r>
            <w:proofErr w:type="spellStart"/>
            <w:r w:rsidRPr="00C33C2F">
              <w:rPr>
                <w:rFonts w:ascii="Book Antiqua" w:hAnsi="Book Antiqua" w:cs="Calibri"/>
                <w:sz w:val="21"/>
                <w:szCs w:val="21"/>
                <w:lang w:val="en-US"/>
              </w:rPr>
              <w:t>wk</w:t>
            </w:r>
            <w:proofErr w:type="spellEnd"/>
          </w:p>
        </w:tc>
        <w:tc>
          <w:tcPr>
            <w:tcW w:w="822"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HBI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Mayo score</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CRP</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proofErr w:type="spellStart"/>
            <w:r w:rsidRPr="00C33C2F">
              <w:rPr>
                <w:rFonts w:ascii="Book Antiqua" w:hAnsi="Book Antiqua" w:cs="Calibri"/>
                <w:sz w:val="21"/>
                <w:szCs w:val="21"/>
                <w:lang w:val="en-US"/>
              </w:rPr>
              <w:t>Calprotectin</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CD</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46</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33</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79 (34/43)</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2 (1</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46)</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UC</w:t>
            </w:r>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32</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27</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56 (18/32)</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1 (1/32)</w:t>
            </w:r>
          </w:p>
        </w:tc>
      </w:tr>
      <w:tr w:rsidR="00523610" w:rsidRPr="00C33C2F" w:rsidTr="00523610">
        <w:trPr>
          <w:cnfStyle w:val="000000010000" w:firstRow="0" w:lastRow="0" w:firstColumn="0" w:lastColumn="0" w:oddVBand="0" w:evenVBand="0" w:oddHBand="0" w:evenHBand="1"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proofErr w:type="spellStart"/>
            <w:r w:rsidRPr="00C33C2F">
              <w:rPr>
                <w:rFonts w:ascii="Book Antiqua" w:hAnsi="Book Antiqua" w:cs="Calibri"/>
                <w:b w:val="0"/>
                <w:sz w:val="21"/>
                <w:szCs w:val="21"/>
                <w:lang w:val="en-US"/>
              </w:rPr>
              <w:t>Sieczkowska</w:t>
            </w:r>
            <w:proofErr w:type="spellEnd"/>
            <w:r w:rsidRPr="00C33C2F">
              <w:rPr>
                <w:rFonts w:ascii="Book Antiqua" w:hAnsi="Book Antiqua" w:cs="Calibri"/>
                <w:b w:val="0"/>
                <w:sz w:val="21"/>
                <w:szCs w:val="21"/>
                <w:lang w:val="en-US"/>
              </w:rPr>
              <w:t xml:space="preserve"> </w:t>
            </w:r>
            <w:r w:rsidR="00B36D1C" w:rsidRPr="00C33C2F">
              <w:rPr>
                <w:rFonts w:ascii="Book Antiqua" w:hAnsi="Book Antiqua" w:cs="Calibri"/>
                <w:b w:val="0"/>
                <w:i/>
                <w:sz w:val="21"/>
                <w:szCs w:val="21"/>
                <w:lang w:val="en-US"/>
              </w:rPr>
              <w:t xml:space="preserve">et </w:t>
            </w:r>
            <w:proofErr w:type="gramStart"/>
            <w:r w:rsidR="00B36D1C" w:rsidRPr="00C33C2F">
              <w:rPr>
                <w:rFonts w:ascii="Book Antiqua" w:hAnsi="Book Antiqua" w:cs="Calibri"/>
                <w:b w:val="0"/>
                <w:i/>
                <w:sz w:val="21"/>
                <w:szCs w:val="21"/>
                <w:lang w:val="en-US"/>
              </w:rPr>
              <w:t>al</w:t>
            </w:r>
            <w:r w:rsidR="00B36D1C" w:rsidRPr="00C33C2F">
              <w:rPr>
                <w:rFonts w:ascii="Book Antiqua" w:hAnsi="Book Antiqua" w:cs="Calibri" w:hint="eastAsia"/>
                <w:b w:val="0"/>
                <w:sz w:val="21"/>
                <w:szCs w:val="21"/>
                <w:vertAlign w:val="superscript"/>
                <w:lang w:val="en-US" w:eastAsia="zh-CN"/>
              </w:rPr>
              <w:t>[</w:t>
            </w:r>
            <w:proofErr w:type="gramEnd"/>
            <w:r w:rsidR="00B36D1C" w:rsidRPr="00C33C2F">
              <w:rPr>
                <w:rFonts w:ascii="Book Antiqua" w:hAnsi="Book Antiqua" w:cs="Calibri" w:hint="eastAsia"/>
                <w:b w:val="0"/>
                <w:sz w:val="21"/>
                <w:szCs w:val="21"/>
                <w:vertAlign w:val="superscript"/>
                <w:lang w:val="en-US" w:eastAsia="zh-CN"/>
              </w:rPr>
              <w:t>35]</w:t>
            </w:r>
            <w:r w:rsidR="00B36D1C" w:rsidRPr="00C33C2F">
              <w:rPr>
                <w:rFonts w:ascii="Book Antiqua" w:hAnsi="Book Antiqua" w:cs="Calibri"/>
                <w:b w:val="0"/>
                <w:i/>
                <w:sz w:val="21"/>
                <w:szCs w:val="21"/>
                <w:lang w:val="en-US"/>
              </w:rPr>
              <w:t>,</w:t>
            </w:r>
            <w:r w:rsidR="00B36D1C" w:rsidRPr="00C33C2F">
              <w:rPr>
                <w:rFonts w:ascii="Book Antiqua" w:hAnsi="Book Antiqua" w:cs="Calibri"/>
                <w:b w:val="0"/>
                <w:sz w:val="21"/>
                <w:szCs w:val="21"/>
                <w:lang w:val="en-US"/>
              </w:rPr>
              <w:t xml:space="preserve"> </w:t>
            </w:r>
            <w:r w:rsidRPr="00C33C2F">
              <w:rPr>
                <w:rFonts w:ascii="Book Antiqua" w:hAnsi="Book Antiqua" w:cs="Calibri"/>
                <w:b w:val="0"/>
                <w:sz w:val="21"/>
                <w:szCs w:val="21"/>
                <w:lang w:val="en-US"/>
              </w:rPr>
              <w:t>2015.</w:t>
            </w:r>
          </w:p>
          <w:p w:rsidR="00523610" w:rsidRPr="00C33C2F" w:rsidRDefault="00523610" w:rsidP="008B1267">
            <w:pPr>
              <w:autoSpaceDE w:val="0"/>
              <w:autoSpaceDN w:val="0"/>
              <w:adjustRightInd w:val="0"/>
              <w:spacing w:line="480" w:lineRule="auto"/>
              <w:jc w:val="both"/>
              <w:rPr>
                <w:rFonts w:ascii="Book Antiqua" w:hAnsi="Book Antiqua" w:cs="Calibri"/>
                <w:b w:val="0"/>
                <w:sz w:val="21"/>
                <w:szCs w:val="21"/>
                <w:lang w:val="en-US"/>
              </w:rPr>
            </w:pPr>
            <w:r w:rsidRPr="00C33C2F">
              <w:rPr>
                <w:rFonts w:ascii="Book Antiqua" w:hAnsi="Book Antiqua" w:cs="Calibri"/>
                <w:b w:val="0"/>
                <w:sz w:val="21"/>
                <w:szCs w:val="21"/>
                <w:lang w:val="en-US"/>
              </w:rPr>
              <w:t>Poland</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Open-label, prospective, </w:t>
            </w:r>
            <w:proofErr w:type="spellStart"/>
            <w:r w:rsidRPr="00C33C2F">
              <w:rPr>
                <w:rFonts w:ascii="Book Antiqua" w:hAnsi="Book Antiqua" w:cs="Calibri"/>
                <w:sz w:val="21"/>
                <w:szCs w:val="21"/>
                <w:lang w:val="en-US"/>
              </w:rPr>
              <w:t>observationalswitc</w:t>
            </w:r>
            <w:r w:rsidRPr="00C33C2F">
              <w:rPr>
                <w:rFonts w:ascii="Book Antiqua" w:hAnsi="Book Antiqua" w:cs="Calibri"/>
                <w:sz w:val="21"/>
                <w:szCs w:val="21"/>
                <w:lang w:val="en-US"/>
              </w:rPr>
              <w:lastRenderedPageBreak/>
              <w:t>hing</w:t>
            </w:r>
            <w:proofErr w:type="spellEnd"/>
            <w:r w:rsidRPr="00C33C2F">
              <w:rPr>
                <w:rFonts w:ascii="Book Antiqua" w:hAnsi="Book Antiqua" w:cs="Calibri"/>
                <w:sz w:val="21"/>
                <w:szCs w:val="21"/>
                <w:lang w:val="en-US"/>
              </w:rPr>
              <w:t>, pediatric</w:t>
            </w:r>
          </w:p>
        </w:tc>
        <w:tc>
          <w:tcPr>
            <w:tcW w:w="87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lastRenderedPageBreak/>
              <w:t xml:space="preserve">8 </w:t>
            </w:r>
            <w:proofErr w:type="spellStart"/>
            <w:r w:rsidRPr="00C33C2F">
              <w:rPr>
                <w:rFonts w:ascii="Book Antiqua" w:hAnsi="Book Antiqua" w:cs="Calibri"/>
                <w:sz w:val="21"/>
                <w:szCs w:val="21"/>
                <w:lang w:val="en-US"/>
              </w:rPr>
              <w:t>mts</w:t>
            </w:r>
            <w:proofErr w:type="spellEnd"/>
          </w:p>
        </w:tc>
        <w:tc>
          <w:tcPr>
            <w:tcW w:w="822" w:type="dxa"/>
            <w:vMerge w:val="restart"/>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PCDAI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PUCAI</w:t>
            </w:r>
          </w:p>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CRP</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proofErr w:type="spellStart"/>
            <w:r w:rsidRPr="00C33C2F">
              <w:rPr>
                <w:rFonts w:ascii="Book Antiqua" w:hAnsi="Book Antiqua" w:cs="Calibri"/>
                <w:sz w:val="21"/>
                <w:szCs w:val="21"/>
                <w:lang w:val="en-US"/>
              </w:rPr>
              <w:t>pCD</w:t>
            </w:r>
            <w:proofErr w:type="spellEnd"/>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32</w:t>
            </w:r>
            <w:r w:rsidRPr="00C33C2F">
              <w:rPr>
                <w:rFonts w:ascii="Book Antiqua" w:hAnsi="Book Antiqua" w:cs="Calibri" w:hint="eastAsia"/>
                <w:sz w:val="21"/>
                <w:szCs w:val="21"/>
                <w:vertAlign w:val="superscript"/>
                <w:lang w:val="en-US" w:eastAsia="zh-CN"/>
              </w:rPr>
              <w:t>5</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26</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87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5 (28/32)</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3</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1 (1/32)</w:t>
            </w:r>
          </w:p>
        </w:tc>
      </w:tr>
      <w:tr w:rsidR="00523610" w:rsidRPr="00C33C2F" w:rsidTr="0052361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rPr>
                <w:rFonts w:ascii="Book Antiqua" w:hAnsi="Book Antiqua" w:cs="Calibri"/>
                <w:sz w:val="21"/>
                <w:szCs w:val="21"/>
                <w:lang w:val="en-US"/>
              </w:rPr>
            </w:pPr>
          </w:p>
        </w:tc>
        <w:tc>
          <w:tcPr>
            <w:tcW w:w="1134"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87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 xml:space="preserve">5 </w:t>
            </w:r>
            <w:proofErr w:type="spellStart"/>
            <w:r w:rsidRPr="00C33C2F">
              <w:rPr>
                <w:rFonts w:ascii="Book Antiqua" w:hAnsi="Book Antiqua" w:cs="Calibri"/>
                <w:sz w:val="21"/>
                <w:szCs w:val="21"/>
                <w:lang w:val="en-US"/>
              </w:rPr>
              <w:t>mts</w:t>
            </w:r>
            <w:proofErr w:type="spellEnd"/>
          </w:p>
        </w:tc>
        <w:tc>
          <w:tcPr>
            <w:tcW w:w="822" w:type="dxa"/>
            <w:vMerge/>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proofErr w:type="spellStart"/>
            <w:r w:rsidRPr="00C33C2F">
              <w:rPr>
                <w:rFonts w:ascii="Book Antiqua" w:hAnsi="Book Antiqua" w:cs="Calibri"/>
                <w:sz w:val="21"/>
                <w:szCs w:val="21"/>
                <w:lang w:val="en-US"/>
              </w:rPr>
              <w:t>pUC</w:t>
            </w:r>
            <w:proofErr w:type="spellEnd"/>
          </w:p>
        </w:tc>
        <w:tc>
          <w:tcPr>
            <w:tcW w:w="56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vertAlign w:val="superscript"/>
                <w:lang w:val="en-US" w:eastAsia="zh-CN"/>
              </w:rPr>
            </w:pPr>
            <w:r w:rsidRPr="00C33C2F">
              <w:rPr>
                <w:rFonts w:ascii="Book Antiqua" w:hAnsi="Book Antiqua" w:cs="Calibri"/>
                <w:sz w:val="21"/>
                <w:szCs w:val="21"/>
                <w:lang w:val="en-US"/>
              </w:rPr>
              <w:t>7</w:t>
            </w:r>
            <w:r w:rsidRPr="00C33C2F">
              <w:rPr>
                <w:rFonts w:ascii="Book Antiqua" w:hAnsi="Book Antiqua" w:cs="Calibri" w:hint="eastAsia"/>
                <w:sz w:val="21"/>
                <w:szCs w:val="21"/>
                <w:vertAlign w:val="superscript"/>
                <w:lang w:val="en-US" w:eastAsia="zh-CN"/>
              </w:rPr>
              <w:t>5</w:t>
            </w:r>
          </w:p>
        </w:tc>
        <w:tc>
          <w:tcPr>
            <w:tcW w:w="709"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6</w:t>
            </w:r>
          </w:p>
        </w:tc>
        <w:tc>
          <w:tcPr>
            <w:tcW w:w="1057"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955"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57</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1 (4/7)</w:t>
            </w:r>
          </w:p>
        </w:tc>
        <w:tc>
          <w:tcPr>
            <w:tcW w:w="1106"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NR</w:t>
            </w:r>
          </w:p>
        </w:tc>
        <w:tc>
          <w:tcPr>
            <w:tcW w:w="1134" w:type="dxa"/>
            <w:tcBorders>
              <w:top w:val="none" w:sz="0" w:space="0" w:color="auto"/>
              <w:left w:val="none" w:sz="0" w:space="0" w:color="auto"/>
              <w:bottom w:val="none" w:sz="0" w:space="0" w:color="auto"/>
              <w:right w:val="none" w:sz="0" w:space="0" w:color="auto"/>
            </w:tcBorders>
            <w:shd w:val="clear" w:color="auto" w:fill="auto"/>
          </w:tcPr>
          <w:p w:rsidR="00523610" w:rsidRPr="00C33C2F" w:rsidRDefault="00523610" w:rsidP="008B1267">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1"/>
                <w:szCs w:val="21"/>
                <w:lang w:val="en-US"/>
              </w:rPr>
            </w:pPr>
            <w:r w:rsidRPr="00C33C2F">
              <w:rPr>
                <w:rFonts w:ascii="Book Antiqua" w:hAnsi="Book Antiqua" w:cs="Calibri"/>
                <w:sz w:val="21"/>
                <w:szCs w:val="21"/>
                <w:lang w:val="en-US"/>
              </w:rPr>
              <w:t>28</w:t>
            </w:r>
            <w:r w:rsidRPr="00C33C2F">
              <w:rPr>
                <w:rFonts w:ascii="Book Antiqua" w:hAnsi="Book Antiqua" w:cs="Calibri" w:hint="eastAsia"/>
                <w:sz w:val="21"/>
                <w:szCs w:val="21"/>
                <w:lang w:val="en-US" w:eastAsia="zh-CN"/>
              </w:rPr>
              <w:t>.</w:t>
            </w:r>
            <w:r w:rsidRPr="00C33C2F">
              <w:rPr>
                <w:rFonts w:ascii="Book Antiqua" w:hAnsi="Book Antiqua" w:cs="Calibri"/>
                <w:sz w:val="21"/>
                <w:szCs w:val="21"/>
                <w:lang w:val="en-US"/>
              </w:rPr>
              <w:t>6 (2/7)</w:t>
            </w:r>
          </w:p>
        </w:tc>
      </w:tr>
    </w:tbl>
    <w:p w:rsidR="00523610" w:rsidRPr="00CA04A5" w:rsidRDefault="00CA04A5" w:rsidP="008B1267">
      <w:pPr>
        <w:autoSpaceDE w:val="0"/>
        <w:autoSpaceDN w:val="0"/>
        <w:adjustRightInd w:val="0"/>
        <w:spacing w:after="0" w:line="360" w:lineRule="auto"/>
        <w:jc w:val="both"/>
        <w:rPr>
          <w:rFonts w:ascii="Book Antiqua" w:hAnsi="Book Antiqua" w:cs="Calibri"/>
          <w:color w:val="000000" w:themeColor="text1"/>
          <w:sz w:val="24"/>
          <w:szCs w:val="24"/>
          <w:lang w:val="en-US" w:eastAsia="zh-CN"/>
        </w:rPr>
      </w:pPr>
      <w:r w:rsidRPr="00CA04A5">
        <w:rPr>
          <w:rFonts w:ascii="Book Antiqua" w:hAnsi="Book Antiqua" w:cs="Calibri"/>
          <w:color w:val="000000" w:themeColor="text1"/>
          <w:sz w:val="24"/>
          <w:szCs w:val="24"/>
          <w:vertAlign w:val="superscript"/>
          <w:lang w:val="en-US" w:eastAsia="zh-CN"/>
        </w:rPr>
        <w:lastRenderedPageBreak/>
        <w:t>1</w:t>
      </w:r>
      <w:r w:rsidR="008A59DF">
        <w:rPr>
          <w:rFonts w:ascii="Book Antiqua" w:hAnsi="Book Antiqua" w:cs="Calibri" w:hint="eastAsia"/>
          <w:color w:val="000000" w:themeColor="text1"/>
          <w:sz w:val="24"/>
          <w:szCs w:val="24"/>
          <w:lang w:val="en-US" w:eastAsia="zh-CN"/>
        </w:rPr>
        <w:t>The</w:t>
      </w:r>
      <w:r w:rsidR="008A59DF" w:rsidRPr="008A59DF">
        <w:rPr>
          <w:rFonts w:ascii="Book Antiqua" w:hAnsi="Book Antiqua" w:cs="Calibri"/>
          <w:color w:val="000000" w:themeColor="text1"/>
          <w:sz w:val="24"/>
          <w:szCs w:val="24"/>
          <w:lang w:val="en-US" w:eastAsia="zh-CN"/>
        </w:rPr>
        <w:t xml:space="preserve"> patients who completed induction treatment</w:t>
      </w:r>
      <w:r w:rsidR="00523610"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hint="eastAsia"/>
          <w:color w:val="000000" w:themeColor="text1"/>
          <w:sz w:val="24"/>
          <w:szCs w:val="24"/>
          <w:vertAlign w:val="superscript"/>
          <w:lang w:val="en-US" w:eastAsia="zh-CN"/>
        </w:rPr>
        <w:t>2</w:t>
      </w:r>
      <w:r w:rsidR="00523610" w:rsidRPr="00CA04A5">
        <w:rPr>
          <w:rFonts w:ascii="Book Antiqua" w:hAnsi="Book Antiqua" w:cs="Calibri"/>
          <w:color w:val="000000" w:themeColor="text1"/>
          <w:sz w:val="24"/>
          <w:szCs w:val="24"/>
          <w:lang w:val="en-US"/>
        </w:rPr>
        <w:t>At week 30</w:t>
      </w:r>
      <w:r w:rsidR="00523610"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hint="eastAsia"/>
          <w:color w:val="000000" w:themeColor="text1"/>
          <w:sz w:val="24"/>
          <w:szCs w:val="24"/>
          <w:vertAlign w:val="superscript"/>
          <w:lang w:val="en-US" w:eastAsia="zh-CN"/>
        </w:rPr>
        <w:t>3</w:t>
      </w:r>
      <w:r w:rsidR="00523610" w:rsidRPr="00CA04A5">
        <w:rPr>
          <w:rFonts w:ascii="Book Antiqua" w:hAnsi="Book Antiqua" w:cs="Calibri"/>
          <w:color w:val="000000" w:themeColor="text1"/>
          <w:sz w:val="24"/>
          <w:szCs w:val="24"/>
          <w:lang w:val="en-US"/>
        </w:rPr>
        <w:t>In TNF-naïve patients only</w:t>
      </w:r>
      <w:r w:rsidR="00523610"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hint="eastAsia"/>
          <w:color w:val="000000" w:themeColor="text1"/>
          <w:sz w:val="24"/>
          <w:szCs w:val="24"/>
          <w:vertAlign w:val="superscript"/>
          <w:lang w:val="en-US" w:eastAsia="zh-CN"/>
        </w:rPr>
        <w:t>4</w:t>
      </w:r>
      <w:r w:rsidR="00523610" w:rsidRPr="00CA04A5">
        <w:rPr>
          <w:rFonts w:ascii="Book Antiqua" w:hAnsi="Book Antiqua" w:cs="Calibri"/>
          <w:color w:val="000000" w:themeColor="text1"/>
          <w:sz w:val="24"/>
          <w:szCs w:val="24"/>
          <w:lang w:val="en-US"/>
        </w:rPr>
        <w:t xml:space="preserve">Including </w:t>
      </w:r>
      <w:proofErr w:type="spellStart"/>
      <w:r w:rsidR="00523610" w:rsidRPr="00CA04A5">
        <w:rPr>
          <w:rFonts w:ascii="Book Antiqua" w:hAnsi="Book Antiqua" w:cs="Calibri"/>
          <w:color w:val="000000" w:themeColor="text1"/>
          <w:sz w:val="24"/>
          <w:szCs w:val="24"/>
          <w:lang w:val="en-US"/>
        </w:rPr>
        <w:t>fistulizing</w:t>
      </w:r>
      <w:proofErr w:type="spellEnd"/>
      <w:r w:rsidR="00523610" w:rsidRPr="00CA04A5">
        <w:rPr>
          <w:rFonts w:ascii="Book Antiqua" w:hAnsi="Book Antiqua" w:cs="Calibri"/>
          <w:color w:val="000000" w:themeColor="text1"/>
          <w:sz w:val="24"/>
          <w:szCs w:val="24"/>
          <w:lang w:val="en-US"/>
        </w:rPr>
        <w:t xml:space="preserve"> active CD (</w:t>
      </w:r>
      <w:r w:rsidR="00523610" w:rsidRPr="00CA04A5">
        <w:rPr>
          <w:rFonts w:ascii="Book Antiqua" w:hAnsi="Book Antiqua" w:cs="Calibri"/>
          <w:i/>
          <w:color w:val="000000" w:themeColor="text1"/>
          <w:sz w:val="24"/>
          <w:szCs w:val="24"/>
          <w:lang w:val="en-US"/>
        </w:rPr>
        <w:t>n</w:t>
      </w:r>
      <w:r w:rsidR="00B36D1C"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color w:val="000000" w:themeColor="text1"/>
          <w:sz w:val="24"/>
          <w:szCs w:val="24"/>
          <w:lang w:val="en-US"/>
        </w:rPr>
        <w:t>=</w:t>
      </w:r>
      <w:r w:rsidR="00B36D1C"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color w:val="000000" w:themeColor="text1"/>
          <w:sz w:val="24"/>
          <w:szCs w:val="24"/>
          <w:lang w:val="en-US"/>
        </w:rPr>
        <w:t>12)</w:t>
      </w:r>
      <w:r w:rsidR="00523610"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hint="eastAsia"/>
          <w:color w:val="000000" w:themeColor="text1"/>
          <w:sz w:val="24"/>
          <w:szCs w:val="24"/>
          <w:vertAlign w:val="superscript"/>
          <w:lang w:val="en-US" w:eastAsia="zh-CN"/>
        </w:rPr>
        <w:t>5</w:t>
      </w:r>
      <w:r w:rsidR="00523610" w:rsidRPr="00CA04A5">
        <w:rPr>
          <w:rFonts w:ascii="Book Antiqua" w:hAnsi="Book Antiqua" w:cs="Calibri"/>
          <w:color w:val="000000" w:themeColor="text1"/>
          <w:sz w:val="24"/>
          <w:szCs w:val="24"/>
          <w:vertAlign w:val="superscript"/>
          <w:lang w:val="en-US"/>
        </w:rPr>
        <w:t xml:space="preserve"> </w:t>
      </w:r>
      <w:r w:rsidR="00B36D1C" w:rsidRPr="00CA04A5">
        <w:rPr>
          <w:rFonts w:ascii="Book Antiqua" w:hAnsi="Book Antiqua" w:cs="Calibri"/>
          <w:color w:val="000000" w:themeColor="text1"/>
          <w:sz w:val="24"/>
          <w:szCs w:val="24"/>
          <w:lang w:val="en-US"/>
        </w:rPr>
        <w:t xml:space="preserve">Patients </w:t>
      </w:r>
      <w:r w:rsidR="00523610" w:rsidRPr="00CA04A5">
        <w:rPr>
          <w:rFonts w:ascii="Book Antiqua" w:hAnsi="Book Antiqua" w:cs="Calibri"/>
          <w:color w:val="000000" w:themeColor="text1"/>
          <w:sz w:val="24"/>
          <w:szCs w:val="24"/>
          <w:lang w:val="en-US"/>
        </w:rPr>
        <w:t>had switched from infliximab to CT-P13</w:t>
      </w:r>
      <w:r w:rsidR="00523610"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color w:val="000000" w:themeColor="text1"/>
          <w:sz w:val="24"/>
          <w:szCs w:val="24"/>
          <w:lang w:val="en-US"/>
        </w:rPr>
        <w:t>NR</w:t>
      </w:r>
      <w:r w:rsidR="00523610" w:rsidRPr="00CA04A5">
        <w:rPr>
          <w:rFonts w:ascii="Book Antiqua" w:hAnsi="Book Antiqua" w:cs="Calibri" w:hint="eastAsia"/>
          <w:color w:val="000000" w:themeColor="text1"/>
          <w:sz w:val="24"/>
          <w:szCs w:val="24"/>
          <w:lang w:val="en-US" w:eastAsia="zh-CN"/>
        </w:rPr>
        <w:t xml:space="preserve">: </w:t>
      </w:r>
      <w:r w:rsidR="00523610" w:rsidRPr="00CA04A5">
        <w:rPr>
          <w:rFonts w:ascii="Book Antiqua" w:hAnsi="Book Antiqua" w:cs="Calibri"/>
          <w:color w:val="000000" w:themeColor="text1"/>
          <w:sz w:val="24"/>
          <w:szCs w:val="24"/>
          <w:lang w:val="en-US"/>
        </w:rPr>
        <w:t>Not Reported</w:t>
      </w:r>
      <w:r w:rsidR="00523610" w:rsidRPr="00CA04A5">
        <w:rPr>
          <w:rFonts w:ascii="Book Antiqua" w:hAnsi="Book Antiqua" w:cs="Calibri" w:hint="eastAsia"/>
          <w:color w:val="000000" w:themeColor="text1"/>
          <w:sz w:val="24"/>
          <w:szCs w:val="24"/>
          <w:lang w:val="en-US" w:eastAsia="zh-CN"/>
        </w:rPr>
        <w:t>.</w:t>
      </w:r>
    </w:p>
    <w:p w:rsidR="001C04A7" w:rsidRPr="00C33C2F" w:rsidRDefault="001C04A7" w:rsidP="008B1267">
      <w:pPr>
        <w:spacing w:after="0"/>
        <w:jc w:val="both"/>
        <w:rPr>
          <w:rFonts w:ascii="Book Antiqua" w:hAnsi="Book Antiqua"/>
        </w:rPr>
      </w:pPr>
      <w:bookmarkStart w:id="42" w:name="_GoBack"/>
      <w:bookmarkEnd w:id="42"/>
    </w:p>
    <w:sectPr w:rsidR="001C04A7" w:rsidRPr="00C33C2F" w:rsidSect="00507CFE">
      <w:endnotePr>
        <w:numFmt w:val="decimal"/>
      </w:end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E4" w:rsidRDefault="00587EE4" w:rsidP="00507CFE">
      <w:pPr>
        <w:spacing w:after="0" w:line="240" w:lineRule="auto"/>
      </w:pPr>
      <w:r>
        <w:separator/>
      </w:r>
    </w:p>
  </w:endnote>
  <w:endnote w:type="continuationSeparator" w:id="0">
    <w:p w:rsidR="00587EE4" w:rsidRDefault="00587EE4" w:rsidP="0050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黑体"/>
    <w:panose1 w:val="00000000000000000000"/>
    <w:charset w:val="86"/>
    <w:family w:val="auto"/>
    <w:notTrueType/>
    <w:pitch w:val="default"/>
    <w:sig w:usb0="00000003" w:usb1="080E0000" w:usb2="00000010" w:usb3="00000000" w:csb0="00040001" w:csb1="00000000"/>
  </w:font>
  <w:font w:name="AdvP45A506">
    <w:panose1 w:val="00000000000000000000"/>
    <w:charset w:val="00"/>
    <w:family w:val="swiss"/>
    <w:notTrueType/>
    <w:pitch w:val="default"/>
    <w:sig w:usb0="00000003" w:usb1="00000000" w:usb2="00000000" w:usb3="00000000" w:csb0="00000001" w:csb1="00000000"/>
  </w:font>
  <w:font w:name="PlantinStd">
    <w:panose1 w:val="00000000000000000000"/>
    <w:charset w:val="00"/>
    <w:family w:val="roman"/>
    <w:notTrueType/>
    <w:pitch w:val="default"/>
    <w:sig w:usb0="00000003" w:usb1="00000000" w:usb2="00000000" w:usb3="00000000" w:csb0="00000001" w:csb1="00000000"/>
  </w:font>
  <w:font w:name="AdvOT863180fb">
    <w:altName w:val="宋体"/>
    <w:panose1 w:val="00000000000000000000"/>
    <w:charset w:val="86"/>
    <w:family w:val="auto"/>
    <w:notTrueType/>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E4" w:rsidRDefault="00587EE4" w:rsidP="00507CFE">
      <w:pPr>
        <w:spacing w:after="0" w:line="240" w:lineRule="auto"/>
      </w:pPr>
      <w:r>
        <w:separator/>
      </w:r>
    </w:p>
  </w:footnote>
  <w:footnote w:type="continuationSeparator" w:id="0">
    <w:p w:rsidR="00587EE4" w:rsidRDefault="00587EE4" w:rsidP="00507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D7DD2"/>
    <w:multiLevelType w:val="multilevel"/>
    <w:tmpl w:val="D224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31"/>
    <w:rsid w:val="00013F9D"/>
    <w:rsid w:val="000227D7"/>
    <w:rsid w:val="00022ABC"/>
    <w:rsid w:val="00031386"/>
    <w:rsid w:val="00035DA4"/>
    <w:rsid w:val="000465B7"/>
    <w:rsid w:val="00063C0A"/>
    <w:rsid w:val="00087A6D"/>
    <w:rsid w:val="000973AE"/>
    <w:rsid w:val="000B2B32"/>
    <w:rsid w:val="000B4DC1"/>
    <w:rsid w:val="001142D5"/>
    <w:rsid w:val="00123DE8"/>
    <w:rsid w:val="0013144D"/>
    <w:rsid w:val="001418D1"/>
    <w:rsid w:val="0014417A"/>
    <w:rsid w:val="001451C5"/>
    <w:rsid w:val="001508E0"/>
    <w:rsid w:val="001639FC"/>
    <w:rsid w:val="00177F35"/>
    <w:rsid w:val="001807F3"/>
    <w:rsid w:val="001834CE"/>
    <w:rsid w:val="001B00BC"/>
    <w:rsid w:val="001C04A7"/>
    <w:rsid w:val="001C17F1"/>
    <w:rsid w:val="001C71A7"/>
    <w:rsid w:val="001D6CF5"/>
    <w:rsid w:val="001F7029"/>
    <w:rsid w:val="001F7CA0"/>
    <w:rsid w:val="00206B95"/>
    <w:rsid w:val="0022713F"/>
    <w:rsid w:val="002423F4"/>
    <w:rsid w:val="00262194"/>
    <w:rsid w:val="00274189"/>
    <w:rsid w:val="0028178D"/>
    <w:rsid w:val="00284B3F"/>
    <w:rsid w:val="0029124F"/>
    <w:rsid w:val="002947BC"/>
    <w:rsid w:val="00296910"/>
    <w:rsid w:val="00297812"/>
    <w:rsid w:val="002A63B4"/>
    <w:rsid w:val="002B6A98"/>
    <w:rsid w:val="002C2D47"/>
    <w:rsid w:val="002C3928"/>
    <w:rsid w:val="00302E87"/>
    <w:rsid w:val="00304173"/>
    <w:rsid w:val="00307B02"/>
    <w:rsid w:val="003112C7"/>
    <w:rsid w:val="00314CF1"/>
    <w:rsid w:val="003153DD"/>
    <w:rsid w:val="00320A18"/>
    <w:rsid w:val="0033233C"/>
    <w:rsid w:val="003420AF"/>
    <w:rsid w:val="00347276"/>
    <w:rsid w:val="003521C7"/>
    <w:rsid w:val="003722D1"/>
    <w:rsid w:val="00374C12"/>
    <w:rsid w:val="003750B1"/>
    <w:rsid w:val="00377070"/>
    <w:rsid w:val="00377C65"/>
    <w:rsid w:val="003930C5"/>
    <w:rsid w:val="003A7667"/>
    <w:rsid w:val="003B040A"/>
    <w:rsid w:val="003B06BE"/>
    <w:rsid w:val="003E15D1"/>
    <w:rsid w:val="003F27ED"/>
    <w:rsid w:val="004042F8"/>
    <w:rsid w:val="00412AB7"/>
    <w:rsid w:val="00421059"/>
    <w:rsid w:val="00423EB0"/>
    <w:rsid w:val="00445CC9"/>
    <w:rsid w:val="004540A4"/>
    <w:rsid w:val="00456003"/>
    <w:rsid w:val="00464F31"/>
    <w:rsid w:val="00466231"/>
    <w:rsid w:val="00471BCC"/>
    <w:rsid w:val="00476EDA"/>
    <w:rsid w:val="00480A86"/>
    <w:rsid w:val="00483753"/>
    <w:rsid w:val="00486D00"/>
    <w:rsid w:val="00492550"/>
    <w:rsid w:val="004A3749"/>
    <w:rsid w:val="004B649B"/>
    <w:rsid w:val="004D557C"/>
    <w:rsid w:val="004E6699"/>
    <w:rsid w:val="004E7278"/>
    <w:rsid w:val="004F060A"/>
    <w:rsid w:val="004F2D70"/>
    <w:rsid w:val="004F44D7"/>
    <w:rsid w:val="0050187C"/>
    <w:rsid w:val="00503B4A"/>
    <w:rsid w:val="00507CB3"/>
    <w:rsid w:val="00507CFE"/>
    <w:rsid w:val="00512D84"/>
    <w:rsid w:val="00523610"/>
    <w:rsid w:val="00530D56"/>
    <w:rsid w:val="005533F6"/>
    <w:rsid w:val="005573F8"/>
    <w:rsid w:val="00570976"/>
    <w:rsid w:val="00583AC2"/>
    <w:rsid w:val="00587EE4"/>
    <w:rsid w:val="005A189D"/>
    <w:rsid w:val="005A659D"/>
    <w:rsid w:val="005D70C2"/>
    <w:rsid w:val="005E7BF8"/>
    <w:rsid w:val="005F3FCD"/>
    <w:rsid w:val="005F5A6B"/>
    <w:rsid w:val="00606353"/>
    <w:rsid w:val="00614741"/>
    <w:rsid w:val="00623432"/>
    <w:rsid w:val="0064700F"/>
    <w:rsid w:val="00647082"/>
    <w:rsid w:val="0066037A"/>
    <w:rsid w:val="00660FC7"/>
    <w:rsid w:val="00675C56"/>
    <w:rsid w:val="006875EE"/>
    <w:rsid w:val="006A6500"/>
    <w:rsid w:val="006B0284"/>
    <w:rsid w:val="006B3E8A"/>
    <w:rsid w:val="006B4ADF"/>
    <w:rsid w:val="006C47F4"/>
    <w:rsid w:val="006C55DB"/>
    <w:rsid w:val="006E38D6"/>
    <w:rsid w:val="007019DA"/>
    <w:rsid w:val="007033E4"/>
    <w:rsid w:val="00720C57"/>
    <w:rsid w:val="007225E1"/>
    <w:rsid w:val="007249BF"/>
    <w:rsid w:val="00730335"/>
    <w:rsid w:val="007471DE"/>
    <w:rsid w:val="00752584"/>
    <w:rsid w:val="00760AA0"/>
    <w:rsid w:val="00774F14"/>
    <w:rsid w:val="00776322"/>
    <w:rsid w:val="007810F2"/>
    <w:rsid w:val="0078482B"/>
    <w:rsid w:val="007A1D69"/>
    <w:rsid w:val="007F12EF"/>
    <w:rsid w:val="007F2243"/>
    <w:rsid w:val="008030AC"/>
    <w:rsid w:val="008077B5"/>
    <w:rsid w:val="008106CF"/>
    <w:rsid w:val="00815AFD"/>
    <w:rsid w:val="00823CAA"/>
    <w:rsid w:val="008259CB"/>
    <w:rsid w:val="00831590"/>
    <w:rsid w:val="008401A2"/>
    <w:rsid w:val="00842154"/>
    <w:rsid w:val="0085199A"/>
    <w:rsid w:val="00855F5B"/>
    <w:rsid w:val="00895E25"/>
    <w:rsid w:val="008A59DF"/>
    <w:rsid w:val="008B1267"/>
    <w:rsid w:val="008C16DA"/>
    <w:rsid w:val="008C5D23"/>
    <w:rsid w:val="00905714"/>
    <w:rsid w:val="009349FC"/>
    <w:rsid w:val="00943330"/>
    <w:rsid w:val="00943C26"/>
    <w:rsid w:val="00943FA3"/>
    <w:rsid w:val="00944CCE"/>
    <w:rsid w:val="00951D6F"/>
    <w:rsid w:val="00953185"/>
    <w:rsid w:val="0096775B"/>
    <w:rsid w:val="00970ACD"/>
    <w:rsid w:val="00975B7E"/>
    <w:rsid w:val="009911B3"/>
    <w:rsid w:val="009B0A9F"/>
    <w:rsid w:val="009C0E27"/>
    <w:rsid w:val="009C399A"/>
    <w:rsid w:val="009C517E"/>
    <w:rsid w:val="009D061D"/>
    <w:rsid w:val="009D4F8F"/>
    <w:rsid w:val="009D598B"/>
    <w:rsid w:val="009E2800"/>
    <w:rsid w:val="009E4204"/>
    <w:rsid w:val="009E4D36"/>
    <w:rsid w:val="009F2CC0"/>
    <w:rsid w:val="00A12850"/>
    <w:rsid w:val="00A13685"/>
    <w:rsid w:val="00A15F0C"/>
    <w:rsid w:val="00A444F7"/>
    <w:rsid w:val="00A65250"/>
    <w:rsid w:val="00A722A6"/>
    <w:rsid w:val="00A72765"/>
    <w:rsid w:val="00A86194"/>
    <w:rsid w:val="00A95A70"/>
    <w:rsid w:val="00AB1644"/>
    <w:rsid w:val="00AD00A8"/>
    <w:rsid w:val="00AE3A46"/>
    <w:rsid w:val="00AE6460"/>
    <w:rsid w:val="00B00CF9"/>
    <w:rsid w:val="00B04C17"/>
    <w:rsid w:val="00B115AF"/>
    <w:rsid w:val="00B27349"/>
    <w:rsid w:val="00B3193D"/>
    <w:rsid w:val="00B31E73"/>
    <w:rsid w:val="00B3457B"/>
    <w:rsid w:val="00B36D1C"/>
    <w:rsid w:val="00B378CD"/>
    <w:rsid w:val="00B40FAB"/>
    <w:rsid w:val="00B57D93"/>
    <w:rsid w:val="00B76FB1"/>
    <w:rsid w:val="00B84765"/>
    <w:rsid w:val="00BB62BF"/>
    <w:rsid w:val="00BC06CC"/>
    <w:rsid w:val="00BE0EF0"/>
    <w:rsid w:val="00BF6F91"/>
    <w:rsid w:val="00C062E8"/>
    <w:rsid w:val="00C10A8F"/>
    <w:rsid w:val="00C261EA"/>
    <w:rsid w:val="00C33C2F"/>
    <w:rsid w:val="00C34BA0"/>
    <w:rsid w:val="00C4146C"/>
    <w:rsid w:val="00C61216"/>
    <w:rsid w:val="00C829AD"/>
    <w:rsid w:val="00CA04A5"/>
    <w:rsid w:val="00CA36D1"/>
    <w:rsid w:val="00CA630E"/>
    <w:rsid w:val="00CD3A15"/>
    <w:rsid w:val="00CE0557"/>
    <w:rsid w:val="00CF7D00"/>
    <w:rsid w:val="00D02240"/>
    <w:rsid w:val="00D04EE4"/>
    <w:rsid w:val="00D27E5B"/>
    <w:rsid w:val="00D31B34"/>
    <w:rsid w:val="00D31D9E"/>
    <w:rsid w:val="00D418FF"/>
    <w:rsid w:val="00D41F5C"/>
    <w:rsid w:val="00D424AB"/>
    <w:rsid w:val="00D57FE0"/>
    <w:rsid w:val="00D650F4"/>
    <w:rsid w:val="00D7131F"/>
    <w:rsid w:val="00D72B36"/>
    <w:rsid w:val="00D72C29"/>
    <w:rsid w:val="00D82038"/>
    <w:rsid w:val="00D827B5"/>
    <w:rsid w:val="00D82F11"/>
    <w:rsid w:val="00D85E2C"/>
    <w:rsid w:val="00D86714"/>
    <w:rsid w:val="00D93E14"/>
    <w:rsid w:val="00D95764"/>
    <w:rsid w:val="00D97EAC"/>
    <w:rsid w:val="00DB53F2"/>
    <w:rsid w:val="00DB7346"/>
    <w:rsid w:val="00DC301F"/>
    <w:rsid w:val="00DD20EF"/>
    <w:rsid w:val="00DD6CCD"/>
    <w:rsid w:val="00DF0CA6"/>
    <w:rsid w:val="00DF1E91"/>
    <w:rsid w:val="00E429D5"/>
    <w:rsid w:val="00E61CC4"/>
    <w:rsid w:val="00E7329D"/>
    <w:rsid w:val="00EB17F6"/>
    <w:rsid w:val="00EB18C1"/>
    <w:rsid w:val="00EC3488"/>
    <w:rsid w:val="00EE2B79"/>
    <w:rsid w:val="00EE4177"/>
    <w:rsid w:val="00EE4B4A"/>
    <w:rsid w:val="00F01936"/>
    <w:rsid w:val="00F16C4B"/>
    <w:rsid w:val="00F4259F"/>
    <w:rsid w:val="00F45DD2"/>
    <w:rsid w:val="00F46116"/>
    <w:rsid w:val="00F72E53"/>
    <w:rsid w:val="00F737FB"/>
    <w:rsid w:val="00F80431"/>
    <w:rsid w:val="00F81492"/>
    <w:rsid w:val="00F86119"/>
    <w:rsid w:val="00F918A2"/>
    <w:rsid w:val="00F9230F"/>
    <w:rsid w:val="00F971E5"/>
    <w:rsid w:val="00FA262F"/>
    <w:rsid w:val="00FB4BA2"/>
    <w:rsid w:val="00FB6EB3"/>
    <w:rsid w:val="00FC500C"/>
    <w:rsid w:val="00FD6DD3"/>
    <w:rsid w:val="00FE01B3"/>
    <w:rsid w:val="00FE3C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AD"/>
  </w:style>
  <w:style w:type="paragraph" w:styleId="1">
    <w:name w:val="heading 1"/>
    <w:basedOn w:val="a"/>
    <w:next w:val="a"/>
    <w:link w:val="1Char"/>
    <w:uiPriority w:val="9"/>
    <w:qFormat/>
    <w:rsid w:val="00687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A26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507CFE"/>
    <w:pPr>
      <w:spacing w:after="0" w:line="240" w:lineRule="auto"/>
    </w:pPr>
    <w:rPr>
      <w:sz w:val="20"/>
      <w:szCs w:val="20"/>
    </w:rPr>
  </w:style>
  <w:style w:type="character" w:customStyle="1" w:styleId="Char">
    <w:name w:val="尾注文本 Char"/>
    <w:basedOn w:val="a0"/>
    <w:link w:val="a3"/>
    <w:uiPriority w:val="99"/>
    <w:rsid w:val="00507CFE"/>
    <w:rPr>
      <w:sz w:val="20"/>
      <w:szCs w:val="20"/>
    </w:rPr>
  </w:style>
  <w:style w:type="character" w:styleId="a4">
    <w:name w:val="endnote reference"/>
    <w:basedOn w:val="a0"/>
    <w:uiPriority w:val="99"/>
    <w:semiHidden/>
    <w:unhideWhenUsed/>
    <w:rsid w:val="00507CFE"/>
    <w:rPr>
      <w:vertAlign w:val="superscript"/>
    </w:rPr>
  </w:style>
  <w:style w:type="character" w:customStyle="1" w:styleId="2Char">
    <w:name w:val="标题 2 Char"/>
    <w:basedOn w:val="a0"/>
    <w:link w:val="2"/>
    <w:uiPriority w:val="9"/>
    <w:rsid w:val="00FA262F"/>
    <w:rPr>
      <w:rFonts w:ascii="Times New Roman" w:eastAsia="Times New Roman" w:hAnsi="Times New Roman" w:cs="Times New Roman"/>
      <w:b/>
      <w:bCs/>
      <w:sz w:val="36"/>
      <w:szCs w:val="36"/>
      <w:lang w:eastAsia="it-IT"/>
    </w:rPr>
  </w:style>
  <w:style w:type="paragraph" w:styleId="a5">
    <w:name w:val="Normal (Web)"/>
    <w:basedOn w:val="a"/>
    <w:uiPriority w:val="99"/>
    <w:unhideWhenUsed/>
    <w:rsid w:val="00FA26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6">
    <w:name w:val="Strong"/>
    <w:basedOn w:val="a0"/>
    <w:uiPriority w:val="22"/>
    <w:qFormat/>
    <w:rsid w:val="00FA262F"/>
    <w:rPr>
      <w:b/>
      <w:bCs/>
    </w:rPr>
  </w:style>
  <w:style w:type="character" w:customStyle="1" w:styleId="apple-converted-space">
    <w:name w:val="apple-converted-space"/>
    <w:basedOn w:val="a0"/>
    <w:rsid w:val="00FA262F"/>
  </w:style>
  <w:style w:type="character" w:styleId="a7">
    <w:name w:val="Hyperlink"/>
    <w:basedOn w:val="a0"/>
    <w:unhideWhenUsed/>
    <w:rsid w:val="00FA262F"/>
    <w:rPr>
      <w:color w:val="0000FF"/>
      <w:u w:val="single"/>
    </w:rPr>
  </w:style>
  <w:style w:type="character" w:customStyle="1" w:styleId="tag-links">
    <w:name w:val="tag-links"/>
    <w:basedOn w:val="a0"/>
    <w:rsid w:val="00FA262F"/>
  </w:style>
  <w:style w:type="character" w:customStyle="1" w:styleId="entry-utility-prep">
    <w:name w:val="entry-utility-prep"/>
    <w:basedOn w:val="a0"/>
    <w:rsid w:val="00FA262F"/>
  </w:style>
  <w:style w:type="paragraph" w:styleId="a8">
    <w:name w:val="header"/>
    <w:basedOn w:val="a"/>
    <w:link w:val="Char0"/>
    <w:uiPriority w:val="99"/>
    <w:unhideWhenUsed/>
    <w:rsid w:val="000973AE"/>
    <w:pPr>
      <w:tabs>
        <w:tab w:val="center" w:pos="4819"/>
        <w:tab w:val="right" w:pos="9638"/>
      </w:tabs>
      <w:spacing w:after="0" w:line="240" w:lineRule="auto"/>
    </w:pPr>
  </w:style>
  <w:style w:type="character" w:customStyle="1" w:styleId="Char0">
    <w:name w:val="页眉 Char"/>
    <w:basedOn w:val="a0"/>
    <w:link w:val="a8"/>
    <w:uiPriority w:val="99"/>
    <w:rsid w:val="000973AE"/>
  </w:style>
  <w:style w:type="paragraph" w:styleId="a9">
    <w:name w:val="footer"/>
    <w:basedOn w:val="a"/>
    <w:link w:val="Char1"/>
    <w:uiPriority w:val="99"/>
    <w:unhideWhenUsed/>
    <w:rsid w:val="000973AE"/>
    <w:pPr>
      <w:tabs>
        <w:tab w:val="center" w:pos="4819"/>
        <w:tab w:val="right" w:pos="9638"/>
      </w:tabs>
      <w:spacing w:after="0" w:line="240" w:lineRule="auto"/>
    </w:pPr>
  </w:style>
  <w:style w:type="character" w:customStyle="1" w:styleId="Char1">
    <w:name w:val="页脚 Char"/>
    <w:basedOn w:val="a0"/>
    <w:link w:val="a9"/>
    <w:uiPriority w:val="99"/>
    <w:rsid w:val="000973AE"/>
  </w:style>
  <w:style w:type="table" w:styleId="aa">
    <w:name w:val="Table Grid"/>
    <w:basedOn w:val="a1"/>
    <w:uiPriority w:val="59"/>
    <w:rsid w:val="005A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rsid w:val="007019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Shading 1 Accent 2"/>
    <w:basedOn w:val="a1"/>
    <w:uiPriority w:val="63"/>
    <w:rsid w:val="007019D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Char">
    <w:name w:val="标题 1 Char"/>
    <w:basedOn w:val="a0"/>
    <w:link w:val="1"/>
    <w:uiPriority w:val="9"/>
    <w:rsid w:val="006875EE"/>
    <w:rPr>
      <w:rFonts w:asciiTheme="majorHAnsi" w:eastAsiaTheme="majorEastAsia" w:hAnsiTheme="majorHAnsi" w:cstheme="majorBidi"/>
      <w:b/>
      <w:bCs/>
      <w:color w:val="365F91" w:themeColor="accent1" w:themeShade="BF"/>
      <w:sz w:val="28"/>
      <w:szCs w:val="28"/>
    </w:rPr>
  </w:style>
  <w:style w:type="table" w:styleId="-20">
    <w:name w:val="Light Grid Accent 2"/>
    <w:basedOn w:val="a1"/>
    <w:uiPriority w:val="62"/>
    <w:rsid w:val="00EE4B4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b">
    <w:name w:val="FollowedHyperlink"/>
    <w:basedOn w:val="a0"/>
    <w:uiPriority w:val="99"/>
    <w:semiHidden/>
    <w:unhideWhenUsed/>
    <w:rsid w:val="008259CB"/>
    <w:rPr>
      <w:color w:val="800080" w:themeColor="followedHyperlink"/>
      <w:u w:val="single"/>
    </w:rPr>
  </w:style>
  <w:style w:type="character" w:customStyle="1" w:styleId="il">
    <w:name w:val="il"/>
    <w:basedOn w:val="a0"/>
    <w:uiPriority w:val="99"/>
    <w:rsid w:val="009D4F8F"/>
    <w:rPr>
      <w:rFonts w:cs="Times New Roman"/>
    </w:rPr>
  </w:style>
  <w:style w:type="character" w:customStyle="1" w:styleId="cit-name-surname">
    <w:name w:val="cit-name-surname"/>
    <w:basedOn w:val="a0"/>
    <w:rsid w:val="009E4204"/>
  </w:style>
  <w:style w:type="character" w:customStyle="1" w:styleId="cit-name-given-names">
    <w:name w:val="cit-name-given-names"/>
    <w:basedOn w:val="a0"/>
    <w:rsid w:val="009E4204"/>
  </w:style>
  <w:style w:type="character" w:customStyle="1" w:styleId="cit-etal">
    <w:name w:val="cit-etal"/>
    <w:basedOn w:val="a0"/>
    <w:rsid w:val="009E4204"/>
  </w:style>
  <w:style w:type="character" w:styleId="HTML">
    <w:name w:val="HTML Cite"/>
    <w:basedOn w:val="a0"/>
    <w:uiPriority w:val="99"/>
    <w:semiHidden/>
    <w:unhideWhenUsed/>
    <w:rsid w:val="009E4204"/>
    <w:rPr>
      <w:i/>
      <w:iCs/>
    </w:rPr>
  </w:style>
  <w:style w:type="character" w:customStyle="1" w:styleId="cit-article-title">
    <w:name w:val="cit-article-title"/>
    <w:basedOn w:val="a0"/>
    <w:rsid w:val="009E4204"/>
  </w:style>
  <w:style w:type="character" w:customStyle="1" w:styleId="cit-pub-date">
    <w:name w:val="cit-pub-date"/>
    <w:basedOn w:val="a0"/>
    <w:rsid w:val="009E4204"/>
  </w:style>
  <w:style w:type="character" w:customStyle="1" w:styleId="cit-vol">
    <w:name w:val="cit-vol"/>
    <w:basedOn w:val="a0"/>
    <w:rsid w:val="009E4204"/>
  </w:style>
  <w:style w:type="character" w:customStyle="1" w:styleId="cit-fpage">
    <w:name w:val="cit-fpage"/>
    <w:basedOn w:val="a0"/>
    <w:rsid w:val="009E4204"/>
  </w:style>
  <w:style w:type="character" w:customStyle="1" w:styleId="cit-lpage">
    <w:name w:val="cit-lpage"/>
    <w:basedOn w:val="a0"/>
    <w:rsid w:val="009E4204"/>
  </w:style>
  <w:style w:type="character" w:customStyle="1" w:styleId="cit-reflinks-abstract">
    <w:name w:val="cit-reflinks-abstract"/>
    <w:basedOn w:val="a0"/>
    <w:rsid w:val="009E4204"/>
  </w:style>
  <w:style w:type="character" w:customStyle="1" w:styleId="cit-sep">
    <w:name w:val="cit-sep"/>
    <w:basedOn w:val="a0"/>
    <w:rsid w:val="009E4204"/>
  </w:style>
  <w:style w:type="character" w:customStyle="1" w:styleId="cit-reflinks-full-text">
    <w:name w:val="cit-reflinks-full-text"/>
    <w:basedOn w:val="a0"/>
    <w:rsid w:val="009E4204"/>
  </w:style>
  <w:style w:type="character" w:customStyle="1" w:styleId="free-full-text">
    <w:name w:val="free-full-text"/>
    <w:basedOn w:val="a0"/>
    <w:rsid w:val="009E4204"/>
  </w:style>
  <w:style w:type="character" w:styleId="ac">
    <w:name w:val="annotation reference"/>
    <w:rsid w:val="009C399A"/>
    <w:rPr>
      <w:rFonts w:cs="Times New Roman"/>
      <w:sz w:val="21"/>
      <w:szCs w:val="21"/>
    </w:rPr>
  </w:style>
  <w:style w:type="paragraph" w:styleId="ad">
    <w:name w:val="annotation text"/>
    <w:basedOn w:val="a"/>
    <w:link w:val="Char2"/>
    <w:rsid w:val="009C399A"/>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d"/>
    <w:rsid w:val="009C399A"/>
    <w:rPr>
      <w:rFonts w:ascii="Times New Roman" w:eastAsia="宋体" w:hAnsi="Times New Roman" w:cs="Times New Roman"/>
      <w:sz w:val="24"/>
      <w:szCs w:val="24"/>
      <w:lang w:val="en-US"/>
    </w:rPr>
  </w:style>
  <w:style w:type="paragraph" w:styleId="ae">
    <w:name w:val="Balloon Text"/>
    <w:basedOn w:val="a"/>
    <w:link w:val="Char3"/>
    <w:uiPriority w:val="99"/>
    <w:semiHidden/>
    <w:unhideWhenUsed/>
    <w:rsid w:val="009C399A"/>
    <w:pPr>
      <w:spacing w:after="0" w:line="240" w:lineRule="auto"/>
    </w:pPr>
    <w:rPr>
      <w:sz w:val="18"/>
      <w:szCs w:val="18"/>
    </w:rPr>
  </w:style>
  <w:style w:type="character" w:customStyle="1" w:styleId="Char3">
    <w:name w:val="批注框文本 Char"/>
    <w:basedOn w:val="a0"/>
    <w:link w:val="ae"/>
    <w:uiPriority w:val="99"/>
    <w:semiHidden/>
    <w:rsid w:val="009C399A"/>
    <w:rPr>
      <w:sz w:val="18"/>
      <w:szCs w:val="18"/>
    </w:rPr>
  </w:style>
  <w:style w:type="paragraph" w:styleId="af">
    <w:name w:val="annotation subject"/>
    <w:basedOn w:val="ad"/>
    <w:next w:val="ad"/>
    <w:link w:val="Char4"/>
    <w:uiPriority w:val="99"/>
    <w:semiHidden/>
    <w:unhideWhenUsed/>
    <w:rsid w:val="009C399A"/>
    <w:pPr>
      <w:spacing w:after="200" w:line="276" w:lineRule="auto"/>
    </w:pPr>
    <w:rPr>
      <w:rFonts w:asciiTheme="minorHAnsi" w:eastAsiaTheme="minorEastAsia" w:hAnsiTheme="minorHAnsi" w:cstheme="minorBidi"/>
      <w:b/>
      <w:bCs/>
      <w:sz w:val="22"/>
      <w:szCs w:val="22"/>
      <w:lang w:val="it-IT"/>
    </w:rPr>
  </w:style>
  <w:style w:type="character" w:customStyle="1" w:styleId="Char4">
    <w:name w:val="批注主题 Char"/>
    <w:basedOn w:val="Char2"/>
    <w:link w:val="af"/>
    <w:uiPriority w:val="99"/>
    <w:semiHidden/>
    <w:rsid w:val="009C399A"/>
    <w:rPr>
      <w:rFonts w:ascii="Times New Roman" w:eastAsia="宋体" w:hAnsi="Times New Roman" w:cs="Times New Roman"/>
      <w:b/>
      <w:bCs/>
      <w:sz w:val="24"/>
      <w:szCs w:val="24"/>
      <w:lang w:val="en-US"/>
    </w:rPr>
  </w:style>
  <w:style w:type="character" w:customStyle="1" w:styleId="highlight">
    <w:name w:val="highlight"/>
    <w:basedOn w:val="a0"/>
    <w:rsid w:val="00B3193D"/>
  </w:style>
  <w:style w:type="paragraph" w:styleId="af0">
    <w:name w:val="List Paragraph"/>
    <w:basedOn w:val="a"/>
    <w:uiPriority w:val="34"/>
    <w:qFormat/>
    <w:rsid w:val="00DF0CA6"/>
    <w:pPr>
      <w:suppressAutoHyphens/>
      <w:spacing w:after="0" w:line="240" w:lineRule="auto"/>
      <w:ind w:firstLineChars="200" w:firstLine="420"/>
    </w:pPr>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AD"/>
  </w:style>
  <w:style w:type="paragraph" w:styleId="1">
    <w:name w:val="heading 1"/>
    <w:basedOn w:val="a"/>
    <w:next w:val="a"/>
    <w:link w:val="1Char"/>
    <w:uiPriority w:val="9"/>
    <w:qFormat/>
    <w:rsid w:val="00687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A26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507CFE"/>
    <w:pPr>
      <w:spacing w:after="0" w:line="240" w:lineRule="auto"/>
    </w:pPr>
    <w:rPr>
      <w:sz w:val="20"/>
      <w:szCs w:val="20"/>
    </w:rPr>
  </w:style>
  <w:style w:type="character" w:customStyle="1" w:styleId="Char">
    <w:name w:val="尾注文本 Char"/>
    <w:basedOn w:val="a0"/>
    <w:link w:val="a3"/>
    <w:uiPriority w:val="99"/>
    <w:rsid w:val="00507CFE"/>
    <w:rPr>
      <w:sz w:val="20"/>
      <w:szCs w:val="20"/>
    </w:rPr>
  </w:style>
  <w:style w:type="character" w:styleId="a4">
    <w:name w:val="endnote reference"/>
    <w:basedOn w:val="a0"/>
    <w:uiPriority w:val="99"/>
    <w:semiHidden/>
    <w:unhideWhenUsed/>
    <w:rsid w:val="00507CFE"/>
    <w:rPr>
      <w:vertAlign w:val="superscript"/>
    </w:rPr>
  </w:style>
  <w:style w:type="character" w:customStyle="1" w:styleId="2Char">
    <w:name w:val="标题 2 Char"/>
    <w:basedOn w:val="a0"/>
    <w:link w:val="2"/>
    <w:uiPriority w:val="9"/>
    <w:rsid w:val="00FA262F"/>
    <w:rPr>
      <w:rFonts w:ascii="Times New Roman" w:eastAsia="Times New Roman" w:hAnsi="Times New Roman" w:cs="Times New Roman"/>
      <w:b/>
      <w:bCs/>
      <w:sz w:val="36"/>
      <w:szCs w:val="36"/>
      <w:lang w:eastAsia="it-IT"/>
    </w:rPr>
  </w:style>
  <w:style w:type="paragraph" w:styleId="a5">
    <w:name w:val="Normal (Web)"/>
    <w:basedOn w:val="a"/>
    <w:uiPriority w:val="99"/>
    <w:unhideWhenUsed/>
    <w:rsid w:val="00FA26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6">
    <w:name w:val="Strong"/>
    <w:basedOn w:val="a0"/>
    <w:uiPriority w:val="22"/>
    <w:qFormat/>
    <w:rsid w:val="00FA262F"/>
    <w:rPr>
      <w:b/>
      <w:bCs/>
    </w:rPr>
  </w:style>
  <w:style w:type="character" w:customStyle="1" w:styleId="apple-converted-space">
    <w:name w:val="apple-converted-space"/>
    <w:basedOn w:val="a0"/>
    <w:rsid w:val="00FA262F"/>
  </w:style>
  <w:style w:type="character" w:styleId="a7">
    <w:name w:val="Hyperlink"/>
    <w:basedOn w:val="a0"/>
    <w:unhideWhenUsed/>
    <w:rsid w:val="00FA262F"/>
    <w:rPr>
      <w:color w:val="0000FF"/>
      <w:u w:val="single"/>
    </w:rPr>
  </w:style>
  <w:style w:type="character" w:customStyle="1" w:styleId="tag-links">
    <w:name w:val="tag-links"/>
    <w:basedOn w:val="a0"/>
    <w:rsid w:val="00FA262F"/>
  </w:style>
  <w:style w:type="character" w:customStyle="1" w:styleId="entry-utility-prep">
    <w:name w:val="entry-utility-prep"/>
    <w:basedOn w:val="a0"/>
    <w:rsid w:val="00FA262F"/>
  </w:style>
  <w:style w:type="paragraph" w:styleId="a8">
    <w:name w:val="header"/>
    <w:basedOn w:val="a"/>
    <w:link w:val="Char0"/>
    <w:uiPriority w:val="99"/>
    <w:unhideWhenUsed/>
    <w:rsid w:val="000973AE"/>
    <w:pPr>
      <w:tabs>
        <w:tab w:val="center" w:pos="4819"/>
        <w:tab w:val="right" w:pos="9638"/>
      </w:tabs>
      <w:spacing w:after="0" w:line="240" w:lineRule="auto"/>
    </w:pPr>
  </w:style>
  <w:style w:type="character" w:customStyle="1" w:styleId="Char0">
    <w:name w:val="页眉 Char"/>
    <w:basedOn w:val="a0"/>
    <w:link w:val="a8"/>
    <w:uiPriority w:val="99"/>
    <w:rsid w:val="000973AE"/>
  </w:style>
  <w:style w:type="paragraph" w:styleId="a9">
    <w:name w:val="footer"/>
    <w:basedOn w:val="a"/>
    <w:link w:val="Char1"/>
    <w:uiPriority w:val="99"/>
    <w:unhideWhenUsed/>
    <w:rsid w:val="000973AE"/>
    <w:pPr>
      <w:tabs>
        <w:tab w:val="center" w:pos="4819"/>
        <w:tab w:val="right" w:pos="9638"/>
      </w:tabs>
      <w:spacing w:after="0" w:line="240" w:lineRule="auto"/>
    </w:pPr>
  </w:style>
  <w:style w:type="character" w:customStyle="1" w:styleId="Char1">
    <w:name w:val="页脚 Char"/>
    <w:basedOn w:val="a0"/>
    <w:link w:val="a9"/>
    <w:uiPriority w:val="99"/>
    <w:rsid w:val="000973AE"/>
  </w:style>
  <w:style w:type="table" w:styleId="aa">
    <w:name w:val="Table Grid"/>
    <w:basedOn w:val="a1"/>
    <w:uiPriority w:val="59"/>
    <w:rsid w:val="005A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rsid w:val="007019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Shading 1 Accent 2"/>
    <w:basedOn w:val="a1"/>
    <w:uiPriority w:val="63"/>
    <w:rsid w:val="007019D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Char">
    <w:name w:val="标题 1 Char"/>
    <w:basedOn w:val="a0"/>
    <w:link w:val="1"/>
    <w:uiPriority w:val="9"/>
    <w:rsid w:val="006875EE"/>
    <w:rPr>
      <w:rFonts w:asciiTheme="majorHAnsi" w:eastAsiaTheme="majorEastAsia" w:hAnsiTheme="majorHAnsi" w:cstheme="majorBidi"/>
      <w:b/>
      <w:bCs/>
      <w:color w:val="365F91" w:themeColor="accent1" w:themeShade="BF"/>
      <w:sz w:val="28"/>
      <w:szCs w:val="28"/>
    </w:rPr>
  </w:style>
  <w:style w:type="table" w:styleId="-20">
    <w:name w:val="Light Grid Accent 2"/>
    <w:basedOn w:val="a1"/>
    <w:uiPriority w:val="62"/>
    <w:rsid w:val="00EE4B4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b">
    <w:name w:val="FollowedHyperlink"/>
    <w:basedOn w:val="a0"/>
    <w:uiPriority w:val="99"/>
    <w:semiHidden/>
    <w:unhideWhenUsed/>
    <w:rsid w:val="008259CB"/>
    <w:rPr>
      <w:color w:val="800080" w:themeColor="followedHyperlink"/>
      <w:u w:val="single"/>
    </w:rPr>
  </w:style>
  <w:style w:type="character" w:customStyle="1" w:styleId="il">
    <w:name w:val="il"/>
    <w:basedOn w:val="a0"/>
    <w:uiPriority w:val="99"/>
    <w:rsid w:val="009D4F8F"/>
    <w:rPr>
      <w:rFonts w:cs="Times New Roman"/>
    </w:rPr>
  </w:style>
  <w:style w:type="character" w:customStyle="1" w:styleId="cit-name-surname">
    <w:name w:val="cit-name-surname"/>
    <w:basedOn w:val="a0"/>
    <w:rsid w:val="009E4204"/>
  </w:style>
  <w:style w:type="character" w:customStyle="1" w:styleId="cit-name-given-names">
    <w:name w:val="cit-name-given-names"/>
    <w:basedOn w:val="a0"/>
    <w:rsid w:val="009E4204"/>
  </w:style>
  <w:style w:type="character" w:customStyle="1" w:styleId="cit-etal">
    <w:name w:val="cit-etal"/>
    <w:basedOn w:val="a0"/>
    <w:rsid w:val="009E4204"/>
  </w:style>
  <w:style w:type="character" w:styleId="HTML">
    <w:name w:val="HTML Cite"/>
    <w:basedOn w:val="a0"/>
    <w:uiPriority w:val="99"/>
    <w:semiHidden/>
    <w:unhideWhenUsed/>
    <w:rsid w:val="009E4204"/>
    <w:rPr>
      <w:i/>
      <w:iCs/>
    </w:rPr>
  </w:style>
  <w:style w:type="character" w:customStyle="1" w:styleId="cit-article-title">
    <w:name w:val="cit-article-title"/>
    <w:basedOn w:val="a0"/>
    <w:rsid w:val="009E4204"/>
  </w:style>
  <w:style w:type="character" w:customStyle="1" w:styleId="cit-pub-date">
    <w:name w:val="cit-pub-date"/>
    <w:basedOn w:val="a0"/>
    <w:rsid w:val="009E4204"/>
  </w:style>
  <w:style w:type="character" w:customStyle="1" w:styleId="cit-vol">
    <w:name w:val="cit-vol"/>
    <w:basedOn w:val="a0"/>
    <w:rsid w:val="009E4204"/>
  </w:style>
  <w:style w:type="character" w:customStyle="1" w:styleId="cit-fpage">
    <w:name w:val="cit-fpage"/>
    <w:basedOn w:val="a0"/>
    <w:rsid w:val="009E4204"/>
  </w:style>
  <w:style w:type="character" w:customStyle="1" w:styleId="cit-lpage">
    <w:name w:val="cit-lpage"/>
    <w:basedOn w:val="a0"/>
    <w:rsid w:val="009E4204"/>
  </w:style>
  <w:style w:type="character" w:customStyle="1" w:styleId="cit-reflinks-abstract">
    <w:name w:val="cit-reflinks-abstract"/>
    <w:basedOn w:val="a0"/>
    <w:rsid w:val="009E4204"/>
  </w:style>
  <w:style w:type="character" w:customStyle="1" w:styleId="cit-sep">
    <w:name w:val="cit-sep"/>
    <w:basedOn w:val="a0"/>
    <w:rsid w:val="009E4204"/>
  </w:style>
  <w:style w:type="character" w:customStyle="1" w:styleId="cit-reflinks-full-text">
    <w:name w:val="cit-reflinks-full-text"/>
    <w:basedOn w:val="a0"/>
    <w:rsid w:val="009E4204"/>
  </w:style>
  <w:style w:type="character" w:customStyle="1" w:styleId="free-full-text">
    <w:name w:val="free-full-text"/>
    <w:basedOn w:val="a0"/>
    <w:rsid w:val="009E4204"/>
  </w:style>
  <w:style w:type="character" w:styleId="ac">
    <w:name w:val="annotation reference"/>
    <w:rsid w:val="009C399A"/>
    <w:rPr>
      <w:rFonts w:cs="Times New Roman"/>
      <w:sz w:val="21"/>
      <w:szCs w:val="21"/>
    </w:rPr>
  </w:style>
  <w:style w:type="paragraph" w:styleId="ad">
    <w:name w:val="annotation text"/>
    <w:basedOn w:val="a"/>
    <w:link w:val="Char2"/>
    <w:rsid w:val="009C399A"/>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d"/>
    <w:rsid w:val="009C399A"/>
    <w:rPr>
      <w:rFonts w:ascii="Times New Roman" w:eastAsia="宋体" w:hAnsi="Times New Roman" w:cs="Times New Roman"/>
      <w:sz w:val="24"/>
      <w:szCs w:val="24"/>
      <w:lang w:val="en-US"/>
    </w:rPr>
  </w:style>
  <w:style w:type="paragraph" w:styleId="ae">
    <w:name w:val="Balloon Text"/>
    <w:basedOn w:val="a"/>
    <w:link w:val="Char3"/>
    <w:uiPriority w:val="99"/>
    <w:semiHidden/>
    <w:unhideWhenUsed/>
    <w:rsid w:val="009C399A"/>
    <w:pPr>
      <w:spacing w:after="0" w:line="240" w:lineRule="auto"/>
    </w:pPr>
    <w:rPr>
      <w:sz w:val="18"/>
      <w:szCs w:val="18"/>
    </w:rPr>
  </w:style>
  <w:style w:type="character" w:customStyle="1" w:styleId="Char3">
    <w:name w:val="批注框文本 Char"/>
    <w:basedOn w:val="a0"/>
    <w:link w:val="ae"/>
    <w:uiPriority w:val="99"/>
    <w:semiHidden/>
    <w:rsid w:val="009C399A"/>
    <w:rPr>
      <w:sz w:val="18"/>
      <w:szCs w:val="18"/>
    </w:rPr>
  </w:style>
  <w:style w:type="paragraph" w:styleId="af">
    <w:name w:val="annotation subject"/>
    <w:basedOn w:val="ad"/>
    <w:next w:val="ad"/>
    <w:link w:val="Char4"/>
    <w:uiPriority w:val="99"/>
    <w:semiHidden/>
    <w:unhideWhenUsed/>
    <w:rsid w:val="009C399A"/>
    <w:pPr>
      <w:spacing w:after="200" w:line="276" w:lineRule="auto"/>
    </w:pPr>
    <w:rPr>
      <w:rFonts w:asciiTheme="minorHAnsi" w:eastAsiaTheme="minorEastAsia" w:hAnsiTheme="minorHAnsi" w:cstheme="minorBidi"/>
      <w:b/>
      <w:bCs/>
      <w:sz w:val="22"/>
      <w:szCs w:val="22"/>
      <w:lang w:val="it-IT"/>
    </w:rPr>
  </w:style>
  <w:style w:type="character" w:customStyle="1" w:styleId="Char4">
    <w:name w:val="批注主题 Char"/>
    <w:basedOn w:val="Char2"/>
    <w:link w:val="af"/>
    <w:uiPriority w:val="99"/>
    <w:semiHidden/>
    <w:rsid w:val="009C399A"/>
    <w:rPr>
      <w:rFonts w:ascii="Times New Roman" w:eastAsia="宋体" w:hAnsi="Times New Roman" w:cs="Times New Roman"/>
      <w:b/>
      <w:bCs/>
      <w:sz w:val="24"/>
      <w:szCs w:val="24"/>
      <w:lang w:val="en-US"/>
    </w:rPr>
  </w:style>
  <w:style w:type="character" w:customStyle="1" w:styleId="highlight">
    <w:name w:val="highlight"/>
    <w:basedOn w:val="a0"/>
    <w:rsid w:val="00B3193D"/>
  </w:style>
  <w:style w:type="paragraph" w:styleId="af0">
    <w:name w:val="List Paragraph"/>
    <w:basedOn w:val="a"/>
    <w:uiPriority w:val="34"/>
    <w:qFormat/>
    <w:rsid w:val="00DF0CA6"/>
    <w:pPr>
      <w:suppressAutoHyphens/>
      <w:spacing w:after="0" w:line="240" w:lineRule="auto"/>
      <w:ind w:firstLineChars="200" w:firstLine="420"/>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3749">
      <w:bodyDiv w:val="1"/>
      <w:marLeft w:val="0"/>
      <w:marRight w:val="0"/>
      <w:marTop w:val="0"/>
      <w:marBottom w:val="0"/>
      <w:divBdr>
        <w:top w:val="none" w:sz="0" w:space="0" w:color="auto"/>
        <w:left w:val="none" w:sz="0" w:space="0" w:color="auto"/>
        <w:bottom w:val="none" w:sz="0" w:space="0" w:color="auto"/>
        <w:right w:val="none" w:sz="0" w:space="0" w:color="auto"/>
      </w:divBdr>
      <w:divsChild>
        <w:div w:id="1062367704">
          <w:marLeft w:val="0"/>
          <w:marRight w:val="0"/>
          <w:marTop w:val="0"/>
          <w:marBottom w:val="0"/>
          <w:divBdr>
            <w:top w:val="none" w:sz="0" w:space="0" w:color="auto"/>
            <w:left w:val="none" w:sz="0" w:space="0" w:color="auto"/>
            <w:bottom w:val="none" w:sz="0" w:space="0" w:color="auto"/>
            <w:right w:val="none" w:sz="0" w:space="0" w:color="auto"/>
          </w:divBdr>
          <w:divsChild>
            <w:div w:id="361253398">
              <w:marLeft w:val="0"/>
              <w:marRight w:val="0"/>
              <w:marTop w:val="0"/>
              <w:marBottom w:val="0"/>
              <w:divBdr>
                <w:top w:val="none" w:sz="0" w:space="0" w:color="auto"/>
                <w:left w:val="none" w:sz="0" w:space="0" w:color="auto"/>
                <w:bottom w:val="none" w:sz="0" w:space="0" w:color="auto"/>
                <w:right w:val="none" w:sz="0" w:space="0" w:color="auto"/>
              </w:divBdr>
            </w:div>
            <w:div w:id="1133407726">
              <w:marLeft w:val="0"/>
              <w:marRight w:val="0"/>
              <w:marTop w:val="0"/>
              <w:marBottom w:val="0"/>
              <w:divBdr>
                <w:top w:val="none" w:sz="0" w:space="0" w:color="auto"/>
                <w:left w:val="none" w:sz="0" w:space="0" w:color="auto"/>
                <w:bottom w:val="none" w:sz="0" w:space="0" w:color="auto"/>
                <w:right w:val="none" w:sz="0" w:space="0" w:color="auto"/>
              </w:divBdr>
            </w:div>
            <w:div w:id="1526753344">
              <w:marLeft w:val="0"/>
              <w:marRight w:val="0"/>
              <w:marTop w:val="0"/>
              <w:marBottom w:val="0"/>
              <w:divBdr>
                <w:top w:val="none" w:sz="0" w:space="0" w:color="auto"/>
                <w:left w:val="none" w:sz="0" w:space="0" w:color="auto"/>
                <w:bottom w:val="none" w:sz="0" w:space="0" w:color="auto"/>
                <w:right w:val="none" w:sz="0" w:space="0" w:color="auto"/>
              </w:divBdr>
            </w:div>
            <w:div w:id="1961257399">
              <w:marLeft w:val="0"/>
              <w:marRight w:val="0"/>
              <w:marTop w:val="0"/>
              <w:marBottom w:val="0"/>
              <w:divBdr>
                <w:top w:val="none" w:sz="0" w:space="0" w:color="auto"/>
                <w:left w:val="none" w:sz="0" w:space="0" w:color="auto"/>
                <w:bottom w:val="none" w:sz="0" w:space="0" w:color="auto"/>
                <w:right w:val="none" w:sz="0" w:space="0" w:color="auto"/>
              </w:divBdr>
            </w:div>
          </w:divsChild>
        </w:div>
        <w:div w:id="389693047">
          <w:marLeft w:val="0"/>
          <w:marRight w:val="0"/>
          <w:marTop w:val="0"/>
          <w:marBottom w:val="0"/>
          <w:divBdr>
            <w:top w:val="none" w:sz="0" w:space="0" w:color="auto"/>
            <w:left w:val="none" w:sz="0" w:space="0" w:color="auto"/>
            <w:bottom w:val="none" w:sz="0" w:space="0" w:color="auto"/>
            <w:right w:val="none" w:sz="0" w:space="0" w:color="auto"/>
          </w:divBdr>
        </w:div>
        <w:div w:id="1972125958">
          <w:marLeft w:val="0"/>
          <w:marRight w:val="0"/>
          <w:marTop w:val="0"/>
          <w:marBottom w:val="0"/>
          <w:divBdr>
            <w:top w:val="none" w:sz="0" w:space="0" w:color="auto"/>
            <w:left w:val="none" w:sz="0" w:space="0" w:color="auto"/>
            <w:bottom w:val="none" w:sz="0" w:space="0" w:color="auto"/>
            <w:right w:val="none" w:sz="0" w:space="0" w:color="auto"/>
          </w:divBdr>
        </w:div>
      </w:divsChild>
    </w:div>
    <w:div w:id="1390762523">
      <w:bodyDiv w:val="1"/>
      <w:marLeft w:val="0"/>
      <w:marRight w:val="0"/>
      <w:marTop w:val="0"/>
      <w:marBottom w:val="0"/>
      <w:divBdr>
        <w:top w:val="none" w:sz="0" w:space="0" w:color="auto"/>
        <w:left w:val="none" w:sz="0" w:space="0" w:color="auto"/>
        <w:bottom w:val="none" w:sz="0" w:space="0" w:color="auto"/>
        <w:right w:val="none" w:sz="0" w:space="0" w:color="auto"/>
      </w:divBdr>
    </w:div>
    <w:div w:id="1667325743">
      <w:bodyDiv w:val="1"/>
      <w:marLeft w:val="0"/>
      <w:marRight w:val="0"/>
      <w:marTop w:val="0"/>
      <w:marBottom w:val="0"/>
      <w:divBdr>
        <w:top w:val="none" w:sz="0" w:space="0" w:color="auto"/>
        <w:left w:val="none" w:sz="0" w:space="0" w:color="auto"/>
        <w:bottom w:val="none" w:sz="0" w:space="0" w:color="auto"/>
        <w:right w:val="none" w:sz="0" w:space="0" w:color="auto"/>
      </w:divBdr>
      <w:divsChild>
        <w:div w:id="2095007961">
          <w:marLeft w:val="0"/>
          <w:marRight w:val="0"/>
          <w:marTop w:val="168"/>
          <w:marBottom w:val="150"/>
          <w:divBdr>
            <w:top w:val="none" w:sz="0" w:space="0" w:color="auto"/>
            <w:left w:val="none" w:sz="0" w:space="0" w:color="auto"/>
            <w:bottom w:val="none" w:sz="0" w:space="0" w:color="auto"/>
            <w:right w:val="none" w:sz="0" w:space="0" w:color="auto"/>
          </w:divBdr>
          <w:divsChild>
            <w:div w:id="1709838361">
              <w:marLeft w:val="0"/>
              <w:marRight w:val="0"/>
              <w:marTop w:val="0"/>
              <w:marBottom w:val="0"/>
              <w:divBdr>
                <w:top w:val="none" w:sz="0" w:space="0" w:color="auto"/>
                <w:left w:val="none" w:sz="0" w:space="0" w:color="auto"/>
                <w:bottom w:val="none" w:sz="0" w:space="0" w:color="auto"/>
                <w:right w:val="none" w:sz="0" w:space="0" w:color="auto"/>
              </w:divBdr>
            </w:div>
            <w:div w:id="711460314">
              <w:marLeft w:val="0"/>
              <w:marRight w:val="0"/>
              <w:marTop w:val="0"/>
              <w:marBottom w:val="0"/>
              <w:divBdr>
                <w:top w:val="none" w:sz="0" w:space="0" w:color="auto"/>
                <w:left w:val="none" w:sz="0" w:space="0" w:color="auto"/>
                <w:bottom w:val="none" w:sz="0" w:space="0" w:color="auto"/>
                <w:right w:val="none" w:sz="0" w:space="0" w:color="auto"/>
              </w:divBdr>
            </w:div>
          </w:divsChild>
        </w:div>
        <w:div w:id="2087534869">
          <w:marLeft w:val="0"/>
          <w:marRight w:val="0"/>
          <w:marTop w:val="168"/>
          <w:marBottom w:val="150"/>
          <w:divBdr>
            <w:top w:val="none" w:sz="0" w:space="0" w:color="auto"/>
            <w:left w:val="none" w:sz="0" w:space="0" w:color="auto"/>
            <w:bottom w:val="none" w:sz="0" w:space="0" w:color="auto"/>
            <w:right w:val="none" w:sz="0" w:space="0" w:color="auto"/>
          </w:divBdr>
          <w:divsChild>
            <w:div w:id="13304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608">
      <w:bodyDiv w:val="1"/>
      <w:marLeft w:val="0"/>
      <w:marRight w:val="0"/>
      <w:marTop w:val="0"/>
      <w:marBottom w:val="0"/>
      <w:divBdr>
        <w:top w:val="none" w:sz="0" w:space="0" w:color="auto"/>
        <w:left w:val="none" w:sz="0" w:space="0" w:color="auto"/>
        <w:bottom w:val="none" w:sz="0" w:space="0" w:color="auto"/>
        <w:right w:val="none" w:sz="0" w:space="0" w:color="auto"/>
      </w:divBdr>
    </w:div>
    <w:div w:id="2004626276">
      <w:bodyDiv w:val="1"/>
      <w:marLeft w:val="0"/>
      <w:marRight w:val="0"/>
      <w:marTop w:val="0"/>
      <w:marBottom w:val="0"/>
      <w:divBdr>
        <w:top w:val="none" w:sz="0" w:space="0" w:color="auto"/>
        <w:left w:val="none" w:sz="0" w:space="0" w:color="auto"/>
        <w:bottom w:val="none" w:sz="0" w:space="0" w:color="auto"/>
        <w:right w:val="none" w:sz="0" w:space="0" w:color="auto"/>
      </w:divBdr>
      <w:divsChild>
        <w:div w:id="1647776753">
          <w:marLeft w:val="0"/>
          <w:marRight w:val="0"/>
          <w:marTop w:val="0"/>
          <w:marBottom w:val="251"/>
          <w:divBdr>
            <w:top w:val="none" w:sz="0" w:space="0" w:color="auto"/>
            <w:left w:val="none" w:sz="0" w:space="0" w:color="auto"/>
            <w:bottom w:val="none" w:sz="0" w:space="0" w:color="auto"/>
            <w:right w:val="none" w:sz="0" w:space="0" w:color="auto"/>
          </w:divBdr>
        </w:div>
        <w:div w:id="194201585">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CBC26C-3BC1-49EE-B4DB-4ECFB22D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5564</Words>
  <Characters>31718</Characters>
  <Application>Microsoft Office Word</Application>
  <DocSecurity>0</DocSecurity>
  <Lines>264</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qiyuan</cp:lastModifiedBy>
  <cp:revision>4</cp:revision>
  <dcterms:created xsi:type="dcterms:W3CDTF">2016-12-20T18:01:00Z</dcterms:created>
  <dcterms:modified xsi:type="dcterms:W3CDTF">2016-12-21T00:39:00Z</dcterms:modified>
</cp:coreProperties>
</file>