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CE62D" w14:textId="5A3E445A" w:rsidR="006C3CFD" w:rsidRPr="00AF1DC5" w:rsidRDefault="006C3CFD" w:rsidP="00E50668">
      <w:pPr>
        <w:snapToGrid w:val="0"/>
        <w:spacing w:after="0" w:line="360" w:lineRule="auto"/>
        <w:jc w:val="both"/>
        <w:rPr>
          <w:rStyle w:val="apple-converted-space"/>
          <w:rFonts w:ascii="Book Antiqua" w:hAnsi="Book Antiqua" w:cs="Courier New"/>
          <w:sz w:val="24"/>
          <w:szCs w:val="24"/>
        </w:rPr>
      </w:pPr>
      <w:r w:rsidRPr="00AF1DC5">
        <w:rPr>
          <w:rStyle w:val="apple-converted-space"/>
          <w:rFonts w:ascii="Book Antiqua" w:hAnsi="Book Antiqua" w:cs="Courier New"/>
          <w:b/>
          <w:sz w:val="24"/>
          <w:szCs w:val="24"/>
        </w:rPr>
        <w:t>Name of</w:t>
      </w:r>
      <w:r w:rsidRPr="00AF1DC5">
        <w:rPr>
          <w:rStyle w:val="apple-converted-space"/>
          <w:rFonts w:ascii="Book Antiqua" w:hAnsi="Book Antiqua" w:cs="Courier New"/>
          <w:b/>
          <w:caps/>
          <w:sz w:val="24"/>
          <w:szCs w:val="24"/>
        </w:rPr>
        <w:t xml:space="preserve"> j</w:t>
      </w:r>
      <w:r w:rsidRPr="00AF1DC5">
        <w:rPr>
          <w:rStyle w:val="apple-converted-space"/>
          <w:rFonts w:ascii="Book Antiqua" w:hAnsi="Book Antiqua" w:cs="Courier New"/>
          <w:b/>
          <w:sz w:val="24"/>
          <w:szCs w:val="24"/>
        </w:rPr>
        <w:t>ournal:</w:t>
      </w:r>
      <w:r w:rsidRPr="00AF1DC5">
        <w:rPr>
          <w:rStyle w:val="apple-converted-space"/>
          <w:rFonts w:ascii="Book Antiqua" w:hAnsi="Book Antiqua" w:cs="Courier New"/>
          <w:sz w:val="24"/>
          <w:szCs w:val="24"/>
        </w:rPr>
        <w:t xml:space="preserve"> </w:t>
      </w:r>
      <w:r w:rsidRPr="00AF1DC5">
        <w:rPr>
          <w:rStyle w:val="apple-converted-space"/>
          <w:rFonts w:ascii="Book Antiqua" w:hAnsi="Book Antiqua" w:cs="Courier New"/>
          <w:b/>
          <w:i/>
          <w:sz w:val="24"/>
          <w:szCs w:val="24"/>
        </w:rPr>
        <w:t xml:space="preserve">World Journal of Gastroenterology </w:t>
      </w:r>
    </w:p>
    <w:p w14:paraId="2987285C" w14:textId="0F242DE7" w:rsidR="006C3CFD" w:rsidRPr="00AF1DC5" w:rsidRDefault="006C3CFD" w:rsidP="00E50668">
      <w:pPr>
        <w:snapToGrid w:val="0"/>
        <w:spacing w:after="0" w:line="360" w:lineRule="auto"/>
        <w:jc w:val="both"/>
        <w:rPr>
          <w:rStyle w:val="apple-converted-space"/>
          <w:rFonts w:ascii="Book Antiqua" w:hAnsi="Book Antiqua" w:cs="Courier New"/>
          <w:sz w:val="24"/>
          <w:szCs w:val="24"/>
        </w:rPr>
      </w:pPr>
      <w:r w:rsidRPr="00AF1DC5">
        <w:rPr>
          <w:rStyle w:val="apple-converted-space"/>
          <w:rFonts w:ascii="Book Antiqua" w:hAnsi="Book Antiqua" w:cs="Courier New"/>
          <w:b/>
          <w:sz w:val="24"/>
          <w:szCs w:val="24"/>
        </w:rPr>
        <w:t>ESPS Manuscript NO:</w:t>
      </w:r>
      <w:r w:rsidRPr="00AF1DC5">
        <w:rPr>
          <w:rStyle w:val="apple-converted-space"/>
          <w:rFonts w:ascii="Book Antiqua" w:hAnsi="Book Antiqua" w:cs="Courier New"/>
          <w:sz w:val="24"/>
          <w:szCs w:val="24"/>
        </w:rPr>
        <w:t xml:space="preserve"> </w:t>
      </w:r>
      <w:r w:rsidRPr="00AF1DC5">
        <w:rPr>
          <w:rStyle w:val="apple-converted-space"/>
          <w:rFonts w:ascii="Book Antiqua" w:hAnsi="Book Antiqua" w:cs="Courier New"/>
          <w:b/>
          <w:sz w:val="24"/>
          <w:szCs w:val="24"/>
        </w:rPr>
        <w:t>30052</w:t>
      </w:r>
    </w:p>
    <w:p w14:paraId="4F1B0D80" w14:textId="01C8357E" w:rsidR="00E50668" w:rsidRPr="00AF1DC5" w:rsidRDefault="006C3CFD" w:rsidP="00E50668">
      <w:pPr>
        <w:snapToGrid w:val="0"/>
        <w:spacing w:after="0" w:line="360" w:lineRule="auto"/>
        <w:jc w:val="both"/>
        <w:rPr>
          <w:rStyle w:val="apple-converted-space"/>
          <w:rFonts w:ascii="Book Antiqua" w:hAnsi="Book Antiqua" w:cs="Courier New"/>
          <w:sz w:val="24"/>
          <w:szCs w:val="24"/>
          <w:lang w:eastAsia="zh-CN"/>
        </w:rPr>
      </w:pPr>
      <w:r w:rsidRPr="00AF1DC5">
        <w:rPr>
          <w:rStyle w:val="apple-converted-space"/>
          <w:rFonts w:ascii="Book Antiqua" w:hAnsi="Book Antiqua" w:cs="Courier New"/>
          <w:b/>
          <w:sz w:val="24"/>
          <w:szCs w:val="24"/>
        </w:rPr>
        <w:t>Manuscript Type:</w:t>
      </w:r>
      <w:r w:rsidRPr="00AF1DC5">
        <w:rPr>
          <w:rStyle w:val="apple-converted-space"/>
          <w:rFonts w:ascii="Book Antiqua" w:hAnsi="Book Antiqua" w:cs="Courier New"/>
          <w:sz w:val="24"/>
          <w:szCs w:val="24"/>
        </w:rPr>
        <w:t xml:space="preserve"> </w:t>
      </w:r>
      <w:r w:rsidR="00E50668" w:rsidRPr="00AF1DC5">
        <w:rPr>
          <w:rFonts w:ascii="Book Antiqua" w:hAnsi="Book Antiqua"/>
          <w:b/>
          <w:sz w:val="24"/>
          <w:szCs w:val="24"/>
        </w:rPr>
        <w:t>ORIGINAL ARTICLE</w:t>
      </w:r>
    </w:p>
    <w:p w14:paraId="78B8D9C5" w14:textId="77777777" w:rsidR="00E50668" w:rsidRPr="00AF1DC5" w:rsidRDefault="00E50668" w:rsidP="00E50668">
      <w:pPr>
        <w:snapToGrid w:val="0"/>
        <w:spacing w:after="0" w:line="360" w:lineRule="auto"/>
        <w:jc w:val="both"/>
        <w:rPr>
          <w:rStyle w:val="apple-converted-space"/>
          <w:rFonts w:ascii="Book Antiqua" w:hAnsi="Book Antiqua" w:cs="Courier New"/>
          <w:sz w:val="24"/>
          <w:szCs w:val="24"/>
          <w:lang w:eastAsia="zh-CN"/>
        </w:rPr>
      </w:pPr>
    </w:p>
    <w:p w14:paraId="59BAE4E8" w14:textId="668740D8" w:rsidR="00E50668" w:rsidRPr="00AF1DC5" w:rsidRDefault="006C3CFD" w:rsidP="00E50668">
      <w:pPr>
        <w:snapToGrid w:val="0"/>
        <w:spacing w:after="0" w:line="360" w:lineRule="auto"/>
        <w:jc w:val="both"/>
        <w:rPr>
          <w:rFonts w:ascii="Book Antiqua" w:hAnsi="Book Antiqua" w:cs="Courier New"/>
          <w:b/>
          <w:i/>
          <w:sz w:val="24"/>
          <w:szCs w:val="24"/>
          <w:lang w:eastAsia="zh-CN"/>
        </w:rPr>
      </w:pPr>
      <w:r w:rsidRPr="00AF1DC5">
        <w:rPr>
          <w:rStyle w:val="apple-converted-space"/>
          <w:rFonts w:ascii="Book Antiqua" w:hAnsi="Book Antiqua" w:cs="Courier New"/>
          <w:b/>
          <w:i/>
          <w:sz w:val="24"/>
          <w:szCs w:val="24"/>
        </w:rPr>
        <w:t>Retrospective Cohort Study</w:t>
      </w:r>
    </w:p>
    <w:p w14:paraId="71EC7258" w14:textId="1CE2758B" w:rsidR="00E50668" w:rsidRPr="00AF1DC5" w:rsidRDefault="006C3CFD" w:rsidP="00E50668">
      <w:pPr>
        <w:snapToGrid w:val="0"/>
        <w:spacing w:after="0" w:line="360" w:lineRule="auto"/>
        <w:jc w:val="both"/>
        <w:rPr>
          <w:rFonts w:ascii="Book Antiqua" w:hAnsi="Book Antiqua" w:cs="Courier New"/>
          <w:b/>
          <w:sz w:val="24"/>
          <w:szCs w:val="24"/>
          <w:lang w:eastAsia="zh-CN"/>
        </w:rPr>
      </w:pPr>
      <w:r w:rsidRPr="00AF1DC5">
        <w:rPr>
          <w:rFonts w:ascii="Book Antiqua" w:hAnsi="Book Antiqua" w:cs="Courier New"/>
          <w:b/>
          <w:sz w:val="24"/>
          <w:szCs w:val="24"/>
        </w:rPr>
        <w:t xml:space="preserve">Mortality </w:t>
      </w:r>
      <w:r w:rsidR="00E50668" w:rsidRPr="00AF1DC5">
        <w:rPr>
          <w:rFonts w:ascii="Book Antiqua" w:hAnsi="Book Antiqua" w:cs="Courier New"/>
          <w:b/>
          <w:sz w:val="24"/>
          <w:szCs w:val="24"/>
        </w:rPr>
        <w:t>associated with gastrointestinal bleeding in children</w:t>
      </w:r>
      <w:r w:rsidRPr="00AF1DC5">
        <w:rPr>
          <w:rFonts w:ascii="Book Antiqua" w:hAnsi="Book Antiqua" w:cs="Courier New"/>
          <w:b/>
          <w:sz w:val="24"/>
          <w:szCs w:val="24"/>
        </w:rPr>
        <w:t xml:space="preserve">: A </w:t>
      </w:r>
      <w:r w:rsidR="00E50668" w:rsidRPr="00AF1DC5">
        <w:rPr>
          <w:rFonts w:ascii="Book Antiqua" w:hAnsi="Book Antiqua" w:cs="Courier New"/>
          <w:b/>
          <w:sz w:val="24"/>
          <w:szCs w:val="24"/>
        </w:rPr>
        <w:t xml:space="preserve">retrospective cohort study </w:t>
      </w:r>
    </w:p>
    <w:p w14:paraId="7A01B315" w14:textId="63AF47F5" w:rsidR="006C3CFD" w:rsidRPr="00AF1DC5" w:rsidRDefault="006C3CFD" w:rsidP="00E50668">
      <w:pPr>
        <w:snapToGrid w:val="0"/>
        <w:spacing w:after="0" w:line="360" w:lineRule="auto"/>
        <w:jc w:val="both"/>
        <w:rPr>
          <w:rStyle w:val="apple-converted-space"/>
          <w:rFonts w:ascii="Book Antiqua" w:hAnsi="Book Antiqua" w:cs="Courier New"/>
          <w:sz w:val="24"/>
          <w:szCs w:val="24"/>
        </w:rPr>
      </w:pPr>
    </w:p>
    <w:p w14:paraId="06403197" w14:textId="122C02BB" w:rsidR="006C3CFD" w:rsidRPr="00AF1DC5" w:rsidRDefault="00E50668" w:rsidP="00E50668">
      <w:pPr>
        <w:snapToGrid w:val="0"/>
        <w:spacing w:after="0" w:line="360" w:lineRule="auto"/>
        <w:jc w:val="both"/>
        <w:rPr>
          <w:rStyle w:val="apple-converted-space"/>
          <w:rFonts w:ascii="Book Antiqua" w:hAnsi="Book Antiqua" w:cs="Courier New"/>
          <w:sz w:val="24"/>
          <w:szCs w:val="24"/>
        </w:rPr>
      </w:pPr>
      <w:r w:rsidRPr="00AF1DC5">
        <w:rPr>
          <w:rStyle w:val="apple-converted-space"/>
          <w:rFonts w:ascii="Book Antiqua" w:hAnsi="Book Antiqua" w:cs="Courier New"/>
          <w:sz w:val="24"/>
          <w:szCs w:val="24"/>
        </w:rPr>
        <w:t>Attard TM</w:t>
      </w:r>
      <w:r w:rsidRPr="00AF1DC5">
        <w:rPr>
          <w:rStyle w:val="apple-converted-space"/>
          <w:rFonts w:ascii="Book Antiqua" w:hAnsi="Book Antiqua" w:cs="Courier New"/>
          <w:sz w:val="24"/>
          <w:szCs w:val="24"/>
          <w:lang w:eastAsia="zh-CN"/>
        </w:rPr>
        <w:t xml:space="preserve"> </w:t>
      </w:r>
      <w:r w:rsidRPr="00AF1DC5">
        <w:rPr>
          <w:rStyle w:val="apple-converted-space"/>
          <w:rFonts w:ascii="Book Antiqua" w:hAnsi="Book Antiqua" w:cs="Courier New"/>
          <w:i/>
          <w:sz w:val="24"/>
          <w:szCs w:val="24"/>
          <w:lang w:eastAsia="zh-CN"/>
        </w:rPr>
        <w:t>et al</w:t>
      </w:r>
      <w:r w:rsidRPr="00AF1DC5">
        <w:rPr>
          <w:rStyle w:val="apple-converted-space"/>
          <w:rFonts w:ascii="Book Antiqua" w:hAnsi="Book Antiqua" w:cs="Courier New"/>
          <w:sz w:val="24"/>
          <w:szCs w:val="24"/>
          <w:lang w:eastAsia="zh-CN"/>
        </w:rPr>
        <w:t>.</w:t>
      </w:r>
      <w:r w:rsidR="00113D29" w:rsidRPr="00AF1DC5">
        <w:rPr>
          <w:rStyle w:val="apple-converted-space"/>
          <w:rFonts w:ascii="Book Antiqua" w:hAnsi="Book Antiqua" w:cs="Courier New"/>
          <w:sz w:val="24"/>
          <w:szCs w:val="24"/>
        </w:rPr>
        <w:t xml:space="preserve"> </w:t>
      </w:r>
      <w:r w:rsidR="00CA6A39" w:rsidRPr="00AF1DC5">
        <w:rPr>
          <w:rStyle w:val="apple-converted-space"/>
          <w:rFonts w:ascii="Book Antiqua" w:hAnsi="Book Antiqua" w:cs="Courier New"/>
          <w:sz w:val="24"/>
          <w:szCs w:val="24"/>
        </w:rPr>
        <w:t>Mortality associated with</w:t>
      </w:r>
      <w:r w:rsidR="006C3CFD" w:rsidRPr="00AF1DC5">
        <w:rPr>
          <w:rStyle w:val="apple-converted-space"/>
          <w:rFonts w:ascii="Book Antiqua" w:hAnsi="Book Antiqua" w:cs="Courier New"/>
          <w:sz w:val="24"/>
          <w:szCs w:val="24"/>
        </w:rPr>
        <w:t xml:space="preserve"> </w:t>
      </w:r>
      <w:r w:rsidRPr="00AF1DC5">
        <w:rPr>
          <w:rStyle w:val="apple-converted-space"/>
          <w:rFonts w:ascii="Book Antiqua" w:hAnsi="Book Antiqua" w:cs="Courier New"/>
          <w:sz w:val="24"/>
          <w:szCs w:val="24"/>
        </w:rPr>
        <w:t>p</w:t>
      </w:r>
      <w:r w:rsidR="006C3CFD" w:rsidRPr="00AF1DC5">
        <w:rPr>
          <w:rStyle w:val="apple-converted-space"/>
          <w:rFonts w:ascii="Book Antiqua" w:hAnsi="Book Antiqua" w:cs="Courier New"/>
          <w:sz w:val="24"/>
          <w:szCs w:val="24"/>
        </w:rPr>
        <w:t xml:space="preserve">ediatric </w:t>
      </w:r>
      <w:r w:rsidRPr="00AF1DC5">
        <w:rPr>
          <w:rStyle w:val="apple-converted-space"/>
          <w:rFonts w:ascii="Book Antiqua" w:hAnsi="Book Antiqua" w:cs="Courier New"/>
          <w:sz w:val="24"/>
          <w:szCs w:val="24"/>
        </w:rPr>
        <w:t>g</w:t>
      </w:r>
      <w:r w:rsidR="006C3CFD" w:rsidRPr="00AF1DC5">
        <w:rPr>
          <w:rStyle w:val="apple-converted-space"/>
          <w:rFonts w:ascii="Book Antiqua" w:hAnsi="Book Antiqua" w:cs="Courier New"/>
          <w:sz w:val="24"/>
          <w:szCs w:val="24"/>
        </w:rPr>
        <w:t xml:space="preserve">astrointestinal </w:t>
      </w:r>
      <w:r w:rsidRPr="00AF1DC5">
        <w:rPr>
          <w:rStyle w:val="apple-converted-space"/>
          <w:rFonts w:ascii="Book Antiqua" w:hAnsi="Book Antiqua" w:cs="Courier New"/>
          <w:sz w:val="24"/>
          <w:szCs w:val="24"/>
        </w:rPr>
        <w:t>h</w:t>
      </w:r>
      <w:r w:rsidR="0062682C" w:rsidRPr="00AF1DC5">
        <w:rPr>
          <w:rStyle w:val="apple-converted-space"/>
          <w:rFonts w:ascii="Book Antiqua" w:hAnsi="Book Antiqua" w:cs="Courier New"/>
          <w:sz w:val="24"/>
          <w:szCs w:val="24"/>
        </w:rPr>
        <w:t>emorrhage</w:t>
      </w:r>
    </w:p>
    <w:p w14:paraId="6BE2720C" w14:textId="77777777" w:rsidR="00113D29" w:rsidRPr="00AF1DC5" w:rsidRDefault="00113D29" w:rsidP="00E50668">
      <w:pPr>
        <w:snapToGrid w:val="0"/>
        <w:spacing w:after="0" w:line="360" w:lineRule="auto"/>
        <w:jc w:val="both"/>
        <w:rPr>
          <w:rStyle w:val="apple-converted-space"/>
          <w:rFonts w:ascii="Book Antiqua" w:hAnsi="Book Antiqua" w:cs="Courier New"/>
          <w:sz w:val="24"/>
          <w:szCs w:val="24"/>
        </w:rPr>
      </w:pPr>
    </w:p>
    <w:p w14:paraId="4D1C2B7E" w14:textId="711F6E4A" w:rsidR="006C3CFD" w:rsidRPr="00CC5DD8" w:rsidRDefault="006C3CFD" w:rsidP="00E50668">
      <w:pPr>
        <w:snapToGrid w:val="0"/>
        <w:spacing w:after="0" w:line="360" w:lineRule="auto"/>
        <w:jc w:val="both"/>
        <w:rPr>
          <w:rStyle w:val="apple-converted-space"/>
          <w:rFonts w:ascii="Book Antiqua" w:hAnsi="Book Antiqua" w:cs="Courier New"/>
          <w:sz w:val="24"/>
          <w:szCs w:val="24"/>
        </w:rPr>
      </w:pPr>
      <w:r w:rsidRPr="00CC5DD8">
        <w:rPr>
          <w:rStyle w:val="apple-converted-space"/>
          <w:rFonts w:ascii="Book Antiqua" w:hAnsi="Book Antiqua" w:cs="Courier New"/>
          <w:sz w:val="24"/>
          <w:szCs w:val="24"/>
        </w:rPr>
        <w:t>Thomas M</w:t>
      </w:r>
      <w:r w:rsidR="00E50668" w:rsidRPr="00CC5DD8">
        <w:rPr>
          <w:rStyle w:val="apple-converted-space"/>
          <w:rFonts w:ascii="Book Antiqua" w:hAnsi="Book Antiqua" w:cs="Courier New"/>
          <w:sz w:val="24"/>
          <w:szCs w:val="24"/>
          <w:lang w:eastAsia="zh-CN"/>
        </w:rPr>
        <w:t xml:space="preserve"> </w:t>
      </w:r>
      <w:r w:rsidRPr="00CC5DD8">
        <w:rPr>
          <w:rStyle w:val="apple-converted-space"/>
          <w:rFonts w:ascii="Book Antiqua" w:hAnsi="Book Antiqua" w:cs="Courier New"/>
          <w:sz w:val="24"/>
          <w:szCs w:val="24"/>
        </w:rPr>
        <w:t>Attard, Mikaela Miller,</w:t>
      </w:r>
      <w:r w:rsidR="00CA5D15" w:rsidRPr="00CC5DD8">
        <w:rPr>
          <w:rStyle w:val="apple-converted-space"/>
          <w:rFonts w:ascii="Book Antiqua" w:hAnsi="Book Antiqua" w:cs="Courier New"/>
          <w:sz w:val="24"/>
          <w:szCs w:val="24"/>
          <w:lang w:eastAsia="zh-CN"/>
        </w:rPr>
        <w:t xml:space="preserve"> </w:t>
      </w:r>
      <w:r w:rsidRPr="00CC5DD8">
        <w:rPr>
          <w:rStyle w:val="apple-converted-space"/>
          <w:rFonts w:ascii="Book Antiqua" w:hAnsi="Book Antiqua" w:cs="Courier New"/>
          <w:sz w:val="24"/>
          <w:szCs w:val="24"/>
        </w:rPr>
        <w:t>Chaitanya Pant,</w:t>
      </w:r>
      <w:r w:rsidR="00CA5D15" w:rsidRPr="00CC5DD8">
        <w:rPr>
          <w:rStyle w:val="apple-converted-space"/>
          <w:rFonts w:ascii="Book Antiqua" w:hAnsi="Book Antiqua" w:cs="Courier New"/>
          <w:sz w:val="24"/>
          <w:szCs w:val="24"/>
          <w:lang w:eastAsia="zh-CN"/>
        </w:rPr>
        <w:t xml:space="preserve"> </w:t>
      </w:r>
      <w:r w:rsidRPr="00CC5DD8">
        <w:rPr>
          <w:rStyle w:val="apple-converted-space"/>
          <w:rFonts w:ascii="Book Antiqua" w:hAnsi="Book Antiqua" w:cs="Courier New"/>
          <w:sz w:val="24"/>
          <w:szCs w:val="24"/>
        </w:rPr>
        <w:t>Ashwath Kumar, Mike Thomson</w:t>
      </w:r>
    </w:p>
    <w:p w14:paraId="40E8B329" w14:textId="77777777" w:rsidR="000A49C0" w:rsidRPr="00AF1DC5" w:rsidRDefault="000A49C0" w:rsidP="00E50668">
      <w:pPr>
        <w:snapToGrid w:val="0"/>
        <w:spacing w:after="0" w:line="360" w:lineRule="auto"/>
        <w:jc w:val="both"/>
        <w:rPr>
          <w:rStyle w:val="apple-converted-space"/>
          <w:rFonts w:ascii="Book Antiqua" w:hAnsi="Book Antiqua" w:cs="Courier New"/>
          <w:sz w:val="24"/>
          <w:szCs w:val="24"/>
        </w:rPr>
      </w:pPr>
    </w:p>
    <w:p w14:paraId="2B9F1CC9" w14:textId="4CFD8C9D" w:rsidR="00CA6A39" w:rsidRPr="00AF1DC5" w:rsidRDefault="006C3CFD" w:rsidP="00E50668">
      <w:pPr>
        <w:snapToGrid w:val="0"/>
        <w:spacing w:after="0" w:line="360" w:lineRule="auto"/>
        <w:jc w:val="both"/>
        <w:rPr>
          <w:rFonts w:ascii="Book Antiqua" w:hAnsi="Book Antiqua" w:cs="Courier New"/>
          <w:sz w:val="24"/>
          <w:szCs w:val="24"/>
          <w:lang w:eastAsia="zh-CN"/>
        </w:rPr>
      </w:pPr>
      <w:r w:rsidRPr="00AF1DC5">
        <w:rPr>
          <w:rStyle w:val="apple-converted-space"/>
          <w:rFonts w:ascii="Book Antiqua" w:hAnsi="Book Antiqua" w:cs="Courier New"/>
          <w:b/>
          <w:sz w:val="24"/>
          <w:szCs w:val="24"/>
        </w:rPr>
        <w:t>Thomas</w:t>
      </w:r>
      <w:r w:rsidR="00E50668" w:rsidRPr="00AF1DC5">
        <w:rPr>
          <w:rStyle w:val="apple-converted-space"/>
          <w:rFonts w:ascii="Book Antiqua" w:hAnsi="Book Antiqua" w:cs="Courier New"/>
          <w:b/>
          <w:sz w:val="24"/>
          <w:szCs w:val="24"/>
          <w:lang w:eastAsia="zh-CN"/>
        </w:rPr>
        <w:t xml:space="preserve"> </w:t>
      </w:r>
      <w:r w:rsidRPr="00AF1DC5">
        <w:rPr>
          <w:rStyle w:val="apple-converted-space"/>
          <w:rFonts w:ascii="Book Antiqua" w:hAnsi="Book Antiqua" w:cs="Courier New"/>
          <w:b/>
          <w:sz w:val="24"/>
          <w:szCs w:val="24"/>
        </w:rPr>
        <w:t>M</w:t>
      </w:r>
      <w:r w:rsidR="00E50668" w:rsidRPr="00AF1DC5">
        <w:rPr>
          <w:rStyle w:val="apple-converted-space"/>
          <w:rFonts w:ascii="Book Antiqua" w:hAnsi="Book Antiqua" w:cs="Courier New"/>
          <w:b/>
          <w:sz w:val="24"/>
          <w:szCs w:val="24"/>
          <w:lang w:eastAsia="zh-CN"/>
        </w:rPr>
        <w:t xml:space="preserve"> </w:t>
      </w:r>
      <w:r w:rsidRPr="00AF1DC5">
        <w:rPr>
          <w:rStyle w:val="apple-converted-space"/>
          <w:rFonts w:ascii="Book Antiqua" w:hAnsi="Book Antiqua" w:cs="Courier New"/>
          <w:b/>
          <w:sz w:val="24"/>
          <w:szCs w:val="24"/>
        </w:rPr>
        <w:t>Attard</w:t>
      </w:r>
      <w:r w:rsidR="00F6765D" w:rsidRPr="00AF1DC5">
        <w:rPr>
          <w:rStyle w:val="apple-converted-space"/>
          <w:rFonts w:ascii="Book Antiqua" w:hAnsi="Book Antiqua" w:cs="Courier New"/>
          <w:b/>
          <w:sz w:val="24"/>
          <w:szCs w:val="24"/>
        </w:rPr>
        <w:t>,</w:t>
      </w:r>
      <w:r w:rsidRPr="00AF1DC5">
        <w:rPr>
          <w:rStyle w:val="apple-converted-space"/>
          <w:rFonts w:ascii="Book Antiqua" w:hAnsi="Book Antiqua" w:cs="Courier New"/>
          <w:b/>
          <w:sz w:val="24"/>
          <w:szCs w:val="24"/>
        </w:rPr>
        <w:t xml:space="preserve"> </w:t>
      </w:r>
      <w:r w:rsidRPr="00AF1DC5">
        <w:rPr>
          <w:rStyle w:val="apple-converted-space"/>
          <w:rFonts w:ascii="Book Antiqua" w:hAnsi="Book Antiqua" w:cs="Courier New"/>
          <w:sz w:val="24"/>
          <w:szCs w:val="24"/>
        </w:rPr>
        <w:t>Department of Gastroenterology, Children’s Mercy Hospital</w:t>
      </w:r>
      <w:r w:rsidR="00F6765D" w:rsidRPr="00AF1DC5">
        <w:rPr>
          <w:rStyle w:val="apple-converted-space"/>
          <w:rFonts w:ascii="Book Antiqua" w:hAnsi="Book Antiqua" w:cs="Courier New"/>
          <w:sz w:val="24"/>
          <w:szCs w:val="24"/>
        </w:rPr>
        <w:t>,</w:t>
      </w:r>
      <w:r w:rsidR="00E50668" w:rsidRPr="00AF1DC5">
        <w:rPr>
          <w:rFonts w:ascii="Book Antiqua" w:hAnsi="Book Antiqua" w:cs="Arial"/>
          <w:sz w:val="24"/>
          <w:szCs w:val="24"/>
          <w:shd w:val="clear" w:color="auto" w:fill="FFFFFF"/>
          <w:lang w:eastAsia="zh-CN"/>
        </w:rPr>
        <w:t xml:space="preserve"> </w:t>
      </w:r>
      <w:r w:rsidR="00E50668" w:rsidRPr="00AF1DC5">
        <w:rPr>
          <w:rFonts w:ascii="Book Antiqua" w:hAnsi="Book Antiqua" w:cs="Arial"/>
          <w:sz w:val="24"/>
          <w:szCs w:val="24"/>
          <w:shd w:val="clear" w:color="auto" w:fill="FFFFFF"/>
        </w:rPr>
        <w:t>Kansas</w:t>
      </w:r>
      <w:r w:rsidR="00E50668" w:rsidRPr="00AF1DC5">
        <w:rPr>
          <w:rFonts w:ascii="Book Antiqua" w:hAnsi="Book Antiqua" w:cs="Arial"/>
          <w:sz w:val="24"/>
          <w:szCs w:val="24"/>
          <w:shd w:val="clear" w:color="auto" w:fill="FFFFFF"/>
          <w:lang w:eastAsia="zh-CN"/>
        </w:rPr>
        <w:t xml:space="preserve">, </w:t>
      </w:r>
      <w:r w:rsidR="00F6765D" w:rsidRPr="00AF1DC5">
        <w:rPr>
          <w:rFonts w:ascii="Book Antiqua" w:hAnsi="Book Antiqua" w:cs="Arial"/>
          <w:sz w:val="24"/>
          <w:szCs w:val="24"/>
          <w:shd w:val="clear" w:color="auto" w:fill="FFFFFF"/>
        </w:rPr>
        <w:t>MO 64108</w:t>
      </w:r>
      <w:r w:rsidR="00B55A8C" w:rsidRPr="00AF1DC5">
        <w:rPr>
          <w:rFonts w:ascii="Book Antiqua" w:hAnsi="Book Antiqua" w:cs="Arial"/>
          <w:sz w:val="24"/>
          <w:szCs w:val="24"/>
          <w:shd w:val="clear" w:color="auto" w:fill="FFFFFF"/>
        </w:rPr>
        <w:t>, U</w:t>
      </w:r>
      <w:r w:rsidR="00E50668" w:rsidRPr="00AF1DC5">
        <w:rPr>
          <w:rFonts w:ascii="Book Antiqua" w:hAnsi="Book Antiqua" w:cs="Arial"/>
          <w:sz w:val="24"/>
          <w:szCs w:val="24"/>
          <w:shd w:val="clear" w:color="auto" w:fill="FFFFFF"/>
          <w:lang w:eastAsia="zh-CN"/>
        </w:rPr>
        <w:t>nited States</w:t>
      </w:r>
    </w:p>
    <w:p w14:paraId="333C60A4" w14:textId="77777777" w:rsidR="00E50668" w:rsidRPr="00AF1DC5" w:rsidRDefault="00E50668" w:rsidP="00E50668">
      <w:pPr>
        <w:snapToGrid w:val="0"/>
        <w:spacing w:after="0" w:line="360" w:lineRule="auto"/>
        <w:jc w:val="both"/>
        <w:rPr>
          <w:rStyle w:val="apple-converted-space"/>
          <w:rFonts w:ascii="Book Antiqua" w:hAnsi="Book Antiqua" w:cs="Courier New"/>
          <w:b/>
          <w:sz w:val="24"/>
          <w:szCs w:val="24"/>
          <w:lang w:eastAsia="zh-CN"/>
        </w:rPr>
      </w:pPr>
    </w:p>
    <w:p w14:paraId="49009EE6" w14:textId="26F3CB1F" w:rsidR="00CA6A39" w:rsidRPr="00AF1DC5" w:rsidRDefault="006C3CFD" w:rsidP="00E50668">
      <w:pPr>
        <w:snapToGrid w:val="0"/>
        <w:spacing w:after="0" w:line="360" w:lineRule="auto"/>
        <w:jc w:val="both"/>
        <w:rPr>
          <w:rStyle w:val="apple-converted-space"/>
          <w:rFonts w:ascii="Book Antiqua" w:hAnsi="Book Antiqua" w:cs="Courier New"/>
          <w:sz w:val="24"/>
          <w:szCs w:val="24"/>
        </w:rPr>
      </w:pPr>
      <w:r w:rsidRPr="00AF1DC5">
        <w:rPr>
          <w:rStyle w:val="apple-converted-space"/>
          <w:rFonts w:ascii="Book Antiqua" w:hAnsi="Book Antiqua" w:cs="Courier New"/>
          <w:b/>
          <w:sz w:val="24"/>
          <w:szCs w:val="24"/>
        </w:rPr>
        <w:t>Mikaela Miller</w:t>
      </w:r>
      <w:r w:rsidR="00F6765D" w:rsidRPr="00AF1DC5">
        <w:rPr>
          <w:rStyle w:val="apple-converted-space"/>
          <w:rFonts w:ascii="Book Antiqua" w:hAnsi="Book Antiqua" w:cs="Courier New"/>
          <w:b/>
          <w:sz w:val="24"/>
          <w:szCs w:val="24"/>
        </w:rPr>
        <w:t>,</w:t>
      </w:r>
      <w:r w:rsidRPr="00AF1DC5">
        <w:rPr>
          <w:rStyle w:val="apple-converted-space"/>
          <w:rFonts w:ascii="Book Antiqua" w:hAnsi="Book Antiqua" w:cs="Courier New"/>
          <w:sz w:val="24"/>
          <w:szCs w:val="24"/>
        </w:rPr>
        <w:t xml:space="preserve"> </w:t>
      </w:r>
      <w:r w:rsidR="002A0350" w:rsidRPr="00AF1DC5">
        <w:rPr>
          <w:rStyle w:val="apple-converted-space"/>
          <w:rFonts w:ascii="Book Antiqua" w:hAnsi="Book Antiqua" w:cs="Courier New"/>
          <w:sz w:val="24"/>
          <w:szCs w:val="24"/>
        </w:rPr>
        <w:t>Clinical Decision Support</w:t>
      </w:r>
      <w:r w:rsidRPr="00AF1DC5">
        <w:rPr>
          <w:rStyle w:val="apple-converted-space"/>
          <w:rFonts w:ascii="Book Antiqua" w:hAnsi="Book Antiqua" w:cs="Courier New"/>
          <w:sz w:val="24"/>
          <w:szCs w:val="24"/>
        </w:rPr>
        <w:t>, Children’s Mercy Hospital</w:t>
      </w:r>
      <w:r w:rsidR="00E50668" w:rsidRPr="00AF1DC5">
        <w:rPr>
          <w:rFonts w:ascii="Book Antiqua" w:hAnsi="Book Antiqua" w:cs="Helvetica"/>
          <w:sz w:val="24"/>
          <w:szCs w:val="24"/>
          <w:shd w:val="clear" w:color="auto" w:fill="FFFFFF"/>
          <w:lang w:eastAsia="zh-CN"/>
        </w:rPr>
        <w:t xml:space="preserve">, </w:t>
      </w:r>
      <w:r w:rsidR="00E50668" w:rsidRPr="00AF1DC5">
        <w:rPr>
          <w:rStyle w:val="city-state"/>
          <w:rFonts w:ascii="Book Antiqua" w:hAnsi="Book Antiqua" w:cs="Helvetica"/>
          <w:sz w:val="24"/>
          <w:szCs w:val="24"/>
          <w:shd w:val="clear" w:color="auto" w:fill="FFFFFF"/>
        </w:rPr>
        <w:t>Kansas</w:t>
      </w:r>
      <w:r w:rsidR="00F6765D" w:rsidRPr="00AF1DC5">
        <w:rPr>
          <w:rStyle w:val="city-state"/>
          <w:rFonts w:ascii="Book Antiqua" w:hAnsi="Book Antiqua" w:cs="Helvetica"/>
          <w:sz w:val="24"/>
          <w:szCs w:val="24"/>
          <w:shd w:val="clear" w:color="auto" w:fill="FFFFFF"/>
        </w:rPr>
        <w:t>, MO 64108</w:t>
      </w:r>
      <w:r w:rsidR="00B55A8C" w:rsidRPr="00AF1DC5">
        <w:rPr>
          <w:rStyle w:val="apple-converted-space"/>
          <w:rFonts w:ascii="Book Antiqua" w:hAnsi="Book Antiqua" w:cs="Helvetica"/>
          <w:sz w:val="24"/>
          <w:szCs w:val="24"/>
          <w:shd w:val="clear" w:color="auto" w:fill="FFFFFF"/>
        </w:rPr>
        <w:t xml:space="preserve">, </w:t>
      </w:r>
      <w:r w:rsidR="00E50668" w:rsidRPr="00AF1DC5">
        <w:rPr>
          <w:rFonts w:ascii="Book Antiqua" w:hAnsi="Book Antiqua" w:cs="Arial"/>
          <w:sz w:val="24"/>
          <w:szCs w:val="24"/>
          <w:shd w:val="clear" w:color="auto" w:fill="FFFFFF"/>
        </w:rPr>
        <w:t>U</w:t>
      </w:r>
      <w:r w:rsidR="00E50668" w:rsidRPr="00AF1DC5">
        <w:rPr>
          <w:rFonts w:ascii="Book Antiqua" w:hAnsi="Book Antiqua" w:cs="Arial"/>
          <w:sz w:val="24"/>
          <w:szCs w:val="24"/>
          <w:shd w:val="clear" w:color="auto" w:fill="FFFFFF"/>
          <w:lang w:eastAsia="zh-CN"/>
        </w:rPr>
        <w:t>nited States</w:t>
      </w:r>
    </w:p>
    <w:p w14:paraId="39E1CFF9" w14:textId="77777777" w:rsidR="00E50668" w:rsidRPr="00AF1DC5" w:rsidRDefault="00E50668" w:rsidP="00E50668">
      <w:pPr>
        <w:snapToGrid w:val="0"/>
        <w:spacing w:after="0" w:line="360" w:lineRule="auto"/>
        <w:jc w:val="both"/>
        <w:rPr>
          <w:rStyle w:val="apple-converted-space"/>
          <w:rFonts w:ascii="Book Antiqua" w:hAnsi="Book Antiqua" w:cs="Courier New"/>
          <w:sz w:val="24"/>
          <w:szCs w:val="24"/>
          <w:lang w:eastAsia="zh-CN"/>
        </w:rPr>
      </w:pPr>
    </w:p>
    <w:p w14:paraId="4470320E" w14:textId="04C1FE54" w:rsidR="00CA6A39" w:rsidRPr="00AF1DC5" w:rsidRDefault="006C3CFD" w:rsidP="00E50668">
      <w:pPr>
        <w:snapToGrid w:val="0"/>
        <w:spacing w:after="0" w:line="360" w:lineRule="auto"/>
        <w:jc w:val="both"/>
        <w:rPr>
          <w:rFonts w:ascii="Book Antiqua" w:hAnsi="Book Antiqua" w:cs="Courier New"/>
          <w:sz w:val="24"/>
          <w:szCs w:val="24"/>
        </w:rPr>
      </w:pPr>
      <w:r w:rsidRPr="00AF1DC5">
        <w:rPr>
          <w:rStyle w:val="apple-converted-space"/>
          <w:rFonts w:ascii="Book Antiqua" w:hAnsi="Book Antiqua" w:cs="Courier New"/>
          <w:b/>
          <w:sz w:val="24"/>
          <w:szCs w:val="24"/>
        </w:rPr>
        <w:t>Chaitanya Pant</w:t>
      </w:r>
      <w:r w:rsidR="00F6765D" w:rsidRPr="00AF1DC5">
        <w:rPr>
          <w:rStyle w:val="apple-converted-space"/>
          <w:rFonts w:ascii="Book Antiqua" w:hAnsi="Book Antiqua" w:cs="Courier New"/>
          <w:b/>
          <w:sz w:val="24"/>
          <w:szCs w:val="24"/>
        </w:rPr>
        <w:t>,</w:t>
      </w:r>
      <w:r w:rsidR="00E50668" w:rsidRPr="00AF1DC5">
        <w:rPr>
          <w:rStyle w:val="apple-converted-space"/>
          <w:rFonts w:ascii="Book Antiqua" w:hAnsi="Book Antiqua" w:cs="Courier New"/>
          <w:sz w:val="24"/>
          <w:szCs w:val="24"/>
          <w:lang w:eastAsia="zh-CN"/>
        </w:rPr>
        <w:t xml:space="preserve"> </w:t>
      </w:r>
      <w:r w:rsidRPr="00AF1DC5">
        <w:rPr>
          <w:rStyle w:val="apple-converted-space"/>
          <w:rFonts w:ascii="Book Antiqua" w:hAnsi="Book Antiqua" w:cs="Courier New"/>
          <w:sz w:val="24"/>
          <w:szCs w:val="24"/>
        </w:rPr>
        <w:t>Department of Gastroenterology,</w:t>
      </w:r>
      <w:r w:rsidR="00F6765D" w:rsidRPr="00AF1DC5">
        <w:rPr>
          <w:rFonts w:ascii="Book Antiqua" w:hAnsi="Book Antiqua" w:cs="Arial"/>
          <w:sz w:val="24"/>
          <w:szCs w:val="24"/>
          <w:shd w:val="clear" w:color="auto" w:fill="FDFDFD"/>
        </w:rPr>
        <w:t xml:space="preserve"> The University of Kansas Hospital,</w:t>
      </w:r>
      <w:r w:rsidR="00E50668" w:rsidRPr="00AF1DC5">
        <w:rPr>
          <w:rFonts w:ascii="Book Antiqua" w:hAnsi="Book Antiqua" w:cs="Arial"/>
          <w:sz w:val="24"/>
          <w:szCs w:val="24"/>
          <w:shd w:val="clear" w:color="auto" w:fill="FDFDFD"/>
          <w:lang w:eastAsia="zh-CN"/>
        </w:rPr>
        <w:t xml:space="preserve"> </w:t>
      </w:r>
      <w:r w:rsidR="00F6765D" w:rsidRPr="00AF1DC5">
        <w:rPr>
          <w:rFonts w:ascii="Book Antiqua" w:hAnsi="Book Antiqua" w:cs="Arial"/>
          <w:sz w:val="24"/>
          <w:szCs w:val="24"/>
          <w:shd w:val="clear" w:color="auto" w:fill="FDFDFD"/>
        </w:rPr>
        <w:t>Kansas, KS 66160</w:t>
      </w:r>
      <w:r w:rsidR="00B55A8C" w:rsidRPr="00AF1DC5">
        <w:rPr>
          <w:rFonts w:ascii="Book Antiqua" w:hAnsi="Book Antiqua" w:cs="Arial"/>
          <w:sz w:val="24"/>
          <w:szCs w:val="24"/>
          <w:shd w:val="clear" w:color="auto" w:fill="FDFDFD"/>
        </w:rPr>
        <w:t xml:space="preserve">, </w:t>
      </w:r>
      <w:r w:rsidR="00E50668" w:rsidRPr="00AF1DC5">
        <w:rPr>
          <w:rFonts w:ascii="Book Antiqua" w:hAnsi="Book Antiqua" w:cs="Arial"/>
          <w:sz w:val="24"/>
          <w:szCs w:val="24"/>
          <w:shd w:val="clear" w:color="auto" w:fill="FFFFFF"/>
        </w:rPr>
        <w:t>U</w:t>
      </w:r>
      <w:r w:rsidR="00E50668" w:rsidRPr="00AF1DC5">
        <w:rPr>
          <w:rFonts w:ascii="Book Antiqua" w:hAnsi="Book Antiqua" w:cs="Arial"/>
          <w:sz w:val="24"/>
          <w:szCs w:val="24"/>
          <w:shd w:val="clear" w:color="auto" w:fill="FFFFFF"/>
          <w:lang w:eastAsia="zh-CN"/>
        </w:rPr>
        <w:t>nited States</w:t>
      </w:r>
    </w:p>
    <w:p w14:paraId="3D179679" w14:textId="77777777" w:rsidR="00E50668" w:rsidRPr="00AF1DC5" w:rsidRDefault="00E50668" w:rsidP="00E50668">
      <w:pPr>
        <w:snapToGrid w:val="0"/>
        <w:spacing w:after="0" w:line="360" w:lineRule="auto"/>
        <w:jc w:val="both"/>
        <w:rPr>
          <w:rStyle w:val="apple-converted-space"/>
          <w:rFonts w:ascii="Book Antiqua" w:hAnsi="Book Antiqua" w:cs="Courier New"/>
          <w:sz w:val="24"/>
          <w:szCs w:val="24"/>
          <w:lang w:eastAsia="zh-CN"/>
        </w:rPr>
      </w:pPr>
    </w:p>
    <w:p w14:paraId="5E64D9EB" w14:textId="266FAD4C" w:rsidR="00CA6A39" w:rsidRPr="00AF1DC5" w:rsidRDefault="006C3CFD" w:rsidP="00E50668">
      <w:pPr>
        <w:snapToGrid w:val="0"/>
        <w:spacing w:after="0" w:line="360" w:lineRule="auto"/>
        <w:jc w:val="both"/>
        <w:rPr>
          <w:rFonts w:ascii="Book Antiqua" w:hAnsi="Book Antiqua" w:cs="Arial"/>
          <w:sz w:val="24"/>
          <w:szCs w:val="24"/>
          <w:shd w:val="clear" w:color="auto" w:fill="FFFFFF"/>
          <w:lang w:eastAsia="zh-CN"/>
        </w:rPr>
      </w:pPr>
      <w:r w:rsidRPr="00AF1DC5">
        <w:rPr>
          <w:rStyle w:val="apple-converted-space"/>
          <w:rFonts w:ascii="Book Antiqua" w:hAnsi="Book Antiqua" w:cs="Courier New"/>
          <w:b/>
          <w:sz w:val="24"/>
          <w:szCs w:val="24"/>
        </w:rPr>
        <w:t>Ashwath Kumar</w:t>
      </w:r>
      <w:r w:rsidR="00F6765D" w:rsidRPr="00AF1DC5">
        <w:rPr>
          <w:rStyle w:val="apple-converted-space"/>
          <w:rFonts w:ascii="Book Antiqua" w:hAnsi="Book Antiqua" w:cs="Courier New"/>
          <w:b/>
          <w:sz w:val="24"/>
          <w:szCs w:val="24"/>
        </w:rPr>
        <w:t>,</w:t>
      </w:r>
      <w:r w:rsidRPr="00AF1DC5">
        <w:rPr>
          <w:rStyle w:val="apple-converted-space"/>
          <w:rFonts w:ascii="Book Antiqua" w:hAnsi="Book Antiqua" w:cs="Courier New"/>
          <w:b/>
          <w:sz w:val="24"/>
          <w:szCs w:val="24"/>
        </w:rPr>
        <w:t xml:space="preserve"> </w:t>
      </w:r>
      <w:r w:rsidRPr="00AF1DC5">
        <w:rPr>
          <w:rStyle w:val="apple-converted-space"/>
          <w:rFonts w:ascii="Book Antiqua" w:hAnsi="Book Antiqua" w:cs="Courier New"/>
          <w:sz w:val="24"/>
          <w:szCs w:val="24"/>
        </w:rPr>
        <w:t>University of Missouri Medical School,</w:t>
      </w:r>
      <w:r w:rsidR="00E50668" w:rsidRPr="00AF1DC5">
        <w:rPr>
          <w:rFonts w:ascii="Book Antiqua" w:hAnsi="Book Antiqua" w:cs="Arial"/>
          <w:sz w:val="24"/>
          <w:szCs w:val="24"/>
          <w:shd w:val="clear" w:color="auto" w:fill="FFFFFF"/>
          <w:lang w:eastAsia="zh-CN"/>
        </w:rPr>
        <w:t xml:space="preserve"> </w:t>
      </w:r>
      <w:r w:rsidR="00F6765D" w:rsidRPr="00AF1DC5">
        <w:rPr>
          <w:rFonts w:ascii="Book Antiqua" w:hAnsi="Book Antiqua" w:cs="Arial"/>
          <w:sz w:val="24"/>
          <w:szCs w:val="24"/>
          <w:shd w:val="clear" w:color="auto" w:fill="FFFFFF"/>
        </w:rPr>
        <w:t>Kansas, MO 64108</w:t>
      </w:r>
      <w:r w:rsidR="00B55A8C" w:rsidRPr="00AF1DC5">
        <w:rPr>
          <w:rFonts w:ascii="Book Antiqua" w:hAnsi="Book Antiqua" w:cs="Arial"/>
          <w:sz w:val="24"/>
          <w:szCs w:val="24"/>
          <w:shd w:val="clear" w:color="auto" w:fill="FFFFFF"/>
        </w:rPr>
        <w:t xml:space="preserve">, </w:t>
      </w:r>
      <w:r w:rsidR="00E50668" w:rsidRPr="00AF1DC5">
        <w:rPr>
          <w:rFonts w:ascii="Book Antiqua" w:hAnsi="Book Antiqua" w:cs="Arial"/>
          <w:sz w:val="24"/>
          <w:szCs w:val="24"/>
          <w:shd w:val="clear" w:color="auto" w:fill="FFFFFF"/>
        </w:rPr>
        <w:t>U</w:t>
      </w:r>
      <w:r w:rsidR="00E50668" w:rsidRPr="00AF1DC5">
        <w:rPr>
          <w:rFonts w:ascii="Book Antiqua" w:hAnsi="Book Antiqua" w:cs="Arial"/>
          <w:sz w:val="24"/>
          <w:szCs w:val="24"/>
          <w:shd w:val="clear" w:color="auto" w:fill="FFFFFF"/>
          <w:lang w:eastAsia="zh-CN"/>
        </w:rPr>
        <w:t>nited States</w:t>
      </w:r>
    </w:p>
    <w:p w14:paraId="25580B10" w14:textId="77777777" w:rsidR="00E50668" w:rsidRPr="00AF1DC5" w:rsidRDefault="00E50668" w:rsidP="00E50668">
      <w:pPr>
        <w:snapToGrid w:val="0"/>
        <w:spacing w:after="0" w:line="360" w:lineRule="auto"/>
        <w:jc w:val="both"/>
        <w:rPr>
          <w:rFonts w:ascii="Book Antiqua" w:hAnsi="Book Antiqua" w:cs="Courier New"/>
          <w:sz w:val="24"/>
          <w:szCs w:val="24"/>
        </w:rPr>
      </w:pPr>
    </w:p>
    <w:p w14:paraId="79B047AE" w14:textId="5E08F618" w:rsidR="00113D29" w:rsidRPr="00AF1DC5" w:rsidRDefault="006C3CFD" w:rsidP="00E50668">
      <w:pPr>
        <w:snapToGrid w:val="0"/>
        <w:spacing w:after="0" w:line="360" w:lineRule="auto"/>
        <w:jc w:val="both"/>
        <w:rPr>
          <w:rStyle w:val="apple-converted-space"/>
          <w:rFonts w:ascii="Book Antiqua" w:hAnsi="Book Antiqua" w:cs="Courier New"/>
          <w:sz w:val="24"/>
          <w:szCs w:val="24"/>
        </w:rPr>
      </w:pPr>
      <w:r w:rsidRPr="00AF1DC5">
        <w:rPr>
          <w:rStyle w:val="apple-converted-space"/>
          <w:rFonts w:ascii="Book Antiqua" w:hAnsi="Book Antiqua" w:cs="Courier New"/>
          <w:b/>
          <w:sz w:val="24"/>
          <w:szCs w:val="24"/>
        </w:rPr>
        <w:t>Mike Thomson</w:t>
      </w:r>
      <w:r w:rsidR="00F6765D" w:rsidRPr="00AF1DC5">
        <w:rPr>
          <w:rStyle w:val="apple-converted-space"/>
          <w:rFonts w:ascii="Book Antiqua" w:hAnsi="Book Antiqua" w:cs="Courier New"/>
          <w:b/>
          <w:sz w:val="24"/>
          <w:szCs w:val="24"/>
        </w:rPr>
        <w:t>,</w:t>
      </w:r>
      <w:r w:rsidRPr="00AF1DC5">
        <w:rPr>
          <w:rStyle w:val="apple-converted-space"/>
          <w:rFonts w:ascii="Book Antiqua" w:hAnsi="Book Antiqua" w:cs="Courier New"/>
          <w:sz w:val="24"/>
          <w:szCs w:val="24"/>
        </w:rPr>
        <w:t xml:space="preserve"> Sheffield Chil</w:t>
      </w:r>
      <w:r w:rsidR="00113D29" w:rsidRPr="00AF1DC5">
        <w:rPr>
          <w:rStyle w:val="apple-converted-space"/>
          <w:rFonts w:ascii="Book Antiqua" w:hAnsi="Book Antiqua" w:cs="Courier New"/>
          <w:sz w:val="24"/>
          <w:szCs w:val="24"/>
        </w:rPr>
        <w:t xml:space="preserve">dren’s Hospital, </w:t>
      </w:r>
      <w:r w:rsidR="00F6765D" w:rsidRPr="00AF1DC5">
        <w:rPr>
          <w:rFonts w:ascii="Book Antiqua" w:hAnsi="Book Antiqua" w:cs="Arial"/>
          <w:sz w:val="24"/>
          <w:szCs w:val="24"/>
          <w:shd w:val="clear" w:color="auto" w:fill="FFFFFF"/>
        </w:rPr>
        <w:t>Western Bank, Sheffield S10 2TH, United Kingdom</w:t>
      </w:r>
    </w:p>
    <w:p w14:paraId="7DCB2F9D" w14:textId="77777777" w:rsidR="00F6765D" w:rsidRPr="00AF1DC5" w:rsidRDefault="00F6765D" w:rsidP="00E50668">
      <w:pPr>
        <w:snapToGrid w:val="0"/>
        <w:spacing w:after="0" w:line="360" w:lineRule="auto"/>
        <w:jc w:val="both"/>
        <w:rPr>
          <w:rStyle w:val="apple-converted-space"/>
          <w:rFonts w:ascii="Book Antiqua" w:hAnsi="Book Antiqua" w:cs="Courier New"/>
          <w:sz w:val="24"/>
          <w:szCs w:val="24"/>
        </w:rPr>
      </w:pPr>
    </w:p>
    <w:p w14:paraId="1DAC2AB6" w14:textId="43B40754" w:rsidR="006C3CFD" w:rsidRPr="00AF1DC5" w:rsidRDefault="006C3CFD" w:rsidP="00E50668">
      <w:pPr>
        <w:snapToGrid w:val="0"/>
        <w:spacing w:after="0" w:line="360" w:lineRule="auto"/>
        <w:jc w:val="both"/>
        <w:rPr>
          <w:rStyle w:val="apple-converted-space"/>
          <w:rFonts w:ascii="Book Antiqua" w:hAnsi="Book Antiqua" w:cs="Courier New"/>
          <w:sz w:val="24"/>
          <w:szCs w:val="24"/>
          <w:lang w:eastAsia="zh-CN"/>
        </w:rPr>
      </w:pPr>
      <w:r w:rsidRPr="00AF1DC5">
        <w:rPr>
          <w:rStyle w:val="apple-converted-space"/>
          <w:rFonts w:ascii="Book Antiqua" w:hAnsi="Book Antiqua" w:cs="Courier New"/>
          <w:b/>
          <w:sz w:val="24"/>
          <w:szCs w:val="24"/>
        </w:rPr>
        <w:lastRenderedPageBreak/>
        <w:t>Author contributions:</w:t>
      </w:r>
      <w:r w:rsidRPr="00AF1DC5">
        <w:rPr>
          <w:rStyle w:val="apple-converted-space"/>
          <w:rFonts w:ascii="Book Antiqua" w:hAnsi="Book Antiqua" w:cs="Courier New"/>
          <w:sz w:val="24"/>
          <w:szCs w:val="24"/>
        </w:rPr>
        <w:t xml:space="preserve"> </w:t>
      </w:r>
      <w:r w:rsidR="00CA6A39" w:rsidRPr="00AF1DC5">
        <w:rPr>
          <w:rStyle w:val="apple-converted-space"/>
          <w:rFonts w:ascii="Book Antiqua" w:hAnsi="Book Antiqua" w:cs="Courier New"/>
          <w:sz w:val="24"/>
          <w:szCs w:val="24"/>
        </w:rPr>
        <w:t>Attard TM and Pant C designed the research</w:t>
      </w:r>
      <w:r w:rsidR="00E50668" w:rsidRPr="00AF1DC5">
        <w:rPr>
          <w:rStyle w:val="apple-converted-space"/>
          <w:rFonts w:ascii="Book Antiqua" w:hAnsi="Book Antiqua" w:cs="Courier New"/>
          <w:sz w:val="24"/>
          <w:szCs w:val="24"/>
          <w:lang w:eastAsia="zh-CN"/>
        </w:rPr>
        <w:t>;</w:t>
      </w:r>
      <w:r w:rsidR="00CA6A39" w:rsidRPr="00AF1DC5">
        <w:rPr>
          <w:rStyle w:val="apple-converted-space"/>
          <w:rFonts w:ascii="Book Antiqua" w:hAnsi="Book Antiqua" w:cs="Courier New"/>
          <w:sz w:val="24"/>
          <w:szCs w:val="24"/>
        </w:rPr>
        <w:t xml:space="preserve"> Miller M performed the research</w:t>
      </w:r>
      <w:r w:rsidR="00E50668" w:rsidRPr="00AF1DC5">
        <w:rPr>
          <w:rStyle w:val="apple-converted-space"/>
          <w:rFonts w:ascii="Book Antiqua" w:hAnsi="Book Antiqua" w:cs="Courier New"/>
          <w:sz w:val="24"/>
          <w:szCs w:val="24"/>
          <w:lang w:eastAsia="zh-CN"/>
        </w:rPr>
        <w:t>;</w:t>
      </w:r>
      <w:r w:rsidR="00CA6A39" w:rsidRPr="00AF1DC5">
        <w:rPr>
          <w:rStyle w:val="apple-converted-space"/>
          <w:rFonts w:ascii="Book Antiqua" w:hAnsi="Book Antiqua" w:cs="Courier New"/>
          <w:sz w:val="24"/>
          <w:szCs w:val="24"/>
        </w:rPr>
        <w:t xml:space="preserve"> Miller M and Kumar A contributed analytic tools</w:t>
      </w:r>
      <w:r w:rsidR="00E50668" w:rsidRPr="00AF1DC5">
        <w:rPr>
          <w:rStyle w:val="apple-converted-space"/>
          <w:rFonts w:ascii="Book Antiqua" w:hAnsi="Book Antiqua" w:cs="Courier New"/>
          <w:sz w:val="24"/>
          <w:szCs w:val="24"/>
          <w:lang w:eastAsia="zh-CN"/>
        </w:rPr>
        <w:t xml:space="preserve">; </w:t>
      </w:r>
      <w:r w:rsidR="00CA6A39" w:rsidRPr="00AF1DC5">
        <w:rPr>
          <w:rStyle w:val="apple-converted-space"/>
          <w:rFonts w:ascii="Book Antiqua" w:hAnsi="Book Antiqua" w:cs="Courier New"/>
          <w:sz w:val="24"/>
          <w:szCs w:val="24"/>
        </w:rPr>
        <w:t>Attard TM, Miller M</w:t>
      </w:r>
      <w:r w:rsidR="003D7F75" w:rsidRPr="00AF1DC5">
        <w:rPr>
          <w:rStyle w:val="apple-converted-space"/>
          <w:rFonts w:ascii="Book Antiqua" w:hAnsi="Book Antiqua" w:cs="Courier New"/>
          <w:sz w:val="24"/>
          <w:szCs w:val="24"/>
        </w:rPr>
        <w:t xml:space="preserve"> and Thomson M wrote the paper.</w:t>
      </w:r>
    </w:p>
    <w:p w14:paraId="4D9D7B94" w14:textId="77777777" w:rsidR="006C3CFD" w:rsidRPr="00AF1DC5" w:rsidRDefault="006C3CFD" w:rsidP="00E50668">
      <w:pPr>
        <w:snapToGrid w:val="0"/>
        <w:spacing w:after="0" w:line="360" w:lineRule="auto"/>
        <w:jc w:val="both"/>
        <w:rPr>
          <w:rStyle w:val="apple-converted-space"/>
          <w:rFonts w:ascii="Book Antiqua" w:hAnsi="Book Antiqua" w:cs="Courier New"/>
          <w:sz w:val="24"/>
          <w:szCs w:val="24"/>
        </w:rPr>
      </w:pPr>
    </w:p>
    <w:p w14:paraId="2D9ACCA3" w14:textId="566F184A" w:rsidR="006C3CFD" w:rsidRPr="00AF1DC5" w:rsidRDefault="006C3CFD" w:rsidP="00E50668">
      <w:pPr>
        <w:snapToGrid w:val="0"/>
        <w:spacing w:after="0" w:line="360" w:lineRule="auto"/>
        <w:jc w:val="both"/>
        <w:rPr>
          <w:rStyle w:val="apple-converted-space"/>
          <w:rFonts w:ascii="Book Antiqua" w:hAnsi="Book Antiqua" w:cs="Courier New"/>
          <w:sz w:val="24"/>
          <w:szCs w:val="24"/>
        </w:rPr>
      </w:pPr>
      <w:r w:rsidRPr="00AF1DC5">
        <w:rPr>
          <w:rStyle w:val="apple-converted-space"/>
          <w:rFonts w:ascii="Book Antiqua" w:hAnsi="Book Antiqua" w:cs="Courier New"/>
          <w:b/>
          <w:sz w:val="24"/>
          <w:szCs w:val="24"/>
        </w:rPr>
        <w:t xml:space="preserve">Institutional review board statement: </w:t>
      </w:r>
      <w:r w:rsidRPr="00AF1DC5">
        <w:rPr>
          <w:rStyle w:val="apple-converted-space"/>
          <w:rFonts w:ascii="Book Antiqua" w:hAnsi="Book Antiqua" w:cs="Courier New"/>
          <w:sz w:val="24"/>
          <w:szCs w:val="24"/>
        </w:rPr>
        <w:t xml:space="preserve">The study was reviewed </w:t>
      </w:r>
      <w:r w:rsidR="00B55A8C" w:rsidRPr="00AF1DC5">
        <w:rPr>
          <w:rStyle w:val="apple-converted-space"/>
          <w:rFonts w:ascii="Book Antiqua" w:hAnsi="Book Antiqua" w:cs="Courier New"/>
          <w:sz w:val="24"/>
          <w:szCs w:val="24"/>
        </w:rPr>
        <w:t xml:space="preserve">and </w:t>
      </w:r>
      <w:r w:rsidRPr="00AF1DC5">
        <w:rPr>
          <w:rStyle w:val="apple-converted-space"/>
          <w:rFonts w:ascii="Book Antiqua" w:hAnsi="Book Antiqua" w:cs="Courier New"/>
          <w:sz w:val="24"/>
          <w:szCs w:val="24"/>
        </w:rPr>
        <w:t>approved for publication</w:t>
      </w:r>
      <w:r w:rsidR="00B55A8C" w:rsidRPr="00AF1DC5">
        <w:rPr>
          <w:rStyle w:val="apple-converted-space"/>
          <w:rFonts w:ascii="Book Antiqua" w:hAnsi="Book Antiqua" w:cs="Courier New"/>
          <w:sz w:val="24"/>
          <w:szCs w:val="24"/>
        </w:rPr>
        <w:t xml:space="preserve"> by our Institutional Reviewer.</w:t>
      </w:r>
    </w:p>
    <w:p w14:paraId="6DCF11B4" w14:textId="77777777" w:rsidR="00E50668" w:rsidRPr="00AF1DC5" w:rsidRDefault="00E50668" w:rsidP="00E50668">
      <w:pPr>
        <w:snapToGrid w:val="0"/>
        <w:spacing w:after="0" w:line="360" w:lineRule="auto"/>
        <w:jc w:val="both"/>
        <w:rPr>
          <w:rStyle w:val="apple-converted-space"/>
          <w:rFonts w:ascii="Book Antiqua" w:hAnsi="Book Antiqua" w:cs="Courier New"/>
          <w:b/>
          <w:sz w:val="24"/>
          <w:szCs w:val="24"/>
          <w:lang w:eastAsia="zh-CN"/>
        </w:rPr>
      </w:pPr>
    </w:p>
    <w:p w14:paraId="46A0F76E" w14:textId="6D499388" w:rsidR="006C3CFD" w:rsidRPr="00AF1DC5" w:rsidRDefault="006C3CFD" w:rsidP="00E50668">
      <w:pPr>
        <w:snapToGrid w:val="0"/>
        <w:spacing w:after="0" w:line="360" w:lineRule="auto"/>
        <w:jc w:val="both"/>
        <w:rPr>
          <w:rStyle w:val="apple-converted-space"/>
          <w:rFonts w:ascii="Book Antiqua" w:hAnsi="Book Antiqua" w:cs="Courier New"/>
          <w:sz w:val="24"/>
          <w:szCs w:val="24"/>
        </w:rPr>
      </w:pPr>
      <w:bookmarkStart w:id="0" w:name="OLE_LINK1"/>
      <w:bookmarkStart w:id="1" w:name="OLE_LINK2"/>
      <w:r w:rsidRPr="00AF1DC5">
        <w:rPr>
          <w:rStyle w:val="apple-converted-space"/>
          <w:rFonts w:ascii="Book Antiqua" w:hAnsi="Book Antiqua" w:cs="Courier New"/>
          <w:b/>
          <w:sz w:val="24"/>
          <w:szCs w:val="24"/>
        </w:rPr>
        <w:t xml:space="preserve">Conflict-of-interest statement: </w:t>
      </w:r>
      <w:r w:rsidRPr="00AF1DC5">
        <w:rPr>
          <w:rStyle w:val="apple-converted-space"/>
          <w:rFonts w:ascii="Book Antiqua" w:hAnsi="Book Antiqua" w:cs="Courier New"/>
          <w:sz w:val="24"/>
          <w:szCs w:val="24"/>
        </w:rPr>
        <w:t xml:space="preserve">All the </w:t>
      </w:r>
      <w:r w:rsidR="00E50668" w:rsidRPr="00AF1DC5">
        <w:rPr>
          <w:rStyle w:val="apple-converted-space"/>
          <w:rFonts w:ascii="Book Antiqua" w:hAnsi="Book Antiqua" w:cs="Courier New"/>
          <w:sz w:val="24"/>
          <w:szCs w:val="24"/>
        </w:rPr>
        <w:t>a</w:t>
      </w:r>
      <w:r w:rsidRPr="00AF1DC5">
        <w:rPr>
          <w:rStyle w:val="apple-converted-space"/>
          <w:rFonts w:ascii="Book Antiqua" w:hAnsi="Book Antiqua" w:cs="Courier New"/>
          <w:sz w:val="24"/>
          <w:szCs w:val="24"/>
        </w:rPr>
        <w:t>utho</w:t>
      </w:r>
      <w:r w:rsidR="00B55A8C" w:rsidRPr="00AF1DC5">
        <w:rPr>
          <w:rStyle w:val="apple-converted-space"/>
          <w:rFonts w:ascii="Book Antiqua" w:hAnsi="Book Antiqua" w:cs="Courier New"/>
          <w:sz w:val="24"/>
          <w:szCs w:val="24"/>
        </w:rPr>
        <w:t>rs have no conflict of interest related to the manuscript.</w:t>
      </w:r>
    </w:p>
    <w:bookmarkEnd w:id="0"/>
    <w:bookmarkEnd w:id="1"/>
    <w:p w14:paraId="3BE720AD" w14:textId="77777777" w:rsidR="00E50668" w:rsidRPr="00AF1DC5" w:rsidRDefault="00E50668" w:rsidP="00E50668">
      <w:pPr>
        <w:snapToGrid w:val="0"/>
        <w:spacing w:after="0" w:line="360" w:lineRule="auto"/>
        <w:jc w:val="both"/>
        <w:rPr>
          <w:rStyle w:val="apple-converted-space"/>
          <w:rFonts w:ascii="Book Antiqua" w:hAnsi="Book Antiqua" w:cs="Courier New"/>
          <w:b/>
          <w:sz w:val="24"/>
          <w:szCs w:val="24"/>
          <w:lang w:eastAsia="zh-CN"/>
        </w:rPr>
      </w:pPr>
    </w:p>
    <w:p w14:paraId="28818E3F" w14:textId="13668529" w:rsidR="006C3CFD" w:rsidRPr="009D6A41" w:rsidRDefault="006C3CFD" w:rsidP="00E50668">
      <w:pPr>
        <w:snapToGrid w:val="0"/>
        <w:spacing w:after="0" w:line="360" w:lineRule="auto"/>
        <w:jc w:val="both"/>
        <w:rPr>
          <w:rStyle w:val="apple-converted-space"/>
          <w:rFonts w:ascii="Book Antiqua" w:hAnsi="Book Antiqua" w:cs="Courier New"/>
          <w:sz w:val="24"/>
          <w:szCs w:val="24"/>
          <w:lang w:eastAsia="zh-CN"/>
        </w:rPr>
      </w:pPr>
      <w:bookmarkStart w:id="2" w:name="OLE_LINK3"/>
      <w:r w:rsidRPr="00AF1DC5">
        <w:rPr>
          <w:rStyle w:val="apple-converted-space"/>
          <w:rFonts w:ascii="Book Antiqua" w:hAnsi="Book Antiqua" w:cs="Courier New"/>
          <w:b/>
          <w:sz w:val="24"/>
          <w:szCs w:val="24"/>
        </w:rPr>
        <w:t>Data sharing statement:</w:t>
      </w:r>
      <w:r w:rsidRPr="00AF1DC5">
        <w:rPr>
          <w:rStyle w:val="apple-converted-space"/>
          <w:rFonts w:ascii="Book Antiqua" w:hAnsi="Book Antiqua" w:cs="Courier New"/>
          <w:sz w:val="24"/>
          <w:szCs w:val="24"/>
        </w:rPr>
        <w:t xml:space="preserve"> The original an</w:t>
      </w:r>
      <w:r w:rsidR="00B55A8C" w:rsidRPr="00AF1DC5">
        <w:rPr>
          <w:rStyle w:val="apple-converted-space"/>
          <w:rFonts w:ascii="Book Antiqua" w:hAnsi="Book Antiqua" w:cs="Courier New"/>
          <w:sz w:val="24"/>
          <w:szCs w:val="24"/>
        </w:rPr>
        <w:t xml:space="preserve">onymous dataset is available on </w:t>
      </w:r>
      <w:r w:rsidRPr="00AF1DC5">
        <w:rPr>
          <w:rStyle w:val="apple-converted-space"/>
          <w:rFonts w:ascii="Book Antiqua" w:hAnsi="Book Antiqua" w:cs="Courier New"/>
          <w:sz w:val="24"/>
          <w:szCs w:val="24"/>
        </w:rPr>
        <w:t>request f</w:t>
      </w:r>
      <w:r w:rsidR="00B55A8C" w:rsidRPr="00AF1DC5">
        <w:rPr>
          <w:rStyle w:val="apple-converted-space"/>
          <w:rFonts w:ascii="Book Antiqua" w:hAnsi="Book Antiqua" w:cs="Courier New"/>
          <w:sz w:val="24"/>
          <w:szCs w:val="24"/>
        </w:rPr>
        <w:t xml:space="preserve">rom the corresponding author at </w:t>
      </w:r>
      <w:hyperlink r:id="rId8" w:history="1">
        <w:r w:rsidR="00123E4C" w:rsidRPr="00AF1DC5">
          <w:rPr>
            <w:rStyle w:val="Hyperlink"/>
            <w:rFonts w:ascii="Book Antiqua" w:hAnsi="Book Antiqua" w:cs="Courier New"/>
            <w:color w:val="auto"/>
            <w:sz w:val="24"/>
            <w:szCs w:val="24"/>
          </w:rPr>
          <w:t>tmattard@cmh.edu</w:t>
        </w:r>
      </w:hyperlink>
      <w:r w:rsidR="009D6A41">
        <w:rPr>
          <w:rStyle w:val="apple-converted-space"/>
          <w:rFonts w:ascii="Book Antiqua" w:hAnsi="Book Antiqua" w:cs="Courier New" w:hint="eastAsia"/>
          <w:sz w:val="24"/>
          <w:szCs w:val="24"/>
          <w:lang w:eastAsia="zh-CN"/>
        </w:rPr>
        <w:t>.</w:t>
      </w:r>
    </w:p>
    <w:bookmarkEnd w:id="2"/>
    <w:p w14:paraId="0A9345A2" w14:textId="77777777" w:rsidR="00B55A8C" w:rsidRPr="00AF1DC5" w:rsidRDefault="00B55A8C" w:rsidP="00E50668">
      <w:pPr>
        <w:snapToGrid w:val="0"/>
        <w:spacing w:after="0" w:line="360" w:lineRule="auto"/>
        <w:jc w:val="both"/>
        <w:rPr>
          <w:rStyle w:val="apple-converted-space"/>
          <w:rFonts w:ascii="Book Antiqua" w:hAnsi="Book Antiqua" w:cs="Courier New"/>
          <w:sz w:val="24"/>
          <w:szCs w:val="24"/>
        </w:rPr>
      </w:pPr>
    </w:p>
    <w:p w14:paraId="707C24BE" w14:textId="77777777" w:rsidR="00E50668" w:rsidRPr="00AF1DC5" w:rsidRDefault="00E50668" w:rsidP="00E50668">
      <w:pPr>
        <w:pStyle w:val="1"/>
        <w:snapToGrid w:val="0"/>
        <w:spacing w:line="360" w:lineRule="auto"/>
        <w:jc w:val="both"/>
        <w:rPr>
          <w:rFonts w:ascii="Book Antiqua" w:hAnsi="Book Antiqua" w:cs="Times New Roman"/>
          <w:bCs/>
          <w:color w:val="auto"/>
          <w:sz w:val="24"/>
          <w:szCs w:val="24"/>
          <w:highlight w:val="white"/>
          <w:lang w:val="en-US"/>
        </w:rPr>
      </w:pPr>
      <w:bookmarkStart w:id="3" w:name="OLE_LINK734"/>
      <w:bookmarkStart w:id="4" w:name="OLE_LINK441"/>
      <w:bookmarkStart w:id="5" w:name="OLE_LINK442"/>
      <w:bookmarkStart w:id="6" w:name="OLE_LINK1032"/>
      <w:bookmarkStart w:id="7" w:name="OLE_LINK1232"/>
      <w:bookmarkStart w:id="8" w:name="OLE_LINK559"/>
      <w:bookmarkStart w:id="9" w:name="OLE_LINK878"/>
      <w:bookmarkStart w:id="10" w:name="OLE_LINK879"/>
      <w:r w:rsidRPr="00AF1DC5">
        <w:rPr>
          <w:rFonts w:ascii="Book Antiqua" w:hAnsi="Book Antiqua" w:cs="Times New Roman"/>
          <w:b/>
          <w:bCs/>
          <w:color w:val="auto"/>
          <w:sz w:val="24"/>
          <w:szCs w:val="24"/>
          <w:highlight w:val="white"/>
          <w:lang w:val="en-US"/>
        </w:rPr>
        <w:t>Open-Access:</w:t>
      </w:r>
      <w:r w:rsidRPr="00AF1DC5">
        <w:rPr>
          <w:rFonts w:ascii="Book Antiqua" w:hAnsi="Book Antiqua" w:cs="Times New Roman"/>
          <w:bCs/>
          <w:color w:val="auto"/>
          <w:sz w:val="24"/>
          <w:szCs w:val="24"/>
          <w:highlight w:val="white"/>
          <w:lang w:val="en-US"/>
        </w:rPr>
        <w:t xml:space="preserve"> </w:t>
      </w:r>
      <w:bookmarkStart w:id="11" w:name="OLE_LINK479"/>
      <w:bookmarkStart w:id="12" w:name="OLE_LINK496"/>
      <w:bookmarkStart w:id="13" w:name="OLE_LINK506"/>
      <w:bookmarkStart w:id="14" w:name="OLE_LINK507"/>
      <w:r w:rsidRPr="00AF1DC5">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AF1DC5">
        <w:rPr>
          <w:rFonts w:ascii="Book Antiqua" w:hAnsi="Book Antiqua" w:cs="Times New Roman"/>
          <w:bCs/>
          <w:color w:val="auto"/>
          <w:sz w:val="24"/>
          <w:szCs w:val="24"/>
          <w:highlight w:val="white"/>
          <w:lang w:val="en-US" w:eastAsia="zh-CN"/>
        </w:rPr>
        <w:t xml:space="preserve"> </w:t>
      </w:r>
      <w:r w:rsidRPr="00AF1DC5">
        <w:rPr>
          <w:rFonts w:ascii="Book Antiqua" w:hAnsi="Book Antiqua" w:cs="Times New Roman"/>
          <w:bCs/>
          <w:color w:val="auto"/>
          <w:sz w:val="24"/>
          <w:szCs w:val="24"/>
          <w:highlight w:val="white"/>
          <w:lang w:val="en-US"/>
        </w:rPr>
        <w:t>in</w:t>
      </w:r>
      <w:r w:rsidRPr="00AF1DC5">
        <w:rPr>
          <w:rFonts w:ascii="Book Antiqua" w:hAnsi="Book Antiqua" w:cs="Times New Roman"/>
          <w:bCs/>
          <w:color w:val="auto"/>
          <w:sz w:val="24"/>
          <w:szCs w:val="24"/>
          <w:highlight w:val="white"/>
          <w:lang w:val="en-US" w:eastAsia="zh-CN"/>
        </w:rPr>
        <w:t xml:space="preserve"> </w:t>
      </w:r>
      <w:r w:rsidRPr="00AF1DC5">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F1DC5">
          <w:rPr>
            <w:rStyle w:val="Hyperlink"/>
            <w:rFonts w:ascii="Book Antiqua" w:hAnsi="Book Antiqua" w:cs="Times New Roman"/>
            <w:bCs/>
            <w:color w:val="auto"/>
            <w:sz w:val="24"/>
            <w:szCs w:val="24"/>
            <w:highlight w:val="white"/>
            <w:lang w:val="en-US"/>
          </w:rPr>
          <w:t>http://creativecommons.org/licenses/by-nc/4.0/</w:t>
        </w:r>
      </w:hyperlink>
      <w:bookmarkEnd w:id="3"/>
      <w:bookmarkEnd w:id="11"/>
      <w:bookmarkEnd w:id="12"/>
      <w:bookmarkEnd w:id="13"/>
      <w:bookmarkEnd w:id="14"/>
    </w:p>
    <w:bookmarkEnd w:id="4"/>
    <w:bookmarkEnd w:id="5"/>
    <w:bookmarkEnd w:id="6"/>
    <w:bookmarkEnd w:id="7"/>
    <w:bookmarkEnd w:id="8"/>
    <w:p w14:paraId="659A8249" w14:textId="77777777" w:rsidR="00E50668" w:rsidRPr="00AF1DC5" w:rsidRDefault="00E50668" w:rsidP="00E50668">
      <w:pPr>
        <w:pStyle w:val="1"/>
        <w:snapToGrid w:val="0"/>
        <w:spacing w:line="360" w:lineRule="auto"/>
        <w:jc w:val="both"/>
        <w:rPr>
          <w:rFonts w:ascii="Book Antiqua" w:hAnsi="Book Antiqua" w:cs="Times New Roman"/>
          <w:b/>
          <w:bCs/>
          <w:color w:val="auto"/>
          <w:sz w:val="24"/>
          <w:szCs w:val="24"/>
          <w:highlight w:val="white"/>
          <w:lang w:val="en-US" w:eastAsia="zh-CN"/>
        </w:rPr>
      </w:pPr>
    </w:p>
    <w:p w14:paraId="60B316B9" w14:textId="5291BD3F" w:rsidR="006C3CFD" w:rsidRPr="00AF1DC5" w:rsidRDefault="00E50668" w:rsidP="00E50668">
      <w:pPr>
        <w:snapToGrid w:val="0"/>
        <w:spacing w:after="0" w:line="360" w:lineRule="auto"/>
        <w:jc w:val="both"/>
        <w:rPr>
          <w:rFonts w:ascii="Book Antiqua" w:hAnsi="Book Antiqua" w:cs="Times New Roman"/>
          <w:bCs/>
          <w:sz w:val="24"/>
          <w:szCs w:val="24"/>
          <w:lang w:val="en-US" w:eastAsia="zh-CN"/>
        </w:rPr>
      </w:pPr>
      <w:r w:rsidRPr="00AF1DC5">
        <w:rPr>
          <w:rFonts w:ascii="Book Antiqua" w:hAnsi="Book Antiqua" w:cs="Times New Roman"/>
          <w:b/>
          <w:bCs/>
          <w:sz w:val="24"/>
          <w:szCs w:val="24"/>
          <w:highlight w:val="white"/>
          <w:lang w:val="en-US"/>
        </w:rPr>
        <w:t>Manuscript source:</w:t>
      </w:r>
      <w:r w:rsidRPr="00AF1DC5">
        <w:rPr>
          <w:rFonts w:ascii="Book Antiqua" w:hAnsi="Book Antiqua" w:cs="Times New Roman"/>
          <w:b/>
          <w:bCs/>
          <w:sz w:val="24"/>
          <w:szCs w:val="24"/>
          <w:highlight w:val="white"/>
          <w:lang w:val="en-US" w:eastAsia="zh-CN"/>
        </w:rPr>
        <w:t xml:space="preserve"> </w:t>
      </w:r>
      <w:r w:rsidRPr="00AF1DC5">
        <w:rPr>
          <w:rFonts w:ascii="Book Antiqua" w:hAnsi="Book Antiqua" w:cs="Times New Roman"/>
          <w:bCs/>
          <w:sz w:val="24"/>
          <w:szCs w:val="24"/>
          <w:highlight w:val="white"/>
          <w:lang w:val="en-US"/>
        </w:rPr>
        <w:t>Unsolicited manuscript</w:t>
      </w:r>
      <w:bookmarkEnd w:id="9"/>
      <w:bookmarkEnd w:id="10"/>
    </w:p>
    <w:p w14:paraId="3C15FA05" w14:textId="77777777" w:rsidR="00E50668" w:rsidRPr="00AF1DC5" w:rsidRDefault="00E50668" w:rsidP="00E50668">
      <w:pPr>
        <w:snapToGrid w:val="0"/>
        <w:spacing w:after="0" w:line="360" w:lineRule="auto"/>
        <w:jc w:val="both"/>
        <w:rPr>
          <w:rStyle w:val="apple-converted-space"/>
          <w:rFonts w:ascii="Book Antiqua" w:hAnsi="Book Antiqua" w:cs="Courier New"/>
          <w:sz w:val="24"/>
          <w:szCs w:val="24"/>
          <w:lang w:eastAsia="zh-CN"/>
        </w:rPr>
      </w:pPr>
    </w:p>
    <w:p w14:paraId="760A594E" w14:textId="1B538962" w:rsidR="00B55A8C" w:rsidRPr="00AF1DC5" w:rsidRDefault="00B55A8C" w:rsidP="00E50668">
      <w:pPr>
        <w:snapToGrid w:val="0"/>
        <w:spacing w:after="0" w:line="360" w:lineRule="auto"/>
        <w:jc w:val="both"/>
        <w:rPr>
          <w:rFonts w:ascii="Book Antiqua" w:hAnsi="Book Antiqua" w:cs="Arial"/>
          <w:sz w:val="24"/>
          <w:szCs w:val="24"/>
          <w:shd w:val="clear" w:color="auto" w:fill="FFFFFF"/>
          <w:lang w:eastAsia="zh-CN"/>
        </w:rPr>
      </w:pPr>
      <w:r w:rsidRPr="00AF1DC5">
        <w:rPr>
          <w:rStyle w:val="apple-converted-space"/>
          <w:rFonts w:ascii="Book Antiqua" w:hAnsi="Book Antiqua" w:cs="Courier New"/>
          <w:b/>
          <w:sz w:val="24"/>
          <w:szCs w:val="24"/>
        </w:rPr>
        <w:t>Correspondence to:</w:t>
      </w:r>
      <w:r w:rsidR="00E50668" w:rsidRPr="00AF1DC5">
        <w:rPr>
          <w:rStyle w:val="apple-converted-space"/>
          <w:rFonts w:ascii="Book Antiqua" w:hAnsi="Book Antiqua" w:cs="Courier New"/>
          <w:sz w:val="24"/>
          <w:szCs w:val="24"/>
          <w:lang w:eastAsia="zh-CN"/>
        </w:rPr>
        <w:t xml:space="preserve"> </w:t>
      </w:r>
      <w:r w:rsidRPr="00AF1DC5">
        <w:rPr>
          <w:rStyle w:val="apple-converted-space"/>
          <w:rFonts w:ascii="Book Antiqua" w:hAnsi="Book Antiqua" w:cs="Courier New"/>
          <w:b/>
          <w:sz w:val="24"/>
          <w:szCs w:val="24"/>
        </w:rPr>
        <w:t xml:space="preserve">Thomas </w:t>
      </w:r>
      <w:r w:rsidR="00E50668" w:rsidRPr="00AF1DC5">
        <w:rPr>
          <w:rStyle w:val="apple-converted-space"/>
          <w:rFonts w:ascii="Book Antiqua" w:hAnsi="Book Antiqua" w:cs="Courier New"/>
          <w:b/>
          <w:sz w:val="24"/>
          <w:szCs w:val="24"/>
          <w:lang w:eastAsia="zh-CN"/>
        </w:rPr>
        <w:t xml:space="preserve">M </w:t>
      </w:r>
      <w:r w:rsidRPr="00AF1DC5">
        <w:rPr>
          <w:rStyle w:val="apple-converted-space"/>
          <w:rFonts w:ascii="Book Antiqua" w:hAnsi="Book Antiqua" w:cs="Courier New"/>
          <w:b/>
          <w:sz w:val="24"/>
          <w:szCs w:val="24"/>
        </w:rPr>
        <w:t>Attard</w:t>
      </w:r>
      <w:r w:rsidR="00E50668" w:rsidRPr="00AF1DC5">
        <w:rPr>
          <w:rStyle w:val="apple-converted-space"/>
          <w:rFonts w:ascii="Book Antiqua" w:hAnsi="Book Antiqua" w:cs="Courier New"/>
          <w:b/>
          <w:sz w:val="24"/>
          <w:szCs w:val="24"/>
          <w:lang w:eastAsia="zh-CN"/>
        </w:rPr>
        <w:t>,</w:t>
      </w:r>
      <w:r w:rsidRPr="00AF1DC5">
        <w:rPr>
          <w:rStyle w:val="apple-converted-space"/>
          <w:rFonts w:ascii="Book Antiqua" w:hAnsi="Book Antiqua" w:cs="Courier New"/>
          <w:b/>
          <w:sz w:val="24"/>
          <w:szCs w:val="24"/>
        </w:rPr>
        <w:t xml:space="preserve"> MD, Consultant Gastroenterologist,</w:t>
      </w:r>
      <w:r w:rsidRPr="00AF1DC5">
        <w:rPr>
          <w:rStyle w:val="apple-converted-space"/>
          <w:rFonts w:ascii="Book Antiqua" w:hAnsi="Book Antiqua" w:cs="Courier New"/>
          <w:sz w:val="24"/>
          <w:szCs w:val="24"/>
        </w:rPr>
        <w:t xml:space="preserve"> Department of Gastroenterology, Children’s Mercy Hospital,</w:t>
      </w:r>
      <w:r w:rsidRPr="00AF1DC5">
        <w:rPr>
          <w:rFonts w:ascii="Book Antiqua" w:hAnsi="Book Antiqua" w:cs="Arial"/>
          <w:sz w:val="24"/>
          <w:szCs w:val="24"/>
          <w:shd w:val="clear" w:color="auto" w:fill="FFFFFF"/>
        </w:rPr>
        <w:t xml:space="preserve"> </w:t>
      </w:r>
      <w:r w:rsidRPr="00AF1DC5">
        <w:rPr>
          <w:rFonts w:ascii="Book Antiqua" w:hAnsi="Book Antiqua"/>
          <w:sz w:val="24"/>
          <w:szCs w:val="24"/>
          <w:shd w:val="clear" w:color="auto" w:fill="FFFFFF"/>
        </w:rPr>
        <w:t>Adele Hall, 1605.00,</w:t>
      </w:r>
      <w:r w:rsidRPr="00AF1DC5">
        <w:rPr>
          <w:rStyle w:val="apple-converted-space"/>
          <w:rFonts w:ascii="Book Antiqua" w:hAnsi="Book Antiqua"/>
          <w:sz w:val="24"/>
          <w:szCs w:val="24"/>
          <w:shd w:val="clear" w:color="auto" w:fill="FFFFFF"/>
        </w:rPr>
        <w:t> </w:t>
      </w:r>
      <w:r w:rsidRPr="00AF1DC5">
        <w:rPr>
          <w:rFonts w:ascii="Book Antiqua" w:hAnsi="Book Antiqua" w:cs="Arial"/>
          <w:sz w:val="24"/>
          <w:szCs w:val="24"/>
          <w:shd w:val="clear" w:color="auto" w:fill="FFFFFF"/>
        </w:rPr>
        <w:t>2401 Gillham Rd, Kansas, MO 64108, U</w:t>
      </w:r>
      <w:r w:rsidR="00E50668" w:rsidRPr="00AF1DC5">
        <w:rPr>
          <w:rFonts w:ascii="Book Antiqua" w:hAnsi="Book Antiqua" w:cs="Arial"/>
          <w:sz w:val="24"/>
          <w:szCs w:val="24"/>
          <w:shd w:val="clear" w:color="auto" w:fill="FFFFFF"/>
          <w:lang w:eastAsia="zh-CN"/>
        </w:rPr>
        <w:t xml:space="preserve">nited States. </w:t>
      </w:r>
      <w:r w:rsidRPr="00AF1DC5">
        <w:rPr>
          <w:rFonts w:ascii="Book Antiqua" w:hAnsi="Book Antiqua" w:cs="Arial"/>
          <w:sz w:val="24"/>
          <w:szCs w:val="24"/>
          <w:shd w:val="clear" w:color="auto" w:fill="FFFFFF"/>
        </w:rPr>
        <w:t>tmattard@cmh.edu</w:t>
      </w:r>
    </w:p>
    <w:p w14:paraId="134E4C10" w14:textId="65BE86C9" w:rsidR="00B55A8C" w:rsidRPr="00AF1DC5" w:rsidRDefault="00B55A8C" w:rsidP="00E50668">
      <w:pPr>
        <w:snapToGrid w:val="0"/>
        <w:spacing w:after="0" w:line="360" w:lineRule="auto"/>
        <w:jc w:val="both"/>
        <w:rPr>
          <w:rFonts w:ascii="Book Antiqua" w:hAnsi="Book Antiqua" w:cs="Arial"/>
          <w:sz w:val="24"/>
          <w:szCs w:val="24"/>
          <w:shd w:val="clear" w:color="auto" w:fill="FFFFFF"/>
        </w:rPr>
      </w:pPr>
      <w:r w:rsidRPr="00AF1DC5">
        <w:rPr>
          <w:rFonts w:ascii="Book Antiqua" w:hAnsi="Book Antiqua" w:cs="Arial"/>
          <w:b/>
          <w:sz w:val="24"/>
          <w:szCs w:val="24"/>
          <w:shd w:val="clear" w:color="auto" w:fill="FFFFFF"/>
        </w:rPr>
        <w:t>Tel</w:t>
      </w:r>
      <w:r w:rsidR="00E50668" w:rsidRPr="00AF1DC5">
        <w:rPr>
          <w:rFonts w:ascii="Book Antiqua" w:hAnsi="Book Antiqua" w:cs="Arial"/>
          <w:b/>
          <w:sz w:val="24"/>
          <w:szCs w:val="24"/>
          <w:shd w:val="clear" w:color="auto" w:fill="FFFFFF"/>
          <w:lang w:eastAsia="zh-CN"/>
        </w:rPr>
        <w:t>ephone</w:t>
      </w:r>
      <w:r w:rsidRPr="00AF1DC5">
        <w:rPr>
          <w:rFonts w:ascii="Book Antiqua" w:hAnsi="Book Antiqua" w:cs="Arial"/>
          <w:b/>
          <w:sz w:val="24"/>
          <w:szCs w:val="24"/>
          <w:shd w:val="clear" w:color="auto" w:fill="FFFFFF"/>
        </w:rPr>
        <w:t xml:space="preserve">: </w:t>
      </w:r>
      <w:r w:rsidR="00E50668" w:rsidRPr="00AF1DC5">
        <w:rPr>
          <w:rFonts w:ascii="Book Antiqua" w:hAnsi="Book Antiqua" w:cs="Arial"/>
          <w:sz w:val="24"/>
          <w:szCs w:val="24"/>
          <w:shd w:val="clear" w:color="auto" w:fill="FFFFFF"/>
        </w:rPr>
        <w:t>+</w:t>
      </w:r>
      <w:r w:rsidR="0062682C" w:rsidRPr="00AF1DC5">
        <w:rPr>
          <w:rFonts w:ascii="Book Antiqua" w:hAnsi="Book Antiqua" w:cs="Arial"/>
          <w:sz w:val="24"/>
          <w:szCs w:val="24"/>
          <w:shd w:val="clear" w:color="auto" w:fill="FFFFFF"/>
        </w:rPr>
        <w:t>1</w:t>
      </w:r>
      <w:r w:rsidR="00E50668" w:rsidRPr="00AF1DC5">
        <w:rPr>
          <w:rFonts w:ascii="Book Antiqua" w:hAnsi="Book Antiqua" w:cs="Arial"/>
          <w:sz w:val="24"/>
          <w:szCs w:val="24"/>
          <w:shd w:val="clear" w:color="auto" w:fill="FFFFFF"/>
          <w:lang w:eastAsia="zh-CN"/>
        </w:rPr>
        <w:t>-</w:t>
      </w:r>
      <w:r w:rsidRPr="00AF1DC5">
        <w:rPr>
          <w:rFonts w:ascii="Book Antiqua" w:hAnsi="Book Antiqua" w:cs="Arial"/>
          <w:sz w:val="24"/>
          <w:szCs w:val="24"/>
          <w:shd w:val="clear" w:color="auto" w:fill="FFFFFF"/>
        </w:rPr>
        <w:t>816</w:t>
      </w:r>
      <w:r w:rsidR="00E50668" w:rsidRPr="00AF1DC5">
        <w:rPr>
          <w:rFonts w:ascii="Book Antiqua" w:hAnsi="Book Antiqua" w:cs="Arial"/>
          <w:sz w:val="24"/>
          <w:szCs w:val="24"/>
          <w:shd w:val="clear" w:color="auto" w:fill="FFFFFF"/>
          <w:lang w:eastAsia="zh-CN"/>
        </w:rPr>
        <w:t>-</w:t>
      </w:r>
      <w:r w:rsidR="00E50668" w:rsidRPr="00AF1DC5">
        <w:rPr>
          <w:rFonts w:ascii="Book Antiqua" w:hAnsi="Book Antiqua" w:cs="Arial"/>
          <w:sz w:val="24"/>
          <w:szCs w:val="24"/>
          <w:shd w:val="clear" w:color="auto" w:fill="FFFFFF"/>
        </w:rPr>
        <w:t>302</w:t>
      </w:r>
      <w:r w:rsidRPr="00AF1DC5">
        <w:rPr>
          <w:rFonts w:ascii="Book Antiqua" w:hAnsi="Book Antiqua" w:cs="Arial"/>
          <w:sz w:val="24"/>
          <w:szCs w:val="24"/>
          <w:shd w:val="clear" w:color="auto" w:fill="FFFFFF"/>
        </w:rPr>
        <w:t>8149</w:t>
      </w:r>
    </w:p>
    <w:p w14:paraId="29582CC1" w14:textId="010F6BC0" w:rsidR="0062682C" w:rsidRPr="00AF1DC5" w:rsidRDefault="00B55A8C" w:rsidP="00E50668">
      <w:pPr>
        <w:snapToGrid w:val="0"/>
        <w:spacing w:after="0" w:line="360" w:lineRule="auto"/>
        <w:jc w:val="both"/>
        <w:rPr>
          <w:rStyle w:val="apple-converted-space"/>
          <w:rFonts w:ascii="Book Antiqua" w:hAnsi="Book Antiqua" w:cs="Courier New"/>
          <w:sz w:val="24"/>
          <w:szCs w:val="24"/>
        </w:rPr>
      </w:pPr>
      <w:r w:rsidRPr="00AF1DC5">
        <w:rPr>
          <w:rFonts w:ascii="Book Antiqua" w:hAnsi="Book Antiqua" w:cs="Arial"/>
          <w:b/>
          <w:sz w:val="24"/>
          <w:szCs w:val="24"/>
          <w:shd w:val="clear" w:color="auto" w:fill="FFFFFF"/>
        </w:rPr>
        <w:t>Fax:</w:t>
      </w:r>
      <w:r w:rsidR="00E50668" w:rsidRPr="00AF1DC5">
        <w:rPr>
          <w:rFonts w:ascii="Book Antiqua" w:hAnsi="Book Antiqua" w:cs="Arial"/>
          <w:sz w:val="24"/>
          <w:szCs w:val="24"/>
          <w:shd w:val="clear" w:color="auto" w:fill="FFFFFF"/>
          <w:lang w:eastAsia="zh-CN"/>
        </w:rPr>
        <w:t xml:space="preserve"> </w:t>
      </w:r>
      <w:r w:rsidR="00E50668" w:rsidRPr="00AF1DC5">
        <w:rPr>
          <w:rFonts w:ascii="Book Antiqua" w:hAnsi="Book Antiqua" w:cs="Arial"/>
          <w:sz w:val="24"/>
          <w:szCs w:val="24"/>
          <w:shd w:val="clear" w:color="auto" w:fill="FFFFFF"/>
        </w:rPr>
        <w:t>+1</w:t>
      </w:r>
      <w:r w:rsidR="00E50668" w:rsidRPr="00AF1DC5">
        <w:rPr>
          <w:rFonts w:ascii="Book Antiqua" w:hAnsi="Book Antiqua" w:cs="Arial"/>
          <w:sz w:val="24"/>
          <w:szCs w:val="24"/>
          <w:shd w:val="clear" w:color="auto" w:fill="FFFFFF"/>
          <w:lang w:eastAsia="zh-CN"/>
        </w:rPr>
        <w:t>-</w:t>
      </w:r>
      <w:r w:rsidR="00E50668" w:rsidRPr="00AF1DC5">
        <w:rPr>
          <w:rFonts w:ascii="Book Antiqua" w:hAnsi="Book Antiqua" w:cs="Arial"/>
          <w:sz w:val="24"/>
          <w:szCs w:val="24"/>
          <w:shd w:val="clear" w:color="auto" w:fill="FFFFFF"/>
        </w:rPr>
        <w:t>816</w:t>
      </w:r>
      <w:r w:rsidR="00E50668" w:rsidRPr="00AF1DC5">
        <w:rPr>
          <w:rFonts w:ascii="Book Antiqua" w:hAnsi="Book Antiqua" w:cs="Arial"/>
          <w:sz w:val="24"/>
          <w:szCs w:val="24"/>
          <w:shd w:val="clear" w:color="auto" w:fill="FFFFFF"/>
          <w:lang w:eastAsia="zh-CN"/>
        </w:rPr>
        <w:t>-</w:t>
      </w:r>
      <w:r w:rsidR="00E50668" w:rsidRPr="00AF1DC5">
        <w:rPr>
          <w:rFonts w:ascii="Book Antiqua" w:hAnsi="Book Antiqua" w:cs="Arial"/>
          <w:sz w:val="24"/>
          <w:szCs w:val="24"/>
          <w:shd w:val="clear" w:color="auto" w:fill="FFFFFF"/>
        </w:rPr>
        <w:t>234</w:t>
      </w:r>
      <w:r w:rsidR="0062682C" w:rsidRPr="00AF1DC5">
        <w:rPr>
          <w:rFonts w:ascii="Book Antiqua" w:hAnsi="Book Antiqua" w:cs="Arial"/>
          <w:sz w:val="24"/>
          <w:szCs w:val="24"/>
          <w:shd w:val="clear" w:color="auto" w:fill="FFFFFF"/>
        </w:rPr>
        <w:t>1553</w:t>
      </w:r>
    </w:p>
    <w:p w14:paraId="3DC8BC68" w14:textId="1DFDB6BD" w:rsidR="00B55A8C" w:rsidRPr="00AF1DC5" w:rsidRDefault="00B55A8C" w:rsidP="00E50668">
      <w:pPr>
        <w:snapToGrid w:val="0"/>
        <w:spacing w:after="0" w:line="360" w:lineRule="auto"/>
        <w:jc w:val="both"/>
        <w:rPr>
          <w:rStyle w:val="apple-converted-space"/>
          <w:rFonts w:ascii="Book Antiqua" w:hAnsi="Book Antiqua" w:cs="Courier New"/>
          <w:sz w:val="24"/>
          <w:szCs w:val="24"/>
          <w:lang w:eastAsia="zh-CN"/>
        </w:rPr>
      </w:pPr>
    </w:p>
    <w:p w14:paraId="0BEB5176" w14:textId="6AE7B8D6" w:rsidR="00E50668" w:rsidRPr="00AF1DC5" w:rsidRDefault="00E50668" w:rsidP="00E50668">
      <w:pPr>
        <w:snapToGrid w:val="0"/>
        <w:spacing w:after="0" w:line="360" w:lineRule="auto"/>
        <w:jc w:val="both"/>
        <w:rPr>
          <w:rFonts w:ascii="Book Antiqua" w:eastAsia="SimSun" w:hAnsi="Book Antiqua" w:cs="SimSun"/>
          <w:b/>
          <w:sz w:val="24"/>
          <w:szCs w:val="24"/>
          <w:lang w:val="en-US" w:eastAsia="zh-CN"/>
        </w:rPr>
      </w:pPr>
      <w:bookmarkStart w:id="15" w:name="OLE_LINK952"/>
      <w:r w:rsidRPr="00AF1DC5">
        <w:rPr>
          <w:rFonts w:ascii="Book Antiqua" w:eastAsia="SimSun" w:hAnsi="Book Antiqua" w:cs="SimSun"/>
          <w:b/>
          <w:sz w:val="24"/>
          <w:szCs w:val="24"/>
          <w:lang w:val="en-US" w:eastAsia="zh-CN"/>
        </w:rPr>
        <w:lastRenderedPageBreak/>
        <w:t xml:space="preserve">Received: </w:t>
      </w:r>
      <w:r w:rsidRPr="00AF1DC5">
        <w:rPr>
          <w:rFonts w:ascii="Book Antiqua" w:eastAsia="SimSun" w:hAnsi="Book Antiqua" w:cs="SimSun"/>
          <w:sz w:val="24"/>
          <w:szCs w:val="24"/>
          <w:lang w:val="en-US" w:eastAsia="zh-CN"/>
        </w:rPr>
        <w:t>September 7, 2016</w:t>
      </w:r>
    </w:p>
    <w:p w14:paraId="5DA0C5C0" w14:textId="1F131FC5" w:rsidR="00E50668" w:rsidRPr="00AF1DC5" w:rsidRDefault="00E50668" w:rsidP="00E50668">
      <w:pPr>
        <w:snapToGrid w:val="0"/>
        <w:spacing w:after="0" w:line="360" w:lineRule="auto"/>
        <w:jc w:val="both"/>
        <w:rPr>
          <w:rFonts w:ascii="Book Antiqua" w:eastAsia="SimSun" w:hAnsi="Book Antiqua" w:cs="SimSun"/>
          <w:b/>
          <w:sz w:val="24"/>
          <w:szCs w:val="24"/>
          <w:lang w:val="en-US" w:eastAsia="zh-CN"/>
        </w:rPr>
      </w:pPr>
      <w:r w:rsidRPr="00AF1DC5">
        <w:rPr>
          <w:rFonts w:ascii="Book Antiqua" w:eastAsia="SimSun" w:hAnsi="Book Antiqua" w:cs="SimSun"/>
          <w:b/>
          <w:sz w:val="24"/>
          <w:szCs w:val="24"/>
          <w:lang w:val="en-US" w:eastAsia="zh-CN"/>
        </w:rPr>
        <w:t xml:space="preserve">Peer-review started: </w:t>
      </w:r>
      <w:r w:rsidRPr="00AF1DC5">
        <w:rPr>
          <w:rFonts w:ascii="Book Antiqua" w:eastAsia="SimSun" w:hAnsi="Book Antiqua" w:cs="SimSun"/>
          <w:sz w:val="24"/>
          <w:szCs w:val="24"/>
          <w:lang w:val="en-US" w:eastAsia="zh-CN"/>
        </w:rPr>
        <w:t>September 10, 2016</w:t>
      </w:r>
    </w:p>
    <w:p w14:paraId="7BCF4531" w14:textId="674DAF4A" w:rsidR="00E50668" w:rsidRPr="00AF1DC5" w:rsidRDefault="00E50668" w:rsidP="00E50668">
      <w:pPr>
        <w:snapToGrid w:val="0"/>
        <w:spacing w:after="0" w:line="360" w:lineRule="auto"/>
        <w:jc w:val="both"/>
        <w:rPr>
          <w:rFonts w:ascii="Book Antiqua" w:eastAsia="SimSun" w:hAnsi="Book Antiqua" w:cs="SimSun"/>
          <w:b/>
          <w:sz w:val="24"/>
          <w:szCs w:val="24"/>
          <w:lang w:val="en-US" w:eastAsia="zh-CN"/>
        </w:rPr>
      </w:pPr>
      <w:r w:rsidRPr="00AF1DC5">
        <w:rPr>
          <w:rFonts w:ascii="Book Antiqua" w:eastAsia="SimSun" w:hAnsi="Book Antiqua" w:cs="SimSun"/>
          <w:b/>
          <w:sz w:val="24"/>
          <w:szCs w:val="24"/>
          <w:lang w:val="en-US" w:eastAsia="zh-CN"/>
        </w:rPr>
        <w:t xml:space="preserve">First decision: </w:t>
      </w:r>
      <w:r w:rsidRPr="00AF1DC5">
        <w:rPr>
          <w:rFonts w:ascii="Book Antiqua" w:eastAsia="SimSun" w:hAnsi="Book Antiqua" w:cs="SimSun"/>
          <w:sz w:val="24"/>
          <w:szCs w:val="24"/>
          <w:lang w:val="en-US" w:eastAsia="zh-CN"/>
        </w:rPr>
        <w:t>October 28, 2016</w:t>
      </w:r>
    </w:p>
    <w:p w14:paraId="599E5EF6" w14:textId="0A7221F0" w:rsidR="00E50668" w:rsidRPr="00AF1DC5" w:rsidRDefault="00E50668" w:rsidP="00E50668">
      <w:pPr>
        <w:snapToGrid w:val="0"/>
        <w:spacing w:after="0" w:line="360" w:lineRule="auto"/>
        <w:jc w:val="both"/>
        <w:rPr>
          <w:rFonts w:ascii="Book Antiqua" w:eastAsia="SimSun" w:hAnsi="Book Antiqua" w:cs="SimSun"/>
          <w:b/>
          <w:sz w:val="24"/>
          <w:szCs w:val="24"/>
          <w:lang w:val="en-US" w:eastAsia="zh-CN"/>
        </w:rPr>
      </w:pPr>
      <w:r w:rsidRPr="00AF1DC5">
        <w:rPr>
          <w:rFonts w:ascii="Book Antiqua" w:eastAsia="SimSun" w:hAnsi="Book Antiqua" w:cs="SimSun"/>
          <w:b/>
          <w:sz w:val="24"/>
          <w:szCs w:val="24"/>
          <w:lang w:val="en-US" w:eastAsia="zh-CN"/>
        </w:rPr>
        <w:t xml:space="preserve">Revised: </w:t>
      </w:r>
      <w:r w:rsidRPr="00AF1DC5">
        <w:rPr>
          <w:rFonts w:ascii="Book Antiqua" w:eastAsia="SimSun" w:hAnsi="Book Antiqua" w:cs="SimSun"/>
          <w:sz w:val="24"/>
          <w:szCs w:val="24"/>
          <w:lang w:val="en-US" w:eastAsia="zh-CN"/>
        </w:rPr>
        <w:t>November 11, 2016</w:t>
      </w:r>
    </w:p>
    <w:p w14:paraId="2BADEE71" w14:textId="22B4F9A3" w:rsidR="00E50668" w:rsidRPr="00B854F4" w:rsidRDefault="00E50668" w:rsidP="00B854F4">
      <w:pPr>
        <w:spacing w:line="360" w:lineRule="auto"/>
        <w:rPr>
          <w:rFonts w:ascii="Book Antiqua" w:hAnsi="Book Antiqua"/>
          <w:color w:val="000000"/>
          <w:sz w:val="24"/>
        </w:rPr>
      </w:pPr>
      <w:r w:rsidRPr="00AF1DC5">
        <w:rPr>
          <w:rFonts w:ascii="Book Antiqua" w:eastAsia="SimSun" w:hAnsi="Book Antiqua" w:cs="SimSun"/>
          <w:b/>
          <w:sz w:val="24"/>
          <w:szCs w:val="24"/>
          <w:lang w:val="en-US" w:eastAsia="zh-CN"/>
        </w:rPr>
        <w:t>Accepted:</w:t>
      </w:r>
      <w:r w:rsidR="00B854F4" w:rsidRPr="00B854F4">
        <w:rPr>
          <w:rFonts w:ascii="Book Antiqua" w:hAnsi="Book Antiqua"/>
          <w:color w:val="000000"/>
          <w:sz w:val="24"/>
        </w:rPr>
        <w:t xml:space="preserve"> </w:t>
      </w:r>
      <w:r w:rsidR="00B854F4">
        <w:rPr>
          <w:rFonts w:ascii="Book Antiqua" w:hAnsi="Book Antiqua"/>
          <w:color w:val="000000"/>
          <w:sz w:val="24"/>
        </w:rPr>
        <w:t>January 2, 2017</w:t>
      </w:r>
      <w:bookmarkStart w:id="16" w:name="_GoBack"/>
      <w:bookmarkEnd w:id="16"/>
    </w:p>
    <w:p w14:paraId="4AA12E2E" w14:textId="77777777" w:rsidR="00E50668" w:rsidRPr="00AF1DC5" w:rsidRDefault="00E50668" w:rsidP="00E50668">
      <w:pPr>
        <w:snapToGrid w:val="0"/>
        <w:spacing w:after="0" w:line="360" w:lineRule="auto"/>
        <w:jc w:val="both"/>
        <w:rPr>
          <w:rFonts w:ascii="Book Antiqua" w:eastAsia="SimSun" w:hAnsi="Book Antiqua" w:cs="SimSun"/>
          <w:b/>
          <w:sz w:val="24"/>
          <w:szCs w:val="24"/>
          <w:lang w:val="en-US" w:eastAsia="zh-CN"/>
        </w:rPr>
      </w:pPr>
      <w:r w:rsidRPr="00AF1DC5">
        <w:rPr>
          <w:rFonts w:ascii="Book Antiqua" w:eastAsia="SimSun" w:hAnsi="Book Antiqua" w:cs="SimSun"/>
          <w:b/>
          <w:sz w:val="24"/>
          <w:szCs w:val="24"/>
          <w:lang w:val="en-US" w:eastAsia="zh-CN"/>
        </w:rPr>
        <w:t>Article in press:</w:t>
      </w:r>
    </w:p>
    <w:p w14:paraId="24757F57" w14:textId="77777777" w:rsidR="00E50668" w:rsidRPr="00AF1DC5" w:rsidRDefault="00E50668" w:rsidP="00E50668">
      <w:pPr>
        <w:snapToGrid w:val="0"/>
        <w:spacing w:after="0" w:line="360" w:lineRule="auto"/>
        <w:jc w:val="both"/>
        <w:rPr>
          <w:rFonts w:ascii="Book Antiqua" w:eastAsia="SimSun" w:hAnsi="Book Antiqua" w:cs="Arial"/>
          <w:b/>
          <w:sz w:val="24"/>
          <w:szCs w:val="24"/>
          <w:lang w:val="pl-PL" w:eastAsia="zh-CN"/>
        </w:rPr>
      </w:pPr>
      <w:r w:rsidRPr="00AF1DC5">
        <w:rPr>
          <w:rFonts w:ascii="Book Antiqua" w:eastAsia="SimSun" w:hAnsi="Book Antiqua" w:cs="Arial"/>
          <w:b/>
          <w:sz w:val="24"/>
          <w:szCs w:val="24"/>
          <w:lang w:val="pl-PL" w:eastAsia="pl-PL"/>
        </w:rPr>
        <w:t>Published online:</w:t>
      </w:r>
    </w:p>
    <w:bookmarkEnd w:id="15"/>
    <w:p w14:paraId="32256D61" w14:textId="77777777" w:rsidR="00E50668" w:rsidRPr="00AF1DC5" w:rsidRDefault="00E50668" w:rsidP="00E50668">
      <w:pPr>
        <w:snapToGrid w:val="0"/>
        <w:spacing w:after="0" w:line="360" w:lineRule="auto"/>
        <w:jc w:val="both"/>
        <w:rPr>
          <w:rStyle w:val="apple-converted-space"/>
          <w:rFonts w:ascii="Book Antiqua" w:hAnsi="Book Antiqua" w:cs="Courier New"/>
          <w:sz w:val="24"/>
          <w:szCs w:val="24"/>
          <w:lang w:eastAsia="zh-CN"/>
        </w:rPr>
      </w:pPr>
    </w:p>
    <w:p w14:paraId="472DD540" w14:textId="77777777" w:rsidR="00337399" w:rsidRPr="00AF1DC5" w:rsidRDefault="00337399" w:rsidP="00E50668">
      <w:pPr>
        <w:snapToGrid w:val="0"/>
        <w:spacing w:after="0" w:line="360" w:lineRule="auto"/>
        <w:jc w:val="both"/>
        <w:rPr>
          <w:rFonts w:ascii="Book Antiqua" w:hAnsi="Book Antiqua" w:cs="Courier New"/>
          <w:b/>
          <w:sz w:val="24"/>
          <w:szCs w:val="24"/>
        </w:rPr>
      </w:pPr>
      <w:r w:rsidRPr="00AF1DC5">
        <w:rPr>
          <w:rFonts w:ascii="Book Antiqua" w:hAnsi="Book Antiqua" w:cs="Courier New"/>
          <w:b/>
          <w:sz w:val="24"/>
          <w:szCs w:val="24"/>
        </w:rPr>
        <w:br w:type="page"/>
      </w:r>
    </w:p>
    <w:p w14:paraId="09134450" w14:textId="74429B76" w:rsidR="00714925" w:rsidRPr="00AF1DC5" w:rsidRDefault="00714925" w:rsidP="00E50668">
      <w:pPr>
        <w:snapToGrid w:val="0"/>
        <w:spacing w:after="0" w:line="360" w:lineRule="auto"/>
        <w:jc w:val="both"/>
        <w:rPr>
          <w:rFonts w:ascii="Book Antiqua" w:hAnsi="Book Antiqua"/>
          <w:b/>
          <w:sz w:val="24"/>
          <w:szCs w:val="24"/>
        </w:rPr>
      </w:pPr>
      <w:r w:rsidRPr="00AF1DC5">
        <w:rPr>
          <w:rFonts w:ascii="Book Antiqua" w:hAnsi="Book Antiqua"/>
          <w:b/>
          <w:sz w:val="24"/>
          <w:szCs w:val="24"/>
        </w:rPr>
        <w:lastRenderedPageBreak/>
        <w:t>A</w:t>
      </w:r>
      <w:r w:rsidR="00E50668" w:rsidRPr="00AF1DC5">
        <w:rPr>
          <w:rFonts w:ascii="Book Antiqua" w:hAnsi="Book Antiqua"/>
          <w:b/>
          <w:sz w:val="24"/>
          <w:szCs w:val="24"/>
        </w:rPr>
        <w:t xml:space="preserve">bstract </w:t>
      </w:r>
    </w:p>
    <w:p w14:paraId="4CA6B84C" w14:textId="77777777" w:rsidR="00E50668" w:rsidRPr="00AF1DC5" w:rsidRDefault="00123E4C" w:rsidP="00E50668">
      <w:pPr>
        <w:snapToGrid w:val="0"/>
        <w:spacing w:after="0" w:line="360" w:lineRule="auto"/>
        <w:jc w:val="both"/>
        <w:rPr>
          <w:rFonts w:ascii="Book Antiqua" w:hAnsi="Book Antiqua"/>
          <w:b/>
          <w:i/>
          <w:sz w:val="24"/>
          <w:szCs w:val="24"/>
          <w:lang w:eastAsia="zh-CN"/>
        </w:rPr>
      </w:pPr>
      <w:r w:rsidRPr="00AF1DC5">
        <w:rPr>
          <w:rFonts w:ascii="Book Antiqua" w:hAnsi="Book Antiqua"/>
          <w:b/>
          <w:i/>
          <w:sz w:val="24"/>
          <w:szCs w:val="24"/>
        </w:rPr>
        <w:t>AIM</w:t>
      </w:r>
    </w:p>
    <w:p w14:paraId="53762528" w14:textId="0FC7475E" w:rsidR="00123E4C" w:rsidRPr="00AF1DC5" w:rsidRDefault="00856BEB" w:rsidP="00E50668">
      <w:pPr>
        <w:snapToGrid w:val="0"/>
        <w:spacing w:after="0" w:line="360" w:lineRule="auto"/>
        <w:jc w:val="both"/>
        <w:rPr>
          <w:rFonts w:ascii="Book Antiqua" w:hAnsi="Book Antiqua"/>
          <w:sz w:val="24"/>
          <w:szCs w:val="24"/>
          <w:lang w:eastAsia="zh-CN"/>
        </w:rPr>
      </w:pPr>
      <w:r w:rsidRPr="00AF1DC5">
        <w:rPr>
          <w:rFonts w:ascii="Book Antiqua" w:hAnsi="Book Antiqua"/>
          <w:sz w:val="24"/>
          <w:szCs w:val="24"/>
        </w:rPr>
        <w:t xml:space="preserve">To determine the clinical characteristics of children with </w:t>
      </w:r>
      <w:r w:rsidR="00192F60" w:rsidRPr="00AF1DC5">
        <w:rPr>
          <w:rFonts w:ascii="Book Antiqua" w:hAnsi="Book Antiqua"/>
          <w:sz w:val="24"/>
          <w:szCs w:val="24"/>
        </w:rPr>
        <w:t>gastrointestinal</w:t>
      </w:r>
      <w:r w:rsidR="00123E4C" w:rsidRPr="00AF1DC5">
        <w:rPr>
          <w:rFonts w:ascii="Book Antiqua" w:hAnsi="Book Antiqua"/>
          <w:sz w:val="24"/>
          <w:szCs w:val="24"/>
        </w:rPr>
        <w:t xml:space="preserve"> bleeding (GIB) </w:t>
      </w:r>
      <w:r w:rsidRPr="00AF1DC5">
        <w:rPr>
          <w:rFonts w:ascii="Book Antiqua" w:hAnsi="Book Antiqua"/>
          <w:sz w:val="24"/>
          <w:szCs w:val="24"/>
        </w:rPr>
        <w:t>who died during</w:t>
      </w:r>
      <w:r w:rsidR="00E50668" w:rsidRPr="00AF1DC5">
        <w:rPr>
          <w:rFonts w:ascii="Book Antiqua" w:hAnsi="Book Antiqua"/>
          <w:sz w:val="24"/>
          <w:szCs w:val="24"/>
        </w:rPr>
        <w:t xml:space="preserve"> the course of their admission.</w:t>
      </w:r>
    </w:p>
    <w:p w14:paraId="3A52EA97" w14:textId="77777777" w:rsidR="00E50668" w:rsidRPr="00AF1DC5" w:rsidRDefault="00E50668" w:rsidP="00E50668">
      <w:pPr>
        <w:snapToGrid w:val="0"/>
        <w:spacing w:after="0" w:line="360" w:lineRule="auto"/>
        <w:jc w:val="both"/>
        <w:rPr>
          <w:rFonts w:ascii="Book Antiqua" w:hAnsi="Book Antiqua"/>
          <w:b/>
          <w:sz w:val="24"/>
          <w:szCs w:val="24"/>
          <w:lang w:eastAsia="zh-CN"/>
        </w:rPr>
      </w:pPr>
    </w:p>
    <w:p w14:paraId="507EA74E" w14:textId="77777777" w:rsidR="00E50668" w:rsidRPr="00AF1DC5" w:rsidRDefault="00123E4C" w:rsidP="00E50668">
      <w:pPr>
        <w:snapToGrid w:val="0"/>
        <w:spacing w:after="0" w:line="360" w:lineRule="auto"/>
        <w:jc w:val="both"/>
        <w:rPr>
          <w:rFonts w:ascii="Book Antiqua" w:hAnsi="Book Antiqua"/>
          <w:b/>
          <w:i/>
          <w:sz w:val="24"/>
          <w:szCs w:val="24"/>
          <w:lang w:eastAsia="zh-CN"/>
        </w:rPr>
      </w:pPr>
      <w:r w:rsidRPr="00AF1DC5">
        <w:rPr>
          <w:rFonts w:ascii="Book Antiqua" w:hAnsi="Book Antiqua"/>
          <w:b/>
          <w:i/>
          <w:sz w:val="24"/>
          <w:szCs w:val="24"/>
        </w:rPr>
        <w:t>METHOD</w:t>
      </w:r>
    </w:p>
    <w:p w14:paraId="3314EDBA" w14:textId="610DDE87" w:rsidR="00714925" w:rsidRPr="00AF1DC5" w:rsidRDefault="00714925" w:rsidP="00E50668">
      <w:pPr>
        <w:snapToGrid w:val="0"/>
        <w:spacing w:after="0" w:line="360" w:lineRule="auto"/>
        <w:jc w:val="both"/>
        <w:rPr>
          <w:rFonts w:ascii="Book Antiqua" w:hAnsi="Book Antiqua"/>
          <w:sz w:val="24"/>
          <w:szCs w:val="24"/>
        </w:rPr>
      </w:pPr>
      <w:r w:rsidRPr="00AF1DC5">
        <w:rPr>
          <w:rFonts w:ascii="Book Antiqua" w:hAnsi="Book Antiqua"/>
          <w:sz w:val="24"/>
          <w:szCs w:val="24"/>
        </w:rPr>
        <w:t xml:space="preserve">We interrogated the </w:t>
      </w:r>
      <w:r w:rsidR="00192F60" w:rsidRPr="00AF1DC5">
        <w:rPr>
          <w:rFonts w:ascii="Book Antiqua" w:hAnsi="Book Antiqua"/>
          <w:sz w:val="24"/>
          <w:szCs w:val="24"/>
        </w:rPr>
        <w:t>Pediatric Hospital Information System</w:t>
      </w:r>
      <w:r w:rsidR="0008694E" w:rsidRPr="00AF1DC5">
        <w:rPr>
          <w:rFonts w:ascii="Book Antiqua" w:hAnsi="Book Antiqua"/>
          <w:sz w:val="24"/>
          <w:szCs w:val="24"/>
          <w:lang w:eastAsia="zh-CN"/>
        </w:rPr>
        <w:t xml:space="preserve"> </w:t>
      </w:r>
      <w:r w:rsidRPr="00AF1DC5">
        <w:rPr>
          <w:rFonts w:ascii="Book Antiqua" w:hAnsi="Book Antiqua"/>
          <w:sz w:val="24"/>
          <w:szCs w:val="24"/>
        </w:rPr>
        <w:t xml:space="preserve">database, including </w:t>
      </w:r>
      <w:r w:rsidR="0008694E" w:rsidRPr="00AF1DC5">
        <w:rPr>
          <w:rFonts w:ascii="Book Antiqua" w:hAnsi="Book Antiqua"/>
          <w:sz w:val="24"/>
          <w:szCs w:val="24"/>
        </w:rPr>
        <w:t>International Classification of Diseases</w:t>
      </w:r>
      <w:r w:rsidRPr="00AF1DC5">
        <w:rPr>
          <w:rFonts w:ascii="Book Antiqua" w:hAnsi="Book Antiqua"/>
          <w:sz w:val="24"/>
          <w:szCs w:val="24"/>
        </w:rPr>
        <w:t xml:space="preserve">, </w:t>
      </w:r>
      <w:r w:rsidR="0008694E" w:rsidRPr="00AF1DC5">
        <w:rPr>
          <w:rFonts w:ascii="Book Antiqua" w:hAnsi="Book Antiqua"/>
          <w:sz w:val="24"/>
          <w:szCs w:val="24"/>
        </w:rPr>
        <w:t>Current Procedural Terminology</w:t>
      </w:r>
      <w:r w:rsidRPr="00AF1DC5">
        <w:rPr>
          <w:rFonts w:ascii="Book Antiqua" w:hAnsi="Book Antiqua"/>
          <w:sz w:val="24"/>
          <w:szCs w:val="24"/>
        </w:rPr>
        <w:t xml:space="preserve"> and </w:t>
      </w:r>
      <w:r w:rsidR="0008694E" w:rsidRPr="00AF1DC5">
        <w:rPr>
          <w:rFonts w:ascii="Book Antiqua" w:hAnsi="Book Antiqua" w:cstheme="minorHAnsi"/>
          <w:sz w:val="24"/>
          <w:szCs w:val="24"/>
        </w:rPr>
        <w:t>Clinical Transaction Classification</w:t>
      </w:r>
      <w:r w:rsidRPr="00AF1DC5">
        <w:rPr>
          <w:rFonts w:ascii="Book Antiqua" w:hAnsi="Book Antiqua"/>
          <w:sz w:val="24"/>
          <w:szCs w:val="24"/>
        </w:rPr>
        <w:t xml:space="preserve"> coding from 4</w:t>
      </w:r>
      <w:r w:rsidR="00767584" w:rsidRPr="00AF1DC5">
        <w:rPr>
          <w:rFonts w:ascii="Book Antiqua" w:hAnsi="Book Antiqua"/>
          <w:sz w:val="24"/>
          <w:szCs w:val="24"/>
        </w:rPr>
        <w:t>7</w:t>
      </w:r>
      <w:r w:rsidRPr="00AF1DC5">
        <w:rPr>
          <w:rFonts w:ascii="Book Antiqua" w:hAnsi="Book Antiqua"/>
          <w:sz w:val="24"/>
          <w:szCs w:val="24"/>
        </w:rPr>
        <w:t xml:space="preserve"> pediatric tertiary </w:t>
      </w:r>
      <w:r w:rsidR="00856BEB" w:rsidRPr="00AF1DC5">
        <w:rPr>
          <w:rFonts w:ascii="Book Antiqua" w:hAnsi="Book Antiqua"/>
          <w:sz w:val="24"/>
          <w:szCs w:val="24"/>
        </w:rPr>
        <w:t>centers</w:t>
      </w:r>
      <w:r w:rsidRPr="00AF1DC5">
        <w:rPr>
          <w:rFonts w:ascii="Book Antiqua" w:hAnsi="Book Antiqua"/>
          <w:sz w:val="24"/>
          <w:szCs w:val="24"/>
        </w:rPr>
        <w:t xml:space="preserve"> </w:t>
      </w:r>
      <w:r w:rsidR="00856BEB" w:rsidRPr="00AF1DC5">
        <w:rPr>
          <w:rFonts w:ascii="Book Antiqua" w:hAnsi="Book Antiqua"/>
          <w:sz w:val="24"/>
          <w:szCs w:val="24"/>
        </w:rPr>
        <w:t>extracting</w:t>
      </w:r>
      <w:r w:rsidRPr="00AF1DC5">
        <w:rPr>
          <w:rFonts w:ascii="Book Antiqua" w:hAnsi="Book Antiqua"/>
          <w:sz w:val="24"/>
          <w:szCs w:val="24"/>
        </w:rPr>
        <w:t xml:space="preserve"> the population of patients </w:t>
      </w:r>
      <w:r w:rsidR="00856BEB" w:rsidRPr="00AF1DC5">
        <w:rPr>
          <w:rFonts w:ascii="Book Antiqua" w:hAnsi="Book Antiqua"/>
          <w:sz w:val="24"/>
          <w:szCs w:val="24"/>
        </w:rPr>
        <w:t>(</w:t>
      </w:r>
      <w:r w:rsidRPr="00AF1DC5">
        <w:rPr>
          <w:rFonts w:ascii="Book Antiqua" w:hAnsi="Book Antiqua"/>
          <w:sz w:val="24"/>
          <w:szCs w:val="24"/>
        </w:rPr>
        <w:t>1</w:t>
      </w:r>
      <w:r w:rsidR="0008694E" w:rsidRPr="00AF1DC5">
        <w:rPr>
          <w:rFonts w:ascii="Book Antiqua" w:hAnsi="Book Antiqua"/>
          <w:sz w:val="24"/>
          <w:szCs w:val="24"/>
          <w:lang w:eastAsia="zh-CN"/>
        </w:rPr>
        <w:t>-</w:t>
      </w:r>
      <w:r w:rsidRPr="00AF1DC5">
        <w:rPr>
          <w:rFonts w:ascii="Book Antiqua" w:hAnsi="Book Antiqua"/>
          <w:sz w:val="24"/>
          <w:szCs w:val="24"/>
        </w:rPr>
        <w:t>21 years</w:t>
      </w:r>
      <w:r w:rsidR="00856BEB" w:rsidRPr="00AF1DC5">
        <w:rPr>
          <w:rFonts w:ascii="Book Antiqua" w:hAnsi="Book Antiqua"/>
          <w:sz w:val="24"/>
          <w:szCs w:val="24"/>
        </w:rPr>
        <w:t xml:space="preserve"> of age)</w:t>
      </w:r>
      <w:r w:rsidRPr="00AF1DC5">
        <w:rPr>
          <w:rFonts w:ascii="Book Antiqua" w:hAnsi="Book Antiqua"/>
          <w:sz w:val="24"/>
          <w:szCs w:val="24"/>
        </w:rPr>
        <w:t xml:space="preserve"> admitted </w:t>
      </w:r>
      <w:r w:rsidR="00192F60" w:rsidRPr="00AF1DC5">
        <w:rPr>
          <w:rFonts w:ascii="Book Antiqua" w:hAnsi="Book Antiqua"/>
          <w:sz w:val="24"/>
          <w:szCs w:val="24"/>
        </w:rPr>
        <w:t xml:space="preserve">(inpatient or observation) </w:t>
      </w:r>
      <w:r w:rsidRPr="00AF1DC5">
        <w:rPr>
          <w:rFonts w:ascii="Book Antiqua" w:hAnsi="Book Antiqua"/>
          <w:sz w:val="24"/>
          <w:szCs w:val="24"/>
        </w:rPr>
        <w:t xml:space="preserve">with acute, upper or indeterminate </w:t>
      </w:r>
      <w:r w:rsidR="00856BEB" w:rsidRPr="00AF1DC5">
        <w:rPr>
          <w:rFonts w:ascii="Book Antiqua" w:hAnsi="Book Antiqua"/>
          <w:sz w:val="24"/>
          <w:szCs w:val="24"/>
        </w:rPr>
        <w:t>GIB (</w:t>
      </w:r>
      <w:r w:rsidRPr="00AF1DC5">
        <w:rPr>
          <w:rFonts w:ascii="Book Antiqua" w:hAnsi="Book Antiqua"/>
          <w:sz w:val="24"/>
          <w:szCs w:val="24"/>
        </w:rPr>
        <w:t>1/2007</w:t>
      </w:r>
      <w:r w:rsidR="0008694E" w:rsidRPr="00AF1DC5">
        <w:rPr>
          <w:rFonts w:ascii="Book Antiqua" w:hAnsi="Book Antiqua"/>
          <w:sz w:val="24"/>
          <w:szCs w:val="24"/>
          <w:lang w:eastAsia="zh-CN"/>
        </w:rPr>
        <w:t>-</w:t>
      </w:r>
      <w:r w:rsidRPr="00AF1DC5">
        <w:rPr>
          <w:rFonts w:ascii="Book Antiqua" w:hAnsi="Book Antiqua"/>
          <w:sz w:val="24"/>
          <w:szCs w:val="24"/>
        </w:rPr>
        <w:t>9/</w:t>
      </w:r>
      <w:r w:rsidR="0008694E" w:rsidRPr="00AF1DC5">
        <w:rPr>
          <w:rFonts w:ascii="Book Antiqua" w:hAnsi="Book Antiqua"/>
          <w:sz w:val="24"/>
          <w:szCs w:val="24"/>
          <w:lang w:eastAsia="zh-CN"/>
        </w:rPr>
        <w:t>20</w:t>
      </w:r>
      <w:r w:rsidRPr="00AF1DC5">
        <w:rPr>
          <w:rFonts w:ascii="Book Antiqua" w:hAnsi="Book Antiqua"/>
          <w:sz w:val="24"/>
          <w:szCs w:val="24"/>
        </w:rPr>
        <w:t>15</w:t>
      </w:r>
      <w:r w:rsidR="00856BEB" w:rsidRPr="00AF1DC5">
        <w:rPr>
          <w:rFonts w:ascii="Book Antiqua" w:hAnsi="Book Antiqua"/>
          <w:sz w:val="24"/>
          <w:szCs w:val="24"/>
        </w:rPr>
        <w:t>)</w:t>
      </w:r>
      <w:r w:rsidRPr="00AF1DC5">
        <w:rPr>
          <w:rFonts w:ascii="Book Antiqua" w:hAnsi="Book Antiqua"/>
          <w:sz w:val="24"/>
          <w:szCs w:val="24"/>
        </w:rPr>
        <w:t>.</w:t>
      </w:r>
      <w:r w:rsidR="0008694E" w:rsidRPr="00AF1DC5">
        <w:rPr>
          <w:rFonts w:ascii="Book Antiqua" w:hAnsi="Book Antiqua"/>
          <w:sz w:val="24"/>
          <w:szCs w:val="24"/>
          <w:lang w:eastAsia="zh-CN"/>
        </w:rPr>
        <w:t xml:space="preserve"> </w:t>
      </w:r>
      <w:r w:rsidRPr="00AF1DC5">
        <w:rPr>
          <w:rFonts w:ascii="Book Antiqua" w:hAnsi="Book Antiqua"/>
          <w:sz w:val="24"/>
          <w:szCs w:val="24"/>
        </w:rPr>
        <w:t xml:space="preserve">Descriptive statistics, </w:t>
      </w:r>
      <w:r w:rsidR="00D518A8" w:rsidRPr="00AF1DC5">
        <w:rPr>
          <w:rFonts w:ascii="Book Antiqua" w:hAnsi="Book Antiqua"/>
          <w:sz w:val="24"/>
          <w:szCs w:val="24"/>
        </w:rPr>
        <w:t xml:space="preserve">unadjusted </w:t>
      </w:r>
      <w:r w:rsidRPr="00AF1DC5">
        <w:rPr>
          <w:rFonts w:ascii="Book Antiqua" w:hAnsi="Book Antiqua"/>
          <w:sz w:val="24"/>
          <w:szCs w:val="24"/>
        </w:rPr>
        <w:t>uni</w:t>
      </w:r>
      <w:r w:rsidR="00D518A8" w:rsidRPr="00AF1DC5">
        <w:rPr>
          <w:rFonts w:ascii="Book Antiqua" w:hAnsi="Book Antiqua"/>
          <w:sz w:val="24"/>
          <w:szCs w:val="24"/>
        </w:rPr>
        <w:t>variate</w:t>
      </w:r>
      <w:r w:rsidRPr="00AF1DC5">
        <w:rPr>
          <w:rFonts w:ascii="Book Antiqua" w:hAnsi="Book Antiqua"/>
          <w:sz w:val="24"/>
          <w:szCs w:val="24"/>
        </w:rPr>
        <w:t xml:space="preserve"> and </w:t>
      </w:r>
      <w:r w:rsidR="00D518A8" w:rsidRPr="00AF1DC5">
        <w:rPr>
          <w:rFonts w:ascii="Book Antiqua" w:hAnsi="Book Antiqua"/>
          <w:sz w:val="24"/>
          <w:szCs w:val="24"/>
        </w:rPr>
        <w:t xml:space="preserve">adjusted </w:t>
      </w:r>
      <w:r w:rsidRPr="00AF1DC5">
        <w:rPr>
          <w:rFonts w:ascii="Book Antiqua" w:hAnsi="Book Antiqua"/>
          <w:sz w:val="24"/>
          <w:szCs w:val="24"/>
        </w:rPr>
        <w:t xml:space="preserve">multivariate analysis </w:t>
      </w:r>
      <w:r w:rsidR="00D518A8" w:rsidRPr="00AF1DC5">
        <w:rPr>
          <w:rFonts w:ascii="Book Antiqua" w:hAnsi="Book Antiqua"/>
          <w:sz w:val="24"/>
          <w:szCs w:val="24"/>
        </w:rPr>
        <w:t xml:space="preserve">of the associations between patient characteristics and treatment course with mortality </w:t>
      </w:r>
      <w:r w:rsidRPr="00AF1DC5">
        <w:rPr>
          <w:rFonts w:ascii="Book Antiqua" w:hAnsi="Book Antiqua"/>
          <w:sz w:val="24"/>
          <w:szCs w:val="24"/>
        </w:rPr>
        <w:t>was performed with mortality as primary and endoscopy a secondary outcome of interest.</w:t>
      </w:r>
      <w:r w:rsidR="00A26905" w:rsidRPr="00AF1DC5">
        <w:rPr>
          <w:rFonts w:ascii="Book Antiqua" w:hAnsi="Book Antiqua"/>
          <w:sz w:val="24"/>
          <w:szCs w:val="24"/>
        </w:rPr>
        <w:t xml:space="preserve"> </w:t>
      </w:r>
      <w:r w:rsidR="00D518A8" w:rsidRPr="00AF1DC5">
        <w:rPr>
          <w:rFonts w:ascii="Book Antiqua" w:hAnsi="Book Antiqua"/>
          <w:sz w:val="24"/>
          <w:szCs w:val="24"/>
        </w:rPr>
        <w:t xml:space="preserve">All analyses were performed using the R statistical package, v.3.2.3. </w:t>
      </w:r>
    </w:p>
    <w:p w14:paraId="0A8466FE" w14:textId="77777777" w:rsidR="0008694E" w:rsidRPr="00AF1DC5" w:rsidRDefault="0008694E" w:rsidP="00E50668">
      <w:pPr>
        <w:snapToGrid w:val="0"/>
        <w:spacing w:after="0" w:line="360" w:lineRule="auto"/>
        <w:jc w:val="both"/>
        <w:rPr>
          <w:rFonts w:ascii="Book Antiqua" w:hAnsi="Book Antiqua"/>
          <w:b/>
          <w:sz w:val="24"/>
          <w:szCs w:val="24"/>
          <w:lang w:eastAsia="zh-CN"/>
        </w:rPr>
      </w:pPr>
    </w:p>
    <w:p w14:paraId="213E9F61" w14:textId="77777777" w:rsidR="0008694E" w:rsidRPr="00AF1DC5" w:rsidRDefault="00714925" w:rsidP="00E50668">
      <w:pPr>
        <w:snapToGrid w:val="0"/>
        <w:spacing w:after="0" w:line="360" w:lineRule="auto"/>
        <w:jc w:val="both"/>
        <w:rPr>
          <w:rFonts w:ascii="Book Antiqua" w:hAnsi="Book Antiqua"/>
          <w:b/>
          <w:i/>
          <w:sz w:val="24"/>
          <w:szCs w:val="24"/>
          <w:lang w:eastAsia="zh-CN"/>
        </w:rPr>
      </w:pPr>
      <w:r w:rsidRPr="00AF1DC5">
        <w:rPr>
          <w:rFonts w:ascii="Book Antiqua" w:hAnsi="Book Antiqua"/>
          <w:b/>
          <w:i/>
          <w:sz w:val="24"/>
          <w:szCs w:val="24"/>
        </w:rPr>
        <w:t>RESULTS</w:t>
      </w:r>
    </w:p>
    <w:p w14:paraId="44F0D016" w14:textId="6A0C967F" w:rsidR="00714925" w:rsidRPr="00AF1DC5" w:rsidRDefault="00714925" w:rsidP="00E50668">
      <w:pPr>
        <w:snapToGrid w:val="0"/>
        <w:spacing w:after="0" w:line="360" w:lineRule="auto"/>
        <w:jc w:val="both"/>
        <w:rPr>
          <w:rFonts w:ascii="Book Antiqua" w:hAnsi="Book Antiqua"/>
          <w:sz w:val="24"/>
          <w:szCs w:val="24"/>
        </w:rPr>
      </w:pPr>
      <w:r w:rsidRPr="00AF1DC5">
        <w:rPr>
          <w:rFonts w:ascii="Book Antiqua" w:hAnsi="Book Antiqua"/>
          <w:sz w:val="24"/>
          <w:szCs w:val="24"/>
        </w:rPr>
        <w:t>The population with GIB was 19,528; 54</w:t>
      </w:r>
      <w:r w:rsidR="00AA3173" w:rsidRPr="00AF1DC5">
        <w:rPr>
          <w:rFonts w:ascii="Book Antiqua" w:hAnsi="Book Antiqua"/>
          <w:sz w:val="24"/>
          <w:szCs w:val="24"/>
        </w:rPr>
        <w:t>.6</w:t>
      </w:r>
      <w:r w:rsidRPr="00AF1DC5">
        <w:rPr>
          <w:rFonts w:ascii="Book Antiqua" w:hAnsi="Book Antiqua"/>
          <w:sz w:val="24"/>
          <w:szCs w:val="24"/>
        </w:rPr>
        <w:t xml:space="preserve">% were male, overall mortality was 2.07%; </w:t>
      </w:r>
      <w:r w:rsidR="00856BEB" w:rsidRPr="00AF1DC5">
        <w:rPr>
          <w:rFonts w:ascii="Book Antiqua" w:hAnsi="Book Antiqua"/>
          <w:sz w:val="24"/>
          <w:szCs w:val="24"/>
        </w:rPr>
        <w:t>(</w:t>
      </w:r>
      <w:r w:rsidRPr="00AF1DC5">
        <w:rPr>
          <w:rFonts w:ascii="Book Antiqua" w:hAnsi="Book Antiqua"/>
          <w:sz w:val="24"/>
          <w:szCs w:val="24"/>
        </w:rPr>
        <w:t>0.37% in patients with the principal diagnosis of GIB</w:t>
      </w:r>
      <w:r w:rsidR="00856BEB" w:rsidRPr="00AF1DC5">
        <w:rPr>
          <w:rFonts w:ascii="Book Antiqua" w:hAnsi="Book Antiqua"/>
          <w:sz w:val="24"/>
          <w:szCs w:val="24"/>
        </w:rPr>
        <w:t>)</w:t>
      </w:r>
      <w:r w:rsidRPr="00AF1DC5">
        <w:rPr>
          <w:rFonts w:ascii="Book Antiqua" w:hAnsi="Book Antiqua"/>
          <w:sz w:val="24"/>
          <w:szCs w:val="24"/>
        </w:rPr>
        <w:t xml:space="preserve">. </w:t>
      </w:r>
      <w:r w:rsidR="00432B46" w:rsidRPr="00AF1DC5">
        <w:rPr>
          <w:rFonts w:ascii="Book Antiqua" w:hAnsi="Book Antiqua" w:cstheme="minorHAnsi"/>
          <w:sz w:val="24"/>
          <w:szCs w:val="24"/>
        </w:rPr>
        <w:t>When considering only the mortalities in which GIB was the principal diagnosis, 48% (12 of 25 principal diagnosis GIB mortalities) died within the first 3 d</w:t>
      </w:r>
      <w:r w:rsidR="0008694E" w:rsidRPr="00AF1DC5">
        <w:rPr>
          <w:rFonts w:ascii="Book Antiqua" w:hAnsi="Book Antiqua" w:cstheme="minorHAnsi"/>
          <w:sz w:val="24"/>
          <w:szCs w:val="24"/>
          <w:lang w:eastAsia="zh-CN"/>
        </w:rPr>
        <w:t xml:space="preserve"> </w:t>
      </w:r>
      <w:r w:rsidR="00432B46" w:rsidRPr="00AF1DC5">
        <w:rPr>
          <w:rFonts w:ascii="Book Antiqua" w:hAnsi="Book Antiqua" w:cstheme="minorHAnsi"/>
          <w:sz w:val="24"/>
          <w:szCs w:val="24"/>
        </w:rPr>
        <w:t xml:space="preserve">of admission, whereas 19.8% of secondary </w:t>
      </w:r>
      <w:r w:rsidR="000A49C0" w:rsidRPr="00AF1DC5">
        <w:rPr>
          <w:rFonts w:ascii="Book Antiqua" w:hAnsi="Book Antiqua" w:cstheme="minorHAnsi"/>
          <w:sz w:val="24"/>
          <w:szCs w:val="24"/>
        </w:rPr>
        <w:t>diagnosis GIB</w:t>
      </w:r>
      <w:r w:rsidR="00432B46" w:rsidRPr="00AF1DC5">
        <w:rPr>
          <w:rFonts w:ascii="Book Antiqua" w:hAnsi="Book Antiqua" w:cstheme="minorHAnsi"/>
          <w:sz w:val="24"/>
          <w:szCs w:val="24"/>
        </w:rPr>
        <w:t xml:space="preserve"> patients died with 3 d</w:t>
      </w:r>
      <w:r w:rsidR="0008694E" w:rsidRPr="00AF1DC5">
        <w:rPr>
          <w:rFonts w:ascii="Book Antiqua" w:hAnsi="Book Antiqua" w:cstheme="minorHAnsi"/>
          <w:sz w:val="24"/>
          <w:szCs w:val="24"/>
          <w:lang w:eastAsia="zh-CN"/>
        </w:rPr>
        <w:t xml:space="preserve"> </w:t>
      </w:r>
      <w:r w:rsidR="00432B46" w:rsidRPr="00AF1DC5">
        <w:rPr>
          <w:rFonts w:ascii="Book Antiqua" w:hAnsi="Book Antiqua" w:cstheme="minorHAnsi"/>
          <w:sz w:val="24"/>
          <w:szCs w:val="24"/>
        </w:rPr>
        <w:t>of admission.</w:t>
      </w:r>
      <w:r w:rsidRPr="00AF1DC5">
        <w:rPr>
          <w:rFonts w:ascii="Book Antiqua" w:hAnsi="Book Antiqua"/>
          <w:sz w:val="24"/>
          <w:szCs w:val="24"/>
        </w:rPr>
        <w:t xml:space="preserve"> Patients who died were more likely to have received octreotide (19.8% </w:t>
      </w:r>
      <w:r w:rsidR="003B732F" w:rsidRPr="00AF1DC5">
        <w:rPr>
          <w:rFonts w:ascii="Book Antiqua" w:hAnsi="Book Antiqua"/>
          <w:i/>
          <w:sz w:val="24"/>
          <w:szCs w:val="24"/>
        </w:rPr>
        <w:t>c.f.</w:t>
      </w:r>
      <w:r w:rsidRPr="00AF1DC5">
        <w:rPr>
          <w:rFonts w:ascii="Book Antiqua" w:hAnsi="Book Antiqua"/>
          <w:sz w:val="24"/>
          <w:szCs w:val="24"/>
        </w:rPr>
        <w:t xml:space="preserve"> 4.04%) but </w:t>
      </w:r>
      <w:r w:rsidR="00432B46" w:rsidRPr="00AF1DC5">
        <w:rPr>
          <w:rFonts w:ascii="Book Antiqua" w:hAnsi="Book Antiqua"/>
          <w:sz w:val="24"/>
          <w:szCs w:val="24"/>
        </w:rPr>
        <w:t>tended to</w:t>
      </w:r>
      <w:r w:rsidRPr="00AF1DC5">
        <w:rPr>
          <w:rFonts w:ascii="Book Antiqua" w:hAnsi="Book Antiqua"/>
          <w:sz w:val="24"/>
          <w:szCs w:val="24"/>
        </w:rPr>
        <w:t xml:space="preserve"> have </w:t>
      </w:r>
      <w:r w:rsidR="00432B46" w:rsidRPr="00AF1DC5">
        <w:rPr>
          <w:rFonts w:ascii="Book Antiqua" w:hAnsi="Book Antiqua"/>
          <w:sz w:val="24"/>
          <w:szCs w:val="24"/>
        </w:rPr>
        <w:t xml:space="preserve">not </w:t>
      </w:r>
      <w:r w:rsidRPr="00AF1DC5">
        <w:rPr>
          <w:rFonts w:ascii="Book Antiqua" w:hAnsi="Book Antiqua"/>
          <w:sz w:val="24"/>
          <w:szCs w:val="24"/>
        </w:rPr>
        <w:t>received PPI therapy in the first 48 h, and far less likely to have undergone endoscopy during their admission</w:t>
      </w:r>
      <w:r w:rsidR="00432B46" w:rsidRPr="00AF1DC5">
        <w:rPr>
          <w:rFonts w:ascii="Book Antiqua" w:hAnsi="Book Antiqua"/>
          <w:sz w:val="24"/>
          <w:szCs w:val="24"/>
        </w:rPr>
        <w:t xml:space="preserve"> </w:t>
      </w:r>
      <w:r w:rsidR="003B732F" w:rsidRPr="00AF1DC5">
        <w:rPr>
          <w:rFonts w:ascii="Book Antiqua" w:hAnsi="Book Antiqua" w:cstheme="minorHAnsi"/>
          <w:sz w:val="24"/>
          <w:szCs w:val="24"/>
        </w:rPr>
        <w:t xml:space="preserve">(OR </w:t>
      </w:r>
      <w:r w:rsidR="0008694E" w:rsidRPr="00AF1DC5">
        <w:rPr>
          <w:rFonts w:ascii="Book Antiqua" w:hAnsi="Book Antiqua" w:cstheme="minorHAnsi"/>
          <w:sz w:val="24"/>
          <w:szCs w:val="24"/>
          <w:lang w:eastAsia="zh-CN"/>
        </w:rPr>
        <w:t xml:space="preserve">= </w:t>
      </w:r>
      <w:r w:rsidR="003B732F" w:rsidRPr="00AF1DC5">
        <w:rPr>
          <w:rFonts w:ascii="Book Antiqua" w:hAnsi="Book Antiqua" w:cstheme="minorHAnsi"/>
          <w:sz w:val="24"/>
          <w:szCs w:val="24"/>
        </w:rPr>
        <w:t>0.48</w:t>
      </w:r>
      <w:r w:rsidR="00432B46" w:rsidRPr="00AF1DC5">
        <w:rPr>
          <w:rFonts w:ascii="Book Antiqua" w:hAnsi="Book Antiqua" w:cstheme="minorHAnsi"/>
          <w:sz w:val="24"/>
          <w:szCs w:val="24"/>
        </w:rPr>
        <w:t>9</w:t>
      </w:r>
      <w:r w:rsidR="003B732F" w:rsidRPr="00AF1DC5">
        <w:rPr>
          <w:rFonts w:ascii="Book Antiqua" w:hAnsi="Book Antiqua" w:cstheme="minorHAnsi"/>
          <w:sz w:val="24"/>
          <w:szCs w:val="24"/>
        </w:rPr>
        <w:t>,</w:t>
      </w:r>
      <w:r w:rsidR="0008694E" w:rsidRPr="00AF1DC5">
        <w:rPr>
          <w:rFonts w:ascii="Book Antiqua" w:hAnsi="Book Antiqua" w:cstheme="minorHAnsi"/>
          <w:sz w:val="24"/>
          <w:szCs w:val="24"/>
          <w:lang w:eastAsia="zh-CN"/>
        </w:rPr>
        <w:t xml:space="preserve"> </w:t>
      </w:r>
      <w:r w:rsidR="003B732F" w:rsidRPr="00AF1DC5">
        <w:rPr>
          <w:rFonts w:ascii="Book Antiqua" w:hAnsi="Book Antiqua" w:cstheme="minorHAnsi"/>
          <w:i/>
          <w:sz w:val="24"/>
          <w:szCs w:val="24"/>
        </w:rPr>
        <w:t>P</w:t>
      </w:r>
      <w:r w:rsidR="0008694E" w:rsidRPr="00AF1DC5">
        <w:rPr>
          <w:rFonts w:ascii="Book Antiqua" w:hAnsi="Book Antiqua" w:cstheme="minorHAnsi"/>
          <w:i/>
          <w:sz w:val="24"/>
          <w:szCs w:val="24"/>
          <w:lang w:eastAsia="zh-CN"/>
        </w:rPr>
        <w:t xml:space="preserve"> </w:t>
      </w:r>
      <w:r w:rsidR="003B732F" w:rsidRPr="00AF1DC5">
        <w:rPr>
          <w:rFonts w:ascii="Book Antiqua" w:hAnsi="Book Antiqua" w:cstheme="minorHAnsi"/>
          <w:sz w:val="24"/>
          <w:szCs w:val="24"/>
        </w:rPr>
        <w:t>&lt;</w:t>
      </w:r>
      <w:r w:rsidR="0008694E" w:rsidRPr="00AF1DC5">
        <w:rPr>
          <w:rFonts w:ascii="Book Antiqua" w:hAnsi="Book Antiqua" w:cstheme="minorHAnsi"/>
          <w:sz w:val="24"/>
          <w:szCs w:val="24"/>
          <w:lang w:eastAsia="zh-CN"/>
        </w:rPr>
        <w:t xml:space="preserve"> </w:t>
      </w:r>
      <w:r w:rsidR="003B732F" w:rsidRPr="00AF1DC5">
        <w:rPr>
          <w:rFonts w:ascii="Book Antiqua" w:hAnsi="Book Antiqua" w:cstheme="minorHAnsi"/>
          <w:sz w:val="24"/>
          <w:szCs w:val="24"/>
        </w:rPr>
        <w:t>0.0001)</w:t>
      </w:r>
      <w:r w:rsidRPr="00AF1DC5">
        <w:rPr>
          <w:rFonts w:ascii="Book Antiqua" w:hAnsi="Book Antiqua"/>
          <w:sz w:val="24"/>
          <w:szCs w:val="24"/>
        </w:rPr>
        <w:t xml:space="preserve">. </w:t>
      </w:r>
      <w:r w:rsidR="00642E7E" w:rsidRPr="00AF1DC5">
        <w:rPr>
          <w:rFonts w:ascii="Book Antiqua" w:hAnsi="Book Antiqua"/>
          <w:sz w:val="24"/>
          <w:szCs w:val="24"/>
        </w:rPr>
        <w:t xml:space="preserve">Chronic liver disease associated with a greater likelihood of endoscopy. </w:t>
      </w:r>
      <w:r w:rsidRPr="00AF1DC5">
        <w:rPr>
          <w:rFonts w:ascii="Book Antiqua" w:hAnsi="Book Antiqua"/>
          <w:sz w:val="24"/>
          <w:szCs w:val="24"/>
        </w:rPr>
        <w:t>Mortalities were significantly more likely to have multip</w:t>
      </w:r>
      <w:r w:rsidR="00642E7E" w:rsidRPr="00AF1DC5">
        <w:rPr>
          <w:rFonts w:ascii="Book Antiqua" w:hAnsi="Book Antiqua"/>
          <w:sz w:val="24"/>
          <w:szCs w:val="24"/>
        </w:rPr>
        <w:t xml:space="preserve">le complex chronic conditions. </w:t>
      </w:r>
    </w:p>
    <w:p w14:paraId="7FF6637E" w14:textId="77777777" w:rsidR="0008694E" w:rsidRPr="00AF1DC5" w:rsidRDefault="0008694E" w:rsidP="00E50668">
      <w:pPr>
        <w:snapToGrid w:val="0"/>
        <w:spacing w:after="0" w:line="360" w:lineRule="auto"/>
        <w:jc w:val="both"/>
        <w:rPr>
          <w:rFonts w:ascii="Book Antiqua" w:hAnsi="Book Antiqua"/>
          <w:b/>
          <w:sz w:val="24"/>
          <w:szCs w:val="24"/>
          <w:lang w:eastAsia="zh-CN"/>
        </w:rPr>
      </w:pPr>
    </w:p>
    <w:p w14:paraId="6F94EB19" w14:textId="77777777" w:rsidR="0008694E" w:rsidRPr="00AF1DC5" w:rsidRDefault="00363CA8" w:rsidP="00E50668">
      <w:pPr>
        <w:snapToGrid w:val="0"/>
        <w:spacing w:after="0" w:line="360" w:lineRule="auto"/>
        <w:jc w:val="both"/>
        <w:rPr>
          <w:rFonts w:ascii="Book Antiqua" w:hAnsi="Book Antiqua"/>
          <w:b/>
          <w:i/>
          <w:sz w:val="24"/>
          <w:szCs w:val="24"/>
          <w:lang w:eastAsia="zh-CN"/>
        </w:rPr>
      </w:pPr>
      <w:r w:rsidRPr="00AF1DC5">
        <w:rPr>
          <w:rFonts w:ascii="Book Antiqua" w:hAnsi="Book Antiqua"/>
          <w:b/>
          <w:i/>
          <w:sz w:val="24"/>
          <w:szCs w:val="24"/>
        </w:rPr>
        <w:t>CONCLUSION</w:t>
      </w:r>
    </w:p>
    <w:p w14:paraId="2232DA35" w14:textId="46ED0041" w:rsidR="002711C6" w:rsidRPr="00AF1DC5" w:rsidRDefault="00714925" w:rsidP="00E50668">
      <w:pPr>
        <w:snapToGrid w:val="0"/>
        <w:spacing w:after="0" w:line="360" w:lineRule="auto"/>
        <w:jc w:val="both"/>
        <w:rPr>
          <w:rFonts w:ascii="Book Antiqua" w:hAnsi="Book Antiqua"/>
          <w:sz w:val="24"/>
          <w:szCs w:val="24"/>
        </w:rPr>
      </w:pPr>
      <w:r w:rsidRPr="00AF1DC5">
        <w:rPr>
          <w:rFonts w:ascii="Book Antiqua" w:hAnsi="Book Antiqua"/>
          <w:sz w:val="24"/>
          <w:szCs w:val="24"/>
        </w:rPr>
        <w:lastRenderedPageBreak/>
        <w:t>GIB</w:t>
      </w:r>
      <w:r w:rsidR="00192F60" w:rsidRPr="00AF1DC5">
        <w:rPr>
          <w:rFonts w:ascii="Book Antiqua" w:hAnsi="Book Antiqua"/>
          <w:sz w:val="24"/>
          <w:szCs w:val="24"/>
        </w:rPr>
        <w:t xml:space="preserve"> associated mortality</w:t>
      </w:r>
      <w:r w:rsidRPr="00AF1DC5">
        <w:rPr>
          <w:rFonts w:ascii="Book Antiqua" w:hAnsi="Book Antiqua"/>
          <w:sz w:val="24"/>
          <w:szCs w:val="24"/>
        </w:rPr>
        <w:t xml:space="preserve"> in children is highest </w:t>
      </w:r>
      <w:r w:rsidR="00192F60" w:rsidRPr="00AF1DC5">
        <w:rPr>
          <w:rFonts w:ascii="Book Antiqua" w:hAnsi="Book Antiqua"/>
          <w:sz w:val="24"/>
          <w:szCs w:val="24"/>
        </w:rPr>
        <w:t>within</w:t>
      </w:r>
      <w:r w:rsidRPr="00AF1DC5">
        <w:rPr>
          <w:rFonts w:ascii="Book Antiqua" w:hAnsi="Book Antiqua"/>
          <w:sz w:val="24"/>
          <w:szCs w:val="24"/>
        </w:rPr>
        <w:t xml:space="preserve"> 7 d</w:t>
      </w:r>
      <w:r w:rsidR="0008694E" w:rsidRPr="00AF1DC5">
        <w:rPr>
          <w:rFonts w:ascii="Book Antiqua" w:hAnsi="Book Antiqua"/>
          <w:sz w:val="24"/>
          <w:szCs w:val="24"/>
          <w:lang w:eastAsia="zh-CN"/>
        </w:rPr>
        <w:t xml:space="preserve"> </w:t>
      </w:r>
      <w:r w:rsidR="00192F60" w:rsidRPr="00AF1DC5">
        <w:rPr>
          <w:rFonts w:ascii="Book Antiqua" w:hAnsi="Book Antiqua"/>
          <w:sz w:val="24"/>
          <w:szCs w:val="24"/>
        </w:rPr>
        <w:t>of</w:t>
      </w:r>
      <w:r w:rsidRPr="00AF1DC5">
        <w:rPr>
          <w:rFonts w:ascii="Book Antiqua" w:hAnsi="Book Antiqua"/>
          <w:sz w:val="24"/>
          <w:szCs w:val="24"/>
        </w:rPr>
        <w:t xml:space="preserve"> admission. </w:t>
      </w:r>
      <w:r w:rsidR="00363CA8" w:rsidRPr="00AF1DC5">
        <w:rPr>
          <w:rFonts w:ascii="Book Antiqua" w:hAnsi="Book Antiqua"/>
          <w:sz w:val="24"/>
          <w:szCs w:val="24"/>
        </w:rPr>
        <w:t xml:space="preserve">Multiple </w:t>
      </w:r>
      <w:r w:rsidRPr="00AF1DC5">
        <w:rPr>
          <w:rFonts w:ascii="Book Antiqua" w:hAnsi="Book Antiqua"/>
          <w:sz w:val="24"/>
          <w:szCs w:val="24"/>
        </w:rPr>
        <w:t xml:space="preserve">comorbidities </w:t>
      </w:r>
      <w:r w:rsidR="00363CA8" w:rsidRPr="00AF1DC5">
        <w:rPr>
          <w:rFonts w:ascii="Book Antiqua" w:hAnsi="Book Antiqua"/>
          <w:sz w:val="24"/>
          <w:szCs w:val="24"/>
        </w:rPr>
        <w:t xml:space="preserve">are a risk factor whereas </w:t>
      </w:r>
      <w:r w:rsidRPr="00AF1DC5">
        <w:rPr>
          <w:rFonts w:ascii="Book Antiqua" w:hAnsi="Book Antiqua"/>
          <w:sz w:val="24"/>
          <w:szCs w:val="24"/>
        </w:rPr>
        <w:t xml:space="preserve">early endoscopy during </w:t>
      </w:r>
      <w:r w:rsidR="00192F60" w:rsidRPr="00AF1DC5">
        <w:rPr>
          <w:rFonts w:ascii="Book Antiqua" w:hAnsi="Book Antiqua"/>
          <w:sz w:val="24"/>
          <w:szCs w:val="24"/>
        </w:rPr>
        <w:t xml:space="preserve">the </w:t>
      </w:r>
      <w:r w:rsidRPr="00AF1DC5">
        <w:rPr>
          <w:rFonts w:ascii="Book Antiqua" w:hAnsi="Book Antiqua"/>
          <w:sz w:val="24"/>
          <w:szCs w:val="24"/>
        </w:rPr>
        <w:t xml:space="preserve">admission </w:t>
      </w:r>
      <w:r w:rsidR="00192F60" w:rsidRPr="00AF1DC5">
        <w:rPr>
          <w:rFonts w:ascii="Book Antiqua" w:hAnsi="Book Antiqua"/>
          <w:sz w:val="24"/>
          <w:szCs w:val="24"/>
        </w:rPr>
        <w:t>is protective</w:t>
      </w:r>
      <w:r w:rsidRPr="00AF1DC5">
        <w:rPr>
          <w:rFonts w:ascii="Book Antiqua" w:hAnsi="Book Antiqua"/>
          <w:sz w:val="24"/>
          <w:szCs w:val="24"/>
        </w:rPr>
        <w:t xml:space="preserve">. </w:t>
      </w:r>
    </w:p>
    <w:p w14:paraId="6105014D" w14:textId="77777777" w:rsidR="0008694E" w:rsidRPr="00AF1DC5" w:rsidRDefault="0008694E" w:rsidP="00E50668">
      <w:pPr>
        <w:snapToGrid w:val="0"/>
        <w:spacing w:after="0" w:line="360" w:lineRule="auto"/>
        <w:jc w:val="both"/>
        <w:rPr>
          <w:rFonts w:ascii="Book Antiqua" w:hAnsi="Book Antiqua" w:cs="Courier New"/>
          <w:b/>
          <w:sz w:val="24"/>
          <w:szCs w:val="24"/>
          <w:lang w:eastAsia="zh-CN"/>
        </w:rPr>
      </w:pPr>
    </w:p>
    <w:p w14:paraId="36ED1D9E" w14:textId="090B3D0B" w:rsidR="00925CA0" w:rsidRPr="00AF1DC5" w:rsidRDefault="00C946FC" w:rsidP="00E50668">
      <w:pPr>
        <w:snapToGrid w:val="0"/>
        <w:spacing w:after="0" w:line="360" w:lineRule="auto"/>
        <w:jc w:val="both"/>
        <w:rPr>
          <w:rFonts w:ascii="Book Antiqua" w:hAnsi="Book Antiqua" w:cs="Courier New"/>
          <w:b/>
          <w:sz w:val="24"/>
          <w:szCs w:val="24"/>
          <w:lang w:eastAsia="zh-CN"/>
        </w:rPr>
      </w:pPr>
      <w:r w:rsidRPr="00AF1DC5">
        <w:rPr>
          <w:rFonts w:ascii="Book Antiqua" w:hAnsi="Book Antiqua" w:cs="Courier New"/>
          <w:b/>
          <w:sz w:val="24"/>
          <w:szCs w:val="24"/>
        </w:rPr>
        <w:t>Key</w:t>
      </w:r>
      <w:r w:rsidR="0008694E" w:rsidRPr="00AF1DC5">
        <w:rPr>
          <w:rFonts w:ascii="Book Antiqua" w:hAnsi="Book Antiqua" w:cs="Courier New"/>
          <w:b/>
          <w:sz w:val="24"/>
          <w:szCs w:val="24"/>
          <w:lang w:eastAsia="zh-CN"/>
        </w:rPr>
        <w:t xml:space="preserve"> </w:t>
      </w:r>
      <w:r w:rsidRPr="00AF1DC5">
        <w:rPr>
          <w:rFonts w:ascii="Book Antiqua" w:hAnsi="Book Antiqua" w:cs="Courier New"/>
          <w:b/>
          <w:sz w:val="24"/>
          <w:szCs w:val="24"/>
        </w:rPr>
        <w:t>words:</w:t>
      </w:r>
      <w:r w:rsidR="0008694E" w:rsidRPr="00AF1DC5">
        <w:rPr>
          <w:rFonts w:ascii="Book Antiqua" w:hAnsi="Book Antiqua" w:cs="Courier New"/>
          <w:b/>
          <w:sz w:val="24"/>
          <w:szCs w:val="24"/>
          <w:lang w:eastAsia="zh-CN"/>
        </w:rPr>
        <w:t xml:space="preserve"> </w:t>
      </w:r>
      <w:r w:rsidR="00806EFC" w:rsidRPr="00AF1DC5">
        <w:rPr>
          <w:rFonts w:ascii="Book Antiqua" w:hAnsi="Book Antiqua" w:cs="Courier New"/>
          <w:sz w:val="24"/>
          <w:szCs w:val="24"/>
        </w:rPr>
        <w:t xml:space="preserve">Pediatrics; Gastrointestinal </w:t>
      </w:r>
      <w:r w:rsidR="0008694E" w:rsidRPr="00AF1DC5">
        <w:rPr>
          <w:rFonts w:ascii="Book Antiqua" w:hAnsi="Book Antiqua" w:cs="Courier New"/>
          <w:sz w:val="24"/>
          <w:szCs w:val="24"/>
        </w:rPr>
        <w:t>h</w:t>
      </w:r>
      <w:r w:rsidR="00806EFC" w:rsidRPr="00AF1DC5">
        <w:rPr>
          <w:rFonts w:ascii="Book Antiqua" w:hAnsi="Book Antiqua" w:cs="Courier New"/>
          <w:sz w:val="24"/>
          <w:szCs w:val="24"/>
        </w:rPr>
        <w:t xml:space="preserve">emorrhage; </w:t>
      </w:r>
      <w:r w:rsidR="002E64F4" w:rsidRPr="00AF1DC5">
        <w:rPr>
          <w:rFonts w:ascii="Book Antiqua" w:hAnsi="Book Antiqua"/>
          <w:sz w:val="24"/>
          <w:szCs w:val="24"/>
        </w:rPr>
        <w:t>Endoscopy</w:t>
      </w:r>
      <w:r w:rsidR="00806EFC" w:rsidRPr="00AF1DC5">
        <w:rPr>
          <w:rFonts w:ascii="Book Antiqua" w:hAnsi="Book Antiqua"/>
          <w:sz w:val="24"/>
          <w:szCs w:val="24"/>
        </w:rPr>
        <w:t xml:space="preserve">; </w:t>
      </w:r>
      <w:r w:rsidR="00925CA0" w:rsidRPr="00AF1DC5">
        <w:rPr>
          <w:rFonts w:ascii="Book Antiqua" w:eastAsia="Times New Roman" w:hAnsi="Book Antiqua" w:cs="Times New Roman"/>
          <w:sz w:val="24"/>
          <w:szCs w:val="24"/>
          <w:lang w:val="en-US" w:eastAsia="en-US"/>
        </w:rPr>
        <w:t xml:space="preserve">Proton </w:t>
      </w:r>
      <w:r w:rsidR="0008694E" w:rsidRPr="00AF1DC5">
        <w:rPr>
          <w:rFonts w:ascii="Book Antiqua" w:eastAsia="Times New Roman" w:hAnsi="Book Antiqua" w:cs="Times New Roman"/>
          <w:sz w:val="24"/>
          <w:szCs w:val="24"/>
          <w:lang w:val="en-US" w:eastAsia="en-US"/>
        </w:rPr>
        <w:t>p</w:t>
      </w:r>
      <w:r w:rsidR="00925CA0" w:rsidRPr="00AF1DC5">
        <w:rPr>
          <w:rFonts w:ascii="Book Antiqua" w:eastAsia="Times New Roman" w:hAnsi="Book Antiqua" w:cs="Times New Roman"/>
          <w:sz w:val="24"/>
          <w:szCs w:val="24"/>
          <w:lang w:val="en-US" w:eastAsia="en-US"/>
        </w:rPr>
        <w:t xml:space="preserve">ump </w:t>
      </w:r>
      <w:r w:rsidR="0008694E" w:rsidRPr="00AF1DC5">
        <w:rPr>
          <w:rFonts w:ascii="Book Antiqua" w:eastAsia="Times New Roman" w:hAnsi="Book Antiqua" w:cs="Times New Roman"/>
          <w:sz w:val="24"/>
          <w:szCs w:val="24"/>
          <w:lang w:val="en-US" w:eastAsia="en-US"/>
        </w:rPr>
        <w:t>i</w:t>
      </w:r>
      <w:r w:rsidR="00925CA0" w:rsidRPr="00AF1DC5">
        <w:rPr>
          <w:rFonts w:ascii="Book Antiqua" w:eastAsia="Times New Roman" w:hAnsi="Book Antiqua" w:cs="Times New Roman"/>
          <w:sz w:val="24"/>
          <w:szCs w:val="24"/>
          <w:lang w:val="en-US" w:eastAsia="en-US"/>
        </w:rPr>
        <w:t>nhibitors;</w:t>
      </w:r>
      <w:r w:rsidR="00925CA0" w:rsidRPr="00AF1DC5">
        <w:rPr>
          <w:rFonts w:ascii="Book Antiqua" w:hAnsi="Book Antiqua"/>
          <w:sz w:val="24"/>
          <w:szCs w:val="24"/>
        </w:rPr>
        <w:t xml:space="preserve"> Octreotide; Mortality; Liver </w:t>
      </w:r>
      <w:r w:rsidR="0008694E" w:rsidRPr="00AF1DC5">
        <w:rPr>
          <w:rFonts w:ascii="Book Antiqua" w:hAnsi="Book Antiqua"/>
          <w:sz w:val="24"/>
          <w:szCs w:val="24"/>
        </w:rPr>
        <w:t>d</w:t>
      </w:r>
      <w:r w:rsidR="00925CA0" w:rsidRPr="00AF1DC5">
        <w:rPr>
          <w:rFonts w:ascii="Book Antiqua" w:hAnsi="Book Antiqua"/>
          <w:sz w:val="24"/>
          <w:szCs w:val="24"/>
        </w:rPr>
        <w:t>iseas</w:t>
      </w:r>
      <w:r w:rsidR="0008694E" w:rsidRPr="00AF1DC5">
        <w:rPr>
          <w:rFonts w:ascii="Book Antiqua" w:hAnsi="Book Antiqua"/>
          <w:sz w:val="24"/>
          <w:szCs w:val="24"/>
        </w:rPr>
        <w:t>e; Hospital Information Systems</w:t>
      </w:r>
    </w:p>
    <w:p w14:paraId="57DA84C3" w14:textId="77777777" w:rsidR="0008694E" w:rsidRPr="00AF1DC5" w:rsidRDefault="0008694E" w:rsidP="00E50668">
      <w:pPr>
        <w:snapToGrid w:val="0"/>
        <w:spacing w:after="0" w:line="360" w:lineRule="auto"/>
        <w:jc w:val="both"/>
        <w:rPr>
          <w:rFonts w:ascii="Book Antiqua" w:hAnsi="Book Antiqua" w:cs="Courier New"/>
          <w:b/>
          <w:sz w:val="24"/>
          <w:szCs w:val="24"/>
          <w:lang w:eastAsia="zh-CN"/>
        </w:rPr>
      </w:pPr>
    </w:p>
    <w:p w14:paraId="68DBA20D" w14:textId="77777777" w:rsidR="0008694E" w:rsidRPr="00AF1DC5" w:rsidRDefault="0008694E" w:rsidP="0008694E">
      <w:pPr>
        <w:adjustRightInd w:val="0"/>
        <w:snapToGrid w:val="0"/>
        <w:spacing w:after="0" w:line="360" w:lineRule="auto"/>
        <w:jc w:val="both"/>
        <w:rPr>
          <w:rFonts w:ascii="Book Antiqua" w:eastAsia="SimSun" w:hAnsi="Book Antiqua" w:cs="SimSun"/>
          <w:sz w:val="24"/>
          <w:szCs w:val="24"/>
          <w:lang w:val="en-US" w:eastAsia="zh-CN"/>
        </w:rPr>
      </w:pPr>
      <w:bookmarkStart w:id="17" w:name="OLE_LINK363"/>
      <w:bookmarkStart w:id="18" w:name="OLE_LINK364"/>
      <w:bookmarkStart w:id="19" w:name="OLE_LINK359"/>
      <w:bookmarkStart w:id="20" w:name="OLE_LINK1037"/>
      <w:bookmarkStart w:id="21" w:name="OLE_LINK1195"/>
      <w:bookmarkStart w:id="22" w:name="OLE_LINK1140"/>
      <w:bookmarkStart w:id="23" w:name="OLE_LINK1062"/>
      <w:bookmarkStart w:id="24" w:name="OLE_LINK500"/>
      <w:bookmarkStart w:id="25" w:name="OLE_LINK916"/>
      <w:bookmarkStart w:id="26" w:name="OLE_LINK956"/>
      <w:r w:rsidRPr="00AF1DC5">
        <w:rPr>
          <w:rFonts w:ascii="Book Antiqua" w:eastAsia="SimSun" w:hAnsi="Book Antiqua" w:cs="SimSun"/>
          <w:b/>
          <w:sz w:val="24"/>
          <w:szCs w:val="24"/>
          <w:lang w:val="en-US" w:eastAsia="zh-CN"/>
        </w:rPr>
        <w:t>© The Author(s) 2016.</w:t>
      </w:r>
      <w:r w:rsidRPr="00AF1DC5">
        <w:rPr>
          <w:rFonts w:ascii="Book Antiqua" w:eastAsia="SimSun" w:hAnsi="Book Antiqua" w:cs="SimSun"/>
          <w:sz w:val="24"/>
          <w:szCs w:val="24"/>
          <w:lang w:val="en-US" w:eastAsia="zh-CN"/>
        </w:rPr>
        <w:t xml:space="preserve"> Published by Baishideng Publishing Group Inc. All rights reserved.</w:t>
      </w:r>
    </w:p>
    <w:bookmarkEnd w:id="17"/>
    <w:bookmarkEnd w:id="18"/>
    <w:bookmarkEnd w:id="19"/>
    <w:bookmarkEnd w:id="20"/>
    <w:bookmarkEnd w:id="21"/>
    <w:bookmarkEnd w:id="22"/>
    <w:bookmarkEnd w:id="23"/>
    <w:bookmarkEnd w:id="24"/>
    <w:bookmarkEnd w:id="25"/>
    <w:bookmarkEnd w:id="26"/>
    <w:p w14:paraId="54D99AD5" w14:textId="77777777" w:rsidR="0008694E" w:rsidRPr="00AF1DC5" w:rsidRDefault="0008694E" w:rsidP="00E50668">
      <w:pPr>
        <w:snapToGrid w:val="0"/>
        <w:spacing w:after="0" w:line="360" w:lineRule="auto"/>
        <w:jc w:val="both"/>
        <w:rPr>
          <w:rFonts w:ascii="Book Antiqua" w:hAnsi="Book Antiqua" w:cs="Courier New"/>
          <w:b/>
          <w:sz w:val="24"/>
          <w:szCs w:val="24"/>
          <w:lang w:eastAsia="zh-CN"/>
        </w:rPr>
      </w:pPr>
    </w:p>
    <w:p w14:paraId="045BEE7A" w14:textId="72A0BA03" w:rsidR="0008694E" w:rsidRPr="00AF1DC5" w:rsidRDefault="00925CA0" w:rsidP="00E50668">
      <w:pPr>
        <w:snapToGrid w:val="0"/>
        <w:spacing w:after="0" w:line="360" w:lineRule="auto"/>
        <w:jc w:val="both"/>
        <w:rPr>
          <w:rFonts w:ascii="Book Antiqua" w:hAnsi="Book Antiqua" w:cs="Courier New"/>
          <w:b/>
          <w:sz w:val="24"/>
          <w:szCs w:val="24"/>
          <w:lang w:eastAsia="zh-CN"/>
        </w:rPr>
      </w:pPr>
      <w:r w:rsidRPr="00AF1DC5">
        <w:rPr>
          <w:rFonts w:ascii="Book Antiqua" w:hAnsi="Book Antiqua" w:cs="Courier New"/>
          <w:b/>
          <w:sz w:val="24"/>
          <w:szCs w:val="24"/>
        </w:rPr>
        <w:t>Core tip</w:t>
      </w:r>
      <w:r w:rsidR="0008694E" w:rsidRPr="00AF1DC5">
        <w:rPr>
          <w:rFonts w:ascii="Book Antiqua" w:hAnsi="Book Antiqua" w:cs="Courier New"/>
          <w:b/>
          <w:sz w:val="24"/>
          <w:szCs w:val="24"/>
          <w:lang w:eastAsia="zh-CN"/>
        </w:rPr>
        <w:t xml:space="preserve">: </w:t>
      </w:r>
      <w:r w:rsidR="008B1984" w:rsidRPr="00AF1DC5">
        <w:rPr>
          <w:rFonts w:ascii="Book Antiqua" w:hAnsi="Book Antiqua" w:cs="Courier New"/>
          <w:sz w:val="24"/>
          <w:szCs w:val="24"/>
        </w:rPr>
        <w:t xml:space="preserve">The management of </w:t>
      </w:r>
      <w:r w:rsidRPr="00AF1DC5">
        <w:rPr>
          <w:rFonts w:ascii="Book Antiqua" w:hAnsi="Book Antiqua" w:cs="Courier New"/>
          <w:sz w:val="24"/>
          <w:szCs w:val="24"/>
        </w:rPr>
        <w:t xml:space="preserve">gastrointestinal haemorrhage </w:t>
      </w:r>
      <w:r w:rsidR="008B1984" w:rsidRPr="00AF1DC5">
        <w:rPr>
          <w:rFonts w:ascii="Book Antiqua" w:hAnsi="Book Antiqua" w:cs="Courier New"/>
          <w:sz w:val="24"/>
          <w:szCs w:val="24"/>
        </w:rPr>
        <w:t xml:space="preserve">in children is challenging </w:t>
      </w:r>
      <w:r w:rsidR="00CF2C72" w:rsidRPr="00AF1DC5">
        <w:rPr>
          <w:rFonts w:ascii="Book Antiqua" w:hAnsi="Book Antiqua" w:cs="Courier New"/>
          <w:sz w:val="24"/>
          <w:szCs w:val="24"/>
        </w:rPr>
        <w:t>insofar as t</w:t>
      </w:r>
      <w:r w:rsidR="008B1984" w:rsidRPr="00AF1DC5">
        <w:rPr>
          <w:rFonts w:ascii="Book Antiqua" w:hAnsi="Book Antiqua" w:cs="Courier New"/>
          <w:sz w:val="24"/>
          <w:szCs w:val="24"/>
        </w:rPr>
        <w:t xml:space="preserve">he timing and impact of different interventions remains poorly defined. The authors analysed the characteristics and associated </w:t>
      </w:r>
      <w:r w:rsidR="00CF2C72" w:rsidRPr="00AF1DC5">
        <w:rPr>
          <w:rFonts w:ascii="Book Antiqua" w:hAnsi="Book Antiqua" w:cs="Courier New"/>
          <w:sz w:val="24"/>
          <w:szCs w:val="24"/>
        </w:rPr>
        <w:t>i</w:t>
      </w:r>
      <w:r w:rsidR="008B1984" w:rsidRPr="00AF1DC5">
        <w:rPr>
          <w:rFonts w:ascii="Book Antiqua" w:hAnsi="Book Antiqua" w:cs="Courier New"/>
          <w:sz w:val="24"/>
          <w:szCs w:val="24"/>
        </w:rPr>
        <w:t>nterventions</w:t>
      </w:r>
      <w:r w:rsidR="0008694E" w:rsidRPr="00AF1DC5">
        <w:rPr>
          <w:rFonts w:ascii="Book Antiqua" w:hAnsi="Book Antiqua" w:cs="Courier New"/>
          <w:sz w:val="24"/>
          <w:szCs w:val="24"/>
          <w:lang w:eastAsia="zh-CN"/>
        </w:rPr>
        <w:t xml:space="preserve"> </w:t>
      </w:r>
      <w:r w:rsidR="008B1984" w:rsidRPr="00AF1DC5">
        <w:rPr>
          <w:rFonts w:ascii="Book Antiqua" w:hAnsi="Book Antiqua" w:cs="Courier New"/>
          <w:sz w:val="24"/>
          <w:szCs w:val="24"/>
        </w:rPr>
        <w:t xml:space="preserve">associated with mortality as an outcome with gastrointestinial bleeding in children past infancy. Death associated with gastrointestinal haemorrhage was reported in 2% </w:t>
      </w:r>
      <w:r w:rsidR="00CF2C72" w:rsidRPr="00AF1DC5">
        <w:rPr>
          <w:rFonts w:ascii="Book Antiqua" w:hAnsi="Book Antiqua" w:cs="Courier New"/>
          <w:sz w:val="24"/>
          <w:szCs w:val="24"/>
        </w:rPr>
        <w:t>overall</w:t>
      </w:r>
      <w:r w:rsidR="008B1984" w:rsidRPr="00AF1DC5">
        <w:rPr>
          <w:rFonts w:ascii="Book Antiqua" w:hAnsi="Book Antiqua" w:cs="Courier New"/>
          <w:sz w:val="24"/>
          <w:szCs w:val="24"/>
        </w:rPr>
        <w:t xml:space="preserve"> albeit less </w:t>
      </w:r>
      <w:r w:rsidR="00CF2C72" w:rsidRPr="00AF1DC5">
        <w:rPr>
          <w:rFonts w:ascii="Book Antiqua" w:hAnsi="Book Antiqua" w:cs="Courier New"/>
          <w:sz w:val="24"/>
          <w:szCs w:val="24"/>
        </w:rPr>
        <w:t xml:space="preserve">(0.4%) in </w:t>
      </w:r>
      <w:r w:rsidR="00311392" w:rsidRPr="00AF1DC5">
        <w:rPr>
          <w:rFonts w:ascii="Book Antiqua" w:hAnsi="Book Antiqua" w:cs="Courier New"/>
          <w:sz w:val="24"/>
          <w:szCs w:val="24"/>
        </w:rPr>
        <w:t>the</w:t>
      </w:r>
      <w:r w:rsidR="008B1984" w:rsidRPr="00AF1DC5">
        <w:rPr>
          <w:rFonts w:ascii="Book Antiqua" w:hAnsi="Book Antiqua" w:cs="Courier New"/>
          <w:sz w:val="24"/>
          <w:szCs w:val="24"/>
        </w:rPr>
        <w:t xml:space="preserve"> cohort </w:t>
      </w:r>
      <w:r w:rsidR="00CF2C72" w:rsidRPr="00AF1DC5">
        <w:rPr>
          <w:rFonts w:ascii="Book Antiqua" w:hAnsi="Book Antiqua" w:cs="Courier New"/>
          <w:sz w:val="24"/>
          <w:szCs w:val="24"/>
        </w:rPr>
        <w:t>with haemorrhage as admitting diagnosis. Patients who died were far less likely to have undergone endoscopy</w:t>
      </w:r>
      <w:r w:rsidR="00311392" w:rsidRPr="00AF1DC5">
        <w:rPr>
          <w:rFonts w:ascii="Book Antiqua" w:hAnsi="Book Antiqua" w:cs="Courier New"/>
          <w:sz w:val="24"/>
          <w:szCs w:val="24"/>
        </w:rPr>
        <w:t xml:space="preserve"> during the admission and </w:t>
      </w:r>
      <w:r w:rsidR="00CF2C72" w:rsidRPr="00AF1DC5">
        <w:rPr>
          <w:rFonts w:ascii="Book Antiqua" w:hAnsi="Book Antiqua" w:cs="Courier New"/>
          <w:sz w:val="24"/>
          <w:szCs w:val="24"/>
        </w:rPr>
        <w:t>more likely to have received octreotide and less likely to have received proton pu</w:t>
      </w:r>
      <w:r w:rsidR="00311392" w:rsidRPr="00AF1DC5">
        <w:rPr>
          <w:rFonts w:ascii="Book Antiqua" w:hAnsi="Book Antiqua" w:cs="Courier New"/>
          <w:sz w:val="24"/>
          <w:szCs w:val="24"/>
        </w:rPr>
        <w:t>mp inhibitor therapy during the first two days of</w:t>
      </w:r>
      <w:r w:rsidR="00CF2C72" w:rsidRPr="00AF1DC5">
        <w:rPr>
          <w:rFonts w:ascii="Book Antiqua" w:hAnsi="Book Antiqua" w:cs="Courier New"/>
          <w:sz w:val="24"/>
          <w:szCs w:val="24"/>
        </w:rPr>
        <w:t xml:space="preserve"> admission.</w:t>
      </w:r>
      <w:r w:rsidR="00A26905" w:rsidRPr="00AF1DC5">
        <w:rPr>
          <w:rFonts w:ascii="Book Antiqua" w:hAnsi="Book Antiqua" w:cs="Courier New"/>
          <w:sz w:val="24"/>
          <w:szCs w:val="24"/>
        </w:rPr>
        <w:t xml:space="preserve"> </w:t>
      </w:r>
    </w:p>
    <w:p w14:paraId="6D8AEA15" w14:textId="77777777" w:rsidR="0008694E" w:rsidRPr="00AF1DC5" w:rsidRDefault="0008694E" w:rsidP="00E50668">
      <w:pPr>
        <w:snapToGrid w:val="0"/>
        <w:spacing w:after="0" w:line="360" w:lineRule="auto"/>
        <w:jc w:val="both"/>
        <w:rPr>
          <w:rFonts w:ascii="Book Antiqua" w:hAnsi="Book Antiqua" w:cs="Courier New"/>
          <w:b/>
          <w:sz w:val="24"/>
          <w:szCs w:val="24"/>
          <w:lang w:eastAsia="zh-CN"/>
        </w:rPr>
      </w:pPr>
    </w:p>
    <w:p w14:paraId="03CD17FA" w14:textId="29FFC948" w:rsidR="000A49C0" w:rsidRPr="00AF1DC5" w:rsidRDefault="000A49C0" w:rsidP="00E50668">
      <w:pPr>
        <w:snapToGrid w:val="0"/>
        <w:spacing w:after="0" w:line="360" w:lineRule="auto"/>
        <w:jc w:val="both"/>
        <w:rPr>
          <w:rFonts w:ascii="Book Antiqua" w:hAnsi="Book Antiqua" w:cs="Courier New"/>
          <w:sz w:val="24"/>
          <w:szCs w:val="24"/>
          <w:lang w:eastAsia="zh-CN"/>
        </w:rPr>
      </w:pPr>
      <w:r w:rsidRPr="00AF1DC5">
        <w:rPr>
          <w:rFonts w:ascii="Book Antiqua" w:hAnsi="Book Antiqua" w:cs="Courier New"/>
          <w:sz w:val="24"/>
          <w:szCs w:val="24"/>
        </w:rPr>
        <w:t>Attard TM, Miller M, Pant C, Kumar A, Thomson</w:t>
      </w:r>
      <w:r w:rsidR="0008694E" w:rsidRPr="00AF1DC5">
        <w:rPr>
          <w:rFonts w:ascii="Book Antiqua" w:hAnsi="Book Antiqua" w:cs="Courier New"/>
          <w:sz w:val="24"/>
          <w:szCs w:val="24"/>
          <w:lang w:eastAsia="zh-CN"/>
        </w:rPr>
        <w:t xml:space="preserve"> </w:t>
      </w:r>
      <w:r w:rsidRPr="00AF1DC5">
        <w:rPr>
          <w:rFonts w:ascii="Book Antiqua" w:hAnsi="Book Antiqua" w:cs="Courier New"/>
          <w:sz w:val="24"/>
          <w:szCs w:val="24"/>
        </w:rPr>
        <w:t>M</w:t>
      </w:r>
      <w:r w:rsidR="0008694E" w:rsidRPr="00AF1DC5">
        <w:rPr>
          <w:rFonts w:ascii="Book Antiqua" w:hAnsi="Book Antiqua" w:cs="Courier New"/>
          <w:sz w:val="24"/>
          <w:szCs w:val="24"/>
          <w:lang w:eastAsia="zh-CN"/>
        </w:rPr>
        <w:t xml:space="preserve">. </w:t>
      </w:r>
      <w:r w:rsidR="0008694E" w:rsidRPr="00AF1DC5">
        <w:rPr>
          <w:rFonts w:ascii="Book Antiqua" w:hAnsi="Book Antiqua" w:cs="Courier New"/>
          <w:caps/>
          <w:sz w:val="24"/>
          <w:szCs w:val="24"/>
          <w:lang w:val="en-US"/>
        </w:rPr>
        <w:t>m</w:t>
      </w:r>
      <w:r w:rsidR="0008694E" w:rsidRPr="00AF1DC5">
        <w:rPr>
          <w:rFonts w:ascii="Book Antiqua" w:hAnsi="Book Antiqua" w:cs="Courier New"/>
          <w:sz w:val="24"/>
          <w:szCs w:val="24"/>
          <w:lang w:val="en-US"/>
        </w:rPr>
        <w:t xml:space="preserve">ortality associated with gastrointestinal bleeding in children: </w:t>
      </w:r>
      <w:r w:rsidR="0008694E" w:rsidRPr="00AF1DC5">
        <w:rPr>
          <w:rFonts w:ascii="Book Antiqua" w:hAnsi="Book Antiqua" w:cs="Courier New"/>
          <w:caps/>
          <w:sz w:val="24"/>
          <w:szCs w:val="24"/>
          <w:lang w:val="en-US"/>
        </w:rPr>
        <w:t>a</w:t>
      </w:r>
      <w:r w:rsidR="0008694E" w:rsidRPr="00AF1DC5">
        <w:rPr>
          <w:rFonts w:ascii="Book Antiqua" w:hAnsi="Book Antiqua" w:cs="Courier New"/>
          <w:sz w:val="24"/>
          <w:szCs w:val="24"/>
          <w:lang w:val="en-US"/>
        </w:rPr>
        <w:t xml:space="preserve"> retrospective cohort study</w:t>
      </w:r>
      <w:r w:rsidR="0008694E" w:rsidRPr="00AF1DC5">
        <w:rPr>
          <w:rFonts w:ascii="Book Antiqua" w:hAnsi="Book Antiqua" w:cs="Courier New"/>
          <w:sz w:val="24"/>
          <w:szCs w:val="24"/>
          <w:lang w:val="en-US" w:eastAsia="zh-CN"/>
        </w:rPr>
        <w:t>.</w:t>
      </w:r>
      <w:r w:rsidRPr="00AF1DC5">
        <w:rPr>
          <w:rFonts w:ascii="Book Antiqua" w:hAnsi="Book Antiqua" w:cs="Courier New"/>
          <w:sz w:val="24"/>
          <w:szCs w:val="24"/>
          <w:lang w:val="en-US"/>
        </w:rPr>
        <w:t xml:space="preserve"> </w:t>
      </w:r>
      <w:r w:rsidRPr="00AF1DC5">
        <w:rPr>
          <w:rFonts w:ascii="Book Antiqua" w:hAnsi="Book Antiqua" w:cs="Courier New"/>
          <w:i/>
          <w:iCs/>
          <w:sz w:val="24"/>
          <w:szCs w:val="24"/>
          <w:lang w:val="en-US"/>
        </w:rPr>
        <w:t xml:space="preserve">World J Gastroenterol </w:t>
      </w:r>
      <w:r w:rsidRPr="00AF1DC5">
        <w:rPr>
          <w:rFonts w:ascii="Book Antiqua" w:hAnsi="Book Antiqua" w:cs="Courier New"/>
          <w:sz w:val="24"/>
          <w:szCs w:val="24"/>
          <w:lang w:val="en-US"/>
        </w:rPr>
        <w:t>2016;</w:t>
      </w:r>
      <w:r w:rsidR="0008694E" w:rsidRPr="00AF1DC5">
        <w:rPr>
          <w:rFonts w:ascii="Book Antiqua" w:hAnsi="Book Antiqua" w:cs="Courier New"/>
          <w:sz w:val="24"/>
          <w:szCs w:val="24"/>
          <w:lang w:val="en-US" w:eastAsia="zh-CN"/>
        </w:rPr>
        <w:t xml:space="preserve"> </w:t>
      </w:r>
      <w:r w:rsidRPr="00AF1DC5">
        <w:rPr>
          <w:rFonts w:ascii="Book Antiqua" w:hAnsi="Book Antiqua" w:cs="Courier New"/>
          <w:sz w:val="24"/>
          <w:szCs w:val="24"/>
          <w:lang w:val="en-US"/>
        </w:rPr>
        <w:t>In press</w:t>
      </w:r>
    </w:p>
    <w:p w14:paraId="7A42603B" w14:textId="77777777" w:rsidR="0008694E" w:rsidRPr="00AF1DC5" w:rsidRDefault="0008694E">
      <w:pPr>
        <w:rPr>
          <w:rFonts w:ascii="Book Antiqua" w:hAnsi="Book Antiqua" w:cs="Courier New"/>
          <w:b/>
          <w:sz w:val="24"/>
          <w:szCs w:val="24"/>
        </w:rPr>
      </w:pPr>
      <w:r w:rsidRPr="00AF1DC5">
        <w:rPr>
          <w:rFonts w:ascii="Book Antiqua" w:hAnsi="Book Antiqua" w:cs="Courier New"/>
          <w:b/>
          <w:sz w:val="24"/>
          <w:szCs w:val="24"/>
        </w:rPr>
        <w:br w:type="page"/>
      </w:r>
    </w:p>
    <w:p w14:paraId="445AD77C" w14:textId="5FD030A0" w:rsidR="00BF7C02" w:rsidRPr="00AF1DC5" w:rsidRDefault="0008694E" w:rsidP="00E50668">
      <w:pPr>
        <w:snapToGrid w:val="0"/>
        <w:spacing w:after="0" w:line="360" w:lineRule="auto"/>
        <w:jc w:val="both"/>
        <w:rPr>
          <w:rFonts w:ascii="Book Antiqua" w:hAnsi="Book Antiqua"/>
          <w:sz w:val="24"/>
          <w:szCs w:val="24"/>
          <w:lang w:eastAsia="zh-CN"/>
        </w:rPr>
      </w:pPr>
      <w:r w:rsidRPr="00AF1DC5">
        <w:rPr>
          <w:rFonts w:ascii="Book Antiqua" w:hAnsi="Book Antiqua" w:cs="Courier New"/>
          <w:b/>
          <w:sz w:val="24"/>
          <w:szCs w:val="24"/>
          <w:lang w:eastAsia="zh-CN"/>
        </w:rPr>
        <w:lastRenderedPageBreak/>
        <w:t>INTRODUCTION</w:t>
      </w:r>
    </w:p>
    <w:p w14:paraId="6C0984B7" w14:textId="797D2177" w:rsidR="00D971E4" w:rsidRPr="00AF1DC5" w:rsidRDefault="005C4AB2" w:rsidP="00E50668">
      <w:pPr>
        <w:snapToGrid w:val="0"/>
        <w:spacing w:after="0" w:line="360" w:lineRule="auto"/>
        <w:jc w:val="both"/>
        <w:rPr>
          <w:rFonts w:ascii="Book Antiqua" w:hAnsi="Book Antiqua" w:cs="Courier New"/>
          <w:sz w:val="24"/>
          <w:szCs w:val="24"/>
        </w:rPr>
      </w:pPr>
      <w:r w:rsidRPr="00AF1DC5">
        <w:rPr>
          <w:rFonts w:ascii="Book Antiqua" w:hAnsi="Book Antiqua" w:cs="Courier New"/>
          <w:sz w:val="24"/>
          <w:szCs w:val="24"/>
        </w:rPr>
        <w:t xml:space="preserve"> </w:t>
      </w:r>
      <w:r w:rsidR="00E77574" w:rsidRPr="00AF1DC5">
        <w:rPr>
          <w:rFonts w:ascii="Book Antiqua" w:hAnsi="Book Antiqua" w:cs="Courier New"/>
          <w:sz w:val="24"/>
          <w:szCs w:val="24"/>
        </w:rPr>
        <w:t>Gastrointestinal bleeding</w:t>
      </w:r>
      <w:r w:rsidR="007E0070" w:rsidRPr="00AF1DC5">
        <w:rPr>
          <w:rFonts w:ascii="Book Antiqua" w:hAnsi="Book Antiqua" w:cs="Courier New"/>
          <w:sz w:val="24"/>
          <w:szCs w:val="24"/>
          <w:lang w:eastAsia="zh-CN"/>
        </w:rPr>
        <w:t xml:space="preserve"> </w:t>
      </w:r>
      <w:r w:rsidR="00E77574" w:rsidRPr="00AF1DC5">
        <w:rPr>
          <w:rFonts w:ascii="Book Antiqua" w:hAnsi="Book Antiqua" w:cs="Courier New"/>
          <w:sz w:val="24"/>
          <w:szCs w:val="24"/>
        </w:rPr>
        <w:t>(GIB)</w:t>
      </w:r>
      <w:r w:rsidRPr="00AF1DC5">
        <w:rPr>
          <w:rFonts w:ascii="Book Antiqua" w:hAnsi="Book Antiqua" w:cs="Courier New"/>
          <w:sz w:val="24"/>
          <w:szCs w:val="24"/>
        </w:rPr>
        <w:t xml:space="preserve"> </w:t>
      </w:r>
      <w:r w:rsidR="002E3843" w:rsidRPr="00AF1DC5">
        <w:rPr>
          <w:rFonts w:ascii="Book Antiqua" w:hAnsi="Book Antiqua" w:cs="Courier New"/>
          <w:sz w:val="24"/>
          <w:szCs w:val="24"/>
        </w:rPr>
        <w:t>is</w:t>
      </w:r>
      <w:r w:rsidR="00E77574" w:rsidRPr="00AF1DC5">
        <w:rPr>
          <w:rFonts w:ascii="Book Antiqua" w:hAnsi="Book Antiqua" w:cs="Courier New"/>
          <w:sz w:val="24"/>
          <w:szCs w:val="24"/>
        </w:rPr>
        <w:t xml:space="preserve"> a </w:t>
      </w:r>
      <w:r w:rsidRPr="00AF1DC5">
        <w:rPr>
          <w:rFonts w:ascii="Book Antiqua" w:hAnsi="Book Antiqua" w:cs="Courier New"/>
          <w:sz w:val="24"/>
          <w:szCs w:val="24"/>
        </w:rPr>
        <w:t>foremost indication for emergent diagnostic and therapeutic</w:t>
      </w:r>
      <w:r w:rsidR="00E3229F" w:rsidRPr="00AF1DC5">
        <w:rPr>
          <w:rFonts w:ascii="Book Antiqua" w:hAnsi="Book Antiqua" w:cs="Courier New"/>
          <w:sz w:val="24"/>
          <w:szCs w:val="24"/>
        </w:rPr>
        <w:t> endoscopy</w:t>
      </w:r>
      <w:r w:rsidR="00E77574" w:rsidRPr="00AF1DC5">
        <w:rPr>
          <w:rFonts w:ascii="Book Antiqua" w:hAnsi="Book Antiqua" w:cs="Courier New"/>
          <w:sz w:val="24"/>
          <w:szCs w:val="24"/>
        </w:rPr>
        <w:t xml:space="preserve"> requiring</w:t>
      </w:r>
      <w:r w:rsidRPr="00AF1DC5">
        <w:rPr>
          <w:rFonts w:ascii="Book Antiqua" w:hAnsi="Book Antiqua" w:cs="Courier New"/>
          <w:sz w:val="24"/>
          <w:szCs w:val="24"/>
        </w:rPr>
        <w:t xml:space="preserve"> prompt</w:t>
      </w:r>
      <w:r w:rsidR="00B0782F" w:rsidRPr="00AF1DC5">
        <w:rPr>
          <w:rFonts w:ascii="Book Antiqua" w:hAnsi="Book Antiqua" w:cs="Courier New"/>
          <w:sz w:val="24"/>
          <w:szCs w:val="24"/>
        </w:rPr>
        <w:t>, including</w:t>
      </w:r>
      <w:r w:rsidRPr="00AF1DC5">
        <w:rPr>
          <w:rFonts w:ascii="Book Antiqua" w:hAnsi="Book Antiqua" w:cs="Courier New"/>
          <w:sz w:val="24"/>
          <w:szCs w:val="24"/>
        </w:rPr>
        <w:t xml:space="preserve"> disease-specifi</w:t>
      </w:r>
      <w:r w:rsidR="00E77574" w:rsidRPr="00AF1DC5">
        <w:rPr>
          <w:rFonts w:ascii="Book Antiqua" w:hAnsi="Book Antiqua" w:cs="Courier New"/>
          <w:sz w:val="24"/>
          <w:szCs w:val="24"/>
        </w:rPr>
        <w:t>c pharmacotherapy</w:t>
      </w:r>
      <w:r w:rsidR="0008694E" w:rsidRPr="00AF1DC5">
        <w:rPr>
          <w:rFonts w:ascii="Book Antiqua" w:hAnsi="Book Antiqua" w:cs="Courier New"/>
          <w:sz w:val="24"/>
          <w:szCs w:val="24"/>
          <w:vertAlign w:val="superscript"/>
          <w:lang w:eastAsia="zh-CN"/>
        </w:rPr>
        <w:t>[1,2]</w:t>
      </w:r>
      <w:r w:rsidR="00E77574" w:rsidRPr="00AF1DC5">
        <w:rPr>
          <w:rFonts w:ascii="Book Antiqua" w:hAnsi="Book Antiqua" w:cs="Courier New"/>
          <w:sz w:val="24"/>
          <w:szCs w:val="24"/>
        </w:rPr>
        <w:t>.</w:t>
      </w:r>
      <w:r w:rsidR="00AE41A6" w:rsidRPr="00AF1DC5">
        <w:rPr>
          <w:rFonts w:ascii="Book Antiqua" w:hAnsi="Book Antiqua" w:cs="Courier New"/>
          <w:sz w:val="24"/>
          <w:szCs w:val="24"/>
          <w:lang w:eastAsia="zh-CN"/>
        </w:rPr>
        <w:t xml:space="preserve"> </w:t>
      </w:r>
      <w:r w:rsidR="00E77574" w:rsidRPr="00AF1DC5">
        <w:rPr>
          <w:rFonts w:ascii="Book Antiqua" w:hAnsi="Book Antiqua" w:cs="Courier New"/>
          <w:sz w:val="24"/>
          <w:szCs w:val="24"/>
        </w:rPr>
        <w:t>Although acute GIB</w:t>
      </w:r>
      <w:r w:rsidRPr="00AF1DC5">
        <w:rPr>
          <w:rFonts w:ascii="Book Antiqua" w:hAnsi="Book Antiqua" w:cs="Courier New"/>
          <w:sz w:val="24"/>
          <w:szCs w:val="24"/>
        </w:rPr>
        <w:t xml:space="preserve"> in adults has been exhaustively studied including epidemiology and predictors of adverse outcomes, there is a paucity of the corresponding evidence in children</w:t>
      </w:r>
      <w:r w:rsidR="0008694E" w:rsidRPr="00AF1DC5">
        <w:rPr>
          <w:rFonts w:ascii="Book Antiqua" w:hAnsi="Book Antiqua" w:cs="Courier New"/>
          <w:sz w:val="24"/>
          <w:szCs w:val="24"/>
          <w:vertAlign w:val="superscript"/>
          <w:lang w:eastAsia="zh-CN"/>
        </w:rPr>
        <w:t>[3,4]</w:t>
      </w:r>
      <w:r w:rsidRPr="00AF1DC5">
        <w:rPr>
          <w:rFonts w:ascii="Book Antiqua" w:hAnsi="Book Antiqua" w:cs="Courier New"/>
          <w:sz w:val="24"/>
          <w:szCs w:val="24"/>
        </w:rPr>
        <w:t xml:space="preserve">. This deficit </w:t>
      </w:r>
      <w:r w:rsidR="002711C6" w:rsidRPr="00AF1DC5">
        <w:rPr>
          <w:rFonts w:ascii="Book Antiqua" w:hAnsi="Book Antiqua" w:cs="Courier New"/>
          <w:sz w:val="24"/>
          <w:szCs w:val="24"/>
        </w:rPr>
        <w:t>hinders the</w:t>
      </w:r>
      <w:r w:rsidRPr="00AF1DC5">
        <w:rPr>
          <w:rFonts w:ascii="Book Antiqua" w:hAnsi="Book Antiqua" w:cs="Courier New"/>
          <w:sz w:val="24"/>
          <w:szCs w:val="24"/>
        </w:rPr>
        <w:t xml:space="preserve"> evidence based allocation of resources and the implementation of standardized protocols, </w:t>
      </w:r>
      <w:r w:rsidR="00B0782F" w:rsidRPr="00AF1DC5">
        <w:rPr>
          <w:rFonts w:ascii="Book Antiqua" w:hAnsi="Book Antiqua" w:cs="Courier New"/>
          <w:sz w:val="24"/>
          <w:szCs w:val="24"/>
        </w:rPr>
        <w:t>potentially</w:t>
      </w:r>
      <w:r w:rsidRPr="00AF1DC5">
        <w:rPr>
          <w:rFonts w:ascii="Book Antiqua" w:hAnsi="Book Antiqua" w:cs="Courier New"/>
          <w:sz w:val="24"/>
          <w:szCs w:val="24"/>
        </w:rPr>
        <w:t xml:space="preserve"> adversely impacting outcomes in children.</w:t>
      </w:r>
    </w:p>
    <w:p w14:paraId="33CB41BE" w14:textId="38A736F8" w:rsidR="0008694E" w:rsidRPr="00AF1DC5" w:rsidRDefault="003D630D" w:rsidP="0008694E">
      <w:pPr>
        <w:snapToGrid w:val="0"/>
        <w:spacing w:after="0" w:line="360" w:lineRule="auto"/>
        <w:ind w:firstLineChars="100" w:firstLine="240"/>
        <w:jc w:val="both"/>
        <w:rPr>
          <w:rFonts w:ascii="Book Antiqua" w:hAnsi="Book Antiqua" w:cs="Courier New"/>
          <w:sz w:val="24"/>
          <w:szCs w:val="24"/>
          <w:lang w:eastAsia="zh-CN"/>
        </w:rPr>
      </w:pPr>
      <w:r w:rsidRPr="00AF1DC5">
        <w:rPr>
          <w:rFonts w:ascii="Book Antiqua" w:hAnsi="Book Antiqua" w:cs="Courier New"/>
          <w:sz w:val="24"/>
          <w:szCs w:val="24"/>
        </w:rPr>
        <w:t>O</w:t>
      </w:r>
      <w:r w:rsidR="002711C6" w:rsidRPr="00AF1DC5">
        <w:rPr>
          <w:rFonts w:ascii="Book Antiqua" w:hAnsi="Book Antiqua" w:cs="Courier New"/>
          <w:sz w:val="24"/>
          <w:szCs w:val="24"/>
        </w:rPr>
        <w:t xml:space="preserve">ne of the co-authors, </w:t>
      </w:r>
      <w:r w:rsidRPr="00AF1DC5">
        <w:rPr>
          <w:rFonts w:ascii="Book Antiqua" w:hAnsi="Book Antiqua" w:cs="Courier New"/>
          <w:sz w:val="24"/>
          <w:szCs w:val="24"/>
        </w:rPr>
        <w:t xml:space="preserve">has </w:t>
      </w:r>
      <w:r w:rsidR="00D05718" w:rsidRPr="00AF1DC5">
        <w:rPr>
          <w:rFonts w:ascii="Book Antiqua" w:hAnsi="Book Antiqua" w:cs="Courier New"/>
          <w:sz w:val="24"/>
          <w:szCs w:val="24"/>
        </w:rPr>
        <w:t xml:space="preserve">identified </w:t>
      </w:r>
      <w:r w:rsidR="00586B3A" w:rsidRPr="00AF1DC5">
        <w:rPr>
          <w:rFonts w:ascii="Book Antiqua" w:hAnsi="Book Antiqua" w:cs="Courier New"/>
          <w:sz w:val="24"/>
          <w:szCs w:val="24"/>
        </w:rPr>
        <w:t xml:space="preserve">the presence of </w:t>
      </w:r>
      <w:r w:rsidR="00D05718" w:rsidRPr="00AF1DC5">
        <w:rPr>
          <w:rFonts w:ascii="Book Antiqua" w:hAnsi="Book Antiqua" w:cs="Courier New"/>
          <w:sz w:val="24"/>
          <w:szCs w:val="24"/>
        </w:rPr>
        <w:t>&gt;</w:t>
      </w:r>
      <w:r w:rsidR="0008694E" w:rsidRPr="00AF1DC5">
        <w:rPr>
          <w:rFonts w:ascii="Book Antiqua" w:hAnsi="Book Antiqua" w:cs="Courier New"/>
          <w:sz w:val="24"/>
          <w:szCs w:val="24"/>
          <w:lang w:eastAsia="zh-CN"/>
        </w:rPr>
        <w:t xml:space="preserve"> </w:t>
      </w:r>
      <w:r w:rsidR="00D05718" w:rsidRPr="00AF1DC5">
        <w:rPr>
          <w:rFonts w:ascii="Book Antiqua" w:hAnsi="Book Antiqua" w:cs="Courier New"/>
          <w:sz w:val="24"/>
          <w:szCs w:val="24"/>
        </w:rPr>
        <w:t>3 comorbid conditions</w:t>
      </w:r>
      <w:r w:rsidR="00586B3A" w:rsidRPr="00AF1DC5">
        <w:rPr>
          <w:rFonts w:ascii="Book Antiqua" w:hAnsi="Book Antiqua" w:cs="Courier New"/>
          <w:sz w:val="24"/>
          <w:szCs w:val="24"/>
        </w:rPr>
        <w:t>,</w:t>
      </w:r>
      <w:r w:rsidR="00D05718" w:rsidRPr="00AF1DC5">
        <w:rPr>
          <w:rFonts w:ascii="Book Antiqua" w:hAnsi="Book Antiqua" w:cs="Courier New"/>
          <w:sz w:val="24"/>
          <w:szCs w:val="24"/>
        </w:rPr>
        <w:t xml:space="preserve"> presentation to a teaching hospital</w:t>
      </w:r>
      <w:r w:rsidR="00586B3A" w:rsidRPr="00AF1DC5">
        <w:rPr>
          <w:rFonts w:ascii="Book Antiqua" w:hAnsi="Book Antiqua" w:cs="Courier New"/>
          <w:sz w:val="24"/>
          <w:szCs w:val="24"/>
        </w:rPr>
        <w:t>,</w:t>
      </w:r>
      <w:r w:rsidR="00D05718" w:rsidRPr="00AF1DC5">
        <w:rPr>
          <w:rFonts w:ascii="Book Antiqua" w:hAnsi="Book Antiqua" w:cs="Courier New"/>
          <w:sz w:val="24"/>
          <w:szCs w:val="24"/>
        </w:rPr>
        <w:t xml:space="preserve"> the presence of upper GI bleeding</w:t>
      </w:r>
      <w:r w:rsidR="00FC412F" w:rsidRPr="00AF1DC5">
        <w:rPr>
          <w:rFonts w:ascii="Book Antiqua" w:hAnsi="Book Antiqua" w:cs="Courier New"/>
          <w:sz w:val="24"/>
          <w:szCs w:val="24"/>
        </w:rPr>
        <w:t>;</w:t>
      </w:r>
      <w:r w:rsidR="00D05718" w:rsidRPr="00AF1DC5">
        <w:rPr>
          <w:rFonts w:ascii="Book Antiqua" w:hAnsi="Book Antiqua" w:cs="Courier New"/>
          <w:sz w:val="24"/>
          <w:szCs w:val="24"/>
        </w:rPr>
        <w:t xml:space="preserve"> age under 5 years and health coverage with private insurance as independent risk factors associated with an increased rate of hospital admission with GI bleeding</w:t>
      </w:r>
      <w:r w:rsidR="0008694E" w:rsidRPr="00AF1DC5">
        <w:rPr>
          <w:rFonts w:ascii="Book Antiqua" w:hAnsi="Book Antiqua" w:cs="Courier New"/>
          <w:sz w:val="24"/>
          <w:szCs w:val="24"/>
          <w:vertAlign w:val="superscript"/>
          <w:lang w:eastAsia="zh-CN"/>
        </w:rPr>
        <w:t>[5]</w:t>
      </w:r>
      <w:r w:rsidR="00D05718" w:rsidRPr="00AF1DC5">
        <w:rPr>
          <w:rFonts w:ascii="Book Antiqua" w:hAnsi="Book Antiqua" w:cs="Courier New"/>
          <w:sz w:val="24"/>
          <w:szCs w:val="24"/>
        </w:rPr>
        <w:t xml:space="preserve">. </w:t>
      </w:r>
      <w:r w:rsidR="00170499" w:rsidRPr="00AF1DC5">
        <w:rPr>
          <w:rFonts w:ascii="Book Antiqua" w:hAnsi="Book Antiqua" w:cs="Courier New"/>
          <w:sz w:val="24"/>
          <w:szCs w:val="24"/>
        </w:rPr>
        <w:t>Hemorrhage</w:t>
      </w:r>
      <w:r w:rsidR="00D05718" w:rsidRPr="00AF1DC5">
        <w:rPr>
          <w:rFonts w:ascii="Book Antiqua" w:hAnsi="Book Antiqua" w:cs="Courier New"/>
          <w:sz w:val="24"/>
          <w:szCs w:val="24"/>
        </w:rPr>
        <w:t xml:space="preserve"> </w:t>
      </w:r>
      <w:r w:rsidR="00170499" w:rsidRPr="00AF1DC5">
        <w:rPr>
          <w:rFonts w:ascii="Book Antiqua" w:hAnsi="Book Antiqua" w:cs="Courier New"/>
          <w:sz w:val="24"/>
          <w:szCs w:val="24"/>
        </w:rPr>
        <w:t>occurred in</w:t>
      </w:r>
      <w:r w:rsidR="00D05718" w:rsidRPr="00AF1DC5">
        <w:rPr>
          <w:rFonts w:ascii="Book Antiqua" w:hAnsi="Book Antiqua" w:cs="Courier New"/>
          <w:sz w:val="24"/>
          <w:szCs w:val="24"/>
        </w:rPr>
        <w:t xml:space="preserve"> 0.5% of all discharges from inpatient care</w:t>
      </w:r>
      <w:r w:rsidR="00586B3A" w:rsidRPr="00AF1DC5">
        <w:rPr>
          <w:rFonts w:ascii="Book Antiqua" w:hAnsi="Book Antiqua" w:cs="Courier New"/>
          <w:sz w:val="24"/>
          <w:szCs w:val="24"/>
        </w:rPr>
        <w:t xml:space="preserve">, was </w:t>
      </w:r>
      <w:r w:rsidR="00D05718" w:rsidRPr="00AF1DC5">
        <w:rPr>
          <w:rFonts w:ascii="Book Antiqua" w:hAnsi="Book Antiqua" w:cs="Courier New"/>
          <w:sz w:val="24"/>
          <w:szCs w:val="24"/>
        </w:rPr>
        <w:t>more prevalent in males and older than 11 years. Esophageal and intestinal perforation were identified as at highest risk of associated mortality</w:t>
      </w:r>
      <w:r w:rsidR="00FC412F" w:rsidRPr="00AF1DC5">
        <w:rPr>
          <w:rFonts w:ascii="Book Antiqua" w:hAnsi="Book Antiqua" w:cs="Courier New"/>
          <w:sz w:val="24"/>
          <w:szCs w:val="24"/>
        </w:rPr>
        <w:t>,</w:t>
      </w:r>
      <w:r w:rsidR="00D05718" w:rsidRPr="00AF1DC5">
        <w:rPr>
          <w:rFonts w:ascii="Book Antiqua" w:hAnsi="Book Antiqua" w:cs="Courier New"/>
          <w:sz w:val="24"/>
          <w:szCs w:val="24"/>
        </w:rPr>
        <w:t xml:space="preserve"> together accounting for 17% of all patients </w:t>
      </w:r>
      <w:r w:rsidR="00170499" w:rsidRPr="00AF1DC5">
        <w:rPr>
          <w:rFonts w:ascii="Book Antiqua" w:hAnsi="Book Antiqua" w:cs="Courier New"/>
          <w:sz w:val="24"/>
          <w:szCs w:val="24"/>
        </w:rPr>
        <w:t xml:space="preserve">with GI haemorrhage and </w:t>
      </w:r>
      <w:r w:rsidR="00D05718" w:rsidRPr="00AF1DC5">
        <w:rPr>
          <w:rFonts w:ascii="Book Antiqua" w:hAnsi="Book Antiqua" w:cs="Courier New"/>
          <w:sz w:val="24"/>
          <w:szCs w:val="24"/>
        </w:rPr>
        <w:t xml:space="preserve">who </w:t>
      </w:r>
      <w:r w:rsidR="002711C6" w:rsidRPr="00AF1DC5">
        <w:rPr>
          <w:rFonts w:ascii="Book Antiqua" w:hAnsi="Book Antiqua" w:cs="Courier New"/>
          <w:sz w:val="24"/>
          <w:szCs w:val="24"/>
        </w:rPr>
        <w:t>died</w:t>
      </w:r>
      <w:r w:rsidR="0008694E" w:rsidRPr="00AF1DC5">
        <w:rPr>
          <w:rFonts w:ascii="Book Antiqua" w:hAnsi="Book Antiqua" w:cs="Courier New"/>
          <w:sz w:val="24"/>
          <w:szCs w:val="24"/>
          <w:vertAlign w:val="superscript"/>
          <w:lang w:eastAsia="zh-CN"/>
        </w:rPr>
        <w:t>[6]</w:t>
      </w:r>
      <w:r w:rsidR="00D05718" w:rsidRPr="00AF1DC5">
        <w:rPr>
          <w:rFonts w:ascii="Book Antiqua" w:hAnsi="Book Antiqua" w:cs="Courier New"/>
          <w:sz w:val="24"/>
          <w:szCs w:val="24"/>
        </w:rPr>
        <w:t>.</w:t>
      </w:r>
    </w:p>
    <w:p w14:paraId="734406B5" w14:textId="359BEDDA" w:rsidR="001B47BC" w:rsidRPr="00AF1DC5" w:rsidRDefault="005C4AB2" w:rsidP="0008694E">
      <w:pPr>
        <w:snapToGrid w:val="0"/>
        <w:spacing w:after="0" w:line="360" w:lineRule="auto"/>
        <w:ind w:firstLineChars="100" w:firstLine="240"/>
        <w:jc w:val="both"/>
        <w:rPr>
          <w:rStyle w:val="apple-converted-space"/>
          <w:rFonts w:ascii="Book Antiqua" w:hAnsi="Book Antiqua" w:cstheme="minorHAnsi"/>
          <w:sz w:val="24"/>
          <w:szCs w:val="24"/>
          <w:lang w:eastAsia="zh-CN"/>
        </w:rPr>
      </w:pPr>
      <w:r w:rsidRPr="00AF1DC5">
        <w:rPr>
          <w:rFonts w:ascii="Book Antiqua" w:hAnsi="Book Antiqua" w:cstheme="minorHAnsi"/>
          <w:sz w:val="24"/>
          <w:szCs w:val="24"/>
        </w:rPr>
        <w:t xml:space="preserve">Disease classification in adult </w:t>
      </w:r>
      <w:r w:rsidR="00E77574" w:rsidRPr="00AF1DC5">
        <w:rPr>
          <w:rFonts w:ascii="Book Antiqua" w:hAnsi="Book Antiqua" w:cstheme="minorHAnsi"/>
          <w:sz w:val="24"/>
          <w:szCs w:val="24"/>
        </w:rPr>
        <w:t>GIB</w:t>
      </w:r>
      <w:r w:rsidRPr="00AF1DC5">
        <w:rPr>
          <w:rFonts w:ascii="Book Antiqua" w:hAnsi="Book Antiqua" w:cstheme="minorHAnsi"/>
          <w:sz w:val="24"/>
          <w:szCs w:val="24"/>
        </w:rPr>
        <w:t xml:space="preserve"> cannot be extrapolated to the pediatric population</w:t>
      </w:r>
      <w:r w:rsidR="00FC412F" w:rsidRPr="00AF1DC5">
        <w:rPr>
          <w:rFonts w:ascii="Book Antiqua" w:hAnsi="Book Antiqua" w:cstheme="minorHAnsi"/>
          <w:sz w:val="24"/>
          <w:szCs w:val="24"/>
        </w:rPr>
        <w:t>. R</w:t>
      </w:r>
      <w:r w:rsidRPr="00AF1DC5">
        <w:rPr>
          <w:rFonts w:ascii="Book Antiqua" w:hAnsi="Book Antiqua" w:cstheme="minorHAnsi"/>
          <w:sz w:val="24"/>
          <w:szCs w:val="24"/>
        </w:rPr>
        <w:t>isk factors identifiable in adults</w:t>
      </w:r>
      <w:r w:rsidR="00FC412F" w:rsidRPr="00AF1DC5">
        <w:rPr>
          <w:rFonts w:ascii="Book Antiqua" w:hAnsi="Book Antiqua" w:cstheme="minorHAnsi"/>
          <w:sz w:val="24"/>
          <w:szCs w:val="24"/>
        </w:rPr>
        <w:t>,</w:t>
      </w:r>
      <w:r w:rsidRPr="00AF1DC5">
        <w:rPr>
          <w:rFonts w:ascii="Book Antiqua" w:hAnsi="Book Antiqua" w:cstheme="minorHAnsi"/>
          <w:sz w:val="24"/>
          <w:szCs w:val="24"/>
        </w:rPr>
        <w:t xml:space="preserve"> foremost amongst which are age, NSAID, SSRI, aspirin, antiplatelet and anticoagulant therapy and chronic renal and cardiovascular disease</w:t>
      </w:r>
      <w:r w:rsidR="00FC412F" w:rsidRPr="00AF1DC5">
        <w:rPr>
          <w:rFonts w:ascii="Book Antiqua" w:hAnsi="Book Antiqua" w:cstheme="minorHAnsi"/>
          <w:sz w:val="24"/>
          <w:szCs w:val="24"/>
        </w:rPr>
        <w:t>,</w:t>
      </w:r>
      <w:r w:rsidRPr="00AF1DC5">
        <w:rPr>
          <w:rFonts w:ascii="Book Antiqua" w:hAnsi="Book Antiqua" w:cstheme="minorHAnsi"/>
          <w:sz w:val="24"/>
          <w:szCs w:val="24"/>
        </w:rPr>
        <w:t xml:space="preserve"> are clearly not </w:t>
      </w:r>
      <w:r w:rsidR="00F7462A" w:rsidRPr="00AF1DC5">
        <w:rPr>
          <w:rFonts w:ascii="Book Antiqua" w:hAnsi="Book Antiqua" w:cstheme="minorHAnsi"/>
          <w:sz w:val="24"/>
          <w:szCs w:val="24"/>
        </w:rPr>
        <w:t>applicable to children</w:t>
      </w:r>
      <w:r w:rsidR="0008694E" w:rsidRPr="00AF1DC5">
        <w:rPr>
          <w:rFonts w:ascii="Book Antiqua" w:hAnsi="Book Antiqua" w:cs="Courier New"/>
          <w:sz w:val="24"/>
          <w:szCs w:val="24"/>
          <w:vertAlign w:val="superscript"/>
          <w:lang w:eastAsia="zh-CN"/>
        </w:rPr>
        <w:t>[7]</w:t>
      </w:r>
      <w:r w:rsidRPr="00AF1DC5">
        <w:rPr>
          <w:rFonts w:ascii="Book Antiqua" w:hAnsi="Book Antiqua" w:cstheme="minorHAnsi"/>
          <w:sz w:val="24"/>
          <w:szCs w:val="24"/>
        </w:rPr>
        <w:t xml:space="preserve">. </w:t>
      </w:r>
      <w:r w:rsidR="001C6C90" w:rsidRPr="00AF1DC5">
        <w:rPr>
          <w:rFonts w:ascii="Book Antiqua" w:hAnsi="Book Antiqua" w:cstheme="minorHAnsi"/>
          <w:sz w:val="24"/>
          <w:szCs w:val="24"/>
        </w:rPr>
        <w:t>Conversely, the impact of predominantly pediatric and especially neonatal disease processes (</w:t>
      </w:r>
      <w:r w:rsidR="001C6C90" w:rsidRPr="00AF1DC5">
        <w:rPr>
          <w:rFonts w:ascii="Book Antiqua" w:hAnsi="Book Antiqua" w:cstheme="minorHAnsi"/>
          <w:i/>
          <w:sz w:val="24"/>
          <w:szCs w:val="24"/>
        </w:rPr>
        <w:t>e.g.</w:t>
      </w:r>
      <w:r w:rsidR="001C6C90" w:rsidRPr="00AF1DC5">
        <w:rPr>
          <w:rFonts w:ascii="Book Antiqua" w:hAnsi="Book Antiqua" w:cstheme="minorHAnsi"/>
          <w:sz w:val="24"/>
          <w:szCs w:val="24"/>
        </w:rPr>
        <w:t xml:space="preserve"> prematurity) on the risk of GIB remain unknown. </w:t>
      </w:r>
      <w:r w:rsidR="00B20B7E" w:rsidRPr="00AF1DC5">
        <w:rPr>
          <w:rFonts w:ascii="Book Antiqua" w:hAnsi="Book Antiqua" w:cstheme="minorHAnsi"/>
          <w:sz w:val="24"/>
          <w:szCs w:val="24"/>
        </w:rPr>
        <w:t xml:space="preserve">This limits the applicability of pre- and postendoscopic predictive scoring systems </w:t>
      </w:r>
      <w:r w:rsidR="0008694E" w:rsidRPr="00AF1DC5">
        <w:rPr>
          <w:rFonts w:ascii="Book Antiqua" w:hAnsi="Book Antiqua" w:cstheme="minorHAnsi"/>
          <w:sz w:val="24"/>
          <w:szCs w:val="24"/>
          <w:lang w:eastAsia="zh-CN"/>
        </w:rPr>
        <w:t>[</w:t>
      </w:r>
      <w:r w:rsidR="00B20B7E" w:rsidRPr="00AF1DC5">
        <w:rPr>
          <w:rFonts w:ascii="Book Antiqua" w:hAnsi="Book Antiqua" w:cstheme="minorHAnsi"/>
          <w:sz w:val="24"/>
          <w:szCs w:val="24"/>
        </w:rPr>
        <w:t xml:space="preserve">Rockall, Blatchford </w:t>
      </w:r>
      <w:r w:rsidR="0008694E" w:rsidRPr="00AF1DC5">
        <w:rPr>
          <w:rFonts w:ascii="Book Antiqua" w:hAnsi="Book Antiqua" w:cstheme="minorHAnsi"/>
          <w:sz w:val="24"/>
          <w:szCs w:val="24"/>
          <w:lang w:eastAsia="zh-CN"/>
        </w:rPr>
        <w:t>(</w:t>
      </w:r>
      <w:r w:rsidR="00B20B7E" w:rsidRPr="00AF1DC5">
        <w:rPr>
          <w:rFonts w:ascii="Book Antiqua" w:hAnsi="Book Antiqua" w:cstheme="minorHAnsi"/>
          <w:sz w:val="24"/>
          <w:szCs w:val="24"/>
        </w:rPr>
        <w:t>aka Glasgow</w:t>
      </w:r>
      <w:r w:rsidR="0008694E" w:rsidRPr="00AF1DC5">
        <w:rPr>
          <w:rFonts w:ascii="Book Antiqua" w:hAnsi="Book Antiqua" w:cstheme="minorHAnsi"/>
          <w:sz w:val="24"/>
          <w:szCs w:val="24"/>
          <w:lang w:eastAsia="zh-CN"/>
        </w:rPr>
        <w:t>)</w:t>
      </w:r>
      <w:r w:rsidR="00B20B7E" w:rsidRPr="00AF1DC5">
        <w:rPr>
          <w:rFonts w:ascii="Book Antiqua" w:hAnsi="Book Antiqua" w:cstheme="minorHAnsi"/>
          <w:sz w:val="24"/>
          <w:szCs w:val="24"/>
        </w:rPr>
        <w:t>, Addenbrooke</w:t>
      </w:r>
      <w:r w:rsidR="0008694E" w:rsidRPr="00AF1DC5">
        <w:rPr>
          <w:rFonts w:ascii="Book Antiqua" w:hAnsi="Book Antiqua" w:cstheme="minorHAnsi"/>
          <w:sz w:val="24"/>
          <w:szCs w:val="24"/>
          <w:lang w:eastAsia="zh-CN"/>
        </w:rPr>
        <w:t>]</w:t>
      </w:r>
      <w:r w:rsidR="00B20B7E" w:rsidRPr="00AF1DC5">
        <w:rPr>
          <w:rFonts w:ascii="Book Antiqua" w:hAnsi="Book Antiqua" w:cstheme="minorHAnsi"/>
          <w:sz w:val="24"/>
          <w:szCs w:val="24"/>
        </w:rPr>
        <w:t xml:space="preserve"> to identify patients </w:t>
      </w:r>
      <w:r w:rsidR="001C6C90" w:rsidRPr="00AF1DC5">
        <w:rPr>
          <w:rFonts w:ascii="Book Antiqua" w:hAnsi="Book Antiqua" w:cstheme="minorHAnsi"/>
          <w:sz w:val="24"/>
          <w:szCs w:val="24"/>
        </w:rPr>
        <w:t>at</w:t>
      </w:r>
      <w:r w:rsidR="00B20B7E" w:rsidRPr="00AF1DC5">
        <w:rPr>
          <w:rFonts w:ascii="Book Antiqua" w:hAnsi="Book Antiqua" w:cstheme="minorHAnsi"/>
          <w:sz w:val="24"/>
          <w:szCs w:val="24"/>
        </w:rPr>
        <w:t xml:space="preserve"> high risk (need for blood transfusion, surgical intervention</w:t>
      </w:r>
      <w:r w:rsidR="001C6C90" w:rsidRPr="00AF1DC5">
        <w:rPr>
          <w:rFonts w:ascii="Book Antiqua" w:hAnsi="Book Antiqua" w:cstheme="minorHAnsi"/>
          <w:sz w:val="24"/>
          <w:szCs w:val="24"/>
        </w:rPr>
        <w:t>, rebleeding and mortality</w:t>
      </w:r>
      <w:r w:rsidR="00B20B7E" w:rsidRPr="00AF1DC5">
        <w:rPr>
          <w:rFonts w:ascii="Book Antiqua" w:hAnsi="Book Antiqua" w:cstheme="minorHAnsi"/>
          <w:sz w:val="24"/>
          <w:szCs w:val="24"/>
        </w:rPr>
        <w:t xml:space="preserve">) and </w:t>
      </w:r>
      <w:r w:rsidR="001C6C90" w:rsidRPr="00AF1DC5">
        <w:rPr>
          <w:rFonts w:ascii="Book Antiqua" w:hAnsi="Book Antiqua" w:cstheme="minorHAnsi"/>
          <w:sz w:val="24"/>
          <w:szCs w:val="24"/>
        </w:rPr>
        <w:t>those requiring</w:t>
      </w:r>
      <w:r w:rsidR="00B20B7E" w:rsidRPr="00AF1DC5">
        <w:rPr>
          <w:rFonts w:ascii="Book Antiqua" w:hAnsi="Book Antiqua" w:cstheme="minorHAnsi"/>
          <w:sz w:val="24"/>
          <w:szCs w:val="24"/>
        </w:rPr>
        <w:t xml:space="preserve"> immediate endoscopic intervention </w:t>
      </w:r>
      <w:r w:rsidR="001C6C90" w:rsidRPr="00AF1DC5">
        <w:rPr>
          <w:rFonts w:ascii="Book Antiqua" w:hAnsi="Book Antiqua" w:cstheme="minorHAnsi"/>
          <w:sz w:val="24"/>
          <w:szCs w:val="24"/>
        </w:rPr>
        <w:t>as opposed to</w:t>
      </w:r>
      <w:r w:rsidR="00B20B7E" w:rsidRPr="00AF1DC5">
        <w:rPr>
          <w:rFonts w:ascii="Book Antiqua" w:hAnsi="Book Antiqua" w:cstheme="minorHAnsi"/>
          <w:sz w:val="24"/>
          <w:szCs w:val="24"/>
        </w:rPr>
        <w:t xml:space="preserve"> at low risk who can be safely discharged</w:t>
      </w:r>
      <w:r w:rsidR="0008694E" w:rsidRPr="00AF1DC5">
        <w:rPr>
          <w:rFonts w:ascii="Book Antiqua" w:hAnsi="Book Antiqua" w:cs="Courier New"/>
          <w:sz w:val="24"/>
          <w:szCs w:val="24"/>
          <w:vertAlign w:val="superscript"/>
          <w:lang w:eastAsia="zh-CN"/>
        </w:rPr>
        <w:t>[</w:t>
      </w:r>
      <w:r w:rsidR="00467B5B" w:rsidRPr="00AF1DC5">
        <w:rPr>
          <w:rFonts w:ascii="Book Antiqua" w:hAnsi="Book Antiqua" w:cs="Courier New"/>
          <w:sz w:val="24"/>
          <w:szCs w:val="24"/>
          <w:vertAlign w:val="superscript"/>
          <w:lang w:eastAsia="zh-CN"/>
        </w:rPr>
        <w:t>8-10</w:t>
      </w:r>
      <w:r w:rsidR="0008694E" w:rsidRPr="00AF1DC5">
        <w:rPr>
          <w:rFonts w:ascii="Book Antiqua" w:hAnsi="Book Antiqua" w:cs="Courier New"/>
          <w:sz w:val="24"/>
          <w:szCs w:val="24"/>
          <w:vertAlign w:val="superscript"/>
          <w:lang w:eastAsia="zh-CN"/>
        </w:rPr>
        <w:t>]</w:t>
      </w:r>
      <w:r w:rsidR="001C6C90" w:rsidRPr="00AF1DC5">
        <w:rPr>
          <w:rFonts w:ascii="Book Antiqua" w:hAnsi="Book Antiqua" w:cstheme="minorHAnsi"/>
          <w:sz w:val="24"/>
          <w:szCs w:val="24"/>
        </w:rPr>
        <w:t>.</w:t>
      </w:r>
      <w:r w:rsidR="0008694E" w:rsidRPr="00AF1DC5">
        <w:rPr>
          <w:rFonts w:ascii="Book Antiqua" w:hAnsi="Book Antiqua" w:cstheme="minorHAnsi"/>
          <w:sz w:val="24"/>
          <w:szCs w:val="24"/>
          <w:lang w:eastAsia="zh-CN"/>
        </w:rPr>
        <w:t xml:space="preserve"> </w:t>
      </w:r>
      <w:r w:rsidR="00B20B7E" w:rsidRPr="00AF1DC5">
        <w:rPr>
          <w:rFonts w:ascii="Book Antiqua" w:hAnsi="Book Antiqua" w:cstheme="minorHAnsi"/>
          <w:sz w:val="24"/>
          <w:szCs w:val="24"/>
        </w:rPr>
        <w:t xml:space="preserve">The Sheffield Scoring system is, to date the only successful attempt at </w:t>
      </w:r>
      <w:r w:rsidR="001B47BC" w:rsidRPr="00AF1DC5">
        <w:rPr>
          <w:rFonts w:ascii="Book Antiqua" w:hAnsi="Book Antiqua" w:cstheme="minorHAnsi"/>
          <w:sz w:val="24"/>
          <w:szCs w:val="24"/>
        </w:rPr>
        <w:t xml:space="preserve">predicting the need for endoscopic </w:t>
      </w:r>
      <w:r w:rsidR="00827BAE" w:rsidRPr="00AF1DC5">
        <w:rPr>
          <w:rFonts w:ascii="Book Antiqua" w:hAnsi="Book Antiqua" w:cstheme="minorHAnsi"/>
          <w:sz w:val="24"/>
          <w:szCs w:val="24"/>
        </w:rPr>
        <w:t>hemostatic intervention based on the clinical presentation, hemodynamic parameters and need for blood products</w:t>
      </w:r>
      <w:r w:rsidR="0008694E" w:rsidRPr="00AF1DC5">
        <w:rPr>
          <w:rFonts w:ascii="Book Antiqua" w:hAnsi="Book Antiqua" w:cs="Courier New"/>
          <w:sz w:val="24"/>
          <w:szCs w:val="24"/>
          <w:vertAlign w:val="superscript"/>
          <w:lang w:eastAsia="zh-CN"/>
        </w:rPr>
        <w:t>[</w:t>
      </w:r>
      <w:r w:rsidR="00467B5B" w:rsidRPr="00AF1DC5">
        <w:rPr>
          <w:rFonts w:ascii="Book Antiqua" w:hAnsi="Book Antiqua" w:cs="Courier New"/>
          <w:sz w:val="24"/>
          <w:szCs w:val="24"/>
          <w:vertAlign w:val="superscript"/>
          <w:lang w:eastAsia="zh-CN"/>
        </w:rPr>
        <w:t>11</w:t>
      </w:r>
      <w:r w:rsidR="0008694E" w:rsidRPr="00AF1DC5">
        <w:rPr>
          <w:rFonts w:ascii="Book Antiqua" w:hAnsi="Book Antiqua" w:cs="Courier New"/>
          <w:sz w:val="24"/>
          <w:szCs w:val="24"/>
          <w:vertAlign w:val="superscript"/>
          <w:lang w:eastAsia="zh-CN"/>
        </w:rPr>
        <w:t>]</w:t>
      </w:r>
      <w:r w:rsidR="00827BAE" w:rsidRPr="00AF1DC5">
        <w:rPr>
          <w:rFonts w:ascii="Book Antiqua" w:hAnsi="Book Antiqua" w:cstheme="minorHAnsi"/>
          <w:sz w:val="24"/>
          <w:szCs w:val="24"/>
        </w:rPr>
        <w:t xml:space="preserve">. </w:t>
      </w:r>
      <w:r w:rsidRPr="00AF1DC5">
        <w:rPr>
          <w:rFonts w:ascii="Book Antiqua" w:hAnsi="Book Antiqua" w:cstheme="minorHAnsi"/>
          <w:sz w:val="24"/>
          <w:szCs w:val="24"/>
        </w:rPr>
        <w:t>An understanding of t</w:t>
      </w:r>
      <w:r w:rsidR="00E77574" w:rsidRPr="00AF1DC5">
        <w:rPr>
          <w:rFonts w:ascii="Book Antiqua" w:hAnsi="Book Antiqua" w:cstheme="minorHAnsi"/>
          <w:sz w:val="24"/>
          <w:szCs w:val="24"/>
        </w:rPr>
        <w:t xml:space="preserve">he epidemiologic </w:t>
      </w:r>
      <w:r w:rsidR="00E77574" w:rsidRPr="00AF1DC5">
        <w:rPr>
          <w:rFonts w:ascii="Book Antiqua" w:hAnsi="Book Antiqua" w:cstheme="minorHAnsi"/>
          <w:sz w:val="24"/>
          <w:szCs w:val="24"/>
        </w:rPr>
        <w:lastRenderedPageBreak/>
        <w:t>context of GIB</w:t>
      </w:r>
      <w:r w:rsidRPr="00AF1DC5">
        <w:rPr>
          <w:rFonts w:ascii="Book Antiqua" w:hAnsi="Book Antiqua" w:cstheme="minorHAnsi"/>
          <w:sz w:val="24"/>
          <w:szCs w:val="24"/>
        </w:rPr>
        <w:t xml:space="preserve"> in children holds the promise of directing future research toward </w:t>
      </w:r>
      <w:r w:rsidR="00B20B7E" w:rsidRPr="00AF1DC5">
        <w:rPr>
          <w:rFonts w:ascii="Book Antiqua" w:hAnsi="Book Antiqua" w:cstheme="minorHAnsi"/>
          <w:sz w:val="24"/>
          <w:szCs w:val="24"/>
        </w:rPr>
        <w:t xml:space="preserve">improving </w:t>
      </w:r>
      <w:r w:rsidRPr="00AF1DC5">
        <w:rPr>
          <w:rFonts w:ascii="Book Antiqua" w:hAnsi="Book Antiqua" w:cstheme="minorHAnsi"/>
          <w:sz w:val="24"/>
          <w:szCs w:val="24"/>
        </w:rPr>
        <w:t>predictive models of disease outcomes including mortality.</w:t>
      </w:r>
    </w:p>
    <w:p w14:paraId="4A80DCB9" w14:textId="3C6BB24E" w:rsidR="001D7840" w:rsidRPr="00AF1DC5" w:rsidRDefault="005C4AB2" w:rsidP="0008694E">
      <w:pPr>
        <w:snapToGrid w:val="0"/>
        <w:spacing w:after="0" w:line="360" w:lineRule="auto"/>
        <w:ind w:firstLineChars="100" w:firstLine="240"/>
        <w:jc w:val="both"/>
        <w:rPr>
          <w:rStyle w:val="apple-converted-space"/>
          <w:rFonts w:ascii="Book Antiqua" w:hAnsi="Book Antiqua" w:cs="Courier New"/>
          <w:sz w:val="24"/>
          <w:szCs w:val="24"/>
          <w:lang w:eastAsia="zh-CN"/>
        </w:rPr>
      </w:pPr>
      <w:r w:rsidRPr="00AF1DC5">
        <w:rPr>
          <w:rFonts w:ascii="Book Antiqua" w:hAnsi="Book Antiqua" w:cstheme="minorHAnsi"/>
          <w:sz w:val="24"/>
          <w:szCs w:val="24"/>
        </w:rPr>
        <w:t>The Pediatric Health Information System</w:t>
      </w:r>
      <w:r w:rsidRPr="00AF1DC5">
        <w:rPr>
          <w:rFonts w:ascii="Book Antiqua" w:hAnsi="Book Antiqua" w:cs="Courier New"/>
          <w:sz w:val="24"/>
          <w:szCs w:val="24"/>
        </w:rPr>
        <w:t xml:space="preserve"> (PHIS) database is a repository of </w:t>
      </w:r>
      <w:r w:rsidR="00E77574" w:rsidRPr="00AF1DC5">
        <w:rPr>
          <w:rFonts w:ascii="Book Antiqua" w:hAnsi="Book Antiqua" w:cs="Courier New"/>
          <w:sz w:val="24"/>
          <w:szCs w:val="24"/>
        </w:rPr>
        <w:t>diagnostic, therapeutic and procedure</w:t>
      </w:r>
      <w:r w:rsidR="005B4D0E" w:rsidRPr="00AF1DC5">
        <w:rPr>
          <w:rFonts w:ascii="Book Antiqua" w:hAnsi="Book Antiqua" w:cs="Courier New"/>
          <w:sz w:val="24"/>
          <w:szCs w:val="24"/>
        </w:rPr>
        <w:t xml:space="preserve"> records from 48</w:t>
      </w:r>
      <w:r w:rsidRPr="00AF1DC5">
        <w:rPr>
          <w:rFonts w:ascii="Book Antiqua" w:hAnsi="Book Antiqua" w:cs="Courier New"/>
          <w:sz w:val="24"/>
          <w:szCs w:val="24"/>
        </w:rPr>
        <w:t xml:space="preserve"> regional pediatric tertiary centers in the U</w:t>
      </w:r>
      <w:r w:rsidR="0008694E" w:rsidRPr="00AF1DC5">
        <w:rPr>
          <w:rFonts w:ascii="Book Antiqua" w:hAnsi="Book Antiqua" w:cs="Courier New"/>
          <w:sz w:val="24"/>
          <w:szCs w:val="24"/>
          <w:lang w:eastAsia="zh-CN"/>
        </w:rPr>
        <w:t>nited States</w:t>
      </w:r>
      <w:r w:rsidRPr="00AF1DC5">
        <w:rPr>
          <w:rFonts w:ascii="Book Antiqua" w:hAnsi="Book Antiqua" w:cs="Courier New"/>
          <w:sz w:val="24"/>
          <w:szCs w:val="24"/>
        </w:rPr>
        <w:t xml:space="preserve"> that has been in existence since 2004, the data is available in de-identified form to health information management administrators and academicians in the respective institutions.</w:t>
      </w:r>
    </w:p>
    <w:p w14:paraId="4CA086EA" w14:textId="77777777" w:rsidR="000F35D0" w:rsidRPr="00AF1DC5" w:rsidRDefault="005C4AB2" w:rsidP="0008694E">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sz w:val="24"/>
          <w:szCs w:val="24"/>
        </w:rPr>
        <w:t>Herein we report on the PHIS recorded demographic and clinical pr</w:t>
      </w:r>
      <w:r w:rsidR="00E77574" w:rsidRPr="00AF1DC5">
        <w:rPr>
          <w:rFonts w:ascii="Book Antiqua" w:hAnsi="Book Antiqua" w:cs="Courier New"/>
          <w:sz w:val="24"/>
          <w:szCs w:val="24"/>
        </w:rPr>
        <w:t>ofile of children with</w:t>
      </w:r>
      <w:r w:rsidR="005B4D0E" w:rsidRPr="00AF1DC5">
        <w:rPr>
          <w:rFonts w:ascii="Book Antiqua" w:hAnsi="Book Antiqua" w:cs="Courier New"/>
          <w:sz w:val="24"/>
          <w:szCs w:val="24"/>
        </w:rPr>
        <w:t xml:space="preserve"> upper or indeterminate</w:t>
      </w:r>
      <w:r w:rsidR="00E77574" w:rsidRPr="00AF1DC5">
        <w:rPr>
          <w:rFonts w:ascii="Book Antiqua" w:hAnsi="Book Antiqua" w:cs="Courier New"/>
          <w:sz w:val="24"/>
          <w:szCs w:val="24"/>
        </w:rPr>
        <w:t xml:space="preserve"> gastrointestinal bleeding</w:t>
      </w:r>
      <w:r w:rsidRPr="00AF1DC5">
        <w:rPr>
          <w:rFonts w:ascii="Book Antiqua" w:hAnsi="Book Antiqua" w:cs="Courier New"/>
          <w:sz w:val="24"/>
          <w:szCs w:val="24"/>
        </w:rPr>
        <w:t xml:space="preserve"> </w:t>
      </w:r>
      <w:r w:rsidR="00E77574" w:rsidRPr="00AF1DC5">
        <w:rPr>
          <w:rFonts w:ascii="Book Antiqua" w:hAnsi="Book Antiqua" w:cs="Courier New"/>
          <w:sz w:val="24"/>
          <w:szCs w:val="24"/>
        </w:rPr>
        <w:t xml:space="preserve">at admission or during their inpatient course </w:t>
      </w:r>
      <w:r w:rsidRPr="00AF1DC5">
        <w:rPr>
          <w:rFonts w:ascii="Book Antiqua" w:hAnsi="Book Antiqua" w:cs="Courier New"/>
          <w:sz w:val="24"/>
          <w:szCs w:val="24"/>
        </w:rPr>
        <w:t>and resulting in death.</w:t>
      </w:r>
    </w:p>
    <w:p w14:paraId="0AA42EEF" w14:textId="77777777" w:rsidR="0008694E" w:rsidRPr="00AF1DC5" w:rsidRDefault="0008694E" w:rsidP="00E50668">
      <w:pPr>
        <w:snapToGrid w:val="0"/>
        <w:spacing w:after="0" w:line="360" w:lineRule="auto"/>
        <w:jc w:val="both"/>
        <w:rPr>
          <w:rFonts w:ascii="Book Antiqua" w:hAnsi="Book Antiqua" w:cstheme="minorHAnsi"/>
          <w:b/>
          <w:sz w:val="24"/>
          <w:szCs w:val="24"/>
          <w:lang w:eastAsia="zh-CN"/>
        </w:rPr>
      </w:pPr>
    </w:p>
    <w:p w14:paraId="63651500" w14:textId="77777777" w:rsidR="0008694E" w:rsidRPr="00AF1DC5" w:rsidRDefault="0008694E" w:rsidP="0008694E">
      <w:pPr>
        <w:snapToGrid w:val="0"/>
        <w:spacing w:after="0" w:line="360" w:lineRule="auto"/>
        <w:ind w:left="120" w:hangingChars="50" w:hanging="120"/>
        <w:jc w:val="both"/>
        <w:rPr>
          <w:rFonts w:ascii="Book Antiqua" w:eastAsia="SimSun" w:hAnsi="Book Antiqua" w:cs="Times New Roman"/>
          <w:b/>
          <w:caps/>
          <w:sz w:val="24"/>
          <w:szCs w:val="24"/>
          <w:lang w:val="en-US" w:eastAsia="zh-CN"/>
        </w:rPr>
      </w:pPr>
      <w:bookmarkStart w:id="27" w:name="data-source"/>
      <w:bookmarkStart w:id="28" w:name="OLE_LINK478"/>
      <w:bookmarkStart w:id="29" w:name="OLE_LINK481"/>
      <w:bookmarkStart w:id="30" w:name="OLE_LINK483"/>
      <w:bookmarkStart w:id="31" w:name="OLE_LINK674"/>
      <w:bookmarkEnd w:id="27"/>
      <w:r w:rsidRPr="00AF1DC5">
        <w:rPr>
          <w:rFonts w:ascii="Book Antiqua" w:eastAsia="SimSun" w:hAnsi="Book Antiqua" w:cs="Times New Roman"/>
          <w:b/>
          <w:caps/>
          <w:sz w:val="24"/>
          <w:szCs w:val="24"/>
          <w:lang w:val="en-US" w:eastAsia="zh-CN"/>
        </w:rPr>
        <w:t>Materials and methods</w:t>
      </w:r>
    </w:p>
    <w:bookmarkEnd w:id="28"/>
    <w:bookmarkEnd w:id="29"/>
    <w:bookmarkEnd w:id="30"/>
    <w:bookmarkEnd w:id="31"/>
    <w:p w14:paraId="3E7997D1" w14:textId="14509513" w:rsidR="00D5678B" w:rsidRPr="00AF1DC5" w:rsidRDefault="00D5678B" w:rsidP="00E50668">
      <w:pPr>
        <w:pStyle w:val="Heading3"/>
        <w:snapToGrid w:val="0"/>
        <w:spacing w:before="0" w:line="360" w:lineRule="auto"/>
        <w:jc w:val="both"/>
        <w:rPr>
          <w:rFonts w:ascii="Book Antiqua" w:hAnsi="Book Antiqua" w:cstheme="minorHAnsi"/>
          <w:b/>
          <w:i/>
          <w:color w:val="auto"/>
        </w:rPr>
      </w:pPr>
      <w:r w:rsidRPr="00AF1DC5">
        <w:rPr>
          <w:rFonts w:ascii="Book Antiqua" w:hAnsi="Book Antiqua" w:cstheme="minorHAnsi"/>
          <w:b/>
          <w:i/>
          <w:color w:val="auto"/>
        </w:rPr>
        <w:t xml:space="preserve">Data </w:t>
      </w:r>
      <w:r w:rsidR="0008694E" w:rsidRPr="00AF1DC5">
        <w:rPr>
          <w:rFonts w:ascii="Book Antiqua" w:hAnsi="Book Antiqua" w:cstheme="minorHAnsi"/>
          <w:b/>
          <w:i/>
          <w:color w:val="auto"/>
        </w:rPr>
        <w:t>s</w:t>
      </w:r>
      <w:r w:rsidRPr="00AF1DC5">
        <w:rPr>
          <w:rFonts w:ascii="Book Antiqua" w:hAnsi="Book Antiqua" w:cstheme="minorHAnsi"/>
          <w:b/>
          <w:i/>
          <w:color w:val="auto"/>
        </w:rPr>
        <w:t>ource</w:t>
      </w:r>
    </w:p>
    <w:p w14:paraId="59C1FC20" w14:textId="5D40E520" w:rsidR="005A0E2E" w:rsidRPr="00AF1DC5" w:rsidRDefault="00D5678B" w:rsidP="00E50668">
      <w:pPr>
        <w:pStyle w:val="FirstParagraph"/>
        <w:snapToGrid w:val="0"/>
        <w:spacing w:before="0" w:after="0" w:line="360" w:lineRule="auto"/>
        <w:jc w:val="both"/>
        <w:rPr>
          <w:rFonts w:ascii="Book Antiqua" w:hAnsi="Book Antiqua" w:cstheme="minorHAnsi"/>
        </w:rPr>
      </w:pPr>
      <w:r w:rsidRPr="00AF1DC5">
        <w:rPr>
          <w:rFonts w:ascii="Book Antiqua" w:hAnsi="Book Antiqua" w:cstheme="minorHAnsi"/>
        </w:rPr>
        <w:t xml:space="preserve">We conducted a retrospective cohort study using data obtained from the </w:t>
      </w:r>
      <w:r w:rsidR="0008694E" w:rsidRPr="00AF1DC5">
        <w:rPr>
          <w:rFonts w:ascii="Book Antiqua" w:hAnsi="Book Antiqua" w:cstheme="minorHAnsi"/>
        </w:rPr>
        <w:t>PHIS</w:t>
      </w:r>
      <w:r w:rsidRPr="00AF1DC5">
        <w:rPr>
          <w:rFonts w:ascii="Book Antiqua" w:hAnsi="Book Antiqua" w:cstheme="minorHAnsi"/>
        </w:rPr>
        <w:t xml:space="preserve">, an administrative database that contains inpatient, emergency department, ambulatory surgery and observation encounter-level data from 49 not-for-profit, tertiary care pediatric hospitals in the United States. </w:t>
      </w:r>
      <w:r w:rsidR="00767584" w:rsidRPr="00AF1DC5">
        <w:rPr>
          <w:rFonts w:ascii="Book Antiqua" w:hAnsi="Book Antiqua" w:cstheme="minorHAnsi"/>
        </w:rPr>
        <w:t xml:space="preserve">The PHIS hospitals are 49 of the largest and most advanced children's hospitals in America, and constitute the most demanding standards of pediatric service in America. </w:t>
      </w:r>
      <w:r w:rsidRPr="00AF1DC5">
        <w:rPr>
          <w:rFonts w:ascii="Book Antiqua" w:hAnsi="Book Antiqua" w:cstheme="minorHAnsi"/>
        </w:rPr>
        <w:t>These hospitals are affiliated with the Children’s Hospital Association (Overland Park, KS</w:t>
      </w:r>
      <w:r w:rsidR="0008694E" w:rsidRPr="00AF1DC5">
        <w:rPr>
          <w:rFonts w:ascii="Book Antiqua" w:hAnsi="Book Antiqua" w:cstheme="minorHAnsi"/>
          <w:lang w:eastAsia="zh-CN"/>
        </w:rPr>
        <w:t xml:space="preserve">, </w:t>
      </w:r>
      <w:r w:rsidR="0008694E" w:rsidRPr="00AF1DC5">
        <w:rPr>
          <w:rFonts w:ascii="Book Antiqua" w:hAnsi="Book Antiqua" w:cs="Courier New"/>
        </w:rPr>
        <w:t>U</w:t>
      </w:r>
      <w:r w:rsidR="0008694E" w:rsidRPr="00AF1DC5">
        <w:rPr>
          <w:rFonts w:ascii="Book Antiqua" w:hAnsi="Book Antiqua" w:cs="Courier New"/>
          <w:lang w:eastAsia="zh-CN"/>
        </w:rPr>
        <w:t>nited States</w:t>
      </w:r>
      <w:r w:rsidRPr="00AF1DC5">
        <w:rPr>
          <w:rFonts w:ascii="Book Antiqua" w:hAnsi="Book Antiqua" w:cstheme="minorHAnsi"/>
        </w:rPr>
        <w:t>). Data quality and reliability are assured through a joint effort between the Children’s Hospital Association and participating hospitals. Portions of the data submission and data quality processes for the PHIS database are managed by Truven Health Analytics (Ann Arbor, MI</w:t>
      </w:r>
      <w:r w:rsidR="0008694E" w:rsidRPr="00AF1DC5">
        <w:rPr>
          <w:rFonts w:ascii="Book Antiqua" w:hAnsi="Book Antiqua" w:cstheme="minorHAnsi"/>
          <w:lang w:eastAsia="zh-CN"/>
        </w:rPr>
        <w:t xml:space="preserve">, </w:t>
      </w:r>
      <w:r w:rsidR="0008694E" w:rsidRPr="00AF1DC5">
        <w:rPr>
          <w:rFonts w:ascii="Book Antiqua" w:hAnsi="Book Antiqua" w:cs="Courier New"/>
        </w:rPr>
        <w:t>U</w:t>
      </w:r>
      <w:r w:rsidR="0008694E" w:rsidRPr="00AF1DC5">
        <w:rPr>
          <w:rFonts w:ascii="Book Antiqua" w:hAnsi="Book Antiqua" w:cs="Courier New"/>
          <w:lang w:eastAsia="zh-CN"/>
        </w:rPr>
        <w:t>nited States</w:t>
      </w:r>
      <w:r w:rsidRPr="00AF1DC5">
        <w:rPr>
          <w:rFonts w:ascii="Book Antiqua" w:hAnsi="Book Antiqua" w:cstheme="minorHAnsi"/>
        </w:rPr>
        <w:t>). For the purposes of external benchmarking, participating hospitals provide discharge/encounter data including demographics, diagnoses, and procedures. Nearly all of these hospitals also submit resource utilization data (</w:t>
      </w:r>
      <w:r w:rsidRPr="00AF1DC5">
        <w:rPr>
          <w:rFonts w:ascii="Book Antiqua" w:hAnsi="Book Antiqua" w:cstheme="minorHAnsi"/>
          <w:i/>
        </w:rPr>
        <w:t>e.g.</w:t>
      </w:r>
      <w:r w:rsidRPr="00AF1DC5">
        <w:rPr>
          <w:rFonts w:ascii="Book Antiqua" w:hAnsi="Book Antiqua" w:cstheme="minorHAnsi"/>
        </w:rPr>
        <w:t xml:space="preserve"> pharmaceuticals, imaging, and laboratory) into PHIS. Data are de-identified at the time of data submission, and data are subjected to a number of reliability and validity checks </w:t>
      </w:r>
      <w:r w:rsidRPr="00AF1DC5">
        <w:rPr>
          <w:rFonts w:ascii="Book Antiqua" w:hAnsi="Book Antiqua" w:cstheme="minorHAnsi"/>
        </w:rPr>
        <w:lastRenderedPageBreak/>
        <w:t>before being included in the database. For this study, data from 47 hospitals was included. This study was approved by the Institutional Review Board (16050358).</w:t>
      </w:r>
      <w:bookmarkStart w:id="32" w:name="study-patients"/>
      <w:bookmarkEnd w:id="32"/>
    </w:p>
    <w:p w14:paraId="1DA2ED65" w14:textId="77777777" w:rsidR="0008694E" w:rsidRPr="00AF1DC5" w:rsidRDefault="0008694E" w:rsidP="00E50668">
      <w:pPr>
        <w:pStyle w:val="FirstParagraph"/>
        <w:snapToGrid w:val="0"/>
        <w:spacing w:before="0" w:after="0" w:line="360" w:lineRule="auto"/>
        <w:jc w:val="both"/>
        <w:rPr>
          <w:rFonts w:ascii="Book Antiqua" w:hAnsi="Book Antiqua" w:cstheme="minorHAnsi"/>
          <w:lang w:eastAsia="zh-CN"/>
        </w:rPr>
      </w:pPr>
    </w:p>
    <w:p w14:paraId="01F2313E" w14:textId="78F85DD9" w:rsidR="00D5678B" w:rsidRPr="00AF1DC5" w:rsidRDefault="00D5678B" w:rsidP="00E50668">
      <w:pPr>
        <w:pStyle w:val="FirstParagraph"/>
        <w:snapToGrid w:val="0"/>
        <w:spacing w:before="0" w:after="0" w:line="360" w:lineRule="auto"/>
        <w:jc w:val="both"/>
        <w:rPr>
          <w:rFonts w:ascii="Book Antiqua" w:hAnsi="Book Antiqua" w:cstheme="minorHAnsi"/>
          <w:b/>
          <w:i/>
        </w:rPr>
      </w:pPr>
      <w:r w:rsidRPr="00AF1DC5">
        <w:rPr>
          <w:rFonts w:ascii="Book Antiqua" w:hAnsi="Book Antiqua" w:cstheme="minorHAnsi"/>
          <w:b/>
          <w:i/>
        </w:rPr>
        <w:t xml:space="preserve">Study </w:t>
      </w:r>
      <w:r w:rsidR="0008694E" w:rsidRPr="00AF1DC5">
        <w:rPr>
          <w:rFonts w:ascii="Book Antiqua" w:hAnsi="Book Antiqua" w:cstheme="minorHAnsi"/>
          <w:b/>
          <w:i/>
        </w:rPr>
        <w:t>p</w:t>
      </w:r>
      <w:r w:rsidRPr="00AF1DC5">
        <w:rPr>
          <w:rFonts w:ascii="Book Antiqua" w:hAnsi="Book Antiqua" w:cstheme="minorHAnsi"/>
          <w:b/>
          <w:i/>
        </w:rPr>
        <w:t>atients</w:t>
      </w:r>
    </w:p>
    <w:p w14:paraId="6B3541F8" w14:textId="5E60C6B7" w:rsidR="0008694E" w:rsidRPr="00AF1DC5" w:rsidRDefault="00D5678B" w:rsidP="0008694E">
      <w:pPr>
        <w:pStyle w:val="FirstParagraph"/>
        <w:snapToGrid w:val="0"/>
        <w:spacing w:before="0" w:after="0" w:line="360" w:lineRule="auto"/>
        <w:jc w:val="both"/>
        <w:rPr>
          <w:rFonts w:ascii="Book Antiqua" w:hAnsi="Book Antiqua" w:cstheme="minorHAnsi"/>
          <w:lang w:eastAsia="zh-CN"/>
        </w:rPr>
      </w:pPr>
      <w:r w:rsidRPr="00AF1DC5">
        <w:rPr>
          <w:rFonts w:ascii="Book Antiqua" w:hAnsi="Book Antiqua" w:cstheme="minorHAnsi"/>
        </w:rPr>
        <w:t>Children between the ages of 1 and 21 years at the time of admission were eligible for inclusion if they were diagnosed with an upper gastrointestinal bleed (UGIB) or GI</w:t>
      </w:r>
      <w:r w:rsidR="005B4D0E" w:rsidRPr="00AF1DC5">
        <w:rPr>
          <w:rFonts w:ascii="Book Antiqua" w:hAnsi="Book Antiqua" w:cstheme="minorHAnsi"/>
        </w:rPr>
        <w:t>B</w:t>
      </w:r>
      <w:r w:rsidR="00767584" w:rsidRPr="00AF1DC5">
        <w:rPr>
          <w:rFonts w:ascii="Book Antiqua" w:hAnsi="Book Antiqua" w:cstheme="minorHAnsi"/>
        </w:rPr>
        <w:t xml:space="preserve"> </w:t>
      </w:r>
      <w:r w:rsidRPr="00AF1DC5">
        <w:rPr>
          <w:rFonts w:ascii="Book Antiqua" w:hAnsi="Book Antiqua" w:cstheme="minorHAnsi"/>
        </w:rPr>
        <w:t>of indeterminate location and admitted as an inpatient or under observation with Emergency Department charges between January 1, 2007 and September 30, 2015. Study participants with UGIB were identified through International Classification of Diseases, Ninth Revision (ICD-9)</w:t>
      </w:r>
      <w:r w:rsidR="00337399" w:rsidRPr="00AF1DC5">
        <w:rPr>
          <w:rFonts w:ascii="Book Antiqua" w:hAnsi="Book Antiqua" w:cstheme="minorHAnsi"/>
        </w:rPr>
        <w:t xml:space="preserve"> discharge diagnosis codes (</w:t>
      </w:r>
      <w:r w:rsidR="009C4886" w:rsidRPr="00AF1DC5">
        <w:rPr>
          <w:rFonts w:ascii="Book Antiqua" w:hAnsi="Book Antiqua" w:cstheme="minorHAnsi"/>
          <w:bCs/>
        </w:rPr>
        <w:t>Supplementary Table 1</w:t>
      </w:r>
      <w:r w:rsidR="0008694E" w:rsidRPr="00AF1DC5">
        <w:rPr>
          <w:rFonts w:ascii="Book Antiqua" w:hAnsi="Book Antiqua" w:cstheme="minorHAnsi"/>
        </w:rPr>
        <w:t>).</w:t>
      </w:r>
    </w:p>
    <w:p w14:paraId="1B7800A4" w14:textId="0FA0E5D9" w:rsidR="00D5678B" w:rsidRPr="00AF1DC5" w:rsidRDefault="00D5678B" w:rsidP="0008694E">
      <w:pPr>
        <w:pStyle w:val="BodyText"/>
        <w:snapToGrid w:val="0"/>
        <w:spacing w:before="0" w:after="0" w:line="360" w:lineRule="auto"/>
        <w:ind w:firstLineChars="100" w:firstLine="240"/>
        <w:jc w:val="both"/>
        <w:rPr>
          <w:rFonts w:ascii="Book Antiqua" w:hAnsi="Book Antiqua" w:cstheme="minorHAnsi"/>
        </w:rPr>
      </w:pPr>
      <w:r w:rsidRPr="00AF1DC5">
        <w:rPr>
          <w:rFonts w:ascii="Book Antiqua" w:hAnsi="Book Antiqua" w:cstheme="minorHAnsi"/>
        </w:rPr>
        <w:t>Demographic characteristics included age in years at time of admission, sex, race/ethnicity (non-Hispanic White, non-Hispanic Black, Hispanic, Asian, Other, Unknown), discharge disposition (routine/home, expired</w:t>
      </w:r>
      <w:r w:rsidR="005A0E2E" w:rsidRPr="00AF1DC5">
        <w:rPr>
          <w:rFonts w:ascii="Book Antiqua" w:hAnsi="Book Antiqua" w:cstheme="minorHAnsi"/>
        </w:rPr>
        <w:t xml:space="preserve"> </w:t>
      </w:r>
      <w:r w:rsidRPr="00AF1DC5">
        <w:rPr>
          <w:rFonts w:ascii="Book Antiqua" w:hAnsi="Book Antiqua" w:cstheme="minorHAnsi"/>
        </w:rPr>
        <w:t>and rural vs. urban zip code of residence. Complex chronic conditions (CCCs) were defined using a previously described ICD-9 coding scheme for 9 types of CCCs (neuromuscular, cardiovascular, respiratory, renal, gastrointestinal, hematologic/immunologic, metabolic, congenital or genetic, and malignancy), as well as organ transplant patients and technology dependent patients</w:t>
      </w:r>
      <w:r w:rsidR="00467B5B" w:rsidRPr="00AF1DC5">
        <w:rPr>
          <w:rFonts w:ascii="Book Antiqua" w:hAnsi="Book Antiqua" w:cstheme="minorHAnsi"/>
          <w:vertAlign w:val="superscript"/>
          <w:lang w:eastAsia="zh-CN"/>
        </w:rPr>
        <w:t>[1</w:t>
      </w:r>
      <w:r w:rsidR="0008694E" w:rsidRPr="00AF1DC5">
        <w:rPr>
          <w:rFonts w:ascii="Book Antiqua" w:hAnsi="Book Antiqua" w:cstheme="minorHAnsi"/>
          <w:vertAlign w:val="superscript"/>
          <w:lang w:eastAsia="zh-CN"/>
        </w:rPr>
        <w:t>2]</w:t>
      </w:r>
      <w:r w:rsidRPr="00AF1DC5">
        <w:rPr>
          <w:rFonts w:ascii="Book Antiqua" w:hAnsi="Book Antiqua" w:cstheme="minorHAnsi"/>
        </w:rPr>
        <w:t>. A given patient could have could have more than 1 CCC, and the total number of CCCs for each patient was calculated. Chronic liver disease was also identified by ICD-9 diagnosis codes, and coded as a dichotomous variable. The need for packed red blood cell transfusions was used to control for severity of bleeding (0</w:t>
      </w:r>
      <w:r w:rsidR="0008694E" w:rsidRPr="00AF1DC5">
        <w:rPr>
          <w:rFonts w:ascii="Book Antiqua" w:hAnsi="Book Antiqua" w:cstheme="minorHAnsi"/>
          <w:lang w:eastAsia="zh-CN"/>
        </w:rPr>
        <w:t xml:space="preserve"> </w:t>
      </w:r>
      <w:r w:rsidRPr="00AF1DC5">
        <w:rPr>
          <w:rFonts w:ascii="Book Antiqua" w:hAnsi="Book Antiqua" w:cstheme="minorHAnsi"/>
        </w:rPr>
        <w:t>=</w:t>
      </w:r>
      <w:r w:rsidR="0008694E" w:rsidRPr="00AF1DC5">
        <w:rPr>
          <w:rFonts w:ascii="Book Antiqua" w:hAnsi="Book Antiqua" w:cstheme="minorHAnsi"/>
          <w:lang w:eastAsia="zh-CN"/>
        </w:rPr>
        <w:t xml:space="preserve"> </w:t>
      </w:r>
      <w:r w:rsidRPr="00AF1DC5">
        <w:rPr>
          <w:rFonts w:ascii="Book Antiqua" w:hAnsi="Book Antiqua" w:cstheme="minorHAnsi"/>
        </w:rPr>
        <w:t>no transfusion, 1</w:t>
      </w:r>
      <w:r w:rsidR="0008694E" w:rsidRPr="00AF1DC5">
        <w:rPr>
          <w:rFonts w:ascii="Book Antiqua" w:hAnsi="Book Antiqua" w:cstheme="minorHAnsi"/>
          <w:lang w:eastAsia="zh-CN"/>
        </w:rPr>
        <w:t xml:space="preserve"> </w:t>
      </w:r>
      <w:r w:rsidRPr="00AF1DC5">
        <w:rPr>
          <w:rFonts w:ascii="Book Antiqua" w:hAnsi="Book Antiqua" w:cstheme="minorHAnsi"/>
        </w:rPr>
        <w:t>=</w:t>
      </w:r>
      <w:r w:rsidR="0008694E" w:rsidRPr="00AF1DC5">
        <w:rPr>
          <w:rFonts w:ascii="Book Antiqua" w:hAnsi="Book Antiqua" w:cstheme="minorHAnsi"/>
          <w:lang w:eastAsia="zh-CN"/>
        </w:rPr>
        <w:t xml:space="preserve"> </w:t>
      </w:r>
      <w:r w:rsidRPr="00AF1DC5">
        <w:rPr>
          <w:rFonts w:ascii="Book Antiqua" w:hAnsi="Book Antiqua" w:cstheme="minorHAnsi"/>
        </w:rPr>
        <w:t>transfusion(s) received).</w:t>
      </w:r>
    </w:p>
    <w:p w14:paraId="65BD5151" w14:textId="08E6549E" w:rsidR="00D5678B" w:rsidRPr="00AF1DC5" w:rsidRDefault="00D5678B" w:rsidP="0008694E">
      <w:pPr>
        <w:pStyle w:val="BodyText"/>
        <w:snapToGrid w:val="0"/>
        <w:spacing w:before="0" w:after="0" w:line="360" w:lineRule="auto"/>
        <w:ind w:firstLineChars="100" w:firstLine="240"/>
        <w:jc w:val="both"/>
        <w:rPr>
          <w:rFonts w:ascii="Book Antiqua" w:hAnsi="Book Antiqua" w:cstheme="minorHAnsi"/>
        </w:rPr>
      </w:pPr>
      <w:r w:rsidRPr="00AF1DC5">
        <w:rPr>
          <w:rFonts w:ascii="Book Antiqua" w:hAnsi="Book Antiqua" w:cstheme="minorHAnsi"/>
        </w:rPr>
        <w:t>Procedures were identified through ICD-9-CM codes</w:t>
      </w:r>
      <w:r w:rsidR="006206F4" w:rsidRPr="00AF1DC5">
        <w:rPr>
          <w:rFonts w:ascii="Book Antiqua" w:hAnsi="Book Antiqua" w:cstheme="minorHAnsi"/>
        </w:rPr>
        <w:t xml:space="preserve"> (</w:t>
      </w:r>
      <w:r w:rsidR="006206F4" w:rsidRPr="00AF1DC5">
        <w:rPr>
          <w:rFonts w:ascii="Book Antiqua" w:hAnsi="Book Antiqua" w:cstheme="minorHAnsi"/>
          <w:bCs/>
        </w:rPr>
        <w:t xml:space="preserve">Supplementary Table </w:t>
      </w:r>
      <w:r w:rsidR="006206F4" w:rsidRPr="00AF1DC5">
        <w:rPr>
          <w:rFonts w:ascii="Book Antiqua" w:hAnsi="Book Antiqua" w:cstheme="minorHAnsi"/>
          <w:bCs/>
          <w:lang w:eastAsia="zh-CN"/>
        </w:rPr>
        <w:t>2</w:t>
      </w:r>
      <w:r w:rsidR="006206F4" w:rsidRPr="00AF1DC5">
        <w:rPr>
          <w:rFonts w:ascii="Book Antiqua" w:hAnsi="Book Antiqua" w:cstheme="minorHAnsi"/>
        </w:rPr>
        <w:t>)</w:t>
      </w:r>
      <w:r w:rsidRPr="00AF1DC5">
        <w:rPr>
          <w:rFonts w:ascii="Book Antiqua" w:hAnsi="Book Antiqua" w:cstheme="minorHAnsi"/>
        </w:rPr>
        <w:t>, and pharmaceuticals and imaging procedures were identified through Clinical Transaction Classification</w:t>
      </w:r>
      <w:r w:rsidR="00414592" w:rsidRPr="00AF1DC5">
        <w:rPr>
          <w:rFonts w:ascii="Book Antiqua" w:hAnsi="Book Antiqua" w:cstheme="minorHAnsi"/>
          <w:lang w:eastAsia="zh-CN"/>
        </w:rPr>
        <w:t xml:space="preserve"> </w:t>
      </w:r>
      <w:r w:rsidRPr="00AF1DC5">
        <w:rPr>
          <w:rFonts w:ascii="Book Antiqua" w:hAnsi="Book Antiqua" w:cstheme="minorHAnsi"/>
          <w:caps/>
        </w:rPr>
        <w:t>s</w:t>
      </w:r>
      <w:r w:rsidRPr="00AF1DC5">
        <w:rPr>
          <w:rFonts w:ascii="Book Antiqua" w:hAnsi="Book Antiqua" w:cstheme="minorHAnsi"/>
        </w:rPr>
        <w:t xml:space="preserve">ystem for revenue codes. </w:t>
      </w:r>
      <w:bookmarkStart w:id="33" w:name="study-definition"/>
      <w:bookmarkStart w:id="34" w:name="outcome-measures"/>
      <w:bookmarkEnd w:id="33"/>
      <w:bookmarkEnd w:id="34"/>
    </w:p>
    <w:p w14:paraId="5460C21C" w14:textId="77777777" w:rsidR="0008694E" w:rsidRPr="00AF1DC5" w:rsidRDefault="0008694E" w:rsidP="00E50668">
      <w:pPr>
        <w:pStyle w:val="BodyText"/>
        <w:snapToGrid w:val="0"/>
        <w:spacing w:before="0" w:after="0" w:line="360" w:lineRule="auto"/>
        <w:jc w:val="both"/>
        <w:rPr>
          <w:rFonts w:ascii="Book Antiqua" w:hAnsi="Book Antiqua" w:cstheme="minorHAnsi"/>
          <w:b/>
          <w:lang w:eastAsia="zh-CN"/>
        </w:rPr>
      </w:pPr>
    </w:p>
    <w:p w14:paraId="2AE5840B" w14:textId="77777777" w:rsidR="00D5678B" w:rsidRPr="00AF1DC5" w:rsidRDefault="00D5678B" w:rsidP="00E50668">
      <w:pPr>
        <w:pStyle w:val="BodyText"/>
        <w:snapToGrid w:val="0"/>
        <w:spacing w:before="0" w:after="0" w:line="360" w:lineRule="auto"/>
        <w:jc w:val="both"/>
        <w:rPr>
          <w:rFonts w:ascii="Book Antiqua" w:hAnsi="Book Antiqua" w:cstheme="minorHAnsi"/>
          <w:b/>
          <w:i/>
        </w:rPr>
      </w:pPr>
      <w:r w:rsidRPr="00AF1DC5">
        <w:rPr>
          <w:rFonts w:ascii="Book Antiqua" w:hAnsi="Book Antiqua" w:cstheme="minorHAnsi"/>
          <w:b/>
          <w:i/>
        </w:rPr>
        <w:t>Outcome measures</w:t>
      </w:r>
    </w:p>
    <w:p w14:paraId="420757E3" w14:textId="77777777" w:rsidR="00D5678B" w:rsidRPr="00AF1DC5" w:rsidRDefault="00D5678B" w:rsidP="00E50668">
      <w:pPr>
        <w:pStyle w:val="FirstParagraph"/>
        <w:snapToGrid w:val="0"/>
        <w:spacing w:before="0" w:after="0" w:line="360" w:lineRule="auto"/>
        <w:jc w:val="both"/>
        <w:rPr>
          <w:rFonts w:ascii="Book Antiqua" w:hAnsi="Book Antiqua" w:cstheme="minorHAnsi"/>
        </w:rPr>
      </w:pPr>
      <w:r w:rsidRPr="00AF1DC5">
        <w:rPr>
          <w:rFonts w:ascii="Book Antiqua" w:hAnsi="Book Antiqua" w:cstheme="minorHAnsi"/>
        </w:rPr>
        <w:t>The primary outcome of interest in this study was mortality. Secondary outcomes examined include whether or not the patient underwent endoscopy.</w:t>
      </w:r>
      <w:bookmarkStart w:id="35" w:name="statistical-analysis"/>
      <w:bookmarkEnd w:id="35"/>
    </w:p>
    <w:p w14:paraId="2EC37AA7" w14:textId="14D61BCC" w:rsidR="00D5678B" w:rsidRPr="00AF1DC5" w:rsidRDefault="00D5678B" w:rsidP="00E50668">
      <w:pPr>
        <w:pStyle w:val="FirstParagraph"/>
        <w:snapToGrid w:val="0"/>
        <w:spacing w:before="0" w:after="0" w:line="360" w:lineRule="auto"/>
        <w:jc w:val="both"/>
        <w:rPr>
          <w:rFonts w:ascii="Book Antiqua" w:hAnsi="Book Antiqua" w:cstheme="minorHAnsi"/>
          <w:b/>
          <w:i/>
        </w:rPr>
      </w:pPr>
      <w:r w:rsidRPr="00AF1DC5">
        <w:rPr>
          <w:rFonts w:ascii="Book Antiqua" w:hAnsi="Book Antiqua" w:cstheme="minorHAnsi"/>
          <w:b/>
          <w:i/>
        </w:rPr>
        <w:lastRenderedPageBreak/>
        <w:t xml:space="preserve">Statistical </w:t>
      </w:r>
      <w:r w:rsidR="00414592" w:rsidRPr="00AF1DC5">
        <w:rPr>
          <w:rFonts w:ascii="Book Antiqua" w:hAnsi="Book Antiqua" w:cstheme="minorHAnsi"/>
          <w:b/>
          <w:i/>
        </w:rPr>
        <w:t>a</w:t>
      </w:r>
      <w:r w:rsidRPr="00AF1DC5">
        <w:rPr>
          <w:rFonts w:ascii="Book Antiqua" w:hAnsi="Book Antiqua" w:cstheme="minorHAnsi"/>
          <w:b/>
          <w:i/>
        </w:rPr>
        <w:t>nalysis</w:t>
      </w:r>
    </w:p>
    <w:p w14:paraId="1C4534AF" w14:textId="37B52EA0" w:rsidR="00D5678B" w:rsidRPr="00AF1DC5" w:rsidRDefault="00D5678B" w:rsidP="00E50668">
      <w:pPr>
        <w:pStyle w:val="FirstParagraph"/>
        <w:snapToGrid w:val="0"/>
        <w:spacing w:before="0" w:after="0" w:line="360" w:lineRule="auto"/>
        <w:jc w:val="both"/>
        <w:rPr>
          <w:rFonts w:ascii="Book Antiqua" w:hAnsi="Book Antiqua" w:cstheme="minorHAnsi"/>
        </w:rPr>
      </w:pPr>
      <w:r w:rsidRPr="00AF1DC5">
        <w:rPr>
          <w:rFonts w:ascii="Book Antiqua" w:hAnsi="Book Antiqua" w:cstheme="minorHAnsi"/>
        </w:rPr>
        <w:t xml:space="preserve">Unadjusted, univariate analyses of the associations between patient characteristics and treatment course with mortality were carried out. Continuous variables were summarized using the median and interquartile ranges (IQR) and compared using the Wilcoxon rank-sum test. Categorical variables were summarized using counts and frequency as a percentage, and compared using the </w:t>
      </w:r>
      <w:r w:rsidRPr="00AF1DC5">
        <w:rPr>
          <w:rFonts w:ascii="Book Antiqua" w:hAnsi="Book Antiqua" w:cstheme="minorHAnsi"/>
          <w:i/>
        </w:rPr>
        <w:t>χ</w:t>
      </w:r>
      <w:r w:rsidRPr="00AF1DC5">
        <w:rPr>
          <w:rFonts w:ascii="Book Antiqua" w:hAnsi="Book Antiqua" w:cstheme="minorHAnsi"/>
          <w:i/>
          <w:vertAlign w:val="superscript"/>
        </w:rPr>
        <w:t>2</w:t>
      </w:r>
      <w:r w:rsidRPr="00AF1DC5">
        <w:rPr>
          <w:rFonts w:ascii="Book Antiqua" w:hAnsi="Book Antiqua" w:cstheme="minorHAnsi"/>
          <w:vertAlign w:val="superscript"/>
        </w:rPr>
        <w:t xml:space="preserve"> </w:t>
      </w:r>
      <w:r w:rsidRPr="00AF1DC5">
        <w:rPr>
          <w:rFonts w:ascii="Book Antiqua" w:hAnsi="Book Antiqua" w:cstheme="minorHAnsi"/>
        </w:rPr>
        <w:t xml:space="preserve">test of association or Fisher's exact test, where appropriate. Complex chronic conditions were treated categorically as the number of complex chronic conditions present in a single patient. The levels of the category were defined as 0 complex chronic conditions, 1 or 2 complex chronic conditions, and 3 or more complex chronic conditions. These levels were chosen after assessing the median and inter-quartile range of the distribution of number of CCCs. Receipt of pharmaceuticals on the first or second day of admission was coded as a dichotomous variable, as was the receipt of packed red blood cell transfusions and platelet transfusions. All procedures were coded as 0 (procedure not billed) or 1 (procedure billed). Unadjusted </w:t>
      </w:r>
      <w:r w:rsidRPr="00AF1DC5">
        <w:rPr>
          <w:rFonts w:ascii="Book Antiqua" w:hAnsi="Book Antiqua" w:cstheme="minorHAnsi"/>
          <w:i/>
        </w:rPr>
        <w:t>P</w:t>
      </w:r>
      <w:r w:rsidRPr="00AF1DC5">
        <w:rPr>
          <w:rFonts w:ascii="Book Antiqua" w:hAnsi="Book Antiqua" w:cstheme="minorHAnsi"/>
        </w:rPr>
        <w:t>-values were reported for the univariate analysis.</w:t>
      </w:r>
    </w:p>
    <w:p w14:paraId="2602D326" w14:textId="127098E9" w:rsidR="00D5678B" w:rsidRPr="00AF1DC5" w:rsidRDefault="00D5678B" w:rsidP="00414592">
      <w:pPr>
        <w:pStyle w:val="BodyText"/>
        <w:snapToGrid w:val="0"/>
        <w:spacing w:before="0" w:after="0" w:line="360" w:lineRule="auto"/>
        <w:ind w:firstLineChars="100" w:firstLine="240"/>
        <w:jc w:val="both"/>
        <w:rPr>
          <w:rFonts w:ascii="Book Antiqua" w:hAnsi="Book Antiqua" w:cstheme="minorHAnsi"/>
        </w:rPr>
      </w:pPr>
      <w:r w:rsidRPr="00AF1DC5">
        <w:rPr>
          <w:rFonts w:ascii="Book Antiqua" w:hAnsi="Book Antiqua" w:cstheme="minorHAnsi"/>
        </w:rPr>
        <w:t>Adjusted analysis of the association between patient characteristics and treatment course with mortality were examined using multivariable generalized linear mixed models to assess the odds of exposure to treatment among mortality cases (binomial family, logit link). A quasi-likelihood method was used to estimate effects (Laplace approximation). All candidate models were adjusted for potential confounding by age in years at admission, race/ethnicity, and sex</w:t>
      </w:r>
      <w:r w:rsidR="00584AC6" w:rsidRPr="00AF1DC5">
        <w:rPr>
          <w:rFonts w:ascii="Book Antiqua" w:hAnsi="Book Antiqua" w:cstheme="minorHAnsi"/>
        </w:rPr>
        <w:t xml:space="preserve"> and by the need for </w:t>
      </w:r>
      <w:r w:rsidR="00767584" w:rsidRPr="00AF1DC5">
        <w:rPr>
          <w:rFonts w:ascii="Book Antiqua" w:hAnsi="Book Antiqua" w:cstheme="minorHAnsi"/>
        </w:rPr>
        <w:t xml:space="preserve">packed red </w:t>
      </w:r>
      <w:r w:rsidR="00584AC6" w:rsidRPr="00AF1DC5">
        <w:rPr>
          <w:rFonts w:ascii="Book Antiqua" w:hAnsi="Book Antiqua" w:cstheme="minorHAnsi"/>
        </w:rPr>
        <w:t xml:space="preserve">blood </w:t>
      </w:r>
      <w:r w:rsidR="00767584" w:rsidRPr="00AF1DC5">
        <w:rPr>
          <w:rFonts w:ascii="Book Antiqua" w:hAnsi="Book Antiqua" w:cstheme="minorHAnsi"/>
        </w:rPr>
        <w:t xml:space="preserve">cell </w:t>
      </w:r>
      <w:r w:rsidR="00584AC6" w:rsidRPr="00AF1DC5">
        <w:rPr>
          <w:rFonts w:ascii="Book Antiqua" w:hAnsi="Book Antiqua" w:cstheme="minorHAnsi"/>
        </w:rPr>
        <w:t>transfusion</w:t>
      </w:r>
      <w:r w:rsidR="00767584" w:rsidRPr="00AF1DC5">
        <w:rPr>
          <w:rFonts w:ascii="Book Antiqua" w:hAnsi="Book Antiqua" w:cstheme="minorHAnsi"/>
        </w:rPr>
        <w:t>s</w:t>
      </w:r>
      <w:r w:rsidR="00584AC6" w:rsidRPr="00AF1DC5">
        <w:rPr>
          <w:rFonts w:ascii="Book Antiqua" w:hAnsi="Book Antiqua" w:cstheme="minorHAnsi"/>
        </w:rPr>
        <w:t xml:space="preserve"> as a surrogate of severity of bleed</w:t>
      </w:r>
      <w:r w:rsidRPr="00AF1DC5">
        <w:rPr>
          <w:rFonts w:ascii="Book Antiqua" w:hAnsi="Book Antiqua" w:cstheme="minorHAnsi"/>
        </w:rPr>
        <w:t xml:space="preserve">. Chronic liver disease, comorbid complex chronic conditions, and urban </w:t>
      </w:r>
      <w:r w:rsidRPr="00AF1DC5">
        <w:rPr>
          <w:rFonts w:ascii="Book Antiqua" w:hAnsi="Book Antiqua" w:cstheme="minorHAnsi"/>
          <w:i/>
        </w:rPr>
        <w:t>vs</w:t>
      </w:r>
      <w:r w:rsidR="00414592" w:rsidRPr="00AF1DC5">
        <w:rPr>
          <w:rFonts w:ascii="Book Antiqua" w:hAnsi="Book Antiqua" w:cstheme="minorHAnsi"/>
          <w:lang w:eastAsia="zh-CN"/>
        </w:rPr>
        <w:t xml:space="preserve"> </w:t>
      </w:r>
      <w:r w:rsidRPr="00AF1DC5">
        <w:rPr>
          <w:rFonts w:ascii="Book Antiqua" w:hAnsi="Book Antiqua" w:cstheme="minorHAnsi"/>
        </w:rPr>
        <w:t xml:space="preserve">rural zip code of residence at time of admission were tested as covariates. Other covariates included perforation type injury, administration of PPI, H2RA, octreotide, and vasopressin pharmaceuticals on the first or second day of admission and endoscopic procedures performed. Interactions between vasopressin and shock, endoscopy and chronic liver disease, and endoscopy and CCCs were also tested to investigate potential effect modification. To account for increased variability due to clustering within hospitals, a random intercept was </w:t>
      </w:r>
      <w:r w:rsidRPr="00AF1DC5">
        <w:rPr>
          <w:rFonts w:ascii="Book Antiqua" w:hAnsi="Book Antiqua" w:cstheme="minorHAnsi"/>
        </w:rPr>
        <w:lastRenderedPageBreak/>
        <w:t xml:space="preserve">included using a unique hospital ID. Model selection was carried out using -2 log likelihood tests with the </w:t>
      </w:r>
      <w:r w:rsidRPr="00AF1DC5">
        <w:rPr>
          <w:rFonts w:ascii="Book Antiqua" w:hAnsi="Book Antiqua" w:cstheme="minorHAnsi"/>
          <w:i/>
        </w:rPr>
        <w:t>χ</w:t>
      </w:r>
      <w:r w:rsidRPr="00AF1DC5">
        <w:rPr>
          <w:rFonts w:ascii="Book Antiqua" w:hAnsi="Book Antiqua" w:cstheme="minorHAnsi"/>
          <w:i/>
          <w:vertAlign w:val="superscript"/>
        </w:rPr>
        <w:t>2</w:t>
      </w:r>
      <w:r w:rsidRPr="00AF1DC5">
        <w:rPr>
          <w:rFonts w:ascii="Book Antiqua" w:hAnsi="Book Antiqua" w:cstheme="minorHAnsi"/>
          <w:vertAlign w:val="superscript"/>
        </w:rPr>
        <w:t xml:space="preserve"> </w:t>
      </w:r>
      <w:r w:rsidRPr="00AF1DC5">
        <w:rPr>
          <w:rFonts w:ascii="Book Antiqua" w:hAnsi="Book Antiqua" w:cstheme="minorHAnsi"/>
        </w:rPr>
        <w:t xml:space="preserve">approximation. Individual covariates were tested by approximation to the </w:t>
      </w:r>
      <w:r w:rsidRPr="00AF1DC5">
        <w:rPr>
          <w:rFonts w:ascii="Book Antiqua" w:hAnsi="Book Antiqua" w:cstheme="minorHAnsi"/>
          <w:i/>
        </w:rPr>
        <w:t>Z</w:t>
      </w:r>
      <w:r w:rsidRPr="00AF1DC5">
        <w:rPr>
          <w:rFonts w:ascii="Book Antiqua" w:hAnsi="Book Antiqua" w:cstheme="minorHAnsi"/>
        </w:rPr>
        <w:t xml:space="preserve">-value. The Holm procedure was used to account for multiple testing of covariates for each outcome, and the adjusted </w:t>
      </w:r>
      <w:r w:rsidRPr="00AF1DC5">
        <w:rPr>
          <w:rFonts w:ascii="Book Antiqua" w:hAnsi="Book Antiqua" w:cstheme="minorHAnsi"/>
          <w:i/>
        </w:rPr>
        <w:t>P</w:t>
      </w:r>
      <w:r w:rsidRPr="00AF1DC5">
        <w:rPr>
          <w:rFonts w:ascii="Book Antiqua" w:hAnsi="Book Antiqua" w:cstheme="minorHAnsi"/>
        </w:rPr>
        <w:t xml:space="preserve">-values are reported for the significance test of model covariates. An adjusted, two-tailed </w:t>
      </w:r>
      <w:r w:rsidRPr="00AF1DC5">
        <w:rPr>
          <w:rFonts w:ascii="Book Antiqua" w:hAnsi="Book Antiqua" w:cstheme="minorHAnsi"/>
          <w:i/>
        </w:rPr>
        <w:t>P</w:t>
      </w:r>
      <w:r w:rsidR="00414592" w:rsidRPr="00AF1DC5">
        <w:rPr>
          <w:rFonts w:ascii="Book Antiqua" w:hAnsi="Book Antiqua" w:cstheme="minorHAnsi"/>
          <w:i/>
          <w:lang w:eastAsia="zh-CN"/>
        </w:rPr>
        <w:t xml:space="preserve"> </w:t>
      </w:r>
      <w:r w:rsidRPr="00AF1DC5">
        <w:rPr>
          <w:rFonts w:ascii="Book Antiqua" w:hAnsi="Book Antiqua" w:cstheme="minorHAnsi"/>
        </w:rPr>
        <w:t>&lt;</w:t>
      </w:r>
      <w:r w:rsidR="00414592" w:rsidRPr="00AF1DC5">
        <w:rPr>
          <w:rFonts w:ascii="Book Antiqua" w:hAnsi="Book Antiqua" w:cstheme="minorHAnsi"/>
          <w:lang w:eastAsia="zh-CN"/>
        </w:rPr>
        <w:t xml:space="preserve"> </w:t>
      </w:r>
      <w:r w:rsidRPr="00AF1DC5">
        <w:rPr>
          <w:rFonts w:ascii="Book Antiqua" w:hAnsi="Book Antiqua" w:cstheme="minorHAnsi"/>
        </w:rPr>
        <w:t>0.05 was considered statistically significant. All analyses were performed using the R statistical package, v. 3.2.3.</w:t>
      </w:r>
      <w:bookmarkStart w:id="36" w:name="results"/>
      <w:bookmarkEnd w:id="36"/>
      <w:r w:rsidR="0081362E" w:rsidRPr="00AF1DC5">
        <w:rPr>
          <w:rFonts w:ascii="Book Antiqua" w:hAnsi="Book Antiqua"/>
        </w:rPr>
        <w:t xml:space="preserve"> </w:t>
      </w:r>
    </w:p>
    <w:p w14:paraId="7E222E24" w14:textId="77777777" w:rsidR="0081362E" w:rsidRPr="00AF1DC5" w:rsidRDefault="0081362E" w:rsidP="00E50668">
      <w:pPr>
        <w:pStyle w:val="BodyText"/>
        <w:snapToGrid w:val="0"/>
        <w:spacing w:before="0" w:after="0" w:line="360" w:lineRule="auto"/>
        <w:jc w:val="both"/>
        <w:rPr>
          <w:rFonts w:ascii="Book Antiqua" w:hAnsi="Book Antiqua" w:cstheme="minorHAnsi"/>
        </w:rPr>
      </w:pPr>
    </w:p>
    <w:p w14:paraId="556B2DC6" w14:textId="77777777" w:rsidR="00D5678B" w:rsidRPr="00AF1DC5" w:rsidRDefault="001D7840" w:rsidP="00E50668">
      <w:pPr>
        <w:pStyle w:val="BodyText"/>
        <w:snapToGrid w:val="0"/>
        <w:spacing w:before="0" w:after="0" w:line="360" w:lineRule="auto"/>
        <w:jc w:val="both"/>
        <w:rPr>
          <w:rFonts w:ascii="Book Antiqua" w:hAnsi="Book Antiqua" w:cstheme="minorHAnsi"/>
          <w:b/>
        </w:rPr>
      </w:pPr>
      <w:r w:rsidRPr="00AF1DC5">
        <w:rPr>
          <w:rFonts w:ascii="Book Antiqua" w:hAnsi="Book Antiqua" w:cstheme="minorHAnsi"/>
          <w:b/>
        </w:rPr>
        <w:t>RESULTS</w:t>
      </w:r>
    </w:p>
    <w:p w14:paraId="0BC7DE06" w14:textId="1334299D" w:rsidR="00D5678B" w:rsidRPr="00DD49D7" w:rsidRDefault="00D5678B" w:rsidP="00E50668">
      <w:pPr>
        <w:pStyle w:val="BodyText"/>
        <w:snapToGrid w:val="0"/>
        <w:spacing w:before="0" w:after="0" w:line="360" w:lineRule="auto"/>
        <w:jc w:val="both"/>
        <w:rPr>
          <w:rFonts w:ascii="Book Antiqua" w:hAnsi="Book Antiqua" w:cstheme="minorHAnsi"/>
          <w:b/>
          <w:i/>
        </w:rPr>
      </w:pPr>
      <w:r w:rsidRPr="00DD49D7">
        <w:rPr>
          <w:rFonts w:ascii="Book Antiqua" w:hAnsi="Book Antiqua" w:cstheme="minorHAnsi"/>
          <w:b/>
          <w:i/>
        </w:rPr>
        <w:t>Descriptive</w:t>
      </w:r>
      <w:r w:rsidR="00414592" w:rsidRPr="00DD49D7">
        <w:rPr>
          <w:rFonts w:ascii="Book Antiqua" w:hAnsi="Book Antiqua" w:cstheme="minorHAnsi"/>
          <w:b/>
          <w:i/>
        </w:rPr>
        <w:t xml:space="preserve"> s</w:t>
      </w:r>
      <w:r w:rsidRPr="00DD49D7">
        <w:rPr>
          <w:rFonts w:ascii="Book Antiqua" w:hAnsi="Book Antiqua" w:cstheme="minorHAnsi"/>
          <w:b/>
          <w:i/>
        </w:rPr>
        <w:t>tatistics</w:t>
      </w:r>
    </w:p>
    <w:p w14:paraId="0D9D3E89" w14:textId="11C48877" w:rsidR="00D5678B" w:rsidRPr="00AF1DC5" w:rsidRDefault="00D5678B" w:rsidP="00E50668">
      <w:pPr>
        <w:pStyle w:val="FirstParagraph"/>
        <w:snapToGrid w:val="0"/>
        <w:spacing w:before="0" w:after="0" w:line="360" w:lineRule="auto"/>
        <w:jc w:val="both"/>
        <w:rPr>
          <w:rFonts w:ascii="Book Antiqua" w:hAnsi="Book Antiqua" w:cstheme="minorHAnsi"/>
        </w:rPr>
      </w:pPr>
      <w:r w:rsidRPr="00AF1DC5">
        <w:rPr>
          <w:rFonts w:ascii="Book Antiqua" w:hAnsi="Book Antiqua" w:cstheme="minorHAnsi"/>
        </w:rPr>
        <w:t xml:space="preserve">There were 19,528 patients with upper or indeterminate GIB discharged between January 1, 2007 and September 30, 2015 (Table 1). Overall, 54.6% of patients were male, and the median age was 9 years </w:t>
      </w:r>
      <w:r w:rsidR="00414592" w:rsidRPr="00AF1DC5">
        <w:rPr>
          <w:rFonts w:ascii="Book Antiqua" w:hAnsi="Book Antiqua" w:cstheme="minorHAnsi"/>
          <w:lang w:eastAsia="zh-CN"/>
        </w:rPr>
        <w:t>[</w:t>
      </w:r>
      <w:r w:rsidRPr="00AF1DC5">
        <w:rPr>
          <w:rFonts w:ascii="Book Antiqua" w:hAnsi="Book Antiqua" w:cstheme="minorHAnsi"/>
        </w:rPr>
        <w:t>IQR (4, 15)</w:t>
      </w:r>
      <w:r w:rsidR="00414592" w:rsidRPr="00AF1DC5">
        <w:rPr>
          <w:rFonts w:ascii="Book Antiqua" w:hAnsi="Book Antiqua" w:cstheme="minorHAnsi"/>
          <w:lang w:eastAsia="zh-CN"/>
        </w:rPr>
        <w:t>]</w:t>
      </w:r>
      <w:r w:rsidRPr="00AF1DC5">
        <w:rPr>
          <w:rFonts w:ascii="Book Antiqua" w:hAnsi="Book Antiqua" w:cstheme="minorHAnsi"/>
        </w:rPr>
        <w:t>. Nearly half (49.68%) of the patients had no documented CCCs, 30.32% had 1 or 2 CCCs, and 20.01% had 3 or more CCCs. The most common CCC was gastrointestinal conditions (28.22%), followed by technology dependence</w:t>
      </w:r>
      <w:r w:rsidR="00467B5B" w:rsidRPr="00AF1DC5">
        <w:rPr>
          <w:rFonts w:ascii="Book Antiqua" w:hAnsi="Book Antiqua" w:cstheme="minorHAnsi"/>
          <w:vertAlign w:val="superscript"/>
          <w:lang w:eastAsia="zh-CN"/>
        </w:rPr>
        <w:t>[12</w:t>
      </w:r>
      <w:r w:rsidR="004E1A6E" w:rsidRPr="00AF1DC5">
        <w:rPr>
          <w:rFonts w:ascii="Book Antiqua" w:hAnsi="Book Antiqua" w:cstheme="minorHAnsi"/>
          <w:vertAlign w:val="superscript"/>
          <w:lang w:eastAsia="zh-CN"/>
        </w:rPr>
        <w:t>,</w:t>
      </w:r>
      <w:r w:rsidR="00467B5B" w:rsidRPr="00AF1DC5">
        <w:rPr>
          <w:rFonts w:ascii="Book Antiqua" w:hAnsi="Book Antiqua" w:cstheme="minorHAnsi"/>
          <w:vertAlign w:val="superscript"/>
          <w:lang w:eastAsia="zh-CN"/>
        </w:rPr>
        <w:t>13]</w:t>
      </w:r>
      <w:r w:rsidR="00467B5B" w:rsidRPr="00AF1DC5">
        <w:rPr>
          <w:rFonts w:ascii="Book Antiqua" w:hAnsi="Book Antiqua" w:cstheme="minorHAnsi"/>
        </w:rPr>
        <w:t xml:space="preserve"> </w:t>
      </w:r>
      <w:r w:rsidRPr="00AF1DC5">
        <w:rPr>
          <w:rFonts w:ascii="Book Antiqua" w:hAnsi="Book Antiqua" w:cstheme="minorHAnsi"/>
        </w:rPr>
        <w:t>(20.24%) and neurologic and neuromuscular disorders (13.90%)</w:t>
      </w:r>
      <w:r w:rsidR="00DF0A92" w:rsidRPr="00AF1DC5">
        <w:rPr>
          <w:rFonts w:ascii="Book Antiqua" w:hAnsi="Book Antiqua" w:cstheme="minorHAnsi"/>
        </w:rPr>
        <w:t xml:space="preserve"> (</w:t>
      </w:r>
      <w:r w:rsidR="00291750" w:rsidRPr="00AF1DC5">
        <w:rPr>
          <w:rFonts w:ascii="Book Antiqua" w:hAnsi="Book Antiqua" w:cstheme="minorHAnsi"/>
        </w:rPr>
        <w:t>Table 5</w:t>
      </w:r>
      <w:r w:rsidR="00DF0A92" w:rsidRPr="00AF1DC5">
        <w:rPr>
          <w:rFonts w:ascii="Book Antiqua" w:hAnsi="Book Antiqua" w:cstheme="minorHAnsi"/>
        </w:rPr>
        <w:t>)</w:t>
      </w:r>
      <w:r w:rsidRPr="00AF1DC5">
        <w:rPr>
          <w:rFonts w:ascii="Book Antiqua" w:hAnsi="Book Antiqua" w:cstheme="minorHAnsi"/>
        </w:rPr>
        <w:t xml:space="preserve">. Of the patients included in the analysis, 33.78% experienced hematemesis, 40.97% </w:t>
      </w:r>
      <w:r w:rsidR="005B4D0E" w:rsidRPr="00AF1DC5">
        <w:rPr>
          <w:rFonts w:ascii="Book Antiqua" w:hAnsi="Book Antiqua" w:cstheme="minorHAnsi"/>
        </w:rPr>
        <w:t>melena</w:t>
      </w:r>
      <w:r w:rsidRPr="00AF1DC5">
        <w:rPr>
          <w:rFonts w:ascii="Book Antiqua" w:hAnsi="Book Antiqua" w:cstheme="minorHAnsi"/>
        </w:rPr>
        <w:t xml:space="preserve">, 12.18% had </w:t>
      </w:r>
      <w:r w:rsidR="00413694" w:rsidRPr="00AF1DC5">
        <w:rPr>
          <w:rFonts w:ascii="Book Antiqua" w:hAnsi="Book Antiqua" w:cstheme="minorHAnsi"/>
        </w:rPr>
        <w:t>gastroesophageal reflux (</w:t>
      </w:r>
      <w:r w:rsidRPr="00AF1DC5">
        <w:rPr>
          <w:rFonts w:ascii="Book Antiqua" w:hAnsi="Book Antiqua" w:cstheme="minorHAnsi"/>
        </w:rPr>
        <w:t>GER</w:t>
      </w:r>
      <w:r w:rsidR="00413694" w:rsidRPr="00AF1DC5">
        <w:rPr>
          <w:rFonts w:ascii="Book Antiqua" w:hAnsi="Book Antiqua" w:cstheme="minorHAnsi"/>
        </w:rPr>
        <w:t>)</w:t>
      </w:r>
      <w:r w:rsidRPr="00AF1DC5">
        <w:rPr>
          <w:rFonts w:ascii="Book Antiqua" w:hAnsi="Book Antiqua" w:cstheme="minorHAnsi"/>
        </w:rPr>
        <w:t>, 3.73% experienced shock, 3.56% experienced sepsis, and 18.45% required packed red blood cell transfusion while 5.09% required a platelet transfusion. Most patients resided in an urban area (85.31%), although a small portion of the data was missing (2.16%).</w:t>
      </w:r>
    </w:p>
    <w:p w14:paraId="6474C3A4" w14:textId="5AF5FDFF" w:rsidR="00D5678B" w:rsidRPr="00AF1DC5" w:rsidRDefault="00D5678B" w:rsidP="00414592">
      <w:pPr>
        <w:pStyle w:val="BodyText"/>
        <w:snapToGrid w:val="0"/>
        <w:spacing w:before="0" w:after="0" w:line="360" w:lineRule="auto"/>
        <w:ind w:firstLineChars="100" w:firstLine="240"/>
        <w:jc w:val="both"/>
        <w:rPr>
          <w:rFonts w:ascii="Book Antiqua" w:hAnsi="Book Antiqua" w:cstheme="minorHAnsi"/>
        </w:rPr>
      </w:pPr>
      <w:r w:rsidRPr="00AF1DC5">
        <w:rPr>
          <w:rFonts w:ascii="Book Antiqua" w:hAnsi="Book Antiqua" w:cstheme="minorHAnsi"/>
        </w:rPr>
        <w:t>Overall mortality rate was 2.07%</w:t>
      </w:r>
      <w:r w:rsidR="00FC412F" w:rsidRPr="00AF1DC5">
        <w:rPr>
          <w:rFonts w:ascii="Book Antiqua" w:hAnsi="Book Antiqua" w:cstheme="minorHAnsi"/>
        </w:rPr>
        <w:t xml:space="preserve"> with</w:t>
      </w:r>
      <w:r w:rsidRPr="00AF1DC5">
        <w:rPr>
          <w:rFonts w:ascii="Book Antiqua" w:hAnsi="Book Antiqua" w:cstheme="minorHAnsi"/>
        </w:rPr>
        <w:t xml:space="preserve"> 0.37% mortality among patients with principal diagnosis of GIB and 2. 96% among patients with secondary diagnosis of GIB. The median time until death was 19 d</w:t>
      </w:r>
      <w:r w:rsidR="00414592" w:rsidRPr="00AF1DC5">
        <w:rPr>
          <w:rFonts w:ascii="Book Antiqua" w:hAnsi="Book Antiqua" w:cstheme="minorHAnsi"/>
          <w:lang w:eastAsia="zh-CN"/>
        </w:rPr>
        <w:t xml:space="preserve"> </w:t>
      </w:r>
      <w:r w:rsidRPr="00AF1DC5">
        <w:rPr>
          <w:rFonts w:ascii="Book Antiqua" w:hAnsi="Book Antiqua" w:cstheme="minorHAnsi"/>
        </w:rPr>
        <w:t>(5, 49).</w:t>
      </w:r>
      <w:r w:rsidR="00A26905" w:rsidRPr="00AF1DC5">
        <w:rPr>
          <w:rFonts w:ascii="Book Antiqua" w:hAnsi="Book Antiqua" w:cstheme="minorHAnsi"/>
        </w:rPr>
        <w:t xml:space="preserve"> </w:t>
      </w:r>
      <w:r w:rsidRPr="00AF1DC5">
        <w:rPr>
          <w:rFonts w:ascii="Book Antiqua" w:hAnsi="Book Antiqua" w:cstheme="minorHAnsi"/>
        </w:rPr>
        <w:t>For all patients, 21.53% of deaths occurred within the first 3 days of admission, and 31.9% occurred within 7 d</w:t>
      </w:r>
      <w:r w:rsidR="00414592" w:rsidRPr="00AF1DC5">
        <w:rPr>
          <w:rFonts w:ascii="Book Antiqua" w:hAnsi="Book Antiqua" w:cstheme="minorHAnsi"/>
          <w:lang w:eastAsia="zh-CN"/>
        </w:rPr>
        <w:t xml:space="preserve"> </w:t>
      </w:r>
      <w:r w:rsidRPr="00AF1DC5">
        <w:rPr>
          <w:rFonts w:ascii="Book Antiqua" w:hAnsi="Book Antiqua" w:cstheme="minorHAnsi"/>
        </w:rPr>
        <w:t>of admission. When considering only the mortalities in which GIB was the principal diagnosis, 48% (12 of 25 principal diagnosis GIB mortalities) died within the first 3 d</w:t>
      </w:r>
      <w:r w:rsidR="00414592" w:rsidRPr="00AF1DC5">
        <w:rPr>
          <w:rFonts w:ascii="Book Antiqua" w:hAnsi="Book Antiqua" w:cstheme="minorHAnsi"/>
          <w:lang w:eastAsia="zh-CN"/>
        </w:rPr>
        <w:t xml:space="preserve"> </w:t>
      </w:r>
      <w:r w:rsidRPr="00AF1DC5">
        <w:rPr>
          <w:rFonts w:ascii="Book Antiqua" w:hAnsi="Book Antiqua" w:cstheme="minorHAnsi"/>
        </w:rPr>
        <w:t xml:space="preserve">of admission, and </w:t>
      </w:r>
      <w:r w:rsidR="005A0E2E" w:rsidRPr="00AF1DC5">
        <w:rPr>
          <w:rFonts w:ascii="Book Antiqua" w:hAnsi="Book Antiqua" w:cstheme="minorHAnsi"/>
        </w:rPr>
        <w:t>64</w:t>
      </w:r>
      <w:r w:rsidRPr="00AF1DC5">
        <w:rPr>
          <w:rFonts w:ascii="Book Antiqua" w:hAnsi="Book Antiqua" w:cstheme="minorHAnsi"/>
        </w:rPr>
        <w:t>% expired within 7 d</w:t>
      </w:r>
      <w:r w:rsidR="00414592" w:rsidRPr="00AF1DC5">
        <w:rPr>
          <w:rFonts w:ascii="Book Antiqua" w:hAnsi="Book Antiqua" w:cstheme="minorHAnsi"/>
          <w:lang w:eastAsia="zh-CN"/>
        </w:rPr>
        <w:t xml:space="preserve"> </w:t>
      </w:r>
      <w:r w:rsidRPr="00AF1DC5">
        <w:rPr>
          <w:rFonts w:ascii="Book Antiqua" w:hAnsi="Book Antiqua" w:cstheme="minorHAnsi"/>
        </w:rPr>
        <w:t>of admission. Among secondary diagnosis patients, 19.</w:t>
      </w:r>
      <w:r w:rsidR="002D7248" w:rsidRPr="00AF1DC5">
        <w:rPr>
          <w:rFonts w:ascii="Book Antiqua" w:hAnsi="Book Antiqua" w:cstheme="minorHAnsi"/>
        </w:rPr>
        <w:t>8</w:t>
      </w:r>
      <w:r w:rsidRPr="00AF1DC5">
        <w:rPr>
          <w:rFonts w:ascii="Book Antiqua" w:hAnsi="Book Antiqua" w:cstheme="minorHAnsi"/>
        </w:rPr>
        <w:t>% died with 3 d</w:t>
      </w:r>
      <w:r w:rsidR="00414592" w:rsidRPr="00AF1DC5">
        <w:rPr>
          <w:rFonts w:ascii="Book Antiqua" w:hAnsi="Book Antiqua" w:cstheme="minorHAnsi"/>
          <w:lang w:eastAsia="zh-CN"/>
        </w:rPr>
        <w:t xml:space="preserve"> </w:t>
      </w:r>
      <w:r w:rsidRPr="00AF1DC5">
        <w:rPr>
          <w:rFonts w:ascii="Book Antiqua" w:hAnsi="Book Antiqua" w:cstheme="minorHAnsi"/>
        </w:rPr>
        <w:t>of admission, and 29.8% died within 7 d</w:t>
      </w:r>
      <w:r w:rsidR="00414592" w:rsidRPr="00AF1DC5">
        <w:rPr>
          <w:rFonts w:ascii="Book Antiqua" w:hAnsi="Book Antiqua" w:cstheme="minorHAnsi"/>
          <w:lang w:eastAsia="zh-CN"/>
        </w:rPr>
        <w:t xml:space="preserve"> </w:t>
      </w:r>
      <w:r w:rsidRPr="00AF1DC5">
        <w:rPr>
          <w:rFonts w:ascii="Book Antiqua" w:hAnsi="Book Antiqua" w:cstheme="minorHAnsi"/>
        </w:rPr>
        <w:t xml:space="preserve">of admission. Although the majority of </w:t>
      </w:r>
      <w:r w:rsidRPr="00AF1DC5">
        <w:rPr>
          <w:rFonts w:ascii="Book Antiqua" w:hAnsi="Book Antiqua" w:cstheme="minorHAnsi"/>
        </w:rPr>
        <w:lastRenderedPageBreak/>
        <w:t>patients were male, females and males had similar mortality</w:t>
      </w:r>
      <w:r w:rsidR="002D7248" w:rsidRPr="00AF1DC5">
        <w:rPr>
          <w:rFonts w:ascii="Book Antiqua" w:hAnsi="Book Antiqua" w:cstheme="minorHAnsi"/>
        </w:rPr>
        <w:t xml:space="preserve"> rates (50</w:t>
      </w:r>
      <w:r w:rsidRPr="00AF1DC5">
        <w:rPr>
          <w:rFonts w:ascii="Book Antiqua" w:hAnsi="Book Antiqua" w:cstheme="minorHAnsi"/>
        </w:rPr>
        <w:t>% of mortalities were male). There were apparent racial/ethnic distributional differences, with non-Hispanic Whites being the only group that comprised a smaller proportion of the mortalities than the surviving cases.</w:t>
      </w:r>
    </w:p>
    <w:p w14:paraId="6E825B6B" w14:textId="66F6840F" w:rsidR="00D5678B" w:rsidRPr="00AF1DC5" w:rsidRDefault="00D5678B" w:rsidP="00414592">
      <w:pPr>
        <w:pStyle w:val="BodyText"/>
        <w:snapToGrid w:val="0"/>
        <w:spacing w:before="0" w:after="0" w:line="360" w:lineRule="auto"/>
        <w:ind w:firstLineChars="100" w:firstLine="240"/>
        <w:jc w:val="both"/>
        <w:rPr>
          <w:rFonts w:ascii="Book Antiqua" w:hAnsi="Book Antiqua" w:cstheme="minorHAnsi"/>
        </w:rPr>
      </w:pPr>
      <w:r w:rsidRPr="00AF1DC5">
        <w:rPr>
          <w:rFonts w:ascii="Book Antiqua" w:hAnsi="Book Antiqua" w:cstheme="minorHAnsi"/>
        </w:rPr>
        <w:t xml:space="preserve">Early intervention with pharmaceuticals was more frequent among mortality cases (Table 2). Receipt of PPI on the first or second day of admission occurred in 53.83% of patients, with higher usage among mortalities (68.56% </w:t>
      </w:r>
      <w:r w:rsidRPr="00AF1DC5">
        <w:rPr>
          <w:rFonts w:ascii="Book Antiqua" w:hAnsi="Book Antiqua" w:cstheme="minorHAnsi"/>
          <w:i/>
        </w:rPr>
        <w:t>vs</w:t>
      </w:r>
      <w:r w:rsidR="00414592" w:rsidRPr="00AF1DC5">
        <w:rPr>
          <w:rFonts w:ascii="Book Antiqua" w:hAnsi="Book Antiqua" w:cstheme="minorHAnsi"/>
          <w:lang w:eastAsia="zh-CN"/>
        </w:rPr>
        <w:t xml:space="preserve"> </w:t>
      </w:r>
      <w:r w:rsidRPr="00AF1DC5">
        <w:rPr>
          <w:rFonts w:ascii="Book Antiqua" w:hAnsi="Book Antiqua" w:cstheme="minorHAnsi"/>
        </w:rPr>
        <w:t xml:space="preserve">53.31%). H2RA were administered on the first or second day of admission in 20.57% of patients, with higher usage in mortality than non-mortality cases (37.62% </w:t>
      </w:r>
      <w:r w:rsidRPr="00AF1DC5">
        <w:rPr>
          <w:rFonts w:ascii="Book Antiqua" w:hAnsi="Book Antiqua" w:cstheme="minorHAnsi"/>
          <w:i/>
        </w:rPr>
        <w:t>vs</w:t>
      </w:r>
      <w:r w:rsidR="00414592" w:rsidRPr="00AF1DC5">
        <w:rPr>
          <w:rFonts w:ascii="Book Antiqua" w:hAnsi="Book Antiqua" w:cstheme="minorHAnsi"/>
          <w:lang w:eastAsia="zh-CN"/>
        </w:rPr>
        <w:t xml:space="preserve"> </w:t>
      </w:r>
      <w:r w:rsidRPr="00AF1DC5">
        <w:rPr>
          <w:rFonts w:ascii="Book Antiqua" w:hAnsi="Book Antiqua" w:cstheme="minorHAnsi"/>
        </w:rPr>
        <w:t>20.20%). Octreotide was only used in 4.04% of patients; 19.80% of patients who died received octreotide on the first or second day of admission, and 3.70% surviving cases received octreotide. Vasopressin was only given to 0.80% of patients; 24.50% of the mortality cases and 0.30% of surviving cases received vasopressin on the first or second day of admission.</w:t>
      </w:r>
    </w:p>
    <w:p w14:paraId="19FA06D8" w14:textId="5B7FA8EA" w:rsidR="00D5678B" w:rsidRPr="00AF1DC5" w:rsidRDefault="00D5678B" w:rsidP="00414592">
      <w:pPr>
        <w:pStyle w:val="BodyText"/>
        <w:snapToGrid w:val="0"/>
        <w:spacing w:before="0" w:after="0" w:line="360" w:lineRule="auto"/>
        <w:ind w:firstLineChars="100" w:firstLine="240"/>
        <w:jc w:val="both"/>
        <w:rPr>
          <w:rFonts w:ascii="Book Antiqua" w:hAnsi="Book Antiqua" w:cstheme="minorHAnsi"/>
        </w:rPr>
      </w:pPr>
      <w:r w:rsidRPr="00AF1DC5">
        <w:rPr>
          <w:rFonts w:ascii="Book Antiqua" w:hAnsi="Book Antiqua" w:cstheme="minorHAnsi"/>
        </w:rPr>
        <w:t>Table 3 displays the top admitting diagnosis codes for mortalities and non-mortalities.</w:t>
      </w:r>
      <w:r w:rsidR="00A26905" w:rsidRPr="00AF1DC5">
        <w:rPr>
          <w:rFonts w:ascii="Book Antiqua" w:hAnsi="Book Antiqua" w:cstheme="minorHAnsi"/>
        </w:rPr>
        <w:t xml:space="preserve"> </w:t>
      </w:r>
      <w:r w:rsidRPr="00AF1DC5">
        <w:rPr>
          <w:rFonts w:ascii="Book Antiqua" w:hAnsi="Book Antiqua" w:cstheme="minorHAnsi"/>
        </w:rPr>
        <w:t>Mortalities included several diagnosis codes not related to GI symptoms, including dyspnea and respiratory abnormalities, cardiac arrest, pneumonia, diseases of white blood cells, and respiratory failure. Non-mortalities more frequently carried GI-specific admitting diagnoses.</w:t>
      </w:r>
      <w:bookmarkStart w:id="37" w:name="bivariate-analysis-and-model-building"/>
      <w:bookmarkStart w:id="38" w:name="multivariable"/>
      <w:bookmarkEnd w:id="37"/>
      <w:bookmarkEnd w:id="38"/>
    </w:p>
    <w:p w14:paraId="1A35111D" w14:textId="77777777" w:rsidR="00414592" w:rsidRPr="00AF1DC5" w:rsidRDefault="00414592" w:rsidP="00E50668">
      <w:pPr>
        <w:pStyle w:val="BodyText"/>
        <w:snapToGrid w:val="0"/>
        <w:spacing w:before="0" w:after="0" w:line="360" w:lineRule="auto"/>
        <w:jc w:val="both"/>
        <w:rPr>
          <w:rFonts w:ascii="Book Antiqua" w:hAnsi="Book Antiqua" w:cstheme="minorHAnsi"/>
          <w:b/>
          <w:lang w:eastAsia="zh-CN"/>
        </w:rPr>
      </w:pPr>
    </w:p>
    <w:p w14:paraId="27E54065" w14:textId="6888B666" w:rsidR="00D5678B" w:rsidRPr="00AF1DC5" w:rsidRDefault="00D5678B" w:rsidP="00E50668">
      <w:pPr>
        <w:pStyle w:val="BodyText"/>
        <w:snapToGrid w:val="0"/>
        <w:spacing w:before="0" w:after="0" w:line="360" w:lineRule="auto"/>
        <w:jc w:val="both"/>
        <w:rPr>
          <w:rFonts w:ascii="Book Antiqua" w:hAnsi="Book Antiqua" w:cstheme="minorHAnsi"/>
          <w:b/>
          <w:i/>
        </w:rPr>
      </w:pPr>
      <w:r w:rsidRPr="00AF1DC5">
        <w:rPr>
          <w:rFonts w:ascii="Book Antiqua" w:hAnsi="Book Antiqua" w:cstheme="minorHAnsi"/>
          <w:b/>
          <w:i/>
        </w:rPr>
        <w:t xml:space="preserve">Multivariable </w:t>
      </w:r>
      <w:r w:rsidR="00414592" w:rsidRPr="00AF1DC5">
        <w:rPr>
          <w:rFonts w:ascii="Book Antiqua" w:hAnsi="Book Antiqua" w:cstheme="minorHAnsi"/>
          <w:b/>
          <w:i/>
        </w:rPr>
        <w:t>a</w:t>
      </w:r>
      <w:r w:rsidRPr="00AF1DC5">
        <w:rPr>
          <w:rFonts w:ascii="Book Antiqua" w:hAnsi="Book Antiqua" w:cstheme="minorHAnsi"/>
          <w:b/>
          <w:i/>
        </w:rPr>
        <w:t>nalysis</w:t>
      </w:r>
    </w:p>
    <w:p w14:paraId="6E3DE739" w14:textId="063B2484" w:rsidR="00D5678B" w:rsidRPr="00AF1DC5" w:rsidRDefault="00D5678B" w:rsidP="00414592">
      <w:pPr>
        <w:pStyle w:val="BodyText"/>
        <w:snapToGrid w:val="0"/>
        <w:spacing w:before="0" w:after="0" w:line="360" w:lineRule="auto"/>
        <w:jc w:val="both"/>
        <w:rPr>
          <w:rFonts w:ascii="Book Antiqua" w:hAnsi="Book Antiqua" w:cstheme="minorHAnsi"/>
          <w:b/>
          <w:lang w:eastAsia="zh-CN"/>
        </w:rPr>
      </w:pPr>
      <w:r w:rsidRPr="00AF1DC5">
        <w:rPr>
          <w:rFonts w:ascii="Book Antiqua" w:hAnsi="Book Antiqua" w:cstheme="minorHAnsi"/>
          <w:b/>
        </w:rPr>
        <w:t>Factors associated with mortality in all GIB diagnoses</w:t>
      </w:r>
      <w:r w:rsidR="00414592" w:rsidRPr="00AF1DC5">
        <w:rPr>
          <w:rFonts w:ascii="Book Antiqua" w:hAnsi="Book Antiqua" w:cstheme="minorHAnsi"/>
          <w:b/>
          <w:lang w:eastAsia="zh-CN"/>
        </w:rPr>
        <w:t xml:space="preserve">: </w:t>
      </w:r>
      <w:r w:rsidRPr="00AF1DC5">
        <w:rPr>
          <w:rFonts w:ascii="Book Antiqua" w:hAnsi="Book Antiqua" w:cstheme="minorHAnsi"/>
        </w:rPr>
        <w:t xml:space="preserve">After adjustment for other covariates, race was not significantly associated with mortality in patients with a primary diagnosis of UGIB or unspecified GIB (adjusted </w:t>
      </w:r>
      <w:r w:rsidRPr="00AF1DC5">
        <w:rPr>
          <w:rFonts w:ascii="Book Antiqua" w:hAnsi="Book Antiqua" w:cstheme="minorHAnsi"/>
          <w:i/>
        </w:rPr>
        <w:t>P</w:t>
      </w:r>
      <w:r w:rsidR="00414592" w:rsidRPr="00AF1DC5">
        <w:rPr>
          <w:rFonts w:ascii="Book Antiqua" w:hAnsi="Book Antiqua" w:cstheme="minorHAnsi"/>
          <w:i/>
          <w:lang w:eastAsia="zh-CN"/>
        </w:rPr>
        <w:t xml:space="preserve"> </w:t>
      </w:r>
      <w:r w:rsidRPr="00AF1DC5">
        <w:rPr>
          <w:rFonts w:ascii="Book Antiqua" w:hAnsi="Book Antiqua" w:cstheme="minorHAnsi"/>
        </w:rPr>
        <w:t>=</w:t>
      </w:r>
      <w:r w:rsidR="00414592" w:rsidRPr="00AF1DC5">
        <w:rPr>
          <w:rFonts w:ascii="Book Antiqua" w:hAnsi="Book Antiqua" w:cstheme="minorHAnsi"/>
          <w:lang w:eastAsia="zh-CN"/>
        </w:rPr>
        <w:t xml:space="preserve"> </w:t>
      </w:r>
      <w:r w:rsidRPr="00AF1DC5">
        <w:rPr>
          <w:rFonts w:ascii="Book Antiqua" w:hAnsi="Book Antiqua" w:cstheme="minorHAnsi"/>
        </w:rPr>
        <w:t xml:space="preserve">0.999). Although the majority of patients were male, mortality tended to be higher in females; however, gender was not significantly associated with mortality (adjusted </w:t>
      </w:r>
      <w:r w:rsidRPr="00AF1DC5">
        <w:rPr>
          <w:rFonts w:ascii="Book Antiqua" w:hAnsi="Book Antiqua" w:cstheme="minorHAnsi"/>
          <w:i/>
        </w:rPr>
        <w:t>P</w:t>
      </w:r>
      <w:r w:rsidR="00414592" w:rsidRPr="00AF1DC5">
        <w:rPr>
          <w:rFonts w:ascii="Book Antiqua" w:hAnsi="Book Antiqua" w:cstheme="minorHAnsi"/>
          <w:i/>
          <w:lang w:eastAsia="zh-CN"/>
        </w:rPr>
        <w:t xml:space="preserve"> </w:t>
      </w:r>
      <w:r w:rsidRPr="00AF1DC5">
        <w:rPr>
          <w:rFonts w:ascii="Book Antiqua" w:hAnsi="Book Antiqua" w:cstheme="minorHAnsi"/>
        </w:rPr>
        <w:t>=</w:t>
      </w:r>
      <w:r w:rsidR="00414592" w:rsidRPr="00AF1DC5">
        <w:rPr>
          <w:rFonts w:ascii="Book Antiqua" w:hAnsi="Book Antiqua" w:cstheme="minorHAnsi"/>
          <w:lang w:eastAsia="zh-CN"/>
        </w:rPr>
        <w:t xml:space="preserve"> </w:t>
      </w:r>
      <w:r w:rsidRPr="00AF1DC5">
        <w:rPr>
          <w:rFonts w:ascii="Book Antiqua" w:hAnsi="Book Antiqua" w:cstheme="minorHAnsi"/>
        </w:rPr>
        <w:t>0.</w:t>
      </w:r>
      <w:r w:rsidR="00656575" w:rsidRPr="00AF1DC5">
        <w:rPr>
          <w:rFonts w:ascii="Book Antiqua" w:hAnsi="Book Antiqua" w:cstheme="minorHAnsi"/>
        </w:rPr>
        <w:t>339</w:t>
      </w:r>
      <w:r w:rsidRPr="00AF1DC5">
        <w:rPr>
          <w:rFonts w:ascii="Book Antiqua" w:hAnsi="Book Antiqua" w:cstheme="minorHAnsi"/>
        </w:rPr>
        <w:t xml:space="preserve">). Age was also not significantly associated with mortality (adjusted </w:t>
      </w:r>
      <w:r w:rsidRPr="00AF1DC5">
        <w:rPr>
          <w:rFonts w:ascii="Book Antiqua" w:hAnsi="Book Antiqua" w:cstheme="minorHAnsi"/>
          <w:i/>
        </w:rPr>
        <w:t>P</w:t>
      </w:r>
      <w:r w:rsidR="00414592" w:rsidRPr="00AF1DC5">
        <w:rPr>
          <w:rFonts w:ascii="Book Antiqua" w:hAnsi="Book Antiqua" w:cstheme="minorHAnsi"/>
          <w:i/>
          <w:lang w:eastAsia="zh-CN"/>
        </w:rPr>
        <w:t xml:space="preserve"> </w:t>
      </w:r>
      <w:r w:rsidRPr="00AF1DC5">
        <w:rPr>
          <w:rFonts w:ascii="Book Antiqua" w:hAnsi="Book Antiqua" w:cstheme="minorHAnsi"/>
        </w:rPr>
        <w:t>=</w:t>
      </w:r>
      <w:r w:rsidR="00414592" w:rsidRPr="00AF1DC5">
        <w:rPr>
          <w:rFonts w:ascii="Book Antiqua" w:hAnsi="Book Antiqua" w:cstheme="minorHAnsi"/>
          <w:lang w:eastAsia="zh-CN"/>
        </w:rPr>
        <w:t xml:space="preserve"> </w:t>
      </w:r>
      <w:r w:rsidRPr="00AF1DC5">
        <w:rPr>
          <w:rFonts w:ascii="Book Antiqua" w:hAnsi="Book Antiqua" w:cstheme="minorHAnsi"/>
        </w:rPr>
        <w:t>0.999).</w:t>
      </w:r>
      <w:r w:rsidR="00A26905" w:rsidRPr="00AF1DC5">
        <w:rPr>
          <w:rFonts w:ascii="Book Antiqua" w:hAnsi="Book Antiqua" w:cstheme="minorHAnsi"/>
        </w:rPr>
        <w:t xml:space="preserve"> </w:t>
      </w:r>
      <w:r w:rsidRPr="00AF1DC5">
        <w:rPr>
          <w:rFonts w:ascii="Book Antiqua" w:hAnsi="Book Antiqua" w:cstheme="minorHAnsi"/>
        </w:rPr>
        <w:t xml:space="preserve">These covariates were retained in the model for their role as potential confounders. Urban </w:t>
      </w:r>
      <w:r w:rsidR="00414592" w:rsidRPr="00AF1DC5">
        <w:rPr>
          <w:rFonts w:ascii="Book Antiqua" w:hAnsi="Book Antiqua" w:cstheme="minorHAnsi"/>
          <w:i/>
        </w:rPr>
        <w:t>vs</w:t>
      </w:r>
      <w:r w:rsidR="00414592" w:rsidRPr="00AF1DC5">
        <w:rPr>
          <w:rFonts w:ascii="Book Antiqua" w:hAnsi="Book Antiqua" w:cstheme="minorHAnsi"/>
          <w:lang w:eastAsia="zh-CN"/>
        </w:rPr>
        <w:t xml:space="preserve"> </w:t>
      </w:r>
      <w:r w:rsidR="00414592" w:rsidRPr="00AF1DC5">
        <w:rPr>
          <w:rFonts w:ascii="Book Antiqua" w:hAnsi="Book Antiqua" w:cstheme="minorHAnsi"/>
        </w:rPr>
        <w:t>rural zip code of residence</w:t>
      </w:r>
      <w:r w:rsidRPr="00AF1DC5">
        <w:rPr>
          <w:rFonts w:ascii="Book Antiqua" w:hAnsi="Book Antiqua" w:cstheme="minorHAnsi"/>
        </w:rPr>
        <w:t xml:space="preserve">, H2RA within the first or second day of admission, and the interaction between endoscopy and </w:t>
      </w:r>
      <w:r w:rsidR="006D4554" w:rsidRPr="00AF1DC5">
        <w:rPr>
          <w:rFonts w:ascii="Book Antiqua" w:hAnsi="Book Antiqua" w:cstheme="minorHAnsi"/>
        </w:rPr>
        <w:t xml:space="preserve">chronic liver disease </w:t>
      </w:r>
      <w:r w:rsidRPr="00AF1DC5">
        <w:rPr>
          <w:rFonts w:ascii="Book Antiqua" w:hAnsi="Book Antiqua" w:cstheme="minorHAnsi"/>
        </w:rPr>
        <w:t xml:space="preserve">were not statistically significant and did </w:t>
      </w:r>
      <w:r w:rsidRPr="00AF1DC5">
        <w:rPr>
          <w:rFonts w:ascii="Book Antiqua" w:hAnsi="Book Antiqua" w:cstheme="minorHAnsi"/>
        </w:rPr>
        <w:lastRenderedPageBreak/>
        <w:t xml:space="preserve">not improve fit, thus were removed from the model </w:t>
      </w:r>
      <w:r w:rsidR="00414592" w:rsidRPr="00AF1DC5">
        <w:rPr>
          <w:rFonts w:ascii="Book Antiqua" w:hAnsi="Book Antiqua" w:cstheme="minorHAnsi"/>
          <w:lang w:eastAsia="zh-CN"/>
        </w:rPr>
        <w:t>[</w:t>
      </w:r>
      <w:r w:rsidRPr="00AF1DC5">
        <w:rPr>
          <w:rFonts w:ascii="Book Antiqua" w:hAnsi="Book Antiqua" w:cstheme="minorHAnsi"/>
          <w:i/>
        </w:rPr>
        <w:t>χ</w:t>
      </w:r>
      <w:r w:rsidRPr="00AF1DC5">
        <w:rPr>
          <w:rFonts w:ascii="Book Antiqua" w:hAnsi="Book Antiqua" w:cstheme="minorHAnsi"/>
          <w:i/>
          <w:vertAlign w:val="superscript"/>
        </w:rPr>
        <w:t>2</w:t>
      </w:r>
      <w:r w:rsidRPr="00AF1DC5">
        <w:rPr>
          <w:rFonts w:ascii="Book Antiqua" w:hAnsi="Book Antiqua" w:cstheme="minorHAnsi"/>
          <w:vertAlign w:val="superscript"/>
        </w:rPr>
        <w:t xml:space="preserve"> </w:t>
      </w:r>
      <w:r w:rsidRPr="00AF1DC5">
        <w:rPr>
          <w:rFonts w:ascii="Book Antiqua" w:hAnsi="Book Antiqua" w:cstheme="minorHAnsi"/>
        </w:rPr>
        <w:t>(</w:t>
      </w:r>
      <w:r w:rsidR="006D4554" w:rsidRPr="00AF1DC5">
        <w:rPr>
          <w:rFonts w:ascii="Book Antiqua" w:hAnsi="Book Antiqua" w:cstheme="minorHAnsi"/>
        </w:rPr>
        <w:t>4</w:t>
      </w:r>
      <w:r w:rsidRPr="00AF1DC5">
        <w:rPr>
          <w:rFonts w:ascii="Book Antiqua" w:hAnsi="Book Antiqua" w:cstheme="minorHAnsi"/>
        </w:rPr>
        <w:t>)</w:t>
      </w:r>
      <w:r w:rsidR="00414592" w:rsidRPr="00AF1DC5">
        <w:rPr>
          <w:rFonts w:ascii="Book Antiqua" w:hAnsi="Book Antiqua" w:cstheme="minorHAnsi"/>
          <w:lang w:eastAsia="zh-CN"/>
        </w:rPr>
        <w:t xml:space="preserve"> </w:t>
      </w:r>
      <w:r w:rsidRPr="00AF1DC5">
        <w:rPr>
          <w:rFonts w:ascii="Book Antiqua" w:hAnsi="Book Antiqua" w:cstheme="minorHAnsi"/>
        </w:rPr>
        <w:t>=</w:t>
      </w:r>
      <w:r w:rsidR="00414592" w:rsidRPr="00AF1DC5">
        <w:rPr>
          <w:rFonts w:ascii="Book Antiqua" w:hAnsi="Book Antiqua" w:cstheme="minorHAnsi"/>
          <w:lang w:eastAsia="zh-CN"/>
        </w:rPr>
        <w:t xml:space="preserve"> </w:t>
      </w:r>
      <w:r w:rsidR="006D4554" w:rsidRPr="00AF1DC5">
        <w:rPr>
          <w:rFonts w:ascii="Book Antiqua" w:hAnsi="Book Antiqua" w:cstheme="minorHAnsi"/>
        </w:rPr>
        <w:t>4</w:t>
      </w:r>
      <w:r w:rsidR="005B5BCD" w:rsidRPr="00AF1DC5">
        <w:rPr>
          <w:rFonts w:ascii="Book Antiqua" w:hAnsi="Book Antiqua" w:cstheme="minorHAnsi"/>
        </w:rPr>
        <w:t>.505</w:t>
      </w:r>
      <w:r w:rsidRPr="00AF1DC5">
        <w:rPr>
          <w:rFonts w:ascii="Book Antiqua" w:hAnsi="Book Antiqua" w:cstheme="minorHAnsi"/>
        </w:rPr>
        <w:t xml:space="preserve">, </w:t>
      </w:r>
      <w:r w:rsidRPr="00AF1DC5">
        <w:rPr>
          <w:rFonts w:ascii="Book Antiqua" w:hAnsi="Book Antiqua" w:cstheme="minorHAnsi"/>
          <w:i/>
        </w:rPr>
        <w:t>P</w:t>
      </w:r>
      <w:r w:rsidR="00414592" w:rsidRPr="00AF1DC5">
        <w:rPr>
          <w:rFonts w:ascii="Book Antiqua" w:hAnsi="Book Antiqua" w:cstheme="minorHAnsi"/>
          <w:i/>
          <w:lang w:eastAsia="zh-CN"/>
        </w:rPr>
        <w:t xml:space="preserve"> </w:t>
      </w:r>
      <w:r w:rsidRPr="00AF1DC5">
        <w:rPr>
          <w:rFonts w:ascii="Book Antiqua" w:hAnsi="Book Antiqua" w:cstheme="minorHAnsi"/>
        </w:rPr>
        <w:t>=</w:t>
      </w:r>
      <w:r w:rsidR="00414592" w:rsidRPr="00AF1DC5">
        <w:rPr>
          <w:rFonts w:ascii="Book Antiqua" w:hAnsi="Book Antiqua" w:cstheme="minorHAnsi"/>
          <w:lang w:eastAsia="zh-CN"/>
        </w:rPr>
        <w:t xml:space="preserve"> </w:t>
      </w:r>
      <w:r w:rsidRPr="00AF1DC5">
        <w:rPr>
          <w:rFonts w:ascii="Book Antiqua" w:hAnsi="Book Antiqua" w:cstheme="minorHAnsi"/>
        </w:rPr>
        <w:t>0.</w:t>
      </w:r>
      <w:r w:rsidR="005B5BCD" w:rsidRPr="00AF1DC5">
        <w:rPr>
          <w:rFonts w:ascii="Book Antiqua" w:hAnsi="Book Antiqua" w:cstheme="minorHAnsi"/>
        </w:rPr>
        <w:t>342</w:t>
      </w:r>
      <w:r w:rsidR="00414592" w:rsidRPr="00AF1DC5">
        <w:rPr>
          <w:rFonts w:ascii="Book Antiqua" w:hAnsi="Book Antiqua" w:cstheme="minorHAnsi"/>
          <w:lang w:eastAsia="zh-CN"/>
        </w:rPr>
        <w:t>]</w:t>
      </w:r>
      <w:r w:rsidRPr="00AF1DC5">
        <w:rPr>
          <w:rFonts w:ascii="Book Antiqua" w:hAnsi="Book Antiqua" w:cstheme="minorHAnsi"/>
        </w:rPr>
        <w:t>. Furthermore,</w:t>
      </w:r>
      <w:r w:rsidR="00414592" w:rsidRPr="00AF1DC5">
        <w:rPr>
          <w:rFonts w:ascii="Book Antiqua" w:hAnsi="Book Antiqua" w:cstheme="minorHAnsi"/>
          <w:lang w:eastAsia="zh-CN"/>
        </w:rPr>
        <w:t xml:space="preserve"> </w:t>
      </w:r>
      <w:r w:rsidRPr="00AF1DC5">
        <w:rPr>
          <w:rFonts w:ascii="Book Antiqua" w:hAnsi="Book Antiqua" w:cstheme="minorHAnsi"/>
        </w:rPr>
        <w:t xml:space="preserve">chronic liver disease, and the interaction between endoscopy and </w:t>
      </w:r>
      <w:r w:rsidR="006D4554" w:rsidRPr="00AF1DC5">
        <w:rPr>
          <w:rFonts w:ascii="Book Antiqua" w:hAnsi="Book Antiqua" w:cstheme="minorHAnsi"/>
        </w:rPr>
        <w:t>CCCs</w:t>
      </w:r>
      <w:r w:rsidRPr="00AF1DC5">
        <w:rPr>
          <w:rFonts w:ascii="Book Antiqua" w:hAnsi="Book Antiqua" w:cstheme="minorHAnsi"/>
        </w:rPr>
        <w:t xml:space="preserve"> were not significant and did not significantly improve model fit and were also removed from the final model </w:t>
      </w:r>
      <w:r w:rsidR="00414592" w:rsidRPr="00AF1DC5">
        <w:rPr>
          <w:rFonts w:ascii="Book Antiqua" w:hAnsi="Book Antiqua" w:cstheme="minorHAnsi"/>
          <w:lang w:eastAsia="zh-CN"/>
        </w:rPr>
        <w:t>[</w:t>
      </w:r>
      <w:r w:rsidRPr="00AF1DC5">
        <w:rPr>
          <w:rFonts w:ascii="Book Antiqua" w:hAnsi="Book Antiqua" w:cstheme="minorHAnsi"/>
          <w:i/>
        </w:rPr>
        <w:t>χ</w:t>
      </w:r>
      <w:r w:rsidRPr="00AF1DC5">
        <w:rPr>
          <w:rFonts w:ascii="Book Antiqua" w:hAnsi="Book Antiqua" w:cstheme="minorHAnsi"/>
          <w:i/>
          <w:vertAlign w:val="superscript"/>
        </w:rPr>
        <w:t xml:space="preserve">2 </w:t>
      </w:r>
      <w:r w:rsidRPr="00AF1DC5">
        <w:rPr>
          <w:rFonts w:ascii="Book Antiqua" w:hAnsi="Book Antiqua" w:cstheme="minorHAnsi"/>
        </w:rPr>
        <w:t>(3)</w:t>
      </w:r>
      <w:r w:rsidR="00414592" w:rsidRPr="00AF1DC5">
        <w:rPr>
          <w:rFonts w:ascii="Book Antiqua" w:hAnsi="Book Antiqua" w:cstheme="minorHAnsi"/>
          <w:lang w:eastAsia="zh-CN"/>
        </w:rPr>
        <w:t xml:space="preserve"> </w:t>
      </w:r>
      <w:r w:rsidRPr="00AF1DC5">
        <w:rPr>
          <w:rFonts w:ascii="Book Antiqua" w:hAnsi="Book Antiqua" w:cstheme="minorHAnsi"/>
        </w:rPr>
        <w:t>=</w:t>
      </w:r>
      <w:r w:rsidR="00414592" w:rsidRPr="00AF1DC5">
        <w:rPr>
          <w:rFonts w:ascii="Book Antiqua" w:hAnsi="Book Antiqua" w:cstheme="minorHAnsi"/>
          <w:lang w:eastAsia="zh-CN"/>
        </w:rPr>
        <w:t xml:space="preserve"> </w:t>
      </w:r>
      <w:r w:rsidR="006D4554" w:rsidRPr="00AF1DC5">
        <w:rPr>
          <w:rFonts w:ascii="Book Antiqua" w:hAnsi="Book Antiqua" w:cstheme="minorHAnsi"/>
        </w:rPr>
        <w:t>4.</w:t>
      </w:r>
      <w:r w:rsidR="005B5BCD" w:rsidRPr="00AF1DC5">
        <w:rPr>
          <w:rFonts w:ascii="Book Antiqua" w:hAnsi="Book Antiqua" w:cstheme="minorHAnsi"/>
        </w:rPr>
        <w:t>612</w:t>
      </w:r>
      <w:r w:rsidRPr="00AF1DC5">
        <w:rPr>
          <w:rFonts w:ascii="Book Antiqua" w:hAnsi="Book Antiqua" w:cstheme="minorHAnsi"/>
        </w:rPr>
        <w:t xml:space="preserve"> </w:t>
      </w:r>
      <w:r w:rsidRPr="00AF1DC5">
        <w:rPr>
          <w:rFonts w:ascii="Book Antiqua" w:hAnsi="Book Antiqua" w:cstheme="minorHAnsi"/>
          <w:i/>
        </w:rPr>
        <w:t>P</w:t>
      </w:r>
      <w:r w:rsidR="00414592" w:rsidRPr="00AF1DC5">
        <w:rPr>
          <w:rFonts w:ascii="Book Antiqua" w:hAnsi="Book Antiqua" w:cstheme="minorHAnsi"/>
          <w:i/>
          <w:lang w:eastAsia="zh-CN"/>
        </w:rPr>
        <w:t xml:space="preserve"> </w:t>
      </w:r>
      <w:r w:rsidRPr="00AF1DC5">
        <w:rPr>
          <w:rFonts w:ascii="Book Antiqua" w:hAnsi="Book Antiqua" w:cstheme="minorHAnsi"/>
        </w:rPr>
        <w:t>=</w:t>
      </w:r>
      <w:r w:rsidR="00414592" w:rsidRPr="00AF1DC5">
        <w:rPr>
          <w:rFonts w:ascii="Book Antiqua" w:hAnsi="Book Antiqua" w:cstheme="minorHAnsi"/>
          <w:lang w:eastAsia="zh-CN"/>
        </w:rPr>
        <w:t xml:space="preserve"> </w:t>
      </w:r>
      <w:r w:rsidRPr="00AF1DC5">
        <w:rPr>
          <w:rFonts w:ascii="Book Antiqua" w:hAnsi="Book Antiqua" w:cstheme="minorHAnsi"/>
        </w:rPr>
        <w:t>0.</w:t>
      </w:r>
      <w:r w:rsidR="005B5BCD" w:rsidRPr="00AF1DC5">
        <w:rPr>
          <w:rFonts w:ascii="Book Antiqua" w:hAnsi="Book Antiqua" w:cstheme="minorHAnsi"/>
        </w:rPr>
        <w:t>203</w:t>
      </w:r>
      <w:r w:rsidR="00414592" w:rsidRPr="00AF1DC5">
        <w:rPr>
          <w:rFonts w:ascii="Book Antiqua" w:hAnsi="Book Antiqua" w:cstheme="minorHAnsi"/>
          <w:lang w:eastAsia="zh-CN"/>
        </w:rPr>
        <w:t>]</w:t>
      </w:r>
      <w:r w:rsidRPr="00AF1DC5">
        <w:rPr>
          <w:rFonts w:ascii="Book Antiqua" w:hAnsi="Book Antiqua" w:cstheme="minorHAnsi"/>
        </w:rPr>
        <w:t xml:space="preserve">. </w:t>
      </w:r>
      <w:r w:rsidR="006D4554" w:rsidRPr="00AF1DC5">
        <w:rPr>
          <w:rFonts w:ascii="Book Antiqua" w:hAnsi="Book Antiqua" w:cstheme="minorHAnsi"/>
        </w:rPr>
        <w:t>Although PPI on the first or second day of the encounter was not significant after correcting for multiple testing, the inclusion of this variable significantly improve</w:t>
      </w:r>
      <w:r w:rsidR="00767584" w:rsidRPr="00AF1DC5">
        <w:rPr>
          <w:rFonts w:ascii="Book Antiqua" w:hAnsi="Book Antiqua" w:cstheme="minorHAnsi"/>
        </w:rPr>
        <w:t>d</w:t>
      </w:r>
      <w:r w:rsidR="006D4554" w:rsidRPr="00AF1DC5">
        <w:rPr>
          <w:rFonts w:ascii="Book Antiqua" w:hAnsi="Book Antiqua" w:cstheme="minorHAnsi"/>
        </w:rPr>
        <w:t xml:space="preserve"> model fit </w:t>
      </w:r>
      <w:r w:rsidR="00414592" w:rsidRPr="00AF1DC5">
        <w:rPr>
          <w:rFonts w:ascii="Book Antiqua" w:hAnsi="Book Antiqua" w:cstheme="minorHAnsi"/>
          <w:lang w:eastAsia="zh-CN"/>
        </w:rPr>
        <w:t>[</w:t>
      </w:r>
      <w:r w:rsidR="006D4554" w:rsidRPr="00AF1DC5">
        <w:rPr>
          <w:rFonts w:ascii="Book Antiqua" w:hAnsi="Book Antiqua" w:cstheme="minorHAnsi"/>
        </w:rPr>
        <w:t>χ</w:t>
      </w:r>
      <w:r w:rsidR="006D4554" w:rsidRPr="00AF1DC5">
        <w:rPr>
          <w:rFonts w:ascii="Book Antiqua" w:hAnsi="Book Antiqua" w:cstheme="minorHAnsi"/>
          <w:vertAlign w:val="superscript"/>
        </w:rPr>
        <w:t xml:space="preserve">2 </w:t>
      </w:r>
      <w:r w:rsidR="006D4554" w:rsidRPr="00AF1DC5">
        <w:rPr>
          <w:rFonts w:ascii="Book Antiqua" w:hAnsi="Book Antiqua" w:cstheme="minorHAnsi"/>
        </w:rPr>
        <w:t>(1)</w:t>
      </w:r>
      <w:r w:rsidR="00414592" w:rsidRPr="00AF1DC5">
        <w:rPr>
          <w:rFonts w:ascii="Book Antiqua" w:hAnsi="Book Antiqua" w:cstheme="minorHAnsi"/>
          <w:lang w:eastAsia="zh-CN"/>
        </w:rPr>
        <w:t xml:space="preserve"> </w:t>
      </w:r>
      <w:r w:rsidR="006D4554" w:rsidRPr="00AF1DC5">
        <w:rPr>
          <w:rFonts w:ascii="Book Antiqua" w:hAnsi="Book Antiqua" w:cstheme="minorHAnsi"/>
        </w:rPr>
        <w:t>=</w:t>
      </w:r>
      <w:r w:rsidR="00414592" w:rsidRPr="00AF1DC5">
        <w:rPr>
          <w:rFonts w:ascii="Book Antiqua" w:hAnsi="Book Antiqua" w:cstheme="minorHAnsi"/>
          <w:lang w:eastAsia="zh-CN"/>
        </w:rPr>
        <w:t xml:space="preserve"> </w:t>
      </w:r>
      <w:r w:rsidR="006D4554" w:rsidRPr="00AF1DC5">
        <w:rPr>
          <w:rFonts w:ascii="Book Antiqua" w:hAnsi="Book Antiqua" w:cstheme="minorHAnsi"/>
        </w:rPr>
        <w:t>5.</w:t>
      </w:r>
      <w:r w:rsidR="005B5BCD" w:rsidRPr="00AF1DC5">
        <w:rPr>
          <w:rFonts w:ascii="Book Antiqua" w:hAnsi="Book Antiqua" w:cstheme="minorHAnsi"/>
        </w:rPr>
        <w:t>451</w:t>
      </w:r>
      <w:r w:rsidR="006D4554" w:rsidRPr="00AF1DC5">
        <w:rPr>
          <w:rFonts w:ascii="Book Antiqua" w:hAnsi="Book Antiqua" w:cstheme="minorHAnsi"/>
        </w:rPr>
        <w:t xml:space="preserve">, </w:t>
      </w:r>
      <w:r w:rsidR="006D4554" w:rsidRPr="00AF1DC5">
        <w:rPr>
          <w:rFonts w:ascii="Book Antiqua" w:hAnsi="Book Antiqua" w:cstheme="minorHAnsi"/>
          <w:i/>
        </w:rPr>
        <w:t>P</w:t>
      </w:r>
      <w:r w:rsidR="00414592" w:rsidRPr="00AF1DC5">
        <w:rPr>
          <w:rFonts w:ascii="Book Antiqua" w:hAnsi="Book Antiqua" w:cstheme="minorHAnsi"/>
          <w:i/>
          <w:lang w:eastAsia="zh-CN"/>
        </w:rPr>
        <w:t xml:space="preserve"> </w:t>
      </w:r>
      <w:r w:rsidR="006D4554" w:rsidRPr="00AF1DC5">
        <w:rPr>
          <w:rFonts w:ascii="Book Antiqua" w:hAnsi="Book Antiqua" w:cstheme="minorHAnsi"/>
        </w:rPr>
        <w:t>=</w:t>
      </w:r>
      <w:r w:rsidR="00414592" w:rsidRPr="00AF1DC5">
        <w:rPr>
          <w:rFonts w:ascii="Book Antiqua" w:hAnsi="Book Antiqua" w:cstheme="minorHAnsi"/>
          <w:lang w:eastAsia="zh-CN"/>
        </w:rPr>
        <w:t xml:space="preserve"> </w:t>
      </w:r>
      <w:r w:rsidR="006D4554" w:rsidRPr="00AF1DC5">
        <w:rPr>
          <w:rFonts w:ascii="Book Antiqua" w:hAnsi="Book Antiqua" w:cstheme="minorHAnsi"/>
        </w:rPr>
        <w:t>0.020</w:t>
      </w:r>
      <w:r w:rsidR="00414592" w:rsidRPr="00AF1DC5">
        <w:rPr>
          <w:rFonts w:ascii="Book Antiqua" w:hAnsi="Book Antiqua" w:cstheme="minorHAnsi"/>
          <w:lang w:eastAsia="zh-CN"/>
        </w:rPr>
        <w:t>]</w:t>
      </w:r>
      <w:r w:rsidR="006D4554" w:rsidRPr="00AF1DC5">
        <w:rPr>
          <w:rFonts w:ascii="Book Antiqua" w:hAnsi="Book Antiqua" w:cstheme="minorHAnsi"/>
        </w:rPr>
        <w:t>.</w:t>
      </w:r>
    </w:p>
    <w:p w14:paraId="57DC6C8B" w14:textId="3403CB8E" w:rsidR="00D5678B" w:rsidRPr="00AF1DC5" w:rsidRDefault="00D5678B" w:rsidP="00414592">
      <w:pPr>
        <w:pStyle w:val="BodyText"/>
        <w:snapToGrid w:val="0"/>
        <w:spacing w:before="0" w:after="0" w:line="360" w:lineRule="auto"/>
        <w:ind w:firstLineChars="100" w:firstLine="240"/>
        <w:jc w:val="both"/>
        <w:rPr>
          <w:rFonts w:ascii="Book Antiqua" w:hAnsi="Book Antiqua" w:cstheme="minorHAnsi"/>
        </w:rPr>
      </w:pPr>
      <w:r w:rsidRPr="00AF1DC5">
        <w:rPr>
          <w:rFonts w:ascii="Book Antiqua" w:hAnsi="Book Antiqua" w:cstheme="minorHAnsi"/>
        </w:rPr>
        <w:t xml:space="preserve">Those patients who died were far less likely to have undergone an endoscopic procedure (OR </w:t>
      </w:r>
      <w:r w:rsidR="00414592" w:rsidRPr="00AF1DC5">
        <w:rPr>
          <w:rFonts w:ascii="Book Antiqua" w:hAnsi="Book Antiqua" w:cstheme="minorHAnsi"/>
          <w:lang w:eastAsia="zh-CN"/>
        </w:rPr>
        <w:t xml:space="preserve">= </w:t>
      </w:r>
      <w:r w:rsidRPr="00AF1DC5">
        <w:rPr>
          <w:rFonts w:ascii="Book Antiqua" w:hAnsi="Book Antiqua" w:cstheme="minorHAnsi"/>
        </w:rPr>
        <w:t>0.48</w:t>
      </w:r>
      <w:r w:rsidR="00770ADA" w:rsidRPr="00AF1DC5">
        <w:rPr>
          <w:rFonts w:ascii="Book Antiqua" w:hAnsi="Book Antiqua" w:cstheme="minorHAnsi"/>
        </w:rPr>
        <w:t>9</w:t>
      </w:r>
      <w:r w:rsidR="00414592" w:rsidRPr="00AF1DC5">
        <w:rPr>
          <w:rFonts w:ascii="Book Antiqua" w:hAnsi="Book Antiqua" w:cstheme="minorHAnsi"/>
        </w:rPr>
        <w:t>, 95%</w:t>
      </w:r>
      <w:r w:rsidRPr="00AF1DC5">
        <w:rPr>
          <w:rFonts w:ascii="Book Antiqua" w:hAnsi="Book Antiqua" w:cstheme="minorHAnsi"/>
        </w:rPr>
        <w:t>CI</w:t>
      </w:r>
      <w:r w:rsidR="00414592" w:rsidRPr="00AF1DC5">
        <w:rPr>
          <w:rFonts w:ascii="Book Antiqua" w:hAnsi="Book Antiqua" w:cstheme="minorHAnsi"/>
          <w:lang w:eastAsia="zh-CN"/>
        </w:rPr>
        <w:t xml:space="preserve">: </w:t>
      </w:r>
      <w:r w:rsidRPr="00AF1DC5">
        <w:rPr>
          <w:rFonts w:ascii="Book Antiqua" w:hAnsi="Book Antiqua" w:cstheme="minorHAnsi"/>
        </w:rPr>
        <w:t>0.35</w:t>
      </w:r>
      <w:r w:rsidR="00920BEE" w:rsidRPr="00AF1DC5">
        <w:rPr>
          <w:rFonts w:ascii="Book Antiqua" w:hAnsi="Book Antiqua" w:cstheme="minorHAnsi"/>
        </w:rPr>
        <w:t>6</w:t>
      </w:r>
      <w:r w:rsidR="00414592" w:rsidRPr="00AF1DC5">
        <w:rPr>
          <w:rFonts w:ascii="Book Antiqua" w:hAnsi="Book Antiqua" w:cstheme="minorHAnsi"/>
          <w:lang w:eastAsia="zh-CN"/>
        </w:rPr>
        <w:t>-</w:t>
      </w:r>
      <w:r w:rsidRPr="00AF1DC5">
        <w:rPr>
          <w:rFonts w:ascii="Book Antiqua" w:hAnsi="Book Antiqua" w:cstheme="minorHAnsi"/>
        </w:rPr>
        <w:t>0.6</w:t>
      </w:r>
      <w:r w:rsidR="00920BEE" w:rsidRPr="00AF1DC5">
        <w:rPr>
          <w:rFonts w:ascii="Book Antiqua" w:hAnsi="Book Antiqua" w:cstheme="minorHAnsi"/>
        </w:rPr>
        <w:t>72</w:t>
      </w:r>
      <w:r w:rsidRPr="00AF1DC5">
        <w:rPr>
          <w:rFonts w:ascii="Book Antiqua" w:hAnsi="Book Antiqua" w:cstheme="minorHAnsi"/>
        </w:rPr>
        <w:t xml:space="preserve">; </w:t>
      </w:r>
      <w:r w:rsidRPr="00AF1DC5">
        <w:rPr>
          <w:rFonts w:ascii="Book Antiqua" w:hAnsi="Book Antiqua" w:cstheme="minorHAnsi"/>
          <w:i/>
        </w:rPr>
        <w:t>P</w:t>
      </w:r>
      <w:r w:rsidR="00414592" w:rsidRPr="00AF1DC5">
        <w:rPr>
          <w:rFonts w:ascii="Book Antiqua" w:hAnsi="Book Antiqua" w:cstheme="minorHAnsi"/>
          <w:i/>
          <w:lang w:eastAsia="zh-CN"/>
        </w:rPr>
        <w:t xml:space="preserve"> </w:t>
      </w:r>
      <w:r w:rsidRPr="00AF1DC5">
        <w:rPr>
          <w:rFonts w:ascii="Book Antiqua" w:hAnsi="Book Antiqua" w:cstheme="minorHAnsi"/>
        </w:rPr>
        <w:t>&lt;</w:t>
      </w:r>
      <w:r w:rsidR="00414592" w:rsidRPr="00AF1DC5">
        <w:rPr>
          <w:rFonts w:ascii="Book Antiqua" w:hAnsi="Book Antiqua" w:cstheme="minorHAnsi"/>
          <w:lang w:eastAsia="zh-CN"/>
        </w:rPr>
        <w:t xml:space="preserve"> </w:t>
      </w:r>
      <w:r w:rsidRPr="00AF1DC5">
        <w:rPr>
          <w:rFonts w:ascii="Book Antiqua" w:hAnsi="Book Antiqua" w:cstheme="minorHAnsi"/>
        </w:rPr>
        <w:t xml:space="preserve">0.0001), indicating a protective association with endoscopy. Mortalities were also less likely to have a GIB documented as present on admission (OR </w:t>
      </w:r>
      <w:r w:rsidR="00414592" w:rsidRPr="00AF1DC5">
        <w:rPr>
          <w:rFonts w:ascii="Book Antiqua" w:hAnsi="Book Antiqua" w:cstheme="minorHAnsi"/>
          <w:lang w:eastAsia="zh-CN"/>
        </w:rPr>
        <w:t xml:space="preserve">= </w:t>
      </w:r>
      <w:r w:rsidRPr="00AF1DC5">
        <w:rPr>
          <w:rFonts w:ascii="Book Antiqua" w:hAnsi="Book Antiqua" w:cstheme="minorHAnsi"/>
        </w:rPr>
        <w:t>0.4</w:t>
      </w:r>
      <w:r w:rsidR="00920BEE" w:rsidRPr="00AF1DC5">
        <w:rPr>
          <w:rFonts w:ascii="Book Antiqua" w:hAnsi="Book Antiqua" w:cstheme="minorHAnsi"/>
        </w:rPr>
        <w:t>64</w:t>
      </w:r>
      <w:r w:rsidR="00414592" w:rsidRPr="00AF1DC5">
        <w:rPr>
          <w:rFonts w:ascii="Book Antiqua" w:hAnsi="Book Antiqua" w:cstheme="minorHAnsi"/>
        </w:rPr>
        <w:t>, 95%</w:t>
      </w:r>
      <w:r w:rsidRPr="00AF1DC5">
        <w:rPr>
          <w:rFonts w:ascii="Book Antiqua" w:hAnsi="Book Antiqua" w:cstheme="minorHAnsi"/>
        </w:rPr>
        <w:t>CI</w:t>
      </w:r>
      <w:r w:rsidR="00414592" w:rsidRPr="00AF1DC5">
        <w:rPr>
          <w:rFonts w:ascii="Book Antiqua" w:hAnsi="Book Antiqua" w:cstheme="minorHAnsi"/>
          <w:lang w:eastAsia="zh-CN"/>
        </w:rPr>
        <w:t xml:space="preserve">: </w:t>
      </w:r>
      <w:r w:rsidRPr="00AF1DC5">
        <w:rPr>
          <w:rFonts w:ascii="Book Antiqua" w:hAnsi="Book Antiqua" w:cstheme="minorHAnsi"/>
        </w:rPr>
        <w:t>0.3</w:t>
      </w:r>
      <w:r w:rsidR="00920BEE" w:rsidRPr="00AF1DC5">
        <w:rPr>
          <w:rFonts w:ascii="Book Antiqua" w:hAnsi="Book Antiqua" w:cstheme="minorHAnsi"/>
        </w:rPr>
        <w:t>62</w:t>
      </w:r>
      <w:r w:rsidR="00414592" w:rsidRPr="00AF1DC5">
        <w:rPr>
          <w:rFonts w:ascii="Book Antiqua" w:hAnsi="Book Antiqua" w:cstheme="minorHAnsi"/>
          <w:lang w:eastAsia="zh-CN"/>
        </w:rPr>
        <w:t>-</w:t>
      </w:r>
      <w:r w:rsidRPr="00AF1DC5">
        <w:rPr>
          <w:rFonts w:ascii="Book Antiqua" w:hAnsi="Book Antiqua" w:cstheme="minorHAnsi"/>
        </w:rPr>
        <w:t>0.5</w:t>
      </w:r>
      <w:r w:rsidR="00920BEE" w:rsidRPr="00AF1DC5">
        <w:rPr>
          <w:rFonts w:ascii="Book Antiqua" w:hAnsi="Book Antiqua" w:cstheme="minorHAnsi"/>
        </w:rPr>
        <w:t>96</w:t>
      </w:r>
      <w:r w:rsidRPr="00AF1DC5">
        <w:rPr>
          <w:rFonts w:ascii="Book Antiqua" w:hAnsi="Book Antiqua" w:cstheme="minorHAnsi"/>
        </w:rPr>
        <w:t xml:space="preserve">; </w:t>
      </w:r>
      <w:r w:rsidRPr="00AF1DC5">
        <w:rPr>
          <w:rFonts w:ascii="Book Antiqua" w:hAnsi="Book Antiqua" w:cstheme="minorHAnsi"/>
          <w:i/>
        </w:rPr>
        <w:t>P</w:t>
      </w:r>
      <w:r w:rsidR="00414592" w:rsidRPr="00AF1DC5">
        <w:rPr>
          <w:rFonts w:ascii="Book Antiqua" w:hAnsi="Book Antiqua" w:cstheme="minorHAnsi"/>
          <w:i/>
          <w:lang w:eastAsia="zh-CN"/>
        </w:rPr>
        <w:t xml:space="preserve"> </w:t>
      </w:r>
      <w:r w:rsidRPr="00AF1DC5">
        <w:rPr>
          <w:rFonts w:ascii="Book Antiqua" w:hAnsi="Book Antiqua" w:cstheme="minorHAnsi"/>
        </w:rPr>
        <w:t>&lt;</w:t>
      </w:r>
      <w:r w:rsidR="00414592" w:rsidRPr="00AF1DC5">
        <w:rPr>
          <w:rFonts w:ascii="Book Antiqua" w:hAnsi="Book Antiqua" w:cstheme="minorHAnsi"/>
          <w:lang w:eastAsia="zh-CN"/>
        </w:rPr>
        <w:t xml:space="preserve"> </w:t>
      </w:r>
      <w:r w:rsidRPr="00AF1DC5">
        <w:rPr>
          <w:rFonts w:ascii="Book Antiqua" w:hAnsi="Book Antiqua" w:cstheme="minorHAnsi"/>
        </w:rPr>
        <w:t xml:space="preserve">0.0001), and less likely to have had the GIB as the principal diagnosis for the encounter (OR </w:t>
      </w:r>
      <w:r w:rsidR="00414592" w:rsidRPr="00AF1DC5">
        <w:rPr>
          <w:rFonts w:ascii="Book Antiqua" w:hAnsi="Book Antiqua" w:cstheme="minorHAnsi"/>
          <w:lang w:eastAsia="zh-CN"/>
        </w:rPr>
        <w:t xml:space="preserve">= </w:t>
      </w:r>
      <w:r w:rsidRPr="00AF1DC5">
        <w:rPr>
          <w:rFonts w:ascii="Book Antiqua" w:hAnsi="Book Antiqua" w:cstheme="minorHAnsi"/>
        </w:rPr>
        <w:t>0.2</w:t>
      </w:r>
      <w:r w:rsidR="00920BEE" w:rsidRPr="00AF1DC5">
        <w:rPr>
          <w:rFonts w:ascii="Book Antiqua" w:hAnsi="Book Antiqua" w:cstheme="minorHAnsi"/>
        </w:rPr>
        <w:t>66</w:t>
      </w:r>
      <w:r w:rsidR="00414592" w:rsidRPr="00AF1DC5">
        <w:rPr>
          <w:rFonts w:ascii="Book Antiqua" w:hAnsi="Book Antiqua" w:cstheme="minorHAnsi"/>
        </w:rPr>
        <w:t xml:space="preserve"> 95%</w:t>
      </w:r>
      <w:r w:rsidRPr="00AF1DC5">
        <w:rPr>
          <w:rFonts w:ascii="Book Antiqua" w:hAnsi="Book Antiqua" w:cstheme="minorHAnsi"/>
        </w:rPr>
        <w:t>CI</w:t>
      </w:r>
      <w:r w:rsidR="00414592" w:rsidRPr="00AF1DC5">
        <w:rPr>
          <w:rFonts w:ascii="Book Antiqua" w:hAnsi="Book Antiqua" w:cstheme="minorHAnsi"/>
          <w:lang w:eastAsia="zh-CN"/>
        </w:rPr>
        <w:t xml:space="preserve">: </w:t>
      </w:r>
      <w:r w:rsidRPr="00AF1DC5">
        <w:rPr>
          <w:rFonts w:ascii="Book Antiqua" w:hAnsi="Book Antiqua" w:cstheme="minorHAnsi"/>
        </w:rPr>
        <w:t>0.1</w:t>
      </w:r>
      <w:r w:rsidR="00920BEE" w:rsidRPr="00AF1DC5">
        <w:rPr>
          <w:rFonts w:ascii="Book Antiqua" w:hAnsi="Book Antiqua" w:cstheme="minorHAnsi"/>
        </w:rPr>
        <w:t>65</w:t>
      </w:r>
      <w:r w:rsidR="00414592" w:rsidRPr="00AF1DC5">
        <w:rPr>
          <w:rFonts w:ascii="Book Antiqua" w:hAnsi="Book Antiqua" w:cstheme="minorHAnsi"/>
          <w:lang w:eastAsia="zh-CN"/>
        </w:rPr>
        <w:t>-</w:t>
      </w:r>
      <w:r w:rsidRPr="00AF1DC5">
        <w:rPr>
          <w:rFonts w:ascii="Book Antiqua" w:hAnsi="Book Antiqua" w:cstheme="minorHAnsi"/>
        </w:rPr>
        <w:t>0.4</w:t>
      </w:r>
      <w:r w:rsidR="00920BEE" w:rsidRPr="00AF1DC5">
        <w:rPr>
          <w:rFonts w:ascii="Book Antiqua" w:hAnsi="Book Antiqua" w:cstheme="minorHAnsi"/>
        </w:rPr>
        <w:t>29</w:t>
      </w:r>
      <w:r w:rsidRPr="00AF1DC5">
        <w:rPr>
          <w:rFonts w:ascii="Book Antiqua" w:hAnsi="Book Antiqua" w:cstheme="minorHAnsi"/>
        </w:rPr>
        <w:t xml:space="preserve">; </w:t>
      </w:r>
      <w:r w:rsidRPr="00AF1DC5">
        <w:rPr>
          <w:rFonts w:ascii="Book Antiqua" w:hAnsi="Book Antiqua" w:cstheme="minorHAnsi"/>
          <w:i/>
        </w:rPr>
        <w:t>P</w:t>
      </w:r>
      <w:r w:rsidR="00414592" w:rsidRPr="00AF1DC5">
        <w:rPr>
          <w:rFonts w:ascii="Book Antiqua" w:hAnsi="Book Antiqua" w:cstheme="minorHAnsi"/>
          <w:i/>
          <w:lang w:eastAsia="zh-CN"/>
        </w:rPr>
        <w:t xml:space="preserve"> </w:t>
      </w:r>
      <w:r w:rsidRPr="00AF1DC5">
        <w:rPr>
          <w:rFonts w:ascii="Book Antiqua" w:hAnsi="Book Antiqua" w:cstheme="minorHAnsi"/>
        </w:rPr>
        <w:t>&lt;</w:t>
      </w:r>
      <w:r w:rsidR="00414592" w:rsidRPr="00AF1DC5">
        <w:rPr>
          <w:rFonts w:ascii="Book Antiqua" w:hAnsi="Book Antiqua" w:cstheme="minorHAnsi"/>
          <w:lang w:eastAsia="zh-CN"/>
        </w:rPr>
        <w:t xml:space="preserve"> </w:t>
      </w:r>
      <w:r w:rsidRPr="00AF1DC5">
        <w:rPr>
          <w:rFonts w:ascii="Book Antiqua" w:hAnsi="Book Antiqua" w:cstheme="minorHAnsi"/>
        </w:rPr>
        <w:t>0.0001). This may suggest that GIB more commonly complicates inpatient stays for patients admitted or being primarily treated for other conditions.</w:t>
      </w:r>
      <w:r w:rsidR="00770ADA" w:rsidRPr="00AF1DC5">
        <w:rPr>
          <w:rFonts w:ascii="Book Antiqua" w:hAnsi="Book Antiqua" w:cstheme="minorHAnsi"/>
        </w:rPr>
        <w:t xml:space="preserve"> </w:t>
      </w:r>
      <w:r w:rsidR="00767584" w:rsidRPr="00AF1DC5">
        <w:rPr>
          <w:rFonts w:ascii="Book Antiqua" w:hAnsi="Book Antiqua" w:cstheme="minorHAnsi"/>
        </w:rPr>
        <w:t xml:space="preserve">PPI administration on the first or second day of admission tended to be protective; however, the effect was not statistically significant after correction for multiple testing (OR </w:t>
      </w:r>
      <w:r w:rsidR="00414592" w:rsidRPr="00AF1DC5">
        <w:rPr>
          <w:rFonts w:ascii="Book Antiqua" w:hAnsi="Book Antiqua" w:cstheme="minorHAnsi"/>
          <w:lang w:eastAsia="zh-CN"/>
        </w:rPr>
        <w:t xml:space="preserve">= </w:t>
      </w:r>
      <w:r w:rsidR="00414592" w:rsidRPr="00AF1DC5">
        <w:rPr>
          <w:rFonts w:ascii="Book Antiqua" w:hAnsi="Book Antiqua" w:cstheme="minorHAnsi"/>
        </w:rPr>
        <w:t>0.723, 95%</w:t>
      </w:r>
      <w:r w:rsidR="00767584" w:rsidRPr="00AF1DC5">
        <w:rPr>
          <w:rFonts w:ascii="Book Antiqua" w:hAnsi="Book Antiqua" w:cstheme="minorHAnsi"/>
        </w:rPr>
        <w:t>CI</w:t>
      </w:r>
      <w:r w:rsidR="00414592" w:rsidRPr="00AF1DC5">
        <w:rPr>
          <w:rFonts w:ascii="Book Antiqua" w:hAnsi="Book Antiqua" w:cstheme="minorHAnsi"/>
          <w:lang w:eastAsia="zh-CN"/>
        </w:rPr>
        <w:t xml:space="preserve">: </w:t>
      </w:r>
      <w:r w:rsidR="00767584" w:rsidRPr="00AF1DC5">
        <w:rPr>
          <w:rFonts w:ascii="Book Antiqua" w:hAnsi="Book Antiqua" w:cstheme="minorHAnsi"/>
        </w:rPr>
        <w:t>0.552</w:t>
      </w:r>
      <w:r w:rsidR="00414592" w:rsidRPr="00AF1DC5">
        <w:rPr>
          <w:rFonts w:ascii="Book Antiqua" w:hAnsi="Book Antiqua" w:cstheme="minorHAnsi"/>
          <w:lang w:eastAsia="zh-CN"/>
        </w:rPr>
        <w:t>-</w:t>
      </w:r>
      <w:r w:rsidR="00414592" w:rsidRPr="00AF1DC5">
        <w:rPr>
          <w:rFonts w:ascii="Book Antiqua" w:hAnsi="Book Antiqua" w:cstheme="minorHAnsi"/>
        </w:rPr>
        <w:t>0.947</w:t>
      </w:r>
      <w:r w:rsidR="00767584" w:rsidRPr="00AF1DC5">
        <w:rPr>
          <w:rFonts w:ascii="Book Antiqua" w:hAnsi="Book Antiqua" w:cstheme="minorHAnsi"/>
        </w:rPr>
        <w:t xml:space="preserve">; </w:t>
      </w:r>
      <w:r w:rsidR="00767584" w:rsidRPr="00AF1DC5">
        <w:rPr>
          <w:rFonts w:ascii="Book Antiqua" w:hAnsi="Book Antiqua" w:cstheme="minorHAnsi"/>
          <w:i/>
        </w:rPr>
        <w:t>P</w:t>
      </w:r>
      <w:r w:rsidR="00414592" w:rsidRPr="00AF1DC5">
        <w:rPr>
          <w:rFonts w:ascii="Book Antiqua" w:hAnsi="Book Antiqua" w:cstheme="minorHAnsi"/>
          <w:i/>
          <w:lang w:eastAsia="zh-CN"/>
        </w:rPr>
        <w:t xml:space="preserve"> </w:t>
      </w:r>
      <w:r w:rsidR="00767584" w:rsidRPr="00AF1DC5">
        <w:rPr>
          <w:rFonts w:ascii="Book Antiqua" w:hAnsi="Book Antiqua" w:cstheme="minorHAnsi"/>
        </w:rPr>
        <w:t>=</w:t>
      </w:r>
      <w:r w:rsidR="00414592" w:rsidRPr="00AF1DC5">
        <w:rPr>
          <w:rFonts w:ascii="Book Antiqua" w:hAnsi="Book Antiqua" w:cstheme="minorHAnsi"/>
          <w:lang w:eastAsia="zh-CN"/>
        </w:rPr>
        <w:t xml:space="preserve"> </w:t>
      </w:r>
      <w:r w:rsidR="00767584" w:rsidRPr="00AF1DC5">
        <w:rPr>
          <w:rFonts w:ascii="Book Antiqua" w:hAnsi="Book Antiqua" w:cstheme="minorHAnsi"/>
        </w:rPr>
        <w:t>0.</w:t>
      </w:r>
      <w:r w:rsidR="00656575" w:rsidRPr="00AF1DC5">
        <w:rPr>
          <w:rFonts w:ascii="Book Antiqua" w:hAnsi="Book Antiqua" w:cstheme="minorHAnsi"/>
        </w:rPr>
        <w:t>074</w:t>
      </w:r>
      <w:r w:rsidR="00767584" w:rsidRPr="00AF1DC5">
        <w:rPr>
          <w:rFonts w:ascii="Book Antiqua" w:hAnsi="Book Antiqua" w:cstheme="minorHAnsi"/>
        </w:rPr>
        <w:t>).</w:t>
      </w:r>
      <w:r w:rsidR="00A26905" w:rsidRPr="00AF1DC5">
        <w:rPr>
          <w:rFonts w:ascii="Book Antiqua" w:hAnsi="Book Antiqua" w:cstheme="minorHAnsi"/>
        </w:rPr>
        <w:t xml:space="preserve"> </w:t>
      </w:r>
    </w:p>
    <w:p w14:paraId="3E3CEDA2" w14:textId="3F7C2F02" w:rsidR="00D5678B" w:rsidRPr="00AF1DC5" w:rsidRDefault="00D5678B" w:rsidP="00414592">
      <w:pPr>
        <w:pStyle w:val="BodyText"/>
        <w:snapToGrid w:val="0"/>
        <w:spacing w:before="0" w:after="0" w:line="360" w:lineRule="auto"/>
        <w:ind w:firstLineChars="100" w:firstLine="240"/>
        <w:jc w:val="both"/>
        <w:rPr>
          <w:rFonts w:ascii="Book Antiqua" w:hAnsi="Book Antiqua" w:cstheme="minorHAnsi"/>
        </w:rPr>
      </w:pPr>
      <w:r w:rsidRPr="00AF1DC5">
        <w:rPr>
          <w:rFonts w:ascii="Book Antiqua" w:hAnsi="Book Antiqua" w:cstheme="minorHAnsi"/>
        </w:rPr>
        <w:t xml:space="preserve">The odds of having 1 or 2 CCCs compared to 0 CCCs were </w:t>
      </w:r>
      <w:r w:rsidR="00920BEE" w:rsidRPr="00AF1DC5">
        <w:rPr>
          <w:rFonts w:ascii="Book Antiqua" w:hAnsi="Book Antiqua" w:cstheme="minorHAnsi"/>
        </w:rPr>
        <w:t>9.090</w:t>
      </w:r>
      <w:r w:rsidRPr="00AF1DC5">
        <w:rPr>
          <w:rFonts w:ascii="Book Antiqua" w:hAnsi="Book Antiqua" w:cstheme="minorHAnsi"/>
        </w:rPr>
        <w:t xml:space="preserve"> times higher for mortalities over non-mortalities (</w:t>
      </w:r>
      <w:r w:rsidR="00C12D56" w:rsidRPr="00AF1DC5">
        <w:rPr>
          <w:rFonts w:ascii="Book Antiqua" w:hAnsi="Book Antiqua" w:cstheme="minorHAnsi"/>
        </w:rPr>
        <w:t>9</w:t>
      </w:r>
      <w:r w:rsidR="00414592" w:rsidRPr="00AF1DC5">
        <w:rPr>
          <w:rFonts w:ascii="Book Antiqua" w:hAnsi="Book Antiqua" w:cstheme="minorHAnsi"/>
        </w:rPr>
        <w:t>5%</w:t>
      </w:r>
      <w:r w:rsidRPr="00AF1DC5">
        <w:rPr>
          <w:rFonts w:ascii="Book Antiqua" w:hAnsi="Book Antiqua" w:cstheme="minorHAnsi"/>
        </w:rPr>
        <w:t>CI</w:t>
      </w:r>
      <w:r w:rsidR="00414592" w:rsidRPr="00AF1DC5">
        <w:rPr>
          <w:rFonts w:ascii="Book Antiqua" w:hAnsi="Book Antiqua" w:cstheme="minorHAnsi"/>
          <w:lang w:eastAsia="zh-CN"/>
        </w:rPr>
        <w:t xml:space="preserve">: </w:t>
      </w:r>
      <w:r w:rsidRPr="00AF1DC5">
        <w:rPr>
          <w:rFonts w:ascii="Book Antiqua" w:hAnsi="Book Antiqua" w:cstheme="minorHAnsi"/>
        </w:rPr>
        <w:t>4.</w:t>
      </w:r>
      <w:r w:rsidR="00920BEE" w:rsidRPr="00AF1DC5">
        <w:rPr>
          <w:rFonts w:ascii="Book Antiqua" w:hAnsi="Book Antiqua" w:cstheme="minorHAnsi"/>
        </w:rPr>
        <w:t>907</w:t>
      </w:r>
      <w:r w:rsidR="00414592" w:rsidRPr="00AF1DC5">
        <w:rPr>
          <w:rFonts w:ascii="Book Antiqua" w:hAnsi="Book Antiqua" w:cstheme="minorHAnsi"/>
          <w:lang w:eastAsia="zh-CN"/>
        </w:rPr>
        <w:t>-</w:t>
      </w:r>
      <w:r w:rsidR="00920BEE" w:rsidRPr="00AF1DC5">
        <w:rPr>
          <w:rFonts w:ascii="Book Antiqua" w:hAnsi="Book Antiqua" w:cstheme="minorHAnsi"/>
        </w:rPr>
        <w:t>16.841</w:t>
      </w:r>
      <w:r w:rsidRPr="00AF1DC5">
        <w:rPr>
          <w:rFonts w:ascii="Book Antiqua" w:hAnsi="Book Antiqua" w:cstheme="minorHAnsi"/>
        </w:rPr>
        <w:t xml:space="preserve">; </w:t>
      </w:r>
      <w:r w:rsidRPr="00AF1DC5">
        <w:rPr>
          <w:rFonts w:ascii="Book Antiqua" w:hAnsi="Book Antiqua" w:cstheme="minorHAnsi"/>
          <w:i/>
        </w:rPr>
        <w:t>P</w:t>
      </w:r>
      <w:r w:rsidR="00414592" w:rsidRPr="00AF1DC5">
        <w:rPr>
          <w:rFonts w:ascii="Book Antiqua" w:hAnsi="Book Antiqua" w:cstheme="minorHAnsi"/>
          <w:i/>
          <w:lang w:eastAsia="zh-CN"/>
        </w:rPr>
        <w:t xml:space="preserve"> </w:t>
      </w:r>
      <w:r w:rsidRPr="00AF1DC5">
        <w:rPr>
          <w:rFonts w:ascii="Book Antiqua" w:hAnsi="Book Antiqua" w:cstheme="minorHAnsi"/>
        </w:rPr>
        <w:t>&lt;</w:t>
      </w:r>
      <w:r w:rsidR="00414592" w:rsidRPr="00AF1DC5">
        <w:rPr>
          <w:rFonts w:ascii="Book Antiqua" w:hAnsi="Book Antiqua" w:cstheme="minorHAnsi"/>
          <w:lang w:eastAsia="zh-CN"/>
        </w:rPr>
        <w:t xml:space="preserve"> </w:t>
      </w:r>
      <w:r w:rsidRPr="00AF1DC5">
        <w:rPr>
          <w:rFonts w:ascii="Book Antiqua" w:hAnsi="Book Antiqua" w:cstheme="minorHAnsi"/>
        </w:rPr>
        <w:t>0.0001), and the odds of having 3 or more CCCs compared to 0 CCCs was 2</w:t>
      </w:r>
      <w:r w:rsidR="00920BEE" w:rsidRPr="00AF1DC5">
        <w:rPr>
          <w:rFonts w:ascii="Book Antiqua" w:hAnsi="Book Antiqua" w:cstheme="minorHAnsi"/>
        </w:rPr>
        <w:t>7</w:t>
      </w:r>
      <w:r w:rsidRPr="00AF1DC5">
        <w:rPr>
          <w:rFonts w:ascii="Book Antiqua" w:hAnsi="Book Antiqua" w:cstheme="minorHAnsi"/>
        </w:rPr>
        <w:t>.</w:t>
      </w:r>
      <w:r w:rsidR="00920BEE" w:rsidRPr="00AF1DC5">
        <w:rPr>
          <w:rFonts w:ascii="Book Antiqua" w:hAnsi="Book Antiqua" w:cstheme="minorHAnsi"/>
        </w:rPr>
        <w:t xml:space="preserve">338 </w:t>
      </w:r>
      <w:r w:rsidRPr="00AF1DC5">
        <w:rPr>
          <w:rFonts w:ascii="Book Antiqua" w:hAnsi="Book Antiqua" w:cstheme="minorHAnsi"/>
        </w:rPr>
        <w:t>(</w:t>
      </w:r>
      <w:r w:rsidR="00414592" w:rsidRPr="00AF1DC5">
        <w:rPr>
          <w:rFonts w:ascii="Book Antiqua" w:hAnsi="Book Antiqua" w:cstheme="minorHAnsi"/>
        </w:rPr>
        <w:t>95%</w:t>
      </w:r>
      <w:r w:rsidRPr="00AF1DC5">
        <w:rPr>
          <w:rFonts w:ascii="Book Antiqua" w:hAnsi="Book Antiqua" w:cstheme="minorHAnsi"/>
        </w:rPr>
        <w:t>CI</w:t>
      </w:r>
      <w:r w:rsidR="00414592" w:rsidRPr="00AF1DC5">
        <w:rPr>
          <w:rFonts w:ascii="Book Antiqua" w:hAnsi="Book Antiqua" w:cstheme="minorHAnsi"/>
          <w:lang w:eastAsia="zh-CN"/>
        </w:rPr>
        <w:t xml:space="preserve">: </w:t>
      </w:r>
      <w:r w:rsidR="00920BEE" w:rsidRPr="00AF1DC5">
        <w:rPr>
          <w:rFonts w:ascii="Book Antiqua" w:hAnsi="Book Antiqua" w:cstheme="minorHAnsi"/>
        </w:rPr>
        <w:t>14.940</w:t>
      </w:r>
      <w:r w:rsidR="00414592" w:rsidRPr="00AF1DC5">
        <w:rPr>
          <w:rFonts w:ascii="Book Antiqua" w:hAnsi="Book Antiqua" w:cstheme="minorHAnsi"/>
          <w:lang w:eastAsia="zh-CN"/>
        </w:rPr>
        <w:t>-</w:t>
      </w:r>
      <w:r w:rsidR="00920BEE" w:rsidRPr="00AF1DC5">
        <w:rPr>
          <w:rFonts w:ascii="Book Antiqua" w:hAnsi="Book Antiqua" w:cstheme="minorHAnsi"/>
        </w:rPr>
        <w:t>50.027</w:t>
      </w:r>
      <w:r w:rsidRPr="00AF1DC5">
        <w:rPr>
          <w:rFonts w:ascii="Book Antiqua" w:hAnsi="Book Antiqua" w:cstheme="minorHAnsi"/>
        </w:rPr>
        <w:t>;</w:t>
      </w:r>
      <w:r w:rsidR="00414592" w:rsidRPr="00AF1DC5">
        <w:rPr>
          <w:rFonts w:ascii="Book Antiqua" w:hAnsi="Book Antiqua" w:cstheme="minorHAnsi"/>
          <w:lang w:eastAsia="zh-CN"/>
        </w:rPr>
        <w:t xml:space="preserve"> </w:t>
      </w:r>
      <w:r w:rsidRPr="00AF1DC5">
        <w:rPr>
          <w:rFonts w:ascii="Book Antiqua" w:hAnsi="Book Antiqua" w:cstheme="minorHAnsi"/>
          <w:i/>
        </w:rPr>
        <w:t>P</w:t>
      </w:r>
      <w:r w:rsidR="00414592" w:rsidRPr="00AF1DC5">
        <w:rPr>
          <w:rFonts w:ascii="Book Antiqua" w:hAnsi="Book Antiqua" w:cstheme="minorHAnsi"/>
          <w:i/>
          <w:lang w:eastAsia="zh-CN"/>
        </w:rPr>
        <w:t xml:space="preserve"> </w:t>
      </w:r>
      <w:r w:rsidRPr="00AF1DC5">
        <w:rPr>
          <w:rFonts w:ascii="Book Antiqua" w:hAnsi="Book Antiqua" w:cstheme="minorHAnsi"/>
        </w:rPr>
        <w:t>&lt;</w:t>
      </w:r>
      <w:r w:rsidR="00414592" w:rsidRPr="00AF1DC5">
        <w:rPr>
          <w:rFonts w:ascii="Book Antiqua" w:hAnsi="Book Antiqua" w:cstheme="minorHAnsi"/>
          <w:lang w:eastAsia="zh-CN"/>
        </w:rPr>
        <w:t xml:space="preserve"> </w:t>
      </w:r>
      <w:r w:rsidRPr="00AF1DC5">
        <w:rPr>
          <w:rFonts w:ascii="Book Antiqua" w:hAnsi="Book Antiqua" w:cstheme="minorHAnsi"/>
        </w:rPr>
        <w:t xml:space="preserve">0.0001) times higher for mortalities over non-mortalities. Mortalities have significantly increased odds of having multiple complex chronic conditions. </w:t>
      </w:r>
      <w:r w:rsidR="00291750" w:rsidRPr="00AF1DC5">
        <w:rPr>
          <w:rFonts w:ascii="Book Antiqua" w:hAnsi="Book Antiqua" w:cstheme="minorHAnsi"/>
        </w:rPr>
        <w:t xml:space="preserve">Table 4 differentiates the presence of concomitant CCC in patients with GI bleeding as principal as opposed to secondary diagnosis whereas </w:t>
      </w:r>
      <w:r w:rsidRPr="00AF1DC5">
        <w:rPr>
          <w:rFonts w:ascii="Book Antiqua" w:hAnsi="Book Antiqua" w:cstheme="minorHAnsi"/>
        </w:rPr>
        <w:t xml:space="preserve">Table </w:t>
      </w:r>
      <w:r w:rsidR="00433297" w:rsidRPr="00AF1DC5">
        <w:rPr>
          <w:rFonts w:ascii="Book Antiqua" w:hAnsi="Book Antiqua" w:cstheme="minorHAnsi"/>
          <w:lang w:eastAsia="zh-CN"/>
        </w:rPr>
        <w:t>5</w:t>
      </w:r>
      <w:r w:rsidRPr="00AF1DC5">
        <w:rPr>
          <w:rFonts w:ascii="Book Antiqua" w:hAnsi="Book Antiqua" w:cstheme="minorHAnsi"/>
        </w:rPr>
        <w:t xml:space="preserve"> summarizes the distribution of CCCs between mortality and non-mortality patients. </w:t>
      </w:r>
    </w:p>
    <w:p w14:paraId="42753139" w14:textId="1BE8742B" w:rsidR="00D5678B" w:rsidRPr="00AF1DC5" w:rsidRDefault="00656575" w:rsidP="00E50668">
      <w:pPr>
        <w:pStyle w:val="BodyText"/>
        <w:snapToGrid w:val="0"/>
        <w:spacing w:before="0" w:after="0" w:line="360" w:lineRule="auto"/>
        <w:jc w:val="both"/>
        <w:rPr>
          <w:rFonts w:ascii="Book Antiqua" w:hAnsi="Book Antiqua" w:cstheme="minorHAnsi"/>
        </w:rPr>
      </w:pPr>
      <w:r w:rsidRPr="00AF1DC5">
        <w:rPr>
          <w:rFonts w:ascii="Book Antiqua" w:hAnsi="Book Antiqua" w:cstheme="minorHAnsi"/>
        </w:rPr>
        <w:t>Mortalities had significantly higher odds o</w:t>
      </w:r>
      <w:r w:rsidR="00414592" w:rsidRPr="00AF1DC5">
        <w:rPr>
          <w:rFonts w:ascii="Book Antiqua" w:hAnsi="Book Antiqua" w:cstheme="minorHAnsi"/>
        </w:rPr>
        <w:t xml:space="preserve">f perforation as well (OR </w:t>
      </w:r>
      <w:r w:rsidR="00414592" w:rsidRPr="00AF1DC5">
        <w:rPr>
          <w:rFonts w:ascii="Book Antiqua" w:hAnsi="Book Antiqua" w:cstheme="minorHAnsi"/>
          <w:lang w:eastAsia="zh-CN"/>
        </w:rPr>
        <w:t xml:space="preserve">= </w:t>
      </w:r>
      <w:r w:rsidR="00414592" w:rsidRPr="00AF1DC5">
        <w:rPr>
          <w:rFonts w:ascii="Book Antiqua" w:hAnsi="Book Antiqua" w:cstheme="minorHAnsi"/>
        </w:rPr>
        <w:t>5.505, 95%</w:t>
      </w:r>
      <w:r w:rsidRPr="00AF1DC5">
        <w:rPr>
          <w:rFonts w:ascii="Book Antiqua" w:hAnsi="Book Antiqua" w:cstheme="minorHAnsi"/>
        </w:rPr>
        <w:t>CI</w:t>
      </w:r>
      <w:r w:rsidR="00414592" w:rsidRPr="00AF1DC5">
        <w:rPr>
          <w:rFonts w:ascii="Book Antiqua" w:hAnsi="Book Antiqua" w:cstheme="minorHAnsi"/>
          <w:lang w:eastAsia="zh-CN"/>
        </w:rPr>
        <w:t>:</w:t>
      </w:r>
      <w:r w:rsidR="00414592" w:rsidRPr="00AF1DC5">
        <w:rPr>
          <w:rFonts w:ascii="Book Antiqua" w:hAnsi="Book Antiqua" w:cstheme="minorHAnsi"/>
        </w:rPr>
        <w:t xml:space="preserve"> </w:t>
      </w:r>
      <w:r w:rsidRPr="00AF1DC5">
        <w:rPr>
          <w:rFonts w:ascii="Book Antiqua" w:hAnsi="Book Antiqua" w:cstheme="minorHAnsi"/>
        </w:rPr>
        <w:t>1.717</w:t>
      </w:r>
      <w:r w:rsidR="00414592" w:rsidRPr="00AF1DC5">
        <w:rPr>
          <w:rFonts w:ascii="Book Antiqua" w:hAnsi="Book Antiqua" w:cstheme="minorHAnsi"/>
          <w:lang w:eastAsia="zh-CN"/>
        </w:rPr>
        <w:t>-</w:t>
      </w:r>
      <w:r w:rsidR="00414592" w:rsidRPr="00AF1DC5">
        <w:rPr>
          <w:rFonts w:ascii="Book Antiqua" w:hAnsi="Book Antiqua" w:cstheme="minorHAnsi"/>
        </w:rPr>
        <w:t>17.650</w:t>
      </w:r>
      <w:r w:rsidRPr="00AF1DC5">
        <w:rPr>
          <w:rFonts w:ascii="Book Antiqua" w:hAnsi="Book Antiqua" w:cstheme="minorHAnsi"/>
        </w:rPr>
        <w:t xml:space="preserve">; </w:t>
      </w:r>
      <w:r w:rsidRPr="00AF1DC5">
        <w:rPr>
          <w:rFonts w:ascii="Book Antiqua" w:hAnsi="Book Antiqua" w:cstheme="minorHAnsi"/>
          <w:i/>
        </w:rPr>
        <w:t>P</w:t>
      </w:r>
      <w:r w:rsidR="00414592" w:rsidRPr="00AF1DC5">
        <w:rPr>
          <w:rFonts w:ascii="Book Antiqua" w:hAnsi="Book Antiqua" w:cstheme="minorHAnsi"/>
          <w:i/>
          <w:lang w:eastAsia="zh-CN"/>
        </w:rPr>
        <w:t xml:space="preserve"> </w:t>
      </w:r>
      <w:r w:rsidRPr="00AF1DC5">
        <w:rPr>
          <w:rFonts w:ascii="Book Antiqua" w:hAnsi="Book Antiqua" w:cstheme="minorHAnsi"/>
        </w:rPr>
        <w:t>=</w:t>
      </w:r>
      <w:r w:rsidR="00414592" w:rsidRPr="00AF1DC5">
        <w:rPr>
          <w:rFonts w:ascii="Book Antiqua" w:hAnsi="Book Antiqua" w:cstheme="minorHAnsi"/>
          <w:lang w:eastAsia="zh-CN"/>
        </w:rPr>
        <w:t xml:space="preserve"> </w:t>
      </w:r>
      <w:r w:rsidRPr="00AF1DC5">
        <w:rPr>
          <w:rFonts w:ascii="Book Antiqua" w:hAnsi="Book Antiqua" w:cstheme="minorHAnsi"/>
        </w:rPr>
        <w:t xml:space="preserve">0.021). </w:t>
      </w:r>
      <w:r w:rsidR="00D5678B" w:rsidRPr="00AF1DC5">
        <w:rPr>
          <w:rFonts w:ascii="Book Antiqua" w:hAnsi="Book Antiqua" w:cstheme="minorHAnsi"/>
        </w:rPr>
        <w:t xml:space="preserve">There was a significant association between mortality and diagnosis of sepsis during the encounter and mortality (OR </w:t>
      </w:r>
      <w:r w:rsidR="00414592" w:rsidRPr="00AF1DC5">
        <w:rPr>
          <w:rFonts w:ascii="Book Antiqua" w:hAnsi="Book Antiqua" w:cstheme="minorHAnsi"/>
          <w:lang w:eastAsia="zh-CN"/>
        </w:rPr>
        <w:t xml:space="preserve">= </w:t>
      </w:r>
      <w:r w:rsidR="00D5678B" w:rsidRPr="00AF1DC5">
        <w:rPr>
          <w:rFonts w:ascii="Book Antiqua" w:hAnsi="Book Antiqua" w:cstheme="minorHAnsi"/>
        </w:rPr>
        <w:t>2.5</w:t>
      </w:r>
      <w:r w:rsidR="00920BEE" w:rsidRPr="00AF1DC5">
        <w:rPr>
          <w:rFonts w:ascii="Book Antiqua" w:hAnsi="Book Antiqua" w:cstheme="minorHAnsi"/>
        </w:rPr>
        <w:t>83</w:t>
      </w:r>
      <w:r w:rsidR="00414592" w:rsidRPr="00AF1DC5">
        <w:rPr>
          <w:rFonts w:ascii="Book Antiqua" w:hAnsi="Book Antiqua" w:cstheme="minorHAnsi"/>
        </w:rPr>
        <w:t>, 95%</w:t>
      </w:r>
      <w:r w:rsidR="00D5678B" w:rsidRPr="00AF1DC5">
        <w:rPr>
          <w:rFonts w:ascii="Book Antiqua" w:hAnsi="Book Antiqua" w:cstheme="minorHAnsi"/>
        </w:rPr>
        <w:t>CI</w:t>
      </w:r>
      <w:r w:rsidR="00414592" w:rsidRPr="00AF1DC5">
        <w:rPr>
          <w:rFonts w:ascii="Book Antiqua" w:hAnsi="Book Antiqua" w:cstheme="minorHAnsi"/>
          <w:lang w:eastAsia="zh-CN"/>
        </w:rPr>
        <w:t xml:space="preserve">: </w:t>
      </w:r>
      <w:r w:rsidR="00D5678B" w:rsidRPr="00AF1DC5">
        <w:rPr>
          <w:rFonts w:ascii="Book Antiqua" w:hAnsi="Book Antiqua" w:cstheme="minorHAnsi"/>
        </w:rPr>
        <w:t>1.</w:t>
      </w:r>
      <w:r w:rsidR="00920BEE" w:rsidRPr="00AF1DC5">
        <w:rPr>
          <w:rFonts w:ascii="Book Antiqua" w:hAnsi="Book Antiqua" w:cstheme="minorHAnsi"/>
        </w:rPr>
        <w:t>823</w:t>
      </w:r>
      <w:r w:rsidR="00414592" w:rsidRPr="00AF1DC5">
        <w:rPr>
          <w:rFonts w:ascii="Book Antiqua" w:hAnsi="Book Antiqua" w:cstheme="minorHAnsi"/>
          <w:lang w:eastAsia="zh-CN"/>
        </w:rPr>
        <w:t>-</w:t>
      </w:r>
      <w:r w:rsidR="00D5678B" w:rsidRPr="00AF1DC5">
        <w:rPr>
          <w:rFonts w:ascii="Book Antiqua" w:hAnsi="Book Antiqua" w:cstheme="minorHAnsi"/>
        </w:rPr>
        <w:t>3.</w:t>
      </w:r>
      <w:r w:rsidR="00920BEE" w:rsidRPr="00AF1DC5">
        <w:rPr>
          <w:rFonts w:ascii="Book Antiqua" w:hAnsi="Book Antiqua" w:cstheme="minorHAnsi"/>
        </w:rPr>
        <w:t>659</w:t>
      </w:r>
      <w:r w:rsidR="00D5678B" w:rsidRPr="00AF1DC5">
        <w:rPr>
          <w:rFonts w:ascii="Book Antiqua" w:hAnsi="Book Antiqua" w:cstheme="minorHAnsi"/>
        </w:rPr>
        <w:t xml:space="preserve">; </w:t>
      </w:r>
      <w:r w:rsidR="00D5678B" w:rsidRPr="00AF1DC5">
        <w:rPr>
          <w:rFonts w:ascii="Book Antiqua" w:hAnsi="Book Antiqua" w:cstheme="minorHAnsi"/>
          <w:i/>
        </w:rPr>
        <w:t>P</w:t>
      </w:r>
      <w:r w:rsidR="00414592" w:rsidRPr="00AF1DC5">
        <w:rPr>
          <w:rFonts w:ascii="Book Antiqua" w:hAnsi="Book Antiqua" w:cstheme="minorHAnsi"/>
          <w:i/>
          <w:lang w:eastAsia="zh-CN"/>
        </w:rPr>
        <w:t xml:space="preserve"> </w:t>
      </w:r>
      <w:r w:rsidR="00D5678B" w:rsidRPr="00AF1DC5">
        <w:rPr>
          <w:rFonts w:ascii="Book Antiqua" w:hAnsi="Book Antiqua" w:cstheme="minorHAnsi"/>
        </w:rPr>
        <w:t>&lt;</w:t>
      </w:r>
      <w:r w:rsidR="00414592" w:rsidRPr="00AF1DC5">
        <w:rPr>
          <w:rFonts w:ascii="Book Antiqua" w:hAnsi="Book Antiqua" w:cstheme="minorHAnsi"/>
          <w:lang w:eastAsia="zh-CN"/>
        </w:rPr>
        <w:t xml:space="preserve"> </w:t>
      </w:r>
      <w:r w:rsidR="00D5678B" w:rsidRPr="00AF1DC5">
        <w:rPr>
          <w:rFonts w:ascii="Book Antiqua" w:hAnsi="Book Antiqua" w:cstheme="minorHAnsi"/>
        </w:rPr>
        <w:t xml:space="preserve">0.0001). Mortalities had substantially higher odds of shock (OR </w:t>
      </w:r>
      <w:r w:rsidR="00414592" w:rsidRPr="00AF1DC5">
        <w:rPr>
          <w:rFonts w:ascii="Book Antiqua" w:hAnsi="Book Antiqua" w:cstheme="minorHAnsi"/>
          <w:lang w:eastAsia="zh-CN"/>
        </w:rPr>
        <w:t xml:space="preserve">= </w:t>
      </w:r>
      <w:r w:rsidR="00D5678B" w:rsidRPr="00AF1DC5">
        <w:rPr>
          <w:rFonts w:ascii="Book Antiqua" w:hAnsi="Book Antiqua" w:cstheme="minorHAnsi"/>
        </w:rPr>
        <w:t>3.5</w:t>
      </w:r>
      <w:r w:rsidR="00920BEE" w:rsidRPr="00AF1DC5">
        <w:rPr>
          <w:rFonts w:ascii="Book Antiqua" w:hAnsi="Book Antiqua" w:cstheme="minorHAnsi"/>
        </w:rPr>
        <w:t>85</w:t>
      </w:r>
      <w:r w:rsidR="00414592" w:rsidRPr="00AF1DC5">
        <w:rPr>
          <w:rFonts w:ascii="Book Antiqua" w:hAnsi="Book Antiqua" w:cstheme="minorHAnsi"/>
        </w:rPr>
        <w:t>, 95%</w:t>
      </w:r>
      <w:r w:rsidR="00D5678B" w:rsidRPr="00AF1DC5">
        <w:rPr>
          <w:rFonts w:ascii="Book Antiqua" w:hAnsi="Book Antiqua" w:cstheme="minorHAnsi"/>
        </w:rPr>
        <w:t>CI</w:t>
      </w:r>
      <w:r w:rsidR="00414592" w:rsidRPr="00AF1DC5">
        <w:rPr>
          <w:rFonts w:ascii="Book Antiqua" w:hAnsi="Book Antiqua" w:cstheme="minorHAnsi"/>
          <w:lang w:eastAsia="zh-CN"/>
        </w:rPr>
        <w:t>:</w:t>
      </w:r>
      <w:r w:rsidR="00D5678B" w:rsidRPr="00AF1DC5">
        <w:rPr>
          <w:rFonts w:ascii="Book Antiqua" w:hAnsi="Book Antiqua" w:cstheme="minorHAnsi"/>
        </w:rPr>
        <w:t xml:space="preserve"> 2.</w:t>
      </w:r>
      <w:r w:rsidR="00920BEE" w:rsidRPr="00AF1DC5">
        <w:rPr>
          <w:rFonts w:ascii="Book Antiqua" w:hAnsi="Book Antiqua" w:cstheme="minorHAnsi"/>
        </w:rPr>
        <w:t>489</w:t>
      </w:r>
      <w:r w:rsidR="00414592" w:rsidRPr="00AF1DC5">
        <w:rPr>
          <w:rFonts w:ascii="Book Antiqua" w:hAnsi="Book Antiqua" w:cstheme="minorHAnsi"/>
          <w:lang w:eastAsia="zh-CN"/>
        </w:rPr>
        <w:t>-</w:t>
      </w:r>
      <w:r w:rsidR="00D5678B" w:rsidRPr="00AF1DC5">
        <w:rPr>
          <w:rFonts w:ascii="Book Antiqua" w:hAnsi="Book Antiqua" w:cstheme="minorHAnsi"/>
        </w:rPr>
        <w:t>5.</w:t>
      </w:r>
      <w:r w:rsidR="00920BEE" w:rsidRPr="00AF1DC5">
        <w:rPr>
          <w:rFonts w:ascii="Book Antiqua" w:hAnsi="Book Antiqua" w:cstheme="minorHAnsi"/>
        </w:rPr>
        <w:t>163</w:t>
      </w:r>
      <w:r w:rsidR="00D5678B" w:rsidRPr="00AF1DC5">
        <w:rPr>
          <w:rFonts w:ascii="Book Antiqua" w:hAnsi="Book Antiqua" w:cstheme="minorHAnsi"/>
        </w:rPr>
        <w:t xml:space="preserve">; </w:t>
      </w:r>
      <w:r w:rsidR="00D5678B" w:rsidRPr="00AF1DC5">
        <w:rPr>
          <w:rFonts w:ascii="Book Antiqua" w:hAnsi="Book Antiqua" w:cstheme="minorHAnsi"/>
          <w:i/>
        </w:rPr>
        <w:t>P</w:t>
      </w:r>
      <w:r w:rsidR="00414592" w:rsidRPr="00AF1DC5">
        <w:rPr>
          <w:rFonts w:ascii="Book Antiqua" w:hAnsi="Book Antiqua" w:cstheme="minorHAnsi"/>
          <w:i/>
          <w:lang w:eastAsia="zh-CN"/>
        </w:rPr>
        <w:t xml:space="preserve"> </w:t>
      </w:r>
      <w:r w:rsidR="00D5678B" w:rsidRPr="00AF1DC5">
        <w:rPr>
          <w:rFonts w:ascii="Book Antiqua" w:hAnsi="Book Antiqua" w:cstheme="minorHAnsi"/>
        </w:rPr>
        <w:t>&lt;</w:t>
      </w:r>
      <w:r w:rsidR="00414592" w:rsidRPr="00AF1DC5">
        <w:rPr>
          <w:rFonts w:ascii="Book Antiqua" w:hAnsi="Book Antiqua" w:cstheme="minorHAnsi"/>
          <w:lang w:eastAsia="zh-CN"/>
        </w:rPr>
        <w:t xml:space="preserve"> </w:t>
      </w:r>
      <w:r w:rsidR="00D5678B" w:rsidRPr="00AF1DC5">
        <w:rPr>
          <w:rFonts w:ascii="Book Antiqua" w:hAnsi="Book Antiqua" w:cstheme="minorHAnsi"/>
        </w:rPr>
        <w:t xml:space="preserve">0.0001), but this effect was modified by vasopressin. Mortalities had </w:t>
      </w:r>
      <w:r w:rsidR="00D5678B" w:rsidRPr="00AF1DC5">
        <w:rPr>
          <w:rFonts w:ascii="Book Antiqua" w:hAnsi="Book Antiqua" w:cstheme="minorHAnsi"/>
        </w:rPr>
        <w:lastRenderedPageBreak/>
        <w:t>4.</w:t>
      </w:r>
      <w:r w:rsidR="00A71334" w:rsidRPr="00AF1DC5">
        <w:rPr>
          <w:rFonts w:ascii="Book Antiqua" w:hAnsi="Book Antiqua" w:cstheme="minorHAnsi"/>
        </w:rPr>
        <w:t xml:space="preserve">834 </w:t>
      </w:r>
      <w:r w:rsidR="00D5678B" w:rsidRPr="00AF1DC5">
        <w:rPr>
          <w:rFonts w:ascii="Book Antiqua" w:hAnsi="Book Antiqua" w:cstheme="minorHAnsi"/>
        </w:rPr>
        <w:t xml:space="preserve">times the odds of experiencing shock and receiving vasopressin compared to shock </w:t>
      </w:r>
      <w:r w:rsidR="00414592" w:rsidRPr="00AF1DC5">
        <w:rPr>
          <w:rFonts w:ascii="Book Antiqua" w:hAnsi="Book Antiqua" w:cstheme="minorHAnsi"/>
        </w:rPr>
        <w:t>alone over non-mortalities (95%</w:t>
      </w:r>
      <w:r w:rsidR="00D5678B" w:rsidRPr="00AF1DC5">
        <w:rPr>
          <w:rFonts w:ascii="Book Antiqua" w:hAnsi="Book Antiqua" w:cstheme="minorHAnsi"/>
        </w:rPr>
        <w:t>CI</w:t>
      </w:r>
      <w:r w:rsidR="00414592" w:rsidRPr="00AF1DC5">
        <w:rPr>
          <w:rFonts w:ascii="Book Antiqua" w:hAnsi="Book Antiqua" w:cstheme="minorHAnsi"/>
          <w:lang w:eastAsia="zh-CN"/>
        </w:rPr>
        <w:t xml:space="preserve">: </w:t>
      </w:r>
      <w:r w:rsidR="00D5678B" w:rsidRPr="00AF1DC5">
        <w:rPr>
          <w:rFonts w:ascii="Book Antiqua" w:hAnsi="Book Antiqua" w:cstheme="minorHAnsi"/>
        </w:rPr>
        <w:t>2.</w:t>
      </w:r>
      <w:r w:rsidR="00A71334" w:rsidRPr="00AF1DC5">
        <w:rPr>
          <w:rFonts w:ascii="Book Antiqua" w:hAnsi="Book Antiqua" w:cstheme="minorHAnsi"/>
        </w:rPr>
        <w:t>729</w:t>
      </w:r>
      <w:r w:rsidR="00414592" w:rsidRPr="00AF1DC5">
        <w:rPr>
          <w:rFonts w:ascii="Book Antiqua" w:hAnsi="Book Antiqua" w:cstheme="minorHAnsi"/>
          <w:lang w:eastAsia="zh-CN"/>
        </w:rPr>
        <w:t>-</w:t>
      </w:r>
      <w:r w:rsidR="00D5678B" w:rsidRPr="00AF1DC5">
        <w:rPr>
          <w:rFonts w:ascii="Book Antiqua" w:hAnsi="Book Antiqua" w:cstheme="minorHAnsi"/>
        </w:rPr>
        <w:t>8.</w:t>
      </w:r>
      <w:r w:rsidR="00A71334" w:rsidRPr="00AF1DC5">
        <w:rPr>
          <w:rFonts w:ascii="Book Antiqua" w:hAnsi="Book Antiqua" w:cstheme="minorHAnsi"/>
        </w:rPr>
        <w:t>562</w:t>
      </w:r>
      <w:r w:rsidR="00D5678B" w:rsidRPr="00AF1DC5">
        <w:rPr>
          <w:rFonts w:ascii="Book Antiqua" w:hAnsi="Book Antiqua" w:cstheme="minorHAnsi"/>
        </w:rPr>
        <w:t xml:space="preserve">; </w:t>
      </w:r>
      <w:r w:rsidR="00D5678B" w:rsidRPr="00AF1DC5">
        <w:rPr>
          <w:rFonts w:ascii="Book Antiqua" w:hAnsi="Book Antiqua" w:cstheme="minorHAnsi"/>
          <w:i/>
        </w:rPr>
        <w:t>P</w:t>
      </w:r>
      <w:r w:rsidR="00414592" w:rsidRPr="00AF1DC5">
        <w:rPr>
          <w:rFonts w:ascii="Book Antiqua" w:hAnsi="Book Antiqua" w:cstheme="minorHAnsi"/>
          <w:i/>
          <w:lang w:eastAsia="zh-CN"/>
        </w:rPr>
        <w:t xml:space="preserve"> </w:t>
      </w:r>
      <w:r w:rsidR="00D5678B" w:rsidRPr="00AF1DC5">
        <w:rPr>
          <w:rFonts w:ascii="Book Antiqua" w:hAnsi="Book Antiqua" w:cstheme="minorHAnsi"/>
        </w:rPr>
        <w:t>&lt;</w:t>
      </w:r>
      <w:r w:rsidR="00414592" w:rsidRPr="00AF1DC5">
        <w:rPr>
          <w:rFonts w:ascii="Book Antiqua" w:hAnsi="Book Antiqua" w:cstheme="minorHAnsi"/>
          <w:lang w:eastAsia="zh-CN"/>
        </w:rPr>
        <w:t xml:space="preserve"> </w:t>
      </w:r>
      <w:r w:rsidR="00D5678B" w:rsidRPr="00AF1DC5">
        <w:rPr>
          <w:rFonts w:ascii="Book Antiqua" w:hAnsi="Book Antiqua" w:cstheme="minorHAnsi"/>
        </w:rPr>
        <w:t>0.0001). Vasopressin is primarily used to treat shock in critically ill children</w:t>
      </w:r>
      <w:r w:rsidR="00414592" w:rsidRPr="00AF1DC5">
        <w:rPr>
          <w:rFonts w:ascii="Book Antiqua" w:hAnsi="Book Antiqua" w:cstheme="minorHAnsi"/>
          <w:vertAlign w:val="superscript"/>
          <w:lang w:eastAsia="zh-CN"/>
        </w:rPr>
        <w:t>[3]</w:t>
      </w:r>
      <w:r w:rsidR="00D5678B" w:rsidRPr="00AF1DC5">
        <w:rPr>
          <w:rFonts w:ascii="Book Antiqua" w:hAnsi="Book Antiqua" w:cstheme="minorHAnsi"/>
        </w:rPr>
        <w:t>. Higher mortality in patients receiving vasopressin and shock does not necessarily represent a causal chain</w:t>
      </w:r>
      <w:r w:rsidR="00DA578B" w:rsidRPr="00AF1DC5">
        <w:rPr>
          <w:rFonts w:ascii="Book Antiqua" w:hAnsi="Book Antiqua" w:cstheme="minorHAnsi"/>
        </w:rPr>
        <w:t xml:space="preserve"> -</w:t>
      </w:r>
      <w:r w:rsidR="00D5678B" w:rsidRPr="00AF1DC5">
        <w:rPr>
          <w:rFonts w:ascii="Book Antiqua" w:hAnsi="Book Antiqua" w:cstheme="minorHAnsi"/>
        </w:rPr>
        <w:t xml:space="preserve"> it may merely be highlighting the pattern that severe cases of shock were more frequently given vasopressin. The strength of the association is striking and the administration of vasopressin in shock cases did not associate with significantly improved outcomes. The effect of vasopressin on GI bleeds and shock warrants further investigation in pediatric patients.</w:t>
      </w:r>
    </w:p>
    <w:p w14:paraId="4A638510" w14:textId="3944E146" w:rsidR="00974847" w:rsidRPr="00AF1DC5" w:rsidRDefault="00974847" w:rsidP="00414592">
      <w:pPr>
        <w:pStyle w:val="BodyText"/>
        <w:snapToGrid w:val="0"/>
        <w:spacing w:before="0" w:after="0" w:line="360" w:lineRule="auto"/>
        <w:ind w:firstLineChars="100" w:firstLine="240"/>
        <w:jc w:val="both"/>
        <w:rPr>
          <w:rFonts w:ascii="Book Antiqua" w:hAnsi="Book Antiqua" w:cstheme="minorHAnsi"/>
          <w:lang w:val="en-US"/>
        </w:rPr>
      </w:pPr>
      <w:r w:rsidRPr="00AF1DC5">
        <w:rPr>
          <w:rFonts w:ascii="Book Antiqua" w:hAnsi="Book Antiqua" w:cstheme="minorHAnsi"/>
          <w:lang w:val="en-US"/>
        </w:rPr>
        <w:t xml:space="preserve">Receiving octreotide or vasopressin was significantly associated with having a portal hypertension diagnosis </w:t>
      </w:r>
      <w:r w:rsidR="00414592" w:rsidRPr="00AF1DC5">
        <w:rPr>
          <w:rFonts w:ascii="Book Antiqua" w:hAnsi="Book Antiqua" w:cstheme="minorHAnsi"/>
          <w:lang w:val="en-US" w:eastAsia="zh-CN"/>
        </w:rPr>
        <w:t>[</w:t>
      </w:r>
      <w:r w:rsidRPr="00AF1DC5">
        <w:rPr>
          <w:rFonts w:ascii="Book Antiqua" w:hAnsi="Book Antiqua" w:cstheme="minorHAnsi"/>
          <w:i/>
          <w:lang w:val="en-US"/>
        </w:rPr>
        <w:t>χ</w:t>
      </w:r>
      <w:r w:rsidRPr="00AF1DC5">
        <w:rPr>
          <w:rFonts w:ascii="Book Antiqua" w:hAnsi="Book Antiqua" w:cstheme="minorHAnsi"/>
          <w:i/>
          <w:vertAlign w:val="superscript"/>
          <w:lang w:val="en-US"/>
        </w:rPr>
        <w:t>2</w:t>
      </w:r>
      <w:r w:rsidRPr="00AF1DC5">
        <w:rPr>
          <w:rFonts w:ascii="Book Antiqua" w:hAnsi="Book Antiqua" w:cstheme="minorHAnsi"/>
          <w:lang w:val="en-US"/>
        </w:rPr>
        <w:t xml:space="preserve"> (1) =</w:t>
      </w:r>
      <w:r w:rsidR="00414592" w:rsidRPr="00AF1DC5">
        <w:rPr>
          <w:rFonts w:ascii="Book Antiqua" w:hAnsi="Book Antiqua" w:cstheme="minorHAnsi"/>
          <w:lang w:val="en-US" w:eastAsia="zh-CN"/>
        </w:rPr>
        <w:t xml:space="preserve"> </w:t>
      </w:r>
      <w:r w:rsidRPr="00AF1DC5">
        <w:rPr>
          <w:rFonts w:ascii="Book Antiqua" w:hAnsi="Book Antiqua" w:cstheme="minorHAnsi"/>
          <w:lang w:val="en-US"/>
        </w:rPr>
        <w:t xml:space="preserve">3261.5, </w:t>
      </w:r>
      <w:r w:rsidRPr="00AF1DC5">
        <w:rPr>
          <w:rFonts w:ascii="Book Antiqua" w:hAnsi="Book Antiqua" w:cstheme="minorHAnsi"/>
          <w:i/>
          <w:caps/>
          <w:lang w:val="en-US"/>
        </w:rPr>
        <w:t>p</w:t>
      </w:r>
      <w:r w:rsidR="00414592" w:rsidRPr="00AF1DC5">
        <w:rPr>
          <w:rFonts w:ascii="Book Antiqua" w:hAnsi="Book Antiqua" w:cstheme="minorHAnsi"/>
          <w:lang w:val="en-US" w:eastAsia="zh-CN"/>
        </w:rPr>
        <w:t xml:space="preserve"> </w:t>
      </w:r>
      <w:r w:rsidRPr="00AF1DC5">
        <w:rPr>
          <w:rFonts w:ascii="Book Antiqua" w:hAnsi="Book Antiqua" w:cstheme="minorHAnsi"/>
          <w:lang w:val="en-US"/>
        </w:rPr>
        <w:t>&lt;</w:t>
      </w:r>
      <w:r w:rsidR="00414592" w:rsidRPr="00AF1DC5">
        <w:rPr>
          <w:rFonts w:ascii="Book Antiqua" w:hAnsi="Book Antiqua" w:cstheme="minorHAnsi"/>
          <w:lang w:val="en-US" w:eastAsia="zh-CN"/>
        </w:rPr>
        <w:t xml:space="preserve"> </w:t>
      </w:r>
      <w:r w:rsidRPr="00AF1DC5">
        <w:rPr>
          <w:rFonts w:ascii="Book Antiqua" w:hAnsi="Book Antiqua" w:cstheme="minorHAnsi"/>
          <w:lang w:val="en-US"/>
        </w:rPr>
        <w:t>0.0001</w:t>
      </w:r>
      <w:r w:rsidR="00414592" w:rsidRPr="00AF1DC5">
        <w:rPr>
          <w:rFonts w:ascii="Book Antiqua" w:hAnsi="Book Antiqua" w:cstheme="minorHAnsi"/>
          <w:lang w:val="en-US" w:eastAsia="zh-CN"/>
        </w:rPr>
        <w:t>]</w:t>
      </w:r>
      <w:r w:rsidRPr="00AF1DC5">
        <w:rPr>
          <w:rFonts w:ascii="Book Antiqua" w:hAnsi="Book Antiqua" w:cstheme="minorHAnsi"/>
          <w:lang w:val="en-US"/>
        </w:rPr>
        <w:t xml:space="preserve">, and with having varices with bleeding </w:t>
      </w:r>
      <w:r w:rsidR="00414592" w:rsidRPr="00AF1DC5">
        <w:rPr>
          <w:rFonts w:ascii="Book Antiqua" w:hAnsi="Book Antiqua" w:cstheme="minorHAnsi"/>
          <w:lang w:val="en-US" w:eastAsia="zh-CN"/>
        </w:rPr>
        <w:t>[</w:t>
      </w:r>
      <w:r w:rsidRPr="00AF1DC5">
        <w:rPr>
          <w:rFonts w:ascii="Book Antiqua" w:hAnsi="Book Antiqua" w:cstheme="minorHAnsi"/>
          <w:i/>
          <w:lang w:val="en-US"/>
        </w:rPr>
        <w:t>χ</w:t>
      </w:r>
      <w:r w:rsidRPr="00AF1DC5">
        <w:rPr>
          <w:rFonts w:ascii="Book Antiqua" w:hAnsi="Book Antiqua" w:cstheme="minorHAnsi"/>
          <w:i/>
          <w:vertAlign w:val="superscript"/>
          <w:lang w:val="en-US"/>
        </w:rPr>
        <w:t>2</w:t>
      </w:r>
      <w:r w:rsidRPr="00AF1DC5">
        <w:rPr>
          <w:rFonts w:ascii="Book Antiqua" w:hAnsi="Book Antiqua" w:cstheme="minorHAnsi"/>
          <w:lang w:val="en-US"/>
        </w:rPr>
        <w:t xml:space="preserve"> (1) =</w:t>
      </w:r>
      <w:r w:rsidR="00414592" w:rsidRPr="00AF1DC5">
        <w:rPr>
          <w:rFonts w:ascii="Book Antiqua" w:hAnsi="Book Antiqua" w:cstheme="minorHAnsi"/>
          <w:lang w:val="en-US" w:eastAsia="zh-CN"/>
        </w:rPr>
        <w:t xml:space="preserve"> </w:t>
      </w:r>
      <w:r w:rsidRPr="00AF1DC5">
        <w:rPr>
          <w:rFonts w:ascii="Book Antiqua" w:hAnsi="Book Antiqua" w:cstheme="minorHAnsi"/>
          <w:lang w:val="en-US"/>
        </w:rPr>
        <w:t xml:space="preserve">2477.2, </w:t>
      </w:r>
      <w:r w:rsidRPr="00AF1DC5">
        <w:rPr>
          <w:rFonts w:ascii="Book Antiqua" w:hAnsi="Book Antiqua" w:cstheme="minorHAnsi"/>
          <w:i/>
          <w:caps/>
          <w:lang w:val="en-US"/>
        </w:rPr>
        <w:t>p</w:t>
      </w:r>
      <w:r w:rsidR="00414592" w:rsidRPr="00AF1DC5">
        <w:rPr>
          <w:rFonts w:ascii="Book Antiqua" w:hAnsi="Book Antiqua" w:cstheme="minorHAnsi"/>
          <w:lang w:val="en-US" w:eastAsia="zh-CN"/>
        </w:rPr>
        <w:t xml:space="preserve"> </w:t>
      </w:r>
      <w:r w:rsidRPr="00AF1DC5">
        <w:rPr>
          <w:rFonts w:ascii="Book Antiqua" w:hAnsi="Book Antiqua" w:cstheme="minorHAnsi"/>
          <w:lang w:val="en-US"/>
        </w:rPr>
        <w:t>&lt;</w:t>
      </w:r>
      <w:r w:rsidR="00414592" w:rsidRPr="00AF1DC5">
        <w:rPr>
          <w:rFonts w:ascii="Book Antiqua" w:hAnsi="Book Antiqua" w:cstheme="minorHAnsi"/>
          <w:lang w:val="en-US" w:eastAsia="zh-CN"/>
        </w:rPr>
        <w:t xml:space="preserve"> </w:t>
      </w:r>
      <w:r w:rsidRPr="00AF1DC5">
        <w:rPr>
          <w:rFonts w:ascii="Book Antiqua" w:hAnsi="Book Antiqua" w:cstheme="minorHAnsi"/>
          <w:lang w:val="en-US"/>
        </w:rPr>
        <w:t>0.0001</w:t>
      </w:r>
      <w:r w:rsidR="00414592" w:rsidRPr="00AF1DC5">
        <w:rPr>
          <w:rFonts w:ascii="Book Antiqua" w:hAnsi="Book Antiqua" w:cstheme="minorHAnsi"/>
          <w:lang w:val="en-US" w:eastAsia="zh-CN"/>
        </w:rPr>
        <w:t>]</w:t>
      </w:r>
      <w:r w:rsidRPr="00AF1DC5">
        <w:rPr>
          <w:rFonts w:ascii="Book Antiqua" w:hAnsi="Book Antiqua" w:cstheme="minorHAnsi"/>
          <w:lang w:val="en-US"/>
        </w:rPr>
        <w:t xml:space="preserve">. </w:t>
      </w:r>
      <w:r w:rsidR="00D5678B" w:rsidRPr="00AF1DC5">
        <w:rPr>
          <w:rFonts w:ascii="Book Antiqua" w:hAnsi="Book Antiqua" w:cstheme="minorHAnsi"/>
        </w:rPr>
        <w:t>Receiving octreotide within the first 24 h</w:t>
      </w:r>
      <w:r w:rsidR="00433297" w:rsidRPr="00AF1DC5">
        <w:rPr>
          <w:rFonts w:ascii="Book Antiqua" w:hAnsi="Book Antiqua" w:cstheme="minorHAnsi"/>
          <w:lang w:eastAsia="zh-CN"/>
        </w:rPr>
        <w:t xml:space="preserve"> </w:t>
      </w:r>
      <w:r w:rsidR="00D5678B" w:rsidRPr="00AF1DC5">
        <w:rPr>
          <w:rFonts w:ascii="Book Antiqua" w:hAnsi="Book Antiqua" w:cstheme="minorHAnsi"/>
        </w:rPr>
        <w:t>was associated with a 2.</w:t>
      </w:r>
      <w:r w:rsidR="00920BEE" w:rsidRPr="00AF1DC5">
        <w:rPr>
          <w:rFonts w:ascii="Book Antiqua" w:hAnsi="Book Antiqua" w:cstheme="minorHAnsi"/>
        </w:rPr>
        <w:t>934</w:t>
      </w:r>
      <w:r w:rsidR="00D5678B" w:rsidRPr="00AF1DC5">
        <w:rPr>
          <w:rFonts w:ascii="Book Antiqua" w:hAnsi="Book Antiqua" w:cstheme="minorHAnsi"/>
        </w:rPr>
        <w:t xml:space="preserve">fold increase in odds of death (OR </w:t>
      </w:r>
      <w:r w:rsidR="00414592" w:rsidRPr="00AF1DC5">
        <w:rPr>
          <w:rFonts w:ascii="Book Antiqua" w:hAnsi="Book Antiqua" w:cstheme="minorHAnsi"/>
          <w:lang w:eastAsia="zh-CN"/>
        </w:rPr>
        <w:t xml:space="preserve">= </w:t>
      </w:r>
      <w:r w:rsidR="00D5678B" w:rsidRPr="00AF1DC5">
        <w:rPr>
          <w:rFonts w:ascii="Book Antiqua" w:hAnsi="Book Antiqua" w:cstheme="minorHAnsi"/>
        </w:rPr>
        <w:t>2.</w:t>
      </w:r>
      <w:r w:rsidR="00656575" w:rsidRPr="00AF1DC5">
        <w:rPr>
          <w:rFonts w:ascii="Book Antiqua" w:hAnsi="Book Antiqua" w:cstheme="minorHAnsi"/>
        </w:rPr>
        <w:t>936</w:t>
      </w:r>
      <w:r w:rsidR="00414592" w:rsidRPr="00AF1DC5">
        <w:rPr>
          <w:rFonts w:ascii="Book Antiqua" w:hAnsi="Book Antiqua" w:cstheme="minorHAnsi"/>
        </w:rPr>
        <w:t>, 95%</w:t>
      </w:r>
      <w:r w:rsidR="00D5678B" w:rsidRPr="00AF1DC5">
        <w:rPr>
          <w:rFonts w:ascii="Book Antiqua" w:hAnsi="Book Antiqua" w:cstheme="minorHAnsi"/>
        </w:rPr>
        <w:t>CI</w:t>
      </w:r>
      <w:r w:rsidR="00414592" w:rsidRPr="00AF1DC5">
        <w:rPr>
          <w:rFonts w:ascii="Book Antiqua" w:hAnsi="Book Antiqua" w:cstheme="minorHAnsi"/>
          <w:lang w:eastAsia="zh-CN"/>
        </w:rPr>
        <w:t xml:space="preserve">: </w:t>
      </w:r>
      <w:r w:rsidR="00920BEE" w:rsidRPr="00AF1DC5">
        <w:rPr>
          <w:rFonts w:ascii="Book Antiqua" w:hAnsi="Book Antiqua" w:cstheme="minorHAnsi"/>
        </w:rPr>
        <w:t>1.981</w:t>
      </w:r>
      <w:r w:rsidR="00414592" w:rsidRPr="00AF1DC5">
        <w:rPr>
          <w:rFonts w:ascii="Book Antiqua" w:hAnsi="Book Antiqua" w:cstheme="minorHAnsi"/>
          <w:lang w:eastAsia="zh-CN"/>
        </w:rPr>
        <w:t>-</w:t>
      </w:r>
      <w:r w:rsidR="00D5678B" w:rsidRPr="00AF1DC5">
        <w:rPr>
          <w:rFonts w:ascii="Book Antiqua" w:hAnsi="Book Antiqua" w:cstheme="minorHAnsi"/>
        </w:rPr>
        <w:t>4.</w:t>
      </w:r>
      <w:r w:rsidR="00920BEE" w:rsidRPr="00AF1DC5">
        <w:rPr>
          <w:rFonts w:ascii="Book Antiqua" w:hAnsi="Book Antiqua" w:cstheme="minorHAnsi"/>
        </w:rPr>
        <w:t>351</w:t>
      </w:r>
      <w:r w:rsidR="00D5678B" w:rsidRPr="00AF1DC5">
        <w:rPr>
          <w:rFonts w:ascii="Book Antiqua" w:hAnsi="Book Antiqua" w:cstheme="minorHAnsi"/>
        </w:rPr>
        <w:t>;</w:t>
      </w:r>
      <w:r w:rsidR="00D5678B" w:rsidRPr="00AF1DC5">
        <w:rPr>
          <w:rFonts w:ascii="Book Antiqua" w:hAnsi="Book Antiqua" w:cstheme="minorHAnsi"/>
          <w:i/>
        </w:rPr>
        <w:t xml:space="preserve"> P</w:t>
      </w:r>
      <w:r w:rsidR="00414592" w:rsidRPr="00AF1DC5">
        <w:rPr>
          <w:rFonts w:ascii="Book Antiqua" w:hAnsi="Book Antiqua" w:cstheme="minorHAnsi"/>
          <w:i/>
          <w:lang w:eastAsia="zh-CN"/>
        </w:rPr>
        <w:t xml:space="preserve"> </w:t>
      </w:r>
      <w:r w:rsidR="00D5678B" w:rsidRPr="00AF1DC5">
        <w:rPr>
          <w:rFonts w:ascii="Book Antiqua" w:hAnsi="Book Antiqua" w:cstheme="minorHAnsi"/>
        </w:rPr>
        <w:t>&lt;</w:t>
      </w:r>
      <w:r w:rsidR="00414592" w:rsidRPr="00AF1DC5">
        <w:rPr>
          <w:rFonts w:ascii="Book Antiqua" w:hAnsi="Book Antiqua" w:cstheme="minorHAnsi"/>
          <w:lang w:eastAsia="zh-CN"/>
        </w:rPr>
        <w:t xml:space="preserve"> </w:t>
      </w:r>
      <w:r w:rsidR="00D5678B" w:rsidRPr="00AF1DC5">
        <w:rPr>
          <w:rFonts w:ascii="Book Antiqua" w:hAnsi="Book Antiqua" w:cstheme="minorHAnsi"/>
        </w:rPr>
        <w:t xml:space="preserve">0.0001). </w:t>
      </w:r>
      <w:r w:rsidR="00154F58" w:rsidRPr="00AF1DC5">
        <w:rPr>
          <w:rFonts w:ascii="Book Antiqua" w:hAnsi="Book Antiqua" w:cstheme="minorHAnsi"/>
        </w:rPr>
        <w:t>This is more likely</w:t>
      </w:r>
      <w:r w:rsidR="00D5678B" w:rsidRPr="00AF1DC5">
        <w:rPr>
          <w:rFonts w:ascii="Book Antiqua" w:hAnsi="Book Antiqua" w:cstheme="minorHAnsi"/>
        </w:rPr>
        <w:t xml:space="preserve"> an indicator of severity of illness and early treatment as more severe patients who would eventually expire received more aggressive treatment.</w:t>
      </w:r>
    </w:p>
    <w:p w14:paraId="24EE3B97" w14:textId="53AEC83D" w:rsidR="00D5678B" w:rsidRPr="00AF1DC5" w:rsidRDefault="00D5678B" w:rsidP="00E50668">
      <w:pPr>
        <w:pStyle w:val="BodyText"/>
        <w:snapToGrid w:val="0"/>
        <w:spacing w:before="0" w:after="0" w:line="360" w:lineRule="auto"/>
        <w:jc w:val="both"/>
        <w:rPr>
          <w:rFonts w:ascii="Book Antiqua" w:hAnsi="Book Antiqua" w:cstheme="minorHAnsi"/>
        </w:rPr>
      </w:pPr>
    </w:p>
    <w:p w14:paraId="1BBD3D26" w14:textId="2FDBCAA6" w:rsidR="00A137F1" w:rsidRPr="00AF1DC5" w:rsidRDefault="00D5678B" w:rsidP="00E50668">
      <w:pPr>
        <w:pStyle w:val="BodyText"/>
        <w:snapToGrid w:val="0"/>
        <w:spacing w:before="0" w:after="0" w:line="360" w:lineRule="auto"/>
        <w:jc w:val="both"/>
        <w:rPr>
          <w:rFonts w:ascii="Book Antiqua" w:hAnsi="Book Antiqua" w:cstheme="minorHAnsi"/>
          <w:b/>
          <w:lang w:eastAsia="zh-CN"/>
        </w:rPr>
      </w:pPr>
      <w:r w:rsidRPr="00AF1DC5">
        <w:rPr>
          <w:rFonts w:ascii="Book Antiqua" w:hAnsi="Book Antiqua" w:cstheme="minorHAnsi"/>
          <w:b/>
        </w:rPr>
        <w:t>Factors affecting mortality in GIB as principal, admitting or present on admit</w:t>
      </w:r>
      <w:r w:rsidR="00414592" w:rsidRPr="00AF1DC5">
        <w:rPr>
          <w:rFonts w:ascii="Book Antiqua" w:hAnsi="Book Antiqua" w:cstheme="minorHAnsi"/>
          <w:b/>
          <w:lang w:eastAsia="zh-CN"/>
        </w:rPr>
        <w:t xml:space="preserve">: </w:t>
      </w:r>
      <w:r w:rsidRPr="00AF1DC5">
        <w:rPr>
          <w:rFonts w:ascii="Book Antiqua" w:hAnsi="Book Antiqua" w:cstheme="minorHAnsi"/>
        </w:rPr>
        <w:t>As a sensitivity analysis, we isolated only those patients whose principal diagnosis was a GIB, or the GIB was present on admit or the admitting diagnosis to see if the trends observed associations pertained to a more refined group of GIB patients (</w:t>
      </w:r>
      <w:r w:rsidR="00414592" w:rsidRPr="00AF1DC5">
        <w:rPr>
          <w:rFonts w:ascii="Book Antiqua" w:hAnsi="Book Antiqua" w:cstheme="minorHAnsi"/>
          <w:i/>
        </w:rPr>
        <w:t>n</w:t>
      </w:r>
      <w:r w:rsidR="00414592" w:rsidRPr="00AF1DC5">
        <w:rPr>
          <w:rFonts w:ascii="Book Antiqua" w:hAnsi="Book Antiqua" w:cstheme="minorHAnsi"/>
          <w:lang w:eastAsia="zh-CN"/>
        </w:rPr>
        <w:t xml:space="preserve"> </w:t>
      </w:r>
      <w:r w:rsidRPr="00AF1DC5">
        <w:rPr>
          <w:rFonts w:ascii="Book Antiqua" w:hAnsi="Book Antiqua" w:cstheme="minorHAnsi"/>
        </w:rPr>
        <w:t>=</w:t>
      </w:r>
      <w:r w:rsidR="00414592" w:rsidRPr="00AF1DC5">
        <w:rPr>
          <w:rFonts w:ascii="Book Antiqua" w:hAnsi="Book Antiqua" w:cstheme="minorHAnsi"/>
          <w:lang w:eastAsia="zh-CN"/>
        </w:rPr>
        <w:t xml:space="preserve"> </w:t>
      </w:r>
      <w:r w:rsidR="00414592" w:rsidRPr="00AF1DC5">
        <w:rPr>
          <w:rFonts w:ascii="Book Antiqua" w:hAnsi="Book Antiqua" w:cstheme="minorHAnsi"/>
        </w:rPr>
        <w:t>15</w:t>
      </w:r>
      <w:r w:rsidRPr="00AF1DC5">
        <w:rPr>
          <w:rFonts w:ascii="Book Antiqua" w:hAnsi="Book Antiqua" w:cstheme="minorHAnsi"/>
        </w:rPr>
        <w:t>539, 185 mortalities). After applying the model-fitting procedure, the final model yielded results similar to those observed for the full cohort of GIB patients in PHIS, with most of the associations being strengthened (the exception being CCCs)</w:t>
      </w:r>
      <w:r w:rsidR="00757BC1" w:rsidRPr="00AF1DC5">
        <w:rPr>
          <w:rFonts w:ascii="Book Antiqua" w:hAnsi="Book Antiqua" w:cstheme="minorHAnsi"/>
        </w:rPr>
        <w:t>, suggesting the secondary GIB may have biased estimates toward the null</w:t>
      </w:r>
      <w:r w:rsidRPr="00AF1DC5">
        <w:rPr>
          <w:rFonts w:ascii="Book Antiqua" w:hAnsi="Book Antiqua" w:cstheme="minorHAnsi"/>
        </w:rPr>
        <w:t xml:space="preserve"> Age, race, and gender were not statistically significantly associated with mortality when controlling for other covariates (</w:t>
      </w:r>
      <w:r w:rsidRPr="00AF1DC5">
        <w:rPr>
          <w:rFonts w:ascii="Book Antiqua" w:hAnsi="Book Antiqua" w:cstheme="minorHAnsi"/>
          <w:i/>
        </w:rPr>
        <w:t>P</w:t>
      </w:r>
      <w:r w:rsidR="00414592" w:rsidRPr="00AF1DC5">
        <w:rPr>
          <w:rFonts w:ascii="Book Antiqua" w:hAnsi="Book Antiqua" w:cstheme="minorHAnsi"/>
          <w:i/>
          <w:lang w:eastAsia="zh-CN"/>
        </w:rPr>
        <w:t xml:space="preserve"> </w:t>
      </w:r>
      <w:r w:rsidRPr="00AF1DC5">
        <w:rPr>
          <w:rFonts w:ascii="Book Antiqua" w:hAnsi="Book Antiqua" w:cstheme="minorHAnsi"/>
        </w:rPr>
        <w:t>=</w:t>
      </w:r>
      <w:r w:rsidR="00414592" w:rsidRPr="00AF1DC5">
        <w:rPr>
          <w:rFonts w:ascii="Book Antiqua" w:hAnsi="Book Antiqua" w:cstheme="minorHAnsi"/>
          <w:lang w:eastAsia="zh-CN"/>
        </w:rPr>
        <w:t xml:space="preserve"> </w:t>
      </w:r>
      <w:r w:rsidRPr="00AF1DC5">
        <w:rPr>
          <w:rFonts w:ascii="Book Antiqua" w:hAnsi="Book Antiqua" w:cstheme="minorHAnsi"/>
        </w:rPr>
        <w:t>0.</w:t>
      </w:r>
      <w:r w:rsidR="00F54A4C" w:rsidRPr="00AF1DC5">
        <w:rPr>
          <w:rFonts w:ascii="Book Antiqua" w:hAnsi="Book Antiqua" w:cstheme="minorHAnsi"/>
        </w:rPr>
        <w:t>999</w:t>
      </w:r>
      <w:r w:rsidRPr="00AF1DC5">
        <w:rPr>
          <w:rFonts w:ascii="Book Antiqua" w:hAnsi="Book Antiqua" w:cstheme="minorHAnsi"/>
        </w:rPr>
        <w:t xml:space="preserve">; </w:t>
      </w:r>
      <w:r w:rsidRPr="00AF1DC5">
        <w:rPr>
          <w:rFonts w:ascii="Book Antiqua" w:hAnsi="Book Antiqua" w:cstheme="minorHAnsi"/>
          <w:i/>
        </w:rPr>
        <w:t>P</w:t>
      </w:r>
      <w:r w:rsidR="00414592" w:rsidRPr="00AF1DC5">
        <w:rPr>
          <w:rFonts w:ascii="Book Antiqua" w:hAnsi="Book Antiqua" w:cstheme="minorHAnsi"/>
          <w:i/>
          <w:lang w:eastAsia="zh-CN"/>
        </w:rPr>
        <w:t xml:space="preserve"> </w:t>
      </w:r>
      <w:r w:rsidRPr="00AF1DC5">
        <w:rPr>
          <w:rFonts w:ascii="Book Antiqua" w:hAnsi="Book Antiqua" w:cstheme="minorHAnsi"/>
        </w:rPr>
        <w:t>=</w:t>
      </w:r>
      <w:r w:rsidR="00414592" w:rsidRPr="00AF1DC5">
        <w:rPr>
          <w:rFonts w:ascii="Book Antiqua" w:hAnsi="Book Antiqua" w:cstheme="minorHAnsi"/>
          <w:lang w:eastAsia="zh-CN"/>
        </w:rPr>
        <w:t xml:space="preserve"> </w:t>
      </w:r>
      <w:r w:rsidRPr="00AF1DC5">
        <w:rPr>
          <w:rFonts w:ascii="Book Antiqua" w:hAnsi="Book Antiqua" w:cstheme="minorHAnsi"/>
        </w:rPr>
        <w:t>0.</w:t>
      </w:r>
      <w:r w:rsidR="00A616FE" w:rsidRPr="00AF1DC5">
        <w:rPr>
          <w:rFonts w:ascii="Book Antiqua" w:hAnsi="Book Antiqua" w:cstheme="minorHAnsi"/>
        </w:rPr>
        <w:t>999</w:t>
      </w:r>
      <w:r w:rsidRPr="00AF1DC5">
        <w:rPr>
          <w:rFonts w:ascii="Book Antiqua" w:hAnsi="Book Antiqua" w:cstheme="minorHAnsi"/>
        </w:rPr>
        <w:t xml:space="preserve">; </w:t>
      </w:r>
      <w:r w:rsidRPr="00AF1DC5">
        <w:rPr>
          <w:rFonts w:ascii="Book Antiqua" w:hAnsi="Book Antiqua" w:cstheme="minorHAnsi"/>
          <w:i/>
        </w:rPr>
        <w:t>P</w:t>
      </w:r>
      <w:r w:rsidR="00414592" w:rsidRPr="00AF1DC5">
        <w:rPr>
          <w:rFonts w:ascii="Book Antiqua" w:hAnsi="Book Antiqua" w:cstheme="minorHAnsi"/>
          <w:i/>
          <w:lang w:eastAsia="zh-CN"/>
        </w:rPr>
        <w:t xml:space="preserve"> </w:t>
      </w:r>
      <w:r w:rsidRPr="00AF1DC5">
        <w:rPr>
          <w:rFonts w:ascii="Book Antiqua" w:hAnsi="Book Antiqua" w:cstheme="minorHAnsi"/>
        </w:rPr>
        <w:t>=</w:t>
      </w:r>
      <w:r w:rsidR="00414592" w:rsidRPr="00AF1DC5">
        <w:rPr>
          <w:rFonts w:ascii="Book Antiqua" w:hAnsi="Book Antiqua" w:cstheme="minorHAnsi"/>
          <w:lang w:eastAsia="zh-CN"/>
        </w:rPr>
        <w:t xml:space="preserve"> </w:t>
      </w:r>
      <w:r w:rsidRPr="00AF1DC5">
        <w:rPr>
          <w:rFonts w:ascii="Book Antiqua" w:hAnsi="Book Antiqua" w:cstheme="minorHAnsi"/>
        </w:rPr>
        <w:t>0.</w:t>
      </w:r>
      <w:r w:rsidR="00F54A4C" w:rsidRPr="00AF1DC5">
        <w:rPr>
          <w:rFonts w:ascii="Book Antiqua" w:hAnsi="Book Antiqua" w:cstheme="minorHAnsi"/>
        </w:rPr>
        <w:t>9</w:t>
      </w:r>
      <w:r w:rsidR="00A616FE" w:rsidRPr="00AF1DC5">
        <w:rPr>
          <w:rFonts w:ascii="Book Antiqua" w:hAnsi="Book Antiqua" w:cstheme="minorHAnsi"/>
        </w:rPr>
        <w:t>37</w:t>
      </w:r>
      <w:r w:rsidRPr="00AF1DC5">
        <w:rPr>
          <w:rFonts w:ascii="Book Antiqua" w:hAnsi="Book Antiqua" w:cstheme="minorHAnsi"/>
        </w:rPr>
        <w:t>, respectively).</w:t>
      </w:r>
      <w:r w:rsidR="00A26905" w:rsidRPr="00AF1DC5">
        <w:rPr>
          <w:rFonts w:ascii="Book Antiqua" w:hAnsi="Book Antiqua" w:cstheme="minorHAnsi"/>
        </w:rPr>
        <w:t xml:space="preserve"> </w:t>
      </w:r>
      <w:r w:rsidRPr="00AF1DC5">
        <w:rPr>
          <w:rFonts w:ascii="Book Antiqua" w:hAnsi="Book Antiqua" w:cstheme="minorHAnsi"/>
        </w:rPr>
        <w:t>Again, residing in an urban area, administration of H2RA on day 0 or 1,</w:t>
      </w:r>
      <w:r w:rsidR="00F54A4C" w:rsidRPr="00AF1DC5">
        <w:rPr>
          <w:rFonts w:ascii="Book Antiqua" w:hAnsi="Book Antiqua" w:cstheme="minorHAnsi"/>
        </w:rPr>
        <w:t xml:space="preserve"> chronic liver disease,</w:t>
      </w:r>
      <w:r w:rsidRPr="00AF1DC5">
        <w:rPr>
          <w:rFonts w:ascii="Book Antiqua" w:hAnsi="Book Antiqua" w:cstheme="minorHAnsi"/>
        </w:rPr>
        <w:t xml:space="preserve"> and the interaction between endoscopy and </w:t>
      </w:r>
      <w:r w:rsidR="00F54A4C" w:rsidRPr="00AF1DC5">
        <w:rPr>
          <w:rFonts w:ascii="Book Antiqua" w:hAnsi="Book Antiqua" w:cstheme="minorHAnsi"/>
        </w:rPr>
        <w:t xml:space="preserve">chronic liver disease </w:t>
      </w:r>
      <w:r w:rsidRPr="00AF1DC5">
        <w:rPr>
          <w:rFonts w:ascii="Book Antiqua" w:hAnsi="Book Antiqua" w:cstheme="minorHAnsi"/>
        </w:rPr>
        <w:t xml:space="preserve">were not significant and did not improve model fit </w:t>
      </w:r>
      <w:r w:rsidR="00414592" w:rsidRPr="00AF1DC5">
        <w:rPr>
          <w:rFonts w:ascii="Book Antiqua" w:hAnsi="Book Antiqua" w:cstheme="minorHAnsi"/>
          <w:lang w:eastAsia="zh-CN"/>
        </w:rPr>
        <w:t>[</w:t>
      </w:r>
      <w:r w:rsidRPr="00AF1DC5">
        <w:rPr>
          <w:rFonts w:ascii="Book Antiqua" w:hAnsi="Book Antiqua" w:cstheme="minorHAnsi"/>
          <w:i/>
        </w:rPr>
        <w:t>χ</w:t>
      </w:r>
      <w:r w:rsidRPr="00AF1DC5">
        <w:rPr>
          <w:rFonts w:ascii="Book Antiqua" w:hAnsi="Book Antiqua" w:cstheme="minorHAnsi"/>
          <w:i/>
          <w:vertAlign w:val="superscript"/>
        </w:rPr>
        <w:t>2</w:t>
      </w:r>
      <w:r w:rsidR="004A56DB" w:rsidRPr="00AF1DC5">
        <w:rPr>
          <w:rFonts w:ascii="Book Antiqua" w:hAnsi="Book Antiqua" w:cstheme="minorHAnsi"/>
          <w:i/>
          <w:vertAlign w:val="superscript"/>
          <w:lang w:eastAsia="zh-CN"/>
        </w:rPr>
        <w:t xml:space="preserve"> </w:t>
      </w:r>
      <w:r w:rsidRPr="00AF1DC5">
        <w:rPr>
          <w:rFonts w:ascii="Book Antiqua" w:hAnsi="Book Antiqua" w:cstheme="minorHAnsi"/>
        </w:rPr>
        <w:t>(5)</w:t>
      </w:r>
      <w:r w:rsidR="00414592" w:rsidRPr="00AF1DC5">
        <w:rPr>
          <w:rFonts w:ascii="Book Antiqua" w:hAnsi="Book Antiqua" w:cstheme="minorHAnsi"/>
          <w:lang w:eastAsia="zh-CN"/>
        </w:rPr>
        <w:t xml:space="preserve"> </w:t>
      </w:r>
      <w:r w:rsidRPr="00AF1DC5">
        <w:rPr>
          <w:rFonts w:ascii="Book Antiqua" w:hAnsi="Book Antiqua" w:cstheme="minorHAnsi"/>
        </w:rPr>
        <w:t>=</w:t>
      </w:r>
      <w:r w:rsidR="00414592" w:rsidRPr="00AF1DC5">
        <w:rPr>
          <w:rFonts w:ascii="Book Antiqua" w:hAnsi="Book Antiqua" w:cstheme="minorHAnsi"/>
          <w:lang w:eastAsia="zh-CN"/>
        </w:rPr>
        <w:t xml:space="preserve"> </w:t>
      </w:r>
      <w:r w:rsidR="00195B5B" w:rsidRPr="00AF1DC5">
        <w:rPr>
          <w:rFonts w:ascii="Book Antiqua" w:hAnsi="Book Antiqua" w:cstheme="minorHAnsi"/>
        </w:rPr>
        <w:t>4.527</w:t>
      </w:r>
      <w:r w:rsidRPr="00AF1DC5">
        <w:rPr>
          <w:rFonts w:ascii="Book Antiqua" w:hAnsi="Book Antiqua" w:cstheme="minorHAnsi"/>
        </w:rPr>
        <w:t xml:space="preserve">, </w:t>
      </w:r>
      <w:r w:rsidRPr="00AF1DC5">
        <w:rPr>
          <w:rFonts w:ascii="Book Antiqua" w:hAnsi="Book Antiqua" w:cstheme="minorHAnsi"/>
          <w:i/>
        </w:rPr>
        <w:t>P</w:t>
      </w:r>
      <w:r w:rsidR="00414592" w:rsidRPr="00AF1DC5">
        <w:rPr>
          <w:rFonts w:ascii="Book Antiqua" w:hAnsi="Book Antiqua" w:cstheme="minorHAnsi"/>
          <w:i/>
          <w:lang w:eastAsia="zh-CN"/>
        </w:rPr>
        <w:t xml:space="preserve"> </w:t>
      </w:r>
      <w:r w:rsidRPr="00AF1DC5">
        <w:rPr>
          <w:rFonts w:ascii="Book Antiqua" w:hAnsi="Book Antiqua" w:cstheme="minorHAnsi"/>
        </w:rPr>
        <w:t>=</w:t>
      </w:r>
      <w:r w:rsidR="00414592" w:rsidRPr="00AF1DC5">
        <w:rPr>
          <w:rFonts w:ascii="Book Antiqua" w:hAnsi="Book Antiqua" w:cstheme="minorHAnsi"/>
          <w:lang w:eastAsia="zh-CN"/>
        </w:rPr>
        <w:t xml:space="preserve"> </w:t>
      </w:r>
      <w:r w:rsidRPr="00AF1DC5">
        <w:rPr>
          <w:rFonts w:ascii="Book Antiqua" w:hAnsi="Book Antiqua" w:cstheme="minorHAnsi"/>
        </w:rPr>
        <w:t>0.</w:t>
      </w:r>
      <w:r w:rsidR="00195B5B" w:rsidRPr="00AF1DC5">
        <w:rPr>
          <w:rFonts w:ascii="Book Antiqua" w:hAnsi="Book Antiqua" w:cstheme="minorHAnsi"/>
        </w:rPr>
        <w:t>476</w:t>
      </w:r>
      <w:r w:rsidR="00414592" w:rsidRPr="00AF1DC5">
        <w:rPr>
          <w:rFonts w:ascii="Book Antiqua" w:hAnsi="Book Antiqua" w:cstheme="minorHAnsi"/>
          <w:lang w:eastAsia="zh-CN"/>
        </w:rPr>
        <w:t>]</w:t>
      </w:r>
      <w:r w:rsidRPr="00AF1DC5">
        <w:rPr>
          <w:rFonts w:ascii="Book Antiqua" w:hAnsi="Book Antiqua" w:cstheme="minorHAnsi"/>
        </w:rPr>
        <w:t>. Perforation-type injury</w:t>
      </w:r>
      <w:r w:rsidR="00195B5B" w:rsidRPr="00AF1DC5">
        <w:rPr>
          <w:rFonts w:ascii="Book Antiqua" w:hAnsi="Book Antiqua" w:cstheme="minorHAnsi"/>
        </w:rPr>
        <w:t xml:space="preserve"> and </w:t>
      </w:r>
      <w:r w:rsidR="00D2739D" w:rsidRPr="00AF1DC5">
        <w:rPr>
          <w:rFonts w:ascii="Book Antiqua" w:hAnsi="Book Antiqua" w:cstheme="minorHAnsi"/>
        </w:rPr>
        <w:t xml:space="preserve">GIB </w:t>
      </w:r>
      <w:r w:rsidR="00195B5B" w:rsidRPr="00AF1DC5">
        <w:rPr>
          <w:rFonts w:ascii="Book Antiqua" w:hAnsi="Book Antiqua" w:cstheme="minorHAnsi"/>
        </w:rPr>
        <w:t xml:space="preserve">present on </w:t>
      </w:r>
      <w:r w:rsidR="00195B5B" w:rsidRPr="00AF1DC5">
        <w:rPr>
          <w:rFonts w:ascii="Book Antiqua" w:hAnsi="Book Antiqua" w:cstheme="minorHAnsi"/>
        </w:rPr>
        <w:lastRenderedPageBreak/>
        <w:t xml:space="preserve">admission were </w:t>
      </w:r>
      <w:r w:rsidRPr="00AF1DC5">
        <w:rPr>
          <w:rFonts w:ascii="Book Antiqua" w:hAnsi="Book Antiqua" w:cstheme="minorHAnsi"/>
        </w:rPr>
        <w:t>not significant an</w:t>
      </w:r>
      <w:r w:rsidR="00757BC1" w:rsidRPr="00AF1DC5">
        <w:rPr>
          <w:rFonts w:ascii="Book Antiqua" w:hAnsi="Book Antiqua" w:cstheme="minorHAnsi"/>
        </w:rPr>
        <w:t>d</w:t>
      </w:r>
      <w:r w:rsidRPr="00AF1DC5">
        <w:rPr>
          <w:rFonts w:ascii="Book Antiqua" w:hAnsi="Book Antiqua" w:cstheme="minorHAnsi"/>
        </w:rPr>
        <w:t xml:space="preserve"> subsequently removed from the final model </w:t>
      </w:r>
      <w:r w:rsidR="00414592" w:rsidRPr="00AF1DC5">
        <w:rPr>
          <w:rFonts w:ascii="Book Antiqua" w:hAnsi="Book Antiqua" w:cstheme="minorHAnsi"/>
          <w:lang w:eastAsia="zh-CN"/>
        </w:rPr>
        <w:t>[</w:t>
      </w:r>
      <w:r w:rsidRPr="00AF1DC5">
        <w:rPr>
          <w:rFonts w:ascii="Book Antiqua" w:hAnsi="Book Antiqua" w:cstheme="minorHAnsi"/>
          <w:i/>
        </w:rPr>
        <w:t>χ</w:t>
      </w:r>
      <w:r w:rsidRPr="00AF1DC5">
        <w:rPr>
          <w:rFonts w:ascii="Book Antiqua" w:hAnsi="Book Antiqua" w:cstheme="minorHAnsi"/>
          <w:i/>
          <w:vertAlign w:val="superscript"/>
        </w:rPr>
        <w:t>2</w:t>
      </w:r>
      <w:r w:rsidRPr="00AF1DC5">
        <w:rPr>
          <w:rFonts w:ascii="Book Antiqua" w:hAnsi="Book Antiqua" w:cstheme="minorHAnsi"/>
          <w:vertAlign w:val="superscript"/>
        </w:rPr>
        <w:t xml:space="preserve"> </w:t>
      </w:r>
      <w:r w:rsidRPr="00AF1DC5">
        <w:rPr>
          <w:rFonts w:ascii="Book Antiqua" w:hAnsi="Book Antiqua" w:cstheme="minorHAnsi"/>
        </w:rPr>
        <w:t>(</w:t>
      </w:r>
      <w:r w:rsidR="00195B5B" w:rsidRPr="00AF1DC5">
        <w:rPr>
          <w:rFonts w:ascii="Book Antiqua" w:hAnsi="Book Antiqua" w:cstheme="minorHAnsi"/>
        </w:rPr>
        <w:t>2</w:t>
      </w:r>
      <w:r w:rsidRPr="00AF1DC5">
        <w:rPr>
          <w:rFonts w:ascii="Book Antiqua" w:hAnsi="Book Antiqua" w:cstheme="minorHAnsi"/>
        </w:rPr>
        <w:t>)</w:t>
      </w:r>
      <w:r w:rsidR="00414592" w:rsidRPr="00AF1DC5">
        <w:rPr>
          <w:rFonts w:ascii="Book Antiqua" w:hAnsi="Book Antiqua" w:cstheme="minorHAnsi"/>
          <w:lang w:eastAsia="zh-CN"/>
        </w:rPr>
        <w:t xml:space="preserve"> </w:t>
      </w:r>
      <w:r w:rsidRPr="00AF1DC5">
        <w:rPr>
          <w:rFonts w:ascii="Book Antiqua" w:hAnsi="Book Antiqua" w:cstheme="minorHAnsi"/>
        </w:rPr>
        <w:t>=</w:t>
      </w:r>
      <w:r w:rsidR="00414592" w:rsidRPr="00AF1DC5">
        <w:rPr>
          <w:rFonts w:ascii="Book Antiqua" w:hAnsi="Book Antiqua" w:cstheme="minorHAnsi"/>
          <w:lang w:eastAsia="zh-CN"/>
        </w:rPr>
        <w:t xml:space="preserve"> </w:t>
      </w:r>
      <w:r w:rsidR="00195B5B" w:rsidRPr="00AF1DC5">
        <w:rPr>
          <w:rFonts w:ascii="Book Antiqua" w:hAnsi="Book Antiqua" w:cstheme="minorHAnsi"/>
        </w:rPr>
        <w:t>3.644</w:t>
      </w:r>
      <w:r w:rsidRPr="00AF1DC5">
        <w:rPr>
          <w:rFonts w:ascii="Book Antiqua" w:hAnsi="Book Antiqua" w:cstheme="minorHAnsi"/>
        </w:rPr>
        <w:t xml:space="preserve">, </w:t>
      </w:r>
      <w:r w:rsidRPr="00AF1DC5">
        <w:rPr>
          <w:rFonts w:ascii="Book Antiqua" w:hAnsi="Book Antiqua" w:cstheme="minorHAnsi"/>
          <w:i/>
        </w:rPr>
        <w:t>P</w:t>
      </w:r>
      <w:r w:rsidR="00414592" w:rsidRPr="00AF1DC5">
        <w:rPr>
          <w:rFonts w:ascii="Book Antiqua" w:hAnsi="Book Antiqua" w:cstheme="minorHAnsi"/>
          <w:i/>
          <w:lang w:eastAsia="zh-CN"/>
        </w:rPr>
        <w:t xml:space="preserve"> </w:t>
      </w:r>
      <w:r w:rsidRPr="00AF1DC5">
        <w:rPr>
          <w:rFonts w:ascii="Book Antiqua" w:hAnsi="Book Antiqua" w:cstheme="minorHAnsi"/>
        </w:rPr>
        <w:t>=</w:t>
      </w:r>
      <w:r w:rsidR="00414592" w:rsidRPr="00AF1DC5">
        <w:rPr>
          <w:rFonts w:ascii="Book Antiqua" w:hAnsi="Book Antiqua" w:cstheme="minorHAnsi"/>
          <w:lang w:eastAsia="zh-CN"/>
        </w:rPr>
        <w:t xml:space="preserve"> </w:t>
      </w:r>
      <w:r w:rsidRPr="00AF1DC5">
        <w:rPr>
          <w:rFonts w:ascii="Book Antiqua" w:hAnsi="Book Antiqua" w:cstheme="minorHAnsi"/>
        </w:rPr>
        <w:t>0.</w:t>
      </w:r>
      <w:r w:rsidR="00195B5B" w:rsidRPr="00AF1DC5">
        <w:rPr>
          <w:rFonts w:ascii="Book Antiqua" w:hAnsi="Book Antiqua" w:cstheme="minorHAnsi"/>
        </w:rPr>
        <w:t>162</w:t>
      </w:r>
      <w:r w:rsidR="00414592" w:rsidRPr="00AF1DC5">
        <w:rPr>
          <w:rFonts w:ascii="Book Antiqua" w:hAnsi="Book Antiqua" w:cstheme="minorHAnsi"/>
          <w:lang w:eastAsia="zh-CN"/>
        </w:rPr>
        <w:t>]</w:t>
      </w:r>
      <w:r w:rsidRPr="00AF1DC5">
        <w:rPr>
          <w:rFonts w:ascii="Book Antiqua" w:hAnsi="Book Antiqua" w:cstheme="minorHAnsi"/>
        </w:rPr>
        <w:t>.</w:t>
      </w:r>
      <w:r w:rsidR="00414592" w:rsidRPr="00AF1DC5">
        <w:rPr>
          <w:rFonts w:ascii="Book Antiqua" w:hAnsi="Book Antiqua" w:cstheme="minorHAnsi"/>
        </w:rPr>
        <w:t xml:space="preserve"> </w:t>
      </w:r>
    </w:p>
    <w:p w14:paraId="45DF8E81" w14:textId="5DB53281" w:rsidR="00D5678B" w:rsidRPr="00AF1DC5" w:rsidRDefault="00D5678B" w:rsidP="00E50668">
      <w:pPr>
        <w:pStyle w:val="BodyText"/>
        <w:snapToGrid w:val="0"/>
        <w:spacing w:before="0" w:after="0" w:line="360" w:lineRule="auto"/>
        <w:jc w:val="both"/>
        <w:rPr>
          <w:rFonts w:ascii="Book Antiqua" w:hAnsi="Book Antiqua" w:cstheme="minorHAnsi"/>
        </w:rPr>
      </w:pPr>
      <w:r w:rsidRPr="00AF1DC5">
        <w:rPr>
          <w:rFonts w:ascii="Book Antiqua" w:hAnsi="Book Antiqua" w:cstheme="minorHAnsi"/>
        </w:rPr>
        <w:t xml:space="preserve">In this smaller cohort, patients who died were even less likely to have undergone an endoscopic procedure (OR </w:t>
      </w:r>
      <w:r w:rsidR="004A56DB" w:rsidRPr="00AF1DC5">
        <w:rPr>
          <w:rFonts w:ascii="Book Antiqua" w:hAnsi="Book Antiqua" w:cstheme="minorHAnsi"/>
          <w:lang w:eastAsia="zh-CN"/>
        </w:rPr>
        <w:t xml:space="preserve">= </w:t>
      </w:r>
      <w:r w:rsidRPr="00AF1DC5">
        <w:rPr>
          <w:rFonts w:ascii="Book Antiqua" w:hAnsi="Book Antiqua" w:cstheme="minorHAnsi"/>
        </w:rPr>
        <w:t>0.</w:t>
      </w:r>
      <w:r w:rsidR="00926C6F" w:rsidRPr="00AF1DC5">
        <w:rPr>
          <w:rFonts w:ascii="Book Antiqua" w:hAnsi="Book Antiqua" w:cstheme="minorHAnsi"/>
        </w:rPr>
        <w:t>327</w:t>
      </w:r>
      <w:r w:rsidR="004A56DB" w:rsidRPr="00AF1DC5">
        <w:rPr>
          <w:rFonts w:ascii="Book Antiqua" w:hAnsi="Book Antiqua" w:cstheme="minorHAnsi"/>
        </w:rPr>
        <w:t>, 95%</w:t>
      </w:r>
      <w:r w:rsidRPr="00AF1DC5">
        <w:rPr>
          <w:rFonts w:ascii="Book Antiqua" w:hAnsi="Book Antiqua" w:cstheme="minorHAnsi"/>
        </w:rPr>
        <w:t>CI</w:t>
      </w:r>
      <w:r w:rsidR="004A56DB" w:rsidRPr="00AF1DC5">
        <w:rPr>
          <w:rFonts w:ascii="Book Antiqua" w:hAnsi="Book Antiqua" w:cstheme="minorHAnsi"/>
          <w:lang w:eastAsia="zh-CN"/>
        </w:rPr>
        <w:t xml:space="preserve">: </w:t>
      </w:r>
      <w:r w:rsidRPr="00AF1DC5">
        <w:rPr>
          <w:rFonts w:ascii="Book Antiqua" w:hAnsi="Book Antiqua" w:cstheme="minorHAnsi"/>
        </w:rPr>
        <w:t>0.</w:t>
      </w:r>
      <w:r w:rsidR="00926C6F" w:rsidRPr="00AF1DC5">
        <w:rPr>
          <w:rFonts w:ascii="Book Antiqua" w:hAnsi="Book Antiqua" w:cstheme="minorHAnsi"/>
        </w:rPr>
        <w:t>202</w:t>
      </w:r>
      <w:r w:rsidR="004A56DB" w:rsidRPr="00AF1DC5">
        <w:rPr>
          <w:rFonts w:ascii="Book Antiqua" w:hAnsi="Book Antiqua" w:cstheme="minorHAnsi"/>
          <w:lang w:eastAsia="zh-CN"/>
        </w:rPr>
        <w:t>-</w:t>
      </w:r>
      <w:r w:rsidRPr="00AF1DC5">
        <w:rPr>
          <w:rFonts w:ascii="Book Antiqua" w:hAnsi="Book Antiqua" w:cstheme="minorHAnsi"/>
        </w:rPr>
        <w:t>0.</w:t>
      </w:r>
      <w:r w:rsidR="00926C6F" w:rsidRPr="00AF1DC5">
        <w:rPr>
          <w:rFonts w:ascii="Book Antiqua" w:hAnsi="Book Antiqua" w:cstheme="minorHAnsi"/>
        </w:rPr>
        <w:t>539</w:t>
      </w:r>
      <w:r w:rsidRPr="00AF1DC5">
        <w:rPr>
          <w:rFonts w:ascii="Book Antiqua" w:hAnsi="Book Antiqua" w:cstheme="minorHAnsi"/>
        </w:rPr>
        <w:t xml:space="preserve">; </w:t>
      </w:r>
      <w:r w:rsidRPr="00AF1DC5">
        <w:rPr>
          <w:rFonts w:ascii="Book Antiqua" w:hAnsi="Book Antiqua" w:cstheme="minorHAnsi"/>
          <w:i/>
        </w:rPr>
        <w:t>P</w:t>
      </w:r>
      <w:r w:rsidR="004A56DB" w:rsidRPr="00AF1DC5">
        <w:rPr>
          <w:rFonts w:ascii="Book Antiqua" w:hAnsi="Book Antiqua" w:cstheme="minorHAnsi"/>
          <w:i/>
          <w:lang w:eastAsia="zh-CN"/>
        </w:rPr>
        <w:t xml:space="preserve"> </w:t>
      </w:r>
      <w:r w:rsidRPr="00AF1DC5">
        <w:rPr>
          <w:rFonts w:ascii="Book Antiqua" w:hAnsi="Book Antiqua" w:cstheme="minorHAnsi"/>
        </w:rPr>
        <w:t>&lt;</w:t>
      </w:r>
      <w:r w:rsidR="004A56DB" w:rsidRPr="00AF1DC5">
        <w:rPr>
          <w:rFonts w:ascii="Book Antiqua" w:hAnsi="Book Antiqua" w:cstheme="minorHAnsi"/>
          <w:lang w:eastAsia="zh-CN"/>
        </w:rPr>
        <w:t xml:space="preserve"> </w:t>
      </w:r>
      <w:r w:rsidRPr="00AF1DC5">
        <w:rPr>
          <w:rFonts w:ascii="Book Antiqua" w:hAnsi="Book Antiqua" w:cstheme="minorHAnsi"/>
        </w:rPr>
        <w:t xml:space="preserve">0.0001). Mortalities had </w:t>
      </w:r>
      <w:r w:rsidR="00195B5B" w:rsidRPr="00AF1DC5">
        <w:rPr>
          <w:rFonts w:ascii="Book Antiqua" w:hAnsi="Book Antiqua" w:cstheme="minorHAnsi"/>
        </w:rPr>
        <w:t xml:space="preserve">marginally </w:t>
      </w:r>
      <w:r w:rsidRPr="00AF1DC5">
        <w:rPr>
          <w:rFonts w:ascii="Book Antiqua" w:hAnsi="Book Antiqua" w:cstheme="minorHAnsi"/>
        </w:rPr>
        <w:t>lower odds of receipt of a PPI on the first or second day of admission (OR 0.</w:t>
      </w:r>
      <w:r w:rsidR="00195B5B" w:rsidRPr="00AF1DC5">
        <w:rPr>
          <w:rFonts w:ascii="Book Antiqua" w:hAnsi="Book Antiqua" w:cstheme="minorHAnsi"/>
        </w:rPr>
        <w:t>613</w:t>
      </w:r>
      <w:r w:rsidRPr="00AF1DC5">
        <w:rPr>
          <w:rFonts w:ascii="Book Antiqua" w:hAnsi="Book Antiqua" w:cstheme="minorHAnsi"/>
        </w:rPr>
        <w:t>, 95% CI (0.</w:t>
      </w:r>
      <w:r w:rsidR="00195B5B" w:rsidRPr="00AF1DC5">
        <w:rPr>
          <w:rFonts w:ascii="Book Antiqua" w:hAnsi="Book Antiqua" w:cstheme="minorHAnsi"/>
        </w:rPr>
        <w:t>417</w:t>
      </w:r>
      <w:r w:rsidRPr="00AF1DC5">
        <w:rPr>
          <w:rFonts w:ascii="Book Antiqua" w:hAnsi="Book Antiqua" w:cstheme="minorHAnsi"/>
        </w:rPr>
        <w:t>, 0.</w:t>
      </w:r>
      <w:r w:rsidR="00A616FE" w:rsidRPr="00AF1DC5">
        <w:rPr>
          <w:rFonts w:ascii="Book Antiqua" w:hAnsi="Book Antiqua" w:cstheme="minorHAnsi"/>
        </w:rPr>
        <w:t>902</w:t>
      </w:r>
      <w:r w:rsidRPr="00AF1DC5">
        <w:rPr>
          <w:rFonts w:ascii="Book Antiqua" w:hAnsi="Book Antiqua" w:cstheme="minorHAnsi"/>
        </w:rPr>
        <w:t>);</w:t>
      </w:r>
      <w:r w:rsidRPr="00AF1DC5">
        <w:rPr>
          <w:rFonts w:ascii="Book Antiqua" w:hAnsi="Book Antiqua" w:cstheme="minorHAnsi"/>
          <w:i/>
        </w:rPr>
        <w:t xml:space="preserve"> P</w:t>
      </w:r>
      <w:r w:rsidRPr="00AF1DC5">
        <w:rPr>
          <w:rFonts w:ascii="Book Antiqua" w:hAnsi="Book Antiqua" w:cstheme="minorHAnsi"/>
        </w:rPr>
        <w:t>=0.0</w:t>
      </w:r>
      <w:r w:rsidR="00A616FE" w:rsidRPr="00AF1DC5">
        <w:rPr>
          <w:rFonts w:ascii="Book Antiqua" w:hAnsi="Book Antiqua" w:cstheme="minorHAnsi"/>
        </w:rPr>
        <w:t>51</w:t>
      </w:r>
      <w:r w:rsidRPr="00AF1DC5">
        <w:rPr>
          <w:rFonts w:ascii="Book Antiqua" w:hAnsi="Book Antiqua" w:cstheme="minorHAnsi"/>
        </w:rPr>
        <w:t xml:space="preserve">). Receiving octreotide </w:t>
      </w:r>
      <w:r w:rsidR="00757BC1" w:rsidRPr="00AF1DC5">
        <w:rPr>
          <w:rFonts w:ascii="Book Antiqua" w:hAnsi="Book Antiqua" w:cstheme="minorHAnsi"/>
        </w:rPr>
        <w:t>on the first or second day of admission</w:t>
      </w:r>
      <w:r w:rsidRPr="00AF1DC5">
        <w:rPr>
          <w:rFonts w:ascii="Book Antiqua" w:hAnsi="Book Antiqua" w:cstheme="minorHAnsi"/>
        </w:rPr>
        <w:t xml:space="preserve"> was associated with an increase in odds of death</w:t>
      </w:r>
      <w:r w:rsidR="004A56DB" w:rsidRPr="00AF1DC5">
        <w:rPr>
          <w:rFonts w:ascii="Book Antiqua" w:hAnsi="Book Antiqua" w:cstheme="minorHAnsi"/>
          <w:lang w:eastAsia="zh-CN"/>
        </w:rPr>
        <w:t xml:space="preserve"> </w:t>
      </w:r>
      <w:r w:rsidRPr="00AF1DC5">
        <w:rPr>
          <w:rFonts w:ascii="Book Antiqua" w:hAnsi="Book Antiqua" w:cstheme="minorHAnsi"/>
        </w:rPr>
        <w:t xml:space="preserve">(OR </w:t>
      </w:r>
      <w:r w:rsidR="004A56DB" w:rsidRPr="00AF1DC5">
        <w:rPr>
          <w:rFonts w:ascii="Book Antiqua" w:hAnsi="Book Antiqua" w:cstheme="minorHAnsi"/>
          <w:lang w:eastAsia="zh-CN"/>
        </w:rPr>
        <w:t xml:space="preserve">= </w:t>
      </w:r>
      <w:r w:rsidR="00926C6F" w:rsidRPr="00AF1DC5">
        <w:rPr>
          <w:rFonts w:ascii="Book Antiqua" w:hAnsi="Book Antiqua" w:cstheme="minorHAnsi"/>
        </w:rPr>
        <w:t>2.219</w:t>
      </w:r>
      <w:r w:rsidR="004A56DB" w:rsidRPr="00AF1DC5">
        <w:rPr>
          <w:rFonts w:ascii="Book Antiqua" w:hAnsi="Book Antiqua" w:cstheme="minorHAnsi"/>
        </w:rPr>
        <w:t>, 95%</w:t>
      </w:r>
      <w:r w:rsidRPr="00AF1DC5">
        <w:rPr>
          <w:rFonts w:ascii="Book Antiqua" w:hAnsi="Book Antiqua" w:cstheme="minorHAnsi"/>
        </w:rPr>
        <w:t>CI</w:t>
      </w:r>
      <w:r w:rsidR="004A56DB" w:rsidRPr="00AF1DC5">
        <w:rPr>
          <w:rFonts w:ascii="Book Antiqua" w:hAnsi="Book Antiqua" w:cstheme="minorHAnsi"/>
          <w:lang w:eastAsia="zh-CN"/>
        </w:rPr>
        <w:t xml:space="preserve">: </w:t>
      </w:r>
      <w:r w:rsidRPr="00AF1DC5">
        <w:rPr>
          <w:rFonts w:ascii="Book Antiqua" w:hAnsi="Book Antiqua" w:cstheme="minorHAnsi"/>
        </w:rPr>
        <w:t>1</w:t>
      </w:r>
      <w:r w:rsidR="00926C6F" w:rsidRPr="00AF1DC5">
        <w:rPr>
          <w:rFonts w:ascii="Book Antiqua" w:hAnsi="Book Antiqua" w:cstheme="minorHAnsi"/>
        </w:rPr>
        <w:t>.286</w:t>
      </w:r>
      <w:r w:rsidR="004A56DB" w:rsidRPr="00AF1DC5">
        <w:rPr>
          <w:rFonts w:ascii="Book Antiqua" w:hAnsi="Book Antiqua" w:cstheme="minorHAnsi"/>
          <w:lang w:eastAsia="zh-CN"/>
        </w:rPr>
        <w:t>-</w:t>
      </w:r>
      <w:r w:rsidR="00926C6F" w:rsidRPr="00AF1DC5">
        <w:rPr>
          <w:rFonts w:ascii="Book Antiqua" w:hAnsi="Book Antiqua" w:cstheme="minorHAnsi"/>
        </w:rPr>
        <w:t>3.831</w:t>
      </w:r>
      <w:r w:rsidRPr="00AF1DC5">
        <w:rPr>
          <w:rFonts w:ascii="Book Antiqua" w:hAnsi="Book Antiqua" w:cstheme="minorHAnsi"/>
        </w:rPr>
        <w:t>;</w:t>
      </w:r>
      <w:r w:rsidRPr="00AF1DC5">
        <w:rPr>
          <w:rFonts w:ascii="Book Antiqua" w:hAnsi="Book Antiqua" w:cstheme="minorHAnsi"/>
          <w:i/>
        </w:rPr>
        <w:t xml:space="preserve"> P</w:t>
      </w:r>
      <w:r w:rsidR="004A56DB" w:rsidRPr="00AF1DC5">
        <w:rPr>
          <w:rFonts w:ascii="Book Antiqua" w:hAnsi="Book Antiqua" w:cstheme="minorHAnsi"/>
          <w:i/>
          <w:lang w:eastAsia="zh-CN"/>
        </w:rPr>
        <w:t xml:space="preserve"> </w:t>
      </w:r>
      <w:r w:rsidRPr="00AF1DC5">
        <w:rPr>
          <w:rFonts w:ascii="Book Antiqua" w:hAnsi="Book Antiqua" w:cstheme="minorHAnsi"/>
        </w:rPr>
        <w:t>=</w:t>
      </w:r>
      <w:r w:rsidR="004A56DB" w:rsidRPr="00AF1DC5">
        <w:rPr>
          <w:rFonts w:ascii="Book Antiqua" w:hAnsi="Book Antiqua" w:cstheme="minorHAnsi"/>
          <w:lang w:eastAsia="zh-CN"/>
        </w:rPr>
        <w:t xml:space="preserve"> </w:t>
      </w:r>
      <w:r w:rsidRPr="00AF1DC5">
        <w:rPr>
          <w:rFonts w:ascii="Book Antiqua" w:hAnsi="Book Antiqua" w:cstheme="minorHAnsi"/>
        </w:rPr>
        <w:t>0.0</w:t>
      </w:r>
      <w:r w:rsidR="00195B5B" w:rsidRPr="00AF1DC5">
        <w:rPr>
          <w:rFonts w:ascii="Book Antiqua" w:hAnsi="Book Antiqua" w:cstheme="minorHAnsi"/>
        </w:rPr>
        <w:t>25</w:t>
      </w:r>
      <w:r w:rsidRPr="00AF1DC5">
        <w:rPr>
          <w:rFonts w:ascii="Book Antiqua" w:hAnsi="Book Antiqua" w:cstheme="minorHAnsi"/>
        </w:rPr>
        <w:t xml:space="preserve">). </w:t>
      </w:r>
    </w:p>
    <w:p w14:paraId="2C6AD171" w14:textId="7EC37CFA" w:rsidR="00D5678B" w:rsidRPr="00AF1DC5" w:rsidRDefault="00D5678B" w:rsidP="004A56DB">
      <w:pPr>
        <w:pStyle w:val="BodyText"/>
        <w:snapToGrid w:val="0"/>
        <w:spacing w:before="0" w:after="0" w:line="360" w:lineRule="auto"/>
        <w:ind w:firstLineChars="100" w:firstLine="240"/>
        <w:jc w:val="both"/>
        <w:rPr>
          <w:rFonts w:ascii="Book Antiqua" w:hAnsi="Book Antiqua" w:cstheme="minorHAnsi"/>
        </w:rPr>
      </w:pPr>
      <w:r w:rsidRPr="00AF1DC5">
        <w:rPr>
          <w:rFonts w:ascii="Book Antiqua" w:hAnsi="Book Antiqua" w:cstheme="minorHAnsi"/>
        </w:rPr>
        <w:t>The strength of the association with CCCs was not quite as pronounced in the smaller cohort. The odds of having 1 or 2 CCCs compared to 0 CCCs were 8.7</w:t>
      </w:r>
      <w:r w:rsidR="00926C6F" w:rsidRPr="00AF1DC5">
        <w:rPr>
          <w:rFonts w:ascii="Book Antiqua" w:hAnsi="Book Antiqua" w:cstheme="minorHAnsi"/>
        </w:rPr>
        <w:t>1</w:t>
      </w:r>
      <w:r w:rsidRPr="00AF1DC5">
        <w:rPr>
          <w:rFonts w:ascii="Book Antiqua" w:hAnsi="Book Antiqua" w:cstheme="minorHAnsi"/>
        </w:rPr>
        <w:t>0 times higher for mortalities over non-mortalities (</w:t>
      </w:r>
      <w:r w:rsidR="004A56DB" w:rsidRPr="00AF1DC5">
        <w:rPr>
          <w:rFonts w:ascii="Book Antiqua" w:hAnsi="Book Antiqua" w:cstheme="minorHAnsi"/>
        </w:rPr>
        <w:t>95%</w:t>
      </w:r>
      <w:r w:rsidRPr="00AF1DC5">
        <w:rPr>
          <w:rFonts w:ascii="Book Antiqua" w:hAnsi="Book Antiqua" w:cstheme="minorHAnsi"/>
        </w:rPr>
        <w:t>CI</w:t>
      </w:r>
      <w:r w:rsidR="004A56DB" w:rsidRPr="00AF1DC5">
        <w:rPr>
          <w:rFonts w:ascii="Book Antiqua" w:hAnsi="Book Antiqua" w:cstheme="minorHAnsi"/>
          <w:lang w:eastAsia="zh-CN"/>
        </w:rPr>
        <w:t xml:space="preserve">: </w:t>
      </w:r>
      <w:r w:rsidR="00926C6F" w:rsidRPr="00AF1DC5">
        <w:rPr>
          <w:rFonts w:ascii="Book Antiqua" w:hAnsi="Book Antiqua" w:cstheme="minorHAnsi"/>
        </w:rPr>
        <w:t>3.861</w:t>
      </w:r>
      <w:r w:rsidR="004A56DB" w:rsidRPr="00AF1DC5">
        <w:rPr>
          <w:rFonts w:ascii="Book Antiqua" w:hAnsi="Book Antiqua" w:cstheme="minorHAnsi"/>
          <w:lang w:eastAsia="zh-CN"/>
        </w:rPr>
        <w:t>-</w:t>
      </w:r>
      <w:r w:rsidR="00926C6F" w:rsidRPr="00AF1DC5">
        <w:rPr>
          <w:rFonts w:ascii="Book Antiqua" w:hAnsi="Book Antiqua" w:cstheme="minorHAnsi"/>
        </w:rPr>
        <w:t>19.651</w:t>
      </w:r>
      <w:r w:rsidRPr="00AF1DC5">
        <w:rPr>
          <w:rFonts w:ascii="Book Antiqua" w:hAnsi="Book Antiqua" w:cstheme="minorHAnsi"/>
        </w:rPr>
        <w:t xml:space="preserve">; </w:t>
      </w:r>
      <w:r w:rsidRPr="00AF1DC5">
        <w:rPr>
          <w:rFonts w:ascii="Book Antiqua" w:hAnsi="Book Antiqua" w:cstheme="minorHAnsi"/>
          <w:i/>
        </w:rPr>
        <w:t>P</w:t>
      </w:r>
      <w:r w:rsidR="004A56DB" w:rsidRPr="00AF1DC5">
        <w:rPr>
          <w:rFonts w:ascii="Book Antiqua" w:hAnsi="Book Antiqua" w:cstheme="minorHAnsi"/>
          <w:i/>
          <w:lang w:eastAsia="zh-CN"/>
        </w:rPr>
        <w:t xml:space="preserve"> </w:t>
      </w:r>
      <w:r w:rsidRPr="00AF1DC5">
        <w:rPr>
          <w:rFonts w:ascii="Book Antiqua" w:hAnsi="Book Antiqua" w:cstheme="minorHAnsi"/>
        </w:rPr>
        <w:t>&lt;</w:t>
      </w:r>
      <w:r w:rsidR="004A56DB" w:rsidRPr="00AF1DC5">
        <w:rPr>
          <w:rFonts w:ascii="Book Antiqua" w:hAnsi="Book Antiqua" w:cstheme="minorHAnsi"/>
          <w:lang w:eastAsia="zh-CN"/>
        </w:rPr>
        <w:t xml:space="preserve"> </w:t>
      </w:r>
      <w:r w:rsidRPr="00AF1DC5">
        <w:rPr>
          <w:rFonts w:ascii="Book Antiqua" w:hAnsi="Book Antiqua" w:cstheme="minorHAnsi"/>
        </w:rPr>
        <w:t>0.0001), and the odds of having 3 or more CCCs compared to 0 CCCs was 2</w:t>
      </w:r>
      <w:r w:rsidR="00926C6F" w:rsidRPr="00AF1DC5">
        <w:rPr>
          <w:rFonts w:ascii="Book Antiqua" w:hAnsi="Book Antiqua" w:cstheme="minorHAnsi"/>
        </w:rPr>
        <w:t>4.098</w:t>
      </w:r>
      <w:r w:rsidRPr="00AF1DC5">
        <w:rPr>
          <w:rFonts w:ascii="Book Antiqua" w:hAnsi="Book Antiqua" w:cstheme="minorHAnsi"/>
        </w:rPr>
        <w:t xml:space="preserve"> (</w:t>
      </w:r>
      <w:r w:rsidR="004A56DB" w:rsidRPr="00AF1DC5">
        <w:rPr>
          <w:rFonts w:ascii="Book Antiqua" w:hAnsi="Book Antiqua" w:cstheme="minorHAnsi"/>
        </w:rPr>
        <w:t>95%</w:t>
      </w:r>
      <w:r w:rsidRPr="00AF1DC5">
        <w:rPr>
          <w:rFonts w:ascii="Book Antiqua" w:hAnsi="Book Antiqua" w:cstheme="minorHAnsi"/>
        </w:rPr>
        <w:t>CI</w:t>
      </w:r>
      <w:r w:rsidR="004A56DB" w:rsidRPr="00AF1DC5">
        <w:rPr>
          <w:rFonts w:ascii="Book Antiqua" w:hAnsi="Book Antiqua" w:cstheme="minorHAnsi"/>
          <w:lang w:eastAsia="zh-CN"/>
        </w:rPr>
        <w:t xml:space="preserve">: </w:t>
      </w:r>
      <w:r w:rsidR="00F54A4C" w:rsidRPr="00AF1DC5">
        <w:rPr>
          <w:rFonts w:ascii="Book Antiqua" w:hAnsi="Book Antiqua" w:cstheme="minorHAnsi"/>
        </w:rPr>
        <w:t>10.778</w:t>
      </w:r>
      <w:r w:rsidR="004A56DB" w:rsidRPr="00AF1DC5">
        <w:rPr>
          <w:rFonts w:ascii="Book Antiqua" w:hAnsi="Book Antiqua" w:cstheme="minorHAnsi"/>
          <w:lang w:eastAsia="zh-CN"/>
        </w:rPr>
        <w:t>-</w:t>
      </w:r>
      <w:r w:rsidR="00F54A4C" w:rsidRPr="00AF1DC5">
        <w:rPr>
          <w:rFonts w:ascii="Book Antiqua" w:hAnsi="Book Antiqua" w:cstheme="minorHAnsi"/>
        </w:rPr>
        <w:t>53.884</w:t>
      </w:r>
      <w:r w:rsidRPr="00AF1DC5">
        <w:rPr>
          <w:rFonts w:ascii="Book Antiqua" w:hAnsi="Book Antiqua" w:cstheme="minorHAnsi"/>
        </w:rPr>
        <w:t xml:space="preserve">; </w:t>
      </w:r>
      <w:r w:rsidRPr="00AF1DC5">
        <w:rPr>
          <w:rFonts w:ascii="Book Antiqua" w:hAnsi="Book Antiqua" w:cstheme="minorHAnsi"/>
          <w:i/>
        </w:rPr>
        <w:t>P</w:t>
      </w:r>
      <w:r w:rsidR="004A56DB" w:rsidRPr="00AF1DC5">
        <w:rPr>
          <w:rFonts w:ascii="Book Antiqua" w:hAnsi="Book Antiqua" w:cstheme="minorHAnsi"/>
          <w:i/>
          <w:lang w:eastAsia="zh-CN"/>
        </w:rPr>
        <w:t xml:space="preserve"> </w:t>
      </w:r>
      <w:r w:rsidRPr="00AF1DC5">
        <w:rPr>
          <w:rFonts w:ascii="Book Antiqua" w:hAnsi="Book Antiqua" w:cstheme="minorHAnsi"/>
        </w:rPr>
        <w:t>&lt;</w:t>
      </w:r>
      <w:r w:rsidR="004A56DB" w:rsidRPr="00AF1DC5">
        <w:rPr>
          <w:rFonts w:ascii="Book Antiqua" w:hAnsi="Book Antiqua" w:cstheme="minorHAnsi"/>
          <w:lang w:eastAsia="zh-CN"/>
        </w:rPr>
        <w:t xml:space="preserve"> </w:t>
      </w:r>
      <w:r w:rsidRPr="00AF1DC5">
        <w:rPr>
          <w:rFonts w:ascii="Book Antiqua" w:hAnsi="Book Antiqua" w:cstheme="minorHAnsi"/>
        </w:rPr>
        <w:t xml:space="preserve">0.0001) times higher for mortalities over non-mortalities. Mortalities have significantly increased odds of having multiple complex chronic conditions in the smaller cohort, but the associations are less strong. </w:t>
      </w:r>
    </w:p>
    <w:p w14:paraId="34AC45F4" w14:textId="045E756E" w:rsidR="00154F58" w:rsidRPr="00AF1DC5" w:rsidRDefault="00D5678B" w:rsidP="004A56DB">
      <w:pPr>
        <w:pStyle w:val="BodyText"/>
        <w:snapToGrid w:val="0"/>
        <w:spacing w:before="0" w:after="0" w:line="360" w:lineRule="auto"/>
        <w:ind w:firstLineChars="100" w:firstLine="240"/>
        <w:jc w:val="both"/>
        <w:rPr>
          <w:rFonts w:ascii="Book Antiqua" w:hAnsi="Book Antiqua" w:cstheme="minorHAnsi"/>
        </w:rPr>
      </w:pPr>
      <w:r w:rsidRPr="00AF1DC5">
        <w:rPr>
          <w:rFonts w:ascii="Book Antiqua" w:hAnsi="Book Antiqua" w:cstheme="minorHAnsi"/>
        </w:rPr>
        <w:t xml:space="preserve">There was a significant association between mortality and diagnosis of sepsis during the encounter (OR </w:t>
      </w:r>
      <w:r w:rsidR="004A56DB" w:rsidRPr="00AF1DC5">
        <w:rPr>
          <w:rFonts w:ascii="Book Antiqua" w:hAnsi="Book Antiqua" w:cstheme="minorHAnsi"/>
          <w:lang w:eastAsia="zh-CN"/>
        </w:rPr>
        <w:t xml:space="preserve">= </w:t>
      </w:r>
      <w:r w:rsidRPr="00AF1DC5">
        <w:rPr>
          <w:rFonts w:ascii="Book Antiqua" w:hAnsi="Book Antiqua" w:cstheme="minorHAnsi"/>
        </w:rPr>
        <w:t>2.</w:t>
      </w:r>
      <w:r w:rsidR="00F54A4C" w:rsidRPr="00AF1DC5">
        <w:rPr>
          <w:rFonts w:ascii="Book Antiqua" w:hAnsi="Book Antiqua" w:cstheme="minorHAnsi"/>
        </w:rPr>
        <w:t>040</w:t>
      </w:r>
      <w:r w:rsidR="004A56DB" w:rsidRPr="00AF1DC5">
        <w:rPr>
          <w:rFonts w:ascii="Book Antiqua" w:hAnsi="Book Antiqua" w:cstheme="minorHAnsi"/>
        </w:rPr>
        <w:t>, 95%</w:t>
      </w:r>
      <w:r w:rsidRPr="00AF1DC5">
        <w:rPr>
          <w:rFonts w:ascii="Book Antiqua" w:hAnsi="Book Antiqua" w:cstheme="minorHAnsi"/>
        </w:rPr>
        <w:t>CI</w:t>
      </w:r>
      <w:r w:rsidR="004A56DB" w:rsidRPr="00AF1DC5">
        <w:rPr>
          <w:rFonts w:ascii="Book Antiqua" w:hAnsi="Book Antiqua" w:cstheme="minorHAnsi"/>
          <w:lang w:eastAsia="zh-CN"/>
        </w:rPr>
        <w:t xml:space="preserve">: </w:t>
      </w:r>
      <w:r w:rsidR="00F54A4C" w:rsidRPr="00AF1DC5">
        <w:rPr>
          <w:rFonts w:ascii="Book Antiqua" w:hAnsi="Book Antiqua" w:cstheme="minorHAnsi"/>
        </w:rPr>
        <w:t>1.197</w:t>
      </w:r>
      <w:r w:rsidR="004A56DB" w:rsidRPr="00AF1DC5">
        <w:rPr>
          <w:rFonts w:ascii="Book Antiqua" w:hAnsi="Book Antiqua" w:cstheme="minorHAnsi"/>
          <w:lang w:eastAsia="zh-CN"/>
        </w:rPr>
        <w:t>-</w:t>
      </w:r>
      <w:r w:rsidR="00F54A4C" w:rsidRPr="00AF1DC5">
        <w:rPr>
          <w:rFonts w:ascii="Book Antiqua" w:hAnsi="Book Antiqua" w:cstheme="minorHAnsi"/>
        </w:rPr>
        <w:t>3.477</w:t>
      </w:r>
      <w:r w:rsidRPr="00AF1DC5">
        <w:rPr>
          <w:rFonts w:ascii="Book Antiqua" w:hAnsi="Book Antiqua" w:cstheme="minorHAnsi"/>
        </w:rPr>
        <w:t xml:space="preserve">; </w:t>
      </w:r>
      <w:r w:rsidRPr="00AF1DC5">
        <w:rPr>
          <w:rFonts w:ascii="Book Antiqua" w:hAnsi="Book Antiqua" w:cstheme="minorHAnsi"/>
          <w:i/>
        </w:rPr>
        <w:t>P</w:t>
      </w:r>
      <w:r w:rsidR="004A56DB" w:rsidRPr="00AF1DC5">
        <w:rPr>
          <w:rFonts w:ascii="Book Antiqua" w:hAnsi="Book Antiqua" w:cstheme="minorHAnsi"/>
          <w:i/>
          <w:lang w:eastAsia="zh-CN"/>
        </w:rPr>
        <w:t xml:space="preserve"> </w:t>
      </w:r>
      <w:r w:rsidRPr="00AF1DC5">
        <w:rPr>
          <w:rFonts w:ascii="Book Antiqua" w:hAnsi="Book Antiqua" w:cstheme="minorHAnsi"/>
        </w:rPr>
        <w:t>=</w:t>
      </w:r>
      <w:r w:rsidR="004A56DB" w:rsidRPr="00AF1DC5">
        <w:rPr>
          <w:rFonts w:ascii="Book Antiqua" w:hAnsi="Book Antiqua" w:cstheme="minorHAnsi"/>
          <w:lang w:eastAsia="zh-CN"/>
        </w:rPr>
        <w:t xml:space="preserve"> </w:t>
      </w:r>
      <w:r w:rsidRPr="00AF1DC5">
        <w:rPr>
          <w:rFonts w:ascii="Book Antiqua" w:hAnsi="Book Antiqua" w:cstheme="minorHAnsi"/>
        </w:rPr>
        <w:t>0.0</w:t>
      </w:r>
      <w:r w:rsidR="00A616FE" w:rsidRPr="00AF1DC5">
        <w:rPr>
          <w:rFonts w:ascii="Book Antiqua" w:hAnsi="Book Antiqua" w:cstheme="minorHAnsi"/>
        </w:rPr>
        <w:t>44</w:t>
      </w:r>
      <w:r w:rsidRPr="00AF1DC5">
        <w:rPr>
          <w:rFonts w:ascii="Book Antiqua" w:hAnsi="Book Antiqua" w:cstheme="minorHAnsi"/>
        </w:rPr>
        <w:t xml:space="preserve">). Mortalities had substantially higher odds of shock (OR </w:t>
      </w:r>
      <w:r w:rsidR="004A56DB" w:rsidRPr="00AF1DC5">
        <w:rPr>
          <w:rFonts w:ascii="Book Antiqua" w:hAnsi="Book Antiqua" w:cstheme="minorHAnsi"/>
          <w:lang w:eastAsia="zh-CN"/>
        </w:rPr>
        <w:t xml:space="preserve">= </w:t>
      </w:r>
      <w:r w:rsidRPr="00AF1DC5">
        <w:rPr>
          <w:rFonts w:ascii="Book Antiqua" w:hAnsi="Book Antiqua" w:cstheme="minorHAnsi"/>
        </w:rPr>
        <w:t>5.4</w:t>
      </w:r>
      <w:r w:rsidR="00F54A4C" w:rsidRPr="00AF1DC5">
        <w:rPr>
          <w:rFonts w:ascii="Book Antiqua" w:hAnsi="Book Antiqua" w:cstheme="minorHAnsi"/>
        </w:rPr>
        <w:t>26</w:t>
      </w:r>
      <w:r w:rsidR="004A56DB" w:rsidRPr="00AF1DC5">
        <w:rPr>
          <w:rFonts w:ascii="Book Antiqua" w:hAnsi="Book Antiqua" w:cstheme="minorHAnsi"/>
        </w:rPr>
        <w:t>, 95%</w:t>
      </w:r>
      <w:r w:rsidRPr="00AF1DC5">
        <w:rPr>
          <w:rFonts w:ascii="Book Antiqua" w:hAnsi="Book Antiqua" w:cstheme="minorHAnsi"/>
        </w:rPr>
        <w:t>CI</w:t>
      </w:r>
      <w:r w:rsidR="004A56DB" w:rsidRPr="00AF1DC5">
        <w:rPr>
          <w:rFonts w:ascii="Book Antiqua" w:hAnsi="Book Antiqua" w:cstheme="minorHAnsi"/>
          <w:lang w:eastAsia="zh-CN"/>
        </w:rPr>
        <w:t xml:space="preserve">: </w:t>
      </w:r>
      <w:r w:rsidR="00F54A4C" w:rsidRPr="00AF1DC5">
        <w:rPr>
          <w:rFonts w:ascii="Book Antiqua" w:hAnsi="Book Antiqua" w:cstheme="minorHAnsi"/>
        </w:rPr>
        <w:t>3.212</w:t>
      </w:r>
      <w:r w:rsidR="004A56DB" w:rsidRPr="00AF1DC5">
        <w:rPr>
          <w:rFonts w:ascii="Book Antiqua" w:hAnsi="Book Antiqua" w:cstheme="minorHAnsi"/>
          <w:lang w:eastAsia="zh-CN"/>
        </w:rPr>
        <w:t>-</w:t>
      </w:r>
      <w:r w:rsidRPr="00AF1DC5">
        <w:rPr>
          <w:rFonts w:ascii="Book Antiqua" w:hAnsi="Book Antiqua" w:cstheme="minorHAnsi"/>
        </w:rPr>
        <w:t>9.</w:t>
      </w:r>
      <w:r w:rsidR="00F54A4C" w:rsidRPr="00AF1DC5">
        <w:rPr>
          <w:rFonts w:ascii="Book Antiqua" w:hAnsi="Book Antiqua" w:cstheme="minorHAnsi"/>
        </w:rPr>
        <w:t>168</w:t>
      </w:r>
      <w:r w:rsidRPr="00AF1DC5">
        <w:rPr>
          <w:rFonts w:ascii="Book Antiqua" w:hAnsi="Book Antiqua" w:cstheme="minorHAnsi"/>
        </w:rPr>
        <w:t xml:space="preserve">; </w:t>
      </w:r>
      <w:r w:rsidRPr="00AF1DC5">
        <w:rPr>
          <w:rFonts w:ascii="Book Antiqua" w:hAnsi="Book Antiqua" w:cstheme="minorHAnsi"/>
          <w:i/>
        </w:rPr>
        <w:t>P</w:t>
      </w:r>
      <w:r w:rsidR="004A56DB" w:rsidRPr="00AF1DC5">
        <w:rPr>
          <w:rFonts w:ascii="Book Antiqua" w:hAnsi="Book Antiqua" w:cstheme="minorHAnsi"/>
          <w:i/>
          <w:lang w:eastAsia="zh-CN"/>
        </w:rPr>
        <w:t xml:space="preserve"> </w:t>
      </w:r>
      <w:r w:rsidR="00DA578B" w:rsidRPr="00AF1DC5">
        <w:rPr>
          <w:rFonts w:ascii="Book Antiqua" w:hAnsi="Book Antiqua" w:cstheme="minorHAnsi"/>
        </w:rPr>
        <w:t>&lt;</w:t>
      </w:r>
      <w:r w:rsidR="004A56DB" w:rsidRPr="00AF1DC5">
        <w:rPr>
          <w:rFonts w:ascii="Book Antiqua" w:hAnsi="Book Antiqua" w:cstheme="minorHAnsi"/>
          <w:lang w:eastAsia="zh-CN"/>
        </w:rPr>
        <w:t xml:space="preserve"> </w:t>
      </w:r>
      <w:r w:rsidR="00DA578B" w:rsidRPr="00AF1DC5">
        <w:rPr>
          <w:rFonts w:ascii="Book Antiqua" w:hAnsi="Book Antiqua" w:cstheme="minorHAnsi"/>
        </w:rPr>
        <w:t>0.0001)</w:t>
      </w:r>
      <w:r w:rsidRPr="00AF1DC5">
        <w:rPr>
          <w:rFonts w:ascii="Book Antiqua" w:hAnsi="Book Antiqua" w:cstheme="minorHAnsi"/>
        </w:rPr>
        <w:t xml:space="preserve"> but this effect was modified by vasopressin, with a stronger association marked in the smaller cohort. Mortalities had 12.0</w:t>
      </w:r>
      <w:r w:rsidR="00F54A4C" w:rsidRPr="00AF1DC5">
        <w:rPr>
          <w:rFonts w:ascii="Book Antiqua" w:hAnsi="Book Antiqua" w:cstheme="minorHAnsi"/>
        </w:rPr>
        <w:t>90</w:t>
      </w:r>
      <w:r w:rsidRPr="00AF1DC5">
        <w:rPr>
          <w:rFonts w:ascii="Book Antiqua" w:hAnsi="Book Antiqua" w:cstheme="minorHAnsi"/>
        </w:rPr>
        <w:t xml:space="preserve"> times the odds of experiencing shock and receiving vasopressin compared to shock </w:t>
      </w:r>
      <w:r w:rsidR="004A56DB" w:rsidRPr="00AF1DC5">
        <w:rPr>
          <w:rFonts w:ascii="Book Antiqua" w:hAnsi="Book Antiqua" w:cstheme="minorHAnsi"/>
        </w:rPr>
        <w:t>alone over non-mortalities (95%</w:t>
      </w:r>
      <w:r w:rsidRPr="00AF1DC5">
        <w:rPr>
          <w:rFonts w:ascii="Book Antiqua" w:hAnsi="Book Antiqua" w:cstheme="minorHAnsi"/>
        </w:rPr>
        <w:t>CI</w:t>
      </w:r>
      <w:r w:rsidR="004A56DB" w:rsidRPr="00AF1DC5">
        <w:rPr>
          <w:rFonts w:ascii="Book Antiqua" w:hAnsi="Book Antiqua" w:cstheme="minorHAnsi"/>
          <w:lang w:eastAsia="zh-CN"/>
        </w:rPr>
        <w:t xml:space="preserve">: </w:t>
      </w:r>
      <w:r w:rsidRPr="00AF1DC5">
        <w:rPr>
          <w:rFonts w:ascii="Book Antiqua" w:hAnsi="Book Antiqua" w:cstheme="minorHAnsi"/>
        </w:rPr>
        <w:t>5.3</w:t>
      </w:r>
      <w:r w:rsidR="00F54A4C" w:rsidRPr="00AF1DC5">
        <w:rPr>
          <w:rFonts w:ascii="Book Antiqua" w:hAnsi="Book Antiqua" w:cstheme="minorHAnsi"/>
        </w:rPr>
        <w:t>27</w:t>
      </w:r>
      <w:r w:rsidR="004A56DB" w:rsidRPr="00AF1DC5">
        <w:rPr>
          <w:rFonts w:ascii="Book Antiqua" w:hAnsi="Book Antiqua" w:cstheme="minorHAnsi"/>
          <w:lang w:eastAsia="zh-CN"/>
        </w:rPr>
        <w:t>-</w:t>
      </w:r>
      <w:r w:rsidRPr="00AF1DC5">
        <w:rPr>
          <w:rFonts w:ascii="Book Antiqua" w:hAnsi="Book Antiqua" w:cstheme="minorHAnsi"/>
        </w:rPr>
        <w:t>27.</w:t>
      </w:r>
      <w:r w:rsidR="00F54A4C" w:rsidRPr="00AF1DC5">
        <w:rPr>
          <w:rFonts w:ascii="Book Antiqua" w:hAnsi="Book Antiqua" w:cstheme="minorHAnsi"/>
        </w:rPr>
        <w:t>442</w:t>
      </w:r>
      <w:r w:rsidRPr="00AF1DC5">
        <w:rPr>
          <w:rFonts w:ascii="Book Antiqua" w:hAnsi="Book Antiqua" w:cstheme="minorHAnsi"/>
        </w:rPr>
        <w:t xml:space="preserve">; </w:t>
      </w:r>
      <w:r w:rsidRPr="00AF1DC5">
        <w:rPr>
          <w:rFonts w:ascii="Book Antiqua" w:hAnsi="Book Antiqua" w:cstheme="minorHAnsi"/>
          <w:i/>
        </w:rPr>
        <w:t>P</w:t>
      </w:r>
      <w:r w:rsidR="004A56DB" w:rsidRPr="00AF1DC5">
        <w:rPr>
          <w:rFonts w:ascii="Book Antiqua" w:hAnsi="Book Antiqua" w:cstheme="minorHAnsi"/>
          <w:i/>
          <w:lang w:eastAsia="zh-CN"/>
        </w:rPr>
        <w:t xml:space="preserve"> </w:t>
      </w:r>
      <w:r w:rsidRPr="00AF1DC5">
        <w:rPr>
          <w:rFonts w:ascii="Book Antiqua" w:hAnsi="Book Antiqua" w:cstheme="minorHAnsi"/>
        </w:rPr>
        <w:t>&lt;</w:t>
      </w:r>
      <w:r w:rsidR="004A56DB" w:rsidRPr="00AF1DC5">
        <w:rPr>
          <w:rFonts w:ascii="Book Antiqua" w:hAnsi="Book Antiqua" w:cstheme="minorHAnsi"/>
          <w:lang w:eastAsia="zh-CN"/>
        </w:rPr>
        <w:t xml:space="preserve"> </w:t>
      </w:r>
      <w:r w:rsidRPr="00AF1DC5">
        <w:rPr>
          <w:rFonts w:ascii="Book Antiqua" w:hAnsi="Book Antiqua" w:cstheme="minorHAnsi"/>
        </w:rPr>
        <w:t xml:space="preserve">0.001). </w:t>
      </w:r>
    </w:p>
    <w:p w14:paraId="564CD780" w14:textId="77777777" w:rsidR="00154F58" w:rsidRPr="00AF1DC5" w:rsidRDefault="00154F58" w:rsidP="00E50668">
      <w:pPr>
        <w:pStyle w:val="BodyText"/>
        <w:snapToGrid w:val="0"/>
        <w:spacing w:before="0" w:after="0" w:line="360" w:lineRule="auto"/>
        <w:jc w:val="both"/>
        <w:rPr>
          <w:rFonts w:ascii="Book Antiqua" w:hAnsi="Book Antiqua" w:cstheme="minorHAnsi"/>
        </w:rPr>
      </w:pPr>
    </w:p>
    <w:p w14:paraId="5EF8F596" w14:textId="1DA88303" w:rsidR="00D5678B" w:rsidRPr="00AF1DC5" w:rsidRDefault="00D5678B" w:rsidP="00E50668">
      <w:pPr>
        <w:pStyle w:val="BodyText"/>
        <w:snapToGrid w:val="0"/>
        <w:spacing w:before="0" w:after="0" w:line="360" w:lineRule="auto"/>
        <w:jc w:val="both"/>
        <w:rPr>
          <w:rFonts w:ascii="Book Antiqua" w:hAnsi="Book Antiqua" w:cstheme="minorHAnsi"/>
          <w:b/>
          <w:lang w:eastAsia="zh-CN"/>
        </w:rPr>
      </w:pPr>
      <w:r w:rsidRPr="00AF1DC5">
        <w:rPr>
          <w:rFonts w:ascii="Book Antiqua" w:hAnsi="Book Antiqua" w:cstheme="minorHAnsi"/>
          <w:b/>
        </w:rPr>
        <w:t>Factors associating with endoscopy</w:t>
      </w:r>
      <w:r w:rsidR="004A56DB" w:rsidRPr="00AF1DC5">
        <w:rPr>
          <w:rFonts w:ascii="Book Antiqua" w:hAnsi="Book Antiqua" w:cstheme="minorHAnsi"/>
          <w:b/>
          <w:lang w:eastAsia="zh-CN"/>
        </w:rPr>
        <w:t xml:space="preserve">: </w:t>
      </w:r>
      <w:r w:rsidRPr="00AF1DC5">
        <w:rPr>
          <w:rFonts w:ascii="Book Antiqua" w:hAnsi="Book Antiqua" w:cstheme="minorHAnsi"/>
        </w:rPr>
        <w:t xml:space="preserve">In a separate model, we examined the association between various patient characteristics and whether or not the patient underwent endoscopy. </w:t>
      </w:r>
      <w:r w:rsidR="004A56DB" w:rsidRPr="00AF1DC5">
        <w:rPr>
          <w:rFonts w:ascii="Book Antiqua" w:hAnsi="Book Antiqua" w:cstheme="minorHAnsi"/>
        </w:rPr>
        <w:t>A total of 5</w:t>
      </w:r>
      <w:r w:rsidR="001935F5" w:rsidRPr="00AF1DC5">
        <w:rPr>
          <w:rFonts w:ascii="Book Antiqua" w:hAnsi="Book Antiqua" w:cstheme="minorHAnsi"/>
        </w:rPr>
        <w:t>939 patients received endoscopy.</w:t>
      </w:r>
      <w:r w:rsidR="009C4886" w:rsidRPr="00AF1DC5">
        <w:rPr>
          <w:rFonts w:ascii="Book Antiqua" w:hAnsi="Book Antiqua" w:cstheme="minorHAnsi"/>
          <w:lang w:eastAsia="zh-CN"/>
        </w:rPr>
        <w:t xml:space="preserve"> </w:t>
      </w:r>
      <w:r w:rsidR="009C4886" w:rsidRPr="00AF1DC5">
        <w:rPr>
          <w:rFonts w:ascii="Book Antiqua" w:hAnsi="Book Antiqua" w:cstheme="minorHAnsi"/>
          <w:bCs/>
        </w:rPr>
        <w:t xml:space="preserve">Supplementary Table </w:t>
      </w:r>
      <w:r w:rsidR="009C4886" w:rsidRPr="00AF1DC5">
        <w:rPr>
          <w:rFonts w:ascii="Book Antiqua" w:hAnsi="Book Antiqua" w:cstheme="minorHAnsi"/>
          <w:bCs/>
          <w:lang w:eastAsia="zh-CN"/>
        </w:rPr>
        <w:t>2</w:t>
      </w:r>
      <w:r w:rsidR="001935F5" w:rsidRPr="00AF1DC5">
        <w:rPr>
          <w:rFonts w:ascii="Book Antiqua" w:hAnsi="Book Antiqua" w:cstheme="minorHAnsi"/>
        </w:rPr>
        <w:t xml:space="preserve"> stratifies therapeutic endoscopy type. The vast majority of endoscopic procedures were EGD. </w:t>
      </w:r>
      <w:r w:rsidRPr="00AF1DC5">
        <w:rPr>
          <w:rFonts w:ascii="Book Antiqua" w:hAnsi="Book Antiqua" w:cstheme="minorHAnsi"/>
        </w:rPr>
        <w:t xml:space="preserve">We adjusted the model for those factors relating to mortality and severity (shock, sepsis, packed red blood cell transfusion, GIB diagnosis present on admit, and GIB diagnosis as principal diagnosis). We found that those patients with chronic liver </w:t>
      </w:r>
      <w:r w:rsidRPr="00AF1DC5">
        <w:rPr>
          <w:rFonts w:ascii="Book Antiqua" w:hAnsi="Book Antiqua" w:cstheme="minorHAnsi"/>
        </w:rPr>
        <w:lastRenderedPageBreak/>
        <w:t xml:space="preserve">conditions were more likely to undergo endoscopy (OR </w:t>
      </w:r>
      <w:r w:rsidR="004A56DB" w:rsidRPr="00AF1DC5">
        <w:rPr>
          <w:rFonts w:ascii="Book Antiqua" w:hAnsi="Book Antiqua" w:cstheme="minorHAnsi"/>
          <w:lang w:eastAsia="zh-CN"/>
        </w:rPr>
        <w:t xml:space="preserve">= </w:t>
      </w:r>
      <w:r w:rsidR="004A56DB" w:rsidRPr="00AF1DC5">
        <w:rPr>
          <w:rFonts w:ascii="Book Antiqua" w:hAnsi="Book Antiqua" w:cstheme="minorHAnsi"/>
        </w:rPr>
        <w:t>2.378, 95%</w:t>
      </w:r>
      <w:r w:rsidRPr="00AF1DC5">
        <w:rPr>
          <w:rFonts w:ascii="Book Antiqua" w:hAnsi="Book Antiqua" w:cstheme="minorHAnsi"/>
        </w:rPr>
        <w:t>CI</w:t>
      </w:r>
      <w:r w:rsidR="004A56DB" w:rsidRPr="00AF1DC5">
        <w:rPr>
          <w:rFonts w:ascii="Book Antiqua" w:hAnsi="Book Antiqua" w:cstheme="minorHAnsi"/>
          <w:lang w:eastAsia="zh-CN"/>
        </w:rPr>
        <w:t xml:space="preserve">: </w:t>
      </w:r>
      <w:r w:rsidRPr="00AF1DC5">
        <w:rPr>
          <w:rFonts w:ascii="Book Antiqua" w:hAnsi="Book Antiqua" w:cstheme="minorHAnsi"/>
        </w:rPr>
        <w:t>1.970</w:t>
      </w:r>
      <w:r w:rsidR="004A56DB" w:rsidRPr="00AF1DC5">
        <w:rPr>
          <w:rFonts w:ascii="Book Antiqua" w:hAnsi="Book Antiqua" w:cstheme="minorHAnsi"/>
          <w:lang w:eastAsia="zh-CN"/>
        </w:rPr>
        <w:t>-</w:t>
      </w:r>
      <w:r w:rsidRPr="00AF1DC5">
        <w:rPr>
          <w:rFonts w:ascii="Book Antiqua" w:hAnsi="Book Antiqua" w:cstheme="minorHAnsi"/>
        </w:rPr>
        <w:t>2.</w:t>
      </w:r>
      <w:r w:rsidR="00647466" w:rsidRPr="00AF1DC5">
        <w:rPr>
          <w:rFonts w:ascii="Book Antiqua" w:hAnsi="Book Antiqua" w:cstheme="minorHAnsi"/>
        </w:rPr>
        <w:t>869</w:t>
      </w:r>
      <w:r w:rsidRPr="00AF1DC5">
        <w:rPr>
          <w:rFonts w:ascii="Book Antiqua" w:hAnsi="Book Antiqua" w:cstheme="minorHAnsi"/>
        </w:rPr>
        <w:t>;</w:t>
      </w:r>
      <w:r w:rsidRPr="00AF1DC5">
        <w:rPr>
          <w:rFonts w:ascii="Book Antiqua" w:hAnsi="Book Antiqua" w:cstheme="minorHAnsi"/>
          <w:i/>
        </w:rPr>
        <w:t xml:space="preserve"> P</w:t>
      </w:r>
      <w:r w:rsidR="004A56DB" w:rsidRPr="00AF1DC5">
        <w:rPr>
          <w:rFonts w:ascii="Book Antiqua" w:hAnsi="Book Antiqua" w:cstheme="minorHAnsi"/>
          <w:i/>
          <w:lang w:eastAsia="zh-CN"/>
        </w:rPr>
        <w:t xml:space="preserve"> </w:t>
      </w:r>
      <w:r w:rsidRPr="00AF1DC5">
        <w:rPr>
          <w:rFonts w:ascii="Book Antiqua" w:hAnsi="Book Antiqua" w:cstheme="minorHAnsi"/>
        </w:rPr>
        <w:t>&lt;</w:t>
      </w:r>
      <w:r w:rsidR="004A56DB" w:rsidRPr="00AF1DC5">
        <w:rPr>
          <w:rFonts w:ascii="Book Antiqua" w:hAnsi="Book Antiqua" w:cstheme="minorHAnsi"/>
          <w:lang w:eastAsia="zh-CN"/>
        </w:rPr>
        <w:t xml:space="preserve"> </w:t>
      </w:r>
      <w:r w:rsidRPr="00AF1DC5">
        <w:rPr>
          <w:rFonts w:ascii="Book Antiqua" w:hAnsi="Book Antiqua" w:cstheme="minorHAnsi"/>
        </w:rPr>
        <w:t xml:space="preserve">0.0001), which may explain partially why this factor was not found significant in the mortality model. If endoscopy is protective and patients with chronic liver disease are more likely to undergo endoscopy, it stands to reason that they will then be less likely to die. We also found that living in a rural area was positively associated with endoscopy compared to living in an urban area (OR </w:t>
      </w:r>
      <w:r w:rsidR="004A56DB" w:rsidRPr="00AF1DC5">
        <w:rPr>
          <w:rFonts w:ascii="Book Antiqua" w:hAnsi="Book Antiqua" w:cstheme="minorHAnsi"/>
          <w:lang w:eastAsia="zh-CN"/>
        </w:rPr>
        <w:t xml:space="preserve">= </w:t>
      </w:r>
      <w:r w:rsidRPr="00AF1DC5">
        <w:rPr>
          <w:rFonts w:ascii="Book Antiqua" w:hAnsi="Book Antiqua" w:cstheme="minorHAnsi"/>
        </w:rPr>
        <w:t>1.19</w:t>
      </w:r>
      <w:r w:rsidR="00647466" w:rsidRPr="00AF1DC5">
        <w:rPr>
          <w:rFonts w:ascii="Book Antiqua" w:hAnsi="Book Antiqua" w:cstheme="minorHAnsi"/>
        </w:rPr>
        <w:t>6</w:t>
      </w:r>
      <w:r w:rsidR="004A56DB" w:rsidRPr="00AF1DC5">
        <w:rPr>
          <w:rFonts w:ascii="Book Antiqua" w:hAnsi="Book Antiqua" w:cstheme="minorHAnsi"/>
        </w:rPr>
        <w:t>, 95%</w:t>
      </w:r>
      <w:r w:rsidRPr="00AF1DC5">
        <w:rPr>
          <w:rFonts w:ascii="Book Antiqua" w:hAnsi="Book Antiqua" w:cstheme="minorHAnsi"/>
        </w:rPr>
        <w:t>CI</w:t>
      </w:r>
      <w:r w:rsidR="004A56DB" w:rsidRPr="00AF1DC5">
        <w:rPr>
          <w:rFonts w:ascii="Book Antiqua" w:hAnsi="Book Antiqua" w:cstheme="minorHAnsi"/>
          <w:lang w:eastAsia="zh-CN"/>
        </w:rPr>
        <w:t xml:space="preserve">: </w:t>
      </w:r>
      <w:r w:rsidRPr="00AF1DC5">
        <w:rPr>
          <w:rFonts w:ascii="Book Antiqua" w:hAnsi="Book Antiqua" w:cstheme="minorHAnsi"/>
        </w:rPr>
        <w:t>1.07</w:t>
      </w:r>
      <w:r w:rsidR="00647466" w:rsidRPr="00AF1DC5">
        <w:rPr>
          <w:rFonts w:ascii="Book Antiqua" w:hAnsi="Book Antiqua" w:cstheme="minorHAnsi"/>
        </w:rPr>
        <w:t>6</w:t>
      </w:r>
      <w:r w:rsidR="004A56DB" w:rsidRPr="00AF1DC5">
        <w:rPr>
          <w:rFonts w:ascii="Book Antiqua" w:hAnsi="Book Antiqua" w:cstheme="minorHAnsi"/>
          <w:lang w:eastAsia="zh-CN"/>
        </w:rPr>
        <w:t>-</w:t>
      </w:r>
      <w:r w:rsidRPr="00AF1DC5">
        <w:rPr>
          <w:rFonts w:ascii="Book Antiqua" w:hAnsi="Book Antiqua" w:cstheme="minorHAnsi"/>
        </w:rPr>
        <w:t>1.</w:t>
      </w:r>
      <w:r w:rsidR="00647466" w:rsidRPr="00AF1DC5">
        <w:rPr>
          <w:rFonts w:ascii="Book Antiqua" w:hAnsi="Book Antiqua" w:cstheme="minorHAnsi"/>
        </w:rPr>
        <w:t>329</w:t>
      </w:r>
      <w:r w:rsidRPr="00AF1DC5">
        <w:rPr>
          <w:rFonts w:ascii="Book Antiqua" w:hAnsi="Book Antiqua" w:cstheme="minorHAnsi"/>
        </w:rPr>
        <w:t xml:space="preserve">; </w:t>
      </w:r>
      <w:r w:rsidRPr="00AF1DC5">
        <w:rPr>
          <w:rFonts w:ascii="Book Antiqua" w:hAnsi="Book Antiqua" w:cstheme="minorHAnsi"/>
          <w:i/>
        </w:rPr>
        <w:t>P</w:t>
      </w:r>
      <w:r w:rsidR="004A56DB" w:rsidRPr="00AF1DC5">
        <w:rPr>
          <w:rFonts w:ascii="Book Antiqua" w:hAnsi="Book Antiqua" w:cstheme="minorHAnsi"/>
          <w:i/>
          <w:lang w:eastAsia="zh-CN"/>
        </w:rPr>
        <w:t xml:space="preserve"> </w:t>
      </w:r>
      <w:r w:rsidRPr="00AF1DC5">
        <w:rPr>
          <w:rFonts w:ascii="Book Antiqua" w:hAnsi="Book Antiqua" w:cstheme="minorHAnsi"/>
        </w:rPr>
        <w:t>=</w:t>
      </w:r>
      <w:r w:rsidR="004A56DB" w:rsidRPr="00AF1DC5">
        <w:rPr>
          <w:rFonts w:ascii="Book Antiqua" w:hAnsi="Book Antiqua" w:cstheme="minorHAnsi"/>
          <w:lang w:eastAsia="zh-CN"/>
        </w:rPr>
        <w:t xml:space="preserve"> </w:t>
      </w:r>
      <w:r w:rsidRPr="00AF1DC5">
        <w:rPr>
          <w:rFonts w:ascii="Book Antiqua" w:hAnsi="Book Antiqua" w:cstheme="minorHAnsi"/>
        </w:rPr>
        <w:t xml:space="preserve">0.007). Compared to non-Hispanic white patients, Hispanics were 18.5% less likely to have undergone an endoscopic procedure (OR </w:t>
      </w:r>
      <w:r w:rsidR="004A56DB" w:rsidRPr="00AF1DC5">
        <w:rPr>
          <w:rFonts w:ascii="Book Antiqua" w:hAnsi="Book Antiqua" w:cstheme="minorHAnsi"/>
          <w:lang w:eastAsia="zh-CN"/>
        </w:rPr>
        <w:t xml:space="preserve">= </w:t>
      </w:r>
      <w:r w:rsidRPr="00AF1DC5">
        <w:rPr>
          <w:rFonts w:ascii="Book Antiqua" w:hAnsi="Book Antiqua" w:cstheme="minorHAnsi"/>
        </w:rPr>
        <w:t>0.81</w:t>
      </w:r>
      <w:r w:rsidR="00647466" w:rsidRPr="00AF1DC5">
        <w:rPr>
          <w:rFonts w:ascii="Book Antiqua" w:hAnsi="Book Antiqua" w:cstheme="minorHAnsi"/>
        </w:rPr>
        <w:t>5</w:t>
      </w:r>
      <w:r w:rsidR="004A56DB" w:rsidRPr="00AF1DC5">
        <w:rPr>
          <w:rFonts w:ascii="Book Antiqua" w:hAnsi="Book Antiqua" w:cstheme="minorHAnsi"/>
        </w:rPr>
        <w:t>, 95%</w:t>
      </w:r>
      <w:r w:rsidRPr="00AF1DC5">
        <w:rPr>
          <w:rFonts w:ascii="Book Antiqua" w:hAnsi="Book Antiqua" w:cstheme="minorHAnsi"/>
        </w:rPr>
        <w:t>CI</w:t>
      </w:r>
      <w:r w:rsidR="004A56DB" w:rsidRPr="00AF1DC5">
        <w:rPr>
          <w:rFonts w:ascii="Book Antiqua" w:hAnsi="Book Antiqua" w:cstheme="minorHAnsi"/>
          <w:lang w:eastAsia="zh-CN"/>
        </w:rPr>
        <w:t xml:space="preserve">: </w:t>
      </w:r>
      <w:r w:rsidRPr="00AF1DC5">
        <w:rPr>
          <w:rFonts w:ascii="Book Antiqua" w:hAnsi="Book Antiqua" w:cstheme="minorHAnsi"/>
        </w:rPr>
        <w:t>0.737</w:t>
      </w:r>
      <w:r w:rsidR="004A56DB" w:rsidRPr="00AF1DC5">
        <w:rPr>
          <w:rFonts w:ascii="Book Antiqua" w:hAnsi="Book Antiqua" w:cstheme="minorHAnsi"/>
          <w:lang w:eastAsia="zh-CN"/>
        </w:rPr>
        <w:t>-</w:t>
      </w:r>
      <w:r w:rsidR="004A56DB" w:rsidRPr="00AF1DC5">
        <w:rPr>
          <w:rFonts w:ascii="Book Antiqua" w:hAnsi="Book Antiqua" w:cstheme="minorHAnsi"/>
        </w:rPr>
        <w:t>0.900</w:t>
      </w:r>
      <w:r w:rsidRPr="00AF1DC5">
        <w:rPr>
          <w:rFonts w:ascii="Book Antiqua" w:hAnsi="Book Antiqua" w:cstheme="minorHAnsi"/>
        </w:rPr>
        <w:t>;</w:t>
      </w:r>
      <w:r w:rsidRPr="00AF1DC5">
        <w:rPr>
          <w:rFonts w:ascii="Book Antiqua" w:hAnsi="Book Antiqua" w:cstheme="minorHAnsi"/>
          <w:i/>
        </w:rPr>
        <w:t xml:space="preserve"> P</w:t>
      </w:r>
      <w:r w:rsidR="004A56DB" w:rsidRPr="00AF1DC5">
        <w:rPr>
          <w:rFonts w:ascii="Book Antiqua" w:hAnsi="Book Antiqua" w:cstheme="minorHAnsi"/>
          <w:i/>
          <w:lang w:eastAsia="zh-CN"/>
        </w:rPr>
        <w:t xml:space="preserve"> </w:t>
      </w:r>
      <w:r w:rsidRPr="00AF1DC5">
        <w:rPr>
          <w:rFonts w:ascii="Book Antiqua" w:hAnsi="Book Antiqua" w:cstheme="minorHAnsi"/>
        </w:rPr>
        <w:t>=</w:t>
      </w:r>
      <w:r w:rsidR="004A56DB" w:rsidRPr="00AF1DC5">
        <w:rPr>
          <w:rFonts w:ascii="Book Antiqua" w:hAnsi="Book Antiqua" w:cstheme="minorHAnsi"/>
          <w:lang w:eastAsia="zh-CN"/>
        </w:rPr>
        <w:t xml:space="preserve"> </w:t>
      </w:r>
      <w:r w:rsidRPr="00AF1DC5">
        <w:rPr>
          <w:rFonts w:ascii="Book Antiqua" w:hAnsi="Book Antiqua" w:cstheme="minorHAnsi"/>
        </w:rPr>
        <w:t xml:space="preserve">0.001). Age was also significantly associated with endoscopy, with a 6.39% increase in odds for every additional year (OR </w:t>
      </w:r>
      <w:r w:rsidR="004A56DB" w:rsidRPr="00AF1DC5">
        <w:rPr>
          <w:rFonts w:ascii="Book Antiqua" w:hAnsi="Book Antiqua" w:cstheme="minorHAnsi"/>
          <w:lang w:eastAsia="zh-CN"/>
        </w:rPr>
        <w:t xml:space="preserve">= </w:t>
      </w:r>
      <w:r w:rsidRPr="00AF1DC5">
        <w:rPr>
          <w:rFonts w:ascii="Book Antiqua" w:hAnsi="Book Antiqua" w:cstheme="minorHAnsi"/>
        </w:rPr>
        <w:t>1.064, 9</w:t>
      </w:r>
      <w:r w:rsidR="004A56DB" w:rsidRPr="00AF1DC5">
        <w:rPr>
          <w:rFonts w:ascii="Book Antiqua" w:hAnsi="Book Antiqua" w:cstheme="minorHAnsi"/>
        </w:rPr>
        <w:t>5%</w:t>
      </w:r>
      <w:r w:rsidRPr="00AF1DC5">
        <w:rPr>
          <w:rFonts w:ascii="Book Antiqua" w:hAnsi="Book Antiqua" w:cstheme="minorHAnsi"/>
        </w:rPr>
        <w:t>CI</w:t>
      </w:r>
      <w:r w:rsidR="004A56DB" w:rsidRPr="00AF1DC5">
        <w:rPr>
          <w:rFonts w:ascii="Book Antiqua" w:hAnsi="Book Antiqua" w:cstheme="minorHAnsi"/>
          <w:lang w:eastAsia="zh-CN"/>
        </w:rPr>
        <w:t xml:space="preserve">: </w:t>
      </w:r>
      <w:r w:rsidRPr="00AF1DC5">
        <w:rPr>
          <w:rFonts w:ascii="Book Antiqua" w:hAnsi="Book Antiqua" w:cstheme="minorHAnsi"/>
        </w:rPr>
        <w:t>1.058</w:t>
      </w:r>
      <w:r w:rsidR="004A56DB" w:rsidRPr="00AF1DC5">
        <w:rPr>
          <w:rFonts w:ascii="Book Antiqua" w:hAnsi="Book Antiqua" w:cstheme="minorHAnsi"/>
          <w:lang w:eastAsia="zh-CN"/>
        </w:rPr>
        <w:t>-</w:t>
      </w:r>
      <w:r w:rsidR="004A56DB" w:rsidRPr="00AF1DC5">
        <w:rPr>
          <w:rFonts w:ascii="Book Antiqua" w:hAnsi="Book Antiqua" w:cstheme="minorHAnsi"/>
        </w:rPr>
        <w:t>1.070</w:t>
      </w:r>
      <w:r w:rsidRPr="00AF1DC5">
        <w:rPr>
          <w:rFonts w:ascii="Book Antiqua" w:hAnsi="Book Antiqua" w:cstheme="minorHAnsi"/>
        </w:rPr>
        <w:t>;</w:t>
      </w:r>
      <w:r w:rsidRPr="00AF1DC5">
        <w:rPr>
          <w:rFonts w:ascii="Book Antiqua" w:hAnsi="Book Antiqua" w:cstheme="minorHAnsi"/>
          <w:i/>
        </w:rPr>
        <w:t xml:space="preserve"> P</w:t>
      </w:r>
      <w:r w:rsidR="004A56DB" w:rsidRPr="00AF1DC5">
        <w:rPr>
          <w:rFonts w:ascii="Book Antiqua" w:hAnsi="Book Antiqua" w:cstheme="minorHAnsi"/>
          <w:i/>
          <w:lang w:eastAsia="zh-CN"/>
        </w:rPr>
        <w:t xml:space="preserve"> </w:t>
      </w:r>
      <w:r w:rsidRPr="00AF1DC5">
        <w:rPr>
          <w:rFonts w:ascii="Book Antiqua" w:hAnsi="Book Antiqua" w:cstheme="minorHAnsi"/>
        </w:rPr>
        <w:t>&lt;</w:t>
      </w:r>
      <w:r w:rsidR="004A56DB" w:rsidRPr="00AF1DC5">
        <w:rPr>
          <w:rFonts w:ascii="Book Antiqua" w:hAnsi="Book Antiqua" w:cstheme="minorHAnsi"/>
          <w:lang w:eastAsia="zh-CN"/>
        </w:rPr>
        <w:t xml:space="preserve"> </w:t>
      </w:r>
      <w:r w:rsidRPr="00AF1DC5">
        <w:rPr>
          <w:rFonts w:ascii="Book Antiqua" w:hAnsi="Book Antiqua" w:cstheme="minorHAnsi"/>
        </w:rPr>
        <w:t>0.0001). Patients with 1 or 2 CCCs did not have increased odds of endoscopy (</w:t>
      </w:r>
      <w:r w:rsidRPr="00AF1DC5">
        <w:rPr>
          <w:rFonts w:ascii="Book Antiqua" w:hAnsi="Book Antiqua" w:cstheme="minorHAnsi"/>
          <w:i/>
        </w:rPr>
        <w:t>P</w:t>
      </w:r>
      <w:r w:rsidR="004A56DB" w:rsidRPr="00AF1DC5">
        <w:rPr>
          <w:rFonts w:ascii="Book Antiqua" w:hAnsi="Book Antiqua" w:cstheme="minorHAnsi"/>
          <w:i/>
          <w:lang w:eastAsia="zh-CN"/>
        </w:rPr>
        <w:t xml:space="preserve"> </w:t>
      </w:r>
      <w:r w:rsidRPr="00AF1DC5">
        <w:rPr>
          <w:rFonts w:ascii="Book Antiqua" w:hAnsi="Book Antiqua" w:cstheme="minorHAnsi"/>
        </w:rPr>
        <w:t>=</w:t>
      </w:r>
      <w:r w:rsidR="004A56DB" w:rsidRPr="00AF1DC5">
        <w:rPr>
          <w:rFonts w:ascii="Book Antiqua" w:hAnsi="Book Antiqua" w:cstheme="minorHAnsi"/>
          <w:lang w:eastAsia="zh-CN"/>
        </w:rPr>
        <w:t xml:space="preserve"> </w:t>
      </w:r>
      <w:r w:rsidRPr="00AF1DC5">
        <w:rPr>
          <w:rFonts w:ascii="Book Antiqua" w:hAnsi="Book Antiqua" w:cstheme="minorHAnsi"/>
        </w:rPr>
        <w:t xml:space="preserve">0.999), but those with 3 or more had a </w:t>
      </w:r>
      <w:r w:rsidR="00647466" w:rsidRPr="00AF1DC5">
        <w:rPr>
          <w:rFonts w:ascii="Book Antiqua" w:hAnsi="Book Antiqua" w:cstheme="minorHAnsi"/>
        </w:rPr>
        <w:t>24.53</w:t>
      </w:r>
      <w:r w:rsidRPr="00AF1DC5">
        <w:rPr>
          <w:rFonts w:ascii="Book Antiqua" w:hAnsi="Book Antiqua" w:cstheme="minorHAnsi"/>
        </w:rPr>
        <w:t xml:space="preserve">% reduction in the odds of endoscopy (OR </w:t>
      </w:r>
      <w:r w:rsidR="004A56DB" w:rsidRPr="00AF1DC5">
        <w:rPr>
          <w:rFonts w:ascii="Book Antiqua" w:hAnsi="Book Antiqua" w:cstheme="minorHAnsi"/>
          <w:lang w:eastAsia="zh-CN"/>
        </w:rPr>
        <w:t xml:space="preserve">= </w:t>
      </w:r>
      <w:r w:rsidRPr="00AF1DC5">
        <w:rPr>
          <w:rFonts w:ascii="Book Antiqua" w:hAnsi="Book Antiqua" w:cstheme="minorHAnsi"/>
        </w:rPr>
        <w:t>0.7</w:t>
      </w:r>
      <w:r w:rsidR="00647466" w:rsidRPr="00AF1DC5">
        <w:rPr>
          <w:rFonts w:ascii="Book Antiqua" w:hAnsi="Book Antiqua" w:cstheme="minorHAnsi"/>
        </w:rPr>
        <w:t>55</w:t>
      </w:r>
      <w:r w:rsidR="004A56DB" w:rsidRPr="00AF1DC5">
        <w:rPr>
          <w:rFonts w:ascii="Book Antiqua" w:hAnsi="Book Antiqua" w:cstheme="minorHAnsi"/>
        </w:rPr>
        <w:t>, 95%</w:t>
      </w:r>
      <w:r w:rsidRPr="00AF1DC5">
        <w:rPr>
          <w:rFonts w:ascii="Book Antiqua" w:hAnsi="Book Antiqua" w:cstheme="minorHAnsi"/>
        </w:rPr>
        <w:t>CI</w:t>
      </w:r>
      <w:r w:rsidR="004A56DB" w:rsidRPr="00AF1DC5">
        <w:rPr>
          <w:rFonts w:ascii="Book Antiqua" w:hAnsi="Book Antiqua" w:cstheme="minorHAnsi"/>
          <w:lang w:eastAsia="zh-CN"/>
        </w:rPr>
        <w:t xml:space="preserve">: </w:t>
      </w:r>
      <w:r w:rsidRPr="00AF1DC5">
        <w:rPr>
          <w:rFonts w:ascii="Book Antiqua" w:hAnsi="Book Antiqua" w:cstheme="minorHAnsi"/>
        </w:rPr>
        <w:t>0.6</w:t>
      </w:r>
      <w:r w:rsidR="00647466" w:rsidRPr="00AF1DC5">
        <w:rPr>
          <w:rFonts w:ascii="Book Antiqua" w:hAnsi="Book Antiqua" w:cstheme="minorHAnsi"/>
        </w:rPr>
        <w:t>86</w:t>
      </w:r>
      <w:r w:rsidR="004A56DB" w:rsidRPr="00AF1DC5">
        <w:rPr>
          <w:rFonts w:ascii="Book Antiqua" w:hAnsi="Book Antiqua" w:cstheme="minorHAnsi"/>
          <w:lang w:eastAsia="zh-CN"/>
        </w:rPr>
        <w:t>-</w:t>
      </w:r>
      <w:r w:rsidRPr="00AF1DC5">
        <w:rPr>
          <w:rFonts w:ascii="Book Antiqua" w:hAnsi="Book Antiqua" w:cstheme="minorHAnsi"/>
        </w:rPr>
        <w:t>0.8</w:t>
      </w:r>
      <w:r w:rsidR="00647466" w:rsidRPr="00AF1DC5">
        <w:rPr>
          <w:rFonts w:ascii="Book Antiqua" w:hAnsi="Book Antiqua" w:cstheme="minorHAnsi"/>
        </w:rPr>
        <w:t>30</w:t>
      </w:r>
      <w:r w:rsidRPr="00AF1DC5">
        <w:rPr>
          <w:rFonts w:ascii="Book Antiqua" w:hAnsi="Book Antiqua" w:cstheme="minorHAnsi"/>
        </w:rPr>
        <w:t>;</w:t>
      </w:r>
      <w:r w:rsidRPr="00AF1DC5">
        <w:rPr>
          <w:rFonts w:ascii="Book Antiqua" w:hAnsi="Book Antiqua" w:cstheme="minorHAnsi"/>
          <w:i/>
        </w:rPr>
        <w:t xml:space="preserve"> P</w:t>
      </w:r>
      <w:r w:rsidR="004A56DB" w:rsidRPr="00AF1DC5">
        <w:rPr>
          <w:rFonts w:ascii="Book Antiqua" w:hAnsi="Book Antiqua" w:cstheme="minorHAnsi"/>
          <w:i/>
          <w:lang w:eastAsia="zh-CN"/>
        </w:rPr>
        <w:t xml:space="preserve"> </w:t>
      </w:r>
      <w:r w:rsidRPr="00AF1DC5">
        <w:rPr>
          <w:rFonts w:ascii="Book Antiqua" w:hAnsi="Book Antiqua" w:cstheme="minorHAnsi"/>
        </w:rPr>
        <w:t>&lt;</w:t>
      </w:r>
      <w:r w:rsidR="004A56DB" w:rsidRPr="00AF1DC5">
        <w:rPr>
          <w:rFonts w:ascii="Book Antiqua" w:hAnsi="Book Antiqua" w:cstheme="minorHAnsi"/>
          <w:lang w:eastAsia="zh-CN"/>
        </w:rPr>
        <w:t xml:space="preserve"> </w:t>
      </w:r>
      <w:r w:rsidRPr="00AF1DC5">
        <w:rPr>
          <w:rFonts w:ascii="Book Antiqua" w:hAnsi="Book Antiqua" w:cstheme="minorHAnsi"/>
        </w:rPr>
        <w:t>0.0001). Perforation injuries were also far less likely to under</w:t>
      </w:r>
      <w:r w:rsidR="004A56DB" w:rsidRPr="00AF1DC5">
        <w:rPr>
          <w:rFonts w:ascii="Book Antiqua" w:hAnsi="Book Antiqua" w:cstheme="minorHAnsi"/>
        </w:rPr>
        <w:t xml:space="preserve">go endoscopy (OR </w:t>
      </w:r>
      <w:r w:rsidR="004A56DB" w:rsidRPr="00AF1DC5">
        <w:rPr>
          <w:rFonts w:ascii="Book Antiqua" w:hAnsi="Book Antiqua" w:cstheme="minorHAnsi"/>
          <w:lang w:eastAsia="zh-CN"/>
        </w:rPr>
        <w:t xml:space="preserve">= </w:t>
      </w:r>
      <w:r w:rsidR="004A56DB" w:rsidRPr="00AF1DC5">
        <w:rPr>
          <w:rFonts w:ascii="Book Antiqua" w:hAnsi="Book Antiqua" w:cstheme="minorHAnsi"/>
        </w:rPr>
        <w:t>0.169, 95%</w:t>
      </w:r>
      <w:r w:rsidR="00F32154" w:rsidRPr="00AF1DC5">
        <w:rPr>
          <w:rFonts w:ascii="Book Antiqua" w:hAnsi="Book Antiqua" w:cstheme="minorHAnsi"/>
        </w:rPr>
        <w:t>CI</w:t>
      </w:r>
      <w:r w:rsidR="004A56DB" w:rsidRPr="00AF1DC5">
        <w:rPr>
          <w:rFonts w:ascii="Book Antiqua" w:hAnsi="Book Antiqua" w:cstheme="minorHAnsi"/>
          <w:lang w:eastAsia="zh-CN"/>
        </w:rPr>
        <w:t>:</w:t>
      </w:r>
      <w:r w:rsidR="00F32154" w:rsidRPr="00AF1DC5">
        <w:rPr>
          <w:rFonts w:ascii="Book Antiqua" w:hAnsi="Book Antiqua" w:cstheme="minorHAnsi"/>
        </w:rPr>
        <w:t xml:space="preserve"> </w:t>
      </w:r>
      <w:r w:rsidRPr="00AF1DC5">
        <w:rPr>
          <w:rFonts w:ascii="Book Antiqua" w:hAnsi="Book Antiqua" w:cstheme="minorHAnsi"/>
        </w:rPr>
        <w:t>0.116</w:t>
      </w:r>
      <w:r w:rsidR="004A56DB" w:rsidRPr="00AF1DC5">
        <w:rPr>
          <w:rFonts w:ascii="Book Antiqua" w:hAnsi="Book Antiqua" w:cstheme="minorHAnsi"/>
          <w:lang w:eastAsia="zh-CN"/>
        </w:rPr>
        <w:t>-</w:t>
      </w:r>
      <w:r w:rsidRPr="00AF1DC5">
        <w:rPr>
          <w:rFonts w:ascii="Book Antiqua" w:hAnsi="Book Antiqua" w:cstheme="minorHAnsi"/>
        </w:rPr>
        <w:t>0.24</w:t>
      </w:r>
      <w:r w:rsidR="00647466" w:rsidRPr="00AF1DC5">
        <w:rPr>
          <w:rFonts w:ascii="Book Antiqua" w:hAnsi="Book Antiqua" w:cstheme="minorHAnsi"/>
        </w:rPr>
        <w:t>7</w:t>
      </w:r>
      <w:r w:rsidRPr="00AF1DC5">
        <w:rPr>
          <w:rFonts w:ascii="Book Antiqua" w:hAnsi="Book Antiqua" w:cstheme="minorHAnsi"/>
        </w:rPr>
        <w:t xml:space="preserve">). GIBs as the principal diagnosis were associated with higher odds of endoscopy (OR </w:t>
      </w:r>
      <w:r w:rsidR="004A56DB" w:rsidRPr="00AF1DC5">
        <w:rPr>
          <w:rFonts w:ascii="Book Antiqua" w:hAnsi="Book Antiqua" w:cstheme="minorHAnsi"/>
          <w:lang w:eastAsia="zh-CN"/>
        </w:rPr>
        <w:t xml:space="preserve">= </w:t>
      </w:r>
      <w:r w:rsidRPr="00AF1DC5">
        <w:rPr>
          <w:rFonts w:ascii="Book Antiqua" w:hAnsi="Book Antiqua" w:cstheme="minorHAnsi"/>
        </w:rPr>
        <w:t>2.62</w:t>
      </w:r>
      <w:r w:rsidR="00647466" w:rsidRPr="00AF1DC5">
        <w:rPr>
          <w:rFonts w:ascii="Book Antiqua" w:hAnsi="Book Antiqua" w:cstheme="minorHAnsi"/>
        </w:rPr>
        <w:t>6</w:t>
      </w:r>
      <w:r w:rsidR="004A56DB" w:rsidRPr="00AF1DC5">
        <w:rPr>
          <w:rFonts w:ascii="Book Antiqua" w:hAnsi="Book Antiqua" w:cstheme="minorHAnsi"/>
        </w:rPr>
        <w:t>, 95%</w:t>
      </w:r>
      <w:r w:rsidRPr="00AF1DC5">
        <w:rPr>
          <w:rFonts w:ascii="Book Antiqua" w:hAnsi="Book Antiqua" w:cstheme="minorHAnsi"/>
        </w:rPr>
        <w:t>CI</w:t>
      </w:r>
      <w:r w:rsidR="004A56DB" w:rsidRPr="00AF1DC5">
        <w:rPr>
          <w:rFonts w:ascii="Book Antiqua" w:hAnsi="Book Antiqua" w:cstheme="minorHAnsi"/>
          <w:lang w:eastAsia="zh-CN"/>
        </w:rPr>
        <w:t xml:space="preserve">: </w:t>
      </w:r>
      <w:r w:rsidRPr="00AF1DC5">
        <w:rPr>
          <w:rFonts w:ascii="Book Antiqua" w:hAnsi="Book Antiqua" w:cstheme="minorHAnsi"/>
        </w:rPr>
        <w:t>2.44</w:t>
      </w:r>
      <w:r w:rsidR="00647466" w:rsidRPr="00AF1DC5">
        <w:rPr>
          <w:rFonts w:ascii="Book Antiqua" w:hAnsi="Book Antiqua" w:cstheme="minorHAnsi"/>
        </w:rPr>
        <w:t>8</w:t>
      </w:r>
      <w:r w:rsidR="004A56DB" w:rsidRPr="00AF1DC5">
        <w:rPr>
          <w:rFonts w:ascii="Book Antiqua" w:hAnsi="Book Antiqua" w:cstheme="minorHAnsi"/>
          <w:lang w:eastAsia="zh-CN"/>
        </w:rPr>
        <w:t>-</w:t>
      </w:r>
      <w:r w:rsidRPr="00AF1DC5">
        <w:rPr>
          <w:rFonts w:ascii="Book Antiqua" w:hAnsi="Book Antiqua" w:cstheme="minorHAnsi"/>
        </w:rPr>
        <w:t>2.81</w:t>
      </w:r>
      <w:r w:rsidR="00647466" w:rsidRPr="00AF1DC5">
        <w:rPr>
          <w:rFonts w:ascii="Book Antiqua" w:hAnsi="Book Antiqua" w:cstheme="minorHAnsi"/>
        </w:rPr>
        <w:t>7</w:t>
      </w:r>
      <w:r w:rsidRPr="00AF1DC5">
        <w:rPr>
          <w:rFonts w:ascii="Book Antiqua" w:hAnsi="Book Antiqua" w:cstheme="minorHAnsi"/>
        </w:rPr>
        <w:t>;</w:t>
      </w:r>
      <w:r w:rsidRPr="00AF1DC5">
        <w:rPr>
          <w:rFonts w:ascii="Book Antiqua" w:hAnsi="Book Antiqua" w:cstheme="minorHAnsi"/>
          <w:i/>
        </w:rPr>
        <w:t xml:space="preserve"> P</w:t>
      </w:r>
      <w:r w:rsidR="004A56DB" w:rsidRPr="00AF1DC5">
        <w:rPr>
          <w:rFonts w:ascii="Book Antiqua" w:hAnsi="Book Antiqua" w:cstheme="minorHAnsi"/>
          <w:i/>
          <w:lang w:eastAsia="zh-CN"/>
        </w:rPr>
        <w:t xml:space="preserve"> </w:t>
      </w:r>
      <w:r w:rsidRPr="00AF1DC5">
        <w:rPr>
          <w:rFonts w:ascii="Book Antiqua" w:hAnsi="Book Antiqua" w:cstheme="minorHAnsi"/>
        </w:rPr>
        <w:t>&lt;</w:t>
      </w:r>
      <w:r w:rsidR="004A56DB" w:rsidRPr="00AF1DC5">
        <w:rPr>
          <w:rFonts w:ascii="Book Antiqua" w:hAnsi="Book Antiqua" w:cstheme="minorHAnsi"/>
          <w:lang w:eastAsia="zh-CN"/>
        </w:rPr>
        <w:t xml:space="preserve"> </w:t>
      </w:r>
      <w:r w:rsidRPr="00AF1DC5">
        <w:rPr>
          <w:rFonts w:ascii="Book Antiqua" w:hAnsi="Book Antiqua" w:cstheme="minorHAnsi"/>
        </w:rPr>
        <w:t xml:space="preserve">0.0001). Those who underwent endoscopy were more likely to have experienced shock (OR </w:t>
      </w:r>
      <w:r w:rsidR="004A56DB" w:rsidRPr="00AF1DC5">
        <w:rPr>
          <w:rFonts w:ascii="Book Antiqua" w:hAnsi="Book Antiqua" w:cstheme="minorHAnsi"/>
          <w:lang w:eastAsia="zh-CN"/>
        </w:rPr>
        <w:t xml:space="preserve">= </w:t>
      </w:r>
      <w:r w:rsidRPr="00AF1DC5">
        <w:rPr>
          <w:rFonts w:ascii="Book Antiqua" w:hAnsi="Book Antiqua" w:cstheme="minorHAnsi"/>
        </w:rPr>
        <w:t>1.7</w:t>
      </w:r>
      <w:r w:rsidR="00647466" w:rsidRPr="00AF1DC5">
        <w:rPr>
          <w:rFonts w:ascii="Book Antiqua" w:hAnsi="Book Antiqua" w:cstheme="minorHAnsi"/>
        </w:rPr>
        <w:t>52</w:t>
      </w:r>
      <w:r w:rsidR="004A56DB" w:rsidRPr="00AF1DC5">
        <w:rPr>
          <w:rFonts w:ascii="Book Antiqua" w:hAnsi="Book Antiqua" w:cstheme="minorHAnsi"/>
        </w:rPr>
        <w:t>, 95%</w:t>
      </w:r>
      <w:r w:rsidRPr="00AF1DC5">
        <w:rPr>
          <w:rFonts w:ascii="Book Antiqua" w:hAnsi="Book Antiqua" w:cstheme="minorHAnsi"/>
        </w:rPr>
        <w:t>CI</w:t>
      </w:r>
      <w:r w:rsidR="004A56DB" w:rsidRPr="00AF1DC5">
        <w:rPr>
          <w:rFonts w:ascii="Book Antiqua" w:hAnsi="Book Antiqua" w:cstheme="minorHAnsi"/>
          <w:lang w:eastAsia="zh-CN"/>
        </w:rPr>
        <w:t xml:space="preserve">: </w:t>
      </w:r>
      <w:r w:rsidRPr="00AF1DC5">
        <w:rPr>
          <w:rFonts w:ascii="Book Antiqua" w:hAnsi="Book Antiqua" w:cstheme="minorHAnsi"/>
        </w:rPr>
        <w:t>1.40</w:t>
      </w:r>
      <w:r w:rsidR="00647466" w:rsidRPr="00AF1DC5">
        <w:rPr>
          <w:rFonts w:ascii="Book Antiqua" w:hAnsi="Book Antiqua" w:cstheme="minorHAnsi"/>
        </w:rPr>
        <w:t>9</w:t>
      </w:r>
      <w:r w:rsidR="004A56DB" w:rsidRPr="00AF1DC5">
        <w:rPr>
          <w:rFonts w:ascii="Book Antiqua" w:hAnsi="Book Antiqua" w:cstheme="minorHAnsi"/>
          <w:lang w:eastAsia="zh-CN"/>
        </w:rPr>
        <w:t>-</w:t>
      </w:r>
      <w:r w:rsidRPr="00AF1DC5">
        <w:rPr>
          <w:rFonts w:ascii="Book Antiqua" w:hAnsi="Book Antiqua" w:cstheme="minorHAnsi"/>
        </w:rPr>
        <w:t>2.17</w:t>
      </w:r>
      <w:r w:rsidR="00647466" w:rsidRPr="00AF1DC5">
        <w:rPr>
          <w:rFonts w:ascii="Book Antiqua" w:hAnsi="Book Antiqua" w:cstheme="minorHAnsi"/>
        </w:rPr>
        <w:t>9</w:t>
      </w:r>
      <w:r w:rsidRPr="00AF1DC5">
        <w:rPr>
          <w:rFonts w:ascii="Book Antiqua" w:hAnsi="Book Antiqua" w:cstheme="minorHAnsi"/>
        </w:rPr>
        <w:t>;</w:t>
      </w:r>
      <w:r w:rsidRPr="00AF1DC5">
        <w:rPr>
          <w:rFonts w:ascii="Book Antiqua" w:hAnsi="Book Antiqua" w:cstheme="minorHAnsi"/>
          <w:i/>
        </w:rPr>
        <w:t xml:space="preserve"> P</w:t>
      </w:r>
      <w:r w:rsidR="004A56DB" w:rsidRPr="00AF1DC5">
        <w:rPr>
          <w:rFonts w:ascii="Book Antiqua" w:hAnsi="Book Antiqua" w:cstheme="minorHAnsi"/>
          <w:i/>
          <w:lang w:eastAsia="zh-CN"/>
        </w:rPr>
        <w:t xml:space="preserve"> </w:t>
      </w:r>
      <w:r w:rsidRPr="00AF1DC5">
        <w:rPr>
          <w:rFonts w:ascii="Book Antiqua" w:hAnsi="Book Antiqua" w:cstheme="minorHAnsi"/>
        </w:rPr>
        <w:t>&lt;</w:t>
      </w:r>
      <w:r w:rsidR="004A56DB" w:rsidRPr="00AF1DC5">
        <w:rPr>
          <w:rFonts w:ascii="Book Antiqua" w:hAnsi="Book Antiqua" w:cstheme="minorHAnsi"/>
          <w:lang w:eastAsia="zh-CN"/>
        </w:rPr>
        <w:t xml:space="preserve"> </w:t>
      </w:r>
      <w:r w:rsidRPr="00AF1DC5">
        <w:rPr>
          <w:rFonts w:ascii="Book Antiqua" w:hAnsi="Book Antiqua" w:cstheme="minorHAnsi"/>
        </w:rPr>
        <w:t xml:space="preserve">0.0001), but less likely to have become septic (OR </w:t>
      </w:r>
      <w:r w:rsidR="004A56DB" w:rsidRPr="00AF1DC5">
        <w:rPr>
          <w:rFonts w:ascii="Book Antiqua" w:hAnsi="Book Antiqua" w:cstheme="minorHAnsi"/>
          <w:lang w:eastAsia="zh-CN"/>
        </w:rPr>
        <w:t xml:space="preserve">= </w:t>
      </w:r>
      <w:r w:rsidRPr="00AF1DC5">
        <w:rPr>
          <w:rFonts w:ascii="Book Antiqua" w:hAnsi="Book Antiqua" w:cstheme="minorHAnsi"/>
        </w:rPr>
        <w:t>0.47</w:t>
      </w:r>
      <w:r w:rsidR="00647466" w:rsidRPr="00AF1DC5">
        <w:rPr>
          <w:rFonts w:ascii="Book Antiqua" w:hAnsi="Book Antiqua" w:cstheme="minorHAnsi"/>
        </w:rPr>
        <w:t>3</w:t>
      </w:r>
      <w:r w:rsidR="004A56DB" w:rsidRPr="00AF1DC5">
        <w:rPr>
          <w:rFonts w:ascii="Book Antiqua" w:hAnsi="Book Antiqua" w:cstheme="minorHAnsi"/>
        </w:rPr>
        <w:t>, 95%</w:t>
      </w:r>
      <w:r w:rsidRPr="00AF1DC5">
        <w:rPr>
          <w:rFonts w:ascii="Book Antiqua" w:hAnsi="Book Antiqua" w:cstheme="minorHAnsi"/>
        </w:rPr>
        <w:t>CI</w:t>
      </w:r>
      <w:r w:rsidR="004A56DB" w:rsidRPr="00AF1DC5">
        <w:rPr>
          <w:rFonts w:ascii="Book Antiqua" w:hAnsi="Book Antiqua" w:cstheme="minorHAnsi"/>
          <w:lang w:eastAsia="zh-CN"/>
        </w:rPr>
        <w:t xml:space="preserve">: </w:t>
      </w:r>
      <w:r w:rsidRPr="00AF1DC5">
        <w:rPr>
          <w:rFonts w:ascii="Book Antiqua" w:hAnsi="Book Antiqua" w:cstheme="minorHAnsi"/>
        </w:rPr>
        <w:t>0.37</w:t>
      </w:r>
      <w:r w:rsidR="00647466" w:rsidRPr="00AF1DC5">
        <w:rPr>
          <w:rFonts w:ascii="Book Antiqua" w:hAnsi="Book Antiqua" w:cstheme="minorHAnsi"/>
        </w:rPr>
        <w:t>0</w:t>
      </w:r>
      <w:r w:rsidR="004A56DB" w:rsidRPr="00AF1DC5">
        <w:rPr>
          <w:rFonts w:ascii="Book Antiqua" w:hAnsi="Book Antiqua" w:cstheme="minorHAnsi"/>
          <w:lang w:eastAsia="zh-CN"/>
        </w:rPr>
        <w:t>-</w:t>
      </w:r>
      <w:r w:rsidRPr="00AF1DC5">
        <w:rPr>
          <w:rFonts w:ascii="Book Antiqua" w:hAnsi="Book Antiqua" w:cstheme="minorHAnsi"/>
        </w:rPr>
        <w:t>0.60</w:t>
      </w:r>
      <w:r w:rsidR="00647466" w:rsidRPr="00AF1DC5">
        <w:rPr>
          <w:rFonts w:ascii="Book Antiqua" w:hAnsi="Book Antiqua" w:cstheme="minorHAnsi"/>
        </w:rPr>
        <w:t>4</w:t>
      </w:r>
      <w:r w:rsidRPr="00AF1DC5">
        <w:rPr>
          <w:rFonts w:ascii="Book Antiqua" w:hAnsi="Book Antiqua" w:cstheme="minorHAnsi"/>
        </w:rPr>
        <w:t xml:space="preserve">; </w:t>
      </w:r>
      <w:r w:rsidRPr="00AF1DC5">
        <w:rPr>
          <w:rFonts w:ascii="Book Antiqua" w:hAnsi="Book Antiqua" w:cstheme="minorHAnsi"/>
          <w:i/>
        </w:rPr>
        <w:t>P</w:t>
      </w:r>
      <w:r w:rsidR="004A56DB" w:rsidRPr="00AF1DC5">
        <w:rPr>
          <w:rFonts w:ascii="Book Antiqua" w:hAnsi="Book Antiqua" w:cstheme="minorHAnsi"/>
          <w:i/>
          <w:lang w:eastAsia="zh-CN"/>
        </w:rPr>
        <w:t xml:space="preserve"> </w:t>
      </w:r>
      <w:r w:rsidRPr="00AF1DC5">
        <w:rPr>
          <w:rFonts w:ascii="Book Antiqua" w:hAnsi="Book Antiqua" w:cstheme="minorHAnsi"/>
        </w:rPr>
        <w:t>&lt;</w:t>
      </w:r>
      <w:r w:rsidR="004A56DB" w:rsidRPr="00AF1DC5">
        <w:rPr>
          <w:rFonts w:ascii="Book Antiqua" w:hAnsi="Book Antiqua" w:cstheme="minorHAnsi"/>
          <w:lang w:eastAsia="zh-CN"/>
        </w:rPr>
        <w:t xml:space="preserve"> </w:t>
      </w:r>
      <w:r w:rsidRPr="00AF1DC5">
        <w:rPr>
          <w:rFonts w:ascii="Book Antiqua" w:hAnsi="Book Antiqua" w:cstheme="minorHAnsi"/>
        </w:rPr>
        <w:t>0.0001).</w:t>
      </w:r>
      <w:bookmarkStart w:id="39" w:name="limitations-and-discussion"/>
      <w:bookmarkEnd w:id="39"/>
      <w:r w:rsidR="001935F5" w:rsidRPr="00AF1DC5">
        <w:rPr>
          <w:rFonts w:ascii="Book Antiqua" w:hAnsi="Book Antiqua"/>
        </w:rPr>
        <w:t xml:space="preserve"> </w:t>
      </w:r>
    </w:p>
    <w:p w14:paraId="6FDF7047" w14:textId="77777777" w:rsidR="00414592" w:rsidRPr="00AF1DC5" w:rsidRDefault="00414592" w:rsidP="00E50668">
      <w:pPr>
        <w:pStyle w:val="BodyText"/>
        <w:snapToGrid w:val="0"/>
        <w:spacing w:before="0" w:after="0" w:line="360" w:lineRule="auto"/>
        <w:jc w:val="both"/>
        <w:rPr>
          <w:rFonts w:ascii="Book Antiqua" w:hAnsi="Book Antiqua" w:cstheme="minorHAnsi"/>
          <w:b/>
          <w:lang w:eastAsia="zh-CN"/>
        </w:rPr>
      </w:pPr>
    </w:p>
    <w:p w14:paraId="0FF25662" w14:textId="77777777" w:rsidR="00D5678B" w:rsidRPr="00AF1DC5" w:rsidRDefault="00D05718" w:rsidP="00E50668">
      <w:pPr>
        <w:pStyle w:val="BodyText"/>
        <w:snapToGrid w:val="0"/>
        <w:spacing w:before="0" w:after="0" w:line="360" w:lineRule="auto"/>
        <w:jc w:val="both"/>
        <w:rPr>
          <w:rFonts w:ascii="Book Antiqua" w:hAnsi="Book Antiqua" w:cstheme="minorHAnsi"/>
          <w:b/>
        </w:rPr>
      </w:pPr>
      <w:r w:rsidRPr="00AF1DC5">
        <w:rPr>
          <w:rFonts w:ascii="Book Antiqua" w:hAnsi="Book Antiqua" w:cstheme="minorHAnsi"/>
          <w:b/>
        </w:rPr>
        <w:t>DISCUSSION</w:t>
      </w:r>
    </w:p>
    <w:p w14:paraId="5EE8ADBD" w14:textId="1F9AC32B" w:rsidR="001D7840" w:rsidRPr="00AF1DC5" w:rsidRDefault="00D05718" w:rsidP="00E50668">
      <w:pPr>
        <w:snapToGrid w:val="0"/>
        <w:spacing w:after="0" w:line="360" w:lineRule="auto"/>
        <w:jc w:val="both"/>
        <w:rPr>
          <w:rFonts w:ascii="Book Antiqua" w:hAnsi="Book Antiqua"/>
          <w:sz w:val="24"/>
          <w:szCs w:val="24"/>
        </w:rPr>
      </w:pPr>
      <w:r w:rsidRPr="00AF1DC5">
        <w:rPr>
          <w:rFonts w:ascii="Book Antiqua" w:hAnsi="Book Antiqua" w:cs="Courier New"/>
          <w:sz w:val="24"/>
          <w:szCs w:val="24"/>
        </w:rPr>
        <w:t>This is the first study describing the demographic and clinical characteristics of pediatric patients with GI hemorrhage in tertiary referral pediatric centers.</w:t>
      </w:r>
      <w:r w:rsidRPr="00AF1DC5">
        <w:rPr>
          <w:rStyle w:val="apple-converted-space"/>
          <w:rFonts w:ascii="Book Antiqua" w:hAnsi="Book Antiqua" w:cs="Courier New"/>
          <w:sz w:val="24"/>
          <w:szCs w:val="24"/>
        </w:rPr>
        <w:t> </w:t>
      </w:r>
      <w:r w:rsidR="006E3276" w:rsidRPr="00AF1DC5">
        <w:rPr>
          <w:rFonts w:ascii="Book Antiqua" w:hAnsi="Book Antiqua"/>
          <w:sz w:val="24"/>
          <w:szCs w:val="24"/>
        </w:rPr>
        <w:t xml:space="preserve">In our </w:t>
      </w:r>
      <w:r w:rsidR="003B63DE" w:rsidRPr="00AF1DC5">
        <w:rPr>
          <w:rFonts w:ascii="Book Antiqua" w:hAnsi="Book Antiqua"/>
          <w:sz w:val="24"/>
          <w:szCs w:val="24"/>
        </w:rPr>
        <w:t>cohort more</w:t>
      </w:r>
      <w:r w:rsidR="00FD7E92" w:rsidRPr="00AF1DC5">
        <w:rPr>
          <w:rFonts w:ascii="Book Antiqua" w:hAnsi="Book Antiqua"/>
          <w:sz w:val="24"/>
          <w:szCs w:val="24"/>
        </w:rPr>
        <w:t xml:space="preserve"> </w:t>
      </w:r>
      <w:r w:rsidR="003B63DE" w:rsidRPr="00AF1DC5">
        <w:rPr>
          <w:rFonts w:ascii="Book Antiqua" w:hAnsi="Book Antiqua"/>
          <w:sz w:val="24"/>
          <w:szCs w:val="24"/>
        </w:rPr>
        <w:t xml:space="preserve">than </w:t>
      </w:r>
      <w:r w:rsidR="00DA578B" w:rsidRPr="00AF1DC5">
        <w:rPr>
          <w:rFonts w:ascii="Book Antiqua" w:hAnsi="Book Antiqua"/>
          <w:sz w:val="24"/>
          <w:szCs w:val="24"/>
        </w:rPr>
        <w:t xml:space="preserve">75% </w:t>
      </w:r>
      <w:r w:rsidR="00BB43CD" w:rsidRPr="00AF1DC5">
        <w:rPr>
          <w:rFonts w:ascii="Book Antiqua" w:hAnsi="Book Antiqua"/>
          <w:sz w:val="24"/>
          <w:szCs w:val="24"/>
        </w:rPr>
        <w:t xml:space="preserve">of patients with GIB presented with hematemesis or blood in the stool. </w:t>
      </w:r>
      <w:r w:rsidR="003B63DE" w:rsidRPr="00AF1DC5">
        <w:rPr>
          <w:rFonts w:ascii="Book Antiqua" w:hAnsi="Book Antiqua"/>
          <w:sz w:val="24"/>
          <w:szCs w:val="24"/>
        </w:rPr>
        <w:t>Mortality at, or before 3 days was more likely in patients with GIB as a primary diagnosis, and in this subgroup mortality was highest in the first 7 d</w:t>
      </w:r>
      <w:r w:rsidR="004A56DB" w:rsidRPr="00AF1DC5">
        <w:rPr>
          <w:rFonts w:ascii="Book Antiqua" w:hAnsi="Book Antiqua"/>
          <w:sz w:val="24"/>
          <w:szCs w:val="24"/>
          <w:lang w:eastAsia="zh-CN"/>
        </w:rPr>
        <w:t xml:space="preserve"> </w:t>
      </w:r>
      <w:r w:rsidR="003B63DE" w:rsidRPr="00AF1DC5">
        <w:rPr>
          <w:rFonts w:ascii="Book Antiqua" w:hAnsi="Book Antiqua"/>
          <w:sz w:val="24"/>
          <w:szCs w:val="24"/>
        </w:rPr>
        <w:t>of admission.</w:t>
      </w:r>
      <w:r w:rsidR="00A26905" w:rsidRPr="00AF1DC5">
        <w:rPr>
          <w:rFonts w:ascii="Book Antiqua" w:hAnsi="Book Antiqua"/>
          <w:sz w:val="24"/>
          <w:szCs w:val="24"/>
        </w:rPr>
        <w:t xml:space="preserve"> </w:t>
      </w:r>
      <w:r w:rsidR="00BB43CD" w:rsidRPr="00AF1DC5">
        <w:rPr>
          <w:rFonts w:ascii="Book Antiqua" w:hAnsi="Book Antiqua"/>
          <w:sz w:val="24"/>
          <w:szCs w:val="24"/>
        </w:rPr>
        <w:t xml:space="preserve">The mortality in patients with a principal diagnosis of GIB </w:t>
      </w:r>
      <w:r w:rsidR="00FD7E92" w:rsidRPr="00AF1DC5">
        <w:rPr>
          <w:rFonts w:ascii="Book Antiqua" w:hAnsi="Book Antiqua"/>
          <w:sz w:val="24"/>
          <w:szCs w:val="24"/>
        </w:rPr>
        <w:t xml:space="preserve">was </w:t>
      </w:r>
      <w:r w:rsidR="00BB43CD" w:rsidRPr="00AF1DC5">
        <w:rPr>
          <w:rFonts w:ascii="Book Antiqua" w:hAnsi="Book Antiqua"/>
          <w:sz w:val="24"/>
          <w:szCs w:val="24"/>
        </w:rPr>
        <w:t xml:space="preserve">0.37% </w:t>
      </w:r>
      <w:r w:rsidR="00FD7E92" w:rsidRPr="00AF1DC5">
        <w:rPr>
          <w:rFonts w:ascii="Book Antiqua" w:hAnsi="Book Antiqua"/>
          <w:sz w:val="24"/>
          <w:szCs w:val="24"/>
        </w:rPr>
        <w:t>whereas</w:t>
      </w:r>
      <w:r w:rsidR="00BB43CD" w:rsidRPr="00AF1DC5">
        <w:rPr>
          <w:rFonts w:ascii="Book Antiqua" w:hAnsi="Book Antiqua"/>
          <w:sz w:val="24"/>
          <w:szCs w:val="24"/>
        </w:rPr>
        <w:t xml:space="preserve"> the mortality in patients wit</w:t>
      </w:r>
      <w:r w:rsidR="00FD7E92" w:rsidRPr="00AF1DC5">
        <w:rPr>
          <w:rFonts w:ascii="Book Antiqua" w:hAnsi="Book Antiqua"/>
          <w:sz w:val="24"/>
          <w:szCs w:val="24"/>
        </w:rPr>
        <w:t>h GIB as a secondary diagnosis wa</w:t>
      </w:r>
      <w:r w:rsidR="00BB43CD" w:rsidRPr="00AF1DC5">
        <w:rPr>
          <w:rFonts w:ascii="Book Antiqua" w:hAnsi="Book Antiqua"/>
          <w:sz w:val="24"/>
          <w:szCs w:val="24"/>
        </w:rPr>
        <w:t xml:space="preserve">s 2.96% </w:t>
      </w:r>
      <w:r w:rsidR="00EA0548" w:rsidRPr="00AF1DC5">
        <w:rPr>
          <w:rFonts w:ascii="Book Antiqua" w:hAnsi="Book Antiqua"/>
          <w:sz w:val="24"/>
          <w:szCs w:val="24"/>
        </w:rPr>
        <w:t>signalling</w:t>
      </w:r>
      <w:r w:rsidR="00BB43CD" w:rsidRPr="00AF1DC5">
        <w:rPr>
          <w:rFonts w:ascii="Book Antiqua" w:hAnsi="Book Antiqua"/>
          <w:sz w:val="24"/>
          <w:szCs w:val="24"/>
        </w:rPr>
        <w:t xml:space="preserve"> that GIB can be a terminal </w:t>
      </w:r>
      <w:r w:rsidR="00BE1D77" w:rsidRPr="00AF1DC5">
        <w:rPr>
          <w:rFonts w:ascii="Book Antiqua" w:hAnsi="Book Antiqua"/>
          <w:sz w:val="24"/>
          <w:szCs w:val="24"/>
        </w:rPr>
        <w:t>event</w:t>
      </w:r>
      <w:r w:rsidR="00BB43CD" w:rsidRPr="00AF1DC5">
        <w:rPr>
          <w:rFonts w:ascii="Book Antiqua" w:hAnsi="Book Antiqua"/>
          <w:sz w:val="24"/>
          <w:szCs w:val="24"/>
        </w:rPr>
        <w:t xml:space="preserve"> in children with other severe disease processes. </w:t>
      </w:r>
    </w:p>
    <w:p w14:paraId="1F5E1815" w14:textId="584219A6" w:rsidR="00BE1D77" w:rsidRPr="00AF1DC5" w:rsidRDefault="00BE1D77" w:rsidP="004A56DB">
      <w:pPr>
        <w:pStyle w:val="FirstParagraph"/>
        <w:snapToGrid w:val="0"/>
        <w:spacing w:before="0" w:after="0" w:line="360" w:lineRule="auto"/>
        <w:ind w:firstLineChars="100" w:firstLine="240"/>
        <w:jc w:val="both"/>
        <w:rPr>
          <w:rFonts w:ascii="Book Antiqua" w:hAnsi="Book Antiqua" w:cstheme="minorHAnsi"/>
          <w:lang w:eastAsia="zh-CN"/>
        </w:rPr>
      </w:pPr>
      <w:r w:rsidRPr="00AF1DC5">
        <w:rPr>
          <w:rFonts w:ascii="Book Antiqua" w:hAnsi="Book Antiqua" w:cstheme="minorHAnsi"/>
        </w:rPr>
        <w:lastRenderedPageBreak/>
        <w:t>We also found that in pediatric patients, race, gender, and age were not significantly associated with mortality.</w:t>
      </w:r>
      <w:r w:rsidR="00A26905" w:rsidRPr="00AF1DC5">
        <w:rPr>
          <w:rFonts w:ascii="Book Antiqua" w:hAnsi="Book Antiqua" w:cstheme="minorHAnsi"/>
        </w:rPr>
        <w:t xml:space="preserve"> </w:t>
      </w:r>
      <w:r w:rsidRPr="00AF1DC5">
        <w:rPr>
          <w:rFonts w:ascii="Book Antiqua" w:hAnsi="Book Antiqua" w:cstheme="minorHAnsi"/>
        </w:rPr>
        <w:t>Death was most strongly associated with shock, sepsis, multiple complex chronic conditions and use of vasopressin and octreotide, although the</w:t>
      </w:r>
      <w:r w:rsidR="00857F2F" w:rsidRPr="00AF1DC5">
        <w:rPr>
          <w:rFonts w:ascii="Book Antiqua" w:hAnsi="Book Antiqua" w:cstheme="minorHAnsi"/>
        </w:rPr>
        <w:t>se</w:t>
      </w:r>
      <w:r w:rsidRPr="00AF1DC5">
        <w:rPr>
          <w:rFonts w:ascii="Book Antiqua" w:hAnsi="Book Antiqua" w:cstheme="minorHAnsi"/>
        </w:rPr>
        <w:t xml:space="preserve"> pharmaceutical treatments may represent aggressive treatment </w:t>
      </w:r>
      <w:r w:rsidR="00857F2F" w:rsidRPr="00AF1DC5">
        <w:rPr>
          <w:rFonts w:ascii="Book Antiqua" w:hAnsi="Book Antiqua" w:cstheme="minorHAnsi"/>
        </w:rPr>
        <w:t xml:space="preserve">of haemorrhage (octreotide) or hemodynamic support (vasopressin) </w:t>
      </w:r>
      <w:r w:rsidR="004A56DB" w:rsidRPr="00AF1DC5">
        <w:rPr>
          <w:rFonts w:ascii="Book Antiqua" w:hAnsi="Book Antiqua" w:cstheme="minorHAnsi"/>
        </w:rPr>
        <w:t>for severely ill patients.</w:t>
      </w:r>
    </w:p>
    <w:p w14:paraId="77CEB119" w14:textId="291DE122" w:rsidR="00BE1D77" w:rsidRPr="00AF1DC5" w:rsidRDefault="00BE1D77" w:rsidP="004A56DB">
      <w:pPr>
        <w:snapToGrid w:val="0"/>
        <w:spacing w:after="0" w:line="360" w:lineRule="auto"/>
        <w:ind w:firstLineChars="100" w:firstLine="240"/>
        <w:jc w:val="both"/>
        <w:rPr>
          <w:rFonts w:ascii="Book Antiqua" w:hAnsi="Book Antiqua"/>
          <w:sz w:val="24"/>
          <w:szCs w:val="24"/>
        </w:rPr>
      </w:pPr>
      <w:r w:rsidRPr="00AF1DC5">
        <w:rPr>
          <w:rFonts w:ascii="Book Antiqua" w:hAnsi="Book Antiqua" w:cstheme="minorHAnsi"/>
          <w:sz w:val="24"/>
          <w:szCs w:val="24"/>
        </w:rPr>
        <w:t>Our observations in children are analogous to published studies in adults showing mortality to be many times higher for upper GIB complicating the inpatient course in the presence of comorbidities</w:t>
      </w:r>
      <w:r w:rsidR="004A56DB" w:rsidRPr="00AF1DC5">
        <w:rPr>
          <w:rFonts w:ascii="Book Antiqua" w:hAnsi="Book Antiqua" w:cstheme="minorHAnsi"/>
          <w:sz w:val="24"/>
          <w:szCs w:val="24"/>
          <w:vertAlign w:val="superscript"/>
          <w:lang w:eastAsia="zh-CN"/>
        </w:rPr>
        <w:t>[1</w:t>
      </w:r>
      <w:r w:rsidR="00045D3A" w:rsidRPr="00AF1DC5">
        <w:rPr>
          <w:rFonts w:ascii="Book Antiqua" w:hAnsi="Book Antiqua" w:cstheme="minorHAnsi"/>
          <w:sz w:val="24"/>
          <w:szCs w:val="24"/>
          <w:vertAlign w:val="superscript"/>
          <w:lang w:eastAsia="zh-CN"/>
        </w:rPr>
        <w:t>4</w:t>
      </w:r>
      <w:r w:rsidR="004A56DB" w:rsidRPr="00AF1DC5">
        <w:rPr>
          <w:rFonts w:ascii="Book Antiqua" w:hAnsi="Book Antiqua" w:cstheme="minorHAnsi"/>
          <w:sz w:val="24"/>
          <w:szCs w:val="24"/>
          <w:vertAlign w:val="superscript"/>
          <w:lang w:eastAsia="zh-CN"/>
        </w:rPr>
        <w:t>]</w:t>
      </w:r>
      <w:r w:rsidRPr="00AF1DC5">
        <w:rPr>
          <w:rFonts w:ascii="Book Antiqua" w:hAnsi="Book Antiqua" w:cstheme="minorHAnsi"/>
          <w:sz w:val="24"/>
          <w:szCs w:val="24"/>
        </w:rPr>
        <w:t xml:space="preserve">. </w:t>
      </w:r>
      <w:r w:rsidR="006617F5" w:rsidRPr="00AF1DC5">
        <w:rPr>
          <w:rFonts w:ascii="Book Antiqua" w:hAnsi="Book Antiqua"/>
          <w:sz w:val="24"/>
          <w:szCs w:val="24"/>
        </w:rPr>
        <w:t xml:space="preserve">In our cohort, we could not determine whether the increased mortality in patients with multiple chronic comorbidities was related to the GIB event </w:t>
      </w:r>
      <w:r w:rsidR="00F80BC3" w:rsidRPr="00AF1DC5">
        <w:rPr>
          <w:rFonts w:ascii="Book Antiqua" w:hAnsi="Book Antiqua"/>
          <w:sz w:val="24"/>
          <w:szCs w:val="24"/>
        </w:rPr>
        <w:t>or was intrinsic to the medical frailty of these patients. However, we observed</w:t>
      </w:r>
      <w:r w:rsidR="006617F5" w:rsidRPr="00AF1DC5">
        <w:rPr>
          <w:rFonts w:ascii="Book Antiqua" w:hAnsi="Book Antiqua"/>
          <w:sz w:val="24"/>
          <w:szCs w:val="24"/>
        </w:rPr>
        <w:t xml:space="preserve"> the </w:t>
      </w:r>
      <w:r w:rsidRPr="00AF1DC5">
        <w:rPr>
          <w:rFonts w:ascii="Book Antiqua" w:hAnsi="Book Antiqua"/>
          <w:sz w:val="24"/>
          <w:szCs w:val="24"/>
        </w:rPr>
        <w:t xml:space="preserve">association </w:t>
      </w:r>
      <w:r w:rsidR="00F80BC3" w:rsidRPr="00AF1DC5">
        <w:rPr>
          <w:rFonts w:ascii="Book Antiqua" w:hAnsi="Book Antiqua"/>
          <w:sz w:val="24"/>
          <w:szCs w:val="24"/>
        </w:rPr>
        <w:t xml:space="preserve">to be </w:t>
      </w:r>
      <w:r w:rsidRPr="00AF1DC5">
        <w:rPr>
          <w:rFonts w:ascii="Book Antiqua" w:hAnsi="Book Antiqua"/>
          <w:sz w:val="24"/>
          <w:szCs w:val="24"/>
        </w:rPr>
        <w:t xml:space="preserve">consistent between both patients with any diagnosis of GIB as well as the more focused group with primary GIB diagnosis. GIB patients with multiple chronic illnesses are at incremental risk, and mortality in patients with primary GIB is significantly associated, albeit less robustly, with </w:t>
      </w:r>
      <w:r w:rsidRPr="00AF1DC5">
        <w:rPr>
          <w:rFonts w:ascii="Book Antiqua" w:hAnsi="Book Antiqua" w:cstheme="minorHAnsi"/>
          <w:sz w:val="24"/>
          <w:szCs w:val="24"/>
        </w:rPr>
        <w:t>multiple complex chronic conditions than children with a secondary diagnosis.</w:t>
      </w:r>
      <w:r w:rsidRPr="00AF1DC5">
        <w:rPr>
          <w:rFonts w:ascii="Book Antiqua" w:hAnsi="Book Antiqua"/>
          <w:sz w:val="24"/>
          <w:szCs w:val="24"/>
        </w:rPr>
        <w:t xml:space="preserve"> </w:t>
      </w:r>
      <w:r w:rsidR="006617F5" w:rsidRPr="00AF1DC5">
        <w:rPr>
          <w:rFonts w:ascii="Book Antiqua" w:hAnsi="Book Antiqua"/>
          <w:sz w:val="24"/>
          <w:szCs w:val="24"/>
        </w:rPr>
        <w:t>More specifically</w:t>
      </w:r>
      <w:r w:rsidR="00F2468A" w:rsidRPr="00AF1DC5">
        <w:rPr>
          <w:rFonts w:ascii="Book Antiqua" w:hAnsi="Book Antiqua"/>
          <w:sz w:val="24"/>
          <w:szCs w:val="24"/>
        </w:rPr>
        <w:t>,</w:t>
      </w:r>
      <w:r w:rsidR="006617F5" w:rsidRPr="00AF1DC5">
        <w:rPr>
          <w:rFonts w:ascii="Book Antiqua" w:hAnsi="Book Antiqua"/>
          <w:sz w:val="24"/>
          <w:szCs w:val="24"/>
        </w:rPr>
        <w:t xml:space="preserve"> our</w:t>
      </w:r>
      <w:r w:rsidR="00E6633F" w:rsidRPr="00AF1DC5">
        <w:rPr>
          <w:rFonts w:ascii="Book Antiqua" w:hAnsi="Book Antiqua"/>
          <w:sz w:val="24"/>
          <w:szCs w:val="24"/>
        </w:rPr>
        <w:t xml:space="preserve"> observations support the validity of the Sheffield Scoring System which identifies significant</w:t>
      </w:r>
      <w:r w:rsidR="00DF394D" w:rsidRPr="00AF1DC5">
        <w:rPr>
          <w:rFonts w:ascii="Book Antiqua" w:hAnsi="Book Antiqua"/>
          <w:sz w:val="24"/>
          <w:szCs w:val="24"/>
        </w:rPr>
        <w:t xml:space="preserve"> </w:t>
      </w:r>
      <w:r w:rsidR="00DD57A8" w:rsidRPr="00AF1DC5">
        <w:rPr>
          <w:rFonts w:ascii="Book Antiqua" w:hAnsi="Book Antiqua"/>
          <w:sz w:val="24"/>
          <w:szCs w:val="24"/>
        </w:rPr>
        <w:t>pre-existing</w:t>
      </w:r>
      <w:r w:rsidR="00DF394D" w:rsidRPr="00AF1DC5">
        <w:rPr>
          <w:rFonts w:ascii="Book Antiqua" w:hAnsi="Book Antiqua"/>
          <w:sz w:val="24"/>
          <w:szCs w:val="24"/>
        </w:rPr>
        <w:t xml:space="preserve"> condition </w:t>
      </w:r>
      <w:r w:rsidR="00E6633F" w:rsidRPr="00AF1DC5">
        <w:rPr>
          <w:rFonts w:ascii="Book Antiqua" w:hAnsi="Book Antiqua"/>
          <w:sz w:val="24"/>
          <w:szCs w:val="24"/>
        </w:rPr>
        <w:t>as an independent determinant of the need for therapeutic endoscopy</w:t>
      </w:r>
      <w:r w:rsidR="004A56DB" w:rsidRPr="00AF1DC5">
        <w:rPr>
          <w:rFonts w:ascii="Book Antiqua" w:hAnsi="Book Antiqua" w:cstheme="minorHAnsi"/>
          <w:sz w:val="24"/>
          <w:szCs w:val="24"/>
          <w:vertAlign w:val="superscript"/>
          <w:lang w:eastAsia="zh-CN"/>
        </w:rPr>
        <w:t>[</w:t>
      </w:r>
      <w:r w:rsidR="00467B5B" w:rsidRPr="00AF1DC5">
        <w:rPr>
          <w:rFonts w:ascii="Book Antiqua" w:hAnsi="Book Antiqua" w:cstheme="minorHAnsi"/>
          <w:sz w:val="24"/>
          <w:szCs w:val="24"/>
          <w:vertAlign w:val="superscript"/>
          <w:lang w:eastAsia="zh-CN"/>
        </w:rPr>
        <w:t>11</w:t>
      </w:r>
      <w:r w:rsidR="004A56DB" w:rsidRPr="00AF1DC5">
        <w:rPr>
          <w:rFonts w:ascii="Book Antiqua" w:hAnsi="Book Antiqua" w:cstheme="minorHAnsi"/>
          <w:sz w:val="24"/>
          <w:szCs w:val="24"/>
          <w:vertAlign w:val="superscript"/>
          <w:lang w:eastAsia="zh-CN"/>
        </w:rPr>
        <w:t>]</w:t>
      </w:r>
      <w:r w:rsidR="00E6633F" w:rsidRPr="00AF1DC5">
        <w:rPr>
          <w:rFonts w:ascii="Book Antiqua" w:hAnsi="Book Antiqua"/>
          <w:sz w:val="24"/>
          <w:szCs w:val="24"/>
        </w:rPr>
        <w:t xml:space="preserve">. </w:t>
      </w:r>
    </w:p>
    <w:p w14:paraId="4F6CF342" w14:textId="274E550F" w:rsidR="001D7840" w:rsidRPr="00AF1DC5" w:rsidRDefault="001D7840" w:rsidP="004A56DB">
      <w:pPr>
        <w:snapToGrid w:val="0"/>
        <w:spacing w:after="0" w:line="360" w:lineRule="auto"/>
        <w:ind w:firstLineChars="100" w:firstLine="240"/>
        <w:jc w:val="both"/>
        <w:rPr>
          <w:rStyle w:val="apple-converted-space"/>
          <w:rFonts w:ascii="Book Antiqua" w:hAnsi="Book Antiqua" w:cs="Courier New"/>
          <w:sz w:val="24"/>
          <w:szCs w:val="24"/>
          <w:lang w:eastAsia="zh-CN"/>
        </w:rPr>
      </w:pPr>
      <w:r w:rsidRPr="00AF1DC5">
        <w:rPr>
          <w:rFonts w:ascii="Book Antiqua" w:hAnsi="Book Antiqua" w:cs="Courier New"/>
          <w:sz w:val="24"/>
          <w:szCs w:val="24"/>
        </w:rPr>
        <w:t>The observed increased mortality associated with GIB with chronic comorbidities and infection can be explained through several mechanisms. For example,</w:t>
      </w:r>
      <w:r w:rsidR="00BE1D77" w:rsidRPr="00AF1DC5">
        <w:rPr>
          <w:rFonts w:ascii="Book Antiqua" w:hAnsi="Book Antiqua" w:cs="Courier New"/>
          <w:sz w:val="24"/>
          <w:szCs w:val="24"/>
        </w:rPr>
        <w:t> the</w:t>
      </w:r>
      <w:r w:rsidRPr="00AF1DC5">
        <w:rPr>
          <w:rFonts w:ascii="Book Antiqua" w:hAnsi="Book Antiqua" w:cs="Courier New"/>
          <w:sz w:val="24"/>
          <w:szCs w:val="24"/>
        </w:rPr>
        <w:t xml:space="preserve"> </w:t>
      </w:r>
      <w:r w:rsidR="00BE1D77" w:rsidRPr="00AF1DC5">
        <w:rPr>
          <w:rFonts w:ascii="Book Antiqua" w:hAnsi="Book Antiqua" w:cs="Courier New"/>
          <w:sz w:val="24"/>
          <w:szCs w:val="24"/>
        </w:rPr>
        <w:t xml:space="preserve">strong </w:t>
      </w:r>
      <w:r w:rsidRPr="00AF1DC5">
        <w:rPr>
          <w:rFonts w:ascii="Book Antiqua" w:hAnsi="Book Antiqua" w:cs="Courier New"/>
          <w:sz w:val="24"/>
          <w:szCs w:val="24"/>
        </w:rPr>
        <w:t xml:space="preserve">relationship </w:t>
      </w:r>
      <w:r w:rsidR="00BE1D77" w:rsidRPr="00AF1DC5">
        <w:rPr>
          <w:rFonts w:ascii="Book Antiqua" w:hAnsi="Book Antiqua" w:cs="Courier New"/>
          <w:sz w:val="24"/>
          <w:szCs w:val="24"/>
        </w:rPr>
        <w:t xml:space="preserve">between </w:t>
      </w:r>
      <w:r w:rsidRPr="00AF1DC5">
        <w:rPr>
          <w:rFonts w:ascii="Book Antiqua" w:hAnsi="Book Antiqua" w:cs="Courier New"/>
          <w:sz w:val="24"/>
          <w:szCs w:val="24"/>
        </w:rPr>
        <w:t xml:space="preserve">sepsis </w:t>
      </w:r>
      <w:r w:rsidR="00BE1D77" w:rsidRPr="00AF1DC5">
        <w:rPr>
          <w:rFonts w:ascii="Book Antiqua" w:hAnsi="Book Antiqua" w:cs="Courier New"/>
          <w:sz w:val="24"/>
          <w:szCs w:val="24"/>
        </w:rPr>
        <w:t>and mortality with GIB may relate to</w:t>
      </w:r>
      <w:r w:rsidRPr="00AF1DC5">
        <w:rPr>
          <w:rFonts w:ascii="Book Antiqua" w:hAnsi="Book Antiqua" w:cs="Courier New"/>
          <w:sz w:val="24"/>
          <w:szCs w:val="24"/>
        </w:rPr>
        <w:t xml:space="preserve"> the development of disseminated intravascular coagulation that would exacerbate bleeding. </w:t>
      </w:r>
      <w:r w:rsidR="00BE1D77" w:rsidRPr="00AF1DC5">
        <w:rPr>
          <w:rFonts w:ascii="Book Antiqua" w:hAnsi="Book Antiqua" w:cs="Courier New"/>
          <w:sz w:val="24"/>
          <w:szCs w:val="24"/>
        </w:rPr>
        <w:t>Conversely</w:t>
      </w:r>
      <w:r w:rsidRPr="00AF1DC5">
        <w:rPr>
          <w:rFonts w:ascii="Book Antiqua" w:hAnsi="Book Antiqua" w:cs="Courier New"/>
          <w:sz w:val="24"/>
          <w:szCs w:val="24"/>
        </w:rPr>
        <w:t xml:space="preserve"> septicemia may be a terminal complication in a child with multi</w:t>
      </w:r>
      <w:r w:rsidR="00DA578B" w:rsidRPr="00AF1DC5">
        <w:rPr>
          <w:rFonts w:ascii="Book Antiqua" w:hAnsi="Book Antiqua" w:cs="Courier New"/>
          <w:sz w:val="24"/>
          <w:szCs w:val="24"/>
        </w:rPr>
        <w:t>-</w:t>
      </w:r>
      <w:r w:rsidRPr="00AF1DC5">
        <w:rPr>
          <w:rFonts w:ascii="Book Antiqua" w:hAnsi="Book Antiqua" w:cs="Courier New"/>
          <w:sz w:val="24"/>
          <w:szCs w:val="24"/>
        </w:rPr>
        <w:t xml:space="preserve">organ injury from </w:t>
      </w:r>
      <w:r w:rsidR="00BE1D77" w:rsidRPr="00AF1DC5">
        <w:rPr>
          <w:rFonts w:ascii="Book Antiqua" w:hAnsi="Book Antiqua" w:cs="Courier New"/>
          <w:sz w:val="24"/>
          <w:szCs w:val="24"/>
        </w:rPr>
        <w:t>bleeding-hypovolemic shock</w:t>
      </w:r>
      <w:r w:rsidRPr="00AF1DC5">
        <w:rPr>
          <w:rFonts w:ascii="Book Antiqua" w:hAnsi="Book Antiqua" w:cs="Courier New"/>
          <w:sz w:val="24"/>
          <w:szCs w:val="24"/>
        </w:rPr>
        <w:t>. Similarly oncologic comorbidities signal a greater degree of overall debility as a function of immunosuppression, impaired fluid and electrolyte balance, poor nutrition, suppressed erythropoiesis and several potential iatrogenic factors impacting homeostatic responses.</w:t>
      </w:r>
    </w:p>
    <w:p w14:paraId="21BD0977" w14:textId="0321F293" w:rsidR="008A7B3F" w:rsidRPr="00AF1DC5" w:rsidRDefault="008A7B3F" w:rsidP="004A56DB">
      <w:pPr>
        <w:snapToGrid w:val="0"/>
        <w:spacing w:after="0" w:line="360" w:lineRule="auto"/>
        <w:ind w:firstLineChars="100" w:firstLine="240"/>
        <w:jc w:val="both"/>
        <w:rPr>
          <w:rFonts w:ascii="Book Antiqua" w:hAnsi="Book Antiqua" w:cs="Courier New"/>
          <w:sz w:val="24"/>
          <w:szCs w:val="24"/>
          <w:lang w:eastAsia="zh-CN"/>
        </w:rPr>
      </w:pPr>
      <w:r w:rsidRPr="00AF1DC5">
        <w:rPr>
          <w:rFonts w:ascii="Book Antiqua" w:hAnsi="Book Antiqua" w:cs="Courier New"/>
          <w:sz w:val="24"/>
          <w:szCs w:val="24"/>
        </w:rPr>
        <w:t xml:space="preserve">We could not, in this analysis, confirm a relationship between GIB related admission mortality and distance travelled to care as defined by rural compared with urban </w:t>
      </w:r>
      <w:r w:rsidRPr="00AF1DC5">
        <w:rPr>
          <w:rFonts w:ascii="Book Antiqua" w:hAnsi="Book Antiqua" w:cs="Courier New"/>
          <w:sz w:val="24"/>
          <w:szCs w:val="24"/>
        </w:rPr>
        <w:lastRenderedPageBreak/>
        <w:t>address; a significant relationship was noted when analysis was performed looking at all GIB associated mortality, this was not borne out when the cohort was defined by admitting or principal diagnosis.</w:t>
      </w:r>
    </w:p>
    <w:p w14:paraId="6C20CF94" w14:textId="531934F4" w:rsidR="00D5678B" w:rsidRPr="00AF1DC5" w:rsidRDefault="00D5678B" w:rsidP="00E50668">
      <w:pPr>
        <w:pStyle w:val="BodyText"/>
        <w:snapToGrid w:val="0"/>
        <w:spacing w:before="0" w:after="0" w:line="360" w:lineRule="auto"/>
        <w:jc w:val="both"/>
        <w:rPr>
          <w:rFonts w:ascii="Book Antiqua" w:hAnsi="Book Antiqua" w:cstheme="minorHAnsi"/>
        </w:rPr>
      </w:pPr>
      <w:r w:rsidRPr="00AF1DC5">
        <w:rPr>
          <w:rFonts w:ascii="Book Antiqua" w:hAnsi="Book Antiqua" w:cstheme="minorHAnsi"/>
        </w:rPr>
        <w:t>Endoscopy was associated with lower mortality, as was the administration of a PPI on the first or second day of admission.</w:t>
      </w:r>
      <w:r w:rsidR="00A26905" w:rsidRPr="00AF1DC5">
        <w:rPr>
          <w:rFonts w:ascii="Book Antiqua" w:hAnsi="Book Antiqua" w:cstheme="minorHAnsi"/>
        </w:rPr>
        <w:t xml:space="preserve"> </w:t>
      </w:r>
      <w:r w:rsidRPr="00AF1DC5">
        <w:rPr>
          <w:rFonts w:ascii="Book Antiqua" w:hAnsi="Book Antiqua" w:cstheme="minorHAnsi"/>
        </w:rPr>
        <w:t xml:space="preserve">Mortality was also lower for patients with GIB that was present on admission or the principal diagnosis, </w:t>
      </w:r>
      <w:r w:rsidR="00F2468A" w:rsidRPr="00AF1DC5">
        <w:rPr>
          <w:rFonts w:ascii="Book Antiqua" w:hAnsi="Book Antiqua" w:cstheme="minorHAnsi"/>
        </w:rPr>
        <w:t>supporting the impression that</w:t>
      </w:r>
      <w:r w:rsidRPr="00AF1DC5">
        <w:rPr>
          <w:rFonts w:ascii="Book Antiqua" w:hAnsi="Book Antiqua" w:cstheme="minorHAnsi"/>
        </w:rPr>
        <w:t xml:space="preserve"> GIB </w:t>
      </w:r>
      <w:r w:rsidR="00F2468A" w:rsidRPr="00AF1DC5">
        <w:rPr>
          <w:rFonts w:ascii="Book Antiqua" w:hAnsi="Book Antiqua" w:cstheme="minorHAnsi"/>
        </w:rPr>
        <w:t xml:space="preserve">can be viewed as an ominous complication defining a generally more dismal outcome </w:t>
      </w:r>
      <w:r w:rsidRPr="00AF1DC5">
        <w:rPr>
          <w:rFonts w:ascii="Book Antiqua" w:hAnsi="Book Antiqua" w:cstheme="minorHAnsi"/>
        </w:rPr>
        <w:t>in children.</w:t>
      </w:r>
    </w:p>
    <w:p w14:paraId="41C84731" w14:textId="7A74F9E7" w:rsidR="00D5678B" w:rsidRPr="00AF1DC5" w:rsidRDefault="00D5678B" w:rsidP="004A56DB">
      <w:pPr>
        <w:snapToGrid w:val="0"/>
        <w:spacing w:after="0" w:line="360" w:lineRule="auto"/>
        <w:ind w:firstLineChars="100" w:firstLine="240"/>
        <w:jc w:val="both"/>
        <w:rPr>
          <w:rFonts w:ascii="Book Antiqua" w:hAnsi="Book Antiqua"/>
          <w:sz w:val="24"/>
          <w:szCs w:val="24"/>
        </w:rPr>
      </w:pPr>
      <w:r w:rsidRPr="00AF1DC5">
        <w:rPr>
          <w:rFonts w:ascii="Book Antiqua" w:hAnsi="Book Antiqua" w:cstheme="minorHAnsi"/>
          <w:sz w:val="24"/>
          <w:szCs w:val="24"/>
        </w:rPr>
        <w:t>We did find that certain patients were more likely to undergo endoscopy.</w:t>
      </w:r>
      <w:r w:rsidR="00A26905" w:rsidRPr="00AF1DC5">
        <w:rPr>
          <w:rFonts w:ascii="Book Antiqua" w:hAnsi="Book Antiqua" w:cstheme="minorHAnsi"/>
          <w:sz w:val="24"/>
          <w:szCs w:val="24"/>
        </w:rPr>
        <w:t xml:space="preserve"> </w:t>
      </w:r>
      <w:r w:rsidR="003B63DE" w:rsidRPr="00AF1DC5">
        <w:rPr>
          <w:rFonts w:ascii="Book Antiqua" w:hAnsi="Book Antiqua"/>
          <w:sz w:val="24"/>
          <w:szCs w:val="24"/>
        </w:rPr>
        <w:t xml:space="preserve">Endoscopy during admission with GIB diagnosis was significantly protective (OR </w:t>
      </w:r>
      <w:r w:rsidR="004A56DB" w:rsidRPr="00AF1DC5">
        <w:rPr>
          <w:rFonts w:ascii="Book Antiqua" w:hAnsi="Book Antiqua"/>
          <w:sz w:val="24"/>
          <w:szCs w:val="24"/>
          <w:lang w:eastAsia="zh-CN"/>
        </w:rPr>
        <w:t xml:space="preserve">= </w:t>
      </w:r>
      <w:r w:rsidR="003B63DE" w:rsidRPr="00AF1DC5">
        <w:rPr>
          <w:rFonts w:ascii="Book Antiqua" w:hAnsi="Book Antiqua"/>
          <w:sz w:val="24"/>
          <w:szCs w:val="24"/>
        </w:rPr>
        <w:t xml:space="preserve">0.49); the effect was most pronounced in children with a principal diagnosis of GIB (OR </w:t>
      </w:r>
      <w:r w:rsidR="004A56DB" w:rsidRPr="00AF1DC5">
        <w:rPr>
          <w:rFonts w:ascii="Book Antiqua" w:hAnsi="Book Antiqua"/>
          <w:sz w:val="24"/>
          <w:szCs w:val="24"/>
          <w:lang w:eastAsia="zh-CN"/>
        </w:rPr>
        <w:t xml:space="preserve">= </w:t>
      </w:r>
      <w:r w:rsidR="003B63DE" w:rsidRPr="00AF1DC5">
        <w:rPr>
          <w:rFonts w:ascii="Book Antiqua" w:hAnsi="Book Antiqua"/>
          <w:sz w:val="24"/>
          <w:szCs w:val="24"/>
        </w:rPr>
        <w:t xml:space="preserve">0.28). </w:t>
      </w:r>
      <w:r w:rsidRPr="00AF1DC5">
        <w:rPr>
          <w:rFonts w:ascii="Book Antiqua" w:hAnsi="Book Antiqua" w:cstheme="minorHAnsi"/>
          <w:sz w:val="24"/>
          <w:szCs w:val="24"/>
        </w:rPr>
        <w:t xml:space="preserve">Chronic liver disease patients were much more likely to undergo endoscopy, which may explain why this </w:t>
      </w:r>
      <w:r w:rsidR="00F2468A" w:rsidRPr="00AF1DC5">
        <w:rPr>
          <w:rFonts w:ascii="Book Antiqua" w:hAnsi="Book Antiqua" w:cstheme="minorHAnsi"/>
          <w:sz w:val="24"/>
          <w:szCs w:val="24"/>
        </w:rPr>
        <w:t>comorbidity, in turn,</w:t>
      </w:r>
      <w:r w:rsidRPr="00AF1DC5">
        <w:rPr>
          <w:rFonts w:ascii="Book Antiqua" w:hAnsi="Book Antiqua" w:cstheme="minorHAnsi"/>
          <w:sz w:val="24"/>
          <w:szCs w:val="24"/>
        </w:rPr>
        <w:t xml:space="preserve"> was not found to be significantly associated with mortality although it is a known risk factor. Racial and urban </w:t>
      </w:r>
      <w:r w:rsidRPr="00AF1DC5">
        <w:rPr>
          <w:rFonts w:ascii="Book Antiqua" w:hAnsi="Book Antiqua" w:cstheme="minorHAnsi"/>
          <w:i/>
          <w:sz w:val="24"/>
          <w:szCs w:val="24"/>
        </w:rPr>
        <w:t>vs</w:t>
      </w:r>
      <w:r w:rsidR="004A56DB" w:rsidRPr="00AF1DC5">
        <w:rPr>
          <w:rFonts w:ascii="Book Antiqua" w:hAnsi="Book Antiqua" w:cstheme="minorHAnsi"/>
          <w:sz w:val="24"/>
          <w:szCs w:val="24"/>
          <w:lang w:eastAsia="zh-CN"/>
        </w:rPr>
        <w:t xml:space="preserve"> </w:t>
      </w:r>
      <w:r w:rsidRPr="00AF1DC5">
        <w:rPr>
          <w:rFonts w:ascii="Book Antiqua" w:hAnsi="Book Antiqua" w:cstheme="minorHAnsi"/>
          <w:sz w:val="24"/>
          <w:szCs w:val="24"/>
        </w:rPr>
        <w:t>rural differences were also noted.</w:t>
      </w:r>
      <w:r w:rsidR="00BB43CD" w:rsidRPr="00AF1DC5">
        <w:rPr>
          <w:rFonts w:ascii="Book Antiqua" w:hAnsi="Book Antiqua"/>
          <w:sz w:val="24"/>
          <w:szCs w:val="24"/>
        </w:rPr>
        <w:t xml:space="preserve"> Hispanics were significantly less likely to undergo endoscopy during admission with GIB and mortality with GIB is lowest in non-Hispanic white children. </w:t>
      </w:r>
    </w:p>
    <w:p w14:paraId="3B600854" w14:textId="51C9C8AF" w:rsidR="00D5678B" w:rsidRPr="00AF1DC5" w:rsidRDefault="00D5678B" w:rsidP="00E50668">
      <w:pPr>
        <w:pStyle w:val="BodyText"/>
        <w:snapToGrid w:val="0"/>
        <w:spacing w:before="0" w:after="0" w:line="360" w:lineRule="auto"/>
        <w:jc w:val="both"/>
        <w:rPr>
          <w:rFonts w:ascii="Book Antiqua" w:hAnsi="Book Antiqua" w:cstheme="minorHAnsi"/>
        </w:rPr>
      </w:pPr>
      <w:r w:rsidRPr="00AF1DC5">
        <w:rPr>
          <w:rFonts w:ascii="Book Antiqua" w:hAnsi="Book Antiqua" w:cstheme="minorHAnsi"/>
        </w:rPr>
        <w:t>The sensitivity analysis yielded similar results when we focused on a smaller cohort of patients with principal diagnosis of GIB, admitting diagnosis of GIB, or GIB present on admit.</w:t>
      </w:r>
      <w:r w:rsidR="00A26905" w:rsidRPr="00AF1DC5">
        <w:rPr>
          <w:rFonts w:ascii="Book Antiqua" w:hAnsi="Book Antiqua" w:cstheme="minorHAnsi"/>
        </w:rPr>
        <w:t xml:space="preserve"> </w:t>
      </w:r>
      <w:r w:rsidRPr="00AF1DC5">
        <w:rPr>
          <w:rFonts w:ascii="Book Antiqua" w:hAnsi="Book Antiqua" w:cstheme="minorHAnsi"/>
        </w:rPr>
        <w:t>The purpose of examining the smaller cohort was to exclude as much as possible those secondary GIB cases that arose as complication of a non-GIB disease course. We found even stronger association for most of the covariates, suggesting possible masking and bias toward the null by including more complex and severely ill patients whose hospital stay was not chiefly attributed to a GIB.</w:t>
      </w:r>
    </w:p>
    <w:p w14:paraId="6E2C5D13" w14:textId="047D93C3" w:rsidR="00D5678B" w:rsidRPr="00AF1DC5" w:rsidRDefault="00D5678B" w:rsidP="004A56DB">
      <w:pPr>
        <w:pStyle w:val="FirstParagraph"/>
        <w:snapToGrid w:val="0"/>
        <w:spacing w:before="0" w:after="0" w:line="360" w:lineRule="auto"/>
        <w:ind w:firstLineChars="100" w:firstLine="240"/>
        <w:jc w:val="both"/>
        <w:rPr>
          <w:rFonts w:ascii="Book Antiqua" w:hAnsi="Book Antiqua" w:cstheme="minorHAnsi"/>
        </w:rPr>
      </w:pPr>
      <w:r w:rsidRPr="00AF1DC5">
        <w:rPr>
          <w:rFonts w:ascii="Book Antiqua" w:hAnsi="Book Antiqua" w:cstheme="minorHAnsi"/>
        </w:rPr>
        <w:t xml:space="preserve">As a retrospective observational study using primarily administrative billing data, there are several limitations to the study. The use of ICD-9 diagnosis codes has been shown to be sensitive and specific for some conditions and procedures </w:t>
      </w:r>
      <w:r w:rsidR="00DD57A8" w:rsidRPr="00AF1DC5">
        <w:rPr>
          <w:rFonts w:ascii="Book Antiqua" w:hAnsi="Book Antiqua" w:cstheme="minorHAnsi"/>
        </w:rPr>
        <w:t>including gastrointestinal hemorrhage</w:t>
      </w:r>
      <w:r w:rsidR="004A56DB" w:rsidRPr="00AF1DC5">
        <w:rPr>
          <w:rFonts w:ascii="Book Antiqua" w:hAnsi="Book Antiqua" w:cstheme="minorHAnsi"/>
          <w:vertAlign w:val="superscript"/>
          <w:lang w:eastAsia="zh-CN"/>
        </w:rPr>
        <w:t>[1</w:t>
      </w:r>
      <w:r w:rsidR="00433297" w:rsidRPr="00AF1DC5">
        <w:rPr>
          <w:rFonts w:ascii="Book Antiqua" w:hAnsi="Book Antiqua" w:cstheme="minorHAnsi"/>
          <w:vertAlign w:val="superscript"/>
          <w:lang w:eastAsia="zh-CN"/>
        </w:rPr>
        <w:t>5</w:t>
      </w:r>
      <w:r w:rsidR="004A56DB" w:rsidRPr="00AF1DC5">
        <w:rPr>
          <w:rFonts w:ascii="Book Antiqua" w:hAnsi="Book Antiqua" w:cstheme="minorHAnsi"/>
          <w:vertAlign w:val="superscript"/>
          <w:lang w:eastAsia="zh-CN"/>
        </w:rPr>
        <w:t>]</w:t>
      </w:r>
      <w:r w:rsidR="00DD57A8" w:rsidRPr="00AF1DC5">
        <w:rPr>
          <w:rFonts w:ascii="Book Antiqua" w:hAnsi="Book Antiqua" w:cstheme="minorHAnsi"/>
        </w:rPr>
        <w:t xml:space="preserve"> </w:t>
      </w:r>
      <w:r w:rsidRPr="00AF1DC5">
        <w:rPr>
          <w:rFonts w:ascii="Book Antiqua" w:hAnsi="Book Antiqua" w:cstheme="minorHAnsi"/>
        </w:rPr>
        <w:t xml:space="preserve">but are unknown for all ICD-9 codes. Coding practices may also vary within hospitals, and the reliability of these codes depends on proper </w:t>
      </w:r>
      <w:r w:rsidRPr="00AF1DC5">
        <w:rPr>
          <w:rFonts w:ascii="Book Antiqua" w:hAnsi="Book Antiqua" w:cstheme="minorHAnsi"/>
        </w:rPr>
        <w:lastRenderedPageBreak/>
        <w:t>documentation. Substantial risk factors or severity factors may be missing from the data.</w:t>
      </w:r>
      <w:r w:rsidR="00A26905" w:rsidRPr="00AF1DC5">
        <w:rPr>
          <w:rFonts w:ascii="Book Antiqua" w:hAnsi="Book Antiqua" w:cstheme="minorHAnsi"/>
        </w:rPr>
        <w:t xml:space="preserve"> </w:t>
      </w:r>
    </w:p>
    <w:p w14:paraId="36FB8495" w14:textId="6B795526" w:rsidR="00D05718" w:rsidRPr="00AF1DC5" w:rsidRDefault="00D05718" w:rsidP="004B19E0">
      <w:pPr>
        <w:snapToGrid w:val="0"/>
        <w:spacing w:after="0" w:line="360" w:lineRule="auto"/>
        <w:ind w:firstLine="240"/>
        <w:jc w:val="both"/>
        <w:rPr>
          <w:rFonts w:ascii="Book Antiqua" w:hAnsi="Book Antiqua" w:cs="Courier New"/>
          <w:sz w:val="24"/>
          <w:szCs w:val="24"/>
        </w:rPr>
      </w:pPr>
      <w:r w:rsidRPr="00AF1DC5">
        <w:rPr>
          <w:rFonts w:ascii="Book Antiqua" w:hAnsi="Book Antiqua" w:cs="Courier New"/>
          <w:sz w:val="24"/>
          <w:szCs w:val="24"/>
        </w:rPr>
        <w:t xml:space="preserve">In summary, we have reported on the mortality associated with admission for acute GI </w:t>
      </w:r>
      <w:r w:rsidR="00DD57A8" w:rsidRPr="00AF1DC5">
        <w:rPr>
          <w:rFonts w:ascii="Book Antiqua" w:hAnsi="Book Antiqua" w:cs="Courier New"/>
          <w:sz w:val="24"/>
          <w:szCs w:val="24"/>
        </w:rPr>
        <w:t>hemorrhage</w:t>
      </w:r>
      <w:r w:rsidRPr="00AF1DC5">
        <w:rPr>
          <w:rFonts w:ascii="Book Antiqua" w:hAnsi="Book Antiqua" w:cs="Courier New"/>
          <w:sz w:val="24"/>
          <w:szCs w:val="24"/>
        </w:rPr>
        <w:t xml:space="preserve"> in children. Gastrointestinal hemorrhage </w:t>
      </w:r>
      <w:r w:rsidR="00364F6D" w:rsidRPr="00AF1DC5">
        <w:rPr>
          <w:rFonts w:ascii="Book Antiqua" w:hAnsi="Book Antiqua" w:cs="Courier New"/>
          <w:sz w:val="24"/>
          <w:szCs w:val="24"/>
        </w:rPr>
        <w:t>can be</w:t>
      </w:r>
      <w:r w:rsidRPr="00AF1DC5">
        <w:rPr>
          <w:rFonts w:ascii="Book Antiqua" w:hAnsi="Book Antiqua" w:cs="Courier New"/>
          <w:sz w:val="24"/>
          <w:szCs w:val="24"/>
        </w:rPr>
        <w:t xml:space="preserve"> fatal </w:t>
      </w:r>
      <w:r w:rsidR="00364F6D" w:rsidRPr="00AF1DC5">
        <w:rPr>
          <w:rFonts w:ascii="Book Antiqua" w:hAnsi="Book Antiqua" w:cs="Courier New"/>
          <w:sz w:val="24"/>
          <w:szCs w:val="24"/>
        </w:rPr>
        <w:t>but</w:t>
      </w:r>
      <w:r w:rsidRPr="00AF1DC5">
        <w:rPr>
          <w:rFonts w:ascii="Book Antiqua" w:hAnsi="Book Antiqua" w:cs="Courier New"/>
          <w:sz w:val="24"/>
          <w:szCs w:val="24"/>
        </w:rPr>
        <w:t xml:space="preserve"> </w:t>
      </w:r>
      <w:r w:rsidR="004A3D87" w:rsidRPr="00AF1DC5">
        <w:rPr>
          <w:rFonts w:ascii="Book Antiqua" w:hAnsi="Book Antiqua" w:cs="Courier New"/>
          <w:sz w:val="24"/>
          <w:szCs w:val="24"/>
        </w:rPr>
        <w:t xml:space="preserve">more </w:t>
      </w:r>
      <w:r w:rsidRPr="00AF1DC5">
        <w:rPr>
          <w:rFonts w:ascii="Book Antiqua" w:hAnsi="Book Antiqua" w:cs="Courier New"/>
          <w:sz w:val="24"/>
          <w:szCs w:val="24"/>
        </w:rPr>
        <w:t>often defines deterioration in a child with other, especially multiple</w:t>
      </w:r>
      <w:r w:rsidR="00364F6D" w:rsidRPr="00AF1DC5">
        <w:rPr>
          <w:rFonts w:ascii="Book Antiqua" w:hAnsi="Book Antiqua" w:cs="Courier New"/>
          <w:sz w:val="24"/>
          <w:szCs w:val="24"/>
        </w:rPr>
        <w:t>,</w:t>
      </w:r>
      <w:r w:rsidRPr="00AF1DC5">
        <w:rPr>
          <w:rFonts w:ascii="Book Antiqua" w:hAnsi="Book Antiqua" w:cs="Courier New"/>
          <w:sz w:val="24"/>
          <w:szCs w:val="24"/>
        </w:rPr>
        <w:t xml:space="preserve"> comorbidities. Intense pharmacologic support associates with mortality underscoring the escalation of therapy with increased clinical compromise. Endoscopy was consistently protective from mortality, and the timing, scope and therapeutic goals of </w:t>
      </w:r>
      <w:r w:rsidR="004A3D87" w:rsidRPr="00AF1DC5">
        <w:rPr>
          <w:rFonts w:ascii="Book Antiqua" w:hAnsi="Book Antiqua" w:cs="Courier New"/>
          <w:sz w:val="24"/>
          <w:szCs w:val="24"/>
        </w:rPr>
        <w:t xml:space="preserve">endoscopy in </w:t>
      </w:r>
      <w:r w:rsidRPr="00AF1DC5">
        <w:rPr>
          <w:rFonts w:ascii="Book Antiqua" w:hAnsi="Book Antiqua" w:cs="Courier New"/>
          <w:sz w:val="24"/>
          <w:szCs w:val="24"/>
        </w:rPr>
        <w:t xml:space="preserve">GI hemorrhage are still to be precisely defined and </w:t>
      </w:r>
      <w:r w:rsidR="004A3D87" w:rsidRPr="00AF1DC5">
        <w:rPr>
          <w:rFonts w:ascii="Book Antiqua" w:hAnsi="Book Antiqua" w:cs="Courier New"/>
          <w:sz w:val="24"/>
          <w:szCs w:val="24"/>
        </w:rPr>
        <w:t>universally</w:t>
      </w:r>
      <w:r w:rsidRPr="00AF1DC5">
        <w:rPr>
          <w:rFonts w:ascii="Book Antiqua" w:hAnsi="Book Antiqua" w:cs="Courier New"/>
          <w:sz w:val="24"/>
          <w:szCs w:val="24"/>
        </w:rPr>
        <w:t xml:space="preserve"> applied in children. </w:t>
      </w:r>
      <w:r w:rsidR="00364F6D" w:rsidRPr="00AF1DC5">
        <w:rPr>
          <w:rFonts w:ascii="Book Antiqua" w:hAnsi="Book Antiqua" w:cs="Courier New"/>
          <w:sz w:val="24"/>
          <w:szCs w:val="24"/>
        </w:rPr>
        <w:t xml:space="preserve">Emerging </w:t>
      </w:r>
      <w:r w:rsidR="00DD57A8" w:rsidRPr="00AF1DC5">
        <w:rPr>
          <w:rFonts w:ascii="Book Antiqua" w:hAnsi="Book Antiqua" w:cs="Courier New"/>
          <w:sz w:val="24"/>
          <w:szCs w:val="24"/>
        </w:rPr>
        <w:t>scoring</w:t>
      </w:r>
      <w:r w:rsidR="00364F6D" w:rsidRPr="00AF1DC5">
        <w:rPr>
          <w:rFonts w:ascii="Book Antiqua" w:hAnsi="Book Antiqua" w:cs="Courier New"/>
          <w:sz w:val="24"/>
          <w:szCs w:val="24"/>
        </w:rPr>
        <w:t xml:space="preserve"> systems and prospective implementation of such may go some way to identifying and stratifying the protective effects of endoscopy in children. </w:t>
      </w:r>
      <w:r w:rsidRPr="00AF1DC5">
        <w:rPr>
          <w:rFonts w:ascii="Book Antiqua" w:hAnsi="Book Antiqua" w:cs="Courier New"/>
          <w:sz w:val="24"/>
          <w:szCs w:val="24"/>
        </w:rPr>
        <w:t>This study offers new impetus to aggressive, including endoscopic</w:t>
      </w:r>
      <w:r w:rsidR="004A3D87" w:rsidRPr="00AF1DC5">
        <w:rPr>
          <w:rFonts w:ascii="Book Antiqua" w:hAnsi="Book Antiqua" w:cs="Courier New"/>
          <w:sz w:val="24"/>
          <w:szCs w:val="24"/>
        </w:rPr>
        <w:t>,</w:t>
      </w:r>
      <w:r w:rsidRPr="00AF1DC5">
        <w:rPr>
          <w:rFonts w:ascii="Book Antiqua" w:hAnsi="Book Antiqua" w:cs="Courier New"/>
          <w:sz w:val="24"/>
          <w:szCs w:val="24"/>
        </w:rPr>
        <w:t xml:space="preserve"> management.</w:t>
      </w:r>
      <w:r w:rsidR="00A26905" w:rsidRPr="00AF1DC5">
        <w:rPr>
          <w:rFonts w:ascii="Book Antiqua" w:hAnsi="Book Antiqua" w:cs="Courier New"/>
          <w:sz w:val="24"/>
          <w:szCs w:val="24"/>
        </w:rPr>
        <w:t xml:space="preserve"> </w:t>
      </w:r>
    </w:p>
    <w:p w14:paraId="6A1A2A82" w14:textId="77777777" w:rsidR="00D05718" w:rsidRPr="00AF1DC5" w:rsidRDefault="00D05718" w:rsidP="00E50668">
      <w:pPr>
        <w:snapToGrid w:val="0"/>
        <w:spacing w:after="0" w:line="360" w:lineRule="auto"/>
        <w:jc w:val="both"/>
        <w:rPr>
          <w:rFonts w:ascii="Book Antiqua" w:hAnsi="Book Antiqua" w:cs="Courier New"/>
          <w:sz w:val="24"/>
          <w:szCs w:val="24"/>
          <w:lang w:eastAsia="zh-CN"/>
        </w:rPr>
      </w:pPr>
    </w:p>
    <w:p w14:paraId="01CFAC16" w14:textId="1A82D0EE" w:rsidR="00C93391" w:rsidRPr="00AF1DC5" w:rsidRDefault="00255E0D" w:rsidP="004E1A6E">
      <w:pPr>
        <w:snapToGrid w:val="0"/>
        <w:spacing w:after="0" w:line="360" w:lineRule="auto"/>
        <w:jc w:val="both"/>
        <w:rPr>
          <w:rFonts w:ascii="Book Antiqua" w:hAnsi="Book Antiqua"/>
          <w:b/>
          <w:sz w:val="24"/>
          <w:szCs w:val="24"/>
          <w:lang w:eastAsia="zh-CN"/>
        </w:rPr>
      </w:pPr>
      <w:bookmarkStart w:id="40" w:name="OLE_LINK677"/>
      <w:bookmarkStart w:id="41" w:name="OLE_LINK678"/>
      <w:bookmarkStart w:id="42" w:name="OLE_LINK733"/>
      <w:bookmarkStart w:id="43" w:name="OLE_LINK861"/>
      <w:bookmarkStart w:id="44" w:name="OLE_LINK937"/>
      <w:bookmarkStart w:id="45" w:name="OLE_LINK961"/>
      <w:bookmarkStart w:id="46" w:name="OLE_LINK399"/>
      <w:bookmarkStart w:id="47" w:name="OLE_LINK546"/>
      <w:bookmarkStart w:id="48" w:name="OLE_LINK594"/>
      <w:bookmarkStart w:id="49" w:name="OLE_LINK621"/>
      <w:bookmarkStart w:id="50" w:name="OLE_LINK953"/>
      <w:bookmarkStart w:id="51" w:name="OLE_LINK610"/>
      <w:bookmarkStart w:id="52" w:name="OLE_LINK967"/>
      <w:r w:rsidRPr="00AF1DC5">
        <w:rPr>
          <w:rFonts w:ascii="Book Antiqua" w:hAnsi="Book Antiqua"/>
          <w:b/>
          <w:sz w:val="24"/>
          <w:szCs w:val="24"/>
        </w:rPr>
        <w:t>COMMENTS</w:t>
      </w:r>
      <w:bookmarkStart w:id="53" w:name="OLE_LINK729"/>
      <w:bookmarkStart w:id="54" w:name="OLE_LINK730"/>
    </w:p>
    <w:p w14:paraId="3F684FC1" w14:textId="77777777" w:rsidR="004E1A6E" w:rsidRPr="00AF1DC5" w:rsidRDefault="00255E0D" w:rsidP="00255E0D">
      <w:pPr>
        <w:autoSpaceDE w:val="0"/>
        <w:autoSpaceDN w:val="0"/>
        <w:adjustRightInd w:val="0"/>
        <w:snapToGrid w:val="0"/>
        <w:spacing w:after="0" w:line="360" w:lineRule="auto"/>
        <w:jc w:val="both"/>
        <w:rPr>
          <w:rFonts w:ascii="Book Antiqua" w:hAnsi="Book Antiqua" w:cs="Book Antiqua"/>
          <w:b/>
          <w:i/>
          <w:iCs/>
          <w:sz w:val="24"/>
          <w:szCs w:val="24"/>
          <w:lang w:eastAsia="zh-CN"/>
        </w:rPr>
      </w:pPr>
      <w:r w:rsidRPr="00AF1DC5">
        <w:rPr>
          <w:rFonts w:ascii="Book Antiqua" w:hAnsi="Book Antiqua" w:cs="Book Antiqua"/>
          <w:b/>
          <w:i/>
          <w:iCs/>
          <w:sz w:val="24"/>
          <w:szCs w:val="24"/>
        </w:rPr>
        <w:t>Background</w:t>
      </w:r>
    </w:p>
    <w:p w14:paraId="5C3A3EE1" w14:textId="1FC87702" w:rsidR="00255E0D" w:rsidRPr="00AF1DC5" w:rsidRDefault="002E2778" w:rsidP="00255E0D">
      <w:pPr>
        <w:autoSpaceDE w:val="0"/>
        <w:autoSpaceDN w:val="0"/>
        <w:adjustRightInd w:val="0"/>
        <w:snapToGrid w:val="0"/>
        <w:spacing w:after="0" w:line="360" w:lineRule="auto"/>
        <w:jc w:val="both"/>
        <w:rPr>
          <w:rFonts w:ascii="Book Antiqua" w:hAnsi="Book Antiqua" w:cs="Book Antiqua"/>
          <w:iCs/>
          <w:sz w:val="24"/>
          <w:szCs w:val="24"/>
        </w:rPr>
      </w:pPr>
      <w:r w:rsidRPr="00AF1DC5">
        <w:rPr>
          <w:rFonts w:ascii="Book Antiqua" w:hAnsi="Book Antiqua" w:cs="Book Antiqua"/>
          <w:iCs/>
          <w:sz w:val="24"/>
          <w:szCs w:val="24"/>
        </w:rPr>
        <w:t xml:space="preserve">The presentation, course and outcome of gastrointestinal haemorrhage in children compared with adults remains poorly characterized; </w:t>
      </w:r>
      <w:r w:rsidR="00AA5A02" w:rsidRPr="00AF1DC5">
        <w:rPr>
          <w:rFonts w:ascii="Book Antiqua" w:hAnsi="Book Antiqua" w:cs="Book Antiqua"/>
          <w:iCs/>
          <w:sz w:val="24"/>
          <w:szCs w:val="24"/>
        </w:rPr>
        <w:t>little is known about factors related mortality associated with gastro</w:t>
      </w:r>
      <w:r w:rsidRPr="00AF1DC5">
        <w:rPr>
          <w:rFonts w:ascii="Book Antiqua" w:hAnsi="Book Antiqua" w:cs="Book Antiqua"/>
          <w:iCs/>
          <w:sz w:val="24"/>
          <w:szCs w:val="24"/>
        </w:rPr>
        <w:t>intestinal bleeding in children and this impedes an evidence based approach to management in this population.</w:t>
      </w:r>
    </w:p>
    <w:p w14:paraId="418B1FBF" w14:textId="77777777" w:rsidR="00255E0D" w:rsidRPr="00AF1DC5" w:rsidRDefault="00255E0D" w:rsidP="00255E0D">
      <w:pPr>
        <w:autoSpaceDE w:val="0"/>
        <w:autoSpaceDN w:val="0"/>
        <w:adjustRightInd w:val="0"/>
        <w:snapToGrid w:val="0"/>
        <w:spacing w:after="0" w:line="360" w:lineRule="auto"/>
        <w:jc w:val="both"/>
        <w:rPr>
          <w:rFonts w:ascii="Book Antiqua" w:hAnsi="Book Antiqua" w:cs="Book Antiqua"/>
          <w:b/>
          <w:i/>
          <w:iCs/>
          <w:sz w:val="24"/>
          <w:szCs w:val="24"/>
        </w:rPr>
      </w:pPr>
    </w:p>
    <w:p w14:paraId="1468BDDD" w14:textId="77777777" w:rsidR="004E1A6E" w:rsidRPr="00AF1DC5" w:rsidRDefault="00255E0D" w:rsidP="00255E0D">
      <w:pPr>
        <w:autoSpaceDE w:val="0"/>
        <w:autoSpaceDN w:val="0"/>
        <w:adjustRightInd w:val="0"/>
        <w:snapToGrid w:val="0"/>
        <w:spacing w:after="0" w:line="360" w:lineRule="auto"/>
        <w:jc w:val="both"/>
        <w:rPr>
          <w:rFonts w:ascii="Book Antiqua" w:hAnsi="Book Antiqua" w:cs="Book Antiqua"/>
          <w:b/>
          <w:i/>
          <w:iCs/>
          <w:sz w:val="24"/>
          <w:szCs w:val="24"/>
          <w:lang w:eastAsia="zh-CN"/>
        </w:rPr>
      </w:pPr>
      <w:r w:rsidRPr="00AF1DC5">
        <w:rPr>
          <w:rFonts w:ascii="Book Antiqua" w:hAnsi="Book Antiqua" w:cs="Book Antiqua"/>
          <w:b/>
          <w:i/>
          <w:iCs/>
          <w:sz w:val="24"/>
          <w:szCs w:val="24"/>
        </w:rPr>
        <w:t>Research frontiers</w:t>
      </w:r>
    </w:p>
    <w:p w14:paraId="114DAC58" w14:textId="1148790A" w:rsidR="00255E0D" w:rsidRPr="00AF1DC5" w:rsidRDefault="004407E6" w:rsidP="00255E0D">
      <w:pPr>
        <w:autoSpaceDE w:val="0"/>
        <w:autoSpaceDN w:val="0"/>
        <w:adjustRightInd w:val="0"/>
        <w:snapToGrid w:val="0"/>
        <w:spacing w:after="0" w:line="360" w:lineRule="auto"/>
        <w:jc w:val="both"/>
        <w:rPr>
          <w:rFonts w:ascii="Book Antiqua" w:hAnsi="Book Antiqua" w:cs="Book Antiqua"/>
          <w:iCs/>
          <w:sz w:val="24"/>
          <w:szCs w:val="24"/>
        </w:rPr>
      </w:pPr>
      <w:r w:rsidRPr="00AF1DC5">
        <w:rPr>
          <w:rFonts w:ascii="Book Antiqua" w:hAnsi="Book Antiqua" w:cs="Book Antiqua"/>
          <w:iCs/>
          <w:sz w:val="24"/>
          <w:szCs w:val="24"/>
        </w:rPr>
        <w:t>U</w:t>
      </w:r>
      <w:r w:rsidR="002E2778" w:rsidRPr="00AF1DC5">
        <w:rPr>
          <w:rFonts w:ascii="Book Antiqua" w:hAnsi="Book Antiqua" w:cs="Book Antiqua"/>
          <w:iCs/>
          <w:sz w:val="24"/>
          <w:szCs w:val="24"/>
        </w:rPr>
        <w:t xml:space="preserve">pper gastrointestinal haemorrhage, younger age at presentation and multiple comorbidities are associated with admission, whereas </w:t>
      </w:r>
      <w:r w:rsidR="004B19E0" w:rsidRPr="00AF1DC5">
        <w:rPr>
          <w:rFonts w:ascii="Book Antiqua" w:hAnsi="Book Antiqua" w:cs="Book Antiqua"/>
          <w:iCs/>
          <w:sz w:val="24"/>
          <w:szCs w:val="24"/>
        </w:rPr>
        <w:t xml:space="preserve">chronic illness, need for transfusion and large haemoglobin </w:t>
      </w:r>
      <w:r w:rsidRPr="00AF1DC5">
        <w:rPr>
          <w:rFonts w:ascii="Book Antiqua" w:hAnsi="Book Antiqua" w:cs="Book Antiqua"/>
          <w:iCs/>
          <w:sz w:val="24"/>
          <w:szCs w:val="24"/>
        </w:rPr>
        <w:t>drop signal</w:t>
      </w:r>
      <w:r w:rsidR="004B19E0" w:rsidRPr="00AF1DC5">
        <w:rPr>
          <w:rFonts w:ascii="Book Antiqua" w:hAnsi="Book Antiqua" w:cs="Book Antiqua"/>
          <w:iCs/>
          <w:sz w:val="24"/>
          <w:szCs w:val="24"/>
        </w:rPr>
        <w:t xml:space="preserve"> the need for endoscopy during admission. Mortality with GI haemorrhage </w:t>
      </w:r>
      <w:r w:rsidRPr="00AF1DC5">
        <w:rPr>
          <w:rFonts w:ascii="Book Antiqua" w:hAnsi="Book Antiqua" w:cs="Book Antiqua"/>
          <w:iCs/>
          <w:sz w:val="24"/>
          <w:szCs w:val="24"/>
        </w:rPr>
        <w:t xml:space="preserve">is </w:t>
      </w:r>
      <w:r w:rsidR="004B19E0" w:rsidRPr="00AF1DC5">
        <w:rPr>
          <w:rFonts w:ascii="Book Antiqua" w:hAnsi="Book Antiqua" w:cs="Book Antiqua"/>
          <w:iCs/>
          <w:sz w:val="24"/>
          <w:szCs w:val="24"/>
        </w:rPr>
        <w:t xml:space="preserve">most frequently associated with esophageal or intestinal perforation. </w:t>
      </w:r>
    </w:p>
    <w:p w14:paraId="6BD96A28" w14:textId="77777777" w:rsidR="00255E0D" w:rsidRPr="00AF1DC5" w:rsidRDefault="00255E0D" w:rsidP="00255E0D">
      <w:pPr>
        <w:autoSpaceDE w:val="0"/>
        <w:autoSpaceDN w:val="0"/>
        <w:adjustRightInd w:val="0"/>
        <w:snapToGrid w:val="0"/>
        <w:spacing w:after="0" w:line="360" w:lineRule="auto"/>
        <w:jc w:val="both"/>
        <w:rPr>
          <w:rFonts w:ascii="Book Antiqua" w:hAnsi="Book Antiqua" w:cs="Book Antiqua"/>
          <w:b/>
          <w:sz w:val="24"/>
          <w:szCs w:val="24"/>
        </w:rPr>
      </w:pPr>
    </w:p>
    <w:p w14:paraId="6888637E" w14:textId="77777777" w:rsidR="004E1A6E" w:rsidRPr="00AF1DC5" w:rsidRDefault="00255E0D" w:rsidP="00255E0D">
      <w:pPr>
        <w:snapToGrid w:val="0"/>
        <w:spacing w:after="0" w:line="360" w:lineRule="auto"/>
        <w:jc w:val="both"/>
        <w:rPr>
          <w:rFonts w:ascii="Book Antiqua" w:hAnsi="Book Antiqua" w:cs="Book Antiqua"/>
          <w:b/>
          <w:i/>
          <w:iCs/>
          <w:sz w:val="24"/>
          <w:szCs w:val="24"/>
          <w:lang w:eastAsia="zh-CN"/>
        </w:rPr>
      </w:pPr>
      <w:r w:rsidRPr="00AF1DC5">
        <w:rPr>
          <w:rFonts w:ascii="Book Antiqua" w:hAnsi="Book Antiqua" w:cs="Book Antiqua"/>
          <w:b/>
          <w:i/>
          <w:iCs/>
          <w:sz w:val="24"/>
          <w:szCs w:val="24"/>
        </w:rPr>
        <w:t>Innovations and breakthrough</w:t>
      </w:r>
    </w:p>
    <w:p w14:paraId="0ECA7798" w14:textId="3247AEF5" w:rsidR="00255E0D" w:rsidRPr="00AF1DC5" w:rsidRDefault="00C93391" w:rsidP="00255E0D">
      <w:pPr>
        <w:snapToGrid w:val="0"/>
        <w:spacing w:after="0" w:line="360" w:lineRule="auto"/>
        <w:jc w:val="both"/>
        <w:rPr>
          <w:rFonts w:ascii="Book Antiqua" w:hAnsi="Book Antiqua" w:cs="Book Antiqua"/>
          <w:iCs/>
          <w:sz w:val="24"/>
          <w:szCs w:val="24"/>
        </w:rPr>
      </w:pPr>
      <w:r w:rsidRPr="00AF1DC5">
        <w:rPr>
          <w:rFonts w:ascii="Book Antiqua" w:hAnsi="Book Antiqua" w:cs="Book Antiqua"/>
          <w:iCs/>
          <w:caps/>
          <w:sz w:val="24"/>
          <w:szCs w:val="24"/>
        </w:rPr>
        <w:lastRenderedPageBreak/>
        <w:t>g</w:t>
      </w:r>
      <w:r w:rsidRPr="00AF1DC5">
        <w:rPr>
          <w:rFonts w:ascii="Book Antiqua" w:hAnsi="Book Antiqua" w:cs="Book Antiqua"/>
          <w:iCs/>
          <w:sz w:val="24"/>
          <w:szCs w:val="24"/>
        </w:rPr>
        <w:t>astrointestinal haemorrhage in children resulting in admission is associated with chronic comorbidities, most notably gastrointestinal, liver and cardiovascular disorders. Mortality is greater with more comorbid conditions at admission</w:t>
      </w:r>
      <w:r w:rsidR="004407E6" w:rsidRPr="00AF1DC5">
        <w:rPr>
          <w:rFonts w:ascii="Book Antiqua" w:hAnsi="Book Antiqua" w:cs="Book Antiqua"/>
          <w:iCs/>
          <w:sz w:val="24"/>
          <w:szCs w:val="24"/>
        </w:rPr>
        <w:t xml:space="preserve"> and </w:t>
      </w:r>
      <w:r w:rsidRPr="00AF1DC5">
        <w:rPr>
          <w:rFonts w:ascii="Book Antiqua" w:hAnsi="Book Antiqua" w:cs="Book Antiqua"/>
          <w:iCs/>
          <w:sz w:val="24"/>
          <w:szCs w:val="24"/>
        </w:rPr>
        <w:t xml:space="preserve">more aggressive pharmacologic intervention whereas endoscopy during the admission was protective. </w:t>
      </w:r>
    </w:p>
    <w:p w14:paraId="085ACDD3" w14:textId="77777777" w:rsidR="00255E0D" w:rsidRPr="00AF1DC5" w:rsidRDefault="00255E0D" w:rsidP="00255E0D">
      <w:pPr>
        <w:snapToGrid w:val="0"/>
        <w:spacing w:after="0" w:line="360" w:lineRule="auto"/>
        <w:jc w:val="both"/>
        <w:rPr>
          <w:rFonts w:ascii="Book Antiqua" w:hAnsi="Book Antiqua" w:cs="Book Antiqua"/>
          <w:b/>
          <w:sz w:val="24"/>
          <w:szCs w:val="24"/>
        </w:rPr>
      </w:pPr>
    </w:p>
    <w:p w14:paraId="0FCC0864" w14:textId="77777777" w:rsidR="004E1A6E" w:rsidRPr="00AF1DC5" w:rsidRDefault="00255E0D" w:rsidP="00255E0D">
      <w:pPr>
        <w:snapToGrid w:val="0"/>
        <w:spacing w:after="0" w:line="360" w:lineRule="auto"/>
        <w:jc w:val="both"/>
        <w:rPr>
          <w:rFonts w:ascii="Book Antiqua" w:hAnsi="Book Antiqua" w:cs="Book Antiqua"/>
          <w:b/>
          <w:i/>
          <w:iCs/>
          <w:sz w:val="24"/>
          <w:szCs w:val="24"/>
          <w:lang w:eastAsia="zh-CN"/>
        </w:rPr>
      </w:pPr>
      <w:r w:rsidRPr="00AF1DC5">
        <w:rPr>
          <w:rFonts w:ascii="Book Antiqua" w:hAnsi="Book Antiqua" w:cs="Book Antiqua"/>
          <w:b/>
          <w:i/>
          <w:iCs/>
          <w:sz w:val="24"/>
          <w:szCs w:val="24"/>
        </w:rPr>
        <w:t>Applications</w:t>
      </w:r>
    </w:p>
    <w:p w14:paraId="1E96D5B2" w14:textId="216A8C9B" w:rsidR="00255E0D" w:rsidRPr="00AF1DC5" w:rsidRDefault="00C93391" w:rsidP="00255E0D">
      <w:pPr>
        <w:snapToGrid w:val="0"/>
        <w:spacing w:after="0" w:line="360" w:lineRule="auto"/>
        <w:jc w:val="both"/>
        <w:rPr>
          <w:rFonts w:ascii="Book Antiqua" w:hAnsi="Book Antiqua" w:cs="Book Antiqua"/>
          <w:iCs/>
          <w:sz w:val="24"/>
          <w:szCs w:val="24"/>
        </w:rPr>
      </w:pPr>
      <w:r w:rsidRPr="00AF1DC5">
        <w:rPr>
          <w:rFonts w:ascii="Book Antiqua" w:hAnsi="Book Antiqua" w:cs="Book Antiqua"/>
          <w:iCs/>
          <w:caps/>
          <w:sz w:val="24"/>
          <w:szCs w:val="24"/>
        </w:rPr>
        <w:t>t</w:t>
      </w:r>
      <w:r w:rsidRPr="00AF1DC5">
        <w:rPr>
          <w:rFonts w:ascii="Book Antiqua" w:hAnsi="Book Antiqua" w:cs="Book Antiqua"/>
          <w:iCs/>
          <w:sz w:val="24"/>
          <w:szCs w:val="24"/>
        </w:rPr>
        <w:t xml:space="preserve">he prognosis for </w:t>
      </w:r>
      <w:r w:rsidR="004407E6" w:rsidRPr="00AF1DC5">
        <w:rPr>
          <w:rFonts w:ascii="Book Antiqua" w:hAnsi="Book Antiqua" w:cs="Book Antiqua"/>
          <w:iCs/>
          <w:sz w:val="24"/>
          <w:szCs w:val="24"/>
        </w:rPr>
        <w:t xml:space="preserve">patients with gastrointestinal haemorrhage complicating the inpatient course especially in children with sepsis or multiple chronic comorbidities and requiring more aggressive hemodynamic support is especially guarded. </w:t>
      </w:r>
    </w:p>
    <w:p w14:paraId="070C27D7" w14:textId="77777777" w:rsidR="00255E0D" w:rsidRPr="00AF1DC5" w:rsidRDefault="00255E0D" w:rsidP="00255E0D">
      <w:pPr>
        <w:snapToGrid w:val="0"/>
        <w:spacing w:after="0" w:line="360" w:lineRule="auto"/>
        <w:jc w:val="both"/>
        <w:rPr>
          <w:rFonts w:ascii="Book Antiqua" w:hAnsi="Book Antiqua" w:cs="Book Antiqua"/>
          <w:b/>
          <w:i/>
          <w:iCs/>
          <w:sz w:val="24"/>
          <w:szCs w:val="24"/>
          <w:lang w:eastAsia="zh-CN"/>
        </w:rPr>
      </w:pPr>
    </w:p>
    <w:p w14:paraId="78610AAA" w14:textId="77777777" w:rsidR="00255E0D" w:rsidRPr="00AF1DC5" w:rsidRDefault="00255E0D" w:rsidP="00255E0D">
      <w:pPr>
        <w:snapToGrid w:val="0"/>
        <w:spacing w:after="0" w:line="360" w:lineRule="auto"/>
        <w:jc w:val="both"/>
        <w:rPr>
          <w:rFonts w:ascii="Book Antiqua" w:hAnsi="Book Antiqua" w:cs="Times New Roman"/>
          <w:sz w:val="24"/>
          <w:szCs w:val="24"/>
        </w:rPr>
      </w:pPr>
      <w:bookmarkStart w:id="55" w:name="OLE_LINK493"/>
      <w:bookmarkStart w:id="56" w:name="OLE_LINK494"/>
      <w:r w:rsidRPr="00AF1DC5">
        <w:rPr>
          <w:rFonts w:ascii="Book Antiqua" w:hAnsi="Book Antiqua" w:cs="Book Antiqua"/>
          <w:b/>
          <w:i/>
          <w:iCs/>
          <w:sz w:val="24"/>
          <w:szCs w:val="24"/>
        </w:rPr>
        <w:t>Peer-review</w:t>
      </w:r>
      <w:bookmarkEnd w:id="40"/>
      <w:bookmarkEnd w:id="41"/>
      <w:bookmarkEnd w:id="42"/>
      <w:bookmarkEnd w:id="43"/>
      <w:bookmarkEnd w:id="44"/>
      <w:bookmarkEnd w:id="45"/>
      <w:bookmarkEnd w:id="53"/>
      <w:bookmarkEnd w:id="54"/>
      <w:r w:rsidRPr="00AF1DC5">
        <w:rPr>
          <w:rFonts w:ascii="Book Antiqua" w:hAnsi="Book Antiqua" w:cs="Times New Roman"/>
          <w:b/>
          <w:sz w:val="24"/>
          <w:szCs w:val="24"/>
        </w:rPr>
        <w:t xml:space="preserve"> </w:t>
      </w:r>
      <w:bookmarkEnd w:id="46"/>
      <w:bookmarkEnd w:id="47"/>
      <w:bookmarkEnd w:id="48"/>
      <w:bookmarkEnd w:id="49"/>
      <w:bookmarkEnd w:id="50"/>
      <w:bookmarkEnd w:id="55"/>
      <w:bookmarkEnd w:id="56"/>
    </w:p>
    <w:bookmarkEnd w:id="51"/>
    <w:bookmarkEnd w:id="52"/>
    <w:p w14:paraId="74719EB1" w14:textId="232B3CEF" w:rsidR="00255E0D" w:rsidRPr="00AF1DC5" w:rsidRDefault="00255E0D" w:rsidP="00E50668">
      <w:pPr>
        <w:snapToGrid w:val="0"/>
        <w:spacing w:after="0" w:line="360" w:lineRule="auto"/>
        <w:jc w:val="both"/>
        <w:rPr>
          <w:rFonts w:ascii="Book Antiqua" w:hAnsi="Book Antiqua" w:cs="Courier New"/>
          <w:sz w:val="24"/>
          <w:szCs w:val="24"/>
          <w:lang w:eastAsia="zh-CN"/>
        </w:rPr>
      </w:pPr>
      <w:r w:rsidRPr="00AF1DC5">
        <w:rPr>
          <w:rFonts w:ascii="Book Antiqua" w:hAnsi="Book Antiqua" w:cs="Courier New"/>
          <w:sz w:val="24"/>
          <w:szCs w:val="24"/>
          <w:lang w:eastAsia="zh-CN"/>
        </w:rPr>
        <w:t>This manuscript is a very well designed and conducted retrospective study. There are outstanding information for clinical practice and important clues for prospective trials.</w:t>
      </w:r>
    </w:p>
    <w:p w14:paraId="263AC0F3" w14:textId="77777777" w:rsidR="004A56DB" w:rsidRPr="00AF1DC5" w:rsidRDefault="004A56DB">
      <w:pPr>
        <w:rPr>
          <w:rFonts w:ascii="Book Antiqua" w:hAnsi="Book Antiqua" w:cs="Courier New"/>
          <w:sz w:val="24"/>
          <w:szCs w:val="24"/>
        </w:rPr>
      </w:pPr>
      <w:r w:rsidRPr="00AF1DC5">
        <w:rPr>
          <w:rFonts w:ascii="Book Antiqua" w:hAnsi="Book Antiqua" w:cs="Courier New"/>
          <w:sz w:val="24"/>
          <w:szCs w:val="24"/>
        </w:rPr>
        <w:br w:type="page"/>
      </w:r>
    </w:p>
    <w:p w14:paraId="0B99E7B4" w14:textId="1F3593BD" w:rsidR="00A3370C" w:rsidRPr="00AF1DC5" w:rsidRDefault="004A56DB" w:rsidP="00E50668">
      <w:pPr>
        <w:shd w:val="clear" w:color="auto" w:fill="FFFFFF"/>
        <w:snapToGrid w:val="0"/>
        <w:spacing w:after="0" w:line="360" w:lineRule="auto"/>
        <w:jc w:val="both"/>
        <w:rPr>
          <w:rFonts w:ascii="Book Antiqua" w:hAnsi="Book Antiqua" w:cstheme="minorHAnsi"/>
          <w:b/>
          <w:caps/>
          <w:sz w:val="24"/>
          <w:szCs w:val="24"/>
          <w:lang w:eastAsia="zh-CN"/>
        </w:rPr>
      </w:pPr>
      <w:r w:rsidRPr="00AF1DC5">
        <w:rPr>
          <w:rFonts w:ascii="Book Antiqua" w:hAnsi="Book Antiqua" w:cstheme="minorHAnsi"/>
          <w:b/>
          <w:caps/>
          <w:sz w:val="24"/>
          <w:szCs w:val="24"/>
        </w:rPr>
        <w:lastRenderedPageBreak/>
        <w:t>References</w:t>
      </w:r>
    </w:p>
    <w:p w14:paraId="55911F7C" w14:textId="77777777" w:rsidR="00C5723B" w:rsidRPr="00AF1DC5" w:rsidRDefault="00C5723B" w:rsidP="00C5723B">
      <w:pPr>
        <w:spacing w:after="0" w:line="360" w:lineRule="auto"/>
        <w:jc w:val="both"/>
        <w:rPr>
          <w:rFonts w:ascii="Book Antiqua" w:eastAsia="SimSun" w:hAnsi="Book Antiqua" w:cs="SimSun"/>
          <w:sz w:val="24"/>
          <w:szCs w:val="24"/>
          <w:lang w:val="en-US" w:eastAsia="zh-CN"/>
        </w:rPr>
      </w:pPr>
      <w:r w:rsidRPr="00AF1DC5">
        <w:rPr>
          <w:rFonts w:ascii="Book Antiqua" w:eastAsia="SimSun" w:hAnsi="Book Antiqua" w:cs="SimSun"/>
          <w:sz w:val="24"/>
          <w:szCs w:val="24"/>
          <w:lang w:val="en-US" w:eastAsia="zh-CN"/>
        </w:rPr>
        <w:t>1 </w:t>
      </w:r>
      <w:r w:rsidRPr="00AF1DC5">
        <w:rPr>
          <w:rFonts w:ascii="Book Antiqua" w:eastAsia="SimSun" w:hAnsi="Book Antiqua" w:cs="SimSun"/>
          <w:b/>
          <w:bCs/>
          <w:sz w:val="24"/>
          <w:szCs w:val="24"/>
          <w:lang w:val="en-US" w:eastAsia="zh-CN"/>
        </w:rPr>
        <w:t>Lirio RA</w:t>
      </w:r>
      <w:r w:rsidRPr="00AF1DC5">
        <w:rPr>
          <w:rFonts w:ascii="Book Antiqua" w:eastAsia="SimSun" w:hAnsi="Book Antiqua" w:cs="SimSun"/>
          <w:sz w:val="24"/>
          <w:szCs w:val="24"/>
          <w:lang w:val="en-US" w:eastAsia="zh-CN"/>
        </w:rPr>
        <w:t>. Management of Upper Gastrointestinal Bleeding in Children: Variceal and Nonvariceal. </w:t>
      </w:r>
      <w:r w:rsidRPr="00AF1DC5">
        <w:rPr>
          <w:rFonts w:ascii="Book Antiqua" w:eastAsia="SimSun" w:hAnsi="Book Antiqua" w:cs="SimSun"/>
          <w:i/>
          <w:iCs/>
          <w:sz w:val="24"/>
          <w:szCs w:val="24"/>
          <w:lang w:val="en-US" w:eastAsia="zh-CN"/>
        </w:rPr>
        <w:t>Gastrointest Endosc Clin N Am</w:t>
      </w:r>
      <w:r w:rsidRPr="00AF1DC5">
        <w:rPr>
          <w:rFonts w:ascii="Book Antiqua" w:eastAsia="SimSun" w:hAnsi="Book Antiqua" w:cs="SimSun"/>
          <w:sz w:val="24"/>
          <w:szCs w:val="24"/>
          <w:lang w:val="en-US" w:eastAsia="zh-CN"/>
        </w:rPr>
        <w:t> 2016; </w:t>
      </w:r>
      <w:r w:rsidRPr="00AF1DC5">
        <w:rPr>
          <w:rFonts w:ascii="Book Antiqua" w:eastAsia="SimSun" w:hAnsi="Book Antiqua" w:cs="SimSun"/>
          <w:b/>
          <w:bCs/>
          <w:sz w:val="24"/>
          <w:szCs w:val="24"/>
          <w:lang w:val="en-US" w:eastAsia="zh-CN"/>
        </w:rPr>
        <w:t>26</w:t>
      </w:r>
      <w:r w:rsidRPr="00AF1DC5">
        <w:rPr>
          <w:rFonts w:ascii="Book Antiqua" w:eastAsia="SimSun" w:hAnsi="Book Antiqua" w:cs="SimSun"/>
          <w:sz w:val="24"/>
          <w:szCs w:val="24"/>
          <w:lang w:val="en-US" w:eastAsia="zh-CN"/>
        </w:rPr>
        <w:t>: 63-73 [PMID: 26616897]</w:t>
      </w:r>
    </w:p>
    <w:p w14:paraId="3B71BF13" w14:textId="77777777" w:rsidR="00C5723B" w:rsidRPr="00AF1DC5" w:rsidRDefault="00C5723B" w:rsidP="00C5723B">
      <w:pPr>
        <w:spacing w:after="0" w:line="360" w:lineRule="auto"/>
        <w:jc w:val="both"/>
        <w:rPr>
          <w:rFonts w:ascii="Book Antiqua" w:eastAsia="SimSun" w:hAnsi="Book Antiqua" w:cs="SimSun"/>
          <w:sz w:val="24"/>
          <w:szCs w:val="24"/>
          <w:lang w:val="en-US" w:eastAsia="zh-CN"/>
        </w:rPr>
      </w:pPr>
      <w:r w:rsidRPr="00AF1DC5">
        <w:rPr>
          <w:rFonts w:ascii="Book Antiqua" w:eastAsia="SimSun" w:hAnsi="Book Antiqua" w:cs="SimSun"/>
          <w:sz w:val="24"/>
          <w:szCs w:val="24"/>
          <w:lang w:val="en-US" w:eastAsia="zh-CN"/>
        </w:rPr>
        <w:t>2 </w:t>
      </w:r>
      <w:r w:rsidRPr="00AF1DC5">
        <w:rPr>
          <w:rFonts w:ascii="Book Antiqua" w:eastAsia="SimSun" w:hAnsi="Book Antiqua" w:cs="SimSun"/>
          <w:b/>
          <w:bCs/>
          <w:sz w:val="24"/>
          <w:szCs w:val="24"/>
          <w:lang w:val="en-US" w:eastAsia="zh-CN"/>
        </w:rPr>
        <w:t>Thomson M</w:t>
      </w:r>
      <w:r w:rsidRPr="00AF1DC5">
        <w:rPr>
          <w:rFonts w:ascii="Book Antiqua" w:eastAsia="SimSun" w:hAnsi="Book Antiqua" w:cs="SimSun"/>
          <w:sz w:val="24"/>
          <w:szCs w:val="24"/>
          <w:lang w:val="en-US" w:eastAsia="zh-CN"/>
        </w:rPr>
        <w:t>, Belsha D. Endoscopic management of acute gastrointestinal bleeding in children: Time for a radical rethink. </w:t>
      </w:r>
      <w:r w:rsidRPr="00AF1DC5">
        <w:rPr>
          <w:rFonts w:ascii="Book Antiqua" w:eastAsia="SimSun" w:hAnsi="Book Antiqua" w:cs="SimSun"/>
          <w:i/>
          <w:iCs/>
          <w:sz w:val="24"/>
          <w:szCs w:val="24"/>
          <w:lang w:val="en-US" w:eastAsia="zh-CN"/>
        </w:rPr>
        <w:t>J Pediatr Surg</w:t>
      </w:r>
      <w:r w:rsidRPr="00AF1DC5">
        <w:rPr>
          <w:rFonts w:ascii="Book Antiqua" w:eastAsia="SimSun" w:hAnsi="Book Antiqua" w:cs="SimSun"/>
          <w:sz w:val="24"/>
          <w:szCs w:val="24"/>
          <w:lang w:val="en-US" w:eastAsia="zh-CN"/>
        </w:rPr>
        <w:t> 2016; </w:t>
      </w:r>
      <w:r w:rsidRPr="00AF1DC5">
        <w:rPr>
          <w:rFonts w:ascii="Book Antiqua" w:eastAsia="SimSun" w:hAnsi="Book Antiqua" w:cs="SimSun"/>
          <w:b/>
          <w:bCs/>
          <w:sz w:val="24"/>
          <w:szCs w:val="24"/>
          <w:lang w:val="en-US" w:eastAsia="zh-CN"/>
        </w:rPr>
        <w:t>51</w:t>
      </w:r>
      <w:r w:rsidRPr="00AF1DC5">
        <w:rPr>
          <w:rFonts w:ascii="Book Antiqua" w:eastAsia="SimSun" w:hAnsi="Book Antiqua" w:cs="SimSun"/>
          <w:sz w:val="24"/>
          <w:szCs w:val="24"/>
          <w:lang w:val="en-US" w:eastAsia="zh-CN"/>
        </w:rPr>
        <w:t>: 206-210 [PMID: 26703435]</w:t>
      </w:r>
    </w:p>
    <w:p w14:paraId="15BC0C61" w14:textId="77777777" w:rsidR="00C5723B" w:rsidRPr="00AF1DC5" w:rsidRDefault="00C5723B" w:rsidP="00C5723B">
      <w:pPr>
        <w:spacing w:after="0" w:line="360" w:lineRule="auto"/>
        <w:jc w:val="both"/>
        <w:rPr>
          <w:rFonts w:ascii="Book Antiqua" w:eastAsia="SimSun" w:hAnsi="Book Antiqua" w:cs="SimSun"/>
          <w:sz w:val="24"/>
          <w:szCs w:val="24"/>
          <w:lang w:val="en-US" w:eastAsia="zh-CN"/>
        </w:rPr>
      </w:pPr>
      <w:r w:rsidRPr="00AF1DC5">
        <w:rPr>
          <w:rFonts w:ascii="Book Antiqua" w:eastAsia="SimSun" w:hAnsi="Book Antiqua" w:cs="SimSun"/>
          <w:sz w:val="24"/>
          <w:szCs w:val="24"/>
          <w:lang w:val="en-US" w:eastAsia="zh-CN"/>
        </w:rPr>
        <w:t>3 </w:t>
      </w:r>
      <w:r w:rsidRPr="00AF1DC5">
        <w:rPr>
          <w:rFonts w:ascii="Book Antiqua" w:eastAsia="SimSun" w:hAnsi="Book Antiqua" w:cs="SimSun"/>
          <w:b/>
          <w:bCs/>
          <w:sz w:val="24"/>
          <w:szCs w:val="24"/>
          <w:lang w:val="en-US" w:eastAsia="zh-CN"/>
        </w:rPr>
        <w:t>Lanas A</w:t>
      </w:r>
      <w:r w:rsidRPr="00AF1DC5">
        <w:rPr>
          <w:rFonts w:ascii="Book Antiqua" w:eastAsia="SimSun" w:hAnsi="Book Antiqua" w:cs="SimSun"/>
          <w:sz w:val="24"/>
          <w:szCs w:val="24"/>
          <w:lang w:val="en-US" w:eastAsia="zh-CN"/>
        </w:rPr>
        <w:t>, García-Rodríguez LA, Polo-Tomás M, Ponce M, Alonso-Abreu I, Perez-Aisa MA, Perez-Gisbert J, Bujanda L, Castro M, Muñoz M, Rodrigo L, Calvet X, Del-Pino D, Garcia S. Time trends and impact of upper and lower gastrointestinal bleeding and perforation in clinical practice. </w:t>
      </w:r>
      <w:r w:rsidRPr="00AF1DC5">
        <w:rPr>
          <w:rFonts w:ascii="Book Antiqua" w:eastAsia="SimSun" w:hAnsi="Book Antiqua" w:cs="SimSun"/>
          <w:i/>
          <w:iCs/>
          <w:sz w:val="24"/>
          <w:szCs w:val="24"/>
          <w:lang w:val="en-US" w:eastAsia="zh-CN"/>
        </w:rPr>
        <w:t>Am J Gastroenterol</w:t>
      </w:r>
      <w:r w:rsidRPr="00AF1DC5">
        <w:rPr>
          <w:rFonts w:ascii="Book Antiqua" w:eastAsia="SimSun" w:hAnsi="Book Antiqua" w:cs="SimSun"/>
          <w:sz w:val="24"/>
          <w:szCs w:val="24"/>
          <w:lang w:val="en-US" w:eastAsia="zh-CN"/>
        </w:rPr>
        <w:t xml:space="preserve"> 2009; </w:t>
      </w:r>
      <w:r w:rsidRPr="00AF1DC5">
        <w:rPr>
          <w:rFonts w:ascii="Book Antiqua" w:eastAsia="SimSun" w:hAnsi="Book Antiqua" w:cs="SimSun"/>
          <w:b/>
          <w:bCs/>
          <w:sz w:val="24"/>
          <w:szCs w:val="24"/>
          <w:lang w:val="en-US" w:eastAsia="zh-CN"/>
        </w:rPr>
        <w:t>104</w:t>
      </w:r>
      <w:r w:rsidRPr="00AF1DC5">
        <w:rPr>
          <w:rFonts w:ascii="Book Antiqua" w:eastAsia="SimSun" w:hAnsi="Book Antiqua" w:cs="SimSun"/>
          <w:sz w:val="24"/>
          <w:szCs w:val="24"/>
          <w:lang w:val="en-US" w:eastAsia="zh-CN"/>
        </w:rPr>
        <w:t>: 1633-1641 [PMID: 19574968]</w:t>
      </w:r>
    </w:p>
    <w:p w14:paraId="6A339BDC" w14:textId="77777777" w:rsidR="00C5723B" w:rsidRPr="00AF1DC5" w:rsidRDefault="00C5723B" w:rsidP="00C5723B">
      <w:pPr>
        <w:spacing w:after="0" w:line="360" w:lineRule="auto"/>
        <w:jc w:val="both"/>
        <w:rPr>
          <w:rFonts w:ascii="Book Antiqua" w:eastAsia="SimSun" w:hAnsi="Book Antiqua" w:cs="SimSun"/>
          <w:sz w:val="24"/>
          <w:szCs w:val="24"/>
          <w:lang w:val="en-US" w:eastAsia="zh-CN"/>
        </w:rPr>
      </w:pPr>
      <w:r w:rsidRPr="00AF1DC5">
        <w:rPr>
          <w:rFonts w:ascii="Book Antiqua" w:eastAsia="SimSun" w:hAnsi="Book Antiqua" w:cs="SimSun"/>
          <w:sz w:val="24"/>
          <w:szCs w:val="24"/>
          <w:lang w:val="en-US" w:eastAsia="zh-CN"/>
        </w:rPr>
        <w:t>4 </w:t>
      </w:r>
      <w:r w:rsidRPr="00AF1DC5">
        <w:rPr>
          <w:rFonts w:ascii="Book Antiqua" w:eastAsia="SimSun" w:hAnsi="Book Antiqua" w:cs="SimSun"/>
          <w:b/>
          <w:bCs/>
          <w:sz w:val="24"/>
          <w:szCs w:val="24"/>
          <w:lang w:val="en-US" w:eastAsia="zh-CN"/>
        </w:rPr>
        <w:t>Hernández-Díaz S</w:t>
      </w:r>
      <w:r w:rsidRPr="00AF1DC5">
        <w:rPr>
          <w:rFonts w:ascii="Book Antiqua" w:eastAsia="SimSun" w:hAnsi="Book Antiqua" w:cs="SimSun"/>
          <w:sz w:val="24"/>
          <w:szCs w:val="24"/>
          <w:lang w:val="en-US" w:eastAsia="zh-CN"/>
        </w:rPr>
        <w:t>, Rodríguez LA. Incidence of serious upper gastrointestinal bleeding/perforation in the general population: review of epidemiologic studies. </w:t>
      </w:r>
      <w:r w:rsidRPr="00AF1DC5">
        <w:rPr>
          <w:rFonts w:ascii="Book Antiqua" w:eastAsia="SimSun" w:hAnsi="Book Antiqua" w:cs="SimSun"/>
          <w:i/>
          <w:iCs/>
          <w:sz w:val="24"/>
          <w:szCs w:val="24"/>
          <w:lang w:val="en-US" w:eastAsia="zh-CN"/>
        </w:rPr>
        <w:t>J Clin Epidemiol</w:t>
      </w:r>
      <w:r w:rsidRPr="00AF1DC5">
        <w:rPr>
          <w:rFonts w:ascii="Book Antiqua" w:eastAsia="SimSun" w:hAnsi="Book Antiqua" w:cs="SimSun"/>
          <w:sz w:val="24"/>
          <w:szCs w:val="24"/>
          <w:lang w:val="en-US" w:eastAsia="zh-CN"/>
        </w:rPr>
        <w:t> 2002; </w:t>
      </w:r>
      <w:r w:rsidRPr="00AF1DC5">
        <w:rPr>
          <w:rFonts w:ascii="Book Antiqua" w:eastAsia="SimSun" w:hAnsi="Book Antiqua" w:cs="SimSun"/>
          <w:b/>
          <w:bCs/>
          <w:sz w:val="24"/>
          <w:szCs w:val="24"/>
          <w:lang w:val="en-US" w:eastAsia="zh-CN"/>
        </w:rPr>
        <w:t>55</w:t>
      </w:r>
      <w:r w:rsidRPr="00AF1DC5">
        <w:rPr>
          <w:rFonts w:ascii="Book Antiqua" w:eastAsia="SimSun" w:hAnsi="Book Antiqua" w:cs="SimSun"/>
          <w:sz w:val="24"/>
          <w:szCs w:val="24"/>
          <w:lang w:val="en-US" w:eastAsia="zh-CN"/>
        </w:rPr>
        <w:t>: 157-163 [PMID: 11809354]</w:t>
      </w:r>
    </w:p>
    <w:p w14:paraId="58EF30B8" w14:textId="77777777" w:rsidR="00C5723B" w:rsidRPr="00AF1DC5" w:rsidRDefault="00C5723B" w:rsidP="00C5723B">
      <w:pPr>
        <w:spacing w:after="0" w:line="360" w:lineRule="auto"/>
        <w:jc w:val="both"/>
        <w:rPr>
          <w:rFonts w:ascii="Book Antiqua" w:eastAsia="SimSun" w:hAnsi="Book Antiqua" w:cs="SimSun"/>
          <w:sz w:val="24"/>
          <w:szCs w:val="24"/>
          <w:lang w:val="en-US" w:eastAsia="zh-CN"/>
        </w:rPr>
      </w:pPr>
      <w:r w:rsidRPr="00AF1DC5">
        <w:rPr>
          <w:rFonts w:ascii="Book Antiqua" w:eastAsia="SimSun" w:hAnsi="Book Antiqua" w:cs="SimSun"/>
          <w:sz w:val="24"/>
          <w:szCs w:val="24"/>
          <w:lang w:val="en-US" w:eastAsia="zh-CN"/>
        </w:rPr>
        <w:t>5 </w:t>
      </w:r>
      <w:r w:rsidRPr="00AF1DC5">
        <w:rPr>
          <w:rFonts w:ascii="Book Antiqua" w:eastAsia="SimSun" w:hAnsi="Book Antiqua" w:cs="SimSun"/>
          <w:b/>
          <w:bCs/>
          <w:sz w:val="24"/>
          <w:szCs w:val="24"/>
          <w:lang w:val="en-US" w:eastAsia="zh-CN"/>
        </w:rPr>
        <w:t>Pant C</w:t>
      </w:r>
      <w:r w:rsidRPr="00AF1DC5">
        <w:rPr>
          <w:rFonts w:ascii="Book Antiqua" w:eastAsia="SimSun" w:hAnsi="Book Antiqua" w:cs="SimSun"/>
          <w:sz w:val="24"/>
          <w:szCs w:val="24"/>
          <w:lang w:val="en-US" w:eastAsia="zh-CN"/>
        </w:rPr>
        <w:t>, Olyaee M, Sferra TJ, Gilroy R, Almadhoun O, Deshpande A. Emergency department visits for gastrointestinal bleeding in children: results from the Nationwide Emergency Department Sample 2006-2011. </w:t>
      </w:r>
      <w:r w:rsidRPr="00AF1DC5">
        <w:rPr>
          <w:rFonts w:ascii="Book Antiqua" w:eastAsia="SimSun" w:hAnsi="Book Antiqua" w:cs="SimSun"/>
          <w:i/>
          <w:iCs/>
          <w:sz w:val="24"/>
          <w:szCs w:val="24"/>
          <w:lang w:val="en-US" w:eastAsia="zh-CN"/>
        </w:rPr>
        <w:t>Curr Med Res Opin</w:t>
      </w:r>
      <w:r w:rsidRPr="00AF1DC5">
        <w:rPr>
          <w:rFonts w:ascii="Book Antiqua" w:eastAsia="SimSun" w:hAnsi="Book Antiqua" w:cs="SimSun"/>
          <w:sz w:val="24"/>
          <w:szCs w:val="24"/>
          <w:lang w:val="en-US" w:eastAsia="zh-CN"/>
        </w:rPr>
        <w:t xml:space="preserve"> 2015; </w:t>
      </w:r>
      <w:r w:rsidRPr="00AF1DC5">
        <w:rPr>
          <w:rFonts w:ascii="Book Antiqua" w:eastAsia="SimSun" w:hAnsi="Book Antiqua" w:cs="SimSun"/>
          <w:b/>
          <w:bCs/>
          <w:sz w:val="24"/>
          <w:szCs w:val="24"/>
          <w:lang w:val="en-US" w:eastAsia="zh-CN"/>
        </w:rPr>
        <w:t>31</w:t>
      </w:r>
      <w:r w:rsidRPr="00AF1DC5">
        <w:rPr>
          <w:rFonts w:ascii="Book Antiqua" w:eastAsia="SimSun" w:hAnsi="Book Antiqua" w:cs="SimSun"/>
          <w:sz w:val="24"/>
          <w:szCs w:val="24"/>
          <w:lang w:val="en-US" w:eastAsia="zh-CN"/>
        </w:rPr>
        <w:t>: 347-351 [PMID: 25466210 DOI: 10.1185/03007995.2014.986569]</w:t>
      </w:r>
    </w:p>
    <w:p w14:paraId="6B2CEEF7" w14:textId="77777777" w:rsidR="00C5723B" w:rsidRPr="00AF1DC5" w:rsidRDefault="00C5723B" w:rsidP="00C5723B">
      <w:pPr>
        <w:spacing w:after="0" w:line="360" w:lineRule="auto"/>
        <w:jc w:val="both"/>
        <w:rPr>
          <w:rFonts w:ascii="Book Antiqua" w:eastAsia="SimSun" w:hAnsi="Book Antiqua" w:cs="SimSun"/>
          <w:sz w:val="24"/>
          <w:szCs w:val="24"/>
          <w:lang w:val="en-US" w:eastAsia="zh-CN"/>
        </w:rPr>
      </w:pPr>
      <w:r w:rsidRPr="00AF1DC5">
        <w:rPr>
          <w:rFonts w:ascii="Book Antiqua" w:eastAsia="SimSun" w:hAnsi="Book Antiqua" w:cs="SimSun"/>
          <w:sz w:val="24"/>
          <w:szCs w:val="24"/>
          <w:lang w:val="en-US" w:eastAsia="zh-CN"/>
        </w:rPr>
        <w:t>6 </w:t>
      </w:r>
      <w:r w:rsidRPr="00AF1DC5">
        <w:rPr>
          <w:rFonts w:ascii="Book Antiqua" w:eastAsia="SimSun" w:hAnsi="Book Antiqua" w:cs="SimSun"/>
          <w:b/>
          <w:bCs/>
          <w:sz w:val="24"/>
          <w:szCs w:val="24"/>
          <w:lang w:val="en-US" w:eastAsia="zh-CN"/>
        </w:rPr>
        <w:t>Pant C</w:t>
      </w:r>
      <w:r w:rsidRPr="00AF1DC5">
        <w:rPr>
          <w:rFonts w:ascii="Book Antiqua" w:eastAsia="SimSun" w:hAnsi="Book Antiqua" w:cs="SimSun"/>
          <w:sz w:val="24"/>
          <w:szCs w:val="24"/>
          <w:lang w:val="en-US" w:eastAsia="zh-CN"/>
        </w:rPr>
        <w:t>, Sankararaman S, Deshpande A, Olyaee M, Anderson MP, Sferra TJ. Gastrointestinal bleeding in hospitalized children in the United States. </w:t>
      </w:r>
      <w:r w:rsidRPr="00AF1DC5">
        <w:rPr>
          <w:rFonts w:ascii="Book Antiqua" w:eastAsia="SimSun" w:hAnsi="Book Antiqua" w:cs="SimSun"/>
          <w:i/>
          <w:iCs/>
          <w:sz w:val="24"/>
          <w:szCs w:val="24"/>
          <w:lang w:val="en-US" w:eastAsia="zh-CN"/>
        </w:rPr>
        <w:t>Curr Med Res Opin</w:t>
      </w:r>
      <w:r w:rsidRPr="00AF1DC5">
        <w:rPr>
          <w:rFonts w:ascii="Book Antiqua" w:eastAsia="SimSun" w:hAnsi="Book Antiqua" w:cs="SimSun"/>
          <w:sz w:val="24"/>
          <w:szCs w:val="24"/>
          <w:lang w:val="en-US" w:eastAsia="zh-CN"/>
        </w:rPr>
        <w:t> 2014; </w:t>
      </w:r>
      <w:r w:rsidRPr="00AF1DC5">
        <w:rPr>
          <w:rFonts w:ascii="Book Antiqua" w:eastAsia="SimSun" w:hAnsi="Book Antiqua" w:cs="SimSun"/>
          <w:b/>
          <w:bCs/>
          <w:sz w:val="24"/>
          <w:szCs w:val="24"/>
          <w:lang w:val="en-US" w:eastAsia="zh-CN"/>
        </w:rPr>
        <w:t>30</w:t>
      </w:r>
      <w:r w:rsidRPr="00AF1DC5">
        <w:rPr>
          <w:rFonts w:ascii="Book Antiqua" w:eastAsia="SimSun" w:hAnsi="Book Antiqua" w:cs="SimSun"/>
          <w:sz w:val="24"/>
          <w:szCs w:val="24"/>
          <w:lang w:val="en-US" w:eastAsia="zh-CN"/>
        </w:rPr>
        <w:t>: 1065-1069 [PMID: 24450577]</w:t>
      </w:r>
    </w:p>
    <w:p w14:paraId="35D857B1" w14:textId="77777777" w:rsidR="00C5723B" w:rsidRPr="00AF1DC5" w:rsidRDefault="00C5723B" w:rsidP="00C5723B">
      <w:pPr>
        <w:spacing w:after="0" w:line="360" w:lineRule="auto"/>
        <w:jc w:val="both"/>
        <w:rPr>
          <w:rFonts w:ascii="Book Antiqua" w:eastAsia="SimSun" w:hAnsi="Book Antiqua" w:cs="SimSun"/>
          <w:sz w:val="24"/>
          <w:szCs w:val="24"/>
          <w:lang w:val="en-US" w:eastAsia="zh-CN"/>
        </w:rPr>
      </w:pPr>
      <w:r w:rsidRPr="00AF1DC5">
        <w:rPr>
          <w:rFonts w:ascii="Book Antiqua" w:eastAsia="SimSun" w:hAnsi="Book Antiqua" w:cs="SimSun"/>
          <w:sz w:val="24"/>
          <w:szCs w:val="24"/>
          <w:lang w:val="en-US" w:eastAsia="zh-CN"/>
        </w:rPr>
        <w:t>7 </w:t>
      </w:r>
      <w:r w:rsidRPr="00AF1DC5">
        <w:rPr>
          <w:rFonts w:ascii="Book Antiqua" w:eastAsia="SimSun" w:hAnsi="Book Antiqua" w:cs="SimSun"/>
          <w:b/>
          <w:bCs/>
          <w:sz w:val="24"/>
          <w:szCs w:val="24"/>
          <w:lang w:val="en-US" w:eastAsia="zh-CN"/>
        </w:rPr>
        <w:t>Tielleman T</w:t>
      </w:r>
      <w:r w:rsidRPr="00AF1DC5">
        <w:rPr>
          <w:rFonts w:ascii="Book Antiqua" w:eastAsia="SimSun" w:hAnsi="Book Antiqua" w:cs="SimSun"/>
          <w:sz w:val="24"/>
          <w:szCs w:val="24"/>
          <w:lang w:val="en-US" w:eastAsia="zh-CN"/>
        </w:rPr>
        <w:t>, Bujanda D, Cryer B. Epidemiology and Risk Factors for Upper Gastrointestinal Bleeding. </w:t>
      </w:r>
      <w:r w:rsidRPr="00AF1DC5">
        <w:rPr>
          <w:rFonts w:ascii="Book Antiqua" w:eastAsia="SimSun" w:hAnsi="Book Antiqua" w:cs="SimSun"/>
          <w:i/>
          <w:iCs/>
          <w:sz w:val="24"/>
          <w:szCs w:val="24"/>
          <w:lang w:val="en-US" w:eastAsia="zh-CN"/>
        </w:rPr>
        <w:t>Gastrointest Endosc Clin N Am</w:t>
      </w:r>
      <w:r w:rsidRPr="00AF1DC5">
        <w:rPr>
          <w:rFonts w:ascii="Book Antiqua" w:eastAsia="SimSun" w:hAnsi="Book Antiqua" w:cs="SimSun"/>
          <w:sz w:val="24"/>
          <w:szCs w:val="24"/>
          <w:lang w:val="en-US" w:eastAsia="zh-CN"/>
        </w:rPr>
        <w:t> 2015; </w:t>
      </w:r>
      <w:r w:rsidRPr="00AF1DC5">
        <w:rPr>
          <w:rFonts w:ascii="Book Antiqua" w:eastAsia="SimSun" w:hAnsi="Book Antiqua" w:cs="SimSun"/>
          <w:b/>
          <w:bCs/>
          <w:sz w:val="24"/>
          <w:szCs w:val="24"/>
          <w:lang w:val="en-US" w:eastAsia="zh-CN"/>
        </w:rPr>
        <w:t>25</w:t>
      </w:r>
      <w:r w:rsidRPr="00AF1DC5">
        <w:rPr>
          <w:rFonts w:ascii="Book Antiqua" w:eastAsia="SimSun" w:hAnsi="Book Antiqua" w:cs="SimSun"/>
          <w:sz w:val="24"/>
          <w:szCs w:val="24"/>
          <w:lang w:val="en-US" w:eastAsia="zh-CN"/>
        </w:rPr>
        <w:t>: 415-428 [PMID: 26142028]</w:t>
      </w:r>
    </w:p>
    <w:p w14:paraId="47A8F2BF" w14:textId="77777777" w:rsidR="00C5723B" w:rsidRPr="00AF1DC5" w:rsidRDefault="00C5723B" w:rsidP="00C5723B">
      <w:pPr>
        <w:spacing w:after="0" w:line="360" w:lineRule="auto"/>
        <w:jc w:val="both"/>
        <w:rPr>
          <w:rFonts w:ascii="Book Antiqua" w:eastAsia="SimSun" w:hAnsi="Book Antiqua" w:cs="SimSun"/>
          <w:sz w:val="24"/>
          <w:szCs w:val="24"/>
          <w:lang w:val="en-US" w:eastAsia="zh-CN"/>
        </w:rPr>
      </w:pPr>
      <w:r w:rsidRPr="00AF1DC5">
        <w:rPr>
          <w:rFonts w:ascii="Book Antiqua" w:eastAsia="SimSun" w:hAnsi="Book Antiqua" w:cs="SimSun"/>
          <w:sz w:val="24"/>
          <w:szCs w:val="24"/>
          <w:lang w:val="en-US" w:eastAsia="zh-CN"/>
        </w:rPr>
        <w:t>8 </w:t>
      </w:r>
      <w:r w:rsidRPr="00AF1DC5">
        <w:rPr>
          <w:rFonts w:ascii="Book Antiqua" w:eastAsia="SimSun" w:hAnsi="Book Antiqua" w:cs="SimSun"/>
          <w:b/>
          <w:bCs/>
          <w:sz w:val="24"/>
          <w:szCs w:val="24"/>
          <w:lang w:val="en-US" w:eastAsia="zh-CN"/>
        </w:rPr>
        <w:t>Rockall TA</w:t>
      </w:r>
      <w:r w:rsidRPr="00AF1DC5">
        <w:rPr>
          <w:rFonts w:ascii="Book Antiqua" w:eastAsia="SimSun" w:hAnsi="Book Antiqua" w:cs="SimSun"/>
          <w:sz w:val="24"/>
          <w:szCs w:val="24"/>
          <w:lang w:val="en-US" w:eastAsia="zh-CN"/>
        </w:rPr>
        <w:t>, Logan RF, Devlin HB, Northfield TC. Risk assessment after acute upper gastrointestinal haemorrhage. </w:t>
      </w:r>
      <w:r w:rsidRPr="00AF1DC5">
        <w:rPr>
          <w:rFonts w:ascii="Book Antiqua" w:eastAsia="SimSun" w:hAnsi="Book Antiqua" w:cs="SimSun"/>
          <w:i/>
          <w:iCs/>
          <w:sz w:val="24"/>
          <w:szCs w:val="24"/>
          <w:lang w:val="en-US" w:eastAsia="zh-CN"/>
        </w:rPr>
        <w:t>Gut</w:t>
      </w:r>
      <w:r w:rsidRPr="00AF1DC5">
        <w:rPr>
          <w:rFonts w:ascii="Book Antiqua" w:eastAsia="SimSun" w:hAnsi="Book Antiqua" w:cs="SimSun"/>
          <w:sz w:val="24"/>
          <w:szCs w:val="24"/>
          <w:lang w:val="en-US" w:eastAsia="zh-CN"/>
        </w:rPr>
        <w:t> 1996; </w:t>
      </w:r>
      <w:r w:rsidRPr="00AF1DC5">
        <w:rPr>
          <w:rFonts w:ascii="Book Antiqua" w:eastAsia="SimSun" w:hAnsi="Book Antiqua" w:cs="SimSun"/>
          <w:b/>
          <w:bCs/>
          <w:sz w:val="24"/>
          <w:szCs w:val="24"/>
          <w:lang w:val="en-US" w:eastAsia="zh-CN"/>
        </w:rPr>
        <w:t>38</w:t>
      </w:r>
      <w:r w:rsidRPr="00AF1DC5">
        <w:rPr>
          <w:rFonts w:ascii="Book Antiqua" w:eastAsia="SimSun" w:hAnsi="Book Antiqua" w:cs="SimSun"/>
          <w:sz w:val="24"/>
          <w:szCs w:val="24"/>
          <w:lang w:val="en-US" w:eastAsia="zh-CN"/>
        </w:rPr>
        <w:t>: 316-321 [PMID: 8675081]</w:t>
      </w:r>
    </w:p>
    <w:p w14:paraId="3775743C" w14:textId="77777777" w:rsidR="00C5723B" w:rsidRPr="00AF1DC5" w:rsidRDefault="00C5723B" w:rsidP="00C5723B">
      <w:pPr>
        <w:spacing w:after="0" w:line="360" w:lineRule="auto"/>
        <w:jc w:val="both"/>
        <w:rPr>
          <w:rFonts w:ascii="Book Antiqua" w:eastAsia="SimSun" w:hAnsi="Book Antiqua" w:cs="SimSun"/>
          <w:sz w:val="24"/>
          <w:szCs w:val="24"/>
          <w:lang w:val="en-US" w:eastAsia="zh-CN"/>
        </w:rPr>
      </w:pPr>
      <w:r w:rsidRPr="00AF1DC5">
        <w:rPr>
          <w:rFonts w:ascii="Book Antiqua" w:eastAsia="SimSun" w:hAnsi="Book Antiqua" w:cs="SimSun"/>
          <w:sz w:val="24"/>
          <w:szCs w:val="24"/>
          <w:lang w:val="en-US" w:eastAsia="zh-CN"/>
        </w:rPr>
        <w:t>9 </w:t>
      </w:r>
      <w:r w:rsidRPr="00AF1DC5">
        <w:rPr>
          <w:rFonts w:ascii="Book Antiqua" w:eastAsia="SimSun" w:hAnsi="Book Antiqua" w:cs="SimSun"/>
          <w:b/>
          <w:bCs/>
          <w:sz w:val="24"/>
          <w:szCs w:val="24"/>
          <w:lang w:val="en-US" w:eastAsia="zh-CN"/>
        </w:rPr>
        <w:t>Provenzale D</w:t>
      </w:r>
      <w:r w:rsidRPr="00AF1DC5">
        <w:rPr>
          <w:rFonts w:ascii="Book Antiqua" w:eastAsia="SimSun" w:hAnsi="Book Antiqua" w:cs="SimSun"/>
          <w:sz w:val="24"/>
          <w:szCs w:val="24"/>
          <w:lang w:val="en-US" w:eastAsia="zh-CN"/>
        </w:rPr>
        <w:t>, Sandler RS, Wood DR, Levinson SL, Frakes JT, Sartor RB, Jackson AL, Kinard HB, Wagner EH, Powell DW. Development of a scoring system to predict mortality from upper gastrointestinal bleeding. </w:t>
      </w:r>
      <w:r w:rsidRPr="00AF1DC5">
        <w:rPr>
          <w:rFonts w:ascii="Book Antiqua" w:eastAsia="SimSun" w:hAnsi="Book Antiqua" w:cs="SimSun"/>
          <w:i/>
          <w:iCs/>
          <w:sz w:val="24"/>
          <w:szCs w:val="24"/>
          <w:lang w:val="en-US" w:eastAsia="zh-CN"/>
        </w:rPr>
        <w:t>Am J Med Sci</w:t>
      </w:r>
      <w:r w:rsidRPr="00AF1DC5">
        <w:rPr>
          <w:rFonts w:ascii="Book Antiqua" w:eastAsia="SimSun" w:hAnsi="Book Antiqua" w:cs="SimSun"/>
          <w:sz w:val="24"/>
          <w:szCs w:val="24"/>
          <w:lang w:val="en-US" w:eastAsia="zh-CN"/>
        </w:rPr>
        <w:t xml:space="preserve"> 1987; </w:t>
      </w:r>
      <w:r w:rsidRPr="00AF1DC5">
        <w:rPr>
          <w:rFonts w:ascii="Book Antiqua" w:eastAsia="SimSun" w:hAnsi="Book Antiqua" w:cs="SimSun"/>
          <w:b/>
          <w:bCs/>
          <w:sz w:val="24"/>
          <w:szCs w:val="24"/>
          <w:lang w:val="en-US" w:eastAsia="zh-CN"/>
        </w:rPr>
        <w:t>294</w:t>
      </w:r>
      <w:r w:rsidRPr="00AF1DC5">
        <w:rPr>
          <w:rFonts w:ascii="Book Antiqua" w:eastAsia="SimSun" w:hAnsi="Book Antiqua" w:cs="SimSun"/>
          <w:sz w:val="24"/>
          <w:szCs w:val="24"/>
          <w:lang w:val="en-US" w:eastAsia="zh-CN"/>
        </w:rPr>
        <w:t>: 26-32 [PMID: 3496791]</w:t>
      </w:r>
    </w:p>
    <w:p w14:paraId="2FF8FC63" w14:textId="77777777" w:rsidR="00C5723B" w:rsidRPr="00AF1DC5" w:rsidRDefault="00C5723B" w:rsidP="00C5723B">
      <w:pPr>
        <w:spacing w:after="0" w:line="360" w:lineRule="auto"/>
        <w:jc w:val="both"/>
        <w:rPr>
          <w:rFonts w:ascii="Book Antiqua" w:eastAsia="SimSun" w:hAnsi="Book Antiqua" w:cs="SimSun"/>
          <w:sz w:val="24"/>
          <w:szCs w:val="24"/>
          <w:lang w:val="en-US" w:eastAsia="zh-CN"/>
        </w:rPr>
      </w:pPr>
      <w:r w:rsidRPr="00AF1DC5">
        <w:rPr>
          <w:rFonts w:ascii="Book Antiqua" w:eastAsia="SimSun" w:hAnsi="Book Antiqua" w:cs="SimSun"/>
          <w:sz w:val="24"/>
          <w:szCs w:val="24"/>
          <w:lang w:val="en-US" w:eastAsia="zh-CN"/>
        </w:rPr>
        <w:lastRenderedPageBreak/>
        <w:t>10 </w:t>
      </w:r>
      <w:r w:rsidRPr="00AF1DC5">
        <w:rPr>
          <w:rFonts w:ascii="Book Antiqua" w:eastAsia="SimSun" w:hAnsi="Book Antiqua" w:cs="SimSun"/>
          <w:b/>
          <w:bCs/>
          <w:sz w:val="24"/>
          <w:szCs w:val="24"/>
          <w:lang w:val="en-US" w:eastAsia="zh-CN"/>
        </w:rPr>
        <w:t>Pimpl W</w:t>
      </w:r>
      <w:r w:rsidRPr="00AF1DC5">
        <w:rPr>
          <w:rFonts w:ascii="Book Antiqua" w:eastAsia="SimSun" w:hAnsi="Book Antiqua" w:cs="SimSun"/>
          <w:sz w:val="24"/>
          <w:szCs w:val="24"/>
          <w:lang w:val="en-US" w:eastAsia="zh-CN"/>
        </w:rPr>
        <w:t>, Boeckl O, Waclawiczek HW, Heinerman M. Estimation of the mortality rate of patients with severe gastroduodenal hemorrhage with the aid of a new scoring system. </w:t>
      </w:r>
      <w:r w:rsidRPr="00AF1DC5">
        <w:rPr>
          <w:rFonts w:ascii="Book Antiqua" w:eastAsia="SimSun" w:hAnsi="Book Antiqua" w:cs="SimSun"/>
          <w:i/>
          <w:iCs/>
          <w:sz w:val="24"/>
          <w:szCs w:val="24"/>
          <w:lang w:val="en-US" w:eastAsia="zh-CN"/>
        </w:rPr>
        <w:t>Endoscopy</w:t>
      </w:r>
      <w:r w:rsidRPr="00AF1DC5">
        <w:rPr>
          <w:rFonts w:ascii="Book Antiqua" w:eastAsia="SimSun" w:hAnsi="Book Antiqua" w:cs="SimSun"/>
          <w:sz w:val="24"/>
          <w:szCs w:val="24"/>
          <w:lang w:val="en-US" w:eastAsia="zh-CN"/>
        </w:rPr>
        <w:t> 1987; </w:t>
      </w:r>
      <w:r w:rsidRPr="00AF1DC5">
        <w:rPr>
          <w:rFonts w:ascii="Book Antiqua" w:eastAsia="SimSun" w:hAnsi="Book Antiqua" w:cs="SimSun"/>
          <w:b/>
          <w:bCs/>
          <w:sz w:val="24"/>
          <w:szCs w:val="24"/>
          <w:lang w:val="en-US" w:eastAsia="zh-CN"/>
        </w:rPr>
        <w:t>19</w:t>
      </w:r>
      <w:r w:rsidRPr="00AF1DC5">
        <w:rPr>
          <w:rFonts w:ascii="Book Antiqua" w:eastAsia="SimSun" w:hAnsi="Book Antiqua" w:cs="SimSun"/>
          <w:sz w:val="24"/>
          <w:szCs w:val="24"/>
          <w:lang w:val="en-US" w:eastAsia="zh-CN"/>
        </w:rPr>
        <w:t>: 101-106 [PMID: 3497027 DOI: 10.1055/s-2007-1013010]</w:t>
      </w:r>
    </w:p>
    <w:p w14:paraId="7DF72C97" w14:textId="77777777" w:rsidR="00C5723B" w:rsidRPr="00AF1DC5" w:rsidRDefault="00C5723B" w:rsidP="00C5723B">
      <w:pPr>
        <w:spacing w:after="0" w:line="360" w:lineRule="auto"/>
        <w:jc w:val="both"/>
        <w:rPr>
          <w:rFonts w:ascii="Book Antiqua" w:eastAsia="SimSun" w:hAnsi="Book Antiqua" w:cs="SimSun"/>
          <w:sz w:val="24"/>
          <w:szCs w:val="24"/>
          <w:lang w:val="en-US" w:eastAsia="zh-CN"/>
        </w:rPr>
      </w:pPr>
      <w:r w:rsidRPr="00AF1DC5">
        <w:rPr>
          <w:rFonts w:ascii="Book Antiqua" w:eastAsia="SimSun" w:hAnsi="Book Antiqua" w:cs="SimSun"/>
          <w:sz w:val="24"/>
          <w:szCs w:val="24"/>
          <w:lang w:val="en-US" w:eastAsia="zh-CN"/>
        </w:rPr>
        <w:t>11 </w:t>
      </w:r>
      <w:r w:rsidRPr="00AF1DC5">
        <w:rPr>
          <w:rFonts w:ascii="Book Antiqua" w:eastAsia="SimSun" w:hAnsi="Book Antiqua" w:cs="SimSun"/>
          <w:b/>
          <w:bCs/>
          <w:sz w:val="24"/>
          <w:szCs w:val="24"/>
          <w:lang w:val="en-US" w:eastAsia="zh-CN"/>
        </w:rPr>
        <w:t>Thomson MA</w:t>
      </w:r>
      <w:r w:rsidRPr="00AF1DC5">
        <w:rPr>
          <w:rFonts w:ascii="Book Antiqua" w:eastAsia="SimSun" w:hAnsi="Book Antiqua" w:cs="SimSun"/>
          <w:sz w:val="24"/>
          <w:szCs w:val="24"/>
          <w:lang w:val="en-US" w:eastAsia="zh-CN"/>
        </w:rPr>
        <w:t>, Leton N, Belsha D. Acute upper gastrointestinal bleeding in childhood: development of the Sheffield scoring system to predict need for endoscopic therapy. </w:t>
      </w:r>
      <w:r w:rsidRPr="00AF1DC5">
        <w:rPr>
          <w:rFonts w:ascii="Book Antiqua" w:eastAsia="SimSun" w:hAnsi="Book Antiqua" w:cs="SimSun"/>
          <w:i/>
          <w:iCs/>
          <w:sz w:val="24"/>
          <w:szCs w:val="24"/>
          <w:lang w:val="en-US" w:eastAsia="zh-CN"/>
        </w:rPr>
        <w:t>J Pediatr Gastroenterol Nutr</w:t>
      </w:r>
      <w:r w:rsidRPr="00AF1DC5">
        <w:rPr>
          <w:rFonts w:ascii="Book Antiqua" w:eastAsia="SimSun" w:hAnsi="Book Antiqua" w:cs="SimSun"/>
          <w:sz w:val="24"/>
          <w:szCs w:val="24"/>
          <w:lang w:val="en-US" w:eastAsia="zh-CN"/>
        </w:rPr>
        <w:t> 2015; </w:t>
      </w:r>
      <w:r w:rsidRPr="00AF1DC5">
        <w:rPr>
          <w:rFonts w:ascii="Book Antiqua" w:eastAsia="SimSun" w:hAnsi="Book Antiqua" w:cs="SimSun"/>
          <w:b/>
          <w:bCs/>
          <w:sz w:val="24"/>
          <w:szCs w:val="24"/>
          <w:lang w:val="en-US" w:eastAsia="zh-CN"/>
        </w:rPr>
        <w:t>60</w:t>
      </w:r>
      <w:r w:rsidRPr="00AF1DC5">
        <w:rPr>
          <w:rFonts w:ascii="Book Antiqua" w:eastAsia="SimSun" w:hAnsi="Book Antiqua" w:cs="SimSun"/>
          <w:sz w:val="24"/>
          <w:szCs w:val="24"/>
          <w:lang w:val="en-US" w:eastAsia="zh-CN"/>
        </w:rPr>
        <w:t>: 632-636 [PMID: 25539193 DOI: 10.1097/MPG.0000000000000680]</w:t>
      </w:r>
    </w:p>
    <w:p w14:paraId="0E7699C4" w14:textId="68C4E986" w:rsidR="00C5723B" w:rsidRPr="00AF1DC5" w:rsidRDefault="00C5723B" w:rsidP="00C5723B">
      <w:pPr>
        <w:spacing w:after="0" w:line="360" w:lineRule="auto"/>
        <w:jc w:val="both"/>
        <w:rPr>
          <w:rFonts w:ascii="Book Antiqua" w:eastAsia="SimSun" w:hAnsi="Book Antiqua" w:cs="SimSun"/>
          <w:sz w:val="24"/>
          <w:szCs w:val="24"/>
          <w:lang w:val="en-US" w:eastAsia="zh-CN"/>
        </w:rPr>
      </w:pPr>
      <w:r w:rsidRPr="00AF1DC5">
        <w:rPr>
          <w:rFonts w:ascii="Book Antiqua" w:eastAsia="SimSun" w:hAnsi="Book Antiqua" w:cs="SimSun"/>
          <w:sz w:val="24"/>
          <w:szCs w:val="24"/>
          <w:lang w:val="en-US" w:eastAsia="zh-CN"/>
        </w:rPr>
        <w:t>12</w:t>
      </w:r>
      <w:r w:rsidR="007E0070" w:rsidRPr="00AF1DC5">
        <w:rPr>
          <w:rFonts w:ascii="Book Antiqua" w:eastAsia="SimSun" w:hAnsi="Book Antiqua" w:cs="SimSun"/>
          <w:sz w:val="24"/>
          <w:szCs w:val="24"/>
          <w:lang w:val="en-US" w:eastAsia="zh-CN"/>
        </w:rPr>
        <w:t xml:space="preserve"> </w:t>
      </w:r>
      <w:r w:rsidRPr="00AF1DC5">
        <w:rPr>
          <w:rFonts w:ascii="Book Antiqua" w:eastAsia="SimSun" w:hAnsi="Book Antiqua" w:cs="SimSun"/>
          <w:b/>
          <w:bCs/>
          <w:sz w:val="24"/>
          <w:szCs w:val="24"/>
          <w:lang w:val="en-US" w:eastAsia="zh-CN"/>
        </w:rPr>
        <w:t>Feudtner C</w:t>
      </w:r>
      <w:r w:rsidRPr="00AF1DC5">
        <w:rPr>
          <w:rFonts w:ascii="Book Antiqua" w:eastAsia="SimSun" w:hAnsi="Book Antiqua" w:cs="SimSun"/>
          <w:sz w:val="24"/>
          <w:szCs w:val="24"/>
          <w:lang w:val="en-US" w:eastAsia="zh-CN"/>
        </w:rPr>
        <w:t>, Feinstein JA, Zhong W, Hall M, Dai D. Pediatric complex chronic conditions classification system version 2: updated for ICD-10 and complex medical technology dependence and transplantation. </w:t>
      </w:r>
      <w:r w:rsidRPr="00AF1DC5">
        <w:rPr>
          <w:rFonts w:ascii="Book Antiqua" w:eastAsia="SimSun" w:hAnsi="Book Antiqua" w:cs="SimSun"/>
          <w:i/>
          <w:iCs/>
          <w:sz w:val="24"/>
          <w:szCs w:val="24"/>
          <w:lang w:val="en-US" w:eastAsia="zh-CN"/>
        </w:rPr>
        <w:t>BMC Pediatr</w:t>
      </w:r>
      <w:r w:rsidRPr="00AF1DC5">
        <w:rPr>
          <w:rFonts w:ascii="Book Antiqua" w:eastAsia="SimSun" w:hAnsi="Book Antiqua" w:cs="SimSun"/>
          <w:sz w:val="24"/>
          <w:szCs w:val="24"/>
          <w:lang w:val="en-US" w:eastAsia="zh-CN"/>
        </w:rPr>
        <w:t xml:space="preserve"> 2014; </w:t>
      </w:r>
      <w:r w:rsidRPr="00AF1DC5">
        <w:rPr>
          <w:rFonts w:ascii="Book Antiqua" w:eastAsia="SimSun" w:hAnsi="Book Antiqua" w:cs="SimSun"/>
          <w:b/>
          <w:bCs/>
          <w:sz w:val="24"/>
          <w:szCs w:val="24"/>
          <w:lang w:val="en-US" w:eastAsia="zh-CN"/>
        </w:rPr>
        <w:t>14</w:t>
      </w:r>
      <w:r w:rsidRPr="00AF1DC5">
        <w:rPr>
          <w:rFonts w:ascii="Book Antiqua" w:eastAsia="SimSun" w:hAnsi="Book Antiqua" w:cs="SimSun"/>
          <w:sz w:val="24"/>
          <w:szCs w:val="24"/>
          <w:lang w:val="en-US" w:eastAsia="zh-CN"/>
        </w:rPr>
        <w:t>: 199 [PMID: 25102958 DOI: 10.1186/1471-2431-14-199]</w:t>
      </w:r>
    </w:p>
    <w:p w14:paraId="76F59FE2" w14:textId="77777777" w:rsidR="00C5723B" w:rsidRPr="00AF1DC5" w:rsidRDefault="00C5723B" w:rsidP="00C5723B">
      <w:pPr>
        <w:spacing w:after="0" w:line="360" w:lineRule="auto"/>
        <w:jc w:val="both"/>
        <w:rPr>
          <w:rFonts w:ascii="Book Antiqua" w:eastAsia="SimSun" w:hAnsi="Book Antiqua" w:cs="SimSun"/>
          <w:sz w:val="24"/>
          <w:szCs w:val="24"/>
          <w:lang w:val="en-US" w:eastAsia="zh-CN"/>
        </w:rPr>
      </w:pPr>
      <w:r w:rsidRPr="00AF1DC5">
        <w:rPr>
          <w:rFonts w:ascii="Book Antiqua" w:eastAsia="SimSun" w:hAnsi="Book Antiqua" w:cs="SimSun"/>
          <w:sz w:val="24"/>
          <w:szCs w:val="24"/>
          <w:lang w:val="en-US" w:eastAsia="zh-CN"/>
        </w:rPr>
        <w:t>13 </w:t>
      </w:r>
      <w:r w:rsidRPr="00AF1DC5">
        <w:rPr>
          <w:rFonts w:ascii="Book Antiqua" w:eastAsia="SimSun" w:hAnsi="Book Antiqua" w:cs="SimSun"/>
          <w:b/>
          <w:bCs/>
          <w:sz w:val="24"/>
          <w:szCs w:val="24"/>
          <w:lang w:val="en-US" w:eastAsia="zh-CN"/>
        </w:rPr>
        <w:t>Feudtner C</w:t>
      </w:r>
      <w:r w:rsidRPr="00AF1DC5">
        <w:rPr>
          <w:rFonts w:ascii="Book Antiqua" w:eastAsia="SimSun" w:hAnsi="Book Antiqua" w:cs="SimSun"/>
          <w:sz w:val="24"/>
          <w:szCs w:val="24"/>
          <w:lang w:val="en-US" w:eastAsia="zh-CN"/>
        </w:rPr>
        <w:t>, Villareale NL, Morray B, Sharp V, Hays RM, Neff JM. Technology-dependency among patients discharged from a children's hospital: a retrospective cohort study. </w:t>
      </w:r>
      <w:r w:rsidRPr="00AF1DC5">
        <w:rPr>
          <w:rFonts w:ascii="Book Antiqua" w:eastAsia="SimSun" w:hAnsi="Book Antiqua" w:cs="SimSun"/>
          <w:i/>
          <w:iCs/>
          <w:sz w:val="24"/>
          <w:szCs w:val="24"/>
          <w:lang w:val="en-US" w:eastAsia="zh-CN"/>
        </w:rPr>
        <w:t>BMC Pediatr</w:t>
      </w:r>
      <w:r w:rsidRPr="00AF1DC5">
        <w:rPr>
          <w:rFonts w:ascii="Book Antiqua" w:eastAsia="SimSun" w:hAnsi="Book Antiqua" w:cs="SimSun"/>
          <w:sz w:val="24"/>
          <w:szCs w:val="24"/>
          <w:lang w:val="en-US" w:eastAsia="zh-CN"/>
        </w:rPr>
        <w:t> 2005; </w:t>
      </w:r>
      <w:r w:rsidRPr="00AF1DC5">
        <w:rPr>
          <w:rFonts w:ascii="Book Antiqua" w:eastAsia="SimSun" w:hAnsi="Book Antiqua" w:cs="SimSun"/>
          <w:b/>
          <w:bCs/>
          <w:sz w:val="24"/>
          <w:szCs w:val="24"/>
          <w:lang w:val="en-US" w:eastAsia="zh-CN"/>
        </w:rPr>
        <w:t>5</w:t>
      </w:r>
      <w:r w:rsidRPr="00AF1DC5">
        <w:rPr>
          <w:rFonts w:ascii="Book Antiqua" w:eastAsia="SimSun" w:hAnsi="Book Antiqua" w:cs="SimSun"/>
          <w:sz w:val="24"/>
          <w:szCs w:val="24"/>
          <w:lang w:val="en-US" w:eastAsia="zh-CN"/>
        </w:rPr>
        <w:t>: 8 [PMID: 15882452 DOI: 10.1186/1471-2431-5-8]</w:t>
      </w:r>
    </w:p>
    <w:p w14:paraId="48039D55" w14:textId="77777777" w:rsidR="00C5723B" w:rsidRPr="00AF1DC5" w:rsidRDefault="00C5723B" w:rsidP="00C5723B">
      <w:pPr>
        <w:spacing w:after="0" w:line="360" w:lineRule="auto"/>
        <w:jc w:val="both"/>
        <w:rPr>
          <w:rFonts w:ascii="Book Antiqua" w:eastAsia="SimSun" w:hAnsi="Book Antiqua" w:cs="SimSun"/>
          <w:sz w:val="24"/>
          <w:szCs w:val="24"/>
          <w:lang w:val="en-US" w:eastAsia="zh-CN"/>
        </w:rPr>
      </w:pPr>
      <w:r w:rsidRPr="00AF1DC5">
        <w:rPr>
          <w:rFonts w:ascii="Book Antiqua" w:eastAsia="SimSun" w:hAnsi="Book Antiqua" w:cs="SimSun"/>
          <w:sz w:val="24"/>
          <w:szCs w:val="24"/>
          <w:lang w:val="en-US" w:eastAsia="zh-CN"/>
        </w:rPr>
        <w:t xml:space="preserve">14 </w:t>
      </w:r>
      <w:r w:rsidRPr="00AF1DC5">
        <w:rPr>
          <w:rFonts w:ascii="Book Antiqua" w:eastAsia="SimSun" w:hAnsi="Book Antiqua" w:cs="SimSun"/>
          <w:b/>
          <w:sz w:val="24"/>
          <w:szCs w:val="24"/>
          <w:lang w:val="en-US" w:eastAsia="zh-CN"/>
        </w:rPr>
        <w:t>Scottish Intercollegiate Guidelines Network</w:t>
      </w:r>
      <w:r w:rsidRPr="00AF1DC5">
        <w:rPr>
          <w:rFonts w:ascii="Book Antiqua" w:eastAsia="SimSun" w:hAnsi="Book Antiqua" w:cs="SimSun"/>
          <w:sz w:val="24"/>
          <w:szCs w:val="24"/>
          <w:lang w:val="en-US" w:eastAsia="zh-CN"/>
        </w:rPr>
        <w:t xml:space="preserve">. Management of Acute Upper and Lower Gastrointestinal Bleeding - A National Clinical Guideline. Scottish Intercoll Guidel Netw [Internet]. 2008: 1-56 Available from: URL: </w:t>
      </w:r>
      <w:hyperlink r:id="rId10" w:history="1">
        <w:r w:rsidRPr="00AF1DC5">
          <w:rPr>
            <w:rFonts w:ascii="Book Antiqua" w:eastAsia="SimSun" w:hAnsi="Book Antiqua" w:cs="SimSun"/>
            <w:sz w:val="24"/>
            <w:szCs w:val="24"/>
            <w:u w:val="single"/>
            <w:lang w:val="en-US" w:eastAsia="zh-CN"/>
          </w:rPr>
          <w:t>http://www.sign.ac.uk/guidelines/fulltext/105/index.htm</w:t>
        </w:r>
      </w:hyperlink>
      <w:r w:rsidRPr="00AF1DC5">
        <w:rPr>
          <w:rFonts w:ascii="Book Antiqua" w:eastAsia="SimSun" w:hAnsi="Book Antiqua" w:cs="SimSun"/>
          <w:sz w:val="24"/>
          <w:szCs w:val="24"/>
          <w:lang w:val="en-US" w:eastAsia="zh-CN"/>
        </w:rPr>
        <w:t xml:space="preserve"> </w:t>
      </w:r>
    </w:p>
    <w:p w14:paraId="4DB7A603" w14:textId="77777777" w:rsidR="00C5723B" w:rsidRPr="00AF1DC5" w:rsidRDefault="00C5723B" w:rsidP="00C5723B">
      <w:pPr>
        <w:spacing w:after="0" w:line="360" w:lineRule="auto"/>
        <w:jc w:val="both"/>
        <w:rPr>
          <w:rFonts w:ascii="Book Antiqua" w:eastAsia="SimSun" w:hAnsi="Book Antiqua" w:cs="SimSun"/>
          <w:sz w:val="24"/>
          <w:szCs w:val="24"/>
          <w:lang w:val="en-US" w:eastAsia="zh-CN"/>
        </w:rPr>
      </w:pPr>
      <w:r w:rsidRPr="00AF1DC5">
        <w:rPr>
          <w:rFonts w:ascii="Book Antiqua" w:eastAsia="SimSun" w:hAnsi="Book Antiqua" w:cs="SimSun"/>
          <w:sz w:val="24"/>
          <w:szCs w:val="24"/>
          <w:lang w:val="en-US" w:eastAsia="zh-CN"/>
        </w:rPr>
        <w:t>15 </w:t>
      </w:r>
      <w:r w:rsidRPr="00AF1DC5">
        <w:rPr>
          <w:rFonts w:ascii="Book Antiqua" w:eastAsia="SimSun" w:hAnsi="Book Antiqua" w:cs="SimSun"/>
          <w:b/>
          <w:bCs/>
          <w:sz w:val="24"/>
          <w:szCs w:val="24"/>
          <w:lang w:val="en-US" w:eastAsia="zh-CN"/>
        </w:rPr>
        <w:t>Valkhoff VE</w:t>
      </w:r>
      <w:r w:rsidRPr="00AF1DC5">
        <w:rPr>
          <w:rFonts w:ascii="Book Antiqua" w:eastAsia="SimSun" w:hAnsi="Book Antiqua" w:cs="SimSun"/>
          <w:sz w:val="24"/>
          <w:szCs w:val="24"/>
          <w:lang w:val="en-US" w:eastAsia="zh-CN"/>
        </w:rPr>
        <w:t>, Coloma PM, Masclee GM, Gini R, Innocenti F, Lapi F, Molokhia M, Mosseveld M, Nielsson MS, Schuemie M, Thiessard F, van der Lei J, Sturkenboom MC, Trifirò G. Validation study in four health-care databases: upper gastrointestinal bleeding misclassification affects precision but not magnitude of drug-related upper gastrointestinal bleeding risk. </w:t>
      </w:r>
      <w:r w:rsidRPr="00AF1DC5">
        <w:rPr>
          <w:rFonts w:ascii="Book Antiqua" w:eastAsia="SimSun" w:hAnsi="Book Antiqua" w:cs="SimSun"/>
          <w:i/>
          <w:iCs/>
          <w:sz w:val="24"/>
          <w:szCs w:val="24"/>
          <w:lang w:val="en-US" w:eastAsia="zh-CN"/>
        </w:rPr>
        <w:t>J Clin Epidemiol</w:t>
      </w:r>
      <w:r w:rsidRPr="00AF1DC5">
        <w:rPr>
          <w:rFonts w:ascii="Book Antiqua" w:eastAsia="SimSun" w:hAnsi="Book Antiqua" w:cs="SimSun"/>
          <w:sz w:val="24"/>
          <w:szCs w:val="24"/>
          <w:lang w:val="en-US" w:eastAsia="zh-CN"/>
        </w:rPr>
        <w:t xml:space="preserve"> 2014; </w:t>
      </w:r>
      <w:r w:rsidRPr="00AF1DC5">
        <w:rPr>
          <w:rFonts w:ascii="Book Antiqua" w:eastAsia="SimSun" w:hAnsi="Book Antiqua" w:cs="SimSun"/>
          <w:b/>
          <w:bCs/>
          <w:sz w:val="24"/>
          <w:szCs w:val="24"/>
          <w:lang w:val="en-US" w:eastAsia="zh-CN"/>
        </w:rPr>
        <w:t>67</w:t>
      </w:r>
      <w:r w:rsidRPr="00AF1DC5">
        <w:rPr>
          <w:rFonts w:ascii="Book Antiqua" w:eastAsia="SimSun" w:hAnsi="Book Antiqua" w:cs="SimSun"/>
          <w:sz w:val="24"/>
          <w:szCs w:val="24"/>
          <w:lang w:val="en-US" w:eastAsia="zh-CN"/>
        </w:rPr>
        <w:t>: 921-931 [PMID: 24794575 DOI: 10.1016/j.jclinepi.2014.02.020]</w:t>
      </w:r>
    </w:p>
    <w:p w14:paraId="66AA9CC6" w14:textId="77777777" w:rsidR="00467B5B" w:rsidRPr="00AF1DC5" w:rsidRDefault="00467B5B" w:rsidP="00C5723B">
      <w:pPr>
        <w:spacing w:after="0" w:line="360" w:lineRule="auto"/>
        <w:jc w:val="both"/>
        <w:rPr>
          <w:rFonts w:ascii="Book Antiqua" w:eastAsia="SimSun" w:hAnsi="Book Antiqua" w:cs="SimSun"/>
          <w:sz w:val="24"/>
          <w:szCs w:val="24"/>
          <w:lang w:val="en-US" w:eastAsia="zh-CN"/>
        </w:rPr>
      </w:pPr>
    </w:p>
    <w:p w14:paraId="19689CA8" w14:textId="3385FDEF" w:rsidR="00C5723B" w:rsidRPr="00AF1DC5" w:rsidRDefault="00C5723B" w:rsidP="001846BC">
      <w:pPr>
        <w:wordWrap w:val="0"/>
        <w:snapToGrid w:val="0"/>
        <w:spacing w:after="0" w:line="360" w:lineRule="auto"/>
        <w:jc w:val="right"/>
        <w:rPr>
          <w:rFonts w:ascii="Book Antiqua" w:eastAsia="SimSun" w:hAnsi="Book Antiqua" w:cs="Times New Roman"/>
          <w:sz w:val="24"/>
          <w:szCs w:val="24"/>
          <w:lang w:val="en-US" w:eastAsia="zh-CN"/>
        </w:rPr>
      </w:pPr>
      <w:bookmarkStart w:id="57" w:name="OLE_LINK51"/>
      <w:bookmarkStart w:id="58" w:name="OLE_LINK52"/>
      <w:bookmarkStart w:id="59" w:name="OLE_LINK120"/>
      <w:bookmarkStart w:id="60" w:name="OLE_LINK148"/>
      <w:bookmarkStart w:id="61" w:name="OLE_LINK72"/>
      <w:bookmarkStart w:id="62" w:name="OLE_LINK112"/>
      <w:bookmarkStart w:id="63" w:name="OLE_LINK320"/>
      <w:bookmarkStart w:id="64" w:name="OLE_LINK387"/>
      <w:bookmarkStart w:id="65" w:name="OLE_LINK183"/>
      <w:bookmarkStart w:id="66" w:name="OLE_LINK254"/>
      <w:bookmarkStart w:id="67" w:name="OLE_LINK149"/>
      <w:bookmarkStart w:id="68" w:name="OLE_LINK225"/>
      <w:bookmarkStart w:id="69" w:name="OLE_LINK207"/>
      <w:bookmarkStart w:id="70" w:name="OLE_LINK226"/>
      <w:bookmarkStart w:id="71" w:name="OLE_LINK212"/>
      <w:bookmarkStart w:id="72" w:name="OLE_LINK250"/>
      <w:bookmarkStart w:id="73" w:name="OLE_LINK281"/>
      <w:bookmarkStart w:id="74" w:name="OLE_LINK282"/>
      <w:bookmarkStart w:id="75" w:name="OLE_LINK313"/>
      <w:bookmarkStart w:id="76" w:name="OLE_LINK304"/>
      <w:bookmarkStart w:id="77" w:name="OLE_LINK321"/>
      <w:bookmarkStart w:id="78" w:name="OLE_LINK385"/>
      <w:bookmarkStart w:id="79" w:name="OLE_LINK400"/>
      <w:bookmarkStart w:id="80" w:name="OLE_LINK346"/>
      <w:bookmarkStart w:id="81" w:name="OLE_LINK371"/>
      <w:bookmarkStart w:id="82" w:name="OLE_LINK334"/>
      <w:bookmarkStart w:id="83" w:name="OLE_LINK1830"/>
      <w:bookmarkStart w:id="84" w:name="OLE_LINK457"/>
      <w:bookmarkStart w:id="85" w:name="OLE_LINK288"/>
      <w:bookmarkStart w:id="86" w:name="OLE_LINK384"/>
      <w:bookmarkStart w:id="87" w:name="OLE_LINK379"/>
      <w:bookmarkStart w:id="88" w:name="OLE_LINK303"/>
      <w:bookmarkStart w:id="89" w:name="OLE_LINK450"/>
      <w:bookmarkStart w:id="90" w:name="OLE_LINK489"/>
      <w:bookmarkStart w:id="91" w:name="OLE_LINK535"/>
      <w:bookmarkStart w:id="92" w:name="OLE_LINK648"/>
      <w:bookmarkStart w:id="93" w:name="OLE_LINK686"/>
      <w:bookmarkStart w:id="94" w:name="OLE_LINK471"/>
      <w:bookmarkStart w:id="95" w:name="OLE_LINK462"/>
      <w:bookmarkStart w:id="96" w:name="OLE_LINK519"/>
      <w:bookmarkStart w:id="97" w:name="OLE_LINK575"/>
      <w:bookmarkStart w:id="98" w:name="OLE_LINK491"/>
      <w:bookmarkStart w:id="99" w:name="OLE_LINK532"/>
      <w:bookmarkStart w:id="100" w:name="OLE_LINK572"/>
      <w:bookmarkStart w:id="101" w:name="OLE_LINK574"/>
      <w:bookmarkStart w:id="102" w:name="OLE_LINK480"/>
      <w:bookmarkStart w:id="103" w:name="OLE_LINK567"/>
      <w:bookmarkStart w:id="104" w:name="OLE_LINK2700"/>
      <w:bookmarkStart w:id="105" w:name="OLE_LINK581"/>
      <w:bookmarkStart w:id="106" w:name="OLE_LINK639"/>
      <w:bookmarkStart w:id="107" w:name="OLE_LINK688"/>
      <w:bookmarkStart w:id="108" w:name="OLE_LINK722"/>
      <w:bookmarkStart w:id="109" w:name="OLE_LINK542"/>
      <w:bookmarkStart w:id="110" w:name="OLE_LINK589"/>
      <w:bookmarkStart w:id="111" w:name="OLE_LINK582"/>
      <w:bookmarkStart w:id="112" w:name="OLE_LINK640"/>
      <w:bookmarkStart w:id="113" w:name="OLE_LINK714"/>
      <w:bookmarkStart w:id="114" w:name="OLE_LINK593"/>
      <w:bookmarkStart w:id="115" w:name="OLE_LINK716"/>
      <w:bookmarkStart w:id="116" w:name="OLE_LINK770"/>
      <w:bookmarkStart w:id="117" w:name="OLE_LINK801"/>
      <w:bookmarkStart w:id="118" w:name="OLE_LINK660"/>
      <w:bookmarkStart w:id="119" w:name="OLE_LINK781"/>
      <w:bookmarkStart w:id="120" w:name="OLE_LINK833"/>
      <w:bookmarkStart w:id="121" w:name="OLE_LINK642"/>
      <w:bookmarkStart w:id="122" w:name="OLE_LINK700"/>
      <w:bookmarkStart w:id="123" w:name="OLE_LINK792"/>
      <w:bookmarkStart w:id="124" w:name="OLE_LINK2882"/>
      <w:bookmarkStart w:id="125" w:name="OLE_LINK836"/>
      <w:bookmarkStart w:id="126" w:name="OLE_LINK889"/>
      <w:bookmarkStart w:id="127" w:name="OLE_LINK782"/>
      <w:bookmarkStart w:id="128" w:name="OLE_LINK826"/>
      <w:bookmarkStart w:id="129" w:name="OLE_LINK865"/>
      <w:bookmarkStart w:id="130" w:name="OLE_LINK856"/>
      <w:bookmarkStart w:id="131" w:name="OLE_LINK908"/>
      <w:bookmarkStart w:id="132" w:name="OLE_LINK980"/>
      <w:bookmarkStart w:id="133" w:name="OLE_LINK1018"/>
      <w:bookmarkStart w:id="134" w:name="OLE_LINK1049"/>
      <w:bookmarkStart w:id="135" w:name="OLE_LINK1076"/>
      <w:bookmarkStart w:id="136" w:name="OLE_LINK1106"/>
      <w:bookmarkStart w:id="137" w:name="OLE_LINK891"/>
      <w:bookmarkStart w:id="138" w:name="OLE_LINK943"/>
      <w:bookmarkStart w:id="139" w:name="OLE_LINK981"/>
      <w:bookmarkStart w:id="140" w:name="OLE_LINK1030"/>
      <w:bookmarkStart w:id="141" w:name="OLE_LINK847"/>
      <w:bookmarkStart w:id="142" w:name="OLE_LINK909"/>
      <w:bookmarkStart w:id="143" w:name="OLE_LINK906"/>
      <w:bookmarkStart w:id="144" w:name="OLE_LINK992"/>
      <w:bookmarkStart w:id="145" w:name="OLE_LINK993"/>
      <w:bookmarkStart w:id="146" w:name="OLE_LINK1052"/>
      <w:bookmarkStart w:id="147" w:name="OLE_LINK946"/>
      <w:bookmarkStart w:id="148" w:name="OLE_LINK911"/>
      <w:bookmarkStart w:id="149" w:name="OLE_LINK930"/>
      <w:bookmarkStart w:id="150" w:name="OLE_LINK1059"/>
      <w:bookmarkStart w:id="151" w:name="OLE_LINK1174"/>
      <w:bookmarkStart w:id="152" w:name="OLE_LINK1137"/>
      <w:bookmarkStart w:id="153" w:name="OLE_LINK1167"/>
      <w:bookmarkStart w:id="154" w:name="OLE_LINK1200"/>
      <w:bookmarkStart w:id="155" w:name="OLE_LINK1241"/>
      <w:bookmarkStart w:id="156" w:name="OLE_LINK1288"/>
      <w:bookmarkStart w:id="157" w:name="OLE_LINK1056"/>
      <w:bookmarkStart w:id="158" w:name="OLE_LINK1158"/>
      <w:bookmarkStart w:id="159" w:name="OLE_LINK1175"/>
      <w:bookmarkStart w:id="160" w:name="OLE_LINK1074"/>
      <w:bookmarkStart w:id="161" w:name="OLE_LINK1169"/>
      <w:r w:rsidRPr="00AF1DC5">
        <w:rPr>
          <w:rFonts w:ascii="Book Antiqua" w:eastAsia="SimSun" w:hAnsi="Book Antiqua" w:cs="Times New Roman"/>
          <w:b/>
          <w:bCs/>
          <w:sz w:val="24"/>
          <w:szCs w:val="24"/>
          <w:lang w:val="en-US" w:eastAsia="zh-CN"/>
        </w:rPr>
        <w:t xml:space="preserve">P-Reviewer: </w:t>
      </w:r>
      <w:r w:rsidR="001846BC" w:rsidRPr="001846BC">
        <w:rPr>
          <w:rFonts w:ascii="Book Antiqua" w:eastAsia="SimSun" w:hAnsi="Book Antiqua" w:cs="Times New Roman"/>
          <w:bCs/>
          <w:sz w:val="24"/>
          <w:szCs w:val="24"/>
          <w:lang w:val="en-US" w:eastAsia="zh-CN"/>
        </w:rPr>
        <w:t xml:space="preserve">Garcia-Olmo </w:t>
      </w:r>
      <w:r w:rsidR="001846BC" w:rsidRPr="001846BC">
        <w:rPr>
          <w:rFonts w:ascii="Book Antiqua" w:eastAsia="SimSun" w:hAnsi="Book Antiqua" w:cs="Times New Roman" w:hint="eastAsia"/>
          <w:bCs/>
          <w:sz w:val="24"/>
          <w:szCs w:val="24"/>
          <w:lang w:val="en-US" w:eastAsia="zh-CN"/>
        </w:rPr>
        <w:t xml:space="preserve">D, </w:t>
      </w:r>
      <w:r w:rsidRPr="00AF1DC5">
        <w:rPr>
          <w:rFonts w:ascii="Book Antiqua" w:eastAsia="SimSun" w:hAnsi="Book Antiqua" w:cs="Times New Roman"/>
          <w:bCs/>
          <w:sz w:val="24"/>
          <w:szCs w:val="24"/>
          <w:lang w:val="en-US" w:eastAsia="zh-CN"/>
        </w:rPr>
        <w:t>Kozarek RA, Souza JL</w:t>
      </w:r>
      <w:r w:rsidRPr="00AF1DC5">
        <w:rPr>
          <w:rFonts w:ascii="Book Antiqua" w:eastAsia="SimSun" w:hAnsi="Book Antiqua" w:cs="Times New Roman"/>
          <w:b/>
          <w:bCs/>
          <w:sz w:val="24"/>
          <w:szCs w:val="24"/>
          <w:lang w:val="en-US" w:eastAsia="zh-CN"/>
        </w:rPr>
        <w:t xml:space="preserve"> S-Editor:</w:t>
      </w:r>
      <w:r w:rsidRPr="00AF1DC5">
        <w:rPr>
          <w:rFonts w:ascii="Book Antiqua" w:eastAsia="SimSun" w:hAnsi="Book Antiqua" w:cs="Times New Roman"/>
          <w:sz w:val="24"/>
          <w:szCs w:val="24"/>
          <w:lang w:val="en-US" w:eastAsia="zh-CN"/>
        </w:rPr>
        <w:t xml:space="preserve"> Gong ZM</w:t>
      </w:r>
    </w:p>
    <w:p w14:paraId="5D4E8B28" w14:textId="77777777" w:rsidR="00C5723B" w:rsidRPr="00AF1DC5" w:rsidRDefault="00C5723B" w:rsidP="00C5723B">
      <w:pPr>
        <w:snapToGrid w:val="0"/>
        <w:spacing w:after="0" w:line="360" w:lineRule="auto"/>
        <w:jc w:val="right"/>
        <w:rPr>
          <w:rFonts w:ascii="Book Antiqua" w:eastAsia="SimSun" w:hAnsi="Book Antiqua" w:cs="Times New Roman"/>
          <w:b/>
          <w:bCs/>
          <w:sz w:val="24"/>
          <w:szCs w:val="24"/>
          <w:lang w:val="en-US" w:eastAsia="zh-CN"/>
        </w:rPr>
      </w:pPr>
      <w:r w:rsidRPr="00AF1DC5">
        <w:rPr>
          <w:rFonts w:ascii="Book Antiqua" w:eastAsia="SimSun" w:hAnsi="Book Antiqua" w:cs="Times New Roman"/>
          <w:b/>
          <w:bCs/>
          <w:sz w:val="24"/>
          <w:szCs w:val="24"/>
          <w:lang w:val="en-US" w:eastAsia="zh-CN"/>
        </w:rPr>
        <w:t>L-Editor:</w:t>
      </w:r>
      <w:r w:rsidRPr="00AF1DC5">
        <w:rPr>
          <w:rFonts w:ascii="Book Antiqua" w:eastAsia="SimSun" w:hAnsi="Book Antiqua" w:cs="Times New Roman"/>
          <w:sz w:val="24"/>
          <w:szCs w:val="24"/>
          <w:lang w:val="en-US" w:eastAsia="zh-CN"/>
        </w:rPr>
        <w:t xml:space="preserve"> </w:t>
      </w:r>
      <w:r w:rsidRPr="00AF1DC5">
        <w:rPr>
          <w:rFonts w:ascii="Book Antiqua" w:eastAsia="SimSun" w:hAnsi="Book Antiqua" w:cs="Times New Roman"/>
          <w:b/>
          <w:bCs/>
          <w:sz w:val="24"/>
          <w:szCs w:val="24"/>
          <w:lang w:val="en-US" w:eastAsia="zh-CN"/>
        </w:rPr>
        <w:t>E-Editor:</w:t>
      </w:r>
    </w:p>
    <w:p w14:paraId="293D6B3A" w14:textId="77777777" w:rsidR="00C5723B" w:rsidRPr="00AF1DC5" w:rsidRDefault="00C5723B" w:rsidP="00C5723B">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62" w:name="OLE_LINK880"/>
      <w:bookmarkStart w:id="163" w:name="OLE_LINK881"/>
      <w:bookmarkStart w:id="164" w:name="OLE_LINK497"/>
      <w:bookmarkStart w:id="165" w:name="OLE_LINK81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AF1DC5">
        <w:rPr>
          <w:rFonts w:ascii="Book Antiqua" w:eastAsia="SimSun" w:hAnsi="Book Antiqua" w:cs="Helvetica"/>
          <w:b/>
          <w:sz w:val="24"/>
          <w:szCs w:val="24"/>
          <w:lang w:val="en-US" w:eastAsia="zh-CN"/>
        </w:rPr>
        <w:t xml:space="preserve">Specialty type: </w:t>
      </w:r>
      <w:r w:rsidRPr="00AF1DC5">
        <w:rPr>
          <w:rFonts w:ascii="Book Antiqua" w:eastAsia="SimSun" w:hAnsi="Book Antiqua" w:cs="Helvetica"/>
          <w:sz w:val="24"/>
          <w:szCs w:val="24"/>
          <w:lang w:val="en-US" w:eastAsia="zh-CN"/>
        </w:rPr>
        <w:t>Gastroenterology and hepatology</w:t>
      </w:r>
    </w:p>
    <w:p w14:paraId="344766EA" w14:textId="77777777" w:rsidR="00C5723B" w:rsidRPr="00AF1DC5" w:rsidRDefault="00C5723B" w:rsidP="00C5723B">
      <w:pPr>
        <w:shd w:val="clear" w:color="auto" w:fill="FFFFFF"/>
        <w:snapToGrid w:val="0"/>
        <w:spacing w:after="0" w:line="360" w:lineRule="auto"/>
        <w:jc w:val="both"/>
        <w:rPr>
          <w:rFonts w:ascii="Book Antiqua" w:eastAsia="SimSun" w:hAnsi="Book Antiqua" w:cs="Helvetica"/>
          <w:b/>
          <w:sz w:val="24"/>
          <w:szCs w:val="24"/>
          <w:lang w:val="en-US" w:eastAsia="zh-CN"/>
        </w:rPr>
      </w:pPr>
      <w:r w:rsidRPr="00AF1DC5">
        <w:rPr>
          <w:rFonts w:ascii="Book Antiqua" w:eastAsia="SimSun" w:hAnsi="Book Antiqua" w:cs="Helvetica"/>
          <w:b/>
          <w:sz w:val="24"/>
          <w:szCs w:val="24"/>
          <w:lang w:val="en-US" w:eastAsia="zh-CN"/>
        </w:rPr>
        <w:t xml:space="preserve">Country of origin: </w:t>
      </w:r>
      <w:r w:rsidRPr="00AF1DC5">
        <w:rPr>
          <w:rFonts w:ascii="Book Antiqua" w:eastAsia="SimSun" w:hAnsi="Book Antiqua" w:cs="Helvetica"/>
          <w:sz w:val="24"/>
          <w:szCs w:val="24"/>
          <w:lang w:val="en-CA" w:eastAsia="zh-CN"/>
        </w:rPr>
        <w:t>United States</w:t>
      </w:r>
    </w:p>
    <w:p w14:paraId="3243E67E" w14:textId="77777777" w:rsidR="00C5723B" w:rsidRPr="00AF1DC5" w:rsidRDefault="00C5723B" w:rsidP="00C5723B">
      <w:pPr>
        <w:shd w:val="clear" w:color="auto" w:fill="FFFFFF"/>
        <w:snapToGrid w:val="0"/>
        <w:spacing w:after="0" w:line="360" w:lineRule="auto"/>
        <w:jc w:val="both"/>
        <w:rPr>
          <w:rFonts w:ascii="Book Antiqua" w:eastAsia="SimSun" w:hAnsi="Book Antiqua" w:cs="Helvetica"/>
          <w:b/>
          <w:sz w:val="24"/>
          <w:szCs w:val="24"/>
          <w:lang w:val="en-US" w:eastAsia="zh-CN"/>
        </w:rPr>
      </w:pPr>
      <w:r w:rsidRPr="00AF1DC5">
        <w:rPr>
          <w:rFonts w:ascii="Book Antiqua" w:eastAsia="SimSun" w:hAnsi="Book Antiqua" w:cs="Helvetica"/>
          <w:b/>
          <w:sz w:val="24"/>
          <w:szCs w:val="24"/>
          <w:lang w:val="en-US" w:eastAsia="zh-CN"/>
        </w:rPr>
        <w:lastRenderedPageBreak/>
        <w:t>Peer-review report classification</w:t>
      </w:r>
    </w:p>
    <w:p w14:paraId="71EE2E30" w14:textId="77777777" w:rsidR="00C5723B" w:rsidRPr="00AF1DC5" w:rsidRDefault="00C5723B" w:rsidP="00C5723B">
      <w:pPr>
        <w:shd w:val="clear" w:color="auto" w:fill="FFFFFF"/>
        <w:snapToGrid w:val="0"/>
        <w:spacing w:after="0" w:line="360" w:lineRule="auto"/>
        <w:jc w:val="both"/>
        <w:rPr>
          <w:rFonts w:ascii="Book Antiqua" w:eastAsia="SimSun" w:hAnsi="Book Antiqua" w:cs="Helvetica"/>
          <w:sz w:val="24"/>
          <w:szCs w:val="24"/>
          <w:lang w:val="en-US" w:eastAsia="zh-CN"/>
        </w:rPr>
      </w:pPr>
      <w:r w:rsidRPr="00AF1DC5">
        <w:rPr>
          <w:rFonts w:ascii="Book Antiqua" w:eastAsia="SimSun" w:hAnsi="Book Antiqua" w:cs="Helvetica"/>
          <w:sz w:val="24"/>
          <w:szCs w:val="24"/>
          <w:lang w:val="en-US" w:eastAsia="zh-CN"/>
        </w:rPr>
        <w:t>Grade A (Excellent): A</w:t>
      </w:r>
    </w:p>
    <w:p w14:paraId="596ECD0A" w14:textId="2CF9AFF8" w:rsidR="00C5723B" w:rsidRPr="00AF1DC5" w:rsidRDefault="00C5723B" w:rsidP="00C5723B">
      <w:pPr>
        <w:shd w:val="clear" w:color="auto" w:fill="FFFFFF"/>
        <w:snapToGrid w:val="0"/>
        <w:spacing w:after="0" w:line="360" w:lineRule="auto"/>
        <w:jc w:val="both"/>
        <w:rPr>
          <w:rFonts w:ascii="Book Antiqua" w:eastAsia="SimSun" w:hAnsi="Book Antiqua" w:cs="Helvetica"/>
          <w:sz w:val="24"/>
          <w:szCs w:val="24"/>
          <w:lang w:val="en-US" w:eastAsia="zh-CN"/>
        </w:rPr>
      </w:pPr>
      <w:r w:rsidRPr="00AF1DC5">
        <w:rPr>
          <w:rFonts w:ascii="Book Antiqua" w:eastAsia="SimSun" w:hAnsi="Book Antiqua" w:cs="Helvetica"/>
          <w:sz w:val="24"/>
          <w:szCs w:val="24"/>
          <w:lang w:val="en-US" w:eastAsia="zh-CN"/>
        </w:rPr>
        <w:t>Grade B (Very good): B</w:t>
      </w:r>
      <w:r w:rsidR="00D778F5">
        <w:rPr>
          <w:rFonts w:ascii="Book Antiqua" w:eastAsia="SimSun" w:hAnsi="Book Antiqua" w:cs="Helvetica" w:hint="eastAsia"/>
          <w:sz w:val="24"/>
          <w:szCs w:val="24"/>
          <w:lang w:val="en-US" w:eastAsia="zh-CN"/>
        </w:rPr>
        <w:t>, B</w:t>
      </w:r>
    </w:p>
    <w:p w14:paraId="0ABCDE2A" w14:textId="77777777" w:rsidR="00C5723B" w:rsidRPr="00AF1DC5" w:rsidRDefault="00C5723B" w:rsidP="00C5723B">
      <w:pPr>
        <w:shd w:val="clear" w:color="auto" w:fill="FFFFFF"/>
        <w:snapToGrid w:val="0"/>
        <w:spacing w:after="0" w:line="360" w:lineRule="auto"/>
        <w:jc w:val="both"/>
        <w:rPr>
          <w:rFonts w:ascii="Book Antiqua" w:eastAsia="SimSun" w:hAnsi="Book Antiqua" w:cs="Helvetica"/>
          <w:sz w:val="24"/>
          <w:szCs w:val="24"/>
          <w:lang w:val="en-US" w:eastAsia="zh-CN"/>
        </w:rPr>
      </w:pPr>
      <w:r w:rsidRPr="00AF1DC5">
        <w:rPr>
          <w:rFonts w:ascii="Book Antiqua" w:eastAsia="SimSun" w:hAnsi="Book Antiqua" w:cs="Helvetica"/>
          <w:sz w:val="24"/>
          <w:szCs w:val="24"/>
          <w:lang w:val="en-US" w:eastAsia="zh-CN"/>
        </w:rPr>
        <w:t>Grade C (Good): 0</w:t>
      </w:r>
    </w:p>
    <w:p w14:paraId="0AA3A975" w14:textId="77777777" w:rsidR="00C5723B" w:rsidRPr="00AF1DC5" w:rsidRDefault="00C5723B" w:rsidP="00C5723B">
      <w:pPr>
        <w:shd w:val="clear" w:color="auto" w:fill="FFFFFF"/>
        <w:snapToGrid w:val="0"/>
        <w:spacing w:after="0" w:line="360" w:lineRule="auto"/>
        <w:jc w:val="both"/>
        <w:rPr>
          <w:rFonts w:ascii="Book Antiqua" w:eastAsia="SimSun" w:hAnsi="Book Antiqua" w:cs="Helvetica"/>
          <w:sz w:val="24"/>
          <w:szCs w:val="24"/>
          <w:lang w:val="en-US" w:eastAsia="zh-CN"/>
        </w:rPr>
      </w:pPr>
      <w:r w:rsidRPr="00AF1DC5">
        <w:rPr>
          <w:rFonts w:ascii="Book Antiqua" w:eastAsia="SimSun" w:hAnsi="Book Antiqua" w:cs="Helvetica"/>
          <w:sz w:val="24"/>
          <w:szCs w:val="24"/>
          <w:lang w:val="en-US" w:eastAsia="zh-CN"/>
        </w:rPr>
        <w:t>Grade D (Fair): 0</w:t>
      </w:r>
    </w:p>
    <w:p w14:paraId="28A7DC2E" w14:textId="4ACE100C" w:rsidR="00A3370C" w:rsidRPr="00AF1DC5" w:rsidRDefault="00C5723B" w:rsidP="00C5723B">
      <w:pPr>
        <w:shd w:val="clear" w:color="auto" w:fill="FFFFFF"/>
        <w:snapToGrid w:val="0"/>
        <w:spacing w:after="0" w:line="360" w:lineRule="auto"/>
        <w:jc w:val="both"/>
        <w:rPr>
          <w:rFonts w:ascii="Book Antiqua" w:eastAsia="SimSun" w:hAnsi="Book Antiqua" w:cs="Helvetica"/>
          <w:sz w:val="24"/>
          <w:szCs w:val="24"/>
          <w:lang w:val="en-US" w:eastAsia="zh-CN"/>
        </w:rPr>
      </w:pPr>
      <w:r w:rsidRPr="00AF1DC5">
        <w:rPr>
          <w:rFonts w:ascii="Book Antiqua" w:eastAsia="SimSun" w:hAnsi="Book Antiqua" w:cs="Helvetica"/>
          <w:sz w:val="24"/>
          <w:szCs w:val="24"/>
          <w:lang w:val="en-US" w:eastAsia="zh-CN"/>
        </w:rPr>
        <w:t>Grade E (Poor): 0</w:t>
      </w:r>
      <w:bookmarkEnd w:id="162"/>
      <w:bookmarkEnd w:id="163"/>
      <w:bookmarkEnd w:id="164"/>
      <w:bookmarkEnd w:id="165"/>
    </w:p>
    <w:p w14:paraId="6A9D5C8F" w14:textId="77777777" w:rsidR="005C7911" w:rsidRPr="00AF1DC5" w:rsidRDefault="005C7911" w:rsidP="00E50668">
      <w:pPr>
        <w:snapToGrid w:val="0"/>
        <w:spacing w:after="0" w:line="360" w:lineRule="auto"/>
        <w:jc w:val="both"/>
        <w:rPr>
          <w:rFonts w:ascii="Book Antiqua" w:hAnsi="Book Antiqua" w:cs="Courier New"/>
          <w:sz w:val="24"/>
          <w:szCs w:val="24"/>
        </w:rPr>
      </w:pPr>
      <w:r w:rsidRPr="00AF1DC5">
        <w:rPr>
          <w:rFonts w:ascii="Book Antiqua" w:hAnsi="Book Antiqua" w:cs="Courier New"/>
          <w:sz w:val="24"/>
          <w:szCs w:val="24"/>
        </w:rPr>
        <w:br w:type="page"/>
      </w:r>
    </w:p>
    <w:p w14:paraId="17A52FFE" w14:textId="6D30832E" w:rsidR="004A3D87" w:rsidRPr="00AF1DC5" w:rsidRDefault="003C2FB1" w:rsidP="00E50668">
      <w:pPr>
        <w:snapToGrid w:val="0"/>
        <w:spacing w:after="0" w:line="360" w:lineRule="auto"/>
        <w:jc w:val="both"/>
        <w:rPr>
          <w:rFonts w:ascii="Book Antiqua" w:hAnsi="Book Antiqua" w:cs="Courier New"/>
          <w:sz w:val="24"/>
          <w:szCs w:val="24"/>
          <w:lang w:eastAsia="zh-CN"/>
        </w:rPr>
      </w:pPr>
      <w:r w:rsidRPr="00AF1DC5">
        <w:rPr>
          <w:rFonts w:ascii="Book Antiqua" w:hAnsi="Book Antiqua" w:cs="Courier New"/>
          <w:b/>
          <w:bCs/>
          <w:sz w:val="24"/>
          <w:szCs w:val="24"/>
        </w:rPr>
        <w:lastRenderedPageBreak/>
        <w:t>Table 1</w:t>
      </w:r>
      <w:r w:rsidRPr="00AF1DC5">
        <w:rPr>
          <w:rFonts w:ascii="Book Antiqua" w:hAnsi="Book Antiqua" w:cs="Courier New"/>
          <w:b/>
          <w:bCs/>
          <w:sz w:val="24"/>
          <w:szCs w:val="24"/>
          <w:lang w:eastAsia="zh-CN"/>
        </w:rPr>
        <w:t xml:space="preserve"> </w:t>
      </w:r>
      <w:r w:rsidRPr="00AF1DC5">
        <w:rPr>
          <w:rFonts w:ascii="Book Antiqua" w:hAnsi="Book Antiqua" w:cs="Courier New"/>
          <w:b/>
          <w:bCs/>
          <w:sz w:val="24"/>
          <w:szCs w:val="24"/>
        </w:rPr>
        <w:t>Patient characteristics by principal and secondary diagnosis of gastrointestinal bleeding</w:t>
      </w:r>
      <w:r w:rsidRPr="00AF1DC5">
        <w:rPr>
          <w:rFonts w:ascii="Book Antiqua" w:hAnsi="Book Antiqua" w:cs="Courier New"/>
          <w:b/>
          <w:bCs/>
          <w:sz w:val="24"/>
          <w:szCs w:val="24"/>
          <w:lang w:eastAsia="zh-CN"/>
        </w:rPr>
        <w:t xml:space="preserve"> </w:t>
      </w:r>
      <w:r w:rsidRPr="00AF1DC5">
        <w:rPr>
          <w:rFonts w:ascii="Book Antiqua" w:hAnsi="Book Antiqua" w:cs="Courier New"/>
          <w:b/>
          <w:bCs/>
          <w:i/>
          <w:sz w:val="24"/>
          <w:szCs w:val="24"/>
        </w:rPr>
        <w:t>n</w:t>
      </w:r>
      <w:r w:rsidRPr="00AF1DC5">
        <w:rPr>
          <w:rFonts w:ascii="Book Antiqua" w:hAnsi="Book Antiqua" w:cs="Courier New"/>
          <w:b/>
          <w:bCs/>
          <w:i/>
          <w:sz w:val="24"/>
          <w:szCs w:val="24"/>
          <w:lang w:eastAsia="zh-CN"/>
        </w:rPr>
        <w:t xml:space="preserve"> </w:t>
      </w:r>
      <w:r w:rsidRPr="00AF1DC5">
        <w:rPr>
          <w:rFonts w:ascii="Book Antiqua" w:hAnsi="Book Antiqua" w:cs="Courier New"/>
          <w:b/>
          <w:bCs/>
          <w:sz w:val="24"/>
          <w:szCs w:val="24"/>
          <w:lang w:eastAsia="zh-CN"/>
        </w:rPr>
        <w:t>(</w:t>
      </w:r>
      <w:r w:rsidRPr="00AF1DC5">
        <w:rPr>
          <w:rFonts w:ascii="Book Antiqua" w:hAnsi="Book Antiqua" w:cs="Courier New"/>
          <w:sz w:val="24"/>
          <w:szCs w:val="24"/>
        </w:rPr>
        <w:t>%</w:t>
      </w:r>
      <w:r w:rsidRPr="00AF1DC5">
        <w:rPr>
          <w:rFonts w:ascii="Book Antiqua" w:hAnsi="Book Antiqua" w:cs="Courier New"/>
          <w:b/>
          <w:bCs/>
          <w:sz w:val="24"/>
          <w:szCs w:val="24"/>
          <w:lang w:eastAsia="zh-CN"/>
        </w:rPr>
        <w:t>)</w:t>
      </w:r>
    </w:p>
    <w:tbl>
      <w:tblPr>
        <w:tblW w:w="10076"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3301"/>
        <w:gridCol w:w="1621"/>
        <w:gridCol w:w="2165"/>
        <w:gridCol w:w="1533"/>
        <w:gridCol w:w="1456"/>
      </w:tblGrid>
      <w:tr w:rsidR="00AF1DC5" w:rsidRPr="00AF1DC5" w14:paraId="6C0409D4" w14:textId="77777777" w:rsidTr="003C2FB1">
        <w:trPr>
          <w:trHeight w:hRule="exact" w:val="521"/>
        </w:trPr>
        <w:tc>
          <w:tcPr>
            <w:tcW w:w="3001" w:type="dxa"/>
            <w:vMerge w:val="restart"/>
            <w:tcBorders>
              <w:top w:val="single" w:sz="8" w:space="0" w:color="000000"/>
              <w:bottom w:val="single" w:sz="8" w:space="0" w:color="000000"/>
            </w:tcBorders>
            <w:shd w:val="clear" w:color="auto" w:fill="auto"/>
            <w:tcMar>
              <w:top w:w="11" w:type="dxa"/>
              <w:left w:w="11" w:type="dxa"/>
              <w:bottom w:w="0" w:type="dxa"/>
              <w:right w:w="11" w:type="dxa"/>
            </w:tcMar>
            <w:vAlign w:val="bottom"/>
            <w:hideMark/>
          </w:tcPr>
          <w:p w14:paraId="0E61C550" w14:textId="6C2B5CFD" w:rsidR="003C2FB1" w:rsidRPr="00AF1DC5" w:rsidRDefault="003C2FB1" w:rsidP="003C2FB1">
            <w:pPr>
              <w:snapToGrid w:val="0"/>
              <w:spacing w:after="0" w:line="360" w:lineRule="auto"/>
              <w:jc w:val="center"/>
              <w:rPr>
                <w:rFonts w:ascii="Book Antiqua" w:hAnsi="Book Antiqua" w:cs="Courier New"/>
                <w:sz w:val="24"/>
                <w:szCs w:val="24"/>
              </w:rPr>
            </w:pPr>
          </w:p>
        </w:tc>
        <w:tc>
          <w:tcPr>
            <w:tcW w:w="3956" w:type="dxa"/>
            <w:gridSpan w:val="2"/>
            <w:tcBorders>
              <w:top w:val="single" w:sz="8" w:space="0" w:color="000000"/>
              <w:bottom w:val="single" w:sz="8" w:space="0" w:color="000000"/>
            </w:tcBorders>
            <w:shd w:val="clear" w:color="auto" w:fill="auto"/>
            <w:tcMar>
              <w:top w:w="11" w:type="dxa"/>
              <w:left w:w="11" w:type="dxa"/>
              <w:bottom w:w="0" w:type="dxa"/>
              <w:right w:w="11" w:type="dxa"/>
            </w:tcMar>
            <w:vAlign w:val="bottom"/>
            <w:hideMark/>
          </w:tcPr>
          <w:p w14:paraId="57DB4E6D" w14:textId="4430C616"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b/>
                <w:bCs/>
                <w:sz w:val="24"/>
                <w:szCs w:val="24"/>
              </w:rPr>
              <w:t>GI bleed is</w:t>
            </w:r>
            <w:r w:rsidRPr="00AF1DC5">
              <w:rPr>
                <w:rFonts w:ascii="Book Antiqua" w:hAnsi="Book Antiqua" w:cs="Courier New"/>
                <w:b/>
                <w:bCs/>
                <w:sz w:val="24"/>
                <w:szCs w:val="24"/>
              </w:rPr>
              <w:br/>
              <w:t>(N=6733)</w:t>
            </w:r>
          </w:p>
          <w:p w14:paraId="135C8690"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b/>
                <w:bCs/>
                <w:sz w:val="24"/>
                <w:szCs w:val="24"/>
              </w:rPr>
              <w:t>is GI Bleed is</w:t>
            </w:r>
            <w:r w:rsidRPr="00AF1DC5">
              <w:rPr>
                <w:rFonts w:ascii="Book Antiqua" w:hAnsi="Book Antiqua" w:cs="Courier New"/>
                <w:b/>
                <w:bCs/>
                <w:sz w:val="24"/>
                <w:szCs w:val="24"/>
              </w:rPr>
              <w:br/>
              <w:t xml:space="preserve"> (N=12795)</w:t>
            </w:r>
          </w:p>
        </w:tc>
        <w:tc>
          <w:tcPr>
            <w:tcW w:w="1597" w:type="dxa"/>
            <w:vMerge w:val="restart"/>
            <w:tcBorders>
              <w:top w:val="single" w:sz="8" w:space="0" w:color="000000"/>
              <w:bottom w:val="single" w:sz="8" w:space="0" w:color="000000"/>
            </w:tcBorders>
            <w:shd w:val="clear" w:color="auto" w:fill="auto"/>
            <w:tcMar>
              <w:top w:w="11" w:type="dxa"/>
              <w:left w:w="11" w:type="dxa"/>
              <w:bottom w:w="0" w:type="dxa"/>
              <w:right w:w="11" w:type="dxa"/>
            </w:tcMar>
            <w:vAlign w:val="bottom"/>
            <w:hideMark/>
          </w:tcPr>
          <w:p w14:paraId="5FA3096B" w14:textId="6A851B78"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b/>
                <w:bCs/>
                <w:sz w:val="24"/>
                <w:szCs w:val="24"/>
              </w:rPr>
              <w:t>Overall</w:t>
            </w:r>
            <w:r w:rsidRPr="00AF1DC5">
              <w:rPr>
                <w:rFonts w:ascii="Book Antiqua" w:hAnsi="Book Antiqua" w:cs="Courier New"/>
                <w:b/>
                <w:bCs/>
                <w:sz w:val="24"/>
                <w:szCs w:val="24"/>
                <w:lang w:eastAsia="zh-CN"/>
              </w:rPr>
              <w:t xml:space="preserve"> </w:t>
            </w:r>
            <w:r w:rsidRPr="00AF1DC5">
              <w:rPr>
                <w:rFonts w:ascii="Book Antiqua" w:hAnsi="Book Antiqua" w:cs="Courier New"/>
                <w:b/>
                <w:bCs/>
                <w:sz w:val="24"/>
                <w:szCs w:val="24"/>
              </w:rPr>
              <w:t>(</w:t>
            </w:r>
            <w:r w:rsidRPr="00AF1DC5">
              <w:rPr>
                <w:rFonts w:ascii="Book Antiqua" w:hAnsi="Book Antiqua" w:cs="Courier New"/>
                <w:b/>
                <w:bCs/>
                <w:i/>
                <w:sz w:val="24"/>
                <w:szCs w:val="24"/>
              </w:rPr>
              <w:t>n</w:t>
            </w:r>
            <w:r w:rsidRPr="00AF1DC5">
              <w:rPr>
                <w:rFonts w:ascii="Book Antiqua" w:hAnsi="Book Antiqua" w:cs="Courier New"/>
                <w:b/>
                <w:bCs/>
                <w:i/>
                <w:sz w:val="24"/>
                <w:szCs w:val="24"/>
                <w:lang w:eastAsia="zh-CN"/>
              </w:rPr>
              <w:t xml:space="preserve"> </w:t>
            </w:r>
            <w:r w:rsidRPr="00AF1DC5">
              <w:rPr>
                <w:rFonts w:ascii="Book Antiqua" w:hAnsi="Book Antiqua" w:cs="Courier New"/>
                <w:b/>
                <w:bCs/>
                <w:sz w:val="24"/>
                <w:szCs w:val="24"/>
              </w:rPr>
              <w:t>=</w:t>
            </w:r>
            <w:r w:rsidRPr="00AF1DC5">
              <w:rPr>
                <w:rFonts w:ascii="Book Antiqua" w:hAnsi="Book Antiqua" w:cs="Courier New"/>
                <w:b/>
                <w:bCs/>
                <w:sz w:val="24"/>
                <w:szCs w:val="24"/>
                <w:lang w:eastAsia="zh-CN"/>
              </w:rPr>
              <w:t xml:space="preserve"> </w:t>
            </w:r>
            <w:r w:rsidRPr="00AF1DC5">
              <w:rPr>
                <w:rFonts w:ascii="Book Antiqua" w:hAnsi="Book Antiqua" w:cs="Courier New"/>
                <w:b/>
                <w:bCs/>
                <w:sz w:val="24"/>
                <w:szCs w:val="24"/>
              </w:rPr>
              <w:t>19528)</w:t>
            </w:r>
          </w:p>
        </w:tc>
        <w:tc>
          <w:tcPr>
            <w:tcW w:w="1522" w:type="dxa"/>
            <w:vMerge w:val="restart"/>
            <w:tcBorders>
              <w:top w:val="single" w:sz="8" w:space="0" w:color="000000"/>
              <w:bottom w:val="single" w:sz="8" w:space="0" w:color="000000"/>
            </w:tcBorders>
            <w:shd w:val="clear" w:color="auto" w:fill="auto"/>
            <w:tcMar>
              <w:top w:w="11" w:type="dxa"/>
              <w:left w:w="11" w:type="dxa"/>
              <w:bottom w:w="0" w:type="dxa"/>
              <w:right w:w="11" w:type="dxa"/>
            </w:tcMar>
            <w:vAlign w:val="bottom"/>
            <w:hideMark/>
          </w:tcPr>
          <w:p w14:paraId="0CAD362D" w14:textId="75FC465F"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b/>
                <w:bCs/>
                <w:i/>
                <w:sz w:val="24"/>
                <w:szCs w:val="24"/>
              </w:rPr>
              <w:t>P</w:t>
            </w:r>
            <w:r w:rsidRPr="00AF1DC5">
              <w:rPr>
                <w:rFonts w:ascii="Book Antiqua" w:hAnsi="Book Antiqua" w:cs="Courier New"/>
                <w:b/>
                <w:bCs/>
                <w:sz w:val="24"/>
                <w:szCs w:val="24"/>
                <w:lang w:eastAsia="zh-CN"/>
              </w:rPr>
              <w:t xml:space="preserve"> </w:t>
            </w:r>
            <w:r w:rsidRPr="00AF1DC5">
              <w:rPr>
                <w:rFonts w:ascii="Book Antiqua" w:hAnsi="Book Antiqua" w:cs="Courier New"/>
                <w:b/>
                <w:bCs/>
                <w:sz w:val="24"/>
                <w:szCs w:val="24"/>
              </w:rPr>
              <w:t>value</w:t>
            </w:r>
          </w:p>
        </w:tc>
      </w:tr>
      <w:tr w:rsidR="00AF1DC5" w:rsidRPr="00AF1DC5" w14:paraId="7BC4F66F" w14:textId="77777777" w:rsidTr="003C2FB1">
        <w:trPr>
          <w:trHeight w:hRule="exact" w:val="615"/>
        </w:trPr>
        <w:tc>
          <w:tcPr>
            <w:tcW w:w="3001" w:type="dxa"/>
            <w:vMerge/>
            <w:tcBorders>
              <w:top w:val="single" w:sz="8" w:space="0" w:color="000000"/>
              <w:bottom w:val="single" w:sz="8" w:space="0" w:color="000000"/>
            </w:tcBorders>
            <w:shd w:val="clear" w:color="auto" w:fill="auto"/>
            <w:tcMar>
              <w:top w:w="11" w:type="dxa"/>
              <w:left w:w="11" w:type="dxa"/>
              <w:bottom w:w="0" w:type="dxa"/>
              <w:right w:w="11" w:type="dxa"/>
            </w:tcMar>
            <w:vAlign w:val="bottom"/>
            <w:hideMark/>
          </w:tcPr>
          <w:p w14:paraId="71F9EDAB" w14:textId="77777777" w:rsidR="003C2FB1" w:rsidRPr="00AF1DC5" w:rsidRDefault="003C2FB1" w:rsidP="003C2FB1">
            <w:pPr>
              <w:snapToGrid w:val="0"/>
              <w:spacing w:after="0" w:line="360" w:lineRule="auto"/>
              <w:jc w:val="center"/>
              <w:rPr>
                <w:rFonts w:ascii="Book Antiqua" w:hAnsi="Book Antiqua" w:cs="Courier New"/>
                <w:b/>
                <w:bCs/>
                <w:sz w:val="24"/>
                <w:szCs w:val="24"/>
              </w:rPr>
            </w:pPr>
          </w:p>
        </w:tc>
        <w:tc>
          <w:tcPr>
            <w:tcW w:w="1685" w:type="dxa"/>
            <w:tcBorders>
              <w:top w:val="single" w:sz="8" w:space="0" w:color="000000"/>
              <w:bottom w:val="single" w:sz="8" w:space="0" w:color="000000"/>
            </w:tcBorders>
            <w:shd w:val="clear" w:color="auto" w:fill="auto"/>
            <w:tcMar>
              <w:top w:w="11" w:type="dxa"/>
              <w:left w:w="11" w:type="dxa"/>
              <w:bottom w:w="0" w:type="dxa"/>
              <w:right w:w="11" w:type="dxa"/>
            </w:tcMar>
            <w:vAlign w:val="bottom"/>
            <w:hideMark/>
          </w:tcPr>
          <w:p w14:paraId="1C1FA971" w14:textId="77777777" w:rsidR="003C2FB1" w:rsidRPr="00AF1DC5" w:rsidRDefault="003C2FB1" w:rsidP="003C2FB1">
            <w:pPr>
              <w:snapToGrid w:val="0"/>
              <w:spacing w:after="0" w:line="360" w:lineRule="auto"/>
              <w:jc w:val="center"/>
              <w:rPr>
                <w:rFonts w:ascii="Book Antiqua" w:hAnsi="Book Antiqua" w:cs="Courier New"/>
                <w:b/>
                <w:bCs/>
                <w:sz w:val="24"/>
                <w:szCs w:val="24"/>
              </w:rPr>
            </w:pPr>
            <w:r w:rsidRPr="00AF1DC5">
              <w:rPr>
                <w:rFonts w:ascii="Book Antiqua" w:hAnsi="Book Antiqua" w:cs="Courier New"/>
                <w:b/>
                <w:bCs/>
                <w:sz w:val="24"/>
                <w:szCs w:val="24"/>
              </w:rPr>
              <w:t>Principal Dx</w:t>
            </w:r>
          </w:p>
        </w:tc>
        <w:tc>
          <w:tcPr>
            <w:tcW w:w="2271" w:type="dxa"/>
            <w:tcBorders>
              <w:top w:val="single" w:sz="8" w:space="0" w:color="000000"/>
              <w:bottom w:val="single" w:sz="8" w:space="0" w:color="000000"/>
            </w:tcBorders>
            <w:shd w:val="clear" w:color="auto" w:fill="auto"/>
            <w:tcMar>
              <w:top w:w="11" w:type="dxa"/>
              <w:left w:w="11" w:type="dxa"/>
              <w:bottom w:w="0" w:type="dxa"/>
              <w:right w:w="11" w:type="dxa"/>
            </w:tcMar>
            <w:vAlign w:val="bottom"/>
            <w:hideMark/>
          </w:tcPr>
          <w:p w14:paraId="05B41252" w14:textId="77777777" w:rsidR="003C2FB1" w:rsidRPr="00AF1DC5" w:rsidRDefault="003C2FB1" w:rsidP="003C2FB1">
            <w:pPr>
              <w:snapToGrid w:val="0"/>
              <w:spacing w:after="0" w:line="360" w:lineRule="auto"/>
              <w:jc w:val="center"/>
              <w:rPr>
                <w:rFonts w:ascii="Book Antiqua" w:hAnsi="Book Antiqua" w:cs="Courier New"/>
                <w:b/>
                <w:bCs/>
                <w:sz w:val="24"/>
                <w:szCs w:val="24"/>
              </w:rPr>
            </w:pPr>
            <w:r w:rsidRPr="00AF1DC5">
              <w:rPr>
                <w:rFonts w:ascii="Book Antiqua" w:hAnsi="Book Antiqua" w:cs="Courier New"/>
                <w:b/>
                <w:bCs/>
                <w:sz w:val="24"/>
                <w:szCs w:val="24"/>
              </w:rPr>
              <w:t>Secondary Dx</w:t>
            </w:r>
          </w:p>
        </w:tc>
        <w:tc>
          <w:tcPr>
            <w:tcW w:w="1597" w:type="dxa"/>
            <w:vMerge/>
            <w:tcBorders>
              <w:top w:val="single" w:sz="8" w:space="0" w:color="000000"/>
              <w:bottom w:val="single" w:sz="8" w:space="0" w:color="000000"/>
            </w:tcBorders>
            <w:shd w:val="clear" w:color="auto" w:fill="auto"/>
            <w:tcMar>
              <w:top w:w="11" w:type="dxa"/>
              <w:left w:w="11" w:type="dxa"/>
              <w:bottom w:w="0" w:type="dxa"/>
              <w:right w:w="11" w:type="dxa"/>
            </w:tcMar>
            <w:vAlign w:val="bottom"/>
            <w:hideMark/>
          </w:tcPr>
          <w:p w14:paraId="682F8517" w14:textId="77777777" w:rsidR="003C2FB1" w:rsidRPr="00AF1DC5" w:rsidRDefault="003C2FB1" w:rsidP="003C2FB1">
            <w:pPr>
              <w:snapToGrid w:val="0"/>
              <w:spacing w:after="0" w:line="360" w:lineRule="auto"/>
              <w:jc w:val="center"/>
              <w:rPr>
                <w:rFonts w:ascii="Book Antiqua" w:hAnsi="Book Antiqua" w:cs="Courier New"/>
                <w:b/>
                <w:bCs/>
                <w:sz w:val="24"/>
                <w:szCs w:val="24"/>
              </w:rPr>
            </w:pPr>
          </w:p>
        </w:tc>
        <w:tc>
          <w:tcPr>
            <w:tcW w:w="1522" w:type="dxa"/>
            <w:vMerge/>
            <w:tcBorders>
              <w:top w:val="single" w:sz="8" w:space="0" w:color="000000"/>
              <w:bottom w:val="single" w:sz="8" w:space="0" w:color="000000"/>
            </w:tcBorders>
            <w:shd w:val="clear" w:color="auto" w:fill="auto"/>
            <w:tcMar>
              <w:top w:w="11" w:type="dxa"/>
              <w:left w:w="11" w:type="dxa"/>
              <w:bottom w:w="0" w:type="dxa"/>
              <w:right w:w="11" w:type="dxa"/>
            </w:tcMar>
            <w:vAlign w:val="bottom"/>
            <w:hideMark/>
          </w:tcPr>
          <w:p w14:paraId="0211B121" w14:textId="77777777" w:rsidR="003C2FB1" w:rsidRPr="00AF1DC5" w:rsidRDefault="003C2FB1" w:rsidP="003C2FB1">
            <w:pPr>
              <w:snapToGrid w:val="0"/>
              <w:spacing w:after="0" w:line="360" w:lineRule="auto"/>
              <w:jc w:val="center"/>
              <w:rPr>
                <w:rFonts w:ascii="Book Antiqua" w:hAnsi="Book Antiqua" w:cs="Courier New"/>
                <w:b/>
                <w:bCs/>
                <w:sz w:val="24"/>
                <w:szCs w:val="24"/>
              </w:rPr>
            </w:pPr>
          </w:p>
        </w:tc>
      </w:tr>
      <w:tr w:rsidR="00AF1DC5" w:rsidRPr="00AF1DC5" w14:paraId="01107457" w14:textId="77777777" w:rsidTr="003C2FB1">
        <w:trPr>
          <w:trHeight w:hRule="exact" w:val="432"/>
        </w:trPr>
        <w:tc>
          <w:tcPr>
            <w:tcW w:w="3001" w:type="dxa"/>
            <w:tcBorders>
              <w:top w:val="single" w:sz="8" w:space="0" w:color="000000"/>
              <w:bottom w:val="nil"/>
            </w:tcBorders>
            <w:shd w:val="clear" w:color="auto" w:fill="auto"/>
            <w:tcMar>
              <w:top w:w="11" w:type="dxa"/>
              <w:left w:w="11" w:type="dxa"/>
              <w:bottom w:w="0" w:type="dxa"/>
              <w:right w:w="11" w:type="dxa"/>
            </w:tcMar>
            <w:vAlign w:val="bottom"/>
            <w:hideMark/>
          </w:tcPr>
          <w:p w14:paraId="4E2EEA0D" w14:textId="77777777" w:rsidR="003C2FB1" w:rsidRPr="00AF1DC5" w:rsidRDefault="003C2FB1" w:rsidP="003C2FB1">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Age in years (IQR)</w:t>
            </w:r>
          </w:p>
        </w:tc>
        <w:tc>
          <w:tcPr>
            <w:tcW w:w="1685" w:type="dxa"/>
            <w:tcBorders>
              <w:top w:val="single" w:sz="8" w:space="0" w:color="000000"/>
              <w:bottom w:val="nil"/>
            </w:tcBorders>
            <w:shd w:val="clear" w:color="auto" w:fill="auto"/>
            <w:tcMar>
              <w:top w:w="11" w:type="dxa"/>
              <w:left w:w="11" w:type="dxa"/>
              <w:bottom w:w="0" w:type="dxa"/>
              <w:right w:w="11" w:type="dxa"/>
            </w:tcMar>
            <w:vAlign w:val="bottom"/>
            <w:hideMark/>
          </w:tcPr>
          <w:p w14:paraId="78D5CA83" w14:textId="22E1633B"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10 (4,</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15)</w:t>
            </w:r>
          </w:p>
        </w:tc>
        <w:tc>
          <w:tcPr>
            <w:tcW w:w="2271" w:type="dxa"/>
            <w:tcBorders>
              <w:top w:val="single" w:sz="8" w:space="0" w:color="000000"/>
              <w:bottom w:val="nil"/>
            </w:tcBorders>
            <w:shd w:val="clear" w:color="auto" w:fill="auto"/>
            <w:tcMar>
              <w:top w:w="11" w:type="dxa"/>
              <w:left w:w="11" w:type="dxa"/>
              <w:bottom w:w="0" w:type="dxa"/>
              <w:right w:w="11" w:type="dxa"/>
            </w:tcMar>
            <w:vAlign w:val="bottom"/>
            <w:hideMark/>
          </w:tcPr>
          <w:p w14:paraId="3CC702F8" w14:textId="3BA8977D"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9 (4,</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15)</w:t>
            </w:r>
          </w:p>
        </w:tc>
        <w:tc>
          <w:tcPr>
            <w:tcW w:w="1597" w:type="dxa"/>
            <w:tcBorders>
              <w:top w:val="single" w:sz="8" w:space="0" w:color="000000"/>
              <w:bottom w:val="nil"/>
            </w:tcBorders>
            <w:shd w:val="clear" w:color="auto" w:fill="auto"/>
            <w:tcMar>
              <w:top w:w="11" w:type="dxa"/>
              <w:left w:w="11" w:type="dxa"/>
              <w:bottom w:w="0" w:type="dxa"/>
              <w:right w:w="11" w:type="dxa"/>
            </w:tcMar>
            <w:vAlign w:val="bottom"/>
            <w:hideMark/>
          </w:tcPr>
          <w:p w14:paraId="39C9B5D7" w14:textId="4DC87412"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9 (4,</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15)</w:t>
            </w:r>
          </w:p>
        </w:tc>
        <w:tc>
          <w:tcPr>
            <w:tcW w:w="1522" w:type="dxa"/>
            <w:tcBorders>
              <w:top w:val="single" w:sz="8" w:space="0" w:color="000000"/>
              <w:bottom w:val="nil"/>
            </w:tcBorders>
            <w:shd w:val="clear" w:color="auto" w:fill="auto"/>
            <w:tcMar>
              <w:top w:w="11" w:type="dxa"/>
              <w:left w:w="11" w:type="dxa"/>
              <w:bottom w:w="0" w:type="dxa"/>
              <w:right w:w="11" w:type="dxa"/>
            </w:tcMar>
            <w:vAlign w:val="bottom"/>
            <w:hideMark/>
          </w:tcPr>
          <w:p w14:paraId="0A51D978" w14:textId="429347AF"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2F477D13" w14:textId="77777777" w:rsidTr="003C2FB1">
        <w:trPr>
          <w:trHeight w:hRule="exact" w:val="432"/>
        </w:trPr>
        <w:tc>
          <w:tcPr>
            <w:tcW w:w="3001" w:type="dxa"/>
            <w:tcBorders>
              <w:top w:val="nil"/>
            </w:tcBorders>
            <w:shd w:val="clear" w:color="auto" w:fill="auto"/>
            <w:tcMar>
              <w:top w:w="11" w:type="dxa"/>
              <w:left w:w="11" w:type="dxa"/>
              <w:bottom w:w="0" w:type="dxa"/>
              <w:right w:w="11" w:type="dxa"/>
            </w:tcMar>
            <w:vAlign w:val="bottom"/>
            <w:hideMark/>
          </w:tcPr>
          <w:p w14:paraId="6F4BD35E" w14:textId="77777777" w:rsidR="003C2FB1" w:rsidRPr="00AF1DC5" w:rsidRDefault="003C2FB1" w:rsidP="003C2FB1">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Gender</w:t>
            </w:r>
          </w:p>
        </w:tc>
        <w:tc>
          <w:tcPr>
            <w:tcW w:w="1685" w:type="dxa"/>
            <w:tcBorders>
              <w:top w:val="nil"/>
            </w:tcBorders>
            <w:shd w:val="clear" w:color="auto" w:fill="auto"/>
            <w:tcMar>
              <w:top w:w="11" w:type="dxa"/>
              <w:left w:w="11" w:type="dxa"/>
              <w:bottom w:w="0" w:type="dxa"/>
              <w:right w:w="11" w:type="dxa"/>
            </w:tcMar>
            <w:vAlign w:val="bottom"/>
            <w:hideMark/>
          </w:tcPr>
          <w:p w14:paraId="4AF8ABF8" w14:textId="569B4720" w:rsidR="003C2FB1" w:rsidRPr="00AF1DC5" w:rsidRDefault="003C2FB1" w:rsidP="003C2FB1">
            <w:pPr>
              <w:snapToGrid w:val="0"/>
              <w:spacing w:after="0" w:line="360" w:lineRule="auto"/>
              <w:jc w:val="center"/>
              <w:rPr>
                <w:rFonts w:ascii="Book Antiqua" w:hAnsi="Book Antiqua" w:cs="Courier New"/>
                <w:sz w:val="24"/>
                <w:szCs w:val="24"/>
              </w:rPr>
            </w:pPr>
          </w:p>
        </w:tc>
        <w:tc>
          <w:tcPr>
            <w:tcW w:w="2271" w:type="dxa"/>
            <w:tcBorders>
              <w:top w:val="nil"/>
            </w:tcBorders>
            <w:shd w:val="clear" w:color="auto" w:fill="auto"/>
            <w:tcMar>
              <w:top w:w="11" w:type="dxa"/>
              <w:left w:w="11" w:type="dxa"/>
              <w:bottom w:w="0" w:type="dxa"/>
              <w:right w:w="11" w:type="dxa"/>
            </w:tcMar>
            <w:vAlign w:val="bottom"/>
            <w:hideMark/>
          </w:tcPr>
          <w:p w14:paraId="40EA20FC" w14:textId="1E048226" w:rsidR="003C2FB1" w:rsidRPr="00AF1DC5" w:rsidRDefault="003C2FB1" w:rsidP="003C2FB1">
            <w:pPr>
              <w:snapToGrid w:val="0"/>
              <w:spacing w:after="0" w:line="360" w:lineRule="auto"/>
              <w:jc w:val="center"/>
              <w:rPr>
                <w:rFonts w:ascii="Book Antiqua" w:hAnsi="Book Antiqua" w:cs="Courier New"/>
                <w:sz w:val="24"/>
                <w:szCs w:val="24"/>
              </w:rPr>
            </w:pPr>
          </w:p>
        </w:tc>
        <w:tc>
          <w:tcPr>
            <w:tcW w:w="1597" w:type="dxa"/>
            <w:tcBorders>
              <w:top w:val="nil"/>
            </w:tcBorders>
            <w:shd w:val="clear" w:color="auto" w:fill="auto"/>
            <w:tcMar>
              <w:top w:w="11" w:type="dxa"/>
              <w:left w:w="11" w:type="dxa"/>
              <w:bottom w:w="0" w:type="dxa"/>
              <w:right w:w="11" w:type="dxa"/>
            </w:tcMar>
            <w:vAlign w:val="bottom"/>
            <w:hideMark/>
          </w:tcPr>
          <w:p w14:paraId="71003FDB" w14:textId="2E01B862" w:rsidR="003C2FB1" w:rsidRPr="00AF1DC5" w:rsidRDefault="003C2FB1" w:rsidP="003C2FB1">
            <w:pPr>
              <w:snapToGrid w:val="0"/>
              <w:spacing w:after="0" w:line="360" w:lineRule="auto"/>
              <w:jc w:val="center"/>
              <w:rPr>
                <w:rFonts w:ascii="Book Antiqua" w:hAnsi="Book Antiqua" w:cs="Courier New"/>
                <w:sz w:val="24"/>
                <w:szCs w:val="24"/>
              </w:rPr>
            </w:pPr>
          </w:p>
        </w:tc>
        <w:tc>
          <w:tcPr>
            <w:tcW w:w="1522" w:type="dxa"/>
            <w:tcBorders>
              <w:top w:val="nil"/>
            </w:tcBorders>
            <w:shd w:val="clear" w:color="auto" w:fill="auto"/>
            <w:tcMar>
              <w:top w:w="11" w:type="dxa"/>
              <w:left w:w="11" w:type="dxa"/>
              <w:bottom w:w="0" w:type="dxa"/>
              <w:right w:w="11" w:type="dxa"/>
            </w:tcMar>
            <w:vAlign w:val="bottom"/>
            <w:hideMark/>
          </w:tcPr>
          <w:p w14:paraId="319EAC5F" w14:textId="2731DC78"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2676472C"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6495FD18"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Female</w:t>
            </w:r>
          </w:p>
        </w:tc>
        <w:tc>
          <w:tcPr>
            <w:tcW w:w="1685" w:type="dxa"/>
            <w:shd w:val="clear" w:color="auto" w:fill="auto"/>
            <w:tcMar>
              <w:top w:w="11" w:type="dxa"/>
              <w:left w:w="11" w:type="dxa"/>
              <w:bottom w:w="0" w:type="dxa"/>
              <w:right w:w="11" w:type="dxa"/>
            </w:tcMar>
            <w:vAlign w:val="bottom"/>
            <w:hideMark/>
          </w:tcPr>
          <w:p w14:paraId="691B6E96" w14:textId="62D3FF4A"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2925 (43.44)</w:t>
            </w:r>
          </w:p>
        </w:tc>
        <w:tc>
          <w:tcPr>
            <w:tcW w:w="2271" w:type="dxa"/>
            <w:shd w:val="clear" w:color="auto" w:fill="auto"/>
            <w:tcMar>
              <w:top w:w="11" w:type="dxa"/>
              <w:left w:w="11" w:type="dxa"/>
              <w:bottom w:w="0" w:type="dxa"/>
              <w:right w:w="11" w:type="dxa"/>
            </w:tcMar>
            <w:vAlign w:val="bottom"/>
            <w:hideMark/>
          </w:tcPr>
          <w:p w14:paraId="5C6E6DC5" w14:textId="7A1E8CE2"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5941 (46.43)</w:t>
            </w:r>
          </w:p>
        </w:tc>
        <w:tc>
          <w:tcPr>
            <w:tcW w:w="1597" w:type="dxa"/>
            <w:shd w:val="clear" w:color="auto" w:fill="auto"/>
            <w:tcMar>
              <w:top w:w="11" w:type="dxa"/>
              <w:left w:w="11" w:type="dxa"/>
              <w:bottom w:w="0" w:type="dxa"/>
              <w:right w:w="11" w:type="dxa"/>
            </w:tcMar>
            <w:vAlign w:val="bottom"/>
            <w:hideMark/>
          </w:tcPr>
          <w:p w14:paraId="13761362" w14:textId="7298AF63"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8866 (45.40)</w:t>
            </w:r>
          </w:p>
        </w:tc>
        <w:tc>
          <w:tcPr>
            <w:tcW w:w="1522" w:type="dxa"/>
            <w:shd w:val="clear" w:color="auto" w:fill="auto"/>
            <w:tcMar>
              <w:top w:w="11" w:type="dxa"/>
              <w:left w:w="11" w:type="dxa"/>
              <w:bottom w:w="0" w:type="dxa"/>
              <w:right w:w="11" w:type="dxa"/>
            </w:tcMar>
            <w:vAlign w:val="bottom"/>
            <w:hideMark/>
          </w:tcPr>
          <w:p w14:paraId="33D250E6" w14:textId="77777777"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6B9EE50C"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22951EA1"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Male</w:t>
            </w:r>
          </w:p>
        </w:tc>
        <w:tc>
          <w:tcPr>
            <w:tcW w:w="1685" w:type="dxa"/>
            <w:shd w:val="clear" w:color="auto" w:fill="auto"/>
            <w:tcMar>
              <w:top w:w="11" w:type="dxa"/>
              <w:left w:w="11" w:type="dxa"/>
              <w:bottom w:w="0" w:type="dxa"/>
              <w:right w:w="11" w:type="dxa"/>
            </w:tcMar>
            <w:vAlign w:val="bottom"/>
            <w:hideMark/>
          </w:tcPr>
          <w:p w14:paraId="4DC4D071" w14:textId="5F58D90C"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3808 (56.56)</w:t>
            </w:r>
          </w:p>
        </w:tc>
        <w:tc>
          <w:tcPr>
            <w:tcW w:w="2271" w:type="dxa"/>
            <w:shd w:val="clear" w:color="auto" w:fill="auto"/>
            <w:tcMar>
              <w:top w:w="11" w:type="dxa"/>
              <w:left w:w="11" w:type="dxa"/>
              <w:bottom w:w="0" w:type="dxa"/>
              <w:right w:w="11" w:type="dxa"/>
            </w:tcMar>
            <w:vAlign w:val="bottom"/>
            <w:hideMark/>
          </w:tcPr>
          <w:p w14:paraId="127D639C" w14:textId="52402188"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6854 (53.57)</w:t>
            </w:r>
          </w:p>
        </w:tc>
        <w:tc>
          <w:tcPr>
            <w:tcW w:w="1597" w:type="dxa"/>
            <w:shd w:val="clear" w:color="auto" w:fill="auto"/>
            <w:tcMar>
              <w:top w:w="11" w:type="dxa"/>
              <w:left w:w="11" w:type="dxa"/>
              <w:bottom w:w="0" w:type="dxa"/>
              <w:right w:w="11" w:type="dxa"/>
            </w:tcMar>
            <w:vAlign w:val="bottom"/>
            <w:hideMark/>
          </w:tcPr>
          <w:p w14:paraId="6F630201" w14:textId="59EBB533"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10762 (55.11)</w:t>
            </w:r>
          </w:p>
        </w:tc>
        <w:tc>
          <w:tcPr>
            <w:tcW w:w="1522" w:type="dxa"/>
            <w:shd w:val="clear" w:color="auto" w:fill="auto"/>
            <w:tcMar>
              <w:top w:w="11" w:type="dxa"/>
              <w:left w:w="11" w:type="dxa"/>
              <w:bottom w:w="0" w:type="dxa"/>
              <w:right w:w="11" w:type="dxa"/>
            </w:tcMar>
            <w:vAlign w:val="bottom"/>
            <w:hideMark/>
          </w:tcPr>
          <w:p w14:paraId="4450D241" w14:textId="130B5382"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77F1E298"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49C5EA9B" w14:textId="77777777" w:rsidR="003C2FB1" w:rsidRPr="00AF1DC5" w:rsidRDefault="003C2FB1" w:rsidP="003C2FB1">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Race</w:t>
            </w:r>
          </w:p>
        </w:tc>
        <w:tc>
          <w:tcPr>
            <w:tcW w:w="1685" w:type="dxa"/>
            <w:shd w:val="clear" w:color="auto" w:fill="auto"/>
            <w:tcMar>
              <w:top w:w="11" w:type="dxa"/>
              <w:left w:w="11" w:type="dxa"/>
              <w:bottom w:w="0" w:type="dxa"/>
              <w:right w:w="11" w:type="dxa"/>
            </w:tcMar>
            <w:vAlign w:val="bottom"/>
            <w:hideMark/>
          </w:tcPr>
          <w:p w14:paraId="48C60FDA" w14:textId="348F55C7" w:rsidR="003C2FB1" w:rsidRPr="00AF1DC5" w:rsidRDefault="003C2FB1" w:rsidP="003C2FB1">
            <w:pPr>
              <w:snapToGrid w:val="0"/>
              <w:spacing w:after="0" w:line="360" w:lineRule="auto"/>
              <w:jc w:val="center"/>
              <w:rPr>
                <w:rFonts w:ascii="Book Antiqua" w:hAnsi="Book Antiqua" w:cs="Courier New"/>
                <w:sz w:val="24"/>
                <w:szCs w:val="24"/>
              </w:rPr>
            </w:pPr>
          </w:p>
        </w:tc>
        <w:tc>
          <w:tcPr>
            <w:tcW w:w="2271" w:type="dxa"/>
            <w:shd w:val="clear" w:color="auto" w:fill="auto"/>
            <w:tcMar>
              <w:top w:w="11" w:type="dxa"/>
              <w:left w:w="11" w:type="dxa"/>
              <w:bottom w:w="0" w:type="dxa"/>
              <w:right w:w="11" w:type="dxa"/>
            </w:tcMar>
            <w:vAlign w:val="bottom"/>
            <w:hideMark/>
          </w:tcPr>
          <w:p w14:paraId="715B0C56" w14:textId="79DA8BEE" w:rsidR="003C2FB1" w:rsidRPr="00AF1DC5" w:rsidRDefault="003C2FB1" w:rsidP="003C2FB1">
            <w:pPr>
              <w:snapToGrid w:val="0"/>
              <w:spacing w:after="0" w:line="360" w:lineRule="auto"/>
              <w:jc w:val="center"/>
              <w:rPr>
                <w:rFonts w:ascii="Book Antiqua" w:hAnsi="Book Antiqua" w:cs="Courier New"/>
                <w:sz w:val="24"/>
                <w:szCs w:val="24"/>
              </w:rPr>
            </w:pPr>
          </w:p>
        </w:tc>
        <w:tc>
          <w:tcPr>
            <w:tcW w:w="1597" w:type="dxa"/>
            <w:shd w:val="clear" w:color="auto" w:fill="auto"/>
            <w:tcMar>
              <w:top w:w="11" w:type="dxa"/>
              <w:left w:w="11" w:type="dxa"/>
              <w:bottom w:w="0" w:type="dxa"/>
              <w:right w:w="11" w:type="dxa"/>
            </w:tcMar>
            <w:vAlign w:val="bottom"/>
            <w:hideMark/>
          </w:tcPr>
          <w:p w14:paraId="4CF53FE5" w14:textId="50372518" w:rsidR="003C2FB1" w:rsidRPr="00AF1DC5" w:rsidRDefault="003C2FB1" w:rsidP="003C2FB1">
            <w:pPr>
              <w:snapToGrid w:val="0"/>
              <w:spacing w:after="0" w:line="360" w:lineRule="auto"/>
              <w:jc w:val="center"/>
              <w:rPr>
                <w:rFonts w:ascii="Book Antiqua" w:hAnsi="Book Antiqua" w:cs="Courier New"/>
                <w:sz w:val="24"/>
                <w:szCs w:val="24"/>
              </w:rPr>
            </w:pPr>
          </w:p>
        </w:tc>
        <w:tc>
          <w:tcPr>
            <w:tcW w:w="1522" w:type="dxa"/>
            <w:shd w:val="clear" w:color="auto" w:fill="auto"/>
            <w:tcMar>
              <w:top w:w="11" w:type="dxa"/>
              <w:left w:w="11" w:type="dxa"/>
              <w:bottom w:w="0" w:type="dxa"/>
              <w:right w:w="11" w:type="dxa"/>
            </w:tcMar>
            <w:vAlign w:val="bottom"/>
            <w:hideMark/>
          </w:tcPr>
          <w:p w14:paraId="77A10962" w14:textId="3EE39D8B"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024FCDAB"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158ED3F0"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Non-Hispanic White</w:t>
            </w:r>
          </w:p>
        </w:tc>
        <w:tc>
          <w:tcPr>
            <w:tcW w:w="1685" w:type="dxa"/>
            <w:shd w:val="clear" w:color="auto" w:fill="auto"/>
            <w:tcMar>
              <w:top w:w="11" w:type="dxa"/>
              <w:left w:w="11" w:type="dxa"/>
              <w:bottom w:w="0" w:type="dxa"/>
              <w:right w:w="11" w:type="dxa"/>
            </w:tcMar>
            <w:vAlign w:val="bottom"/>
            <w:hideMark/>
          </w:tcPr>
          <w:p w14:paraId="23655543" w14:textId="03873E6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3608 (53.59)</w:t>
            </w:r>
          </w:p>
        </w:tc>
        <w:tc>
          <w:tcPr>
            <w:tcW w:w="2271" w:type="dxa"/>
            <w:shd w:val="clear" w:color="auto" w:fill="auto"/>
            <w:tcMar>
              <w:top w:w="11" w:type="dxa"/>
              <w:left w:w="11" w:type="dxa"/>
              <w:bottom w:w="0" w:type="dxa"/>
              <w:right w:w="11" w:type="dxa"/>
            </w:tcMar>
            <w:vAlign w:val="bottom"/>
            <w:hideMark/>
          </w:tcPr>
          <w:p w14:paraId="0184B23A" w14:textId="61D60914"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6596 (51.55)</w:t>
            </w:r>
          </w:p>
        </w:tc>
        <w:tc>
          <w:tcPr>
            <w:tcW w:w="1597" w:type="dxa"/>
            <w:shd w:val="clear" w:color="auto" w:fill="auto"/>
            <w:tcMar>
              <w:top w:w="11" w:type="dxa"/>
              <w:left w:w="11" w:type="dxa"/>
              <w:bottom w:w="0" w:type="dxa"/>
              <w:right w:w="11" w:type="dxa"/>
            </w:tcMar>
            <w:vAlign w:val="bottom"/>
            <w:hideMark/>
          </w:tcPr>
          <w:p w14:paraId="5AB6081A" w14:textId="5C15E5CA"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10204 (52.25)</w:t>
            </w:r>
          </w:p>
        </w:tc>
        <w:tc>
          <w:tcPr>
            <w:tcW w:w="1522" w:type="dxa"/>
            <w:shd w:val="clear" w:color="auto" w:fill="auto"/>
            <w:tcMar>
              <w:top w:w="11" w:type="dxa"/>
              <w:left w:w="11" w:type="dxa"/>
              <w:bottom w:w="0" w:type="dxa"/>
              <w:right w:w="11" w:type="dxa"/>
            </w:tcMar>
            <w:vAlign w:val="bottom"/>
            <w:hideMark/>
          </w:tcPr>
          <w:p w14:paraId="1461ADA8" w14:textId="77777777"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6E31DDBD"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4A91BF1C"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Non-Hispanic Black</w:t>
            </w:r>
          </w:p>
        </w:tc>
        <w:tc>
          <w:tcPr>
            <w:tcW w:w="1685" w:type="dxa"/>
            <w:shd w:val="clear" w:color="auto" w:fill="auto"/>
            <w:tcMar>
              <w:top w:w="11" w:type="dxa"/>
              <w:left w:w="11" w:type="dxa"/>
              <w:bottom w:w="0" w:type="dxa"/>
              <w:right w:w="11" w:type="dxa"/>
            </w:tcMar>
            <w:vAlign w:val="bottom"/>
            <w:hideMark/>
          </w:tcPr>
          <w:p w14:paraId="545D7289" w14:textId="0185E993"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1180 (17.53)</w:t>
            </w:r>
          </w:p>
        </w:tc>
        <w:tc>
          <w:tcPr>
            <w:tcW w:w="2271" w:type="dxa"/>
            <w:shd w:val="clear" w:color="auto" w:fill="auto"/>
            <w:tcMar>
              <w:top w:w="11" w:type="dxa"/>
              <w:left w:w="11" w:type="dxa"/>
              <w:bottom w:w="0" w:type="dxa"/>
              <w:right w:w="11" w:type="dxa"/>
            </w:tcMar>
            <w:vAlign w:val="bottom"/>
            <w:hideMark/>
          </w:tcPr>
          <w:p w14:paraId="1FFFC8B0" w14:textId="4A40E079"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2257 (17.64)</w:t>
            </w:r>
          </w:p>
        </w:tc>
        <w:tc>
          <w:tcPr>
            <w:tcW w:w="1597" w:type="dxa"/>
            <w:shd w:val="clear" w:color="auto" w:fill="auto"/>
            <w:tcMar>
              <w:top w:w="11" w:type="dxa"/>
              <w:left w:w="11" w:type="dxa"/>
              <w:bottom w:w="0" w:type="dxa"/>
              <w:right w:w="11" w:type="dxa"/>
            </w:tcMar>
            <w:vAlign w:val="bottom"/>
            <w:hideMark/>
          </w:tcPr>
          <w:p w14:paraId="32C2D663" w14:textId="36EB3AB8"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3437 (17.60)</w:t>
            </w:r>
          </w:p>
        </w:tc>
        <w:tc>
          <w:tcPr>
            <w:tcW w:w="1522" w:type="dxa"/>
            <w:shd w:val="clear" w:color="auto" w:fill="auto"/>
            <w:tcMar>
              <w:top w:w="11" w:type="dxa"/>
              <w:left w:w="11" w:type="dxa"/>
              <w:bottom w:w="0" w:type="dxa"/>
              <w:right w:w="11" w:type="dxa"/>
            </w:tcMar>
            <w:vAlign w:val="bottom"/>
            <w:hideMark/>
          </w:tcPr>
          <w:p w14:paraId="77A7749F" w14:textId="77777777"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38285395"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0A147DBF"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Hispanic</w:t>
            </w:r>
          </w:p>
        </w:tc>
        <w:tc>
          <w:tcPr>
            <w:tcW w:w="1685" w:type="dxa"/>
            <w:shd w:val="clear" w:color="auto" w:fill="auto"/>
            <w:tcMar>
              <w:top w:w="11" w:type="dxa"/>
              <w:left w:w="11" w:type="dxa"/>
              <w:bottom w:w="0" w:type="dxa"/>
              <w:right w:w="11" w:type="dxa"/>
            </w:tcMar>
            <w:vAlign w:val="bottom"/>
            <w:hideMark/>
          </w:tcPr>
          <w:p w14:paraId="4F28B305" w14:textId="0412921B"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1159 (17.21)</w:t>
            </w:r>
          </w:p>
        </w:tc>
        <w:tc>
          <w:tcPr>
            <w:tcW w:w="2271" w:type="dxa"/>
            <w:shd w:val="clear" w:color="auto" w:fill="auto"/>
            <w:tcMar>
              <w:top w:w="11" w:type="dxa"/>
              <w:left w:w="11" w:type="dxa"/>
              <w:bottom w:w="0" w:type="dxa"/>
              <w:right w:w="11" w:type="dxa"/>
            </w:tcMar>
            <w:vAlign w:val="bottom"/>
            <w:hideMark/>
          </w:tcPr>
          <w:p w14:paraId="6768AE37" w14:textId="3A3FA78B"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2580 (20.16)</w:t>
            </w:r>
          </w:p>
        </w:tc>
        <w:tc>
          <w:tcPr>
            <w:tcW w:w="1597" w:type="dxa"/>
            <w:shd w:val="clear" w:color="auto" w:fill="auto"/>
            <w:tcMar>
              <w:top w:w="11" w:type="dxa"/>
              <w:left w:w="11" w:type="dxa"/>
              <w:bottom w:w="0" w:type="dxa"/>
              <w:right w:w="11" w:type="dxa"/>
            </w:tcMar>
            <w:vAlign w:val="bottom"/>
            <w:hideMark/>
          </w:tcPr>
          <w:p w14:paraId="35F0674C" w14:textId="05DFA294"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3739 (19.15)</w:t>
            </w:r>
          </w:p>
        </w:tc>
        <w:tc>
          <w:tcPr>
            <w:tcW w:w="1522" w:type="dxa"/>
            <w:shd w:val="clear" w:color="auto" w:fill="auto"/>
            <w:tcMar>
              <w:top w:w="11" w:type="dxa"/>
              <w:left w:w="11" w:type="dxa"/>
              <w:bottom w:w="0" w:type="dxa"/>
              <w:right w:w="11" w:type="dxa"/>
            </w:tcMar>
            <w:vAlign w:val="bottom"/>
            <w:hideMark/>
          </w:tcPr>
          <w:p w14:paraId="62B796FD" w14:textId="77777777"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64CAD2FF"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7E1B55A4"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Asian</w:t>
            </w:r>
          </w:p>
        </w:tc>
        <w:tc>
          <w:tcPr>
            <w:tcW w:w="1685" w:type="dxa"/>
            <w:shd w:val="clear" w:color="auto" w:fill="auto"/>
            <w:tcMar>
              <w:top w:w="11" w:type="dxa"/>
              <w:left w:w="11" w:type="dxa"/>
              <w:bottom w:w="0" w:type="dxa"/>
              <w:right w:w="11" w:type="dxa"/>
            </w:tcMar>
            <w:vAlign w:val="bottom"/>
            <w:hideMark/>
          </w:tcPr>
          <w:p w14:paraId="79B15E99" w14:textId="42FB5639"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251 (3.73)</w:t>
            </w:r>
          </w:p>
        </w:tc>
        <w:tc>
          <w:tcPr>
            <w:tcW w:w="2271" w:type="dxa"/>
            <w:shd w:val="clear" w:color="auto" w:fill="auto"/>
            <w:tcMar>
              <w:top w:w="11" w:type="dxa"/>
              <w:left w:w="11" w:type="dxa"/>
              <w:bottom w:w="0" w:type="dxa"/>
              <w:right w:w="11" w:type="dxa"/>
            </w:tcMar>
            <w:vAlign w:val="bottom"/>
            <w:hideMark/>
          </w:tcPr>
          <w:p w14:paraId="248714AF" w14:textId="0E3D3C22"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332 (2.59)</w:t>
            </w:r>
          </w:p>
        </w:tc>
        <w:tc>
          <w:tcPr>
            <w:tcW w:w="1597" w:type="dxa"/>
            <w:shd w:val="clear" w:color="auto" w:fill="auto"/>
            <w:tcMar>
              <w:top w:w="11" w:type="dxa"/>
              <w:left w:w="11" w:type="dxa"/>
              <w:bottom w:w="0" w:type="dxa"/>
              <w:right w:w="11" w:type="dxa"/>
            </w:tcMar>
            <w:vAlign w:val="bottom"/>
            <w:hideMark/>
          </w:tcPr>
          <w:p w14:paraId="6D315636" w14:textId="3B8B71D9"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583 (2.99)</w:t>
            </w:r>
          </w:p>
        </w:tc>
        <w:tc>
          <w:tcPr>
            <w:tcW w:w="1522" w:type="dxa"/>
            <w:shd w:val="clear" w:color="auto" w:fill="auto"/>
            <w:tcMar>
              <w:top w:w="11" w:type="dxa"/>
              <w:left w:w="11" w:type="dxa"/>
              <w:bottom w:w="0" w:type="dxa"/>
              <w:right w:w="11" w:type="dxa"/>
            </w:tcMar>
            <w:vAlign w:val="bottom"/>
            <w:hideMark/>
          </w:tcPr>
          <w:p w14:paraId="18C55140" w14:textId="77777777"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660951A1"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540D7D2B"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Other</w:t>
            </w:r>
          </w:p>
        </w:tc>
        <w:tc>
          <w:tcPr>
            <w:tcW w:w="1685" w:type="dxa"/>
            <w:shd w:val="clear" w:color="auto" w:fill="auto"/>
            <w:tcMar>
              <w:top w:w="11" w:type="dxa"/>
              <w:left w:w="11" w:type="dxa"/>
              <w:bottom w:w="0" w:type="dxa"/>
              <w:right w:w="11" w:type="dxa"/>
            </w:tcMar>
            <w:vAlign w:val="bottom"/>
            <w:hideMark/>
          </w:tcPr>
          <w:p w14:paraId="2487B01E" w14:textId="6CBF1B9C"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412 (6.12)</w:t>
            </w:r>
          </w:p>
        </w:tc>
        <w:tc>
          <w:tcPr>
            <w:tcW w:w="2271" w:type="dxa"/>
            <w:shd w:val="clear" w:color="auto" w:fill="auto"/>
            <w:tcMar>
              <w:top w:w="11" w:type="dxa"/>
              <w:left w:w="11" w:type="dxa"/>
              <w:bottom w:w="0" w:type="dxa"/>
              <w:right w:w="11" w:type="dxa"/>
            </w:tcMar>
            <w:vAlign w:val="bottom"/>
            <w:hideMark/>
          </w:tcPr>
          <w:p w14:paraId="047C2C0B" w14:textId="29330542"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779 (6.09)</w:t>
            </w:r>
          </w:p>
        </w:tc>
        <w:tc>
          <w:tcPr>
            <w:tcW w:w="1597" w:type="dxa"/>
            <w:shd w:val="clear" w:color="auto" w:fill="auto"/>
            <w:tcMar>
              <w:top w:w="11" w:type="dxa"/>
              <w:left w:w="11" w:type="dxa"/>
              <w:bottom w:w="0" w:type="dxa"/>
              <w:right w:w="11" w:type="dxa"/>
            </w:tcMar>
            <w:vAlign w:val="bottom"/>
            <w:hideMark/>
          </w:tcPr>
          <w:p w14:paraId="2AB25DDE" w14:textId="38227B4C"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1191 (6.10)</w:t>
            </w:r>
          </w:p>
        </w:tc>
        <w:tc>
          <w:tcPr>
            <w:tcW w:w="1522" w:type="dxa"/>
            <w:shd w:val="clear" w:color="auto" w:fill="auto"/>
            <w:tcMar>
              <w:top w:w="11" w:type="dxa"/>
              <w:left w:w="11" w:type="dxa"/>
              <w:bottom w:w="0" w:type="dxa"/>
              <w:right w:w="11" w:type="dxa"/>
            </w:tcMar>
            <w:vAlign w:val="bottom"/>
            <w:hideMark/>
          </w:tcPr>
          <w:p w14:paraId="17C7C626" w14:textId="77777777"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470626E1"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0E8D85AD"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Unknown</w:t>
            </w:r>
          </w:p>
        </w:tc>
        <w:tc>
          <w:tcPr>
            <w:tcW w:w="1685" w:type="dxa"/>
            <w:shd w:val="clear" w:color="auto" w:fill="auto"/>
            <w:tcMar>
              <w:top w:w="11" w:type="dxa"/>
              <w:left w:w="11" w:type="dxa"/>
              <w:bottom w:w="0" w:type="dxa"/>
              <w:right w:w="11" w:type="dxa"/>
            </w:tcMar>
            <w:vAlign w:val="bottom"/>
            <w:hideMark/>
          </w:tcPr>
          <w:p w14:paraId="664DFECF" w14:textId="78BDB76E"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123 (1.83)</w:t>
            </w:r>
          </w:p>
        </w:tc>
        <w:tc>
          <w:tcPr>
            <w:tcW w:w="2271" w:type="dxa"/>
            <w:shd w:val="clear" w:color="auto" w:fill="auto"/>
            <w:tcMar>
              <w:top w:w="11" w:type="dxa"/>
              <w:left w:w="11" w:type="dxa"/>
              <w:bottom w:w="0" w:type="dxa"/>
              <w:right w:w="11" w:type="dxa"/>
            </w:tcMar>
            <w:vAlign w:val="bottom"/>
            <w:hideMark/>
          </w:tcPr>
          <w:p w14:paraId="5935378B" w14:textId="3B075A9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251 (1.96)</w:t>
            </w:r>
          </w:p>
        </w:tc>
        <w:tc>
          <w:tcPr>
            <w:tcW w:w="1597" w:type="dxa"/>
            <w:shd w:val="clear" w:color="auto" w:fill="auto"/>
            <w:tcMar>
              <w:top w:w="11" w:type="dxa"/>
              <w:left w:w="11" w:type="dxa"/>
              <w:bottom w:w="0" w:type="dxa"/>
              <w:right w:w="11" w:type="dxa"/>
            </w:tcMar>
            <w:vAlign w:val="bottom"/>
            <w:hideMark/>
          </w:tcPr>
          <w:p w14:paraId="69A0C25C" w14:textId="55946F36"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374 (1.92)</w:t>
            </w:r>
          </w:p>
        </w:tc>
        <w:tc>
          <w:tcPr>
            <w:tcW w:w="1522" w:type="dxa"/>
            <w:shd w:val="clear" w:color="auto" w:fill="auto"/>
            <w:tcMar>
              <w:top w:w="11" w:type="dxa"/>
              <w:left w:w="11" w:type="dxa"/>
              <w:bottom w:w="0" w:type="dxa"/>
              <w:right w:w="11" w:type="dxa"/>
            </w:tcMar>
            <w:vAlign w:val="bottom"/>
            <w:hideMark/>
          </w:tcPr>
          <w:p w14:paraId="574D2EB8" w14:textId="6E96D877"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7D0FA3FB"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520E5E01" w14:textId="6EFB625F" w:rsidR="003C2FB1" w:rsidRPr="00AF1DC5" w:rsidRDefault="003C2FB1" w:rsidP="003C2FB1">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Urban/rural</w:t>
            </w:r>
          </w:p>
        </w:tc>
        <w:tc>
          <w:tcPr>
            <w:tcW w:w="1685" w:type="dxa"/>
            <w:shd w:val="clear" w:color="auto" w:fill="auto"/>
            <w:tcMar>
              <w:top w:w="11" w:type="dxa"/>
              <w:left w:w="11" w:type="dxa"/>
              <w:bottom w:w="0" w:type="dxa"/>
              <w:right w:w="11" w:type="dxa"/>
            </w:tcMar>
            <w:vAlign w:val="bottom"/>
            <w:hideMark/>
          </w:tcPr>
          <w:p w14:paraId="0C392528" w14:textId="2BFB49C3" w:rsidR="003C2FB1" w:rsidRPr="00AF1DC5" w:rsidRDefault="003C2FB1" w:rsidP="003C2FB1">
            <w:pPr>
              <w:snapToGrid w:val="0"/>
              <w:spacing w:after="0" w:line="360" w:lineRule="auto"/>
              <w:jc w:val="center"/>
              <w:rPr>
                <w:rFonts w:ascii="Book Antiqua" w:hAnsi="Book Antiqua" w:cs="Courier New"/>
                <w:sz w:val="24"/>
                <w:szCs w:val="24"/>
              </w:rPr>
            </w:pPr>
          </w:p>
        </w:tc>
        <w:tc>
          <w:tcPr>
            <w:tcW w:w="2271" w:type="dxa"/>
            <w:shd w:val="clear" w:color="auto" w:fill="auto"/>
            <w:tcMar>
              <w:top w:w="11" w:type="dxa"/>
              <w:left w:w="11" w:type="dxa"/>
              <w:bottom w:w="0" w:type="dxa"/>
              <w:right w:w="11" w:type="dxa"/>
            </w:tcMar>
            <w:vAlign w:val="bottom"/>
            <w:hideMark/>
          </w:tcPr>
          <w:p w14:paraId="07532C60" w14:textId="6249937B" w:rsidR="003C2FB1" w:rsidRPr="00AF1DC5" w:rsidRDefault="003C2FB1" w:rsidP="003C2FB1">
            <w:pPr>
              <w:snapToGrid w:val="0"/>
              <w:spacing w:after="0" w:line="360" w:lineRule="auto"/>
              <w:jc w:val="center"/>
              <w:rPr>
                <w:rFonts w:ascii="Book Antiqua" w:hAnsi="Book Antiqua" w:cs="Courier New"/>
                <w:sz w:val="24"/>
                <w:szCs w:val="24"/>
              </w:rPr>
            </w:pPr>
          </w:p>
        </w:tc>
        <w:tc>
          <w:tcPr>
            <w:tcW w:w="1597" w:type="dxa"/>
            <w:shd w:val="clear" w:color="auto" w:fill="auto"/>
            <w:tcMar>
              <w:top w:w="11" w:type="dxa"/>
              <w:left w:w="11" w:type="dxa"/>
              <w:bottom w:w="0" w:type="dxa"/>
              <w:right w:w="11" w:type="dxa"/>
            </w:tcMar>
            <w:vAlign w:val="bottom"/>
            <w:hideMark/>
          </w:tcPr>
          <w:p w14:paraId="1CDA253C" w14:textId="3BABC720" w:rsidR="003C2FB1" w:rsidRPr="00AF1DC5" w:rsidRDefault="003C2FB1" w:rsidP="003C2FB1">
            <w:pPr>
              <w:snapToGrid w:val="0"/>
              <w:spacing w:after="0" w:line="360" w:lineRule="auto"/>
              <w:jc w:val="center"/>
              <w:rPr>
                <w:rFonts w:ascii="Book Antiqua" w:hAnsi="Book Antiqua" w:cs="Courier New"/>
                <w:sz w:val="24"/>
                <w:szCs w:val="24"/>
              </w:rPr>
            </w:pPr>
          </w:p>
        </w:tc>
        <w:tc>
          <w:tcPr>
            <w:tcW w:w="1522" w:type="dxa"/>
            <w:shd w:val="clear" w:color="auto" w:fill="auto"/>
            <w:tcMar>
              <w:top w:w="11" w:type="dxa"/>
              <w:left w:w="11" w:type="dxa"/>
              <w:bottom w:w="0" w:type="dxa"/>
              <w:right w:w="11" w:type="dxa"/>
            </w:tcMar>
            <w:vAlign w:val="bottom"/>
            <w:hideMark/>
          </w:tcPr>
          <w:p w14:paraId="77D337C6"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0.1247</w:t>
            </w:r>
          </w:p>
        </w:tc>
      </w:tr>
      <w:tr w:rsidR="00AF1DC5" w:rsidRPr="00AF1DC5" w14:paraId="246F8E5B"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5C12DA87"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Urban</w:t>
            </w:r>
          </w:p>
        </w:tc>
        <w:tc>
          <w:tcPr>
            <w:tcW w:w="1685" w:type="dxa"/>
            <w:shd w:val="clear" w:color="auto" w:fill="auto"/>
            <w:tcMar>
              <w:top w:w="11" w:type="dxa"/>
              <w:left w:w="11" w:type="dxa"/>
              <w:bottom w:w="0" w:type="dxa"/>
              <w:right w:w="11" w:type="dxa"/>
            </w:tcMar>
            <w:vAlign w:val="bottom"/>
            <w:hideMark/>
          </w:tcPr>
          <w:p w14:paraId="5A56611B" w14:textId="570563C8"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5730 (85.10)</w:t>
            </w:r>
          </w:p>
        </w:tc>
        <w:tc>
          <w:tcPr>
            <w:tcW w:w="2271" w:type="dxa"/>
            <w:shd w:val="clear" w:color="auto" w:fill="auto"/>
            <w:tcMar>
              <w:top w:w="11" w:type="dxa"/>
              <w:left w:w="11" w:type="dxa"/>
              <w:bottom w:w="0" w:type="dxa"/>
              <w:right w:w="11" w:type="dxa"/>
            </w:tcMar>
            <w:vAlign w:val="bottom"/>
            <w:hideMark/>
          </w:tcPr>
          <w:p w14:paraId="3ED83082" w14:textId="7F50416B"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10930 (85.42)</w:t>
            </w:r>
          </w:p>
        </w:tc>
        <w:tc>
          <w:tcPr>
            <w:tcW w:w="1597" w:type="dxa"/>
            <w:shd w:val="clear" w:color="auto" w:fill="auto"/>
            <w:tcMar>
              <w:top w:w="11" w:type="dxa"/>
              <w:left w:w="11" w:type="dxa"/>
              <w:bottom w:w="0" w:type="dxa"/>
              <w:right w:w="11" w:type="dxa"/>
            </w:tcMar>
            <w:vAlign w:val="bottom"/>
            <w:hideMark/>
          </w:tcPr>
          <w:p w14:paraId="06C9D40E" w14:textId="7A22AAF0"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16660 (85.31)</w:t>
            </w:r>
          </w:p>
        </w:tc>
        <w:tc>
          <w:tcPr>
            <w:tcW w:w="1522" w:type="dxa"/>
            <w:shd w:val="clear" w:color="auto" w:fill="auto"/>
            <w:tcMar>
              <w:top w:w="11" w:type="dxa"/>
              <w:left w:w="11" w:type="dxa"/>
              <w:bottom w:w="0" w:type="dxa"/>
              <w:right w:w="11" w:type="dxa"/>
            </w:tcMar>
            <w:vAlign w:val="bottom"/>
            <w:hideMark/>
          </w:tcPr>
          <w:p w14:paraId="07D8D4FC" w14:textId="77777777"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0BB293AF"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66B5057C"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Rural</w:t>
            </w:r>
          </w:p>
        </w:tc>
        <w:tc>
          <w:tcPr>
            <w:tcW w:w="1685" w:type="dxa"/>
            <w:shd w:val="clear" w:color="auto" w:fill="auto"/>
            <w:tcMar>
              <w:top w:w="11" w:type="dxa"/>
              <w:left w:w="11" w:type="dxa"/>
              <w:bottom w:w="0" w:type="dxa"/>
              <w:right w:w="11" w:type="dxa"/>
            </w:tcMar>
            <w:vAlign w:val="bottom"/>
            <w:hideMark/>
          </w:tcPr>
          <w:p w14:paraId="49A04A60" w14:textId="010BE93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873 (12.97)</w:t>
            </w:r>
          </w:p>
        </w:tc>
        <w:tc>
          <w:tcPr>
            <w:tcW w:w="2271" w:type="dxa"/>
            <w:shd w:val="clear" w:color="auto" w:fill="auto"/>
            <w:tcMar>
              <w:top w:w="11" w:type="dxa"/>
              <w:left w:w="11" w:type="dxa"/>
              <w:bottom w:w="0" w:type="dxa"/>
              <w:right w:w="11" w:type="dxa"/>
            </w:tcMar>
            <w:vAlign w:val="bottom"/>
            <w:hideMark/>
          </w:tcPr>
          <w:p w14:paraId="25522708" w14:textId="2DA09FB8"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1573 (12.29)</w:t>
            </w:r>
          </w:p>
        </w:tc>
        <w:tc>
          <w:tcPr>
            <w:tcW w:w="1597" w:type="dxa"/>
            <w:shd w:val="clear" w:color="auto" w:fill="auto"/>
            <w:tcMar>
              <w:top w:w="11" w:type="dxa"/>
              <w:left w:w="11" w:type="dxa"/>
              <w:bottom w:w="0" w:type="dxa"/>
              <w:right w:w="11" w:type="dxa"/>
            </w:tcMar>
            <w:vAlign w:val="bottom"/>
            <w:hideMark/>
          </w:tcPr>
          <w:p w14:paraId="5BB035CC" w14:textId="1209F15C"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2446 (12.53)</w:t>
            </w:r>
          </w:p>
        </w:tc>
        <w:tc>
          <w:tcPr>
            <w:tcW w:w="1522" w:type="dxa"/>
            <w:shd w:val="clear" w:color="auto" w:fill="auto"/>
            <w:tcMar>
              <w:top w:w="11" w:type="dxa"/>
              <w:left w:w="11" w:type="dxa"/>
              <w:bottom w:w="0" w:type="dxa"/>
              <w:right w:w="11" w:type="dxa"/>
            </w:tcMar>
            <w:vAlign w:val="bottom"/>
            <w:hideMark/>
          </w:tcPr>
          <w:p w14:paraId="120CAF6D" w14:textId="77777777"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4FDEA4F3"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5CD8650F"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Unknown</w:t>
            </w:r>
          </w:p>
        </w:tc>
        <w:tc>
          <w:tcPr>
            <w:tcW w:w="1685" w:type="dxa"/>
            <w:shd w:val="clear" w:color="auto" w:fill="auto"/>
            <w:tcMar>
              <w:top w:w="11" w:type="dxa"/>
              <w:left w:w="11" w:type="dxa"/>
              <w:bottom w:w="0" w:type="dxa"/>
              <w:right w:w="11" w:type="dxa"/>
            </w:tcMar>
            <w:vAlign w:val="bottom"/>
            <w:hideMark/>
          </w:tcPr>
          <w:p w14:paraId="74A9CB09" w14:textId="0226B4F3"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130 (1.93)</w:t>
            </w:r>
          </w:p>
        </w:tc>
        <w:tc>
          <w:tcPr>
            <w:tcW w:w="2271" w:type="dxa"/>
            <w:shd w:val="clear" w:color="auto" w:fill="auto"/>
            <w:tcMar>
              <w:top w:w="11" w:type="dxa"/>
              <w:left w:w="11" w:type="dxa"/>
              <w:bottom w:w="0" w:type="dxa"/>
              <w:right w:w="11" w:type="dxa"/>
            </w:tcMar>
            <w:vAlign w:val="bottom"/>
            <w:hideMark/>
          </w:tcPr>
          <w:p w14:paraId="30DF0943" w14:textId="534C352B"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292 (2.28)</w:t>
            </w:r>
          </w:p>
        </w:tc>
        <w:tc>
          <w:tcPr>
            <w:tcW w:w="1597" w:type="dxa"/>
            <w:shd w:val="clear" w:color="auto" w:fill="auto"/>
            <w:tcMar>
              <w:top w:w="11" w:type="dxa"/>
              <w:left w:w="11" w:type="dxa"/>
              <w:bottom w:w="0" w:type="dxa"/>
              <w:right w:w="11" w:type="dxa"/>
            </w:tcMar>
            <w:vAlign w:val="bottom"/>
            <w:hideMark/>
          </w:tcPr>
          <w:p w14:paraId="777325E1" w14:textId="3170340C"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422 (2.16)</w:t>
            </w:r>
          </w:p>
        </w:tc>
        <w:tc>
          <w:tcPr>
            <w:tcW w:w="1522" w:type="dxa"/>
            <w:shd w:val="clear" w:color="auto" w:fill="auto"/>
            <w:tcMar>
              <w:top w:w="11" w:type="dxa"/>
              <w:left w:w="11" w:type="dxa"/>
              <w:bottom w:w="0" w:type="dxa"/>
              <w:right w:w="11" w:type="dxa"/>
            </w:tcMar>
            <w:vAlign w:val="bottom"/>
            <w:hideMark/>
          </w:tcPr>
          <w:p w14:paraId="17812113" w14:textId="4802F09D"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61667B8F"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2B6AF052" w14:textId="0481F5D7" w:rsidR="003C2FB1" w:rsidRPr="00AF1DC5" w:rsidRDefault="003C2FB1" w:rsidP="003C2FB1">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Complex chronic Conditions</w:t>
            </w:r>
          </w:p>
        </w:tc>
        <w:tc>
          <w:tcPr>
            <w:tcW w:w="1685" w:type="dxa"/>
            <w:shd w:val="clear" w:color="auto" w:fill="auto"/>
            <w:tcMar>
              <w:top w:w="11" w:type="dxa"/>
              <w:left w:w="11" w:type="dxa"/>
              <w:bottom w:w="0" w:type="dxa"/>
              <w:right w:w="11" w:type="dxa"/>
            </w:tcMar>
            <w:vAlign w:val="bottom"/>
            <w:hideMark/>
          </w:tcPr>
          <w:p w14:paraId="40923ECC" w14:textId="33D596A5" w:rsidR="003C2FB1" w:rsidRPr="00AF1DC5" w:rsidRDefault="003C2FB1" w:rsidP="003C2FB1">
            <w:pPr>
              <w:snapToGrid w:val="0"/>
              <w:spacing w:after="0" w:line="360" w:lineRule="auto"/>
              <w:jc w:val="center"/>
              <w:rPr>
                <w:rFonts w:ascii="Book Antiqua" w:hAnsi="Book Antiqua" w:cs="Courier New"/>
                <w:sz w:val="24"/>
                <w:szCs w:val="24"/>
              </w:rPr>
            </w:pPr>
          </w:p>
        </w:tc>
        <w:tc>
          <w:tcPr>
            <w:tcW w:w="2271" w:type="dxa"/>
            <w:shd w:val="clear" w:color="auto" w:fill="auto"/>
            <w:tcMar>
              <w:top w:w="11" w:type="dxa"/>
              <w:left w:w="11" w:type="dxa"/>
              <w:bottom w:w="0" w:type="dxa"/>
              <w:right w:w="11" w:type="dxa"/>
            </w:tcMar>
            <w:vAlign w:val="bottom"/>
            <w:hideMark/>
          </w:tcPr>
          <w:p w14:paraId="457FFD1D" w14:textId="24010917" w:rsidR="003C2FB1" w:rsidRPr="00AF1DC5" w:rsidRDefault="003C2FB1" w:rsidP="003C2FB1">
            <w:pPr>
              <w:snapToGrid w:val="0"/>
              <w:spacing w:after="0" w:line="360" w:lineRule="auto"/>
              <w:jc w:val="center"/>
              <w:rPr>
                <w:rFonts w:ascii="Book Antiqua" w:hAnsi="Book Antiqua" w:cs="Courier New"/>
                <w:sz w:val="24"/>
                <w:szCs w:val="24"/>
              </w:rPr>
            </w:pPr>
          </w:p>
        </w:tc>
        <w:tc>
          <w:tcPr>
            <w:tcW w:w="1597" w:type="dxa"/>
            <w:shd w:val="clear" w:color="auto" w:fill="auto"/>
            <w:tcMar>
              <w:top w:w="11" w:type="dxa"/>
              <w:left w:w="11" w:type="dxa"/>
              <w:bottom w:w="0" w:type="dxa"/>
              <w:right w:w="11" w:type="dxa"/>
            </w:tcMar>
            <w:vAlign w:val="bottom"/>
            <w:hideMark/>
          </w:tcPr>
          <w:p w14:paraId="5A1E15AE" w14:textId="56C68654" w:rsidR="003C2FB1" w:rsidRPr="00AF1DC5" w:rsidRDefault="003C2FB1" w:rsidP="003C2FB1">
            <w:pPr>
              <w:snapToGrid w:val="0"/>
              <w:spacing w:after="0" w:line="360" w:lineRule="auto"/>
              <w:jc w:val="center"/>
              <w:rPr>
                <w:rFonts w:ascii="Book Antiqua" w:hAnsi="Book Antiqua" w:cs="Courier New"/>
                <w:sz w:val="24"/>
                <w:szCs w:val="24"/>
              </w:rPr>
            </w:pPr>
          </w:p>
        </w:tc>
        <w:tc>
          <w:tcPr>
            <w:tcW w:w="1522" w:type="dxa"/>
            <w:shd w:val="clear" w:color="auto" w:fill="auto"/>
            <w:tcMar>
              <w:top w:w="11" w:type="dxa"/>
              <w:left w:w="11" w:type="dxa"/>
              <w:bottom w:w="0" w:type="dxa"/>
              <w:right w:w="11" w:type="dxa"/>
            </w:tcMar>
            <w:vAlign w:val="bottom"/>
            <w:hideMark/>
          </w:tcPr>
          <w:p w14:paraId="4F328D60" w14:textId="38898361"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476B96F2"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339EF511"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0</w:t>
            </w:r>
          </w:p>
        </w:tc>
        <w:tc>
          <w:tcPr>
            <w:tcW w:w="1685" w:type="dxa"/>
            <w:shd w:val="clear" w:color="auto" w:fill="auto"/>
            <w:tcMar>
              <w:top w:w="11" w:type="dxa"/>
              <w:left w:w="11" w:type="dxa"/>
              <w:bottom w:w="0" w:type="dxa"/>
              <w:right w:w="11" w:type="dxa"/>
            </w:tcMar>
            <w:vAlign w:val="bottom"/>
            <w:hideMark/>
          </w:tcPr>
          <w:p w14:paraId="742C5807" w14:textId="2CDF11DE"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3767 (55.95)</w:t>
            </w:r>
          </w:p>
        </w:tc>
        <w:tc>
          <w:tcPr>
            <w:tcW w:w="2271" w:type="dxa"/>
            <w:shd w:val="clear" w:color="auto" w:fill="auto"/>
            <w:tcMar>
              <w:top w:w="11" w:type="dxa"/>
              <w:left w:w="11" w:type="dxa"/>
              <w:bottom w:w="0" w:type="dxa"/>
              <w:right w:w="11" w:type="dxa"/>
            </w:tcMar>
            <w:vAlign w:val="bottom"/>
            <w:hideMark/>
          </w:tcPr>
          <w:p w14:paraId="6439EFFD" w14:textId="072170CA"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5969 (46.65)</w:t>
            </w:r>
          </w:p>
        </w:tc>
        <w:tc>
          <w:tcPr>
            <w:tcW w:w="1597" w:type="dxa"/>
            <w:shd w:val="clear" w:color="auto" w:fill="auto"/>
            <w:tcMar>
              <w:top w:w="11" w:type="dxa"/>
              <w:left w:w="11" w:type="dxa"/>
              <w:bottom w:w="0" w:type="dxa"/>
              <w:right w:w="11" w:type="dxa"/>
            </w:tcMar>
            <w:vAlign w:val="bottom"/>
            <w:hideMark/>
          </w:tcPr>
          <w:p w14:paraId="1DB8A909" w14:textId="012F9A72"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9736 (49.86)</w:t>
            </w:r>
          </w:p>
        </w:tc>
        <w:tc>
          <w:tcPr>
            <w:tcW w:w="1522" w:type="dxa"/>
            <w:shd w:val="clear" w:color="auto" w:fill="auto"/>
            <w:tcMar>
              <w:top w:w="11" w:type="dxa"/>
              <w:left w:w="11" w:type="dxa"/>
              <w:bottom w:w="0" w:type="dxa"/>
              <w:right w:w="11" w:type="dxa"/>
            </w:tcMar>
            <w:vAlign w:val="bottom"/>
            <w:hideMark/>
          </w:tcPr>
          <w:p w14:paraId="503975DE" w14:textId="77777777"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3F9E99D8"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058A9ED4"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1-2</w:t>
            </w:r>
          </w:p>
        </w:tc>
        <w:tc>
          <w:tcPr>
            <w:tcW w:w="1685" w:type="dxa"/>
            <w:shd w:val="clear" w:color="auto" w:fill="auto"/>
            <w:tcMar>
              <w:top w:w="11" w:type="dxa"/>
              <w:left w:w="11" w:type="dxa"/>
              <w:bottom w:w="0" w:type="dxa"/>
              <w:right w:w="11" w:type="dxa"/>
            </w:tcMar>
            <w:vAlign w:val="bottom"/>
            <w:hideMark/>
          </w:tcPr>
          <w:p w14:paraId="31FBE77C" w14:textId="6BEC18C1"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1771 (26.30)</w:t>
            </w:r>
          </w:p>
        </w:tc>
        <w:tc>
          <w:tcPr>
            <w:tcW w:w="2271" w:type="dxa"/>
            <w:shd w:val="clear" w:color="auto" w:fill="auto"/>
            <w:tcMar>
              <w:top w:w="11" w:type="dxa"/>
              <w:left w:w="11" w:type="dxa"/>
              <w:bottom w:w="0" w:type="dxa"/>
              <w:right w:w="11" w:type="dxa"/>
            </w:tcMar>
            <w:vAlign w:val="bottom"/>
            <w:hideMark/>
          </w:tcPr>
          <w:p w14:paraId="27EC49EE" w14:textId="35E39691"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4328 (33.83)</w:t>
            </w:r>
          </w:p>
        </w:tc>
        <w:tc>
          <w:tcPr>
            <w:tcW w:w="1597" w:type="dxa"/>
            <w:shd w:val="clear" w:color="auto" w:fill="auto"/>
            <w:tcMar>
              <w:top w:w="11" w:type="dxa"/>
              <w:left w:w="11" w:type="dxa"/>
              <w:bottom w:w="0" w:type="dxa"/>
              <w:right w:w="11" w:type="dxa"/>
            </w:tcMar>
            <w:vAlign w:val="bottom"/>
            <w:hideMark/>
          </w:tcPr>
          <w:p w14:paraId="2EDCE6AF" w14:textId="6EE26895"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6099 (31.23)</w:t>
            </w:r>
          </w:p>
        </w:tc>
        <w:tc>
          <w:tcPr>
            <w:tcW w:w="1522" w:type="dxa"/>
            <w:shd w:val="clear" w:color="auto" w:fill="auto"/>
            <w:tcMar>
              <w:top w:w="11" w:type="dxa"/>
              <w:left w:w="11" w:type="dxa"/>
              <w:bottom w:w="0" w:type="dxa"/>
              <w:right w:w="11" w:type="dxa"/>
            </w:tcMar>
            <w:vAlign w:val="bottom"/>
            <w:hideMark/>
          </w:tcPr>
          <w:p w14:paraId="6B8A9C64" w14:textId="77777777"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466B223C"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4280D480" w14:textId="3A7B5218"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w:t>
            </w:r>
            <w:r w:rsidRPr="00AF1DC5">
              <w:rPr>
                <w:rFonts w:ascii="Book Antiqua" w:hAnsi="Book Antiqua" w:cs="Courier New"/>
                <w:iCs/>
                <w:sz w:val="24"/>
                <w:szCs w:val="24"/>
                <w:lang w:eastAsia="zh-CN"/>
              </w:rPr>
              <w:t xml:space="preserve"> </w:t>
            </w:r>
            <w:r w:rsidRPr="00AF1DC5">
              <w:rPr>
                <w:rFonts w:ascii="Book Antiqua" w:hAnsi="Book Antiqua" w:cs="Courier New"/>
                <w:iCs/>
                <w:sz w:val="24"/>
                <w:szCs w:val="24"/>
              </w:rPr>
              <w:t>3</w:t>
            </w:r>
          </w:p>
        </w:tc>
        <w:tc>
          <w:tcPr>
            <w:tcW w:w="1685" w:type="dxa"/>
            <w:shd w:val="clear" w:color="auto" w:fill="auto"/>
            <w:tcMar>
              <w:top w:w="11" w:type="dxa"/>
              <w:left w:w="11" w:type="dxa"/>
              <w:bottom w:w="0" w:type="dxa"/>
              <w:right w:w="11" w:type="dxa"/>
            </w:tcMar>
            <w:vAlign w:val="bottom"/>
            <w:hideMark/>
          </w:tcPr>
          <w:p w14:paraId="636514F4" w14:textId="21A9A93F"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1195 (17.75)</w:t>
            </w:r>
          </w:p>
        </w:tc>
        <w:tc>
          <w:tcPr>
            <w:tcW w:w="2271" w:type="dxa"/>
            <w:shd w:val="clear" w:color="auto" w:fill="auto"/>
            <w:tcMar>
              <w:top w:w="11" w:type="dxa"/>
              <w:left w:w="11" w:type="dxa"/>
              <w:bottom w:w="0" w:type="dxa"/>
              <w:right w:w="11" w:type="dxa"/>
            </w:tcMar>
            <w:vAlign w:val="bottom"/>
            <w:hideMark/>
          </w:tcPr>
          <w:p w14:paraId="37E1C868" w14:textId="556DE246"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2498 (19.52)</w:t>
            </w:r>
          </w:p>
        </w:tc>
        <w:tc>
          <w:tcPr>
            <w:tcW w:w="1597" w:type="dxa"/>
            <w:shd w:val="clear" w:color="auto" w:fill="auto"/>
            <w:tcMar>
              <w:top w:w="11" w:type="dxa"/>
              <w:left w:w="11" w:type="dxa"/>
              <w:bottom w:w="0" w:type="dxa"/>
              <w:right w:w="11" w:type="dxa"/>
            </w:tcMar>
            <w:vAlign w:val="bottom"/>
            <w:hideMark/>
          </w:tcPr>
          <w:p w14:paraId="6BD2099B" w14:textId="3D3157FE"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3693 (18.91)</w:t>
            </w:r>
          </w:p>
        </w:tc>
        <w:tc>
          <w:tcPr>
            <w:tcW w:w="1522" w:type="dxa"/>
            <w:shd w:val="clear" w:color="auto" w:fill="auto"/>
            <w:tcMar>
              <w:top w:w="11" w:type="dxa"/>
              <w:left w:w="11" w:type="dxa"/>
              <w:bottom w:w="0" w:type="dxa"/>
              <w:right w:w="11" w:type="dxa"/>
            </w:tcMar>
            <w:vAlign w:val="bottom"/>
            <w:hideMark/>
          </w:tcPr>
          <w:p w14:paraId="73C7789D" w14:textId="191C2F97"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5E49380D"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170D33BD" w14:textId="57726924" w:rsidR="003C2FB1" w:rsidRPr="00AF1DC5" w:rsidRDefault="003C2FB1" w:rsidP="003C2FB1">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GIH symptoms</w:t>
            </w:r>
          </w:p>
        </w:tc>
        <w:tc>
          <w:tcPr>
            <w:tcW w:w="1685" w:type="dxa"/>
            <w:shd w:val="clear" w:color="auto" w:fill="auto"/>
            <w:tcMar>
              <w:top w:w="11" w:type="dxa"/>
              <w:left w:w="11" w:type="dxa"/>
              <w:bottom w:w="0" w:type="dxa"/>
              <w:right w:w="11" w:type="dxa"/>
            </w:tcMar>
            <w:vAlign w:val="bottom"/>
            <w:hideMark/>
          </w:tcPr>
          <w:p w14:paraId="70868843" w14:textId="695A7CFC" w:rsidR="003C2FB1" w:rsidRPr="00AF1DC5" w:rsidRDefault="003C2FB1" w:rsidP="003C2FB1">
            <w:pPr>
              <w:snapToGrid w:val="0"/>
              <w:spacing w:after="0" w:line="360" w:lineRule="auto"/>
              <w:jc w:val="center"/>
              <w:rPr>
                <w:rFonts w:ascii="Book Antiqua" w:hAnsi="Book Antiqua" w:cs="Courier New"/>
                <w:sz w:val="24"/>
                <w:szCs w:val="24"/>
              </w:rPr>
            </w:pPr>
          </w:p>
        </w:tc>
        <w:tc>
          <w:tcPr>
            <w:tcW w:w="2271" w:type="dxa"/>
            <w:shd w:val="clear" w:color="auto" w:fill="auto"/>
            <w:tcMar>
              <w:top w:w="11" w:type="dxa"/>
              <w:left w:w="11" w:type="dxa"/>
              <w:bottom w:w="0" w:type="dxa"/>
              <w:right w:w="11" w:type="dxa"/>
            </w:tcMar>
            <w:vAlign w:val="bottom"/>
            <w:hideMark/>
          </w:tcPr>
          <w:p w14:paraId="742671CA" w14:textId="4F79B42D" w:rsidR="003C2FB1" w:rsidRPr="00AF1DC5" w:rsidRDefault="003C2FB1" w:rsidP="003C2FB1">
            <w:pPr>
              <w:snapToGrid w:val="0"/>
              <w:spacing w:after="0" w:line="360" w:lineRule="auto"/>
              <w:jc w:val="center"/>
              <w:rPr>
                <w:rFonts w:ascii="Book Antiqua" w:hAnsi="Book Antiqua" w:cs="Courier New"/>
                <w:sz w:val="24"/>
                <w:szCs w:val="24"/>
              </w:rPr>
            </w:pPr>
          </w:p>
        </w:tc>
        <w:tc>
          <w:tcPr>
            <w:tcW w:w="1597" w:type="dxa"/>
            <w:shd w:val="clear" w:color="auto" w:fill="auto"/>
            <w:tcMar>
              <w:top w:w="11" w:type="dxa"/>
              <w:left w:w="11" w:type="dxa"/>
              <w:bottom w:w="0" w:type="dxa"/>
              <w:right w:w="11" w:type="dxa"/>
            </w:tcMar>
            <w:vAlign w:val="bottom"/>
            <w:hideMark/>
          </w:tcPr>
          <w:p w14:paraId="01E8518A" w14:textId="0B01FA04" w:rsidR="003C2FB1" w:rsidRPr="00AF1DC5" w:rsidRDefault="003C2FB1" w:rsidP="003C2FB1">
            <w:pPr>
              <w:snapToGrid w:val="0"/>
              <w:spacing w:after="0" w:line="360" w:lineRule="auto"/>
              <w:jc w:val="center"/>
              <w:rPr>
                <w:rFonts w:ascii="Book Antiqua" w:hAnsi="Book Antiqua" w:cs="Courier New"/>
                <w:sz w:val="24"/>
                <w:szCs w:val="24"/>
              </w:rPr>
            </w:pPr>
          </w:p>
        </w:tc>
        <w:tc>
          <w:tcPr>
            <w:tcW w:w="1522" w:type="dxa"/>
            <w:shd w:val="clear" w:color="auto" w:fill="auto"/>
            <w:tcMar>
              <w:top w:w="11" w:type="dxa"/>
              <w:left w:w="11" w:type="dxa"/>
              <w:bottom w:w="0" w:type="dxa"/>
              <w:right w:w="11" w:type="dxa"/>
            </w:tcMar>
            <w:vAlign w:val="bottom"/>
            <w:hideMark/>
          </w:tcPr>
          <w:p w14:paraId="488CD80D" w14:textId="65E132DC"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4F989CCA"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39F82696"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Hematemesis</w:t>
            </w:r>
          </w:p>
        </w:tc>
        <w:tc>
          <w:tcPr>
            <w:tcW w:w="1685" w:type="dxa"/>
            <w:shd w:val="clear" w:color="auto" w:fill="auto"/>
            <w:tcMar>
              <w:top w:w="11" w:type="dxa"/>
              <w:left w:w="11" w:type="dxa"/>
              <w:bottom w:w="0" w:type="dxa"/>
              <w:right w:w="11" w:type="dxa"/>
            </w:tcMar>
            <w:vAlign w:val="bottom"/>
            <w:hideMark/>
          </w:tcPr>
          <w:p w14:paraId="7FED167D" w14:textId="1FC3B479"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2333 (34.65)</w:t>
            </w:r>
          </w:p>
        </w:tc>
        <w:tc>
          <w:tcPr>
            <w:tcW w:w="2271" w:type="dxa"/>
            <w:shd w:val="clear" w:color="auto" w:fill="auto"/>
            <w:tcMar>
              <w:top w:w="11" w:type="dxa"/>
              <w:left w:w="11" w:type="dxa"/>
              <w:bottom w:w="0" w:type="dxa"/>
              <w:right w:w="11" w:type="dxa"/>
            </w:tcMar>
            <w:vAlign w:val="bottom"/>
            <w:hideMark/>
          </w:tcPr>
          <w:p w14:paraId="4584BCFC" w14:textId="27DBCD19"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4263 (33.32)</w:t>
            </w:r>
          </w:p>
        </w:tc>
        <w:tc>
          <w:tcPr>
            <w:tcW w:w="1597" w:type="dxa"/>
            <w:shd w:val="clear" w:color="auto" w:fill="auto"/>
            <w:tcMar>
              <w:top w:w="11" w:type="dxa"/>
              <w:left w:w="11" w:type="dxa"/>
              <w:bottom w:w="0" w:type="dxa"/>
              <w:right w:w="11" w:type="dxa"/>
            </w:tcMar>
            <w:vAlign w:val="bottom"/>
            <w:hideMark/>
          </w:tcPr>
          <w:p w14:paraId="1052E7E4" w14:textId="69221A05"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6596 (33.78)</w:t>
            </w:r>
          </w:p>
        </w:tc>
        <w:tc>
          <w:tcPr>
            <w:tcW w:w="1522" w:type="dxa"/>
            <w:shd w:val="clear" w:color="auto" w:fill="auto"/>
            <w:tcMar>
              <w:top w:w="11" w:type="dxa"/>
              <w:left w:w="11" w:type="dxa"/>
              <w:bottom w:w="0" w:type="dxa"/>
              <w:right w:w="11" w:type="dxa"/>
            </w:tcMar>
            <w:vAlign w:val="bottom"/>
            <w:hideMark/>
          </w:tcPr>
          <w:p w14:paraId="5796CF39"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0.0635</w:t>
            </w:r>
          </w:p>
        </w:tc>
      </w:tr>
      <w:tr w:rsidR="00AF1DC5" w:rsidRPr="00AF1DC5" w14:paraId="3CD3D362"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2CC3DE7B"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Melena</w:t>
            </w:r>
          </w:p>
        </w:tc>
        <w:tc>
          <w:tcPr>
            <w:tcW w:w="1685" w:type="dxa"/>
            <w:shd w:val="clear" w:color="auto" w:fill="auto"/>
            <w:tcMar>
              <w:top w:w="11" w:type="dxa"/>
              <w:left w:w="11" w:type="dxa"/>
              <w:bottom w:w="0" w:type="dxa"/>
              <w:right w:w="11" w:type="dxa"/>
            </w:tcMar>
            <w:vAlign w:val="bottom"/>
            <w:hideMark/>
          </w:tcPr>
          <w:p w14:paraId="713ADA24" w14:textId="424FDF6D"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1983 (29.45)</w:t>
            </w:r>
          </w:p>
        </w:tc>
        <w:tc>
          <w:tcPr>
            <w:tcW w:w="2271" w:type="dxa"/>
            <w:shd w:val="clear" w:color="auto" w:fill="auto"/>
            <w:tcMar>
              <w:top w:w="11" w:type="dxa"/>
              <w:left w:w="11" w:type="dxa"/>
              <w:bottom w:w="0" w:type="dxa"/>
              <w:right w:w="11" w:type="dxa"/>
            </w:tcMar>
            <w:vAlign w:val="bottom"/>
            <w:hideMark/>
          </w:tcPr>
          <w:p w14:paraId="79CF7F86" w14:textId="765120E5"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6018 (47.03)</w:t>
            </w:r>
          </w:p>
        </w:tc>
        <w:tc>
          <w:tcPr>
            <w:tcW w:w="1597" w:type="dxa"/>
            <w:shd w:val="clear" w:color="auto" w:fill="auto"/>
            <w:tcMar>
              <w:top w:w="11" w:type="dxa"/>
              <w:left w:w="11" w:type="dxa"/>
              <w:bottom w:w="0" w:type="dxa"/>
              <w:right w:w="11" w:type="dxa"/>
            </w:tcMar>
            <w:vAlign w:val="bottom"/>
            <w:hideMark/>
          </w:tcPr>
          <w:p w14:paraId="285C3FFA" w14:textId="162636C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8001 (40.97)</w:t>
            </w:r>
          </w:p>
        </w:tc>
        <w:tc>
          <w:tcPr>
            <w:tcW w:w="1522" w:type="dxa"/>
            <w:shd w:val="clear" w:color="auto" w:fill="auto"/>
            <w:tcMar>
              <w:top w:w="11" w:type="dxa"/>
              <w:left w:w="11" w:type="dxa"/>
              <w:bottom w:w="0" w:type="dxa"/>
              <w:right w:w="11" w:type="dxa"/>
            </w:tcMar>
            <w:vAlign w:val="bottom"/>
            <w:hideMark/>
          </w:tcPr>
          <w:p w14:paraId="760F1CE1" w14:textId="4F08A4EC"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0DCFBE76"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256122F5"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Hypovolemia</w:t>
            </w:r>
          </w:p>
        </w:tc>
        <w:tc>
          <w:tcPr>
            <w:tcW w:w="1685" w:type="dxa"/>
            <w:shd w:val="clear" w:color="auto" w:fill="auto"/>
            <w:tcMar>
              <w:top w:w="11" w:type="dxa"/>
              <w:left w:w="11" w:type="dxa"/>
              <w:bottom w:w="0" w:type="dxa"/>
              <w:right w:w="11" w:type="dxa"/>
            </w:tcMar>
            <w:vAlign w:val="bottom"/>
            <w:hideMark/>
          </w:tcPr>
          <w:p w14:paraId="1A86C801" w14:textId="334441C6"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52 (0.77)</w:t>
            </w:r>
          </w:p>
        </w:tc>
        <w:tc>
          <w:tcPr>
            <w:tcW w:w="2271" w:type="dxa"/>
            <w:shd w:val="clear" w:color="auto" w:fill="auto"/>
            <w:tcMar>
              <w:top w:w="11" w:type="dxa"/>
              <w:left w:w="11" w:type="dxa"/>
              <w:bottom w:w="0" w:type="dxa"/>
              <w:right w:w="11" w:type="dxa"/>
            </w:tcMar>
            <w:vAlign w:val="bottom"/>
            <w:hideMark/>
          </w:tcPr>
          <w:p w14:paraId="3FB38E47" w14:textId="6C02FBD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90 (0.70)</w:t>
            </w:r>
          </w:p>
        </w:tc>
        <w:tc>
          <w:tcPr>
            <w:tcW w:w="1597" w:type="dxa"/>
            <w:shd w:val="clear" w:color="auto" w:fill="auto"/>
            <w:tcMar>
              <w:top w:w="11" w:type="dxa"/>
              <w:left w:w="11" w:type="dxa"/>
              <w:bottom w:w="0" w:type="dxa"/>
              <w:right w:w="11" w:type="dxa"/>
            </w:tcMar>
            <w:vAlign w:val="bottom"/>
            <w:hideMark/>
          </w:tcPr>
          <w:p w14:paraId="6666114F" w14:textId="30FC02EA"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142 (0.73)</w:t>
            </w:r>
          </w:p>
        </w:tc>
        <w:tc>
          <w:tcPr>
            <w:tcW w:w="1522" w:type="dxa"/>
            <w:shd w:val="clear" w:color="auto" w:fill="auto"/>
            <w:tcMar>
              <w:top w:w="11" w:type="dxa"/>
              <w:left w:w="11" w:type="dxa"/>
              <w:bottom w:w="0" w:type="dxa"/>
              <w:right w:w="11" w:type="dxa"/>
            </w:tcMar>
            <w:vAlign w:val="bottom"/>
            <w:hideMark/>
          </w:tcPr>
          <w:p w14:paraId="74B2E388"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0.5956</w:t>
            </w:r>
          </w:p>
        </w:tc>
      </w:tr>
      <w:tr w:rsidR="00AF1DC5" w:rsidRPr="00AF1DC5" w14:paraId="788B89AE"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75CA77A0" w14:textId="77777777" w:rsidR="003C2FB1" w:rsidRPr="00AF1DC5" w:rsidRDefault="003C2FB1" w:rsidP="003C2FB1">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Pharmaceutical Interventions</w:t>
            </w:r>
          </w:p>
        </w:tc>
        <w:tc>
          <w:tcPr>
            <w:tcW w:w="1685" w:type="dxa"/>
            <w:shd w:val="clear" w:color="auto" w:fill="auto"/>
            <w:tcMar>
              <w:top w:w="11" w:type="dxa"/>
              <w:left w:w="11" w:type="dxa"/>
              <w:bottom w:w="0" w:type="dxa"/>
              <w:right w:w="11" w:type="dxa"/>
            </w:tcMar>
            <w:vAlign w:val="bottom"/>
            <w:hideMark/>
          </w:tcPr>
          <w:p w14:paraId="735C2F41" w14:textId="0B68FFBC" w:rsidR="003C2FB1" w:rsidRPr="00AF1DC5" w:rsidRDefault="003C2FB1" w:rsidP="003C2FB1">
            <w:pPr>
              <w:snapToGrid w:val="0"/>
              <w:spacing w:after="0" w:line="360" w:lineRule="auto"/>
              <w:jc w:val="center"/>
              <w:rPr>
                <w:rFonts w:ascii="Book Antiqua" w:hAnsi="Book Antiqua" w:cs="Courier New"/>
                <w:sz w:val="24"/>
                <w:szCs w:val="24"/>
              </w:rPr>
            </w:pPr>
          </w:p>
        </w:tc>
        <w:tc>
          <w:tcPr>
            <w:tcW w:w="2271" w:type="dxa"/>
            <w:shd w:val="clear" w:color="auto" w:fill="auto"/>
            <w:tcMar>
              <w:top w:w="11" w:type="dxa"/>
              <w:left w:w="11" w:type="dxa"/>
              <w:bottom w:w="0" w:type="dxa"/>
              <w:right w:w="11" w:type="dxa"/>
            </w:tcMar>
            <w:vAlign w:val="bottom"/>
            <w:hideMark/>
          </w:tcPr>
          <w:p w14:paraId="328DD3D0" w14:textId="562792A8" w:rsidR="003C2FB1" w:rsidRPr="00AF1DC5" w:rsidRDefault="003C2FB1" w:rsidP="003C2FB1">
            <w:pPr>
              <w:snapToGrid w:val="0"/>
              <w:spacing w:after="0" w:line="360" w:lineRule="auto"/>
              <w:jc w:val="center"/>
              <w:rPr>
                <w:rFonts w:ascii="Book Antiqua" w:hAnsi="Book Antiqua" w:cs="Courier New"/>
                <w:sz w:val="24"/>
                <w:szCs w:val="24"/>
              </w:rPr>
            </w:pPr>
          </w:p>
        </w:tc>
        <w:tc>
          <w:tcPr>
            <w:tcW w:w="1597" w:type="dxa"/>
            <w:shd w:val="clear" w:color="auto" w:fill="auto"/>
            <w:tcMar>
              <w:top w:w="11" w:type="dxa"/>
              <w:left w:w="11" w:type="dxa"/>
              <w:bottom w:w="0" w:type="dxa"/>
              <w:right w:w="11" w:type="dxa"/>
            </w:tcMar>
            <w:vAlign w:val="bottom"/>
            <w:hideMark/>
          </w:tcPr>
          <w:p w14:paraId="0603AE81" w14:textId="47321C2F" w:rsidR="003C2FB1" w:rsidRPr="00AF1DC5" w:rsidRDefault="003C2FB1" w:rsidP="003C2FB1">
            <w:pPr>
              <w:snapToGrid w:val="0"/>
              <w:spacing w:after="0" w:line="360" w:lineRule="auto"/>
              <w:jc w:val="center"/>
              <w:rPr>
                <w:rFonts w:ascii="Book Antiqua" w:hAnsi="Book Antiqua" w:cs="Courier New"/>
                <w:sz w:val="24"/>
                <w:szCs w:val="24"/>
              </w:rPr>
            </w:pPr>
          </w:p>
        </w:tc>
        <w:tc>
          <w:tcPr>
            <w:tcW w:w="1522" w:type="dxa"/>
            <w:shd w:val="clear" w:color="auto" w:fill="auto"/>
            <w:tcMar>
              <w:top w:w="11" w:type="dxa"/>
              <w:left w:w="11" w:type="dxa"/>
              <w:bottom w:w="0" w:type="dxa"/>
              <w:right w:w="11" w:type="dxa"/>
            </w:tcMar>
            <w:vAlign w:val="bottom"/>
            <w:hideMark/>
          </w:tcPr>
          <w:p w14:paraId="564A3978" w14:textId="68701927"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62C93B8A"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1C2DD74B"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PPI on day 0 or 1</w:t>
            </w:r>
          </w:p>
        </w:tc>
        <w:tc>
          <w:tcPr>
            <w:tcW w:w="1685" w:type="dxa"/>
            <w:shd w:val="clear" w:color="auto" w:fill="auto"/>
            <w:tcMar>
              <w:top w:w="11" w:type="dxa"/>
              <w:left w:w="11" w:type="dxa"/>
              <w:bottom w:w="0" w:type="dxa"/>
              <w:right w:w="11" w:type="dxa"/>
            </w:tcMar>
            <w:vAlign w:val="bottom"/>
            <w:hideMark/>
          </w:tcPr>
          <w:p w14:paraId="25A90E1F" w14:textId="6E7F9A24"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4473 (66.43)</w:t>
            </w:r>
          </w:p>
        </w:tc>
        <w:tc>
          <w:tcPr>
            <w:tcW w:w="2271" w:type="dxa"/>
            <w:shd w:val="clear" w:color="auto" w:fill="auto"/>
            <w:tcMar>
              <w:top w:w="11" w:type="dxa"/>
              <w:left w:w="11" w:type="dxa"/>
              <w:bottom w:w="0" w:type="dxa"/>
              <w:right w:w="11" w:type="dxa"/>
            </w:tcMar>
            <w:vAlign w:val="bottom"/>
            <w:hideMark/>
          </w:tcPr>
          <w:p w14:paraId="618F85BD" w14:textId="06F70A4E"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6038 (47.19)</w:t>
            </w:r>
          </w:p>
        </w:tc>
        <w:tc>
          <w:tcPr>
            <w:tcW w:w="1597" w:type="dxa"/>
            <w:shd w:val="clear" w:color="auto" w:fill="auto"/>
            <w:tcMar>
              <w:top w:w="11" w:type="dxa"/>
              <w:left w:w="11" w:type="dxa"/>
              <w:bottom w:w="0" w:type="dxa"/>
              <w:right w:w="11" w:type="dxa"/>
            </w:tcMar>
            <w:vAlign w:val="bottom"/>
            <w:hideMark/>
          </w:tcPr>
          <w:p w14:paraId="5A0A92A1" w14:textId="63B39B7B"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10511 (53.83)</w:t>
            </w:r>
          </w:p>
        </w:tc>
        <w:tc>
          <w:tcPr>
            <w:tcW w:w="1522" w:type="dxa"/>
            <w:shd w:val="clear" w:color="auto" w:fill="auto"/>
            <w:tcMar>
              <w:top w:w="11" w:type="dxa"/>
              <w:left w:w="11" w:type="dxa"/>
              <w:bottom w:w="0" w:type="dxa"/>
              <w:right w:w="11" w:type="dxa"/>
            </w:tcMar>
            <w:vAlign w:val="bottom"/>
            <w:hideMark/>
          </w:tcPr>
          <w:p w14:paraId="62A804B3" w14:textId="7C60A754"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605FB4C8"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5CFE0847"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lastRenderedPageBreak/>
              <w:t>H2RA on day 0 or 1</w:t>
            </w:r>
          </w:p>
        </w:tc>
        <w:tc>
          <w:tcPr>
            <w:tcW w:w="1685" w:type="dxa"/>
            <w:shd w:val="clear" w:color="auto" w:fill="auto"/>
            <w:tcMar>
              <w:top w:w="11" w:type="dxa"/>
              <w:left w:w="11" w:type="dxa"/>
              <w:bottom w:w="0" w:type="dxa"/>
              <w:right w:w="11" w:type="dxa"/>
            </w:tcMar>
            <w:vAlign w:val="bottom"/>
            <w:hideMark/>
          </w:tcPr>
          <w:p w14:paraId="18908242" w14:textId="5C8CBA1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1301 (19.32)</w:t>
            </w:r>
          </w:p>
        </w:tc>
        <w:tc>
          <w:tcPr>
            <w:tcW w:w="2271" w:type="dxa"/>
            <w:shd w:val="clear" w:color="auto" w:fill="auto"/>
            <w:tcMar>
              <w:top w:w="11" w:type="dxa"/>
              <w:left w:w="11" w:type="dxa"/>
              <w:bottom w:w="0" w:type="dxa"/>
              <w:right w:w="11" w:type="dxa"/>
            </w:tcMar>
            <w:vAlign w:val="bottom"/>
            <w:hideMark/>
          </w:tcPr>
          <w:p w14:paraId="7AE1D81E" w14:textId="523E337C"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2715 (21.22)</w:t>
            </w:r>
          </w:p>
        </w:tc>
        <w:tc>
          <w:tcPr>
            <w:tcW w:w="1597" w:type="dxa"/>
            <w:shd w:val="clear" w:color="auto" w:fill="auto"/>
            <w:tcMar>
              <w:top w:w="11" w:type="dxa"/>
              <w:left w:w="11" w:type="dxa"/>
              <w:bottom w:w="0" w:type="dxa"/>
              <w:right w:w="11" w:type="dxa"/>
            </w:tcMar>
            <w:vAlign w:val="bottom"/>
            <w:hideMark/>
          </w:tcPr>
          <w:p w14:paraId="452CF54D" w14:textId="29FAE7B1"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4016 (20.57)</w:t>
            </w:r>
          </w:p>
        </w:tc>
        <w:tc>
          <w:tcPr>
            <w:tcW w:w="1522" w:type="dxa"/>
            <w:shd w:val="clear" w:color="auto" w:fill="auto"/>
            <w:tcMar>
              <w:top w:w="11" w:type="dxa"/>
              <w:left w:w="11" w:type="dxa"/>
              <w:bottom w:w="0" w:type="dxa"/>
              <w:right w:w="11" w:type="dxa"/>
            </w:tcMar>
            <w:vAlign w:val="bottom"/>
            <w:hideMark/>
          </w:tcPr>
          <w:p w14:paraId="68CB754B"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0.0019</w:t>
            </w:r>
          </w:p>
        </w:tc>
      </w:tr>
      <w:tr w:rsidR="00AF1DC5" w:rsidRPr="00AF1DC5" w14:paraId="5E7AA771"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52A74422"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Erythromycin on day 0 or 1</w:t>
            </w:r>
          </w:p>
        </w:tc>
        <w:tc>
          <w:tcPr>
            <w:tcW w:w="1685" w:type="dxa"/>
            <w:shd w:val="clear" w:color="auto" w:fill="auto"/>
            <w:tcMar>
              <w:top w:w="11" w:type="dxa"/>
              <w:left w:w="11" w:type="dxa"/>
              <w:bottom w:w="0" w:type="dxa"/>
              <w:right w:w="11" w:type="dxa"/>
            </w:tcMar>
            <w:vAlign w:val="bottom"/>
            <w:hideMark/>
          </w:tcPr>
          <w:p w14:paraId="75EDA045" w14:textId="30BED9D9"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197 (2.93)</w:t>
            </w:r>
          </w:p>
        </w:tc>
        <w:tc>
          <w:tcPr>
            <w:tcW w:w="2271" w:type="dxa"/>
            <w:shd w:val="clear" w:color="auto" w:fill="auto"/>
            <w:tcMar>
              <w:top w:w="11" w:type="dxa"/>
              <w:left w:w="11" w:type="dxa"/>
              <w:bottom w:w="0" w:type="dxa"/>
              <w:right w:w="11" w:type="dxa"/>
            </w:tcMar>
            <w:vAlign w:val="bottom"/>
            <w:hideMark/>
          </w:tcPr>
          <w:p w14:paraId="382A61B1" w14:textId="5D7BEDBE"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313 (2.45)</w:t>
            </w:r>
          </w:p>
        </w:tc>
        <w:tc>
          <w:tcPr>
            <w:tcW w:w="1597" w:type="dxa"/>
            <w:shd w:val="clear" w:color="auto" w:fill="auto"/>
            <w:tcMar>
              <w:top w:w="11" w:type="dxa"/>
              <w:left w:w="11" w:type="dxa"/>
              <w:bottom w:w="0" w:type="dxa"/>
              <w:right w:w="11" w:type="dxa"/>
            </w:tcMar>
            <w:vAlign w:val="bottom"/>
            <w:hideMark/>
          </w:tcPr>
          <w:p w14:paraId="4CF2890F" w14:textId="5AA94714"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510 (2.61)</w:t>
            </w:r>
          </w:p>
        </w:tc>
        <w:tc>
          <w:tcPr>
            <w:tcW w:w="1522" w:type="dxa"/>
            <w:shd w:val="clear" w:color="auto" w:fill="auto"/>
            <w:tcMar>
              <w:top w:w="11" w:type="dxa"/>
              <w:left w:w="11" w:type="dxa"/>
              <w:bottom w:w="0" w:type="dxa"/>
              <w:right w:w="11" w:type="dxa"/>
            </w:tcMar>
            <w:vAlign w:val="bottom"/>
            <w:hideMark/>
          </w:tcPr>
          <w:p w14:paraId="0F80E26A"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0.0511</w:t>
            </w:r>
          </w:p>
        </w:tc>
      </w:tr>
      <w:tr w:rsidR="00AF1DC5" w:rsidRPr="00AF1DC5" w14:paraId="037C461F"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227676F7"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Vasopressin on day 0 or 1</w:t>
            </w:r>
          </w:p>
        </w:tc>
        <w:tc>
          <w:tcPr>
            <w:tcW w:w="1685" w:type="dxa"/>
            <w:shd w:val="clear" w:color="auto" w:fill="auto"/>
            <w:tcMar>
              <w:top w:w="11" w:type="dxa"/>
              <w:left w:w="11" w:type="dxa"/>
              <w:bottom w:w="0" w:type="dxa"/>
              <w:right w:w="11" w:type="dxa"/>
            </w:tcMar>
            <w:vAlign w:val="bottom"/>
            <w:hideMark/>
          </w:tcPr>
          <w:p w14:paraId="35BE9E33" w14:textId="45B7EC4A"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15 (0.22)</w:t>
            </w:r>
          </w:p>
        </w:tc>
        <w:tc>
          <w:tcPr>
            <w:tcW w:w="2271" w:type="dxa"/>
            <w:shd w:val="clear" w:color="auto" w:fill="auto"/>
            <w:tcMar>
              <w:top w:w="11" w:type="dxa"/>
              <w:left w:w="11" w:type="dxa"/>
              <w:bottom w:w="0" w:type="dxa"/>
              <w:right w:w="11" w:type="dxa"/>
            </w:tcMar>
            <w:vAlign w:val="bottom"/>
            <w:hideMark/>
          </w:tcPr>
          <w:p w14:paraId="6CC7D467" w14:textId="429FC05A"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142 (1.11)</w:t>
            </w:r>
          </w:p>
        </w:tc>
        <w:tc>
          <w:tcPr>
            <w:tcW w:w="1597" w:type="dxa"/>
            <w:shd w:val="clear" w:color="auto" w:fill="auto"/>
            <w:tcMar>
              <w:top w:w="11" w:type="dxa"/>
              <w:left w:w="11" w:type="dxa"/>
              <w:bottom w:w="0" w:type="dxa"/>
              <w:right w:w="11" w:type="dxa"/>
            </w:tcMar>
            <w:vAlign w:val="bottom"/>
            <w:hideMark/>
          </w:tcPr>
          <w:p w14:paraId="492C775E" w14:textId="6D8FD821"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157 (0.80)</w:t>
            </w:r>
          </w:p>
        </w:tc>
        <w:tc>
          <w:tcPr>
            <w:tcW w:w="1522" w:type="dxa"/>
            <w:shd w:val="clear" w:color="auto" w:fill="auto"/>
            <w:tcMar>
              <w:top w:w="11" w:type="dxa"/>
              <w:left w:w="11" w:type="dxa"/>
              <w:bottom w:w="0" w:type="dxa"/>
              <w:right w:w="11" w:type="dxa"/>
            </w:tcMar>
            <w:vAlign w:val="bottom"/>
            <w:hideMark/>
          </w:tcPr>
          <w:p w14:paraId="49EC260B" w14:textId="1D9B598E"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7509323B"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519AC9BC"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Octreotide on day 0 or 1</w:t>
            </w:r>
          </w:p>
        </w:tc>
        <w:tc>
          <w:tcPr>
            <w:tcW w:w="1685" w:type="dxa"/>
            <w:shd w:val="clear" w:color="auto" w:fill="auto"/>
            <w:tcMar>
              <w:top w:w="11" w:type="dxa"/>
              <w:left w:w="11" w:type="dxa"/>
              <w:bottom w:w="0" w:type="dxa"/>
              <w:right w:w="11" w:type="dxa"/>
            </w:tcMar>
            <w:vAlign w:val="bottom"/>
            <w:hideMark/>
          </w:tcPr>
          <w:p w14:paraId="3A3A0D29" w14:textId="1DDF4732"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349 (5.18)</w:t>
            </w:r>
          </w:p>
        </w:tc>
        <w:tc>
          <w:tcPr>
            <w:tcW w:w="2271" w:type="dxa"/>
            <w:shd w:val="clear" w:color="auto" w:fill="auto"/>
            <w:tcMar>
              <w:top w:w="11" w:type="dxa"/>
              <w:left w:w="11" w:type="dxa"/>
              <w:bottom w:w="0" w:type="dxa"/>
              <w:right w:w="11" w:type="dxa"/>
            </w:tcMar>
            <w:vAlign w:val="bottom"/>
            <w:hideMark/>
          </w:tcPr>
          <w:p w14:paraId="6017ABE5" w14:textId="3954E4E4"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439 (3.43)</w:t>
            </w:r>
          </w:p>
        </w:tc>
        <w:tc>
          <w:tcPr>
            <w:tcW w:w="1597" w:type="dxa"/>
            <w:shd w:val="clear" w:color="auto" w:fill="auto"/>
            <w:tcMar>
              <w:top w:w="11" w:type="dxa"/>
              <w:left w:w="11" w:type="dxa"/>
              <w:bottom w:w="0" w:type="dxa"/>
              <w:right w:w="11" w:type="dxa"/>
            </w:tcMar>
            <w:vAlign w:val="bottom"/>
            <w:hideMark/>
          </w:tcPr>
          <w:p w14:paraId="072A4D68" w14:textId="7A8BEFF1"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788 (4.04)</w:t>
            </w:r>
          </w:p>
        </w:tc>
        <w:tc>
          <w:tcPr>
            <w:tcW w:w="1522" w:type="dxa"/>
            <w:shd w:val="clear" w:color="auto" w:fill="auto"/>
            <w:tcMar>
              <w:top w:w="11" w:type="dxa"/>
              <w:left w:w="11" w:type="dxa"/>
              <w:bottom w:w="0" w:type="dxa"/>
              <w:right w:w="11" w:type="dxa"/>
            </w:tcMar>
            <w:vAlign w:val="bottom"/>
            <w:hideMark/>
          </w:tcPr>
          <w:p w14:paraId="7CE840C1" w14:textId="6580E9EF"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35F5E57C"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7CD90707" w14:textId="77777777" w:rsidR="003C2FB1" w:rsidRPr="00AF1DC5" w:rsidRDefault="003C2FB1" w:rsidP="003C2FB1">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Diagnostic Imaging</w:t>
            </w:r>
          </w:p>
        </w:tc>
        <w:tc>
          <w:tcPr>
            <w:tcW w:w="1685" w:type="dxa"/>
            <w:shd w:val="clear" w:color="auto" w:fill="auto"/>
            <w:tcMar>
              <w:top w:w="11" w:type="dxa"/>
              <w:left w:w="11" w:type="dxa"/>
              <w:bottom w:w="0" w:type="dxa"/>
              <w:right w:w="11" w:type="dxa"/>
            </w:tcMar>
            <w:vAlign w:val="bottom"/>
            <w:hideMark/>
          </w:tcPr>
          <w:p w14:paraId="2CEF92A7" w14:textId="2F81E475" w:rsidR="003C2FB1" w:rsidRPr="00AF1DC5" w:rsidRDefault="003C2FB1" w:rsidP="003C2FB1">
            <w:pPr>
              <w:snapToGrid w:val="0"/>
              <w:spacing w:after="0" w:line="360" w:lineRule="auto"/>
              <w:jc w:val="center"/>
              <w:rPr>
                <w:rFonts w:ascii="Book Antiqua" w:hAnsi="Book Antiqua" w:cs="Courier New"/>
                <w:sz w:val="24"/>
                <w:szCs w:val="24"/>
              </w:rPr>
            </w:pPr>
          </w:p>
        </w:tc>
        <w:tc>
          <w:tcPr>
            <w:tcW w:w="2271" w:type="dxa"/>
            <w:shd w:val="clear" w:color="auto" w:fill="auto"/>
            <w:tcMar>
              <w:top w:w="11" w:type="dxa"/>
              <w:left w:w="11" w:type="dxa"/>
              <w:bottom w:w="0" w:type="dxa"/>
              <w:right w:w="11" w:type="dxa"/>
            </w:tcMar>
            <w:vAlign w:val="bottom"/>
            <w:hideMark/>
          </w:tcPr>
          <w:p w14:paraId="7DD9D4ED" w14:textId="25261693" w:rsidR="003C2FB1" w:rsidRPr="00AF1DC5" w:rsidRDefault="003C2FB1" w:rsidP="003C2FB1">
            <w:pPr>
              <w:snapToGrid w:val="0"/>
              <w:spacing w:after="0" w:line="360" w:lineRule="auto"/>
              <w:jc w:val="center"/>
              <w:rPr>
                <w:rFonts w:ascii="Book Antiqua" w:hAnsi="Book Antiqua" w:cs="Courier New"/>
                <w:sz w:val="24"/>
                <w:szCs w:val="24"/>
              </w:rPr>
            </w:pPr>
          </w:p>
        </w:tc>
        <w:tc>
          <w:tcPr>
            <w:tcW w:w="1597" w:type="dxa"/>
            <w:shd w:val="clear" w:color="auto" w:fill="auto"/>
            <w:tcMar>
              <w:top w:w="11" w:type="dxa"/>
              <w:left w:w="11" w:type="dxa"/>
              <w:bottom w:w="0" w:type="dxa"/>
              <w:right w:w="11" w:type="dxa"/>
            </w:tcMar>
            <w:vAlign w:val="bottom"/>
            <w:hideMark/>
          </w:tcPr>
          <w:p w14:paraId="28CA7425" w14:textId="413CD67A" w:rsidR="003C2FB1" w:rsidRPr="00AF1DC5" w:rsidRDefault="003C2FB1" w:rsidP="003C2FB1">
            <w:pPr>
              <w:snapToGrid w:val="0"/>
              <w:spacing w:after="0" w:line="360" w:lineRule="auto"/>
              <w:jc w:val="center"/>
              <w:rPr>
                <w:rFonts w:ascii="Book Antiqua" w:hAnsi="Book Antiqua" w:cs="Courier New"/>
                <w:sz w:val="24"/>
                <w:szCs w:val="24"/>
              </w:rPr>
            </w:pPr>
          </w:p>
        </w:tc>
        <w:tc>
          <w:tcPr>
            <w:tcW w:w="1522" w:type="dxa"/>
            <w:shd w:val="clear" w:color="auto" w:fill="auto"/>
            <w:tcMar>
              <w:top w:w="11" w:type="dxa"/>
              <w:left w:w="11" w:type="dxa"/>
              <w:bottom w:w="0" w:type="dxa"/>
              <w:right w:w="11" w:type="dxa"/>
            </w:tcMar>
            <w:vAlign w:val="bottom"/>
            <w:hideMark/>
          </w:tcPr>
          <w:p w14:paraId="79D68694" w14:textId="55FCCE53"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3B7EDCE5"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35719A7E"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Meckel's Scan day 0-2</w:t>
            </w:r>
          </w:p>
        </w:tc>
        <w:tc>
          <w:tcPr>
            <w:tcW w:w="1685" w:type="dxa"/>
            <w:shd w:val="clear" w:color="auto" w:fill="auto"/>
            <w:tcMar>
              <w:top w:w="11" w:type="dxa"/>
              <w:left w:w="11" w:type="dxa"/>
              <w:bottom w:w="0" w:type="dxa"/>
              <w:right w:w="11" w:type="dxa"/>
            </w:tcMar>
            <w:vAlign w:val="bottom"/>
            <w:hideMark/>
          </w:tcPr>
          <w:p w14:paraId="6240A272" w14:textId="6DDF748B"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497 (7.38)</w:t>
            </w:r>
          </w:p>
        </w:tc>
        <w:tc>
          <w:tcPr>
            <w:tcW w:w="2271" w:type="dxa"/>
            <w:shd w:val="clear" w:color="auto" w:fill="auto"/>
            <w:tcMar>
              <w:top w:w="11" w:type="dxa"/>
              <w:left w:w="11" w:type="dxa"/>
              <w:bottom w:w="0" w:type="dxa"/>
              <w:right w:w="11" w:type="dxa"/>
            </w:tcMar>
            <w:vAlign w:val="bottom"/>
            <w:hideMark/>
          </w:tcPr>
          <w:p w14:paraId="64A4E4FA" w14:textId="3E1FECC8"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378 (2.95)</w:t>
            </w:r>
          </w:p>
        </w:tc>
        <w:tc>
          <w:tcPr>
            <w:tcW w:w="1597" w:type="dxa"/>
            <w:shd w:val="clear" w:color="auto" w:fill="auto"/>
            <w:tcMar>
              <w:top w:w="11" w:type="dxa"/>
              <w:left w:w="11" w:type="dxa"/>
              <w:bottom w:w="0" w:type="dxa"/>
              <w:right w:w="11" w:type="dxa"/>
            </w:tcMar>
            <w:vAlign w:val="bottom"/>
            <w:hideMark/>
          </w:tcPr>
          <w:p w14:paraId="24F12470" w14:textId="5C875434"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875 (4.48)</w:t>
            </w:r>
          </w:p>
        </w:tc>
        <w:tc>
          <w:tcPr>
            <w:tcW w:w="1522" w:type="dxa"/>
            <w:shd w:val="clear" w:color="auto" w:fill="auto"/>
            <w:tcMar>
              <w:top w:w="11" w:type="dxa"/>
              <w:left w:w="11" w:type="dxa"/>
              <w:bottom w:w="0" w:type="dxa"/>
              <w:right w:w="11" w:type="dxa"/>
            </w:tcMar>
            <w:vAlign w:val="bottom"/>
            <w:hideMark/>
          </w:tcPr>
          <w:p w14:paraId="520F9974" w14:textId="31E52ED0"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7B92235A"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0CED0A4C"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Abdomen CT day 0-2</w:t>
            </w:r>
          </w:p>
        </w:tc>
        <w:tc>
          <w:tcPr>
            <w:tcW w:w="1685" w:type="dxa"/>
            <w:shd w:val="clear" w:color="auto" w:fill="auto"/>
            <w:tcMar>
              <w:top w:w="11" w:type="dxa"/>
              <w:left w:w="11" w:type="dxa"/>
              <w:bottom w:w="0" w:type="dxa"/>
              <w:right w:w="11" w:type="dxa"/>
            </w:tcMar>
            <w:vAlign w:val="bottom"/>
            <w:hideMark/>
          </w:tcPr>
          <w:p w14:paraId="7CB0B58F" w14:textId="0E78EDA2"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425 (6.31)</w:t>
            </w:r>
          </w:p>
        </w:tc>
        <w:tc>
          <w:tcPr>
            <w:tcW w:w="2271" w:type="dxa"/>
            <w:shd w:val="clear" w:color="auto" w:fill="auto"/>
            <w:tcMar>
              <w:top w:w="11" w:type="dxa"/>
              <w:left w:w="11" w:type="dxa"/>
              <w:bottom w:w="0" w:type="dxa"/>
              <w:right w:w="11" w:type="dxa"/>
            </w:tcMar>
            <w:vAlign w:val="bottom"/>
            <w:hideMark/>
          </w:tcPr>
          <w:p w14:paraId="223238BF" w14:textId="3EC7EB19"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1298 (10.14)</w:t>
            </w:r>
          </w:p>
        </w:tc>
        <w:tc>
          <w:tcPr>
            <w:tcW w:w="1597" w:type="dxa"/>
            <w:shd w:val="clear" w:color="auto" w:fill="auto"/>
            <w:tcMar>
              <w:top w:w="11" w:type="dxa"/>
              <w:left w:w="11" w:type="dxa"/>
              <w:bottom w:w="0" w:type="dxa"/>
              <w:right w:w="11" w:type="dxa"/>
            </w:tcMar>
            <w:vAlign w:val="bottom"/>
            <w:hideMark/>
          </w:tcPr>
          <w:p w14:paraId="7BB7AC5C" w14:textId="069E4C65"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1723 (8.82)</w:t>
            </w:r>
          </w:p>
        </w:tc>
        <w:tc>
          <w:tcPr>
            <w:tcW w:w="1522" w:type="dxa"/>
            <w:shd w:val="clear" w:color="auto" w:fill="auto"/>
            <w:tcMar>
              <w:top w:w="11" w:type="dxa"/>
              <w:left w:w="11" w:type="dxa"/>
              <w:bottom w:w="0" w:type="dxa"/>
              <w:right w:w="11" w:type="dxa"/>
            </w:tcMar>
            <w:vAlign w:val="bottom"/>
            <w:hideMark/>
          </w:tcPr>
          <w:p w14:paraId="505C2F5F" w14:textId="28C89412"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4939D46A"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30633DB7"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Abdomen MRI day 0-2</w:t>
            </w:r>
          </w:p>
        </w:tc>
        <w:tc>
          <w:tcPr>
            <w:tcW w:w="1685" w:type="dxa"/>
            <w:shd w:val="clear" w:color="auto" w:fill="auto"/>
            <w:tcMar>
              <w:top w:w="11" w:type="dxa"/>
              <w:left w:w="11" w:type="dxa"/>
              <w:bottom w:w="0" w:type="dxa"/>
              <w:right w:w="11" w:type="dxa"/>
            </w:tcMar>
            <w:vAlign w:val="bottom"/>
            <w:hideMark/>
          </w:tcPr>
          <w:p w14:paraId="6A435F6F" w14:textId="0DE022F5"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44 (0.65)</w:t>
            </w:r>
          </w:p>
        </w:tc>
        <w:tc>
          <w:tcPr>
            <w:tcW w:w="2271" w:type="dxa"/>
            <w:shd w:val="clear" w:color="auto" w:fill="auto"/>
            <w:tcMar>
              <w:top w:w="11" w:type="dxa"/>
              <w:left w:w="11" w:type="dxa"/>
              <w:bottom w:w="0" w:type="dxa"/>
              <w:right w:w="11" w:type="dxa"/>
            </w:tcMar>
            <w:vAlign w:val="bottom"/>
            <w:hideMark/>
          </w:tcPr>
          <w:p w14:paraId="35B109E1" w14:textId="1D41214D"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170 (1.33)</w:t>
            </w:r>
          </w:p>
        </w:tc>
        <w:tc>
          <w:tcPr>
            <w:tcW w:w="1597" w:type="dxa"/>
            <w:shd w:val="clear" w:color="auto" w:fill="auto"/>
            <w:tcMar>
              <w:top w:w="11" w:type="dxa"/>
              <w:left w:w="11" w:type="dxa"/>
              <w:bottom w:w="0" w:type="dxa"/>
              <w:right w:w="11" w:type="dxa"/>
            </w:tcMar>
            <w:vAlign w:val="bottom"/>
            <w:hideMark/>
          </w:tcPr>
          <w:p w14:paraId="63D4CD6F" w14:textId="5B090F94"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214 (1.10)</w:t>
            </w:r>
          </w:p>
        </w:tc>
        <w:tc>
          <w:tcPr>
            <w:tcW w:w="1522" w:type="dxa"/>
            <w:shd w:val="clear" w:color="auto" w:fill="auto"/>
            <w:tcMar>
              <w:top w:w="11" w:type="dxa"/>
              <w:left w:w="11" w:type="dxa"/>
              <w:bottom w:w="0" w:type="dxa"/>
              <w:right w:w="11" w:type="dxa"/>
            </w:tcMar>
            <w:vAlign w:val="bottom"/>
            <w:hideMark/>
          </w:tcPr>
          <w:p w14:paraId="75DA0D36" w14:textId="72BF1D01"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7D875712"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4A96D3D4"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Arteriography day 0-2</w:t>
            </w:r>
          </w:p>
        </w:tc>
        <w:tc>
          <w:tcPr>
            <w:tcW w:w="1685" w:type="dxa"/>
            <w:shd w:val="clear" w:color="auto" w:fill="auto"/>
            <w:tcMar>
              <w:top w:w="11" w:type="dxa"/>
              <w:left w:w="11" w:type="dxa"/>
              <w:bottom w:w="0" w:type="dxa"/>
              <w:right w:w="11" w:type="dxa"/>
            </w:tcMar>
            <w:vAlign w:val="bottom"/>
            <w:hideMark/>
          </w:tcPr>
          <w:p w14:paraId="17494662" w14:textId="1130880D"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75 (1.11)</w:t>
            </w:r>
          </w:p>
        </w:tc>
        <w:tc>
          <w:tcPr>
            <w:tcW w:w="2271" w:type="dxa"/>
            <w:shd w:val="clear" w:color="auto" w:fill="auto"/>
            <w:tcMar>
              <w:top w:w="11" w:type="dxa"/>
              <w:left w:w="11" w:type="dxa"/>
              <w:bottom w:w="0" w:type="dxa"/>
              <w:right w:w="11" w:type="dxa"/>
            </w:tcMar>
            <w:vAlign w:val="bottom"/>
            <w:hideMark/>
          </w:tcPr>
          <w:p w14:paraId="711DD353" w14:textId="387CFF52"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93 (0.73)</w:t>
            </w:r>
          </w:p>
        </w:tc>
        <w:tc>
          <w:tcPr>
            <w:tcW w:w="1597" w:type="dxa"/>
            <w:shd w:val="clear" w:color="auto" w:fill="auto"/>
            <w:tcMar>
              <w:top w:w="11" w:type="dxa"/>
              <w:left w:w="11" w:type="dxa"/>
              <w:bottom w:w="0" w:type="dxa"/>
              <w:right w:w="11" w:type="dxa"/>
            </w:tcMar>
            <w:vAlign w:val="bottom"/>
            <w:hideMark/>
          </w:tcPr>
          <w:p w14:paraId="2040FA0F" w14:textId="315DF705"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168 (0.86)</w:t>
            </w:r>
          </w:p>
        </w:tc>
        <w:tc>
          <w:tcPr>
            <w:tcW w:w="1522" w:type="dxa"/>
            <w:shd w:val="clear" w:color="auto" w:fill="auto"/>
            <w:tcMar>
              <w:top w:w="11" w:type="dxa"/>
              <w:left w:w="11" w:type="dxa"/>
              <w:bottom w:w="0" w:type="dxa"/>
              <w:right w:w="11" w:type="dxa"/>
            </w:tcMar>
            <w:vAlign w:val="bottom"/>
            <w:hideMark/>
          </w:tcPr>
          <w:p w14:paraId="77C5E24B"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0.0070</w:t>
            </w:r>
          </w:p>
        </w:tc>
      </w:tr>
      <w:tr w:rsidR="00AF1DC5" w:rsidRPr="00AF1DC5" w14:paraId="27DC9EE3"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4C24493F" w14:textId="77777777" w:rsidR="003C2FB1" w:rsidRPr="00AF1DC5" w:rsidRDefault="003C2FB1" w:rsidP="003C2FB1">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Surgical Interventions</w:t>
            </w:r>
          </w:p>
        </w:tc>
        <w:tc>
          <w:tcPr>
            <w:tcW w:w="1685" w:type="dxa"/>
            <w:shd w:val="clear" w:color="auto" w:fill="auto"/>
            <w:tcMar>
              <w:top w:w="11" w:type="dxa"/>
              <w:left w:w="11" w:type="dxa"/>
              <w:bottom w:w="0" w:type="dxa"/>
              <w:right w:w="11" w:type="dxa"/>
            </w:tcMar>
            <w:vAlign w:val="bottom"/>
            <w:hideMark/>
          </w:tcPr>
          <w:p w14:paraId="271ACB88" w14:textId="5E843558" w:rsidR="003C2FB1" w:rsidRPr="00AF1DC5" w:rsidRDefault="003C2FB1" w:rsidP="003C2FB1">
            <w:pPr>
              <w:snapToGrid w:val="0"/>
              <w:spacing w:after="0" w:line="360" w:lineRule="auto"/>
              <w:jc w:val="center"/>
              <w:rPr>
                <w:rFonts w:ascii="Book Antiqua" w:hAnsi="Book Antiqua" w:cs="Courier New"/>
                <w:sz w:val="24"/>
                <w:szCs w:val="24"/>
              </w:rPr>
            </w:pPr>
          </w:p>
        </w:tc>
        <w:tc>
          <w:tcPr>
            <w:tcW w:w="2271" w:type="dxa"/>
            <w:shd w:val="clear" w:color="auto" w:fill="auto"/>
            <w:tcMar>
              <w:top w:w="11" w:type="dxa"/>
              <w:left w:w="11" w:type="dxa"/>
              <w:bottom w:w="0" w:type="dxa"/>
              <w:right w:w="11" w:type="dxa"/>
            </w:tcMar>
            <w:vAlign w:val="bottom"/>
            <w:hideMark/>
          </w:tcPr>
          <w:p w14:paraId="49FEEB7C" w14:textId="10FF6017" w:rsidR="003C2FB1" w:rsidRPr="00AF1DC5" w:rsidRDefault="003C2FB1" w:rsidP="003C2FB1">
            <w:pPr>
              <w:snapToGrid w:val="0"/>
              <w:spacing w:after="0" w:line="360" w:lineRule="auto"/>
              <w:jc w:val="center"/>
              <w:rPr>
                <w:rFonts w:ascii="Book Antiqua" w:hAnsi="Book Antiqua" w:cs="Courier New"/>
                <w:sz w:val="24"/>
                <w:szCs w:val="24"/>
              </w:rPr>
            </w:pPr>
          </w:p>
        </w:tc>
        <w:tc>
          <w:tcPr>
            <w:tcW w:w="1597" w:type="dxa"/>
            <w:shd w:val="clear" w:color="auto" w:fill="auto"/>
            <w:tcMar>
              <w:top w:w="11" w:type="dxa"/>
              <w:left w:w="11" w:type="dxa"/>
              <w:bottom w:w="0" w:type="dxa"/>
              <w:right w:w="11" w:type="dxa"/>
            </w:tcMar>
            <w:vAlign w:val="bottom"/>
            <w:hideMark/>
          </w:tcPr>
          <w:p w14:paraId="539CCE09" w14:textId="30161425" w:rsidR="003C2FB1" w:rsidRPr="00AF1DC5" w:rsidRDefault="003C2FB1" w:rsidP="003C2FB1">
            <w:pPr>
              <w:snapToGrid w:val="0"/>
              <w:spacing w:after="0" w:line="360" w:lineRule="auto"/>
              <w:jc w:val="center"/>
              <w:rPr>
                <w:rFonts w:ascii="Book Antiqua" w:hAnsi="Book Antiqua" w:cs="Courier New"/>
                <w:sz w:val="24"/>
                <w:szCs w:val="24"/>
              </w:rPr>
            </w:pPr>
          </w:p>
        </w:tc>
        <w:tc>
          <w:tcPr>
            <w:tcW w:w="1522" w:type="dxa"/>
            <w:shd w:val="clear" w:color="auto" w:fill="auto"/>
            <w:tcMar>
              <w:top w:w="11" w:type="dxa"/>
              <w:left w:w="11" w:type="dxa"/>
              <w:bottom w:w="0" w:type="dxa"/>
              <w:right w:w="11" w:type="dxa"/>
            </w:tcMar>
            <w:vAlign w:val="bottom"/>
            <w:hideMark/>
          </w:tcPr>
          <w:p w14:paraId="41990EE1" w14:textId="5A0F9559"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130493C9"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55C83970"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Laparotomy, Exploratory</w:t>
            </w:r>
          </w:p>
        </w:tc>
        <w:tc>
          <w:tcPr>
            <w:tcW w:w="1685" w:type="dxa"/>
            <w:shd w:val="clear" w:color="auto" w:fill="auto"/>
            <w:tcMar>
              <w:top w:w="11" w:type="dxa"/>
              <w:left w:w="11" w:type="dxa"/>
              <w:bottom w:w="0" w:type="dxa"/>
              <w:right w:w="11" w:type="dxa"/>
            </w:tcMar>
            <w:vAlign w:val="bottom"/>
            <w:hideMark/>
          </w:tcPr>
          <w:p w14:paraId="7D5068C2" w14:textId="5B1C964E"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23 (0.34)</w:t>
            </w:r>
          </w:p>
        </w:tc>
        <w:tc>
          <w:tcPr>
            <w:tcW w:w="2271" w:type="dxa"/>
            <w:shd w:val="clear" w:color="auto" w:fill="auto"/>
            <w:tcMar>
              <w:top w:w="11" w:type="dxa"/>
              <w:left w:w="11" w:type="dxa"/>
              <w:bottom w:w="0" w:type="dxa"/>
              <w:right w:w="11" w:type="dxa"/>
            </w:tcMar>
            <w:vAlign w:val="bottom"/>
            <w:hideMark/>
          </w:tcPr>
          <w:p w14:paraId="10CFC9F9" w14:textId="106C6C5A"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44 (0.34)</w:t>
            </w:r>
          </w:p>
        </w:tc>
        <w:tc>
          <w:tcPr>
            <w:tcW w:w="1597" w:type="dxa"/>
            <w:shd w:val="clear" w:color="auto" w:fill="auto"/>
            <w:tcMar>
              <w:top w:w="11" w:type="dxa"/>
              <w:left w:w="11" w:type="dxa"/>
              <w:bottom w:w="0" w:type="dxa"/>
              <w:right w:w="11" w:type="dxa"/>
            </w:tcMar>
            <w:vAlign w:val="bottom"/>
            <w:hideMark/>
          </w:tcPr>
          <w:p w14:paraId="0E8413BA" w14:textId="79C19865"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67 (0.34)</w:t>
            </w:r>
          </w:p>
        </w:tc>
        <w:tc>
          <w:tcPr>
            <w:tcW w:w="1522" w:type="dxa"/>
            <w:shd w:val="clear" w:color="auto" w:fill="auto"/>
            <w:tcMar>
              <w:top w:w="11" w:type="dxa"/>
              <w:left w:w="11" w:type="dxa"/>
              <w:bottom w:w="0" w:type="dxa"/>
              <w:right w:w="11" w:type="dxa"/>
            </w:tcMar>
            <w:vAlign w:val="bottom"/>
            <w:hideMark/>
          </w:tcPr>
          <w:p w14:paraId="7BF577DF"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0.9999</w:t>
            </w:r>
          </w:p>
        </w:tc>
      </w:tr>
      <w:tr w:rsidR="00AF1DC5" w:rsidRPr="00AF1DC5" w14:paraId="7F5C9086"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31A63D8B"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Laparotomy, Other</w:t>
            </w:r>
          </w:p>
        </w:tc>
        <w:tc>
          <w:tcPr>
            <w:tcW w:w="1685" w:type="dxa"/>
            <w:shd w:val="clear" w:color="auto" w:fill="auto"/>
            <w:tcMar>
              <w:top w:w="11" w:type="dxa"/>
              <w:left w:w="11" w:type="dxa"/>
              <w:bottom w:w="0" w:type="dxa"/>
              <w:right w:w="11" w:type="dxa"/>
            </w:tcMar>
            <w:vAlign w:val="bottom"/>
            <w:hideMark/>
          </w:tcPr>
          <w:p w14:paraId="5193C7D3" w14:textId="1F4C21FB"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 (0.03)</w:t>
            </w:r>
          </w:p>
        </w:tc>
        <w:tc>
          <w:tcPr>
            <w:tcW w:w="2271" w:type="dxa"/>
            <w:shd w:val="clear" w:color="auto" w:fill="auto"/>
            <w:tcMar>
              <w:top w:w="11" w:type="dxa"/>
              <w:left w:w="11" w:type="dxa"/>
              <w:bottom w:w="0" w:type="dxa"/>
              <w:right w:w="11" w:type="dxa"/>
            </w:tcMar>
            <w:vAlign w:val="bottom"/>
            <w:hideMark/>
          </w:tcPr>
          <w:p w14:paraId="2D65CAB0" w14:textId="5C76BB70"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19 (0.15)</w:t>
            </w:r>
          </w:p>
        </w:tc>
        <w:tc>
          <w:tcPr>
            <w:tcW w:w="1597" w:type="dxa"/>
            <w:shd w:val="clear" w:color="auto" w:fill="auto"/>
            <w:tcMar>
              <w:top w:w="11" w:type="dxa"/>
              <w:left w:w="11" w:type="dxa"/>
              <w:bottom w:w="0" w:type="dxa"/>
              <w:right w:w="11" w:type="dxa"/>
            </w:tcMar>
            <w:vAlign w:val="bottom"/>
            <w:hideMark/>
          </w:tcPr>
          <w:p w14:paraId="351D7E08" w14:textId="7D9AA6DD"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21 (0.11)</w:t>
            </w:r>
          </w:p>
        </w:tc>
        <w:tc>
          <w:tcPr>
            <w:tcW w:w="1522" w:type="dxa"/>
            <w:shd w:val="clear" w:color="auto" w:fill="auto"/>
            <w:tcMar>
              <w:top w:w="11" w:type="dxa"/>
              <w:left w:w="11" w:type="dxa"/>
              <w:bottom w:w="0" w:type="dxa"/>
              <w:right w:w="11" w:type="dxa"/>
            </w:tcMar>
            <w:vAlign w:val="bottom"/>
            <w:hideMark/>
          </w:tcPr>
          <w:p w14:paraId="4778C64F"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0.0191</w:t>
            </w:r>
          </w:p>
        </w:tc>
      </w:tr>
      <w:tr w:rsidR="00AF1DC5" w:rsidRPr="00AF1DC5" w14:paraId="50D91E35"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1D215DFE"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Laparoscopy</w:t>
            </w:r>
          </w:p>
        </w:tc>
        <w:tc>
          <w:tcPr>
            <w:tcW w:w="1685" w:type="dxa"/>
            <w:shd w:val="clear" w:color="auto" w:fill="auto"/>
            <w:tcMar>
              <w:top w:w="11" w:type="dxa"/>
              <w:left w:w="11" w:type="dxa"/>
              <w:bottom w:w="0" w:type="dxa"/>
              <w:right w:w="11" w:type="dxa"/>
            </w:tcMar>
            <w:vAlign w:val="bottom"/>
            <w:hideMark/>
          </w:tcPr>
          <w:p w14:paraId="241F8FC0" w14:textId="4D393F96"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54 (0.80)</w:t>
            </w:r>
          </w:p>
        </w:tc>
        <w:tc>
          <w:tcPr>
            <w:tcW w:w="2271" w:type="dxa"/>
            <w:shd w:val="clear" w:color="auto" w:fill="auto"/>
            <w:tcMar>
              <w:top w:w="11" w:type="dxa"/>
              <w:left w:w="11" w:type="dxa"/>
              <w:bottom w:w="0" w:type="dxa"/>
              <w:right w:w="11" w:type="dxa"/>
            </w:tcMar>
            <w:vAlign w:val="bottom"/>
            <w:hideMark/>
          </w:tcPr>
          <w:p w14:paraId="69DA6E3F" w14:textId="241B787B"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96 (0.75)</w:t>
            </w:r>
          </w:p>
        </w:tc>
        <w:tc>
          <w:tcPr>
            <w:tcW w:w="1597" w:type="dxa"/>
            <w:shd w:val="clear" w:color="auto" w:fill="auto"/>
            <w:tcMar>
              <w:top w:w="11" w:type="dxa"/>
              <w:left w:w="11" w:type="dxa"/>
              <w:bottom w:w="0" w:type="dxa"/>
              <w:right w:w="11" w:type="dxa"/>
            </w:tcMar>
            <w:vAlign w:val="bottom"/>
            <w:hideMark/>
          </w:tcPr>
          <w:p w14:paraId="7BC45B3F" w14:textId="678E6323"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150 (0.77)</w:t>
            </w:r>
          </w:p>
        </w:tc>
        <w:tc>
          <w:tcPr>
            <w:tcW w:w="1522" w:type="dxa"/>
            <w:shd w:val="clear" w:color="auto" w:fill="auto"/>
            <w:tcMar>
              <w:top w:w="11" w:type="dxa"/>
              <w:left w:w="11" w:type="dxa"/>
              <w:bottom w:w="0" w:type="dxa"/>
              <w:right w:w="11" w:type="dxa"/>
            </w:tcMar>
            <w:vAlign w:val="bottom"/>
            <w:hideMark/>
          </w:tcPr>
          <w:p w14:paraId="36ED8376"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0.7303</w:t>
            </w:r>
          </w:p>
        </w:tc>
      </w:tr>
      <w:tr w:rsidR="00AF1DC5" w:rsidRPr="00AF1DC5" w14:paraId="12342DD6"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3468B703"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Esophagogastroduodenoscopy</w:t>
            </w:r>
          </w:p>
        </w:tc>
        <w:tc>
          <w:tcPr>
            <w:tcW w:w="1685" w:type="dxa"/>
            <w:shd w:val="clear" w:color="auto" w:fill="auto"/>
            <w:tcMar>
              <w:top w:w="11" w:type="dxa"/>
              <w:left w:w="11" w:type="dxa"/>
              <w:bottom w:w="0" w:type="dxa"/>
              <w:right w:w="11" w:type="dxa"/>
            </w:tcMar>
            <w:vAlign w:val="bottom"/>
            <w:hideMark/>
          </w:tcPr>
          <w:p w14:paraId="3041CD2D" w14:textId="4F19FDF1"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2304 (34.22)</w:t>
            </w:r>
          </w:p>
        </w:tc>
        <w:tc>
          <w:tcPr>
            <w:tcW w:w="2271" w:type="dxa"/>
            <w:shd w:val="clear" w:color="auto" w:fill="auto"/>
            <w:tcMar>
              <w:top w:w="11" w:type="dxa"/>
              <w:left w:w="11" w:type="dxa"/>
              <w:bottom w:w="0" w:type="dxa"/>
              <w:right w:w="11" w:type="dxa"/>
            </w:tcMar>
            <w:vAlign w:val="bottom"/>
            <w:hideMark/>
          </w:tcPr>
          <w:p w14:paraId="6768FE14" w14:textId="3FC80F59"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2317 (18.11)</w:t>
            </w:r>
          </w:p>
        </w:tc>
        <w:tc>
          <w:tcPr>
            <w:tcW w:w="1597" w:type="dxa"/>
            <w:shd w:val="clear" w:color="auto" w:fill="auto"/>
            <w:tcMar>
              <w:top w:w="11" w:type="dxa"/>
              <w:left w:w="11" w:type="dxa"/>
              <w:bottom w:w="0" w:type="dxa"/>
              <w:right w:w="11" w:type="dxa"/>
            </w:tcMar>
            <w:vAlign w:val="bottom"/>
            <w:hideMark/>
          </w:tcPr>
          <w:p w14:paraId="41E83116" w14:textId="258C77B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4621 (23.66)</w:t>
            </w:r>
          </w:p>
        </w:tc>
        <w:tc>
          <w:tcPr>
            <w:tcW w:w="1522" w:type="dxa"/>
            <w:shd w:val="clear" w:color="auto" w:fill="auto"/>
            <w:tcMar>
              <w:top w:w="11" w:type="dxa"/>
              <w:left w:w="11" w:type="dxa"/>
              <w:bottom w:w="0" w:type="dxa"/>
              <w:right w:w="11" w:type="dxa"/>
            </w:tcMar>
            <w:vAlign w:val="bottom"/>
            <w:hideMark/>
          </w:tcPr>
          <w:p w14:paraId="03B00172" w14:textId="6DAB6F49"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2E7E5462"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76CF1FCA"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Other Endoscopy</w:t>
            </w:r>
          </w:p>
        </w:tc>
        <w:tc>
          <w:tcPr>
            <w:tcW w:w="1685" w:type="dxa"/>
            <w:shd w:val="clear" w:color="auto" w:fill="auto"/>
            <w:tcMar>
              <w:top w:w="11" w:type="dxa"/>
              <w:left w:w="11" w:type="dxa"/>
              <w:bottom w:w="0" w:type="dxa"/>
              <w:right w:w="11" w:type="dxa"/>
            </w:tcMar>
            <w:vAlign w:val="bottom"/>
            <w:hideMark/>
          </w:tcPr>
          <w:p w14:paraId="0303794E" w14:textId="39C6CD5F"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845 (12.55)</w:t>
            </w:r>
          </w:p>
        </w:tc>
        <w:tc>
          <w:tcPr>
            <w:tcW w:w="2271" w:type="dxa"/>
            <w:shd w:val="clear" w:color="auto" w:fill="auto"/>
            <w:tcMar>
              <w:top w:w="11" w:type="dxa"/>
              <w:left w:w="11" w:type="dxa"/>
              <w:bottom w:w="0" w:type="dxa"/>
              <w:right w:w="11" w:type="dxa"/>
            </w:tcMar>
            <w:vAlign w:val="bottom"/>
            <w:hideMark/>
          </w:tcPr>
          <w:p w14:paraId="37514E9F" w14:textId="0B2FE934"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845 (6.6)</w:t>
            </w:r>
          </w:p>
        </w:tc>
        <w:tc>
          <w:tcPr>
            <w:tcW w:w="1597" w:type="dxa"/>
            <w:shd w:val="clear" w:color="auto" w:fill="auto"/>
            <w:tcMar>
              <w:top w:w="11" w:type="dxa"/>
              <w:left w:w="11" w:type="dxa"/>
              <w:bottom w:w="0" w:type="dxa"/>
              <w:right w:w="11" w:type="dxa"/>
            </w:tcMar>
            <w:vAlign w:val="bottom"/>
            <w:hideMark/>
          </w:tcPr>
          <w:p w14:paraId="454206D3" w14:textId="09347FCC"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1690 (8.65)</w:t>
            </w:r>
          </w:p>
        </w:tc>
        <w:tc>
          <w:tcPr>
            <w:tcW w:w="1522" w:type="dxa"/>
            <w:shd w:val="clear" w:color="auto" w:fill="auto"/>
            <w:tcMar>
              <w:top w:w="11" w:type="dxa"/>
              <w:left w:w="11" w:type="dxa"/>
              <w:bottom w:w="0" w:type="dxa"/>
              <w:right w:w="11" w:type="dxa"/>
            </w:tcMar>
            <w:vAlign w:val="bottom"/>
            <w:hideMark/>
          </w:tcPr>
          <w:p w14:paraId="110CAE10" w14:textId="5C7E2056"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3189F0FA"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3F7812C3"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Transcatheter embolization</w:t>
            </w:r>
          </w:p>
        </w:tc>
        <w:tc>
          <w:tcPr>
            <w:tcW w:w="1685" w:type="dxa"/>
            <w:shd w:val="clear" w:color="auto" w:fill="auto"/>
            <w:tcMar>
              <w:top w:w="11" w:type="dxa"/>
              <w:left w:w="11" w:type="dxa"/>
              <w:bottom w:w="0" w:type="dxa"/>
              <w:right w:w="11" w:type="dxa"/>
            </w:tcMar>
            <w:vAlign w:val="bottom"/>
            <w:hideMark/>
          </w:tcPr>
          <w:p w14:paraId="7C74908A" w14:textId="1294E971"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8 (0.12)</w:t>
            </w:r>
          </w:p>
        </w:tc>
        <w:tc>
          <w:tcPr>
            <w:tcW w:w="2271" w:type="dxa"/>
            <w:shd w:val="clear" w:color="auto" w:fill="auto"/>
            <w:tcMar>
              <w:top w:w="11" w:type="dxa"/>
              <w:left w:w="11" w:type="dxa"/>
              <w:bottom w:w="0" w:type="dxa"/>
              <w:right w:w="11" w:type="dxa"/>
            </w:tcMar>
            <w:vAlign w:val="bottom"/>
            <w:hideMark/>
          </w:tcPr>
          <w:p w14:paraId="1ED9E5D6" w14:textId="7B50D9E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8 (0.06)</w:t>
            </w:r>
          </w:p>
        </w:tc>
        <w:tc>
          <w:tcPr>
            <w:tcW w:w="1597" w:type="dxa"/>
            <w:shd w:val="clear" w:color="auto" w:fill="auto"/>
            <w:tcMar>
              <w:top w:w="11" w:type="dxa"/>
              <w:left w:w="11" w:type="dxa"/>
              <w:bottom w:w="0" w:type="dxa"/>
              <w:right w:w="11" w:type="dxa"/>
            </w:tcMar>
            <w:vAlign w:val="bottom"/>
            <w:hideMark/>
          </w:tcPr>
          <w:p w14:paraId="28530535" w14:textId="4EFCAD45"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16 (0.08)</w:t>
            </w:r>
          </w:p>
        </w:tc>
        <w:tc>
          <w:tcPr>
            <w:tcW w:w="1522" w:type="dxa"/>
            <w:shd w:val="clear" w:color="auto" w:fill="auto"/>
            <w:tcMar>
              <w:top w:w="11" w:type="dxa"/>
              <w:left w:w="11" w:type="dxa"/>
              <w:bottom w:w="0" w:type="dxa"/>
              <w:right w:w="11" w:type="dxa"/>
            </w:tcMar>
            <w:vAlign w:val="bottom"/>
            <w:hideMark/>
          </w:tcPr>
          <w:p w14:paraId="13FB7A27"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0.1977</w:t>
            </w:r>
          </w:p>
        </w:tc>
      </w:tr>
      <w:tr w:rsidR="00AF1DC5" w:rsidRPr="00AF1DC5" w14:paraId="34026536"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13EE7340"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Ligation, esophag. varices</w:t>
            </w:r>
          </w:p>
        </w:tc>
        <w:tc>
          <w:tcPr>
            <w:tcW w:w="1685" w:type="dxa"/>
            <w:shd w:val="clear" w:color="auto" w:fill="auto"/>
            <w:tcMar>
              <w:top w:w="11" w:type="dxa"/>
              <w:left w:w="11" w:type="dxa"/>
              <w:bottom w:w="0" w:type="dxa"/>
              <w:right w:w="11" w:type="dxa"/>
            </w:tcMar>
            <w:vAlign w:val="bottom"/>
            <w:hideMark/>
          </w:tcPr>
          <w:p w14:paraId="3DC81C37" w14:textId="46435B99"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 (0.0)</w:t>
            </w:r>
          </w:p>
        </w:tc>
        <w:tc>
          <w:tcPr>
            <w:tcW w:w="2271" w:type="dxa"/>
            <w:shd w:val="clear" w:color="auto" w:fill="auto"/>
            <w:tcMar>
              <w:top w:w="11" w:type="dxa"/>
              <w:left w:w="11" w:type="dxa"/>
              <w:bottom w:w="0" w:type="dxa"/>
              <w:right w:w="11" w:type="dxa"/>
            </w:tcMar>
            <w:vAlign w:val="bottom"/>
            <w:hideMark/>
          </w:tcPr>
          <w:p w14:paraId="40EF4C23" w14:textId="75F7443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 (0.04)</w:t>
            </w:r>
          </w:p>
        </w:tc>
        <w:tc>
          <w:tcPr>
            <w:tcW w:w="1597" w:type="dxa"/>
            <w:shd w:val="clear" w:color="auto" w:fill="auto"/>
            <w:tcMar>
              <w:top w:w="11" w:type="dxa"/>
              <w:left w:w="11" w:type="dxa"/>
              <w:bottom w:w="0" w:type="dxa"/>
              <w:right w:w="11" w:type="dxa"/>
            </w:tcMar>
            <w:vAlign w:val="bottom"/>
            <w:hideMark/>
          </w:tcPr>
          <w:p w14:paraId="3748B29B" w14:textId="55071D51"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 (0.03)</w:t>
            </w:r>
          </w:p>
        </w:tc>
        <w:tc>
          <w:tcPr>
            <w:tcW w:w="1522" w:type="dxa"/>
            <w:shd w:val="clear" w:color="auto" w:fill="auto"/>
            <w:tcMar>
              <w:top w:w="11" w:type="dxa"/>
              <w:left w:w="11" w:type="dxa"/>
              <w:bottom w:w="0" w:type="dxa"/>
              <w:right w:w="11" w:type="dxa"/>
            </w:tcMar>
            <w:vAlign w:val="bottom"/>
            <w:hideMark/>
          </w:tcPr>
          <w:p w14:paraId="7AF8C09E"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0.1719</w:t>
            </w:r>
          </w:p>
        </w:tc>
      </w:tr>
      <w:tr w:rsidR="00AF1DC5" w:rsidRPr="00AF1DC5" w14:paraId="3FB777C8"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5AF18D2D" w14:textId="77777777" w:rsidR="003C2FB1" w:rsidRPr="00AF1DC5" w:rsidRDefault="003C2FB1" w:rsidP="003C2FB1">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Ligation, gastric varices</w:t>
            </w:r>
          </w:p>
        </w:tc>
        <w:tc>
          <w:tcPr>
            <w:tcW w:w="1685" w:type="dxa"/>
            <w:shd w:val="clear" w:color="auto" w:fill="auto"/>
            <w:tcMar>
              <w:top w:w="11" w:type="dxa"/>
              <w:left w:w="11" w:type="dxa"/>
              <w:bottom w:w="0" w:type="dxa"/>
              <w:right w:w="11" w:type="dxa"/>
            </w:tcMar>
            <w:vAlign w:val="bottom"/>
            <w:hideMark/>
          </w:tcPr>
          <w:p w14:paraId="7FC1D8E7" w14:textId="2D90A2B3"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 (0.01)</w:t>
            </w:r>
          </w:p>
        </w:tc>
        <w:tc>
          <w:tcPr>
            <w:tcW w:w="2271" w:type="dxa"/>
            <w:shd w:val="clear" w:color="auto" w:fill="auto"/>
            <w:tcMar>
              <w:top w:w="11" w:type="dxa"/>
              <w:left w:w="11" w:type="dxa"/>
              <w:bottom w:w="0" w:type="dxa"/>
              <w:right w:w="11" w:type="dxa"/>
            </w:tcMar>
            <w:vAlign w:val="bottom"/>
            <w:hideMark/>
          </w:tcPr>
          <w:p w14:paraId="4AAB02CA" w14:textId="7D781383"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 (0.04)</w:t>
            </w:r>
          </w:p>
        </w:tc>
        <w:tc>
          <w:tcPr>
            <w:tcW w:w="1597" w:type="dxa"/>
            <w:shd w:val="clear" w:color="auto" w:fill="auto"/>
            <w:tcMar>
              <w:top w:w="11" w:type="dxa"/>
              <w:left w:w="11" w:type="dxa"/>
              <w:bottom w:w="0" w:type="dxa"/>
              <w:right w:w="11" w:type="dxa"/>
            </w:tcMar>
            <w:vAlign w:val="bottom"/>
            <w:hideMark/>
          </w:tcPr>
          <w:p w14:paraId="1D96D661" w14:textId="20D86C7F"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6 (0.03)</w:t>
            </w:r>
          </w:p>
        </w:tc>
        <w:tc>
          <w:tcPr>
            <w:tcW w:w="1522" w:type="dxa"/>
            <w:shd w:val="clear" w:color="auto" w:fill="auto"/>
            <w:tcMar>
              <w:top w:w="11" w:type="dxa"/>
              <w:left w:w="11" w:type="dxa"/>
              <w:bottom w:w="0" w:type="dxa"/>
              <w:right w:w="11" w:type="dxa"/>
            </w:tcMar>
            <w:vAlign w:val="bottom"/>
            <w:hideMark/>
          </w:tcPr>
          <w:p w14:paraId="3EAAF64B"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0.6713</w:t>
            </w:r>
          </w:p>
        </w:tc>
      </w:tr>
      <w:tr w:rsidR="00AF1DC5" w:rsidRPr="00AF1DC5" w14:paraId="2284AD29"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7C7B1A01" w14:textId="32BBD913" w:rsidR="003C2FB1" w:rsidRPr="00AF1DC5" w:rsidRDefault="003C2FB1" w:rsidP="003C2FB1">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Packed red blood cell Transfusions</w:t>
            </w:r>
          </w:p>
        </w:tc>
        <w:tc>
          <w:tcPr>
            <w:tcW w:w="1685" w:type="dxa"/>
            <w:shd w:val="clear" w:color="auto" w:fill="auto"/>
            <w:tcMar>
              <w:top w:w="11" w:type="dxa"/>
              <w:left w:w="11" w:type="dxa"/>
              <w:bottom w:w="0" w:type="dxa"/>
              <w:right w:w="11" w:type="dxa"/>
            </w:tcMar>
            <w:vAlign w:val="bottom"/>
            <w:hideMark/>
          </w:tcPr>
          <w:p w14:paraId="19A19D37" w14:textId="36BA042F"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1265 (18.79)</w:t>
            </w:r>
          </w:p>
        </w:tc>
        <w:tc>
          <w:tcPr>
            <w:tcW w:w="2271" w:type="dxa"/>
            <w:shd w:val="clear" w:color="auto" w:fill="auto"/>
            <w:tcMar>
              <w:top w:w="11" w:type="dxa"/>
              <w:left w:w="11" w:type="dxa"/>
              <w:bottom w:w="0" w:type="dxa"/>
              <w:right w:w="11" w:type="dxa"/>
            </w:tcMar>
            <w:vAlign w:val="bottom"/>
            <w:hideMark/>
          </w:tcPr>
          <w:p w14:paraId="6818FC67" w14:textId="49B66C5D"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2337 (18.26)</w:t>
            </w:r>
          </w:p>
        </w:tc>
        <w:tc>
          <w:tcPr>
            <w:tcW w:w="1597" w:type="dxa"/>
            <w:shd w:val="clear" w:color="auto" w:fill="auto"/>
            <w:tcMar>
              <w:top w:w="11" w:type="dxa"/>
              <w:left w:w="11" w:type="dxa"/>
              <w:bottom w:w="0" w:type="dxa"/>
              <w:right w:w="11" w:type="dxa"/>
            </w:tcMar>
            <w:vAlign w:val="bottom"/>
            <w:hideMark/>
          </w:tcPr>
          <w:p w14:paraId="2197E8D1" w14:textId="303373D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3602 (18.45)</w:t>
            </w:r>
          </w:p>
        </w:tc>
        <w:tc>
          <w:tcPr>
            <w:tcW w:w="1522" w:type="dxa"/>
            <w:shd w:val="clear" w:color="auto" w:fill="auto"/>
            <w:tcMar>
              <w:top w:w="11" w:type="dxa"/>
              <w:left w:w="11" w:type="dxa"/>
              <w:bottom w:w="0" w:type="dxa"/>
              <w:right w:w="11" w:type="dxa"/>
            </w:tcMar>
            <w:vAlign w:val="bottom"/>
            <w:hideMark/>
          </w:tcPr>
          <w:p w14:paraId="5BCB54E5"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0.3808</w:t>
            </w:r>
          </w:p>
        </w:tc>
      </w:tr>
      <w:tr w:rsidR="00AF1DC5" w:rsidRPr="00AF1DC5" w14:paraId="23259BE9"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56F3BACF" w14:textId="43F1D11A" w:rsidR="003C2FB1" w:rsidRPr="00AF1DC5" w:rsidRDefault="003C2FB1" w:rsidP="003C2FB1">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Platelet transfusions</w:t>
            </w:r>
          </w:p>
        </w:tc>
        <w:tc>
          <w:tcPr>
            <w:tcW w:w="1685" w:type="dxa"/>
            <w:shd w:val="clear" w:color="auto" w:fill="auto"/>
            <w:tcMar>
              <w:top w:w="11" w:type="dxa"/>
              <w:left w:w="11" w:type="dxa"/>
              <w:bottom w:w="0" w:type="dxa"/>
              <w:right w:w="11" w:type="dxa"/>
            </w:tcMar>
            <w:vAlign w:val="bottom"/>
            <w:hideMark/>
          </w:tcPr>
          <w:p w14:paraId="5F528AE3" w14:textId="39A29C4B"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194 (2.88)</w:t>
            </w:r>
          </w:p>
        </w:tc>
        <w:tc>
          <w:tcPr>
            <w:tcW w:w="2271" w:type="dxa"/>
            <w:shd w:val="clear" w:color="auto" w:fill="auto"/>
            <w:tcMar>
              <w:top w:w="11" w:type="dxa"/>
              <w:left w:w="11" w:type="dxa"/>
              <w:bottom w:w="0" w:type="dxa"/>
              <w:right w:w="11" w:type="dxa"/>
            </w:tcMar>
            <w:vAlign w:val="bottom"/>
            <w:hideMark/>
          </w:tcPr>
          <w:p w14:paraId="7CA711AF" w14:textId="12DCF812"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799 (6.24)</w:t>
            </w:r>
          </w:p>
        </w:tc>
        <w:tc>
          <w:tcPr>
            <w:tcW w:w="1597" w:type="dxa"/>
            <w:shd w:val="clear" w:color="auto" w:fill="auto"/>
            <w:tcMar>
              <w:top w:w="11" w:type="dxa"/>
              <w:left w:w="11" w:type="dxa"/>
              <w:bottom w:w="0" w:type="dxa"/>
              <w:right w:w="11" w:type="dxa"/>
            </w:tcMar>
            <w:vAlign w:val="bottom"/>
            <w:hideMark/>
          </w:tcPr>
          <w:p w14:paraId="305E6401" w14:textId="41960169"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993 (5.09)</w:t>
            </w:r>
          </w:p>
        </w:tc>
        <w:tc>
          <w:tcPr>
            <w:tcW w:w="1522" w:type="dxa"/>
            <w:shd w:val="clear" w:color="auto" w:fill="auto"/>
            <w:tcMar>
              <w:top w:w="11" w:type="dxa"/>
              <w:left w:w="11" w:type="dxa"/>
              <w:bottom w:w="0" w:type="dxa"/>
              <w:right w:w="11" w:type="dxa"/>
            </w:tcMar>
            <w:vAlign w:val="bottom"/>
            <w:hideMark/>
          </w:tcPr>
          <w:p w14:paraId="302F56E7"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&lt;0.001</w:t>
            </w:r>
          </w:p>
        </w:tc>
      </w:tr>
      <w:tr w:rsidR="00AF1DC5" w:rsidRPr="00AF1DC5" w14:paraId="650832A5"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74DAF1C3" w14:textId="7A48A707" w:rsidR="003C2FB1" w:rsidRPr="00AF1DC5" w:rsidRDefault="003C2FB1" w:rsidP="003C2FB1">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ICU stay as part of encounter</w:t>
            </w:r>
          </w:p>
        </w:tc>
        <w:tc>
          <w:tcPr>
            <w:tcW w:w="1685" w:type="dxa"/>
            <w:shd w:val="clear" w:color="auto" w:fill="auto"/>
            <w:tcMar>
              <w:top w:w="11" w:type="dxa"/>
              <w:left w:w="11" w:type="dxa"/>
              <w:bottom w:w="0" w:type="dxa"/>
              <w:right w:w="11" w:type="dxa"/>
            </w:tcMar>
            <w:vAlign w:val="bottom"/>
            <w:hideMark/>
          </w:tcPr>
          <w:p w14:paraId="0E79C7EB" w14:textId="361644BD"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880 (13.07)</w:t>
            </w:r>
          </w:p>
        </w:tc>
        <w:tc>
          <w:tcPr>
            <w:tcW w:w="2271" w:type="dxa"/>
            <w:shd w:val="clear" w:color="auto" w:fill="auto"/>
            <w:tcMar>
              <w:top w:w="11" w:type="dxa"/>
              <w:left w:w="11" w:type="dxa"/>
              <w:bottom w:w="0" w:type="dxa"/>
              <w:right w:w="11" w:type="dxa"/>
            </w:tcMar>
            <w:vAlign w:val="bottom"/>
            <w:hideMark/>
          </w:tcPr>
          <w:p w14:paraId="70F7426F" w14:textId="3629110E"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2328 (18.19)</w:t>
            </w:r>
          </w:p>
        </w:tc>
        <w:tc>
          <w:tcPr>
            <w:tcW w:w="1597" w:type="dxa"/>
            <w:shd w:val="clear" w:color="auto" w:fill="auto"/>
            <w:tcMar>
              <w:top w:w="11" w:type="dxa"/>
              <w:left w:w="11" w:type="dxa"/>
              <w:bottom w:w="0" w:type="dxa"/>
              <w:right w:w="11" w:type="dxa"/>
            </w:tcMar>
            <w:vAlign w:val="bottom"/>
            <w:hideMark/>
          </w:tcPr>
          <w:p w14:paraId="58BC81C7" w14:textId="4147A7FC"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3208 (16.43)</w:t>
            </w:r>
          </w:p>
        </w:tc>
        <w:tc>
          <w:tcPr>
            <w:tcW w:w="1522" w:type="dxa"/>
            <w:shd w:val="clear" w:color="auto" w:fill="auto"/>
            <w:tcMar>
              <w:top w:w="11" w:type="dxa"/>
              <w:left w:w="11" w:type="dxa"/>
              <w:bottom w:w="0" w:type="dxa"/>
              <w:right w:w="11" w:type="dxa"/>
            </w:tcMar>
            <w:vAlign w:val="bottom"/>
            <w:hideMark/>
          </w:tcPr>
          <w:p w14:paraId="52CB8708"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&lt;0.0001</w:t>
            </w:r>
          </w:p>
        </w:tc>
      </w:tr>
      <w:tr w:rsidR="00AF1DC5" w:rsidRPr="00AF1DC5" w14:paraId="413D0159"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068BBDA2" w14:textId="269C7873" w:rsidR="003C2FB1" w:rsidRPr="00AF1DC5" w:rsidRDefault="003C2FB1" w:rsidP="003C2FB1">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Chronic liver disease</w:t>
            </w:r>
          </w:p>
        </w:tc>
        <w:tc>
          <w:tcPr>
            <w:tcW w:w="1685" w:type="dxa"/>
            <w:shd w:val="clear" w:color="auto" w:fill="auto"/>
            <w:tcMar>
              <w:top w:w="11" w:type="dxa"/>
              <w:left w:w="11" w:type="dxa"/>
              <w:bottom w:w="0" w:type="dxa"/>
              <w:right w:w="11" w:type="dxa"/>
            </w:tcMar>
            <w:vAlign w:val="bottom"/>
            <w:hideMark/>
          </w:tcPr>
          <w:p w14:paraId="39F6B396" w14:textId="695E04CC"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171 (2.54)</w:t>
            </w:r>
          </w:p>
        </w:tc>
        <w:tc>
          <w:tcPr>
            <w:tcW w:w="2271" w:type="dxa"/>
            <w:shd w:val="clear" w:color="auto" w:fill="auto"/>
            <w:tcMar>
              <w:top w:w="11" w:type="dxa"/>
              <w:left w:w="11" w:type="dxa"/>
              <w:bottom w:w="0" w:type="dxa"/>
              <w:right w:w="11" w:type="dxa"/>
            </w:tcMar>
            <w:vAlign w:val="bottom"/>
            <w:hideMark/>
          </w:tcPr>
          <w:p w14:paraId="48546320" w14:textId="2A9583F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400 (3.13)</w:t>
            </w:r>
          </w:p>
        </w:tc>
        <w:tc>
          <w:tcPr>
            <w:tcW w:w="1597" w:type="dxa"/>
            <w:shd w:val="clear" w:color="auto" w:fill="auto"/>
            <w:tcMar>
              <w:top w:w="11" w:type="dxa"/>
              <w:left w:w="11" w:type="dxa"/>
              <w:bottom w:w="0" w:type="dxa"/>
              <w:right w:w="11" w:type="dxa"/>
            </w:tcMar>
            <w:vAlign w:val="bottom"/>
            <w:hideMark/>
          </w:tcPr>
          <w:p w14:paraId="686B9019" w14:textId="11E7822B"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571 (2.92)</w:t>
            </w:r>
          </w:p>
        </w:tc>
        <w:tc>
          <w:tcPr>
            <w:tcW w:w="1522" w:type="dxa"/>
            <w:shd w:val="clear" w:color="auto" w:fill="auto"/>
            <w:tcMar>
              <w:top w:w="11" w:type="dxa"/>
              <w:left w:w="11" w:type="dxa"/>
              <w:bottom w:w="0" w:type="dxa"/>
              <w:right w:w="11" w:type="dxa"/>
            </w:tcMar>
            <w:vAlign w:val="bottom"/>
            <w:hideMark/>
          </w:tcPr>
          <w:p w14:paraId="0184083F"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0.0234</w:t>
            </w:r>
          </w:p>
        </w:tc>
      </w:tr>
      <w:tr w:rsidR="00AF1DC5" w:rsidRPr="00AF1DC5" w14:paraId="765F0E05"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5C699078" w14:textId="6E5FAB10" w:rsidR="003C2FB1" w:rsidRPr="00AF1DC5" w:rsidRDefault="003C2FB1" w:rsidP="003C2FB1">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GIH Present on admit</w:t>
            </w:r>
          </w:p>
        </w:tc>
        <w:tc>
          <w:tcPr>
            <w:tcW w:w="1685" w:type="dxa"/>
            <w:shd w:val="clear" w:color="auto" w:fill="auto"/>
            <w:tcMar>
              <w:top w:w="11" w:type="dxa"/>
              <w:left w:w="11" w:type="dxa"/>
              <w:bottom w:w="0" w:type="dxa"/>
              <w:right w:w="11" w:type="dxa"/>
            </w:tcMar>
            <w:vAlign w:val="bottom"/>
            <w:hideMark/>
          </w:tcPr>
          <w:p w14:paraId="58D8286E" w14:textId="2944A381"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4980 (73.96)</w:t>
            </w:r>
          </w:p>
        </w:tc>
        <w:tc>
          <w:tcPr>
            <w:tcW w:w="2271" w:type="dxa"/>
            <w:shd w:val="clear" w:color="auto" w:fill="auto"/>
            <w:tcMar>
              <w:top w:w="11" w:type="dxa"/>
              <w:left w:w="11" w:type="dxa"/>
              <w:bottom w:w="0" w:type="dxa"/>
              <w:right w:w="11" w:type="dxa"/>
            </w:tcMar>
            <w:vAlign w:val="bottom"/>
            <w:hideMark/>
          </w:tcPr>
          <w:p w14:paraId="7793DFD2" w14:textId="70655F81"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8585 (67.10)</w:t>
            </w:r>
          </w:p>
        </w:tc>
        <w:tc>
          <w:tcPr>
            <w:tcW w:w="1597" w:type="dxa"/>
            <w:shd w:val="clear" w:color="auto" w:fill="auto"/>
            <w:tcMar>
              <w:top w:w="11" w:type="dxa"/>
              <w:left w:w="11" w:type="dxa"/>
              <w:bottom w:w="0" w:type="dxa"/>
              <w:right w:w="11" w:type="dxa"/>
            </w:tcMar>
            <w:vAlign w:val="bottom"/>
            <w:hideMark/>
          </w:tcPr>
          <w:p w14:paraId="7EFE6FA6"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11084 (56.76%)</w:t>
            </w:r>
          </w:p>
        </w:tc>
        <w:tc>
          <w:tcPr>
            <w:tcW w:w="1522" w:type="dxa"/>
            <w:shd w:val="clear" w:color="auto" w:fill="auto"/>
            <w:tcMar>
              <w:top w:w="11" w:type="dxa"/>
              <w:left w:w="11" w:type="dxa"/>
              <w:bottom w:w="0" w:type="dxa"/>
              <w:right w:w="11" w:type="dxa"/>
            </w:tcMar>
            <w:vAlign w:val="bottom"/>
            <w:hideMark/>
          </w:tcPr>
          <w:p w14:paraId="020E36F5"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&lt;0.0001</w:t>
            </w:r>
          </w:p>
        </w:tc>
      </w:tr>
      <w:tr w:rsidR="00AF1DC5" w:rsidRPr="00AF1DC5" w14:paraId="6B687556"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37A9DECA" w14:textId="77777777" w:rsidR="003C2FB1" w:rsidRPr="00AF1DC5" w:rsidRDefault="003C2FB1" w:rsidP="003C2FB1">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Shock</w:t>
            </w:r>
          </w:p>
        </w:tc>
        <w:tc>
          <w:tcPr>
            <w:tcW w:w="1685" w:type="dxa"/>
            <w:shd w:val="clear" w:color="auto" w:fill="auto"/>
            <w:tcMar>
              <w:top w:w="11" w:type="dxa"/>
              <w:left w:w="11" w:type="dxa"/>
              <w:bottom w:w="0" w:type="dxa"/>
              <w:right w:w="11" w:type="dxa"/>
            </w:tcMar>
            <w:vAlign w:val="bottom"/>
            <w:hideMark/>
          </w:tcPr>
          <w:p w14:paraId="0AD4B770" w14:textId="308483A3"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144 (2.14)</w:t>
            </w:r>
          </w:p>
        </w:tc>
        <w:tc>
          <w:tcPr>
            <w:tcW w:w="2271" w:type="dxa"/>
            <w:shd w:val="clear" w:color="auto" w:fill="auto"/>
            <w:tcMar>
              <w:top w:w="11" w:type="dxa"/>
              <w:left w:w="11" w:type="dxa"/>
              <w:bottom w:w="0" w:type="dxa"/>
              <w:right w:w="11" w:type="dxa"/>
            </w:tcMar>
            <w:vAlign w:val="bottom"/>
            <w:hideMark/>
          </w:tcPr>
          <w:p w14:paraId="1D8E052D" w14:textId="105E283F"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584 (4.56)</w:t>
            </w:r>
          </w:p>
        </w:tc>
        <w:tc>
          <w:tcPr>
            <w:tcW w:w="1597" w:type="dxa"/>
            <w:shd w:val="clear" w:color="auto" w:fill="auto"/>
            <w:tcMar>
              <w:top w:w="11" w:type="dxa"/>
              <w:left w:w="11" w:type="dxa"/>
              <w:bottom w:w="0" w:type="dxa"/>
              <w:right w:w="11" w:type="dxa"/>
            </w:tcMar>
            <w:vAlign w:val="bottom"/>
            <w:hideMark/>
          </w:tcPr>
          <w:p w14:paraId="6C695FBE" w14:textId="3E441798"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728 (3.73)</w:t>
            </w:r>
          </w:p>
        </w:tc>
        <w:tc>
          <w:tcPr>
            <w:tcW w:w="1522" w:type="dxa"/>
            <w:shd w:val="clear" w:color="auto" w:fill="auto"/>
            <w:tcMar>
              <w:top w:w="11" w:type="dxa"/>
              <w:left w:w="11" w:type="dxa"/>
              <w:bottom w:w="0" w:type="dxa"/>
              <w:right w:w="11" w:type="dxa"/>
            </w:tcMar>
            <w:vAlign w:val="bottom"/>
            <w:hideMark/>
          </w:tcPr>
          <w:p w14:paraId="218AF868"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&lt;0.0001</w:t>
            </w:r>
          </w:p>
        </w:tc>
      </w:tr>
      <w:tr w:rsidR="00AF1DC5" w:rsidRPr="00AF1DC5" w14:paraId="7E4EFFD2"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216A4FFE" w14:textId="77777777" w:rsidR="003C2FB1" w:rsidRPr="00AF1DC5" w:rsidRDefault="003C2FB1" w:rsidP="003C2FB1">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Sepsis</w:t>
            </w:r>
          </w:p>
        </w:tc>
        <w:tc>
          <w:tcPr>
            <w:tcW w:w="1685" w:type="dxa"/>
            <w:shd w:val="clear" w:color="auto" w:fill="auto"/>
            <w:tcMar>
              <w:top w:w="11" w:type="dxa"/>
              <w:left w:w="11" w:type="dxa"/>
              <w:bottom w:w="0" w:type="dxa"/>
              <w:right w:w="11" w:type="dxa"/>
            </w:tcMar>
            <w:vAlign w:val="bottom"/>
            <w:hideMark/>
          </w:tcPr>
          <w:p w14:paraId="068B7E8C" w14:textId="27F51AE5"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30 (0.45)</w:t>
            </w:r>
          </w:p>
        </w:tc>
        <w:tc>
          <w:tcPr>
            <w:tcW w:w="2271" w:type="dxa"/>
            <w:shd w:val="clear" w:color="auto" w:fill="auto"/>
            <w:tcMar>
              <w:top w:w="11" w:type="dxa"/>
              <w:left w:w="11" w:type="dxa"/>
              <w:bottom w:w="0" w:type="dxa"/>
              <w:right w:w="11" w:type="dxa"/>
            </w:tcMar>
            <w:vAlign w:val="bottom"/>
            <w:hideMark/>
          </w:tcPr>
          <w:p w14:paraId="308267F9" w14:textId="741AF91D"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666 (5.21)</w:t>
            </w:r>
          </w:p>
        </w:tc>
        <w:tc>
          <w:tcPr>
            <w:tcW w:w="1597" w:type="dxa"/>
            <w:shd w:val="clear" w:color="auto" w:fill="auto"/>
            <w:tcMar>
              <w:top w:w="11" w:type="dxa"/>
              <w:left w:w="11" w:type="dxa"/>
              <w:bottom w:w="0" w:type="dxa"/>
              <w:right w:w="11" w:type="dxa"/>
            </w:tcMar>
            <w:vAlign w:val="bottom"/>
            <w:hideMark/>
          </w:tcPr>
          <w:p w14:paraId="15DB8E41" w14:textId="5C664A8B"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696 (3.56)</w:t>
            </w:r>
          </w:p>
        </w:tc>
        <w:tc>
          <w:tcPr>
            <w:tcW w:w="1522" w:type="dxa"/>
            <w:shd w:val="clear" w:color="auto" w:fill="auto"/>
            <w:tcMar>
              <w:top w:w="11" w:type="dxa"/>
              <w:left w:w="11" w:type="dxa"/>
              <w:bottom w:w="0" w:type="dxa"/>
              <w:right w:w="11" w:type="dxa"/>
            </w:tcMar>
            <w:vAlign w:val="bottom"/>
            <w:hideMark/>
          </w:tcPr>
          <w:p w14:paraId="22ED2271"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&lt;0.0001</w:t>
            </w:r>
          </w:p>
        </w:tc>
      </w:tr>
      <w:tr w:rsidR="00AF1DC5" w:rsidRPr="00AF1DC5" w14:paraId="29AD16F8"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37B91306" w14:textId="5CBB34EB" w:rsidR="003C2FB1" w:rsidRPr="00AF1DC5" w:rsidRDefault="003C2FB1" w:rsidP="003C2FB1">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Hospital lOS (IQR)</w:t>
            </w:r>
          </w:p>
        </w:tc>
        <w:tc>
          <w:tcPr>
            <w:tcW w:w="1685" w:type="dxa"/>
            <w:shd w:val="clear" w:color="auto" w:fill="auto"/>
            <w:tcMar>
              <w:top w:w="11" w:type="dxa"/>
              <w:left w:w="11" w:type="dxa"/>
              <w:bottom w:w="0" w:type="dxa"/>
              <w:right w:w="11" w:type="dxa"/>
            </w:tcMar>
            <w:vAlign w:val="bottom"/>
            <w:hideMark/>
          </w:tcPr>
          <w:p w14:paraId="521BB135" w14:textId="2DD64E66"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 (1,</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4)</w:t>
            </w:r>
          </w:p>
        </w:tc>
        <w:tc>
          <w:tcPr>
            <w:tcW w:w="2271" w:type="dxa"/>
            <w:shd w:val="clear" w:color="auto" w:fill="auto"/>
            <w:tcMar>
              <w:top w:w="11" w:type="dxa"/>
              <w:left w:w="11" w:type="dxa"/>
              <w:bottom w:w="0" w:type="dxa"/>
              <w:right w:w="11" w:type="dxa"/>
            </w:tcMar>
            <w:vAlign w:val="bottom"/>
            <w:hideMark/>
          </w:tcPr>
          <w:p w14:paraId="0B6A2AE7" w14:textId="118A6604"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 (2,</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7)</w:t>
            </w:r>
          </w:p>
        </w:tc>
        <w:tc>
          <w:tcPr>
            <w:tcW w:w="1597" w:type="dxa"/>
            <w:shd w:val="clear" w:color="auto" w:fill="auto"/>
            <w:tcMar>
              <w:top w:w="11" w:type="dxa"/>
              <w:left w:w="11" w:type="dxa"/>
              <w:bottom w:w="0" w:type="dxa"/>
              <w:right w:w="11" w:type="dxa"/>
            </w:tcMar>
            <w:vAlign w:val="bottom"/>
            <w:hideMark/>
          </w:tcPr>
          <w:p w14:paraId="02FCA1EF" w14:textId="7DF48CF9"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 (1,</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6)</w:t>
            </w:r>
          </w:p>
        </w:tc>
        <w:tc>
          <w:tcPr>
            <w:tcW w:w="1522" w:type="dxa"/>
            <w:shd w:val="clear" w:color="auto" w:fill="auto"/>
            <w:tcMar>
              <w:top w:w="11" w:type="dxa"/>
              <w:left w:w="11" w:type="dxa"/>
              <w:bottom w:w="0" w:type="dxa"/>
              <w:right w:w="11" w:type="dxa"/>
            </w:tcMar>
            <w:vAlign w:val="bottom"/>
            <w:hideMark/>
          </w:tcPr>
          <w:p w14:paraId="30DD0246" w14:textId="29D123AB"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2D661014"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7056E2E9" w14:textId="77777777" w:rsidR="003C2FB1" w:rsidRPr="00AF1DC5" w:rsidRDefault="003C2FB1" w:rsidP="003C2FB1">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Day of EGD</w:t>
            </w:r>
          </w:p>
        </w:tc>
        <w:tc>
          <w:tcPr>
            <w:tcW w:w="1685" w:type="dxa"/>
            <w:shd w:val="clear" w:color="auto" w:fill="auto"/>
            <w:tcMar>
              <w:top w:w="11" w:type="dxa"/>
              <w:left w:w="11" w:type="dxa"/>
              <w:bottom w:w="0" w:type="dxa"/>
              <w:right w:w="11" w:type="dxa"/>
            </w:tcMar>
            <w:vAlign w:val="bottom"/>
            <w:hideMark/>
          </w:tcPr>
          <w:p w14:paraId="504BF509" w14:textId="6B83796D"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 (0,</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2)</w:t>
            </w:r>
          </w:p>
        </w:tc>
        <w:tc>
          <w:tcPr>
            <w:tcW w:w="2271" w:type="dxa"/>
            <w:shd w:val="clear" w:color="auto" w:fill="auto"/>
            <w:tcMar>
              <w:top w:w="11" w:type="dxa"/>
              <w:left w:w="11" w:type="dxa"/>
              <w:bottom w:w="0" w:type="dxa"/>
              <w:right w:w="11" w:type="dxa"/>
            </w:tcMar>
            <w:vAlign w:val="bottom"/>
            <w:hideMark/>
          </w:tcPr>
          <w:p w14:paraId="0D0445CC" w14:textId="05785B75"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 (1,</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3)</w:t>
            </w:r>
          </w:p>
        </w:tc>
        <w:tc>
          <w:tcPr>
            <w:tcW w:w="1597" w:type="dxa"/>
            <w:shd w:val="clear" w:color="auto" w:fill="auto"/>
            <w:tcMar>
              <w:top w:w="11" w:type="dxa"/>
              <w:left w:w="11" w:type="dxa"/>
              <w:bottom w:w="0" w:type="dxa"/>
              <w:right w:w="11" w:type="dxa"/>
            </w:tcMar>
            <w:vAlign w:val="bottom"/>
            <w:hideMark/>
          </w:tcPr>
          <w:p w14:paraId="77F64952" w14:textId="75594D39"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 (0,</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2)</w:t>
            </w:r>
          </w:p>
        </w:tc>
        <w:tc>
          <w:tcPr>
            <w:tcW w:w="1522" w:type="dxa"/>
            <w:shd w:val="clear" w:color="auto" w:fill="auto"/>
            <w:tcMar>
              <w:top w:w="11" w:type="dxa"/>
              <w:left w:w="11" w:type="dxa"/>
              <w:bottom w:w="0" w:type="dxa"/>
              <w:right w:w="11" w:type="dxa"/>
            </w:tcMar>
            <w:vAlign w:val="bottom"/>
            <w:hideMark/>
          </w:tcPr>
          <w:p w14:paraId="3E67C10E" w14:textId="575230A9"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2005A6B4" w14:textId="77777777" w:rsidTr="003C2FB1">
        <w:trPr>
          <w:trHeight w:hRule="exact" w:val="432"/>
        </w:trPr>
        <w:tc>
          <w:tcPr>
            <w:tcW w:w="3001" w:type="dxa"/>
            <w:shd w:val="clear" w:color="auto" w:fill="auto"/>
            <w:tcMar>
              <w:top w:w="11" w:type="dxa"/>
              <w:left w:w="11" w:type="dxa"/>
              <w:bottom w:w="0" w:type="dxa"/>
              <w:right w:w="11" w:type="dxa"/>
            </w:tcMar>
            <w:vAlign w:val="bottom"/>
            <w:hideMark/>
          </w:tcPr>
          <w:p w14:paraId="3F838883" w14:textId="77777777" w:rsidR="003C2FB1" w:rsidRPr="00AF1DC5" w:rsidRDefault="003C2FB1" w:rsidP="003C2FB1">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Mortality</w:t>
            </w:r>
          </w:p>
        </w:tc>
        <w:tc>
          <w:tcPr>
            <w:tcW w:w="1685" w:type="dxa"/>
            <w:shd w:val="clear" w:color="auto" w:fill="auto"/>
            <w:tcMar>
              <w:top w:w="11" w:type="dxa"/>
              <w:left w:w="11" w:type="dxa"/>
              <w:bottom w:w="0" w:type="dxa"/>
              <w:right w:w="11" w:type="dxa"/>
            </w:tcMar>
            <w:vAlign w:val="bottom"/>
            <w:hideMark/>
          </w:tcPr>
          <w:p w14:paraId="3418DABD" w14:textId="158B67E5"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25 (0.37)</w:t>
            </w:r>
          </w:p>
        </w:tc>
        <w:tc>
          <w:tcPr>
            <w:tcW w:w="2271" w:type="dxa"/>
            <w:shd w:val="clear" w:color="auto" w:fill="auto"/>
            <w:tcMar>
              <w:top w:w="11" w:type="dxa"/>
              <w:left w:w="11" w:type="dxa"/>
              <w:bottom w:w="0" w:type="dxa"/>
              <w:right w:w="11" w:type="dxa"/>
            </w:tcMar>
            <w:vAlign w:val="bottom"/>
            <w:hideMark/>
          </w:tcPr>
          <w:p w14:paraId="388C53A3" w14:textId="2C02E51F"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379 (2.96)</w:t>
            </w:r>
          </w:p>
        </w:tc>
        <w:tc>
          <w:tcPr>
            <w:tcW w:w="1597" w:type="dxa"/>
            <w:shd w:val="clear" w:color="auto" w:fill="auto"/>
            <w:tcMar>
              <w:top w:w="11" w:type="dxa"/>
              <w:left w:w="11" w:type="dxa"/>
              <w:bottom w:w="0" w:type="dxa"/>
              <w:right w:w="11" w:type="dxa"/>
            </w:tcMar>
            <w:vAlign w:val="bottom"/>
            <w:hideMark/>
          </w:tcPr>
          <w:p w14:paraId="7A7158EC" w14:textId="16991F99"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404 (2.07)</w:t>
            </w:r>
          </w:p>
        </w:tc>
        <w:tc>
          <w:tcPr>
            <w:tcW w:w="1522" w:type="dxa"/>
            <w:shd w:val="clear" w:color="auto" w:fill="auto"/>
            <w:tcMar>
              <w:top w:w="11" w:type="dxa"/>
              <w:left w:w="11" w:type="dxa"/>
              <w:bottom w:w="0" w:type="dxa"/>
              <w:right w:w="11" w:type="dxa"/>
            </w:tcMar>
            <w:vAlign w:val="bottom"/>
            <w:hideMark/>
          </w:tcPr>
          <w:p w14:paraId="696D453A" w14:textId="07219F8F"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bl>
    <w:p w14:paraId="55541851" w14:textId="77777777" w:rsidR="003C2FB1" w:rsidRPr="00AF1DC5" w:rsidRDefault="003C2FB1" w:rsidP="003C2FB1">
      <w:pPr>
        <w:snapToGrid w:val="0"/>
        <w:spacing w:after="0" w:line="360" w:lineRule="auto"/>
        <w:jc w:val="center"/>
        <w:rPr>
          <w:rFonts w:ascii="Book Antiqua" w:hAnsi="Book Antiqua" w:cs="Courier New"/>
          <w:sz w:val="24"/>
          <w:szCs w:val="24"/>
          <w:lang w:eastAsia="zh-CN"/>
        </w:rPr>
      </w:pPr>
    </w:p>
    <w:p w14:paraId="71835B9A" w14:textId="77777777" w:rsidR="00A80667" w:rsidRPr="00AF1DC5" w:rsidRDefault="00A80667" w:rsidP="00E50668">
      <w:pPr>
        <w:snapToGrid w:val="0"/>
        <w:spacing w:after="0" w:line="360" w:lineRule="auto"/>
        <w:jc w:val="both"/>
        <w:rPr>
          <w:rFonts w:ascii="Book Antiqua" w:hAnsi="Book Antiqua" w:cs="Courier New"/>
          <w:sz w:val="24"/>
          <w:szCs w:val="24"/>
        </w:rPr>
      </w:pPr>
    </w:p>
    <w:p w14:paraId="575E0806" w14:textId="2E4ECEE9" w:rsidR="001A18D8" w:rsidRPr="00AF1DC5" w:rsidRDefault="003C2FB1" w:rsidP="00E50668">
      <w:pPr>
        <w:snapToGrid w:val="0"/>
        <w:spacing w:after="0" w:line="360" w:lineRule="auto"/>
        <w:jc w:val="both"/>
        <w:rPr>
          <w:rFonts w:ascii="Book Antiqua" w:hAnsi="Book Antiqua" w:cs="Courier New"/>
          <w:sz w:val="24"/>
          <w:szCs w:val="24"/>
          <w:lang w:eastAsia="zh-CN"/>
        </w:rPr>
      </w:pPr>
      <w:r w:rsidRPr="00AF1DC5">
        <w:rPr>
          <w:rFonts w:ascii="Book Antiqua" w:hAnsi="Book Antiqua" w:cs="Courier New"/>
          <w:b/>
          <w:bCs/>
          <w:sz w:val="24"/>
          <w:szCs w:val="24"/>
        </w:rPr>
        <w:lastRenderedPageBreak/>
        <w:t>Table 2</w:t>
      </w:r>
      <w:r w:rsidRPr="00AF1DC5">
        <w:rPr>
          <w:rFonts w:ascii="Book Antiqua" w:hAnsi="Book Antiqua" w:cs="Courier New"/>
          <w:b/>
          <w:bCs/>
          <w:sz w:val="24"/>
          <w:szCs w:val="24"/>
          <w:lang w:eastAsia="zh-CN"/>
        </w:rPr>
        <w:t xml:space="preserve"> </w:t>
      </w:r>
      <w:r w:rsidRPr="00AF1DC5">
        <w:rPr>
          <w:rFonts w:ascii="Book Antiqua" w:hAnsi="Book Antiqua" w:cs="Courier New"/>
          <w:b/>
          <w:bCs/>
          <w:sz w:val="24"/>
          <w:szCs w:val="24"/>
        </w:rPr>
        <w:t>Univariate analysis of factors affecting mortality</w:t>
      </w:r>
      <w:r w:rsidRPr="00AF1DC5">
        <w:rPr>
          <w:rFonts w:ascii="Book Antiqua" w:hAnsi="Book Antiqua" w:cs="Courier New"/>
          <w:b/>
          <w:bCs/>
          <w:sz w:val="24"/>
          <w:szCs w:val="24"/>
          <w:lang w:eastAsia="zh-CN"/>
        </w:rPr>
        <w:t xml:space="preserve"> </w:t>
      </w:r>
      <w:r w:rsidRPr="00AF1DC5">
        <w:rPr>
          <w:rFonts w:ascii="Book Antiqua" w:hAnsi="Book Antiqua" w:cs="Courier New"/>
          <w:b/>
          <w:bCs/>
          <w:i/>
          <w:sz w:val="24"/>
          <w:szCs w:val="24"/>
        </w:rPr>
        <w:t>n</w:t>
      </w:r>
      <w:r w:rsidRPr="00AF1DC5">
        <w:rPr>
          <w:rFonts w:ascii="Book Antiqua" w:hAnsi="Book Antiqua" w:cs="Courier New"/>
          <w:b/>
          <w:bCs/>
          <w:i/>
          <w:sz w:val="24"/>
          <w:szCs w:val="24"/>
          <w:lang w:eastAsia="zh-CN"/>
        </w:rPr>
        <w:t xml:space="preserve"> </w:t>
      </w:r>
      <w:r w:rsidRPr="00AF1DC5">
        <w:rPr>
          <w:rFonts w:ascii="Book Antiqua" w:hAnsi="Book Antiqua" w:cs="Courier New"/>
          <w:b/>
          <w:bCs/>
          <w:sz w:val="24"/>
          <w:szCs w:val="24"/>
          <w:lang w:eastAsia="zh-CN"/>
        </w:rPr>
        <w:t>(</w:t>
      </w:r>
      <w:r w:rsidRPr="00AF1DC5">
        <w:rPr>
          <w:rFonts w:ascii="Book Antiqua" w:hAnsi="Book Antiqua" w:cs="Courier New"/>
          <w:sz w:val="24"/>
          <w:szCs w:val="24"/>
        </w:rPr>
        <w:t>%</w:t>
      </w:r>
      <w:r w:rsidRPr="00AF1DC5">
        <w:rPr>
          <w:rFonts w:ascii="Book Antiqua" w:hAnsi="Book Antiqua" w:cs="Courier New"/>
          <w:b/>
          <w:bCs/>
          <w:sz w:val="24"/>
          <w:szCs w:val="24"/>
          <w:lang w:eastAsia="zh-CN"/>
        </w:rPr>
        <w:t>)</w:t>
      </w:r>
    </w:p>
    <w:tbl>
      <w:tblPr>
        <w:tblpPr w:leftFromText="180" w:rightFromText="180" w:vertAnchor="text" w:horzAnchor="margin" w:tblpY="112"/>
        <w:tblW w:w="9509" w:type="dxa"/>
        <w:tblBorders>
          <w:top w:val="single" w:sz="4" w:space="0" w:color="000000"/>
          <w:bottom w:val="single" w:sz="4" w:space="0" w:color="000000"/>
        </w:tblBorders>
        <w:tblCellMar>
          <w:left w:w="0" w:type="dxa"/>
          <w:right w:w="0" w:type="dxa"/>
        </w:tblCellMar>
        <w:tblLook w:val="04A0" w:firstRow="1" w:lastRow="0" w:firstColumn="1" w:lastColumn="0" w:noHBand="0" w:noVBand="1"/>
      </w:tblPr>
      <w:tblGrid>
        <w:gridCol w:w="3544"/>
        <w:gridCol w:w="1777"/>
        <w:gridCol w:w="1350"/>
        <w:gridCol w:w="1710"/>
        <w:gridCol w:w="1128"/>
      </w:tblGrid>
      <w:tr w:rsidR="00AF1DC5" w:rsidRPr="00AF1DC5" w14:paraId="3CEE1A5E" w14:textId="77777777" w:rsidTr="00644D6D">
        <w:trPr>
          <w:trHeight w:hRule="exact" w:val="432"/>
        </w:trPr>
        <w:tc>
          <w:tcPr>
            <w:tcW w:w="3544" w:type="dxa"/>
            <w:tcBorders>
              <w:top w:val="single" w:sz="4" w:space="0" w:color="000000"/>
              <w:bottom w:val="single" w:sz="4" w:space="0" w:color="000000"/>
            </w:tcBorders>
            <w:shd w:val="clear" w:color="auto" w:fill="auto"/>
            <w:tcMar>
              <w:top w:w="11" w:type="dxa"/>
              <w:left w:w="11" w:type="dxa"/>
              <w:bottom w:w="0" w:type="dxa"/>
              <w:right w:w="11" w:type="dxa"/>
            </w:tcMar>
            <w:vAlign w:val="bottom"/>
            <w:hideMark/>
          </w:tcPr>
          <w:p w14:paraId="128A3F6F" w14:textId="77777777" w:rsidR="003C2FB1" w:rsidRPr="00AF1DC5" w:rsidRDefault="003C2FB1" w:rsidP="003C2FB1">
            <w:pPr>
              <w:snapToGrid w:val="0"/>
              <w:spacing w:after="0" w:line="360" w:lineRule="auto"/>
              <w:jc w:val="both"/>
              <w:rPr>
                <w:rFonts w:ascii="Book Antiqua" w:hAnsi="Book Antiqua" w:cs="Courier New"/>
                <w:sz w:val="24"/>
                <w:szCs w:val="24"/>
              </w:rPr>
            </w:pPr>
            <w:r w:rsidRPr="00AF1DC5">
              <w:rPr>
                <w:rFonts w:ascii="Book Antiqua" w:hAnsi="Book Antiqua" w:cs="Courier New"/>
                <w:b/>
                <w:bCs/>
                <w:sz w:val="24"/>
                <w:szCs w:val="24"/>
              </w:rPr>
              <w:t> </w:t>
            </w:r>
          </w:p>
        </w:tc>
        <w:tc>
          <w:tcPr>
            <w:tcW w:w="1777" w:type="dxa"/>
            <w:tcBorders>
              <w:top w:val="single" w:sz="4" w:space="0" w:color="000000"/>
              <w:bottom w:val="single" w:sz="4" w:space="0" w:color="000000"/>
            </w:tcBorders>
            <w:shd w:val="clear" w:color="auto" w:fill="auto"/>
            <w:tcMar>
              <w:top w:w="11" w:type="dxa"/>
              <w:left w:w="11" w:type="dxa"/>
              <w:bottom w:w="0" w:type="dxa"/>
              <w:right w:w="11" w:type="dxa"/>
            </w:tcMar>
            <w:vAlign w:val="bottom"/>
            <w:hideMark/>
          </w:tcPr>
          <w:p w14:paraId="58F6F608" w14:textId="77777777" w:rsidR="003C2FB1" w:rsidRPr="00AF1DC5" w:rsidRDefault="003C2FB1" w:rsidP="003C2FB1">
            <w:pPr>
              <w:snapToGrid w:val="0"/>
              <w:spacing w:after="0" w:line="360" w:lineRule="auto"/>
              <w:jc w:val="center"/>
              <w:rPr>
                <w:rFonts w:ascii="Book Antiqua" w:hAnsi="Book Antiqua" w:cs="Courier New"/>
                <w:b/>
                <w:bCs/>
                <w:sz w:val="24"/>
                <w:szCs w:val="24"/>
                <w:lang w:eastAsia="zh-CN"/>
              </w:rPr>
            </w:pPr>
            <w:r w:rsidRPr="00AF1DC5">
              <w:rPr>
                <w:rFonts w:ascii="Book Antiqua" w:hAnsi="Book Antiqua" w:cs="Courier New"/>
                <w:b/>
                <w:bCs/>
                <w:sz w:val="24"/>
                <w:szCs w:val="24"/>
              </w:rPr>
              <w:t>Survived</w:t>
            </w:r>
          </w:p>
          <w:p w14:paraId="3CD31016" w14:textId="77777777" w:rsidR="003C2FB1" w:rsidRPr="00AF1DC5" w:rsidRDefault="003C2FB1" w:rsidP="003C2FB1">
            <w:pPr>
              <w:snapToGrid w:val="0"/>
              <w:spacing w:after="0" w:line="360" w:lineRule="auto"/>
              <w:jc w:val="center"/>
              <w:rPr>
                <w:rFonts w:ascii="Book Antiqua" w:hAnsi="Book Antiqua" w:cs="Courier New"/>
                <w:b/>
                <w:bCs/>
                <w:sz w:val="24"/>
                <w:szCs w:val="24"/>
                <w:lang w:eastAsia="zh-CN"/>
              </w:rPr>
            </w:pPr>
          </w:p>
          <w:p w14:paraId="5CB04F6D" w14:textId="15496C79"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b/>
                <w:bCs/>
                <w:sz w:val="24"/>
                <w:szCs w:val="24"/>
              </w:rPr>
              <w:br/>
              <w:t>(N=19124)</w:t>
            </w:r>
          </w:p>
        </w:tc>
        <w:tc>
          <w:tcPr>
            <w:tcW w:w="1350" w:type="dxa"/>
            <w:tcBorders>
              <w:top w:val="single" w:sz="4" w:space="0" w:color="000000"/>
              <w:bottom w:val="single" w:sz="4" w:space="0" w:color="000000"/>
            </w:tcBorders>
            <w:shd w:val="clear" w:color="auto" w:fill="auto"/>
            <w:tcMar>
              <w:top w:w="11" w:type="dxa"/>
              <w:left w:w="11" w:type="dxa"/>
              <w:bottom w:w="0" w:type="dxa"/>
              <w:right w:w="11" w:type="dxa"/>
            </w:tcMar>
            <w:vAlign w:val="bottom"/>
            <w:hideMark/>
          </w:tcPr>
          <w:p w14:paraId="6F7CF01D" w14:textId="77777777" w:rsidR="003C2FB1" w:rsidRPr="00AF1DC5" w:rsidRDefault="003C2FB1" w:rsidP="003C2FB1">
            <w:pPr>
              <w:snapToGrid w:val="0"/>
              <w:spacing w:after="0" w:line="360" w:lineRule="auto"/>
              <w:jc w:val="center"/>
              <w:rPr>
                <w:rFonts w:ascii="Book Antiqua" w:hAnsi="Book Antiqua" w:cs="Courier New"/>
                <w:b/>
                <w:bCs/>
                <w:sz w:val="24"/>
                <w:szCs w:val="24"/>
                <w:lang w:eastAsia="zh-CN"/>
              </w:rPr>
            </w:pPr>
            <w:r w:rsidRPr="00AF1DC5">
              <w:rPr>
                <w:rFonts w:ascii="Book Antiqua" w:hAnsi="Book Antiqua" w:cs="Courier New"/>
                <w:b/>
                <w:bCs/>
                <w:sz w:val="24"/>
                <w:szCs w:val="24"/>
              </w:rPr>
              <w:t>Died</w:t>
            </w:r>
            <w:r w:rsidRPr="00AF1DC5">
              <w:rPr>
                <w:rFonts w:ascii="Book Antiqua" w:hAnsi="Book Antiqua" w:cs="Courier New"/>
                <w:b/>
                <w:bCs/>
                <w:sz w:val="24"/>
                <w:szCs w:val="24"/>
                <w:lang w:eastAsia="zh-CN"/>
              </w:rPr>
              <w:t xml:space="preserve"> </w:t>
            </w:r>
          </w:p>
          <w:p w14:paraId="72E3FB16"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b/>
                <w:bCs/>
                <w:sz w:val="24"/>
                <w:szCs w:val="24"/>
              </w:rPr>
              <w:br/>
              <w:t xml:space="preserve"> (N=404)</w:t>
            </w:r>
          </w:p>
        </w:tc>
        <w:tc>
          <w:tcPr>
            <w:tcW w:w="1710" w:type="dxa"/>
            <w:tcBorders>
              <w:top w:val="single" w:sz="4" w:space="0" w:color="000000"/>
              <w:bottom w:val="single" w:sz="4" w:space="0" w:color="000000"/>
            </w:tcBorders>
            <w:shd w:val="clear" w:color="auto" w:fill="auto"/>
            <w:tcMar>
              <w:top w:w="11" w:type="dxa"/>
              <w:left w:w="11" w:type="dxa"/>
              <w:bottom w:w="0" w:type="dxa"/>
              <w:right w:w="11" w:type="dxa"/>
            </w:tcMar>
            <w:vAlign w:val="bottom"/>
            <w:hideMark/>
          </w:tcPr>
          <w:p w14:paraId="2F2469D0"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b/>
                <w:bCs/>
                <w:sz w:val="24"/>
                <w:szCs w:val="24"/>
              </w:rPr>
              <w:t>Overall</w:t>
            </w:r>
            <w:r w:rsidRPr="00AF1DC5">
              <w:rPr>
                <w:rFonts w:ascii="Book Antiqua" w:hAnsi="Book Antiqua" w:cs="Courier New"/>
                <w:b/>
                <w:bCs/>
                <w:sz w:val="24"/>
                <w:szCs w:val="24"/>
              </w:rPr>
              <w:br/>
              <w:t>(N=19528)</w:t>
            </w:r>
          </w:p>
        </w:tc>
        <w:tc>
          <w:tcPr>
            <w:tcW w:w="1128" w:type="dxa"/>
            <w:tcBorders>
              <w:top w:val="single" w:sz="4" w:space="0" w:color="000000"/>
              <w:bottom w:val="single" w:sz="4" w:space="0" w:color="000000"/>
            </w:tcBorders>
            <w:shd w:val="clear" w:color="auto" w:fill="auto"/>
            <w:tcMar>
              <w:top w:w="11" w:type="dxa"/>
              <w:left w:w="11" w:type="dxa"/>
              <w:bottom w:w="0" w:type="dxa"/>
              <w:right w:w="11" w:type="dxa"/>
            </w:tcMar>
            <w:vAlign w:val="bottom"/>
            <w:hideMark/>
          </w:tcPr>
          <w:p w14:paraId="22FC1CEB" w14:textId="2621BEDC"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b/>
                <w:bCs/>
                <w:i/>
                <w:sz w:val="24"/>
                <w:szCs w:val="24"/>
              </w:rPr>
              <w:t>P</w:t>
            </w:r>
            <w:r w:rsidRPr="00AF1DC5">
              <w:rPr>
                <w:rFonts w:ascii="Book Antiqua" w:hAnsi="Book Antiqua" w:cs="Courier New"/>
                <w:b/>
                <w:bCs/>
                <w:i/>
                <w:sz w:val="24"/>
                <w:szCs w:val="24"/>
                <w:lang w:eastAsia="zh-CN"/>
              </w:rPr>
              <w:t xml:space="preserve"> </w:t>
            </w:r>
            <w:r w:rsidRPr="00AF1DC5">
              <w:rPr>
                <w:rFonts w:ascii="Book Antiqua" w:hAnsi="Book Antiqua" w:cs="Courier New"/>
                <w:b/>
                <w:bCs/>
                <w:sz w:val="24"/>
                <w:szCs w:val="24"/>
              </w:rPr>
              <w:t>value</w:t>
            </w:r>
          </w:p>
        </w:tc>
      </w:tr>
      <w:tr w:rsidR="00AF1DC5" w:rsidRPr="00AF1DC5" w14:paraId="63764496" w14:textId="77777777" w:rsidTr="00644D6D">
        <w:trPr>
          <w:trHeight w:hRule="exact" w:val="432"/>
        </w:trPr>
        <w:tc>
          <w:tcPr>
            <w:tcW w:w="3544" w:type="dxa"/>
            <w:tcBorders>
              <w:top w:val="single" w:sz="4" w:space="0" w:color="000000"/>
            </w:tcBorders>
            <w:shd w:val="clear" w:color="auto" w:fill="auto"/>
            <w:tcMar>
              <w:top w:w="11" w:type="dxa"/>
              <w:left w:w="11" w:type="dxa"/>
              <w:bottom w:w="0" w:type="dxa"/>
              <w:right w:w="11" w:type="dxa"/>
            </w:tcMar>
            <w:vAlign w:val="bottom"/>
            <w:hideMark/>
          </w:tcPr>
          <w:p w14:paraId="15766E6E" w14:textId="2714831F" w:rsidR="003C2FB1" w:rsidRPr="00AF1DC5" w:rsidRDefault="003C2FB1" w:rsidP="003C2FB1">
            <w:pPr>
              <w:snapToGrid w:val="0"/>
              <w:spacing w:after="0" w:line="360" w:lineRule="auto"/>
              <w:jc w:val="both"/>
              <w:rPr>
                <w:rFonts w:ascii="Book Antiqua" w:hAnsi="Book Antiqua" w:cs="Courier New"/>
                <w:sz w:val="24"/>
                <w:szCs w:val="24"/>
              </w:rPr>
            </w:pPr>
            <w:r w:rsidRPr="00AF1DC5">
              <w:rPr>
                <w:rFonts w:ascii="Book Antiqua" w:hAnsi="Book Antiqua" w:cs="Courier New"/>
                <w:bCs/>
                <w:sz w:val="24"/>
                <w:szCs w:val="24"/>
              </w:rPr>
              <w:t>Age in years (IQR)</w:t>
            </w:r>
          </w:p>
        </w:tc>
        <w:tc>
          <w:tcPr>
            <w:tcW w:w="1777" w:type="dxa"/>
            <w:tcBorders>
              <w:top w:val="single" w:sz="4" w:space="0" w:color="000000"/>
            </w:tcBorders>
            <w:shd w:val="clear" w:color="auto" w:fill="auto"/>
            <w:tcMar>
              <w:top w:w="11" w:type="dxa"/>
              <w:left w:w="11" w:type="dxa"/>
              <w:bottom w:w="0" w:type="dxa"/>
              <w:right w:w="11" w:type="dxa"/>
            </w:tcMar>
            <w:vAlign w:val="bottom"/>
            <w:hideMark/>
          </w:tcPr>
          <w:p w14:paraId="7B77231C" w14:textId="081CE354"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9 (4,</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15)</w:t>
            </w:r>
          </w:p>
        </w:tc>
        <w:tc>
          <w:tcPr>
            <w:tcW w:w="1350" w:type="dxa"/>
            <w:tcBorders>
              <w:top w:val="single" w:sz="4" w:space="0" w:color="000000"/>
            </w:tcBorders>
            <w:shd w:val="clear" w:color="auto" w:fill="auto"/>
            <w:tcMar>
              <w:top w:w="11" w:type="dxa"/>
              <w:left w:w="11" w:type="dxa"/>
              <w:bottom w:w="0" w:type="dxa"/>
              <w:right w:w="11" w:type="dxa"/>
            </w:tcMar>
            <w:vAlign w:val="bottom"/>
            <w:hideMark/>
          </w:tcPr>
          <w:p w14:paraId="248AEF5F" w14:textId="5749BDFE"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8 (3,</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15)</w:t>
            </w:r>
          </w:p>
        </w:tc>
        <w:tc>
          <w:tcPr>
            <w:tcW w:w="1710" w:type="dxa"/>
            <w:tcBorders>
              <w:top w:val="single" w:sz="4" w:space="0" w:color="000000"/>
            </w:tcBorders>
            <w:shd w:val="clear" w:color="auto" w:fill="auto"/>
            <w:tcMar>
              <w:top w:w="11" w:type="dxa"/>
              <w:left w:w="11" w:type="dxa"/>
              <w:bottom w:w="0" w:type="dxa"/>
              <w:right w:w="11" w:type="dxa"/>
            </w:tcMar>
            <w:vAlign w:val="bottom"/>
            <w:hideMark/>
          </w:tcPr>
          <w:p w14:paraId="010DCF48" w14:textId="430AA71E"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9 (4,</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15)</w:t>
            </w:r>
          </w:p>
        </w:tc>
        <w:tc>
          <w:tcPr>
            <w:tcW w:w="1128" w:type="dxa"/>
            <w:tcBorders>
              <w:top w:val="single" w:sz="4" w:space="0" w:color="000000"/>
            </w:tcBorders>
            <w:shd w:val="clear" w:color="auto" w:fill="auto"/>
            <w:tcMar>
              <w:top w:w="11" w:type="dxa"/>
              <w:left w:w="11" w:type="dxa"/>
              <w:bottom w:w="0" w:type="dxa"/>
              <w:right w:w="11" w:type="dxa"/>
            </w:tcMar>
            <w:vAlign w:val="bottom"/>
            <w:hideMark/>
          </w:tcPr>
          <w:p w14:paraId="09D5A060"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0.2997</w:t>
            </w:r>
          </w:p>
        </w:tc>
      </w:tr>
      <w:tr w:rsidR="00AF1DC5" w:rsidRPr="00AF1DC5" w14:paraId="22B0C6D6"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4B321F4C" w14:textId="77777777" w:rsidR="003C2FB1" w:rsidRPr="00AF1DC5" w:rsidRDefault="003C2FB1" w:rsidP="003C2FB1">
            <w:pPr>
              <w:snapToGrid w:val="0"/>
              <w:spacing w:after="0" w:line="360" w:lineRule="auto"/>
              <w:jc w:val="both"/>
              <w:rPr>
                <w:rFonts w:ascii="Book Antiqua" w:hAnsi="Book Antiqua" w:cs="Courier New"/>
                <w:sz w:val="24"/>
                <w:szCs w:val="24"/>
              </w:rPr>
            </w:pPr>
            <w:r w:rsidRPr="00AF1DC5">
              <w:rPr>
                <w:rFonts w:ascii="Book Antiqua" w:hAnsi="Book Antiqua" w:cs="Courier New"/>
                <w:bCs/>
                <w:sz w:val="24"/>
                <w:szCs w:val="24"/>
              </w:rPr>
              <w:t>Gender</w:t>
            </w:r>
          </w:p>
        </w:tc>
        <w:tc>
          <w:tcPr>
            <w:tcW w:w="1777" w:type="dxa"/>
            <w:shd w:val="clear" w:color="auto" w:fill="auto"/>
            <w:tcMar>
              <w:top w:w="11" w:type="dxa"/>
              <w:left w:w="11" w:type="dxa"/>
              <w:bottom w:w="0" w:type="dxa"/>
              <w:right w:w="11" w:type="dxa"/>
            </w:tcMar>
            <w:vAlign w:val="bottom"/>
            <w:hideMark/>
          </w:tcPr>
          <w:p w14:paraId="5CE77EE0" w14:textId="77A3B24B" w:rsidR="003C2FB1" w:rsidRPr="00AF1DC5" w:rsidRDefault="003C2FB1" w:rsidP="003C2FB1">
            <w:pPr>
              <w:snapToGrid w:val="0"/>
              <w:spacing w:after="0" w:line="360" w:lineRule="auto"/>
              <w:jc w:val="center"/>
              <w:rPr>
                <w:rFonts w:ascii="Book Antiqua" w:hAnsi="Book Antiqua" w:cs="Courier New"/>
                <w:sz w:val="24"/>
                <w:szCs w:val="24"/>
              </w:rPr>
            </w:pPr>
          </w:p>
        </w:tc>
        <w:tc>
          <w:tcPr>
            <w:tcW w:w="1350" w:type="dxa"/>
            <w:shd w:val="clear" w:color="auto" w:fill="auto"/>
            <w:tcMar>
              <w:top w:w="11" w:type="dxa"/>
              <w:left w:w="11" w:type="dxa"/>
              <w:bottom w:w="0" w:type="dxa"/>
              <w:right w:w="11" w:type="dxa"/>
            </w:tcMar>
            <w:vAlign w:val="bottom"/>
            <w:hideMark/>
          </w:tcPr>
          <w:p w14:paraId="37FB302A" w14:textId="5DFBE62C" w:rsidR="003C2FB1" w:rsidRPr="00AF1DC5" w:rsidRDefault="003C2FB1" w:rsidP="003C2FB1">
            <w:pPr>
              <w:snapToGrid w:val="0"/>
              <w:spacing w:after="0" w:line="360" w:lineRule="auto"/>
              <w:jc w:val="center"/>
              <w:rPr>
                <w:rFonts w:ascii="Book Antiqua" w:hAnsi="Book Antiqua" w:cs="Courier New"/>
                <w:sz w:val="24"/>
                <w:szCs w:val="24"/>
              </w:rPr>
            </w:pPr>
          </w:p>
        </w:tc>
        <w:tc>
          <w:tcPr>
            <w:tcW w:w="1710" w:type="dxa"/>
            <w:shd w:val="clear" w:color="auto" w:fill="auto"/>
            <w:tcMar>
              <w:top w:w="11" w:type="dxa"/>
              <w:left w:w="11" w:type="dxa"/>
              <w:bottom w:w="0" w:type="dxa"/>
              <w:right w:w="11" w:type="dxa"/>
            </w:tcMar>
            <w:vAlign w:val="bottom"/>
            <w:hideMark/>
          </w:tcPr>
          <w:p w14:paraId="3A739E77" w14:textId="23BA1ACD" w:rsidR="003C2FB1" w:rsidRPr="00AF1DC5" w:rsidRDefault="003C2FB1" w:rsidP="003C2FB1">
            <w:pPr>
              <w:snapToGrid w:val="0"/>
              <w:spacing w:after="0" w:line="360" w:lineRule="auto"/>
              <w:jc w:val="center"/>
              <w:rPr>
                <w:rFonts w:ascii="Book Antiqua" w:hAnsi="Book Antiqua" w:cs="Courier New"/>
                <w:sz w:val="24"/>
                <w:szCs w:val="24"/>
              </w:rPr>
            </w:pPr>
          </w:p>
        </w:tc>
        <w:tc>
          <w:tcPr>
            <w:tcW w:w="1128" w:type="dxa"/>
            <w:shd w:val="clear" w:color="auto" w:fill="auto"/>
            <w:tcMar>
              <w:top w:w="11" w:type="dxa"/>
              <w:left w:w="11" w:type="dxa"/>
              <w:bottom w:w="0" w:type="dxa"/>
              <w:right w:w="11" w:type="dxa"/>
            </w:tcMar>
            <w:vAlign w:val="bottom"/>
            <w:hideMark/>
          </w:tcPr>
          <w:p w14:paraId="00930198"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0.0679</w:t>
            </w:r>
          </w:p>
        </w:tc>
      </w:tr>
      <w:tr w:rsidR="00AF1DC5" w:rsidRPr="00AF1DC5" w14:paraId="33AD211E"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72C8D66F" w14:textId="77777777"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Female</w:t>
            </w:r>
          </w:p>
        </w:tc>
        <w:tc>
          <w:tcPr>
            <w:tcW w:w="1777" w:type="dxa"/>
            <w:shd w:val="clear" w:color="auto" w:fill="auto"/>
            <w:tcMar>
              <w:top w:w="11" w:type="dxa"/>
              <w:left w:w="11" w:type="dxa"/>
              <w:bottom w:w="0" w:type="dxa"/>
              <w:right w:w="11" w:type="dxa"/>
            </w:tcMar>
            <w:vAlign w:val="bottom"/>
            <w:hideMark/>
          </w:tcPr>
          <w:p w14:paraId="1DD74BBD" w14:textId="71D26C26"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8864 (46.35</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678140A3" w14:textId="2A4DE78D"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202 (50</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6499A925" w14:textId="755F80B8"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9066 (46.43</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75FADAE9" w14:textId="77777777"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2F86F23E"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13DC5B23" w14:textId="77777777"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Male</w:t>
            </w:r>
          </w:p>
        </w:tc>
        <w:tc>
          <w:tcPr>
            <w:tcW w:w="1777" w:type="dxa"/>
            <w:shd w:val="clear" w:color="auto" w:fill="auto"/>
            <w:tcMar>
              <w:top w:w="11" w:type="dxa"/>
              <w:left w:w="11" w:type="dxa"/>
              <w:bottom w:w="0" w:type="dxa"/>
              <w:right w:w="11" w:type="dxa"/>
            </w:tcMar>
            <w:vAlign w:val="bottom"/>
            <w:hideMark/>
          </w:tcPr>
          <w:p w14:paraId="07A0FC06" w14:textId="011483FA"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10460 (54.70</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45F12F65" w14:textId="11C29F11"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202 (50</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50B41EE4" w14:textId="28F3FB47"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10662 (54.60</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2911EB91" w14:textId="35A2E4C5"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7D0F4D82"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670802D2" w14:textId="77777777" w:rsidR="003C2FB1" w:rsidRPr="00AF1DC5" w:rsidRDefault="003C2FB1" w:rsidP="003C2FB1">
            <w:pPr>
              <w:snapToGrid w:val="0"/>
              <w:spacing w:after="0" w:line="360" w:lineRule="auto"/>
              <w:jc w:val="both"/>
              <w:rPr>
                <w:rFonts w:ascii="Book Antiqua" w:hAnsi="Book Antiqua" w:cs="Courier New"/>
                <w:sz w:val="24"/>
                <w:szCs w:val="24"/>
              </w:rPr>
            </w:pPr>
            <w:r w:rsidRPr="00AF1DC5">
              <w:rPr>
                <w:rFonts w:ascii="Book Antiqua" w:hAnsi="Book Antiqua" w:cs="Courier New"/>
                <w:bCs/>
                <w:sz w:val="24"/>
                <w:szCs w:val="24"/>
              </w:rPr>
              <w:t>Race</w:t>
            </w:r>
          </w:p>
        </w:tc>
        <w:tc>
          <w:tcPr>
            <w:tcW w:w="1777" w:type="dxa"/>
            <w:shd w:val="clear" w:color="auto" w:fill="auto"/>
            <w:tcMar>
              <w:top w:w="11" w:type="dxa"/>
              <w:left w:w="11" w:type="dxa"/>
              <w:bottom w:w="0" w:type="dxa"/>
              <w:right w:w="11" w:type="dxa"/>
            </w:tcMar>
            <w:vAlign w:val="bottom"/>
            <w:hideMark/>
          </w:tcPr>
          <w:p w14:paraId="39612B60" w14:textId="452F192E" w:rsidR="003C2FB1" w:rsidRPr="00AF1DC5" w:rsidRDefault="003C2FB1" w:rsidP="003C2FB1">
            <w:pPr>
              <w:snapToGrid w:val="0"/>
              <w:spacing w:after="0" w:line="360" w:lineRule="auto"/>
              <w:jc w:val="center"/>
              <w:rPr>
                <w:rFonts w:ascii="Book Antiqua" w:hAnsi="Book Antiqua" w:cs="Courier New"/>
                <w:sz w:val="24"/>
                <w:szCs w:val="24"/>
              </w:rPr>
            </w:pPr>
          </w:p>
        </w:tc>
        <w:tc>
          <w:tcPr>
            <w:tcW w:w="1350" w:type="dxa"/>
            <w:shd w:val="clear" w:color="auto" w:fill="auto"/>
            <w:tcMar>
              <w:top w:w="11" w:type="dxa"/>
              <w:left w:w="11" w:type="dxa"/>
              <w:bottom w:w="0" w:type="dxa"/>
              <w:right w:w="11" w:type="dxa"/>
            </w:tcMar>
            <w:vAlign w:val="bottom"/>
            <w:hideMark/>
          </w:tcPr>
          <w:p w14:paraId="5FC9C9BB" w14:textId="3AE5DBB8" w:rsidR="003C2FB1" w:rsidRPr="00AF1DC5" w:rsidRDefault="003C2FB1" w:rsidP="003C2FB1">
            <w:pPr>
              <w:snapToGrid w:val="0"/>
              <w:spacing w:after="0" w:line="360" w:lineRule="auto"/>
              <w:jc w:val="center"/>
              <w:rPr>
                <w:rFonts w:ascii="Book Antiqua" w:hAnsi="Book Antiqua" w:cs="Courier New"/>
                <w:sz w:val="24"/>
                <w:szCs w:val="24"/>
              </w:rPr>
            </w:pPr>
          </w:p>
        </w:tc>
        <w:tc>
          <w:tcPr>
            <w:tcW w:w="1710" w:type="dxa"/>
            <w:shd w:val="clear" w:color="auto" w:fill="auto"/>
            <w:tcMar>
              <w:top w:w="11" w:type="dxa"/>
              <w:left w:w="11" w:type="dxa"/>
              <w:bottom w:w="0" w:type="dxa"/>
              <w:right w:w="11" w:type="dxa"/>
            </w:tcMar>
            <w:vAlign w:val="bottom"/>
            <w:hideMark/>
          </w:tcPr>
          <w:p w14:paraId="5B4CEC30" w14:textId="1F2AEBCD" w:rsidR="003C2FB1" w:rsidRPr="00AF1DC5" w:rsidRDefault="003C2FB1" w:rsidP="003C2FB1">
            <w:pPr>
              <w:snapToGrid w:val="0"/>
              <w:spacing w:after="0" w:line="360" w:lineRule="auto"/>
              <w:jc w:val="center"/>
              <w:rPr>
                <w:rFonts w:ascii="Book Antiqua" w:hAnsi="Book Antiqua" w:cs="Courier New"/>
                <w:sz w:val="24"/>
                <w:szCs w:val="24"/>
              </w:rPr>
            </w:pPr>
          </w:p>
        </w:tc>
        <w:tc>
          <w:tcPr>
            <w:tcW w:w="1128" w:type="dxa"/>
            <w:shd w:val="clear" w:color="auto" w:fill="FFFFFF"/>
            <w:tcMar>
              <w:top w:w="11" w:type="dxa"/>
              <w:left w:w="11" w:type="dxa"/>
              <w:bottom w:w="0" w:type="dxa"/>
              <w:right w:w="11" w:type="dxa"/>
            </w:tcMar>
            <w:vAlign w:val="bottom"/>
            <w:hideMark/>
          </w:tcPr>
          <w:p w14:paraId="310DE4CD"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0.0005</w:t>
            </w:r>
          </w:p>
        </w:tc>
      </w:tr>
      <w:tr w:rsidR="00AF1DC5" w:rsidRPr="00AF1DC5" w14:paraId="2FD16A4E"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4F1D678A" w14:textId="77777777"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Non-Hispanic White</w:t>
            </w:r>
          </w:p>
        </w:tc>
        <w:tc>
          <w:tcPr>
            <w:tcW w:w="1777" w:type="dxa"/>
            <w:shd w:val="clear" w:color="auto" w:fill="auto"/>
            <w:tcMar>
              <w:top w:w="11" w:type="dxa"/>
              <w:left w:w="11" w:type="dxa"/>
              <w:bottom w:w="0" w:type="dxa"/>
              <w:right w:w="11" w:type="dxa"/>
            </w:tcMar>
            <w:vAlign w:val="bottom"/>
            <w:hideMark/>
          </w:tcPr>
          <w:p w14:paraId="361A07F4" w14:textId="7C261401"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10036 (52.48</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1FAFE7EC" w14:textId="475E1BD9"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168 (41.58</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3A60F8C4" w14:textId="5F7624FF"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10204 (52.25</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35343B3D" w14:textId="77777777"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51EBA7AF"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0FE7EF55" w14:textId="77777777"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Non-Hispanic Black</w:t>
            </w:r>
          </w:p>
        </w:tc>
        <w:tc>
          <w:tcPr>
            <w:tcW w:w="1777" w:type="dxa"/>
            <w:shd w:val="clear" w:color="auto" w:fill="auto"/>
            <w:tcMar>
              <w:top w:w="11" w:type="dxa"/>
              <w:left w:w="11" w:type="dxa"/>
              <w:bottom w:w="0" w:type="dxa"/>
              <w:right w:w="11" w:type="dxa"/>
            </w:tcMar>
            <w:vAlign w:val="bottom"/>
            <w:hideMark/>
          </w:tcPr>
          <w:p w14:paraId="4FD53DCF" w14:textId="62AD6BA6"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3358 (17.56</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42B1154D" w14:textId="46F0B7B2"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79 (19.55</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1E8B026B" w14:textId="1E810168"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3437 (17.60</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55E8755F" w14:textId="77777777"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403B91B5"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588CCD2C" w14:textId="77777777"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Hispanic</w:t>
            </w:r>
          </w:p>
        </w:tc>
        <w:tc>
          <w:tcPr>
            <w:tcW w:w="1777" w:type="dxa"/>
            <w:shd w:val="clear" w:color="auto" w:fill="auto"/>
            <w:tcMar>
              <w:top w:w="11" w:type="dxa"/>
              <w:left w:w="11" w:type="dxa"/>
              <w:bottom w:w="0" w:type="dxa"/>
              <w:right w:w="11" w:type="dxa"/>
            </w:tcMar>
            <w:vAlign w:val="bottom"/>
            <w:hideMark/>
          </w:tcPr>
          <w:p w14:paraId="2CA800B4" w14:textId="6B1D347F"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3646 (19.07</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442FCC90" w14:textId="60489904"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93 (23.02</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78C77B9D" w14:textId="1C478974"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3739 (19.15</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17DE24EF" w14:textId="77777777"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0A426A2D"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48519F06" w14:textId="77777777"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Asian</w:t>
            </w:r>
          </w:p>
        </w:tc>
        <w:tc>
          <w:tcPr>
            <w:tcW w:w="1777" w:type="dxa"/>
            <w:shd w:val="clear" w:color="auto" w:fill="auto"/>
            <w:tcMar>
              <w:top w:w="11" w:type="dxa"/>
              <w:left w:w="11" w:type="dxa"/>
              <w:bottom w:w="0" w:type="dxa"/>
              <w:right w:w="11" w:type="dxa"/>
            </w:tcMar>
            <w:vAlign w:val="bottom"/>
            <w:hideMark/>
          </w:tcPr>
          <w:p w14:paraId="7E4E93F3" w14:textId="28BADFE8"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565 (2.95</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278ECB43" w14:textId="3D40B55F"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18 (4.46</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2C189817" w14:textId="2B3A0623"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583 (2.99</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468F8086" w14:textId="77777777"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2DF37690"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30EFFD7E" w14:textId="77777777"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Other</w:t>
            </w:r>
          </w:p>
        </w:tc>
        <w:tc>
          <w:tcPr>
            <w:tcW w:w="1777" w:type="dxa"/>
            <w:shd w:val="clear" w:color="auto" w:fill="auto"/>
            <w:tcMar>
              <w:top w:w="11" w:type="dxa"/>
              <w:left w:w="11" w:type="dxa"/>
              <w:bottom w:w="0" w:type="dxa"/>
              <w:right w:w="11" w:type="dxa"/>
            </w:tcMar>
            <w:vAlign w:val="bottom"/>
            <w:hideMark/>
          </w:tcPr>
          <w:p w14:paraId="01DC86A5" w14:textId="5F08959D"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1156 (6.04</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04262071" w14:textId="2A9301BB"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w:t>
            </w:r>
            <w:r w:rsidR="00644D6D" w:rsidRPr="00AF1DC5">
              <w:rPr>
                <w:rFonts w:ascii="Book Antiqua" w:hAnsi="Book Antiqua" w:cs="Courier New"/>
                <w:sz w:val="24"/>
                <w:szCs w:val="24"/>
              </w:rPr>
              <w:t>5 (8.66</w:t>
            </w:r>
            <w:r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45B740E1" w14:textId="5D64B3BF"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1191 (6.10</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2240E08E" w14:textId="77777777"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52E9CF89"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70183705" w14:textId="77777777"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Unknown</w:t>
            </w:r>
          </w:p>
        </w:tc>
        <w:tc>
          <w:tcPr>
            <w:tcW w:w="1777" w:type="dxa"/>
            <w:shd w:val="clear" w:color="auto" w:fill="auto"/>
            <w:tcMar>
              <w:top w:w="11" w:type="dxa"/>
              <w:left w:w="11" w:type="dxa"/>
              <w:bottom w:w="0" w:type="dxa"/>
              <w:right w:w="11" w:type="dxa"/>
            </w:tcMar>
            <w:vAlign w:val="bottom"/>
            <w:hideMark/>
          </w:tcPr>
          <w:p w14:paraId="6C03AA4F" w14:textId="7E998691"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363 (1.90</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63A97D53" w14:textId="55E07D12"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11 (2.72</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7839D741" w14:textId="5A03865D"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374 (1.92</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5E03CD5A" w14:textId="4CA4D5AA"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3EC0ECE7"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6ECB8C70" w14:textId="2E6806CC" w:rsidR="003C2FB1" w:rsidRPr="00AF1DC5" w:rsidRDefault="003C2FB1" w:rsidP="003C2FB1">
            <w:pPr>
              <w:snapToGrid w:val="0"/>
              <w:spacing w:after="0" w:line="360" w:lineRule="auto"/>
              <w:jc w:val="both"/>
              <w:rPr>
                <w:rFonts w:ascii="Book Antiqua" w:hAnsi="Book Antiqua" w:cs="Courier New"/>
                <w:sz w:val="24"/>
                <w:szCs w:val="24"/>
              </w:rPr>
            </w:pPr>
            <w:r w:rsidRPr="00AF1DC5">
              <w:rPr>
                <w:rFonts w:ascii="Book Antiqua" w:hAnsi="Book Antiqua" w:cs="Courier New"/>
                <w:bCs/>
                <w:sz w:val="24"/>
                <w:szCs w:val="24"/>
              </w:rPr>
              <w:t>Urban/</w:t>
            </w:r>
            <w:r w:rsidR="00644D6D" w:rsidRPr="00AF1DC5">
              <w:rPr>
                <w:rFonts w:ascii="Book Antiqua" w:hAnsi="Book Antiqua" w:cs="Courier New"/>
                <w:bCs/>
                <w:sz w:val="24"/>
                <w:szCs w:val="24"/>
              </w:rPr>
              <w:t>r</w:t>
            </w:r>
            <w:r w:rsidRPr="00AF1DC5">
              <w:rPr>
                <w:rFonts w:ascii="Book Antiqua" w:hAnsi="Book Antiqua" w:cs="Courier New"/>
                <w:bCs/>
                <w:sz w:val="24"/>
                <w:szCs w:val="24"/>
              </w:rPr>
              <w:t>ural</w:t>
            </w:r>
          </w:p>
        </w:tc>
        <w:tc>
          <w:tcPr>
            <w:tcW w:w="1777" w:type="dxa"/>
            <w:shd w:val="clear" w:color="auto" w:fill="auto"/>
            <w:tcMar>
              <w:top w:w="11" w:type="dxa"/>
              <w:left w:w="11" w:type="dxa"/>
              <w:bottom w:w="0" w:type="dxa"/>
              <w:right w:w="11" w:type="dxa"/>
            </w:tcMar>
            <w:vAlign w:val="bottom"/>
            <w:hideMark/>
          </w:tcPr>
          <w:p w14:paraId="11D7A472" w14:textId="6AA5AB74" w:rsidR="003C2FB1" w:rsidRPr="00AF1DC5" w:rsidRDefault="003C2FB1" w:rsidP="003C2FB1">
            <w:pPr>
              <w:snapToGrid w:val="0"/>
              <w:spacing w:after="0" w:line="360" w:lineRule="auto"/>
              <w:jc w:val="center"/>
              <w:rPr>
                <w:rFonts w:ascii="Book Antiqua" w:hAnsi="Book Antiqua" w:cs="Courier New"/>
                <w:sz w:val="24"/>
                <w:szCs w:val="24"/>
              </w:rPr>
            </w:pPr>
          </w:p>
        </w:tc>
        <w:tc>
          <w:tcPr>
            <w:tcW w:w="1350" w:type="dxa"/>
            <w:shd w:val="clear" w:color="auto" w:fill="auto"/>
            <w:tcMar>
              <w:top w:w="11" w:type="dxa"/>
              <w:left w:w="11" w:type="dxa"/>
              <w:bottom w:w="0" w:type="dxa"/>
              <w:right w:w="11" w:type="dxa"/>
            </w:tcMar>
            <w:vAlign w:val="bottom"/>
            <w:hideMark/>
          </w:tcPr>
          <w:p w14:paraId="18CC515B" w14:textId="70AF7307" w:rsidR="003C2FB1" w:rsidRPr="00AF1DC5" w:rsidRDefault="003C2FB1" w:rsidP="003C2FB1">
            <w:pPr>
              <w:snapToGrid w:val="0"/>
              <w:spacing w:after="0" w:line="360" w:lineRule="auto"/>
              <w:jc w:val="center"/>
              <w:rPr>
                <w:rFonts w:ascii="Book Antiqua" w:hAnsi="Book Antiqua" w:cs="Courier New"/>
                <w:sz w:val="24"/>
                <w:szCs w:val="24"/>
              </w:rPr>
            </w:pPr>
          </w:p>
        </w:tc>
        <w:tc>
          <w:tcPr>
            <w:tcW w:w="1710" w:type="dxa"/>
            <w:shd w:val="clear" w:color="auto" w:fill="auto"/>
            <w:tcMar>
              <w:top w:w="11" w:type="dxa"/>
              <w:left w:w="11" w:type="dxa"/>
              <w:bottom w:w="0" w:type="dxa"/>
              <w:right w:w="11" w:type="dxa"/>
            </w:tcMar>
            <w:vAlign w:val="bottom"/>
            <w:hideMark/>
          </w:tcPr>
          <w:p w14:paraId="7159BC6A" w14:textId="15DCD758" w:rsidR="003C2FB1" w:rsidRPr="00AF1DC5" w:rsidRDefault="003C2FB1" w:rsidP="003C2FB1">
            <w:pPr>
              <w:snapToGrid w:val="0"/>
              <w:spacing w:after="0" w:line="360" w:lineRule="auto"/>
              <w:jc w:val="center"/>
              <w:rPr>
                <w:rFonts w:ascii="Book Antiqua" w:hAnsi="Book Antiqua" w:cs="Courier New"/>
                <w:sz w:val="24"/>
                <w:szCs w:val="24"/>
              </w:rPr>
            </w:pPr>
          </w:p>
        </w:tc>
        <w:tc>
          <w:tcPr>
            <w:tcW w:w="1128" w:type="dxa"/>
            <w:shd w:val="clear" w:color="auto" w:fill="auto"/>
            <w:tcMar>
              <w:top w:w="11" w:type="dxa"/>
              <w:left w:w="11" w:type="dxa"/>
              <w:bottom w:w="0" w:type="dxa"/>
              <w:right w:w="11" w:type="dxa"/>
            </w:tcMar>
            <w:vAlign w:val="bottom"/>
            <w:hideMark/>
          </w:tcPr>
          <w:p w14:paraId="1A9E1CBB"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0.2524</w:t>
            </w:r>
          </w:p>
        </w:tc>
      </w:tr>
      <w:tr w:rsidR="00AF1DC5" w:rsidRPr="00AF1DC5" w14:paraId="76B6CEF1"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0A4D31E3" w14:textId="77777777"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Urban</w:t>
            </w:r>
          </w:p>
        </w:tc>
        <w:tc>
          <w:tcPr>
            <w:tcW w:w="1777" w:type="dxa"/>
            <w:shd w:val="clear" w:color="auto" w:fill="auto"/>
            <w:tcMar>
              <w:top w:w="11" w:type="dxa"/>
              <w:left w:w="11" w:type="dxa"/>
              <w:bottom w:w="0" w:type="dxa"/>
              <w:right w:w="11" w:type="dxa"/>
            </w:tcMar>
            <w:vAlign w:val="bottom"/>
            <w:hideMark/>
          </w:tcPr>
          <w:p w14:paraId="4E7F8E62" w14:textId="21E291BA"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16324 (85.36</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0E8612EE" w14:textId="276DBDE1"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336 (83.17</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4890F952" w14:textId="06ADE40A"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16660 (85.31</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7CB995DA" w14:textId="77777777"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6A867DBB"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5E2DF267" w14:textId="77777777"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Rural</w:t>
            </w:r>
          </w:p>
        </w:tc>
        <w:tc>
          <w:tcPr>
            <w:tcW w:w="1777" w:type="dxa"/>
            <w:shd w:val="clear" w:color="auto" w:fill="auto"/>
            <w:tcMar>
              <w:top w:w="11" w:type="dxa"/>
              <w:left w:w="11" w:type="dxa"/>
              <w:bottom w:w="0" w:type="dxa"/>
              <w:right w:w="11" w:type="dxa"/>
            </w:tcMar>
            <w:vAlign w:val="bottom"/>
            <w:hideMark/>
          </w:tcPr>
          <w:p w14:paraId="23B94731" w14:textId="11323422"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2385 (12.47</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15ECDA40" w14:textId="5C97675D"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61 (15.10</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3A7D8C9C" w14:textId="45A1FA9D"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2446 (12.53</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7D8821D2" w14:textId="77777777"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7031B572"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4492664B" w14:textId="77777777"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Unknown</w:t>
            </w:r>
          </w:p>
        </w:tc>
        <w:tc>
          <w:tcPr>
            <w:tcW w:w="1777" w:type="dxa"/>
            <w:shd w:val="clear" w:color="auto" w:fill="auto"/>
            <w:tcMar>
              <w:top w:w="11" w:type="dxa"/>
              <w:left w:w="11" w:type="dxa"/>
              <w:bottom w:w="0" w:type="dxa"/>
              <w:right w:w="11" w:type="dxa"/>
            </w:tcMar>
            <w:vAlign w:val="bottom"/>
            <w:hideMark/>
          </w:tcPr>
          <w:p w14:paraId="3F6B32A6" w14:textId="72A25D87"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415 (2.17</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0E82D742" w14:textId="45215BF0"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7 (1.73</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4C88C75B" w14:textId="2408BCB3"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422 (2.16</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3654D9BB" w14:textId="543E11ED"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4144252A" w14:textId="77777777" w:rsidTr="00644D6D">
        <w:trPr>
          <w:trHeight w:hRule="exact" w:val="432"/>
        </w:trPr>
        <w:tc>
          <w:tcPr>
            <w:tcW w:w="8381" w:type="dxa"/>
            <w:gridSpan w:val="4"/>
            <w:shd w:val="clear" w:color="auto" w:fill="auto"/>
            <w:tcMar>
              <w:top w:w="11" w:type="dxa"/>
              <w:left w:w="11" w:type="dxa"/>
              <w:bottom w:w="0" w:type="dxa"/>
              <w:right w:w="11" w:type="dxa"/>
            </w:tcMar>
            <w:vAlign w:val="bottom"/>
            <w:hideMark/>
          </w:tcPr>
          <w:p w14:paraId="3E0AC070" w14:textId="41B804CD" w:rsidR="003C2FB1" w:rsidRPr="00AF1DC5" w:rsidRDefault="003C2FB1" w:rsidP="003C2FB1">
            <w:pPr>
              <w:snapToGrid w:val="0"/>
              <w:spacing w:after="0" w:line="360" w:lineRule="auto"/>
              <w:jc w:val="both"/>
              <w:rPr>
                <w:rFonts w:ascii="Book Antiqua" w:hAnsi="Book Antiqua" w:cs="Courier New"/>
                <w:sz w:val="24"/>
                <w:szCs w:val="24"/>
              </w:rPr>
            </w:pPr>
            <w:r w:rsidRPr="00AF1DC5">
              <w:rPr>
                <w:rFonts w:ascii="Book Antiqua" w:hAnsi="Book Antiqua" w:cs="Courier New"/>
                <w:bCs/>
                <w:sz w:val="24"/>
                <w:szCs w:val="24"/>
              </w:rPr>
              <w:t xml:space="preserve">Complex </w:t>
            </w:r>
            <w:r w:rsidR="00644D6D" w:rsidRPr="00AF1DC5">
              <w:rPr>
                <w:rFonts w:ascii="Book Antiqua" w:hAnsi="Book Antiqua" w:cs="Courier New"/>
                <w:bCs/>
                <w:sz w:val="24"/>
                <w:szCs w:val="24"/>
              </w:rPr>
              <w:t>c</w:t>
            </w:r>
            <w:r w:rsidRPr="00AF1DC5">
              <w:rPr>
                <w:rFonts w:ascii="Book Antiqua" w:hAnsi="Book Antiqua" w:cs="Courier New"/>
                <w:bCs/>
                <w:sz w:val="24"/>
                <w:szCs w:val="24"/>
              </w:rPr>
              <w:t xml:space="preserve">hronic </w:t>
            </w:r>
            <w:r w:rsidR="00644D6D" w:rsidRPr="00AF1DC5">
              <w:rPr>
                <w:rFonts w:ascii="Book Antiqua" w:hAnsi="Book Antiqua" w:cs="Courier New"/>
                <w:bCs/>
                <w:sz w:val="24"/>
                <w:szCs w:val="24"/>
              </w:rPr>
              <w:t>c</w:t>
            </w:r>
            <w:r w:rsidRPr="00AF1DC5">
              <w:rPr>
                <w:rFonts w:ascii="Book Antiqua" w:hAnsi="Book Antiqua" w:cs="Courier New"/>
                <w:bCs/>
                <w:sz w:val="24"/>
                <w:szCs w:val="24"/>
              </w:rPr>
              <w:t>onditions</w:t>
            </w:r>
          </w:p>
        </w:tc>
        <w:tc>
          <w:tcPr>
            <w:tcW w:w="1128" w:type="dxa"/>
            <w:shd w:val="clear" w:color="auto" w:fill="auto"/>
            <w:tcMar>
              <w:top w:w="11" w:type="dxa"/>
              <w:left w:w="11" w:type="dxa"/>
              <w:bottom w:w="0" w:type="dxa"/>
              <w:right w:w="11" w:type="dxa"/>
            </w:tcMar>
            <w:vAlign w:val="bottom"/>
            <w:hideMark/>
          </w:tcPr>
          <w:p w14:paraId="3D85636D" w14:textId="7E3BD20D" w:rsidR="003C2FB1" w:rsidRPr="00AF1DC5" w:rsidRDefault="003C2FB1" w:rsidP="003C2FB1">
            <w:pPr>
              <w:snapToGrid w:val="0"/>
              <w:spacing w:after="0" w:line="360" w:lineRule="auto"/>
              <w:jc w:val="both"/>
              <w:rPr>
                <w:rFonts w:ascii="Book Antiqua" w:hAnsi="Book Antiqua" w:cs="Courier New"/>
                <w:sz w:val="24"/>
                <w:szCs w:val="24"/>
              </w:rPr>
            </w:pPr>
            <w:r w:rsidRPr="00AF1DC5">
              <w:rPr>
                <w:rFonts w:ascii="Book Antiqua" w:hAnsi="Book Antiqua" w:cs="Courier New"/>
                <w:sz w:val="24"/>
                <w:szCs w:val="24"/>
              </w:rPr>
              <w:t>&lt;</w:t>
            </w:r>
            <w:r w:rsidR="00644D6D"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64CB7072"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6E528A8E" w14:textId="77777777"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0</w:t>
            </w:r>
          </w:p>
        </w:tc>
        <w:tc>
          <w:tcPr>
            <w:tcW w:w="1777" w:type="dxa"/>
            <w:shd w:val="clear" w:color="auto" w:fill="auto"/>
            <w:tcMar>
              <w:top w:w="11" w:type="dxa"/>
              <w:left w:w="11" w:type="dxa"/>
              <w:bottom w:w="0" w:type="dxa"/>
              <w:right w:w="11" w:type="dxa"/>
            </w:tcMar>
            <w:vAlign w:val="bottom"/>
            <w:hideMark/>
          </w:tcPr>
          <w:p w14:paraId="6F9A62AB" w14:textId="5562ABBF"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9689 (50.66</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10C82858" w14:textId="1CF7E07C"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12 (2.97</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69C072EF" w14:textId="4ECF9CF3"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9701 (49.68</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17063928" w14:textId="77777777"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7AEE9B1A"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6BA5B91A" w14:textId="77777777"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1-2</w:t>
            </w:r>
          </w:p>
        </w:tc>
        <w:tc>
          <w:tcPr>
            <w:tcW w:w="1777" w:type="dxa"/>
            <w:shd w:val="clear" w:color="auto" w:fill="auto"/>
            <w:tcMar>
              <w:top w:w="11" w:type="dxa"/>
              <w:left w:w="11" w:type="dxa"/>
              <w:bottom w:w="0" w:type="dxa"/>
              <w:right w:w="11" w:type="dxa"/>
            </w:tcMar>
            <w:vAlign w:val="bottom"/>
            <w:hideMark/>
          </w:tcPr>
          <w:p w14:paraId="4FBB05AB" w14:textId="18F91910"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5825 (30.46</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54D54843" w14:textId="7DE15829"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95 (23.51</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154215B3" w14:textId="5A757B74"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5920 (30.32</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234721F6" w14:textId="77777777"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7192F4EA"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2EC13240" w14:textId="4B9D00FE"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w:t>
            </w:r>
            <w:r w:rsidR="00644D6D" w:rsidRPr="00AF1DC5">
              <w:rPr>
                <w:rFonts w:ascii="Book Antiqua" w:hAnsi="Book Antiqua" w:cs="Courier New"/>
                <w:iCs/>
                <w:sz w:val="24"/>
                <w:szCs w:val="24"/>
                <w:lang w:eastAsia="zh-CN"/>
              </w:rPr>
              <w:t xml:space="preserve"> </w:t>
            </w:r>
            <w:r w:rsidRPr="00AF1DC5">
              <w:rPr>
                <w:rFonts w:ascii="Book Antiqua" w:hAnsi="Book Antiqua" w:cs="Courier New"/>
                <w:iCs/>
                <w:sz w:val="24"/>
                <w:szCs w:val="24"/>
              </w:rPr>
              <w:t>3</w:t>
            </w:r>
          </w:p>
        </w:tc>
        <w:tc>
          <w:tcPr>
            <w:tcW w:w="1777" w:type="dxa"/>
            <w:shd w:val="clear" w:color="auto" w:fill="auto"/>
            <w:tcMar>
              <w:top w:w="11" w:type="dxa"/>
              <w:left w:w="11" w:type="dxa"/>
              <w:bottom w:w="0" w:type="dxa"/>
              <w:right w:w="11" w:type="dxa"/>
            </w:tcMar>
            <w:vAlign w:val="bottom"/>
            <w:hideMark/>
          </w:tcPr>
          <w:p w14:paraId="44B19A31" w14:textId="5ABA975E"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3610 (18.88</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6C751494" w14:textId="244C5B20"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297 (73.51</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62A3563E" w14:textId="79E54660"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3907 (20.01</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2F3078B1" w14:textId="6C428B75"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21A3147E"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2DCAB450" w14:textId="3A0D4B14" w:rsidR="003C2FB1" w:rsidRPr="00AF1DC5" w:rsidRDefault="003C2FB1" w:rsidP="003C2FB1">
            <w:pPr>
              <w:snapToGrid w:val="0"/>
              <w:spacing w:after="0" w:line="360" w:lineRule="auto"/>
              <w:jc w:val="both"/>
              <w:rPr>
                <w:rFonts w:ascii="Book Antiqua" w:hAnsi="Book Antiqua" w:cs="Courier New"/>
                <w:sz w:val="24"/>
                <w:szCs w:val="24"/>
              </w:rPr>
            </w:pPr>
            <w:r w:rsidRPr="00AF1DC5">
              <w:rPr>
                <w:rFonts w:ascii="Book Antiqua" w:hAnsi="Book Antiqua" w:cs="Courier New"/>
                <w:bCs/>
                <w:sz w:val="24"/>
                <w:szCs w:val="24"/>
              </w:rPr>
              <w:t xml:space="preserve">GIH </w:t>
            </w:r>
            <w:r w:rsidR="00644D6D" w:rsidRPr="00AF1DC5">
              <w:rPr>
                <w:rFonts w:ascii="Book Antiqua" w:hAnsi="Book Antiqua" w:cs="Courier New"/>
                <w:bCs/>
                <w:sz w:val="24"/>
                <w:szCs w:val="24"/>
              </w:rPr>
              <w:t>s</w:t>
            </w:r>
            <w:r w:rsidRPr="00AF1DC5">
              <w:rPr>
                <w:rFonts w:ascii="Book Antiqua" w:hAnsi="Book Antiqua" w:cs="Courier New"/>
                <w:bCs/>
                <w:sz w:val="24"/>
                <w:szCs w:val="24"/>
              </w:rPr>
              <w:t>ymptoms</w:t>
            </w:r>
          </w:p>
        </w:tc>
        <w:tc>
          <w:tcPr>
            <w:tcW w:w="1777" w:type="dxa"/>
            <w:shd w:val="clear" w:color="auto" w:fill="auto"/>
            <w:tcMar>
              <w:top w:w="11" w:type="dxa"/>
              <w:left w:w="11" w:type="dxa"/>
              <w:bottom w:w="0" w:type="dxa"/>
              <w:right w:w="11" w:type="dxa"/>
            </w:tcMar>
            <w:vAlign w:val="bottom"/>
            <w:hideMark/>
          </w:tcPr>
          <w:p w14:paraId="54742BEA" w14:textId="4FED09F4" w:rsidR="003C2FB1" w:rsidRPr="00AF1DC5" w:rsidRDefault="003C2FB1" w:rsidP="003C2FB1">
            <w:pPr>
              <w:snapToGrid w:val="0"/>
              <w:spacing w:after="0" w:line="360" w:lineRule="auto"/>
              <w:jc w:val="center"/>
              <w:rPr>
                <w:rFonts w:ascii="Book Antiqua" w:hAnsi="Book Antiqua" w:cs="Courier New"/>
                <w:sz w:val="24"/>
                <w:szCs w:val="24"/>
              </w:rPr>
            </w:pPr>
          </w:p>
        </w:tc>
        <w:tc>
          <w:tcPr>
            <w:tcW w:w="1350" w:type="dxa"/>
            <w:shd w:val="clear" w:color="auto" w:fill="auto"/>
            <w:tcMar>
              <w:top w:w="11" w:type="dxa"/>
              <w:left w:w="11" w:type="dxa"/>
              <w:bottom w:w="0" w:type="dxa"/>
              <w:right w:w="11" w:type="dxa"/>
            </w:tcMar>
            <w:vAlign w:val="bottom"/>
            <w:hideMark/>
          </w:tcPr>
          <w:p w14:paraId="07C59B75" w14:textId="53A3B89F" w:rsidR="003C2FB1" w:rsidRPr="00AF1DC5" w:rsidRDefault="003C2FB1" w:rsidP="003C2FB1">
            <w:pPr>
              <w:snapToGrid w:val="0"/>
              <w:spacing w:after="0" w:line="360" w:lineRule="auto"/>
              <w:jc w:val="center"/>
              <w:rPr>
                <w:rFonts w:ascii="Book Antiqua" w:hAnsi="Book Antiqua" w:cs="Courier New"/>
                <w:sz w:val="24"/>
                <w:szCs w:val="24"/>
              </w:rPr>
            </w:pPr>
          </w:p>
        </w:tc>
        <w:tc>
          <w:tcPr>
            <w:tcW w:w="1710" w:type="dxa"/>
            <w:shd w:val="clear" w:color="auto" w:fill="auto"/>
            <w:tcMar>
              <w:top w:w="11" w:type="dxa"/>
              <w:left w:w="11" w:type="dxa"/>
              <w:bottom w:w="0" w:type="dxa"/>
              <w:right w:w="11" w:type="dxa"/>
            </w:tcMar>
            <w:vAlign w:val="bottom"/>
            <w:hideMark/>
          </w:tcPr>
          <w:p w14:paraId="42E99D1D" w14:textId="4AEE8394" w:rsidR="003C2FB1" w:rsidRPr="00AF1DC5" w:rsidRDefault="003C2FB1" w:rsidP="003C2FB1">
            <w:pPr>
              <w:snapToGrid w:val="0"/>
              <w:spacing w:after="0" w:line="360" w:lineRule="auto"/>
              <w:jc w:val="center"/>
              <w:rPr>
                <w:rFonts w:ascii="Book Antiqua" w:hAnsi="Book Antiqua" w:cs="Courier New"/>
                <w:sz w:val="24"/>
                <w:szCs w:val="24"/>
              </w:rPr>
            </w:pPr>
          </w:p>
        </w:tc>
        <w:tc>
          <w:tcPr>
            <w:tcW w:w="1128" w:type="dxa"/>
            <w:shd w:val="clear" w:color="auto" w:fill="auto"/>
            <w:tcMar>
              <w:top w:w="11" w:type="dxa"/>
              <w:left w:w="11" w:type="dxa"/>
              <w:bottom w:w="0" w:type="dxa"/>
              <w:right w:w="11" w:type="dxa"/>
            </w:tcMar>
            <w:vAlign w:val="bottom"/>
            <w:hideMark/>
          </w:tcPr>
          <w:p w14:paraId="173D3190" w14:textId="3B3A9A1C" w:rsidR="003C2FB1" w:rsidRPr="00AF1DC5" w:rsidRDefault="003C2FB1" w:rsidP="003C2FB1">
            <w:pPr>
              <w:snapToGrid w:val="0"/>
              <w:spacing w:after="0" w:line="360" w:lineRule="auto"/>
              <w:jc w:val="center"/>
              <w:rPr>
                <w:rFonts w:ascii="Book Antiqua" w:hAnsi="Book Antiqua" w:cs="Courier New"/>
                <w:sz w:val="24"/>
                <w:szCs w:val="24"/>
              </w:rPr>
            </w:pPr>
          </w:p>
        </w:tc>
      </w:tr>
      <w:tr w:rsidR="00AF1DC5" w:rsidRPr="00AF1DC5" w14:paraId="4E460F39"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0855DB93" w14:textId="77777777"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Hematemesis</w:t>
            </w:r>
          </w:p>
        </w:tc>
        <w:tc>
          <w:tcPr>
            <w:tcW w:w="1777" w:type="dxa"/>
            <w:shd w:val="clear" w:color="auto" w:fill="auto"/>
            <w:tcMar>
              <w:top w:w="11" w:type="dxa"/>
              <w:left w:w="11" w:type="dxa"/>
              <w:bottom w:w="0" w:type="dxa"/>
              <w:right w:w="11" w:type="dxa"/>
            </w:tcMar>
            <w:vAlign w:val="bottom"/>
            <w:hideMark/>
          </w:tcPr>
          <w:p w14:paraId="60D559E9" w14:textId="2153B274"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6508 (34.03</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73E732BB" w14:textId="27BCBFDF"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88 (21.78</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07923024" w14:textId="70D3A0A6"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6596 (33.78</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0E4D8077" w14:textId="01C6F6EC"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00644D6D"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4F8B0B92"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70C2EE2C" w14:textId="77777777"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Melena</w:t>
            </w:r>
          </w:p>
        </w:tc>
        <w:tc>
          <w:tcPr>
            <w:tcW w:w="1777" w:type="dxa"/>
            <w:shd w:val="clear" w:color="auto" w:fill="auto"/>
            <w:tcMar>
              <w:top w:w="11" w:type="dxa"/>
              <w:left w:w="11" w:type="dxa"/>
              <w:bottom w:w="0" w:type="dxa"/>
              <w:right w:w="11" w:type="dxa"/>
            </w:tcMar>
            <w:vAlign w:val="bottom"/>
            <w:hideMark/>
          </w:tcPr>
          <w:p w14:paraId="0138007B" w14:textId="2F9B9EB6"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7899 (41.30</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5C7710C6" w14:textId="645ABE1C"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102 (</w:t>
            </w:r>
            <w:r w:rsidR="00644D6D" w:rsidRPr="00AF1DC5">
              <w:rPr>
                <w:rFonts w:ascii="Book Antiqua" w:hAnsi="Book Antiqua" w:cs="Courier New"/>
                <w:sz w:val="24"/>
                <w:szCs w:val="24"/>
              </w:rPr>
              <w:t>25.25</w:t>
            </w:r>
            <w:r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5ECB6E92" w14:textId="2E81B888"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8001 (40.97</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3D5DB8E5" w14:textId="48FB5D8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00644D6D"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01CF396C"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2447CCD6" w14:textId="77777777"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Hypovolemia</w:t>
            </w:r>
          </w:p>
        </w:tc>
        <w:tc>
          <w:tcPr>
            <w:tcW w:w="1777" w:type="dxa"/>
            <w:shd w:val="clear" w:color="auto" w:fill="auto"/>
            <w:tcMar>
              <w:top w:w="11" w:type="dxa"/>
              <w:left w:w="11" w:type="dxa"/>
              <w:bottom w:w="0" w:type="dxa"/>
              <w:right w:w="11" w:type="dxa"/>
            </w:tcMar>
            <w:vAlign w:val="bottom"/>
            <w:hideMark/>
          </w:tcPr>
          <w:p w14:paraId="7189FDB0" w14:textId="0F938EF6"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131 (0.69</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55D641DF" w14:textId="0637EFFC"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11 (2.72</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17A9E872" w14:textId="43C5C23E"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142 (0.73</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6C472E7C"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0.0002</w:t>
            </w:r>
          </w:p>
        </w:tc>
      </w:tr>
      <w:tr w:rsidR="00AF1DC5" w:rsidRPr="00AF1DC5" w14:paraId="6B747123"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05DA86C8" w14:textId="77777777"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GER</w:t>
            </w:r>
          </w:p>
        </w:tc>
        <w:tc>
          <w:tcPr>
            <w:tcW w:w="1777" w:type="dxa"/>
            <w:shd w:val="clear" w:color="auto" w:fill="auto"/>
            <w:tcMar>
              <w:top w:w="11" w:type="dxa"/>
              <w:left w:w="11" w:type="dxa"/>
              <w:bottom w:w="0" w:type="dxa"/>
              <w:right w:w="11" w:type="dxa"/>
            </w:tcMar>
            <w:vAlign w:val="bottom"/>
            <w:hideMark/>
          </w:tcPr>
          <w:p w14:paraId="2B715005" w14:textId="75A93C36"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2329 (12.18</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3517A47A" w14:textId="7AD77DEA"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50 (12.38</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670DB0A6" w14:textId="6A4F0996"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2379 (12.18</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133ECE13"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0.9653</w:t>
            </w:r>
          </w:p>
        </w:tc>
      </w:tr>
      <w:tr w:rsidR="00AF1DC5" w:rsidRPr="00AF1DC5" w14:paraId="4865E492" w14:textId="77777777" w:rsidTr="00644D6D">
        <w:trPr>
          <w:trHeight w:hRule="exact" w:val="432"/>
        </w:trPr>
        <w:tc>
          <w:tcPr>
            <w:tcW w:w="9509" w:type="dxa"/>
            <w:gridSpan w:val="5"/>
            <w:shd w:val="clear" w:color="auto" w:fill="auto"/>
            <w:tcMar>
              <w:top w:w="11" w:type="dxa"/>
              <w:left w:w="11" w:type="dxa"/>
              <w:bottom w:w="0" w:type="dxa"/>
              <w:right w:w="11" w:type="dxa"/>
            </w:tcMar>
            <w:vAlign w:val="bottom"/>
            <w:hideMark/>
          </w:tcPr>
          <w:p w14:paraId="6D253B6E" w14:textId="13434523" w:rsidR="003C2FB1" w:rsidRPr="00AF1DC5" w:rsidRDefault="003C2FB1" w:rsidP="003C2FB1">
            <w:pPr>
              <w:snapToGrid w:val="0"/>
              <w:spacing w:after="0" w:line="360" w:lineRule="auto"/>
              <w:jc w:val="both"/>
              <w:rPr>
                <w:rFonts w:ascii="Book Antiqua" w:hAnsi="Book Antiqua" w:cs="Courier New"/>
                <w:sz w:val="24"/>
                <w:szCs w:val="24"/>
              </w:rPr>
            </w:pPr>
            <w:r w:rsidRPr="00AF1DC5">
              <w:rPr>
                <w:rFonts w:ascii="Book Antiqua" w:hAnsi="Book Antiqua" w:cs="Courier New"/>
                <w:bCs/>
                <w:sz w:val="24"/>
                <w:szCs w:val="24"/>
              </w:rPr>
              <w:t xml:space="preserve">Pharmaceutical </w:t>
            </w:r>
            <w:r w:rsidR="00644D6D" w:rsidRPr="00AF1DC5">
              <w:rPr>
                <w:rFonts w:ascii="Book Antiqua" w:hAnsi="Book Antiqua" w:cs="Courier New"/>
                <w:bCs/>
                <w:sz w:val="24"/>
                <w:szCs w:val="24"/>
              </w:rPr>
              <w:t>i</w:t>
            </w:r>
            <w:r w:rsidRPr="00AF1DC5">
              <w:rPr>
                <w:rFonts w:ascii="Book Antiqua" w:hAnsi="Book Antiqua" w:cs="Courier New"/>
                <w:bCs/>
                <w:sz w:val="24"/>
                <w:szCs w:val="24"/>
              </w:rPr>
              <w:t>nterventions</w:t>
            </w:r>
          </w:p>
        </w:tc>
      </w:tr>
      <w:tr w:rsidR="00AF1DC5" w:rsidRPr="00AF1DC5" w14:paraId="2AEF54AA"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07FE8764" w14:textId="281B75CC" w:rsidR="003C2FB1" w:rsidRPr="00AF1DC5" w:rsidRDefault="00644D6D" w:rsidP="00644D6D">
            <w:pPr>
              <w:snapToGrid w:val="0"/>
              <w:spacing w:after="0" w:line="360" w:lineRule="auto"/>
              <w:ind w:firstLineChars="100" w:firstLine="240"/>
              <w:jc w:val="both"/>
              <w:rPr>
                <w:rFonts w:ascii="Book Antiqua" w:hAnsi="Book Antiqua" w:cs="Courier New"/>
                <w:sz w:val="24"/>
                <w:szCs w:val="24"/>
                <w:lang w:eastAsia="zh-CN"/>
              </w:rPr>
            </w:pPr>
            <w:r w:rsidRPr="00AF1DC5">
              <w:rPr>
                <w:rFonts w:ascii="Book Antiqua" w:hAnsi="Book Antiqua" w:cs="Courier New"/>
                <w:iCs/>
                <w:sz w:val="24"/>
                <w:szCs w:val="24"/>
              </w:rPr>
              <w:t>PPI first 24 h</w:t>
            </w:r>
          </w:p>
        </w:tc>
        <w:tc>
          <w:tcPr>
            <w:tcW w:w="1777" w:type="dxa"/>
            <w:shd w:val="clear" w:color="auto" w:fill="auto"/>
            <w:tcMar>
              <w:top w:w="11" w:type="dxa"/>
              <w:left w:w="11" w:type="dxa"/>
              <w:bottom w:w="0" w:type="dxa"/>
              <w:right w:w="11" w:type="dxa"/>
            </w:tcMar>
            <w:vAlign w:val="bottom"/>
            <w:hideMark/>
          </w:tcPr>
          <w:p w14:paraId="4A9CAC58" w14:textId="76340133"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10234 (53.51</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778C7B77" w14:textId="760AC3D0"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277 (68.56</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636979B7" w14:textId="21DD3AC0"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10511 (53.83</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606F5A7D" w14:textId="6E3FDACF"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00644D6D"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5AD75924"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3A8FBCC6" w14:textId="389FFC1A" w:rsidR="003C2FB1" w:rsidRPr="00AF1DC5" w:rsidRDefault="00644D6D" w:rsidP="00644D6D">
            <w:pPr>
              <w:snapToGrid w:val="0"/>
              <w:spacing w:after="0" w:line="360" w:lineRule="auto"/>
              <w:ind w:firstLineChars="100" w:firstLine="240"/>
              <w:jc w:val="both"/>
              <w:rPr>
                <w:rFonts w:ascii="Book Antiqua" w:hAnsi="Book Antiqua" w:cs="Courier New"/>
                <w:sz w:val="24"/>
                <w:szCs w:val="24"/>
                <w:lang w:eastAsia="zh-CN"/>
              </w:rPr>
            </w:pPr>
            <w:r w:rsidRPr="00AF1DC5">
              <w:rPr>
                <w:rFonts w:ascii="Book Antiqua" w:hAnsi="Book Antiqua" w:cs="Courier New"/>
                <w:iCs/>
                <w:sz w:val="24"/>
                <w:szCs w:val="24"/>
              </w:rPr>
              <w:t>H2RA first 24 h</w:t>
            </w:r>
          </w:p>
        </w:tc>
        <w:tc>
          <w:tcPr>
            <w:tcW w:w="1777" w:type="dxa"/>
            <w:shd w:val="clear" w:color="auto" w:fill="auto"/>
            <w:tcMar>
              <w:top w:w="11" w:type="dxa"/>
              <w:left w:w="11" w:type="dxa"/>
              <w:bottom w:w="0" w:type="dxa"/>
              <w:right w:w="11" w:type="dxa"/>
            </w:tcMar>
            <w:vAlign w:val="bottom"/>
            <w:hideMark/>
          </w:tcPr>
          <w:p w14:paraId="3749C88E" w14:textId="5CEF2EA1"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3864 (20.20</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249FB426" w14:textId="3EF4B2B8"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152 (37.62</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1DCED100" w14:textId="5192A263"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4016 (20.57</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2234B382" w14:textId="22BA3515"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00644D6D"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26548FE2"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1283AEE5" w14:textId="16B64916" w:rsidR="003C2FB1" w:rsidRPr="00AF1DC5" w:rsidRDefault="00644D6D" w:rsidP="00644D6D">
            <w:pPr>
              <w:snapToGrid w:val="0"/>
              <w:spacing w:after="0" w:line="360" w:lineRule="auto"/>
              <w:ind w:firstLineChars="100" w:firstLine="240"/>
              <w:jc w:val="both"/>
              <w:rPr>
                <w:rFonts w:ascii="Book Antiqua" w:hAnsi="Book Antiqua" w:cs="Courier New"/>
                <w:sz w:val="24"/>
                <w:szCs w:val="24"/>
                <w:lang w:eastAsia="zh-CN"/>
              </w:rPr>
            </w:pPr>
            <w:r w:rsidRPr="00AF1DC5">
              <w:rPr>
                <w:rFonts w:ascii="Book Antiqua" w:hAnsi="Book Antiqua" w:cs="Courier New"/>
                <w:iCs/>
                <w:sz w:val="24"/>
                <w:szCs w:val="24"/>
              </w:rPr>
              <w:lastRenderedPageBreak/>
              <w:t>Erythromycin first 24 h</w:t>
            </w:r>
          </w:p>
        </w:tc>
        <w:tc>
          <w:tcPr>
            <w:tcW w:w="1777" w:type="dxa"/>
            <w:shd w:val="clear" w:color="auto" w:fill="auto"/>
            <w:tcMar>
              <w:top w:w="11" w:type="dxa"/>
              <w:left w:w="11" w:type="dxa"/>
              <w:bottom w:w="0" w:type="dxa"/>
              <w:right w:w="11" w:type="dxa"/>
            </w:tcMar>
            <w:vAlign w:val="bottom"/>
            <w:hideMark/>
          </w:tcPr>
          <w:p w14:paraId="60D9417C" w14:textId="579867D2"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480 (2.51</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09B21807" w14:textId="098B983A"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30 (7.43</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10508030" w14:textId="176E778E"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510 (2.61</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7B527B63" w14:textId="755E794D"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00644D6D"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5B01D558"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1520A1F4" w14:textId="4F10C943"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Vasopressin first 24 h</w:t>
            </w:r>
          </w:p>
        </w:tc>
        <w:tc>
          <w:tcPr>
            <w:tcW w:w="1777" w:type="dxa"/>
            <w:shd w:val="clear" w:color="auto" w:fill="auto"/>
            <w:tcMar>
              <w:top w:w="11" w:type="dxa"/>
              <w:left w:w="11" w:type="dxa"/>
              <w:bottom w:w="0" w:type="dxa"/>
              <w:right w:w="11" w:type="dxa"/>
            </w:tcMar>
            <w:vAlign w:val="bottom"/>
            <w:hideMark/>
          </w:tcPr>
          <w:p w14:paraId="1FF1C0BE" w14:textId="30F77914"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58 (0.30</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187C0E38" w14:textId="724B077E"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99 (24.50</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6A3A41F9" w14:textId="41AC8E0A"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157 (0.80</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5801E02C" w14:textId="44607848"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00644D6D"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48EFFCDA"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7062773E" w14:textId="618BE659" w:rsidR="003C2FB1" w:rsidRPr="00AF1DC5" w:rsidRDefault="003C2FB1" w:rsidP="00644D6D">
            <w:pPr>
              <w:snapToGrid w:val="0"/>
              <w:spacing w:after="0" w:line="360" w:lineRule="auto"/>
              <w:ind w:firstLineChars="100" w:firstLine="240"/>
              <w:jc w:val="both"/>
              <w:rPr>
                <w:rFonts w:ascii="Book Antiqua" w:hAnsi="Book Antiqua" w:cs="Courier New"/>
                <w:sz w:val="24"/>
                <w:szCs w:val="24"/>
                <w:lang w:eastAsia="zh-CN"/>
              </w:rPr>
            </w:pPr>
            <w:r w:rsidRPr="00AF1DC5">
              <w:rPr>
                <w:rFonts w:ascii="Book Antiqua" w:hAnsi="Book Antiqua" w:cs="Courier New"/>
                <w:iCs/>
                <w:sz w:val="24"/>
                <w:szCs w:val="24"/>
              </w:rPr>
              <w:t>Octreotide first 24 h</w:t>
            </w:r>
            <w:r w:rsidR="00644D6D" w:rsidRPr="00AF1DC5">
              <w:rPr>
                <w:rFonts w:ascii="Book Antiqua" w:hAnsi="Book Antiqua" w:cs="Courier New"/>
                <w:iCs/>
                <w:sz w:val="24"/>
                <w:szCs w:val="24"/>
                <w:lang w:eastAsia="zh-CN"/>
              </w:rPr>
              <w:t xml:space="preserve"> </w:t>
            </w:r>
          </w:p>
        </w:tc>
        <w:tc>
          <w:tcPr>
            <w:tcW w:w="1777" w:type="dxa"/>
            <w:shd w:val="clear" w:color="auto" w:fill="auto"/>
            <w:tcMar>
              <w:top w:w="11" w:type="dxa"/>
              <w:left w:w="11" w:type="dxa"/>
              <w:bottom w:w="0" w:type="dxa"/>
              <w:right w:w="11" w:type="dxa"/>
            </w:tcMar>
            <w:vAlign w:val="bottom"/>
            <w:hideMark/>
          </w:tcPr>
          <w:p w14:paraId="0C858368" w14:textId="33A6A1C8"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708 (3.70</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790EE640" w14:textId="035B318B"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80 (19.80</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4BA40B4D" w14:textId="792757C1"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788 (4.04</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6F527218" w14:textId="43F33EFE"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00644D6D"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324152C5" w14:textId="77777777" w:rsidTr="00644D6D">
        <w:trPr>
          <w:trHeight w:hRule="exact" w:val="432"/>
        </w:trPr>
        <w:tc>
          <w:tcPr>
            <w:tcW w:w="9509" w:type="dxa"/>
            <w:gridSpan w:val="5"/>
            <w:shd w:val="clear" w:color="auto" w:fill="auto"/>
            <w:tcMar>
              <w:top w:w="11" w:type="dxa"/>
              <w:left w:w="11" w:type="dxa"/>
              <w:bottom w:w="0" w:type="dxa"/>
              <w:right w:w="11" w:type="dxa"/>
            </w:tcMar>
            <w:vAlign w:val="bottom"/>
            <w:hideMark/>
          </w:tcPr>
          <w:p w14:paraId="39C41408" w14:textId="3C5B76B7" w:rsidR="003C2FB1" w:rsidRPr="00AF1DC5" w:rsidRDefault="003C2FB1" w:rsidP="003C2FB1">
            <w:pPr>
              <w:snapToGrid w:val="0"/>
              <w:spacing w:after="0" w:line="360" w:lineRule="auto"/>
              <w:jc w:val="both"/>
              <w:rPr>
                <w:rFonts w:ascii="Book Antiqua" w:hAnsi="Book Antiqua" w:cs="Courier New"/>
                <w:sz w:val="24"/>
                <w:szCs w:val="24"/>
              </w:rPr>
            </w:pPr>
            <w:r w:rsidRPr="00AF1DC5">
              <w:rPr>
                <w:rFonts w:ascii="Book Antiqua" w:hAnsi="Book Antiqua" w:cs="Courier New"/>
                <w:bCs/>
                <w:sz w:val="24"/>
                <w:szCs w:val="24"/>
              </w:rPr>
              <w:t xml:space="preserve">Surgical </w:t>
            </w:r>
            <w:r w:rsidR="00644D6D" w:rsidRPr="00AF1DC5">
              <w:rPr>
                <w:rFonts w:ascii="Book Antiqua" w:hAnsi="Book Antiqua" w:cs="Courier New"/>
                <w:bCs/>
                <w:sz w:val="24"/>
                <w:szCs w:val="24"/>
              </w:rPr>
              <w:t>i</w:t>
            </w:r>
            <w:r w:rsidRPr="00AF1DC5">
              <w:rPr>
                <w:rFonts w:ascii="Book Antiqua" w:hAnsi="Book Antiqua" w:cs="Courier New"/>
                <w:bCs/>
                <w:sz w:val="24"/>
                <w:szCs w:val="24"/>
              </w:rPr>
              <w:t>nterventions</w:t>
            </w:r>
          </w:p>
        </w:tc>
      </w:tr>
      <w:tr w:rsidR="00AF1DC5" w:rsidRPr="00AF1DC5" w14:paraId="483A5F12"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0F111D92" w14:textId="0E48B89F"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 xml:space="preserve">Laparotomy, </w:t>
            </w:r>
            <w:r w:rsidR="004B42CD" w:rsidRPr="00AF1DC5">
              <w:rPr>
                <w:rFonts w:ascii="Book Antiqua" w:hAnsi="Book Antiqua" w:cs="Courier New"/>
                <w:iCs/>
                <w:sz w:val="24"/>
                <w:szCs w:val="24"/>
              </w:rPr>
              <w:t>e</w:t>
            </w:r>
            <w:r w:rsidRPr="00AF1DC5">
              <w:rPr>
                <w:rFonts w:ascii="Book Antiqua" w:hAnsi="Book Antiqua" w:cs="Courier New"/>
                <w:iCs/>
                <w:sz w:val="24"/>
                <w:szCs w:val="24"/>
              </w:rPr>
              <w:t>xploratory</w:t>
            </w:r>
          </w:p>
        </w:tc>
        <w:tc>
          <w:tcPr>
            <w:tcW w:w="1777" w:type="dxa"/>
            <w:shd w:val="clear" w:color="auto" w:fill="auto"/>
            <w:tcMar>
              <w:top w:w="11" w:type="dxa"/>
              <w:left w:w="11" w:type="dxa"/>
              <w:bottom w:w="0" w:type="dxa"/>
              <w:right w:w="11" w:type="dxa"/>
            </w:tcMar>
            <w:vAlign w:val="bottom"/>
            <w:hideMark/>
          </w:tcPr>
          <w:p w14:paraId="1EA820E4" w14:textId="625AA4A8"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54 (0.28</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33027CCE" w14:textId="2209562C"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13 (3.22</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017ACA99" w14:textId="1322C21A"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67 (0.34</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5EBB084D" w14:textId="377D1745"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00644D6D"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3BD7BA44"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025E0677" w14:textId="1DBABFF5"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 xml:space="preserve">Laparotomy, </w:t>
            </w:r>
            <w:r w:rsidR="004B42CD" w:rsidRPr="00AF1DC5">
              <w:rPr>
                <w:rFonts w:ascii="Book Antiqua" w:hAnsi="Book Antiqua" w:cs="Courier New"/>
                <w:iCs/>
                <w:sz w:val="24"/>
                <w:szCs w:val="24"/>
              </w:rPr>
              <w:t>o</w:t>
            </w:r>
            <w:r w:rsidRPr="00AF1DC5">
              <w:rPr>
                <w:rFonts w:ascii="Book Antiqua" w:hAnsi="Book Antiqua" w:cs="Courier New"/>
                <w:iCs/>
                <w:sz w:val="24"/>
                <w:szCs w:val="24"/>
              </w:rPr>
              <w:t>ther</w:t>
            </w:r>
          </w:p>
        </w:tc>
        <w:tc>
          <w:tcPr>
            <w:tcW w:w="1777" w:type="dxa"/>
            <w:shd w:val="clear" w:color="auto" w:fill="auto"/>
            <w:tcMar>
              <w:top w:w="11" w:type="dxa"/>
              <w:left w:w="11" w:type="dxa"/>
              <w:bottom w:w="0" w:type="dxa"/>
              <w:right w:w="11" w:type="dxa"/>
            </w:tcMar>
            <w:vAlign w:val="bottom"/>
            <w:hideMark/>
          </w:tcPr>
          <w:p w14:paraId="6C2ABD4C" w14:textId="51D4BEF4"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16 (0.08</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3EAD040C" w14:textId="16576291"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 (1.24</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0E811F72" w14:textId="14A66752"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21 (0.11</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0AA01F26" w14:textId="54F271E8"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00644D6D"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6D791C58"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5E1184CA" w14:textId="77777777"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Laparoscopy</w:t>
            </w:r>
          </w:p>
        </w:tc>
        <w:tc>
          <w:tcPr>
            <w:tcW w:w="1777" w:type="dxa"/>
            <w:shd w:val="clear" w:color="auto" w:fill="auto"/>
            <w:tcMar>
              <w:top w:w="11" w:type="dxa"/>
              <w:left w:w="11" w:type="dxa"/>
              <w:bottom w:w="0" w:type="dxa"/>
              <w:right w:w="11" w:type="dxa"/>
            </w:tcMar>
            <w:vAlign w:val="bottom"/>
            <w:hideMark/>
          </w:tcPr>
          <w:p w14:paraId="61201B2A" w14:textId="752F1EA9"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144 (0.75</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27BEF5AC" w14:textId="41D84F92"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6 (1.49</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63E39209" w14:textId="71D0E218"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150 (0.77</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2C665935"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0.1347</w:t>
            </w:r>
          </w:p>
        </w:tc>
      </w:tr>
      <w:tr w:rsidR="00AF1DC5" w:rsidRPr="00AF1DC5" w14:paraId="092522DF"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5A4150DB" w14:textId="77777777"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Esophagogastroduodenoscopy</w:t>
            </w:r>
          </w:p>
        </w:tc>
        <w:tc>
          <w:tcPr>
            <w:tcW w:w="1777" w:type="dxa"/>
            <w:shd w:val="clear" w:color="auto" w:fill="auto"/>
            <w:tcMar>
              <w:top w:w="11" w:type="dxa"/>
              <w:left w:w="11" w:type="dxa"/>
              <w:bottom w:w="0" w:type="dxa"/>
              <w:right w:w="11" w:type="dxa"/>
            </w:tcMar>
            <w:vAlign w:val="bottom"/>
            <w:hideMark/>
          </w:tcPr>
          <w:p w14:paraId="16C7C930" w14:textId="110EFA1D"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4569 (23.89</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097DF1EF" w14:textId="584B0671"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52 (12.87)</w:t>
            </w:r>
          </w:p>
        </w:tc>
        <w:tc>
          <w:tcPr>
            <w:tcW w:w="1710" w:type="dxa"/>
            <w:shd w:val="clear" w:color="auto" w:fill="auto"/>
            <w:tcMar>
              <w:top w:w="11" w:type="dxa"/>
              <w:left w:w="11" w:type="dxa"/>
              <w:bottom w:w="0" w:type="dxa"/>
              <w:right w:w="11" w:type="dxa"/>
            </w:tcMar>
            <w:vAlign w:val="bottom"/>
            <w:hideMark/>
          </w:tcPr>
          <w:p w14:paraId="3FB719D8" w14:textId="4CB509EF"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4621 (23.66</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6E6739E6" w14:textId="7408A1D4"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00644D6D"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75E7D61D"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70B7714B" w14:textId="77777777"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Other Endoscopy</w:t>
            </w:r>
          </w:p>
        </w:tc>
        <w:tc>
          <w:tcPr>
            <w:tcW w:w="1777" w:type="dxa"/>
            <w:shd w:val="clear" w:color="auto" w:fill="auto"/>
            <w:tcMar>
              <w:top w:w="11" w:type="dxa"/>
              <w:left w:w="11" w:type="dxa"/>
              <w:bottom w:w="0" w:type="dxa"/>
              <w:right w:w="11" w:type="dxa"/>
            </w:tcMar>
            <w:vAlign w:val="bottom"/>
            <w:hideMark/>
          </w:tcPr>
          <w:p w14:paraId="4882317F" w14:textId="1BFCA9D8"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1638 (8.57</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45B1BAAA" w14:textId="48ED7D87"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52 (12.87</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4E52EA51" w14:textId="3A699315"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1690 (8.65</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5DF4081B"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0.0031</w:t>
            </w:r>
          </w:p>
        </w:tc>
      </w:tr>
      <w:tr w:rsidR="00AF1DC5" w:rsidRPr="00AF1DC5" w14:paraId="00978627"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5A0DFC5D" w14:textId="77777777"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Transcatheter embolization</w:t>
            </w:r>
          </w:p>
        </w:tc>
        <w:tc>
          <w:tcPr>
            <w:tcW w:w="1777" w:type="dxa"/>
            <w:shd w:val="clear" w:color="auto" w:fill="auto"/>
            <w:tcMar>
              <w:top w:w="11" w:type="dxa"/>
              <w:left w:w="11" w:type="dxa"/>
              <w:bottom w:w="0" w:type="dxa"/>
              <w:right w:w="11" w:type="dxa"/>
            </w:tcMar>
            <w:vAlign w:val="bottom"/>
            <w:hideMark/>
          </w:tcPr>
          <w:p w14:paraId="65974FED" w14:textId="2C930665"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14 (0.07</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78E2369F" w14:textId="07662317"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 (0.50</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195677D0" w14:textId="2C4485E4"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16 (0.08</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253F1864"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0.0423</w:t>
            </w:r>
          </w:p>
        </w:tc>
      </w:tr>
      <w:tr w:rsidR="00AF1DC5" w:rsidRPr="00AF1DC5" w14:paraId="08DBF13E"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50024721" w14:textId="77777777"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Ligation, esophag. varices</w:t>
            </w:r>
          </w:p>
        </w:tc>
        <w:tc>
          <w:tcPr>
            <w:tcW w:w="1777" w:type="dxa"/>
            <w:shd w:val="clear" w:color="auto" w:fill="auto"/>
            <w:tcMar>
              <w:top w:w="11" w:type="dxa"/>
              <w:left w:w="11" w:type="dxa"/>
              <w:bottom w:w="0" w:type="dxa"/>
              <w:right w:w="11" w:type="dxa"/>
            </w:tcMar>
            <w:vAlign w:val="bottom"/>
            <w:hideMark/>
          </w:tcPr>
          <w:p w14:paraId="026FA957"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4 (0.02%)</w:t>
            </w:r>
          </w:p>
        </w:tc>
        <w:tc>
          <w:tcPr>
            <w:tcW w:w="1350" w:type="dxa"/>
            <w:shd w:val="clear" w:color="auto" w:fill="auto"/>
            <w:tcMar>
              <w:top w:w="11" w:type="dxa"/>
              <w:left w:w="11" w:type="dxa"/>
              <w:bottom w:w="0" w:type="dxa"/>
              <w:right w:w="11" w:type="dxa"/>
            </w:tcMar>
            <w:vAlign w:val="bottom"/>
            <w:hideMark/>
          </w:tcPr>
          <w:p w14:paraId="10C02036"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 (0.25%)</w:t>
            </w:r>
          </w:p>
        </w:tc>
        <w:tc>
          <w:tcPr>
            <w:tcW w:w="1710" w:type="dxa"/>
            <w:shd w:val="clear" w:color="auto" w:fill="auto"/>
            <w:tcMar>
              <w:top w:w="11" w:type="dxa"/>
              <w:left w:w="11" w:type="dxa"/>
              <w:bottom w:w="0" w:type="dxa"/>
              <w:right w:w="11" w:type="dxa"/>
            </w:tcMar>
            <w:vAlign w:val="bottom"/>
            <w:hideMark/>
          </w:tcPr>
          <w:p w14:paraId="35A0748A" w14:textId="25C7DBD3"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 (0.03</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67A39019"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0.0993</w:t>
            </w:r>
          </w:p>
        </w:tc>
      </w:tr>
      <w:tr w:rsidR="00AF1DC5" w:rsidRPr="00AF1DC5" w14:paraId="2727D870"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78C2890C" w14:textId="77777777" w:rsidR="003C2FB1" w:rsidRPr="00AF1DC5" w:rsidRDefault="003C2FB1" w:rsidP="00644D6D">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iCs/>
                <w:sz w:val="24"/>
                <w:szCs w:val="24"/>
              </w:rPr>
              <w:t>Ligation, gastric varices</w:t>
            </w:r>
          </w:p>
        </w:tc>
        <w:tc>
          <w:tcPr>
            <w:tcW w:w="1777" w:type="dxa"/>
            <w:shd w:val="clear" w:color="auto" w:fill="auto"/>
            <w:tcMar>
              <w:top w:w="11" w:type="dxa"/>
              <w:left w:w="11" w:type="dxa"/>
              <w:bottom w:w="0" w:type="dxa"/>
              <w:right w:w="11" w:type="dxa"/>
            </w:tcMar>
            <w:vAlign w:val="bottom"/>
            <w:hideMark/>
          </w:tcPr>
          <w:p w14:paraId="5A109408" w14:textId="678D89A4"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6 (0.03</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490BEEB7" w14:textId="0A0C1A54"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 (0.00</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69D1CD53" w14:textId="6FCD8FB5"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6 (0.03</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30BEEA1B"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0.9999</w:t>
            </w:r>
          </w:p>
        </w:tc>
      </w:tr>
      <w:tr w:rsidR="00AF1DC5" w:rsidRPr="00AF1DC5" w14:paraId="2B330468" w14:textId="77777777" w:rsidTr="00644D6D">
        <w:trPr>
          <w:trHeight w:hRule="exact" w:val="432"/>
        </w:trPr>
        <w:tc>
          <w:tcPr>
            <w:tcW w:w="9509" w:type="dxa"/>
            <w:gridSpan w:val="5"/>
            <w:shd w:val="clear" w:color="auto" w:fill="auto"/>
            <w:tcMar>
              <w:top w:w="11" w:type="dxa"/>
              <w:left w:w="11" w:type="dxa"/>
              <w:bottom w:w="0" w:type="dxa"/>
              <w:right w:w="11" w:type="dxa"/>
            </w:tcMar>
            <w:vAlign w:val="bottom"/>
            <w:hideMark/>
          </w:tcPr>
          <w:p w14:paraId="3EA7173B" w14:textId="33FE80EC" w:rsidR="003C2FB1" w:rsidRPr="00AF1DC5" w:rsidRDefault="003C2FB1" w:rsidP="003C2FB1">
            <w:pPr>
              <w:snapToGrid w:val="0"/>
              <w:spacing w:after="0" w:line="360" w:lineRule="auto"/>
              <w:jc w:val="both"/>
              <w:rPr>
                <w:rFonts w:ascii="Book Antiqua" w:hAnsi="Book Antiqua" w:cs="Courier New"/>
                <w:sz w:val="24"/>
                <w:szCs w:val="24"/>
              </w:rPr>
            </w:pPr>
            <w:r w:rsidRPr="00AF1DC5">
              <w:rPr>
                <w:rFonts w:ascii="Book Antiqua" w:hAnsi="Book Antiqua" w:cs="Courier New"/>
                <w:bCs/>
                <w:sz w:val="24"/>
                <w:szCs w:val="24"/>
              </w:rPr>
              <w:t xml:space="preserve">Diagnostic </w:t>
            </w:r>
            <w:r w:rsidR="00644D6D" w:rsidRPr="00AF1DC5">
              <w:rPr>
                <w:rFonts w:ascii="Book Antiqua" w:hAnsi="Book Antiqua" w:cs="Courier New"/>
                <w:bCs/>
                <w:sz w:val="24"/>
                <w:szCs w:val="24"/>
              </w:rPr>
              <w:t>i</w:t>
            </w:r>
            <w:r w:rsidRPr="00AF1DC5">
              <w:rPr>
                <w:rFonts w:ascii="Book Antiqua" w:hAnsi="Book Antiqua" w:cs="Courier New"/>
                <w:bCs/>
                <w:sz w:val="24"/>
                <w:szCs w:val="24"/>
              </w:rPr>
              <w:t>maging</w:t>
            </w:r>
          </w:p>
        </w:tc>
      </w:tr>
      <w:tr w:rsidR="00AF1DC5" w:rsidRPr="00AF1DC5" w14:paraId="0AA34AF1"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5F3CD8AE" w14:textId="77777777" w:rsidR="003C2FB1" w:rsidRPr="00AF1DC5" w:rsidRDefault="003C2FB1" w:rsidP="00644D6D">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Meckel's Scan day 0-2</w:t>
            </w:r>
          </w:p>
        </w:tc>
        <w:tc>
          <w:tcPr>
            <w:tcW w:w="1777" w:type="dxa"/>
            <w:shd w:val="clear" w:color="auto" w:fill="auto"/>
            <w:tcMar>
              <w:top w:w="11" w:type="dxa"/>
              <w:left w:w="11" w:type="dxa"/>
              <w:bottom w:w="0" w:type="dxa"/>
              <w:right w:w="11" w:type="dxa"/>
            </w:tcMar>
            <w:vAlign w:val="bottom"/>
            <w:hideMark/>
          </w:tcPr>
          <w:p w14:paraId="3C516F51" w14:textId="5A45FE08"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873 (4.56</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1B2843AE" w14:textId="46016AB5"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 (0.50</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72B92819" w14:textId="38A07426"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875 (4.48</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444448A2"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0.0001</w:t>
            </w:r>
          </w:p>
        </w:tc>
      </w:tr>
      <w:tr w:rsidR="00AF1DC5" w:rsidRPr="00AF1DC5" w14:paraId="1D38762B"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357EBC18" w14:textId="77777777" w:rsidR="003C2FB1" w:rsidRPr="00AF1DC5" w:rsidRDefault="003C2FB1" w:rsidP="00644D6D">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Abdomen CT day 0-2</w:t>
            </w:r>
          </w:p>
        </w:tc>
        <w:tc>
          <w:tcPr>
            <w:tcW w:w="1777" w:type="dxa"/>
            <w:shd w:val="clear" w:color="auto" w:fill="auto"/>
            <w:tcMar>
              <w:top w:w="11" w:type="dxa"/>
              <w:left w:w="11" w:type="dxa"/>
              <w:bottom w:w="0" w:type="dxa"/>
              <w:right w:w="11" w:type="dxa"/>
            </w:tcMar>
            <w:vAlign w:val="bottom"/>
            <w:hideMark/>
          </w:tcPr>
          <w:p w14:paraId="5A02B591" w14:textId="160489DC"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1675 (8.76</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34FC5524" w14:textId="7E903850"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48 (11.88</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4F5B1B45" w14:textId="424DB81E"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1723 (8.82</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7532140F"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0.0356</w:t>
            </w:r>
          </w:p>
        </w:tc>
      </w:tr>
      <w:tr w:rsidR="00AF1DC5" w:rsidRPr="00AF1DC5" w14:paraId="17283B8D"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1A1A06B2" w14:textId="77777777" w:rsidR="003C2FB1" w:rsidRPr="00AF1DC5" w:rsidRDefault="003C2FB1" w:rsidP="00644D6D">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Abdomen MRI day 0-2</w:t>
            </w:r>
          </w:p>
        </w:tc>
        <w:tc>
          <w:tcPr>
            <w:tcW w:w="1777" w:type="dxa"/>
            <w:shd w:val="clear" w:color="auto" w:fill="auto"/>
            <w:tcMar>
              <w:top w:w="11" w:type="dxa"/>
              <w:left w:w="11" w:type="dxa"/>
              <w:bottom w:w="0" w:type="dxa"/>
              <w:right w:w="11" w:type="dxa"/>
            </w:tcMar>
            <w:vAlign w:val="bottom"/>
            <w:hideMark/>
          </w:tcPr>
          <w:p w14:paraId="737FA18B" w14:textId="1FD1BC4D"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212 (1.11</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02654B42" w14:textId="472D9BF8"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 (0.50</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0304DCE6" w14:textId="640B4F46"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214 (1.10</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6C9B26B1"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0.3340</w:t>
            </w:r>
          </w:p>
        </w:tc>
      </w:tr>
      <w:tr w:rsidR="00AF1DC5" w:rsidRPr="00AF1DC5" w14:paraId="37FB32AB"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7D8147BE" w14:textId="77777777" w:rsidR="003C2FB1" w:rsidRPr="00AF1DC5" w:rsidRDefault="003C2FB1" w:rsidP="00644D6D">
            <w:pPr>
              <w:snapToGrid w:val="0"/>
              <w:spacing w:after="0" w:line="360" w:lineRule="auto"/>
              <w:ind w:firstLineChars="100" w:firstLine="240"/>
              <w:rPr>
                <w:rFonts w:ascii="Book Antiqua" w:hAnsi="Book Antiqua" w:cs="Courier New"/>
                <w:sz w:val="24"/>
                <w:szCs w:val="24"/>
              </w:rPr>
            </w:pPr>
            <w:r w:rsidRPr="00AF1DC5">
              <w:rPr>
                <w:rFonts w:ascii="Book Antiqua" w:hAnsi="Book Antiqua" w:cs="Courier New"/>
                <w:iCs/>
                <w:sz w:val="24"/>
                <w:szCs w:val="24"/>
              </w:rPr>
              <w:t>Arteriography day 0-2</w:t>
            </w:r>
          </w:p>
        </w:tc>
        <w:tc>
          <w:tcPr>
            <w:tcW w:w="1777" w:type="dxa"/>
            <w:shd w:val="clear" w:color="auto" w:fill="auto"/>
            <w:tcMar>
              <w:top w:w="11" w:type="dxa"/>
              <w:left w:w="11" w:type="dxa"/>
              <w:bottom w:w="0" w:type="dxa"/>
              <w:right w:w="11" w:type="dxa"/>
            </w:tcMar>
            <w:vAlign w:val="bottom"/>
            <w:hideMark/>
          </w:tcPr>
          <w:p w14:paraId="63AA34B7" w14:textId="25E29663"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163 (0.85</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13B53184" w14:textId="1A118343"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 (1.24</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2939510C" w14:textId="37BA234F"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168 (0.86</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16E706C3"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0.4031</w:t>
            </w:r>
          </w:p>
        </w:tc>
      </w:tr>
      <w:tr w:rsidR="00AF1DC5" w:rsidRPr="00AF1DC5" w14:paraId="22275C5B"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3AD39D11" w14:textId="0ECD85DE" w:rsidR="003C2FB1" w:rsidRPr="00AF1DC5" w:rsidRDefault="003C2FB1" w:rsidP="00644D6D">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 xml:space="preserve">Packed </w:t>
            </w:r>
            <w:r w:rsidR="00644D6D" w:rsidRPr="00AF1DC5">
              <w:rPr>
                <w:rFonts w:ascii="Book Antiqua" w:hAnsi="Book Antiqua" w:cs="Courier New"/>
                <w:bCs/>
                <w:sz w:val="24"/>
                <w:szCs w:val="24"/>
              </w:rPr>
              <w:t>r</w:t>
            </w:r>
            <w:r w:rsidRPr="00AF1DC5">
              <w:rPr>
                <w:rFonts w:ascii="Book Antiqua" w:hAnsi="Book Antiqua" w:cs="Courier New"/>
                <w:bCs/>
                <w:sz w:val="24"/>
                <w:szCs w:val="24"/>
              </w:rPr>
              <w:t xml:space="preserve">ed </w:t>
            </w:r>
            <w:r w:rsidR="00644D6D" w:rsidRPr="00AF1DC5">
              <w:rPr>
                <w:rFonts w:ascii="Book Antiqua" w:hAnsi="Book Antiqua" w:cs="Courier New"/>
                <w:bCs/>
                <w:sz w:val="24"/>
                <w:szCs w:val="24"/>
              </w:rPr>
              <w:t>b</w:t>
            </w:r>
            <w:r w:rsidRPr="00AF1DC5">
              <w:rPr>
                <w:rFonts w:ascii="Book Antiqua" w:hAnsi="Book Antiqua" w:cs="Courier New"/>
                <w:bCs/>
                <w:sz w:val="24"/>
                <w:szCs w:val="24"/>
              </w:rPr>
              <w:t xml:space="preserve">lood </w:t>
            </w:r>
            <w:r w:rsidR="00644D6D" w:rsidRPr="00AF1DC5">
              <w:rPr>
                <w:rFonts w:ascii="Book Antiqua" w:hAnsi="Book Antiqua" w:cs="Courier New"/>
                <w:bCs/>
                <w:sz w:val="24"/>
                <w:szCs w:val="24"/>
              </w:rPr>
              <w:t>c</w:t>
            </w:r>
            <w:r w:rsidRPr="00AF1DC5">
              <w:rPr>
                <w:rFonts w:ascii="Book Antiqua" w:hAnsi="Book Antiqua" w:cs="Courier New"/>
                <w:bCs/>
                <w:sz w:val="24"/>
                <w:szCs w:val="24"/>
              </w:rPr>
              <w:t>ell Transfusion</w:t>
            </w:r>
          </w:p>
        </w:tc>
        <w:tc>
          <w:tcPr>
            <w:tcW w:w="1777" w:type="dxa"/>
            <w:shd w:val="clear" w:color="auto" w:fill="auto"/>
            <w:tcMar>
              <w:top w:w="11" w:type="dxa"/>
              <w:left w:w="11" w:type="dxa"/>
              <w:bottom w:w="0" w:type="dxa"/>
              <w:right w:w="11" w:type="dxa"/>
            </w:tcMar>
            <w:vAlign w:val="bottom"/>
            <w:hideMark/>
          </w:tcPr>
          <w:p w14:paraId="633D71EF" w14:textId="7FFFBED8"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3361 (17.57</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4748D915" w14:textId="74586E94"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241 (59.65</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50BCCCC0" w14:textId="631540CE"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3602 (18.45</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7607BE95" w14:textId="7E949929"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00644D6D"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3135B49B"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5B0EDD35" w14:textId="64ACF094" w:rsidR="003C2FB1" w:rsidRPr="00AF1DC5" w:rsidRDefault="003C2FB1" w:rsidP="00644D6D">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 xml:space="preserve">Platelet </w:t>
            </w:r>
            <w:r w:rsidR="00644D6D" w:rsidRPr="00AF1DC5">
              <w:rPr>
                <w:rFonts w:ascii="Book Antiqua" w:hAnsi="Book Antiqua" w:cs="Courier New"/>
                <w:bCs/>
                <w:sz w:val="24"/>
                <w:szCs w:val="24"/>
              </w:rPr>
              <w:t>t</w:t>
            </w:r>
            <w:r w:rsidRPr="00AF1DC5">
              <w:rPr>
                <w:rFonts w:ascii="Book Antiqua" w:hAnsi="Book Antiqua" w:cs="Courier New"/>
                <w:bCs/>
                <w:sz w:val="24"/>
                <w:szCs w:val="24"/>
              </w:rPr>
              <w:t>ransfusion</w:t>
            </w:r>
          </w:p>
        </w:tc>
        <w:tc>
          <w:tcPr>
            <w:tcW w:w="1777" w:type="dxa"/>
            <w:shd w:val="clear" w:color="auto" w:fill="auto"/>
            <w:tcMar>
              <w:top w:w="11" w:type="dxa"/>
              <w:left w:w="11" w:type="dxa"/>
              <w:bottom w:w="0" w:type="dxa"/>
              <w:right w:w="11" w:type="dxa"/>
            </w:tcMar>
            <w:vAlign w:val="bottom"/>
            <w:hideMark/>
          </w:tcPr>
          <w:p w14:paraId="64492566" w14:textId="60F4BF92"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819 (4.28</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652CB084" w14:textId="5A14F4A9"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174 (43.07</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7E7C9875" w14:textId="67E15235"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993 (5.09</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0CF1BEE9" w14:textId="25C4C56A"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00644D6D"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50A5B175"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745E6E7B" w14:textId="4AD0444B" w:rsidR="003C2FB1" w:rsidRPr="00AF1DC5" w:rsidRDefault="003C2FB1" w:rsidP="00644D6D">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 xml:space="preserve">ICU </w:t>
            </w:r>
            <w:r w:rsidR="00644D6D" w:rsidRPr="00AF1DC5">
              <w:rPr>
                <w:rFonts w:ascii="Book Antiqua" w:hAnsi="Book Antiqua" w:cs="Courier New"/>
                <w:bCs/>
                <w:sz w:val="24"/>
                <w:szCs w:val="24"/>
              </w:rPr>
              <w:t>s</w:t>
            </w:r>
            <w:r w:rsidRPr="00AF1DC5">
              <w:rPr>
                <w:rFonts w:ascii="Book Antiqua" w:hAnsi="Book Antiqua" w:cs="Courier New"/>
                <w:bCs/>
                <w:sz w:val="24"/>
                <w:szCs w:val="24"/>
              </w:rPr>
              <w:t xml:space="preserve">tay as </w:t>
            </w:r>
            <w:r w:rsidR="00644D6D" w:rsidRPr="00AF1DC5">
              <w:rPr>
                <w:rFonts w:ascii="Book Antiqua" w:hAnsi="Book Antiqua" w:cs="Courier New"/>
                <w:bCs/>
                <w:sz w:val="24"/>
                <w:szCs w:val="24"/>
              </w:rPr>
              <w:t>p</w:t>
            </w:r>
            <w:r w:rsidRPr="00AF1DC5">
              <w:rPr>
                <w:rFonts w:ascii="Book Antiqua" w:hAnsi="Book Antiqua" w:cs="Courier New"/>
                <w:bCs/>
                <w:sz w:val="24"/>
                <w:szCs w:val="24"/>
              </w:rPr>
              <w:t xml:space="preserve">art of </w:t>
            </w:r>
            <w:r w:rsidR="00644D6D" w:rsidRPr="00AF1DC5">
              <w:rPr>
                <w:rFonts w:ascii="Book Antiqua" w:hAnsi="Book Antiqua" w:cs="Courier New"/>
                <w:bCs/>
                <w:sz w:val="24"/>
                <w:szCs w:val="24"/>
              </w:rPr>
              <w:t>e</w:t>
            </w:r>
            <w:r w:rsidRPr="00AF1DC5">
              <w:rPr>
                <w:rFonts w:ascii="Book Antiqua" w:hAnsi="Book Antiqua" w:cs="Courier New"/>
                <w:bCs/>
                <w:sz w:val="24"/>
                <w:szCs w:val="24"/>
              </w:rPr>
              <w:t>ncounter</w:t>
            </w:r>
          </w:p>
        </w:tc>
        <w:tc>
          <w:tcPr>
            <w:tcW w:w="1777" w:type="dxa"/>
            <w:shd w:val="clear" w:color="auto" w:fill="auto"/>
            <w:tcMar>
              <w:top w:w="11" w:type="dxa"/>
              <w:left w:w="11" w:type="dxa"/>
              <w:bottom w:w="0" w:type="dxa"/>
              <w:right w:w="11" w:type="dxa"/>
            </w:tcMar>
            <w:vAlign w:val="bottom"/>
            <w:hideMark/>
          </w:tcPr>
          <w:p w14:paraId="65C14C28" w14:textId="73DC6CA5"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2863 (14.97</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439394E4" w14:textId="2679BD82"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345 (85.40</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0FC3BA0F" w14:textId="7269A82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w:t>
            </w:r>
            <w:r w:rsidR="00644D6D" w:rsidRPr="00AF1DC5">
              <w:rPr>
                <w:rFonts w:ascii="Book Antiqua" w:hAnsi="Book Antiqua" w:cs="Courier New"/>
                <w:sz w:val="24"/>
                <w:szCs w:val="24"/>
              </w:rPr>
              <w:t>208 (16.43</w:t>
            </w:r>
            <w:r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62C59302" w14:textId="08D62F61"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00644D6D"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732C3563"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7F95A766" w14:textId="4FAD1612" w:rsidR="003C2FB1" w:rsidRPr="00AF1DC5" w:rsidRDefault="003C2FB1" w:rsidP="00644D6D">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 xml:space="preserve">Chronic </w:t>
            </w:r>
            <w:r w:rsidR="00644D6D" w:rsidRPr="00AF1DC5">
              <w:rPr>
                <w:rFonts w:ascii="Book Antiqua" w:hAnsi="Book Antiqua" w:cs="Courier New"/>
                <w:bCs/>
                <w:sz w:val="24"/>
                <w:szCs w:val="24"/>
              </w:rPr>
              <w:t>l</w:t>
            </w:r>
            <w:r w:rsidRPr="00AF1DC5">
              <w:rPr>
                <w:rFonts w:ascii="Book Antiqua" w:hAnsi="Book Antiqua" w:cs="Courier New"/>
                <w:bCs/>
                <w:sz w:val="24"/>
                <w:szCs w:val="24"/>
              </w:rPr>
              <w:t xml:space="preserve">iver </w:t>
            </w:r>
            <w:r w:rsidR="00644D6D" w:rsidRPr="00AF1DC5">
              <w:rPr>
                <w:rFonts w:ascii="Book Antiqua" w:hAnsi="Book Antiqua" w:cs="Courier New"/>
                <w:bCs/>
                <w:sz w:val="24"/>
                <w:szCs w:val="24"/>
              </w:rPr>
              <w:t>d</w:t>
            </w:r>
            <w:r w:rsidRPr="00AF1DC5">
              <w:rPr>
                <w:rFonts w:ascii="Book Antiqua" w:hAnsi="Book Antiqua" w:cs="Courier New"/>
                <w:bCs/>
                <w:sz w:val="24"/>
                <w:szCs w:val="24"/>
              </w:rPr>
              <w:t>isease</w:t>
            </w:r>
          </w:p>
        </w:tc>
        <w:tc>
          <w:tcPr>
            <w:tcW w:w="1777" w:type="dxa"/>
            <w:shd w:val="clear" w:color="auto" w:fill="auto"/>
            <w:tcMar>
              <w:top w:w="11" w:type="dxa"/>
              <w:left w:w="11" w:type="dxa"/>
              <w:bottom w:w="0" w:type="dxa"/>
              <w:right w:w="11" w:type="dxa"/>
            </w:tcMar>
            <w:vAlign w:val="bottom"/>
            <w:hideMark/>
          </w:tcPr>
          <w:p w14:paraId="2B43E25A" w14:textId="57021447"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536 (2.80</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664F588E" w14:textId="6B88A6B8"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35 (8.66</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0D0532D4" w14:textId="252426FB"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571 (2.92</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1B7BB06E" w14:textId="1BE454BD"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00644D6D"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7DAEDB3D"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02091779" w14:textId="02260BF9" w:rsidR="003C2FB1" w:rsidRPr="00AF1DC5" w:rsidRDefault="003C2FB1" w:rsidP="00644D6D">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 xml:space="preserve">GIB Present on </w:t>
            </w:r>
            <w:r w:rsidR="00644D6D" w:rsidRPr="00AF1DC5">
              <w:rPr>
                <w:rFonts w:ascii="Book Antiqua" w:hAnsi="Book Antiqua" w:cs="Courier New"/>
                <w:bCs/>
                <w:sz w:val="24"/>
                <w:szCs w:val="24"/>
              </w:rPr>
              <w:t>a</w:t>
            </w:r>
            <w:r w:rsidRPr="00AF1DC5">
              <w:rPr>
                <w:rFonts w:ascii="Book Antiqua" w:hAnsi="Book Antiqua" w:cs="Courier New"/>
                <w:bCs/>
                <w:sz w:val="24"/>
                <w:szCs w:val="24"/>
              </w:rPr>
              <w:t>dmit</w:t>
            </w:r>
          </w:p>
        </w:tc>
        <w:tc>
          <w:tcPr>
            <w:tcW w:w="1777" w:type="dxa"/>
            <w:shd w:val="clear" w:color="auto" w:fill="auto"/>
            <w:tcMar>
              <w:top w:w="11" w:type="dxa"/>
              <w:left w:w="11" w:type="dxa"/>
              <w:bottom w:w="0" w:type="dxa"/>
              <w:right w:w="11" w:type="dxa"/>
            </w:tcMar>
            <w:vAlign w:val="bottom"/>
            <w:hideMark/>
          </w:tcPr>
          <w:p w14:paraId="31D61DDA" w14:textId="34AF94E1"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13386 (70.00</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7E440411" w14:textId="05D3ED4E"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179 (44.31</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125D0926" w14:textId="28ABA056"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11084 (56.76</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1634ABC8" w14:textId="2193887D"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00644D6D"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7CA8B724"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381DAD38" w14:textId="77777777" w:rsidR="003C2FB1" w:rsidRPr="00AF1DC5" w:rsidRDefault="003C2FB1" w:rsidP="00644D6D">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Principal Dx GIB</w:t>
            </w:r>
          </w:p>
        </w:tc>
        <w:tc>
          <w:tcPr>
            <w:tcW w:w="1777" w:type="dxa"/>
            <w:shd w:val="clear" w:color="auto" w:fill="auto"/>
            <w:tcMar>
              <w:top w:w="11" w:type="dxa"/>
              <w:left w:w="11" w:type="dxa"/>
              <w:bottom w:w="0" w:type="dxa"/>
              <w:right w:w="11" w:type="dxa"/>
            </w:tcMar>
            <w:vAlign w:val="bottom"/>
            <w:hideMark/>
          </w:tcPr>
          <w:p w14:paraId="658B1322" w14:textId="4B8B24C7"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6708 (35.07</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2369FEBB" w14:textId="2E47B8CE"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25 (6.18</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345E1DAE" w14:textId="4405BD9A"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6733 (34.48</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19A57C92" w14:textId="33E7F53C"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00644D6D"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2510F3FD"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6F86D291" w14:textId="77777777" w:rsidR="003C2FB1" w:rsidRPr="00AF1DC5" w:rsidRDefault="003C2FB1" w:rsidP="00644D6D">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Sepsis</w:t>
            </w:r>
          </w:p>
        </w:tc>
        <w:tc>
          <w:tcPr>
            <w:tcW w:w="1777" w:type="dxa"/>
            <w:shd w:val="clear" w:color="auto" w:fill="auto"/>
            <w:tcMar>
              <w:top w:w="11" w:type="dxa"/>
              <w:left w:w="11" w:type="dxa"/>
              <w:bottom w:w="0" w:type="dxa"/>
              <w:right w:w="11" w:type="dxa"/>
            </w:tcMar>
            <w:vAlign w:val="bottom"/>
            <w:hideMark/>
          </w:tcPr>
          <w:p w14:paraId="2248F37F" w14:textId="35ED7E84"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516 (2.70</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63B21B7D" w14:textId="0AD44E29"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180 (44.55</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42D567C5" w14:textId="73E674E5"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696 (3.56</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0FFAD6D9" w14:textId="64B7BFC2"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00644D6D"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04696B11"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166CEA62" w14:textId="77777777" w:rsidR="003C2FB1" w:rsidRPr="00AF1DC5" w:rsidRDefault="003C2FB1" w:rsidP="00644D6D">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Shock</w:t>
            </w:r>
          </w:p>
        </w:tc>
        <w:tc>
          <w:tcPr>
            <w:tcW w:w="1777" w:type="dxa"/>
            <w:shd w:val="clear" w:color="auto" w:fill="auto"/>
            <w:tcMar>
              <w:top w:w="11" w:type="dxa"/>
              <w:left w:w="11" w:type="dxa"/>
              <w:bottom w:w="0" w:type="dxa"/>
              <w:right w:w="11" w:type="dxa"/>
            </w:tcMar>
            <w:vAlign w:val="bottom"/>
            <w:hideMark/>
          </w:tcPr>
          <w:p w14:paraId="6B68714A" w14:textId="7A1F6E4F"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562 (2.94</w:t>
            </w:r>
            <w:r w:rsidR="003C2FB1" w:rsidRPr="00AF1DC5">
              <w:rPr>
                <w:rFonts w:ascii="Book Antiqua" w:hAnsi="Book Antiqua" w:cs="Courier New"/>
                <w:sz w:val="24"/>
                <w:szCs w:val="24"/>
              </w:rPr>
              <w:t>)</w:t>
            </w:r>
          </w:p>
        </w:tc>
        <w:tc>
          <w:tcPr>
            <w:tcW w:w="1350" w:type="dxa"/>
            <w:shd w:val="clear" w:color="auto" w:fill="auto"/>
            <w:tcMar>
              <w:top w:w="11" w:type="dxa"/>
              <w:left w:w="11" w:type="dxa"/>
              <w:bottom w:w="0" w:type="dxa"/>
              <w:right w:w="11" w:type="dxa"/>
            </w:tcMar>
            <w:vAlign w:val="bottom"/>
            <w:hideMark/>
          </w:tcPr>
          <w:p w14:paraId="20CF0CDC" w14:textId="6218E756"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166 (41.09</w:t>
            </w:r>
            <w:r w:rsidR="003C2FB1" w:rsidRPr="00AF1DC5">
              <w:rPr>
                <w:rFonts w:ascii="Book Antiqua" w:hAnsi="Book Antiqua" w:cs="Courier New"/>
                <w:sz w:val="24"/>
                <w:szCs w:val="24"/>
              </w:rPr>
              <w:t>)</w:t>
            </w:r>
          </w:p>
        </w:tc>
        <w:tc>
          <w:tcPr>
            <w:tcW w:w="1710" w:type="dxa"/>
            <w:shd w:val="clear" w:color="auto" w:fill="auto"/>
            <w:tcMar>
              <w:top w:w="11" w:type="dxa"/>
              <w:left w:w="11" w:type="dxa"/>
              <w:bottom w:w="0" w:type="dxa"/>
              <w:right w:w="11" w:type="dxa"/>
            </w:tcMar>
            <w:vAlign w:val="bottom"/>
            <w:hideMark/>
          </w:tcPr>
          <w:p w14:paraId="422D19D5" w14:textId="31BC2BDF" w:rsidR="003C2FB1" w:rsidRPr="00AF1DC5" w:rsidRDefault="00644D6D"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728 (3.73</w:t>
            </w:r>
            <w:r w:rsidR="003C2FB1" w:rsidRPr="00AF1DC5">
              <w:rPr>
                <w:rFonts w:ascii="Book Antiqua" w:hAnsi="Book Antiqua" w:cs="Courier New"/>
                <w:sz w:val="24"/>
                <w:szCs w:val="24"/>
              </w:rPr>
              <w:t>)</w:t>
            </w:r>
          </w:p>
        </w:tc>
        <w:tc>
          <w:tcPr>
            <w:tcW w:w="1128" w:type="dxa"/>
            <w:shd w:val="clear" w:color="auto" w:fill="auto"/>
            <w:tcMar>
              <w:top w:w="11" w:type="dxa"/>
              <w:left w:w="11" w:type="dxa"/>
              <w:bottom w:w="0" w:type="dxa"/>
              <w:right w:w="11" w:type="dxa"/>
            </w:tcMar>
            <w:vAlign w:val="bottom"/>
            <w:hideMark/>
          </w:tcPr>
          <w:p w14:paraId="5744C5E9" w14:textId="19C7F4BB"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00644D6D"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60554DD6"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5B3D2279" w14:textId="77777777" w:rsidR="003C2FB1" w:rsidRPr="00AF1DC5" w:rsidRDefault="003C2FB1" w:rsidP="00644D6D">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Hospital LOS (IQR)</w:t>
            </w:r>
          </w:p>
        </w:tc>
        <w:tc>
          <w:tcPr>
            <w:tcW w:w="1777" w:type="dxa"/>
            <w:shd w:val="clear" w:color="auto" w:fill="auto"/>
            <w:tcMar>
              <w:top w:w="11" w:type="dxa"/>
              <w:left w:w="11" w:type="dxa"/>
              <w:bottom w:w="0" w:type="dxa"/>
              <w:right w:w="11" w:type="dxa"/>
            </w:tcMar>
            <w:vAlign w:val="bottom"/>
            <w:hideMark/>
          </w:tcPr>
          <w:p w14:paraId="536057BE" w14:textId="54EBC83A"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 (1,</w:t>
            </w:r>
            <w:r w:rsidR="00644D6D" w:rsidRPr="00AF1DC5">
              <w:rPr>
                <w:rFonts w:ascii="Book Antiqua" w:hAnsi="Book Antiqua" w:cs="Courier New"/>
                <w:sz w:val="24"/>
                <w:szCs w:val="24"/>
                <w:lang w:eastAsia="zh-CN"/>
              </w:rPr>
              <w:t xml:space="preserve"> </w:t>
            </w:r>
            <w:r w:rsidRPr="00AF1DC5">
              <w:rPr>
                <w:rFonts w:ascii="Book Antiqua" w:hAnsi="Book Antiqua" w:cs="Courier New"/>
                <w:sz w:val="24"/>
                <w:szCs w:val="24"/>
              </w:rPr>
              <w:t>6)</w:t>
            </w:r>
          </w:p>
        </w:tc>
        <w:tc>
          <w:tcPr>
            <w:tcW w:w="1350" w:type="dxa"/>
            <w:shd w:val="clear" w:color="auto" w:fill="auto"/>
            <w:tcMar>
              <w:top w:w="11" w:type="dxa"/>
              <w:left w:w="11" w:type="dxa"/>
              <w:bottom w:w="0" w:type="dxa"/>
              <w:right w:w="11" w:type="dxa"/>
            </w:tcMar>
            <w:vAlign w:val="bottom"/>
            <w:hideMark/>
          </w:tcPr>
          <w:p w14:paraId="3213016B" w14:textId="05D49B3A"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19 (5,</w:t>
            </w:r>
            <w:r w:rsidR="00644D6D" w:rsidRPr="00AF1DC5">
              <w:rPr>
                <w:rFonts w:ascii="Book Antiqua" w:hAnsi="Book Antiqua" w:cs="Courier New"/>
                <w:sz w:val="24"/>
                <w:szCs w:val="24"/>
                <w:lang w:eastAsia="zh-CN"/>
              </w:rPr>
              <w:t xml:space="preserve"> </w:t>
            </w:r>
            <w:r w:rsidRPr="00AF1DC5">
              <w:rPr>
                <w:rFonts w:ascii="Book Antiqua" w:hAnsi="Book Antiqua" w:cs="Courier New"/>
                <w:sz w:val="24"/>
                <w:szCs w:val="24"/>
              </w:rPr>
              <w:t>49)</w:t>
            </w:r>
          </w:p>
        </w:tc>
        <w:tc>
          <w:tcPr>
            <w:tcW w:w="1710" w:type="dxa"/>
            <w:shd w:val="clear" w:color="auto" w:fill="auto"/>
            <w:tcMar>
              <w:top w:w="11" w:type="dxa"/>
              <w:left w:w="11" w:type="dxa"/>
              <w:bottom w:w="0" w:type="dxa"/>
              <w:right w:w="11" w:type="dxa"/>
            </w:tcMar>
            <w:vAlign w:val="bottom"/>
            <w:hideMark/>
          </w:tcPr>
          <w:p w14:paraId="1E2A4735" w14:textId="634FC20F"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 (1,</w:t>
            </w:r>
            <w:r w:rsidR="00644D6D" w:rsidRPr="00AF1DC5">
              <w:rPr>
                <w:rFonts w:ascii="Book Antiqua" w:hAnsi="Book Antiqua" w:cs="Courier New"/>
                <w:sz w:val="24"/>
                <w:szCs w:val="24"/>
                <w:lang w:eastAsia="zh-CN"/>
              </w:rPr>
              <w:t xml:space="preserve"> </w:t>
            </w:r>
            <w:r w:rsidRPr="00AF1DC5">
              <w:rPr>
                <w:rFonts w:ascii="Book Antiqua" w:hAnsi="Book Antiqua" w:cs="Courier New"/>
                <w:sz w:val="24"/>
                <w:szCs w:val="24"/>
              </w:rPr>
              <w:t>6)</w:t>
            </w:r>
          </w:p>
        </w:tc>
        <w:tc>
          <w:tcPr>
            <w:tcW w:w="1128" w:type="dxa"/>
            <w:shd w:val="clear" w:color="auto" w:fill="auto"/>
            <w:tcMar>
              <w:top w:w="11" w:type="dxa"/>
              <w:left w:w="11" w:type="dxa"/>
              <w:bottom w:w="0" w:type="dxa"/>
              <w:right w:w="11" w:type="dxa"/>
            </w:tcMar>
            <w:vAlign w:val="bottom"/>
            <w:hideMark/>
          </w:tcPr>
          <w:p w14:paraId="56FA6DDB" w14:textId="1EC229BD"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00644D6D"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40EE29AB" w14:textId="77777777" w:rsidTr="00644D6D">
        <w:trPr>
          <w:trHeight w:hRule="exact" w:val="432"/>
        </w:trPr>
        <w:tc>
          <w:tcPr>
            <w:tcW w:w="3544" w:type="dxa"/>
            <w:shd w:val="clear" w:color="auto" w:fill="auto"/>
            <w:tcMar>
              <w:top w:w="11" w:type="dxa"/>
              <w:left w:w="11" w:type="dxa"/>
              <w:bottom w:w="0" w:type="dxa"/>
              <w:right w:w="11" w:type="dxa"/>
            </w:tcMar>
            <w:vAlign w:val="bottom"/>
            <w:hideMark/>
          </w:tcPr>
          <w:p w14:paraId="4397FE6E" w14:textId="77777777" w:rsidR="003C2FB1" w:rsidRPr="00AF1DC5" w:rsidRDefault="003C2FB1" w:rsidP="00644D6D">
            <w:pPr>
              <w:snapToGrid w:val="0"/>
              <w:spacing w:after="0" w:line="360" w:lineRule="auto"/>
              <w:rPr>
                <w:rFonts w:ascii="Book Antiqua" w:hAnsi="Book Antiqua" w:cs="Courier New"/>
                <w:sz w:val="24"/>
                <w:szCs w:val="24"/>
              </w:rPr>
            </w:pPr>
            <w:r w:rsidRPr="00AF1DC5">
              <w:rPr>
                <w:rFonts w:ascii="Book Antiqua" w:hAnsi="Book Antiqua" w:cs="Courier New"/>
                <w:bCs/>
                <w:sz w:val="24"/>
                <w:szCs w:val="24"/>
              </w:rPr>
              <w:t>Day of EGD</w:t>
            </w:r>
          </w:p>
        </w:tc>
        <w:tc>
          <w:tcPr>
            <w:tcW w:w="1777" w:type="dxa"/>
            <w:shd w:val="clear" w:color="auto" w:fill="auto"/>
            <w:tcMar>
              <w:top w:w="11" w:type="dxa"/>
              <w:left w:w="11" w:type="dxa"/>
              <w:bottom w:w="0" w:type="dxa"/>
              <w:right w:w="11" w:type="dxa"/>
            </w:tcMar>
            <w:vAlign w:val="bottom"/>
            <w:hideMark/>
          </w:tcPr>
          <w:p w14:paraId="3908AD2F" w14:textId="48392FCE"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 (0,</w:t>
            </w:r>
            <w:r w:rsidR="00644D6D" w:rsidRPr="00AF1DC5">
              <w:rPr>
                <w:rFonts w:ascii="Book Antiqua" w:hAnsi="Book Antiqua" w:cs="Courier New"/>
                <w:sz w:val="24"/>
                <w:szCs w:val="24"/>
                <w:lang w:eastAsia="zh-CN"/>
              </w:rPr>
              <w:t xml:space="preserve"> </w:t>
            </w:r>
            <w:r w:rsidRPr="00AF1DC5">
              <w:rPr>
                <w:rFonts w:ascii="Book Antiqua" w:hAnsi="Book Antiqua" w:cs="Courier New"/>
                <w:sz w:val="24"/>
                <w:szCs w:val="24"/>
              </w:rPr>
              <w:t>2)</w:t>
            </w:r>
          </w:p>
        </w:tc>
        <w:tc>
          <w:tcPr>
            <w:tcW w:w="1350" w:type="dxa"/>
            <w:shd w:val="clear" w:color="auto" w:fill="auto"/>
            <w:tcMar>
              <w:top w:w="11" w:type="dxa"/>
              <w:left w:w="11" w:type="dxa"/>
              <w:bottom w:w="0" w:type="dxa"/>
              <w:right w:w="11" w:type="dxa"/>
            </w:tcMar>
            <w:vAlign w:val="bottom"/>
            <w:hideMark/>
          </w:tcPr>
          <w:p w14:paraId="1CE8BB25" w14:textId="4C0DCB33"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 (1,</w:t>
            </w:r>
            <w:r w:rsidR="00644D6D" w:rsidRPr="00AF1DC5">
              <w:rPr>
                <w:rFonts w:ascii="Book Antiqua" w:hAnsi="Book Antiqua" w:cs="Courier New"/>
                <w:sz w:val="24"/>
                <w:szCs w:val="24"/>
                <w:lang w:eastAsia="zh-CN"/>
              </w:rPr>
              <w:t xml:space="preserve"> </w:t>
            </w:r>
            <w:r w:rsidRPr="00AF1DC5">
              <w:rPr>
                <w:rFonts w:ascii="Book Antiqua" w:hAnsi="Book Antiqua" w:cs="Courier New"/>
                <w:sz w:val="24"/>
                <w:szCs w:val="24"/>
              </w:rPr>
              <w:t>14)</w:t>
            </w:r>
          </w:p>
        </w:tc>
        <w:tc>
          <w:tcPr>
            <w:tcW w:w="1710" w:type="dxa"/>
            <w:shd w:val="clear" w:color="auto" w:fill="auto"/>
            <w:tcMar>
              <w:top w:w="11" w:type="dxa"/>
              <w:left w:w="11" w:type="dxa"/>
              <w:bottom w:w="0" w:type="dxa"/>
              <w:right w:w="11" w:type="dxa"/>
            </w:tcMar>
            <w:vAlign w:val="bottom"/>
            <w:hideMark/>
          </w:tcPr>
          <w:p w14:paraId="27603077" w14:textId="08A5FFB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 (0,</w:t>
            </w:r>
            <w:r w:rsidR="00644D6D" w:rsidRPr="00AF1DC5">
              <w:rPr>
                <w:rFonts w:ascii="Book Antiqua" w:hAnsi="Book Antiqua" w:cs="Courier New"/>
                <w:sz w:val="24"/>
                <w:szCs w:val="24"/>
                <w:lang w:eastAsia="zh-CN"/>
              </w:rPr>
              <w:t xml:space="preserve"> </w:t>
            </w:r>
            <w:r w:rsidRPr="00AF1DC5">
              <w:rPr>
                <w:rFonts w:ascii="Book Antiqua" w:hAnsi="Book Antiqua" w:cs="Courier New"/>
                <w:sz w:val="24"/>
                <w:szCs w:val="24"/>
              </w:rPr>
              <w:t>2)</w:t>
            </w:r>
          </w:p>
        </w:tc>
        <w:tc>
          <w:tcPr>
            <w:tcW w:w="1128" w:type="dxa"/>
            <w:shd w:val="clear" w:color="auto" w:fill="auto"/>
            <w:tcMar>
              <w:top w:w="11" w:type="dxa"/>
              <w:left w:w="11" w:type="dxa"/>
              <w:bottom w:w="0" w:type="dxa"/>
              <w:right w:w="11" w:type="dxa"/>
            </w:tcMar>
            <w:vAlign w:val="bottom"/>
            <w:hideMark/>
          </w:tcPr>
          <w:p w14:paraId="30301DA6" w14:textId="77777777" w:rsidR="003C2FB1" w:rsidRPr="00AF1DC5" w:rsidRDefault="003C2FB1" w:rsidP="003C2FB1">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&lt;0.0001</w:t>
            </w:r>
          </w:p>
        </w:tc>
      </w:tr>
    </w:tbl>
    <w:p w14:paraId="79B5703D" w14:textId="7295C641" w:rsidR="003C2FB1" w:rsidRPr="00AF1DC5" w:rsidRDefault="003C2FB1" w:rsidP="00E50668">
      <w:pPr>
        <w:snapToGrid w:val="0"/>
        <w:spacing w:after="0" w:line="360" w:lineRule="auto"/>
        <w:jc w:val="both"/>
        <w:rPr>
          <w:rFonts w:ascii="Book Antiqua" w:hAnsi="Book Antiqua" w:cs="Courier New"/>
          <w:sz w:val="24"/>
          <w:szCs w:val="24"/>
          <w:lang w:eastAsia="zh-CN"/>
        </w:rPr>
      </w:pPr>
    </w:p>
    <w:p w14:paraId="2C2DAE1A" w14:textId="77777777" w:rsidR="003C2FB1" w:rsidRPr="00AF1DC5" w:rsidRDefault="003C2FB1">
      <w:pPr>
        <w:rPr>
          <w:rFonts w:ascii="Book Antiqua" w:hAnsi="Book Antiqua" w:cs="Courier New"/>
          <w:sz w:val="24"/>
          <w:szCs w:val="24"/>
          <w:lang w:eastAsia="zh-CN"/>
        </w:rPr>
      </w:pPr>
      <w:r w:rsidRPr="00AF1DC5">
        <w:rPr>
          <w:rFonts w:ascii="Book Antiqua" w:hAnsi="Book Antiqua" w:cs="Courier New"/>
          <w:sz w:val="24"/>
          <w:szCs w:val="24"/>
          <w:lang w:eastAsia="zh-CN"/>
        </w:rPr>
        <w:br w:type="page"/>
      </w:r>
    </w:p>
    <w:p w14:paraId="2217B223" w14:textId="3EB8E789" w:rsidR="003C2FB1" w:rsidRPr="00AF1DC5" w:rsidRDefault="00644D6D" w:rsidP="00E50668">
      <w:pPr>
        <w:snapToGrid w:val="0"/>
        <w:spacing w:after="0" w:line="360" w:lineRule="auto"/>
        <w:jc w:val="both"/>
        <w:rPr>
          <w:rFonts w:ascii="Book Antiqua" w:hAnsi="Book Antiqua" w:cs="Courier New"/>
          <w:sz w:val="24"/>
          <w:szCs w:val="24"/>
          <w:lang w:eastAsia="zh-CN"/>
        </w:rPr>
      </w:pPr>
      <w:r w:rsidRPr="00AF1DC5">
        <w:rPr>
          <w:rFonts w:ascii="Book Antiqua" w:hAnsi="Book Antiqua" w:cs="Courier New"/>
          <w:b/>
          <w:bCs/>
          <w:sz w:val="24"/>
          <w:szCs w:val="24"/>
        </w:rPr>
        <w:lastRenderedPageBreak/>
        <w:t>Table 3</w:t>
      </w:r>
      <w:r w:rsidRPr="00AF1DC5">
        <w:rPr>
          <w:rFonts w:ascii="Book Antiqua" w:hAnsi="Book Antiqua" w:cs="Courier New"/>
          <w:b/>
          <w:bCs/>
          <w:sz w:val="24"/>
          <w:szCs w:val="24"/>
          <w:lang w:eastAsia="zh-CN"/>
        </w:rPr>
        <w:t xml:space="preserve"> </w:t>
      </w:r>
      <w:r w:rsidRPr="00AF1DC5">
        <w:rPr>
          <w:rFonts w:ascii="Book Antiqua" w:hAnsi="Book Antiqua" w:cs="Courier New"/>
          <w:b/>
          <w:bCs/>
          <w:sz w:val="24"/>
          <w:szCs w:val="24"/>
        </w:rPr>
        <w:t>Top 10 admitting diagnoses for mortalities and non-mortalities</w:t>
      </w:r>
    </w:p>
    <w:tbl>
      <w:tblPr>
        <w:tblW w:w="7949" w:type="dxa"/>
        <w:tblInd w:w="711"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1996"/>
        <w:gridCol w:w="4224"/>
        <w:gridCol w:w="1729"/>
      </w:tblGrid>
      <w:tr w:rsidR="00AF1DC5" w:rsidRPr="00AF1DC5" w14:paraId="14BE1376" w14:textId="26DFF300" w:rsidTr="00765A2A">
        <w:trPr>
          <w:trHeight w:hRule="exact" w:val="449"/>
        </w:trPr>
        <w:tc>
          <w:tcPr>
            <w:tcW w:w="1996" w:type="dxa"/>
            <w:tcBorders>
              <w:top w:val="single" w:sz="8" w:space="0" w:color="000000"/>
              <w:bottom w:val="single" w:sz="8" w:space="0" w:color="000000"/>
            </w:tcBorders>
            <w:shd w:val="clear" w:color="auto" w:fill="auto"/>
            <w:tcMar>
              <w:top w:w="11" w:type="dxa"/>
              <w:left w:w="11" w:type="dxa"/>
              <w:bottom w:w="0" w:type="dxa"/>
              <w:right w:w="11" w:type="dxa"/>
            </w:tcMar>
            <w:vAlign w:val="bottom"/>
            <w:hideMark/>
          </w:tcPr>
          <w:p w14:paraId="1B289BD6" w14:textId="5D5F9EB1" w:rsidR="00644D6D" w:rsidRPr="00AF1DC5" w:rsidRDefault="00644D6D" w:rsidP="00E50668">
            <w:pPr>
              <w:snapToGrid w:val="0"/>
              <w:spacing w:after="0" w:line="360" w:lineRule="auto"/>
              <w:jc w:val="both"/>
              <w:rPr>
                <w:rFonts w:ascii="Book Antiqua" w:hAnsi="Book Antiqua" w:cs="Courier New"/>
                <w:sz w:val="24"/>
                <w:szCs w:val="24"/>
              </w:rPr>
            </w:pPr>
            <w:r w:rsidRPr="00AF1DC5">
              <w:rPr>
                <w:rFonts w:ascii="Book Antiqua" w:hAnsi="Book Antiqua" w:cs="Courier New"/>
                <w:b/>
                <w:bCs/>
                <w:sz w:val="24"/>
                <w:szCs w:val="24"/>
              </w:rPr>
              <w:t xml:space="preserve">ICD-9 </w:t>
            </w:r>
            <w:r w:rsidR="00765A2A" w:rsidRPr="00AF1DC5">
              <w:rPr>
                <w:rFonts w:ascii="Book Antiqua" w:hAnsi="Book Antiqua" w:cs="Courier New"/>
                <w:b/>
                <w:bCs/>
                <w:sz w:val="24"/>
                <w:szCs w:val="24"/>
              </w:rPr>
              <w:t>c</w:t>
            </w:r>
            <w:r w:rsidRPr="00AF1DC5">
              <w:rPr>
                <w:rFonts w:ascii="Book Antiqua" w:hAnsi="Book Antiqua" w:cs="Courier New"/>
                <w:b/>
                <w:bCs/>
                <w:sz w:val="24"/>
                <w:szCs w:val="24"/>
              </w:rPr>
              <w:t>ode</w:t>
            </w:r>
          </w:p>
        </w:tc>
        <w:tc>
          <w:tcPr>
            <w:tcW w:w="4224" w:type="dxa"/>
            <w:tcBorders>
              <w:top w:val="single" w:sz="8" w:space="0" w:color="000000"/>
              <w:bottom w:val="single" w:sz="8" w:space="0" w:color="000000"/>
            </w:tcBorders>
            <w:shd w:val="clear" w:color="auto" w:fill="auto"/>
            <w:tcMar>
              <w:top w:w="11" w:type="dxa"/>
              <w:left w:w="11" w:type="dxa"/>
              <w:bottom w:w="0" w:type="dxa"/>
              <w:right w:w="11" w:type="dxa"/>
            </w:tcMar>
            <w:vAlign w:val="bottom"/>
            <w:hideMark/>
          </w:tcPr>
          <w:p w14:paraId="7FEF0F6B" w14:textId="6352E4BC"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b/>
                <w:bCs/>
                <w:sz w:val="24"/>
                <w:szCs w:val="24"/>
              </w:rPr>
              <w:t xml:space="preserve">ICD-9 </w:t>
            </w:r>
            <w:r w:rsidR="00765A2A" w:rsidRPr="00AF1DC5">
              <w:rPr>
                <w:rFonts w:ascii="Book Antiqua" w:hAnsi="Book Antiqua" w:cs="Courier New"/>
                <w:b/>
                <w:bCs/>
                <w:sz w:val="24"/>
                <w:szCs w:val="24"/>
              </w:rPr>
              <w:t>c</w:t>
            </w:r>
            <w:r w:rsidRPr="00AF1DC5">
              <w:rPr>
                <w:rFonts w:ascii="Book Antiqua" w:hAnsi="Book Antiqua" w:cs="Courier New"/>
                <w:b/>
                <w:bCs/>
                <w:sz w:val="24"/>
                <w:szCs w:val="24"/>
              </w:rPr>
              <w:t xml:space="preserve">ode </w:t>
            </w:r>
            <w:r w:rsidR="00765A2A" w:rsidRPr="00AF1DC5">
              <w:rPr>
                <w:rFonts w:ascii="Book Antiqua" w:hAnsi="Book Antiqua" w:cs="Courier New"/>
                <w:b/>
                <w:bCs/>
                <w:sz w:val="24"/>
                <w:szCs w:val="24"/>
              </w:rPr>
              <w:t>d</w:t>
            </w:r>
            <w:r w:rsidRPr="00AF1DC5">
              <w:rPr>
                <w:rFonts w:ascii="Book Antiqua" w:hAnsi="Book Antiqua" w:cs="Courier New"/>
                <w:b/>
                <w:bCs/>
                <w:sz w:val="24"/>
                <w:szCs w:val="24"/>
              </w:rPr>
              <w:t>escription</w:t>
            </w:r>
          </w:p>
        </w:tc>
        <w:tc>
          <w:tcPr>
            <w:tcW w:w="1729" w:type="dxa"/>
            <w:tcBorders>
              <w:top w:val="single" w:sz="8" w:space="0" w:color="000000"/>
              <w:bottom w:val="single" w:sz="8" w:space="0" w:color="000000"/>
            </w:tcBorders>
            <w:shd w:val="clear" w:color="auto" w:fill="auto"/>
            <w:tcMar>
              <w:top w:w="11" w:type="dxa"/>
              <w:left w:w="11" w:type="dxa"/>
              <w:bottom w:w="0" w:type="dxa"/>
              <w:right w:w="11" w:type="dxa"/>
            </w:tcMar>
            <w:vAlign w:val="bottom"/>
            <w:hideMark/>
          </w:tcPr>
          <w:p w14:paraId="66A64BFD" w14:textId="3A9C959B"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b/>
                <w:bCs/>
                <w:i/>
                <w:sz w:val="24"/>
                <w:szCs w:val="24"/>
              </w:rPr>
              <w:t>n</w:t>
            </w:r>
            <w:r w:rsidRPr="00AF1DC5">
              <w:rPr>
                <w:rFonts w:ascii="Book Antiqua" w:hAnsi="Book Antiqua" w:cs="Courier New"/>
                <w:b/>
                <w:bCs/>
                <w:sz w:val="24"/>
                <w:szCs w:val="24"/>
              </w:rPr>
              <w:t xml:space="preserve"> (%)</w:t>
            </w:r>
          </w:p>
        </w:tc>
      </w:tr>
      <w:tr w:rsidR="00AF1DC5" w:rsidRPr="00AF1DC5" w14:paraId="43A2B33E" w14:textId="602AB201" w:rsidTr="00765A2A">
        <w:trPr>
          <w:trHeight w:hRule="exact" w:val="432"/>
        </w:trPr>
        <w:tc>
          <w:tcPr>
            <w:tcW w:w="1996" w:type="dxa"/>
            <w:tcBorders>
              <w:top w:val="single" w:sz="8" w:space="0" w:color="000000"/>
            </w:tcBorders>
            <w:shd w:val="clear" w:color="auto" w:fill="auto"/>
            <w:tcMar>
              <w:top w:w="11" w:type="dxa"/>
              <w:left w:w="11" w:type="dxa"/>
              <w:bottom w:w="0" w:type="dxa"/>
              <w:right w:w="11" w:type="dxa"/>
            </w:tcMar>
            <w:vAlign w:val="bottom"/>
            <w:hideMark/>
          </w:tcPr>
          <w:p w14:paraId="5AFD5495" w14:textId="77777777" w:rsidR="00644D6D" w:rsidRPr="00AF1DC5" w:rsidRDefault="00644D6D" w:rsidP="00E50668">
            <w:pPr>
              <w:snapToGrid w:val="0"/>
              <w:spacing w:after="0" w:line="360" w:lineRule="auto"/>
              <w:jc w:val="both"/>
              <w:rPr>
                <w:rFonts w:ascii="Book Antiqua" w:hAnsi="Book Antiqua" w:cs="Courier New"/>
                <w:sz w:val="24"/>
                <w:szCs w:val="24"/>
              </w:rPr>
            </w:pPr>
            <w:r w:rsidRPr="00AF1DC5">
              <w:rPr>
                <w:rFonts w:ascii="Book Antiqua" w:hAnsi="Book Antiqua" w:cs="Courier New"/>
                <w:iCs/>
                <w:sz w:val="24"/>
                <w:szCs w:val="24"/>
              </w:rPr>
              <w:t>Mortalities</w:t>
            </w:r>
          </w:p>
        </w:tc>
        <w:tc>
          <w:tcPr>
            <w:tcW w:w="4224" w:type="dxa"/>
            <w:tcBorders>
              <w:top w:val="single" w:sz="8" w:space="0" w:color="000000"/>
            </w:tcBorders>
            <w:shd w:val="clear" w:color="auto" w:fill="auto"/>
            <w:vAlign w:val="bottom"/>
          </w:tcPr>
          <w:p w14:paraId="2819616F" w14:textId="77777777" w:rsidR="00644D6D" w:rsidRPr="00AF1DC5" w:rsidRDefault="00644D6D" w:rsidP="00765A2A">
            <w:pPr>
              <w:snapToGrid w:val="0"/>
              <w:spacing w:after="0" w:line="360" w:lineRule="auto"/>
              <w:jc w:val="center"/>
              <w:rPr>
                <w:rFonts w:ascii="Book Antiqua" w:hAnsi="Book Antiqua" w:cs="Courier New"/>
                <w:sz w:val="24"/>
                <w:szCs w:val="24"/>
              </w:rPr>
            </w:pPr>
          </w:p>
        </w:tc>
        <w:tc>
          <w:tcPr>
            <w:tcW w:w="1729" w:type="dxa"/>
            <w:tcBorders>
              <w:top w:val="single" w:sz="8" w:space="0" w:color="000000"/>
            </w:tcBorders>
            <w:shd w:val="clear" w:color="auto" w:fill="auto"/>
            <w:vAlign w:val="bottom"/>
          </w:tcPr>
          <w:p w14:paraId="4A758E53" w14:textId="4148FCDC" w:rsidR="00644D6D" w:rsidRPr="00AF1DC5" w:rsidRDefault="00644D6D" w:rsidP="00765A2A">
            <w:pPr>
              <w:snapToGrid w:val="0"/>
              <w:spacing w:after="0" w:line="360" w:lineRule="auto"/>
              <w:jc w:val="center"/>
              <w:rPr>
                <w:rFonts w:ascii="Book Antiqua" w:hAnsi="Book Antiqua" w:cs="Courier New"/>
                <w:sz w:val="24"/>
                <w:szCs w:val="24"/>
              </w:rPr>
            </w:pPr>
          </w:p>
        </w:tc>
      </w:tr>
      <w:tr w:rsidR="00AF1DC5" w:rsidRPr="00AF1DC5" w14:paraId="33075479" w14:textId="769F76ED" w:rsidTr="00765A2A">
        <w:trPr>
          <w:trHeight w:hRule="exact" w:val="422"/>
        </w:trPr>
        <w:tc>
          <w:tcPr>
            <w:tcW w:w="1996" w:type="dxa"/>
            <w:shd w:val="clear" w:color="auto" w:fill="auto"/>
            <w:tcMar>
              <w:top w:w="11" w:type="dxa"/>
              <w:left w:w="11" w:type="dxa"/>
              <w:bottom w:w="0" w:type="dxa"/>
              <w:right w:w="11" w:type="dxa"/>
            </w:tcMar>
            <w:vAlign w:val="bottom"/>
            <w:hideMark/>
          </w:tcPr>
          <w:p w14:paraId="53C32691" w14:textId="77777777" w:rsidR="00644D6D" w:rsidRPr="00AF1DC5" w:rsidRDefault="00644D6D" w:rsidP="00765A2A">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sz w:val="24"/>
                <w:szCs w:val="24"/>
              </w:rPr>
              <w:t>780.60</w:t>
            </w:r>
          </w:p>
        </w:tc>
        <w:tc>
          <w:tcPr>
            <w:tcW w:w="4224" w:type="dxa"/>
            <w:shd w:val="clear" w:color="auto" w:fill="auto"/>
            <w:tcMar>
              <w:top w:w="11" w:type="dxa"/>
              <w:left w:w="11" w:type="dxa"/>
              <w:bottom w:w="0" w:type="dxa"/>
              <w:right w:w="11" w:type="dxa"/>
            </w:tcMar>
            <w:vAlign w:val="bottom"/>
            <w:hideMark/>
          </w:tcPr>
          <w:p w14:paraId="00AB68BD" w14:textId="77777777"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Fever</w:t>
            </w:r>
          </w:p>
        </w:tc>
        <w:tc>
          <w:tcPr>
            <w:tcW w:w="1729" w:type="dxa"/>
            <w:shd w:val="clear" w:color="auto" w:fill="auto"/>
            <w:tcMar>
              <w:top w:w="11" w:type="dxa"/>
              <w:left w:w="11" w:type="dxa"/>
              <w:bottom w:w="0" w:type="dxa"/>
              <w:right w:w="11" w:type="dxa"/>
            </w:tcMar>
            <w:vAlign w:val="bottom"/>
            <w:hideMark/>
          </w:tcPr>
          <w:p w14:paraId="3970AF71" w14:textId="6A2C1689" w:rsidR="00644D6D" w:rsidRPr="00AF1DC5" w:rsidRDefault="00644D6D" w:rsidP="00765A2A">
            <w:pPr>
              <w:snapToGrid w:val="0"/>
              <w:spacing w:after="0" w:line="360" w:lineRule="auto"/>
              <w:jc w:val="center"/>
              <w:rPr>
                <w:rFonts w:ascii="Book Antiqua" w:hAnsi="Book Antiqua" w:cs="Courier New"/>
                <w:sz w:val="24"/>
                <w:szCs w:val="24"/>
                <w:lang w:eastAsia="zh-CN"/>
              </w:rPr>
            </w:pPr>
            <w:r w:rsidRPr="00AF1DC5">
              <w:rPr>
                <w:rFonts w:ascii="Book Antiqua" w:hAnsi="Book Antiqua" w:cs="Courier New"/>
                <w:sz w:val="24"/>
                <w:szCs w:val="24"/>
              </w:rPr>
              <w:t>32</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7.92</w:t>
            </w:r>
            <w:r w:rsidRPr="00AF1DC5">
              <w:rPr>
                <w:rFonts w:ascii="Book Antiqua" w:hAnsi="Book Antiqua" w:cs="Courier New"/>
                <w:sz w:val="24"/>
                <w:szCs w:val="24"/>
                <w:lang w:eastAsia="zh-CN"/>
              </w:rPr>
              <w:t>)</w:t>
            </w:r>
          </w:p>
        </w:tc>
      </w:tr>
      <w:tr w:rsidR="00AF1DC5" w:rsidRPr="00AF1DC5" w14:paraId="5C139758" w14:textId="77777777" w:rsidTr="00765A2A">
        <w:trPr>
          <w:trHeight w:hRule="exact" w:val="432"/>
        </w:trPr>
        <w:tc>
          <w:tcPr>
            <w:tcW w:w="1996" w:type="dxa"/>
            <w:shd w:val="clear" w:color="auto" w:fill="auto"/>
            <w:tcMar>
              <w:top w:w="11" w:type="dxa"/>
              <w:left w:w="11" w:type="dxa"/>
              <w:bottom w:w="0" w:type="dxa"/>
              <w:right w:w="11" w:type="dxa"/>
            </w:tcMar>
            <w:vAlign w:val="bottom"/>
            <w:hideMark/>
          </w:tcPr>
          <w:p w14:paraId="3B40784E" w14:textId="77777777" w:rsidR="00644D6D" w:rsidRPr="00AF1DC5" w:rsidRDefault="00644D6D" w:rsidP="00765A2A">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sz w:val="24"/>
                <w:szCs w:val="24"/>
              </w:rPr>
              <w:t>786.09</w:t>
            </w:r>
          </w:p>
        </w:tc>
        <w:tc>
          <w:tcPr>
            <w:tcW w:w="4224" w:type="dxa"/>
            <w:shd w:val="clear" w:color="auto" w:fill="auto"/>
            <w:tcMar>
              <w:top w:w="11" w:type="dxa"/>
              <w:left w:w="11" w:type="dxa"/>
              <w:bottom w:w="0" w:type="dxa"/>
              <w:right w:w="11" w:type="dxa"/>
            </w:tcMar>
            <w:vAlign w:val="bottom"/>
            <w:hideMark/>
          </w:tcPr>
          <w:p w14:paraId="335413B7" w14:textId="77777777"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Other dyspnea and respiratory abnormality</w:t>
            </w:r>
          </w:p>
        </w:tc>
        <w:tc>
          <w:tcPr>
            <w:tcW w:w="1729" w:type="dxa"/>
            <w:shd w:val="clear" w:color="auto" w:fill="auto"/>
            <w:tcMar>
              <w:top w:w="11" w:type="dxa"/>
              <w:left w:w="11" w:type="dxa"/>
              <w:bottom w:w="0" w:type="dxa"/>
              <w:right w:w="11" w:type="dxa"/>
            </w:tcMar>
            <w:vAlign w:val="bottom"/>
            <w:hideMark/>
          </w:tcPr>
          <w:p w14:paraId="3B8522FB" w14:textId="51D46E74" w:rsidR="00644D6D" w:rsidRPr="00AF1DC5" w:rsidRDefault="00644D6D" w:rsidP="00765A2A">
            <w:pPr>
              <w:snapToGrid w:val="0"/>
              <w:spacing w:after="0" w:line="360" w:lineRule="auto"/>
              <w:jc w:val="center"/>
              <w:rPr>
                <w:rFonts w:ascii="Book Antiqua" w:hAnsi="Book Antiqua" w:cs="Courier New"/>
                <w:sz w:val="24"/>
                <w:szCs w:val="24"/>
                <w:lang w:eastAsia="zh-CN"/>
              </w:rPr>
            </w:pPr>
            <w:r w:rsidRPr="00AF1DC5">
              <w:rPr>
                <w:rFonts w:ascii="Book Antiqua" w:hAnsi="Book Antiqua" w:cs="Courier New"/>
                <w:sz w:val="24"/>
                <w:szCs w:val="24"/>
              </w:rPr>
              <w:t>23</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5.69</w:t>
            </w:r>
            <w:r w:rsidRPr="00AF1DC5">
              <w:rPr>
                <w:rFonts w:ascii="Book Antiqua" w:hAnsi="Book Antiqua" w:cs="Courier New"/>
                <w:sz w:val="24"/>
                <w:szCs w:val="24"/>
                <w:lang w:eastAsia="zh-CN"/>
              </w:rPr>
              <w:t>)</w:t>
            </w:r>
          </w:p>
        </w:tc>
      </w:tr>
      <w:tr w:rsidR="00AF1DC5" w:rsidRPr="00AF1DC5" w14:paraId="0C93A6E6" w14:textId="77777777" w:rsidTr="00765A2A">
        <w:trPr>
          <w:trHeight w:hRule="exact" w:val="432"/>
        </w:trPr>
        <w:tc>
          <w:tcPr>
            <w:tcW w:w="1996" w:type="dxa"/>
            <w:shd w:val="clear" w:color="auto" w:fill="auto"/>
            <w:tcMar>
              <w:top w:w="11" w:type="dxa"/>
              <w:left w:w="11" w:type="dxa"/>
              <w:bottom w:w="0" w:type="dxa"/>
              <w:right w:w="11" w:type="dxa"/>
            </w:tcMar>
            <w:vAlign w:val="bottom"/>
            <w:hideMark/>
          </w:tcPr>
          <w:p w14:paraId="76A1F24B" w14:textId="77777777" w:rsidR="00644D6D" w:rsidRPr="00AF1DC5" w:rsidRDefault="00644D6D" w:rsidP="00765A2A">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sz w:val="24"/>
                <w:szCs w:val="24"/>
              </w:rPr>
              <w:t>787.03</w:t>
            </w:r>
          </w:p>
        </w:tc>
        <w:tc>
          <w:tcPr>
            <w:tcW w:w="4224" w:type="dxa"/>
            <w:shd w:val="clear" w:color="auto" w:fill="auto"/>
            <w:tcMar>
              <w:top w:w="11" w:type="dxa"/>
              <w:left w:w="11" w:type="dxa"/>
              <w:bottom w:w="0" w:type="dxa"/>
              <w:right w:w="11" w:type="dxa"/>
            </w:tcMar>
            <w:vAlign w:val="bottom"/>
            <w:hideMark/>
          </w:tcPr>
          <w:p w14:paraId="3DD91398" w14:textId="77777777"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Vomiting alone</w:t>
            </w:r>
          </w:p>
        </w:tc>
        <w:tc>
          <w:tcPr>
            <w:tcW w:w="1729" w:type="dxa"/>
            <w:shd w:val="clear" w:color="auto" w:fill="auto"/>
            <w:tcMar>
              <w:top w:w="11" w:type="dxa"/>
              <w:left w:w="11" w:type="dxa"/>
              <w:bottom w:w="0" w:type="dxa"/>
              <w:right w:w="11" w:type="dxa"/>
            </w:tcMar>
            <w:vAlign w:val="bottom"/>
            <w:hideMark/>
          </w:tcPr>
          <w:p w14:paraId="4BD17ADF" w14:textId="4A8DA978"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15</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3.71</w:t>
            </w:r>
            <w:r w:rsidRPr="00AF1DC5">
              <w:rPr>
                <w:rFonts w:ascii="Book Antiqua" w:hAnsi="Book Antiqua" w:cs="Courier New"/>
                <w:sz w:val="24"/>
                <w:szCs w:val="24"/>
                <w:lang w:eastAsia="zh-CN"/>
              </w:rPr>
              <w:t>)</w:t>
            </w:r>
          </w:p>
        </w:tc>
      </w:tr>
      <w:tr w:rsidR="00AF1DC5" w:rsidRPr="00AF1DC5" w14:paraId="0ED61540" w14:textId="77777777" w:rsidTr="00765A2A">
        <w:trPr>
          <w:trHeight w:hRule="exact" w:val="432"/>
        </w:trPr>
        <w:tc>
          <w:tcPr>
            <w:tcW w:w="1996" w:type="dxa"/>
            <w:shd w:val="clear" w:color="auto" w:fill="auto"/>
            <w:tcMar>
              <w:top w:w="11" w:type="dxa"/>
              <w:left w:w="11" w:type="dxa"/>
              <w:bottom w:w="0" w:type="dxa"/>
              <w:right w:w="11" w:type="dxa"/>
            </w:tcMar>
            <w:vAlign w:val="bottom"/>
            <w:hideMark/>
          </w:tcPr>
          <w:p w14:paraId="17767836" w14:textId="77777777" w:rsidR="00644D6D" w:rsidRPr="00AF1DC5" w:rsidRDefault="00644D6D" w:rsidP="00765A2A">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sz w:val="24"/>
                <w:szCs w:val="24"/>
              </w:rPr>
              <w:t>03.89</w:t>
            </w:r>
          </w:p>
        </w:tc>
        <w:tc>
          <w:tcPr>
            <w:tcW w:w="4224" w:type="dxa"/>
            <w:shd w:val="clear" w:color="auto" w:fill="auto"/>
            <w:tcMar>
              <w:top w:w="11" w:type="dxa"/>
              <w:left w:w="11" w:type="dxa"/>
              <w:bottom w:w="0" w:type="dxa"/>
              <w:right w:w="11" w:type="dxa"/>
            </w:tcMar>
            <w:vAlign w:val="bottom"/>
            <w:hideMark/>
          </w:tcPr>
          <w:p w14:paraId="36EE5B00" w14:textId="77777777"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Unspecified septicemia</w:t>
            </w:r>
          </w:p>
        </w:tc>
        <w:tc>
          <w:tcPr>
            <w:tcW w:w="1729" w:type="dxa"/>
            <w:shd w:val="clear" w:color="auto" w:fill="auto"/>
            <w:tcMar>
              <w:top w:w="11" w:type="dxa"/>
              <w:left w:w="11" w:type="dxa"/>
              <w:bottom w:w="0" w:type="dxa"/>
              <w:right w:w="11" w:type="dxa"/>
            </w:tcMar>
            <w:vAlign w:val="bottom"/>
            <w:hideMark/>
          </w:tcPr>
          <w:p w14:paraId="7125EF5B" w14:textId="46F97CE3"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14</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3.47</w:t>
            </w:r>
            <w:r w:rsidRPr="00AF1DC5">
              <w:rPr>
                <w:rFonts w:ascii="Book Antiqua" w:hAnsi="Book Antiqua" w:cs="Courier New"/>
                <w:sz w:val="24"/>
                <w:szCs w:val="24"/>
                <w:lang w:eastAsia="zh-CN"/>
              </w:rPr>
              <w:t>)</w:t>
            </w:r>
          </w:p>
        </w:tc>
      </w:tr>
      <w:tr w:rsidR="00AF1DC5" w:rsidRPr="00AF1DC5" w14:paraId="7A20A755" w14:textId="77777777" w:rsidTr="00765A2A">
        <w:trPr>
          <w:trHeight w:hRule="exact" w:val="432"/>
        </w:trPr>
        <w:tc>
          <w:tcPr>
            <w:tcW w:w="1996" w:type="dxa"/>
            <w:shd w:val="clear" w:color="auto" w:fill="auto"/>
            <w:tcMar>
              <w:top w:w="11" w:type="dxa"/>
              <w:left w:w="11" w:type="dxa"/>
              <w:bottom w:w="0" w:type="dxa"/>
              <w:right w:w="11" w:type="dxa"/>
            </w:tcMar>
            <w:vAlign w:val="bottom"/>
            <w:hideMark/>
          </w:tcPr>
          <w:p w14:paraId="45F9E150" w14:textId="77777777" w:rsidR="00644D6D" w:rsidRPr="00AF1DC5" w:rsidRDefault="00644D6D" w:rsidP="00765A2A">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sz w:val="24"/>
                <w:szCs w:val="24"/>
              </w:rPr>
              <w:t>578.0</w:t>
            </w:r>
          </w:p>
        </w:tc>
        <w:tc>
          <w:tcPr>
            <w:tcW w:w="4224" w:type="dxa"/>
            <w:shd w:val="clear" w:color="auto" w:fill="auto"/>
            <w:tcMar>
              <w:top w:w="11" w:type="dxa"/>
              <w:left w:w="11" w:type="dxa"/>
              <w:bottom w:w="0" w:type="dxa"/>
              <w:right w:w="11" w:type="dxa"/>
            </w:tcMar>
            <w:vAlign w:val="bottom"/>
            <w:hideMark/>
          </w:tcPr>
          <w:p w14:paraId="1E458239" w14:textId="77777777"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Hematemesis</w:t>
            </w:r>
          </w:p>
        </w:tc>
        <w:tc>
          <w:tcPr>
            <w:tcW w:w="1729" w:type="dxa"/>
            <w:shd w:val="clear" w:color="auto" w:fill="auto"/>
            <w:tcMar>
              <w:top w:w="11" w:type="dxa"/>
              <w:left w:w="11" w:type="dxa"/>
              <w:bottom w:w="0" w:type="dxa"/>
              <w:right w:w="11" w:type="dxa"/>
            </w:tcMar>
            <w:vAlign w:val="bottom"/>
            <w:hideMark/>
          </w:tcPr>
          <w:p w14:paraId="6BA1751C" w14:textId="1145F24B"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13</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3.22</w:t>
            </w:r>
            <w:r w:rsidRPr="00AF1DC5">
              <w:rPr>
                <w:rFonts w:ascii="Book Antiqua" w:hAnsi="Book Antiqua" w:cs="Courier New"/>
                <w:sz w:val="24"/>
                <w:szCs w:val="24"/>
                <w:lang w:eastAsia="zh-CN"/>
              </w:rPr>
              <w:t>)</w:t>
            </w:r>
          </w:p>
        </w:tc>
      </w:tr>
      <w:tr w:rsidR="00AF1DC5" w:rsidRPr="00AF1DC5" w14:paraId="63A91B52" w14:textId="77777777" w:rsidTr="00765A2A">
        <w:trPr>
          <w:trHeight w:hRule="exact" w:val="432"/>
        </w:trPr>
        <w:tc>
          <w:tcPr>
            <w:tcW w:w="1996" w:type="dxa"/>
            <w:shd w:val="clear" w:color="auto" w:fill="auto"/>
            <w:tcMar>
              <w:top w:w="11" w:type="dxa"/>
              <w:left w:w="11" w:type="dxa"/>
              <w:bottom w:w="0" w:type="dxa"/>
              <w:right w:w="11" w:type="dxa"/>
            </w:tcMar>
            <w:vAlign w:val="bottom"/>
            <w:hideMark/>
          </w:tcPr>
          <w:p w14:paraId="51C05413" w14:textId="77777777" w:rsidR="00644D6D" w:rsidRPr="00AF1DC5" w:rsidRDefault="00644D6D" w:rsidP="00765A2A">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sz w:val="24"/>
                <w:szCs w:val="24"/>
              </w:rPr>
              <w:t>427.5</w:t>
            </w:r>
          </w:p>
        </w:tc>
        <w:tc>
          <w:tcPr>
            <w:tcW w:w="4224" w:type="dxa"/>
            <w:shd w:val="clear" w:color="auto" w:fill="auto"/>
            <w:tcMar>
              <w:top w:w="11" w:type="dxa"/>
              <w:left w:w="11" w:type="dxa"/>
              <w:bottom w:w="0" w:type="dxa"/>
              <w:right w:w="11" w:type="dxa"/>
            </w:tcMar>
            <w:vAlign w:val="bottom"/>
            <w:hideMark/>
          </w:tcPr>
          <w:p w14:paraId="5A6641D4" w14:textId="77777777"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Cardiac arrest</w:t>
            </w:r>
          </w:p>
        </w:tc>
        <w:tc>
          <w:tcPr>
            <w:tcW w:w="1729" w:type="dxa"/>
            <w:shd w:val="clear" w:color="auto" w:fill="auto"/>
            <w:tcMar>
              <w:top w:w="11" w:type="dxa"/>
              <w:left w:w="11" w:type="dxa"/>
              <w:bottom w:w="0" w:type="dxa"/>
              <w:right w:w="11" w:type="dxa"/>
            </w:tcMar>
            <w:vAlign w:val="bottom"/>
            <w:hideMark/>
          </w:tcPr>
          <w:p w14:paraId="1FF8558F" w14:textId="6C7E08DF"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13</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3.22</w:t>
            </w:r>
            <w:r w:rsidRPr="00AF1DC5">
              <w:rPr>
                <w:rFonts w:ascii="Book Antiqua" w:hAnsi="Book Antiqua" w:cs="Courier New"/>
                <w:sz w:val="24"/>
                <w:szCs w:val="24"/>
                <w:lang w:eastAsia="zh-CN"/>
              </w:rPr>
              <w:t>)</w:t>
            </w:r>
          </w:p>
        </w:tc>
      </w:tr>
      <w:tr w:rsidR="00AF1DC5" w:rsidRPr="00AF1DC5" w14:paraId="26493BDE" w14:textId="77777777" w:rsidTr="00765A2A">
        <w:trPr>
          <w:trHeight w:hRule="exact" w:val="432"/>
        </w:trPr>
        <w:tc>
          <w:tcPr>
            <w:tcW w:w="1996" w:type="dxa"/>
            <w:shd w:val="clear" w:color="auto" w:fill="auto"/>
            <w:tcMar>
              <w:top w:w="11" w:type="dxa"/>
              <w:left w:w="11" w:type="dxa"/>
              <w:bottom w:w="0" w:type="dxa"/>
              <w:right w:w="11" w:type="dxa"/>
            </w:tcMar>
            <w:vAlign w:val="bottom"/>
            <w:hideMark/>
          </w:tcPr>
          <w:p w14:paraId="6989F46D" w14:textId="77777777" w:rsidR="00644D6D" w:rsidRPr="00AF1DC5" w:rsidRDefault="00644D6D" w:rsidP="00765A2A">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sz w:val="24"/>
                <w:szCs w:val="24"/>
              </w:rPr>
              <w:t>578.9</w:t>
            </w:r>
          </w:p>
        </w:tc>
        <w:tc>
          <w:tcPr>
            <w:tcW w:w="4224" w:type="dxa"/>
            <w:shd w:val="clear" w:color="auto" w:fill="auto"/>
            <w:tcMar>
              <w:top w:w="11" w:type="dxa"/>
              <w:left w:w="11" w:type="dxa"/>
              <w:bottom w:w="0" w:type="dxa"/>
              <w:right w:w="11" w:type="dxa"/>
            </w:tcMar>
            <w:vAlign w:val="bottom"/>
            <w:hideMark/>
          </w:tcPr>
          <w:p w14:paraId="6C72D90E" w14:textId="77777777"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Hemorrhage of GI tract, unspecified</w:t>
            </w:r>
          </w:p>
        </w:tc>
        <w:tc>
          <w:tcPr>
            <w:tcW w:w="1729" w:type="dxa"/>
            <w:shd w:val="clear" w:color="auto" w:fill="auto"/>
            <w:tcMar>
              <w:top w:w="11" w:type="dxa"/>
              <w:left w:w="11" w:type="dxa"/>
              <w:bottom w:w="0" w:type="dxa"/>
              <w:right w:w="11" w:type="dxa"/>
            </w:tcMar>
            <w:vAlign w:val="bottom"/>
            <w:hideMark/>
          </w:tcPr>
          <w:p w14:paraId="0CFDD7AA" w14:textId="5B1AD96A"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12</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2.97</w:t>
            </w:r>
            <w:r w:rsidRPr="00AF1DC5">
              <w:rPr>
                <w:rFonts w:ascii="Book Antiqua" w:hAnsi="Book Antiqua" w:cs="Courier New"/>
                <w:sz w:val="24"/>
                <w:szCs w:val="24"/>
                <w:lang w:eastAsia="zh-CN"/>
              </w:rPr>
              <w:t>)</w:t>
            </w:r>
          </w:p>
        </w:tc>
      </w:tr>
      <w:tr w:rsidR="00AF1DC5" w:rsidRPr="00AF1DC5" w14:paraId="38033309" w14:textId="77777777" w:rsidTr="00765A2A">
        <w:trPr>
          <w:trHeight w:hRule="exact" w:val="432"/>
        </w:trPr>
        <w:tc>
          <w:tcPr>
            <w:tcW w:w="1996" w:type="dxa"/>
            <w:shd w:val="clear" w:color="auto" w:fill="auto"/>
            <w:tcMar>
              <w:top w:w="11" w:type="dxa"/>
              <w:left w:w="11" w:type="dxa"/>
              <w:bottom w:w="0" w:type="dxa"/>
              <w:right w:w="11" w:type="dxa"/>
            </w:tcMar>
            <w:vAlign w:val="bottom"/>
            <w:hideMark/>
          </w:tcPr>
          <w:p w14:paraId="628A7FB3" w14:textId="77777777" w:rsidR="00644D6D" w:rsidRPr="00AF1DC5" w:rsidRDefault="00644D6D" w:rsidP="00765A2A">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sz w:val="24"/>
                <w:szCs w:val="24"/>
              </w:rPr>
              <w:t>486.0</w:t>
            </w:r>
          </w:p>
        </w:tc>
        <w:tc>
          <w:tcPr>
            <w:tcW w:w="4224" w:type="dxa"/>
            <w:shd w:val="clear" w:color="auto" w:fill="auto"/>
            <w:tcMar>
              <w:top w:w="11" w:type="dxa"/>
              <w:left w:w="11" w:type="dxa"/>
              <w:bottom w:w="0" w:type="dxa"/>
              <w:right w:w="11" w:type="dxa"/>
            </w:tcMar>
            <w:vAlign w:val="bottom"/>
            <w:hideMark/>
          </w:tcPr>
          <w:p w14:paraId="7651E960" w14:textId="77777777"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Pneumonia, organism unspecified</w:t>
            </w:r>
          </w:p>
        </w:tc>
        <w:tc>
          <w:tcPr>
            <w:tcW w:w="1729" w:type="dxa"/>
            <w:shd w:val="clear" w:color="auto" w:fill="auto"/>
            <w:tcMar>
              <w:top w:w="11" w:type="dxa"/>
              <w:left w:w="11" w:type="dxa"/>
              <w:bottom w:w="0" w:type="dxa"/>
              <w:right w:w="11" w:type="dxa"/>
            </w:tcMar>
            <w:vAlign w:val="bottom"/>
            <w:hideMark/>
          </w:tcPr>
          <w:p w14:paraId="3F730D3F" w14:textId="55A1025E"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11</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2.72</w:t>
            </w:r>
            <w:r w:rsidRPr="00AF1DC5">
              <w:rPr>
                <w:rFonts w:ascii="Book Antiqua" w:hAnsi="Book Antiqua" w:cs="Courier New"/>
                <w:sz w:val="24"/>
                <w:szCs w:val="24"/>
                <w:lang w:eastAsia="zh-CN"/>
              </w:rPr>
              <w:t>)</w:t>
            </w:r>
          </w:p>
        </w:tc>
      </w:tr>
      <w:tr w:rsidR="00AF1DC5" w:rsidRPr="00AF1DC5" w14:paraId="071A7E9D" w14:textId="77777777" w:rsidTr="00765A2A">
        <w:trPr>
          <w:trHeight w:hRule="exact" w:val="432"/>
        </w:trPr>
        <w:tc>
          <w:tcPr>
            <w:tcW w:w="1996" w:type="dxa"/>
            <w:shd w:val="clear" w:color="auto" w:fill="auto"/>
            <w:tcMar>
              <w:top w:w="11" w:type="dxa"/>
              <w:left w:w="11" w:type="dxa"/>
              <w:bottom w:w="0" w:type="dxa"/>
              <w:right w:w="11" w:type="dxa"/>
            </w:tcMar>
            <w:vAlign w:val="bottom"/>
            <w:hideMark/>
          </w:tcPr>
          <w:p w14:paraId="6DC9A1FB" w14:textId="77777777" w:rsidR="00644D6D" w:rsidRPr="00AF1DC5" w:rsidRDefault="00644D6D" w:rsidP="00765A2A">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sz w:val="24"/>
                <w:szCs w:val="24"/>
              </w:rPr>
              <w:t>288.00</w:t>
            </w:r>
          </w:p>
        </w:tc>
        <w:tc>
          <w:tcPr>
            <w:tcW w:w="4224" w:type="dxa"/>
            <w:shd w:val="clear" w:color="auto" w:fill="auto"/>
            <w:tcMar>
              <w:top w:w="11" w:type="dxa"/>
              <w:left w:w="11" w:type="dxa"/>
              <w:bottom w:w="0" w:type="dxa"/>
              <w:right w:w="11" w:type="dxa"/>
            </w:tcMar>
            <w:vAlign w:val="bottom"/>
            <w:hideMark/>
          </w:tcPr>
          <w:p w14:paraId="6B57FF7C" w14:textId="77777777"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Diseases of white blood cells</w:t>
            </w:r>
          </w:p>
        </w:tc>
        <w:tc>
          <w:tcPr>
            <w:tcW w:w="1729" w:type="dxa"/>
            <w:shd w:val="clear" w:color="auto" w:fill="auto"/>
            <w:tcMar>
              <w:top w:w="11" w:type="dxa"/>
              <w:left w:w="11" w:type="dxa"/>
              <w:bottom w:w="0" w:type="dxa"/>
              <w:right w:w="11" w:type="dxa"/>
            </w:tcMar>
            <w:vAlign w:val="bottom"/>
            <w:hideMark/>
          </w:tcPr>
          <w:p w14:paraId="29F12811" w14:textId="5D7BFEB4"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10</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2.48</w:t>
            </w:r>
            <w:r w:rsidRPr="00AF1DC5">
              <w:rPr>
                <w:rFonts w:ascii="Book Antiqua" w:hAnsi="Book Antiqua" w:cs="Courier New"/>
                <w:sz w:val="24"/>
                <w:szCs w:val="24"/>
                <w:lang w:eastAsia="zh-CN"/>
              </w:rPr>
              <w:t>)</w:t>
            </w:r>
          </w:p>
        </w:tc>
      </w:tr>
      <w:tr w:rsidR="00AF1DC5" w:rsidRPr="00AF1DC5" w14:paraId="40F3434A" w14:textId="77777777" w:rsidTr="00765A2A">
        <w:trPr>
          <w:trHeight w:hRule="exact" w:val="432"/>
        </w:trPr>
        <w:tc>
          <w:tcPr>
            <w:tcW w:w="1996" w:type="dxa"/>
            <w:shd w:val="clear" w:color="auto" w:fill="auto"/>
            <w:tcMar>
              <w:top w:w="11" w:type="dxa"/>
              <w:left w:w="11" w:type="dxa"/>
              <w:bottom w:w="0" w:type="dxa"/>
              <w:right w:w="11" w:type="dxa"/>
            </w:tcMar>
            <w:vAlign w:val="bottom"/>
            <w:hideMark/>
          </w:tcPr>
          <w:p w14:paraId="1E7812F2" w14:textId="77777777" w:rsidR="00644D6D" w:rsidRPr="00AF1DC5" w:rsidRDefault="00644D6D" w:rsidP="00765A2A">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sz w:val="24"/>
                <w:szCs w:val="24"/>
              </w:rPr>
              <w:t>518.81</w:t>
            </w:r>
          </w:p>
        </w:tc>
        <w:tc>
          <w:tcPr>
            <w:tcW w:w="4224" w:type="dxa"/>
            <w:shd w:val="clear" w:color="auto" w:fill="auto"/>
            <w:tcMar>
              <w:top w:w="11" w:type="dxa"/>
              <w:left w:w="11" w:type="dxa"/>
              <w:bottom w:w="0" w:type="dxa"/>
              <w:right w:w="11" w:type="dxa"/>
            </w:tcMar>
            <w:vAlign w:val="bottom"/>
            <w:hideMark/>
          </w:tcPr>
          <w:p w14:paraId="7F7B9372" w14:textId="597927C4"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Acute respiratory failure</w:t>
            </w:r>
          </w:p>
        </w:tc>
        <w:tc>
          <w:tcPr>
            <w:tcW w:w="1729" w:type="dxa"/>
            <w:shd w:val="clear" w:color="auto" w:fill="auto"/>
            <w:tcMar>
              <w:top w:w="11" w:type="dxa"/>
              <w:left w:w="11" w:type="dxa"/>
              <w:bottom w:w="0" w:type="dxa"/>
              <w:right w:w="11" w:type="dxa"/>
            </w:tcMar>
            <w:vAlign w:val="bottom"/>
            <w:hideMark/>
          </w:tcPr>
          <w:p w14:paraId="42D46BD5" w14:textId="61CE7EEB"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10</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2.48</w:t>
            </w:r>
            <w:r w:rsidRPr="00AF1DC5">
              <w:rPr>
                <w:rFonts w:ascii="Book Antiqua" w:hAnsi="Book Antiqua" w:cs="Courier New"/>
                <w:sz w:val="24"/>
                <w:szCs w:val="24"/>
                <w:lang w:eastAsia="zh-CN"/>
              </w:rPr>
              <w:t>)</w:t>
            </w:r>
          </w:p>
        </w:tc>
      </w:tr>
      <w:tr w:rsidR="00AF1DC5" w:rsidRPr="00AF1DC5" w14:paraId="17417B3E" w14:textId="694A39EB" w:rsidTr="00765A2A">
        <w:trPr>
          <w:trHeight w:hRule="exact" w:val="432"/>
        </w:trPr>
        <w:tc>
          <w:tcPr>
            <w:tcW w:w="1996" w:type="dxa"/>
            <w:shd w:val="clear" w:color="auto" w:fill="auto"/>
            <w:tcMar>
              <w:top w:w="11" w:type="dxa"/>
              <w:left w:w="11" w:type="dxa"/>
              <w:bottom w:w="0" w:type="dxa"/>
              <w:right w:w="11" w:type="dxa"/>
            </w:tcMar>
            <w:vAlign w:val="bottom"/>
            <w:hideMark/>
          </w:tcPr>
          <w:p w14:paraId="4F695728" w14:textId="77777777" w:rsidR="00644D6D" w:rsidRPr="00AF1DC5" w:rsidRDefault="00644D6D" w:rsidP="00E50668">
            <w:pPr>
              <w:snapToGrid w:val="0"/>
              <w:spacing w:after="0" w:line="360" w:lineRule="auto"/>
              <w:jc w:val="both"/>
              <w:rPr>
                <w:rFonts w:ascii="Book Antiqua" w:hAnsi="Book Antiqua" w:cs="Courier New"/>
                <w:sz w:val="24"/>
                <w:szCs w:val="24"/>
              </w:rPr>
            </w:pPr>
            <w:r w:rsidRPr="00AF1DC5">
              <w:rPr>
                <w:rFonts w:ascii="Book Antiqua" w:hAnsi="Book Antiqua" w:cs="Courier New"/>
                <w:iCs/>
                <w:sz w:val="24"/>
                <w:szCs w:val="24"/>
              </w:rPr>
              <w:t>Non-mortalities</w:t>
            </w:r>
          </w:p>
        </w:tc>
        <w:tc>
          <w:tcPr>
            <w:tcW w:w="4224" w:type="dxa"/>
            <w:shd w:val="clear" w:color="auto" w:fill="auto"/>
            <w:vAlign w:val="bottom"/>
          </w:tcPr>
          <w:p w14:paraId="5DB9AF01" w14:textId="77777777" w:rsidR="00644D6D" w:rsidRPr="00AF1DC5" w:rsidRDefault="00644D6D" w:rsidP="00765A2A">
            <w:pPr>
              <w:snapToGrid w:val="0"/>
              <w:spacing w:after="0" w:line="360" w:lineRule="auto"/>
              <w:jc w:val="center"/>
              <w:rPr>
                <w:rFonts w:ascii="Book Antiqua" w:hAnsi="Book Antiqua" w:cs="Courier New"/>
                <w:sz w:val="24"/>
                <w:szCs w:val="24"/>
              </w:rPr>
            </w:pPr>
          </w:p>
        </w:tc>
        <w:tc>
          <w:tcPr>
            <w:tcW w:w="1729" w:type="dxa"/>
            <w:shd w:val="clear" w:color="auto" w:fill="auto"/>
            <w:vAlign w:val="bottom"/>
          </w:tcPr>
          <w:p w14:paraId="12D17210" w14:textId="5D6A9A98" w:rsidR="00644D6D" w:rsidRPr="00AF1DC5" w:rsidRDefault="00644D6D" w:rsidP="00765A2A">
            <w:pPr>
              <w:snapToGrid w:val="0"/>
              <w:spacing w:after="0" w:line="360" w:lineRule="auto"/>
              <w:jc w:val="center"/>
              <w:rPr>
                <w:rFonts w:ascii="Book Antiqua" w:hAnsi="Book Antiqua" w:cs="Courier New"/>
                <w:sz w:val="24"/>
                <w:szCs w:val="24"/>
              </w:rPr>
            </w:pPr>
          </w:p>
        </w:tc>
      </w:tr>
      <w:tr w:rsidR="00AF1DC5" w:rsidRPr="00AF1DC5" w14:paraId="3130F922" w14:textId="77777777" w:rsidTr="00765A2A">
        <w:trPr>
          <w:trHeight w:hRule="exact" w:val="463"/>
        </w:trPr>
        <w:tc>
          <w:tcPr>
            <w:tcW w:w="1996" w:type="dxa"/>
            <w:shd w:val="clear" w:color="auto" w:fill="auto"/>
            <w:tcMar>
              <w:top w:w="11" w:type="dxa"/>
              <w:left w:w="11" w:type="dxa"/>
              <w:bottom w:w="0" w:type="dxa"/>
              <w:right w:w="11" w:type="dxa"/>
            </w:tcMar>
            <w:vAlign w:val="bottom"/>
            <w:hideMark/>
          </w:tcPr>
          <w:p w14:paraId="4621A79B" w14:textId="77777777" w:rsidR="00644D6D" w:rsidRPr="00AF1DC5" w:rsidRDefault="00644D6D" w:rsidP="00765A2A">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sz w:val="24"/>
                <w:szCs w:val="24"/>
              </w:rPr>
              <w:t>578.0</w:t>
            </w:r>
          </w:p>
        </w:tc>
        <w:tc>
          <w:tcPr>
            <w:tcW w:w="4224" w:type="dxa"/>
            <w:shd w:val="clear" w:color="auto" w:fill="auto"/>
            <w:tcMar>
              <w:top w:w="11" w:type="dxa"/>
              <w:left w:w="11" w:type="dxa"/>
              <w:bottom w:w="0" w:type="dxa"/>
              <w:right w:w="11" w:type="dxa"/>
            </w:tcMar>
            <w:vAlign w:val="bottom"/>
            <w:hideMark/>
          </w:tcPr>
          <w:p w14:paraId="1427B3FC" w14:textId="77777777"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Hematemesis</w:t>
            </w:r>
          </w:p>
        </w:tc>
        <w:tc>
          <w:tcPr>
            <w:tcW w:w="1729" w:type="dxa"/>
            <w:shd w:val="clear" w:color="auto" w:fill="auto"/>
            <w:tcMar>
              <w:top w:w="11" w:type="dxa"/>
              <w:left w:w="11" w:type="dxa"/>
              <w:bottom w:w="0" w:type="dxa"/>
              <w:right w:w="11" w:type="dxa"/>
            </w:tcMar>
            <w:vAlign w:val="bottom"/>
            <w:hideMark/>
          </w:tcPr>
          <w:p w14:paraId="523099BF" w14:textId="1A964B04"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3058</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15.99</w:t>
            </w:r>
            <w:r w:rsidRPr="00AF1DC5">
              <w:rPr>
                <w:rFonts w:ascii="Book Antiqua" w:hAnsi="Book Antiqua" w:cs="Courier New"/>
                <w:sz w:val="24"/>
                <w:szCs w:val="24"/>
                <w:lang w:eastAsia="zh-CN"/>
              </w:rPr>
              <w:t>)</w:t>
            </w:r>
          </w:p>
        </w:tc>
      </w:tr>
      <w:tr w:rsidR="00AF1DC5" w:rsidRPr="00AF1DC5" w14:paraId="04764B73" w14:textId="77777777" w:rsidTr="00765A2A">
        <w:trPr>
          <w:trHeight w:hRule="exact" w:val="432"/>
        </w:trPr>
        <w:tc>
          <w:tcPr>
            <w:tcW w:w="1996" w:type="dxa"/>
            <w:shd w:val="clear" w:color="auto" w:fill="auto"/>
            <w:tcMar>
              <w:top w:w="11" w:type="dxa"/>
              <w:left w:w="11" w:type="dxa"/>
              <w:bottom w:w="0" w:type="dxa"/>
              <w:right w:w="11" w:type="dxa"/>
            </w:tcMar>
            <w:vAlign w:val="bottom"/>
            <w:hideMark/>
          </w:tcPr>
          <w:p w14:paraId="3ED24CBE" w14:textId="77777777" w:rsidR="00644D6D" w:rsidRPr="00AF1DC5" w:rsidRDefault="00644D6D" w:rsidP="00765A2A">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sz w:val="24"/>
                <w:szCs w:val="24"/>
              </w:rPr>
              <w:t>578.1</w:t>
            </w:r>
          </w:p>
        </w:tc>
        <w:tc>
          <w:tcPr>
            <w:tcW w:w="4224" w:type="dxa"/>
            <w:shd w:val="clear" w:color="auto" w:fill="auto"/>
            <w:tcMar>
              <w:top w:w="11" w:type="dxa"/>
              <w:left w:w="11" w:type="dxa"/>
              <w:bottom w:w="0" w:type="dxa"/>
              <w:right w:w="11" w:type="dxa"/>
            </w:tcMar>
            <w:vAlign w:val="bottom"/>
            <w:hideMark/>
          </w:tcPr>
          <w:p w14:paraId="24D6E220" w14:textId="77777777"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Blood in Stool</w:t>
            </w:r>
          </w:p>
        </w:tc>
        <w:tc>
          <w:tcPr>
            <w:tcW w:w="1729" w:type="dxa"/>
            <w:shd w:val="clear" w:color="auto" w:fill="auto"/>
            <w:tcMar>
              <w:top w:w="11" w:type="dxa"/>
              <w:left w:w="11" w:type="dxa"/>
              <w:bottom w:w="0" w:type="dxa"/>
              <w:right w:w="11" w:type="dxa"/>
            </w:tcMar>
            <w:vAlign w:val="bottom"/>
            <w:hideMark/>
          </w:tcPr>
          <w:p w14:paraId="62ADBBF1" w14:textId="255CB975"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2750</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14.38</w:t>
            </w:r>
            <w:r w:rsidRPr="00AF1DC5">
              <w:rPr>
                <w:rFonts w:ascii="Book Antiqua" w:hAnsi="Book Antiqua" w:cs="Courier New"/>
                <w:sz w:val="24"/>
                <w:szCs w:val="24"/>
                <w:lang w:eastAsia="zh-CN"/>
              </w:rPr>
              <w:t>)</w:t>
            </w:r>
          </w:p>
        </w:tc>
      </w:tr>
      <w:tr w:rsidR="00AF1DC5" w:rsidRPr="00AF1DC5" w14:paraId="12E5DBC9" w14:textId="77777777" w:rsidTr="00765A2A">
        <w:trPr>
          <w:trHeight w:hRule="exact" w:val="432"/>
        </w:trPr>
        <w:tc>
          <w:tcPr>
            <w:tcW w:w="1996" w:type="dxa"/>
            <w:shd w:val="clear" w:color="auto" w:fill="auto"/>
            <w:tcMar>
              <w:top w:w="11" w:type="dxa"/>
              <w:left w:w="11" w:type="dxa"/>
              <w:bottom w:w="0" w:type="dxa"/>
              <w:right w:w="11" w:type="dxa"/>
            </w:tcMar>
            <w:vAlign w:val="bottom"/>
            <w:hideMark/>
          </w:tcPr>
          <w:p w14:paraId="49393765" w14:textId="77777777" w:rsidR="00644D6D" w:rsidRPr="00AF1DC5" w:rsidRDefault="00644D6D" w:rsidP="00765A2A">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sz w:val="24"/>
                <w:szCs w:val="24"/>
              </w:rPr>
              <w:t>578.9</w:t>
            </w:r>
          </w:p>
        </w:tc>
        <w:tc>
          <w:tcPr>
            <w:tcW w:w="4224" w:type="dxa"/>
            <w:shd w:val="clear" w:color="auto" w:fill="auto"/>
            <w:tcMar>
              <w:top w:w="11" w:type="dxa"/>
              <w:left w:w="11" w:type="dxa"/>
              <w:bottom w:w="0" w:type="dxa"/>
              <w:right w:w="11" w:type="dxa"/>
            </w:tcMar>
            <w:vAlign w:val="bottom"/>
            <w:hideMark/>
          </w:tcPr>
          <w:p w14:paraId="330EF582" w14:textId="77777777"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Hemorrhage of GI tract, unspecified</w:t>
            </w:r>
          </w:p>
        </w:tc>
        <w:tc>
          <w:tcPr>
            <w:tcW w:w="1729" w:type="dxa"/>
            <w:shd w:val="clear" w:color="auto" w:fill="auto"/>
            <w:tcMar>
              <w:top w:w="11" w:type="dxa"/>
              <w:left w:w="11" w:type="dxa"/>
              <w:bottom w:w="0" w:type="dxa"/>
              <w:right w:w="11" w:type="dxa"/>
            </w:tcMar>
            <w:vAlign w:val="bottom"/>
            <w:hideMark/>
          </w:tcPr>
          <w:p w14:paraId="5FED5191" w14:textId="7432B2A2"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1289</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6.74</w:t>
            </w:r>
            <w:r w:rsidRPr="00AF1DC5">
              <w:rPr>
                <w:rFonts w:ascii="Book Antiqua" w:hAnsi="Book Antiqua" w:cs="Courier New"/>
                <w:sz w:val="24"/>
                <w:szCs w:val="24"/>
                <w:lang w:eastAsia="zh-CN"/>
              </w:rPr>
              <w:t>)</w:t>
            </w:r>
          </w:p>
        </w:tc>
      </w:tr>
      <w:tr w:rsidR="00AF1DC5" w:rsidRPr="00AF1DC5" w14:paraId="1FCAF46B" w14:textId="77777777" w:rsidTr="00765A2A">
        <w:trPr>
          <w:trHeight w:hRule="exact" w:val="432"/>
        </w:trPr>
        <w:tc>
          <w:tcPr>
            <w:tcW w:w="1996" w:type="dxa"/>
            <w:shd w:val="clear" w:color="auto" w:fill="auto"/>
            <w:tcMar>
              <w:top w:w="11" w:type="dxa"/>
              <w:left w:w="11" w:type="dxa"/>
              <w:bottom w:w="0" w:type="dxa"/>
              <w:right w:w="11" w:type="dxa"/>
            </w:tcMar>
            <w:vAlign w:val="bottom"/>
            <w:hideMark/>
          </w:tcPr>
          <w:p w14:paraId="172D65C5" w14:textId="77777777" w:rsidR="00644D6D" w:rsidRPr="00AF1DC5" w:rsidRDefault="00644D6D" w:rsidP="00765A2A">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sz w:val="24"/>
                <w:szCs w:val="24"/>
              </w:rPr>
              <w:t>789.00</w:t>
            </w:r>
          </w:p>
        </w:tc>
        <w:tc>
          <w:tcPr>
            <w:tcW w:w="4224" w:type="dxa"/>
            <w:shd w:val="clear" w:color="auto" w:fill="auto"/>
            <w:tcMar>
              <w:top w:w="11" w:type="dxa"/>
              <w:left w:w="11" w:type="dxa"/>
              <w:bottom w:w="0" w:type="dxa"/>
              <w:right w:w="11" w:type="dxa"/>
            </w:tcMar>
            <w:vAlign w:val="bottom"/>
            <w:hideMark/>
          </w:tcPr>
          <w:p w14:paraId="43A5EF70" w14:textId="77777777"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Other symptoms involving abdomen and pelvis</w:t>
            </w:r>
          </w:p>
        </w:tc>
        <w:tc>
          <w:tcPr>
            <w:tcW w:w="1729" w:type="dxa"/>
            <w:shd w:val="clear" w:color="auto" w:fill="auto"/>
            <w:tcMar>
              <w:top w:w="11" w:type="dxa"/>
              <w:left w:w="11" w:type="dxa"/>
              <w:bottom w:w="0" w:type="dxa"/>
              <w:right w:w="11" w:type="dxa"/>
            </w:tcMar>
            <w:vAlign w:val="bottom"/>
            <w:hideMark/>
          </w:tcPr>
          <w:p w14:paraId="4FDF705B" w14:textId="795B1564"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755</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3.95</w:t>
            </w:r>
            <w:r w:rsidRPr="00AF1DC5">
              <w:rPr>
                <w:rFonts w:ascii="Book Antiqua" w:hAnsi="Book Antiqua" w:cs="Courier New"/>
                <w:sz w:val="24"/>
                <w:szCs w:val="24"/>
                <w:lang w:eastAsia="zh-CN"/>
              </w:rPr>
              <w:t>)</w:t>
            </w:r>
          </w:p>
        </w:tc>
      </w:tr>
      <w:tr w:rsidR="00AF1DC5" w:rsidRPr="00AF1DC5" w14:paraId="03CFDECA" w14:textId="77777777" w:rsidTr="00765A2A">
        <w:trPr>
          <w:trHeight w:hRule="exact" w:val="432"/>
        </w:trPr>
        <w:tc>
          <w:tcPr>
            <w:tcW w:w="1996" w:type="dxa"/>
            <w:shd w:val="clear" w:color="auto" w:fill="auto"/>
            <w:tcMar>
              <w:top w:w="11" w:type="dxa"/>
              <w:left w:w="11" w:type="dxa"/>
              <w:bottom w:w="0" w:type="dxa"/>
              <w:right w:w="11" w:type="dxa"/>
            </w:tcMar>
            <w:vAlign w:val="bottom"/>
            <w:hideMark/>
          </w:tcPr>
          <w:p w14:paraId="480F613F" w14:textId="77777777" w:rsidR="00644D6D" w:rsidRPr="00AF1DC5" w:rsidRDefault="00644D6D" w:rsidP="00765A2A">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sz w:val="24"/>
                <w:szCs w:val="24"/>
              </w:rPr>
              <w:t>787.03</w:t>
            </w:r>
          </w:p>
        </w:tc>
        <w:tc>
          <w:tcPr>
            <w:tcW w:w="4224" w:type="dxa"/>
            <w:shd w:val="clear" w:color="auto" w:fill="auto"/>
            <w:tcMar>
              <w:top w:w="11" w:type="dxa"/>
              <w:left w:w="11" w:type="dxa"/>
              <w:bottom w:w="0" w:type="dxa"/>
              <w:right w:w="11" w:type="dxa"/>
            </w:tcMar>
            <w:vAlign w:val="bottom"/>
            <w:hideMark/>
          </w:tcPr>
          <w:p w14:paraId="11128675" w14:textId="77777777"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Vomiting alone</w:t>
            </w:r>
          </w:p>
        </w:tc>
        <w:tc>
          <w:tcPr>
            <w:tcW w:w="1729" w:type="dxa"/>
            <w:shd w:val="clear" w:color="auto" w:fill="auto"/>
            <w:tcMar>
              <w:top w:w="11" w:type="dxa"/>
              <w:left w:w="11" w:type="dxa"/>
              <w:bottom w:w="0" w:type="dxa"/>
              <w:right w:w="11" w:type="dxa"/>
            </w:tcMar>
            <w:vAlign w:val="bottom"/>
            <w:hideMark/>
          </w:tcPr>
          <w:p w14:paraId="0EBCDE72" w14:textId="4E553B99"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748</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3.91</w:t>
            </w:r>
            <w:r w:rsidRPr="00AF1DC5">
              <w:rPr>
                <w:rFonts w:ascii="Book Antiqua" w:hAnsi="Book Antiqua" w:cs="Courier New"/>
                <w:sz w:val="24"/>
                <w:szCs w:val="24"/>
                <w:lang w:eastAsia="zh-CN"/>
              </w:rPr>
              <w:t>)</w:t>
            </w:r>
          </w:p>
        </w:tc>
      </w:tr>
      <w:tr w:rsidR="00AF1DC5" w:rsidRPr="00AF1DC5" w14:paraId="6B598513" w14:textId="77777777" w:rsidTr="00765A2A">
        <w:trPr>
          <w:trHeight w:hRule="exact" w:val="432"/>
        </w:trPr>
        <w:tc>
          <w:tcPr>
            <w:tcW w:w="1996" w:type="dxa"/>
            <w:shd w:val="clear" w:color="auto" w:fill="auto"/>
            <w:tcMar>
              <w:top w:w="11" w:type="dxa"/>
              <w:left w:w="11" w:type="dxa"/>
              <w:bottom w:w="0" w:type="dxa"/>
              <w:right w:w="11" w:type="dxa"/>
            </w:tcMar>
            <w:vAlign w:val="bottom"/>
            <w:hideMark/>
          </w:tcPr>
          <w:p w14:paraId="58A2A65A" w14:textId="77777777" w:rsidR="00644D6D" w:rsidRPr="00AF1DC5" w:rsidRDefault="00644D6D" w:rsidP="00765A2A">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sz w:val="24"/>
                <w:szCs w:val="24"/>
              </w:rPr>
              <w:t>N/A</w:t>
            </w:r>
          </w:p>
        </w:tc>
        <w:tc>
          <w:tcPr>
            <w:tcW w:w="4224" w:type="dxa"/>
            <w:shd w:val="clear" w:color="auto" w:fill="auto"/>
            <w:tcMar>
              <w:top w:w="11" w:type="dxa"/>
              <w:left w:w="11" w:type="dxa"/>
              <w:bottom w:w="0" w:type="dxa"/>
              <w:right w:w="11" w:type="dxa"/>
            </w:tcMar>
            <w:vAlign w:val="bottom"/>
            <w:hideMark/>
          </w:tcPr>
          <w:p w14:paraId="72D4A2A9" w14:textId="77777777"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Not available or Missing</w:t>
            </w:r>
          </w:p>
        </w:tc>
        <w:tc>
          <w:tcPr>
            <w:tcW w:w="1729" w:type="dxa"/>
            <w:shd w:val="clear" w:color="auto" w:fill="auto"/>
            <w:tcMar>
              <w:top w:w="11" w:type="dxa"/>
              <w:left w:w="11" w:type="dxa"/>
              <w:bottom w:w="0" w:type="dxa"/>
              <w:right w:w="11" w:type="dxa"/>
            </w:tcMar>
            <w:vAlign w:val="bottom"/>
            <w:hideMark/>
          </w:tcPr>
          <w:p w14:paraId="627110AC" w14:textId="3DDF2086"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707</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3.70</w:t>
            </w:r>
            <w:r w:rsidRPr="00AF1DC5">
              <w:rPr>
                <w:rFonts w:ascii="Book Antiqua" w:hAnsi="Book Antiqua" w:cs="Courier New"/>
                <w:sz w:val="24"/>
                <w:szCs w:val="24"/>
                <w:lang w:eastAsia="zh-CN"/>
              </w:rPr>
              <w:t>)</w:t>
            </w:r>
          </w:p>
        </w:tc>
      </w:tr>
      <w:tr w:rsidR="00AF1DC5" w:rsidRPr="00AF1DC5" w14:paraId="788975FE" w14:textId="77777777" w:rsidTr="00765A2A">
        <w:trPr>
          <w:trHeight w:hRule="exact" w:val="432"/>
        </w:trPr>
        <w:tc>
          <w:tcPr>
            <w:tcW w:w="1996" w:type="dxa"/>
            <w:shd w:val="clear" w:color="auto" w:fill="auto"/>
            <w:tcMar>
              <w:top w:w="11" w:type="dxa"/>
              <w:left w:w="11" w:type="dxa"/>
              <w:bottom w:w="0" w:type="dxa"/>
              <w:right w:w="11" w:type="dxa"/>
            </w:tcMar>
            <w:vAlign w:val="bottom"/>
            <w:hideMark/>
          </w:tcPr>
          <w:p w14:paraId="64532336" w14:textId="77777777" w:rsidR="00644D6D" w:rsidRPr="00AF1DC5" w:rsidRDefault="00644D6D" w:rsidP="00765A2A">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sz w:val="24"/>
                <w:szCs w:val="24"/>
              </w:rPr>
              <w:t>780.60</w:t>
            </w:r>
          </w:p>
        </w:tc>
        <w:tc>
          <w:tcPr>
            <w:tcW w:w="4224" w:type="dxa"/>
            <w:shd w:val="clear" w:color="auto" w:fill="auto"/>
            <w:tcMar>
              <w:top w:w="11" w:type="dxa"/>
              <w:left w:w="11" w:type="dxa"/>
              <w:bottom w:w="0" w:type="dxa"/>
              <w:right w:w="11" w:type="dxa"/>
            </w:tcMar>
            <w:vAlign w:val="bottom"/>
            <w:hideMark/>
          </w:tcPr>
          <w:p w14:paraId="647AAB74" w14:textId="77777777"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Fever</w:t>
            </w:r>
          </w:p>
        </w:tc>
        <w:tc>
          <w:tcPr>
            <w:tcW w:w="1729" w:type="dxa"/>
            <w:shd w:val="clear" w:color="auto" w:fill="auto"/>
            <w:tcMar>
              <w:top w:w="11" w:type="dxa"/>
              <w:left w:w="11" w:type="dxa"/>
              <w:bottom w:w="0" w:type="dxa"/>
              <w:right w:w="11" w:type="dxa"/>
            </w:tcMar>
            <w:vAlign w:val="bottom"/>
            <w:hideMark/>
          </w:tcPr>
          <w:p w14:paraId="51105D01" w14:textId="39C417E7"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559</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2.92</w:t>
            </w:r>
            <w:r w:rsidRPr="00AF1DC5">
              <w:rPr>
                <w:rFonts w:ascii="Book Antiqua" w:hAnsi="Book Antiqua" w:cs="Courier New"/>
                <w:sz w:val="24"/>
                <w:szCs w:val="24"/>
                <w:lang w:eastAsia="zh-CN"/>
              </w:rPr>
              <w:t>)</w:t>
            </w:r>
          </w:p>
        </w:tc>
      </w:tr>
      <w:tr w:rsidR="00AF1DC5" w:rsidRPr="00AF1DC5" w14:paraId="2AD465DD" w14:textId="77777777" w:rsidTr="00765A2A">
        <w:trPr>
          <w:trHeight w:hRule="exact" w:val="432"/>
        </w:trPr>
        <w:tc>
          <w:tcPr>
            <w:tcW w:w="1996" w:type="dxa"/>
            <w:shd w:val="clear" w:color="auto" w:fill="auto"/>
            <w:tcMar>
              <w:top w:w="11" w:type="dxa"/>
              <w:left w:w="11" w:type="dxa"/>
              <w:bottom w:w="0" w:type="dxa"/>
              <w:right w:w="11" w:type="dxa"/>
            </w:tcMar>
            <w:vAlign w:val="bottom"/>
            <w:hideMark/>
          </w:tcPr>
          <w:p w14:paraId="4C808FFA" w14:textId="77777777" w:rsidR="00644D6D" w:rsidRPr="00AF1DC5" w:rsidRDefault="00644D6D" w:rsidP="00765A2A">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sz w:val="24"/>
                <w:szCs w:val="24"/>
              </w:rPr>
              <w:t>276.51</w:t>
            </w:r>
          </w:p>
        </w:tc>
        <w:tc>
          <w:tcPr>
            <w:tcW w:w="4224" w:type="dxa"/>
            <w:shd w:val="clear" w:color="auto" w:fill="auto"/>
            <w:tcMar>
              <w:top w:w="11" w:type="dxa"/>
              <w:left w:w="11" w:type="dxa"/>
              <w:bottom w:w="0" w:type="dxa"/>
              <w:right w:w="11" w:type="dxa"/>
            </w:tcMar>
            <w:vAlign w:val="bottom"/>
            <w:hideMark/>
          </w:tcPr>
          <w:p w14:paraId="7B2049A6" w14:textId="77777777"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Dehydration</w:t>
            </w:r>
          </w:p>
        </w:tc>
        <w:tc>
          <w:tcPr>
            <w:tcW w:w="1729" w:type="dxa"/>
            <w:shd w:val="clear" w:color="auto" w:fill="auto"/>
            <w:tcMar>
              <w:top w:w="11" w:type="dxa"/>
              <w:left w:w="11" w:type="dxa"/>
              <w:bottom w:w="0" w:type="dxa"/>
              <w:right w:w="11" w:type="dxa"/>
            </w:tcMar>
            <w:vAlign w:val="bottom"/>
            <w:hideMark/>
          </w:tcPr>
          <w:p w14:paraId="20B671B9" w14:textId="4172F155"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515</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2.69</w:t>
            </w:r>
            <w:r w:rsidRPr="00AF1DC5">
              <w:rPr>
                <w:rFonts w:ascii="Book Antiqua" w:hAnsi="Book Antiqua" w:cs="Courier New"/>
                <w:sz w:val="24"/>
                <w:szCs w:val="24"/>
                <w:lang w:eastAsia="zh-CN"/>
              </w:rPr>
              <w:t>)</w:t>
            </w:r>
          </w:p>
        </w:tc>
      </w:tr>
      <w:tr w:rsidR="00AF1DC5" w:rsidRPr="00AF1DC5" w14:paraId="265E39D9" w14:textId="77777777" w:rsidTr="00765A2A">
        <w:trPr>
          <w:trHeight w:hRule="exact" w:val="432"/>
        </w:trPr>
        <w:tc>
          <w:tcPr>
            <w:tcW w:w="1996" w:type="dxa"/>
            <w:shd w:val="clear" w:color="auto" w:fill="auto"/>
            <w:tcMar>
              <w:top w:w="11" w:type="dxa"/>
              <w:left w:w="11" w:type="dxa"/>
              <w:bottom w:w="0" w:type="dxa"/>
              <w:right w:w="11" w:type="dxa"/>
            </w:tcMar>
            <w:vAlign w:val="bottom"/>
            <w:hideMark/>
          </w:tcPr>
          <w:p w14:paraId="3154ABF9" w14:textId="77777777" w:rsidR="00644D6D" w:rsidRPr="00AF1DC5" w:rsidRDefault="00644D6D" w:rsidP="00765A2A">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sz w:val="24"/>
                <w:szCs w:val="24"/>
              </w:rPr>
              <w:t>787.91</w:t>
            </w:r>
          </w:p>
        </w:tc>
        <w:tc>
          <w:tcPr>
            <w:tcW w:w="4224" w:type="dxa"/>
            <w:shd w:val="clear" w:color="auto" w:fill="auto"/>
            <w:tcMar>
              <w:top w:w="11" w:type="dxa"/>
              <w:left w:w="11" w:type="dxa"/>
              <w:bottom w:w="0" w:type="dxa"/>
              <w:right w:w="11" w:type="dxa"/>
            </w:tcMar>
            <w:vAlign w:val="bottom"/>
            <w:hideMark/>
          </w:tcPr>
          <w:p w14:paraId="18563D63" w14:textId="77777777"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Diarrhea</w:t>
            </w:r>
          </w:p>
        </w:tc>
        <w:tc>
          <w:tcPr>
            <w:tcW w:w="1729" w:type="dxa"/>
            <w:shd w:val="clear" w:color="auto" w:fill="auto"/>
            <w:tcMar>
              <w:top w:w="11" w:type="dxa"/>
              <w:left w:w="11" w:type="dxa"/>
              <w:bottom w:w="0" w:type="dxa"/>
              <w:right w:w="11" w:type="dxa"/>
            </w:tcMar>
            <w:vAlign w:val="bottom"/>
            <w:hideMark/>
          </w:tcPr>
          <w:p w14:paraId="3F7DAED8" w14:textId="6045C8E8"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500</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2.61</w:t>
            </w:r>
            <w:r w:rsidRPr="00AF1DC5">
              <w:rPr>
                <w:rFonts w:ascii="Book Antiqua" w:hAnsi="Book Antiqua" w:cs="Courier New"/>
                <w:sz w:val="24"/>
                <w:szCs w:val="24"/>
                <w:lang w:eastAsia="zh-CN"/>
              </w:rPr>
              <w:t>)</w:t>
            </w:r>
          </w:p>
        </w:tc>
      </w:tr>
      <w:tr w:rsidR="00AF1DC5" w:rsidRPr="00AF1DC5" w14:paraId="17E0435F" w14:textId="77777777" w:rsidTr="00765A2A">
        <w:trPr>
          <w:trHeight w:hRule="exact" w:val="432"/>
        </w:trPr>
        <w:tc>
          <w:tcPr>
            <w:tcW w:w="1996" w:type="dxa"/>
            <w:shd w:val="clear" w:color="auto" w:fill="auto"/>
            <w:tcMar>
              <w:top w:w="11" w:type="dxa"/>
              <w:left w:w="11" w:type="dxa"/>
              <w:bottom w:w="0" w:type="dxa"/>
              <w:right w:w="11" w:type="dxa"/>
            </w:tcMar>
            <w:vAlign w:val="bottom"/>
            <w:hideMark/>
          </w:tcPr>
          <w:p w14:paraId="07DDF614" w14:textId="77777777" w:rsidR="00644D6D" w:rsidRPr="00AF1DC5" w:rsidRDefault="00644D6D" w:rsidP="00765A2A">
            <w:pPr>
              <w:snapToGrid w:val="0"/>
              <w:spacing w:after="0" w:line="360" w:lineRule="auto"/>
              <w:ind w:firstLineChars="100" w:firstLine="240"/>
              <w:jc w:val="both"/>
              <w:rPr>
                <w:rFonts w:ascii="Book Antiqua" w:hAnsi="Book Antiqua" w:cs="Courier New"/>
                <w:sz w:val="24"/>
                <w:szCs w:val="24"/>
              </w:rPr>
            </w:pPr>
            <w:r w:rsidRPr="00AF1DC5">
              <w:rPr>
                <w:rFonts w:ascii="Book Antiqua" w:hAnsi="Book Antiqua" w:cs="Courier New"/>
                <w:sz w:val="24"/>
                <w:szCs w:val="24"/>
              </w:rPr>
              <w:t>2859</w:t>
            </w:r>
          </w:p>
        </w:tc>
        <w:tc>
          <w:tcPr>
            <w:tcW w:w="4224" w:type="dxa"/>
            <w:shd w:val="clear" w:color="auto" w:fill="auto"/>
            <w:tcMar>
              <w:top w:w="11" w:type="dxa"/>
              <w:left w:w="11" w:type="dxa"/>
              <w:bottom w:w="0" w:type="dxa"/>
              <w:right w:w="11" w:type="dxa"/>
            </w:tcMar>
            <w:vAlign w:val="bottom"/>
            <w:hideMark/>
          </w:tcPr>
          <w:p w14:paraId="6936123D" w14:textId="77777777"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Anemia</w:t>
            </w:r>
          </w:p>
        </w:tc>
        <w:tc>
          <w:tcPr>
            <w:tcW w:w="1729" w:type="dxa"/>
            <w:shd w:val="clear" w:color="auto" w:fill="auto"/>
            <w:tcMar>
              <w:top w:w="11" w:type="dxa"/>
              <w:left w:w="11" w:type="dxa"/>
              <w:bottom w:w="0" w:type="dxa"/>
              <w:right w:w="11" w:type="dxa"/>
            </w:tcMar>
            <w:vAlign w:val="bottom"/>
            <w:hideMark/>
          </w:tcPr>
          <w:p w14:paraId="5A66981C" w14:textId="25862A2D" w:rsidR="00644D6D" w:rsidRPr="00AF1DC5" w:rsidRDefault="00644D6D" w:rsidP="00765A2A">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292</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1.53</w:t>
            </w:r>
            <w:r w:rsidRPr="00AF1DC5">
              <w:rPr>
                <w:rFonts w:ascii="Book Antiqua" w:hAnsi="Book Antiqua" w:cs="Courier New"/>
                <w:sz w:val="24"/>
                <w:szCs w:val="24"/>
                <w:lang w:eastAsia="zh-CN"/>
              </w:rPr>
              <w:t>)</w:t>
            </w:r>
          </w:p>
        </w:tc>
      </w:tr>
    </w:tbl>
    <w:p w14:paraId="11853F33" w14:textId="77777777" w:rsidR="001A18D8" w:rsidRPr="00AF1DC5" w:rsidRDefault="001A18D8" w:rsidP="00E50668">
      <w:pPr>
        <w:snapToGrid w:val="0"/>
        <w:spacing w:after="0" w:line="360" w:lineRule="auto"/>
        <w:jc w:val="both"/>
        <w:rPr>
          <w:rFonts w:ascii="Book Antiqua" w:hAnsi="Book Antiqua" w:cs="Courier New"/>
          <w:sz w:val="24"/>
          <w:szCs w:val="24"/>
        </w:rPr>
      </w:pPr>
    </w:p>
    <w:p w14:paraId="3FD63708" w14:textId="77777777" w:rsidR="001A18D8" w:rsidRPr="00AF1DC5" w:rsidRDefault="001A18D8" w:rsidP="00E50668">
      <w:pPr>
        <w:snapToGrid w:val="0"/>
        <w:spacing w:after="0" w:line="360" w:lineRule="auto"/>
        <w:jc w:val="both"/>
        <w:rPr>
          <w:rFonts w:ascii="Book Antiqua" w:hAnsi="Book Antiqua" w:cs="Courier New"/>
          <w:sz w:val="24"/>
          <w:szCs w:val="24"/>
        </w:rPr>
      </w:pPr>
      <w:r w:rsidRPr="00AF1DC5">
        <w:rPr>
          <w:rFonts w:ascii="Book Antiqua" w:hAnsi="Book Antiqua" w:cs="Courier New"/>
          <w:sz w:val="24"/>
          <w:szCs w:val="24"/>
        </w:rPr>
        <w:br w:type="page"/>
      </w:r>
    </w:p>
    <w:p w14:paraId="17FB570F" w14:textId="0AD5D2A9" w:rsidR="00B746BA" w:rsidRPr="00AF1DC5" w:rsidRDefault="00B746BA" w:rsidP="00E50668">
      <w:pPr>
        <w:snapToGrid w:val="0"/>
        <w:spacing w:after="0" w:line="360" w:lineRule="auto"/>
        <w:jc w:val="both"/>
        <w:rPr>
          <w:rFonts w:ascii="Book Antiqua" w:hAnsi="Book Antiqua" w:cs="Courier New"/>
          <w:sz w:val="24"/>
          <w:szCs w:val="24"/>
          <w:lang w:eastAsia="zh-CN"/>
        </w:rPr>
      </w:pPr>
      <w:r w:rsidRPr="00AF1DC5">
        <w:rPr>
          <w:rFonts w:ascii="Book Antiqua" w:eastAsia="Times New Roman" w:hAnsi="Book Antiqua" w:cs="Times New Roman"/>
          <w:b/>
          <w:bCs/>
          <w:sz w:val="24"/>
          <w:szCs w:val="24"/>
        </w:rPr>
        <w:lastRenderedPageBreak/>
        <w:t>Table 4</w:t>
      </w:r>
      <w:r w:rsidR="00433297" w:rsidRPr="00AF1DC5">
        <w:rPr>
          <w:rFonts w:ascii="Book Antiqua" w:hAnsi="Book Antiqua" w:cs="Times New Roman"/>
          <w:b/>
          <w:bCs/>
          <w:sz w:val="24"/>
          <w:szCs w:val="24"/>
          <w:lang w:eastAsia="zh-CN"/>
        </w:rPr>
        <w:t xml:space="preserve"> </w:t>
      </w:r>
      <w:r w:rsidRPr="00AF1DC5">
        <w:rPr>
          <w:rFonts w:ascii="Book Antiqua" w:eastAsia="Times New Roman" w:hAnsi="Book Antiqua" w:cs="Times New Roman"/>
          <w:b/>
          <w:bCs/>
          <w:sz w:val="24"/>
          <w:szCs w:val="24"/>
        </w:rPr>
        <w:t>Complex chronic conditions</w:t>
      </w:r>
      <w:r w:rsidRPr="00AF1DC5">
        <w:rPr>
          <w:rFonts w:ascii="Book Antiqua" w:hAnsi="Book Antiqua" w:cs="Times New Roman"/>
          <w:b/>
          <w:bCs/>
          <w:sz w:val="24"/>
          <w:szCs w:val="24"/>
          <w:lang w:eastAsia="zh-CN"/>
        </w:rPr>
        <w:t xml:space="preserve"> </w:t>
      </w:r>
      <w:r w:rsidRPr="00AF1DC5">
        <w:rPr>
          <w:rFonts w:ascii="Book Antiqua" w:eastAsia="Times New Roman" w:hAnsi="Book Antiqua" w:cs="Times New Roman"/>
          <w:b/>
          <w:bCs/>
          <w:sz w:val="24"/>
          <w:szCs w:val="24"/>
        </w:rPr>
        <w:t>by principal and secondary diagnosis of gastrointestinal bleeding</w:t>
      </w:r>
      <w:r w:rsidR="00FD06E5" w:rsidRPr="00AF1DC5">
        <w:rPr>
          <w:rFonts w:ascii="Book Antiqua" w:hAnsi="Book Antiqua" w:cs="Times New Roman"/>
          <w:b/>
          <w:bCs/>
          <w:sz w:val="24"/>
          <w:szCs w:val="24"/>
          <w:lang w:eastAsia="zh-CN"/>
        </w:rPr>
        <w:t xml:space="preserve"> </w:t>
      </w:r>
      <w:r w:rsidR="00FD06E5" w:rsidRPr="00AF1DC5">
        <w:rPr>
          <w:rFonts w:ascii="Book Antiqua" w:hAnsi="Book Antiqua" w:cs="Courier New"/>
          <w:b/>
          <w:bCs/>
          <w:i/>
          <w:sz w:val="24"/>
          <w:szCs w:val="24"/>
        </w:rPr>
        <w:t>n</w:t>
      </w:r>
      <w:r w:rsidR="00FD06E5" w:rsidRPr="00AF1DC5">
        <w:rPr>
          <w:rFonts w:ascii="Book Antiqua" w:hAnsi="Book Antiqua" w:cs="Courier New"/>
          <w:b/>
          <w:bCs/>
          <w:sz w:val="24"/>
          <w:szCs w:val="24"/>
        </w:rPr>
        <w:t xml:space="preserve"> (%)</w:t>
      </w:r>
    </w:p>
    <w:tbl>
      <w:tblPr>
        <w:tblW w:w="9718" w:type="dxa"/>
        <w:tblInd w:w="108" w:type="dxa"/>
        <w:tblBorders>
          <w:top w:val="single" w:sz="4" w:space="0" w:color="000000"/>
          <w:bottom w:val="single" w:sz="4" w:space="0" w:color="000000"/>
        </w:tblBorders>
        <w:tblLook w:val="04A0" w:firstRow="1" w:lastRow="0" w:firstColumn="1" w:lastColumn="0" w:noHBand="0" w:noVBand="1"/>
      </w:tblPr>
      <w:tblGrid>
        <w:gridCol w:w="3402"/>
        <w:gridCol w:w="2410"/>
        <w:gridCol w:w="2434"/>
        <w:gridCol w:w="1472"/>
      </w:tblGrid>
      <w:tr w:rsidR="00AF1DC5" w:rsidRPr="00AF1DC5" w14:paraId="20AF9229" w14:textId="77777777" w:rsidTr="00FD06E5">
        <w:trPr>
          <w:trHeight w:val="861"/>
        </w:trPr>
        <w:tc>
          <w:tcPr>
            <w:tcW w:w="3402" w:type="dxa"/>
            <w:tcBorders>
              <w:top w:val="single" w:sz="4" w:space="0" w:color="000000"/>
              <w:bottom w:val="single" w:sz="4" w:space="0" w:color="000000"/>
            </w:tcBorders>
            <w:shd w:val="clear" w:color="auto" w:fill="auto"/>
            <w:vAlign w:val="bottom"/>
            <w:hideMark/>
          </w:tcPr>
          <w:p w14:paraId="39F985D3" w14:textId="1B20C37A" w:rsidR="00B746BA" w:rsidRPr="00AF1DC5" w:rsidRDefault="00B746BA" w:rsidP="00B746BA">
            <w:pPr>
              <w:snapToGrid w:val="0"/>
              <w:spacing w:after="0" w:line="360" w:lineRule="auto"/>
              <w:jc w:val="both"/>
              <w:rPr>
                <w:rFonts w:ascii="Book Antiqua" w:hAnsi="Book Antiqua" w:cs="Times New Roman"/>
                <w:b/>
                <w:bCs/>
                <w:sz w:val="24"/>
                <w:szCs w:val="24"/>
                <w:lang w:eastAsia="zh-CN"/>
              </w:rPr>
            </w:pPr>
          </w:p>
        </w:tc>
        <w:tc>
          <w:tcPr>
            <w:tcW w:w="2410" w:type="dxa"/>
            <w:tcBorders>
              <w:top w:val="single" w:sz="4" w:space="0" w:color="000000"/>
              <w:bottom w:val="single" w:sz="4" w:space="0" w:color="000000"/>
            </w:tcBorders>
            <w:shd w:val="clear" w:color="auto" w:fill="auto"/>
            <w:vAlign w:val="bottom"/>
            <w:hideMark/>
          </w:tcPr>
          <w:p w14:paraId="348FCC1D" w14:textId="303EA43C" w:rsidR="00B746BA" w:rsidRPr="00AF1DC5" w:rsidRDefault="00B746BA" w:rsidP="00B746BA">
            <w:pPr>
              <w:snapToGrid w:val="0"/>
              <w:spacing w:after="0" w:line="360" w:lineRule="auto"/>
              <w:jc w:val="center"/>
              <w:rPr>
                <w:rFonts w:ascii="Book Antiqua" w:eastAsia="Times New Roman" w:hAnsi="Book Antiqua" w:cs="Times New Roman"/>
                <w:b/>
                <w:bCs/>
                <w:sz w:val="24"/>
                <w:szCs w:val="24"/>
              </w:rPr>
            </w:pPr>
            <w:r w:rsidRPr="00AF1DC5">
              <w:rPr>
                <w:rFonts w:ascii="Book Antiqua" w:eastAsia="Times New Roman" w:hAnsi="Book Antiqua" w:cs="Times New Roman"/>
                <w:b/>
                <w:bCs/>
                <w:sz w:val="24"/>
                <w:szCs w:val="24"/>
              </w:rPr>
              <w:t>Principal Dx is GI bleed</w:t>
            </w:r>
            <w:r w:rsidRPr="00AF1DC5">
              <w:rPr>
                <w:rFonts w:ascii="Book Antiqua" w:hAnsi="Book Antiqua" w:cs="Times New Roman"/>
                <w:b/>
                <w:bCs/>
                <w:sz w:val="24"/>
                <w:szCs w:val="24"/>
                <w:lang w:eastAsia="zh-CN"/>
              </w:rPr>
              <w:t xml:space="preserve"> </w:t>
            </w:r>
            <w:r w:rsidRPr="00AF1DC5">
              <w:rPr>
                <w:rFonts w:ascii="Book Antiqua" w:eastAsia="Times New Roman" w:hAnsi="Book Antiqua" w:cs="Times New Roman"/>
                <w:b/>
                <w:bCs/>
                <w:sz w:val="24"/>
                <w:szCs w:val="24"/>
              </w:rPr>
              <w:t>(</w:t>
            </w:r>
            <w:r w:rsidRPr="00AF1DC5">
              <w:rPr>
                <w:rFonts w:ascii="Book Antiqua" w:eastAsia="Times New Roman" w:hAnsi="Book Antiqua" w:cs="Times New Roman"/>
                <w:b/>
                <w:bCs/>
                <w:i/>
                <w:sz w:val="24"/>
                <w:szCs w:val="24"/>
              </w:rPr>
              <w:t>n</w:t>
            </w:r>
            <w:r w:rsidRPr="00AF1DC5">
              <w:rPr>
                <w:rFonts w:ascii="Book Antiqua" w:hAnsi="Book Antiqua" w:cs="Times New Roman"/>
                <w:b/>
                <w:bCs/>
                <w:i/>
                <w:sz w:val="24"/>
                <w:szCs w:val="24"/>
                <w:lang w:eastAsia="zh-CN"/>
              </w:rPr>
              <w:t xml:space="preserve"> </w:t>
            </w:r>
            <w:r w:rsidRPr="00AF1DC5">
              <w:rPr>
                <w:rFonts w:ascii="Book Antiqua" w:eastAsia="Times New Roman" w:hAnsi="Book Antiqua" w:cs="Times New Roman"/>
                <w:b/>
                <w:bCs/>
                <w:sz w:val="24"/>
                <w:szCs w:val="24"/>
              </w:rPr>
              <w:t>=</w:t>
            </w:r>
            <w:r w:rsidRPr="00AF1DC5">
              <w:rPr>
                <w:rFonts w:ascii="Book Antiqua" w:hAnsi="Book Antiqua" w:cs="Times New Roman"/>
                <w:b/>
                <w:bCs/>
                <w:sz w:val="24"/>
                <w:szCs w:val="24"/>
                <w:lang w:eastAsia="zh-CN"/>
              </w:rPr>
              <w:t xml:space="preserve"> </w:t>
            </w:r>
            <w:r w:rsidRPr="00AF1DC5">
              <w:rPr>
                <w:rFonts w:ascii="Book Antiqua" w:eastAsia="Times New Roman" w:hAnsi="Book Antiqua" w:cs="Times New Roman"/>
                <w:b/>
                <w:bCs/>
                <w:sz w:val="24"/>
                <w:szCs w:val="24"/>
              </w:rPr>
              <w:t>4521)</w:t>
            </w:r>
          </w:p>
        </w:tc>
        <w:tc>
          <w:tcPr>
            <w:tcW w:w="2434" w:type="dxa"/>
            <w:tcBorders>
              <w:top w:val="single" w:sz="4" w:space="0" w:color="000000"/>
              <w:bottom w:val="single" w:sz="4" w:space="0" w:color="000000"/>
            </w:tcBorders>
            <w:shd w:val="clear" w:color="auto" w:fill="auto"/>
            <w:vAlign w:val="bottom"/>
            <w:hideMark/>
          </w:tcPr>
          <w:p w14:paraId="0B9653EC" w14:textId="6FC57148" w:rsidR="00B746BA" w:rsidRPr="00AF1DC5" w:rsidRDefault="00B746BA" w:rsidP="00B746BA">
            <w:pPr>
              <w:snapToGrid w:val="0"/>
              <w:spacing w:after="0" w:line="360" w:lineRule="auto"/>
              <w:jc w:val="center"/>
              <w:rPr>
                <w:rFonts w:ascii="Book Antiqua" w:eastAsia="Times New Roman" w:hAnsi="Book Antiqua" w:cs="Times New Roman"/>
                <w:b/>
                <w:bCs/>
                <w:sz w:val="24"/>
                <w:szCs w:val="24"/>
              </w:rPr>
            </w:pPr>
            <w:r w:rsidRPr="00AF1DC5">
              <w:rPr>
                <w:rFonts w:ascii="Book Antiqua" w:eastAsia="Times New Roman" w:hAnsi="Book Antiqua" w:cs="Times New Roman"/>
                <w:b/>
                <w:bCs/>
                <w:sz w:val="24"/>
                <w:szCs w:val="24"/>
              </w:rPr>
              <w:t>Secondary Dx is GI bleed</w:t>
            </w:r>
            <w:r w:rsidRPr="00AF1DC5">
              <w:rPr>
                <w:rFonts w:ascii="Book Antiqua" w:hAnsi="Book Antiqua" w:cs="Times New Roman"/>
                <w:b/>
                <w:bCs/>
                <w:sz w:val="24"/>
                <w:szCs w:val="24"/>
                <w:lang w:eastAsia="zh-CN"/>
              </w:rPr>
              <w:t xml:space="preserve"> </w:t>
            </w:r>
            <w:r w:rsidRPr="00AF1DC5">
              <w:rPr>
                <w:rFonts w:ascii="Book Antiqua" w:eastAsia="Times New Roman" w:hAnsi="Book Antiqua" w:cs="Times New Roman"/>
                <w:b/>
                <w:bCs/>
                <w:sz w:val="24"/>
                <w:szCs w:val="24"/>
              </w:rPr>
              <w:t>(</w:t>
            </w:r>
            <w:r w:rsidRPr="00AF1DC5">
              <w:rPr>
                <w:rFonts w:ascii="Book Antiqua" w:eastAsia="Times New Roman" w:hAnsi="Book Antiqua" w:cs="Times New Roman"/>
                <w:b/>
                <w:bCs/>
                <w:i/>
                <w:sz w:val="24"/>
                <w:szCs w:val="24"/>
              </w:rPr>
              <w:t>n</w:t>
            </w:r>
            <w:r w:rsidRPr="00AF1DC5">
              <w:rPr>
                <w:rFonts w:ascii="Book Antiqua" w:eastAsia="Times New Roman" w:hAnsi="Book Antiqua" w:cs="Times New Roman"/>
                <w:b/>
                <w:bCs/>
                <w:sz w:val="24"/>
                <w:szCs w:val="24"/>
              </w:rPr>
              <w:t xml:space="preserve"> =</w:t>
            </w:r>
            <w:r w:rsidRPr="00AF1DC5">
              <w:rPr>
                <w:rFonts w:ascii="Book Antiqua" w:hAnsi="Book Antiqua" w:cs="Times New Roman"/>
                <w:b/>
                <w:bCs/>
                <w:sz w:val="24"/>
                <w:szCs w:val="24"/>
                <w:lang w:eastAsia="zh-CN"/>
              </w:rPr>
              <w:t xml:space="preserve"> </w:t>
            </w:r>
            <w:r w:rsidRPr="00AF1DC5">
              <w:rPr>
                <w:rFonts w:ascii="Book Antiqua" w:eastAsia="Times New Roman" w:hAnsi="Book Antiqua" w:cs="Times New Roman"/>
                <w:b/>
                <w:bCs/>
                <w:sz w:val="24"/>
                <w:szCs w:val="24"/>
              </w:rPr>
              <w:t>15007)</w:t>
            </w:r>
          </w:p>
        </w:tc>
        <w:tc>
          <w:tcPr>
            <w:tcW w:w="1472" w:type="dxa"/>
            <w:tcBorders>
              <w:top w:val="single" w:sz="4" w:space="0" w:color="000000"/>
              <w:bottom w:val="single" w:sz="4" w:space="0" w:color="000000"/>
            </w:tcBorders>
            <w:shd w:val="clear" w:color="auto" w:fill="auto"/>
            <w:vAlign w:val="bottom"/>
            <w:hideMark/>
          </w:tcPr>
          <w:p w14:paraId="211E40FB" w14:textId="4F36814A" w:rsidR="00B746BA" w:rsidRPr="00AF1DC5" w:rsidRDefault="00B746BA" w:rsidP="00B746BA">
            <w:pPr>
              <w:snapToGrid w:val="0"/>
              <w:spacing w:after="0" w:line="360" w:lineRule="auto"/>
              <w:jc w:val="center"/>
              <w:rPr>
                <w:rFonts w:ascii="Book Antiqua" w:eastAsia="Times New Roman" w:hAnsi="Book Antiqua" w:cs="Times New Roman"/>
                <w:b/>
                <w:bCs/>
                <w:sz w:val="24"/>
                <w:szCs w:val="24"/>
              </w:rPr>
            </w:pPr>
            <w:r w:rsidRPr="00AF1DC5">
              <w:rPr>
                <w:rFonts w:ascii="Book Antiqua" w:eastAsia="Times New Roman" w:hAnsi="Book Antiqua" w:cs="Times New Roman"/>
                <w:b/>
                <w:bCs/>
                <w:i/>
                <w:sz w:val="24"/>
                <w:szCs w:val="24"/>
              </w:rPr>
              <w:t>P</w:t>
            </w:r>
            <w:r w:rsidRPr="00AF1DC5">
              <w:rPr>
                <w:rFonts w:ascii="Book Antiqua" w:hAnsi="Book Antiqua" w:cs="Times New Roman"/>
                <w:b/>
                <w:bCs/>
                <w:sz w:val="24"/>
                <w:szCs w:val="24"/>
                <w:lang w:eastAsia="zh-CN"/>
              </w:rPr>
              <w:t xml:space="preserve"> </w:t>
            </w:r>
            <w:r w:rsidRPr="00AF1DC5">
              <w:rPr>
                <w:rFonts w:ascii="Book Antiqua" w:eastAsia="Times New Roman" w:hAnsi="Book Antiqua" w:cs="Times New Roman"/>
                <w:b/>
                <w:bCs/>
                <w:sz w:val="24"/>
                <w:szCs w:val="24"/>
              </w:rPr>
              <w:t>value</w:t>
            </w:r>
          </w:p>
        </w:tc>
      </w:tr>
      <w:tr w:rsidR="00AF1DC5" w:rsidRPr="00AF1DC5" w14:paraId="71FC3796" w14:textId="77777777" w:rsidTr="00FD06E5">
        <w:trPr>
          <w:trHeight w:val="294"/>
        </w:trPr>
        <w:tc>
          <w:tcPr>
            <w:tcW w:w="3402" w:type="dxa"/>
            <w:tcBorders>
              <w:top w:val="single" w:sz="4" w:space="0" w:color="000000"/>
            </w:tcBorders>
            <w:shd w:val="clear" w:color="auto" w:fill="auto"/>
            <w:vAlign w:val="bottom"/>
            <w:hideMark/>
          </w:tcPr>
          <w:p w14:paraId="0A86F27C" w14:textId="30DBC8DA" w:rsidR="00B746BA" w:rsidRPr="00AF1DC5" w:rsidRDefault="00B746BA" w:rsidP="00B746BA">
            <w:pPr>
              <w:snapToGrid w:val="0"/>
              <w:spacing w:after="0" w:line="360" w:lineRule="auto"/>
              <w:jc w:val="both"/>
              <w:rPr>
                <w:rFonts w:ascii="Book Antiqua" w:eastAsia="Times New Roman" w:hAnsi="Book Antiqua" w:cs="Times New Roman"/>
                <w:iCs/>
                <w:sz w:val="24"/>
                <w:szCs w:val="24"/>
              </w:rPr>
            </w:pPr>
            <w:r w:rsidRPr="00AF1DC5">
              <w:rPr>
                <w:rFonts w:ascii="Book Antiqua" w:eastAsia="Times New Roman" w:hAnsi="Book Antiqua" w:cs="Times New Roman"/>
                <w:iCs/>
                <w:sz w:val="24"/>
                <w:szCs w:val="24"/>
              </w:rPr>
              <w:t>GI flag</w:t>
            </w:r>
          </w:p>
        </w:tc>
        <w:tc>
          <w:tcPr>
            <w:tcW w:w="2410" w:type="dxa"/>
            <w:tcBorders>
              <w:top w:val="single" w:sz="4" w:space="0" w:color="000000"/>
            </w:tcBorders>
            <w:shd w:val="clear" w:color="auto" w:fill="auto"/>
            <w:noWrap/>
            <w:vAlign w:val="bottom"/>
            <w:hideMark/>
          </w:tcPr>
          <w:p w14:paraId="76112C60" w14:textId="556A22C8" w:rsidR="00B746BA" w:rsidRPr="00AF1DC5" w:rsidRDefault="00FD06E5"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1681 (24.39</w:t>
            </w:r>
            <w:r w:rsidR="00B746BA" w:rsidRPr="00AF1DC5">
              <w:rPr>
                <w:rFonts w:ascii="Book Antiqua" w:eastAsia="Times New Roman" w:hAnsi="Book Antiqua" w:cs="Times New Roman"/>
                <w:sz w:val="24"/>
                <w:szCs w:val="24"/>
              </w:rPr>
              <w:t>)</w:t>
            </w:r>
          </w:p>
        </w:tc>
        <w:tc>
          <w:tcPr>
            <w:tcW w:w="2434" w:type="dxa"/>
            <w:tcBorders>
              <w:top w:val="single" w:sz="4" w:space="0" w:color="000000"/>
            </w:tcBorders>
            <w:shd w:val="clear" w:color="auto" w:fill="auto"/>
            <w:noWrap/>
            <w:vAlign w:val="bottom"/>
            <w:hideMark/>
          </w:tcPr>
          <w:p w14:paraId="0BE05AF6" w14:textId="3D3B0A42" w:rsidR="00B746BA" w:rsidRPr="00AF1DC5" w:rsidRDefault="00FD06E5"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3892 (15.39</w:t>
            </w:r>
            <w:r w:rsidR="00B746BA" w:rsidRPr="00AF1DC5">
              <w:rPr>
                <w:rFonts w:ascii="Book Antiqua" w:eastAsia="Times New Roman" w:hAnsi="Book Antiqua" w:cs="Times New Roman"/>
                <w:sz w:val="24"/>
                <w:szCs w:val="24"/>
              </w:rPr>
              <w:t>)</w:t>
            </w:r>
          </w:p>
        </w:tc>
        <w:tc>
          <w:tcPr>
            <w:tcW w:w="1472" w:type="dxa"/>
            <w:tcBorders>
              <w:top w:val="single" w:sz="4" w:space="0" w:color="000000"/>
            </w:tcBorders>
            <w:shd w:val="clear" w:color="auto" w:fill="auto"/>
            <w:noWrap/>
            <w:vAlign w:val="bottom"/>
            <w:hideMark/>
          </w:tcPr>
          <w:p w14:paraId="390E3B0D" w14:textId="3CA9B256" w:rsidR="00B746BA" w:rsidRPr="00AF1DC5" w:rsidRDefault="00B746BA"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&lt;</w:t>
            </w:r>
            <w:r w:rsidR="00FD06E5" w:rsidRPr="00AF1DC5">
              <w:rPr>
                <w:rFonts w:ascii="Book Antiqua" w:hAnsi="Book Antiqua" w:cs="Times New Roman"/>
                <w:sz w:val="24"/>
                <w:szCs w:val="24"/>
                <w:lang w:eastAsia="zh-CN"/>
              </w:rPr>
              <w:t xml:space="preserve"> </w:t>
            </w:r>
            <w:r w:rsidRPr="00AF1DC5">
              <w:rPr>
                <w:rFonts w:ascii="Book Antiqua" w:eastAsia="Times New Roman" w:hAnsi="Book Antiqua" w:cs="Times New Roman"/>
                <w:sz w:val="24"/>
                <w:szCs w:val="24"/>
              </w:rPr>
              <w:t>0.0001</w:t>
            </w:r>
          </w:p>
        </w:tc>
      </w:tr>
      <w:tr w:rsidR="00AF1DC5" w:rsidRPr="00AF1DC5" w14:paraId="1FE6993E" w14:textId="77777777" w:rsidTr="00FD06E5">
        <w:trPr>
          <w:trHeight w:val="284"/>
        </w:trPr>
        <w:tc>
          <w:tcPr>
            <w:tcW w:w="3402" w:type="dxa"/>
            <w:shd w:val="clear" w:color="auto" w:fill="auto"/>
            <w:vAlign w:val="bottom"/>
            <w:hideMark/>
          </w:tcPr>
          <w:p w14:paraId="73ED7BD6" w14:textId="10E72277" w:rsidR="00B746BA" w:rsidRPr="00AF1DC5" w:rsidRDefault="00B746BA" w:rsidP="00B746BA">
            <w:pPr>
              <w:snapToGrid w:val="0"/>
              <w:spacing w:after="0" w:line="360" w:lineRule="auto"/>
              <w:jc w:val="both"/>
              <w:rPr>
                <w:rFonts w:ascii="Book Antiqua" w:eastAsia="Times New Roman" w:hAnsi="Book Antiqua" w:cs="Times New Roman"/>
                <w:iCs/>
                <w:sz w:val="24"/>
                <w:szCs w:val="24"/>
              </w:rPr>
            </w:pPr>
            <w:r w:rsidRPr="00AF1DC5">
              <w:rPr>
                <w:rFonts w:ascii="Book Antiqua" w:eastAsia="Times New Roman" w:hAnsi="Book Antiqua" w:cs="Times New Roman"/>
                <w:iCs/>
                <w:sz w:val="24"/>
                <w:szCs w:val="24"/>
              </w:rPr>
              <w:t>Cardiovascular flag</w:t>
            </w:r>
          </w:p>
        </w:tc>
        <w:tc>
          <w:tcPr>
            <w:tcW w:w="2410" w:type="dxa"/>
            <w:shd w:val="clear" w:color="auto" w:fill="auto"/>
            <w:noWrap/>
            <w:vAlign w:val="bottom"/>
            <w:hideMark/>
          </w:tcPr>
          <w:p w14:paraId="78B4B4CE" w14:textId="1FA4A62A" w:rsidR="00B746BA" w:rsidRPr="00AF1DC5" w:rsidRDefault="00FD06E5"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513 (7.44</w:t>
            </w:r>
            <w:r w:rsidR="00B746BA" w:rsidRPr="00AF1DC5">
              <w:rPr>
                <w:rFonts w:ascii="Book Antiqua" w:eastAsia="Times New Roman" w:hAnsi="Book Antiqua" w:cs="Times New Roman"/>
                <w:sz w:val="24"/>
                <w:szCs w:val="24"/>
              </w:rPr>
              <w:t>)</w:t>
            </w:r>
          </w:p>
        </w:tc>
        <w:tc>
          <w:tcPr>
            <w:tcW w:w="2434" w:type="dxa"/>
            <w:shd w:val="clear" w:color="auto" w:fill="auto"/>
            <w:noWrap/>
            <w:vAlign w:val="bottom"/>
            <w:hideMark/>
          </w:tcPr>
          <w:p w14:paraId="47892A9D" w14:textId="72C0C084" w:rsidR="00B746BA" w:rsidRPr="00AF1DC5" w:rsidRDefault="00FD06E5"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1192 (4.71</w:t>
            </w:r>
            <w:r w:rsidR="00B746BA" w:rsidRPr="00AF1DC5">
              <w:rPr>
                <w:rFonts w:ascii="Book Antiqua" w:eastAsia="Times New Roman" w:hAnsi="Book Antiqua" w:cs="Times New Roman"/>
                <w:sz w:val="24"/>
                <w:szCs w:val="24"/>
              </w:rPr>
              <w:t>)</w:t>
            </w:r>
          </w:p>
        </w:tc>
        <w:tc>
          <w:tcPr>
            <w:tcW w:w="1472" w:type="dxa"/>
            <w:shd w:val="clear" w:color="auto" w:fill="auto"/>
            <w:noWrap/>
            <w:vAlign w:val="bottom"/>
            <w:hideMark/>
          </w:tcPr>
          <w:p w14:paraId="74349289" w14:textId="552B55F6" w:rsidR="00B746BA" w:rsidRPr="00AF1DC5" w:rsidRDefault="00B746BA"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&lt;</w:t>
            </w:r>
            <w:r w:rsidR="00FD06E5" w:rsidRPr="00AF1DC5">
              <w:rPr>
                <w:rFonts w:ascii="Book Antiqua" w:hAnsi="Book Antiqua" w:cs="Times New Roman"/>
                <w:sz w:val="24"/>
                <w:szCs w:val="24"/>
                <w:lang w:eastAsia="zh-CN"/>
              </w:rPr>
              <w:t xml:space="preserve"> </w:t>
            </w:r>
            <w:r w:rsidRPr="00AF1DC5">
              <w:rPr>
                <w:rFonts w:ascii="Book Antiqua" w:eastAsia="Times New Roman" w:hAnsi="Book Antiqua" w:cs="Times New Roman"/>
                <w:sz w:val="24"/>
                <w:szCs w:val="24"/>
              </w:rPr>
              <w:t>0.0001</w:t>
            </w:r>
          </w:p>
        </w:tc>
      </w:tr>
      <w:tr w:rsidR="00AF1DC5" w:rsidRPr="00AF1DC5" w14:paraId="748E223A" w14:textId="77777777" w:rsidTr="00FD06E5">
        <w:trPr>
          <w:trHeight w:val="284"/>
        </w:trPr>
        <w:tc>
          <w:tcPr>
            <w:tcW w:w="3402" w:type="dxa"/>
            <w:shd w:val="clear" w:color="auto" w:fill="auto"/>
            <w:vAlign w:val="bottom"/>
            <w:hideMark/>
          </w:tcPr>
          <w:p w14:paraId="6C91A295" w14:textId="319A34D3" w:rsidR="00B746BA" w:rsidRPr="00AF1DC5" w:rsidRDefault="00B746BA" w:rsidP="00B746BA">
            <w:pPr>
              <w:snapToGrid w:val="0"/>
              <w:spacing w:after="0" w:line="360" w:lineRule="auto"/>
              <w:jc w:val="both"/>
              <w:rPr>
                <w:rFonts w:ascii="Book Antiqua" w:eastAsia="Times New Roman" w:hAnsi="Book Antiqua" w:cs="Times New Roman"/>
                <w:iCs/>
                <w:sz w:val="24"/>
                <w:szCs w:val="24"/>
              </w:rPr>
            </w:pPr>
            <w:r w:rsidRPr="00AF1DC5">
              <w:rPr>
                <w:rFonts w:ascii="Book Antiqua" w:eastAsia="Times New Roman" w:hAnsi="Book Antiqua" w:cs="Times New Roman"/>
                <w:iCs/>
                <w:sz w:val="24"/>
                <w:szCs w:val="24"/>
              </w:rPr>
              <w:t>Hem/immunologic flag</w:t>
            </w:r>
          </w:p>
        </w:tc>
        <w:tc>
          <w:tcPr>
            <w:tcW w:w="2410" w:type="dxa"/>
            <w:shd w:val="clear" w:color="auto" w:fill="auto"/>
            <w:noWrap/>
            <w:vAlign w:val="bottom"/>
            <w:hideMark/>
          </w:tcPr>
          <w:p w14:paraId="2A171DC6" w14:textId="03893A9F" w:rsidR="00B746BA" w:rsidRPr="00AF1DC5" w:rsidRDefault="00FD06E5"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422 (6.12</w:t>
            </w:r>
            <w:r w:rsidR="00B746BA" w:rsidRPr="00AF1DC5">
              <w:rPr>
                <w:rFonts w:ascii="Book Antiqua" w:eastAsia="Times New Roman" w:hAnsi="Book Antiqua" w:cs="Times New Roman"/>
                <w:sz w:val="24"/>
                <w:szCs w:val="24"/>
              </w:rPr>
              <w:t>)</w:t>
            </w:r>
          </w:p>
        </w:tc>
        <w:tc>
          <w:tcPr>
            <w:tcW w:w="2434" w:type="dxa"/>
            <w:shd w:val="clear" w:color="auto" w:fill="auto"/>
            <w:noWrap/>
            <w:vAlign w:val="bottom"/>
            <w:hideMark/>
          </w:tcPr>
          <w:p w14:paraId="53DE0148" w14:textId="7A691C35" w:rsidR="00B746BA" w:rsidRPr="00AF1DC5" w:rsidRDefault="00FD06E5"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1392 (5.5</w:t>
            </w:r>
            <w:r w:rsidR="00B746BA" w:rsidRPr="00AF1DC5">
              <w:rPr>
                <w:rFonts w:ascii="Book Antiqua" w:eastAsia="Times New Roman" w:hAnsi="Book Antiqua" w:cs="Times New Roman"/>
                <w:sz w:val="24"/>
                <w:szCs w:val="24"/>
              </w:rPr>
              <w:t>)</w:t>
            </w:r>
          </w:p>
        </w:tc>
        <w:tc>
          <w:tcPr>
            <w:tcW w:w="1472" w:type="dxa"/>
            <w:shd w:val="clear" w:color="auto" w:fill="auto"/>
            <w:noWrap/>
            <w:vAlign w:val="bottom"/>
            <w:hideMark/>
          </w:tcPr>
          <w:p w14:paraId="06E40485" w14:textId="7A8D8FE3" w:rsidR="00B746BA" w:rsidRPr="00AF1DC5" w:rsidRDefault="00B746BA"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&lt;</w:t>
            </w:r>
            <w:r w:rsidR="00FD06E5" w:rsidRPr="00AF1DC5">
              <w:rPr>
                <w:rFonts w:ascii="Book Antiqua" w:hAnsi="Book Antiqua" w:cs="Times New Roman"/>
                <w:sz w:val="24"/>
                <w:szCs w:val="24"/>
                <w:lang w:eastAsia="zh-CN"/>
              </w:rPr>
              <w:t xml:space="preserve"> </w:t>
            </w:r>
            <w:r w:rsidRPr="00AF1DC5">
              <w:rPr>
                <w:rFonts w:ascii="Book Antiqua" w:eastAsia="Times New Roman" w:hAnsi="Book Antiqua" w:cs="Times New Roman"/>
                <w:sz w:val="24"/>
                <w:szCs w:val="24"/>
              </w:rPr>
              <w:t>0.0001</w:t>
            </w:r>
          </w:p>
        </w:tc>
      </w:tr>
      <w:tr w:rsidR="00AF1DC5" w:rsidRPr="00AF1DC5" w14:paraId="6A365826" w14:textId="77777777" w:rsidTr="00FD06E5">
        <w:trPr>
          <w:trHeight w:val="284"/>
        </w:trPr>
        <w:tc>
          <w:tcPr>
            <w:tcW w:w="3402" w:type="dxa"/>
            <w:shd w:val="clear" w:color="auto" w:fill="auto"/>
            <w:vAlign w:val="bottom"/>
            <w:hideMark/>
          </w:tcPr>
          <w:p w14:paraId="0BC408F4" w14:textId="77777777" w:rsidR="00B746BA" w:rsidRPr="00AF1DC5" w:rsidRDefault="00B746BA" w:rsidP="00B746BA">
            <w:pPr>
              <w:snapToGrid w:val="0"/>
              <w:spacing w:after="0" w:line="360" w:lineRule="auto"/>
              <w:jc w:val="both"/>
              <w:rPr>
                <w:rFonts w:ascii="Book Antiqua" w:eastAsia="Times New Roman" w:hAnsi="Book Antiqua" w:cs="Times New Roman"/>
                <w:iCs/>
                <w:sz w:val="24"/>
                <w:szCs w:val="24"/>
              </w:rPr>
            </w:pPr>
            <w:r w:rsidRPr="00AF1DC5">
              <w:rPr>
                <w:rFonts w:ascii="Book Antiqua" w:eastAsia="Times New Roman" w:hAnsi="Book Antiqua" w:cs="Times New Roman"/>
                <w:iCs/>
                <w:sz w:val="24"/>
                <w:szCs w:val="24"/>
              </w:rPr>
              <w:t>Malignancy</w:t>
            </w:r>
          </w:p>
        </w:tc>
        <w:tc>
          <w:tcPr>
            <w:tcW w:w="2410" w:type="dxa"/>
            <w:shd w:val="clear" w:color="auto" w:fill="auto"/>
            <w:noWrap/>
            <w:vAlign w:val="bottom"/>
            <w:hideMark/>
          </w:tcPr>
          <w:p w14:paraId="7A98321B" w14:textId="157741B7" w:rsidR="00B746BA" w:rsidRPr="00AF1DC5" w:rsidRDefault="00FD06E5"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284 (4.12</w:t>
            </w:r>
            <w:r w:rsidR="00B746BA" w:rsidRPr="00AF1DC5">
              <w:rPr>
                <w:rFonts w:ascii="Book Antiqua" w:eastAsia="Times New Roman" w:hAnsi="Book Antiqua" w:cs="Times New Roman"/>
                <w:sz w:val="24"/>
                <w:szCs w:val="24"/>
              </w:rPr>
              <w:t>)</w:t>
            </w:r>
          </w:p>
        </w:tc>
        <w:tc>
          <w:tcPr>
            <w:tcW w:w="2434" w:type="dxa"/>
            <w:shd w:val="clear" w:color="auto" w:fill="auto"/>
            <w:noWrap/>
            <w:vAlign w:val="bottom"/>
            <w:hideMark/>
          </w:tcPr>
          <w:p w14:paraId="3BC7423A" w14:textId="29876E3F" w:rsidR="00B746BA" w:rsidRPr="00AF1DC5" w:rsidRDefault="00FD06E5"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1015 (4.01</w:t>
            </w:r>
            <w:r w:rsidR="00B746BA" w:rsidRPr="00AF1DC5">
              <w:rPr>
                <w:rFonts w:ascii="Book Antiqua" w:eastAsia="Times New Roman" w:hAnsi="Book Antiqua" w:cs="Times New Roman"/>
                <w:sz w:val="24"/>
                <w:szCs w:val="24"/>
              </w:rPr>
              <w:t>)</w:t>
            </w:r>
          </w:p>
        </w:tc>
        <w:tc>
          <w:tcPr>
            <w:tcW w:w="1472" w:type="dxa"/>
            <w:shd w:val="clear" w:color="auto" w:fill="auto"/>
            <w:noWrap/>
            <w:vAlign w:val="bottom"/>
            <w:hideMark/>
          </w:tcPr>
          <w:p w14:paraId="66446DD4" w14:textId="23D5E948" w:rsidR="00B746BA" w:rsidRPr="00AF1DC5" w:rsidRDefault="00B746BA"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&lt;</w:t>
            </w:r>
            <w:r w:rsidR="00FD06E5" w:rsidRPr="00AF1DC5">
              <w:rPr>
                <w:rFonts w:ascii="Book Antiqua" w:hAnsi="Book Antiqua" w:cs="Times New Roman"/>
                <w:sz w:val="24"/>
                <w:szCs w:val="24"/>
                <w:lang w:eastAsia="zh-CN"/>
              </w:rPr>
              <w:t xml:space="preserve"> </w:t>
            </w:r>
            <w:r w:rsidRPr="00AF1DC5">
              <w:rPr>
                <w:rFonts w:ascii="Book Antiqua" w:eastAsia="Times New Roman" w:hAnsi="Book Antiqua" w:cs="Times New Roman"/>
                <w:sz w:val="24"/>
                <w:szCs w:val="24"/>
              </w:rPr>
              <w:t>0.0001</w:t>
            </w:r>
          </w:p>
        </w:tc>
      </w:tr>
      <w:tr w:rsidR="00AF1DC5" w:rsidRPr="00AF1DC5" w14:paraId="7897236C" w14:textId="77777777" w:rsidTr="00FD06E5">
        <w:trPr>
          <w:trHeight w:val="284"/>
        </w:trPr>
        <w:tc>
          <w:tcPr>
            <w:tcW w:w="3402" w:type="dxa"/>
            <w:shd w:val="clear" w:color="auto" w:fill="auto"/>
            <w:vAlign w:val="bottom"/>
            <w:hideMark/>
          </w:tcPr>
          <w:p w14:paraId="41E0867E" w14:textId="278BC21B" w:rsidR="00B746BA" w:rsidRPr="00AF1DC5" w:rsidRDefault="00B746BA" w:rsidP="00B746BA">
            <w:pPr>
              <w:snapToGrid w:val="0"/>
              <w:spacing w:after="0" w:line="360" w:lineRule="auto"/>
              <w:jc w:val="both"/>
              <w:rPr>
                <w:rFonts w:ascii="Book Antiqua" w:eastAsia="Times New Roman" w:hAnsi="Book Antiqua" w:cs="Times New Roman"/>
                <w:iCs/>
                <w:sz w:val="24"/>
                <w:szCs w:val="24"/>
              </w:rPr>
            </w:pPr>
            <w:r w:rsidRPr="00AF1DC5">
              <w:rPr>
                <w:rFonts w:ascii="Book Antiqua" w:eastAsia="Times New Roman" w:hAnsi="Book Antiqua" w:cs="Times New Roman"/>
                <w:iCs/>
                <w:sz w:val="24"/>
                <w:szCs w:val="24"/>
              </w:rPr>
              <w:t>Metabolic flag</w:t>
            </w:r>
          </w:p>
        </w:tc>
        <w:tc>
          <w:tcPr>
            <w:tcW w:w="2410" w:type="dxa"/>
            <w:shd w:val="clear" w:color="auto" w:fill="auto"/>
            <w:noWrap/>
            <w:vAlign w:val="bottom"/>
            <w:hideMark/>
          </w:tcPr>
          <w:p w14:paraId="5D945DB3" w14:textId="58747AEB" w:rsidR="00B746BA" w:rsidRPr="00AF1DC5" w:rsidRDefault="00FD06E5"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258 (3.74</w:t>
            </w:r>
            <w:r w:rsidR="00B746BA" w:rsidRPr="00AF1DC5">
              <w:rPr>
                <w:rFonts w:ascii="Book Antiqua" w:eastAsia="Times New Roman" w:hAnsi="Book Antiqua" w:cs="Times New Roman"/>
                <w:sz w:val="24"/>
                <w:szCs w:val="24"/>
              </w:rPr>
              <w:t>)</w:t>
            </w:r>
          </w:p>
        </w:tc>
        <w:tc>
          <w:tcPr>
            <w:tcW w:w="2434" w:type="dxa"/>
            <w:shd w:val="clear" w:color="auto" w:fill="auto"/>
            <w:noWrap/>
            <w:vAlign w:val="bottom"/>
            <w:hideMark/>
          </w:tcPr>
          <w:p w14:paraId="1FDB7246" w14:textId="69E01BB7" w:rsidR="00B746BA" w:rsidRPr="00AF1DC5" w:rsidRDefault="00FD06E5"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1015 (4.01</w:t>
            </w:r>
            <w:r w:rsidR="00B746BA" w:rsidRPr="00AF1DC5">
              <w:rPr>
                <w:rFonts w:ascii="Book Antiqua" w:eastAsia="Times New Roman" w:hAnsi="Book Antiqua" w:cs="Times New Roman"/>
                <w:sz w:val="24"/>
                <w:szCs w:val="24"/>
              </w:rPr>
              <w:t>)</w:t>
            </w:r>
          </w:p>
        </w:tc>
        <w:tc>
          <w:tcPr>
            <w:tcW w:w="1472" w:type="dxa"/>
            <w:shd w:val="clear" w:color="auto" w:fill="auto"/>
            <w:noWrap/>
            <w:vAlign w:val="bottom"/>
            <w:hideMark/>
          </w:tcPr>
          <w:p w14:paraId="40BB9D87" w14:textId="606345B2" w:rsidR="00B746BA" w:rsidRPr="00AF1DC5" w:rsidRDefault="00B746BA"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&lt;</w:t>
            </w:r>
            <w:r w:rsidR="00FD06E5" w:rsidRPr="00AF1DC5">
              <w:rPr>
                <w:rFonts w:ascii="Book Antiqua" w:hAnsi="Book Antiqua" w:cs="Times New Roman"/>
                <w:sz w:val="24"/>
                <w:szCs w:val="24"/>
                <w:lang w:eastAsia="zh-CN"/>
              </w:rPr>
              <w:t xml:space="preserve"> </w:t>
            </w:r>
            <w:r w:rsidRPr="00AF1DC5">
              <w:rPr>
                <w:rFonts w:ascii="Book Antiqua" w:eastAsia="Times New Roman" w:hAnsi="Book Antiqua" w:cs="Times New Roman"/>
                <w:sz w:val="24"/>
                <w:szCs w:val="24"/>
              </w:rPr>
              <w:t>0.0001</w:t>
            </w:r>
          </w:p>
        </w:tc>
      </w:tr>
      <w:tr w:rsidR="00AF1DC5" w:rsidRPr="00AF1DC5" w14:paraId="1A5FEE63" w14:textId="77777777" w:rsidTr="00FD06E5">
        <w:trPr>
          <w:trHeight w:val="284"/>
        </w:trPr>
        <w:tc>
          <w:tcPr>
            <w:tcW w:w="3402" w:type="dxa"/>
            <w:shd w:val="clear" w:color="auto" w:fill="auto"/>
            <w:vAlign w:val="bottom"/>
            <w:hideMark/>
          </w:tcPr>
          <w:p w14:paraId="5936EF34" w14:textId="6CE912B9" w:rsidR="00B746BA" w:rsidRPr="00AF1DC5" w:rsidRDefault="00B746BA" w:rsidP="00B746BA">
            <w:pPr>
              <w:snapToGrid w:val="0"/>
              <w:spacing w:after="0" w:line="360" w:lineRule="auto"/>
              <w:jc w:val="both"/>
              <w:rPr>
                <w:rFonts w:ascii="Book Antiqua" w:eastAsia="Times New Roman" w:hAnsi="Book Antiqua" w:cs="Times New Roman"/>
                <w:iCs/>
                <w:sz w:val="24"/>
                <w:szCs w:val="24"/>
              </w:rPr>
            </w:pPr>
            <w:r w:rsidRPr="00AF1DC5">
              <w:rPr>
                <w:rFonts w:ascii="Book Antiqua" w:eastAsia="Times New Roman" w:hAnsi="Book Antiqua" w:cs="Times New Roman"/>
                <w:iCs/>
                <w:sz w:val="24"/>
                <w:szCs w:val="24"/>
              </w:rPr>
              <w:t>Neurologic/neuromusc flag</w:t>
            </w:r>
          </w:p>
        </w:tc>
        <w:tc>
          <w:tcPr>
            <w:tcW w:w="2410" w:type="dxa"/>
            <w:shd w:val="clear" w:color="auto" w:fill="auto"/>
            <w:noWrap/>
            <w:vAlign w:val="bottom"/>
            <w:hideMark/>
          </w:tcPr>
          <w:p w14:paraId="2B83793B" w14:textId="1F2739B5" w:rsidR="00B746BA" w:rsidRPr="00AF1DC5" w:rsidRDefault="00FD06E5"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972 (14.1</w:t>
            </w:r>
            <w:r w:rsidR="00B746BA" w:rsidRPr="00AF1DC5">
              <w:rPr>
                <w:rFonts w:ascii="Book Antiqua" w:eastAsia="Times New Roman" w:hAnsi="Book Antiqua" w:cs="Times New Roman"/>
                <w:sz w:val="24"/>
                <w:szCs w:val="24"/>
              </w:rPr>
              <w:t>)</w:t>
            </w:r>
          </w:p>
        </w:tc>
        <w:tc>
          <w:tcPr>
            <w:tcW w:w="2434" w:type="dxa"/>
            <w:shd w:val="clear" w:color="auto" w:fill="auto"/>
            <w:noWrap/>
            <w:vAlign w:val="bottom"/>
            <w:hideMark/>
          </w:tcPr>
          <w:p w14:paraId="6DCE9004" w14:textId="30F96ECF" w:rsidR="00B746BA" w:rsidRPr="00AF1DC5" w:rsidRDefault="00FD06E5"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1743 (6.89</w:t>
            </w:r>
            <w:r w:rsidR="00B746BA" w:rsidRPr="00AF1DC5">
              <w:rPr>
                <w:rFonts w:ascii="Book Antiqua" w:eastAsia="Times New Roman" w:hAnsi="Book Antiqua" w:cs="Times New Roman"/>
                <w:sz w:val="24"/>
                <w:szCs w:val="24"/>
              </w:rPr>
              <w:t>)</w:t>
            </w:r>
          </w:p>
        </w:tc>
        <w:tc>
          <w:tcPr>
            <w:tcW w:w="1472" w:type="dxa"/>
            <w:shd w:val="clear" w:color="auto" w:fill="auto"/>
            <w:noWrap/>
            <w:vAlign w:val="bottom"/>
            <w:hideMark/>
          </w:tcPr>
          <w:p w14:paraId="2877E383" w14:textId="77777777" w:rsidR="00B746BA" w:rsidRPr="00AF1DC5" w:rsidRDefault="00B746BA"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0.1234</w:t>
            </w:r>
          </w:p>
        </w:tc>
      </w:tr>
      <w:tr w:rsidR="00AF1DC5" w:rsidRPr="00AF1DC5" w14:paraId="1BB079C9" w14:textId="77777777" w:rsidTr="00FD06E5">
        <w:trPr>
          <w:trHeight w:val="284"/>
        </w:trPr>
        <w:tc>
          <w:tcPr>
            <w:tcW w:w="3402" w:type="dxa"/>
            <w:shd w:val="clear" w:color="auto" w:fill="auto"/>
            <w:vAlign w:val="bottom"/>
            <w:hideMark/>
          </w:tcPr>
          <w:p w14:paraId="6D48FE9D" w14:textId="7011A8AD" w:rsidR="00B746BA" w:rsidRPr="00AF1DC5" w:rsidRDefault="00B746BA" w:rsidP="00B746BA">
            <w:pPr>
              <w:snapToGrid w:val="0"/>
              <w:spacing w:after="0" w:line="360" w:lineRule="auto"/>
              <w:jc w:val="both"/>
              <w:rPr>
                <w:rFonts w:ascii="Book Antiqua" w:eastAsia="Times New Roman" w:hAnsi="Book Antiqua" w:cs="Times New Roman"/>
                <w:iCs/>
                <w:sz w:val="24"/>
                <w:szCs w:val="24"/>
              </w:rPr>
            </w:pPr>
            <w:r w:rsidRPr="00AF1DC5">
              <w:rPr>
                <w:rFonts w:ascii="Book Antiqua" w:eastAsia="Times New Roman" w:hAnsi="Book Antiqua" w:cs="Times New Roman"/>
                <w:iCs/>
                <w:sz w:val="24"/>
                <w:szCs w:val="24"/>
              </w:rPr>
              <w:t>Congenital/genetic flag</w:t>
            </w:r>
          </w:p>
        </w:tc>
        <w:tc>
          <w:tcPr>
            <w:tcW w:w="2410" w:type="dxa"/>
            <w:shd w:val="clear" w:color="auto" w:fill="auto"/>
            <w:noWrap/>
            <w:vAlign w:val="bottom"/>
            <w:hideMark/>
          </w:tcPr>
          <w:p w14:paraId="245CC526" w14:textId="68264F4F" w:rsidR="00B746BA" w:rsidRPr="00AF1DC5" w:rsidRDefault="00FD06E5"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727 (10.55</w:t>
            </w:r>
            <w:r w:rsidR="00B746BA" w:rsidRPr="00AF1DC5">
              <w:rPr>
                <w:rFonts w:ascii="Book Antiqua" w:eastAsia="Times New Roman" w:hAnsi="Book Antiqua" w:cs="Times New Roman"/>
                <w:sz w:val="24"/>
                <w:szCs w:val="24"/>
              </w:rPr>
              <w:t>)</w:t>
            </w:r>
          </w:p>
        </w:tc>
        <w:tc>
          <w:tcPr>
            <w:tcW w:w="2434" w:type="dxa"/>
            <w:shd w:val="clear" w:color="auto" w:fill="auto"/>
            <w:noWrap/>
            <w:vAlign w:val="bottom"/>
            <w:hideMark/>
          </w:tcPr>
          <w:p w14:paraId="1603FCE1" w14:textId="298A4DC8" w:rsidR="00B746BA" w:rsidRPr="00AF1DC5" w:rsidRDefault="00FD06E5"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1192 (4.71</w:t>
            </w:r>
            <w:r w:rsidR="00B746BA" w:rsidRPr="00AF1DC5">
              <w:rPr>
                <w:rFonts w:ascii="Book Antiqua" w:eastAsia="Times New Roman" w:hAnsi="Book Antiqua" w:cs="Times New Roman"/>
                <w:sz w:val="24"/>
                <w:szCs w:val="24"/>
              </w:rPr>
              <w:t>)</w:t>
            </w:r>
          </w:p>
        </w:tc>
        <w:tc>
          <w:tcPr>
            <w:tcW w:w="1472" w:type="dxa"/>
            <w:shd w:val="clear" w:color="auto" w:fill="auto"/>
            <w:noWrap/>
            <w:vAlign w:val="bottom"/>
            <w:hideMark/>
          </w:tcPr>
          <w:p w14:paraId="3208EE73" w14:textId="77777777" w:rsidR="00B746BA" w:rsidRPr="00AF1DC5" w:rsidRDefault="00B746BA"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0.0010</w:t>
            </w:r>
          </w:p>
        </w:tc>
      </w:tr>
      <w:tr w:rsidR="00AF1DC5" w:rsidRPr="00AF1DC5" w14:paraId="5AA70A8B" w14:textId="77777777" w:rsidTr="00FD06E5">
        <w:trPr>
          <w:trHeight w:val="284"/>
        </w:trPr>
        <w:tc>
          <w:tcPr>
            <w:tcW w:w="3402" w:type="dxa"/>
            <w:shd w:val="clear" w:color="auto" w:fill="auto"/>
            <w:vAlign w:val="bottom"/>
            <w:hideMark/>
          </w:tcPr>
          <w:p w14:paraId="5C3CDCD9" w14:textId="137755FC" w:rsidR="00B746BA" w:rsidRPr="00AF1DC5" w:rsidRDefault="00B746BA" w:rsidP="00B746BA">
            <w:pPr>
              <w:snapToGrid w:val="0"/>
              <w:spacing w:after="0" w:line="360" w:lineRule="auto"/>
              <w:jc w:val="both"/>
              <w:rPr>
                <w:rFonts w:ascii="Book Antiqua" w:eastAsia="Times New Roman" w:hAnsi="Book Antiqua" w:cs="Times New Roman"/>
                <w:iCs/>
                <w:sz w:val="24"/>
                <w:szCs w:val="24"/>
              </w:rPr>
            </w:pPr>
            <w:r w:rsidRPr="00AF1DC5">
              <w:rPr>
                <w:rFonts w:ascii="Book Antiqua" w:eastAsia="Times New Roman" w:hAnsi="Book Antiqua" w:cs="Times New Roman"/>
                <w:iCs/>
                <w:sz w:val="24"/>
                <w:szCs w:val="24"/>
              </w:rPr>
              <w:t>Renal/urologic flag</w:t>
            </w:r>
          </w:p>
        </w:tc>
        <w:tc>
          <w:tcPr>
            <w:tcW w:w="2410" w:type="dxa"/>
            <w:shd w:val="clear" w:color="auto" w:fill="auto"/>
            <w:noWrap/>
            <w:vAlign w:val="bottom"/>
            <w:hideMark/>
          </w:tcPr>
          <w:p w14:paraId="25F15FF4" w14:textId="43EF35F9" w:rsidR="00B746BA" w:rsidRPr="00AF1DC5" w:rsidRDefault="00FD06E5"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249 (3.61</w:t>
            </w:r>
            <w:r w:rsidR="00B746BA" w:rsidRPr="00AF1DC5">
              <w:rPr>
                <w:rFonts w:ascii="Book Antiqua" w:eastAsia="Times New Roman" w:hAnsi="Book Antiqua" w:cs="Times New Roman"/>
                <w:sz w:val="24"/>
                <w:szCs w:val="24"/>
              </w:rPr>
              <w:t>)</w:t>
            </w:r>
          </w:p>
        </w:tc>
        <w:tc>
          <w:tcPr>
            <w:tcW w:w="2434" w:type="dxa"/>
            <w:shd w:val="clear" w:color="auto" w:fill="auto"/>
            <w:noWrap/>
            <w:vAlign w:val="bottom"/>
            <w:hideMark/>
          </w:tcPr>
          <w:p w14:paraId="37FAD56E" w14:textId="7BDD0BC2" w:rsidR="00B746BA" w:rsidRPr="00AF1DC5" w:rsidRDefault="00FD06E5"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811 (3.21</w:t>
            </w:r>
            <w:r w:rsidR="00B746BA" w:rsidRPr="00AF1DC5">
              <w:rPr>
                <w:rFonts w:ascii="Book Antiqua" w:eastAsia="Times New Roman" w:hAnsi="Book Antiqua" w:cs="Times New Roman"/>
                <w:sz w:val="24"/>
                <w:szCs w:val="24"/>
              </w:rPr>
              <w:t>)</w:t>
            </w:r>
          </w:p>
        </w:tc>
        <w:tc>
          <w:tcPr>
            <w:tcW w:w="1472" w:type="dxa"/>
            <w:shd w:val="clear" w:color="auto" w:fill="auto"/>
            <w:noWrap/>
            <w:vAlign w:val="bottom"/>
            <w:hideMark/>
          </w:tcPr>
          <w:p w14:paraId="2CDAA2DF" w14:textId="5B75B5FF" w:rsidR="00B746BA" w:rsidRPr="00AF1DC5" w:rsidRDefault="00B746BA"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&lt;</w:t>
            </w:r>
            <w:r w:rsidR="00FD06E5" w:rsidRPr="00AF1DC5">
              <w:rPr>
                <w:rFonts w:ascii="Book Antiqua" w:hAnsi="Book Antiqua" w:cs="Times New Roman"/>
                <w:sz w:val="24"/>
                <w:szCs w:val="24"/>
                <w:lang w:eastAsia="zh-CN"/>
              </w:rPr>
              <w:t xml:space="preserve"> </w:t>
            </w:r>
            <w:r w:rsidRPr="00AF1DC5">
              <w:rPr>
                <w:rFonts w:ascii="Book Antiqua" w:eastAsia="Times New Roman" w:hAnsi="Book Antiqua" w:cs="Times New Roman"/>
                <w:sz w:val="24"/>
                <w:szCs w:val="24"/>
              </w:rPr>
              <w:t>0.0001</w:t>
            </w:r>
          </w:p>
        </w:tc>
      </w:tr>
      <w:tr w:rsidR="00AF1DC5" w:rsidRPr="00AF1DC5" w14:paraId="32A9A90D" w14:textId="77777777" w:rsidTr="00FD06E5">
        <w:trPr>
          <w:trHeight w:val="284"/>
        </w:trPr>
        <w:tc>
          <w:tcPr>
            <w:tcW w:w="3402" w:type="dxa"/>
            <w:shd w:val="clear" w:color="auto" w:fill="auto"/>
            <w:vAlign w:val="bottom"/>
            <w:hideMark/>
          </w:tcPr>
          <w:p w14:paraId="554C65EA" w14:textId="47E16B74" w:rsidR="00B746BA" w:rsidRPr="00AF1DC5" w:rsidRDefault="00B746BA" w:rsidP="00B746BA">
            <w:pPr>
              <w:snapToGrid w:val="0"/>
              <w:spacing w:after="0" w:line="360" w:lineRule="auto"/>
              <w:jc w:val="both"/>
              <w:rPr>
                <w:rFonts w:ascii="Book Antiqua" w:eastAsia="Times New Roman" w:hAnsi="Book Antiqua" w:cs="Times New Roman"/>
                <w:iCs/>
                <w:sz w:val="24"/>
                <w:szCs w:val="24"/>
              </w:rPr>
            </w:pPr>
            <w:r w:rsidRPr="00AF1DC5">
              <w:rPr>
                <w:rFonts w:ascii="Book Antiqua" w:eastAsia="Times New Roman" w:hAnsi="Book Antiqua" w:cs="Times New Roman"/>
                <w:iCs/>
                <w:sz w:val="24"/>
                <w:szCs w:val="24"/>
              </w:rPr>
              <w:t>Respiratory flag</w:t>
            </w:r>
          </w:p>
        </w:tc>
        <w:tc>
          <w:tcPr>
            <w:tcW w:w="2410" w:type="dxa"/>
            <w:shd w:val="clear" w:color="auto" w:fill="auto"/>
            <w:noWrap/>
            <w:vAlign w:val="bottom"/>
            <w:hideMark/>
          </w:tcPr>
          <w:p w14:paraId="6EEE9FAA" w14:textId="01879637" w:rsidR="00B746BA" w:rsidRPr="00AF1DC5" w:rsidRDefault="00FD06E5"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244 (3.54</w:t>
            </w:r>
            <w:r w:rsidR="00B746BA" w:rsidRPr="00AF1DC5">
              <w:rPr>
                <w:rFonts w:ascii="Book Antiqua" w:eastAsia="Times New Roman" w:hAnsi="Book Antiqua" w:cs="Times New Roman"/>
                <w:sz w:val="24"/>
                <w:szCs w:val="24"/>
              </w:rPr>
              <w:t>)</w:t>
            </w:r>
          </w:p>
        </w:tc>
        <w:tc>
          <w:tcPr>
            <w:tcW w:w="2434" w:type="dxa"/>
            <w:shd w:val="clear" w:color="auto" w:fill="auto"/>
            <w:noWrap/>
            <w:vAlign w:val="bottom"/>
            <w:hideMark/>
          </w:tcPr>
          <w:p w14:paraId="53703EE8" w14:textId="6093FD44" w:rsidR="00B746BA" w:rsidRPr="00AF1DC5" w:rsidRDefault="00FD06E5"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601 (2.38</w:t>
            </w:r>
            <w:r w:rsidR="00B746BA" w:rsidRPr="00AF1DC5">
              <w:rPr>
                <w:rFonts w:ascii="Book Antiqua" w:eastAsia="Times New Roman" w:hAnsi="Book Antiqua" w:cs="Times New Roman"/>
                <w:sz w:val="24"/>
                <w:szCs w:val="24"/>
              </w:rPr>
              <w:t>)</w:t>
            </w:r>
          </w:p>
        </w:tc>
        <w:tc>
          <w:tcPr>
            <w:tcW w:w="1472" w:type="dxa"/>
            <w:shd w:val="clear" w:color="auto" w:fill="auto"/>
            <w:noWrap/>
            <w:vAlign w:val="bottom"/>
            <w:hideMark/>
          </w:tcPr>
          <w:p w14:paraId="142A37C1" w14:textId="77777777" w:rsidR="00B746BA" w:rsidRPr="00AF1DC5" w:rsidRDefault="00B746BA"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0.0005</w:t>
            </w:r>
          </w:p>
        </w:tc>
      </w:tr>
      <w:tr w:rsidR="00AF1DC5" w:rsidRPr="00AF1DC5" w14:paraId="50A167BD" w14:textId="77777777" w:rsidTr="00FD06E5">
        <w:trPr>
          <w:trHeight w:val="284"/>
        </w:trPr>
        <w:tc>
          <w:tcPr>
            <w:tcW w:w="3402" w:type="dxa"/>
            <w:shd w:val="clear" w:color="auto" w:fill="auto"/>
            <w:vAlign w:val="bottom"/>
            <w:hideMark/>
          </w:tcPr>
          <w:p w14:paraId="31C72B92" w14:textId="28DCBD61" w:rsidR="00B746BA" w:rsidRPr="00AF1DC5" w:rsidRDefault="00B746BA" w:rsidP="00B746BA">
            <w:pPr>
              <w:snapToGrid w:val="0"/>
              <w:spacing w:after="0" w:line="360" w:lineRule="auto"/>
              <w:jc w:val="both"/>
              <w:rPr>
                <w:rFonts w:ascii="Book Antiqua" w:eastAsia="Times New Roman" w:hAnsi="Book Antiqua" w:cs="Times New Roman"/>
                <w:iCs/>
                <w:sz w:val="24"/>
                <w:szCs w:val="24"/>
              </w:rPr>
            </w:pPr>
            <w:r w:rsidRPr="00AF1DC5">
              <w:rPr>
                <w:rFonts w:ascii="Book Antiqua" w:eastAsia="Times New Roman" w:hAnsi="Book Antiqua" w:cs="Times New Roman"/>
                <w:iCs/>
                <w:sz w:val="24"/>
                <w:szCs w:val="24"/>
              </w:rPr>
              <w:t>Technology depend. flag</w:t>
            </w:r>
          </w:p>
        </w:tc>
        <w:tc>
          <w:tcPr>
            <w:tcW w:w="2410" w:type="dxa"/>
            <w:shd w:val="clear" w:color="auto" w:fill="auto"/>
            <w:noWrap/>
            <w:vAlign w:val="bottom"/>
            <w:hideMark/>
          </w:tcPr>
          <w:p w14:paraId="40DF3D55" w14:textId="0021AC28" w:rsidR="00B746BA" w:rsidRPr="00AF1DC5" w:rsidRDefault="00FD06E5"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1353 (19.63</w:t>
            </w:r>
            <w:r w:rsidR="00B746BA" w:rsidRPr="00AF1DC5">
              <w:rPr>
                <w:rFonts w:ascii="Book Antiqua" w:eastAsia="Times New Roman" w:hAnsi="Book Antiqua" w:cs="Times New Roman"/>
                <w:sz w:val="24"/>
                <w:szCs w:val="24"/>
              </w:rPr>
              <w:t>)</w:t>
            </w:r>
          </w:p>
        </w:tc>
        <w:tc>
          <w:tcPr>
            <w:tcW w:w="2434" w:type="dxa"/>
            <w:shd w:val="clear" w:color="auto" w:fill="auto"/>
            <w:noWrap/>
            <w:vAlign w:val="bottom"/>
            <w:hideMark/>
          </w:tcPr>
          <w:p w14:paraId="4F40AFAF" w14:textId="36DD0E55" w:rsidR="00B746BA" w:rsidRPr="00AF1DC5" w:rsidRDefault="00FD06E5"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2599 (10.28</w:t>
            </w:r>
            <w:r w:rsidR="00B746BA" w:rsidRPr="00AF1DC5">
              <w:rPr>
                <w:rFonts w:ascii="Book Antiqua" w:eastAsia="Times New Roman" w:hAnsi="Book Antiqua" w:cs="Times New Roman"/>
                <w:sz w:val="24"/>
                <w:szCs w:val="24"/>
              </w:rPr>
              <w:t>)</w:t>
            </w:r>
          </w:p>
        </w:tc>
        <w:tc>
          <w:tcPr>
            <w:tcW w:w="1472" w:type="dxa"/>
            <w:shd w:val="clear" w:color="auto" w:fill="auto"/>
            <w:noWrap/>
            <w:vAlign w:val="bottom"/>
            <w:hideMark/>
          </w:tcPr>
          <w:p w14:paraId="7FA0A330" w14:textId="77777777" w:rsidR="00B746BA" w:rsidRPr="00AF1DC5" w:rsidRDefault="00B746BA"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0.7331</w:t>
            </w:r>
          </w:p>
        </w:tc>
      </w:tr>
      <w:tr w:rsidR="00AF1DC5" w:rsidRPr="00AF1DC5" w14:paraId="70EFF952" w14:textId="77777777" w:rsidTr="00FD06E5">
        <w:trPr>
          <w:trHeight w:val="284"/>
        </w:trPr>
        <w:tc>
          <w:tcPr>
            <w:tcW w:w="3402" w:type="dxa"/>
            <w:shd w:val="clear" w:color="auto" w:fill="auto"/>
            <w:vAlign w:val="bottom"/>
            <w:hideMark/>
          </w:tcPr>
          <w:p w14:paraId="5B15AEE0" w14:textId="13A83749" w:rsidR="00B746BA" w:rsidRPr="00AF1DC5" w:rsidRDefault="00B746BA" w:rsidP="00B746BA">
            <w:pPr>
              <w:snapToGrid w:val="0"/>
              <w:spacing w:after="0" w:line="360" w:lineRule="auto"/>
              <w:jc w:val="both"/>
              <w:rPr>
                <w:rFonts w:ascii="Book Antiqua" w:eastAsia="Times New Roman" w:hAnsi="Book Antiqua" w:cs="Times New Roman"/>
                <w:iCs/>
                <w:sz w:val="24"/>
                <w:szCs w:val="24"/>
              </w:rPr>
            </w:pPr>
            <w:r w:rsidRPr="00AF1DC5">
              <w:rPr>
                <w:rFonts w:ascii="Book Antiqua" w:eastAsia="Times New Roman" w:hAnsi="Book Antiqua" w:cs="Times New Roman"/>
                <w:iCs/>
                <w:sz w:val="24"/>
                <w:szCs w:val="24"/>
              </w:rPr>
              <w:t>Transplant flag</w:t>
            </w:r>
          </w:p>
        </w:tc>
        <w:tc>
          <w:tcPr>
            <w:tcW w:w="2410" w:type="dxa"/>
            <w:shd w:val="clear" w:color="auto" w:fill="auto"/>
            <w:noWrap/>
            <w:vAlign w:val="bottom"/>
            <w:hideMark/>
          </w:tcPr>
          <w:p w14:paraId="69E2B2D2" w14:textId="645426AE" w:rsidR="00B746BA" w:rsidRPr="00AF1DC5" w:rsidRDefault="00FD06E5"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318 (4.61</w:t>
            </w:r>
            <w:r w:rsidR="00B746BA" w:rsidRPr="00AF1DC5">
              <w:rPr>
                <w:rFonts w:ascii="Book Antiqua" w:eastAsia="Times New Roman" w:hAnsi="Book Antiqua" w:cs="Times New Roman"/>
                <w:sz w:val="24"/>
                <w:szCs w:val="24"/>
              </w:rPr>
              <w:t>)</w:t>
            </w:r>
          </w:p>
        </w:tc>
        <w:tc>
          <w:tcPr>
            <w:tcW w:w="2434" w:type="dxa"/>
            <w:shd w:val="clear" w:color="auto" w:fill="auto"/>
            <w:noWrap/>
            <w:vAlign w:val="bottom"/>
            <w:hideMark/>
          </w:tcPr>
          <w:p w14:paraId="38F30E43" w14:textId="785BC37D" w:rsidR="00B746BA" w:rsidRPr="00AF1DC5" w:rsidRDefault="00FD06E5"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578 (2.29</w:t>
            </w:r>
            <w:r w:rsidR="00B746BA" w:rsidRPr="00AF1DC5">
              <w:rPr>
                <w:rFonts w:ascii="Book Antiqua" w:eastAsia="Times New Roman" w:hAnsi="Book Antiqua" w:cs="Times New Roman"/>
                <w:sz w:val="24"/>
                <w:szCs w:val="24"/>
              </w:rPr>
              <w:t>)</w:t>
            </w:r>
          </w:p>
        </w:tc>
        <w:tc>
          <w:tcPr>
            <w:tcW w:w="1472" w:type="dxa"/>
            <w:shd w:val="clear" w:color="auto" w:fill="auto"/>
            <w:noWrap/>
            <w:vAlign w:val="bottom"/>
            <w:hideMark/>
          </w:tcPr>
          <w:p w14:paraId="5F76F05D" w14:textId="77777777" w:rsidR="00B746BA" w:rsidRPr="00AF1DC5" w:rsidRDefault="00B746BA" w:rsidP="00B746BA">
            <w:pPr>
              <w:snapToGrid w:val="0"/>
              <w:spacing w:after="0" w:line="360" w:lineRule="auto"/>
              <w:jc w:val="center"/>
              <w:rPr>
                <w:rFonts w:ascii="Book Antiqua" w:eastAsia="Times New Roman" w:hAnsi="Book Antiqua" w:cs="Times New Roman"/>
                <w:sz w:val="24"/>
                <w:szCs w:val="24"/>
              </w:rPr>
            </w:pPr>
            <w:r w:rsidRPr="00AF1DC5">
              <w:rPr>
                <w:rFonts w:ascii="Book Antiqua" w:eastAsia="Times New Roman" w:hAnsi="Book Antiqua" w:cs="Times New Roman"/>
                <w:sz w:val="24"/>
                <w:szCs w:val="24"/>
              </w:rPr>
              <w:t>0.5374</w:t>
            </w:r>
          </w:p>
        </w:tc>
      </w:tr>
    </w:tbl>
    <w:p w14:paraId="5A52B8DC" w14:textId="40CF6AEB" w:rsidR="00B746BA" w:rsidRPr="00AF1DC5" w:rsidRDefault="00FD06E5" w:rsidP="00E50668">
      <w:pPr>
        <w:snapToGrid w:val="0"/>
        <w:spacing w:after="0" w:line="360" w:lineRule="auto"/>
        <w:jc w:val="both"/>
        <w:rPr>
          <w:rFonts w:ascii="Book Antiqua" w:hAnsi="Book Antiqua" w:cs="Courier New"/>
          <w:sz w:val="24"/>
          <w:szCs w:val="24"/>
          <w:lang w:eastAsia="zh-CN"/>
        </w:rPr>
      </w:pPr>
      <w:r w:rsidRPr="00AF1DC5">
        <w:rPr>
          <w:rFonts w:ascii="Book Antiqua" w:eastAsia="Times New Roman" w:hAnsi="Book Antiqua" w:cs="Times New Roman"/>
          <w:bCs/>
          <w:sz w:val="24"/>
          <w:szCs w:val="24"/>
        </w:rPr>
        <w:t>GI</w:t>
      </w:r>
      <w:r w:rsidRPr="00AF1DC5">
        <w:rPr>
          <w:rFonts w:ascii="Book Antiqua" w:hAnsi="Book Antiqua" w:cs="Times New Roman"/>
          <w:bCs/>
          <w:sz w:val="24"/>
          <w:szCs w:val="24"/>
          <w:lang w:eastAsia="zh-CN"/>
        </w:rPr>
        <w:t xml:space="preserve">: </w:t>
      </w:r>
      <w:r w:rsidRPr="00AF1DC5">
        <w:rPr>
          <w:rFonts w:ascii="Book Antiqua" w:eastAsia="Times New Roman" w:hAnsi="Book Antiqua" w:cs="Times New Roman"/>
          <w:bCs/>
          <w:caps/>
          <w:sz w:val="24"/>
          <w:szCs w:val="24"/>
        </w:rPr>
        <w:t>g</w:t>
      </w:r>
      <w:r w:rsidRPr="00AF1DC5">
        <w:rPr>
          <w:rFonts w:ascii="Book Antiqua" w:eastAsia="Times New Roman" w:hAnsi="Book Antiqua" w:cs="Times New Roman"/>
          <w:bCs/>
          <w:sz w:val="24"/>
          <w:szCs w:val="24"/>
        </w:rPr>
        <w:t>astrointestinal</w:t>
      </w:r>
      <w:r w:rsidRPr="00AF1DC5">
        <w:rPr>
          <w:rFonts w:ascii="Book Antiqua" w:hAnsi="Book Antiqua" w:cs="Times New Roman"/>
          <w:bCs/>
          <w:sz w:val="24"/>
          <w:szCs w:val="24"/>
          <w:lang w:eastAsia="zh-CN"/>
        </w:rPr>
        <w:t>.</w:t>
      </w:r>
    </w:p>
    <w:p w14:paraId="7B09A921" w14:textId="77777777" w:rsidR="00B746BA" w:rsidRPr="00AF1DC5" w:rsidRDefault="00B746BA">
      <w:pPr>
        <w:rPr>
          <w:rFonts w:ascii="Book Antiqua" w:hAnsi="Book Antiqua" w:cs="Courier New"/>
          <w:sz w:val="24"/>
          <w:szCs w:val="24"/>
        </w:rPr>
      </w:pPr>
      <w:r w:rsidRPr="00AF1DC5">
        <w:rPr>
          <w:rFonts w:ascii="Book Antiqua" w:hAnsi="Book Antiqua" w:cs="Courier New"/>
          <w:sz w:val="24"/>
          <w:szCs w:val="24"/>
        </w:rPr>
        <w:br w:type="page"/>
      </w:r>
    </w:p>
    <w:p w14:paraId="233EA049" w14:textId="45AECF85" w:rsidR="00FD06E5" w:rsidRPr="00AF1DC5" w:rsidRDefault="00FD06E5" w:rsidP="00E50668">
      <w:pPr>
        <w:snapToGrid w:val="0"/>
        <w:spacing w:after="0" w:line="360" w:lineRule="auto"/>
        <w:jc w:val="both"/>
        <w:rPr>
          <w:rFonts w:ascii="Book Antiqua" w:hAnsi="Book Antiqua" w:cs="Courier New"/>
          <w:sz w:val="24"/>
          <w:szCs w:val="24"/>
          <w:lang w:eastAsia="zh-CN"/>
        </w:rPr>
      </w:pPr>
      <w:r w:rsidRPr="00AF1DC5">
        <w:rPr>
          <w:rFonts w:ascii="Book Antiqua" w:hAnsi="Book Antiqua" w:cs="Courier New"/>
          <w:b/>
          <w:bCs/>
          <w:sz w:val="24"/>
          <w:szCs w:val="24"/>
        </w:rPr>
        <w:lastRenderedPageBreak/>
        <w:t xml:space="preserve">Table </w:t>
      </w:r>
      <w:r w:rsidR="00433297" w:rsidRPr="00AF1DC5">
        <w:rPr>
          <w:rFonts w:ascii="Book Antiqua" w:hAnsi="Book Antiqua" w:cs="Courier New"/>
          <w:b/>
          <w:bCs/>
          <w:sz w:val="24"/>
          <w:szCs w:val="24"/>
          <w:lang w:eastAsia="zh-CN"/>
        </w:rPr>
        <w:t>5</w:t>
      </w:r>
      <w:r w:rsidRPr="00AF1DC5">
        <w:rPr>
          <w:rFonts w:ascii="Book Antiqua" w:hAnsi="Book Antiqua" w:cs="Courier New"/>
          <w:b/>
          <w:bCs/>
          <w:sz w:val="24"/>
          <w:szCs w:val="24"/>
          <w:lang w:eastAsia="zh-CN"/>
        </w:rPr>
        <w:t xml:space="preserve"> </w:t>
      </w:r>
      <w:r w:rsidRPr="00AF1DC5">
        <w:rPr>
          <w:rFonts w:ascii="Book Antiqua" w:hAnsi="Book Antiqua" w:cs="Courier New"/>
          <w:b/>
          <w:bCs/>
          <w:sz w:val="24"/>
          <w:szCs w:val="24"/>
        </w:rPr>
        <w:t>Complex chronic conditions by discharge disposition</w:t>
      </w:r>
      <w:r w:rsidRPr="00AF1DC5">
        <w:rPr>
          <w:rFonts w:ascii="Book Antiqua" w:hAnsi="Book Antiqua" w:cs="Courier New"/>
          <w:b/>
          <w:bCs/>
          <w:sz w:val="24"/>
          <w:szCs w:val="24"/>
          <w:lang w:eastAsia="zh-CN"/>
        </w:rPr>
        <w:t xml:space="preserve"> </w:t>
      </w:r>
      <w:r w:rsidRPr="00AF1DC5">
        <w:rPr>
          <w:rFonts w:ascii="Book Antiqua" w:hAnsi="Book Antiqua" w:cs="Courier New"/>
          <w:b/>
          <w:bCs/>
          <w:i/>
          <w:sz w:val="24"/>
          <w:szCs w:val="24"/>
        </w:rPr>
        <w:t>n</w:t>
      </w:r>
      <w:r w:rsidRPr="00AF1DC5">
        <w:rPr>
          <w:rFonts w:ascii="Book Antiqua" w:hAnsi="Book Antiqua" w:cs="Courier New"/>
          <w:b/>
          <w:bCs/>
          <w:sz w:val="24"/>
          <w:szCs w:val="24"/>
        </w:rPr>
        <w:t xml:space="preserve"> (%)</w:t>
      </w:r>
    </w:p>
    <w:tbl>
      <w:tblPr>
        <w:tblW w:w="9343" w:type="dxa"/>
        <w:tblInd w:w="-34" w:type="dxa"/>
        <w:tblBorders>
          <w:top w:val="single" w:sz="4" w:space="0" w:color="000000"/>
          <w:bottom w:val="single" w:sz="4" w:space="0" w:color="000000"/>
        </w:tblBorders>
        <w:tblLook w:val="04A0" w:firstRow="1" w:lastRow="0" w:firstColumn="1" w:lastColumn="0" w:noHBand="0" w:noVBand="1"/>
      </w:tblPr>
      <w:tblGrid>
        <w:gridCol w:w="3244"/>
        <w:gridCol w:w="2668"/>
        <w:gridCol w:w="2024"/>
        <w:gridCol w:w="1407"/>
      </w:tblGrid>
      <w:tr w:rsidR="00AF1DC5" w:rsidRPr="00AF1DC5" w14:paraId="2DF64586" w14:textId="77777777" w:rsidTr="004B5518">
        <w:trPr>
          <w:trHeight w:val="408"/>
        </w:trPr>
        <w:tc>
          <w:tcPr>
            <w:tcW w:w="3244" w:type="dxa"/>
            <w:tcBorders>
              <w:top w:val="single" w:sz="4" w:space="0" w:color="000000"/>
              <w:bottom w:val="single" w:sz="4" w:space="0" w:color="000000"/>
            </w:tcBorders>
            <w:vAlign w:val="bottom"/>
            <w:hideMark/>
          </w:tcPr>
          <w:p w14:paraId="6DFDB426" w14:textId="15CB6649" w:rsidR="00FD06E5" w:rsidRPr="00AF1DC5" w:rsidRDefault="00FD06E5" w:rsidP="00467B5B">
            <w:pPr>
              <w:snapToGrid w:val="0"/>
              <w:spacing w:after="0" w:line="360" w:lineRule="auto"/>
              <w:jc w:val="both"/>
              <w:rPr>
                <w:rFonts w:ascii="Book Antiqua" w:hAnsi="Book Antiqua" w:cs="Courier New"/>
                <w:b/>
                <w:bCs/>
                <w:sz w:val="24"/>
                <w:szCs w:val="24"/>
                <w:lang w:eastAsia="zh-CN"/>
              </w:rPr>
            </w:pPr>
          </w:p>
        </w:tc>
        <w:tc>
          <w:tcPr>
            <w:tcW w:w="2668" w:type="dxa"/>
            <w:tcBorders>
              <w:top w:val="single" w:sz="4" w:space="0" w:color="000000"/>
              <w:bottom w:val="single" w:sz="4" w:space="0" w:color="000000"/>
            </w:tcBorders>
            <w:vAlign w:val="bottom"/>
            <w:hideMark/>
          </w:tcPr>
          <w:p w14:paraId="38F50AEB" w14:textId="71B05C22" w:rsidR="00FD06E5" w:rsidRPr="00AF1DC5" w:rsidRDefault="00FD06E5" w:rsidP="00FD06E5">
            <w:pPr>
              <w:snapToGrid w:val="0"/>
              <w:spacing w:after="0" w:line="360" w:lineRule="auto"/>
              <w:jc w:val="center"/>
              <w:rPr>
                <w:rFonts w:ascii="Book Antiqua" w:hAnsi="Book Antiqua" w:cs="Courier New"/>
                <w:b/>
                <w:bCs/>
                <w:sz w:val="24"/>
                <w:szCs w:val="24"/>
              </w:rPr>
            </w:pPr>
            <w:r w:rsidRPr="00AF1DC5">
              <w:rPr>
                <w:rFonts w:ascii="Book Antiqua" w:hAnsi="Book Antiqua" w:cs="Courier New"/>
                <w:b/>
                <w:bCs/>
                <w:sz w:val="24"/>
                <w:szCs w:val="24"/>
              </w:rPr>
              <w:t>Survived</w:t>
            </w:r>
            <w:r w:rsidRPr="00AF1DC5">
              <w:rPr>
                <w:rFonts w:ascii="Book Antiqua" w:hAnsi="Book Antiqua" w:cs="Courier New"/>
                <w:b/>
                <w:bCs/>
                <w:sz w:val="24"/>
                <w:szCs w:val="24"/>
                <w:lang w:eastAsia="zh-CN"/>
              </w:rPr>
              <w:t xml:space="preserve"> </w:t>
            </w:r>
            <w:r w:rsidRPr="00AF1DC5">
              <w:rPr>
                <w:rFonts w:ascii="Book Antiqua" w:hAnsi="Book Antiqua" w:cs="Courier New"/>
                <w:b/>
                <w:bCs/>
                <w:sz w:val="24"/>
                <w:szCs w:val="24"/>
              </w:rPr>
              <w:t>(</w:t>
            </w:r>
            <w:r w:rsidRPr="00AF1DC5">
              <w:rPr>
                <w:rFonts w:ascii="Book Antiqua" w:hAnsi="Book Antiqua" w:cs="Courier New"/>
                <w:b/>
                <w:bCs/>
                <w:i/>
                <w:sz w:val="24"/>
                <w:szCs w:val="24"/>
              </w:rPr>
              <w:t>n</w:t>
            </w:r>
            <w:r w:rsidRPr="00AF1DC5">
              <w:rPr>
                <w:rFonts w:ascii="Book Antiqua" w:hAnsi="Book Antiqua" w:cs="Courier New"/>
                <w:b/>
                <w:bCs/>
                <w:sz w:val="24"/>
                <w:szCs w:val="24"/>
              </w:rPr>
              <w:t xml:space="preserve"> =</w:t>
            </w:r>
            <w:r w:rsidRPr="00AF1DC5">
              <w:rPr>
                <w:rFonts w:ascii="Book Antiqua" w:hAnsi="Book Antiqua" w:cs="Courier New"/>
                <w:b/>
                <w:bCs/>
                <w:sz w:val="24"/>
                <w:szCs w:val="24"/>
                <w:lang w:eastAsia="zh-CN"/>
              </w:rPr>
              <w:t xml:space="preserve"> </w:t>
            </w:r>
            <w:r w:rsidRPr="00AF1DC5">
              <w:rPr>
                <w:rFonts w:ascii="Book Antiqua" w:hAnsi="Book Antiqua" w:cs="Courier New"/>
                <w:b/>
                <w:bCs/>
                <w:sz w:val="24"/>
                <w:szCs w:val="24"/>
              </w:rPr>
              <w:t>19124)</w:t>
            </w:r>
          </w:p>
        </w:tc>
        <w:tc>
          <w:tcPr>
            <w:tcW w:w="2024" w:type="dxa"/>
            <w:tcBorders>
              <w:top w:val="single" w:sz="4" w:space="0" w:color="000000"/>
              <w:bottom w:val="single" w:sz="4" w:space="0" w:color="000000"/>
            </w:tcBorders>
            <w:vAlign w:val="bottom"/>
            <w:hideMark/>
          </w:tcPr>
          <w:p w14:paraId="2BB0AF9D" w14:textId="203F13E5" w:rsidR="00FD06E5" w:rsidRPr="00AF1DC5" w:rsidRDefault="00FD06E5" w:rsidP="00FD06E5">
            <w:pPr>
              <w:snapToGrid w:val="0"/>
              <w:spacing w:after="0" w:line="360" w:lineRule="auto"/>
              <w:jc w:val="center"/>
              <w:rPr>
                <w:rFonts w:ascii="Book Antiqua" w:hAnsi="Book Antiqua" w:cs="Courier New"/>
                <w:b/>
                <w:bCs/>
                <w:sz w:val="24"/>
                <w:szCs w:val="24"/>
              </w:rPr>
            </w:pPr>
            <w:r w:rsidRPr="00AF1DC5">
              <w:rPr>
                <w:rFonts w:ascii="Book Antiqua" w:hAnsi="Book Antiqua" w:cs="Courier New"/>
                <w:b/>
                <w:bCs/>
                <w:sz w:val="24"/>
                <w:szCs w:val="24"/>
              </w:rPr>
              <w:t>Died (</w:t>
            </w:r>
            <w:r w:rsidRPr="00AF1DC5">
              <w:rPr>
                <w:rFonts w:ascii="Book Antiqua" w:hAnsi="Book Antiqua" w:cs="Courier New"/>
                <w:b/>
                <w:bCs/>
                <w:i/>
                <w:sz w:val="24"/>
                <w:szCs w:val="24"/>
              </w:rPr>
              <w:t>n</w:t>
            </w:r>
            <w:r w:rsidRPr="00AF1DC5">
              <w:rPr>
                <w:rFonts w:ascii="Book Antiqua" w:hAnsi="Book Antiqua" w:cs="Courier New"/>
                <w:b/>
                <w:bCs/>
                <w:sz w:val="24"/>
                <w:szCs w:val="24"/>
              </w:rPr>
              <w:t xml:space="preserve"> =</w:t>
            </w:r>
            <w:r w:rsidRPr="00AF1DC5">
              <w:rPr>
                <w:rFonts w:ascii="Book Antiqua" w:hAnsi="Book Antiqua" w:cs="Courier New"/>
                <w:b/>
                <w:bCs/>
                <w:sz w:val="24"/>
                <w:szCs w:val="24"/>
                <w:lang w:eastAsia="zh-CN"/>
              </w:rPr>
              <w:t xml:space="preserve"> </w:t>
            </w:r>
            <w:r w:rsidRPr="00AF1DC5">
              <w:rPr>
                <w:rFonts w:ascii="Book Antiqua" w:hAnsi="Book Antiqua" w:cs="Courier New"/>
                <w:b/>
                <w:bCs/>
                <w:sz w:val="24"/>
                <w:szCs w:val="24"/>
              </w:rPr>
              <w:t>404)</w:t>
            </w:r>
          </w:p>
        </w:tc>
        <w:tc>
          <w:tcPr>
            <w:tcW w:w="1407" w:type="dxa"/>
            <w:tcBorders>
              <w:top w:val="single" w:sz="4" w:space="0" w:color="000000"/>
              <w:bottom w:val="single" w:sz="4" w:space="0" w:color="000000"/>
            </w:tcBorders>
            <w:vAlign w:val="bottom"/>
            <w:hideMark/>
          </w:tcPr>
          <w:p w14:paraId="344DF67F" w14:textId="64254A06" w:rsidR="00FD06E5" w:rsidRPr="00AF1DC5" w:rsidRDefault="00FD06E5" w:rsidP="00FD06E5">
            <w:pPr>
              <w:snapToGrid w:val="0"/>
              <w:spacing w:after="0" w:line="360" w:lineRule="auto"/>
              <w:jc w:val="center"/>
              <w:rPr>
                <w:rFonts w:ascii="Book Antiqua" w:hAnsi="Book Antiqua" w:cs="Courier New"/>
                <w:b/>
                <w:bCs/>
                <w:sz w:val="24"/>
                <w:szCs w:val="24"/>
              </w:rPr>
            </w:pPr>
            <w:r w:rsidRPr="00AF1DC5">
              <w:rPr>
                <w:rFonts w:ascii="Book Antiqua" w:hAnsi="Book Antiqua" w:cs="Courier New"/>
                <w:b/>
                <w:bCs/>
                <w:i/>
                <w:sz w:val="24"/>
                <w:szCs w:val="24"/>
              </w:rPr>
              <w:t>P</w:t>
            </w:r>
            <w:r w:rsidRPr="00AF1DC5">
              <w:rPr>
                <w:rFonts w:ascii="Book Antiqua" w:hAnsi="Book Antiqua" w:cs="Courier New"/>
                <w:b/>
                <w:bCs/>
                <w:sz w:val="24"/>
                <w:szCs w:val="24"/>
                <w:lang w:eastAsia="zh-CN"/>
              </w:rPr>
              <w:t xml:space="preserve"> </w:t>
            </w:r>
            <w:r w:rsidRPr="00AF1DC5">
              <w:rPr>
                <w:rFonts w:ascii="Book Antiqua" w:hAnsi="Book Antiqua" w:cs="Courier New"/>
                <w:b/>
                <w:bCs/>
                <w:sz w:val="24"/>
                <w:szCs w:val="24"/>
              </w:rPr>
              <w:t>value</w:t>
            </w:r>
          </w:p>
        </w:tc>
      </w:tr>
      <w:tr w:rsidR="00AF1DC5" w:rsidRPr="00AF1DC5" w14:paraId="24CC1E87" w14:textId="77777777" w:rsidTr="004B5518">
        <w:trPr>
          <w:trHeight w:val="297"/>
        </w:trPr>
        <w:tc>
          <w:tcPr>
            <w:tcW w:w="3244" w:type="dxa"/>
            <w:tcBorders>
              <w:top w:val="single" w:sz="4" w:space="0" w:color="000000"/>
            </w:tcBorders>
            <w:vAlign w:val="bottom"/>
            <w:hideMark/>
          </w:tcPr>
          <w:p w14:paraId="5BD5E1EC" w14:textId="0A449F74" w:rsidR="00FD06E5" w:rsidRPr="00AF1DC5" w:rsidRDefault="00E54F5F" w:rsidP="00467B5B">
            <w:pPr>
              <w:snapToGrid w:val="0"/>
              <w:spacing w:after="0" w:line="360" w:lineRule="auto"/>
              <w:jc w:val="both"/>
              <w:rPr>
                <w:rFonts w:ascii="Book Antiqua" w:hAnsi="Book Antiqua" w:cs="Courier New"/>
                <w:iCs/>
                <w:sz w:val="24"/>
                <w:szCs w:val="24"/>
              </w:rPr>
            </w:pPr>
            <w:r w:rsidRPr="00AF1DC5">
              <w:rPr>
                <w:rFonts w:ascii="Book Antiqua" w:eastAsia="Times New Roman" w:hAnsi="Book Antiqua" w:cs="Times New Roman"/>
                <w:bCs/>
                <w:caps/>
                <w:sz w:val="24"/>
                <w:szCs w:val="24"/>
              </w:rPr>
              <w:t>g</w:t>
            </w:r>
            <w:r w:rsidRPr="00AF1DC5">
              <w:rPr>
                <w:rFonts w:ascii="Book Antiqua" w:eastAsia="Times New Roman" w:hAnsi="Book Antiqua" w:cs="Times New Roman"/>
                <w:bCs/>
                <w:sz w:val="24"/>
                <w:szCs w:val="24"/>
              </w:rPr>
              <w:t>astrointestinal</w:t>
            </w:r>
            <w:r w:rsidR="00FD06E5" w:rsidRPr="00AF1DC5">
              <w:rPr>
                <w:rFonts w:ascii="Book Antiqua" w:hAnsi="Book Antiqua" w:cs="Courier New"/>
                <w:iCs/>
                <w:sz w:val="24"/>
                <w:szCs w:val="24"/>
              </w:rPr>
              <w:t xml:space="preserve"> flag</w:t>
            </w:r>
          </w:p>
        </w:tc>
        <w:tc>
          <w:tcPr>
            <w:tcW w:w="2668" w:type="dxa"/>
            <w:tcBorders>
              <w:top w:val="single" w:sz="4" w:space="0" w:color="000000"/>
            </w:tcBorders>
            <w:noWrap/>
            <w:vAlign w:val="bottom"/>
            <w:hideMark/>
          </w:tcPr>
          <w:p w14:paraId="3748F613" w14:textId="5B7B995B"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5351 (27.98)</w:t>
            </w:r>
          </w:p>
        </w:tc>
        <w:tc>
          <w:tcPr>
            <w:tcW w:w="2024" w:type="dxa"/>
            <w:tcBorders>
              <w:top w:val="single" w:sz="4" w:space="0" w:color="000000"/>
            </w:tcBorders>
            <w:noWrap/>
            <w:vAlign w:val="bottom"/>
            <w:hideMark/>
          </w:tcPr>
          <w:p w14:paraId="0514FA7E" w14:textId="1C985D58"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159 (39.36)</w:t>
            </w:r>
          </w:p>
        </w:tc>
        <w:tc>
          <w:tcPr>
            <w:tcW w:w="1407" w:type="dxa"/>
            <w:tcBorders>
              <w:top w:val="single" w:sz="4" w:space="0" w:color="000000"/>
            </w:tcBorders>
            <w:noWrap/>
            <w:vAlign w:val="bottom"/>
            <w:hideMark/>
          </w:tcPr>
          <w:p w14:paraId="10DA611C" w14:textId="6C8EAB9F"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7CA590D4" w14:textId="77777777" w:rsidTr="004B5518">
        <w:trPr>
          <w:trHeight w:val="286"/>
        </w:trPr>
        <w:tc>
          <w:tcPr>
            <w:tcW w:w="3244" w:type="dxa"/>
            <w:vAlign w:val="bottom"/>
            <w:hideMark/>
          </w:tcPr>
          <w:p w14:paraId="45BBF317" w14:textId="2A1B8D30" w:rsidR="00FD06E5" w:rsidRPr="00AF1DC5" w:rsidRDefault="00FD06E5" w:rsidP="00467B5B">
            <w:pPr>
              <w:snapToGrid w:val="0"/>
              <w:spacing w:after="0" w:line="360" w:lineRule="auto"/>
              <w:jc w:val="both"/>
              <w:rPr>
                <w:rFonts w:ascii="Book Antiqua" w:hAnsi="Book Antiqua" w:cs="Courier New"/>
                <w:iCs/>
                <w:sz w:val="24"/>
                <w:szCs w:val="24"/>
              </w:rPr>
            </w:pPr>
            <w:r w:rsidRPr="00AF1DC5">
              <w:rPr>
                <w:rFonts w:ascii="Book Antiqua" w:hAnsi="Book Antiqua" w:cs="Courier New"/>
                <w:iCs/>
                <w:sz w:val="24"/>
                <w:szCs w:val="24"/>
              </w:rPr>
              <w:t>Cardiovascular flag</w:t>
            </w:r>
          </w:p>
        </w:tc>
        <w:tc>
          <w:tcPr>
            <w:tcW w:w="2668" w:type="dxa"/>
            <w:noWrap/>
            <w:vAlign w:val="bottom"/>
            <w:hideMark/>
          </w:tcPr>
          <w:p w14:paraId="56698F39" w14:textId="70AD9B63"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1543 (8.07)</w:t>
            </w:r>
          </w:p>
        </w:tc>
        <w:tc>
          <w:tcPr>
            <w:tcW w:w="2024" w:type="dxa"/>
            <w:noWrap/>
            <w:vAlign w:val="bottom"/>
            <w:hideMark/>
          </w:tcPr>
          <w:p w14:paraId="2AA85DB1" w14:textId="1DE909F1"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162 (40.10)</w:t>
            </w:r>
          </w:p>
        </w:tc>
        <w:tc>
          <w:tcPr>
            <w:tcW w:w="1407" w:type="dxa"/>
            <w:noWrap/>
            <w:vAlign w:val="bottom"/>
            <w:hideMark/>
          </w:tcPr>
          <w:p w14:paraId="181F1CEE" w14:textId="7486A5AC"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7EA7FDE1" w14:textId="77777777" w:rsidTr="004B5518">
        <w:trPr>
          <w:trHeight w:val="286"/>
        </w:trPr>
        <w:tc>
          <w:tcPr>
            <w:tcW w:w="3244" w:type="dxa"/>
            <w:vAlign w:val="bottom"/>
            <w:hideMark/>
          </w:tcPr>
          <w:p w14:paraId="76B201F5" w14:textId="370B338A" w:rsidR="00FD06E5" w:rsidRPr="00AF1DC5" w:rsidRDefault="00FD06E5" w:rsidP="00467B5B">
            <w:pPr>
              <w:snapToGrid w:val="0"/>
              <w:spacing w:after="0" w:line="360" w:lineRule="auto"/>
              <w:jc w:val="both"/>
              <w:rPr>
                <w:rFonts w:ascii="Book Antiqua" w:hAnsi="Book Antiqua" w:cs="Courier New"/>
                <w:iCs/>
                <w:sz w:val="24"/>
                <w:szCs w:val="24"/>
              </w:rPr>
            </w:pPr>
            <w:r w:rsidRPr="00AF1DC5">
              <w:rPr>
                <w:rFonts w:ascii="Book Antiqua" w:hAnsi="Book Antiqua" w:cs="Courier New"/>
                <w:iCs/>
                <w:sz w:val="24"/>
                <w:szCs w:val="24"/>
              </w:rPr>
              <w:t xml:space="preserve">Hem/immunologic </w:t>
            </w:r>
            <w:r w:rsidR="0046723E" w:rsidRPr="00AF1DC5">
              <w:rPr>
                <w:rFonts w:ascii="Book Antiqua" w:hAnsi="Book Antiqua" w:cs="Courier New"/>
                <w:iCs/>
                <w:sz w:val="24"/>
                <w:szCs w:val="24"/>
              </w:rPr>
              <w:t>f</w:t>
            </w:r>
            <w:r w:rsidRPr="00AF1DC5">
              <w:rPr>
                <w:rFonts w:ascii="Book Antiqua" w:hAnsi="Book Antiqua" w:cs="Courier New"/>
                <w:iCs/>
                <w:sz w:val="24"/>
                <w:szCs w:val="24"/>
              </w:rPr>
              <w:t>lag</w:t>
            </w:r>
          </w:p>
        </w:tc>
        <w:tc>
          <w:tcPr>
            <w:tcW w:w="2668" w:type="dxa"/>
            <w:noWrap/>
            <w:vAlign w:val="bottom"/>
            <w:hideMark/>
          </w:tcPr>
          <w:p w14:paraId="26021867" w14:textId="647028E2"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1662 (8.69)</w:t>
            </w:r>
          </w:p>
        </w:tc>
        <w:tc>
          <w:tcPr>
            <w:tcW w:w="2024" w:type="dxa"/>
            <w:noWrap/>
            <w:vAlign w:val="bottom"/>
            <w:hideMark/>
          </w:tcPr>
          <w:p w14:paraId="396EFFC2" w14:textId="7D580F14"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152 (37.62)</w:t>
            </w:r>
          </w:p>
        </w:tc>
        <w:tc>
          <w:tcPr>
            <w:tcW w:w="1407" w:type="dxa"/>
            <w:noWrap/>
            <w:vAlign w:val="bottom"/>
            <w:hideMark/>
          </w:tcPr>
          <w:p w14:paraId="7256953B" w14:textId="2B18E144"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31224B01" w14:textId="77777777" w:rsidTr="004B5518">
        <w:trPr>
          <w:trHeight w:val="286"/>
        </w:trPr>
        <w:tc>
          <w:tcPr>
            <w:tcW w:w="3244" w:type="dxa"/>
            <w:vAlign w:val="bottom"/>
            <w:hideMark/>
          </w:tcPr>
          <w:p w14:paraId="0DC38DEA" w14:textId="77777777" w:rsidR="00FD06E5" w:rsidRPr="00AF1DC5" w:rsidRDefault="00FD06E5" w:rsidP="00467B5B">
            <w:pPr>
              <w:snapToGrid w:val="0"/>
              <w:spacing w:after="0" w:line="360" w:lineRule="auto"/>
              <w:jc w:val="both"/>
              <w:rPr>
                <w:rFonts w:ascii="Book Antiqua" w:hAnsi="Book Antiqua" w:cs="Courier New"/>
                <w:iCs/>
                <w:sz w:val="24"/>
                <w:szCs w:val="24"/>
              </w:rPr>
            </w:pPr>
            <w:r w:rsidRPr="00AF1DC5">
              <w:rPr>
                <w:rFonts w:ascii="Book Antiqua" w:hAnsi="Book Antiqua" w:cs="Courier New"/>
                <w:iCs/>
                <w:sz w:val="24"/>
                <w:szCs w:val="24"/>
              </w:rPr>
              <w:t>Malignancy</w:t>
            </w:r>
          </w:p>
        </w:tc>
        <w:tc>
          <w:tcPr>
            <w:tcW w:w="2668" w:type="dxa"/>
            <w:noWrap/>
            <w:vAlign w:val="bottom"/>
            <w:hideMark/>
          </w:tcPr>
          <w:p w14:paraId="2227F026" w14:textId="6ABB875C"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1164 (6.09)</w:t>
            </w:r>
          </w:p>
        </w:tc>
        <w:tc>
          <w:tcPr>
            <w:tcW w:w="2024" w:type="dxa"/>
            <w:noWrap/>
            <w:vAlign w:val="bottom"/>
            <w:hideMark/>
          </w:tcPr>
          <w:p w14:paraId="7134A6BC" w14:textId="6B1C78A6"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135 (33.42)</w:t>
            </w:r>
          </w:p>
        </w:tc>
        <w:tc>
          <w:tcPr>
            <w:tcW w:w="1407" w:type="dxa"/>
            <w:noWrap/>
            <w:vAlign w:val="bottom"/>
            <w:hideMark/>
          </w:tcPr>
          <w:p w14:paraId="0BED7EB3" w14:textId="7E87641E"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22FC4A61" w14:textId="77777777" w:rsidTr="004B5518">
        <w:trPr>
          <w:trHeight w:val="286"/>
        </w:trPr>
        <w:tc>
          <w:tcPr>
            <w:tcW w:w="3244" w:type="dxa"/>
            <w:vAlign w:val="bottom"/>
            <w:hideMark/>
          </w:tcPr>
          <w:p w14:paraId="0BA44520" w14:textId="158B1191" w:rsidR="00FD06E5" w:rsidRPr="00AF1DC5" w:rsidRDefault="00FD06E5" w:rsidP="00467B5B">
            <w:pPr>
              <w:snapToGrid w:val="0"/>
              <w:spacing w:after="0" w:line="360" w:lineRule="auto"/>
              <w:jc w:val="both"/>
              <w:rPr>
                <w:rFonts w:ascii="Book Antiqua" w:hAnsi="Book Antiqua" w:cs="Courier New"/>
                <w:iCs/>
                <w:sz w:val="24"/>
                <w:szCs w:val="24"/>
              </w:rPr>
            </w:pPr>
            <w:r w:rsidRPr="00AF1DC5">
              <w:rPr>
                <w:rFonts w:ascii="Book Antiqua" w:hAnsi="Book Antiqua" w:cs="Courier New"/>
                <w:iCs/>
                <w:sz w:val="24"/>
                <w:szCs w:val="24"/>
              </w:rPr>
              <w:t>Metabolic flag</w:t>
            </w:r>
          </w:p>
        </w:tc>
        <w:tc>
          <w:tcPr>
            <w:tcW w:w="2668" w:type="dxa"/>
            <w:noWrap/>
            <w:vAlign w:val="bottom"/>
            <w:hideMark/>
          </w:tcPr>
          <w:p w14:paraId="37FC9559" w14:textId="349F1412"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1138 (5.95)</w:t>
            </w:r>
          </w:p>
        </w:tc>
        <w:tc>
          <w:tcPr>
            <w:tcW w:w="2024" w:type="dxa"/>
            <w:noWrap/>
            <w:vAlign w:val="bottom"/>
            <w:hideMark/>
          </w:tcPr>
          <w:p w14:paraId="6FFA3E10" w14:textId="6A29139C"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135 (33.42)</w:t>
            </w:r>
          </w:p>
        </w:tc>
        <w:tc>
          <w:tcPr>
            <w:tcW w:w="1407" w:type="dxa"/>
            <w:noWrap/>
            <w:vAlign w:val="bottom"/>
            <w:hideMark/>
          </w:tcPr>
          <w:p w14:paraId="6E2BD7A2" w14:textId="4DC0F517"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74F224C4" w14:textId="77777777" w:rsidTr="004B5518">
        <w:trPr>
          <w:trHeight w:val="338"/>
        </w:trPr>
        <w:tc>
          <w:tcPr>
            <w:tcW w:w="3244" w:type="dxa"/>
            <w:vAlign w:val="bottom"/>
            <w:hideMark/>
          </w:tcPr>
          <w:p w14:paraId="43BE2DB3" w14:textId="493D96EE" w:rsidR="00FD06E5" w:rsidRPr="00AF1DC5" w:rsidRDefault="00FD06E5" w:rsidP="00467B5B">
            <w:pPr>
              <w:snapToGrid w:val="0"/>
              <w:spacing w:after="0" w:line="360" w:lineRule="auto"/>
              <w:jc w:val="both"/>
              <w:rPr>
                <w:rFonts w:ascii="Book Antiqua" w:hAnsi="Book Antiqua" w:cs="Courier New"/>
                <w:iCs/>
                <w:sz w:val="24"/>
                <w:szCs w:val="24"/>
              </w:rPr>
            </w:pPr>
            <w:r w:rsidRPr="00AF1DC5">
              <w:rPr>
                <w:rFonts w:ascii="Book Antiqua" w:hAnsi="Book Antiqua" w:cs="Courier New"/>
                <w:iCs/>
                <w:sz w:val="24"/>
                <w:szCs w:val="24"/>
              </w:rPr>
              <w:t>Neurologic/neuromusc flag</w:t>
            </w:r>
          </w:p>
        </w:tc>
        <w:tc>
          <w:tcPr>
            <w:tcW w:w="2668" w:type="dxa"/>
            <w:noWrap/>
            <w:vAlign w:val="bottom"/>
            <w:hideMark/>
          </w:tcPr>
          <w:p w14:paraId="71EC0A49" w14:textId="61AAF88A"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2570 (13.44)</w:t>
            </w:r>
          </w:p>
        </w:tc>
        <w:tc>
          <w:tcPr>
            <w:tcW w:w="2024" w:type="dxa"/>
            <w:noWrap/>
            <w:vAlign w:val="bottom"/>
            <w:hideMark/>
          </w:tcPr>
          <w:p w14:paraId="07537FB2" w14:textId="644E1C21"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145 (35.89)</w:t>
            </w:r>
          </w:p>
        </w:tc>
        <w:tc>
          <w:tcPr>
            <w:tcW w:w="1407" w:type="dxa"/>
            <w:noWrap/>
            <w:vAlign w:val="bottom"/>
            <w:hideMark/>
          </w:tcPr>
          <w:p w14:paraId="295675CE" w14:textId="3621E7A8"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4065CB79" w14:textId="77777777" w:rsidTr="004B5518">
        <w:trPr>
          <w:trHeight w:val="286"/>
        </w:trPr>
        <w:tc>
          <w:tcPr>
            <w:tcW w:w="3244" w:type="dxa"/>
            <w:vAlign w:val="bottom"/>
            <w:hideMark/>
          </w:tcPr>
          <w:p w14:paraId="0879779B" w14:textId="611D7FDF" w:rsidR="00FD06E5" w:rsidRPr="00AF1DC5" w:rsidRDefault="00FD06E5" w:rsidP="00467B5B">
            <w:pPr>
              <w:snapToGrid w:val="0"/>
              <w:spacing w:after="0" w:line="360" w:lineRule="auto"/>
              <w:jc w:val="both"/>
              <w:rPr>
                <w:rFonts w:ascii="Book Antiqua" w:hAnsi="Book Antiqua" w:cs="Courier New"/>
                <w:iCs/>
                <w:sz w:val="24"/>
                <w:szCs w:val="24"/>
              </w:rPr>
            </w:pPr>
            <w:r w:rsidRPr="00AF1DC5">
              <w:rPr>
                <w:rFonts w:ascii="Book Antiqua" w:hAnsi="Book Antiqua" w:cs="Courier New"/>
                <w:iCs/>
                <w:sz w:val="24"/>
                <w:szCs w:val="24"/>
              </w:rPr>
              <w:t>Congenital/genetic flag</w:t>
            </w:r>
          </w:p>
        </w:tc>
        <w:tc>
          <w:tcPr>
            <w:tcW w:w="2668" w:type="dxa"/>
            <w:noWrap/>
            <w:vAlign w:val="bottom"/>
            <w:hideMark/>
          </w:tcPr>
          <w:p w14:paraId="36EE2749" w14:textId="506A6D59"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1838 (9.61)</w:t>
            </w:r>
          </w:p>
        </w:tc>
        <w:tc>
          <w:tcPr>
            <w:tcW w:w="2024" w:type="dxa"/>
            <w:noWrap/>
            <w:vAlign w:val="bottom"/>
            <w:hideMark/>
          </w:tcPr>
          <w:p w14:paraId="6965FB47" w14:textId="74D236C8"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81 (20.05)</w:t>
            </w:r>
          </w:p>
        </w:tc>
        <w:tc>
          <w:tcPr>
            <w:tcW w:w="1407" w:type="dxa"/>
            <w:noWrap/>
            <w:vAlign w:val="bottom"/>
            <w:hideMark/>
          </w:tcPr>
          <w:p w14:paraId="0865B1E1" w14:textId="60ABB3E9"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09DB0EE2" w14:textId="77777777" w:rsidTr="004B5518">
        <w:trPr>
          <w:trHeight w:val="286"/>
        </w:trPr>
        <w:tc>
          <w:tcPr>
            <w:tcW w:w="3244" w:type="dxa"/>
            <w:vAlign w:val="bottom"/>
            <w:hideMark/>
          </w:tcPr>
          <w:p w14:paraId="1C3BA66B" w14:textId="2D252C75" w:rsidR="00FD06E5" w:rsidRPr="00AF1DC5" w:rsidRDefault="00FD06E5" w:rsidP="00467B5B">
            <w:pPr>
              <w:snapToGrid w:val="0"/>
              <w:spacing w:after="0" w:line="360" w:lineRule="auto"/>
              <w:jc w:val="both"/>
              <w:rPr>
                <w:rFonts w:ascii="Book Antiqua" w:hAnsi="Book Antiqua" w:cs="Courier New"/>
                <w:iCs/>
                <w:sz w:val="24"/>
                <w:szCs w:val="24"/>
              </w:rPr>
            </w:pPr>
            <w:r w:rsidRPr="00AF1DC5">
              <w:rPr>
                <w:rFonts w:ascii="Book Antiqua" w:hAnsi="Book Antiqua" w:cs="Courier New"/>
                <w:iCs/>
                <w:sz w:val="24"/>
                <w:szCs w:val="24"/>
              </w:rPr>
              <w:t>Renal/urologic flag</w:t>
            </w:r>
          </w:p>
        </w:tc>
        <w:tc>
          <w:tcPr>
            <w:tcW w:w="2668" w:type="dxa"/>
            <w:noWrap/>
            <w:vAlign w:val="bottom"/>
            <w:hideMark/>
          </w:tcPr>
          <w:p w14:paraId="376C18F5" w14:textId="05D6C9C3"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927 (4.85)</w:t>
            </w:r>
          </w:p>
        </w:tc>
        <w:tc>
          <w:tcPr>
            <w:tcW w:w="2024" w:type="dxa"/>
            <w:noWrap/>
            <w:vAlign w:val="bottom"/>
            <w:hideMark/>
          </w:tcPr>
          <w:p w14:paraId="490650C9" w14:textId="09C05EAA"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133 (32.92)</w:t>
            </w:r>
          </w:p>
        </w:tc>
        <w:tc>
          <w:tcPr>
            <w:tcW w:w="1407" w:type="dxa"/>
            <w:noWrap/>
            <w:vAlign w:val="bottom"/>
            <w:hideMark/>
          </w:tcPr>
          <w:p w14:paraId="12560A6F" w14:textId="618FB1FA"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606C690C" w14:textId="77777777" w:rsidTr="004B5518">
        <w:trPr>
          <w:trHeight w:val="286"/>
        </w:trPr>
        <w:tc>
          <w:tcPr>
            <w:tcW w:w="3244" w:type="dxa"/>
            <w:vAlign w:val="bottom"/>
            <w:hideMark/>
          </w:tcPr>
          <w:p w14:paraId="33D69D50" w14:textId="7AB9B811" w:rsidR="00FD06E5" w:rsidRPr="00AF1DC5" w:rsidRDefault="00FD06E5" w:rsidP="00467B5B">
            <w:pPr>
              <w:snapToGrid w:val="0"/>
              <w:spacing w:after="0" w:line="360" w:lineRule="auto"/>
              <w:jc w:val="both"/>
              <w:rPr>
                <w:rFonts w:ascii="Book Antiqua" w:hAnsi="Book Antiqua" w:cs="Courier New"/>
                <w:iCs/>
                <w:sz w:val="24"/>
                <w:szCs w:val="24"/>
              </w:rPr>
            </w:pPr>
            <w:r w:rsidRPr="00AF1DC5">
              <w:rPr>
                <w:rFonts w:ascii="Book Antiqua" w:hAnsi="Book Antiqua" w:cs="Courier New"/>
                <w:iCs/>
                <w:sz w:val="24"/>
                <w:szCs w:val="24"/>
              </w:rPr>
              <w:t>Respiratory flag</w:t>
            </w:r>
          </w:p>
        </w:tc>
        <w:tc>
          <w:tcPr>
            <w:tcW w:w="2668" w:type="dxa"/>
            <w:noWrap/>
            <w:vAlign w:val="bottom"/>
            <w:hideMark/>
          </w:tcPr>
          <w:p w14:paraId="4B5DDC28" w14:textId="1894B23B"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780 (4.08)</w:t>
            </w:r>
          </w:p>
        </w:tc>
        <w:tc>
          <w:tcPr>
            <w:tcW w:w="2024" w:type="dxa"/>
            <w:noWrap/>
            <w:vAlign w:val="bottom"/>
            <w:hideMark/>
          </w:tcPr>
          <w:p w14:paraId="6AD3B90E" w14:textId="18D27CC0"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65 (16.09)</w:t>
            </w:r>
          </w:p>
        </w:tc>
        <w:tc>
          <w:tcPr>
            <w:tcW w:w="1407" w:type="dxa"/>
            <w:noWrap/>
            <w:vAlign w:val="bottom"/>
            <w:hideMark/>
          </w:tcPr>
          <w:p w14:paraId="576F35B6" w14:textId="04162B81"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5F8FDDB7" w14:textId="77777777" w:rsidTr="004B5518">
        <w:trPr>
          <w:trHeight w:val="286"/>
        </w:trPr>
        <w:tc>
          <w:tcPr>
            <w:tcW w:w="3244" w:type="dxa"/>
            <w:vAlign w:val="bottom"/>
            <w:hideMark/>
          </w:tcPr>
          <w:p w14:paraId="3A06DAB6" w14:textId="39D35E9F" w:rsidR="00FD06E5" w:rsidRPr="00AF1DC5" w:rsidRDefault="00FD06E5" w:rsidP="00467B5B">
            <w:pPr>
              <w:snapToGrid w:val="0"/>
              <w:spacing w:after="0" w:line="360" w:lineRule="auto"/>
              <w:jc w:val="both"/>
              <w:rPr>
                <w:rFonts w:ascii="Book Antiqua" w:hAnsi="Book Antiqua" w:cs="Courier New"/>
                <w:iCs/>
                <w:sz w:val="24"/>
                <w:szCs w:val="24"/>
              </w:rPr>
            </w:pPr>
            <w:r w:rsidRPr="00AF1DC5">
              <w:rPr>
                <w:rFonts w:ascii="Book Antiqua" w:hAnsi="Book Antiqua" w:cs="Courier New"/>
                <w:iCs/>
                <w:sz w:val="24"/>
                <w:szCs w:val="24"/>
              </w:rPr>
              <w:t>Technology depend. flag</w:t>
            </w:r>
          </w:p>
        </w:tc>
        <w:tc>
          <w:tcPr>
            <w:tcW w:w="2668" w:type="dxa"/>
            <w:noWrap/>
            <w:vAlign w:val="bottom"/>
            <w:hideMark/>
          </w:tcPr>
          <w:p w14:paraId="34013A6E" w14:textId="4047EF69"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3710 (19.40)</w:t>
            </w:r>
          </w:p>
        </w:tc>
        <w:tc>
          <w:tcPr>
            <w:tcW w:w="2024" w:type="dxa"/>
            <w:noWrap/>
            <w:vAlign w:val="bottom"/>
            <w:hideMark/>
          </w:tcPr>
          <w:p w14:paraId="2E2B5E49" w14:textId="4477AD46"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242 (59.90)</w:t>
            </w:r>
          </w:p>
        </w:tc>
        <w:tc>
          <w:tcPr>
            <w:tcW w:w="1407" w:type="dxa"/>
            <w:noWrap/>
            <w:vAlign w:val="bottom"/>
            <w:hideMark/>
          </w:tcPr>
          <w:p w14:paraId="50CCE591" w14:textId="78E8551D"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r w:rsidR="00AF1DC5" w:rsidRPr="00AF1DC5" w14:paraId="07412AFE" w14:textId="77777777" w:rsidTr="004B5518">
        <w:trPr>
          <w:trHeight w:val="286"/>
        </w:trPr>
        <w:tc>
          <w:tcPr>
            <w:tcW w:w="3244" w:type="dxa"/>
            <w:vAlign w:val="bottom"/>
            <w:hideMark/>
          </w:tcPr>
          <w:p w14:paraId="2D39A0DB" w14:textId="58523A68" w:rsidR="00FD06E5" w:rsidRPr="00AF1DC5" w:rsidRDefault="00FD06E5" w:rsidP="00467B5B">
            <w:pPr>
              <w:snapToGrid w:val="0"/>
              <w:spacing w:after="0" w:line="360" w:lineRule="auto"/>
              <w:jc w:val="both"/>
              <w:rPr>
                <w:rFonts w:ascii="Book Antiqua" w:hAnsi="Book Antiqua" w:cs="Courier New"/>
                <w:iCs/>
                <w:sz w:val="24"/>
                <w:szCs w:val="24"/>
              </w:rPr>
            </w:pPr>
            <w:r w:rsidRPr="00AF1DC5">
              <w:rPr>
                <w:rFonts w:ascii="Book Antiqua" w:hAnsi="Book Antiqua" w:cs="Courier New"/>
                <w:iCs/>
                <w:sz w:val="24"/>
                <w:szCs w:val="24"/>
              </w:rPr>
              <w:t>Transplant flag</w:t>
            </w:r>
          </w:p>
        </w:tc>
        <w:tc>
          <w:tcPr>
            <w:tcW w:w="2668" w:type="dxa"/>
            <w:noWrap/>
            <w:vAlign w:val="bottom"/>
            <w:hideMark/>
          </w:tcPr>
          <w:p w14:paraId="16DCB034" w14:textId="0D9E7D9A"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802 (4.19)</w:t>
            </w:r>
          </w:p>
        </w:tc>
        <w:tc>
          <w:tcPr>
            <w:tcW w:w="2024" w:type="dxa"/>
            <w:noWrap/>
            <w:vAlign w:val="bottom"/>
            <w:hideMark/>
          </w:tcPr>
          <w:p w14:paraId="2B6068AC" w14:textId="118CDD7C"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94 (23.27)</w:t>
            </w:r>
          </w:p>
        </w:tc>
        <w:tc>
          <w:tcPr>
            <w:tcW w:w="1407" w:type="dxa"/>
            <w:noWrap/>
            <w:vAlign w:val="bottom"/>
            <w:hideMark/>
          </w:tcPr>
          <w:p w14:paraId="2C9C67A7" w14:textId="0A9B0A57" w:rsidR="00FD06E5" w:rsidRPr="00AF1DC5" w:rsidRDefault="00FD06E5" w:rsidP="00FD06E5">
            <w:pPr>
              <w:snapToGrid w:val="0"/>
              <w:spacing w:after="0" w:line="360" w:lineRule="auto"/>
              <w:jc w:val="center"/>
              <w:rPr>
                <w:rFonts w:ascii="Book Antiqua" w:hAnsi="Book Antiqua" w:cs="Courier New"/>
                <w:sz w:val="24"/>
                <w:szCs w:val="24"/>
              </w:rPr>
            </w:pPr>
            <w:r w:rsidRPr="00AF1DC5">
              <w:rPr>
                <w:rFonts w:ascii="Book Antiqua" w:hAnsi="Book Antiqua" w:cs="Courier New"/>
                <w:sz w:val="24"/>
                <w:szCs w:val="24"/>
              </w:rPr>
              <w:t>&lt;</w:t>
            </w:r>
            <w:r w:rsidRPr="00AF1DC5">
              <w:rPr>
                <w:rFonts w:ascii="Book Antiqua" w:hAnsi="Book Antiqua" w:cs="Courier New"/>
                <w:sz w:val="24"/>
                <w:szCs w:val="24"/>
                <w:lang w:eastAsia="zh-CN"/>
              </w:rPr>
              <w:t xml:space="preserve"> </w:t>
            </w:r>
            <w:r w:rsidRPr="00AF1DC5">
              <w:rPr>
                <w:rFonts w:ascii="Book Antiqua" w:hAnsi="Book Antiqua" w:cs="Courier New"/>
                <w:sz w:val="24"/>
                <w:szCs w:val="24"/>
              </w:rPr>
              <w:t>0.0001</w:t>
            </w:r>
          </w:p>
        </w:tc>
      </w:tr>
    </w:tbl>
    <w:p w14:paraId="4192017F" w14:textId="05A5D1B9" w:rsidR="00D05718" w:rsidRPr="00E102A3" w:rsidRDefault="00D05718" w:rsidP="00E50668">
      <w:pPr>
        <w:snapToGrid w:val="0"/>
        <w:spacing w:after="0" w:line="360" w:lineRule="auto"/>
        <w:jc w:val="both"/>
        <w:rPr>
          <w:rFonts w:ascii="Book Antiqua" w:hAnsi="Book Antiqua" w:cs="Courier New"/>
          <w:sz w:val="24"/>
          <w:szCs w:val="24"/>
          <w:lang w:eastAsia="zh-CN"/>
        </w:rPr>
      </w:pPr>
    </w:p>
    <w:sectPr w:rsidR="00D05718" w:rsidRPr="00E102A3" w:rsidSect="00FC3EF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51DF6" w14:textId="77777777" w:rsidR="00E254B3" w:rsidRDefault="00E254B3" w:rsidP="00337399">
      <w:pPr>
        <w:spacing w:after="0" w:line="240" w:lineRule="auto"/>
      </w:pPr>
      <w:r>
        <w:separator/>
      </w:r>
    </w:p>
  </w:endnote>
  <w:endnote w:type="continuationSeparator" w:id="0">
    <w:p w14:paraId="0C236CA1" w14:textId="77777777" w:rsidR="00E254B3" w:rsidRDefault="00E254B3" w:rsidP="0033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43DD" w14:textId="77777777" w:rsidR="00AF1DC5" w:rsidRDefault="00AF1DC5" w:rsidP="00337399">
    <w:pPr>
      <w:pStyle w:val="Footer"/>
      <w:jc w:val="center"/>
    </w:pPr>
    <w:r>
      <w:fldChar w:fldCharType="begin"/>
    </w:r>
    <w:r>
      <w:instrText xml:space="preserve"> PAGE   \* MERGEFORMAT </w:instrText>
    </w:r>
    <w:r>
      <w:fldChar w:fldCharType="separate"/>
    </w:r>
    <w:r w:rsidR="00996172">
      <w:rPr>
        <w:noProof/>
      </w:rPr>
      <w:t>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C9545" w14:textId="77777777" w:rsidR="00E254B3" w:rsidRDefault="00E254B3" w:rsidP="00337399">
      <w:pPr>
        <w:spacing w:after="0" w:line="240" w:lineRule="auto"/>
      </w:pPr>
      <w:r>
        <w:separator/>
      </w:r>
    </w:p>
  </w:footnote>
  <w:footnote w:type="continuationSeparator" w:id="0">
    <w:p w14:paraId="1A4D1059" w14:textId="77777777" w:rsidR="00E254B3" w:rsidRDefault="00E254B3" w:rsidP="00337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8735B"/>
    <w:multiLevelType w:val="hybridMultilevel"/>
    <w:tmpl w:val="FCFE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B31EF"/>
    <w:multiLevelType w:val="hybridMultilevel"/>
    <w:tmpl w:val="30FE05A6"/>
    <w:lvl w:ilvl="0" w:tplc="81229E30">
      <w:start w:val="1"/>
      <w:numFmt w:val="decimal"/>
      <w:lvlText w:val="%1."/>
      <w:lvlJc w:val="left"/>
      <w:pPr>
        <w:ind w:left="720" w:hanging="360"/>
      </w:pPr>
      <w:rPr>
        <w:rFonts w:ascii="Georgia" w:hAnsi="Georgia" w:hint="default"/>
        <w:color w:val="505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23EAE"/>
    <w:multiLevelType w:val="hybridMultilevel"/>
    <w:tmpl w:val="B84A6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657F8"/>
    <w:multiLevelType w:val="hybridMultilevel"/>
    <w:tmpl w:val="30FE05A6"/>
    <w:lvl w:ilvl="0" w:tplc="81229E30">
      <w:start w:val="1"/>
      <w:numFmt w:val="decimal"/>
      <w:lvlText w:val="%1."/>
      <w:lvlJc w:val="left"/>
      <w:pPr>
        <w:ind w:left="720" w:hanging="360"/>
      </w:pPr>
      <w:rPr>
        <w:rFonts w:ascii="Georgia" w:hAnsi="Georgia" w:hint="default"/>
        <w:color w:val="505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40844"/>
    <w:multiLevelType w:val="hybridMultilevel"/>
    <w:tmpl w:val="364C873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F348E"/>
    <w:multiLevelType w:val="hybridMultilevel"/>
    <w:tmpl w:val="78829BC0"/>
    <w:lvl w:ilvl="0" w:tplc="BB4CD32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416F4"/>
    <w:multiLevelType w:val="hybridMultilevel"/>
    <w:tmpl w:val="76F895BC"/>
    <w:lvl w:ilvl="0" w:tplc="7128934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CB5566"/>
    <w:multiLevelType w:val="hybridMultilevel"/>
    <w:tmpl w:val="229AEEA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07E43"/>
    <w:multiLevelType w:val="hybridMultilevel"/>
    <w:tmpl w:val="1E5AA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6"/>
  </w:num>
  <w:num w:numId="6">
    <w:abstractNumId w:val="7"/>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4F195A1-9177-42B2-AEE1-0C0EBF52ADDA}"/>
    <w:docVar w:name="dgnword-eventsink" w:val="10963120"/>
  </w:docVars>
  <w:rsids>
    <w:rsidRoot w:val="0040349F"/>
    <w:rsid w:val="00024FA4"/>
    <w:rsid w:val="00045D3A"/>
    <w:rsid w:val="00047A70"/>
    <w:rsid w:val="00054AAC"/>
    <w:rsid w:val="0008694E"/>
    <w:rsid w:val="000A3D1E"/>
    <w:rsid w:val="000A49C0"/>
    <w:rsid w:val="000B2B5A"/>
    <w:rsid w:val="000F35D0"/>
    <w:rsid w:val="00103DB7"/>
    <w:rsid w:val="00104267"/>
    <w:rsid w:val="00113D29"/>
    <w:rsid w:val="00123E4C"/>
    <w:rsid w:val="00144108"/>
    <w:rsid w:val="00154F58"/>
    <w:rsid w:val="00170499"/>
    <w:rsid w:val="00171C40"/>
    <w:rsid w:val="001846BC"/>
    <w:rsid w:val="00190109"/>
    <w:rsid w:val="00192485"/>
    <w:rsid w:val="00192F60"/>
    <w:rsid w:val="001935F5"/>
    <w:rsid w:val="001951DD"/>
    <w:rsid w:val="001955C6"/>
    <w:rsid w:val="00195B5B"/>
    <w:rsid w:val="001A18D8"/>
    <w:rsid w:val="001B21EC"/>
    <w:rsid w:val="001B47BC"/>
    <w:rsid w:val="001B47C0"/>
    <w:rsid w:val="001C6C90"/>
    <w:rsid w:val="001D7840"/>
    <w:rsid w:val="001D7E09"/>
    <w:rsid w:val="001E3AC5"/>
    <w:rsid w:val="001F5C83"/>
    <w:rsid w:val="002027D5"/>
    <w:rsid w:val="002340E4"/>
    <w:rsid w:val="00255E0D"/>
    <w:rsid w:val="002636A0"/>
    <w:rsid w:val="002711C6"/>
    <w:rsid w:val="0028780B"/>
    <w:rsid w:val="00291124"/>
    <w:rsid w:val="00291750"/>
    <w:rsid w:val="002A0350"/>
    <w:rsid w:val="002A483A"/>
    <w:rsid w:val="002A5300"/>
    <w:rsid w:val="002D0343"/>
    <w:rsid w:val="002D7248"/>
    <w:rsid w:val="002E2778"/>
    <w:rsid w:val="002E3843"/>
    <w:rsid w:val="002E4ECC"/>
    <w:rsid w:val="002E64F4"/>
    <w:rsid w:val="002F09DF"/>
    <w:rsid w:val="00311392"/>
    <w:rsid w:val="003157CF"/>
    <w:rsid w:val="0033706C"/>
    <w:rsid w:val="00337399"/>
    <w:rsid w:val="00341F92"/>
    <w:rsid w:val="00343A55"/>
    <w:rsid w:val="00363CA8"/>
    <w:rsid w:val="00364F6D"/>
    <w:rsid w:val="003677BF"/>
    <w:rsid w:val="003A105C"/>
    <w:rsid w:val="003B63DE"/>
    <w:rsid w:val="003B732F"/>
    <w:rsid w:val="003C2FB1"/>
    <w:rsid w:val="003D630D"/>
    <w:rsid w:val="003D7F75"/>
    <w:rsid w:val="003E1118"/>
    <w:rsid w:val="0040349F"/>
    <w:rsid w:val="00413694"/>
    <w:rsid w:val="00414592"/>
    <w:rsid w:val="00421B07"/>
    <w:rsid w:val="00432B46"/>
    <w:rsid w:val="00433297"/>
    <w:rsid w:val="00436B7A"/>
    <w:rsid w:val="004407E6"/>
    <w:rsid w:val="00442026"/>
    <w:rsid w:val="0046723E"/>
    <w:rsid w:val="00467B5B"/>
    <w:rsid w:val="00473ABE"/>
    <w:rsid w:val="004911EE"/>
    <w:rsid w:val="004A3D87"/>
    <w:rsid w:val="004A56DB"/>
    <w:rsid w:val="004B19E0"/>
    <w:rsid w:val="004B2EF8"/>
    <w:rsid w:val="004B42CD"/>
    <w:rsid w:val="004B5518"/>
    <w:rsid w:val="004C2C1F"/>
    <w:rsid w:val="004E1A6E"/>
    <w:rsid w:val="004E44D8"/>
    <w:rsid w:val="004F5E2F"/>
    <w:rsid w:val="004F7E7C"/>
    <w:rsid w:val="00510CC5"/>
    <w:rsid w:val="005229EB"/>
    <w:rsid w:val="0053274A"/>
    <w:rsid w:val="00545DA4"/>
    <w:rsid w:val="00573455"/>
    <w:rsid w:val="005768E2"/>
    <w:rsid w:val="00584AC6"/>
    <w:rsid w:val="00586B3A"/>
    <w:rsid w:val="00586D16"/>
    <w:rsid w:val="00586D30"/>
    <w:rsid w:val="0059035F"/>
    <w:rsid w:val="00597CB8"/>
    <w:rsid w:val="005A0E2E"/>
    <w:rsid w:val="005B383E"/>
    <w:rsid w:val="005B4D0E"/>
    <w:rsid w:val="005B5BCD"/>
    <w:rsid w:val="005C4AB2"/>
    <w:rsid w:val="005C7911"/>
    <w:rsid w:val="005F7D21"/>
    <w:rsid w:val="006206F4"/>
    <w:rsid w:val="0062682C"/>
    <w:rsid w:val="00640612"/>
    <w:rsid w:val="00642E7E"/>
    <w:rsid w:val="00644D6D"/>
    <w:rsid w:val="00647466"/>
    <w:rsid w:val="00656575"/>
    <w:rsid w:val="006617F5"/>
    <w:rsid w:val="00666B77"/>
    <w:rsid w:val="00686E82"/>
    <w:rsid w:val="006954C8"/>
    <w:rsid w:val="006C3CFD"/>
    <w:rsid w:val="006C53CD"/>
    <w:rsid w:val="006D4554"/>
    <w:rsid w:val="006E3276"/>
    <w:rsid w:val="006F1A89"/>
    <w:rsid w:val="006F4BCF"/>
    <w:rsid w:val="00714925"/>
    <w:rsid w:val="00715724"/>
    <w:rsid w:val="00725FC6"/>
    <w:rsid w:val="00740B1B"/>
    <w:rsid w:val="007513B4"/>
    <w:rsid w:val="007570DE"/>
    <w:rsid w:val="007576D3"/>
    <w:rsid w:val="00757BC1"/>
    <w:rsid w:val="00765A2A"/>
    <w:rsid w:val="00767584"/>
    <w:rsid w:val="00770ADA"/>
    <w:rsid w:val="00781C34"/>
    <w:rsid w:val="0078260D"/>
    <w:rsid w:val="007E0070"/>
    <w:rsid w:val="00806EFC"/>
    <w:rsid w:val="0081362E"/>
    <w:rsid w:val="00824947"/>
    <w:rsid w:val="00827BAE"/>
    <w:rsid w:val="00836C9A"/>
    <w:rsid w:val="00854FAF"/>
    <w:rsid w:val="0085676E"/>
    <w:rsid w:val="00856BEB"/>
    <w:rsid w:val="00857F2F"/>
    <w:rsid w:val="00874B6B"/>
    <w:rsid w:val="008A7B3F"/>
    <w:rsid w:val="008B1984"/>
    <w:rsid w:val="008C27C7"/>
    <w:rsid w:val="00920BEE"/>
    <w:rsid w:val="00925CA0"/>
    <w:rsid w:val="00926C6F"/>
    <w:rsid w:val="00930A53"/>
    <w:rsid w:val="00945F1D"/>
    <w:rsid w:val="00970196"/>
    <w:rsid w:val="00974847"/>
    <w:rsid w:val="00996172"/>
    <w:rsid w:val="009C4886"/>
    <w:rsid w:val="009D1BE3"/>
    <w:rsid w:val="009D6A41"/>
    <w:rsid w:val="009F0390"/>
    <w:rsid w:val="00A0535D"/>
    <w:rsid w:val="00A137F1"/>
    <w:rsid w:val="00A26829"/>
    <w:rsid w:val="00A26905"/>
    <w:rsid w:val="00A3370C"/>
    <w:rsid w:val="00A616FE"/>
    <w:rsid w:val="00A67F9E"/>
    <w:rsid w:val="00A71334"/>
    <w:rsid w:val="00A80667"/>
    <w:rsid w:val="00A8311B"/>
    <w:rsid w:val="00AA3173"/>
    <w:rsid w:val="00AA5A02"/>
    <w:rsid w:val="00AB73BF"/>
    <w:rsid w:val="00AD6C3B"/>
    <w:rsid w:val="00AE2828"/>
    <w:rsid w:val="00AE41A6"/>
    <w:rsid w:val="00AF1DC5"/>
    <w:rsid w:val="00B0782F"/>
    <w:rsid w:val="00B20B7E"/>
    <w:rsid w:val="00B55A8C"/>
    <w:rsid w:val="00B746BA"/>
    <w:rsid w:val="00B854F4"/>
    <w:rsid w:val="00BB43CD"/>
    <w:rsid w:val="00BC33A3"/>
    <w:rsid w:val="00BE1D77"/>
    <w:rsid w:val="00BF7C02"/>
    <w:rsid w:val="00C12D56"/>
    <w:rsid w:val="00C366AB"/>
    <w:rsid w:val="00C5723B"/>
    <w:rsid w:val="00C5739C"/>
    <w:rsid w:val="00C607C1"/>
    <w:rsid w:val="00C85F45"/>
    <w:rsid w:val="00C93391"/>
    <w:rsid w:val="00C946FC"/>
    <w:rsid w:val="00CA58F5"/>
    <w:rsid w:val="00CA5D15"/>
    <w:rsid w:val="00CA6A39"/>
    <w:rsid w:val="00CB4303"/>
    <w:rsid w:val="00CB4A5E"/>
    <w:rsid w:val="00CB61C4"/>
    <w:rsid w:val="00CB6765"/>
    <w:rsid w:val="00CC2A43"/>
    <w:rsid w:val="00CC5DD8"/>
    <w:rsid w:val="00CD0557"/>
    <w:rsid w:val="00CE67EC"/>
    <w:rsid w:val="00CF2C72"/>
    <w:rsid w:val="00CF4392"/>
    <w:rsid w:val="00D05718"/>
    <w:rsid w:val="00D13BA2"/>
    <w:rsid w:val="00D144F5"/>
    <w:rsid w:val="00D26E69"/>
    <w:rsid w:val="00D2739D"/>
    <w:rsid w:val="00D27C05"/>
    <w:rsid w:val="00D312D9"/>
    <w:rsid w:val="00D518A8"/>
    <w:rsid w:val="00D5678B"/>
    <w:rsid w:val="00D778F5"/>
    <w:rsid w:val="00D971E4"/>
    <w:rsid w:val="00DA578B"/>
    <w:rsid w:val="00DD49D7"/>
    <w:rsid w:val="00DD57A8"/>
    <w:rsid w:val="00DE0527"/>
    <w:rsid w:val="00DE2236"/>
    <w:rsid w:val="00DF0A92"/>
    <w:rsid w:val="00DF394D"/>
    <w:rsid w:val="00E102A3"/>
    <w:rsid w:val="00E254B3"/>
    <w:rsid w:val="00E3229F"/>
    <w:rsid w:val="00E50668"/>
    <w:rsid w:val="00E53BF4"/>
    <w:rsid w:val="00E54F5F"/>
    <w:rsid w:val="00E56399"/>
    <w:rsid w:val="00E638BB"/>
    <w:rsid w:val="00E6633F"/>
    <w:rsid w:val="00E77574"/>
    <w:rsid w:val="00EA0548"/>
    <w:rsid w:val="00ED773A"/>
    <w:rsid w:val="00EE3BA8"/>
    <w:rsid w:val="00EF0AB4"/>
    <w:rsid w:val="00F2468A"/>
    <w:rsid w:val="00F32154"/>
    <w:rsid w:val="00F46AEB"/>
    <w:rsid w:val="00F47381"/>
    <w:rsid w:val="00F54A4C"/>
    <w:rsid w:val="00F6765D"/>
    <w:rsid w:val="00F7462A"/>
    <w:rsid w:val="00F80BC3"/>
    <w:rsid w:val="00F90CBC"/>
    <w:rsid w:val="00FB78B5"/>
    <w:rsid w:val="00FC0A87"/>
    <w:rsid w:val="00FC3EF9"/>
    <w:rsid w:val="00FC412F"/>
    <w:rsid w:val="00FD06E5"/>
    <w:rsid w:val="00FD7E92"/>
    <w:rsid w:val="00FE4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8C108"/>
  <w15:docId w15:val="{702F9A71-C86C-4C29-9902-6A384E22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7CF"/>
  </w:style>
  <w:style w:type="paragraph" w:styleId="Heading1">
    <w:name w:val="heading 1"/>
    <w:basedOn w:val="Normal"/>
    <w:link w:val="Heading1Char"/>
    <w:uiPriority w:val="9"/>
    <w:qFormat/>
    <w:rsid w:val="005C4A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35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F35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4AB2"/>
  </w:style>
  <w:style w:type="character" w:styleId="CommentReference">
    <w:name w:val="annotation reference"/>
    <w:basedOn w:val="DefaultParagraphFont"/>
    <w:uiPriority w:val="99"/>
    <w:semiHidden/>
    <w:unhideWhenUsed/>
    <w:rsid w:val="005C4AB2"/>
    <w:rPr>
      <w:sz w:val="16"/>
      <w:szCs w:val="16"/>
    </w:rPr>
  </w:style>
  <w:style w:type="paragraph" w:styleId="CommentText">
    <w:name w:val="annotation text"/>
    <w:basedOn w:val="Normal"/>
    <w:link w:val="CommentTextChar"/>
    <w:uiPriority w:val="99"/>
    <w:unhideWhenUsed/>
    <w:rsid w:val="005C4AB2"/>
    <w:pPr>
      <w:spacing w:line="240" w:lineRule="auto"/>
    </w:pPr>
    <w:rPr>
      <w:sz w:val="20"/>
      <w:szCs w:val="20"/>
    </w:rPr>
  </w:style>
  <w:style w:type="character" w:customStyle="1" w:styleId="CommentTextChar">
    <w:name w:val="Comment Text Char"/>
    <w:basedOn w:val="DefaultParagraphFont"/>
    <w:link w:val="CommentText"/>
    <w:uiPriority w:val="99"/>
    <w:rsid w:val="005C4AB2"/>
    <w:rPr>
      <w:sz w:val="20"/>
      <w:szCs w:val="20"/>
    </w:rPr>
  </w:style>
  <w:style w:type="paragraph" w:styleId="CommentSubject">
    <w:name w:val="annotation subject"/>
    <w:basedOn w:val="CommentText"/>
    <w:next w:val="CommentText"/>
    <w:link w:val="CommentSubjectChar"/>
    <w:uiPriority w:val="99"/>
    <w:semiHidden/>
    <w:unhideWhenUsed/>
    <w:rsid w:val="005C4AB2"/>
    <w:rPr>
      <w:b/>
      <w:bCs/>
    </w:rPr>
  </w:style>
  <w:style w:type="character" w:customStyle="1" w:styleId="CommentSubjectChar">
    <w:name w:val="Comment Subject Char"/>
    <w:basedOn w:val="CommentTextChar"/>
    <w:link w:val="CommentSubject"/>
    <w:uiPriority w:val="99"/>
    <w:semiHidden/>
    <w:rsid w:val="005C4AB2"/>
    <w:rPr>
      <w:b/>
      <w:bCs/>
      <w:sz w:val="20"/>
      <w:szCs w:val="20"/>
    </w:rPr>
  </w:style>
  <w:style w:type="paragraph" w:styleId="BalloonText">
    <w:name w:val="Balloon Text"/>
    <w:basedOn w:val="Normal"/>
    <w:link w:val="BalloonTextChar"/>
    <w:uiPriority w:val="99"/>
    <w:semiHidden/>
    <w:unhideWhenUsed/>
    <w:rsid w:val="005C4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B2"/>
    <w:rPr>
      <w:rFonts w:ascii="Tahoma" w:hAnsi="Tahoma" w:cs="Tahoma"/>
      <w:sz w:val="16"/>
      <w:szCs w:val="16"/>
    </w:rPr>
  </w:style>
  <w:style w:type="character" w:customStyle="1" w:styleId="Heading1Char">
    <w:name w:val="Heading 1 Char"/>
    <w:basedOn w:val="DefaultParagraphFont"/>
    <w:link w:val="Heading1"/>
    <w:uiPriority w:val="9"/>
    <w:rsid w:val="005C4AB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C4AB2"/>
    <w:rPr>
      <w:color w:val="0000FF"/>
      <w:u w:val="single"/>
    </w:rPr>
  </w:style>
  <w:style w:type="character" w:customStyle="1" w:styleId="highlight">
    <w:name w:val="highlight"/>
    <w:basedOn w:val="DefaultParagraphFont"/>
    <w:rsid w:val="005C4AB2"/>
  </w:style>
  <w:style w:type="paragraph" w:customStyle="1" w:styleId="Title1">
    <w:name w:val="Title1"/>
    <w:basedOn w:val="Normal"/>
    <w:rsid w:val="00BC3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BC3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BC33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BC33A3"/>
  </w:style>
  <w:style w:type="character" w:customStyle="1" w:styleId="Heading2Char">
    <w:name w:val="Heading 2 Char"/>
    <w:basedOn w:val="DefaultParagraphFont"/>
    <w:link w:val="Heading2"/>
    <w:uiPriority w:val="9"/>
    <w:semiHidden/>
    <w:rsid w:val="000F35D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F35D0"/>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qFormat/>
    <w:rsid w:val="000F35D0"/>
    <w:pPr>
      <w:spacing w:before="180" w:after="180" w:line="240" w:lineRule="auto"/>
    </w:pPr>
    <w:rPr>
      <w:sz w:val="24"/>
      <w:szCs w:val="24"/>
    </w:rPr>
  </w:style>
  <w:style w:type="character" w:customStyle="1" w:styleId="BodyTextChar">
    <w:name w:val="Body Text Char"/>
    <w:basedOn w:val="DefaultParagraphFont"/>
    <w:link w:val="BodyText"/>
    <w:rsid w:val="000F35D0"/>
    <w:rPr>
      <w:sz w:val="24"/>
      <w:szCs w:val="24"/>
    </w:rPr>
  </w:style>
  <w:style w:type="paragraph" w:customStyle="1" w:styleId="FirstParagraph">
    <w:name w:val="First Paragraph"/>
    <w:basedOn w:val="BodyText"/>
    <w:next w:val="BodyText"/>
    <w:qFormat/>
    <w:rsid w:val="000F35D0"/>
  </w:style>
  <w:style w:type="paragraph" w:styleId="Header">
    <w:name w:val="header"/>
    <w:basedOn w:val="Normal"/>
    <w:link w:val="HeaderChar"/>
    <w:uiPriority w:val="99"/>
    <w:unhideWhenUsed/>
    <w:rsid w:val="00337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399"/>
  </w:style>
  <w:style w:type="paragraph" w:styleId="Footer">
    <w:name w:val="footer"/>
    <w:basedOn w:val="Normal"/>
    <w:link w:val="FooterChar"/>
    <w:uiPriority w:val="99"/>
    <w:unhideWhenUsed/>
    <w:rsid w:val="00337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399"/>
  </w:style>
  <w:style w:type="paragraph" w:customStyle="1" w:styleId="Title2">
    <w:name w:val="Title2"/>
    <w:basedOn w:val="Normal"/>
    <w:rsid w:val="00DD57A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DD57A8"/>
    <w:pPr>
      <w:ind w:left="720"/>
      <w:contextualSpacing/>
    </w:pPr>
  </w:style>
  <w:style w:type="character" w:customStyle="1" w:styleId="city-state">
    <w:name w:val="city-state"/>
    <w:basedOn w:val="DefaultParagraphFont"/>
    <w:rsid w:val="00F6765D"/>
  </w:style>
  <w:style w:type="table" w:styleId="TableGrid">
    <w:name w:val="Table Grid"/>
    <w:basedOn w:val="TableNormal"/>
    <w:uiPriority w:val="59"/>
    <w:rsid w:val="00970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E50668"/>
    <w:pPr>
      <w:spacing w:after="0"/>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6722">
      <w:bodyDiv w:val="1"/>
      <w:marLeft w:val="0"/>
      <w:marRight w:val="0"/>
      <w:marTop w:val="0"/>
      <w:marBottom w:val="0"/>
      <w:divBdr>
        <w:top w:val="none" w:sz="0" w:space="0" w:color="auto"/>
        <w:left w:val="none" w:sz="0" w:space="0" w:color="auto"/>
        <w:bottom w:val="none" w:sz="0" w:space="0" w:color="auto"/>
        <w:right w:val="none" w:sz="0" w:space="0" w:color="auto"/>
      </w:divBdr>
    </w:div>
    <w:div w:id="310671778">
      <w:bodyDiv w:val="1"/>
      <w:marLeft w:val="0"/>
      <w:marRight w:val="0"/>
      <w:marTop w:val="0"/>
      <w:marBottom w:val="0"/>
      <w:divBdr>
        <w:top w:val="none" w:sz="0" w:space="0" w:color="auto"/>
        <w:left w:val="none" w:sz="0" w:space="0" w:color="auto"/>
        <w:bottom w:val="none" w:sz="0" w:space="0" w:color="auto"/>
        <w:right w:val="none" w:sz="0" w:space="0" w:color="auto"/>
      </w:divBdr>
    </w:div>
    <w:div w:id="338385220">
      <w:bodyDiv w:val="1"/>
      <w:marLeft w:val="0"/>
      <w:marRight w:val="0"/>
      <w:marTop w:val="0"/>
      <w:marBottom w:val="0"/>
      <w:divBdr>
        <w:top w:val="none" w:sz="0" w:space="0" w:color="auto"/>
        <w:left w:val="none" w:sz="0" w:space="0" w:color="auto"/>
        <w:bottom w:val="none" w:sz="0" w:space="0" w:color="auto"/>
        <w:right w:val="none" w:sz="0" w:space="0" w:color="auto"/>
      </w:divBdr>
    </w:div>
    <w:div w:id="506286510">
      <w:bodyDiv w:val="1"/>
      <w:marLeft w:val="0"/>
      <w:marRight w:val="0"/>
      <w:marTop w:val="0"/>
      <w:marBottom w:val="0"/>
      <w:divBdr>
        <w:top w:val="none" w:sz="0" w:space="0" w:color="auto"/>
        <w:left w:val="none" w:sz="0" w:space="0" w:color="auto"/>
        <w:bottom w:val="none" w:sz="0" w:space="0" w:color="auto"/>
        <w:right w:val="none" w:sz="0" w:space="0" w:color="auto"/>
      </w:divBdr>
    </w:div>
    <w:div w:id="627466458">
      <w:bodyDiv w:val="1"/>
      <w:marLeft w:val="0"/>
      <w:marRight w:val="0"/>
      <w:marTop w:val="0"/>
      <w:marBottom w:val="0"/>
      <w:divBdr>
        <w:top w:val="none" w:sz="0" w:space="0" w:color="auto"/>
        <w:left w:val="none" w:sz="0" w:space="0" w:color="auto"/>
        <w:bottom w:val="none" w:sz="0" w:space="0" w:color="auto"/>
        <w:right w:val="none" w:sz="0" w:space="0" w:color="auto"/>
      </w:divBdr>
    </w:div>
    <w:div w:id="705760429">
      <w:bodyDiv w:val="1"/>
      <w:marLeft w:val="0"/>
      <w:marRight w:val="0"/>
      <w:marTop w:val="0"/>
      <w:marBottom w:val="0"/>
      <w:divBdr>
        <w:top w:val="none" w:sz="0" w:space="0" w:color="auto"/>
        <w:left w:val="none" w:sz="0" w:space="0" w:color="auto"/>
        <w:bottom w:val="none" w:sz="0" w:space="0" w:color="auto"/>
        <w:right w:val="none" w:sz="0" w:space="0" w:color="auto"/>
      </w:divBdr>
    </w:div>
    <w:div w:id="713965064">
      <w:bodyDiv w:val="1"/>
      <w:marLeft w:val="0"/>
      <w:marRight w:val="0"/>
      <w:marTop w:val="0"/>
      <w:marBottom w:val="0"/>
      <w:divBdr>
        <w:top w:val="none" w:sz="0" w:space="0" w:color="auto"/>
        <w:left w:val="none" w:sz="0" w:space="0" w:color="auto"/>
        <w:bottom w:val="none" w:sz="0" w:space="0" w:color="auto"/>
        <w:right w:val="none" w:sz="0" w:space="0" w:color="auto"/>
      </w:divBdr>
    </w:div>
    <w:div w:id="1030229490">
      <w:bodyDiv w:val="1"/>
      <w:marLeft w:val="0"/>
      <w:marRight w:val="0"/>
      <w:marTop w:val="0"/>
      <w:marBottom w:val="0"/>
      <w:divBdr>
        <w:top w:val="none" w:sz="0" w:space="0" w:color="auto"/>
        <w:left w:val="none" w:sz="0" w:space="0" w:color="auto"/>
        <w:bottom w:val="none" w:sz="0" w:space="0" w:color="auto"/>
        <w:right w:val="none" w:sz="0" w:space="0" w:color="auto"/>
      </w:divBdr>
      <w:divsChild>
        <w:div w:id="1087848414">
          <w:marLeft w:val="0"/>
          <w:marRight w:val="0"/>
          <w:marTop w:val="34"/>
          <w:marBottom w:val="34"/>
          <w:divBdr>
            <w:top w:val="none" w:sz="0" w:space="0" w:color="auto"/>
            <w:left w:val="none" w:sz="0" w:space="0" w:color="auto"/>
            <w:bottom w:val="none" w:sz="0" w:space="0" w:color="auto"/>
            <w:right w:val="none" w:sz="0" w:space="0" w:color="auto"/>
          </w:divBdr>
        </w:div>
      </w:divsChild>
    </w:div>
    <w:div w:id="1058556235">
      <w:bodyDiv w:val="1"/>
      <w:marLeft w:val="0"/>
      <w:marRight w:val="0"/>
      <w:marTop w:val="0"/>
      <w:marBottom w:val="0"/>
      <w:divBdr>
        <w:top w:val="none" w:sz="0" w:space="0" w:color="auto"/>
        <w:left w:val="none" w:sz="0" w:space="0" w:color="auto"/>
        <w:bottom w:val="none" w:sz="0" w:space="0" w:color="auto"/>
        <w:right w:val="none" w:sz="0" w:space="0" w:color="auto"/>
      </w:divBdr>
    </w:div>
    <w:div w:id="1064596974">
      <w:bodyDiv w:val="1"/>
      <w:marLeft w:val="0"/>
      <w:marRight w:val="0"/>
      <w:marTop w:val="0"/>
      <w:marBottom w:val="0"/>
      <w:divBdr>
        <w:top w:val="none" w:sz="0" w:space="0" w:color="auto"/>
        <w:left w:val="none" w:sz="0" w:space="0" w:color="auto"/>
        <w:bottom w:val="none" w:sz="0" w:space="0" w:color="auto"/>
        <w:right w:val="none" w:sz="0" w:space="0" w:color="auto"/>
      </w:divBdr>
    </w:div>
    <w:div w:id="1228034093">
      <w:bodyDiv w:val="1"/>
      <w:marLeft w:val="0"/>
      <w:marRight w:val="0"/>
      <w:marTop w:val="0"/>
      <w:marBottom w:val="0"/>
      <w:divBdr>
        <w:top w:val="none" w:sz="0" w:space="0" w:color="auto"/>
        <w:left w:val="none" w:sz="0" w:space="0" w:color="auto"/>
        <w:bottom w:val="none" w:sz="0" w:space="0" w:color="auto"/>
        <w:right w:val="none" w:sz="0" w:space="0" w:color="auto"/>
      </w:divBdr>
    </w:div>
    <w:div w:id="1241715321">
      <w:bodyDiv w:val="1"/>
      <w:marLeft w:val="0"/>
      <w:marRight w:val="0"/>
      <w:marTop w:val="0"/>
      <w:marBottom w:val="0"/>
      <w:divBdr>
        <w:top w:val="none" w:sz="0" w:space="0" w:color="auto"/>
        <w:left w:val="none" w:sz="0" w:space="0" w:color="auto"/>
        <w:bottom w:val="none" w:sz="0" w:space="0" w:color="auto"/>
        <w:right w:val="none" w:sz="0" w:space="0" w:color="auto"/>
      </w:divBdr>
    </w:div>
    <w:div w:id="1241794056">
      <w:bodyDiv w:val="1"/>
      <w:marLeft w:val="0"/>
      <w:marRight w:val="0"/>
      <w:marTop w:val="0"/>
      <w:marBottom w:val="0"/>
      <w:divBdr>
        <w:top w:val="none" w:sz="0" w:space="0" w:color="auto"/>
        <w:left w:val="none" w:sz="0" w:space="0" w:color="auto"/>
        <w:bottom w:val="none" w:sz="0" w:space="0" w:color="auto"/>
        <w:right w:val="none" w:sz="0" w:space="0" w:color="auto"/>
      </w:divBdr>
      <w:divsChild>
        <w:div w:id="1170364771">
          <w:marLeft w:val="0"/>
          <w:marRight w:val="0"/>
          <w:marTop w:val="34"/>
          <w:marBottom w:val="34"/>
          <w:divBdr>
            <w:top w:val="none" w:sz="0" w:space="0" w:color="auto"/>
            <w:left w:val="none" w:sz="0" w:space="0" w:color="auto"/>
            <w:bottom w:val="none" w:sz="0" w:space="0" w:color="auto"/>
            <w:right w:val="none" w:sz="0" w:space="0" w:color="auto"/>
          </w:divBdr>
        </w:div>
      </w:divsChild>
    </w:div>
    <w:div w:id="1262489810">
      <w:bodyDiv w:val="1"/>
      <w:marLeft w:val="0"/>
      <w:marRight w:val="0"/>
      <w:marTop w:val="0"/>
      <w:marBottom w:val="0"/>
      <w:divBdr>
        <w:top w:val="none" w:sz="0" w:space="0" w:color="auto"/>
        <w:left w:val="none" w:sz="0" w:space="0" w:color="auto"/>
        <w:bottom w:val="none" w:sz="0" w:space="0" w:color="auto"/>
        <w:right w:val="none" w:sz="0" w:space="0" w:color="auto"/>
      </w:divBdr>
    </w:div>
    <w:div w:id="1325474425">
      <w:bodyDiv w:val="1"/>
      <w:marLeft w:val="0"/>
      <w:marRight w:val="0"/>
      <w:marTop w:val="0"/>
      <w:marBottom w:val="0"/>
      <w:divBdr>
        <w:top w:val="none" w:sz="0" w:space="0" w:color="auto"/>
        <w:left w:val="none" w:sz="0" w:space="0" w:color="auto"/>
        <w:bottom w:val="none" w:sz="0" w:space="0" w:color="auto"/>
        <w:right w:val="none" w:sz="0" w:space="0" w:color="auto"/>
      </w:divBdr>
    </w:div>
    <w:div w:id="1572229432">
      <w:bodyDiv w:val="1"/>
      <w:marLeft w:val="0"/>
      <w:marRight w:val="0"/>
      <w:marTop w:val="0"/>
      <w:marBottom w:val="0"/>
      <w:divBdr>
        <w:top w:val="none" w:sz="0" w:space="0" w:color="auto"/>
        <w:left w:val="none" w:sz="0" w:space="0" w:color="auto"/>
        <w:bottom w:val="none" w:sz="0" w:space="0" w:color="auto"/>
        <w:right w:val="none" w:sz="0" w:space="0" w:color="auto"/>
      </w:divBdr>
      <w:divsChild>
        <w:div w:id="796336703">
          <w:marLeft w:val="0"/>
          <w:marRight w:val="0"/>
          <w:marTop w:val="34"/>
          <w:marBottom w:val="34"/>
          <w:divBdr>
            <w:top w:val="none" w:sz="0" w:space="0" w:color="auto"/>
            <w:left w:val="none" w:sz="0" w:space="0" w:color="auto"/>
            <w:bottom w:val="none" w:sz="0" w:space="0" w:color="auto"/>
            <w:right w:val="none" w:sz="0" w:space="0" w:color="auto"/>
          </w:divBdr>
        </w:div>
      </w:divsChild>
    </w:div>
    <w:div w:id="1582523350">
      <w:bodyDiv w:val="1"/>
      <w:marLeft w:val="0"/>
      <w:marRight w:val="0"/>
      <w:marTop w:val="0"/>
      <w:marBottom w:val="0"/>
      <w:divBdr>
        <w:top w:val="none" w:sz="0" w:space="0" w:color="auto"/>
        <w:left w:val="none" w:sz="0" w:space="0" w:color="auto"/>
        <w:bottom w:val="none" w:sz="0" w:space="0" w:color="auto"/>
        <w:right w:val="none" w:sz="0" w:space="0" w:color="auto"/>
      </w:divBdr>
    </w:div>
    <w:div w:id="1612668214">
      <w:bodyDiv w:val="1"/>
      <w:marLeft w:val="0"/>
      <w:marRight w:val="0"/>
      <w:marTop w:val="0"/>
      <w:marBottom w:val="0"/>
      <w:divBdr>
        <w:top w:val="none" w:sz="0" w:space="0" w:color="auto"/>
        <w:left w:val="none" w:sz="0" w:space="0" w:color="auto"/>
        <w:bottom w:val="none" w:sz="0" w:space="0" w:color="auto"/>
        <w:right w:val="none" w:sz="0" w:space="0" w:color="auto"/>
      </w:divBdr>
    </w:div>
    <w:div w:id="1813407861">
      <w:bodyDiv w:val="1"/>
      <w:marLeft w:val="0"/>
      <w:marRight w:val="0"/>
      <w:marTop w:val="0"/>
      <w:marBottom w:val="0"/>
      <w:divBdr>
        <w:top w:val="none" w:sz="0" w:space="0" w:color="auto"/>
        <w:left w:val="none" w:sz="0" w:space="0" w:color="auto"/>
        <w:bottom w:val="none" w:sz="0" w:space="0" w:color="auto"/>
        <w:right w:val="none" w:sz="0" w:space="0" w:color="auto"/>
      </w:divBdr>
    </w:div>
    <w:div w:id="1962951059">
      <w:bodyDiv w:val="1"/>
      <w:marLeft w:val="0"/>
      <w:marRight w:val="0"/>
      <w:marTop w:val="0"/>
      <w:marBottom w:val="0"/>
      <w:divBdr>
        <w:top w:val="none" w:sz="0" w:space="0" w:color="auto"/>
        <w:left w:val="none" w:sz="0" w:space="0" w:color="auto"/>
        <w:bottom w:val="none" w:sz="0" w:space="0" w:color="auto"/>
        <w:right w:val="none" w:sz="0" w:space="0" w:color="auto"/>
      </w:divBdr>
    </w:div>
    <w:div w:id="196545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attard@cm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ign.ac.uk/guidelines/fulltext/105/index.htm"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8DC06-2D62-44DF-A802-F382BD47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7004</Words>
  <Characters>39926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tmattard</dc:creator>
  <cp:lastModifiedBy>LS Ma</cp:lastModifiedBy>
  <cp:revision>2</cp:revision>
  <cp:lastPrinted>2016-12-16T19:57:00Z</cp:lastPrinted>
  <dcterms:created xsi:type="dcterms:W3CDTF">2017-01-02T04:28:00Z</dcterms:created>
  <dcterms:modified xsi:type="dcterms:W3CDTF">2017-01-02T04:28:00Z</dcterms:modified>
</cp:coreProperties>
</file>