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8384B" w14:textId="373DE2D8" w:rsidR="00051224" w:rsidRPr="00AE4053" w:rsidRDefault="00051224" w:rsidP="00AE4053">
      <w:pPr>
        <w:snapToGrid w:val="0"/>
        <w:spacing w:after="0" w:line="360" w:lineRule="auto"/>
        <w:jc w:val="both"/>
        <w:rPr>
          <w:rFonts w:ascii="Book Antiqua" w:hAnsi="Book Antiqua"/>
          <w:b/>
          <w:sz w:val="24"/>
          <w:szCs w:val="24"/>
        </w:rPr>
      </w:pPr>
      <w:r w:rsidRPr="00AE4053">
        <w:rPr>
          <w:rFonts w:ascii="Book Antiqua" w:hAnsi="Book Antiqua"/>
          <w:b/>
          <w:sz w:val="24"/>
          <w:szCs w:val="24"/>
        </w:rPr>
        <w:t xml:space="preserve">Name of Journal: </w:t>
      </w:r>
      <w:r w:rsidRPr="00AE4053">
        <w:rPr>
          <w:rFonts w:ascii="Book Antiqua" w:hAnsi="Book Antiqua"/>
          <w:b/>
          <w:i/>
          <w:sz w:val="24"/>
          <w:szCs w:val="24"/>
        </w:rPr>
        <w:t>World Journal of Gastroenterology</w:t>
      </w:r>
    </w:p>
    <w:p w14:paraId="10DD8B56" w14:textId="56527453" w:rsidR="00051224" w:rsidRPr="00AE4053" w:rsidRDefault="002D59BC" w:rsidP="00AE4053">
      <w:pPr>
        <w:snapToGrid w:val="0"/>
        <w:spacing w:after="0" w:line="360" w:lineRule="auto"/>
        <w:jc w:val="both"/>
        <w:rPr>
          <w:rFonts w:ascii="Book Antiqua" w:hAnsi="Book Antiqua"/>
          <w:b/>
          <w:color w:val="222222"/>
          <w:sz w:val="24"/>
          <w:szCs w:val="24"/>
        </w:rPr>
      </w:pPr>
      <w:r w:rsidRPr="00AE4053">
        <w:rPr>
          <w:rFonts w:ascii="Book Antiqua" w:hAnsi="Book Antiqua"/>
          <w:b/>
          <w:color w:val="222222"/>
          <w:sz w:val="24"/>
          <w:szCs w:val="24"/>
        </w:rPr>
        <w:t>Manuscript N</w:t>
      </w:r>
      <w:r w:rsidRPr="00AE4053">
        <w:rPr>
          <w:rFonts w:ascii="Book Antiqua" w:hAnsi="Book Antiqua"/>
          <w:b/>
          <w:caps/>
          <w:color w:val="222222"/>
          <w:sz w:val="24"/>
          <w:szCs w:val="24"/>
        </w:rPr>
        <w:t>o</w:t>
      </w:r>
      <w:r w:rsidR="00051224" w:rsidRPr="00AE4053">
        <w:rPr>
          <w:rFonts w:ascii="Book Antiqua" w:hAnsi="Book Antiqua"/>
          <w:b/>
          <w:color w:val="222222"/>
          <w:sz w:val="24"/>
          <w:szCs w:val="24"/>
        </w:rPr>
        <w:t>: 30111</w:t>
      </w:r>
    </w:p>
    <w:p w14:paraId="6BD472C1" w14:textId="2E6B9AC9" w:rsidR="002D59BC" w:rsidRPr="00AE4053" w:rsidRDefault="00051224" w:rsidP="00AE4053">
      <w:pPr>
        <w:snapToGrid w:val="0"/>
        <w:spacing w:after="0" w:line="360" w:lineRule="auto"/>
        <w:jc w:val="both"/>
        <w:rPr>
          <w:rFonts w:ascii="Book Antiqua" w:hAnsi="Book Antiqua"/>
          <w:b/>
          <w:color w:val="222222"/>
          <w:sz w:val="24"/>
          <w:szCs w:val="24"/>
        </w:rPr>
      </w:pPr>
      <w:r w:rsidRPr="00AE4053">
        <w:rPr>
          <w:rFonts w:ascii="Book Antiqua" w:hAnsi="Book Antiqua"/>
          <w:b/>
          <w:color w:val="222222"/>
          <w:sz w:val="24"/>
          <w:szCs w:val="24"/>
        </w:rPr>
        <w:t xml:space="preserve">Manuscript </w:t>
      </w:r>
      <w:r w:rsidRPr="00AE4053">
        <w:rPr>
          <w:rFonts w:ascii="Book Antiqua" w:hAnsi="Book Antiqua"/>
          <w:b/>
          <w:caps/>
          <w:color w:val="222222"/>
          <w:sz w:val="24"/>
          <w:szCs w:val="24"/>
        </w:rPr>
        <w:t>t</w:t>
      </w:r>
      <w:r w:rsidRPr="00AE4053">
        <w:rPr>
          <w:rFonts w:ascii="Book Antiqua" w:hAnsi="Book Antiqua"/>
          <w:b/>
          <w:color w:val="222222"/>
          <w:sz w:val="24"/>
          <w:szCs w:val="24"/>
        </w:rPr>
        <w:t xml:space="preserve">ype: </w:t>
      </w:r>
      <w:r w:rsidR="002D59BC" w:rsidRPr="00AE4053">
        <w:rPr>
          <w:rFonts w:ascii="Book Antiqua" w:hAnsi="Book Antiqua"/>
          <w:b/>
        </w:rPr>
        <w:t>ORIGINAL ARTICLE</w:t>
      </w:r>
    </w:p>
    <w:p w14:paraId="3D346E25" w14:textId="77777777" w:rsidR="002D59BC" w:rsidRPr="00AE4053" w:rsidRDefault="002D59BC" w:rsidP="00AE4053">
      <w:pPr>
        <w:snapToGrid w:val="0"/>
        <w:spacing w:after="0" w:line="360" w:lineRule="auto"/>
        <w:jc w:val="both"/>
        <w:rPr>
          <w:rFonts w:ascii="Book Antiqua" w:hAnsi="Book Antiqua"/>
          <w:b/>
          <w:color w:val="222222"/>
          <w:sz w:val="24"/>
          <w:szCs w:val="24"/>
        </w:rPr>
      </w:pPr>
    </w:p>
    <w:p w14:paraId="06657259" w14:textId="1F726134" w:rsidR="00051224" w:rsidRPr="00AE4053" w:rsidRDefault="00051224" w:rsidP="00AE4053">
      <w:pPr>
        <w:snapToGrid w:val="0"/>
        <w:spacing w:after="0" w:line="360" w:lineRule="auto"/>
        <w:jc w:val="both"/>
        <w:rPr>
          <w:rFonts w:ascii="Book Antiqua" w:hAnsi="Book Antiqua"/>
          <w:b/>
          <w:i/>
          <w:color w:val="222222"/>
          <w:sz w:val="24"/>
          <w:szCs w:val="24"/>
        </w:rPr>
      </w:pPr>
      <w:r w:rsidRPr="00AE4053">
        <w:rPr>
          <w:rFonts w:ascii="Book Antiqua" w:hAnsi="Book Antiqua"/>
          <w:b/>
          <w:i/>
          <w:color w:val="222222"/>
          <w:sz w:val="24"/>
          <w:szCs w:val="24"/>
        </w:rPr>
        <w:t>Retrospective Study</w:t>
      </w:r>
    </w:p>
    <w:p w14:paraId="7D938911" w14:textId="68FF5E04" w:rsidR="000634EC" w:rsidRPr="00AE4053" w:rsidRDefault="007557D2" w:rsidP="00AE4053">
      <w:pPr>
        <w:snapToGrid w:val="0"/>
        <w:spacing w:after="0" w:line="360" w:lineRule="auto"/>
        <w:jc w:val="both"/>
        <w:rPr>
          <w:rFonts w:ascii="Book Antiqua" w:hAnsi="Book Antiqua"/>
          <w:b/>
          <w:sz w:val="24"/>
          <w:szCs w:val="24"/>
        </w:rPr>
      </w:pPr>
      <w:bookmarkStart w:id="0" w:name="OLE_LINK5"/>
      <w:bookmarkStart w:id="1" w:name="OLE_LINK6"/>
      <w:r w:rsidRPr="00AE4053">
        <w:rPr>
          <w:rFonts w:ascii="Book Antiqua" w:hAnsi="Book Antiqua"/>
          <w:b/>
          <w:sz w:val="24"/>
          <w:szCs w:val="24"/>
        </w:rPr>
        <w:t>C</w:t>
      </w:r>
      <w:r w:rsidR="002D59BC" w:rsidRPr="00AE4053">
        <w:rPr>
          <w:rFonts w:ascii="Book Antiqua" w:hAnsi="Book Antiqua"/>
          <w:b/>
          <w:sz w:val="24"/>
          <w:szCs w:val="24"/>
        </w:rPr>
        <w:t xml:space="preserve">orrelation of transient </w:t>
      </w:r>
      <w:proofErr w:type="spellStart"/>
      <w:r w:rsidR="002D59BC" w:rsidRPr="00AE4053">
        <w:rPr>
          <w:rFonts w:ascii="Book Antiqua" w:hAnsi="Book Antiqua"/>
          <w:b/>
          <w:sz w:val="24"/>
          <w:szCs w:val="24"/>
        </w:rPr>
        <w:t>elastography</w:t>
      </w:r>
      <w:proofErr w:type="spellEnd"/>
      <w:r w:rsidR="002D59BC" w:rsidRPr="00AE4053">
        <w:rPr>
          <w:rFonts w:ascii="Book Antiqua" w:hAnsi="Book Antiqua"/>
          <w:b/>
          <w:sz w:val="24"/>
          <w:szCs w:val="24"/>
        </w:rPr>
        <w:t xml:space="preserve"> with hepatic venous pressure gradient in patients with cirrhotic portal hypertension: </w:t>
      </w:r>
      <w:r w:rsidR="002D59BC" w:rsidRPr="00AE4053">
        <w:rPr>
          <w:rFonts w:ascii="Book Antiqua" w:hAnsi="Book Antiqua"/>
          <w:b/>
          <w:caps/>
          <w:sz w:val="24"/>
          <w:szCs w:val="24"/>
        </w:rPr>
        <w:t xml:space="preserve">a </w:t>
      </w:r>
      <w:r w:rsidR="002D59BC" w:rsidRPr="00AE4053">
        <w:rPr>
          <w:rFonts w:ascii="Book Antiqua" w:hAnsi="Book Antiqua"/>
          <w:b/>
          <w:sz w:val="24"/>
          <w:szCs w:val="24"/>
        </w:rPr>
        <w:t xml:space="preserve">study of 326 patients from </w:t>
      </w:r>
      <w:r w:rsidR="002D59BC" w:rsidRPr="00AE4053">
        <w:rPr>
          <w:rFonts w:ascii="Book Antiqua" w:hAnsi="Book Antiqua"/>
          <w:b/>
          <w:caps/>
          <w:sz w:val="24"/>
          <w:szCs w:val="24"/>
        </w:rPr>
        <w:t>i</w:t>
      </w:r>
      <w:r w:rsidR="002D59BC" w:rsidRPr="00AE4053">
        <w:rPr>
          <w:rFonts w:ascii="Book Antiqua" w:hAnsi="Book Antiqua"/>
          <w:b/>
          <w:sz w:val="24"/>
          <w:szCs w:val="24"/>
        </w:rPr>
        <w:t>ndia</w:t>
      </w:r>
    </w:p>
    <w:bookmarkEnd w:id="0"/>
    <w:bookmarkEnd w:id="1"/>
    <w:p w14:paraId="1FFE4265" w14:textId="77777777" w:rsidR="000634EC" w:rsidRPr="009112D8" w:rsidRDefault="000634EC" w:rsidP="00AE4053">
      <w:pPr>
        <w:snapToGrid w:val="0"/>
        <w:spacing w:after="0" w:line="360" w:lineRule="auto"/>
        <w:jc w:val="both"/>
        <w:rPr>
          <w:rFonts w:ascii="Book Antiqua" w:hAnsi="Book Antiqua"/>
          <w:bCs/>
          <w:sz w:val="24"/>
          <w:szCs w:val="24"/>
        </w:rPr>
      </w:pPr>
    </w:p>
    <w:p w14:paraId="362D2550" w14:textId="07711BFB" w:rsidR="00272E59" w:rsidRPr="009112D8" w:rsidRDefault="002D59BC" w:rsidP="00AE4053">
      <w:pPr>
        <w:snapToGrid w:val="0"/>
        <w:spacing w:after="0" w:line="360" w:lineRule="auto"/>
        <w:jc w:val="both"/>
        <w:rPr>
          <w:rFonts w:ascii="Book Antiqua" w:hAnsi="Book Antiqua"/>
          <w:sz w:val="24"/>
          <w:szCs w:val="24"/>
        </w:rPr>
      </w:pPr>
      <w:r w:rsidRPr="009112D8">
        <w:rPr>
          <w:rFonts w:ascii="Book Antiqua" w:hAnsi="Book Antiqua"/>
          <w:bCs/>
          <w:sz w:val="24"/>
          <w:szCs w:val="24"/>
        </w:rPr>
        <w:t>Kumar</w:t>
      </w:r>
      <w:r w:rsidRPr="009112D8">
        <w:rPr>
          <w:rFonts w:ascii="Book Antiqua" w:hAnsi="Book Antiqua"/>
          <w:sz w:val="24"/>
          <w:szCs w:val="24"/>
        </w:rPr>
        <w:t xml:space="preserve"> </w:t>
      </w:r>
      <w:proofErr w:type="gramStart"/>
      <w:r w:rsidRPr="009112D8">
        <w:rPr>
          <w:rFonts w:ascii="Book Antiqua" w:hAnsi="Book Antiqua"/>
          <w:sz w:val="24"/>
          <w:szCs w:val="24"/>
        </w:rPr>
        <w:t>A</w:t>
      </w:r>
      <w:proofErr w:type="gramEnd"/>
      <w:r w:rsidRPr="009112D8">
        <w:rPr>
          <w:rFonts w:ascii="Book Antiqua" w:hAnsi="Book Antiqua"/>
          <w:sz w:val="24"/>
          <w:szCs w:val="24"/>
        </w:rPr>
        <w:t xml:space="preserve"> </w:t>
      </w:r>
      <w:r w:rsidRPr="009112D8">
        <w:rPr>
          <w:rFonts w:ascii="Book Antiqua" w:hAnsi="Book Antiqua"/>
          <w:i/>
          <w:sz w:val="24"/>
          <w:szCs w:val="24"/>
        </w:rPr>
        <w:t>et al</w:t>
      </w:r>
      <w:r w:rsidRPr="009112D8">
        <w:rPr>
          <w:rFonts w:ascii="Book Antiqua" w:hAnsi="Book Antiqua"/>
          <w:sz w:val="24"/>
          <w:szCs w:val="24"/>
        </w:rPr>
        <w:t xml:space="preserve">. </w:t>
      </w:r>
      <w:r w:rsidR="00272E59" w:rsidRPr="009112D8">
        <w:rPr>
          <w:rFonts w:ascii="Book Antiqua" w:hAnsi="Book Antiqua"/>
          <w:sz w:val="24"/>
          <w:szCs w:val="24"/>
        </w:rPr>
        <w:t xml:space="preserve">Correlation of transient </w:t>
      </w:r>
      <w:proofErr w:type="spellStart"/>
      <w:r w:rsidR="00272E59" w:rsidRPr="009112D8">
        <w:rPr>
          <w:rFonts w:ascii="Book Antiqua" w:hAnsi="Book Antiqua"/>
          <w:sz w:val="24"/>
          <w:szCs w:val="24"/>
        </w:rPr>
        <w:t>elastography</w:t>
      </w:r>
      <w:proofErr w:type="spellEnd"/>
      <w:r w:rsidR="00272E59" w:rsidRPr="009112D8">
        <w:rPr>
          <w:rFonts w:ascii="Book Antiqua" w:hAnsi="Book Antiqua"/>
          <w:sz w:val="24"/>
          <w:szCs w:val="24"/>
        </w:rPr>
        <w:t xml:space="preserve"> with HVPG</w:t>
      </w:r>
    </w:p>
    <w:p w14:paraId="7CFD4DE4" w14:textId="77777777" w:rsidR="00272E59" w:rsidRPr="000A4F21" w:rsidRDefault="00272E59" w:rsidP="00AE4053">
      <w:pPr>
        <w:snapToGrid w:val="0"/>
        <w:spacing w:after="0" w:line="360" w:lineRule="auto"/>
        <w:jc w:val="both"/>
        <w:rPr>
          <w:rFonts w:ascii="Book Antiqua" w:hAnsi="Book Antiqua"/>
          <w:sz w:val="24"/>
          <w:szCs w:val="24"/>
        </w:rPr>
      </w:pPr>
    </w:p>
    <w:p w14:paraId="2BF634C6" w14:textId="70EA7865" w:rsidR="00124489" w:rsidRPr="000A4F21" w:rsidRDefault="00A044A5" w:rsidP="00AE4053">
      <w:pPr>
        <w:snapToGrid w:val="0"/>
        <w:spacing w:after="0" w:line="360" w:lineRule="auto"/>
        <w:jc w:val="both"/>
        <w:rPr>
          <w:rFonts w:ascii="Book Antiqua" w:hAnsi="Book Antiqua"/>
          <w:bCs/>
          <w:sz w:val="24"/>
          <w:szCs w:val="24"/>
        </w:rPr>
      </w:pPr>
      <w:proofErr w:type="spellStart"/>
      <w:r w:rsidRPr="000A4F21">
        <w:rPr>
          <w:rFonts w:ascii="Book Antiqua" w:hAnsi="Book Antiqua"/>
          <w:bCs/>
          <w:sz w:val="24"/>
          <w:szCs w:val="24"/>
        </w:rPr>
        <w:t>Ashish</w:t>
      </w:r>
      <w:proofErr w:type="spellEnd"/>
      <w:r w:rsidRPr="000A4F21">
        <w:rPr>
          <w:rFonts w:ascii="Book Antiqua" w:hAnsi="Book Antiqua"/>
          <w:bCs/>
          <w:sz w:val="24"/>
          <w:szCs w:val="24"/>
        </w:rPr>
        <w:t xml:space="preserve"> Kumar, </w:t>
      </w:r>
      <w:r w:rsidR="000F786F" w:rsidRPr="000A4F21">
        <w:rPr>
          <w:rFonts w:ascii="Book Antiqua" w:hAnsi="Book Antiqua"/>
          <w:bCs/>
          <w:sz w:val="24"/>
          <w:szCs w:val="24"/>
        </w:rPr>
        <w:t>N</w:t>
      </w:r>
      <w:r w:rsidR="007D0947" w:rsidRPr="000A4F21">
        <w:rPr>
          <w:rFonts w:ascii="Book Antiqua" w:hAnsi="Book Antiqua"/>
          <w:bCs/>
          <w:sz w:val="24"/>
          <w:szCs w:val="24"/>
        </w:rPr>
        <w:t xml:space="preserve">oor </w:t>
      </w:r>
      <w:r w:rsidR="000F786F" w:rsidRPr="000A4F21">
        <w:rPr>
          <w:rFonts w:ascii="Book Antiqua" w:hAnsi="Book Antiqua"/>
          <w:bCs/>
          <w:sz w:val="24"/>
          <w:szCs w:val="24"/>
        </w:rPr>
        <w:t>M</w:t>
      </w:r>
      <w:r w:rsidR="00B278B5" w:rsidRPr="000A4F21">
        <w:rPr>
          <w:rFonts w:ascii="Book Antiqua" w:hAnsi="Book Antiqua"/>
          <w:bCs/>
          <w:sz w:val="24"/>
          <w:szCs w:val="24"/>
        </w:rPr>
        <w:t>u</w:t>
      </w:r>
      <w:r w:rsidR="007D0947" w:rsidRPr="000A4F21">
        <w:rPr>
          <w:rFonts w:ascii="Book Antiqua" w:hAnsi="Book Antiqua"/>
          <w:bCs/>
          <w:sz w:val="24"/>
          <w:szCs w:val="24"/>
        </w:rPr>
        <w:t xml:space="preserve">hammad </w:t>
      </w:r>
      <w:r w:rsidR="000F786F" w:rsidRPr="000A4F21">
        <w:rPr>
          <w:rFonts w:ascii="Book Antiqua" w:hAnsi="Book Antiqua"/>
          <w:bCs/>
          <w:sz w:val="24"/>
          <w:szCs w:val="24"/>
        </w:rPr>
        <w:t>K</w:t>
      </w:r>
      <w:r w:rsidR="007D0947" w:rsidRPr="000A4F21">
        <w:rPr>
          <w:rFonts w:ascii="Book Antiqua" w:hAnsi="Book Antiqua"/>
          <w:bCs/>
          <w:sz w:val="24"/>
          <w:szCs w:val="24"/>
        </w:rPr>
        <w:t>han</w:t>
      </w:r>
      <w:r w:rsidRPr="000A4F21">
        <w:rPr>
          <w:rFonts w:ascii="Book Antiqua" w:hAnsi="Book Antiqua"/>
          <w:bCs/>
          <w:sz w:val="24"/>
          <w:szCs w:val="24"/>
        </w:rPr>
        <w:t xml:space="preserve">, </w:t>
      </w:r>
      <w:proofErr w:type="spellStart"/>
      <w:r w:rsidRPr="000A4F21">
        <w:rPr>
          <w:rFonts w:ascii="Book Antiqua" w:hAnsi="Book Antiqua"/>
          <w:bCs/>
          <w:sz w:val="24"/>
          <w:szCs w:val="24"/>
        </w:rPr>
        <w:t>Shrihari</w:t>
      </w:r>
      <w:proofErr w:type="spellEnd"/>
      <w:r w:rsidRPr="000A4F21">
        <w:rPr>
          <w:rFonts w:ascii="Book Antiqua" w:hAnsi="Book Antiqua"/>
          <w:bCs/>
          <w:sz w:val="24"/>
          <w:szCs w:val="24"/>
        </w:rPr>
        <w:t xml:space="preserve"> </w:t>
      </w:r>
      <w:r w:rsidR="001E7E4C" w:rsidRPr="000A4F21">
        <w:rPr>
          <w:rFonts w:ascii="Book Antiqua" w:hAnsi="Book Antiqua"/>
          <w:bCs/>
          <w:sz w:val="24"/>
          <w:szCs w:val="24"/>
        </w:rPr>
        <w:t xml:space="preserve">Anil </w:t>
      </w:r>
      <w:proofErr w:type="spellStart"/>
      <w:r w:rsidRPr="000A4F21">
        <w:rPr>
          <w:rFonts w:ascii="Book Antiqua" w:hAnsi="Book Antiqua"/>
          <w:bCs/>
          <w:sz w:val="24"/>
          <w:szCs w:val="24"/>
        </w:rPr>
        <w:t>Anikhindi</w:t>
      </w:r>
      <w:proofErr w:type="spellEnd"/>
      <w:r w:rsidRPr="000A4F21">
        <w:rPr>
          <w:rFonts w:ascii="Book Antiqua" w:hAnsi="Book Antiqua"/>
          <w:bCs/>
          <w:sz w:val="24"/>
          <w:szCs w:val="24"/>
        </w:rPr>
        <w:t xml:space="preserve">, Praveen Sharma, </w:t>
      </w:r>
      <w:proofErr w:type="spellStart"/>
      <w:r w:rsidRPr="000A4F21">
        <w:rPr>
          <w:rFonts w:ascii="Book Antiqua" w:hAnsi="Book Antiqua"/>
          <w:bCs/>
          <w:sz w:val="24"/>
          <w:szCs w:val="24"/>
        </w:rPr>
        <w:t>Naresh</w:t>
      </w:r>
      <w:proofErr w:type="spellEnd"/>
      <w:r w:rsidRPr="000A4F21">
        <w:rPr>
          <w:rFonts w:ascii="Book Antiqua" w:hAnsi="Book Antiqua"/>
          <w:bCs/>
          <w:sz w:val="24"/>
          <w:szCs w:val="24"/>
        </w:rPr>
        <w:t xml:space="preserve"> </w:t>
      </w:r>
      <w:proofErr w:type="spellStart"/>
      <w:r w:rsidRPr="000A4F21">
        <w:rPr>
          <w:rFonts w:ascii="Book Antiqua" w:hAnsi="Book Antiqua"/>
          <w:bCs/>
          <w:sz w:val="24"/>
          <w:szCs w:val="24"/>
        </w:rPr>
        <w:t>Bansal</w:t>
      </w:r>
      <w:proofErr w:type="spellEnd"/>
      <w:r w:rsidRPr="000A4F21">
        <w:rPr>
          <w:rFonts w:ascii="Book Antiqua" w:hAnsi="Book Antiqua"/>
          <w:bCs/>
          <w:sz w:val="24"/>
          <w:szCs w:val="24"/>
        </w:rPr>
        <w:t xml:space="preserve">, </w:t>
      </w:r>
      <w:proofErr w:type="spellStart"/>
      <w:r w:rsidRPr="000A4F21">
        <w:rPr>
          <w:rFonts w:ascii="Book Antiqua" w:hAnsi="Book Antiqua"/>
          <w:bCs/>
          <w:sz w:val="24"/>
          <w:szCs w:val="24"/>
        </w:rPr>
        <w:t>Vikas</w:t>
      </w:r>
      <w:proofErr w:type="spellEnd"/>
      <w:r w:rsidRPr="000A4F21">
        <w:rPr>
          <w:rFonts w:ascii="Book Antiqua" w:hAnsi="Book Antiqua"/>
          <w:bCs/>
          <w:sz w:val="24"/>
          <w:szCs w:val="24"/>
        </w:rPr>
        <w:t xml:space="preserve"> </w:t>
      </w:r>
      <w:proofErr w:type="spellStart"/>
      <w:r w:rsidRPr="000A4F21">
        <w:rPr>
          <w:rFonts w:ascii="Book Antiqua" w:hAnsi="Book Antiqua"/>
          <w:bCs/>
          <w:sz w:val="24"/>
          <w:szCs w:val="24"/>
        </w:rPr>
        <w:t>Singla</w:t>
      </w:r>
      <w:proofErr w:type="spellEnd"/>
      <w:r w:rsidRPr="000A4F21">
        <w:rPr>
          <w:rFonts w:ascii="Book Antiqua" w:hAnsi="Book Antiqua"/>
          <w:bCs/>
          <w:sz w:val="24"/>
          <w:szCs w:val="24"/>
        </w:rPr>
        <w:t xml:space="preserve">, Anil </w:t>
      </w:r>
      <w:proofErr w:type="spellStart"/>
      <w:r w:rsidRPr="000A4F21">
        <w:rPr>
          <w:rFonts w:ascii="Book Antiqua" w:hAnsi="Book Antiqua"/>
          <w:bCs/>
          <w:sz w:val="24"/>
          <w:szCs w:val="24"/>
        </w:rPr>
        <w:t>Arora</w:t>
      </w:r>
      <w:proofErr w:type="spellEnd"/>
    </w:p>
    <w:p w14:paraId="64772552" w14:textId="77777777" w:rsidR="008561EF" w:rsidRPr="00AE4053" w:rsidRDefault="008561EF" w:rsidP="00AE4053">
      <w:pPr>
        <w:snapToGrid w:val="0"/>
        <w:spacing w:after="0" w:line="360" w:lineRule="auto"/>
        <w:jc w:val="both"/>
        <w:rPr>
          <w:rFonts w:ascii="Book Antiqua" w:hAnsi="Book Antiqua"/>
          <w:b/>
          <w:bCs/>
          <w:sz w:val="24"/>
          <w:szCs w:val="24"/>
        </w:rPr>
      </w:pPr>
    </w:p>
    <w:p w14:paraId="3F303EE1" w14:textId="591E994B" w:rsidR="00CD79AE" w:rsidRPr="00AE4053" w:rsidRDefault="002D59BC" w:rsidP="00AE4053">
      <w:pPr>
        <w:snapToGrid w:val="0"/>
        <w:spacing w:after="0" w:line="360" w:lineRule="auto"/>
        <w:jc w:val="both"/>
        <w:rPr>
          <w:rFonts w:ascii="Book Antiqua" w:hAnsi="Book Antiqua"/>
          <w:b/>
          <w:bCs/>
          <w:sz w:val="24"/>
          <w:szCs w:val="24"/>
        </w:rPr>
      </w:pPr>
      <w:proofErr w:type="spellStart"/>
      <w:r w:rsidRPr="00AE4053">
        <w:rPr>
          <w:rFonts w:ascii="Book Antiqua" w:hAnsi="Book Antiqua"/>
          <w:b/>
          <w:bCs/>
          <w:sz w:val="24"/>
          <w:szCs w:val="24"/>
        </w:rPr>
        <w:t>Ashish</w:t>
      </w:r>
      <w:proofErr w:type="spellEnd"/>
      <w:r w:rsidRPr="00AE4053">
        <w:rPr>
          <w:rFonts w:ascii="Book Antiqua" w:hAnsi="Book Antiqua"/>
          <w:b/>
          <w:bCs/>
          <w:sz w:val="24"/>
          <w:szCs w:val="24"/>
        </w:rPr>
        <w:t xml:space="preserve"> Kumar, Noor Muhammad Khan, </w:t>
      </w:r>
      <w:proofErr w:type="spellStart"/>
      <w:r w:rsidRPr="00AE4053">
        <w:rPr>
          <w:rFonts w:ascii="Book Antiqua" w:hAnsi="Book Antiqua"/>
          <w:b/>
          <w:bCs/>
          <w:sz w:val="24"/>
          <w:szCs w:val="24"/>
        </w:rPr>
        <w:t>Shrihari</w:t>
      </w:r>
      <w:proofErr w:type="spellEnd"/>
      <w:r w:rsidRPr="00AE4053">
        <w:rPr>
          <w:rFonts w:ascii="Book Antiqua" w:hAnsi="Book Antiqua"/>
          <w:b/>
          <w:bCs/>
          <w:sz w:val="24"/>
          <w:szCs w:val="24"/>
        </w:rPr>
        <w:t xml:space="preserve"> Anil </w:t>
      </w:r>
      <w:proofErr w:type="spellStart"/>
      <w:r w:rsidRPr="00AE4053">
        <w:rPr>
          <w:rFonts w:ascii="Book Antiqua" w:hAnsi="Book Antiqua"/>
          <w:b/>
          <w:bCs/>
          <w:sz w:val="24"/>
          <w:szCs w:val="24"/>
        </w:rPr>
        <w:t>Anikhindi</w:t>
      </w:r>
      <w:proofErr w:type="spellEnd"/>
      <w:r w:rsidRPr="00AE4053">
        <w:rPr>
          <w:rFonts w:ascii="Book Antiqua" w:hAnsi="Book Antiqua"/>
          <w:b/>
          <w:bCs/>
          <w:sz w:val="24"/>
          <w:szCs w:val="24"/>
        </w:rPr>
        <w:t xml:space="preserve">, Praveen Sharma, </w:t>
      </w:r>
      <w:proofErr w:type="spellStart"/>
      <w:r w:rsidRPr="00AE4053">
        <w:rPr>
          <w:rFonts w:ascii="Book Antiqua" w:hAnsi="Book Antiqua"/>
          <w:b/>
          <w:bCs/>
          <w:sz w:val="24"/>
          <w:szCs w:val="24"/>
        </w:rPr>
        <w:t>Naresh</w:t>
      </w:r>
      <w:proofErr w:type="spellEnd"/>
      <w:r w:rsidRPr="00AE4053">
        <w:rPr>
          <w:rFonts w:ascii="Book Antiqua" w:hAnsi="Book Antiqua"/>
          <w:b/>
          <w:bCs/>
          <w:sz w:val="24"/>
          <w:szCs w:val="24"/>
        </w:rPr>
        <w:t xml:space="preserve"> </w:t>
      </w:r>
      <w:proofErr w:type="spellStart"/>
      <w:r w:rsidRPr="00AE4053">
        <w:rPr>
          <w:rFonts w:ascii="Book Antiqua" w:hAnsi="Book Antiqua"/>
          <w:b/>
          <w:bCs/>
          <w:sz w:val="24"/>
          <w:szCs w:val="24"/>
        </w:rPr>
        <w:t>Bansal</w:t>
      </w:r>
      <w:proofErr w:type="spellEnd"/>
      <w:r w:rsidRPr="00AE4053">
        <w:rPr>
          <w:rFonts w:ascii="Book Antiqua" w:hAnsi="Book Antiqua"/>
          <w:b/>
          <w:bCs/>
          <w:sz w:val="24"/>
          <w:szCs w:val="24"/>
        </w:rPr>
        <w:t xml:space="preserve">, </w:t>
      </w:r>
      <w:proofErr w:type="spellStart"/>
      <w:r w:rsidRPr="00AE4053">
        <w:rPr>
          <w:rFonts w:ascii="Book Antiqua" w:hAnsi="Book Antiqua"/>
          <w:b/>
          <w:bCs/>
          <w:sz w:val="24"/>
          <w:szCs w:val="24"/>
        </w:rPr>
        <w:t>Vikas</w:t>
      </w:r>
      <w:proofErr w:type="spellEnd"/>
      <w:r w:rsidRPr="00AE4053">
        <w:rPr>
          <w:rFonts w:ascii="Book Antiqua" w:hAnsi="Book Antiqua"/>
          <w:b/>
          <w:bCs/>
          <w:sz w:val="24"/>
          <w:szCs w:val="24"/>
        </w:rPr>
        <w:t xml:space="preserve"> </w:t>
      </w:r>
      <w:proofErr w:type="spellStart"/>
      <w:r w:rsidRPr="00AE4053">
        <w:rPr>
          <w:rFonts w:ascii="Book Antiqua" w:hAnsi="Book Antiqua"/>
          <w:b/>
          <w:bCs/>
          <w:sz w:val="24"/>
          <w:szCs w:val="24"/>
        </w:rPr>
        <w:t>Singla</w:t>
      </w:r>
      <w:proofErr w:type="spellEnd"/>
      <w:r w:rsidRPr="00AE4053">
        <w:rPr>
          <w:rFonts w:ascii="Book Antiqua" w:hAnsi="Book Antiqua"/>
          <w:b/>
          <w:bCs/>
          <w:sz w:val="24"/>
          <w:szCs w:val="24"/>
        </w:rPr>
        <w:t xml:space="preserve">, Anil </w:t>
      </w:r>
      <w:proofErr w:type="spellStart"/>
      <w:r w:rsidRPr="00AE4053">
        <w:rPr>
          <w:rFonts w:ascii="Book Antiqua" w:hAnsi="Book Antiqua"/>
          <w:b/>
          <w:bCs/>
          <w:sz w:val="24"/>
          <w:szCs w:val="24"/>
        </w:rPr>
        <w:t>Arora</w:t>
      </w:r>
      <w:proofErr w:type="spellEnd"/>
      <w:r w:rsidRPr="00AE4053">
        <w:rPr>
          <w:rFonts w:ascii="Book Antiqua" w:hAnsi="Book Antiqua"/>
          <w:b/>
          <w:bCs/>
          <w:sz w:val="24"/>
          <w:szCs w:val="24"/>
        </w:rPr>
        <w:t xml:space="preserve">, </w:t>
      </w:r>
      <w:r w:rsidR="00A044A5" w:rsidRPr="00AE4053">
        <w:rPr>
          <w:rFonts w:ascii="Book Antiqua" w:hAnsi="Book Antiqua"/>
          <w:bCs/>
          <w:sz w:val="24"/>
          <w:szCs w:val="24"/>
        </w:rPr>
        <w:t xml:space="preserve">Institute of Liver, Gastroenterology, </w:t>
      </w:r>
      <w:r w:rsidRPr="00AE4053">
        <w:rPr>
          <w:rFonts w:ascii="Book Antiqua" w:hAnsi="Book Antiqua"/>
          <w:bCs/>
          <w:sz w:val="24"/>
          <w:szCs w:val="24"/>
        </w:rPr>
        <w:t>and</w:t>
      </w:r>
      <w:r w:rsidR="00A044A5" w:rsidRPr="00AE4053">
        <w:rPr>
          <w:rFonts w:ascii="Book Antiqua" w:hAnsi="Book Antiqua"/>
          <w:bCs/>
          <w:sz w:val="24"/>
          <w:szCs w:val="24"/>
        </w:rPr>
        <w:t xml:space="preserve"> </w:t>
      </w:r>
      <w:proofErr w:type="spellStart"/>
      <w:r w:rsidR="00A044A5" w:rsidRPr="00AE4053">
        <w:rPr>
          <w:rFonts w:ascii="Book Antiqua" w:hAnsi="Book Antiqua"/>
          <w:bCs/>
          <w:sz w:val="24"/>
          <w:szCs w:val="24"/>
        </w:rPr>
        <w:t>Pancreatico</w:t>
      </w:r>
      <w:proofErr w:type="spellEnd"/>
      <w:r w:rsidR="00A044A5" w:rsidRPr="00AE4053">
        <w:rPr>
          <w:rFonts w:ascii="Book Antiqua" w:hAnsi="Book Antiqua"/>
          <w:bCs/>
          <w:sz w:val="24"/>
          <w:szCs w:val="24"/>
        </w:rPr>
        <w:t xml:space="preserve">-Biliary Sciences, Ganga Ram Institute for Postgraduate Medical Education </w:t>
      </w:r>
      <w:r w:rsidRPr="00AE4053">
        <w:rPr>
          <w:rFonts w:ascii="Book Antiqua" w:hAnsi="Book Antiqua"/>
          <w:bCs/>
          <w:sz w:val="24"/>
          <w:szCs w:val="24"/>
        </w:rPr>
        <w:t>and</w:t>
      </w:r>
      <w:r w:rsidR="00A044A5" w:rsidRPr="00AE4053">
        <w:rPr>
          <w:rFonts w:ascii="Book Antiqua" w:hAnsi="Book Antiqua"/>
          <w:bCs/>
          <w:sz w:val="24"/>
          <w:szCs w:val="24"/>
        </w:rPr>
        <w:t xml:space="preserve"> Research, Sir Ganga Ram Hospital, New Delhi</w:t>
      </w:r>
      <w:r w:rsidRPr="00AE4053">
        <w:rPr>
          <w:rFonts w:ascii="Book Antiqua" w:hAnsi="Book Antiqua"/>
          <w:bCs/>
          <w:sz w:val="24"/>
          <w:szCs w:val="24"/>
        </w:rPr>
        <w:t xml:space="preserve"> </w:t>
      </w:r>
      <w:r w:rsidR="000A3D26">
        <w:rPr>
          <w:rFonts w:ascii="Book Antiqua" w:hAnsi="Book Antiqua"/>
          <w:bCs/>
          <w:sz w:val="24"/>
          <w:szCs w:val="24"/>
        </w:rPr>
        <w:t>110</w:t>
      </w:r>
      <w:r w:rsidR="00025E71" w:rsidRPr="00AE4053">
        <w:rPr>
          <w:rFonts w:ascii="Book Antiqua" w:hAnsi="Book Antiqua"/>
          <w:bCs/>
          <w:sz w:val="24"/>
          <w:szCs w:val="24"/>
        </w:rPr>
        <w:t xml:space="preserve">060, </w:t>
      </w:r>
      <w:r w:rsidR="00A044A5" w:rsidRPr="00AE4053">
        <w:rPr>
          <w:rFonts w:ascii="Book Antiqua" w:hAnsi="Book Antiqua"/>
          <w:bCs/>
          <w:sz w:val="24"/>
          <w:szCs w:val="24"/>
        </w:rPr>
        <w:t>India</w:t>
      </w:r>
    </w:p>
    <w:p w14:paraId="12811FA3" w14:textId="77777777" w:rsidR="00124489" w:rsidRPr="00AE4053" w:rsidRDefault="00124489" w:rsidP="00AE4053">
      <w:pPr>
        <w:snapToGrid w:val="0"/>
        <w:spacing w:after="0" w:line="360" w:lineRule="auto"/>
        <w:jc w:val="both"/>
        <w:rPr>
          <w:rFonts w:ascii="Book Antiqua" w:hAnsi="Book Antiqua"/>
          <w:b/>
          <w:bCs/>
          <w:sz w:val="24"/>
          <w:szCs w:val="24"/>
        </w:rPr>
      </w:pPr>
    </w:p>
    <w:p w14:paraId="49DF95C0" w14:textId="6584AA25" w:rsidR="008561EF" w:rsidRPr="00AE4053" w:rsidRDefault="008561EF" w:rsidP="00AE4053">
      <w:pPr>
        <w:snapToGrid w:val="0"/>
        <w:spacing w:after="0" w:line="360" w:lineRule="auto"/>
        <w:jc w:val="both"/>
        <w:rPr>
          <w:rFonts w:ascii="Book Antiqua" w:hAnsi="Book Antiqua"/>
          <w:sz w:val="24"/>
          <w:szCs w:val="24"/>
        </w:rPr>
      </w:pPr>
      <w:bookmarkStart w:id="2" w:name="_Toc334950142"/>
      <w:r w:rsidRPr="00AE4053">
        <w:rPr>
          <w:rFonts w:ascii="Book Antiqua" w:hAnsi="Book Antiqua"/>
          <w:b/>
          <w:sz w:val="24"/>
          <w:szCs w:val="24"/>
        </w:rPr>
        <w:t>Author contributions:</w:t>
      </w:r>
      <w:r w:rsidR="002D59BC" w:rsidRPr="00AE4053">
        <w:rPr>
          <w:rFonts w:ascii="Book Antiqua" w:hAnsi="Book Antiqua"/>
          <w:sz w:val="24"/>
          <w:szCs w:val="24"/>
        </w:rPr>
        <w:t xml:space="preserve"> Kumar </w:t>
      </w:r>
      <w:r w:rsidRPr="00AE4053">
        <w:rPr>
          <w:rFonts w:ascii="Book Antiqua" w:hAnsi="Book Antiqua"/>
          <w:sz w:val="24"/>
          <w:szCs w:val="24"/>
        </w:rPr>
        <w:t>A</w:t>
      </w:r>
      <w:r w:rsidR="002D59BC" w:rsidRPr="00AE4053">
        <w:rPr>
          <w:rFonts w:ascii="Book Antiqua" w:hAnsi="Book Antiqua"/>
          <w:sz w:val="24"/>
          <w:szCs w:val="24"/>
        </w:rPr>
        <w:t xml:space="preserve"> </w:t>
      </w:r>
      <w:r w:rsidRPr="00AE4053">
        <w:rPr>
          <w:rFonts w:ascii="Book Antiqua" w:hAnsi="Book Antiqua"/>
          <w:sz w:val="24"/>
          <w:szCs w:val="24"/>
        </w:rPr>
        <w:t>designed and performed the research</w:t>
      </w:r>
      <w:r w:rsidR="007370B7" w:rsidRPr="00AE4053">
        <w:rPr>
          <w:rFonts w:ascii="Book Antiqua" w:hAnsi="Book Antiqua"/>
          <w:sz w:val="24"/>
          <w:szCs w:val="24"/>
        </w:rPr>
        <w:t xml:space="preserve">, </w:t>
      </w:r>
      <w:r w:rsidR="00D77D2D" w:rsidRPr="00AE4053">
        <w:rPr>
          <w:rFonts w:ascii="Book Antiqua" w:hAnsi="Book Antiqua"/>
          <w:sz w:val="24"/>
          <w:szCs w:val="24"/>
        </w:rPr>
        <w:t xml:space="preserve">performed </w:t>
      </w:r>
      <w:r w:rsidR="007370B7" w:rsidRPr="00AE4053">
        <w:rPr>
          <w:rFonts w:ascii="Book Antiqua" w:hAnsi="Book Antiqua"/>
          <w:sz w:val="24"/>
          <w:szCs w:val="24"/>
        </w:rPr>
        <w:t>statistical analysis</w:t>
      </w:r>
      <w:r w:rsidRPr="00AE4053">
        <w:rPr>
          <w:rFonts w:ascii="Book Antiqua" w:hAnsi="Book Antiqua"/>
          <w:sz w:val="24"/>
          <w:szCs w:val="24"/>
        </w:rPr>
        <w:t xml:space="preserve"> and wrote the paper; </w:t>
      </w:r>
      <w:r w:rsidR="002D59BC" w:rsidRPr="00AE4053">
        <w:rPr>
          <w:rFonts w:ascii="Book Antiqua" w:hAnsi="Book Antiqua"/>
          <w:sz w:val="24"/>
          <w:szCs w:val="24"/>
        </w:rPr>
        <w:t xml:space="preserve">Khan </w:t>
      </w:r>
      <w:r w:rsidRPr="00AE4053">
        <w:rPr>
          <w:rFonts w:ascii="Book Antiqua" w:hAnsi="Book Antiqua"/>
          <w:sz w:val="24"/>
          <w:szCs w:val="24"/>
        </w:rPr>
        <w:t xml:space="preserve">NM collected the data; </w:t>
      </w:r>
      <w:proofErr w:type="spellStart"/>
      <w:r w:rsidR="002D59BC" w:rsidRPr="00AE4053">
        <w:rPr>
          <w:rFonts w:ascii="Book Antiqua" w:hAnsi="Book Antiqua"/>
          <w:sz w:val="24"/>
          <w:szCs w:val="24"/>
        </w:rPr>
        <w:t>Anikhindi</w:t>
      </w:r>
      <w:proofErr w:type="spellEnd"/>
      <w:r w:rsidR="002D59BC" w:rsidRPr="00AE4053">
        <w:rPr>
          <w:rFonts w:ascii="Book Antiqua" w:hAnsi="Book Antiqua"/>
          <w:sz w:val="24"/>
          <w:szCs w:val="24"/>
        </w:rPr>
        <w:t xml:space="preserve"> </w:t>
      </w:r>
      <w:r w:rsidRPr="00AE4053">
        <w:rPr>
          <w:rFonts w:ascii="Book Antiqua" w:hAnsi="Book Antiqua"/>
          <w:sz w:val="24"/>
          <w:szCs w:val="24"/>
        </w:rPr>
        <w:t>SA</w:t>
      </w:r>
      <w:r w:rsidR="002D59BC" w:rsidRPr="00AE4053">
        <w:rPr>
          <w:rFonts w:ascii="Book Antiqua" w:hAnsi="Book Antiqua"/>
          <w:sz w:val="24"/>
          <w:szCs w:val="24"/>
        </w:rPr>
        <w:t xml:space="preserve"> </w:t>
      </w:r>
      <w:r w:rsidRPr="00AE4053">
        <w:rPr>
          <w:rFonts w:ascii="Book Antiqua" w:hAnsi="Book Antiqua"/>
          <w:sz w:val="24"/>
          <w:szCs w:val="24"/>
        </w:rPr>
        <w:t xml:space="preserve">contributed to the analysis; </w:t>
      </w:r>
      <w:r w:rsidR="002D59BC" w:rsidRPr="00AE4053">
        <w:rPr>
          <w:rFonts w:ascii="Book Antiqua" w:hAnsi="Book Antiqua"/>
          <w:sz w:val="24"/>
          <w:szCs w:val="24"/>
        </w:rPr>
        <w:t xml:space="preserve">Sharma </w:t>
      </w:r>
      <w:r w:rsidRPr="00AE4053">
        <w:rPr>
          <w:rFonts w:ascii="Book Antiqua" w:hAnsi="Book Antiqua"/>
          <w:sz w:val="24"/>
          <w:szCs w:val="24"/>
        </w:rPr>
        <w:t>P,</w:t>
      </w:r>
      <w:r w:rsidR="002D59BC" w:rsidRPr="00AE4053">
        <w:rPr>
          <w:rFonts w:ascii="Book Antiqua" w:hAnsi="Book Antiqua"/>
          <w:sz w:val="24"/>
          <w:szCs w:val="24"/>
        </w:rPr>
        <w:t xml:space="preserve"> </w:t>
      </w:r>
      <w:proofErr w:type="spellStart"/>
      <w:r w:rsidR="002D59BC" w:rsidRPr="00AE4053">
        <w:rPr>
          <w:rFonts w:ascii="Book Antiqua" w:hAnsi="Book Antiqua"/>
          <w:sz w:val="24"/>
          <w:szCs w:val="24"/>
        </w:rPr>
        <w:t>Bansal</w:t>
      </w:r>
      <w:proofErr w:type="spellEnd"/>
      <w:r w:rsidRPr="00AE4053">
        <w:rPr>
          <w:rFonts w:ascii="Book Antiqua" w:hAnsi="Book Antiqua"/>
          <w:sz w:val="24"/>
          <w:szCs w:val="24"/>
        </w:rPr>
        <w:t xml:space="preserve"> N, </w:t>
      </w:r>
      <w:proofErr w:type="spellStart"/>
      <w:r w:rsidR="002D59BC" w:rsidRPr="00AE4053">
        <w:rPr>
          <w:rFonts w:ascii="Book Antiqua" w:hAnsi="Book Antiqua"/>
          <w:sz w:val="24"/>
          <w:szCs w:val="24"/>
        </w:rPr>
        <w:t>Singla</w:t>
      </w:r>
      <w:proofErr w:type="spellEnd"/>
      <w:r w:rsidR="002D59BC" w:rsidRPr="00AE4053">
        <w:rPr>
          <w:rFonts w:ascii="Book Antiqua" w:hAnsi="Book Antiqua"/>
          <w:sz w:val="24"/>
          <w:szCs w:val="24"/>
        </w:rPr>
        <w:t xml:space="preserve"> </w:t>
      </w:r>
      <w:r w:rsidRPr="00AE4053">
        <w:rPr>
          <w:rFonts w:ascii="Book Antiqua" w:hAnsi="Book Antiqua"/>
          <w:sz w:val="24"/>
          <w:szCs w:val="24"/>
        </w:rPr>
        <w:t>V</w:t>
      </w:r>
      <w:r w:rsidR="002D59BC" w:rsidRPr="00AE4053">
        <w:rPr>
          <w:rFonts w:ascii="Book Antiqua" w:hAnsi="Book Antiqua"/>
          <w:sz w:val="24"/>
          <w:szCs w:val="24"/>
        </w:rPr>
        <w:t xml:space="preserve"> </w:t>
      </w:r>
      <w:r w:rsidRPr="00AE4053">
        <w:rPr>
          <w:rFonts w:ascii="Book Antiqua" w:hAnsi="Book Antiqua"/>
          <w:sz w:val="24"/>
          <w:szCs w:val="24"/>
        </w:rPr>
        <w:t xml:space="preserve">provided clinical advice; </w:t>
      </w:r>
      <w:proofErr w:type="spellStart"/>
      <w:r w:rsidR="00FA675C" w:rsidRPr="00AE4053">
        <w:rPr>
          <w:rFonts w:ascii="Book Antiqua" w:hAnsi="Book Antiqua"/>
          <w:sz w:val="24"/>
          <w:szCs w:val="24"/>
        </w:rPr>
        <w:t>Arora</w:t>
      </w:r>
      <w:proofErr w:type="spellEnd"/>
      <w:r w:rsidR="00FA675C" w:rsidRPr="00AE4053">
        <w:rPr>
          <w:rFonts w:ascii="Book Antiqua" w:hAnsi="Book Antiqua"/>
          <w:sz w:val="24"/>
          <w:szCs w:val="24"/>
        </w:rPr>
        <w:t xml:space="preserve"> </w:t>
      </w:r>
      <w:r w:rsidRPr="00AE4053">
        <w:rPr>
          <w:rFonts w:ascii="Book Antiqua" w:hAnsi="Book Antiqua"/>
          <w:sz w:val="24"/>
          <w:szCs w:val="24"/>
        </w:rPr>
        <w:t>A</w:t>
      </w:r>
      <w:r w:rsidR="000F0267">
        <w:rPr>
          <w:rFonts w:ascii="Book Antiqua" w:hAnsi="Book Antiqua" w:hint="eastAsia"/>
          <w:sz w:val="24"/>
          <w:szCs w:val="24"/>
          <w:lang w:eastAsia="zh-CN"/>
        </w:rPr>
        <w:t xml:space="preserve"> </w:t>
      </w:r>
      <w:r w:rsidRPr="00AE4053">
        <w:rPr>
          <w:rFonts w:ascii="Book Antiqua" w:hAnsi="Book Antiqua"/>
          <w:sz w:val="24"/>
          <w:szCs w:val="24"/>
        </w:rPr>
        <w:t xml:space="preserve">supervised the </w:t>
      </w:r>
      <w:r w:rsidR="00971666" w:rsidRPr="00AE4053">
        <w:rPr>
          <w:rFonts w:ascii="Book Antiqua" w:hAnsi="Book Antiqua"/>
          <w:sz w:val="24"/>
          <w:szCs w:val="24"/>
        </w:rPr>
        <w:t>study</w:t>
      </w:r>
      <w:r w:rsidRPr="00AE4053">
        <w:rPr>
          <w:rFonts w:ascii="Book Antiqua" w:hAnsi="Book Antiqua"/>
          <w:sz w:val="24"/>
          <w:szCs w:val="24"/>
        </w:rPr>
        <w:t>.</w:t>
      </w:r>
    </w:p>
    <w:p w14:paraId="1521A3A7" w14:textId="77777777" w:rsidR="00272E59" w:rsidRPr="00AE4053" w:rsidRDefault="00272E59" w:rsidP="00AE4053">
      <w:pPr>
        <w:snapToGrid w:val="0"/>
        <w:spacing w:after="0" w:line="360" w:lineRule="auto"/>
        <w:jc w:val="both"/>
        <w:rPr>
          <w:rFonts w:ascii="Book Antiqua" w:hAnsi="Book Antiqua"/>
          <w:sz w:val="24"/>
          <w:szCs w:val="24"/>
        </w:rPr>
      </w:pPr>
    </w:p>
    <w:p w14:paraId="7CFB5934" w14:textId="10FD216D" w:rsidR="00E15D47" w:rsidRPr="00AE4053" w:rsidRDefault="00E15D47" w:rsidP="00AE4053">
      <w:pPr>
        <w:snapToGrid w:val="0"/>
        <w:spacing w:after="0" w:line="360" w:lineRule="auto"/>
        <w:jc w:val="both"/>
        <w:rPr>
          <w:rFonts w:ascii="Book Antiqua" w:hAnsi="Book Antiqua"/>
          <w:sz w:val="24"/>
          <w:szCs w:val="24"/>
        </w:rPr>
      </w:pPr>
      <w:r w:rsidRPr="00AE4053">
        <w:rPr>
          <w:rFonts w:ascii="Book Antiqua" w:hAnsi="Book Antiqua"/>
          <w:b/>
          <w:sz w:val="24"/>
          <w:szCs w:val="24"/>
        </w:rPr>
        <w:t>Institu</w:t>
      </w:r>
      <w:r w:rsidR="00FA675C" w:rsidRPr="00AE4053">
        <w:rPr>
          <w:rFonts w:ascii="Book Antiqua" w:hAnsi="Book Antiqua"/>
          <w:b/>
          <w:sz w:val="24"/>
          <w:szCs w:val="24"/>
        </w:rPr>
        <w:t xml:space="preserve">tional review board statement: </w:t>
      </w:r>
      <w:r w:rsidRPr="00AE4053">
        <w:rPr>
          <w:rFonts w:ascii="Book Antiqua" w:hAnsi="Book Antiqua"/>
          <w:sz w:val="24"/>
          <w:szCs w:val="24"/>
        </w:rPr>
        <w:t xml:space="preserve">This </w:t>
      </w:r>
      <w:r w:rsidR="00971666" w:rsidRPr="00AE4053">
        <w:rPr>
          <w:rFonts w:ascii="Book Antiqua" w:hAnsi="Book Antiqua"/>
          <w:sz w:val="24"/>
          <w:szCs w:val="24"/>
        </w:rPr>
        <w:t xml:space="preserve">retrospective </w:t>
      </w:r>
      <w:r w:rsidRPr="00AE4053">
        <w:rPr>
          <w:rFonts w:ascii="Book Antiqua" w:hAnsi="Book Antiqua"/>
          <w:sz w:val="24"/>
          <w:szCs w:val="24"/>
        </w:rPr>
        <w:t xml:space="preserve">study </w:t>
      </w:r>
      <w:r w:rsidR="00D77D2D" w:rsidRPr="00AE4053">
        <w:rPr>
          <w:rFonts w:ascii="Book Antiqua" w:hAnsi="Book Antiqua"/>
          <w:sz w:val="24"/>
          <w:szCs w:val="24"/>
        </w:rPr>
        <w:t>was</w:t>
      </w:r>
      <w:r w:rsidR="00971666" w:rsidRPr="00AE4053">
        <w:rPr>
          <w:rFonts w:ascii="Book Antiqua" w:hAnsi="Book Antiqua"/>
          <w:sz w:val="24"/>
          <w:szCs w:val="24"/>
        </w:rPr>
        <w:t xml:space="preserve"> submitted to the</w:t>
      </w:r>
      <w:r w:rsidRPr="00AE4053">
        <w:rPr>
          <w:rFonts w:ascii="Book Antiqua" w:hAnsi="Book Antiqua"/>
          <w:sz w:val="24"/>
          <w:szCs w:val="24"/>
        </w:rPr>
        <w:t xml:space="preserve"> Ethics Committee of Sir Ganga Ram Hospital, New Delhi</w:t>
      </w:r>
      <w:r w:rsidR="00971666" w:rsidRPr="00AE4053">
        <w:rPr>
          <w:rFonts w:ascii="Book Antiqua" w:hAnsi="Book Antiqua"/>
          <w:sz w:val="24"/>
          <w:szCs w:val="24"/>
        </w:rPr>
        <w:t xml:space="preserve"> </w:t>
      </w:r>
      <w:r w:rsidR="00394134" w:rsidRPr="00AE4053">
        <w:rPr>
          <w:rFonts w:ascii="Book Antiqua" w:hAnsi="Book Antiqua"/>
          <w:sz w:val="24"/>
          <w:szCs w:val="24"/>
        </w:rPr>
        <w:t>for review</w:t>
      </w:r>
      <w:r w:rsidR="00FA675C" w:rsidRPr="00AE4053">
        <w:rPr>
          <w:rFonts w:ascii="Book Antiqua" w:hAnsi="Book Antiqua"/>
          <w:sz w:val="24"/>
          <w:szCs w:val="24"/>
        </w:rPr>
        <w:t>.</w:t>
      </w:r>
    </w:p>
    <w:p w14:paraId="4B789694" w14:textId="77777777" w:rsidR="00971666" w:rsidRPr="00AE4053" w:rsidRDefault="00971666" w:rsidP="00AE4053">
      <w:pPr>
        <w:snapToGrid w:val="0"/>
        <w:spacing w:after="0" w:line="360" w:lineRule="auto"/>
        <w:jc w:val="both"/>
        <w:rPr>
          <w:rFonts w:ascii="Book Antiqua" w:hAnsi="Book Antiqua"/>
          <w:b/>
          <w:sz w:val="24"/>
          <w:szCs w:val="24"/>
        </w:rPr>
      </w:pPr>
    </w:p>
    <w:p w14:paraId="6C35951D" w14:textId="59F81B47" w:rsidR="00971666" w:rsidRPr="00AE4053" w:rsidRDefault="00FA675C" w:rsidP="00AE4053">
      <w:pPr>
        <w:snapToGrid w:val="0"/>
        <w:spacing w:after="0" w:line="360" w:lineRule="auto"/>
        <w:jc w:val="both"/>
        <w:rPr>
          <w:rFonts w:ascii="Book Antiqua" w:hAnsi="Book Antiqua"/>
          <w:sz w:val="24"/>
          <w:szCs w:val="24"/>
        </w:rPr>
      </w:pPr>
      <w:bookmarkStart w:id="3" w:name="OLE_LINK1"/>
      <w:bookmarkStart w:id="4" w:name="OLE_LINK2"/>
      <w:r w:rsidRPr="00AE4053">
        <w:rPr>
          <w:rFonts w:ascii="Book Antiqua" w:hAnsi="Book Antiqua"/>
          <w:b/>
          <w:sz w:val="24"/>
          <w:szCs w:val="24"/>
        </w:rPr>
        <w:t>Informed consent statement:</w:t>
      </w:r>
      <w:r w:rsidRPr="00AE4053">
        <w:rPr>
          <w:rFonts w:ascii="Book Antiqua" w:hAnsi="Book Antiqua"/>
          <w:sz w:val="24"/>
          <w:szCs w:val="24"/>
        </w:rPr>
        <w:t xml:space="preserve"> </w:t>
      </w:r>
      <w:r w:rsidR="00394134" w:rsidRPr="00AE4053">
        <w:rPr>
          <w:rFonts w:ascii="Book Antiqua" w:hAnsi="Book Antiqua"/>
          <w:sz w:val="24"/>
          <w:szCs w:val="24"/>
        </w:rPr>
        <w:t>I</w:t>
      </w:r>
      <w:r w:rsidR="00971666" w:rsidRPr="00AE4053">
        <w:rPr>
          <w:rFonts w:ascii="Book Antiqua" w:hAnsi="Book Antiqua"/>
          <w:sz w:val="24"/>
          <w:szCs w:val="24"/>
        </w:rPr>
        <w:t xml:space="preserve">nformed consent </w:t>
      </w:r>
      <w:r w:rsidR="00173251" w:rsidRPr="00AE4053">
        <w:rPr>
          <w:rFonts w:ascii="Book Antiqua" w:hAnsi="Book Antiqua"/>
          <w:sz w:val="24"/>
          <w:szCs w:val="24"/>
        </w:rPr>
        <w:t>from the included patients was not obtained</w:t>
      </w:r>
      <w:r w:rsidR="00971666" w:rsidRPr="00AE4053">
        <w:rPr>
          <w:rFonts w:ascii="Book Antiqua" w:hAnsi="Book Antiqua"/>
          <w:sz w:val="24"/>
          <w:szCs w:val="24"/>
        </w:rPr>
        <w:t xml:space="preserve"> </w:t>
      </w:r>
      <w:r w:rsidR="004952EB" w:rsidRPr="00AE4053">
        <w:rPr>
          <w:rFonts w:ascii="Book Antiqua" w:hAnsi="Book Antiqua"/>
          <w:sz w:val="24"/>
          <w:szCs w:val="24"/>
        </w:rPr>
        <w:t xml:space="preserve">because the study </w:t>
      </w:r>
      <w:r w:rsidR="00971666" w:rsidRPr="00AE4053">
        <w:rPr>
          <w:rFonts w:ascii="Book Antiqua" w:hAnsi="Book Antiqua"/>
          <w:sz w:val="24"/>
          <w:szCs w:val="24"/>
        </w:rPr>
        <w:t>was retrospective</w:t>
      </w:r>
      <w:r w:rsidR="007842A8" w:rsidRPr="00AE4053">
        <w:rPr>
          <w:rFonts w:ascii="Book Antiqua" w:hAnsi="Book Antiqua"/>
          <w:sz w:val="24"/>
          <w:szCs w:val="24"/>
        </w:rPr>
        <w:t>,</w:t>
      </w:r>
      <w:r w:rsidR="00394134" w:rsidRPr="00AE4053">
        <w:rPr>
          <w:rFonts w:ascii="Book Antiqua" w:hAnsi="Book Antiqua"/>
          <w:sz w:val="24"/>
          <w:szCs w:val="24"/>
        </w:rPr>
        <w:t xml:space="preserve"> and only</w:t>
      </w:r>
      <w:r w:rsidR="005B52C3" w:rsidRPr="00AE4053">
        <w:rPr>
          <w:rFonts w:ascii="Book Antiqua" w:hAnsi="Book Antiqua"/>
          <w:sz w:val="24"/>
          <w:szCs w:val="24"/>
        </w:rPr>
        <w:t xml:space="preserve"> </w:t>
      </w:r>
      <w:r w:rsidR="00971666" w:rsidRPr="00AE4053">
        <w:rPr>
          <w:rFonts w:ascii="Book Antiqua" w:hAnsi="Book Antiqua"/>
          <w:sz w:val="24"/>
          <w:szCs w:val="24"/>
        </w:rPr>
        <w:t xml:space="preserve">anonymous clinical data </w:t>
      </w:r>
      <w:r w:rsidR="005B52C3" w:rsidRPr="00AE4053">
        <w:rPr>
          <w:rFonts w:ascii="Book Antiqua" w:hAnsi="Book Antiqua"/>
          <w:sz w:val="24"/>
          <w:szCs w:val="24"/>
        </w:rPr>
        <w:t>of the patients</w:t>
      </w:r>
      <w:r w:rsidR="00971666" w:rsidRPr="00AE4053">
        <w:rPr>
          <w:rFonts w:ascii="Book Antiqua" w:hAnsi="Book Antiqua"/>
          <w:sz w:val="24"/>
          <w:szCs w:val="24"/>
        </w:rPr>
        <w:t xml:space="preserve"> were obtained </w:t>
      </w:r>
      <w:r w:rsidR="005B52C3" w:rsidRPr="00AE4053">
        <w:rPr>
          <w:rFonts w:ascii="Book Antiqua" w:hAnsi="Book Antiqua"/>
          <w:sz w:val="24"/>
          <w:szCs w:val="24"/>
        </w:rPr>
        <w:t xml:space="preserve">retrospectively from the records. </w:t>
      </w:r>
      <w:r w:rsidR="00B8724B" w:rsidRPr="00AE4053">
        <w:rPr>
          <w:rFonts w:ascii="Book Antiqua" w:hAnsi="Book Antiqua"/>
          <w:sz w:val="24"/>
          <w:szCs w:val="24"/>
        </w:rPr>
        <w:t xml:space="preserve">The data </w:t>
      </w:r>
      <w:r w:rsidR="00D77D2D" w:rsidRPr="00AE4053">
        <w:rPr>
          <w:rFonts w:ascii="Book Antiqua" w:hAnsi="Book Antiqua"/>
          <w:sz w:val="24"/>
          <w:szCs w:val="24"/>
        </w:rPr>
        <w:t xml:space="preserve">were </w:t>
      </w:r>
      <w:r w:rsidR="00B8724B" w:rsidRPr="00AE4053">
        <w:rPr>
          <w:rFonts w:ascii="Book Antiqua" w:hAnsi="Book Antiqua"/>
          <w:sz w:val="24"/>
          <w:szCs w:val="24"/>
        </w:rPr>
        <w:lastRenderedPageBreak/>
        <w:t>anonymous</w:t>
      </w:r>
      <w:r w:rsidR="00D77D2D" w:rsidRPr="00AE4053">
        <w:rPr>
          <w:rFonts w:ascii="Book Antiqua" w:hAnsi="Book Antiqua"/>
          <w:sz w:val="24"/>
          <w:szCs w:val="24"/>
        </w:rPr>
        <w:t>,</w:t>
      </w:r>
      <w:r w:rsidR="00B8724B" w:rsidRPr="00AE4053">
        <w:rPr>
          <w:rFonts w:ascii="Book Antiqua" w:hAnsi="Book Antiqua"/>
          <w:sz w:val="24"/>
          <w:szCs w:val="24"/>
        </w:rPr>
        <w:t xml:space="preserve"> and the identities of patients were not disclosed. </w:t>
      </w:r>
      <w:r w:rsidR="005B52C3" w:rsidRPr="00AE4053">
        <w:rPr>
          <w:rFonts w:ascii="Book Antiqua" w:hAnsi="Book Antiqua"/>
          <w:sz w:val="24"/>
          <w:szCs w:val="24"/>
        </w:rPr>
        <w:t>E</w:t>
      </w:r>
      <w:r w:rsidR="00971666" w:rsidRPr="00AE4053">
        <w:rPr>
          <w:rFonts w:ascii="Book Antiqua" w:hAnsi="Book Antiqua"/>
          <w:sz w:val="24"/>
          <w:szCs w:val="24"/>
        </w:rPr>
        <w:t xml:space="preserve">ach patient </w:t>
      </w:r>
      <w:r w:rsidR="00D77D2D" w:rsidRPr="00AE4053">
        <w:rPr>
          <w:rFonts w:ascii="Book Antiqua" w:hAnsi="Book Antiqua"/>
          <w:sz w:val="24"/>
          <w:szCs w:val="24"/>
        </w:rPr>
        <w:t>provided</w:t>
      </w:r>
      <w:r w:rsidR="00173251" w:rsidRPr="00AE4053">
        <w:rPr>
          <w:rFonts w:ascii="Book Antiqua" w:hAnsi="Book Antiqua"/>
          <w:sz w:val="24"/>
          <w:szCs w:val="24"/>
        </w:rPr>
        <w:t xml:space="preserve"> written informed consent for </w:t>
      </w:r>
      <w:r w:rsidR="004952EB" w:rsidRPr="00AE4053">
        <w:rPr>
          <w:rFonts w:ascii="Book Antiqua" w:hAnsi="Book Antiqua"/>
          <w:sz w:val="24"/>
          <w:szCs w:val="24"/>
        </w:rPr>
        <w:t>undergo</w:t>
      </w:r>
      <w:r w:rsidR="00173251" w:rsidRPr="00AE4053">
        <w:rPr>
          <w:rFonts w:ascii="Book Antiqua" w:hAnsi="Book Antiqua"/>
          <w:sz w:val="24"/>
          <w:szCs w:val="24"/>
        </w:rPr>
        <w:t>ing</w:t>
      </w:r>
      <w:r w:rsidR="004952EB" w:rsidRPr="00AE4053">
        <w:rPr>
          <w:rFonts w:ascii="Book Antiqua" w:hAnsi="Book Antiqua"/>
          <w:sz w:val="24"/>
          <w:szCs w:val="24"/>
        </w:rPr>
        <w:t xml:space="preserve"> hepatic venous pressure gradient</w:t>
      </w:r>
      <w:r w:rsidR="00971666" w:rsidRPr="00AE4053">
        <w:rPr>
          <w:rFonts w:ascii="Book Antiqua" w:hAnsi="Book Antiqua"/>
          <w:sz w:val="24"/>
          <w:szCs w:val="24"/>
        </w:rPr>
        <w:t xml:space="preserve"> </w:t>
      </w:r>
      <w:r w:rsidR="004952EB" w:rsidRPr="00AE4053">
        <w:rPr>
          <w:rFonts w:ascii="Book Antiqua" w:hAnsi="Book Antiqua"/>
          <w:sz w:val="24"/>
          <w:szCs w:val="24"/>
        </w:rPr>
        <w:t>(HVPG)</w:t>
      </w:r>
      <w:r w:rsidR="00971666" w:rsidRPr="00AE4053">
        <w:rPr>
          <w:rFonts w:ascii="Book Antiqua" w:hAnsi="Book Antiqua"/>
          <w:sz w:val="24"/>
          <w:szCs w:val="24"/>
        </w:rPr>
        <w:t xml:space="preserve">. </w:t>
      </w:r>
    </w:p>
    <w:bookmarkEnd w:id="3"/>
    <w:bookmarkEnd w:id="4"/>
    <w:p w14:paraId="3CAA67FE" w14:textId="77777777" w:rsidR="007370B7" w:rsidRPr="00AE4053" w:rsidRDefault="007370B7" w:rsidP="00AE4053">
      <w:pPr>
        <w:snapToGrid w:val="0"/>
        <w:spacing w:after="0" w:line="360" w:lineRule="auto"/>
        <w:jc w:val="both"/>
        <w:rPr>
          <w:rFonts w:ascii="Book Antiqua" w:hAnsi="Book Antiqua"/>
          <w:sz w:val="24"/>
          <w:szCs w:val="24"/>
        </w:rPr>
      </w:pPr>
    </w:p>
    <w:p w14:paraId="68143C80" w14:textId="651167D9" w:rsidR="004952EB" w:rsidRPr="00AE4053" w:rsidRDefault="004952EB" w:rsidP="00AE4053">
      <w:pPr>
        <w:snapToGrid w:val="0"/>
        <w:spacing w:after="0" w:line="360" w:lineRule="auto"/>
        <w:jc w:val="both"/>
        <w:rPr>
          <w:rFonts w:ascii="Book Antiqua" w:hAnsi="Book Antiqua"/>
          <w:sz w:val="24"/>
          <w:szCs w:val="24"/>
        </w:rPr>
      </w:pPr>
      <w:r w:rsidRPr="00AE4053">
        <w:rPr>
          <w:rFonts w:ascii="Book Antiqua" w:hAnsi="Book Antiqua"/>
          <w:b/>
          <w:sz w:val="24"/>
          <w:szCs w:val="24"/>
        </w:rPr>
        <w:t>C</w:t>
      </w:r>
      <w:r w:rsidR="00FA675C" w:rsidRPr="00AE4053">
        <w:rPr>
          <w:rFonts w:ascii="Book Antiqua" w:hAnsi="Book Antiqua"/>
          <w:b/>
          <w:sz w:val="24"/>
          <w:szCs w:val="24"/>
        </w:rPr>
        <w:t>onflict-of-interest statement:</w:t>
      </w:r>
      <w:r w:rsidR="00FA675C" w:rsidRPr="00AE4053">
        <w:rPr>
          <w:rFonts w:ascii="Book Antiqua" w:hAnsi="Book Antiqua"/>
          <w:sz w:val="24"/>
          <w:szCs w:val="24"/>
        </w:rPr>
        <w:t xml:space="preserve"> </w:t>
      </w:r>
      <w:r w:rsidRPr="00AE4053">
        <w:rPr>
          <w:rFonts w:ascii="Book Antiqua" w:hAnsi="Book Antiqua"/>
          <w:sz w:val="24"/>
          <w:szCs w:val="24"/>
        </w:rPr>
        <w:t>We have no financial relationships to disclose.</w:t>
      </w:r>
    </w:p>
    <w:p w14:paraId="3F375764" w14:textId="77777777" w:rsidR="008561EF" w:rsidRPr="00AE4053" w:rsidRDefault="008561EF" w:rsidP="00AE4053">
      <w:pPr>
        <w:snapToGrid w:val="0"/>
        <w:spacing w:after="0" w:line="360" w:lineRule="auto"/>
        <w:jc w:val="both"/>
        <w:rPr>
          <w:rFonts w:ascii="Book Antiqua" w:hAnsi="Book Antiqua"/>
          <w:sz w:val="24"/>
          <w:szCs w:val="24"/>
        </w:rPr>
      </w:pPr>
    </w:p>
    <w:p w14:paraId="4D57DA8B" w14:textId="5236EB38" w:rsidR="002E598E" w:rsidRPr="00AE4053" w:rsidRDefault="00FA675C" w:rsidP="00AE4053">
      <w:pPr>
        <w:snapToGrid w:val="0"/>
        <w:spacing w:after="0" w:line="360" w:lineRule="auto"/>
        <w:jc w:val="both"/>
        <w:rPr>
          <w:rFonts w:ascii="Book Antiqua" w:hAnsi="Book Antiqua"/>
          <w:sz w:val="24"/>
          <w:szCs w:val="24"/>
        </w:rPr>
      </w:pPr>
      <w:r w:rsidRPr="00AE4053">
        <w:rPr>
          <w:rFonts w:ascii="Book Antiqua" w:hAnsi="Book Antiqua"/>
          <w:b/>
          <w:sz w:val="24"/>
          <w:szCs w:val="24"/>
        </w:rPr>
        <w:t>Data sharing statement:</w:t>
      </w:r>
      <w:r w:rsidRPr="00AE4053">
        <w:rPr>
          <w:rFonts w:ascii="Book Antiqua" w:hAnsi="Book Antiqua"/>
          <w:sz w:val="24"/>
          <w:szCs w:val="24"/>
        </w:rPr>
        <w:t xml:space="preserve"> </w:t>
      </w:r>
      <w:r w:rsidR="004952EB" w:rsidRPr="00AE4053">
        <w:rPr>
          <w:rFonts w:ascii="Book Antiqua" w:hAnsi="Book Antiqua"/>
          <w:sz w:val="24"/>
          <w:szCs w:val="24"/>
        </w:rPr>
        <w:t>No additional data are available</w:t>
      </w:r>
      <w:r w:rsidR="002E598E" w:rsidRPr="00AE4053">
        <w:rPr>
          <w:rFonts w:ascii="Book Antiqua" w:hAnsi="Book Antiqua"/>
          <w:sz w:val="24"/>
          <w:szCs w:val="24"/>
        </w:rPr>
        <w:t>.</w:t>
      </w:r>
    </w:p>
    <w:p w14:paraId="34B0F6E9" w14:textId="77777777" w:rsidR="002E598E" w:rsidRPr="00AE4053" w:rsidRDefault="002E598E" w:rsidP="00AE4053">
      <w:pPr>
        <w:snapToGrid w:val="0"/>
        <w:spacing w:after="0" w:line="360" w:lineRule="auto"/>
        <w:jc w:val="both"/>
        <w:rPr>
          <w:rFonts w:ascii="Book Antiqua" w:hAnsi="Book Antiqua"/>
          <w:b/>
          <w:sz w:val="24"/>
          <w:szCs w:val="24"/>
        </w:rPr>
      </w:pPr>
    </w:p>
    <w:p w14:paraId="2DC5B775" w14:textId="77777777" w:rsidR="00FA675C" w:rsidRPr="00AE4053" w:rsidRDefault="00FA675C" w:rsidP="00AE4053">
      <w:pPr>
        <w:pStyle w:val="11"/>
        <w:snapToGrid w:val="0"/>
        <w:spacing w:line="360" w:lineRule="auto"/>
        <w:jc w:val="both"/>
        <w:rPr>
          <w:rFonts w:ascii="Book Antiqua" w:hAnsi="Book Antiqua" w:cs="Times New Roman"/>
          <w:bCs/>
          <w:color w:val="auto"/>
          <w:sz w:val="24"/>
          <w:lang w:val="en-US"/>
        </w:rPr>
      </w:pPr>
      <w:bookmarkStart w:id="5" w:name="OLE_LINK734"/>
      <w:bookmarkStart w:id="6" w:name="OLE_LINK441"/>
      <w:bookmarkStart w:id="7" w:name="OLE_LINK442"/>
      <w:bookmarkStart w:id="8" w:name="OLE_LINK1032"/>
      <w:bookmarkStart w:id="9" w:name="OLE_LINK1232"/>
      <w:bookmarkStart w:id="10" w:name="OLE_LINK559"/>
      <w:bookmarkStart w:id="11" w:name="OLE_LINK878"/>
      <w:bookmarkStart w:id="12" w:name="OLE_LINK879"/>
      <w:r w:rsidRPr="00AE4053">
        <w:rPr>
          <w:rFonts w:ascii="Book Antiqua" w:hAnsi="Book Antiqua" w:cs="Times New Roman"/>
          <w:b/>
          <w:bCs/>
          <w:color w:val="auto"/>
          <w:sz w:val="24"/>
          <w:lang w:val="en-US"/>
        </w:rPr>
        <w:t>Open-Access:</w:t>
      </w:r>
      <w:r w:rsidRPr="00AE4053">
        <w:rPr>
          <w:rFonts w:ascii="Book Antiqua" w:hAnsi="Book Antiqua" w:cs="Times New Roman"/>
          <w:bCs/>
          <w:color w:val="auto"/>
          <w:sz w:val="24"/>
          <w:lang w:val="en-US"/>
        </w:rPr>
        <w:t xml:space="preserve"> </w:t>
      </w:r>
      <w:bookmarkStart w:id="13" w:name="OLE_LINK479"/>
      <w:bookmarkStart w:id="14" w:name="OLE_LINK496"/>
      <w:bookmarkStart w:id="15" w:name="OLE_LINK506"/>
      <w:bookmarkStart w:id="16" w:name="OLE_LINK507"/>
      <w:r w:rsidRPr="00AE4053">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AE4053">
        <w:rPr>
          <w:rFonts w:ascii="Book Antiqua" w:hAnsi="Book Antiqua" w:cs="Times New Roman" w:hint="eastAsia"/>
          <w:bCs/>
          <w:color w:val="auto"/>
          <w:sz w:val="24"/>
          <w:lang w:val="en-US" w:eastAsia="zh-CN"/>
        </w:rPr>
        <w:t xml:space="preserve"> </w:t>
      </w:r>
      <w:r w:rsidRPr="00AE4053">
        <w:rPr>
          <w:rFonts w:ascii="Book Antiqua" w:hAnsi="Book Antiqua" w:cs="Times New Roman"/>
          <w:bCs/>
          <w:color w:val="auto"/>
          <w:sz w:val="24"/>
          <w:lang w:val="en-US"/>
        </w:rPr>
        <w:t>in</w:t>
      </w:r>
      <w:r w:rsidRPr="00AE4053">
        <w:rPr>
          <w:rFonts w:ascii="Book Antiqua" w:hAnsi="Book Antiqua" w:cs="Times New Roman" w:hint="eastAsia"/>
          <w:bCs/>
          <w:color w:val="auto"/>
          <w:sz w:val="24"/>
          <w:lang w:val="en-US" w:eastAsia="zh-CN"/>
        </w:rPr>
        <w:t xml:space="preserve"> </w:t>
      </w:r>
      <w:r w:rsidRPr="00AE4053">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AE4053">
          <w:rPr>
            <w:rStyle w:val="aa"/>
            <w:rFonts w:ascii="Book Antiqua" w:hAnsi="Book Antiqua" w:cs="Times New Roman"/>
            <w:bCs/>
            <w:color w:val="auto"/>
            <w:sz w:val="24"/>
            <w:lang w:val="en-US"/>
          </w:rPr>
          <w:t>http://creativecommons.org/licenses/by-nc/4.0/</w:t>
        </w:r>
      </w:hyperlink>
      <w:bookmarkEnd w:id="5"/>
      <w:bookmarkEnd w:id="13"/>
      <w:bookmarkEnd w:id="14"/>
      <w:bookmarkEnd w:id="15"/>
      <w:bookmarkEnd w:id="16"/>
    </w:p>
    <w:bookmarkEnd w:id="6"/>
    <w:bookmarkEnd w:id="7"/>
    <w:bookmarkEnd w:id="8"/>
    <w:bookmarkEnd w:id="9"/>
    <w:bookmarkEnd w:id="10"/>
    <w:p w14:paraId="151BC359" w14:textId="77777777" w:rsidR="00FA675C" w:rsidRPr="00AE4053" w:rsidRDefault="00FA675C" w:rsidP="00AE4053">
      <w:pPr>
        <w:pStyle w:val="11"/>
        <w:snapToGrid w:val="0"/>
        <w:spacing w:line="360" w:lineRule="auto"/>
        <w:jc w:val="both"/>
        <w:rPr>
          <w:rFonts w:ascii="Book Antiqua" w:hAnsi="Book Antiqua" w:cs="Times New Roman"/>
          <w:b/>
          <w:bCs/>
          <w:color w:val="FF0000"/>
          <w:sz w:val="24"/>
          <w:lang w:val="en-US" w:eastAsia="zh-CN"/>
        </w:rPr>
      </w:pPr>
    </w:p>
    <w:p w14:paraId="3D05FE9F" w14:textId="5E55C6E8" w:rsidR="0047503E" w:rsidRPr="00AE4053" w:rsidRDefault="00FA675C" w:rsidP="00AE4053">
      <w:pPr>
        <w:snapToGrid w:val="0"/>
        <w:spacing w:after="0" w:line="360" w:lineRule="auto"/>
        <w:jc w:val="both"/>
        <w:rPr>
          <w:rFonts w:ascii="Book Antiqua" w:hAnsi="Book Antiqua" w:cs="Times New Roman"/>
          <w:bCs/>
          <w:sz w:val="24"/>
        </w:rPr>
      </w:pPr>
      <w:r w:rsidRPr="00AE4053">
        <w:rPr>
          <w:rFonts w:ascii="Book Antiqua" w:hAnsi="Book Antiqua" w:cs="Times New Roman"/>
          <w:b/>
          <w:bCs/>
          <w:sz w:val="24"/>
        </w:rPr>
        <w:t>Manuscript source:</w:t>
      </w:r>
      <w:r w:rsidRPr="00AE4053">
        <w:rPr>
          <w:rFonts w:ascii="Book Antiqua" w:hAnsi="Book Antiqua" w:cs="Times New Roman" w:hint="eastAsia"/>
          <w:b/>
          <w:bCs/>
          <w:sz w:val="24"/>
          <w:lang w:eastAsia="zh-CN"/>
        </w:rPr>
        <w:t xml:space="preserve"> </w:t>
      </w:r>
      <w:r w:rsidRPr="00AE4053">
        <w:rPr>
          <w:rFonts w:ascii="Book Antiqua" w:hAnsi="Book Antiqua" w:cs="Times New Roman"/>
          <w:bCs/>
          <w:sz w:val="24"/>
        </w:rPr>
        <w:t>Unsolicited manuscript</w:t>
      </w:r>
      <w:bookmarkEnd w:id="11"/>
      <w:bookmarkEnd w:id="12"/>
    </w:p>
    <w:p w14:paraId="1BBC97F6" w14:textId="77777777" w:rsidR="00FA675C" w:rsidRPr="00AE4053" w:rsidRDefault="00FA675C" w:rsidP="00AE4053">
      <w:pPr>
        <w:snapToGrid w:val="0"/>
        <w:spacing w:after="0" w:line="360" w:lineRule="auto"/>
        <w:jc w:val="both"/>
        <w:rPr>
          <w:rFonts w:ascii="Book Antiqua" w:hAnsi="Book Antiqua"/>
          <w:b/>
          <w:sz w:val="24"/>
          <w:szCs w:val="24"/>
        </w:rPr>
      </w:pPr>
    </w:p>
    <w:p w14:paraId="2FB149FF" w14:textId="29169655" w:rsidR="002E598E" w:rsidRPr="00DE5079" w:rsidRDefault="00FA675C" w:rsidP="00AE4053">
      <w:pPr>
        <w:snapToGrid w:val="0"/>
        <w:spacing w:after="0" w:line="360" w:lineRule="auto"/>
        <w:jc w:val="both"/>
        <w:rPr>
          <w:rFonts w:ascii="Book Antiqua" w:hAnsi="Book Antiqua"/>
          <w:b/>
          <w:sz w:val="24"/>
          <w:szCs w:val="24"/>
        </w:rPr>
      </w:pPr>
      <w:r w:rsidRPr="00AE4053">
        <w:rPr>
          <w:rFonts w:ascii="Book Antiqua" w:hAnsi="Book Antiqua"/>
          <w:b/>
          <w:sz w:val="24"/>
          <w:szCs w:val="24"/>
        </w:rPr>
        <w:t>Correspondence to:</w:t>
      </w:r>
      <w:r w:rsidR="00DE5079">
        <w:rPr>
          <w:rFonts w:ascii="Book Antiqua" w:hAnsi="Book Antiqua"/>
          <w:b/>
          <w:sz w:val="24"/>
          <w:szCs w:val="24"/>
        </w:rPr>
        <w:t xml:space="preserve"> </w:t>
      </w:r>
      <w:bookmarkStart w:id="17" w:name="OLE_LINK3"/>
      <w:bookmarkStart w:id="18" w:name="OLE_LINK4"/>
      <w:proofErr w:type="spellStart"/>
      <w:r w:rsidR="0047503E" w:rsidRPr="00AE4053">
        <w:rPr>
          <w:rFonts w:ascii="Book Antiqua" w:hAnsi="Book Antiqua"/>
          <w:b/>
          <w:sz w:val="24"/>
          <w:szCs w:val="24"/>
        </w:rPr>
        <w:t>Ashish</w:t>
      </w:r>
      <w:proofErr w:type="spellEnd"/>
      <w:r w:rsidR="0047503E" w:rsidRPr="00AE4053">
        <w:rPr>
          <w:rFonts w:ascii="Book Antiqua" w:hAnsi="Book Antiqua"/>
          <w:b/>
          <w:sz w:val="24"/>
          <w:szCs w:val="24"/>
        </w:rPr>
        <w:t xml:space="preserve"> Kumar, MBBS, MD, DM</w:t>
      </w:r>
      <w:r w:rsidRPr="00AE4053">
        <w:rPr>
          <w:rFonts w:ascii="Book Antiqua" w:hAnsi="Book Antiqua"/>
          <w:b/>
          <w:sz w:val="24"/>
          <w:szCs w:val="24"/>
        </w:rPr>
        <w:t xml:space="preserve">, </w:t>
      </w:r>
      <w:r w:rsidR="002E598E" w:rsidRPr="00AE4053">
        <w:rPr>
          <w:rFonts w:ascii="Book Antiqua" w:hAnsi="Book Antiqua"/>
          <w:b/>
          <w:sz w:val="24"/>
          <w:szCs w:val="24"/>
        </w:rPr>
        <w:t>Associate Professor</w:t>
      </w:r>
      <w:r w:rsidRPr="00AE4053">
        <w:rPr>
          <w:rFonts w:ascii="Book Antiqua" w:hAnsi="Book Antiqua"/>
          <w:b/>
          <w:sz w:val="24"/>
          <w:szCs w:val="24"/>
        </w:rPr>
        <w:t xml:space="preserve">, </w:t>
      </w:r>
      <w:r w:rsidR="0047503E" w:rsidRPr="00AE4053">
        <w:rPr>
          <w:rFonts w:ascii="Book Antiqua" w:hAnsi="Book Antiqua"/>
          <w:sz w:val="24"/>
          <w:szCs w:val="24"/>
        </w:rPr>
        <w:t>Institute of Liver, Gastroenterology,</w:t>
      </w:r>
      <w:r w:rsidRPr="00AE4053">
        <w:rPr>
          <w:rFonts w:ascii="Book Antiqua" w:hAnsi="Book Antiqua"/>
          <w:sz w:val="24"/>
          <w:szCs w:val="24"/>
        </w:rPr>
        <w:t xml:space="preserve"> and </w:t>
      </w:r>
      <w:proofErr w:type="spellStart"/>
      <w:r w:rsidRPr="00AE4053">
        <w:rPr>
          <w:rFonts w:ascii="Book Antiqua" w:hAnsi="Book Antiqua"/>
          <w:sz w:val="24"/>
          <w:szCs w:val="24"/>
        </w:rPr>
        <w:t>Pancreatico</w:t>
      </w:r>
      <w:proofErr w:type="spellEnd"/>
      <w:r w:rsidRPr="00AE4053">
        <w:rPr>
          <w:rFonts w:ascii="Book Antiqua" w:hAnsi="Book Antiqua"/>
          <w:sz w:val="24"/>
          <w:szCs w:val="24"/>
        </w:rPr>
        <w:t xml:space="preserve">-Biliary Sciences, </w:t>
      </w:r>
      <w:r w:rsidR="002E598E" w:rsidRPr="00AE4053">
        <w:rPr>
          <w:rFonts w:ascii="Book Antiqua" w:hAnsi="Book Antiqua"/>
          <w:sz w:val="24"/>
          <w:szCs w:val="24"/>
        </w:rPr>
        <w:t>Ganga Ram Institute for Postgraduate Medical</w:t>
      </w:r>
      <w:r w:rsidR="0047503E" w:rsidRPr="00AE4053">
        <w:rPr>
          <w:rFonts w:ascii="Book Antiqua" w:hAnsi="Book Antiqua"/>
          <w:sz w:val="24"/>
          <w:szCs w:val="24"/>
        </w:rPr>
        <w:t xml:space="preserve"> Education </w:t>
      </w:r>
      <w:r w:rsidRPr="00AE4053">
        <w:rPr>
          <w:rFonts w:ascii="Book Antiqua" w:hAnsi="Book Antiqua"/>
          <w:sz w:val="24"/>
          <w:szCs w:val="24"/>
        </w:rPr>
        <w:t>and</w:t>
      </w:r>
      <w:r w:rsidR="0047503E" w:rsidRPr="00AE4053">
        <w:rPr>
          <w:rFonts w:ascii="Book Antiqua" w:hAnsi="Book Antiqua"/>
          <w:sz w:val="24"/>
          <w:szCs w:val="24"/>
        </w:rPr>
        <w:t xml:space="preserve"> Research</w:t>
      </w:r>
      <w:r w:rsidRPr="00AE4053">
        <w:rPr>
          <w:rFonts w:ascii="Book Antiqua" w:hAnsi="Book Antiqua"/>
          <w:sz w:val="24"/>
          <w:szCs w:val="24"/>
        </w:rPr>
        <w:t xml:space="preserve">, </w:t>
      </w:r>
      <w:r w:rsidR="002E598E" w:rsidRPr="00AE4053">
        <w:rPr>
          <w:rFonts w:ascii="Book Antiqua" w:hAnsi="Book Antiqua"/>
          <w:sz w:val="24"/>
          <w:szCs w:val="24"/>
        </w:rPr>
        <w:t>Sir Ganga Ram Hospital</w:t>
      </w:r>
      <w:r w:rsidR="00DE5079">
        <w:rPr>
          <w:rFonts w:ascii="Book Antiqua" w:hAnsi="Book Antiqua"/>
          <w:sz w:val="24"/>
          <w:szCs w:val="24"/>
        </w:rPr>
        <w:t xml:space="preserve">, </w:t>
      </w:r>
      <w:proofErr w:type="spellStart"/>
      <w:r w:rsidR="002E598E" w:rsidRPr="00AE4053">
        <w:rPr>
          <w:rFonts w:ascii="Book Antiqua" w:hAnsi="Book Antiqua"/>
          <w:sz w:val="24"/>
          <w:szCs w:val="24"/>
        </w:rPr>
        <w:t>Rajinder</w:t>
      </w:r>
      <w:proofErr w:type="spellEnd"/>
      <w:r w:rsidR="002E598E" w:rsidRPr="00AE4053">
        <w:rPr>
          <w:rFonts w:ascii="Book Antiqua" w:hAnsi="Book Antiqua"/>
          <w:sz w:val="24"/>
          <w:szCs w:val="24"/>
        </w:rPr>
        <w:t xml:space="preserve"> Nagar</w:t>
      </w:r>
      <w:r w:rsidRPr="00AE4053">
        <w:rPr>
          <w:rFonts w:ascii="Book Antiqua" w:hAnsi="Book Antiqua"/>
          <w:sz w:val="24"/>
          <w:szCs w:val="24"/>
        </w:rPr>
        <w:t xml:space="preserve">, </w:t>
      </w:r>
      <w:r w:rsidR="002E598E" w:rsidRPr="00AE4053">
        <w:rPr>
          <w:rFonts w:ascii="Book Antiqua" w:hAnsi="Book Antiqua"/>
          <w:sz w:val="24"/>
          <w:szCs w:val="24"/>
        </w:rPr>
        <w:t>New Delhi</w:t>
      </w:r>
      <w:r w:rsidRPr="00AE4053">
        <w:rPr>
          <w:rFonts w:ascii="Book Antiqua" w:hAnsi="Book Antiqua"/>
          <w:sz w:val="24"/>
          <w:szCs w:val="24"/>
        </w:rPr>
        <w:t xml:space="preserve"> </w:t>
      </w:r>
      <w:r w:rsidR="000F0267">
        <w:rPr>
          <w:rFonts w:ascii="Book Antiqua" w:hAnsi="Book Antiqua"/>
          <w:sz w:val="24"/>
          <w:szCs w:val="24"/>
        </w:rPr>
        <w:t>110</w:t>
      </w:r>
      <w:r w:rsidR="002E598E" w:rsidRPr="00AE4053">
        <w:rPr>
          <w:rFonts w:ascii="Book Antiqua" w:hAnsi="Book Antiqua"/>
          <w:sz w:val="24"/>
          <w:szCs w:val="24"/>
        </w:rPr>
        <w:t>060</w:t>
      </w:r>
      <w:r w:rsidRPr="00AE4053">
        <w:rPr>
          <w:rFonts w:ascii="Book Antiqua" w:hAnsi="Book Antiqua"/>
          <w:sz w:val="24"/>
          <w:szCs w:val="24"/>
        </w:rPr>
        <w:t xml:space="preserve">, </w:t>
      </w:r>
      <w:r w:rsidR="002E598E" w:rsidRPr="00AE4053">
        <w:rPr>
          <w:rFonts w:ascii="Book Antiqua" w:hAnsi="Book Antiqua"/>
          <w:sz w:val="24"/>
          <w:szCs w:val="24"/>
        </w:rPr>
        <w:t>India</w:t>
      </w:r>
      <w:r w:rsidRPr="00AE4053">
        <w:rPr>
          <w:rFonts w:ascii="Book Antiqua" w:hAnsi="Book Antiqua"/>
          <w:sz w:val="24"/>
          <w:szCs w:val="24"/>
        </w:rPr>
        <w:t xml:space="preserve">. </w:t>
      </w:r>
      <w:hyperlink r:id="rId11" w:history="1">
        <w:r w:rsidRPr="00AE4053">
          <w:rPr>
            <w:rStyle w:val="aa"/>
            <w:rFonts w:ascii="Book Antiqua" w:hAnsi="Book Antiqua"/>
            <w:sz w:val="24"/>
            <w:szCs w:val="24"/>
          </w:rPr>
          <w:t>ashishk10@yahoo.com</w:t>
        </w:r>
      </w:hyperlink>
    </w:p>
    <w:p w14:paraId="3F70951A" w14:textId="18C3C83D" w:rsidR="002E598E" w:rsidRPr="00AE4053" w:rsidRDefault="00FA675C" w:rsidP="00AE4053">
      <w:pPr>
        <w:snapToGrid w:val="0"/>
        <w:spacing w:after="0" w:line="360" w:lineRule="auto"/>
        <w:jc w:val="both"/>
        <w:rPr>
          <w:rFonts w:ascii="Book Antiqua" w:hAnsi="Book Antiqua"/>
          <w:sz w:val="24"/>
          <w:szCs w:val="24"/>
        </w:rPr>
      </w:pPr>
      <w:r w:rsidRPr="00AE4053">
        <w:rPr>
          <w:rFonts w:ascii="Book Antiqua" w:hAnsi="Book Antiqua"/>
          <w:b/>
          <w:sz w:val="24"/>
          <w:szCs w:val="24"/>
        </w:rPr>
        <w:t>Telephone:</w:t>
      </w:r>
      <w:r w:rsidR="002E598E" w:rsidRPr="00AE4053">
        <w:rPr>
          <w:rFonts w:ascii="Book Antiqua" w:hAnsi="Book Antiqua"/>
          <w:b/>
          <w:sz w:val="24"/>
          <w:szCs w:val="24"/>
        </w:rPr>
        <w:t xml:space="preserve"> </w:t>
      </w:r>
      <w:r w:rsidR="002E598E" w:rsidRPr="00AE4053">
        <w:rPr>
          <w:rFonts w:ascii="Book Antiqua" w:hAnsi="Book Antiqua"/>
          <w:sz w:val="24"/>
          <w:szCs w:val="24"/>
        </w:rPr>
        <w:t>+91-9312792573</w:t>
      </w:r>
    </w:p>
    <w:p w14:paraId="61B79B92" w14:textId="6C7FED97" w:rsidR="002E598E" w:rsidRPr="00AE4053" w:rsidRDefault="00225DB0" w:rsidP="00AE4053">
      <w:pPr>
        <w:snapToGrid w:val="0"/>
        <w:spacing w:after="0" w:line="360" w:lineRule="auto"/>
        <w:jc w:val="both"/>
        <w:rPr>
          <w:rFonts w:ascii="Book Antiqua" w:hAnsi="Book Antiqua"/>
          <w:sz w:val="24"/>
          <w:szCs w:val="24"/>
        </w:rPr>
      </w:pPr>
      <w:r w:rsidRPr="00AE4053">
        <w:rPr>
          <w:rFonts w:ascii="Book Antiqua" w:hAnsi="Book Antiqua"/>
          <w:b/>
          <w:sz w:val="24"/>
          <w:szCs w:val="24"/>
        </w:rPr>
        <w:t>Fax:</w:t>
      </w:r>
      <w:r w:rsidRPr="00AE4053">
        <w:rPr>
          <w:rFonts w:ascii="Book Antiqua" w:hAnsi="Book Antiqua"/>
          <w:sz w:val="24"/>
          <w:szCs w:val="24"/>
        </w:rPr>
        <w:t xml:space="preserve"> +91-11-</w:t>
      </w:r>
      <w:r w:rsidR="00DD7EB7" w:rsidRPr="00AE4053">
        <w:rPr>
          <w:rFonts w:ascii="Book Antiqua" w:hAnsi="Book Antiqua"/>
          <w:sz w:val="24"/>
          <w:szCs w:val="24"/>
        </w:rPr>
        <w:t>25861002</w:t>
      </w:r>
    </w:p>
    <w:bookmarkEnd w:id="17"/>
    <w:bookmarkEnd w:id="18"/>
    <w:p w14:paraId="5BD8121E" w14:textId="77777777" w:rsidR="002E598E" w:rsidRPr="00AE4053" w:rsidRDefault="002E598E" w:rsidP="00AE4053">
      <w:pPr>
        <w:snapToGrid w:val="0"/>
        <w:spacing w:after="0" w:line="360" w:lineRule="auto"/>
        <w:jc w:val="both"/>
        <w:rPr>
          <w:rFonts w:ascii="Book Antiqua" w:eastAsiaTheme="majorEastAsia" w:hAnsi="Book Antiqua" w:cstheme="majorBidi"/>
          <w:b/>
          <w:bCs/>
          <w:color w:val="345A8A" w:themeColor="accent1" w:themeShade="B5"/>
          <w:sz w:val="24"/>
          <w:szCs w:val="24"/>
        </w:rPr>
      </w:pPr>
    </w:p>
    <w:p w14:paraId="0324E7B9" w14:textId="53B90C9F" w:rsidR="00FA675C" w:rsidRPr="00FA675C" w:rsidRDefault="00FA675C" w:rsidP="00AE4053">
      <w:pPr>
        <w:snapToGrid w:val="0"/>
        <w:spacing w:after="0" w:line="360" w:lineRule="auto"/>
        <w:jc w:val="both"/>
        <w:rPr>
          <w:rFonts w:ascii="Book Antiqua" w:hAnsi="Book Antiqua" w:cs="宋体"/>
          <w:b/>
          <w:sz w:val="24"/>
          <w:szCs w:val="24"/>
          <w:lang w:eastAsia="zh-CN"/>
        </w:rPr>
      </w:pPr>
      <w:bookmarkStart w:id="19" w:name="OLE_LINK952"/>
      <w:r w:rsidRPr="00FA675C">
        <w:rPr>
          <w:rFonts w:ascii="Book Antiqua" w:hAnsi="Book Antiqua" w:cs="宋体"/>
          <w:b/>
          <w:sz w:val="24"/>
          <w:szCs w:val="24"/>
          <w:lang w:eastAsia="zh-CN"/>
        </w:rPr>
        <w:t>Received:</w:t>
      </w:r>
      <w:r w:rsidRPr="00AE4053">
        <w:rPr>
          <w:rFonts w:ascii="Book Antiqua" w:hAnsi="Book Antiqua" w:cs="宋体"/>
          <w:b/>
          <w:sz w:val="24"/>
          <w:szCs w:val="24"/>
          <w:lang w:eastAsia="zh-CN"/>
        </w:rPr>
        <w:t xml:space="preserve"> </w:t>
      </w:r>
      <w:r w:rsidRPr="00AE4053">
        <w:rPr>
          <w:rFonts w:ascii="Book Antiqua" w:hAnsi="Book Antiqua" w:cs="宋体"/>
          <w:sz w:val="24"/>
          <w:szCs w:val="24"/>
          <w:lang w:eastAsia="zh-CN"/>
        </w:rPr>
        <w:t>September 11, 2016</w:t>
      </w:r>
    </w:p>
    <w:p w14:paraId="39DA4CAB" w14:textId="59DBD925" w:rsidR="00FA675C" w:rsidRPr="00FA675C" w:rsidRDefault="00FA675C" w:rsidP="00AE4053">
      <w:pPr>
        <w:snapToGrid w:val="0"/>
        <w:spacing w:after="0" w:line="360" w:lineRule="auto"/>
        <w:jc w:val="both"/>
        <w:rPr>
          <w:rFonts w:ascii="Book Antiqua" w:hAnsi="Book Antiqua" w:cs="宋体"/>
          <w:b/>
          <w:sz w:val="24"/>
          <w:szCs w:val="24"/>
          <w:lang w:eastAsia="zh-CN"/>
        </w:rPr>
      </w:pPr>
      <w:r w:rsidRPr="00FA675C">
        <w:rPr>
          <w:rFonts w:ascii="Book Antiqua" w:hAnsi="Book Antiqua" w:cs="宋体"/>
          <w:b/>
          <w:sz w:val="24"/>
          <w:szCs w:val="24"/>
          <w:lang w:eastAsia="zh-CN"/>
        </w:rPr>
        <w:t>Peer-review started:</w:t>
      </w:r>
      <w:r w:rsidRPr="00AE4053">
        <w:rPr>
          <w:rFonts w:ascii="Book Antiqua" w:hAnsi="Book Antiqua" w:cs="宋体"/>
          <w:b/>
          <w:sz w:val="24"/>
          <w:szCs w:val="24"/>
          <w:lang w:eastAsia="zh-CN"/>
        </w:rPr>
        <w:t xml:space="preserve"> </w:t>
      </w:r>
      <w:r w:rsidRPr="00AE4053">
        <w:rPr>
          <w:rFonts w:ascii="Book Antiqua" w:hAnsi="Book Antiqua" w:cs="宋体"/>
          <w:sz w:val="24"/>
          <w:szCs w:val="24"/>
          <w:lang w:eastAsia="zh-CN"/>
        </w:rPr>
        <w:t>September 12, 2016</w:t>
      </w:r>
    </w:p>
    <w:p w14:paraId="06BC1943" w14:textId="7FF5E4B2" w:rsidR="00FA675C" w:rsidRPr="00FA675C" w:rsidRDefault="00FA675C" w:rsidP="00AE4053">
      <w:pPr>
        <w:snapToGrid w:val="0"/>
        <w:spacing w:after="0" w:line="360" w:lineRule="auto"/>
        <w:jc w:val="both"/>
        <w:rPr>
          <w:rFonts w:ascii="Book Antiqua" w:hAnsi="Book Antiqua" w:cs="宋体"/>
          <w:b/>
          <w:sz w:val="24"/>
          <w:szCs w:val="24"/>
          <w:lang w:eastAsia="zh-CN"/>
        </w:rPr>
      </w:pPr>
      <w:r w:rsidRPr="00FA675C">
        <w:rPr>
          <w:rFonts w:ascii="Book Antiqua" w:hAnsi="Book Antiqua" w:cs="宋体"/>
          <w:b/>
          <w:sz w:val="24"/>
          <w:szCs w:val="24"/>
          <w:lang w:eastAsia="zh-CN"/>
        </w:rPr>
        <w:t>First decision:</w:t>
      </w:r>
      <w:r w:rsidRPr="00AE4053">
        <w:rPr>
          <w:rFonts w:ascii="Book Antiqua" w:hAnsi="Book Antiqua" w:cs="宋体"/>
          <w:b/>
          <w:sz w:val="24"/>
          <w:szCs w:val="24"/>
          <w:lang w:eastAsia="zh-CN"/>
        </w:rPr>
        <w:t xml:space="preserve"> </w:t>
      </w:r>
      <w:r w:rsidRPr="00AE4053">
        <w:rPr>
          <w:rFonts w:ascii="Book Antiqua" w:hAnsi="Book Antiqua" w:cs="宋体"/>
          <w:sz w:val="24"/>
          <w:szCs w:val="24"/>
          <w:lang w:eastAsia="zh-CN"/>
        </w:rPr>
        <w:t>October 10, 2016</w:t>
      </w:r>
    </w:p>
    <w:p w14:paraId="7921E159" w14:textId="7A698C0C" w:rsidR="00FA675C" w:rsidRPr="00FA675C" w:rsidRDefault="00FA675C" w:rsidP="00AE4053">
      <w:pPr>
        <w:snapToGrid w:val="0"/>
        <w:spacing w:after="0" w:line="360" w:lineRule="auto"/>
        <w:jc w:val="both"/>
        <w:rPr>
          <w:rFonts w:ascii="Book Antiqua" w:hAnsi="Book Antiqua" w:cs="宋体"/>
          <w:b/>
          <w:sz w:val="24"/>
          <w:szCs w:val="24"/>
          <w:lang w:eastAsia="zh-CN"/>
        </w:rPr>
      </w:pPr>
      <w:r w:rsidRPr="00FA675C">
        <w:rPr>
          <w:rFonts w:ascii="Book Antiqua" w:hAnsi="Book Antiqua" w:cs="宋体"/>
          <w:b/>
          <w:sz w:val="24"/>
          <w:szCs w:val="24"/>
          <w:lang w:eastAsia="zh-CN"/>
        </w:rPr>
        <w:t>Revised:</w:t>
      </w:r>
      <w:r w:rsidRPr="00AE4053">
        <w:rPr>
          <w:rFonts w:ascii="Book Antiqua" w:hAnsi="Book Antiqua" w:cs="宋体"/>
          <w:b/>
          <w:sz w:val="24"/>
          <w:szCs w:val="24"/>
          <w:lang w:eastAsia="zh-CN"/>
        </w:rPr>
        <w:t xml:space="preserve"> </w:t>
      </w:r>
      <w:r w:rsidRPr="00AE4053">
        <w:rPr>
          <w:rFonts w:ascii="Book Antiqua" w:hAnsi="Book Antiqua" w:cs="宋体"/>
          <w:sz w:val="24"/>
          <w:szCs w:val="24"/>
          <w:lang w:eastAsia="zh-CN"/>
        </w:rPr>
        <w:t>November 15, 2016</w:t>
      </w:r>
    </w:p>
    <w:p w14:paraId="23CF1483" w14:textId="324CB1A6" w:rsidR="00FA675C" w:rsidRPr="00D8618C" w:rsidRDefault="00FA675C" w:rsidP="00D8618C">
      <w:pPr>
        <w:spacing w:line="360" w:lineRule="auto"/>
        <w:rPr>
          <w:rFonts w:ascii="Book Antiqua" w:hAnsi="Book Antiqua"/>
          <w:color w:val="000000"/>
          <w:sz w:val="24"/>
        </w:rPr>
      </w:pPr>
      <w:r w:rsidRPr="00FA675C">
        <w:rPr>
          <w:rFonts w:ascii="Book Antiqua" w:hAnsi="Book Antiqua" w:cs="宋体"/>
          <w:b/>
          <w:sz w:val="24"/>
          <w:szCs w:val="24"/>
          <w:lang w:eastAsia="zh-CN"/>
        </w:rPr>
        <w:t>Accepted:</w:t>
      </w:r>
      <w:r w:rsidR="00D8618C" w:rsidRPr="00D8618C">
        <w:rPr>
          <w:rFonts w:ascii="Book Antiqua" w:hAnsi="Book Antiqua"/>
          <w:color w:val="000000"/>
          <w:sz w:val="24"/>
        </w:rPr>
        <w:t xml:space="preserve"> </w:t>
      </w:r>
      <w:r w:rsidR="00D8618C">
        <w:rPr>
          <w:rFonts w:ascii="Book Antiqua" w:hAnsi="Book Antiqua"/>
          <w:color w:val="000000"/>
          <w:sz w:val="24"/>
        </w:rPr>
        <w:t>January 2, 2017</w:t>
      </w:r>
    </w:p>
    <w:p w14:paraId="5A529EC2" w14:textId="77777777" w:rsidR="00FA675C" w:rsidRPr="00FA675C" w:rsidRDefault="00FA675C" w:rsidP="00AE4053">
      <w:pPr>
        <w:snapToGrid w:val="0"/>
        <w:spacing w:after="0" w:line="360" w:lineRule="auto"/>
        <w:jc w:val="both"/>
        <w:rPr>
          <w:rFonts w:ascii="Book Antiqua" w:hAnsi="Book Antiqua" w:cs="宋体"/>
          <w:b/>
          <w:sz w:val="24"/>
          <w:szCs w:val="24"/>
          <w:lang w:eastAsia="zh-CN"/>
        </w:rPr>
      </w:pPr>
      <w:r w:rsidRPr="00FA675C">
        <w:rPr>
          <w:rFonts w:ascii="Book Antiqua" w:hAnsi="Book Antiqua" w:cs="宋体"/>
          <w:b/>
          <w:sz w:val="24"/>
          <w:szCs w:val="24"/>
          <w:lang w:eastAsia="zh-CN"/>
        </w:rPr>
        <w:t>Article in press:</w:t>
      </w:r>
    </w:p>
    <w:p w14:paraId="6AE1EFCB" w14:textId="0146B7EB" w:rsidR="004952EB" w:rsidRPr="00AE4053" w:rsidRDefault="00FA675C" w:rsidP="00AE4053">
      <w:pPr>
        <w:snapToGrid w:val="0"/>
        <w:spacing w:after="0" w:line="360" w:lineRule="auto"/>
        <w:jc w:val="both"/>
        <w:rPr>
          <w:rFonts w:ascii="Book Antiqua" w:hAnsi="Book Antiqua" w:cs="Arial"/>
          <w:b/>
          <w:sz w:val="24"/>
          <w:szCs w:val="24"/>
          <w:lang w:eastAsia="zh-CN"/>
        </w:rPr>
      </w:pPr>
      <w:r w:rsidRPr="00FA675C">
        <w:rPr>
          <w:rFonts w:ascii="Book Antiqua" w:hAnsi="Book Antiqua" w:cs="Arial"/>
          <w:b/>
          <w:sz w:val="24"/>
          <w:szCs w:val="24"/>
          <w:lang w:val="pl-PL" w:eastAsia="pl-PL"/>
        </w:rPr>
        <w:t>Published online</w:t>
      </w:r>
      <w:r w:rsidRPr="00FA675C">
        <w:rPr>
          <w:rFonts w:ascii="Book Antiqua" w:hAnsi="Book Antiqua" w:cs="Arial" w:hint="eastAsia"/>
          <w:b/>
          <w:sz w:val="24"/>
          <w:szCs w:val="24"/>
          <w:lang w:val="pl-PL" w:eastAsia="pl-PL"/>
        </w:rPr>
        <w:t>:</w:t>
      </w:r>
      <w:bookmarkEnd w:id="19"/>
    </w:p>
    <w:p w14:paraId="20F52671" w14:textId="3BE5D032" w:rsidR="00D85C00" w:rsidRPr="00AE4053" w:rsidRDefault="00A044A5" w:rsidP="00AE4053">
      <w:pPr>
        <w:snapToGrid w:val="0"/>
        <w:spacing w:after="0" w:line="360" w:lineRule="auto"/>
        <w:jc w:val="both"/>
        <w:rPr>
          <w:rFonts w:ascii="Book Antiqua" w:eastAsiaTheme="majorEastAsia" w:hAnsi="Book Antiqua" w:cstheme="majorBidi"/>
          <w:b/>
          <w:bCs/>
          <w:color w:val="345A8A" w:themeColor="accent1" w:themeShade="B5"/>
          <w:sz w:val="24"/>
          <w:szCs w:val="24"/>
        </w:rPr>
      </w:pPr>
      <w:r w:rsidRPr="00AE4053">
        <w:rPr>
          <w:rFonts w:ascii="Book Antiqua" w:eastAsiaTheme="majorEastAsia" w:hAnsi="Book Antiqua" w:cstheme="majorBidi"/>
          <w:b/>
          <w:bCs/>
          <w:color w:val="345A8A" w:themeColor="accent1" w:themeShade="B5"/>
          <w:sz w:val="24"/>
          <w:szCs w:val="24"/>
        </w:rPr>
        <w:lastRenderedPageBreak/>
        <w:br w:type="page"/>
      </w:r>
      <w:r w:rsidR="00D85C00" w:rsidRPr="00AE4053">
        <w:rPr>
          <w:rFonts w:ascii="Book Antiqua" w:hAnsi="Book Antiqua"/>
          <w:b/>
          <w:sz w:val="24"/>
          <w:szCs w:val="24"/>
        </w:rPr>
        <w:lastRenderedPageBreak/>
        <w:t>A</w:t>
      </w:r>
      <w:r w:rsidR="00AE4053" w:rsidRPr="00AE4053">
        <w:rPr>
          <w:rFonts w:ascii="Book Antiqua" w:hAnsi="Book Antiqua"/>
          <w:b/>
          <w:sz w:val="24"/>
          <w:szCs w:val="24"/>
        </w:rPr>
        <w:t>bstract</w:t>
      </w:r>
      <w:bookmarkEnd w:id="2"/>
    </w:p>
    <w:p w14:paraId="585621F9" w14:textId="77777777" w:rsidR="00AE4053" w:rsidRPr="00AE4053" w:rsidRDefault="00525D7A" w:rsidP="00AE4053">
      <w:pPr>
        <w:snapToGrid w:val="0"/>
        <w:spacing w:after="0" w:line="360" w:lineRule="auto"/>
        <w:jc w:val="both"/>
        <w:rPr>
          <w:rFonts w:ascii="Book Antiqua" w:hAnsi="Book Antiqua"/>
          <w:b/>
          <w:i/>
          <w:caps/>
          <w:sz w:val="24"/>
          <w:szCs w:val="24"/>
        </w:rPr>
      </w:pPr>
      <w:r w:rsidRPr="00AE4053">
        <w:rPr>
          <w:rFonts w:ascii="Book Antiqua" w:hAnsi="Book Antiqua"/>
          <w:b/>
          <w:i/>
          <w:caps/>
          <w:sz w:val="24"/>
          <w:szCs w:val="24"/>
        </w:rPr>
        <w:t>Aim</w:t>
      </w:r>
    </w:p>
    <w:p w14:paraId="71E87B6A" w14:textId="7B623E5F" w:rsidR="00A548C7" w:rsidRPr="00AE4053" w:rsidRDefault="00A548C7" w:rsidP="00AE4053">
      <w:pPr>
        <w:snapToGrid w:val="0"/>
        <w:spacing w:after="0" w:line="360" w:lineRule="auto"/>
        <w:jc w:val="both"/>
        <w:rPr>
          <w:rFonts w:ascii="Book Antiqua" w:hAnsi="Book Antiqua"/>
          <w:sz w:val="24"/>
          <w:szCs w:val="24"/>
        </w:rPr>
      </w:pPr>
      <w:proofErr w:type="gramStart"/>
      <w:r w:rsidRPr="00AE4053">
        <w:rPr>
          <w:rFonts w:ascii="Book Antiqua" w:hAnsi="Book Antiqua"/>
          <w:sz w:val="24"/>
          <w:szCs w:val="24"/>
        </w:rPr>
        <w:t>T</w:t>
      </w:r>
      <w:r w:rsidR="00525D7A" w:rsidRPr="00AE4053">
        <w:rPr>
          <w:rFonts w:ascii="Book Antiqua" w:hAnsi="Book Antiqua"/>
          <w:sz w:val="24"/>
          <w:szCs w:val="24"/>
        </w:rPr>
        <w:t xml:space="preserve">o </w:t>
      </w:r>
      <w:r w:rsidRPr="00AE4053">
        <w:rPr>
          <w:rFonts w:ascii="Book Antiqua" w:hAnsi="Book Antiqua"/>
          <w:sz w:val="24"/>
          <w:szCs w:val="24"/>
        </w:rPr>
        <w:t xml:space="preserve">study the diagnostic accuracy of </w:t>
      </w:r>
      <w:r w:rsidR="00960B44" w:rsidRPr="00AE4053">
        <w:rPr>
          <w:rFonts w:ascii="Book Antiqua" w:hAnsi="Book Antiqua"/>
          <w:sz w:val="24"/>
          <w:szCs w:val="24"/>
        </w:rPr>
        <w:t xml:space="preserve">transient </w:t>
      </w:r>
      <w:proofErr w:type="spellStart"/>
      <w:r w:rsidR="00960B44" w:rsidRPr="00AE4053">
        <w:rPr>
          <w:rFonts w:ascii="Book Antiqua" w:hAnsi="Book Antiqua"/>
          <w:sz w:val="24"/>
          <w:szCs w:val="24"/>
        </w:rPr>
        <w:t>elastography</w:t>
      </w:r>
      <w:proofErr w:type="spellEnd"/>
      <w:r w:rsidR="00960B44" w:rsidRPr="00AE4053">
        <w:rPr>
          <w:rFonts w:ascii="Book Antiqua" w:hAnsi="Book Antiqua"/>
          <w:sz w:val="24"/>
          <w:szCs w:val="24"/>
        </w:rPr>
        <w:t xml:space="preserve"> (TE)</w:t>
      </w:r>
      <w:r w:rsidRPr="00AE4053">
        <w:rPr>
          <w:rFonts w:ascii="Book Antiqua" w:hAnsi="Book Antiqua"/>
          <w:sz w:val="24"/>
          <w:szCs w:val="24"/>
        </w:rPr>
        <w:t xml:space="preserve"> for detecting </w:t>
      </w:r>
      <w:r w:rsidR="00960B44" w:rsidRPr="00AE4053">
        <w:rPr>
          <w:rFonts w:ascii="Book Antiqua" w:hAnsi="Book Antiqua"/>
          <w:sz w:val="24"/>
          <w:szCs w:val="24"/>
        </w:rPr>
        <w:t>clinically significant portal hypertension (CSPH)</w:t>
      </w:r>
      <w:r w:rsidRPr="00AE4053">
        <w:rPr>
          <w:rFonts w:ascii="Book Antiqua" w:hAnsi="Book Antiqua"/>
          <w:sz w:val="24"/>
          <w:szCs w:val="24"/>
        </w:rPr>
        <w:t xml:space="preserve"> </w:t>
      </w:r>
      <w:r w:rsidR="00667088" w:rsidRPr="00AE4053">
        <w:rPr>
          <w:rFonts w:ascii="Book Antiqua" w:hAnsi="Book Antiqua"/>
          <w:sz w:val="24"/>
          <w:szCs w:val="24"/>
        </w:rPr>
        <w:t>in Indian patients</w:t>
      </w:r>
      <w:r w:rsidR="00960B44" w:rsidRPr="00AE4053">
        <w:rPr>
          <w:rFonts w:ascii="Book Antiqua" w:hAnsi="Book Antiqua"/>
          <w:sz w:val="24"/>
          <w:szCs w:val="24"/>
        </w:rPr>
        <w:t xml:space="preserve"> with cirrhotic portal hypertension</w:t>
      </w:r>
      <w:r w:rsidRPr="00AE4053">
        <w:rPr>
          <w:rFonts w:ascii="Book Antiqua" w:hAnsi="Book Antiqua"/>
          <w:sz w:val="24"/>
          <w:szCs w:val="24"/>
        </w:rPr>
        <w:t>.</w:t>
      </w:r>
      <w:proofErr w:type="gramEnd"/>
    </w:p>
    <w:p w14:paraId="52D1BE40" w14:textId="77777777" w:rsidR="00AE4053" w:rsidRDefault="00AE4053" w:rsidP="00AE4053">
      <w:pPr>
        <w:snapToGrid w:val="0"/>
        <w:spacing w:after="0" w:line="360" w:lineRule="auto"/>
        <w:jc w:val="both"/>
        <w:rPr>
          <w:rFonts w:ascii="Book Antiqua" w:hAnsi="Book Antiqua"/>
          <w:b/>
          <w:color w:val="231F20"/>
          <w:sz w:val="24"/>
          <w:szCs w:val="24"/>
        </w:rPr>
      </w:pPr>
    </w:p>
    <w:p w14:paraId="694A9B04" w14:textId="77777777" w:rsidR="00AE4053" w:rsidRPr="00AE4053" w:rsidRDefault="00290F9C" w:rsidP="00AE4053">
      <w:pPr>
        <w:snapToGrid w:val="0"/>
        <w:spacing w:after="0" w:line="360" w:lineRule="auto"/>
        <w:jc w:val="both"/>
        <w:rPr>
          <w:rFonts w:ascii="Book Antiqua" w:hAnsi="Book Antiqua"/>
          <w:b/>
          <w:i/>
          <w:caps/>
          <w:color w:val="231F20"/>
          <w:sz w:val="24"/>
          <w:szCs w:val="24"/>
        </w:rPr>
      </w:pPr>
      <w:r w:rsidRPr="00AE4053">
        <w:rPr>
          <w:rFonts w:ascii="Book Antiqua" w:hAnsi="Book Antiqua"/>
          <w:b/>
          <w:i/>
          <w:caps/>
          <w:color w:val="231F20"/>
          <w:sz w:val="24"/>
          <w:szCs w:val="24"/>
        </w:rPr>
        <w:t>Methods</w:t>
      </w:r>
    </w:p>
    <w:p w14:paraId="2EC2885B" w14:textId="4C8310BA" w:rsidR="006B74E4" w:rsidRPr="00AE4053" w:rsidRDefault="00960B44" w:rsidP="00AE4053">
      <w:pPr>
        <w:snapToGrid w:val="0"/>
        <w:spacing w:after="0" w:line="360" w:lineRule="auto"/>
        <w:jc w:val="both"/>
        <w:rPr>
          <w:rFonts w:ascii="Book Antiqua" w:hAnsi="Book Antiqua"/>
          <w:color w:val="231F20"/>
          <w:sz w:val="24"/>
          <w:szCs w:val="24"/>
        </w:rPr>
      </w:pPr>
      <w:r w:rsidRPr="00AE4053">
        <w:rPr>
          <w:rFonts w:ascii="Book Antiqua" w:hAnsi="Book Antiqua"/>
          <w:color w:val="231F20"/>
          <w:sz w:val="24"/>
          <w:szCs w:val="24"/>
        </w:rPr>
        <w:t>Th</w:t>
      </w:r>
      <w:r w:rsidR="004D00BD" w:rsidRPr="00AE4053">
        <w:rPr>
          <w:rFonts w:ascii="Book Antiqua" w:hAnsi="Book Antiqua"/>
          <w:color w:val="231F20"/>
          <w:sz w:val="24"/>
          <w:szCs w:val="24"/>
        </w:rPr>
        <w:t>is</w:t>
      </w:r>
      <w:r w:rsidRPr="00AE4053">
        <w:rPr>
          <w:rFonts w:ascii="Book Antiqua" w:hAnsi="Book Antiqua"/>
          <w:color w:val="231F20"/>
          <w:sz w:val="24"/>
          <w:szCs w:val="24"/>
        </w:rPr>
        <w:t xml:space="preserve"> </w:t>
      </w:r>
      <w:r w:rsidR="004D00BD" w:rsidRPr="00AE4053">
        <w:rPr>
          <w:rFonts w:ascii="Book Antiqua" w:hAnsi="Book Antiqua"/>
          <w:color w:val="231F20"/>
          <w:sz w:val="24"/>
          <w:szCs w:val="24"/>
        </w:rPr>
        <w:t xml:space="preserve">retrospective </w:t>
      </w:r>
      <w:r w:rsidRPr="00AE4053">
        <w:rPr>
          <w:rFonts w:ascii="Book Antiqua" w:hAnsi="Book Antiqua"/>
          <w:color w:val="231F20"/>
          <w:sz w:val="24"/>
          <w:szCs w:val="24"/>
        </w:rPr>
        <w:t xml:space="preserve">study was conducted </w:t>
      </w:r>
      <w:r w:rsidR="00514FBA" w:rsidRPr="00AE4053">
        <w:rPr>
          <w:rFonts w:ascii="Book Antiqua" w:hAnsi="Book Antiqua"/>
          <w:color w:val="231F20"/>
          <w:sz w:val="24"/>
          <w:szCs w:val="24"/>
        </w:rPr>
        <w:t xml:space="preserve">at </w:t>
      </w:r>
      <w:r w:rsidRPr="00AE4053">
        <w:rPr>
          <w:rFonts w:ascii="Book Antiqua" w:hAnsi="Book Antiqua"/>
          <w:color w:val="231F20"/>
          <w:sz w:val="24"/>
          <w:szCs w:val="24"/>
        </w:rPr>
        <w:t xml:space="preserve">the Institute of Liver, Gastroenterology, </w:t>
      </w:r>
      <w:r w:rsidR="000B5CC6">
        <w:rPr>
          <w:rFonts w:ascii="Book Antiqua" w:hAnsi="Book Antiqua"/>
          <w:color w:val="231F20"/>
          <w:sz w:val="24"/>
          <w:szCs w:val="24"/>
          <w:lang w:eastAsia="zh-CN"/>
        </w:rPr>
        <w:t>and</w:t>
      </w:r>
      <w:r w:rsidR="000B5CC6">
        <w:rPr>
          <w:rFonts w:ascii="Book Antiqua" w:hAnsi="Book Antiqua" w:hint="eastAsia"/>
          <w:color w:val="231F20"/>
          <w:sz w:val="24"/>
          <w:szCs w:val="24"/>
          <w:lang w:eastAsia="zh-CN"/>
        </w:rPr>
        <w:t xml:space="preserve"> </w:t>
      </w:r>
      <w:proofErr w:type="spellStart"/>
      <w:r w:rsidRPr="00AE4053">
        <w:rPr>
          <w:rFonts w:ascii="Book Antiqua" w:hAnsi="Book Antiqua"/>
          <w:color w:val="231F20"/>
          <w:sz w:val="24"/>
          <w:szCs w:val="24"/>
        </w:rPr>
        <w:t>Panceatico</w:t>
      </w:r>
      <w:proofErr w:type="spellEnd"/>
      <w:r w:rsidRPr="00AE4053">
        <w:rPr>
          <w:rFonts w:ascii="Book Antiqua" w:hAnsi="Book Antiqua"/>
          <w:color w:val="231F20"/>
          <w:sz w:val="24"/>
          <w:szCs w:val="24"/>
        </w:rPr>
        <w:t>-Biliary Sciences, Sir Ganga Ram Hospital, New Delhi</w:t>
      </w:r>
      <w:r w:rsidR="007842A8" w:rsidRPr="00AE4053">
        <w:rPr>
          <w:rFonts w:ascii="Book Antiqua" w:hAnsi="Book Antiqua"/>
          <w:color w:val="231F20"/>
          <w:sz w:val="24"/>
          <w:szCs w:val="24"/>
        </w:rPr>
        <w:t>,</w:t>
      </w:r>
      <w:r w:rsidRPr="00AE4053">
        <w:rPr>
          <w:rFonts w:ascii="Book Antiqua" w:hAnsi="Book Antiqua"/>
          <w:color w:val="231F20"/>
          <w:sz w:val="24"/>
          <w:szCs w:val="24"/>
        </w:rPr>
        <w:t xml:space="preserve"> on </w:t>
      </w:r>
      <w:r w:rsidR="004D00BD" w:rsidRPr="00AE4053">
        <w:rPr>
          <w:rFonts w:ascii="Book Antiqua" w:hAnsi="Book Antiqua"/>
          <w:color w:val="231F20"/>
          <w:sz w:val="24"/>
          <w:szCs w:val="24"/>
        </w:rPr>
        <w:t>consecutive patients with cirrhosis</w:t>
      </w:r>
      <w:r w:rsidR="00514FBA" w:rsidRPr="00AE4053">
        <w:rPr>
          <w:rFonts w:ascii="Book Antiqua" w:hAnsi="Book Antiqua"/>
          <w:color w:val="231F20"/>
          <w:sz w:val="24"/>
          <w:szCs w:val="24"/>
        </w:rPr>
        <w:t xml:space="preserve"> greater than</w:t>
      </w:r>
      <w:r w:rsidR="004D00BD" w:rsidRPr="00AE4053">
        <w:rPr>
          <w:rFonts w:ascii="Book Antiqua" w:hAnsi="Book Antiqua"/>
          <w:color w:val="231F20"/>
          <w:sz w:val="24"/>
          <w:szCs w:val="24"/>
        </w:rPr>
        <w:t xml:space="preserve"> 15 years</w:t>
      </w:r>
      <w:r w:rsidR="00514FBA" w:rsidRPr="00AE4053">
        <w:rPr>
          <w:rFonts w:ascii="Book Antiqua" w:hAnsi="Book Antiqua"/>
          <w:color w:val="231F20"/>
          <w:sz w:val="24"/>
          <w:szCs w:val="24"/>
        </w:rPr>
        <w:t xml:space="preserve"> of age </w:t>
      </w:r>
      <w:r w:rsidR="004D00BD" w:rsidRPr="00AE4053">
        <w:rPr>
          <w:rFonts w:ascii="Book Antiqua" w:hAnsi="Book Antiqua"/>
          <w:color w:val="231F20"/>
          <w:sz w:val="24"/>
          <w:szCs w:val="24"/>
        </w:rPr>
        <w:t xml:space="preserve">who underwent </w:t>
      </w:r>
      <w:r w:rsidR="000B5CC6" w:rsidRPr="00AE4053">
        <w:rPr>
          <w:rFonts w:ascii="Book Antiqua" w:hAnsi="Book Antiqua"/>
          <w:sz w:val="24"/>
          <w:szCs w:val="24"/>
        </w:rPr>
        <w:t>hepatic venous pressure gradient (HVPG)</w:t>
      </w:r>
      <w:r w:rsidR="004D00BD" w:rsidRPr="00AE4053">
        <w:rPr>
          <w:rFonts w:ascii="Book Antiqua" w:hAnsi="Book Antiqua"/>
          <w:color w:val="231F20"/>
          <w:sz w:val="24"/>
          <w:szCs w:val="24"/>
        </w:rPr>
        <w:t xml:space="preserve"> and TE</w:t>
      </w:r>
      <w:r w:rsidRPr="00AE4053">
        <w:rPr>
          <w:rFonts w:ascii="Book Antiqua" w:hAnsi="Book Antiqua"/>
          <w:color w:val="231F20"/>
          <w:sz w:val="24"/>
          <w:szCs w:val="24"/>
        </w:rPr>
        <w:t xml:space="preserve"> from July 2011 to May 2016. </w:t>
      </w:r>
      <w:r w:rsidR="00667088" w:rsidRPr="00AE4053">
        <w:rPr>
          <w:rFonts w:ascii="Book Antiqua" w:hAnsi="Book Antiqua"/>
          <w:color w:val="141314"/>
          <w:sz w:val="24"/>
          <w:szCs w:val="24"/>
        </w:rPr>
        <w:t xml:space="preserve">Correlation between </w:t>
      </w:r>
      <w:r w:rsidR="004D00BD" w:rsidRPr="00AE4053">
        <w:rPr>
          <w:rFonts w:ascii="Book Antiqua" w:hAnsi="Book Antiqua"/>
          <w:color w:val="231F20"/>
          <w:sz w:val="24"/>
          <w:szCs w:val="24"/>
        </w:rPr>
        <w:t>HVPG and TE</w:t>
      </w:r>
      <w:r w:rsidR="00667088" w:rsidRPr="00AE4053">
        <w:rPr>
          <w:rFonts w:ascii="Book Antiqua" w:hAnsi="Book Antiqua"/>
          <w:color w:val="141314"/>
          <w:sz w:val="24"/>
          <w:szCs w:val="24"/>
        </w:rPr>
        <w:t xml:space="preserve"> was analyzed using the Spearman’s correlation test. </w:t>
      </w:r>
      <w:r w:rsidR="007304F8" w:rsidRPr="00AE4053">
        <w:rPr>
          <w:rFonts w:ascii="Book Antiqua" w:eastAsia="Times New Roman" w:hAnsi="Book Antiqua"/>
          <w:sz w:val="24"/>
          <w:szCs w:val="24"/>
        </w:rPr>
        <w:t>Receiver operating characteristic (ROC) curve</w:t>
      </w:r>
      <w:r w:rsidR="00514FBA" w:rsidRPr="00AE4053">
        <w:rPr>
          <w:rFonts w:ascii="Book Antiqua" w:eastAsia="Times New Roman" w:hAnsi="Book Antiqua"/>
          <w:sz w:val="24"/>
          <w:szCs w:val="24"/>
        </w:rPr>
        <w:t>s</w:t>
      </w:r>
      <w:r w:rsidR="007304F8" w:rsidRPr="00AE4053">
        <w:rPr>
          <w:rFonts w:ascii="Book Antiqua" w:eastAsia="Times New Roman" w:hAnsi="Book Antiqua"/>
          <w:sz w:val="24"/>
          <w:szCs w:val="24"/>
        </w:rPr>
        <w:t xml:space="preserve"> </w:t>
      </w:r>
      <w:r w:rsidR="00514FBA" w:rsidRPr="00AE4053">
        <w:rPr>
          <w:rFonts w:ascii="Book Antiqua" w:eastAsia="Times New Roman" w:hAnsi="Book Antiqua"/>
          <w:sz w:val="24"/>
          <w:szCs w:val="24"/>
        </w:rPr>
        <w:t xml:space="preserve">were </w:t>
      </w:r>
      <w:r w:rsidR="007304F8" w:rsidRPr="00AE4053">
        <w:rPr>
          <w:rFonts w:ascii="Book Antiqua" w:eastAsia="Times New Roman" w:hAnsi="Book Antiqua"/>
          <w:sz w:val="24"/>
          <w:szCs w:val="24"/>
        </w:rPr>
        <w:t xml:space="preserve">prepared for determining </w:t>
      </w:r>
      <w:r w:rsidR="00514FBA" w:rsidRPr="00AE4053">
        <w:rPr>
          <w:rFonts w:ascii="Book Antiqua" w:eastAsia="Times New Roman" w:hAnsi="Book Antiqua"/>
          <w:sz w:val="24"/>
          <w:szCs w:val="24"/>
        </w:rPr>
        <w:t xml:space="preserve">the </w:t>
      </w:r>
      <w:r w:rsidR="007304F8" w:rsidRPr="00AE4053">
        <w:rPr>
          <w:rFonts w:ascii="Book Antiqua" w:eastAsia="Times New Roman" w:hAnsi="Book Antiqua"/>
          <w:sz w:val="24"/>
          <w:szCs w:val="24"/>
        </w:rPr>
        <w:t xml:space="preserve">utility of TE in predicting various stages of portal hypertension. </w:t>
      </w:r>
      <w:r w:rsidR="00514FBA" w:rsidRPr="00AE4053">
        <w:rPr>
          <w:rFonts w:ascii="Book Antiqua" w:eastAsia="Times New Roman" w:hAnsi="Book Antiqua"/>
          <w:sz w:val="24"/>
          <w:szCs w:val="24"/>
        </w:rPr>
        <w:t xml:space="preserve">The best </w:t>
      </w:r>
      <w:r w:rsidR="007304F8" w:rsidRPr="00AE4053">
        <w:rPr>
          <w:rFonts w:ascii="Book Antiqua" w:eastAsia="Times New Roman" w:hAnsi="Book Antiqua"/>
          <w:sz w:val="24"/>
          <w:szCs w:val="24"/>
        </w:rPr>
        <w:t xml:space="preserve">cut-off value of TE for </w:t>
      </w:r>
      <w:r w:rsidR="007842A8" w:rsidRPr="00AE4053">
        <w:rPr>
          <w:rFonts w:ascii="Book Antiqua" w:eastAsia="Times New Roman" w:hAnsi="Book Antiqua"/>
          <w:sz w:val="24"/>
          <w:szCs w:val="24"/>
        </w:rPr>
        <w:t xml:space="preserve">the </w:t>
      </w:r>
      <w:r w:rsidR="007304F8" w:rsidRPr="00AE4053">
        <w:rPr>
          <w:rFonts w:ascii="Book Antiqua" w:eastAsia="Times New Roman" w:hAnsi="Book Antiqua"/>
          <w:sz w:val="24"/>
          <w:szCs w:val="24"/>
        </w:rPr>
        <w:t xml:space="preserve">diagnosis of CSPH </w:t>
      </w:r>
      <w:r w:rsidR="007304F8" w:rsidRPr="00AE4053">
        <w:rPr>
          <w:rFonts w:ascii="Book Antiqua" w:hAnsi="Book Antiqua"/>
          <w:color w:val="141314"/>
          <w:sz w:val="24"/>
          <w:szCs w:val="24"/>
        </w:rPr>
        <w:t xml:space="preserve">was obtained using </w:t>
      </w:r>
      <w:r w:rsidR="00514FBA" w:rsidRPr="00AE4053">
        <w:rPr>
          <w:rFonts w:ascii="Book Antiqua" w:hAnsi="Book Antiqua"/>
          <w:color w:val="141314"/>
          <w:sz w:val="24"/>
          <w:szCs w:val="24"/>
        </w:rPr>
        <w:t xml:space="preserve">the </w:t>
      </w:r>
      <w:proofErr w:type="spellStart"/>
      <w:r w:rsidR="007304F8" w:rsidRPr="00AE4053">
        <w:rPr>
          <w:rFonts w:ascii="Book Antiqua" w:hAnsi="Book Antiqua"/>
          <w:color w:val="141314"/>
          <w:sz w:val="24"/>
          <w:szCs w:val="24"/>
        </w:rPr>
        <w:t>Youden</w:t>
      </w:r>
      <w:proofErr w:type="spellEnd"/>
      <w:r w:rsidR="007304F8" w:rsidRPr="00AE4053">
        <w:rPr>
          <w:rFonts w:ascii="Book Antiqua" w:hAnsi="Book Antiqua"/>
          <w:color w:val="141314"/>
          <w:sz w:val="24"/>
          <w:szCs w:val="24"/>
        </w:rPr>
        <w:t xml:space="preserve"> index.</w:t>
      </w:r>
    </w:p>
    <w:p w14:paraId="56D83D56" w14:textId="77777777" w:rsidR="00AE4053" w:rsidRDefault="00AE4053" w:rsidP="00AE4053">
      <w:pPr>
        <w:snapToGrid w:val="0"/>
        <w:spacing w:after="0" w:line="360" w:lineRule="auto"/>
        <w:jc w:val="both"/>
        <w:rPr>
          <w:rFonts w:ascii="Book Antiqua" w:hAnsi="Book Antiqua"/>
          <w:b/>
          <w:sz w:val="24"/>
          <w:szCs w:val="24"/>
        </w:rPr>
      </w:pPr>
    </w:p>
    <w:p w14:paraId="1C121345" w14:textId="77777777" w:rsidR="00AE4053" w:rsidRPr="00AE4053" w:rsidRDefault="006B74E4" w:rsidP="00AE4053">
      <w:pPr>
        <w:snapToGrid w:val="0"/>
        <w:spacing w:after="0" w:line="360" w:lineRule="auto"/>
        <w:jc w:val="both"/>
        <w:rPr>
          <w:rFonts w:ascii="Book Antiqua" w:hAnsi="Book Antiqua"/>
          <w:b/>
          <w:i/>
          <w:caps/>
          <w:sz w:val="24"/>
          <w:szCs w:val="24"/>
        </w:rPr>
      </w:pPr>
      <w:r w:rsidRPr="00AE4053">
        <w:rPr>
          <w:rFonts w:ascii="Book Antiqua" w:hAnsi="Book Antiqua"/>
          <w:b/>
          <w:i/>
          <w:caps/>
          <w:sz w:val="24"/>
          <w:szCs w:val="24"/>
        </w:rPr>
        <w:t>Results</w:t>
      </w:r>
    </w:p>
    <w:p w14:paraId="45D08497" w14:textId="58199382" w:rsidR="004E6B82" w:rsidRPr="00AE4053" w:rsidRDefault="006B74E4" w:rsidP="00AE4053">
      <w:pPr>
        <w:snapToGrid w:val="0"/>
        <w:spacing w:after="0" w:line="360" w:lineRule="auto"/>
        <w:jc w:val="both"/>
        <w:rPr>
          <w:rFonts w:ascii="Book Antiqua" w:hAnsi="Book Antiqua"/>
          <w:color w:val="141314"/>
          <w:sz w:val="24"/>
          <w:szCs w:val="24"/>
        </w:rPr>
      </w:pPr>
      <w:r w:rsidRPr="00AE4053">
        <w:rPr>
          <w:rFonts w:ascii="Book Antiqua" w:hAnsi="Book Antiqua"/>
          <w:sz w:val="24"/>
          <w:szCs w:val="24"/>
        </w:rPr>
        <w:t xml:space="preserve">The study included 326 patients </w:t>
      </w:r>
      <w:r w:rsidR="00AE4053">
        <w:rPr>
          <w:rFonts w:ascii="Book Antiqua" w:hAnsi="Book Antiqua"/>
          <w:sz w:val="24"/>
          <w:szCs w:val="24"/>
        </w:rPr>
        <w:t>[</w:t>
      </w:r>
      <w:r w:rsidRPr="00AE4053">
        <w:rPr>
          <w:rFonts w:ascii="Book Antiqua" w:hAnsi="Book Antiqua"/>
          <w:color w:val="141314"/>
          <w:sz w:val="24"/>
          <w:szCs w:val="24"/>
        </w:rPr>
        <w:t xml:space="preserve">median age 52 </w:t>
      </w:r>
      <w:r w:rsidR="00AE4053">
        <w:rPr>
          <w:rFonts w:ascii="Book Antiqua" w:hAnsi="Book Antiqua"/>
          <w:color w:val="141314"/>
          <w:sz w:val="24"/>
          <w:szCs w:val="24"/>
        </w:rPr>
        <w:t>(</w:t>
      </w:r>
      <w:r w:rsidRPr="00AE4053">
        <w:rPr>
          <w:rFonts w:ascii="Book Antiqua" w:hAnsi="Book Antiqua"/>
          <w:color w:val="141314"/>
          <w:sz w:val="24"/>
          <w:szCs w:val="24"/>
        </w:rPr>
        <w:t>range 16-90</w:t>
      </w:r>
      <w:r w:rsidR="00AE4053">
        <w:rPr>
          <w:rFonts w:ascii="Book Antiqua" w:hAnsi="Book Antiqua"/>
          <w:color w:val="141314"/>
          <w:sz w:val="24"/>
          <w:szCs w:val="24"/>
        </w:rPr>
        <w:t>)</w:t>
      </w:r>
      <w:r w:rsidR="00D33A99" w:rsidRPr="00AE4053">
        <w:rPr>
          <w:rFonts w:ascii="Book Antiqua" w:hAnsi="Book Antiqua"/>
          <w:color w:val="141314"/>
          <w:sz w:val="24"/>
          <w:szCs w:val="24"/>
        </w:rPr>
        <w:t xml:space="preserve"> years;</w:t>
      </w:r>
      <w:r w:rsidRPr="00AE4053">
        <w:rPr>
          <w:rFonts w:ascii="Book Antiqua" w:hAnsi="Book Antiqua"/>
          <w:color w:val="141314"/>
          <w:sz w:val="24"/>
          <w:szCs w:val="24"/>
        </w:rPr>
        <w:t xml:space="preserve"> </w:t>
      </w:r>
      <w:r w:rsidR="00D33A99" w:rsidRPr="00AE4053">
        <w:rPr>
          <w:rFonts w:ascii="Book Antiqua" w:hAnsi="Book Antiqua"/>
          <w:color w:val="141314"/>
          <w:sz w:val="24"/>
          <w:szCs w:val="24"/>
        </w:rPr>
        <w:t>81%</w:t>
      </w:r>
      <w:r w:rsidRPr="00AE4053">
        <w:rPr>
          <w:rFonts w:ascii="Book Antiqua" w:hAnsi="Book Antiqua"/>
          <w:color w:val="141314"/>
          <w:sz w:val="24"/>
          <w:szCs w:val="24"/>
        </w:rPr>
        <w:t xml:space="preserve"> males</w:t>
      </w:r>
      <w:r w:rsidR="00AE4053">
        <w:rPr>
          <w:rFonts w:ascii="Book Antiqua" w:hAnsi="Book Antiqua"/>
          <w:color w:val="141314"/>
          <w:sz w:val="24"/>
          <w:szCs w:val="24"/>
        </w:rPr>
        <w:t>]</w:t>
      </w:r>
      <w:r w:rsidRPr="00AE4053">
        <w:rPr>
          <w:rFonts w:ascii="Book Antiqua" w:hAnsi="Book Antiqua"/>
          <w:color w:val="141314"/>
          <w:sz w:val="24"/>
          <w:szCs w:val="24"/>
        </w:rPr>
        <w:t xml:space="preserve">. The most common etiology of </w:t>
      </w:r>
      <w:r w:rsidR="00D33A99" w:rsidRPr="00AE4053">
        <w:rPr>
          <w:rFonts w:ascii="Book Antiqua" w:hAnsi="Book Antiqua"/>
          <w:color w:val="141314"/>
          <w:sz w:val="24"/>
          <w:szCs w:val="24"/>
        </w:rPr>
        <w:t>cirrhosis</w:t>
      </w:r>
      <w:r w:rsidRPr="00AE4053">
        <w:rPr>
          <w:rFonts w:ascii="Book Antiqua" w:hAnsi="Book Antiqua"/>
          <w:color w:val="141314"/>
          <w:sz w:val="24"/>
          <w:szCs w:val="24"/>
        </w:rPr>
        <w:t xml:space="preserve"> was cryptogenic (45%) followed by alcohol (34%). </w:t>
      </w:r>
      <w:r w:rsidRPr="00AE4053">
        <w:rPr>
          <w:rFonts w:ascii="Book Antiqua" w:hAnsi="Book Antiqua"/>
          <w:sz w:val="24"/>
          <w:szCs w:val="24"/>
        </w:rPr>
        <w:t xml:space="preserve">The median HVPG </w:t>
      </w:r>
      <w:r w:rsidR="00160194">
        <w:rPr>
          <w:rFonts w:ascii="Book Antiqua" w:hAnsi="Book Antiqua"/>
          <w:sz w:val="24"/>
          <w:szCs w:val="24"/>
        </w:rPr>
        <w:t>was 16.0 (range 1.5 to 30.5) mm</w:t>
      </w:r>
      <w:r w:rsidRPr="00AE4053">
        <w:rPr>
          <w:rFonts w:ascii="Book Antiqua" w:hAnsi="Book Antiqua"/>
          <w:sz w:val="24"/>
          <w:szCs w:val="24"/>
        </w:rPr>
        <w:t>Hg. Eighty</w:t>
      </w:r>
      <w:r w:rsidR="00514FBA" w:rsidRPr="00AE4053">
        <w:rPr>
          <w:rFonts w:ascii="Book Antiqua" w:hAnsi="Book Antiqua"/>
          <w:sz w:val="24"/>
          <w:szCs w:val="24"/>
        </w:rPr>
        <w:t>-</w:t>
      </w:r>
      <w:r w:rsidRPr="00AE4053">
        <w:rPr>
          <w:rFonts w:ascii="Book Antiqua" w:hAnsi="Book Antiqua"/>
          <w:sz w:val="24"/>
          <w:szCs w:val="24"/>
        </w:rPr>
        <w:t xml:space="preserve">five percent </w:t>
      </w:r>
      <w:r w:rsidR="007842A8" w:rsidRPr="00AE4053">
        <w:rPr>
          <w:rFonts w:ascii="Book Antiqua" w:hAnsi="Book Antiqua"/>
          <w:sz w:val="24"/>
          <w:szCs w:val="24"/>
        </w:rPr>
        <w:t xml:space="preserve">of </w:t>
      </w:r>
      <w:r w:rsidRPr="00AE4053">
        <w:rPr>
          <w:rFonts w:ascii="Book Antiqua" w:hAnsi="Book Antiqua"/>
          <w:sz w:val="24"/>
          <w:szCs w:val="24"/>
        </w:rPr>
        <w:t xml:space="preserve">patients had </w:t>
      </w:r>
      <w:r w:rsidR="00D33A99" w:rsidRPr="00AE4053">
        <w:rPr>
          <w:rFonts w:ascii="Book Antiqua" w:hAnsi="Book Antiqua"/>
          <w:sz w:val="24"/>
          <w:szCs w:val="24"/>
        </w:rPr>
        <w:t xml:space="preserve">CSPH. </w:t>
      </w:r>
      <w:r w:rsidR="00514FBA" w:rsidRPr="00AE4053">
        <w:rPr>
          <w:rFonts w:ascii="Book Antiqua" w:hAnsi="Book Antiqua"/>
          <w:sz w:val="24"/>
          <w:szCs w:val="24"/>
        </w:rPr>
        <w:t>A</w:t>
      </w:r>
      <w:r w:rsidRPr="00AE4053">
        <w:rPr>
          <w:rFonts w:ascii="Book Antiqua" w:hAnsi="Book Antiqua"/>
          <w:sz w:val="24"/>
          <w:szCs w:val="24"/>
        </w:rPr>
        <w:t xml:space="preserve"> significant positive correlation </w:t>
      </w:r>
      <w:r w:rsidR="00514FBA" w:rsidRPr="00AE4053">
        <w:rPr>
          <w:rFonts w:ascii="Book Antiqua" w:hAnsi="Book Antiqua"/>
          <w:sz w:val="24"/>
          <w:szCs w:val="24"/>
        </w:rPr>
        <w:t xml:space="preserve">was noted </w:t>
      </w:r>
      <w:r w:rsidRPr="00AE4053">
        <w:rPr>
          <w:rFonts w:ascii="Book Antiqua" w:hAnsi="Book Antiqua"/>
          <w:sz w:val="24"/>
          <w:szCs w:val="24"/>
        </w:rPr>
        <w:t xml:space="preserve">between </w:t>
      </w:r>
      <w:r w:rsidR="00D33A99" w:rsidRPr="00AE4053">
        <w:rPr>
          <w:rFonts w:ascii="Book Antiqua" w:hAnsi="Book Antiqua"/>
          <w:sz w:val="24"/>
          <w:szCs w:val="24"/>
        </w:rPr>
        <w:t>TE</w:t>
      </w:r>
      <w:r w:rsidRPr="00AE4053">
        <w:rPr>
          <w:rFonts w:ascii="Book Antiqua" w:hAnsi="Book Antiqua"/>
          <w:sz w:val="24"/>
          <w:szCs w:val="24"/>
        </w:rPr>
        <w:t xml:space="preserve"> and HVPG (rho 0.361, </w:t>
      </w:r>
      <w:r w:rsidRPr="00AE4053">
        <w:rPr>
          <w:rFonts w:ascii="Book Antiqua" w:hAnsi="Book Antiqua"/>
          <w:i/>
          <w:caps/>
          <w:sz w:val="24"/>
          <w:szCs w:val="24"/>
        </w:rPr>
        <w:t>p</w:t>
      </w:r>
      <w:r w:rsidR="00AE4053">
        <w:rPr>
          <w:rFonts w:ascii="Book Antiqua" w:hAnsi="Book Antiqua"/>
          <w:i/>
          <w:caps/>
          <w:sz w:val="24"/>
          <w:szCs w:val="24"/>
        </w:rPr>
        <w:t xml:space="preserve"> </w:t>
      </w:r>
      <w:r w:rsidRPr="00AE4053">
        <w:rPr>
          <w:rFonts w:ascii="Book Antiqua" w:hAnsi="Book Antiqua"/>
          <w:sz w:val="24"/>
          <w:szCs w:val="24"/>
        </w:rPr>
        <w:t>&lt;</w:t>
      </w:r>
      <w:r w:rsidR="00AE4053">
        <w:rPr>
          <w:rFonts w:ascii="Book Antiqua" w:hAnsi="Book Antiqua"/>
          <w:sz w:val="24"/>
          <w:szCs w:val="24"/>
        </w:rPr>
        <w:t xml:space="preserve"> </w:t>
      </w:r>
      <w:r w:rsidRPr="00AE4053">
        <w:rPr>
          <w:rFonts w:ascii="Book Antiqua" w:hAnsi="Book Antiqua"/>
          <w:sz w:val="24"/>
          <w:szCs w:val="24"/>
        </w:rPr>
        <w:t>0.001)</w:t>
      </w:r>
      <w:r w:rsidR="004E6B82" w:rsidRPr="00AE4053">
        <w:rPr>
          <w:rFonts w:ascii="Book Antiqua" w:hAnsi="Book Antiqua"/>
          <w:sz w:val="24"/>
          <w:szCs w:val="24"/>
        </w:rPr>
        <w:t>. The area under ROC curve for TE in</w:t>
      </w:r>
      <w:r w:rsidR="00AE4053">
        <w:rPr>
          <w:rFonts w:ascii="Book Antiqua" w:hAnsi="Book Antiqua"/>
          <w:sz w:val="24"/>
          <w:szCs w:val="24"/>
        </w:rPr>
        <w:t xml:space="preserve"> predicting CSPH was 0.740 (95%</w:t>
      </w:r>
      <w:r w:rsidR="004E6B82" w:rsidRPr="00AE4053">
        <w:rPr>
          <w:rFonts w:ascii="Book Antiqua" w:hAnsi="Book Antiqua"/>
          <w:sz w:val="24"/>
          <w:szCs w:val="24"/>
        </w:rPr>
        <w:t>CI</w:t>
      </w:r>
      <w:r w:rsidR="00AE4053">
        <w:rPr>
          <w:rFonts w:ascii="Book Antiqua" w:hAnsi="Book Antiqua"/>
          <w:sz w:val="24"/>
          <w:szCs w:val="24"/>
        </w:rPr>
        <w:t>:</w:t>
      </w:r>
      <w:r w:rsidR="004E6B82" w:rsidRPr="00AE4053">
        <w:rPr>
          <w:rFonts w:ascii="Book Antiqua" w:hAnsi="Book Antiqua"/>
          <w:sz w:val="24"/>
          <w:szCs w:val="24"/>
        </w:rPr>
        <w:t xml:space="preserve"> 0.662</w:t>
      </w:r>
      <w:r w:rsidR="00AE4053">
        <w:rPr>
          <w:rFonts w:ascii="Book Antiqua" w:hAnsi="Book Antiqua"/>
          <w:sz w:val="24"/>
          <w:szCs w:val="24"/>
        </w:rPr>
        <w:t>-</w:t>
      </w:r>
      <w:r w:rsidR="004E6B82" w:rsidRPr="00AE4053">
        <w:rPr>
          <w:rFonts w:ascii="Book Antiqua" w:hAnsi="Book Antiqua"/>
          <w:sz w:val="24"/>
          <w:szCs w:val="24"/>
        </w:rPr>
        <w:t>0.818) (</w:t>
      </w:r>
      <w:r w:rsidR="004E6B82" w:rsidRPr="00AE4053">
        <w:rPr>
          <w:rFonts w:ascii="Book Antiqua" w:hAnsi="Book Antiqua"/>
          <w:i/>
          <w:caps/>
          <w:sz w:val="24"/>
          <w:szCs w:val="24"/>
        </w:rPr>
        <w:t>p</w:t>
      </w:r>
      <w:r w:rsidR="00AE4053">
        <w:rPr>
          <w:rFonts w:ascii="Book Antiqua" w:hAnsi="Book Antiqua"/>
          <w:sz w:val="24"/>
          <w:szCs w:val="24"/>
        </w:rPr>
        <w:t xml:space="preserve"> </w:t>
      </w:r>
      <w:r w:rsidR="004E6B82" w:rsidRPr="00AE4053">
        <w:rPr>
          <w:rFonts w:ascii="Book Antiqua" w:hAnsi="Book Antiqua"/>
          <w:sz w:val="24"/>
          <w:szCs w:val="24"/>
        </w:rPr>
        <w:t>&lt;</w:t>
      </w:r>
      <w:r w:rsidR="00AE4053">
        <w:rPr>
          <w:rFonts w:ascii="Book Antiqua" w:hAnsi="Book Antiqua"/>
          <w:sz w:val="24"/>
          <w:szCs w:val="24"/>
        </w:rPr>
        <w:t xml:space="preserve"> </w:t>
      </w:r>
      <w:r w:rsidR="004E6B82" w:rsidRPr="00AE4053">
        <w:rPr>
          <w:rFonts w:ascii="Book Antiqua" w:hAnsi="Book Antiqua"/>
          <w:sz w:val="24"/>
          <w:szCs w:val="24"/>
        </w:rPr>
        <w:t xml:space="preserve">0.01). </w:t>
      </w:r>
      <w:r w:rsidR="004E6B82" w:rsidRPr="00AE4053">
        <w:rPr>
          <w:rFonts w:ascii="Book Antiqua" w:hAnsi="Book Antiqua"/>
          <w:color w:val="141314"/>
          <w:sz w:val="24"/>
          <w:szCs w:val="24"/>
        </w:rPr>
        <w:t xml:space="preserve">A cut-off value of TE of 21.6 </w:t>
      </w:r>
      <w:proofErr w:type="spellStart"/>
      <w:r w:rsidR="004E6B82" w:rsidRPr="00AE4053">
        <w:rPr>
          <w:rFonts w:ascii="Book Antiqua" w:hAnsi="Book Antiqua"/>
          <w:color w:val="141314"/>
          <w:sz w:val="24"/>
          <w:szCs w:val="24"/>
        </w:rPr>
        <w:t>kPa</w:t>
      </w:r>
      <w:proofErr w:type="spellEnd"/>
      <w:r w:rsidR="004E6B82" w:rsidRPr="00AE4053">
        <w:rPr>
          <w:rFonts w:ascii="Book Antiqua" w:hAnsi="Book Antiqua"/>
          <w:color w:val="141314"/>
          <w:sz w:val="24"/>
          <w:szCs w:val="24"/>
        </w:rPr>
        <w:t xml:space="preserve"> best predict</w:t>
      </w:r>
      <w:r w:rsidR="00D33A99" w:rsidRPr="00AE4053">
        <w:rPr>
          <w:rFonts w:ascii="Book Antiqua" w:hAnsi="Book Antiqua"/>
          <w:color w:val="141314"/>
          <w:sz w:val="24"/>
          <w:szCs w:val="24"/>
        </w:rPr>
        <w:t>ed</w:t>
      </w:r>
      <w:r w:rsidR="004E6B82" w:rsidRPr="00AE4053">
        <w:rPr>
          <w:rFonts w:ascii="Book Antiqua" w:hAnsi="Book Antiqua"/>
          <w:color w:val="141314"/>
          <w:sz w:val="24"/>
          <w:szCs w:val="24"/>
        </w:rPr>
        <w:t xml:space="preserve"> CSPH</w:t>
      </w:r>
      <w:r w:rsidR="00D33A99" w:rsidRPr="00AE4053">
        <w:rPr>
          <w:rFonts w:ascii="Book Antiqua" w:hAnsi="Book Antiqua"/>
          <w:color w:val="141314"/>
          <w:sz w:val="24"/>
          <w:szCs w:val="24"/>
        </w:rPr>
        <w:t xml:space="preserve"> </w:t>
      </w:r>
      <w:r w:rsidR="007D435C" w:rsidRPr="00AE4053">
        <w:rPr>
          <w:rFonts w:ascii="Book Antiqua" w:hAnsi="Book Antiqua"/>
          <w:color w:val="141314"/>
          <w:sz w:val="24"/>
          <w:szCs w:val="24"/>
        </w:rPr>
        <w:t xml:space="preserve">with a </w:t>
      </w:r>
      <w:r w:rsidR="004E6B82" w:rsidRPr="00AE4053">
        <w:rPr>
          <w:rFonts w:ascii="Book Antiqua" w:hAnsi="Book Antiqua"/>
          <w:color w:val="141314"/>
          <w:sz w:val="24"/>
          <w:szCs w:val="24"/>
        </w:rPr>
        <w:t>positive predictive value</w:t>
      </w:r>
      <w:r w:rsidR="007D435C" w:rsidRPr="00AE4053">
        <w:rPr>
          <w:rFonts w:ascii="Book Antiqua" w:hAnsi="Book Antiqua"/>
          <w:color w:val="141314"/>
          <w:sz w:val="24"/>
          <w:szCs w:val="24"/>
        </w:rPr>
        <w:t xml:space="preserve"> (PPV) of </w:t>
      </w:r>
      <w:r w:rsidR="004E6B82" w:rsidRPr="00AE4053">
        <w:rPr>
          <w:rFonts w:ascii="Book Antiqua" w:hAnsi="Book Antiqua"/>
          <w:color w:val="141314"/>
          <w:sz w:val="24"/>
          <w:szCs w:val="24"/>
        </w:rPr>
        <w:t>93%.</w:t>
      </w:r>
    </w:p>
    <w:p w14:paraId="3F9D9805" w14:textId="77777777" w:rsidR="00AE4053" w:rsidRDefault="00AE4053" w:rsidP="00AE4053">
      <w:pPr>
        <w:snapToGrid w:val="0"/>
        <w:spacing w:after="0" w:line="360" w:lineRule="auto"/>
        <w:jc w:val="both"/>
        <w:rPr>
          <w:rFonts w:ascii="Book Antiqua" w:hAnsi="Book Antiqua"/>
          <w:b/>
          <w:color w:val="141314"/>
          <w:sz w:val="24"/>
          <w:szCs w:val="24"/>
        </w:rPr>
      </w:pPr>
    </w:p>
    <w:p w14:paraId="29535999" w14:textId="77777777" w:rsidR="00AE4053" w:rsidRPr="00AE4053" w:rsidRDefault="004E6B82" w:rsidP="00AE4053">
      <w:pPr>
        <w:snapToGrid w:val="0"/>
        <w:spacing w:after="0" w:line="360" w:lineRule="auto"/>
        <w:jc w:val="both"/>
        <w:rPr>
          <w:rFonts w:ascii="Book Antiqua" w:hAnsi="Book Antiqua"/>
          <w:b/>
          <w:i/>
          <w:caps/>
          <w:color w:val="141314"/>
          <w:sz w:val="24"/>
          <w:szCs w:val="24"/>
        </w:rPr>
      </w:pPr>
      <w:r w:rsidRPr="00AE4053">
        <w:rPr>
          <w:rFonts w:ascii="Book Antiqua" w:hAnsi="Book Antiqua"/>
          <w:b/>
          <w:i/>
          <w:caps/>
          <w:color w:val="141314"/>
          <w:sz w:val="24"/>
          <w:szCs w:val="24"/>
        </w:rPr>
        <w:t>Conclusion</w:t>
      </w:r>
    </w:p>
    <w:p w14:paraId="552E09F2" w14:textId="7DA11A78" w:rsidR="002070B7" w:rsidRPr="00AE4053" w:rsidRDefault="004E6B82" w:rsidP="00AE4053">
      <w:pPr>
        <w:snapToGrid w:val="0"/>
        <w:spacing w:after="0" w:line="360" w:lineRule="auto"/>
        <w:jc w:val="both"/>
        <w:rPr>
          <w:rFonts w:ascii="Book Antiqua" w:hAnsi="Book Antiqua"/>
          <w:sz w:val="24"/>
          <w:szCs w:val="24"/>
        </w:rPr>
      </w:pPr>
      <w:r w:rsidRPr="00AE4053">
        <w:rPr>
          <w:rFonts w:ascii="Book Antiqua" w:hAnsi="Book Antiqua"/>
          <w:sz w:val="24"/>
          <w:szCs w:val="24"/>
        </w:rPr>
        <w:t>TE has a fair positive correlation with HVPG</w:t>
      </w:r>
      <w:r w:rsidR="00514FBA" w:rsidRPr="00AE4053">
        <w:rPr>
          <w:rFonts w:ascii="Book Antiqua" w:hAnsi="Book Antiqua"/>
          <w:sz w:val="24"/>
          <w:szCs w:val="24"/>
        </w:rPr>
        <w:t>;</w:t>
      </w:r>
      <w:r w:rsidRPr="00AE4053">
        <w:rPr>
          <w:rFonts w:ascii="Book Antiqua" w:hAnsi="Book Antiqua"/>
          <w:sz w:val="24"/>
          <w:szCs w:val="24"/>
        </w:rPr>
        <w:t xml:space="preserve"> thus</w:t>
      </w:r>
      <w:r w:rsidR="00514FBA" w:rsidRPr="00AE4053">
        <w:rPr>
          <w:rFonts w:ascii="Book Antiqua" w:hAnsi="Book Antiqua"/>
          <w:sz w:val="24"/>
          <w:szCs w:val="24"/>
        </w:rPr>
        <w:t>,</w:t>
      </w:r>
      <w:r w:rsidRPr="00AE4053">
        <w:rPr>
          <w:rFonts w:ascii="Book Antiqua" w:hAnsi="Book Antiqua"/>
          <w:sz w:val="24"/>
          <w:szCs w:val="24"/>
        </w:rPr>
        <w:t xml:space="preserve"> TE can be used as a non-invasive modality to assess the degree of portal hypertension. </w:t>
      </w:r>
      <w:r w:rsidR="007D435C" w:rsidRPr="00AE4053">
        <w:rPr>
          <w:rFonts w:ascii="Book Antiqua" w:hAnsi="Book Antiqua"/>
          <w:sz w:val="24"/>
          <w:szCs w:val="24"/>
        </w:rPr>
        <w:t>A</w:t>
      </w:r>
      <w:r w:rsidRPr="00AE4053">
        <w:rPr>
          <w:rFonts w:ascii="Book Antiqua" w:hAnsi="Book Antiqua"/>
          <w:sz w:val="24"/>
          <w:szCs w:val="24"/>
        </w:rPr>
        <w:t xml:space="preserve"> cut-off TE value of 21.6 </w:t>
      </w:r>
      <w:proofErr w:type="spellStart"/>
      <w:r w:rsidRPr="00AE4053">
        <w:rPr>
          <w:rFonts w:ascii="Book Antiqua" w:hAnsi="Book Antiqua"/>
          <w:sz w:val="24"/>
          <w:szCs w:val="24"/>
        </w:rPr>
        <w:t>kPa</w:t>
      </w:r>
      <w:proofErr w:type="spellEnd"/>
      <w:r w:rsidR="008B7075" w:rsidRPr="00AE4053">
        <w:rPr>
          <w:rFonts w:ascii="Book Antiqua" w:hAnsi="Book Antiqua"/>
          <w:sz w:val="24"/>
          <w:szCs w:val="24"/>
        </w:rPr>
        <w:t xml:space="preserve"> identifies CSPH with a PPV of</w:t>
      </w:r>
      <w:r w:rsidRPr="00AE4053">
        <w:rPr>
          <w:rFonts w:ascii="Book Antiqua" w:hAnsi="Book Antiqua"/>
          <w:sz w:val="24"/>
          <w:szCs w:val="24"/>
        </w:rPr>
        <w:t xml:space="preserve"> 93%.</w:t>
      </w:r>
    </w:p>
    <w:p w14:paraId="59F704D9" w14:textId="77777777" w:rsidR="002070B7" w:rsidRPr="00AE4053" w:rsidRDefault="002070B7" w:rsidP="00AE4053">
      <w:pPr>
        <w:snapToGrid w:val="0"/>
        <w:spacing w:after="0" w:line="360" w:lineRule="auto"/>
        <w:jc w:val="both"/>
        <w:rPr>
          <w:rFonts w:ascii="Book Antiqua" w:hAnsi="Book Antiqua"/>
          <w:sz w:val="24"/>
          <w:szCs w:val="24"/>
        </w:rPr>
      </w:pPr>
    </w:p>
    <w:p w14:paraId="7481CC73" w14:textId="77777777" w:rsidR="002070B7" w:rsidRPr="00AE4053" w:rsidRDefault="002070B7" w:rsidP="00AE4053">
      <w:pPr>
        <w:snapToGrid w:val="0"/>
        <w:spacing w:after="0" w:line="360" w:lineRule="auto"/>
        <w:jc w:val="both"/>
        <w:rPr>
          <w:rFonts w:ascii="Book Antiqua" w:hAnsi="Book Antiqua"/>
          <w:sz w:val="24"/>
          <w:szCs w:val="24"/>
        </w:rPr>
      </w:pPr>
    </w:p>
    <w:p w14:paraId="7500BD1B" w14:textId="6A9B6CF9" w:rsidR="006D34E2" w:rsidRPr="00AE4053" w:rsidRDefault="002070B7" w:rsidP="00AE4053">
      <w:pPr>
        <w:snapToGrid w:val="0"/>
        <w:spacing w:after="0" w:line="360" w:lineRule="auto"/>
        <w:jc w:val="both"/>
        <w:rPr>
          <w:rFonts w:ascii="Book Antiqua" w:hAnsi="Book Antiqua"/>
          <w:b/>
          <w:sz w:val="24"/>
          <w:szCs w:val="24"/>
        </w:rPr>
      </w:pPr>
      <w:bookmarkStart w:id="20" w:name="_Toc334950143"/>
      <w:r w:rsidRPr="00AE4053">
        <w:rPr>
          <w:rFonts w:ascii="Book Antiqua" w:hAnsi="Book Antiqua"/>
          <w:b/>
          <w:sz w:val="24"/>
          <w:szCs w:val="24"/>
        </w:rPr>
        <w:lastRenderedPageBreak/>
        <w:t>K</w:t>
      </w:r>
      <w:r w:rsidR="00AE4053" w:rsidRPr="00AE4053">
        <w:rPr>
          <w:rFonts w:ascii="Book Antiqua" w:hAnsi="Book Antiqua"/>
          <w:b/>
          <w:sz w:val="24"/>
          <w:szCs w:val="24"/>
        </w:rPr>
        <w:t>ey</w:t>
      </w:r>
      <w:r w:rsidR="00AE4053">
        <w:rPr>
          <w:rFonts w:ascii="Book Antiqua" w:hAnsi="Book Antiqua"/>
          <w:b/>
          <w:sz w:val="24"/>
          <w:szCs w:val="24"/>
        </w:rPr>
        <w:t xml:space="preserve"> </w:t>
      </w:r>
      <w:r w:rsidR="00AE4053" w:rsidRPr="00AE4053">
        <w:rPr>
          <w:rFonts w:ascii="Book Antiqua" w:hAnsi="Book Antiqua"/>
          <w:b/>
          <w:sz w:val="24"/>
          <w:szCs w:val="24"/>
        </w:rPr>
        <w:t>words</w:t>
      </w:r>
      <w:bookmarkEnd w:id="20"/>
      <w:r w:rsidR="00AE4053">
        <w:rPr>
          <w:rFonts w:ascii="Book Antiqua" w:hAnsi="Book Antiqua"/>
          <w:b/>
          <w:sz w:val="24"/>
          <w:szCs w:val="24"/>
        </w:rPr>
        <w:t xml:space="preserve">: </w:t>
      </w:r>
      <w:r w:rsidRPr="00AE4053">
        <w:rPr>
          <w:rFonts w:ascii="Book Antiqua" w:hAnsi="Book Antiqua"/>
          <w:sz w:val="24"/>
          <w:szCs w:val="24"/>
        </w:rPr>
        <w:t xml:space="preserve">Portal hypertension; </w:t>
      </w:r>
      <w:r w:rsidRPr="00AE4053">
        <w:rPr>
          <w:rFonts w:ascii="Book Antiqua" w:hAnsi="Book Antiqua"/>
          <w:caps/>
          <w:sz w:val="24"/>
          <w:szCs w:val="24"/>
        </w:rPr>
        <w:t>c</w:t>
      </w:r>
      <w:r w:rsidRPr="00AE4053">
        <w:rPr>
          <w:rFonts w:ascii="Book Antiqua" w:hAnsi="Book Antiqua"/>
          <w:sz w:val="24"/>
          <w:szCs w:val="24"/>
        </w:rPr>
        <w:t xml:space="preserve">irrhosis; </w:t>
      </w:r>
      <w:r w:rsidR="00B47753" w:rsidRPr="00AE4053">
        <w:rPr>
          <w:rFonts w:ascii="Book Antiqua" w:hAnsi="Book Antiqua"/>
          <w:caps/>
          <w:sz w:val="24"/>
          <w:szCs w:val="24"/>
        </w:rPr>
        <w:t>c</w:t>
      </w:r>
      <w:r w:rsidR="00B47753" w:rsidRPr="00AE4053">
        <w:rPr>
          <w:rFonts w:ascii="Book Antiqua" w:hAnsi="Book Antiqua"/>
          <w:sz w:val="24"/>
          <w:szCs w:val="24"/>
        </w:rPr>
        <w:t xml:space="preserve">linically significant portal hypertension; </w:t>
      </w:r>
      <w:r w:rsidR="00B47753" w:rsidRPr="00AE4053">
        <w:rPr>
          <w:rFonts w:ascii="Book Antiqua" w:hAnsi="Book Antiqua"/>
          <w:caps/>
          <w:sz w:val="24"/>
          <w:szCs w:val="24"/>
        </w:rPr>
        <w:t>l</w:t>
      </w:r>
      <w:r w:rsidR="00B47753" w:rsidRPr="00AE4053">
        <w:rPr>
          <w:rFonts w:ascii="Book Antiqua" w:hAnsi="Book Antiqua"/>
          <w:sz w:val="24"/>
          <w:szCs w:val="24"/>
        </w:rPr>
        <w:t xml:space="preserve">iver stiffness; </w:t>
      </w:r>
      <w:r w:rsidR="00B47753" w:rsidRPr="00AE4053">
        <w:rPr>
          <w:rFonts w:ascii="Book Antiqua" w:hAnsi="Book Antiqua"/>
          <w:caps/>
          <w:sz w:val="24"/>
          <w:szCs w:val="24"/>
        </w:rPr>
        <w:t>t</w:t>
      </w:r>
      <w:r w:rsidR="00B47753" w:rsidRPr="00AE4053">
        <w:rPr>
          <w:rFonts w:ascii="Book Antiqua" w:hAnsi="Book Antiqua"/>
          <w:sz w:val="24"/>
          <w:szCs w:val="24"/>
        </w:rPr>
        <w:t>r</w:t>
      </w:r>
      <w:r w:rsidR="00AE4053">
        <w:rPr>
          <w:rFonts w:ascii="Book Antiqua" w:hAnsi="Book Antiqua"/>
          <w:sz w:val="24"/>
          <w:szCs w:val="24"/>
        </w:rPr>
        <w:t xml:space="preserve">ansient </w:t>
      </w:r>
      <w:proofErr w:type="spellStart"/>
      <w:r w:rsidR="00AE4053">
        <w:rPr>
          <w:rFonts w:ascii="Book Antiqua" w:hAnsi="Book Antiqua"/>
          <w:sz w:val="24"/>
          <w:szCs w:val="24"/>
        </w:rPr>
        <w:t>elastography</w:t>
      </w:r>
      <w:proofErr w:type="spellEnd"/>
      <w:r w:rsidR="00AE4053">
        <w:rPr>
          <w:rFonts w:ascii="Book Antiqua" w:hAnsi="Book Antiqua"/>
          <w:sz w:val="24"/>
          <w:szCs w:val="24"/>
        </w:rPr>
        <w:t xml:space="preserve">; </w:t>
      </w:r>
      <w:proofErr w:type="spellStart"/>
      <w:r w:rsidR="00AE4053">
        <w:rPr>
          <w:rFonts w:ascii="Book Antiqua" w:hAnsi="Book Antiqua"/>
          <w:sz w:val="24"/>
          <w:szCs w:val="24"/>
        </w:rPr>
        <w:t>FibroScan</w:t>
      </w:r>
      <w:proofErr w:type="spellEnd"/>
    </w:p>
    <w:p w14:paraId="64C7DE63" w14:textId="77777777" w:rsidR="006D34E2" w:rsidRDefault="006D34E2" w:rsidP="00AE4053">
      <w:pPr>
        <w:snapToGrid w:val="0"/>
        <w:spacing w:after="0" w:line="360" w:lineRule="auto"/>
        <w:jc w:val="both"/>
        <w:rPr>
          <w:rFonts w:ascii="Book Antiqua" w:hAnsi="Book Antiqua"/>
          <w:sz w:val="24"/>
          <w:szCs w:val="24"/>
        </w:rPr>
      </w:pPr>
    </w:p>
    <w:p w14:paraId="56D98071" w14:textId="77777777" w:rsidR="00547C9C" w:rsidRPr="00547C9C" w:rsidRDefault="00547C9C" w:rsidP="00547C9C">
      <w:pPr>
        <w:adjustRightInd w:val="0"/>
        <w:snapToGrid w:val="0"/>
        <w:spacing w:after="0" w:line="360" w:lineRule="auto"/>
        <w:jc w:val="both"/>
        <w:rPr>
          <w:rFonts w:ascii="Book Antiqua" w:hAnsi="Book Antiqua" w:cs="宋体"/>
          <w:sz w:val="24"/>
          <w:szCs w:val="24"/>
          <w:lang w:eastAsia="zh-CN"/>
        </w:rPr>
      </w:pPr>
      <w:bookmarkStart w:id="21" w:name="OLE_LINK363"/>
      <w:bookmarkStart w:id="22" w:name="OLE_LINK364"/>
      <w:bookmarkStart w:id="23" w:name="OLE_LINK359"/>
      <w:bookmarkStart w:id="24" w:name="OLE_LINK1037"/>
      <w:bookmarkStart w:id="25" w:name="OLE_LINK1195"/>
      <w:bookmarkStart w:id="26" w:name="OLE_LINK1140"/>
      <w:bookmarkStart w:id="27" w:name="OLE_LINK1062"/>
      <w:bookmarkStart w:id="28" w:name="OLE_LINK500"/>
      <w:bookmarkStart w:id="29" w:name="OLE_LINK916"/>
      <w:bookmarkStart w:id="30" w:name="OLE_LINK956"/>
      <w:proofErr w:type="gramStart"/>
      <w:r w:rsidRPr="00547C9C">
        <w:rPr>
          <w:rFonts w:ascii="Book Antiqua" w:hAnsi="Book Antiqua" w:cs="宋体" w:hint="eastAsia"/>
          <w:b/>
          <w:sz w:val="24"/>
          <w:szCs w:val="24"/>
          <w:lang w:eastAsia="zh-CN"/>
        </w:rPr>
        <w:t>©</w:t>
      </w:r>
      <w:r w:rsidRPr="00547C9C">
        <w:rPr>
          <w:rFonts w:ascii="Book Antiqua" w:hAnsi="Book Antiqua" w:cs="宋体"/>
          <w:b/>
          <w:sz w:val="24"/>
          <w:szCs w:val="24"/>
          <w:lang w:eastAsia="zh-CN"/>
        </w:rPr>
        <w:t xml:space="preserve"> The Author(s) 201</w:t>
      </w:r>
      <w:r w:rsidRPr="00547C9C">
        <w:rPr>
          <w:rFonts w:ascii="Book Antiqua" w:hAnsi="Book Antiqua" w:cs="宋体" w:hint="eastAsia"/>
          <w:b/>
          <w:sz w:val="24"/>
          <w:szCs w:val="24"/>
          <w:lang w:eastAsia="zh-CN"/>
        </w:rPr>
        <w:t>6</w:t>
      </w:r>
      <w:r w:rsidRPr="00547C9C">
        <w:rPr>
          <w:rFonts w:ascii="Book Antiqua" w:hAnsi="Book Antiqua" w:cs="宋体"/>
          <w:b/>
          <w:sz w:val="24"/>
          <w:szCs w:val="24"/>
          <w:lang w:eastAsia="zh-CN"/>
        </w:rPr>
        <w:t>.</w:t>
      </w:r>
      <w:proofErr w:type="gramEnd"/>
      <w:r w:rsidRPr="00547C9C">
        <w:rPr>
          <w:rFonts w:ascii="Book Antiqua" w:hAnsi="Book Antiqua" w:cs="宋体"/>
          <w:sz w:val="24"/>
          <w:szCs w:val="24"/>
          <w:lang w:eastAsia="zh-CN"/>
        </w:rPr>
        <w:t xml:space="preserve"> </w:t>
      </w:r>
      <w:proofErr w:type="gramStart"/>
      <w:r w:rsidRPr="00547C9C">
        <w:rPr>
          <w:rFonts w:ascii="Book Antiqua" w:hAnsi="Book Antiqua" w:cs="宋体"/>
          <w:sz w:val="24"/>
          <w:szCs w:val="24"/>
          <w:lang w:eastAsia="zh-CN"/>
        </w:rPr>
        <w:t xml:space="preserve">Published by </w:t>
      </w:r>
      <w:proofErr w:type="spellStart"/>
      <w:r w:rsidRPr="00547C9C">
        <w:rPr>
          <w:rFonts w:ascii="Book Antiqua" w:hAnsi="Book Antiqua" w:cs="宋体"/>
          <w:sz w:val="24"/>
          <w:szCs w:val="24"/>
          <w:lang w:eastAsia="zh-CN"/>
        </w:rPr>
        <w:t>Baishideng</w:t>
      </w:r>
      <w:proofErr w:type="spellEnd"/>
      <w:r w:rsidRPr="00547C9C">
        <w:rPr>
          <w:rFonts w:ascii="Book Antiqua" w:hAnsi="Book Antiqua" w:cs="宋体"/>
          <w:sz w:val="24"/>
          <w:szCs w:val="24"/>
          <w:lang w:eastAsia="zh-CN"/>
        </w:rPr>
        <w:t xml:space="preserve"> Publishing Group Inc.</w:t>
      </w:r>
      <w:proofErr w:type="gramEnd"/>
      <w:r w:rsidRPr="00547C9C">
        <w:rPr>
          <w:rFonts w:ascii="Book Antiqua" w:hAnsi="Book Antiqua" w:cs="宋体"/>
          <w:sz w:val="24"/>
          <w:szCs w:val="24"/>
          <w:lang w:eastAsia="zh-CN"/>
        </w:rPr>
        <w:t xml:space="preserve"> All rights reserved.</w:t>
      </w:r>
    </w:p>
    <w:bookmarkEnd w:id="21"/>
    <w:bookmarkEnd w:id="22"/>
    <w:bookmarkEnd w:id="23"/>
    <w:bookmarkEnd w:id="24"/>
    <w:bookmarkEnd w:id="25"/>
    <w:bookmarkEnd w:id="26"/>
    <w:bookmarkEnd w:id="27"/>
    <w:bookmarkEnd w:id="28"/>
    <w:bookmarkEnd w:id="29"/>
    <w:bookmarkEnd w:id="30"/>
    <w:p w14:paraId="3CD35A42" w14:textId="77777777" w:rsidR="00547C9C" w:rsidRPr="00AE4053" w:rsidRDefault="00547C9C" w:rsidP="00AE4053">
      <w:pPr>
        <w:snapToGrid w:val="0"/>
        <w:spacing w:after="0" w:line="360" w:lineRule="auto"/>
        <w:jc w:val="both"/>
        <w:rPr>
          <w:rFonts w:ascii="Book Antiqua" w:hAnsi="Book Antiqua"/>
          <w:sz w:val="24"/>
          <w:szCs w:val="24"/>
        </w:rPr>
      </w:pPr>
    </w:p>
    <w:p w14:paraId="50AAC10A" w14:textId="70FDAE71" w:rsidR="00FB77D4" w:rsidRPr="00AE4053" w:rsidRDefault="006D34E2" w:rsidP="00AE4053">
      <w:pPr>
        <w:snapToGrid w:val="0"/>
        <w:spacing w:after="0" w:line="360" w:lineRule="auto"/>
        <w:jc w:val="both"/>
        <w:rPr>
          <w:rFonts w:ascii="Book Antiqua" w:hAnsi="Book Antiqua"/>
          <w:b/>
          <w:sz w:val="24"/>
          <w:szCs w:val="24"/>
        </w:rPr>
      </w:pPr>
      <w:r w:rsidRPr="00AE4053">
        <w:rPr>
          <w:rFonts w:ascii="Book Antiqua" w:hAnsi="Book Antiqua"/>
          <w:b/>
          <w:sz w:val="24"/>
          <w:szCs w:val="24"/>
        </w:rPr>
        <w:t>C</w:t>
      </w:r>
      <w:r w:rsidR="00AE4053" w:rsidRPr="00AE4053">
        <w:rPr>
          <w:rFonts w:ascii="Book Antiqua" w:hAnsi="Book Antiqua"/>
          <w:b/>
          <w:sz w:val="24"/>
          <w:szCs w:val="24"/>
        </w:rPr>
        <w:t>ore tip</w:t>
      </w:r>
      <w:r w:rsidR="00AE4053">
        <w:rPr>
          <w:rFonts w:ascii="Book Antiqua" w:hAnsi="Book Antiqua"/>
          <w:b/>
          <w:sz w:val="24"/>
          <w:szCs w:val="24"/>
        </w:rPr>
        <w:t xml:space="preserve">: </w:t>
      </w:r>
      <w:r w:rsidRPr="00AE4053">
        <w:rPr>
          <w:rFonts w:ascii="Book Antiqua" w:hAnsi="Book Antiqua"/>
          <w:sz w:val="24"/>
          <w:szCs w:val="24"/>
        </w:rPr>
        <w:t xml:space="preserve">Clinically significant portal hypertension (CSPH), </w:t>
      </w:r>
      <w:r w:rsidR="00514FBA" w:rsidRPr="00AE4053">
        <w:rPr>
          <w:rFonts w:ascii="Book Antiqua" w:hAnsi="Book Antiqua"/>
          <w:sz w:val="24"/>
          <w:szCs w:val="24"/>
        </w:rPr>
        <w:t xml:space="preserve">which is </w:t>
      </w:r>
      <w:r w:rsidRPr="00AE4053">
        <w:rPr>
          <w:rFonts w:ascii="Book Antiqua" w:hAnsi="Book Antiqua"/>
          <w:sz w:val="24"/>
          <w:szCs w:val="24"/>
        </w:rPr>
        <w:t xml:space="preserve">defined as </w:t>
      </w:r>
      <w:r w:rsidR="000B5CC6" w:rsidRPr="000B5CC6">
        <w:rPr>
          <w:rFonts w:ascii="Book Antiqua" w:hAnsi="Book Antiqua"/>
          <w:sz w:val="24"/>
          <w:szCs w:val="24"/>
        </w:rPr>
        <w:t>hepatic venous pressure gradient (HVPG)</w:t>
      </w:r>
      <w:r w:rsidRPr="00AE4053">
        <w:rPr>
          <w:rFonts w:ascii="Book Antiqua" w:hAnsi="Book Antiqua"/>
          <w:sz w:val="24"/>
          <w:szCs w:val="24"/>
        </w:rPr>
        <w:t xml:space="preserve"> ≥</w:t>
      </w:r>
      <w:r w:rsidR="00AE4053">
        <w:rPr>
          <w:rFonts w:ascii="Book Antiqua" w:hAnsi="Book Antiqua"/>
          <w:sz w:val="24"/>
          <w:szCs w:val="24"/>
        </w:rPr>
        <w:t xml:space="preserve"> </w:t>
      </w:r>
      <w:r w:rsidRPr="00AE4053">
        <w:rPr>
          <w:rFonts w:ascii="Book Antiqua" w:hAnsi="Book Antiqua"/>
          <w:sz w:val="24"/>
          <w:szCs w:val="24"/>
        </w:rPr>
        <w:t>10 mmHg, causes major complications of cirrhosis. HVPG is invasive</w:t>
      </w:r>
      <w:r w:rsidR="00514FBA" w:rsidRPr="00AE4053">
        <w:rPr>
          <w:rFonts w:ascii="Book Antiqua" w:hAnsi="Book Antiqua"/>
          <w:sz w:val="24"/>
          <w:szCs w:val="24"/>
        </w:rPr>
        <w:t>,</w:t>
      </w:r>
      <w:r w:rsidRPr="00AE4053">
        <w:rPr>
          <w:rFonts w:ascii="Book Antiqua" w:hAnsi="Book Antiqua"/>
          <w:sz w:val="24"/>
          <w:szCs w:val="24"/>
        </w:rPr>
        <w:t xml:space="preserve"> so a non-invasive tool to diagnose CSPH is needed. Th</w:t>
      </w:r>
      <w:r w:rsidR="00432EB3" w:rsidRPr="00AE4053">
        <w:rPr>
          <w:rFonts w:ascii="Book Antiqua" w:hAnsi="Book Antiqua"/>
          <w:sz w:val="24"/>
          <w:szCs w:val="24"/>
        </w:rPr>
        <w:t>is</w:t>
      </w:r>
      <w:r w:rsidRPr="00AE4053">
        <w:rPr>
          <w:rFonts w:ascii="Book Antiqua" w:hAnsi="Book Antiqua"/>
          <w:sz w:val="24"/>
          <w:szCs w:val="24"/>
        </w:rPr>
        <w:t xml:space="preserve"> study </w:t>
      </w:r>
      <w:r w:rsidR="00514FBA" w:rsidRPr="00AE4053">
        <w:rPr>
          <w:rFonts w:ascii="Book Antiqua" w:hAnsi="Book Antiqua"/>
          <w:sz w:val="24"/>
          <w:szCs w:val="24"/>
        </w:rPr>
        <w:t xml:space="preserve">of </w:t>
      </w:r>
      <w:r w:rsidRPr="00AE4053">
        <w:rPr>
          <w:rFonts w:ascii="Book Antiqua" w:hAnsi="Book Antiqua"/>
          <w:sz w:val="24"/>
          <w:szCs w:val="24"/>
        </w:rPr>
        <w:t>326 Indian patients test</w:t>
      </w:r>
      <w:r w:rsidR="00432EB3" w:rsidRPr="00AE4053">
        <w:rPr>
          <w:rFonts w:ascii="Book Antiqua" w:hAnsi="Book Antiqua"/>
          <w:sz w:val="24"/>
          <w:szCs w:val="24"/>
        </w:rPr>
        <w:t>ed</w:t>
      </w:r>
      <w:r w:rsidRPr="00AE4053">
        <w:rPr>
          <w:rFonts w:ascii="Book Antiqua" w:hAnsi="Book Antiqua"/>
          <w:sz w:val="24"/>
          <w:szCs w:val="24"/>
        </w:rPr>
        <w:t xml:space="preserve"> the diagnostic accuracy of </w:t>
      </w:r>
      <w:r w:rsidR="00FA7AC0" w:rsidRPr="00AE4053">
        <w:rPr>
          <w:rFonts w:ascii="Book Antiqua" w:hAnsi="Book Antiqua"/>
          <w:sz w:val="24"/>
          <w:szCs w:val="24"/>
        </w:rPr>
        <w:t xml:space="preserve">transient </w:t>
      </w:r>
      <w:proofErr w:type="spellStart"/>
      <w:r w:rsidR="00FA7AC0" w:rsidRPr="00AE4053">
        <w:rPr>
          <w:rFonts w:ascii="Book Antiqua" w:hAnsi="Book Antiqua"/>
          <w:sz w:val="24"/>
          <w:szCs w:val="24"/>
        </w:rPr>
        <w:t>elastography</w:t>
      </w:r>
      <w:proofErr w:type="spellEnd"/>
      <w:r w:rsidR="00FA7AC0" w:rsidRPr="00AE4053">
        <w:rPr>
          <w:rFonts w:ascii="Book Antiqua" w:hAnsi="Book Antiqua"/>
          <w:sz w:val="24"/>
          <w:szCs w:val="24"/>
        </w:rPr>
        <w:t xml:space="preserve"> (TE)</w:t>
      </w:r>
      <w:r w:rsidRPr="00AE4053">
        <w:rPr>
          <w:rFonts w:ascii="Book Antiqua" w:hAnsi="Book Antiqua"/>
          <w:sz w:val="24"/>
          <w:szCs w:val="24"/>
        </w:rPr>
        <w:t xml:space="preserve"> for detecting CSPH. We </w:t>
      </w:r>
      <w:r w:rsidR="00514FBA" w:rsidRPr="00AE4053">
        <w:rPr>
          <w:rFonts w:ascii="Book Antiqua" w:hAnsi="Book Antiqua"/>
          <w:sz w:val="24"/>
          <w:szCs w:val="24"/>
        </w:rPr>
        <w:t xml:space="preserve">observed </w:t>
      </w:r>
      <w:r w:rsidRPr="00AE4053">
        <w:rPr>
          <w:rFonts w:ascii="Book Antiqua" w:hAnsi="Book Antiqua"/>
          <w:sz w:val="24"/>
          <w:szCs w:val="24"/>
        </w:rPr>
        <w:t xml:space="preserve">a significant positive correlation between TE and HVPG (rho 0.361, </w:t>
      </w:r>
      <w:r w:rsidRPr="00AE4053">
        <w:rPr>
          <w:rFonts w:ascii="Book Antiqua" w:hAnsi="Book Antiqua"/>
          <w:i/>
          <w:caps/>
          <w:sz w:val="24"/>
          <w:szCs w:val="24"/>
        </w:rPr>
        <w:t>p</w:t>
      </w:r>
      <w:r w:rsidR="00AE4053">
        <w:rPr>
          <w:rFonts w:ascii="Book Antiqua" w:hAnsi="Book Antiqua"/>
          <w:sz w:val="24"/>
          <w:szCs w:val="24"/>
        </w:rPr>
        <w:t xml:space="preserve"> </w:t>
      </w:r>
      <w:r w:rsidRPr="00AE4053">
        <w:rPr>
          <w:rFonts w:ascii="Book Antiqua" w:hAnsi="Book Antiqua"/>
          <w:sz w:val="24"/>
          <w:szCs w:val="24"/>
        </w:rPr>
        <w:t>&lt;</w:t>
      </w:r>
      <w:r w:rsidR="00AE4053">
        <w:rPr>
          <w:rFonts w:ascii="Book Antiqua" w:hAnsi="Book Antiqua"/>
          <w:sz w:val="24"/>
          <w:szCs w:val="24"/>
        </w:rPr>
        <w:t xml:space="preserve"> </w:t>
      </w:r>
      <w:r w:rsidRPr="00AE4053">
        <w:rPr>
          <w:rFonts w:ascii="Book Antiqua" w:hAnsi="Book Antiqua"/>
          <w:sz w:val="24"/>
          <w:szCs w:val="24"/>
        </w:rPr>
        <w:t xml:space="preserve">0.001). The area under </w:t>
      </w:r>
      <w:r w:rsidR="007842A8" w:rsidRPr="00AE4053">
        <w:rPr>
          <w:rFonts w:ascii="Book Antiqua" w:hAnsi="Book Antiqua"/>
          <w:sz w:val="24"/>
          <w:szCs w:val="24"/>
        </w:rPr>
        <w:t xml:space="preserve">the </w:t>
      </w:r>
      <w:r w:rsidR="009F3D68" w:rsidRPr="00AE4053">
        <w:rPr>
          <w:rFonts w:ascii="Book Antiqua" w:eastAsia="Times New Roman" w:hAnsi="Book Antiqua"/>
          <w:sz w:val="24"/>
          <w:szCs w:val="24"/>
        </w:rPr>
        <w:t>receiver operating characteristic</w:t>
      </w:r>
      <w:r w:rsidR="009F3D68" w:rsidRPr="00AE4053">
        <w:rPr>
          <w:rFonts w:ascii="Book Antiqua" w:hAnsi="Book Antiqua"/>
          <w:sz w:val="24"/>
          <w:szCs w:val="24"/>
        </w:rPr>
        <w:t xml:space="preserve"> </w:t>
      </w:r>
      <w:r w:rsidRPr="00AE4053">
        <w:rPr>
          <w:rFonts w:ascii="Book Antiqua" w:hAnsi="Book Antiqua"/>
          <w:sz w:val="24"/>
          <w:szCs w:val="24"/>
        </w:rPr>
        <w:t xml:space="preserve">curve for TE in predicting CSPH was 0.740. A cut-off value of TE of 21.6 </w:t>
      </w:r>
      <w:proofErr w:type="spellStart"/>
      <w:r w:rsidRPr="00AE4053">
        <w:rPr>
          <w:rFonts w:ascii="Book Antiqua" w:hAnsi="Book Antiqua"/>
          <w:sz w:val="24"/>
          <w:szCs w:val="24"/>
        </w:rPr>
        <w:t>kPa</w:t>
      </w:r>
      <w:proofErr w:type="spellEnd"/>
      <w:r w:rsidRPr="00AE4053">
        <w:rPr>
          <w:rFonts w:ascii="Book Antiqua" w:hAnsi="Book Antiqua"/>
          <w:sz w:val="24"/>
          <w:szCs w:val="24"/>
        </w:rPr>
        <w:t xml:space="preserve"> best predicted CSPH with a </w:t>
      </w:r>
      <w:r w:rsidR="00FA7AC0" w:rsidRPr="00AE4053">
        <w:rPr>
          <w:rFonts w:ascii="Book Antiqua" w:hAnsi="Book Antiqua"/>
          <w:color w:val="141314"/>
          <w:sz w:val="24"/>
          <w:szCs w:val="24"/>
        </w:rPr>
        <w:t>positive predictive value</w:t>
      </w:r>
      <w:r w:rsidRPr="00AE4053">
        <w:rPr>
          <w:rFonts w:ascii="Book Antiqua" w:hAnsi="Book Antiqua"/>
          <w:sz w:val="24"/>
          <w:szCs w:val="24"/>
        </w:rPr>
        <w:t xml:space="preserve"> of 93%. Thus</w:t>
      </w:r>
      <w:r w:rsidR="00514FBA" w:rsidRPr="00AE4053">
        <w:rPr>
          <w:rFonts w:ascii="Book Antiqua" w:hAnsi="Book Antiqua"/>
          <w:sz w:val="24"/>
          <w:szCs w:val="24"/>
        </w:rPr>
        <w:t>,</w:t>
      </w:r>
      <w:r w:rsidRPr="00AE4053">
        <w:rPr>
          <w:rFonts w:ascii="Book Antiqua" w:hAnsi="Book Antiqua"/>
          <w:sz w:val="24"/>
          <w:szCs w:val="24"/>
        </w:rPr>
        <w:t xml:space="preserve"> TE can be used as a non-invasive modality to assess the degree of portal hypertension. </w:t>
      </w:r>
    </w:p>
    <w:p w14:paraId="35BBD79B" w14:textId="77777777" w:rsidR="00FB77D4" w:rsidRPr="00AE4053" w:rsidRDefault="00FB77D4" w:rsidP="00AE4053">
      <w:pPr>
        <w:snapToGrid w:val="0"/>
        <w:spacing w:after="0" w:line="360" w:lineRule="auto"/>
        <w:jc w:val="both"/>
        <w:rPr>
          <w:rFonts w:ascii="Book Antiqua" w:hAnsi="Book Antiqua"/>
          <w:sz w:val="24"/>
          <w:szCs w:val="24"/>
        </w:rPr>
      </w:pPr>
    </w:p>
    <w:p w14:paraId="59A6B89F" w14:textId="6FB1F5A5" w:rsidR="00CF0BD0" w:rsidRPr="00AE4053" w:rsidRDefault="00FB77D4" w:rsidP="00AE4053">
      <w:pPr>
        <w:snapToGrid w:val="0"/>
        <w:spacing w:after="0" w:line="360" w:lineRule="auto"/>
        <w:jc w:val="both"/>
        <w:rPr>
          <w:rFonts w:ascii="Book Antiqua" w:hAnsi="Book Antiqua"/>
          <w:sz w:val="24"/>
          <w:szCs w:val="24"/>
        </w:rPr>
      </w:pPr>
      <w:r w:rsidRPr="00AE4053">
        <w:rPr>
          <w:rFonts w:ascii="Book Antiqua" w:hAnsi="Book Antiqua"/>
          <w:sz w:val="24"/>
          <w:szCs w:val="24"/>
        </w:rPr>
        <w:t xml:space="preserve">Kumar A, Khan NM, </w:t>
      </w:r>
      <w:proofErr w:type="spellStart"/>
      <w:r w:rsidRPr="00AE4053">
        <w:rPr>
          <w:rFonts w:ascii="Book Antiqua" w:hAnsi="Book Antiqua"/>
          <w:sz w:val="24"/>
          <w:szCs w:val="24"/>
        </w:rPr>
        <w:t>Anikhindi</w:t>
      </w:r>
      <w:proofErr w:type="spellEnd"/>
      <w:r w:rsidRPr="00AE4053">
        <w:rPr>
          <w:rFonts w:ascii="Book Antiqua" w:hAnsi="Book Antiqua"/>
          <w:sz w:val="24"/>
          <w:szCs w:val="24"/>
        </w:rPr>
        <w:t xml:space="preserve"> SA, Sharma P, </w:t>
      </w:r>
      <w:proofErr w:type="spellStart"/>
      <w:r w:rsidRPr="00AE4053">
        <w:rPr>
          <w:rFonts w:ascii="Book Antiqua" w:hAnsi="Book Antiqua"/>
          <w:sz w:val="24"/>
          <w:szCs w:val="24"/>
        </w:rPr>
        <w:t>Bansal</w:t>
      </w:r>
      <w:proofErr w:type="spellEnd"/>
      <w:r w:rsidRPr="00AE4053">
        <w:rPr>
          <w:rFonts w:ascii="Book Antiqua" w:hAnsi="Book Antiqua"/>
          <w:sz w:val="24"/>
          <w:szCs w:val="24"/>
        </w:rPr>
        <w:t xml:space="preserve"> N, </w:t>
      </w:r>
      <w:proofErr w:type="spellStart"/>
      <w:r w:rsidRPr="00AE4053">
        <w:rPr>
          <w:rFonts w:ascii="Book Antiqua" w:hAnsi="Book Antiqua"/>
          <w:sz w:val="24"/>
          <w:szCs w:val="24"/>
        </w:rPr>
        <w:t>Singla</w:t>
      </w:r>
      <w:proofErr w:type="spellEnd"/>
      <w:r w:rsidRPr="00AE4053">
        <w:rPr>
          <w:rFonts w:ascii="Book Antiqua" w:hAnsi="Book Antiqua"/>
          <w:sz w:val="24"/>
          <w:szCs w:val="24"/>
        </w:rPr>
        <w:t xml:space="preserve"> V, </w:t>
      </w:r>
      <w:proofErr w:type="spellStart"/>
      <w:r w:rsidRPr="00AE4053">
        <w:rPr>
          <w:rFonts w:ascii="Book Antiqua" w:hAnsi="Book Antiqua"/>
          <w:sz w:val="24"/>
          <w:szCs w:val="24"/>
        </w:rPr>
        <w:t>Arora</w:t>
      </w:r>
      <w:proofErr w:type="spellEnd"/>
      <w:r w:rsidRPr="00AE4053">
        <w:rPr>
          <w:rFonts w:ascii="Book Antiqua" w:hAnsi="Book Antiqua"/>
          <w:sz w:val="24"/>
          <w:szCs w:val="24"/>
        </w:rPr>
        <w:t xml:space="preserve"> A. Correlation of transient </w:t>
      </w:r>
      <w:proofErr w:type="spellStart"/>
      <w:r w:rsidRPr="00AE4053">
        <w:rPr>
          <w:rFonts w:ascii="Book Antiqua" w:hAnsi="Book Antiqua"/>
          <w:sz w:val="24"/>
          <w:szCs w:val="24"/>
        </w:rPr>
        <w:t>elastography</w:t>
      </w:r>
      <w:proofErr w:type="spellEnd"/>
      <w:r w:rsidRPr="00AE4053">
        <w:rPr>
          <w:rFonts w:ascii="Book Antiqua" w:hAnsi="Book Antiqua"/>
          <w:sz w:val="24"/>
          <w:szCs w:val="24"/>
        </w:rPr>
        <w:t xml:space="preserve"> with hepatic venous pressure gradient in patients with cirrhotic portal hypertension: </w:t>
      </w:r>
      <w:r w:rsidRPr="00AE4053">
        <w:rPr>
          <w:rFonts w:ascii="Book Antiqua" w:hAnsi="Book Antiqua"/>
          <w:caps/>
          <w:sz w:val="24"/>
          <w:szCs w:val="24"/>
        </w:rPr>
        <w:t>a</w:t>
      </w:r>
      <w:r w:rsidRPr="00AE4053">
        <w:rPr>
          <w:rFonts w:ascii="Book Antiqua" w:hAnsi="Book Antiqua"/>
          <w:sz w:val="24"/>
          <w:szCs w:val="24"/>
        </w:rPr>
        <w:t xml:space="preserve"> study o</w:t>
      </w:r>
      <w:r w:rsidR="007842A8" w:rsidRPr="00AE4053">
        <w:rPr>
          <w:rFonts w:ascii="Book Antiqua" w:hAnsi="Book Antiqua"/>
          <w:sz w:val="24"/>
          <w:szCs w:val="24"/>
        </w:rPr>
        <w:t>f</w:t>
      </w:r>
      <w:r w:rsidRPr="00AE4053">
        <w:rPr>
          <w:rFonts w:ascii="Book Antiqua" w:hAnsi="Book Antiqua"/>
          <w:sz w:val="24"/>
          <w:szCs w:val="24"/>
        </w:rPr>
        <w:t xml:space="preserve"> 326 patients from India. </w:t>
      </w:r>
      <w:r w:rsidRPr="00AE4053">
        <w:rPr>
          <w:rFonts w:ascii="Book Antiqua" w:hAnsi="Book Antiqua"/>
          <w:i/>
          <w:sz w:val="24"/>
          <w:szCs w:val="24"/>
        </w:rPr>
        <w:t xml:space="preserve">World J </w:t>
      </w:r>
      <w:proofErr w:type="spellStart"/>
      <w:r w:rsidRPr="00AE4053">
        <w:rPr>
          <w:rFonts w:ascii="Book Antiqua" w:hAnsi="Book Antiqua"/>
          <w:i/>
          <w:sz w:val="24"/>
          <w:szCs w:val="24"/>
        </w:rPr>
        <w:t>Gastroenterol</w:t>
      </w:r>
      <w:bookmarkStart w:id="31" w:name="_Toc334950144"/>
      <w:proofErr w:type="spellEnd"/>
      <w:r w:rsidR="00547C9C">
        <w:rPr>
          <w:rFonts w:ascii="Book Antiqua" w:hAnsi="Book Antiqua"/>
          <w:sz w:val="24"/>
          <w:szCs w:val="24"/>
        </w:rPr>
        <w:t xml:space="preserve"> 2016; </w:t>
      </w:r>
      <w:proofErr w:type="gramStart"/>
      <w:r w:rsidR="00547C9C">
        <w:rPr>
          <w:rFonts w:ascii="Book Antiqua" w:hAnsi="Book Antiqua"/>
          <w:sz w:val="24"/>
          <w:szCs w:val="24"/>
        </w:rPr>
        <w:t>In</w:t>
      </w:r>
      <w:proofErr w:type="gramEnd"/>
      <w:r w:rsidR="00547C9C">
        <w:rPr>
          <w:rFonts w:ascii="Book Antiqua" w:hAnsi="Book Antiqua"/>
          <w:sz w:val="24"/>
          <w:szCs w:val="24"/>
        </w:rPr>
        <w:t xml:space="preserve"> press</w:t>
      </w:r>
    </w:p>
    <w:p w14:paraId="77C4360E" w14:textId="04B0F515" w:rsidR="000634EC" w:rsidRPr="00AE4053" w:rsidRDefault="00CF0BD0" w:rsidP="00AE4053">
      <w:pPr>
        <w:snapToGrid w:val="0"/>
        <w:spacing w:after="0" w:line="360" w:lineRule="auto"/>
        <w:jc w:val="both"/>
        <w:rPr>
          <w:rFonts w:ascii="Book Antiqua" w:hAnsi="Book Antiqua"/>
          <w:b/>
          <w:sz w:val="24"/>
          <w:szCs w:val="24"/>
        </w:rPr>
      </w:pPr>
      <w:r w:rsidRPr="00AE4053">
        <w:rPr>
          <w:rFonts w:ascii="Book Antiqua" w:hAnsi="Book Antiqua"/>
          <w:sz w:val="24"/>
          <w:szCs w:val="24"/>
        </w:rPr>
        <w:br w:type="page"/>
      </w:r>
      <w:r w:rsidR="00B37AFA" w:rsidRPr="00AE4053">
        <w:rPr>
          <w:rFonts w:ascii="Book Antiqua" w:hAnsi="Book Antiqua"/>
          <w:b/>
          <w:sz w:val="24"/>
          <w:szCs w:val="24"/>
        </w:rPr>
        <w:lastRenderedPageBreak/>
        <w:t>INTRODUCTION</w:t>
      </w:r>
      <w:bookmarkEnd w:id="31"/>
    </w:p>
    <w:p w14:paraId="4E61B05B" w14:textId="530560A6" w:rsidR="001B74EA" w:rsidRPr="00AE4053" w:rsidRDefault="00BB5AB2" w:rsidP="00AE4053">
      <w:pPr>
        <w:snapToGrid w:val="0"/>
        <w:spacing w:after="0" w:line="360" w:lineRule="auto"/>
        <w:jc w:val="both"/>
        <w:rPr>
          <w:rFonts w:ascii="Book Antiqua" w:hAnsi="Book Antiqua"/>
          <w:color w:val="141314"/>
          <w:sz w:val="24"/>
          <w:szCs w:val="24"/>
          <w:lang w:val="en-IN"/>
        </w:rPr>
      </w:pPr>
      <w:r w:rsidRPr="00AE4053">
        <w:rPr>
          <w:rFonts w:ascii="Book Antiqua" w:hAnsi="Book Antiqua"/>
          <w:bCs/>
          <w:sz w:val="24"/>
          <w:szCs w:val="24"/>
          <w:lang w:val="en-IN"/>
        </w:rPr>
        <w:t>The</w:t>
      </w:r>
      <w:r w:rsidR="00EF6A72" w:rsidRPr="00AE4053">
        <w:rPr>
          <w:rFonts w:ascii="Book Antiqua" w:hAnsi="Book Antiqua"/>
          <w:bCs/>
          <w:sz w:val="24"/>
          <w:szCs w:val="24"/>
          <w:lang w:val="en-IN"/>
        </w:rPr>
        <w:t xml:space="preserve"> end result of </w:t>
      </w:r>
      <w:proofErr w:type="spellStart"/>
      <w:r w:rsidR="00D65382" w:rsidRPr="00AE4053">
        <w:rPr>
          <w:rFonts w:ascii="Book Antiqua" w:hAnsi="Book Antiqua"/>
          <w:bCs/>
          <w:sz w:val="24"/>
          <w:szCs w:val="24"/>
          <w:lang w:val="en-IN"/>
        </w:rPr>
        <w:t>ongoing</w:t>
      </w:r>
      <w:proofErr w:type="spellEnd"/>
      <w:r w:rsidR="00D65382" w:rsidRPr="00AE4053">
        <w:rPr>
          <w:rFonts w:ascii="Book Antiqua" w:hAnsi="Book Antiqua"/>
          <w:bCs/>
          <w:sz w:val="24"/>
          <w:szCs w:val="24"/>
          <w:lang w:val="en-IN"/>
        </w:rPr>
        <w:t xml:space="preserve"> </w:t>
      </w:r>
      <w:r w:rsidR="00EF6A72" w:rsidRPr="00AE4053">
        <w:rPr>
          <w:rFonts w:ascii="Book Antiqua" w:hAnsi="Book Antiqua"/>
          <w:bCs/>
          <w:sz w:val="24"/>
          <w:szCs w:val="24"/>
          <w:lang w:val="en-IN"/>
        </w:rPr>
        <w:t xml:space="preserve">injury </w:t>
      </w:r>
      <w:r w:rsidR="00D65382" w:rsidRPr="00AE4053">
        <w:rPr>
          <w:rFonts w:ascii="Book Antiqua" w:hAnsi="Book Antiqua"/>
          <w:bCs/>
          <w:sz w:val="24"/>
          <w:szCs w:val="24"/>
          <w:lang w:val="en-IN"/>
        </w:rPr>
        <w:t xml:space="preserve">to the liver </w:t>
      </w:r>
      <w:r w:rsidR="002E6009" w:rsidRPr="00AE4053">
        <w:rPr>
          <w:rFonts w:ascii="Book Antiqua" w:hAnsi="Book Antiqua"/>
          <w:bCs/>
          <w:sz w:val="24"/>
          <w:szCs w:val="24"/>
          <w:lang w:val="en-IN"/>
        </w:rPr>
        <w:t>due to any cause</w:t>
      </w:r>
      <w:r w:rsidRPr="00AE4053">
        <w:rPr>
          <w:rFonts w:ascii="Book Antiqua" w:hAnsi="Book Antiqua"/>
          <w:bCs/>
          <w:sz w:val="24"/>
          <w:szCs w:val="24"/>
          <w:lang w:val="en-IN"/>
        </w:rPr>
        <w:t xml:space="preserve"> is hepatic fibrosis</w:t>
      </w:r>
      <w:r w:rsidR="00514FBA" w:rsidRPr="00AE4053">
        <w:rPr>
          <w:rFonts w:ascii="Book Antiqua" w:hAnsi="Book Antiqua"/>
          <w:bCs/>
          <w:sz w:val="24"/>
          <w:szCs w:val="24"/>
          <w:lang w:val="en-IN"/>
        </w:rPr>
        <w:t>,</w:t>
      </w:r>
      <w:r w:rsidR="00A82D61" w:rsidRPr="00AE4053">
        <w:rPr>
          <w:rFonts w:ascii="Book Antiqua" w:hAnsi="Book Antiqua"/>
          <w:bCs/>
          <w:sz w:val="24"/>
          <w:szCs w:val="24"/>
          <w:lang w:val="en-IN"/>
        </w:rPr>
        <w:t xml:space="preserve"> leading to architectural changes and </w:t>
      </w:r>
      <w:r w:rsidR="00D65382" w:rsidRPr="00AE4053">
        <w:rPr>
          <w:rFonts w:ascii="Book Antiqua" w:hAnsi="Book Antiqua"/>
          <w:bCs/>
          <w:sz w:val="24"/>
          <w:szCs w:val="24"/>
          <w:lang w:val="en-IN"/>
        </w:rPr>
        <w:t xml:space="preserve">often </w:t>
      </w:r>
      <w:r w:rsidR="00A82D61" w:rsidRPr="00AE4053">
        <w:rPr>
          <w:rFonts w:ascii="Book Antiqua" w:hAnsi="Book Antiqua"/>
          <w:bCs/>
          <w:sz w:val="24"/>
          <w:szCs w:val="24"/>
          <w:lang w:val="en-IN"/>
        </w:rPr>
        <w:t>cirrhosis</w:t>
      </w:r>
      <w:r w:rsidR="00232DFE" w:rsidRPr="00AE4053">
        <w:rPr>
          <w:rFonts w:ascii="Book Antiqua" w:hAnsi="Book Antiqua"/>
          <w:bCs/>
          <w:sz w:val="24"/>
          <w:szCs w:val="24"/>
          <w:lang w:val="en-IN"/>
        </w:rPr>
        <w:fldChar w:fldCharType="begin"/>
      </w:r>
      <w:r w:rsidR="008F2F86" w:rsidRPr="00AE4053">
        <w:rPr>
          <w:rFonts w:ascii="Book Antiqua" w:hAnsi="Book Antiqua"/>
          <w:bCs/>
          <w:sz w:val="24"/>
          <w:szCs w:val="24"/>
          <w:lang w:val="en-IN"/>
        </w:rPr>
        <w:instrText xml:space="preserve"> ADDIN ZOTERO_ITEM CSL_CITATION {"citationID":"d5O9m0T6","properties":{"formattedCitation":"{\\rtf \\super [1]\\nosupersub{}}","plainCitation":"[1]"},"citationItems":[{"id":4096,"uris":["http://zotero.org/users/271015/items/7REGC74Q"],"uri":["http://zotero.org/users/271015/items/7REGC74Q"],"itemData":{"id":4096,"type":"article-journal","title":"Hepatic fibrosis 2006: report of the Third AASLD Single Topic Conference","container-title":"Hepatology (Baltimore, Md.)","page":"242-249","volume":"45","issue":"1","source":"PubMed","abstract":"The Third American Associated for the Study of Liver Diseases (AASLD)-sponsored Single Topic Conference on hepatic fibrosis was held in June 2006. The conference was both international, with 6 countries represented, and cross-disciplinary, linking the basic molecular and cellular biology of fibrogenic cells to clinical trial design for emerging antifibrotic therapies. The specific goals of the conference were: (1) to consolidate knowledge about the natural history of fibrosis; (2) to clarify potential endpoints and markers; (3) to emphasize new antifibrotic targets developed on the basis of advances in basic science; and (4) to understand current critical issues pertaining to clinical trial design. Given the tremendous growth of the field and the constraints of a 2-day format, the selection of speakers was a challenge. A number of topics not included in the oral presentations were featured at poster sessions, lending breadth and depth to the meeting as a whole. Surprising new themes emerged about molecular, clinical, and regulatory aspects of the field, and a consensus emerged that hepatic fibrosis has matured into an integrated discipline that promises to significantly improve the prognosis of patients with fibrosing liver disease.","DOI":"10.1002/hep.21459","ISSN":"0270-9139","note":"PMID: 17187439","shortTitle":"Hepatic fibrosis 2006","journalAbbreviation":"Hepatology","language":"eng","author":[{"family":"Friedman","given":"Scott L."},{"family":"Rockey","given":"Don C."},{"family":"Bissell","given":"D. Montgomery"}],"issued":{"date-parts":[["2007",1]]}}}],"schema":"https://github.com/citation-style-language/schema/raw/master/csl-citation.json"} </w:instrText>
      </w:r>
      <w:r w:rsidR="00232DFE" w:rsidRPr="00AE4053">
        <w:rPr>
          <w:rFonts w:ascii="Book Antiqua" w:hAnsi="Book Antiqua"/>
          <w:bCs/>
          <w:sz w:val="24"/>
          <w:szCs w:val="24"/>
          <w:lang w:val="en-IN"/>
        </w:rPr>
        <w:fldChar w:fldCharType="separate"/>
      </w:r>
      <w:r w:rsidR="008F2F86" w:rsidRPr="00AE4053">
        <w:rPr>
          <w:rFonts w:ascii="Book Antiqua" w:hAnsi="Book Antiqua"/>
          <w:sz w:val="24"/>
          <w:szCs w:val="24"/>
          <w:vertAlign w:val="superscript"/>
        </w:rPr>
        <w:t>[1]</w:t>
      </w:r>
      <w:r w:rsidR="00232DFE" w:rsidRPr="00AE4053">
        <w:rPr>
          <w:rFonts w:ascii="Book Antiqua" w:hAnsi="Book Antiqua"/>
          <w:bCs/>
          <w:sz w:val="24"/>
          <w:szCs w:val="24"/>
          <w:lang w:val="en-IN"/>
        </w:rPr>
        <w:fldChar w:fldCharType="end"/>
      </w:r>
      <w:r w:rsidRPr="00AE4053">
        <w:rPr>
          <w:rFonts w:ascii="Book Antiqua" w:hAnsi="Book Antiqua"/>
          <w:bCs/>
          <w:sz w:val="24"/>
          <w:szCs w:val="24"/>
          <w:lang w:val="en-IN"/>
        </w:rPr>
        <w:t xml:space="preserve">. </w:t>
      </w:r>
      <w:r w:rsidR="00C5479D" w:rsidRPr="00AE4053">
        <w:rPr>
          <w:rFonts w:ascii="Book Antiqua" w:hAnsi="Book Antiqua"/>
          <w:bCs/>
          <w:sz w:val="24"/>
          <w:szCs w:val="24"/>
          <w:lang w:val="en-IN"/>
        </w:rPr>
        <w:t>Progressive h</w:t>
      </w:r>
      <w:r w:rsidR="004247DE" w:rsidRPr="00AE4053">
        <w:rPr>
          <w:rFonts w:ascii="Book Antiqua" w:hAnsi="Book Antiqua"/>
          <w:bCs/>
          <w:sz w:val="24"/>
          <w:szCs w:val="24"/>
          <w:lang w:val="en-IN"/>
        </w:rPr>
        <w:t>epatic fibrosis</w:t>
      </w:r>
      <w:r w:rsidRPr="00AE4053">
        <w:rPr>
          <w:rFonts w:ascii="Book Antiqua" w:hAnsi="Book Antiqua"/>
          <w:bCs/>
          <w:sz w:val="24"/>
          <w:szCs w:val="24"/>
          <w:lang w:val="en-IN"/>
        </w:rPr>
        <w:t xml:space="preserve"> is </w:t>
      </w:r>
      <w:r w:rsidR="00D847D0" w:rsidRPr="00AE4053">
        <w:rPr>
          <w:rFonts w:ascii="Book Antiqua" w:hAnsi="Book Antiqua"/>
          <w:bCs/>
          <w:sz w:val="24"/>
          <w:szCs w:val="24"/>
          <w:lang w:val="en-IN"/>
        </w:rPr>
        <w:t xml:space="preserve">the </w:t>
      </w:r>
      <w:r w:rsidR="00EF6A72" w:rsidRPr="00AE4053">
        <w:rPr>
          <w:rFonts w:ascii="Book Antiqua" w:hAnsi="Book Antiqua"/>
          <w:bCs/>
          <w:sz w:val="24"/>
          <w:szCs w:val="24"/>
          <w:lang w:val="en-IN"/>
        </w:rPr>
        <w:t>most important factor lea</w:t>
      </w:r>
      <w:r w:rsidRPr="00AE4053">
        <w:rPr>
          <w:rFonts w:ascii="Book Antiqua" w:hAnsi="Book Antiqua"/>
          <w:bCs/>
          <w:sz w:val="24"/>
          <w:szCs w:val="24"/>
          <w:lang w:val="en-IN"/>
        </w:rPr>
        <w:t xml:space="preserve">ding to </w:t>
      </w:r>
      <w:r w:rsidR="00D65382" w:rsidRPr="00AE4053">
        <w:rPr>
          <w:rFonts w:ascii="Book Antiqua" w:hAnsi="Book Antiqua"/>
          <w:bCs/>
          <w:sz w:val="24"/>
          <w:szCs w:val="24"/>
          <w:lang w:val="en-IN"/>
        </w:rPr>
        <w:t xml:space="preserve">parenchymal </w:t>
      </w:r>
      <w:r w:rsidRPr="00AE4053">
        <w:rPr>
          <w:rFonts w:ascii="Book Antiqua" w:hAnsi="Book Antiqua"/>
          <w:bCs/>
          <w:sz w:val="24"/>
          <w:szCs w:val="24"/>
          <w:lang w:val="en-IN"/>
        </w:rPr>
        <w:t>dysfunction and</w:t>
      </w:r>
      <w:r w:rsidR="00EF6A72" w:rsidRPr="00AE4053">
        <w:rPr>
          <w:rFonts w:ascii="Book Antiqua" w:hAnsi="Book Antiqua"/>
          <w:bCs/>
          <w:sz w:val="24"/>
          <w:szCs w:val="24"/>
          <w:lang w:val="en-IN"/>
        </w:rPr>
        <w:t xml:space="preserve"> </w:t>
      </w:r>
      <w:r w:rsidR="00514FBA" w:rsidRPr="00AE4053">
        <w:rPr>
          <w:rFonts w:ascii="Book Antiqua" w:hAnsi="Book Antiqua"/>
          <w:bCs/>
          <w:sz w:val="24"/>
          <w:szCs w:val="24"/>
          <w:lang w:val="en-IN"/>
        </w:rPr>
        <w:t xml:space="preserve">the </w:t>
      </w:r>
      <w:r w:rsidR="00D65382" w:rsidRPr="00AE4053">
        <w:rPr>
          <w:rFonts w:ascii="Book Antiqua" w:hAnsi="Book Antiqua"/>
          <w:bCs/>
          <w:sz w:val="24"/>
          <w:szCs w:val="24"/>
          <w:lang w:val="en-IN"/>
        </w:rPr>
        <w:t xml:space="preserve">development of </w:t>
      </w:r>
      <w:r w:rsidR="00EF6A72" w:rsidRPr="00AE4053">
        <w:rPr>
          <w:rFonts w:ascii="Book Antiqua" w:hAnsi="Book Antiqua"/>
          <w:bCs/>
          <w:sz w:val="24"/>
          <w:szCs w:val="24"/>
          <w:lang w:val="en-IN"/>
        </w:rPr>
        <w:t>portal hypertension.</w:t>
      </w:r>
      <w:r w:rsidRPr="00AE4053">
        <w:rPr>
          <w:rFonts w:ascii="Book Antiqua" w:hAnsi="Book Antiqua"/>
          <w:bCs/>
          <w:sz w:val="24"/>
          <w:szCs w:val="24"/>
          <w:lang w:val="en-IN"/>
        </w:rPr>
        <w:t xml:space="preserve"> </w:t>
      </w:r>
      <w:r w:rsidR="00563278" w:rsidRPr="00AE4053">
        <w:rPr>
          <w:rFonts w:ascii="Book Antiqua" w:hAnsi="Book Antiqua"/>
          <w:bCs/>
          <w:sz w:val="24"/>
          <w:szCs w:val="24"/>
          <w:lang w:val="en-IN"/>
        </w:rPr>
        <w:t xml:space="preserve">The </w:t>
      </w:r>
      <w:r w:rsidR="00B03D5C" w:rsidRPr="00AE4053">
        <w:rPr>
          <w:rFonts w:ascii="Book Antiqua" w:hAnsi="Book Antiqua"/>
          <w:bCs/>
          <w:sz w:val="24"/>
          <w:szCs w:val="24"/>
          <w:lang w:val="en-IN"/>
        </w:rPr>
        <w:t>m</w:t>
      </w:r>
      <w:r w:rsidR="00B03D5C" w:rsidRPr="00AE4053">
        <w:rPr>
          <w:rFonts w:ascii="Book Antiqua" w:hAnsi="Book Antiqua"/>
          <w:color w:val="000000"/>
          <w:sz w:val="24"/>
          <w:szCs w:val="24"/>
          <w:lang w:val="en-IN"/>
        </w:rPr>
        <w:t xml:space="preserve">easurement of </w:t>
      </w:r>
      <w:r w:rsidR="008B7075" w:rsidRPr="00AE4053">
        <w:rPr>
          <w:rFonts w:ascii="Book Antiqua" w:hAnsi="Book Antiqua"/>
          <w:color w:val="000000"/>
          <w:sz w:val="24"/>
          <w:szCs w:val="24"/>
          <w:lang w:val="en-IN"/>
        </w:rPr>
        <w:t>portal hypertension</w:t>
      </w:r>
      <w:r w:rsidR="00B03D5C" w:rsidRPr="00AE4053">
        <w:rPr>
          <w:rFonts w:ascii="Book Antiqua" w:hAnsi="Book Antiqua"/>
          <w:color w:val="000000"/>
          <w:sz w:val="24"/>
          <w:szCs w:val="24"/>
          <w:lang w:val="en-IN"/>
        </w:rPr>
        <w:t xml:space="preserve"> is important</w:t>
      </w:r>
      <w:r w:rsidR="007842A8" w:rsidRPr="00AE4053">
        <w:rPr>
          <w:rFonts w:ascii="Book Antiqua" w:hAnsi="Book Antiqua"/>
          <w:color w:val="000000"/>
          <w:sz w:val="24"/>
          <w:szCs w:val="24"/>
        </w:rPr>
        <w:t>,</w:t>
      </w:r>
      <w:r w:rsidR="00563278" w:rsidRPr="00AE4053">
        <w:rPr>
          <w:rFonts w:ascii="Book Antiqua" w:hAnsi="Book Antiqua"/>
          <w:color w:val="000000"/>
          <w:sz w:val="24"/>
          <w:szCs w:val="24"/>
          <w:lang w:val="en-IN"/>
        </w:rPr>
        <w:t xml:space="preserve"> as </w:t>
      </w:r>
      <w:r w:rsidR="00514FBA" w:rsidRPr="00AE4053">
        <w:rPr>
          <w:rFonts w:ascii="Book Antiqua" w:hAnsi="Book Antiqua"/>
          <w:color w:val="000000"/>
          <w:sz w:val="24"/>
          <w:szCs w:val="24"/>
          <w:lang w:val="en-IN"/>
        </w:rPr>
        <w:t xml:space="preserve">a </w:t>
      </w:r>
      <w:r w:rsidR="00B03D5C" w:rsidRPr="00AE4053">
        <w:rPr>
          <w:rFonts w:ascii="Book Antiqua" w:hAnsi="Book Antiqua"/>
          <w:color w:val="000000"/>
          <w:sz w:val="24"/>
          <w:szCs w:val="24"/>
          <w:lang w:val="en-IN"/>
        </w:rPr>
        <w:t xml:space="preserve">progressive </w:t>
      </w:r>
      <w:r w:rsidR="00514FBA" w:rsidRPr="00AE4053">
        <w:rPr>
          <w:rFonts w:ascii="Book Antiqua" w:hAnsi="Book Antiqua"/>
          <w:color w:val="000000"/>
          <w:sz w:val="24"/>
          <w:szCs w:val="24"/>
          <w:lang w:val="en-IN"/>
        </w:rPr>
        <w:t xml:space="preserve">increase </w:t>
      </w:r>
      <w:r w:rsidR="00232DFE" w:rsidRPr="00AE4053">
        <w:rPr>
          <w:rFonts w:ascii="Book Antiqua" w:hAnsi="Book Antiqua"/>
          <w:color w:val="000000"/>
          <w:sz w:val="24"/>
          <w:szCs w:val="24"/>
          <w:lang w:val="en-IN"/>
        </w:rPr>
        <w:t>in portal pressure</w:t>
      </w:r>
      <w:r w:rsidR="00B03D5C" w:rsidRPr="00AE4053">
        <w:rPr>
          <w:rFonts w:ascii="Book Antiqua" w:hAnsi="Book Antiqua"/>
          <w:color w:val="000000"/>
          <w:sz w:val="24"/>
          <w:szCs w:val="24"/>
          <w:lang w:val="en-IN"/>
        </w:rPr>
        <w:t xml:space="preserve"> is</w:t>
      </w:r>
      <w:r w:rsidR="00A82D61" w:rsidRPr="00AE4053">
        <w:rPr>
          <w:rFonts w:ascii="Book Antiqua" w:hAnsi="Book Antiqua"/>
          <w:color w:val="000000"/>
          <w:sz w:val="24"/>
          <w:szCs w:val="24"/>
          <w:lang w:val="en-IN"/>
        </w:rPr>
        <w:t xml:space="preserve"> </w:t>
      </w:r>
      <w:r w:rsidR="00B03D5C" w:rsidRPr="00AE4053">
        <w:rPr>
          <w:rFonts w:ascii="Book Antiqua" w:hAnsi="Book Antiqua"/>
          <w:color w:val="000000"/>
          <w:sz w:val="24"/>
          <w:szCs w:val="24"/>
          <w:lang w:val="en-IN"/>
        </w:rPr>
        <w:t xml:space="preserve">believed to </w:t>
      </w:r>
      <w:proofErr w:type="spellStart"/>
      <w:r w:rsidR="00B03D5C" w:rsidRPr="00AE4053">
        <w:rPr>
          <w:rFonts w:ascii="Book Antiqua" w:hAnsi="Book Antiqua"/>
          <w:color w:val="000000"/>
          <w:sz w:val="24"/>
          <w:szCs w:val="24"/>
          <w:lang w:val="en-IN"/>
        </w:rPr>
        <w:t>predic</w:t>
      </w:r>
      <w:proofErr w:type="spellEnd"/>
      <w:r w:rsidR="00353CD8" w:rsidRPr="00AE4053">
        <w:rPr>
          <w:rFonts w:ascii="Book Antiqua" w:hAnsi="Book Antiqua"/>
          <w:color w:val="000000"/>
          <w:sz w:val="24"/>
          <w:szCs w:val="24"/>
        </w:rPr>
        <w:t>t v</w:t>
      </w:r>
      <w:proofErr w:type="spellStart"/>
      <w:r w:rsidR="00244B67" w:rsidRPr="00AE4053">
        <w:rPr>
          <w:rFonts w:ascii="Book Antiqua" w:hAnsi="Book Antiqua"/>
          <w:color w:val="000000"/>
          <w:sz w:val="24"/>
          <w:szCs w:val="24"/>
          <w:lang w:val="en-IN"/>
        </w:rPr>
        <w:t>arious</w:t>
      </w:r>
      <w:proofErr w:type="spellEnd"/>
      <w:r w:rsidR="00244B67" w:rsidRPr="00AE4053">
        <w:rPr>
          <w:rFonts w:ascii="Book Antiqua" w:hAnsi="Book Antiqua"/>
          <w:color w:val="000000"/>
          <w:sz w:val="24"/>
          <w:szCs w:val="24"/>
          <w:lang w:val="en-IN"/>
        </w:rPr>
        <w:t xml:space="preserve"> compl</w:t>
      </w:r>
      <w:r w:rsidR="00160194">
        <w:rPr>
          <w:rFonts w:ascii="Book Antiqua" w:hAnsi="Book Antiqua"/>
          <w:color w:val="000000"/>
          <w:sz w:val="24"/>
          <w:szCs w:val="24"/>
          <w:lang w:val="en-IN"/>
        </w:rPr>
        <w:t>ications of cirrhosis</w:t>
      </w:r>
      <w:r w:rsidR="009D3736" w:rsidRPr="00AE4053">
        <w:rPr>
          <w:rFonts w:ascii="Book Antiqua" w:hAnsi="Book Antiqua"/>
          <w:color w:val="000000"/>
          <w:sz w:val="24"/>
          <w:szCs w:val="24"/>
          <w:lang w:val="en-IN"/>
        </w:rPr>
        <w:fldChar w:fldCharType="begin"/>
      </w:r>
      <w:r w:rsidR="008F2F86" w:rsidRPr="00AE4053">
        <w:rPr>
          <w:rFonts w:ascii="Book Antiqua" w:hAnsi="Book Antiqua"/>
          <w:color w:val="000000"/>
          <w:sz w:val="24"/>
          <w:szCs w:val="24"/>
          <w:lang w:val="en-IN"/>
        </w:rPr>
        <w:instrText xml:space="preserve"> ADDIN ZOTERO_ITEM CSL_CITATION {"citationID":"1j2dbg2cre","properties":{"formattedCitation":"{\\rtf \\super [2\\uc0\\u8211{}4]\\nosupersub{}}","plainCitation":"[2–4]"},"citationItems":[{"id":4100,"uris":["http://zotero.org/users/271015/items/CNC9HJHI"],"uri":["http://zotero.org/users/271015/items/CNC9HJHI"],"itemData":{"id":4100,"type":"article-journal","title":"Evolution in the understanding of the pathophysiological basis of portal hypertension: How changes in paradigm are leading to successful new treatments","container-title":"Journal of Hepatology","page":"S121-130","volume":"62","issue":"1 Suppl","source":"PubMed","abstract":"Among the common complication of cirrhosis portal hypertension witnessed a major improvement of prognosis during the past decades. Principally due to the introduction of rational treatments based on new pathophysiological paradigms (concepts of thought) developed in the 1980s. The best example being the use of non-selective beta-blockers and of vasopressin analogs, somatostatin, and its analogs. Further refinement in the knowledge of the molecular mechanisms involved in the regulation of both the splanchnic and hepatic circulation has led to the emergence of new treatments, which are based on evidence that show not only structural but also vasoactive components increase the hepatic vascular resistance, as well as of angiogenesis. This knowledge and future improvements will most likely result in more effective treatment of portal hypertension and effective prevention of its complications in early stages.","DOI":"10.1016/j.jhep.2015.01.003","ISSN":"1600-0641","note":"PMID: 25920081\nPMCID: PMC4519833","shortTitle":"Evolution in the understanding of the pathophysiological basis of portal hypertension","journalAbbreviation":"J. Hepatol.","language":"eng","author":[{"family":"Bosch","given":"Jaume"},{"family":"Groszmann","given":"Roberto J."},{"family":"Shah","given":"Vijay H."}],"issued":{"date-parts":[["2015",4]]}},"label":"page"},{"id":4098,"uris":["http://zotero.org/users/271015/items/MGJ4H3I8"],"uri":["http://zotero.org/users/271015/items/MGJ4H3I8"],"itemData":{"id":4098,"type":"article-journal","title":"Contemporary concepts of the medical therapy of portal hypertension under liver cirrhosis","container-title":"World Journal of Gastroenterology","page":"6117-6126","volume":"21","issue":"20","source":"PubMed","abstract":"Severe complications of liver cirrhosis are mostly related to portal hypertension. At the base of the pathogenesis of portal hypertension is the increase in hepatic vascular resistance to portal blood flow with subsequent development of hyperdynamic circulation, which, despite of the formation of collateral circulation, promotes progression of portal hypertension. An important role in its pathogenesis is played by the rearrangement of vascular bed and angiogenesis. As a result, strategic directions of the therapy of portal hypertension under liver cirrhosis include selectively decreasing hepatic vascular resistance with preserving or increasing portal blood flow, and correcting hyperdynamic circulation and pathological angiogenesis, while striving to reduce the hepatic venous pressure gradient to less than 12 mmHg or 20% of the baseline. Over the last years, substantial progress in understanding the pathophysiological mechanisms of hemodynamic disorders under liver cirrhosis has resulted in the development of new drugs for their correction. Although the majority of them have so far been investigated only in animal experiments, as well as at the molecular and cellular level, it might be expected that the introduction of the new methods in clinical practice will increase the efficacy of the conservative approach to the prophylaxis and treatment of portal hypertension complications. The purpose of the review is to describe the known methods of portal hypertension pharmacotherapy and discuss the drugs that may affect the basic pathogenetic mechanisms of its development.","DOI":"10.3748/wjg.v21.i20.6117","ISSN":"2219-2840","note":"PMID: 26034348\nPMCID: PMC4445090","journalAbbreviation":"World J. Gastroenterol.","language":"eng","author":[{"family":"Garbuzenko","given":"Dmitry Victorovich"}],"issued":{"date-parts":[["2015",5,28]]}},"label":"page"},{"id":4102,"uris":["http://zotero.org/users/271015/items/3PZV6B3U"],"uri":["http://zotero.org/users/271015/items/3PZV6B3U"],"itemData":{"id":4102,"type":"article-journal","title":"Portal hypertension: pathophysiology, diagnosis and management","container-title":"Internal Medicine Journal","page":"16-26","volume":"45","issue":"1","source":"PubMed","abstract":"Portal hypertension is an important complication of liver disease. As a result of elevated pressures within the portal vein several complications can arise, including the development of oesophageal and gastric varices, ascites, hepatic encephalopathy as well as complications secondary to circulatory dysfunction, such as hepatorenal syndrome, portopulmonary syndrome and hepatopulmonary syndrome. This review outlines the pathogenesis and diagnosis of portal hypertension and outlines the management of these various important clinical sequelae. The management of oesophageal and gastric varices is particularly important, and both the emergency management together with prophylactic management of this condition are described.","DOI":"10.1111/imj.12590","ISSN":"1445-5994","note":"PMID: 25230084","shortTitle":"Portal hypertension","journalAbbreviation":"Intern Med J","language":"eng","author":[{"family":"Bloom","given":"S."},{"family":"Kemp","given":"W."},{"family":"Lubel","given":"J."}],"issued":{"date-parts":[["2015",1]]}},"label":"page"}],"schema":"https://github.com/citation-style-language/schema/raw/master/csl-citation.json"} </w:instrText>
      </w:r>
      <w:r w:rsidR="009D3736" w:rsidRPr="00AE4053">
        <w:rPr>
          <w:rFonts w:ascii="Book Antiqua" w:hAnsi="Book Antiqua"/>
          <w:color w:val="000000"/>
          <w:sz w:val="24"/>
          <w:szCs w:val="24"/>
          <w:lang w:val="en-IN"/>
        </w:rPr>
        <w:fldChar w:fldCharType="separate"/>
      </w:r>
      <w:r w:rsidR="008F2F86" w:rsidRPr="00AE4053">
        <w:rPr>
          <w:rFonts w:ascii="Book Antiqua" w:hAnsi="Book Antiqua"/>
          <w:color w:val="000000"/>
          <w:sz w:val="24"/>
          <w:szCs w:val="24"/>
          <w:vertAlign w:val="superscript"/>
        </w:rPr>
        <w:t>[2</w:t>
      </w:r>
      <w:r w:rsidR="00160194">
        <w:rPr>
          <w:rFonts w:ascii="Book Antiqua" w:hAnsi="Book Antiqua"/>
          <w:color w:val="000000"/>
          <w:sz w:val="24"/>
          <w:szCs w:val="24"/>
          <w:vertAlign w:val="superscript"/>
        </w:rPr>
        <w:t>-</w:t>
      </w:r>
      <w:r w:rsidR="008F2F86" w:rsidRPr="00AE4053">
        <w:rPr>
          <w:rFonts w:ascii="Book Antiqua" w:hAnsi="Book Antiqua"/>
          <w:color w:val="000000"/>
          <w:sz w:val="24"/>
          <w:szCs w:val="24"/>
          <w:vertAlign w:val="superscript"/>
        </w:rPr>
        <w:t>4]</w:t>
      </w:r>
      <w:r w:rsidR="009D3736" w:rsidRPr="00AE4053">
        <w:rPr>
          <w:rFonts w:ascii="Book Antiqua" w:hAnsi="Book Antiqua"/>
          <w:color w:val="000000"/>
          <w:sz w:val="24"/>
          <w:szCs w:val="24"/>
          <w:lang w:val="en-IN"/>
        </w:rPr>
        <w:fldChar w:fldCharType="end"/>
      </w:r>
      <w:r w:rsidR="00232DFE" w:rsidRPr="00AE4053">
        <w:rPr>
          <w:rFonts w:ascii="Book Antiqua" w:hAnsi="Book Antiqua"/>
          <w:color w:val="000000"/>
          <w:sz w:val="24"/>
          <w:szCs w:val="24"/>
          <w:lang w:val="en-IN"/>
        </w:rPr>
        <w:t>.</w:t>
      </w:r>
      <w:r w:rsidR="00A82D61" w:rsidRPr="00AE4053">
        <w:rPr>
          <w:rFonts w:ascii="Book Antiqua" w:hAnsi="Book Antiqua"/>
          <w:sz w:val="24"/>
          <w:szCs w:val="24"/>
          <w:lang w:val="en-IN"/>
        </w:rPr>
        <w:t xml:space="preserve"> </w:t>
      </w:r>
      <w:r w:rsidR="00244B67" w:rsidRPr="00AE4053">
        <w:rPr>
          <w:rFonts w:ascii="Book Antiqua" w:hAnsi="Book Antiqua"/>
          <w:color w:val="141314"/>
          <w:sz w:val="24"/>
          <w:szCs w:val="24"/>
          <w:lang w:val="en-IN"/>
        </w:rPr>
        <w:t xml:space="preserve">Hepatic venous pressure gradient (HVPG) is the ideal method for </w:t>
      </w:r>
      <w:r w:rsidR="00514FBA" w:rsidRPr="00AE4053">
        <w:rPr>
          <w:rFonts w:ascii="Book Antiqua" w:hAnsi="Book Antiqua"/>
          <w:color w:val="141314"/>
          <w:sz w:val="24"/>
          <w:szCs w:val="24"/>
          <w:lang w:val="en-IN"/>
        </w:rPr>
        <w:t xml:space="preserve">the </w:t>
      </w:r>
      <w:r w:rsidR="00244B67" w:rsidRPr="00AE4053">
        <w:rPr>
          <w:rFonts w:ascii="Book Antiqua" w:hAnsi="Book Antiqua"/>
          <w:color w:val="141314"/>
          <w:sz w:val="24"/>
          <w:szCs w:val="24"/>
          <w:lang w:val="en-IN"/>
        </w:rPr>
        <w:t xml:space="preserve">measurement of </w:t>
      </w:r>
      <w:r w:rsidR="009A220E" w:rsidRPr="00AE4053">
        <w:rPr>
          <w:rFonts w:ascii="Book Antiqua" w:hAnsi="Book Antiqua"/>
          <w:color w:val="141314"/>
          <w:sz w:val="24"/>
          <w:szCs w:val="24"/>
          <w:lang w:val="en-IN"/>
        </w:rPr>
        <w:t>portal hypertension</w:t>
      </w:r>
      <w:r w:rsidR="00244B67" w:rsidRPr="00AE4053">
        <w:rPr>
          <w:rFonts w:ascii="Book Antiqua" w:hAnsi="Book Antiqua"/>
          <w:color w:val="141314"/>
          <w:sz w:val="24"/>
          <w:szCs w:val="24"/>
          <w:lang w:val="en-IN"/>
        </w:rPr>
        <w:t xml:space="preserve"> and </w:t>
      </w:r>
      <w:r w:rsidR="007842A8" w:rsidRPr="00AE4053">
        <w:rPr>
          <w:rFonts w:ascii="Book Antiqua" w:hAnsi="Book Antiqua"/>
          <w:color w:val="141314"/>
          <w:sz w:val="24"/>
          <w:szCs w:val="24"/>
        </w:rPr>
        <w:t xml:space="preserve">the </w:t>
      </w:r>
      <w:r w:rsidR="00160194">
        <w:rPr>
          <w:rFonts w:ascii="Book Antiqua" w:hAnsi="Book Antiqua"/>
          <w:color w:val="141314"/>
          <w:sz w:val="24"/>
          <w:szCs w:val="24"/>
          <w:lang w:val="en-IN"/>
        </w:rPr>
        <w:t>prediction of complications</w:t>
      </w:r>
      <w:r w:rsidR="00244B67" w:rsidRPr="00AE4053">
        <w:rPr>
          <w:rFonts w:ascii="Book Antiqua" w:hAnsi="Book Antiqua"/>
          <w:color w:val="141314"/>
          <w:sz w:val="24"/>
          <w:szCs w:val="24"/>
          <w:lang w:val="en-IN"/>
        </w:rPr>
        <w:fldChar w:fldCharType="begin"/>
      </w:r>
      <w:r w:rsidR="008F2F86" w:rsidRPr="00AE4053">
        <w:rPr>
          <w:rFonts w:ascii="Book Antiqua" w:hAnsi="Book Antiqua"/>
          <w:color w:val="141314"/>
          <w:sz w:val="24"/>
          <w:szCs w:val="24"/>
          <w:lang w:val="en-IN"/>
        </w:rPr>
        <w:instrText xml:space="preserve"> ADDIN ZOTERO_ITEM CSL_CITATION {"citationID":"KRIhdZnt","properties":{"formattedCitation":"{\\rtf \\super [5]\\nosupersub{}}","plainCitation":"[5]"},"citationItems":[{"id":3974,"uris":["http://zotero.org/users/271015/items/BFGVIGWJ"],"uri":["http://zotero.org/users/271015/items/BFGVIGWJ"],"itemData":{"id":3974,"type":"article-journal","title":"Prognostic value of hepatic venous pressure gradient measurements in alcoholic cirrhosis: a 10-year prospective study","container-title":"Gastroenterology","page":"701-709","volume":"111","issue":"3","source":"PubMed","abstract":"BACKGROUND &amp; AIMS: Different parameters are considered predictors of bleeding and death in alcoholic cirrhosis. The aim of this study was to establish the prognostic value of a prospective and sequential evaluation of portal pressure, variceal size, and Pugh's score in portal-hypertensive patients with alcoholic cirrhosis but no previous bleeding.\nMETHODS: Thirty patients were evaluated for 42 +/- 5 months (median, 39 months). After baseline studies, 30 patients underwent an additional evaluation (follow-up 1; median, 10 months), 20 patients a second evaluation (follow-up 2; median, 25 months), and 13 patients a third evaluation (follow-up 3; median, 45 months). No prophylactic treatment for bleeding was given. End points were bleeding and/or death.\nRESULTS: Seventeen patients died, and 10 patients bled. At follow-up 1, portal pressure decreased both in survivors and nonbleeders (from 18.7 +/- 1.0 to 15.2 +/- 1.3 mm Hg [P &lt; 0.01] and from 18.9 +/- 0.8 to 16.5 +/- 1.0 mm Hg [P &lt; 0.05], respectively). On multivariate analysis (Cox model), portal pressure at follow-up 1 had the best prognostic and independent value for both bleeding and survival. Subsequent studies showed similar trends.\nCONCLUSIONS: Measurements of portal pressure provide unique prognostic information for predicting portal hypertensive-related bleeding and mortality in patients with alcoholic cirrhosis.","ISSN":"0016-5085","note":"PMID: 8780575","shortTitle":"Prognostic value of hepatic venous pressure gradient measurements in alcoholic cirrhosis","journalAbbreviation":"Gastroenterology","language":"eng","author":[{"family":"Vorobioff","given":"J."},{"family":"Groszmann","given":"R. J."},{"family":"Picabea","given":"E."},{"family":"Gamen","given":"M."},{"family":"Villavicencio","given":"R."},{"family":"Bordato","given":"J."},{"family":"Morel","given":"I."},{"family":"Audano","given":"M."},{"family":"Tanno","given":"H."},{"family":"Lerner","given":"E."},{"family":"Passamonti","given":"M."}],"issued":{"date-parts":[["1996",9]]}}}],"schema":"https://github.com/citation-style-language/schema/raw/master/csl-citation.json"} </w:instrText>
      </w:r>
      <w:r w:rsidR="00244B67" w:rsidRPr="00AE4053">
        <w:rPr>
          <w:rFonts w:ascii="Book Antiqua" w:hAnsi="Book Antiqua"/>
          <w:color w:val="141314"/>
          <w:sz w:val="24"/>
          <w:szCs w:val="24"/>
          <w:lang w:val="en-IN"/>
        </w:rPr>
        <w:fldChar w:fldCharType="separate"/>
      </w:r>
      <w:r w:rsidR="008F2F86" w:rsidRPr="00AE4053">
        <w:rPr>
          <w:rFonts w:ascii="Book Antiqua" w:hAnsi="Book Antiqua"/>
          <w:color w:val="000000"/>
          <w:sz w:val="24"/>
          <w:szCs w:val="24"/>
          <w:vertAlign w:val="superscript"/>
        </w:rPr>
        <w:t>[5]</w:t>
      </w:r>
      <w:r w:rsidR="00244B67" w:rsidRPr="00AE4053">
        <w:rPr>
          <w:rFonts w:ascii="Book Antiqua" w:hAnsi="Book Antiqua"/>
          <w:color w:val="141314"/>
          <w:sz w:val="24"/>
          <w:szCs w:val="24"/>
          <w:lang w:val="en-IN"/>
        </w:rPr>
        <w:fldChar w:fldCharType="end"/>
      </w:r>
      <w:r w:rsidR="00244B67" w:rsidRPr="00AE4053">
        <w:rPr>
          <w:rFonts w:ascii="Book Antiqua" w:hAnsi="Book Antiqua"/>
          <w:color w:val="141314"/>
          <w:sz w:val="24"/>
          <w:szCs w:val="24"/>
          <w:lang w:val="en-IN"/>
        </w:rPr>
        <w:t xml:space="preserve">. </w:t>
      </w:r>
      <w:r w:rsidR="00733706" w:rsidRPr="00AE4053">
        <w:rPr>
          <w:rFonts w:ascii="Book Antiqua" w:hAnsi="Book Antiqua"/>
          <w:color w:val="141314"/>
          <w:sz w:val="24"/>
          <w:szCs w:val="24"/>
          <w:lang w:val="en-IN"/>
        </w:rPr>
        <w:t xml:space="preserve">Porto-systemic collaterals develop </w:t>
      </w:r>
      <w:r w:rsidR="00C52C12" w:rsidRPr="00AE4053">
        <w:rPr>
          <w:rFonts w:ascii="Book Antiqua" w:hAnsi="Book Antiqua"/>
          <w:color w:val="141314"/>
          <w:sz w:val="24"/>
          <w:szCs w:val="24"/>
          <w:lang w:val="en-IN"/>
        </w:rPr>
        <w:t>at</w:t>
      </w:r>
      <w:r w:rsidR="00733706" w:rsidRPr="00AE4053">
        <w:rPr>
          <w:rFonts w:ascii="Book Antiqua" w:hAnsi="Book Antiqua"/>
          <w:color w:val="141314"/>
          <w:sz w:val="24"/>
          <w:szCs w:val="24"/>
          <w:lang w:val="en-IN"/>
        </w:rPr>
        <w:t xml:space="preserve"> </w:t>
      </w:r>
      <w:r w:rsidR="00244B67" w:rsidRPr="00AE4053">
        <w:rPr>
          <w:rFonts w:ascii="Book Antiqua" w:hAnsi="Book Antiqua"/>
          <w:color w:val="141314"/>
          <w:sz w:val="24"/>
          <w:szCs w:val="24"/>
          <w:lang w:val="en-IN"/>
        </w:rPr>
        <w:t>HVPG</w:t>
      </w:r>
      <w:r w:rsidR="00733706" w:rsidRPr="00AE4053">
        <w:rPr>
          <w:rFonts w:ascii="Book Antiqua" w:hAnsi="Book Antiqua"/>
          <w:color w:val="141314"/>
          <w:sz w:val="24"/>
          <w:szCs w:val="24"/>
          <w:lang w:val="en-IN"/>
        </w:rPr>
        <w:t xml:space="preserve"> </w:t>
      </w:r>
      <w:r w:rsidR="00514FBA" w:rsidRPr="00AE4053">
        <w:rPr>
          <w:rFonts w:ascii="Book Antiqua" w:hAnsi="Book Antiqua"/>
          <w:color w:val="141314"/>
          <w:sz w:val="24"/>
          <w:szCs w:val="24"/>
          <w:lang w:val="en-IN"/>
        </w:rPr>
        <w:t xml:space="preserve">greater than </w:t>
      </w:r>
      <w:r w:rsidR="00733706" w:rsidRPr="00AE4053">
        <w:rPr>
          <w:rFonts w:ascii="Book Antiqua" w:hAnsi="Book Antiqua"/>
          <w:color w:val="141314"/>
          <w:sz w:val="24"/>
          <w:szCs w:val="24"/>
          <w:lang w:val="en-IN"/>
        </w:rPr>
        <w:t>10</w:t>
      </w:r>
      <w:r w:rsidR="00B37AFA" w:rsidRPr="00AE4053">
        <w:rPr>
          <w:rFonts w:ascii="Book Antiqua" w:hAnsi="Book Antiqua"/>
          <w:color w:val="141314"/>
          <w:sz w:val="24"/>
          <w:szCs w:val="24"/>
          <w:lang w:val="en-IN"/>
        </w:rPr>
        <w:t xml:space="preserve"> </w:t>
      </w:r>
      <w:r w:rsidR="00733706" w:rsidRPr="00AE4053">
        <w:rPr>
          <w:rFonts w:ascii="Book Antiqua" w:hAnsi="Book Antiqua"/>
          <w:color w:val="141314"/>
          <w:sz w:val="24"/>
          <w:szCs w:val="24"/>
          <w:lang w:val="en-IN"/>
        </w:rPr>
        <w:t>mmHg</w:t>
      </w:r>
      <w:r w:rsidR="00346FD1" w:rsidRPr="00AE4053">
        <w:rPr>
          <w:rFonts w:ascii="Book Antiqua" w:hAnsi="Book Antiqua"/>
          <w:color w:val="141314"/>
          <w:sz w:val="24"/>
          <w:szCs w:val="24"/>
          <w:lang w:val="en-IN"/>
        </w:rPr>
        <w:fldChar w:fldCharType="begin"/>
      </w:r>
      <w:r w:rsidR="008F2F86" w:rsidRPr="00AE4053">
        <w:rPr>
          <w:rFonts w:ascii="Book Antiqua" w:hAnsi="Book Antiqua"/>
          <w:color w:val="141314"/>
          <w:sz w:val="24"/>
          <w:szCs w:val="24"/>
          <w:lang w:val="en-IN"/>
        </w:rPr>
        <w:instrText xml:space="preserve"> ADDIN ZOTERO_ITEM CSL_CITATION {"citationID":"QaXD1nfQ","properties":{"formattedCitation":"{\\rtf \\super [6]\\nosupersub{}}","plainCitation":"[6]"},"citationItems":[{"id":3934,"uris":["http://zotero.org/users/271015/items/XHZKIWUP"],"uri":["http://zotero.org/users/271015/items/XHZKIWUP"],"itemData":{"id":3934,"type":"article-journal","title":"Portal pressure, presence of gastroesophageal varices and variceal bleeding","container-title":"Hepatology (Baltimore, Md.)","page":"419-424","volume":"5","issue":"3","source":"PubMed","abstract":"This study was performed to examine the relationships between portal pressure measurements and the presence of esophagogastric varices, the size of varices and the occurrence of hemorrhage from varices in 93 patients with alcoholic cirrhosis, using standardized measurements of portal pressure by hepatic vein catheterization. The mean hepatic vein pressure gradient (HVPG) was significantly higher in 49 patients who had bled from varices than in 44 cirrhotic patients who had not (20.4 +/- 5.1 vs. 16.0 +/- 5.2; p less than 0.001). None of the 49 patients who had bled from varices had an HVPG less than 12 mm Hg. Among the 87 patients who had been examined by endoscopy for varices, all 72 with varices had an HVPG greater than 12 mm Hg. Six of 15 cirrhotic patients without varices had HVPG less than 12 mm Hg. The mean HVPG in the 15 patients without varices (15.1 +/- 6.8 mm Hg) was lower than the 72 patients with varices (19.3 +/- 4.8 mm Hg; p less than 0.01). Of the 72 patients with varices, 40 had large varices, 28 had small varices, and in four patients variceal size could not be assessed adequately. The mean HVPG was similar in the patients with large or small varices (19.8 +/- 4.8 vs. 18.3 +/- 5.0 mm Hg; p greater than 0.10). There was a positive relationship between the presence of large varices and the occurrence of bleeding from varices.(ABSTRACT TRUNCATED AT 250 WORDS)","ISSN":"0270-9139","note":"PMID: 3873388","journalAbbreviation":"Hepatology","language":"eng","author":[{"family":"Garcia-Tsao","given":"G."},{"family":"Groszmann","given":"R. J."},{"family":"Fisher","given":"R. L."},{"family":"Conn","given":"H. O."},{"family":"Atterbury","given":"C. E."},{"family":"Glickman","given":"M."}],"issued":{"date-parts":[["1985",6]]}}}],"schema":"https://github.com/citation-style-language/schema/raw/master/csl-citation.json"} </w:instrText>
      </w:r>
      <w:r w:rsidR="00346FD1" w:rsidRPr="00AE4053">
        <w:rPr>
          <w:rFonts w:ascii="Book Antiqua" w:hAnsi="Book Antiqua"/>
          <w:color w:val="141314"/>
          <w:sz w:val="24"/>
          <w:szCs w:val="24"/>
          <w:lang w:val="en-IN"/>
        </w:rPr>
        <w:fldChar w:fldCharType="separate"/>
      </w:r>
      <w:r w:rsidR="008F2F86" w:rsidRPr="00AE4053">
        <w:rPr>
          <w:rFonts w:ascii="Book Antiqua" w:hAnsi="Book Antiqua"/>
          <w:color w:val="000000"/>
          <w:sz w:val="24"/>
          <w:szCs w:val="24"/>
          <w:vertAlign w:val="superscript"/>
        </w:rPr>
        <w:t>[6]</w:t>
      </w:r>
      <w:r w:rsidR="00346FD1" w:rsidRPr="00AE4053">
        <w:rPr>
          <w:rFonts w:ascii="Book Antiqua" w:hAnsi="Book Antiqua"/>
          <w:color w:val="141314"/>
          <w:sz w:val="24"/>
          <w:szCs w:val="24"/>
          <w:lang w:val="en-IN"/>
        </w:rPr>
        <w:fldChar w:fldCharType="end"/>
      </w:r>
      <w:r w:rsidR="00733706" w:rsidRPr="00AE4053">
        <w:rPr>
          <w:rFonts w:ascii="Book Antiqua" w:hAnsi="Book Antiqua"/>
          <w:color w:val="141314"/>
          <w:sz w:val="24"/>
          <w:szCs w:val="24"/>
          <w:lang w:val="en-IN"/>
        </w:rPr>
        <w:t xml:space="preserve">, and </w:t>
      </w:r>
      <w:r w:rsidR="003C020A" w:rsidRPr="00AE4053">
        <w:rPr>
          <w:rFonts w:ascii="Book Antiqua" w:hAnsi="Book Antiqua"/>
          <w:color w:val="141314"/>
          <w:sz w:val="24"/>
          <w:szCs w:val="24"/>
          <w:lang w:val="en-IN"/>
        </w:rPr>
        <w:t xml:space="preserve">variceal </w:t>
      </w:r>
      <w:r w:rsidR="00733706" w:rsidRPr="00AE4053">
        <w:rPr>
          <w:rFonts w:ascii="Book Antiqua" w:hAnsi="Book Antiqua"/>
          <w:color w:val="141314"/>
          <w:sz w:val="24"/>
          <w:szCs w:val="24"/>
          <w:lang w:val="en-IN"/>
        </w:rPr>
        <w:t xml:space="preserve">bleeding </w:t>
      </w:r>
      <w:r w:rsidR="00D65382" w:rsidRPr="00AE4053">
        <w:rPr>
          <w:rFonts w:ascii="Book Antiqua" w:hAnsi="Book Antiqua"/>
          <w:color w:val="141314"/>
          <w:sz w:val="24"/>
          <w:szCs w:val="24"/>
          <w:lang w:val="en-IN"/>
        </w:rPr>
        <w:t xml:space="preserve">could occur </w:t>
      </w:r>
      <w:r w:rsidR="00733706" w:rsidRPr="00AE4053">
        <w:rPr>
          <w:rFonts w:ascii="Book Antiqua" w:hAnsi="Book Antiqua"/>
          <w:color w:val="141314"/>
          <w:sz w:val="24"/>
          <w:szCs w:val="24"/>
          <w:lang w:val="en-IN"/>
        </w:rPr>
        <w:t xml:space="preserve">from varices when </w:t>
      </w:r>
      <w:r w:rsidR="00D65382" w:rsidRPr="00AE4053">
        <w:rPr>
          <w:rFonts w:ascii="Book Antiqua" w:hAnsi="Book Antiqua"/>
          <w:color w:val="141314"/>
          <w:sz w:val="24"/>
          <w:szCs w:val="24"/>
          <w:lang w:val="en-IN"/>
        </w:rPr>
        <w:t xml:space="preserve">the </w:t>
      </w:r>
      <w:r w:rsidR="00733706" w:rsidRPr="00AE4053">
        <w:rPr>
          <w:rFonts w:ascii="Book Antiqua" w:hAnsi="Book Antiqua"/>
          <w:color w:val="141314"/>
          <w:sz w:val="24"/>
          <w:szCs w:val="24"/>
          <w:lang w:val="en-IN"/>
        </w:rPr>
        <w:t xml:space="preserve">pressure </w:t>
      </w:r>
      <w:r w:rsidR="00514FBA" w:rsidRPr="00AE4053">
        <w:rPr>
          <w:rFonts w:ascii="Book Antiqua" w:hAnsi="Book Antiqua"/>
          <w:color w:val="141314"/>
          <w:sz w:val="24"/>
          <w:szCs w:val="24"/>
          <w:lang w:val="en-IN"/>
        </w:rPr>
        <w:t>increases to greater than</w:t>
      </w:r>
      <w:r w:rsidR="00160194">
        <w:rPr>
          <w:rFonts w:ascii="Book Antiqua" w:hAnsi="Book Antiqua"/>
          <w:color w:val="141314"/>
          <w:sz w:val="24"/>
          <w:szCs w:val="24"/>
          <w:lang w:val="en-IN"/>
        </w:rPr>
        <w:t xml:space="preserve"> 12 mm</w:t>
      </w:r>
      <w:r w:rsidR="00733706" w:rsidRPr="00AE4053">
        <w:rPr>
          <w:rFonts w:ascii="Book Antiqua" w:hAnsi="Book Antiqua"/>
          <w:color w:val="141314"/>
          <w:sz w:val="24"/>
          <w:szCs w:val="24"/>
          <w:lang w:val="en-IN"/>
        </w:rPr>
        <w:t>Hg</w:t>
      </w:r>
      <w:r w:rsidR="00346FD1" w:rsidRPr="00AE4053">
        <w:rPr>
          <w:rFonts w:ascii="Book Antiqua" w:hAnsi="Book Antiqua"/>
          <w:color w:val="141314"/>
          <w:sz w:val="24"/>
          <w:szCs w:val="24"/>
          <w:lang w:val="en-IN"/>
        </w:rPr>
        <w:fldChar w:fldCharType="begin"/>
      </w:r>
      <w:r w:rsidR="008F2F86" w:rsidRPr="00AE4053">
        <w:rPr>
          <w:rFonts w:ascii="Book Antiqua" w:hAnsi="Book Antiqua"/>
          <w:color w:val="141314"/>
          <w:sz w:val="24"/>
          <w:szCs w:val="24"/>
          <w:lang w:val="en-IN"/>
        </w:rPr>
        <w:instrText xml:space="preserve"> ADDIN ZOTERO_ITEM CSL_CITATION {"citationID":"MJ0jIuOl","properties":{"formattedCitation":"{\\rtf \\super [7]\\nosupersub{}}","plainCitation":"[7]"},"citationItems":[{"id":4104,"uris":["http://zotero.org/users/271015/items/G7IMQ4ZC"],"uri":["http://zotero.org/users/271015/items/G7IMQ4ZC"],"itemData":{"id":4104,"type":"article-journal","title":"Hemodynamic evaluation of patients with intrahepatic portal hypertension. Relationship between bleeding varices and the portohepatic gradient","container-title":"Gastroenterology","page":"1297-1300","volume":"69","issue":"6","source":"PubMed","abstract":"Between January 1970 and December 1974, 389 patients presenting an upper gastrointestinal hemorrhage had an emergency fiberoptic esophagogastroscopy at the time of bleeding. In 103 cases, esophageal and/or gastric varices were visualized and in 46 of these cases, bleeding originiated from varices. Hemodynamic data was available in 19 cases of intrahepatic portal hypertension who had bled from varices. Combined hepatic and umbilicoportal catherterization was perform in 17 cases whereas only hepatic vein catherterization was possible in 2. The portohepatic gradient (FPVP-FHVP or WHVP-FHVP) was utilized as an index of portal hypertension. In the 19 patients studied, the portohepatic gradient ranged from 12 to 24.5 mm Hg with a mean of 18.4 mm Hg; only one patient had a portohepatic gradient of less than 14.5 mm Hg. The present data strongly suggest that in intrahepatic portal hypertension, bleeding varices are observed only if significant portal hypertension exists. Hemodynamic studies may thus be helpful in evaluating bleeding patients with varices particularly when the origin of the bleeding cannot be determined at endoscopy. The finding of a portohepatic gradient of less than 12 mm Hg would strongly suggest that varices were not the source of bleeding and in these cases, shunt surgery should not be considered.","ISSN":"0016-5085","note":"PMID: 1081459","journalAbbreviation":"Gastroenterology","language":"eng","author":[{"family":"Viallet","given":"A."},{"family":"Marleau","given":"D."},{"family":"Huet","given":"M."},{"family":"Martin","given":"F."},{"family":"Farley","given":"A."},{"family":"Villeneuve","given":"J. P."},{"family":"Lavoie","given":"P."}],"issued":{"date-parts":[["1975",12]]}}}],"schema":"https://github.com/citation-style-language/schema/raw/master/csl-citation.json"} </w:instrText>
      </w:r>
      <w:r w:rsidR="00346FD1" w:rsidRPr="00AE4053">
        <w:rPr>
          <w:rFonts w:ascii="Book Antiqua" w:hAnsi="Book Antiqua"/>
          <w:color w:val="141314"/>
          <w:sz w:val="24"/>
          <w:szCs w:val="24"/>
          <w:lang w:val="en-IN"/>
        </w:rPr>
        <w:fldChar w:fldCharType="separate"/>
      </w:r>
      <w:r w:rsidR="008F2F86" w:rsidRPr="00AE4053">
        <w:rPr>
          <w:rFonts w:ascii="Book Antiqua" w:hAnsi="Book Antiqua"/>
          <w:color w:val="000000"/>
          <w:sz w:val="24"/>
          <w:szCs w:val="24"/>
          <w:vertAlign w:val="superscript"/>
        </w:rPr>
        <w:t>[7]</w:t>
      </w:r>
      <w:r w:rsidR="00346FD1" w:rsidRPr="00AE4053">
        <w:rPr>
          <w:rFonts w:ascii="Book Antiqua" w:hAnsi="Book Antiqua"/>
          <w:color w:val="141314"/>
          <w:sz w:val="24"/>
          <w:szCs w:val="24"/>
          <w:lang w:val="en-IN"/>
        </w:rPr>
        <w:fldChar w:fldCharType="end"/>
      </w:r>
      <w:r w:rsidR="00733706" w:rsidRPr="00AE4053">
        <w:rPr>
          <w:rFonts w:ascii="Book Antiqua" w:hAnsi="Book Antiqua"/>
          <w:color w:val="141314"/>
          <w:sz w:val="24"/>
          <w:szCs w:val="24"/>
          <w:lang w:val="en-IN"/>
        </w:rPr>
        <w:t xml:space="preserve">. </w:t>
      </w:r>
      <w:r w:rsidR="00D139E4" w:rsidRPr="00AE4053">
        <w:rPr>
          <w:rFonts w:ascii="Book Antiqua" w:hAnsi="Book Antiqua"/>
          <w:color w:val="141314"/>
          <w:sz w:val="24"/>
          <w:szCs w:val="24"/>
          <w:lang w:val="en-IN"/>
        </w:rPr>
        <w:t>A</w:t>
      </w:r>
      <w:r w:rsidR="00244B67" w:rsidRPr="00AE4053">
        <w:rPr>
          <w:rFonts w:ascii="Book Antiqua" w:hAnsi="Book Antiqua"/>
          <w:color w:val="141314"/>
          <w:sz w:val="24"/>
          <w:szCs w:val="24"/>
          <w:lang w:val="en-IN"/>
        </w:rPr>
        <w:t>n</w:t>
      </w:r>
      <w:r w:rsidR="00D65382" w:rsidRPr="00AE4053">
        <w:rPr>
          <w:rFonts w:ascii="Book Antiqua" w:hAnsi="Book Antiqua"/>
          <w:color w:val="141314"/>
          <w:sz w:val="24"/>
          <w:szCs w:val="24"/>
          <w:lang w:val="en-IN"/>
        </w:rPr>
        <w:t xml:space="preserve"> </w:t>
      </w:r>
      <w:r w:rsidR="00244B67" w:rsidRPr="00AE4053">
        <w:rPr>
          <w:rFonts w:ascii="Book Antiqua" w:hAnsi="Book Antiqua"/>
          <w:color w:val="141314"/>
          <w:sz w:val="24"/>
          <w:szCs w:val="24"/>
          <w:lang w:val="en-IN"/>
        </w:rPr>
        <w:t>HVPG</w:t>
      </w:r>
      <w:r w:rsidR="00733706" w:rsidRPr="00AE4053">
        <w:rPr>
          <w:rFonts w:ascii="Book Antiqua" w:hAnsi="Book Antiqua"/>
          <w:color w:val="141314"/>
          <w:sz w:val="24"/>
          <w:szCs w:val="24"/>
          <w:lang w:val="en-IN"/>
        </w:rPr>
        <w:t xml:space="preserve"> </w:t>
      </w:r>
      <w:r w:rsidR="00514FBA" w:rsidRPr="00AE4053">
        <w:rPr>
          <w:rFonts w:ascii="Book Antiqua" w:hAnsi="Book Antiqua"/>
          <w:color w:val="141314"/>
          <w:sz w:val="24"/>
          <w:szCs w:val="24"/>
          <w:lang w:val="en-IN"/>
        </w:rPr>
        <w:t xml:space="preserve">greater than </w:t>
      </w:r>
      <w:r w:rsidR="00160194">
        <w:rPr>
          <w:rFonts w:ascii="Book Antiqua" w:hAnsi="Book Antiqua"/>
          <w:color w:val="141314"/>
          <w:sz w:val="24"/>
          <w:szCs w:val="24"/>
          <w:lang w:val="en-IN"/>
        </w:rPr>
        <w:t>10 mm</w:t>
      </w:r>
      <w:r w:rsidR="00733706" w:rsidRPr="00AE4053">
        <w:rPr>
          <w:rFonts w:ascii="Book Antiqua" w:hAnsi="Book Antiqua"/>
          <w:color w:val="141314"/>
          <w:sz w:val="24"/>
          <w:szCs w:val="24"/>
          <w:lang w:val="en-IN"/>
        </w:rPr>
        <w:t xml:space="preserve">Hg </w:t>
      </w:r>
      <w:r w:rsidR="00D139E4" w:rsidRPr="00AE4053">
        <w:rPr>
          <w:rFonts w:ascii="Book Antiqua" w:hAnsi="Book Antiqua"/>
          <w:color w:val="141314"/>
          <w:sz w:val="24"/>
          <w:szCs w:val="24"/>
          <w:lang w:val="en-IN"/>
        </w:rPr>
        <w:t>i</w:t>
      </w:r>
      <w:r w:rsidR="00733706" w:rsidRPr="00AE4053">
        <w:rPr>
          <w:rFonts w:ascii="Book Antiqua" w:hAnsi="Book Antiqua"/>
          <w:color w:val="141314"/>
          <w:sz w:val="24"/>
          <w:szCs w:val="24"/>
          <w:lang w:val="en-IN"/>
        </w:rPr>
        <w:t xml:space="preserve">s </w:t>
      </w:r>
      <w:r w:rsidR="007842A8" w:rsidRPr="00AE4053">
        <w:rPr>
          <w:rFonts w:ascii="Book Antiqua" w:hAnsi="Book Antiqua"/>
          <w:color w:val="141314"/>
          <w:sz w:val="24"/>
          <w:szCs w:val="24"/>
        </w:rPr>
        <w:t>used</w:t>
      </w:r>
      <w:r w:rsidR="007842A8" w:rsidRPr="00AE4053">
        <w:rPr>
          <w:rFonts w:ascii="Book Antiqua" w:hAnsi="Book Antiqua"/>
          <w:color w:val="141314"/>
          <w:sz w:val="24"/>
          <w:szCs w:val="24"/>
          <w:lang w:val="en-IN"/>
        </w:rPr>
        <w:t xml:space="preserve"> </w:t>
      </w:r>
      <w:r w:rsidR="00733706" w:rsidRPr="00AE4053">
        <w:rPr>
          <w:rFonts w:ascii="Book Antiqua" w:hAnsi="Book Antiqua"/>
          <w:color w:val="141314"/>
          <w:sz w:val="24"/>
          <w:szCs w:val="24"/>
          <w:lang w:val="en-IN"/>
        </w:rPr>
        <w:t>as the cut</w:t>
      </w:r>
      <w:r w:rsidR="00563278" w:rsidRPr="00AE4053">
        <w:rPr>
          <w:rFonts w:ascii="Book Antiqua" w:hAnsi="Book Antiqua"/>
          <w:color w:val="141314"/>
          <w:sz w:val="24"/>
          <w:szCs w:val="24"/>
          <w:lang w:val="en-IN"/>
        </w:rPr>
        <w:t>-</w:t>
      </w:r>
      <w:r w:rsidR="00733706" w:rsidRPr="00AE4053">
        <w:rPr>
          <w:rFonts w:ascii="Book Antiqua" w:hAnsi="Book Antiqua"/>
          <w:color w:val="141314"/>
          <w:sz w:val="24"/>
          <w:szCs w:val="24"/>
          <w:lang w:val="en-IN"/>
        </w:rPr>
        <w:t xml:space="preserve">off for </w:t>
      </w:r>
      <w:r w:rsidR="00244B67" w:rsidRPr="00AE4053">
        <w:rPr>
          <w:rFonts w:ascii="Book Antiqua" w:hAnsi="Book Antiqua"/>
          <w:color w:val="141314"/>
          <w:sz w:val="24"/>
          <w:szCs w:val="24"/>
          <w:lang w:val="en-IN"/>
        </w:rPr>
        <w:t>‘</w:t>
      </w:r>
      <w:r w:rsidR="00733706" w:rsidRPr="00AE4053">
        <w:rPr>
          <w:rFonts w:ascii="Book Antiqua" w:hAnsi="Book Antiqua"/>
          <w:color w:val="141314"/>
          <w:sz w:val="24"/>
          <w:szCs w:val="24"/>
          <w:lang w:val="en-IN"/>
        </w:rPr>
        <w:t>clinically significant portal hypertension</w:t>
      </w:r>
      <w:r w:rsidR="00244B67" w:rsidRPr="00AE4053">
        <w:rPr>
          <w:rFonts w:ascii="Book Antiqua" w:hAnsi="Book Antiqua"/>
          <w:color w:val="141314"/>
          <w:sz w:val="24"/>
          <w:szCs w:val="24"/>
          <w:lang w:val="en-IN"/>
        </w:rPr>
        <w:t>’ (CSPH)</w:t>
      </w:r>
      <w:r w:rsidR="00D139E4" w:rsidRPr="00AE4053">
        <w:rPr>
          <w:rFonts w:ascii="Book Antiqua" w:hAnsi="Book Antiqua"/>
          <w:color w:val="141314"/>
          <w:sz w:val="24"/>
          <w:szCs w:val="24"/>
          <w:lang w:val="en-IN"/>
        </w:rPr>
        <w:fldChar w:fldCharType="begin"/>
      </w:r>
      <w:r w:rsidR="008F2F86" w:rsidRPr="00AE4053">
        <w:rPr>
          <w:rFonts w:ascii="Book Antiqua" w:hAnsi="Book Antiqua"/>
          <w:color w:val="141314"/>
          <w:sz w:val="24"/>
          <w:szCs w:val="24"/>
          <w:lang w:val="en-IN"/>
        </w:rPr>
        <w:instrText xml:space="preserve"> ADDIN ZOTERO_ITEM CSL_CITATION {"citationID":"rbStMyej","properties":{"formattedCitation":"{\\rtf \\super [8]\\nosupersub{}}","plainCitation":"[8]"},"citationItems":[{"id":4106,"uris":["http://zotero.org/users/271015/items/UKBJ3A2J"],"uri":["http://zotero.org/users/271015/items/UKBJ3A2J"],"itemData":{"id":4106,"type":"article-journal","title":"Updating consensus in portal hypertension: report of the Baveno III Consensus Workshop on definitions, methodology and therapeutic strategies in portal hypertension","container-title":"Journal of Hepatology","page":"846-852","volume":"33","issue":"5","source":"PubMed","ISSN":"0168-8278","note":"PMID: 11097497","shortTitle":"Updating consensus in portal hypertension","journalAbbreviation":"J. Hepatol.","language":"eng","author":[{"family":"Franchis","given":"R.","non-dropping-particle":"de"}],"issued":{"date-parts":[["2000",11]]}}}],"schema":"https://github.com/citation-style-language/schema/raw/master/csl-citation.json"} </w:instrText>
      </w:r>
      <w:r w:rsidR="00D139E4" w:rsidRPr="00AE4053">
        <w:rPr>
          <w:rFonts w:ascii="Book Antiqua" w:hAnsi="Book Antiqua"/>
          <w:color w:val="141314"/>
          <w:sz w:val="24"/>
          <w:szCs w:val="24"/>
          <w:lang w:val="en-IN"/>
        </w:rPr>
        <w:fldChar w:fldCharType="separate"/>
      </w:r>
      <w:r w:rsidR="008F2F86" w:rsidRPr="00AE4053">
        <w:rPr>
          <w:rFonts w:ascii="Book Antiqua" w:hAnsi="Book Antiqua"/>
          <w:color w:val="000000"/>
          <w:sz w:val="24"/>
          <w:szCs w:val="24"/>
          <w:vertAlign w:val="superscript"/>
        </w:rPr>
        <w:t>[8]</w:t>
      </w:r>
      <w:r w:rsidR="00D139E4" w:rsidRPr="00AE4053">
        <w:rPr>
          <w:rFonts w:ascii="Book Antiqua" w:hAnsi="Book Antiqua"/>
          <w:color w:val="141314"/>
          <w:sz w:val="24"/>
          <w:szCs w:val="24"/>
          <w:lang w:val="en-IN"/>
        </w:rPr>
        <w:fldChar w:fldCharType="end"/>
      </w:r>
      <w:r w:rsidR="00733706" w:rsidRPr="00AE4053">
        <w:rPr>
          <w:rFonts w:ascii="Book Antiqua" w:hAnsi="Book Antiqua"/>
          <w:color w:val="141314"/>
          <w:sz w:val="24"/>
          <w:szCs w:val="24"/>
          <w:lang w:val="en-IN"/>
        </w:rPr>
        <w:t xml:space="preserve">. </w:t>
      </w:r>
      <w:r w:rsidR="008C5A8B" w:rsidRPr="00AE4053">
        <w:rPr>
          <w:rFonts w:ascii="Book Antiqua" w:hAnsi="Book Antiqua"/>
          <w:color w:val="141314"/>
          <w:sz w:val="24"/>
          <w:szCs w:val="24"/>
          <w:lang w:val="en-IN"/>
        </w:rPr>
        <w:t>However</w:t>
      </w:r>
      <w:r w:rsidR="00D65382" w:rsidRPr="00AE4053">
        <w:rPr>
          <w:rFonts w:ascii="Book Antiqua" w:hAnsi="Book Antiqua"/>
          <w:color w:val="141314"/>
          <w:sz w:val="24"/>
          <w:szCs w:val="24"/>
          <w:lang w:val="en-IN"/>
        </w:rPr>
        <w:t>,</w:t>
      </w:r>
      <w:r w:rsidR="008C5A8B" w:rsidRPr="00AE4053">
        <w:rPr>
          <w:rFonts w:ascii="Book Antiqua" w:hAnsi="Book Antiqua"/>
          <w:color w:val="141314"/>
          <w:sz w:val="24"/>
          <w:szCs w:val="24"/>
          <w:lang w:val="en-IN"/>
        </w:rPr>
        <w:t xml:space="preserve"> HVPG </w:t>
      </w:r>
      <w:r w:rsidR="003C020A" w:rsidRPr="00AE4053">
        <w:rPr>
          <w:rFonts w:ascii="Book Antiqua" w:hAnsi="Book Antiqua"/>
          <w:color w:val="141314"/>
          <w:sz w:val="24"/>
          <w:szCs w:val="24"/>
          <w:lang w:val="en-IN"/>
        </w:rPr>
        <w:t>is</w:t>
      </w:r>
      <w:r w:rsidR="008C5A8B" w:rsidRPr="00AE4053">
        <w:rPr>
          <w:rFonts w:ascii="Book Antiqua" w:hAnsi="Book Antiqua"/>
          <w:color w:val="141314"/>
          <w:sz w:val="24"/>
          <w:szCs w:val="24"/>
          <w:lang w:val="en-IN"/>
        </w:rPr>
        <w:t xml:space="preserve"> </w:t>
      </w:r>
      <w:r w:rsidR="003C020A" w:rsidRPr="00AE4053">
        <w:rPr>
          <w:rFonts w:ascii="Book Antiqua" w:hAnsi="Book Antiqua"/>
          <w:color w:val="141314"/>
          <w:sz w:val="24"/>
          <w:szCs w:val="24"/>
          <w:lang w:val="en-IN"/>
        </w:rPr>
        <w:t>an invasive procedure</w:t>
      </w:r>
      <w:r w:rsidR="00BD7A56" w:rsidRPr="00AE4053">
        <w:rPr>
          <w:rFonts w:ascii="Book Antiqua" w:hAnsi="Book Antiqua"/>
          <w:color w:val="141314"/>
          <w:sz w:val="24"/>
          <w:szCs w:val="24"/>
          <w:lang w:val="en-IN"/>
        </w:rPr>
        <w:t xml:space="preserve"> that </w:t>
      </w:r>
      <w:r w:rsidR="00514FBA" w:rsidRPr="00AE4053">
        <w:rPr>
          <w:rFonts w:ascii="Book Antiqua" w:hAnsi="Book Antiqua"/>
          <w:color w:val="141314"/>
          <w:sz w:val="24"/>
          <w:szCs w:val="24"/>
          <w:lang w:val="en-IN"/>
        </w:rPr>
        <w:t xml:space="preserve">requires </w:t>
      </w:r>
      <w:r w:rsidR="008C5A8B" w:rsidRPr="00AE4053">
        <w:rPr>
          <w:rFonts w:ascii="Book Antiqua" w:hAnsi="Book Antiqua"/>
          <w:color w:val="141314"/>
          <w:sz w:val="24"/>
          <w:szCs w:val="24"/>
          <w:lang w:val="en-IN"/>
        </w:rPr>
        <w:t xml:space="preserve">care and training. </w:t>
      </w:r>
    </w:p>
    <w:p w14:paraId="04287101" w14:textId="683CD4A4" w:rsidR="00705A5A" w:rsidRPr="00AE4053" w:rsidRDefault="00D139E4" w:rsidP="00160194">
      <w:pPr>
        <w:snapToGrid w:val="0"/>
        <w:spacing w:after="0" w:line="360" w:lineRule="auto"/>
        <w:ind w:firstLineChars="100" w:firstLine="240"/>
        <w:jc w:val="both"/>
        <w:rPr>
          <w:rFonts w:ascii="Book Antiqua" w:eastAsiaTheme="majorEastAsia" w:hAnsi="Book Antiqua" w:cstheme="majorBidi"/>
          <w:b/>
          <w:bCs/>
          <w:color w:val="345A8A" w:themeColor="accent1" w:themeShade="B5"/>
          <w:sz w:val="24"/>
          <w:szCs w:val="24"/>
          <w:lang w:val="en-IN"/>
        </w:rPr>
      </w:pPr>
      <w:r w:rsidRPr="00AE4053">
        <w:rPr>
          <w:rFonts w:ascii="Book Antiqua" w:hAnsi="Book Antiqua"/>
          <w:color w:val="141314"/>
          <w:sz w:val="24"/>
          <w:szCs w:val="24"/>
          <w:lang w:val="en-IN"/>
        </w:rPr>
        <w:t>Many</w:t>
      </w:r>
      <w:r w:rsidRPr="00AE4053">
        <w:rPr>
          <w:rFonts w:ascii="Book Antiqua" w:hAnsi="Book Antiqua"/>
          <w:color w:val="231F20"/>
          <w:sz w:val="24"/>
          <w:szCs w:val="24"/>
          <w:lang w:val="en-IN"/>
        </w:rPr>
        <w:t xml:space="preserve"> non-invasive direct and indirect tests have been reported</w:t>
      </w:r>
      <w:r w:rsidR="00514FBA" w:rsidRPr="00AE4053">
        <w:rPr>
          <w:rFonts w:ascii="Book Antiqua" w:hAnsi="Book Antiqua"/>
          <w:color w:val="231F20"/>
          <w:sz w:val="24"/>
          <w:szCs w:val="24"/>
          <w:lang w:val="en-IN"/>
        </w:rPr>
        <w:t xml:space="preserve"> that</w:t>
      </w:r>
      <w:r w:rsidRPr="00AE4053">
        <w:rPr>
          <w:rFonts w:ascii="Book Antiqua" w:hAnsi="Book Antiqua"/>
          <w:color w:val="231F20"/>
          <w:sz w:val="24"/>
          <w:szCs w:val="24"/>
          <w:lang w:val="en-IN"/>
        </w:rPr>
        <w:t xml:space="preserve"> are able to predict the presence of CSPH in patients with cirrhosis with considerable accuracy. </w:t>
      </w:r>
      <w:r w:rsidR="001B74EA" w:rsidRPr="00AE4053">
        <w:rPr>
          <w:rFonts w:ascii="Book Antiqua" w:hAnsi="Book Antiqua"/>
          <w:color w:val="231F20"/>
          <w:sz w:val="24"/>
          <w:szCs w:val="24"/>
          <w:lang w:val="en-IN"/>
        </w:rPr>
        <w:t>The ideal non-invasive diagnostic test for portal hypertension should be simple, inexpensive, widely accessible</w:t>
      </w:r>
      <w:r w:rsidR="00514FBA" w:rsidRPr="00AE4053">
        <w:rPr>
          <w:rFonts w:ascii="Book Antiqua" w:hAnsi="Book Antiqua"/>
          <w:color w:val="231F20"/>
          <w:sz w:val="24"/>
          <w:szCs w:val="24"/>
          <w:lang w:val="en-IN"/>
        </w:rPr>
        <w:t xml:space="preserve"> and </w:t>
      </w:r>
      <w:r w:rsidR="001B74EA" w:rsidRPr="00AE4053">
        <w:rPr>
          <w:rFonts w:ascii="Book Antiqua" w:hAnsi="Book Antiqua"/>
          <w:color w:val="231F20"/>
          <w:sz w:val="24"/>
          <w:szCs w:val="24"/>
          <w:lang w:val="en-IN"/>
        </w:rPr>
        <w:t>reliable in measurement and interpretation and provide clinically reliable and relevant information about</w:t>
      </w:r>
      <w:r w:rsidR="00514FBA" w:rsidRPr="00AE4053">
        <w:rPr>
          <w:rFonts w:ascii="Book Antiqua" w:hAnsi="Book Antiqua"/>
          <w:color w:val="231F20"/>
          <w:sz w:val="24"/>
          <w:szCs w:val="24"/>
          <w:lang w:val="en-IN"/>
        </w:rPr>
        <w:t xml:space="preserve"> the</w:t>
      </w:r>
      <w:r w:rsidR="001B74EA" w:rsidRPr="00AE4053">
        <w:rPr>
          <w:rFonts w:ascii="Book Antiqua" w:hAnsi="Book Antiqua"/>
          <w:color w:val="231F20"/>
          <w:sz w:val="24"/>
          <w:szCs w:val="24"/>
          <w:lang w:val="en-IN"/>
        </w:rPr>
        <w:t xml:space="preserve"> degree of portal hypertension. </w:t>
      </w:r>
      <w:r w:rsidRPr="00AE4053">
        <w:rPr>
          <w:rFonts w:ascii="Book Antiqua" w:hAnsi="Book Antiqua"/>
          <w:color w:val="231F20"/>
          <w:sz w:val="24"/>
          <w:szCs w:val="24"/>
          <w:lang w:val="en-IN"/>
        </w:rPr>
        <w:t xml:space="preserve">Transient </w:t>
      </w:r>
      <w:proofErr w:type="spellStart"/>
      <w:r w:rsidRPr="00AE4053">
        <w:rPr>
          <w:rFonts w:ascii="Book Antiqua" w:hAnsi="Book Antiqua"/>
          <w:color w:val="231F20"/>
          <w:sz w:val="24"/>
          <w:szCs w:val="24"/>
          <w:lang w:val="en-IN"/>
        </w:rPr>
        <w:t>elastograp</w:t>
      </w:r>
      <w:proofErr w:type="spellEnd"/>
      <w:r w:rsidR="00033515" w:rsidRPr="00AE4053">
        <w:rPr>
          <w:rFonts w:ascii="Book Antiqua" w:hAnsi="Book Antiqua"/>
          <w:color w:val="231F20"/>
          <w:sz w:val="24"/>
          <w:szCs w:val="24"/>
        </w:rPr>
        <w:t>h</w:t>
      </w:r>
      <w:r w:rsidRPr="00AE4053">
        <w:rPr>
          <w:rFonts w:ascii="Book Antiqua" w:hAnsi="Book Antiqua"/>
          <w:color w:val="231F20"/>
          <w:sz w:val="24"/>
          <w:szCs w:val="24"/>
          <w:lang w:val="en-IN"/>
        </w:rPr>
        <w:t xml:space="preserve">y (TE) is a novel, non-invasive, ultrasound-based technology that allows </w:t>
      </w:r>
      <w:r w:rsidR="00514FBA" w:rsidRPr="00AE4053">
        <w:rPr>
          <w:rFonts w:ascii="Book Antiqua" w:hAnsi="Book Antiqua"/>
          <w:color w:val="231F20"/>
          <w:sz w:val="24"/>
          <w:szCs w:val="24"/>
          <w:lang w:val="en-IN"/>
        </w:rPr>
        <w:t xml:space="preserve">the measurement of </w:t>
      </w:r>
      <w:r w:rsidRPr="00AE4053">
        <w:rPr>
          <w:rFonts w:ascii="Book Antiqua" w:hAnsi="Book Antiqua"/>
          <w:color w:val="231F20"/>
          <w:sz w:val="24"/>
          <w:szCs w:val="24"/>
          <w:lang w:val="en-IN"/>
        </w:rPr>
        <w:t xml:space="preserve">liver stiffness. </w:t>
      </w:r>
      <w:r w:rsidR="00135217" w:rsidRPr="00AE4053">
        <w:rPr>
          <w:rFonts w:ascii="Book Antiqua" w:hAnsi="Book Antiqua"/>
          <w:color w:val="231F20"/>
          <w:sz w:val="24"/>
          <w:szCs w:val="24"/>
          <w:lang w:val="en-IN"/>
        </w:rPr>
        <w:t>Established evidence indicate</w:t>
      </w:r>
      <w:r w:rsidR="00514FBA" w:rsidRPr="00AE4053">
        <w:rPr>
          <w:rFonts w:ascii="Book Antiqua" w:hAnsi="Book Antiqua"/>
          <w:color w:val="231F20"/>
          <w:sz w:val="24"/>
          <w:szCs w:val="24"/>
          <w:lang w:val="en-IN"/>
        </w:rPr>
        <w:t>s</w:t>
      </w:r>
      <w:r w:rsidR="004F39A1" w:rsidRPr="00AE4053">
        <w:rPr>
          <w:rFonts w:ascii="Book Antiqua" w:hAnsi="Book Antiqua"/>
          <w:color w:val="231F20"/>
          <w:sz w:val="24"/>
          <w:szCs w:val="24"/>
          <w:lang w:val="en-IN"/>
        </w:rPr>
        <w:t xml:space="preserve"> that TE ha</w:t>
      </w:r>
      <w:r w:rsidR="003C020A" w:rsidRPr="00AE4053">
        <w:rPr>
          <w:rFonts w:ascii="Book Antiqua" w:hAnsi="Book Antiqua"/>
          <w:color w:val="231F20"/>
          <w:sz w:val="24"/>
          <w:szCs w:val="24"/>
          <w:lang w:val="en-IN"/>
        </w:rPr>
        <w:t>s</w:t>
      </w:r>
      <w:r w:rsidR="004F39A1" w:rsidRPr="00AE4053">
        <w:rPr>
          <w:rFonts w:ascii="Book Antiqua" w:hAnsi="Book Antiqua"/>
          <w:color w:val="231F20"/>
          <w:sz w:val="24"/>
          <w:szCs w:val="24"/>
          <w:lang w:val="en-IN"/>
        </w:rPr>
        <w:t xml:space="preserve"> good sensitivity and specificity for </w:t>
      </w:r>
      <w:r w:rsidR="00135217" w:rsidRPr="00AE4053">
        <w:rPr>
          <w:rFonts w:ascii="Book Antiqua" w:hAnsi="Book Antiqua"/>
          <w:color w:val="231F20"/>
          <w:sz w:val="24"/>
          <w:szCs w:val="24"/>
          <w:lang w:val="en-IN"/>
        </w:rPr>
        <w:t xml:space="preserve">diagnosing liver </w:t>
      </w:r>
      <w:r w:rsidR="004F39A1" w:rsidRPr="00AE4053">
        <w:rPr>
          <w:rFonts w:ascii="Book Antiqua" w:hAnsi="Book Antiqua"/>
          <w:color w:val="231F20"/>
          <w:sz w:val="24"/>
          <w:szCs w:val="24"/>
          <w:lang w:val="en-IN"/>
        </w:rPr>
        <w:t>fibrosis</w:t>
      </w:r>
      <w:r w:rsidR="00135217" w:rsidRPr="00AE4053">
        <w:rPr>
          <w:rFonts w:ascii="Book Antiqua" w:hAnsi="Book Antiqua"/>
          <w:color w:val="231F20"/>
          <w:sz w:val="24"/>
          <w:szCs w:val="24"/>
          <w:lang w:val="en-IN"/>
        </w:rPr>
        <w:t xml:space="preserve"> </w:t>
      </w:r>
      <w:r w:rsidR="004F39A1" w:rsidRPr="00AE4053">
        <w:rPr>
          <w:rFonts w:ascii="Book Antiqua" w:hAnsi="Book Antiqua"/>
          <w:color w:val="231F20"/>
          <w:sz w:val="24"/>
          <w:szCs w:val="24"/>
          <w:lang w:val="en-IN"/>
        </w:rPr>
        <w:t>and cirrhosis and has been popular over the past few years</w:t>
      </w:r>
      <w:r w:rsidR="00587A78" w:rsidRPr="00AE4053">
        <w:rPr>
          <w:rFonts w:ascii="Book Antiqua" w:hAnsi="Book Antiqua"/>
          <w:color w:val="231F20"/>
          <w:sz w:val="24"/>
          <w:szCs w:val="24"/>
          <w:lang w:val="en-IN"/>
        </w:rPr>
        <w:fldChar w:fldCharType="begin"/>
      </w:r>
      <w:r w:rsidR="008F2F86" w:rsidRPr="00AE4053">
        <w:rPr>
          <w:rFonts w:ascii="Book Antiqua" w:hAnsi="Book Antiqua"/>
          <w:color w:val="231F20"/>
          <w:sz w:val="24"/>
          <w:szCs w:val="24"/>
          <w:lang w:val="en-IN"/>
        </w:rPr>
        <w:instrText xml:space="preserve"> ADDIN ZOTERO_ITEM CSL_CITATION {"citationID":"3n5038s9f","properties":{"formattedCitation":"{\\rtf \\super [9,10]\\nosupersub{}}","plainCitation":"[9,10]"},"citationItems":[{"id":4286,"uris":["http://zotero.org/users/271015/items/ASSHZK63"],"uri":["http://zotero.org/users/271015/items/ASSHZK63"],"itemData":{"id":4286,"type":"article-journal","title":"Elastography for the diagnosis of severity of fibrosis in chronic liver disease: a meta-analysis of diagnostic accuracy","container-title":"Journal of Hepatology","page":"650-659","volume":"54","issue":"4","source":"PubMed","abstract":"BACKGROUND &amp; AIMS: Transient elastography is a non-invasive method, for the assessment of hepatic fibrosis, developed as an alternative to liver biopsy. We studied the performance of elastography for diagnosis of fibrosis using meta-analysis.\nMETHODS: MEDLINE, EMBASE, SCI, Cochrane Library, conference abstracts books, and article references were searched. We included studies using biopsy as a reference standard, with the data necessary to calculate the true and false positive, true and false negative diagnostic results of elastography for a fibrosis stage, and with a 3-month maximum interval between tests. The quality of the studies was rated with the QUADAS tool.\nRESULTS: We identified 40 eligible studies. Summary sensitivity and specificity was 0.79 (95% CI 0.74-0.82) and 0.78 (95% CI 0.72-0.83) for F2 stage and 0.83 (95% CI 0.79-0.86) and 0.89 (95% CI 0.87-0.91) for cirrhosis. After an elastography result at/over the threshold value for F2 or cirrhosis (\"positive\" result), the corresponding post-test probability for their presence (if pre-test probability was 50%) was 78%, and 88% respectively, while, if values were below these thresholds (\"negative\" result), the post-test probability was 21% and 16%, respectively. No optimal stiffness cut-offs for individual fibrosis stages were validated in independent cohorts and cut-offs had a wide range and overlap within and between stages.\nCONCLUSIONS: Elastography theoretically has good sensitivity and specificity for cirrhosis (and less for lesser degrees of fibrosis); however, it should be cautiously applied to everyday clinical practice because there is no validation of the stiffness cut-offs for the various stages. Such validation is required before elastography is considered sufficiently accurate for non-invasive staging of fibrosis.","DOI":"10.1016/j.jhep.2010.07.033","ISSN":"1600-0641","note":"PMID: 21146892","shortTitle":"Elastography for the diagnosis of severity of fibrosis in chronic liver disease","journalAbbreviation":"J. Hepatol.","language":"eng","author":[{"family":"Tsochatzis","given":"E. A."},{"family":"Gurusamy","given":"K. S."},{"family":"Ntaoula","given":"S."},{"family":"Cholongitas","given":"E."},{"family":"Davidson","given":"B. R."},{"family":"Burroughs","given":"A. K."}],"issued":{"date-parts":[["2011",4]]}},"label":"page"},{"id":4284,"uris":["http://zotero.org/users/271015/items/QQWBANPW"],"uri":["http://zotero.org/users/271015/items/QQWBANPW"],"itemData":{"id":4284,"type":"article-journal","title":"Transient elastography for diagnosis of stages of hepatic fibrosis and cirrhosis in people with alcoholic liver disease","container-title":"The Cochrane Database of Systematic Reviews","page":"CD010542","volume":"1","source":"PubMed","abstract":"BACKGROUND: The presence and progression of hepatic (liver) fibrosis into cirrhosis is a prognostic variable having impact on survival in people with alcoholic liver disease. Liver biopsy, although an invasive method, is the recommended 'reference standard' for diagnosis and staging of hepatic fibrosis in people with liver diseases. Transient elastography is a non-invasive method for assessing and staging hepatic fibrosis.\nOBJECTIVES: To determine the diagnostic accuracy of transient elastography for diagnosis and staging hepatic fibrosis in people with alcoholic liver disease when compared with liver biopsy. To identify the optimal cut-off values for differentiating the five stages of hepatic fibrosis.\nSEARCH METHODS: The Cochrane Hepato-Biliary Group Controlled and Diagnostic Test Accuracy Studies Registers, The Cochrane Library, MEDLINE (OvidSP), EMBASE (OvidSP), and the Science Citation Index Expanded (last search August 2014).\nSELECTION CRITERIA: Diagnostic cohort and diagnostic case-control study designs that assessed hepatic fibrosis in participants with alcoholic liver disease with transient elastography and liver biopsy, irrespective of language or publication status. The study participants could be of any sex and ethnic origin, above 16 years old, hospitalised or managed as outpatients. We excluded participants with viral hepatitis, autoimmunity, metabolic diseases, and toxins.\nDATA COLLECTION AND ANALYSIS: We followed the guidelines in the draft Cochrane Handbook for Systematic Reviews of Diagnostic Test Accuracy.\nMAIN RESULTS: Five retrospective and nine prospective cohort studies with 834 participants provided data for the review analyses. Authors of seven of those studies sent us individual participant data. The risk of bias in the included studies was high in all but three studies. We could identify no serious concerns regarding the applicability of the studies in answering the main study question of our review, namely to use transient elastography to diagnose hepatic fibrosis. We could not identify the optimal cut-off values for the fibrosis stages. The definition of the diagnosis of alcoholic liver disease was not provided in one study and was not clearly defined in two studies, but it was clear in the remaining 11 studies. The study authors used different liver stiffness cut-off values of transient elastography for the hepatic fibrosis stages.There was only one study (103 participants) with data on hepatic fibrosis stage F1 or worse, with a cut-off of 5.9 kPa, and reporting sensitivity of 0.83 (95% confidence interval (CI) 0.74 to 0.90) and specificity of 0.88 (95% CI 0.47 to 1.00). The summary sensitivity and specificity of transient elastography for F2 or worse (seven studies with 338 participants and with cut-offs around 7.5 kPa (range 7.00 to 7.8 kPa)) were 0.94 and 0.89 with LR+ 8.2 and LR- 0.07, which suggests that transient elastography could be useful to rule out the presence of significant hepatic fibrosis, thus avoiding liver biopsy.Due to the wide range of cut-off values (from 8.0 to 17.0 kPa) found in the 10 studies with 760 participants with hepatic fibrosis F3 or worse, we fitted a hierarchical summary receiver operating characteristic (HSROC) model and estimated a summary ROC (SROC) curve. The sensitivity of the 10 studies varied from 72% to 100% and the specificity from 59% to 89%. We performed an additional analysis by including the studies with a cut-off value of around and equal to 9.5 kPa (range 8.0 to 11.0 kPa). The summary sensitivity and specificity of transient elastography (eight studies with 564 participants) were 0.92 and 0.70 with LR+ 3.1 and LR- 0.11, which suggests that transient elastography could also be useful to rule out the presence of severe hepatic fibrosis (F3 or worse), avoiding liver biopsy. We carried out a sensitivity analysis by considering only the studies with a cut-off value equal to 9.5 kPa and the result did not differ.We performed an HSROC analysis and reported an SROC curve for hepatic fibrosis stage F4 (cirrhosis). The HSROC analysis suggested that when the cut-off value changes, there is a wide variation in specificity and a more limited variation in sensitivity. We performed an additional analysis with the studies with the most commonly used cut-off value of 12.5 kPa. The summary sensitivity and specificity of transient elastography (seven studies with 330 participants) were 0.95 and 0.71 with LR+ 3.3 and LR- 0.07, which again suggests that transient elastography could be useful to rule out the presence of cirrhosis, avoiding liver biopsy.\nAUTHORS' CONCLUSIONS: We identified a small number of studies with a few participants and were unable to include several studies, which raises the risk of outcome reporting bias. With these caveats in mind, transient elastography may be used as a diagnostic method to rule out liver cirrhosis (F4) in people with alcoholic liver disease when the pre-test probability is about 51% (range 15% to 79%). Transient elastography may also help in ruling out severe fibrosis (F3 or worse). Liver biopsy investigation remains an option if the certainty to rule in or rule out the stage of hepatic fibrosis or cirrhosis remains insufficient after a clinical follow-up or any other non-invasive test considered useful by the clinician.The proposed cut-off values for the different stages of hepatic fibrosis may be used in clinical practice, but caution is needed, as those values reported in this review are only the most common cut-off values used by the study authors. The best cut-off values for hepatic fibrosis in people with alcoholic liver disease could not be established yet.In order to diagnose correctly the stage of hepatic fibrosis in people with alcoholic liver disease using transient elastography assessment, the studies should consider a single aetiology. Hepatic fibrosis should be diagnosed with both transient elastography and liver biopsy and in this sequence, and transient elastography cut-off values should be pre-specified and validated. The time interval between the two investigations should not exceed three months, which is the interval mainly valid for people without cirrhosis, and assessment of results should be properly blinded. Only studies with low risk of bias, fulfilling the Standards for Reporting of Diagnostic Accuracy may answer the review question.","DOI":"10.1002/14651858.CD010542.pub2","ISSN":"1469-493X","note":"PMID: 25612182","journalAbbreviation":"Cochrane Database Syst Rev","language":"eng","author":[{"family":"Pavlov","given":"Chavdar S."},{"family":"Casazza","given":"Giovanni"},{"family":"Nikolova","given":"Dimitrinka"},{"family":"Tsochatzis","given":"Emmanuel"},{"family":"Burroughs","given":"Andrew K."},{"family":"Ivashkin","given":"Vladimir T."},{"family":"Gluud","given":"Christian"}],"issued":{"date-parts":[["2015"]]}},"label":"page"}],"schema":"https://github.com/citation-style-language/schema/raw/master/csl-citation.json"} </w:instrText>
      </w:r>
      <w:r w:rsidR="00587A78" w:rsidRPr="00AE4053">
        <w:rPr>
          <w:rFonts w:ascii="Book Antiqua" w:hAnsi="Book Antiqua"/>
          <w:color w:val="231F20"/>
          <w:sz w:val="24"/>
          <w:szCs w:val="24"/>
          <w:lang w:val="en-IN"/>
        </w:rPr>
        <w:fldChar w:fldCharType="separate"/>
      </w:r>
      <w:r w:rsidR="008F2F86" w:rsidRPr="00AE4053">
        <w:rPr>
          <w:rFonts w:ascii="Book Antiqua" w:hAnsi="Book Antiqua"/>
          <w:color w:val="000000"/>
          <w:sz w:val="24"/>
          <w:szCs w:val="24"/>
          <w:vertAlign w:val="superscript"/>
        </w:rPr>
        <w:t>[9,10]</w:t>
      </w:r>
      <w:r w:rsidR="00587A78" w:rsidRPr="00AE4053">
        <w:rPr>
          <w:rFonts w:ascii="Book Antiqua" w:hAnsi="Book Antiqua"/>
          <w:color w:val="231F20"/>
          <w:sz w:val="24"/>
          <w:szCs w:val="24"/>
          <w:lang w:val="en-IN"/>
        </w:rPr>
        <w:fldChar w:fldCharType="end"/>
      </w:r>
      <w:r w:rsidR="004F39A1" w:rsidRPr="00AE4053">
        <w:rPr>
          <w:rFonts w:ascii="Book Antiqua" w:hAnsi="Book Antiqua"/>
          <w:color w:val="231F20"/>
          <w:sz w:val="24"/>
          <w:szCs w:val="24"/>
          <w:lang w:val="en-IN"/>
        </w:rPr>
        <w:t>.</w:t>
      </w:r>
      <w:r w:rsidR="00587A78" w:rsidRPr="00AE4053">
        <w:rPr>
          <w:rFonts w:ascii="Book Antiqua" w:hAnsi="Book Antiqua"/>
          <w:color w:val="231F20"/>
          <w:sz w:val="24"/>
          <w:szCs w:val="24"/>
          <w:lang w:val="en-IN"/>
        </w:rPr>
        <w:t xml:space="preserve"> </w:t>
      </w:r>
      <w:r w:rsidR="00705A5A" w:rsidRPr="00AE4053">
        <w:rPr>
          <w:rFonts w:ascii="Book Antiqua" w:hAnsi="Book Antiqua"/>
          <w:color w:val="231F20"/>
          <w:sz w:val="24"/>
          <w:szCs w:val="24"/>
          <w:lang w:val="en-IN"/>
        </w:rPr>
        <w:t xml:space="preserve">Recently, many European studies have </w:t>
      </w:r>
      <w:r w:rsidR="00514FBA" w:rsidRPr="00AE4053">
        <w:rPr>
          <w:rFonts w:ascii="Book Antiqua" w:hAnsi="Book Antiqua"/>
          <w:color w:val="231F20"/>
          <w:sz w:val="24"/>
          <w:szCs w:val="24"/>
          <w:lang w:val="en-IN"/>
        </w:rPr>
        <w:t xml:space="preserve">reported </w:t>
      </w:r>
      <w:r w:rsidR="00705A5A" w:rsidRPr="00AE4053">
        <w:rPr>
          <w:rFonts w:ascii="Book Antiqua" w:hAnsi="Book Antiqua"/>
          <w:color w:val="231F20"/>
          <w:sz w:val="24"/>
          <w:szCs w:val="24"/>
          <w:lang w:val="en-IN"/>
        </w:rPr>
        <w:t xml:space="preserve">a </w:t>
      </w:r>
      <w:r w:rsidR="003C020A" w:rsidRPr="00AE4053">
        <w:rPr>
          <w:rFonts w:ascii="Book Antiqua" w:hAnsi="Book Antiqua"/>
          <w:color w:val="231F20"/>
          <w:sz w:val="24"/>
          <w:szCs w:val="24"/>
          <w:lang w:val="en-IN"/>
        </w:rPr>
        <w:t xml:space="preserve">fairly </w:t>
      </w:r>
      <w:r w:rsidR="00705A5A" w:rsidRPr="00AE4053">
        <w:rPr>
          <w:rFonts w:ascii="Book Antiqua" w:hAnsi="Book Antiqua"/>
          <w:color w:val="231F20"/>
          <w:sz w:val="24"/>
          <w:szCs w:val="24"/>
          <w:lang w:val="en-IN"/>
        </w:rPr>
        <w:t xml:space="preserve">good correlation between </w:t>
      </w:r>
      <w:r w:rsidR="007A5A80" w:rsidRPr="00AE4053">
        <w:rPr>
          <w:rFonts w:ascii="Book Antiqua" w:hAnsi="Book Antiqua"/>
          <w:color w:val="231F20"/>
          <w:sz w:val="24"/>
          <w:szCs w:val="24"/>
          <w:lang w:val="en-IN"/>
        </w:rPr>
        <w:t>liver stiffness</w:t>
      </w:r>
      <w:r w:rsidR="00705A5A" w:rsidRPr="00AE4053">
        <w:rPr>
          <w:rFonts w:ascii="Book Antiqua" w:hAnsi="Book Antiqua"/>
          <w:color w:val="231F20"/>
          <w:sz w:val="24"/>
          <w:szCs w:val="24"/>
          <w:lang w:val="en-IN"/>
        </w:rPr>
        <w:t xml:space="preserve"> and portal hypertension</w:t>
      </w:r>
      <w:r w:rsidR="00514FBA" w:rsidRPr="00AE4053">
        <w:rPr>
          <w:rFonts w:ascii="Book Antiqua" w:hAnsi="Book Antiqua"/>
          <w:color w:val="231F20"/>
          <w:sz w:val="24"/>
          <w:szCs w:val="24"/>
          <w:lang w:val="en-IN"/>
        </w:rPr>
        <w:t>,</w:t>
      </w:r>
      <w:r w:rsidR="00705A5A" w:rsidRPr="00AE4053">
        <w:rPr>
          <w:rFonts w:ascii="Book Antiqua" w:hAnsi="Book Antiqua"/>
          <w:color w:val="231F20"/>
          <w:sz w:val="24"/>
          <w:szCs w:val="24"/>
          <w:lang w:val="en-IN"/>
        </w:rPr>
        <w:t xml:space="preserve"> suggesting that it could be a good non-invasive tool for evaluation of portal </w:t>
      </w:r>
      <w:r w:rsidR="0091022A" w:rsidRPr="00AE4053">
        <w:rPr>
          <w:rFonts w:ascii="Book Antiqua" w:hAnsi="Book Antiqua"/>
          <w:color w:val="231F20"/>
          <w:sz w:val="24"/>
          <w:szCs w:val="24"/>
        </w:rPr>
        <w:t>hypertension</w:t>
      </w:r>
      <w:r w:rsidR="00705A5A" w:rsidRPr="00AE4053">
        <w:rPr>
          <w:rFonts w:ascii="Book Antiqua" w:hAnsi="Book Antiqua"/>
          <w:color w:val="231F20"/>
          <w:sz w:val="24"/>
          <w:szCs w:val="24"/>
          <w:lang w:val="en-IN"/>
        </w:rPr>
        <w:fldChar w:fldCharType="begin"/>
      </w:r>
      <w:r w:rsidR="008F2F86" w:rsidRPr="00AE4053">
        <w:rPr>
          <w:rFonts w:ascii="Book Antiqua" w:hAnsi="Book Antiqua"/>
          <w:color w:val="231F20"/>
          <w:sz w:val="24"/>
          <w:szCs w:val="24"/>
          <w:lang w:val="en-IN"/>
        </w:rPr>
        <w:instrText xml:space="preserve"> ADDIN ZOTERO_ITEM CSL_CITATION {"citationID":"5rD86VDN","properties":{"formattedCitation":"{\\rtf \\super [11]\\nosupersub{}}","plainCitation":"[11]"},"citationItems":[{"id":4270,"uris":["http://zotero.org/users/271015/items/FVV95HB2"],"uri":["http://zotero.org/users/271015/items/FVV95HB2"],"itemData":{"id":4270,"type":"article-journal","title":"Transient elastography: a meta-analysis of diagnostic accuracy in evaluation of portal hypertension in chronic liver disease","container-title":"Liver International: Official Journal of the International Association for the Study of the Liver","page":"62-71","volume":"33","issue":"1","source":"PubMed","abstract":"OBJECTIVES: Transient elastography (TE), as a non-invasive method, has been studied for evaluation of portal hypertension in patients with chronic liver diseases (CLD) with variable results. We studied the performance of TE for detection of significant portal hypertension, oesophageal varices and large oesophageal varices using meta-analysis.\nMETHODS: PubMed, the Cochrane Library, EMBASE and ISI web of Knowledge were searched. The studies published in English relating to the diagnostic value of TE for significant portal hypertension, oesophageal varices and large oesophageal varices in patients with CLD were collected.\nRESULTS: A total of 18 studies, which included 3644 patients were analysed. Summary sensitivity and specificity were 0.90 (95% confidence interval (CI), 0.81-0.95) and 0.79 (95% CI, 0.58-0.91) for significant portal hypertension, and 0.87 (95% CI, 0.80-0.92) and 0.53 (95% CI, 0.36-0.69) for oesophageal varices and 0.86 (95% CI, 0.71-0.94) and 0.59 (95% CI, 0.45-0.72) for large oesophageal varices respectively. The HSROCs were 0.93 for significant portal hypertension, 0.84 for oesophageal varices and 0.78 for large oesophageal varices respectively. TE was very informative with 81% probability of correctly detection significant portal hypertension following a 'positive' measurement (over the threshold value) and lowering the probability of disease to as low as 11% when 'negative' measurement (below the threshold value) when pre-test probability was 50% whereas, for oesophageal varices or large oesophageal varices, the probability of a correct diagnosis following a 'positive' measurement did not exceeded 70%.\nCONCLUSIONS: TE could be used as a good screening tool for significant portal hypertension, but only moderate diagnostic utility for the prediction of oesophageal varices or large oesophageal varices.","DOI":"10.1111/liv.12003","ISSN":"1478-3231","note":"PMID: 22973991","shortTitle":"Transient elastography","journalAbbreviation":"Liver Int.","language":"eng","author":[{"family":"Shi","given":"Ke-Qing"},{"family":"Fan","given":"Yu-Chen"},{"family":"Pan","given":"Zhen-Zhen"},{"family":"Lin","given":"Xian-Feng"},{"family":"Liu","given":"Wen-Yue"},{"family":"Chen","given":"Yong-Ping"},{"family":"Zheng","given":"Ming-Hua"}],"issued":{"date-parts":[["2013",1]]}}}],"schema":"https://github.com/citation-style-language/schema/raw/master/csl-citation.json"} </w:instrText>
      </w:r>
      <w:r w:rsidR="00705A5A" w:rsidRPr="00AE4053">
        <w:rPr>
          <w:rFonts w:ascii="Book Antiqua" w:hAnsi="Book Antiqua"/>
          <w:color w:val="231F20"/>
          <w:sz w:val="24"/>
          <w:szCs w:val="24"/>
          <w:lang w:val="en-IN"/>
        </w:rPr>
        <w:fldChar w:fldCharType="separate"/>
      </w:r>
      <w:r w:rsidR="008F2F86" w:rsidRPr="00AE4053">
        <w:rPr>
          <w:rFonts w:ascii="Book Antiqua" w:hAnsi="Book Antiqua"/>
          <w:color w:val="000000"/>
          <w:sz w:val="24"/>
          <w:szCs w:val="24"/>
          <w:vertAlign w:val="superscript"/>
        </w:rPr>
        <w:t>[11]</w:t>
      </w:r>
      <w:r w:rsidR="00705A5A" w:rsidRPr="00AE4053">
        <w:rPr>
          <w:rFonts w:ascii="Book Antiqua" w:hAnsi="Book Antiqua"/>
          <w:color w:val="231F20"/>
          <w:sz w:val="24"/>
          <w:szCs w:val="24"/>
          <w:lang w:val="en-IN"/>
        </w:rPr>
        <w:fldChar w:fldCharType="end"/>
      </w:r>
      <w:r w:rsidR="00705A5A" w:rsidRPr="00AE4053">
        <w:rPr>
          <w:rFonts w:ascii="Book Antiqua" w:hAnsi="Book Antiqua"/>
          <w:color w:val="231F20"/>
          <w:sz w:val="24"/>
          <w:szCs w:val="24"/>
          <w:lang w:val="en-IN"/>
        </w:rPr>
        <w:t xml:space="preserve">. </w:t>
      </w:r>
      <w:r w:rsidR="00E45A93" w:rsidRPr="00AE4053">
        <w:rPr>
          <w:rFonts w:ascii="Book Antiqua" w:hAnsi="Book Antiqua"/>
          <w:color w:val="231F20"/>
          <w:sz w:val="24"/>
          <w:szCs w:val="24"/>
          <w:lang w:val="en-IN"/>
        </w:rPr>
        <w:t xml:space="preserve">However, </w:t>
      </w:r>
      <w:r w:rsidR="00E45A93" w:rsidRPr="00AE4053">
        <w:rPr>
          <w:rFonts w:ascii="Book Antiqua" w:hAnsi="Book Antiqua"/>
          <w:sz w:val="24"/>
          <w:szCs w:val="24"/>
        </w:rPr>
        <w:t xml:space="preserve">none of the studies are from South Asia where </w:t>
      </w:r>
      <w:r w:rsidR="00514FBA" w:rsidRPr="00AE4053">
        <w:rPr>
          <w:rFonts w:ascii="Book Antiqua" w:hAnsi="Book Antiqua"/>
          <w:sz w:val="24"/>
          <w:szCs w:val="24"/>
        </w:rPr>
        <w:t xml:space="preserve">the </w:t>
      </w:r>
      <w:r w:rsidR="00E45A93" w:rsidRPr="00AE4053">
        <w:rPr>
          <w:rFonts w:ascii="Book Antiqua" w:hAnsi="Book Antiqua"/>
          <w:sz w:val="24"/>
          <w:szCs w:val="24"/>
        </w:rPr>
        <w:t>etiological profile of cirrhosis is different from other regions of the world.</w:t>
      </w:r>
    </w:p>
    <w:p w14:paraId="4086056C" w14:textId="5A13F271" w:rsidR="00DC7D7B" w:rsidRPr="00160194" w:rsidRDefault="00E45A93" w:rsidP="00160194">
      <w:pPr>
        <w:snapToGrid w:val="0"/>
        <w:spacing w:after="0" w:line="360" w:lineRule="auto"/>
        <w:ind w:firstLineChars="100" w:firstLine="240"/>
        <w:jc w:val="both"/>
        <w:rPr>
          <w:rFonts w:ascii="Book Antiqua" w:hAnsi="Book Antiqua"/>
          <w:color w:val="231F20"/>
          <w:sz w:val="24"/>
          <w:szCs w:val="24"/>
          <w:lang w:val="en-IN"/>
        </w:rPr>
      </w:pPr>
      <w:r w:rsidRPr="00AE4053">
        <w:rPr>
          <w:rFonts w:ascii="Book Antiqua" w:hAnsi="Book Antiqua"/>
          <w:color w:val="231F20"/>
          <w:sz w:val="24"/>
          <w:szCs w:val="24"/>
          <w:lang w:val="en-IN"/>
        </w:rPr>
        <w:t xml:space="preserve">In the present </w:t>
      </w:r>
      <w:r w:rsidR="00BD7A56" w:rsidRPr="00AE4053">
        <w:rPr>
          <w:rFonts w:ascii="Book Antiqua" w:hAnsi="Book Antiqua"/>
          <w:color w:val="231F20"/>
          <w:sz w:val="24"/>
          <w:szCs w:val="24"/>
          <w:lang w:val="en-IN"/>
        </w:rPr>
        <w:t>study</w:t>
      </w:r>
      <w:r w:rsidR="00514FBA" w:rsidRPr="00AE4053">
        <w:rPr>
          <w:rFonts w:ascii="Book Antiqua" w:hAnsi="Book Antiqua"/>
          <w:color w:val="231F20"/>
          <w:sz w:val="24"/>
          <w:szCs w:val="24"/>
          <w:lang w:val="en-IN"/>
        </w:rPr>
        <w:t>,</w:t>
      </w:r>
      <w:r w:rsidR="00BD7A56" w:rsidRPr="00AE4053">
        <w:rPr>
          <w:rFonts w:ascii="Book Antiqua" w:hAnsi="Book Antiqua"/>
          <w:color w:val="231F20"/>
          <w:sz w:val="24"/>
          <w:szCs w:val="24"/>
          <w:lang w:val="en-IN"/>
        </w:rPr>
        <w:t xml:space="preserve"> </w:t>
      </w:r>
      <w:r w:rsidRPr="00AE4053">
        <w:rPr>
          <w:rFonts w:ascii="Book Antiqua" w:hAnsi="Book Antiqua"/>
          <w:color w:val="231F20"/>
          <w:sz w:val="24"/>
          <w:szCs w:val="24"/>
          <w:lang w:val="en-IN"/>
        </w:rPr>
        <w:t xml:space="preserve">we aimed </w:t>
      </w:r>
      <w:r w:rsidR="00BD7A56" w:rsidRPr="00AE4053">
        <w:rPr>
          <w:rFonts w:ascii="Book Antiqua" w:hAnsi="Book Antiqua"/>
          <w:color w:val="231F20"/>
          <w:sz w:val="24"/>
          <w:szCs w:val="24"/>
          <w:lang w:val="en-IN"/>
        </w:rPr>
        <w:t xml:space="preserve">to </w:t>
      </w:r>
      <w:r w:rsidR="00514FBA" w:rsidRPr="00AE4053">
        <w:rPr>
          <w:rFonts w:ascii="Book Antiqua" w:hAnsi="Book Antiqua"/>
          <w:color w:val="231F20"/>
          <w:sz w:val="24"/>
          <w:szCs w:val="24"/>
          <w:lang w:val="en-IN"/>
        </w:rPr>
        <w:t>identify</w:t>
      </w:r>
      <w:r w:rsidR="00BD7A56" w:rsidRPr="00AE4053">
        <w:rPr>
          <w:rFonts w:ascii="Book Antiqua" w:hAnsi="Book Antiqua"/>
          <w:color w:val="231F20"/>
          <w:sz w:val="24"/>
          <w:szCs w:val="24"/>
          <w:lang w:val="en-IN"/>
        </w:rPr>
        <w:t xml:space="preserve"> </w:t>
      </w:r>
      <w:r w:rsidR="00530FA2" w:rsidRPr="00AE4053">
        <w:rPr>
          <w:rFonts w:ascii="Book Antiqua" w:hAnsi="Book Antiqua"/>
          <w:color w:val="231F20"/>
          <w:sz w:val="24"/>
          <w:szCs w:val="24"/>
          <w:lang w:val="en-IN"/>
        </w:rPr>
        <w:t xml:space="preserve">a possible </w:t>
      </w:r>
      <w:r w:rsidR="00BD7A56" w:rsidRPr="00AE4053">
        <w:rPr>
          <w:rFonts w:ascii="Book Antiqua" w:hAnsi="Book Antiqua"/>
          <w:color w:val="231F20"/>
          <w:sz w:val="24"/>
          <w:szCs w:val="24"/>
          <w:lang w:val="en-IN"/>
        </w:rPr>
        <w:t xml:space="preserve">correlation between </w:t>
      </w:r>
      <w:r w:rsidR="00B07409" w:rsidRPr="00AE4053">
        <w:rPr>
          <w:rFonts w:ascii="Book Antiqua" w:hAnsi="Book Antiqua"/>
          <w:color w:val="231F20"/>
          <w:sz w:val="24"/>
          <w:szCs w:val="24"/>
          <w:lang w:val="en-IN"/>
        </w:rPr>
        <w:t>TE</w:t>
      </w:r>
      <w:r w:rsidR="00C63408" w:rsidRPr="00AE4053">
        <w:rPr>
          <w:rFonts w:ascii="Book Antiqua" w:hAnsi="Book Antiqua"/>
          <w:color w:val="231F20"/>
          <w:sz w:val="24"/>
          <w:szCs w:val="24"/>
          <w:lang w:val="en-IN"/>
        </w:rPr>
        <w:t xml:space="preserve"> </w:t>
      </w:r>
      <w:r w:rsidR="00BD7A56" w:rsidRPr="00AE4053">
        <w:rPr>
          <w:rFonts w:ascii="Book Antiqua" w:hAnsi="Book Antiqua"/>
          <w:color w:val="231F20"/>
          <w:sz w:val="24"/>
          <w:szCs w:val="24"/>
          <w:lang w:val="en-IN"/>
        </w:rPr>
        <w:t xml:space="preserve">and </w:t>
      </w:r>
      <w:r w:rsidR="00B07409" w:rsidRPr="00AE4053">
        <w:rPr>
          <w:rFonts w:ascii="Book Antiqua" w:hAnsi="Book Antiqua"/>
          <w:color w:val="231F20"/>
          <w:sz w:val="24"/>
          <w:szCs w:val="24"/>
          <w:lang w:val="en-IN"/>
        </w:rPr>
        <w:t>HVPG</w:t>
      </w:r>
      <w:r w:rsidR="003C020A" w:rsidRPr="00AE4053">
        <w:rPr>
          <w:rFonts w:ascii="Book Antiqua" w:hAnsi="Book Antiqua"/>
          <w:color w:val="231F20"/>
          <w:sz w:val="24"/>
          <w:szCs w:val="24"/>
          <w:lang w:val="en-IN"/>
        </w:rPr>
        <w:t xml:space="preserve"> in Indian cirrhosis</w:t>
      </w:r>
      <w:r w:rsidR="00514FBA" w:rsidRPr="00AE4053">
        <w:rPr>
          <w:rFonts w:ascii="Book Antiqua" w:hAnsi="Book Antiqua"/>
          <w:color w:val="231F20"/>
          <w:sz w:val="24"/>
          <w:szCs w:val="24"/>
          <w:lang w:val="en-IN"/>
        </w:rPr>
        <w:t xml:space="preserve"> patients </w:t>
      </w:r>
      <w:r w:rsidRPr="00AE4053">
        <w:rPr>
          <w:rFonts w:ascii="Book Antiqua" w:hAnsi="Book Antiqua"/>
          <w:color w:val="231F20"/>
          <w:sz w:val="24"/>
          <w:szCs w:val="24"/>
          <w:lang w:val="en-IN"/>
        </w:rPr>
        <w:t>and</w:t>
      </w:r>
      <w:r w:rsidR="00BD7A56" w:rsidRPr="00AE4053">
        <w:rPr>
          <w:rFonts w:ascii="Book Antiqua" w:hAnsi="Book Antiqua"/>
          <w:color w:val="231F20"/>
          <w:sz w:val="24"/>
          <w:szCs w:val="24"/>
          <w:lang w:val="en-IN"/>
        </w:rPr>
        <w:t xml:space="preserve"> </w:t>
      </w:r>
      <w:r w:rsidR="00563278" w:rsidRPr="00AE4053">
        <w:rPr>
          <w:rFonts w:ascii="Book Antiqua" w:hAnsi="Book Antiqua"/>
          <w:color w:val="231F20"/>
          <w:sz w:val="24"/>
          <w:szCs w:val="24"/>
          <w:lang w:val="en-IN"/>
        </w:rPr>
        <w:t xml:space="preserve">to </w:t>
      </w:r>
      <w:r w:rsidR="00530FA2" w:rsidRPr="00AE4053">
        <w:rPr>
          <w:rFonts w:ascii="Book Antiqua" w:hAnsi="Book Antiqua"/>
          <w:color w:val="231F20"/>
          <w:sz w:val="24"/>
          <w:szCs w:val="24"/>
          <w:lang w:val="en-IN"/>
        </w:rPr>
        <w:t xml:space="preserve">investigate </w:t>
      </w:r>
      <w:r w:rsidR="00BD7A56" w:rsidRPr="00AE4053">
        <w:rPr>
          <w:rFonts w:ascii="Book Antiqua" w:hAnsi="Book Antiqua"/>
          <w:color w:val="231F20"/>
          <w:sz w:val="24"/>
          <w:szCs w:val="24"/>
          <w:lang w:val="en-IN"/>
        </w:rPr>
        <w:t xml:space="preserve">whether </w:t>
      </w:r>
      <w:r w:rsidR="00D01086" w:rsidRPr="00AE4053">
        <w:rPr>
          <w:rFonts w:ascii="Book Antiqua" w:hAnsi="Book Antiqua"/>
          <w:color w:val="231F20"/>
          <w:sz w:val="24"/>
          <w:szCs w:val="24"/>
          <w:lang w:val="en-IN"/>
        </w:rPr>
        <w:t xml:space="preserve">TE </w:t>
      </w:r>
      <w:r w:rsidR="00BD7A56" w:rsidRPr="00AE4053">
        <w:rPr>
          <w:rFonts w:ascii="Book Antiqua" w:hAnsi="Book Antiqua"/>
          <w:color w:val="231F20"/>
          <w:sz w:val="24"/>
          <w:szCs w:val="24"/>
          <w:lang w:val="en-IN"/>
        </w:rPr>
        <w:t>can serve as a non</w:t>
      </w:r>
      <w:r w:rsidR="00D01086" w:rsidRPr="00AE4053">
        <w:rPr>
          <w:rFonts w:ascii="Book Antiqua" w:hAnsi="Book Antiqua"/>
          <w:color w:val="231F20"/>
          <w:sz w:val="24"/>
          <w:szCs w:val="24"/>
          <w:lang w:val="en-IN"/>
        </w:rPr>
        <w:t>-</w:t>
      </w:r>
      <w:r w:rsidR="00BD7A56" w:rsidRPr="00AE4053">
        <w:rPr>
          <w:rFonts w:ascii="Book Antiqua" w:hAnsi="Book Antiqua"/>
          <w:color w:val="231F20"/>
          <w:sz w:val="24"/>
          <w:szCs w:val="24"/>
          <w:lang w:val="en-IN"/>
        </w:rPr>
        <w:t xml:space="preserve">invasive diagnostic test to </w:t>
      </w:r>
      <w:r w:rsidRPr="00AE4053">
        <w:rPr>
          <w:rFonts w:ascii="Book Antiqua" w:hAnsi="Book Antiqua"/>
          <w:color w:val="231F20"/>
          <w:sz w:val="24"/>
          <w:szCs w:val="24"/>
          <w:lang w:val="en-IN"/>
        </w:rPr>
        <w:t xml:space="preserve">identify </w:t>
      </w:r>
      <w:r w:rsidR="00B07409" w:rsidRPr="00AE4053">
        <w:rPr>
          <w:rFonts w:ascii="Book Antiqua" w:hAnsi="Book Antiqua"/>
          <w:color w:val="231F20"/>
          <w:sz w:val="24"/>
          <w:szCs w:val="24"/>
          <w:lang w:val="en-IN"/>
        </w:rPr>
        <w:t xml:space="preserve">patients </w:t>
      </w:r>
      <w:r w:rsidR="006C3F61" w:rsidRPr="00AE4053">
        <w:rPr>
          <w:rFonts w:ascii="Book Antiqua" w:hAnsi="Book Antiqua"/>
          <w:color w:val="231F20"/>
          <w:sz w:val="24"/>
          <w:szCs w:val="24"/>
          <w:lang w:val="en-IN"/>
        </w:rPr>
        <w:t>who have CSPH</w:t>
      </w:r>
      <w:r w:rsidR="00DF1A14" w:rsidRPr="00AE4053">
        <w:rPr>
          <w:rFonts w:ascii="Book Antiqua" w:hAnsi="Book Antiqua"/>
          <w:color w:val="231F20"/>
          <w:sz w:val="24"/>
          <w:szCs w:val="24"/>
          <w:lang w:val="en-IN"/>
        </w:rPr>
        <w:t xml:space="preserve"> with </w:t>
      </w:r>
      <w:r w:rsidR="001B74EA" w:rsidRPr="00AE4053">
        <w:rPr>
          <w:rFonts w:ascii="Book Antiqua" w:hAnsi="Book Antiqua"/>
          <w:color w:val="231F20"/>
          <w:sz w:val="24"/>
          <w:szCs w:val="24"/>
          <w:lang w:val="en-IN"/>
        </w:rPr>
        <w:t>a reliable cut-off TE value.</w:t>
      </w:r>
    </w:p>
    <w:p w14:paraId="74436F5B" w14:textId="77777777" w:rsidR="00160194" w:rsidRDefault="00160194" w:rsidP="00AE4053">
      <w:pPr>
        <w:snapToGrid w:val="0"/>
        <w:spacing w:after="0" w:line="360" w:lineRule="auto"/>
        <w:jc w:val="both"/>
        <w:rPr>
          <w:rFonts w:ascii="Book Antiqua" w:hAnsi="Book Antiqua"/>
          <w:b/>
          <w:sz w:val="24"/>
          <w:szCs w:val="24"/>
          <w:lang w:val="en-IN"/>
        </w:rPr>
      </w:pPr>
      <w:bookmarkStart w:id="32" w:name="_Toc334950154"/>
    </w:p>
    <w:p w14:paraId="69036C3D" w14:textId="62DC16C6" w:rsidR="000634EC" w:rsidRPr="00AE4053" w:rsidRDefault="00D83B76" w:rsidP="00AE4053">
      <w:pPr>
        <w:snapToGrid w:val="0"/>
        <w:spacing w:after="0" w:line="360" w:lineRule="auto"/>
        <w:jc w:val="both"/>
        <w:rPr>
          <w:rFonts w:ascii="Book Antiqua" w:hAnsi="Book Antiqua"/>
          <w:b/>
          <w:sz w:val="24"/>
          <w:szCs w:val="24"/>
          <w:lang w:val="en-IN"/>
        </w:rPr>
      </w:pPr>
      <w:r w:rsidRPr="00AE4053">
        <w:rPr>
          <w:rFonts w:ascii="Book Antiqua" w:hAnsi="Book Antiqua"/>
          <w:b/>
          <w:sz w:val="24"/>
          <w:szCs w:val="24"/>
          <w:lang w:val="en-IN"/>
        </w:rPr>
        <w:t xml:space="preserve">MATERIALS </w:t>
      </w:r>
      <w:r w:rsidR="00B37AFA" w:rsidRPr="00AE4053">
        <w:rPr>
          <w:rFonts w:ascii="Book Antiqua" w:hAnsi="Book Antiqua"/>
          <w:b/>
          <w:sz w:val="24"/>
          <w:szCs w:val="24"/>
          <w:lang w:val="en-IN"/>
        </w:rPr>
        <w:t>AND METHODS</w:t>
      </w:r>
      <w:bookmarkEnd w:id="32"/>
    </w:p>
    <w:p w14:paraId="435C5858" w14:textId="77777777" w:rsidR="000634EC" w:rsidRPr="00160194" w:rsidRDefault="000C1030" w:rsidP="00AE4053">
      <w:pPr>
        <w:snapToGrid w:val="0"/>
        <w:spacing w:after="0" w:line="360" w:lineRule="auto"/>
        <w:jc w:val="both"/>
        <w:rPr>
          <w:rFonts w:ascii="Book Antiqua" w:hAnsi="Book Antiqua"/>
          <w:b/>
          <w:i/>
          <w:sz w:val="24"/>
          <w:szCs w:val="24"/>
          <w:lang w:val="en-IN"/>
        </w:rPr>
      </w:pPr>
      <w:bookmarkStart w:id="33" w:name="_Toc334950155"/>
      <w:r w:rsidRPr="00160194">
        <w:rPr>
          <w:rFonts w:ascii="Book Antiqua" w:hAnsi="Book Antiqua"/>
          <w:b/>
          <w:i/>
          <w:sz w:val="24"/>
          <w:szCs w:val="24"/>
          <w:lang w:val="en-IN"/>
        </w:rPr>
        <w:t>Patients</w:t>
      </w:r>
      <w:bookmarkEnd w:id="33"/>
    </w:p>
    <w:p w14:paraId="48B60F4B" w14:textId="7C561BBA" w:rsidR="00393E34" w:rsidRPr="00AE4053" w:rsidRDefault="003E5632" w:rsidP="00AE4053">
      <w:pPr>
        <w:snapToGrid w:val="0"/>
        <w:spacing w:after="0" w:line="360" w:lineRule="auto"/>
        <w:jc w:val="both"/>
        <w:rPr>
          <w:rFonts w:ascii="Book Antiqua" w:hAnsi="Book Antiqua"/>
          <w:color w:val="231F20"/>
          <w:sz w:val="24"/>
          <w:szCs w:val="24"/>
          <w:lang w:val="en-IN"/>
        </w:rPr>
      </w:pPr>
      <w:r w:rsidRPr="00AE4053">
        <w:rPr>
          <w:rFonts w:ascii="Book Antiqua" w:hAnsi="Book Antiqua"/>
          <w:color w:val="231F20"/>
          <w:sz w:val="24"/>
          <w:szCs w:val="24"/>
          <w:lang w:val="en-IN"/>
        </w:rPr>
        <w:t xml:space="preserve">The study was conducted </w:t>
      </w:r>
      <w:r w:rsidR="007842A8" w:rsidRPr="00AE4053">
        <w:rPr>
          <w:rFonts w:ascii="Book Antiqua" w:hAnsi="Book Antiqua"/>
          <w:color w:val="231F20"/>
          <w:sz w:val="24"/>
          <w:szCs w:val="24"/>
        </w:rPr>
        <w:t>at</w:t>
      </w:r>
      <w:r w:rsidR="007842A8" w:rsidRPr="00AE4053">
        <w:rPr>
          <w:rFonts w:ascii="Book Antiqua" w:hAnsi="Book Antiqua"/>
          <w:color w:val="231F20"/>
          <w:sz w:val="24"/>
          <w:szCs w:val="24"/>
          <w:lang w:val="en-IN"/>
        </w:rPr>
        <w:t xml:space="preserve"> </w:t>
      </w:r>
      <w:r w:rsidRPr="00AE4053">
        <w:rPr>
          <w:rFonts w:ascii="Book Antiqua" w:hAnsi="Book Antiqua"/>
          <w:color w:val="231F20"/>
          <w:sz w:val="24"/>
          <w:szCs w:val="24"/>
          <w:lang w:val="en-IN"/>
        </w:rPr>
        <w:t xml:space="preserve">the </w:t>
      </w:r>
      <w:r w:rsidR="007940BB" w:rsidRPr="00AE4053">
        <w:rPr>
          <w:rFonts w:ascii="Book Antiqua" w:hAnsi="Book Antiqua"/>
          <w:color w:val="231F20"/>
          <w:sz w:val="24"/>
          <w:szCs w:val="24"/>
          <w:lang w:val="en-IN"/>
        </w:rPr>
        <w:t xml:space="preserve">Institute of Liver, Gastroenterology, </w:t>
      </w:r>
      <w:r w:rsidR="00160194">
        <w:rPr>
          <w:rFonts w:ascii="Book Antiqua" w:hAnsi="Book Antiqua"/>
          <w:color w:val="231F20"/>
          <w:sz w:val="24"/>
          <w:szCs w:val="24"/>
          <w:lang w:val="en-IN"/>
        </w:rPr>
        <w:t>and</w:t>
      </w:r>
      <w:r w:rsidR="007940BB" w:rsidRPr="00AE4053">
        <w:rPr>
          <w:rFonts w:ascii="Book Antiqua" w:hAnsi="Book Antiqua"/>
          <w:color w:val="231F20"/>
          <w:sz w:val="24"/>
          <w:szCs w:val="24"/>
          <w:lang w:val="en-IN"/>
        </w:rPr>
        <w:t xml:space="preserve"> </w:t>
      </w:r>
      <w:proofErr w:type="spellStart"/>
      <w:r w:rsidR="007940BB" w:rsidRPr="00AE4053">
        <w:rPr>
          <w:rFonts w:ascii="Book Antiqua" w:hAnsi="Book Antiqua"/>
          <w:color w:val="231F20"/>
          <w:sz w:val="24"/>
          <w:szCs w:val="24"/>
          <w:lang w:val="en-IN"/>
        </w:rPr>
        <w:t>Panceatico</w:t>
      </w:r>
      <w:proofErr w:type="spellEnd"/>
      <w:r w:rsidR="007940BB" w:rsidRPr="00AE4053">
        <w:rPr>
          <w:rFonts w:ascii="Book Antiqua" w:hAnsi="Book Antiqua"/>
          <w:color w:val="231F20"/>
          <w:sz w:val="24"/>
          <w:szCs w:val="24"/>
          <w:lang w:val="en-IN"/>
        </w:rPr>
        <w:t>-Biliary Sciences, Sir Ganga Ram Hospital, New Delhi</w:t>
      </w:r>
      <w:r w:rsidR="007842A8" w:rsidRPr="00AE4053">
        <w:rPr>
          <w:rFonts w:ascii="Book Antiqua" w:hAnsi="Book Antiqua"/>
          <w:color w:val="231F20"/>
          <w:sz w:val="24"/>
          <w:szCs w:val="24"/>
        </w:rPr>
        <w:t>,</w:t>
      </w:r>
      <w:r w:rsidR="00660C8C" w:rsidRPr="00AE4053">
        <w:rPr>
          <w:rFonts w:ascii="Book Antiqua" w:hAnsi="Book Antiqua"/>
          <w:color w:val="231F20"/>
          <w:sz w:val="24"/>
          <w:szCs w:val="24"/>
          <w:lang w:val="en-IN"/>
        </w:rPr>
        <w:t xml:space="preserve"> </w:t>
      </w:r>
      <w:r w:rsidR="006A6FE0" w:rsidRPr="00AE4053">
        <w:rPr>
          <w:rFonts w:ascii="Book Antiqua" w:hAnsi="Book Antiqua"/>
          <w:color w:val="231F20"/>
          <w:sz w:val="24"/>
          <w:szCs w:val="24"/>
          <w:lang w:val="en-IN"/>
        </w:rPr>
        <w:t xml:space="preserve">on patients who underwent HVPG </w:t>
      </w:r>
      <w:r w:rsidR="00DC7D7B" w:rsidRPr="00AE4053">
        <w:rPr>
          <w:rFonts w:ascii="Book Antiqua" w:hAnsi="Book Antiqua"/>
          <w:color w:val="231F20"/>
          <w:sz w:val="24"/>
          <w:szCs w:val="24"/>
          <w:lang w:val="en-IN"/>
        </w:rPr>
        <w:t xml:space="preserve">and TE </w:t>
      </w:r>
      <w:r w:rsidR="00660C8C" w:rsidRPr="00AE4053">
        <w:rPr>
          <w:rFonts w:ascii="Book Antiqua" w:hAnsi="Book Antiqua"/>
          <w:color w:val="231F20"/>
          <w:sz w:val="24"/>
          <w:szCs w:val="24"/>
          <w:lang w:val="en-IN"/>
        </w:rPr>
        <w:t>from J</w:t>
      </w:r>
      <w:r w:rsidR="005C047D" w:rsidRPr="00AE4053">
        <w:rPr>
          <w:rFonts w:ascii="Book Antiqua" w:hAnsi="Book Antiqua"/>
          <w:color w:val="231F20"/>
          <w:sz w:val="24"/>
          <w:szCs w:val="24"/>
          <w:lang w:val="en-IN"/>
        </w:rPr>
        <w:t>uly</w:t>
      </w:r>
      <w:r w:rsidR="00660C8C" w:rsidRPr="00AE4053">
        <w:rPr>
          <w:rFonts w:ascii="Book Antiqua" w:hAnsi="Book Antiqua"/>
          <w:color w:val="231F20"/>
          <w:sz w:val="24"/>
          <w:szCs w:val="24"/>
          <w:lang w:val="en-IN"/>
        </w:rPr>
        <w:t xml:space="preserve"> 201</w:t>
      </w:r>
      <w:r w:rsidR="005C047D" w:rsidRPr="00AE4053">
        <w:rPr>
          <w:rFonts w:ascii="Book Antiqua" w:hAnsi="Book Antiqua"/>
          <w:color w:val="231F20"/>
          <w:sz w:val="24"/>
          <w:szCs w:val="24"/>
          <w:lang w:val="en-IN"/>
        </w:rPr>
        <w:t>1</w:t>
      </w:r>
      <w:r w:rsidR="00660C8C" w:rsidRPr="00AE4053">
        <w:rPr>
          <w:rFonts w:ascii="Book Antiqua" w:hAnsi="Book Antiqua"/>
          <w:color w:val="231F20"/>
          <w:sz w:val="24"/>
          <w:szCs w:val="24"/>
          <w:lang w:val="en-IN"/>
        </w:rPr>
        <w:t xml:space="preserve"> to </w:t>
      </w:r>
      <w:r w:rsidR="005C047D" w:rsidRPr="00AE4053">
        <w:rPr>
          <w:rFonts w:ascii="Book Antiqua" w:hAnsi="Book Antiqua"/>
          <w:color w:val="231F20"/>
          <w:sz w:val="24"/>
          <w:szCs w:val="24"/>
          <w:lang w:val="en-IN"/>
        </w:rPr>
        <w:t>May</w:t>
      </w:r>
      <w:r w:rsidR="00660C8C" w:rsidRPr="00AE4053">
        <w:rPr>
          <w:rFonts w:ascii="Book Antiqua" w:hAnsi="Book Antiqua"/>
          <w:color w:val="231F20"/>
          <w:sz w:val="24"/>
          <w:szCs w:val="24"/>
          <w:lang w:val="en-IN"/>
        </w:rPr>
        <w:t xml:space="preserve"> 201</w:t>
      </w:r>
      <w:r w:rsidR="007940BB" w:rsidRPr="00AE4053">
        <w:rPr>
          <w:rFonts w:ascii="Book Antiqua" w:hAnsi="Book Antiqua"/>
          <w:color w:val="231F20"/>
          <w:sz w:val="24"/>
          <w:szCs w:val="24"/>
          <w:lang w:val="en-IN"/>
        </w:rPr>
        <w:t>6</w:t>
      </w:r>
      <w:r w:rsidR="00660C8C" w:rsidRPr="00AE4053">
        <w:rPr>
          <w:rFonts w:ascii="Book Antiqua" w:hAnsi="Book Antiqua"/>
          <w:color w:val="231F20"/>
          <w:sz w:val="24"/>
          <w:szCs w:val="24"/>
          <w:lang w:val="en-IN"/>
        </w:rPr>
        <w:t xml:space="preserve">. </w:t>
      </w:r>
      <w:r w:rsidR="00393E34" w:rsidRPr="00AE4053">
        <w:rPr>
          <w:rFonts w:ascii="Book Antiqua" w:hAnsi="Book Antiqua"/>
          <w:color w:val="231F20"/>
          <w:sz w:val="24"/>
          <w:szCs w:val="24"/>
          <w:lang w:val="en-IN"/>
        </w:rPr>
        <w:t xml:space="preserve">The study conformed to the Helsinki declaration of 1975 as revised in 1983. </w:t>
      </w:r>
      <w:r w:rsidR="005C047D" w:rsidRPr="00AE4053">
        <w:rPr>
          <w:rFonts w:ascii="Book Antiqua" w:hAnsi="Book Antiqua"/>
          <w:color w:val="231F20"/>
          <w:sz w:val="24"/>
          <w:szCs w:val="24"/>
          <w:lang w:val="en-IN"/>
        </w:rPr>
        <w:t>The study was retrospective on prospectively enrolled patients during this period.</w:t>
      </w:r>
    </w:p>
    <w:p w14:paraId="1A7255DA" w14:textId="77777777" w:rsidR="00DC7D7B" w:rsidRPr="00AE4053" w:rsidRDefault="00DC7D7B" w:rsidP="00AE4053">
      <w:pPr>
        <w:snapToGrid w:val="0"/>
        <w:spacing w:after="0" w:line="360" w:lineRule="auto"/>
        <w:jc w:val="both"/>
        <w:rPr>
          <w:rFonts w:ascii="Book Antiqua" w:hAnsi="Book Antiqua"/>
          <w:b/>
          <w:bCs/>
          <w:iCs/>
          <w:color w:val="231F20"/>
          <w:sz w:val="24"/>
          <w:szCs w:val="24"/>
          <w:lang w:val="en-IN"/>
        </w:rPr>
      </w:pPr>
    </w:p>
    <w:p w14:paraId="0B759C99" w14:textId="73F4F763" w:rsidR="00393E34" w:rsidRPr="00D33215" w:rsidRDefault="00393E34" w:rsidP="00AE4053">
      <w:pPr>
        <w:snapToGrid w:val="0"/>
        <w:spacing w:after="0" w:line="360" w:lineRule="auto"/>
        <w:jc w:val="both"/>
        <w:rPr>
          <w:rFonts w:ascii="Book Antiqua" w:hAnsi="Book Antiqua"/>
          <w:b/>
          <w:bCs/>
          <w:iCs/>
          <w:color w:val="231F20"/>
          <w:sz w:val="24"/>
          <w:szCs w:val="24"/>
          <w:lang w:val="en-IN"/>
        </w:rPr>
      </w:pPr>
      <w:r w:rsidRPr="00D33215">
        <w:rPr>
          <w:rFonts w:ascii="Book Antiqua" w:hAnsi="Book Antiqua"/>
          <w:b/>
          <w:bCs/>
          <w:iCs/>
          <w:color w:val="231F20"/>
          <w:sz w:val="24"/>
          <w:szCs w:val="24"/>
          <w:lang w:val="en-IN"/>
        </w:rPr>
        <w:t>Inclusion criteria</w:t>
      </w:r>
      <w:r w:rsidR="00D33215">
        <w:rPr>
          <w:rFonts w:ascii="Book Antiqua" w:hAnsi="Book Antiqua"/>
          <w:b/>
          <w:bCs/>
          <w:iCs/>
          <w:color w:val="231F20"/>
          <w:sz w:val="24"/>
          <w:szCs w:val="24"/>
          <w:lang w:val="en-IN"/>
        </w:rPr>
        <w:t xml:space="preserve">: </w:t>
      </w:r>
      <w:r w:rsidR="000E50A1" w:rsidRPr="00AE4053">
        <w:rPr>
          <w:rFonts w:ascii="Book Antiqua" w:hAnsi="Book Antiqua"/>
          <w:color w:val="231F20"/>
          <w:sz w:val="24"/>
          <w:szCs w:val="24"/>
          <w:lang w:val="en-IN"/>
        </w:rPr>
        <w:t>Consecutive p</w:t>
      </w:r>
      <w:r w:rsidR="00A70738" w:rsidRPr="00AE4053">
        <w:rPr>
          <w:rFonts w:ascii="Book Antiqua" w:hAnsi="Book Antiqua"/>
          <w:color w:val="231F20"/>
          <w:sz w:val="24"/>
          <w:szCs w:val="24"/>
          <w:lang w:val="en-IN"/>
        </w:rPr>
        <w:t xml:space="preserve">atients </w:t>
      </w:r>
      <w:r w:rsidR="008C4A6C" w:rsidRPr="00AE4053">
        <w:rPr>
          <w:rFonts w:ascii="Book Antiqua" w:hAnsi="Book Antiqua"/>
          <w:color w:val="231F20"/>
          <w:sz w:val="24"/>
          <w:szCs w:val="24"/>
          <w:lang w:val="en-IN"/>
        </w:rPr>
        <w:t>with</w:t>
      </w:r>
      <w:r w:rsidR="00AB6E07" w:rsidRPr="00AE4053">
        <w:rPr>
          <w:rFonts w:ascii="Book Antiqua" w:hAnsi="Book Antiqua"/>
          <w:color w:val="231F20"/>
          <w:sz w:val="24"/>
          <w:szCs w:val="24"/>
          <w:lang w:val="en-IN"/>
        </w:rPr>
        <w:t xml:space="preserve"> </w:t>
      </w:r>
      <w:r w:rsidR="002F638C" w:rsidRPr="00AE4053">
        <w:rPr>
          <w:rFonts w:ascii="Book Antiqua" w:hAnsi="Book Antiqua"/>
          <w:color w:val="231F20"/>
          <w:sz w:val="24"/>
          <w:szCs w:val="24"/>
          <w:lang w:val="en-IN"/>
        </w:rPr>
        <w:t>cirrhosis</w:t>
      </w:r>
      <w:r w:rsidR="00A55ED2" w:rsidRPr="00AE4053">
        <w:rPr>
          <w:rFonts w:ascii="Book Antiqua" w:hAnsi="Book Antiqua"/>
          <w:color w:val="231F20"/>
          <w:sz w:val="24"/>
          <w:szCs w:val="24"/>
          <w:lang w:val="en-IN"/>
        </w:rPr>
        <w:t xml:space="preserve"> greater than</w:t>
      </w:r>
      <w:r w:rsidR="00001A41" w:rsidRPr="00AE4053">
        <w:rPr>
          <w:rFonts w:ascii="Book Antiqua" w:hAnsi="Book Antiqua"/>
          <w:color w:val="231F20"/>
          <w:sz w:val="24"/>
          <w:szCs w:val="24"/>
          <w:lang w:val="en-IN"/>
        </w:rPr>
        <w:t xml:space="preserve"> 15</w:t>
      </w:r>
      <w:r w:rsidR="00660C8C" w:rsidRPr="00AE4053">
        <w:rPr>
          <w:rFonts w:ascii="Book Antiqua" w:hAnsi="Book Antiqua"/>
          <w:color w:val="231F20"/>
          <w:sz w:val="24"/>
          <w:szCs w:val="24"/>
          <w:lang w:val="en-IN"/>
        </w:rPr>
        <w:t xml:space="preserve"> years</w:t>
      </w:r>
      <w:r w:rsidR="00A55ED2" w:rsidRPr="00AE4053">
        <w:rPr>
          <w:rFonts w:ascii="Book Antiqua" w:hAnsi="Book Antiqua"/>
          <w:color w:val="231F20"/>
          <w:sz w:val="24"/>
          <w:szCs w:val="24"/>
          <w:lang w:val="en-IN"/>
        </w:rPr>
        <w:t xml:space="preserve"> of age </w:t>
      </w:r>
      <w:r w:rsidR="002B4B93" w:rsidRPr="00AE4053">
        <w:rPr>
          <w:rFonts w:ascii="Book Antiqua" w:hAnsi="Book Antiqua"/>
          <w:color w:val="231F20"/>
          <w:sz w:val="24"/>
          <w:szCs w:val="24"/>
          <w:lang w:val="en-IN"/>
        </w:rPr>
        <w:t>who</w:t>
      </w:r>
      <w:r w:rsidR="00A70738" w:rsidRPr="00AE4053">
        <w:rPr>
          <w:rFonts w:ascii="Book Antiqua" w:hAnsi="Book Antiqua"/>
          <w:color w:val="231F20"/>
          <w:sz w:val="24"/>
          <w:szCs w:val="24"/>
          <w:lang w:val="en-IN"/>
        </w:rPr>
        <w:t xml:space="preserve"> underwent </w:t>
      </w:r>
      <w:r w:rsidR="007940BB" w:rsidRPr="00AE4053">
        <w:rPr>
          <w:rFonts w:ascii="Book Antiqua" w:hAnsi="Book Antiqua"/>
          <w:color w:val="231F20"/>
          <w:sz w:val="24"/>
          <w:szCs w:val="24"/>
          <w:lang w:val="en-IN"/>
        </w:rPr>
        <w:t xml:space="preserve">HVPG </w:t>
      </w:r>
      <w:r w:rsidR="00A70738" w:rsidRPr="00AE4053">
        <w:rPr>
          <w:rFonts w:ascii="Book Antiqua" w:hAnsi="Book Antiqua"/>
          <w:color w:val="231F20"/>
          <w:sz w:val="24"/>
          <w:szCs w:val="24"/>
          <w:lang w:val="en-IN"/>
        </w:rPr>
        <w:t xml:space="preserve">and </w:t>
      </w:r>
      <w:r w:rsidR="00DC7D7B" w:rsidRPr="00AE4053">
        <w:rPr>
          <w:rFonts w:ascii="Book Antiqua" w:hAnsi="Book Antiqua"/>
          <w:color w:val="231F20"/>
          <w:sz w:val="24"/>
          <w:szCs w:val="24"/>
          <w:lang w:val="en-IN"/>
        </w:rPr>
        <w:t>TE</w:t>
      </w:r>
      <w:r w:rsidR="00A70738" w:rsidRPr="00AE4053">
        <w:rPr>
          <w:rFonts w:ascii="Book Antiqua" w:hAnsi="Book Antiqua"/>
          <w:color w:val="231F20"/>
          <w:sz w:val="24"/>
          <w:szCs w:val="24"/>
          <w:lang w:val="en-IN"/>
        </w:rPr>
        <w:t xml:space="preserve"> were </w:t>
      </w:r>
      <w:r w:rsidR="002B4B93" w:rsidRPr="00AE4053">
        <w:rPr>
          <w:rFonts w:ascii="Book Antiqua" w:hAnsi="Book Antiqua"/>
          <w:color w:val="231F20"/>
          <w:sz w:val="24"/>
          <w:szCs w:val="24"/>
          <w:lang w:val="en-IN"/>
        </w:rPr>
        <w:t>included</w:t>
      </w:r>
      <w:r w:rsidR="00A70738" w:rsidRPr="00AE4053">
        <w:rPr>
          <w:rFonts w:ascii="Book Antiqua" w:hAnsi="Book Antiqua"/>
          <w:color w:val="231F20"/>
          <w:sz w:val="24"/>
          <w:szCs w:val="24"/>
          <w:lang w:val="en-IN"/>
        </w:rPr>
        <w:t xml:space="preserve"> in the study. </w:t>
      </w:r>
      <w:r w:rsidR="006600B5" w:rsidRPr="00AE4053">
        <w:rPr>
          <w:rFonts w:ascii="Book Antiqua" w:hAnsi="Book Antiqua"/>
          <w:color w:val="231F20"/>
          <w:sz w:val="24"/>
          <w:szCs w:val="24"/>
          <w:lang w:val="en-IN"/>
        </w:rPr>
        <w:t>Both</w:t>
      </w:r>
      <w:r w:rsidR="008F081B" w:rsidRPr="00AE4053">
        <w:rPr>
          <w:rFonts w:ascii="Book Antiqua" w:hAnsi="Book Antiqua"/>
          <w:color w:val="231F20"/>
          <w:sz w:val="24"/>
          <w:szCs w:val="24"/>
          <w:lang w:val="en-IN"/>
        </w:rPr>
        <w:t xml:space="preserve"> the</w:t>
      </w:r>
      <w:r w:rsidR="006600B5" w:rsidRPr="00AE4053">
        <w:rPr>
          <w:rFonts w:ascii="Book Antiqua" w:hAnsi="Book Antiqua"/>
          <w:color w:val="231F20"/>
          <w:sz w:val="24"/>
          <w:szCs w:val="24"/>
          <w:lang w:val="en-IN"/>
        </w:rPr>
        <w:t>se</w:t>
      </w:r>
      <w:r w:rsidR="008F081B" w:rsidRPr="00AE4053">
        <w:rPr>
          <w:rFonts w:ascii="Book Antiqua" w:hAnsi="Book Antiqua"/>
          <w:color w:val="231F20"/>
          <w:sz w:val="24"/>
          <w:szCs w:val="24"/>
          <w:lang w:val="en-IN"/>
        </w:rPr>
        <w:t xml:space="preserve"> procedures </w:t>
      </w:r>
      <w:r w:rsidR="006600B5" w:rsidRPr="00AE4053">
        <w:rPr>
          <w:rFonts w:ascii="Book Antiqua" w:hAnsi="Book Antiqua"/>
          <w:color w:val="231F20"/>
          <w:sz w:val="24"/>
          <w:szCs w:val="24"/>
          <w:lang w:val="en-IN"/>
        </w:rPr>
        <w:t>should have been</w:t>
      </w:r>
      <w:r w:rsidR="008F081B" w:rsidRPr="00AE4053">
        <w:rPr>
          <w:rFonts w:ascii="Book Antiqua" w:hAnsi="Book Antiqua"/>
          <w:color w:val="231F20"/>
          <w:sz w:val="24"/>
          <w:szCs w:val="24"/>
          <w:lang w:val="en-IN"/>
        </w:rPr>
        <w:t xml:space="preserve"> </w:t>
      </w:r>
      <w:r w:rsidR="00A55ED2" w:rsidRPr="00AE4053">
        <w:rPr>
          <w:rFonts w:ascii="Book Antiqua" w:hAnsi="Book Antiqua"/>
          <w:color w:val="231F20"/>
          <w:sz w:val="24"/>
          <w:szCs w:val="24"/>
          <w:lang w:val="en-IN"/>
        </w:rPr>
        <w:t xml:space="preserve">performed </w:t>
      </w:r>
      <w:r w:rsidR="008F081B" w:rsidRPr="00AE4053">
        <w:rPr>
          <w:rFonts w:ascii="Book Antiqua" w:hAnsi="Book Antiqua"/>
          <w:color w:val="231F20"/>
          <w:sz w:val="24"/>
          <w:szCs w:val="24"/>
          <w:lang w:val="en-IN"/>
        </w:rPr>
        <w:t xml:space="preserve">within an interval of one week. </w:t>
      </w:r>
    </w:p>
    <w:p w14:paraId="2F544F42" w14:textId="77777777" w:rsidR="00DC7D7B" w:rsidRPr="00AE4053" w:rsidRDefault="00DC7D7B" w:rsidP="00AE4053">
      <w:pPr>
        <w:snapToGrid w:val="0"/>
        <w:spacing w:after="0" w:line="360" w:lineRule="auto"/>
        <w:jc w:val="both"/>
        <w:rPr>
          <w:rFonts w:ascii="Book Antiqua" w:hAnsi="Book Antiqua"/>
          <w:b/>
          <w:bCs/>
          <w:iCs/>
          <w:color w:val="231F20"/>
          <w:sz w:val="24"/>
          <w:szCs w:val="24"/>
          <w:lang w:val="en-IN"/>
        </w:rPr>
      </w:pPr>
    </w:p>
    <w:p w14:paraId="3A053FB9" w14:textId="4251EB10" w:rsidR="00393E34" w:rsidRPr="00D33215" w:rsidRDefault="00393E34" w:rsidP="00AE4053">
      <w:pPr>
        <w:snapToGrid w:val="0"/>
        <w:spacing w:after="0" w:line="360" w:lineRule="auto"/>
        <w:jc w:val="both"/>
        <w:rPr>
          <w:rFonts w:ascii="Book Antiqua" w:hAnsi="Book Antiqua"/>
          <w:b/>
          <w:bCs/>
          <w:iCs/>
          <w:color w:val="231F20"/>
          <w:sz w:val="24"/>
          <w:szCs w:val="24"/>
          <w:lang w:val="en-IN"/>
        </w:rPr>
      </w:pPr>
      <w:r w:rsidRPr="00D33215">
        <w:rPr>
          <w:rFonts w:ascii="Book Antiqua" w:hAnsi="Book Antiqua"/>
          <w:b/>
          <w:bCs/>
          <w:iCs/>
          <w:color w:val="231F20"/>
          <w:sz w:val="24"/>
          <w:szCs w:val="24"/>
          <w:lang w:val="en-IN"/>
        </w:rPr>
        <w:t>Exclusion criteria</w:t>
      </w:r>
      <w:r w:rsidR="00D33215">
        <w:rPr>
          <w:rFonts w:ascii="Book Antiqua" w:hAnsi="Book Antiqua"/>
          <w:b/>
          <w:bCs/>
          <w:iCs/>
          <w:color w:val="231F20"/>
          <w:sz w:val="24"/>
          <w:szCs w:val="24"/>
          <w:lang w:val="en-IN"/>
        </w:rPr>
        <w:t xml:space="preserve">: </w:t>
      </w:r>
      <w:r w:rsidR="00A55ED2" w:rsidRPr="00AE4053">
        <w:rPr>
          <w:rFonts w:ascii="Book Antiqua" w:hAnsi="Book Antiqua"/>
          <w:color w:val="231F20"/>
          <w:sz w:val="24"/>
          <w:szCs w:val="24"/>
          <w:lang w:val="en-IN"/>
        </w:rPr>
        <w:t xml:space="preserve">The following </w:t>
      </w:r>
      <w:r w:rsidRPr="00AE4053">
        <w:rPr>
          <w:rFonts w:ascii="Book Antiqua" w:hAnsi="Book Antiqua"/>
          <w:color w:val="231F20"/>
          <w:sz w:val="24"/>
          <w:szCs w:val="24"/>
          <w:lang w:val="en-IN"/>
        </w:rPr>
        <w:t>patients were excluded from the study: (</w:t>
      </w:r>
      <w:r w:rsidR="00D33215">
        <w:rPr>
          <w:rFonts w:ascii="Book Antiqua" w:hAnsi="Book Antiqua"/>
          <w:color w:val="231F20"/>
          <w:sz w:val="24"/>
          <w:szCs w:val="24"/>
          <w:lang w:val="en-IN"/>
        </w:rPr>
        <w:t>1</w:t>
      </w:r>
      <w:r w:rsidRPr="00AE4053">
        <w:rPr>
          <w:rFonts w:ascii="Book Antiqua" w:hAnsi="Book Antiqua"/>
          <w:color w:val="231F20"/>
          <w:sz w:val="24"/>
          <w:szCs w:val="24"/>
          <w:lang w:val="en-IN"/>
        </w:rPr>
        <w:t>) patients with non-cirrhotic cause of portal hypertension; (</w:t>
      </w:r>
      <w:r w:rsidR="00D33215">
        <w:rPr>
          <w:rFonts w:ascii="Book Antiqua" w:hAnsi="Book Antiqua"/>
          <w:color w:val="231F20"/>
          <w:sz w:val="24"/>
          <w:szCs w:val="24"/>
          <w:lang w:val="en-IN"/>
        </w:rPr>
        <w:t>2</w:t>
      </w:r>
      <w:r w:rsidRPr="00AE4053">
        <w:rPr>
          <w:rFonts w:ascii="Book Antiqua" w:hAnsi="Book Antiqua"/>
          <w:color w:val="231F20"/>
          <w:sz w:val="24"/>
          <w:szCs w:val="24"/>
          <w:lang w:val="en-IN"/>
        </w:rPr>
        <w:t xml:space="preserve">) </w:t>
      </w:r>
      <w:r w:rsidR="008C4A6C" w:rsidRPr="00AE4053">
        <w:rPr>
          <w:rFonts w:ascii="Book Antiqua" w:hAnsi="Book Antiqua"/>
          <w:color w:val="231F20"/>
          <w:sz w:val="24"/>
          <w:szCs w:val="24"/>
          <w:lang w:val="en-IN"/>
        </w:rPr>
        <w:t>patients with acute-on-chronic liver failure</w:t>
      </w:r>
      <w:r w:rsidR="00A55ED2" w:rsidRPr="00AE4053">
        <w:rPr>
          <w:rFonts w:ascii="Book Antiqua" w:hAnsi="Book Antiqua"/>
          <w:color w:val="231F20"/>
          <w:sz w:val="24"/>
          <w:szCs w:val="24"/>
          <w:lang w:val="en-IN"/>
        </w:rPr>
        <w:t>;</w:t>
      </w:r>
      <w:r w:rsidR="008C4A6C" w:rsidRPr="00AE4053">
        <w:rPr>
          <w:rFonts w:ascii="Book Antiqua" w:hAnsi="Book Antiqua"/>
          <w:color w:val="231F20"/>
          <w:sz w:val="24"/>
          <w:szCs w:val="24"/>
          <w:lang w:val="en-IN"/>
        </w:rPr>
        <w:t xml:space="preserve"> </w:t>
      </w:r>
      <w:r w:rsidRPr="00AE4053">
        <w:rPr>
          <w:rFonts w:ascii="Book Antiqua" w:hAnsi="Book Antiqua"/>
          <w:color w:val="231F20"/>
          <w:sz w:val="24"/>
          <w:szCs w:val="24"/>
          <w:lang w:val="en-IN"/>
        </w:rPr>
        <w:t>(</w:t>
      </w:r>
      <w:r w:rsidR="00D33215">
        <w:rPr>
          <w:rFonts w:ascii="Book Antiqua" w:hAnsi="Book Antiqua"/>
          <w:color w:val="231F20"/>
          <w:sz w:val="24"/>
          <w:szCs w:val="24"/>
          <w:lang w:val="en-IN"/>
        </w:rPr>
        <w:t>3</w:t>
      </w:r>
      <w:r w:rsidRPr="00AE4053">
        <w:rPr>
          <w:rFonts w:ascii="Book Antiqua" w:hAnsi="Book Antiqua"/>
          <w:color w:val="231F20"/>
          <w:sz w:val="24"/>
          <w:szCs w:val="24"/>
          <w:lang w:val="en-IN"/>
        </w:rPr>
        <w:t xml:space="preserve">) patients with </w:t>
      </w:r>
      <w:r w:rsidR="00792B07" w:rsidRPr="00AE4053">
        <w:rPr>
          <w:rFonts w:ascii="Book Antiqua" w:hAnsi="Book Antiqua"/>
          <w:color w:val="231F20"/>
          <w:sz w:val="24"/>
          <w:szCs w:val="24"/>
        </w:rPr>
        <w:t xml:space="preserve">an </w:t>
      </w:r>
      <w:r w:rsidRPr="00AE4053">
        <w:rPr>
          <w:rFonts w:ascii="Book Antiqua" w:hAnsi="Book Antiqua"/>
          <w:color w:val="231F20"/>
          <w:sz w:val="24"/>
          <w:szCs w:val="24"/>
          <w:lang w:val="en-IN"/>
        </w:rPr>
        <w:t xml:space="preserve">invalid reading of </w:t>
      </w:r>
      <w:r w:rsidR="006600B5" w:rsidRPr="00AE4053">
        <w:rPr>
          <w:rFonts w:ascii="Book Antiqua" w:hAnsi="Book Antiqua"/>
          <w:color w:val="231F20"/>
          <w:sz w:val="24"/>
          <w:szCs w:val="24"/>
          <w:lang w:val="en-IN"/>
        </w:rPr>
        <w:t>TE</w:t>
      </w:r>
      <w:r w:rsidR="0097557C" w:rsidRPr="00AE4053">
        <w:rPr>
          <w:rFonts w:ascii="Book Antiqua" w:hAnsi="Book Antiqua"/>
          <w:color w:val="231F20"/>
          <w:sz w:val="24"/>
          <w:szCs w:val="24"/>
          <w:lang w:val="en-IN"/>
        </w:rPr>
        <w:t xml:space="preserve"> or whose HVPG was not possible due to technical reasons</w:t>
      </w:r>
      <w:r w:rsidRPr="00AE4053">
        <w:rPr>
          <w:rFonts w:ascii="Book Antiqua" w:hAnsi="Book Antiqua"/>
          <w:color w:val="231F20"/>
          <w:sz w:val="24"/>
          <w:szCs w:val="24"/>
          <w:lang w:val="en-IN"/>
        </w:rPr>
        <w:t>; (</w:t>
      </w:r>
      <w:r w:rsidR="00D33215">
        <w:rPr>
          <w:rFonts w:ascii="Book Antiqua" w:hAnsi="Book Antiqua"/>
          <w:color w:val="231F20"/>
          <w:sz w:val="24"/>
          <w:szCs w:val="24"/>
          <w:lang w:val="en-IN"/>
        </w:rPr>
        <w:t>4</w:t>
      </w:r>
      <w:r w:rsidRPr="00AE4053">
        <w:rPr>
          <w:rFonts w:ascii="Book Antiqua" w:hAnsi="Book Antiqua"/>
          <w:color w:val="231F20"/>
          <w:sz w:val="24"/>
          <w:szCs w:val="24"/>
          <w:lang w:val="en-IN"/>
        </w:rPr>
        <w:t xml:space="preserve">) </w:t>
      </w:r>
      <w:r w:rsidR="008C4A6C" w:rsidRPr="00AE4053">
        <w:rPr>
          <w:rFonts w:ascii="Book Antiqua" w:hAnsi="Book Antiqua"/>
          <w:color w:val="231F20"/>
          <w:sz w:val="24"/>
          <w:szCs w:val="24"/>
          <w:lang w:val="en-IN"/>
        </w:rPr>
        <w:t>patients who received beta blocker therapy in the past two weeks,</w:t>
      </w:r>
      <w:r w:rsidR="00AB6E07" w:rsidRPr="00AE4053">
        <w:rPr>
          <w:rFonts w:ascii="Book Antiqua" w:hAnsi="Book Antiqua"/>
          <w:color w:val="231F20"/>
          <w:sz w:val="24"/>
          <w:szCs w:val="24"/>
          <w:lang w:val="en-IN"/>
        </w:rPr>
        <w:t xml:space="preserve"> </w:t>
      </w:r>
      <w:r w:rsidR="008C4A6C" w:rsidRPr="00AE4053">
        <w:rPr>
          <w:rFonts w:ascii="Book Antiqua" w:hAnsi="Book Antiqua"/>
          <w:color w:val="231F20"/>
          <w:sz w:val="24"/>
          <w:szCs w:val="24"/>
          <w:lang w:val="en-IN"/>
        </w:rPr>
        <w:t>(</w:t>
      </w:r>
      <w:r w:rsidR="00D33215">
        <w:rPr>
          <w:rFonts w:ascii="Book Antiqua" w:hAnsi="Book Antiqua"/>
          <w:color w:val="231F20"/>
          <w:sz w:val="24"/>
          <w:szCs w:val="24"/>
          <w:lang w:val="en-IN"/>
        </w:rPr>
        <w:t>5</w:t>
      </w:r>
      <w:r w:rsidR="008C4A6C" w:rsidRPr="00AE4053">
        <w:rPr>
          <w:rFonts w:ascii="Book Antiqua" w:hAnsi="Book Antiqua"/>
          <w:color w:val="231F20"/>
          <w:sz w:val="24"/>
          <w:szCs w:val="24"/>
          <w:lang w:val="en-IN"/>
        </w:rPr>
        <w:t>) concom</w:t>
      </w:r>
      <w:r w:rsidR="00FB76B1" w:rsidRPr="00AE4053">
        <w:rPr>
          <w:rFonts w:ascii="Book Antiqua" w:hAnsi="Book Antiqua"/>
          <w:color w:val="231F20"/>
          <w:sz w:val="24"/>
          <w:szCs w:val="24"/>
          <w:lang w:val="en-IN"/>
        </w:rPr>
        <w:t xml:space="preserve">itant </w:t>
      </w:r>
      <w:proofErr w:type="spellStart"/>
      <w:r w:rsidR="00531641" w:rsidRPr="00AE4053">
        <w:rPr>
          <w:rFonts w:ascii="Book Antiqua" w:hAnsi="Book Antiqua"/>
          <w:color w:val="231F20"/>
          <w:sz w:val="24"/>
          <w:szCs w:val="24"/>
          <w:lang w:val="en-IN"/>
        </w:rPr>
        <w:t>extrahepatic</w:t>
      </w:r>
      <w:proofErr w:type="spellEnd"/>
      <w:r w:rsidR="00531641" w:rsidRPr="00AE4053">
        <w:rPr>
          <w:rFonts w:ascii="Book Antiqua" w:hAnsi="Book Antiqua"/>
          <w:color w:val="231F20"/>
          <w:sz w:val="24"/>
          <w:szCs w:val="24"/>
          <w:lang w:val="en-IN"/>
        </w:rPr>
        <w:t xml:space="preserve"> malignancy.</w:t>
      </w:r>
    </w:p>
    <w:p w14:paraId="766A6123" w14:textId="77777777" w:rsidR="000634EC" w:rsidRPr="00AE4053" w:rsidRDefault="000634EC" w:rsidP="00AE4053">
      <w:pPr>
        <w:snapToGrid w:val="0"/>
        <w:spacing w:after="0" w:line="360" w:lineRule="auto"/>
        <w:jc w:val="both"/>
        <w:rPr>
          <w:rFonts w:ascii="Book Antiqua" w:hAnsi="Book Antiqua"/>
          <w:color w:val="231F20"/>
          <w:sz w:val="24"/>
          <w:szCs w:val="24"/>
          <w:lang w:val="en-IN"/>
        </w:rPr>
      </w:pPr>
    </w:p>
    <w:p w14:paraId="6A1D801C" w14:textId="77777777" w:rsidR="000634EC" w:rsidRPr="00D33215" w:rsidRDefault="00660C8C" w:rsidP="00AE4053">
      <w:pPr>
        <w:snapToGrid w:val="0"/>
        <w:spacing w:after="0" w:line="360" w:lineRule="auto"/>
        <w:jc w:val="both"/>
        <w:rPr>
          <w:rFonts w:ascii="Book Antiqua" w:hAnsi="Book Antiqua"/>
          <w:b/>
          <w:i/>
          <w:sz w:val="24"/>
          <w:szCs w:val="24"/>
          <w:lang w:val="en-IN"/>
        </w:rPr>
      </w:pPr>
      <w:bookmarkStart w:id="34" w:name="_Toc334950156"/>
      <w:r w:rsidRPr="00D33215">
        <w:rPr>
          <w:rFonts w:ascii="Book Antiqua" w:hAnsi="Book Antiqua"/>
          <w:b/>
          <w:i/>
          <w:sz w:val="24"/>
          <w:szCs w:val="24"/>
          <w:lang w:val="en-IN"/>
        </w:rPr>
        <w:t>Evaluation</w:t>
      </w:r>
      <w:bookmarkEnd w:id="34"/>
    </w:p>
    <w:p w14:paraId="08C8B0E1" w14:textId="62DADD9D" w:rsidR="000634EC" w:rsidRPr="00AE4053" w:rsidRDefault="00660C8C" w:rsidP="00AE4053">
      <w:pPr>
        <w:snapToGrid w:val="0"/>
        <w:spacing w:after="0" w:line="360" w:lineRule="auto"/>
        <w:jc w:val="both"/>
        <w:rPr>
          <w:rFonts w:ascii="Book Antiqua" w:hAnsi="Book Antiqua"/>
          <w:color w:val="231F20"/>
          <w:sz w:val="24"/>
          <w:szCs w:val="24"/>
          <w:lang w:val="en-IN"/>
        </w:rPr>
      </w:pPr>
      <w:r w:rsidRPr="00AE4053">
        <w:rPr>
          <w:rFonts w:ascii="Book Antiqua" w:hAnsi="Book Antiqua"/>
          <w:color w:val="231F20"/>
          <w:sz w:val="24"/>
          <w:szCs w:val="24"/>
          <w:lang w:val="en-IN"/>
        </w:rPr>
        <w:t xml:space="preserve">Each included patient underwent </w:t>
      </w:r>
      <w:r w:rsidR="00A55ED2" w:rsidRPr="00AE4053">
        <w:rPr>
          <w:rFonts w:ascii="Book Antiqua" w:hAnsi="Book Antiqua"/>
          <w:color w:val="231F20"/>
          <w:sz w:val="24"/>
          <w:szCs w:val="24"/>
          <w:lang w:val="en-IN"/>
        </w:rPr>
        <w:t xml:space="preserve">a </w:t>
      </w:r>
      <w:r w:rsidRPr="00AE4053">
        <w:rPr>
          <w:rFonts w:ascii="Book Antiqua" w:hAnsi="Book Antiqua"/>
          <w:color w:val="231F20"/>
          <w:sz w:val="24"/>
          <w:szCs w:val="24"/>
          <w:lang w:val="en-IN"/>
        </w:rPr>
        <w:t xml:space="preserve">detailed evaluation in terms of demographic parameters, </w:t>
      </w:r>
      <w:proofErr w:type="spellStart"/>
      <w:r w:rsidRPr="00AE4053">
        <w:rPr>
          <w:rFonts w:ascii="Book Antiqua" w:hAnsi="Book Antiqua"/>
          <w:color w:val="231F20"/>
          <w:sz w:val="24"/>
          <w:szCs w:val="24"/>
          <w:lang w:val="en-IN"/>
        </w:rPr>
        <w:t>etiology</w:t>
      </w:r>
      <w:proofErr w:type="spellEnd"/>
      <w:r w:rsidRPr="00AE4053">
        <w:rPr>
          <w:rFonts w:ascii="Book Antiqua" w:hAnsi="Book Antiqua"/>
          <w:color w:val="231F20"/>
          <w:sz w:val="24"/>
          <w:szCs w:val="24"/>
          <w:lang w:val="en-IN"/>
        </w:rPr>
        <w:t xml:space="preserve"> of cirrhosis, assessment of severity of liver disease (CTP, MELD), and assessment of severity of portal hypertension. </w:t>
      </w:r>
      <w:r w:rsidR="00CC4946" w:rsidRPr="00AE4053">
        <w:rPr>
          <w:rFonts w:ascii="Book Antiqua" w:hAnsi="Book Antiqua"/>
          <w:color w:val="231F20"/>
          <w:sz w:val="24"/>
          <w:szCs w:val="24"/>
          <w:lang w:val="en-IN"/>
        </w:rPr>
        <w:t xml:space="preserve">A standard methodology was followed for </w:t>
      </w:r>
      <w:r w:rsidR="00FB76B1" w:rsidRPr="00AE4053">
        <w:rPr>
          <w:rFonts w:ascii="Book Antiqua" w:hAnsi="Book Antiqua"/>
          <w:color w:val="231F20"/>
          <w:sz w:val="24"/>
          <w:szCs w:val="24"/>
          <w:lang w:val="en-IN"/>
        </w:rPr>
        <w:t xml:space="preserve">the </w:t>
      </w:r>
      <w:r w:rsidR="00CC4946" w:rsidRPr="00AE4053">
        <w:rPr>
          <w:rFonts w:ascii="Book Antiqua" w:hAnsi="Book Antiqua"/>
          <w:color w:val="231F20"/>
          <w:sz w:val="24"/>
          <w:szCs w:val="24"/>
          <w:lang w:val="en-IN"/>
        </w:rPr>
        <w:t xml:space="preserve">measurement of liver stiffness by </w:t>
      </w:r>
      <w:r w:rsidR="006600B5" w:rsidRPr="00AE4053">
        <w:rPr>
          <w:rFonts w:ascii="Book Antiqua" w:hAnsi="Book Antiqua"/>
          <w:color w:val="231F20"/>
          <w:sz w:val="24"/>
          <w:szCs w:val="24"/>
          <w:lang w:val="en-IN"/>
        </w:rPr>
        <w:t>TE</w:t>
      </w:r>
      <w:r w:rsidR="00CC4946" w:rsidRPr="00AE4053">
        <w:rPr>
          <w:rFonts w:ascii="Book Antiqua" w:hAnsi="Book Antiqua"/>
          <w:color w:val="231F20"/>
          <w:sz w:val="24"/>
          <w:szCs w:val="24"/>
          <w:lang w:val="en-IN"/>
        </w:rPr>
        <w:t xml:space="preserve"> and measurement of HVPG</w:t>
      </w:r>
      <w:r w:rsidR="00D01086" w:rsidRPr="00AE4053">
        <w:rPr>
          <w:rFonts w:ascii="Book Antiqua" w:hAnsi="Book Antiqua"/>
          <w:color w:val="231F20"/>
          <w:sz w:val="24"/>
          <w:szCs w:val="24"/>
          <w:lang w:val="en-IN"/>
        </w:rPr>
        <w:t>.</w:t>
      </w:r>
      <w:r w:rsidR="00AB6E07" w:rsidRPr="00AE4053">
        <w:rPr>
          <w:rFonts w:ascii="Book Antiqua" w:hAnsi="Book Antiqua"/>
          <w:color w:val="231F20"/>
          <w:sz w:val="24"/>
          <w:szCs w:val="24"/>
          <w:lang w:val="en-IN"/>
        </w:rPr>
        <w:t xml:space="preserve"> </w:t>
      </w:r>
    </w:p>
    <w:p w14:paraId="16366123" w14:textId="77777777" w:rsidR="000634EC" w:rsidRPr="00AE4053" w:rsidRDefault="000634EC" w:rsidP="00AE4053">
      <w:pPr>
        <w:snapToGrid w:val="0"/>
        <w:spacing w:after="0" w:line="360" w:lineRule="auto"/>
        <w:jc w:val="both"/>
        <w:rPr>
          <w:rFonts w:ascii="Book Antiqua" w:hAnsi="Book Antiqua"/>
          <w:color w:val="231F20"/>
          <w:sz w:val="24"/>
          <w:szCs w:val="24"/>
          <w:lang w:val="en-IN"/>
        </w:rPr>
      </w:pPr>
    </w:p>
    <w:p w14:paraId="3F393470" w14:textId="47AECA31" w:rsidR="000634EC" w:rsidRPr="00D33215" w:rsidRDefault="00CC4946" w:rsidP="00AE4053">
      <w:pPr>
        <w:snapToGrid w:val="0"/>
        <w:spacing w:after="0" w:line="360" w:lineRule="auto"/>
        <w:jc w:val="both"/>
        <w:rPr>
          <w:rFonts w:ascii="Book Antiqua" w:hAnsi="Book Antiqua"/>
          <w:b/>
          <w:i/>
          <w:sz w:val="24"/>
          <w:szCs w:val="24"/>
          <w:lang w:val="en-IN"/>
        </w:rPr>
      </w:pPr>
      <w:bookmarkStart w:id="35" w:name="_Toc334950157"/>
      <w:r w:rsidRPr="00D33215">
        <w:rPr>
          <w:rFonts w:ascii="Book Antiqua" w:hAnsi="Book Antiqua"/>
          <w:b/>
          <w:i/>
          <w:sz w:val="24"/>
          <w:szCs w:val="24"/>
          <w:lang w:val="en-IN"/>
        </w:rPr>
        <w:t>Live</w:t>
      </w:r>
      <w:r w:rsidR="007550E6" w:rsidRPr="00D33215">
        <w:rPr>
          <w:rFonts w:ascii="Book Antiqua" w:hAnsi="Book Antiqua"/>
          <w:b/>
          <w:i/>
          <w:sz w:val="24"/>
          <w:szCs w:val="24"/>
          <w:lang w:val="en-IN"/>
        </w:rPr>
        <w:t>r stiffness measurement b</w:t>
      </w:r>
      <w:r w:rsidRPr="00D33215">
        <w:rPr>
          <w:rFonts w:ascii="Book Antiqua" w:hAnsi="Book Antiqua"/>
          <w:b/>
          <w:i/>
          <w:sz w:val="24"/>
          <w:szCs w:val="24"/>
          <w:lang w:val="en-IN"/>
        </w:rPr>
        <w:t>y TE</w:t>
      </w:r>
      <w:bookmarkEnd w:id="35"/>
    </w:p>
    <w:p w14:paraId="109D736C" w14:textId="1624CF78" w:rsidR="000634EC" w:rsidRPr="00AE4053" w:rsidRDefault="00433AC3" w:rsidP="00AE4053">
      <w:pPr>
        <w:snapToGrid w:val="0"/>
        <w:spacing w:after="0" w:line="360" w:lineRule="auto"/>
        <w:jc w:val="both"/>
        <w:rPr>
          <w:rFonts w:ascii="Book Antiqua" w:hAnsi="Book Antiqua"/>
          <w:color w:val="231F20"/>
          <w:sz w:val="24"/>
          <w:szCs w:val="24"/>
          <w:lang w:val="en-IN"/>
        </w:rPr>
      </w:pPr>
      <w:r w:rsidRPr="00AE4053">
        <w:rPr>
          <w:rFonts w:ascii="Book Antiqua" w:hAnsi="Book Antiqua"/>
          <w:color w:val="231F20"/>
          <w:sz w:val="24"/>
          <w:szCs w:val="24"/>
          <w:lang w:val="en-IN"/>
        </w:rPr>
        <w:t xml:space="preserve">Liver stiffness measurement was </w:t>
      </w:r>
      <w:r w:rsidR="00A55ED2" w:rsidRPr="00AE4053">
        <w:rPr>
          <w:rFonts w:ascii="Book Antiqua" w:hAnsi="Book Antiqua"/>
          <w:color w:val="231F20"/>
          <w:sz w:val="24"/>
          <w:szCs w:val="24"/>
          <w:lang w:val="en-IN"/>
        </w:rPr>
        <w:t xml:space="preserve">performed </w:t>
      </w:r>
      <w:r w:rsidRPr="00AE4053">
        <w:rPr>
          <w:rFonts w:ascii="Book Antiqua" w:hAnsi="Book Antiqua"/>
          <w:color w:val="231F20"/>
          <w:sz w:val="24"/>
          <w:szCs w:val="24"/>
          <w:lang w:val="en-IN"/>
        </w:rPr>
        <w:t xml:space="preserve">using </w:t>
      </w:r>
      <w:r w:rsidR="00A55ED2" w:rsidRPr="00AE4053">
        <w:rPr>
          <w:rFonts w:ascii="Book Antiqua" w:hAnsi="Book Antiqua"/>
          <w:color w:val="231F20"/>
          <w:sz w:val="24"/>
          <w:szCs w:val="24"/>
          <w:lang w:val="en-IN"/>
        </w:rPr>
        <w:t xml:space="preserve">a </w:t>
      </w:r>
      <w:r w:rsidRPr="00AE4053">
        <w:rPr>
          <w:rFonts w:ascii="Book Antiqua" w:hAnsi="Book Antiqua"/>
          <w:color w:val="231F20"/>
          <w:sz w:val="24"/>
          <w:szCs w:val="24"/>
          <w:lang w:val="en-IN"/>
        </w:rPr>
        <w:t>FIBROSCAN® (</w:t>
      </w:r>
      <w:proofErr w:type="spellStart"/>
      <w:r w:rsidRPr="00AE4053">
        <w:rPr>
          <w:rFonts w:ascii="Book Antiqua" w:hAnsi="Book Antiqua"/>
          <w:color w:val="231F20"/>
          <w:sz w:val="24"/>
          <w:szCs w:val="24"/>
          <w:lang w:val="en-IN"/>
        </w:rPr>
        <w:t>Echosens</w:t>
      </w:r>
      <w:proofErr w:type="spellEnd"/>
      <w:r w:rsidRPr="00AE4053">
        <w:rPr>
          <w:rFonts w:ascii="Book Antiqua" w:hAnsi="Book Antiqua"/>
          <w:color w:val="231F20"/>
          <w:sz w:val="24"/>
          <w:szCs w:val="24"/>
          <w:lang w:val="en-IN"/>
        </w:rPr>
        <w:t xml:space="preserve">, Paris, France) device in accordance with </w:t>
      </w:r>
      <w:r w:rsidR="00792B07" w:rsidRPr="00AE4053">
        <w:rPr>
          <w:rFonts w:ascii="Book Antiqua" w:hAnsi="Book Antiqua"/>
          <w:color w:val="231F20"/>
          <w:sz w:val="24"/>
          <w:szCs w:val="24"/>
        </w:rPr>
        <w:t xml:space="preserve">the </w:t>
      </w:r>
      <w:r w:rsidRPr="00AE4053">
        <w:rPr>
          <w:rFonts w:ascii="Book Antiqua" w:hAnsi="Book Antiqua"/>
          <w:color w:val="231F20"/>
          <w:sz w:val="24"/>
          <w:szCs w:val="24"/>
          <w:lang w:val="en-IN"/>
        </w:rPr>
        <w:t xml:space="preserve">manufacturer’s recommendations. </w:t>
      </w:r>
      <w:r w:rsidR="00CC4946" w:rsidRPr="00AE4053">
        <w:rPr>
          <w:rFonts w:ascii="Book Antiqua" w:hAnsi="Book Antiqua"/>
          <w:color w:val="231F20"/>
          <w:sz w:val="24"/>
          <w:szCs w:val="24"/>
          <w:lang w:val="en-IN"/>
        </w:rPr>
        <w:t>Measurements</w:t>
      </w:r>
      <w:r w:rsidR="00B37AFA" w:rsidRPr="00AE4053">
        <w:rPr>
          <w:rFonts w:ascii="Book Antiqua" w:hAnsi="Book Antiqua"/>
          <w:color w:val="231F20"/>
          <w:sz w:val="24"/>
          <w:szCs w:val="24"/>
          <w:lang w:val="en-IN"/>
        </w:rPr>
        <w:t xml:space="preserve"> </w:t>
      </w:r>
      <w:r w:rsidR="00CC4946" w:rsidRPr="00AE4053">
        <w:rPr>
          <w:rFonts w:ascii="Book Antiqua" w:hAnsi="Book Antiqua"/>
          <w:color w:val="231F20"/>
          <w:sz w:val="24"/>
          <w:szCs w:val="24"/>
          <w:lang w:val="en-IN"/>
        </w:rPr>
        <w:t xml:space="preserve">were performed on the right lobe of the liver through intercostal spaces with the patient lying in </w:t>
      </w:r>
      <w:r w:rsidR="00A55ED2" w:rsidRPr="00AE4053">
        <w:rPr>
          <w:rFonts w:ascii="Book Antiqua" w:hAnsi="Book Antiqua"/>
          <w:color w:val="231F20"/>
          <w:sz w:val="24"/>
          <w:szCs w:val="24"/>
          <w:lang w:val="en-IN"/>
        </w:rPr>
        <w:t xml:space="preserve">a </w:t>
      </w:r>
      <w:r w:rsidR="00CC4946" w:rsidRPr="00AE4053">
        <w:rPr>
          <w:rFonts w:ascii="Book Antiqua" w:hAnsi="Book Antiqua"/>
          <w:color w:val="231F20"/>
          <w:sz w:val="24"/>
          <w:szCs w:val="24"/>
          <w:lang w:val="en-IN"/>
        </w:rPr>
        <w:t xml:space="preserve">supine position with the right arm in maximal </w:t>
      </w:r>
      <w:r w:rsidR="00CC4946" w:rsidRPr="00AE4053">
        <w:rPr>
          <w:rFonts w:ascii="Book Antiqua" w:hAnsi="Book Antiqua"/>
          <w:color w:val="231F20"/>
          <w:sz w:val="24"/>
          <w:szCs w:val="24"/>
          <w:lang w:val="en-IN"/>
        </w:rPr>
        <w:lastRenderedPageBreak/>
        <w:t>abduction. The tip of the transducer probe was covered with coupling gel and placed on the skin between the rib bones at the level</w:t>
      </w:r>
      <w:r w:rsidR="00CA33B4" w:rsidRPr="00AE4053">
        <w:rPr>
          <w:rFonts w:ascii="Book Antiqua" w:hAnsi="Book Antiqua"/>
          <w:color w:val="231F20"/>
          <w:sz w:val="24"/>
          <w:szCs w:val="24"/>
          <w:lang w:val="en-IN"/>
        </w:rPr>
        <w:t xml:space="preserve"> of the right lobe of the liver</w:t>
      </w:r>
      <w:r w:rsidR="00CC4946" w:rsidRPr="00AE4053">
        <w:rPr>
          <w:rFonts w:ascii="Book Antiqua" w:hAnsi="Book Antiqua"/>
          <w:color w:val="231F20"/>
          <w:sz w:val="24"/>
          <w:szCs w:val="24"/>
          <w:lang w:val="en-IN"/>
        </w:rPr>
        <w:t xml:space="preserve">. When the target area </w:t>
      </w:r>
      <w:r w:rsidR="00A55ED2" w:rsidRPr="00AE4053">
        <w:rPr>
          <w:rFonts w:ascii="Book Antiqua" w:hAnsi="Book Antiqua"/>
          <w:color w:val="231F20"/>
          <w:sz w:val="24"/>
          <w:szCs w:val="24"/>
          <w:lang w:val="en-IN"/>
        </w:rPr>
        <w:t>was</w:t>
      </w:r>
      <w:r w:rsidR="00CC4946" w:rsidRPr="00AE4053">
        <w:rPr>
          <w:rFonts w:ascii="Book Antiqua" w:hAnsi="Book Antiqua"/>
          <w:color w:val="231F20"/>
          <w:sz w:val="24"/>
          <w:szCs w:val="24"/>
          <w:lang w:val="en-IN"/>
        </w:rPr>
        <w:t xml:space="preserve"> located, the operator pressed the probe button to commence the measurements. The measurement depth was between 25 and 65 mm. </w:t>
      </w:r>
      <w:proofErr w:type="gramStart"/>
      <w:r w:rsidR="00CC4946" w:rsidRPr="00AE4053">
        <w:rPr>
          <w:rFonts w:ascii="Book Antiqua" w:hAnsi="Book Antiqua"/>
          <w:color w:val="231F20"/>
          <w:sz w:val="24"/>
          <w:szCs w:val="24"/>
          <w:lang w:val="en-IN"/>
        </w:rPr>
        <w:t>Ten</w:t>
      </w:r>
      <w:proofErr w:type="gramEnd"/>
      <w:r w:rsidR="00CC4946" w:rsidRPr="00AE4053">
        <w:rPr>
          <w:rFonts w:ascii="Book Antiqua" w:hAnsi="Book Antiqua"/>
          <w:color w:val="231F20"/>
          <w:sz w:val="24"/>
          <w:szCs w:val="24"/>
          <w:lang w:val="en-IN"/>
        </w:rPr>
        <w:t xml:space="preserve"> successful measurements were performed on each patient. The results were expressed in kilopascals (</w:t>
      </w:r>
      <w:proofErr w:type="spellStart"/>
      <w:r w:rsidR="00CC4946" w:rsidRPr="00AE4053">
        <w:rPr>
          <w:rFonts w:ascii="Book Antiqua" w:hAnsi="Book Antiqua"/>
          <w:color w:val="231F20"/>
          <w:sz w:val="24"/>
          <w:szCs w:val="24"/>
          <w:lang w:val="en-IN"/>
        </w:rPr>
        <w:t>kPa</w:t>
      </w:r>
      <w:proofErr w:type="spellEnd"/>
      <w:r w:rsidR="00CC4946" w:rsidRPr="00AE4053">
        <w:rPr>
          <w:rFonts w:ascii="Book Antiqua" w:hAnsi="Book Antiqua"/>
          <w:color w:val="231F20"/>
          <w:sz w:val="24"/>
          <w:szCs w:val="24"/>
          <w:lang w:val="en-IN"/>
        </w:rPr>
        <w:t xml:space="preserve">). The median value was considered as the liver stiffness. </w:t>
      </w:r>
      <w:r w:rsidRPr="00AE4053">
        <w:rPr>
          <w:rFonts w:ascii="Book Antiqua" w:hAnsi="Book Antiqua"/>
          <w:color w:val="231F20"/>
          <w:sz w:val="24"/>
          <w:szCs w:val="24"/>
          <w:lang w:val="en-IN"/>
        </w:rPr>
        <w:t>Interquartile range/median &lt;</w:t>
      </w:r>
      <w:r w:rsidR="00D33215">
        <w:rPr>
          <w:rFonts w:ascii="Book Antiqua" w:hAnsi="Book Antiqua"/>
          <w:color w:val="231F20"/>
          <w:sz w:val="24"/>
          <w:szCs w:val="24"/>
          <w:lang w:val="en-IN"/>
        </w:rPr>
        <w:t xml:space="preserve"> </w:t>
      </w:r>
      <w:r w:rsidRPr="00AE4053">
        <w:rPr>
          <w:rFonts w:ascii="Book Antiqua" w:hAnsi="Book Antiqua"/>
          <w:color w:val="231F20"/>
          <w:sz w:val="24"/>
          <w:szCs w:val="24"/>
          <w:lang w:val="en-IN"/>
        </w:rPr>
        <w:t>3</w:t>
      </w:r>
      <w:r w:rsidR="007550E6" w:rsidRPr="00AE4053">
        <w:rPr>
          <w:rFonts w:ascii="Book Antiqua" w:hAnsi="Book Antiqua"/>
          <w:color w:val="231F20"/>
          <w:sz w:val="24"/>
          <w:szCs w:val="24"/>
          <w:lang w:val="en-IN"/>
        </w:rPr>
        <w:t>0</w:t>
      </w:r>
      <w:r w:rsidRPr="00AE4053">
        <w:rPr>
          <w:rFonts w:ascii="Book Antiqua" w:hAnsi="Book Antiqua"/>
          <w:color w:val="231F20"/>
          <w:sz w:val="24"/>
          <w:szCs w:val="24"/>
          <w:lang w:val="en-IN"/>
        </w:rPr>
        <w:t>%</w:t>
      </w:r>
      <w:r w:rsidR="007550E6" w:rsidRPr="00AE4053">
        <w:rPr>
          <w:rFonts w:ascii="Book Antiqua" w:hAnsi="Book Antiqua"/>
          <w:color w:val="231F20"/>
          <w:sz w:val="24"/>
          <w:szCs w:val="24"/>
          <w:lang w:val="en-IN"/>
        </w:rPr>
        <w:t xml:space="preserve"> and success rate &gt;</w:t>
      </w:r>
      <w:r w:rsidR="00D33215">
        <w:rPr>
          <w:rFonts w:ascii="Book Antiqua" w:hAnsi="Book Antiqua"/>
          <w:color w:val="231F20"/>
          <w:sz w:val="24"/>
          <w:szCs w:val="24"/>
          <w:lang w:val="en-IN"/>
        </w:rPr>
        <w:t xml:space="preserve"> </w:t>
      </w:r>
      <w:r w:rsidR="007550E6" w:rsidRPr="00AE4053">
        <w:rPr>
          <w:rFonts w:ascii="Book Antiqua" w:hAnsi="Book Antiqua"/>
          <w:color w:val="231F20"/>
          <w:sz w:val="24"/>
          <w:szCs w:val="24"/>
          <w:lang w:val="en-IN"/>
        </w:rPr>
        <w:t>60</w:t>
      </w:r>
      <w:r w:rsidRPr="00AE4053">
        <w:rPr>
          <w:rFonts w:ascii="Book Antiqua" w:hAnsi="Book Antiqua"/>
          <w:color w:val="231F20"/>
          <w:sz w:val="24"/>
          <w:szCs w:val="24"/>
          <w:lang w:val="en-IN"/>
        </w:rPr>
        <w:t xml:space="preserve">% </w:t>
      </w:r>
      <w:r w:rsidR="00A55ED2" w:rsidRPr="00AE4053">
        <w:rPr>
          <w:rFonts w:ascii="Book Antiqua" w:hAnsi="Book Antiqua"/>
          <w:color w:val="231F20"/>
          <w:sz w:val="24"/>
          <w:szCs w:val="24"/>
          <w:lang w:val="en-IN"/>
        </w:rPr>
        <w:t xml:space="preserve">were </w:t>
      </w:r>
      <w:r w:rsidRPr="00AE4053">
        <w:rPr>
          <w:rFonts w:ascii="Book Antiqua" w:hAnsi="Book Antiqua"/>
          <w:color w:val="231F20"/>
          <w:sz w:val="24"/>
          <w:szCs w:val="24"/>
          <w:lang w:val="en-IN"/>
        </w:rPr>
        <w:t>considered as good quality criteria for TE.</w:t>
      </w:r>
      <w:r w:rsidR="00822C9F" w:rsidRPr="00AE4053">
        <w:rPr>
          <w:rFonts w:ascii="Book Antiqua" w:hAnsi="Book Antiqua"/>
          <w:color w:val="231F20"/>
          <w:sz w:val="24"/>
          <w:szCs w:val="24"/>
          <w:lang w:val="en-IN"/>
        </w:rPr>
        <w:t xml:space="preserve"> </w:t>
      </w:r>
      <w:r w:rsidR="00822C9F" w:rsidRPr="00AE4053">
        <w:rPr>
          <w:rFonts w:ascii="Book Antiqua" w:hAnsi="Book Antiqua"/>
          <w:color w:val="231F20"/>
          <w:sz w:val="24"/>
          <w:szCs w:val="24"/>
        </w:rPr>
        <w:t xml:space="preserve">Patients with significant ascites underwent large volume </w:t>
      </w:r>
      <w:proofErr w:type="spellStart"/>
      <w:r w:rsidR="00822C9F" w:rsidRPr="00AE4053">
        <w:rPr>
          <w:rFonts w:ascii="Book Antiqua" w:hAnsi="Book Antiqua"/>
          <w:color w:val="231F20"/>
          <w:sz w:val="24"/>
          <w:szCs w:val="24"/>
        </w:rPr>
        <w:t>paracentesis</w:t>
      </w:r>
      <w:proofErr w:type="spellEnd"/>
      <w:r w:rsidR="00822C9F" w:rsidRPr="00AE4053">
        <w:rPr>
          <w:rFonts w:ascii="Book Antiqua" w:hAnsi="Book Antiqua"/>
          <w:color w:val="231F20"/>
          <w:sz w:val="24"/>
          <w:szCs w:val="24"/>
        </w:rPr>
        <w:t xml:space="preserve"> before </w:t>
      </w:r>
      <w:r w:rsidR="00271E4C" w:rsidRPr="00AE4053">
        <w:rPr>
          <w:rFonts w:ascii="Book Antiqua" w:hAnsi="Book Antiqua"/>
          <w:color w:val="231F20"/>
          <w:sz w:val="24"/>
          <w:szCs w:val="24"/>
        </w:rPr>
        <w:t>liver stiffness measurement.</w:t>
      </w:r>
      <w:r w:rsidR="001F62C9" w:rsidRPr="00AE4053">
        <w:rPr>
          <w:rFonts w:ascii="Book Antiqua" w:hAnsi="Book Antiqua"/>
          <w:color w:val="231F20"/>
          <w:sz w:val="24"/>
          <w:szCs w:val="24"/>
        </w:rPr>
        <w:t xml:space="preserve"> All liver stiffness measurements were performed by a single operator.</w:t>
      </w:r>
    </w:p>
    <w:p w14:paraId="0361BBB2" w14:textId="77777777" w:rsidR="000634EC" w:rsidRPr="00AE4053" w:rsidRDefault="000634EC" w:rsidP="00AE4053">
      <w:pPr>
        <w:snapToGrid w:val="0"/>
        <w:spacing w:after="0" w:line="360" w:lineRule="auto"/>
        <w:jc w:val="both"/>
        <w:rPr>
          <w:rFonts w:ascii="Book Antiqua" w:hAnsi="Book Antiqua"/>
          <w:color w:val="231F20"/>
          <w:sz w:val="24"/>
          <w:szCs w:val="24"/>
          <w:lang w:val="en-IN"/>
        </w:rPr>
      </w:pPr>
    </w:p>
    <w:p w14:paraId="576A5DC0" w14:textId="1C4CD2E5" w:rsidR="000634EC" w:rsidRPr="00D33215" w:rsidRDefault="00490DCD" w:rsidP="00AE4053">
      <w:pPr>
        <w:snapToGrid w:val="0"/>
        <w:spacing w:after="0" w:line="360" w:lineRule="auto"/>
        <w:jc w:val="both"/>
        <w:rPr>
          <w:rFonts w:ascii="Book Antiqua" w:hAnsi="Book Antiqua"/>
          <w:b/>
          <w:i/>
          <w:sz w:val="24"/>
          <w:szCs w:val="24"/>
          <w:lang w:val="en-IN"/>
        </w:rPr>
      </w:pPr>
      <w:bookmarkStart w:id="36" w:name="_Toc334950158"/>
      <w:r w:rsidRPr="00D33215">
        <w:rPr>
          <w:rFonts w:ascii="Book Antiqua" w:hAnsi="Book Antiqua"/>
          <w:b/>
          <w:i/>
          <w:sz w:val="24"/>
          <w:szCs w:val="24"/>
          <w:lang w:val="en-IN"/>
        </w:rPr>
        <w:t>Hepa</w:t>
      </w:r>
      <w:r w:rsidR="007550E6" w:rsidRPr="00D33215">
        <w:rPr>
          <w:rFonts w:ascii="Book Antiqua" w:hAnsi="Book Antiqua"/>
          <w:b/>
          <w:i/>
          <w:sz w:val="24"/>
          <w:szCs w:val="24"/>
          <w:lang w:val="en-IN"/>
        </w:rPr>
        <w:t>tic venous pressure gra</w:t>
      </w:r>
      <w:r w:rsidRPr="00D33215">
        <w:rPr>
          <w:rFonts w:ascii="Book Antiqua" w:hAnsi="Book Antiqua"/>
          <w:b/>
          <w:i/>
          <w:sz w:val="24"/>
          <w:szCs w:val="24"/>
          <w:lang w:val="en-IN"/>
        </w:rPr>
        <w:t>dient</w:t>
      </w:r>
      <w:bookmarkEnd w:id="36"/>
    </w:p>
    <w:p w14:paraId="269B7089" w14:textId="0D6EC57A" w:rsidR="000634EC" w:rsidRPr="00AE4053" w:rsidRDefault="00490DCD" w:rsidP="00AE4053">
      <w:pPr>
        <w:snapToGrid w:val="0"/>
        <w:spacing w:after="0" w:line="360" w:lineRule="auto"/>
        <w:jc w:val="both"/>
        <w:rPr>
          <w:rFonts w:ascii="Book Antiqua" w:hAnsi="Book Antiqua"/>
          <w:color w:val="141314"/>
          <w:sz w:val="24"/>
          <w:szCs w:val="24"/>
          <w:lang w:val="en-IN"/>
        </w:rPr>
      </w:pPr>
      <w:r w:rsidRPr="00AE4053">
        <w:rPr>
          <w:rFonts w:ascii="Book Antiqua" w:hAnsi="Book Antiqua"/>
          <w:color w:val="141314"/>
          <w:sz w:val="24"/>
          <w:szCs w:val="24"/>
          <w:lang w:val="en-IN"/>
        </w:rPr>
        <w:t xml:space="preserve">HVPG was measured by introducing a </w:t>
      </w:r>
      <w:r w:rsidR="00FC3C08" w:rsidRPr="00AE4053">
        <w:rPr>
          <w:rFonts w:ascii="Book Antiqua" w:hAnsi="Book Antiqua"/>
          <w:color w:val="141314"/>
          <w:sz w:val="24"/>
          <w:szCs w:val="24"/>
          <w:lang w:val="en-IN"/>
        </w:rPr>
        <w:t>7</w:t>
      </w:r>
      <w:r w:rsidRPr="00AE4053">
        <w:rPr>
          <w:rFonts w:ascii="Book Antiqua" w:hAnsi="Book Antiqua"/>
          <w:color w:val="141314"/>
          <w:sz w:val="24"/>
          <w:szCs w:val="24"/>
          <w:lang w:val="en-IN"/>
        </w:rPr>
        <w:t>-Fr</w:t>
      </w:r>
      <w:r w:rsidR="00FC3C08" w:rsidRPr="00AE4053">
        <w:rPr>
          <w:rFonts w:ascii="Book Antiqua" w:hAnsi="Book Antiqua"/>
          <w:color w:val="141314"/>
          <w:sz w:val="24"/>
          <w:szCs w:val="24"/>
          <w:lang w:val="en-IN"/>
        </w:rPr>
        <w:t>ench</w:t>
      </w:r>
      <w:r w:rsidRPr="00AE4053">
        <w:rPr>
          <w:rFonts w:ascii="Book Antiqua" w:hAnsi="Book Antiqua"/>
          <w:color w:val="141314"/>
          <w:sz w:val="24"/>
          <w:szCs w:val="24"/>
          <w:lang w:val="en-IN"/>
        </w:rPr>
        <w:t xml:space="preserve"> Swan-</w:t>
      </w:r>
      <w:proofErr w:type="spellStart"/>
      <w:r w:rsidRPr="00AE4053">
        <w:rPr>
          <w:rFonts w:ascii="Book Antiqua" w:hAnsi="Book Antiqua"/>
          <w:color w:val="141314"/>
          <w:sz w:val="24"/>
          <w:szCs w:val="24"/>
          <w:lang w:val="en-IN"/>
        </w:rPr>
        <w:t>Ganz</w:t>
      </w:r>
      <w:proofErr w:type="spellEnd"/>
      <w:r w:rsidRPr="00AE4053">
        <w:rPr>
          <w:rFonts w:ascii="Book Antiqua" w:hAnsi="Book Antiqua"/>
          <w:color w:val="141314"/>
          <w:sz w:val="24"/>
          <w:szCs w:val="24"/>
          <w:lang w:val="en-IN"/>
        </w:rPr>
        <w:t xml:space="preserve"> catheter via the </w:t>
      </w:r>
      <w:proofErr w:type="spellStart"/>
      <w:r w:rsidRPr="00AE4053">
        <w:rPr>
          <w:rFonts w:ascii="Book Antiqua" w:hAnsi="Book Antiqua"/>
          <w:color w:val="141314"/>
          <w:sz w:val="24"/>
          <w:szCs w:val="24"/>
          <w:lang w:val="en-IN"/>
        </w:rPr>
        <w:t>transfemoral</w:t>
      </w:r>
      <w:proofErr w:type="spellEnd"/>
      <w:r w:rsidR="00FC3C08" w:rsidRPr="00AE4053">
        <w:rPr>
          <w:rFonts w:ascii="Book Antiqua" w:hAnsi="Book Antiqua"/>
          <w:color w:val="141314"/>
          <w:sz w:val="24"/>
          <w:szCs w:val="24"/>
          <w:lang w:val="en-IN"/>
        </w:rPr>
        <w:t xml:space="preserve"> or </w:t>
      </w:r>
      <w:proofErr w:type="spellStart"/>
      <w:r w:rsidR="00FC3C08" w:rsidRPr="00AE4053">
        <w:rPr>
          <w:rFonts w:ascii="Book Antiqua" w:hAnsi="Book Antiqua"/>
          <w:color w:val="141314"/>
          <w:sz w:val="24"/>
          <w:szCs w:val="24"/>
          <w:lang w:val="en-IN"/>
        </w:rPr>
        <w:t>transjugular</w:t>
      </w:r>
      <w:proofErr w:type="spellEnd"/>
      <w:r w:rsidRPr="00AE4053">
        <w:rPr>
          <w:rFonts w:ascii="Book Antiqua" w:hAnsi="Book Antiqua"/>
          <w:color w:val="141314"/>
          <w:sz w:val="24"/>
          <w:szCs w:val="24"/>
          <w:lang w:val="en-IN"/>
        </w:rPr>
        <w:t xml:space="preserve"> approach into a major hepatic vein</w:t>
      </w:r>
      <w:r w:rsidR="00F8146C" w:rsidRPr="00AE4053">
        <w:rPr>
          <w:rFonts w:ascii="Book Antiqua" w:hAnsi="Book Antiqua"/>
          <w:color w:val="141314"/>
          <w:sz w:val="24"/>
          <w:szCs w:val="24"/>
          <w:lang w:val="en-IN"/>
        </w:rPr>
        <w:t xml:space="preserve"> as </w:t>
      </w:r>
      <w:r w:rsidR="00792B07" w:rsidRPr="00AE4053">
        <w:rPr>
          <w:rFonts w:ascii="Book Antiqua" w:hAnsi="Book Antiqua"/>
          <w:color w:val="141314"/>
          <w:sz w:val="24"/>
          <w:szCs w:val="24"/>
        </w:rPr>
        <w:t xml:space="preserve">previously </w:t>
      </w:r>
      <w:r w:rsidR="00A90D75" w:rsidRPr="00AE4053">
        <w:rPr>
          <w:rFonts w:ascii="Book Antiqua" w:hAnsi="Book Antiqua"/>
          <w:color w:val="141314"/>
          <w:sz w:val="24"/>
          <w:szCs w:val="24"/>
          <w:lang w:val="en-IN"/>
        </w:rPr>
        <w:t>described</w:t>
      </w:r>
      <w:r w:rsidR="00AC77B1" w:rsidRPr="00AE4053">
        <w:rPr>
          <w:rFonts w:ascii="Book Antiqua" w:hAnsi="Book Antiqua"/>
          <w:color w:val="141314"/>
          <w:sz w:val="24"/>
          <w:szCs w:val="24"/>
          <w:lang w:val="en-IN"/>
        </w:rPr>
        <w:fldChar w:fldCharType="begin"/>
      </w:r>
      <w:r w:rsidR="008F2F86" w:rsidRPr="00AE4053">
        <w:rPr>
          <w:rFonts w:ascii="Book Antiqua" w:hAnsi="Book Antiqua"/>
          <w:color w:val="141314"/>
          <w:sz w:val="24"/>
          <w:szCs w:val="24"/>
          <w:lang w:val="en-IN"/>
        </w:rPr>
        <w:instrText xml:space="preserve"> ADDIN ZOTERO_ITEM CSL_CITATION {"citationID":"BgoYTy4A","properties":{"formattedCitation":"{\\rtf \\super [12]\\nosupersub{}}","plainCitation":"[12]"},"citationItems":[{"id":4108,"uris":["http://zotero.org/users/271015/items/HBPWAPAI"],"uri":["http://zotero.org/users/271015/items/HBPWAPAI"],"itemData":{"id":4108,"type":"article-journal","title":"Hepatic venous pressure gradient measurement: time to learn!","container-title":"Indian Journal of Gastroenterology: Official Journal of the Indian Society of Gastroenterology","page":"74-80","volume":"27","issue":"2","source":"PubMed","abstract":"Portal hypertension is a clinical syndrome defined by a pathological increase in portal pressure. The development of cirrhosis of the liver is characterized by clinical manifestations related to portal hypertension like esophageal varices, ascites, bleeding, and encephalopathy. Direct measurement of portal pressure is invasive, inconvenient, and clinically impractical. Currently, the most commonly used parameter is the Hepatic Venous Pressure Gradient (HVPG), i.e., the difference between the wedged (WHVP) and the free hepatic venous pressures. HVPG represents the gradient between pressures in the portal vein and the intra-abdominal portion of inferior vena cava. When blood flow in a hepatic vein is stopped by a wedged catheter, the proximal static column of blood transmits the pressure from the preceding communicated vascular territory (hepatic sinusoids) to the catheter. Thus, WHVP reflects hepatic sinusoidal pressure and not the portal pressure itself. In the normal liver, due to pressure equilibration through interconnected sinusoids, wedged pressure is slightly lower than portal pressure, though this difference is clinically insignificant. In liver cirrhosis, the static column created by balloon inflation cannot be decompressed at the sinusoidal level due to disruption of the normal intersinusoidal communications; therefore, WHVP gives an accurate estimation of portal pressure in cirrhosis. The normal HVPG value is between 1 to 5 mmHg. Pressure higher than this defines the presence of portal hypertension, regardless of clinical evidence. HVPG &gt;or= 10 mmHg (termed clinically significant portal hypertension) is predictive of the development of complications of cirrhosis, including death. HVPG above 12 mmHg is the threshold pressure for variceal rupture. The main advantages of HVPG are its simplicity, reproducibility, and safety. This review summarizes the technique of the HVPG measurement.","ISSN":"0254-8860","note":"PMID: 18695309","shortTitle":"Hepatic venous pressure gradient measurement","journalAbbreviation":"Indian J Gastroenterol","language":"eng","author":[{"family":"Kumar","given":"Ashish"},{"family":"Sharma","given":"Praveen"},{"family":"Sarin","given":"Shiv Kumar"}],"issued":{"date-parts":[["2008",4]]}}}],"schema":"https://github.com/citation-style-language/schema/raw/master/csl-citation.json"} </w:instrText>
      </w:r>
      <w:r w:rsidR="00AC77B1" w:rsidRPr="00AE4053">
        <w:rPr>
          <w:rFonts w:ascii="Book Antiqua" w:hAnsi="Book Antiqua"/>
          <w:color w:val="141314"/>
          <w:sz w:val="24"/>
          <w:szCs w:val="24"/>
          <w:lang w:val="en-IN"/>
        </w:rPr>
        <w:fldChar w:fldCharType="separate"/>
      </w:r>
      <w:r w:rsidR="008F2F86" w:rsidRPr="00AE4053">
        <w:rPr>
          <w:rFonts w:ascii="Book Antiqua" w:hAnsi="Book Antiqua"/>
          <w:color w:val="000000"/>
          <w:sz w:val="24"/>
          <w:szCs w:val="24"/>
          <w:vertAlign w:val="superscript"/>
        </w:rPr>
        <w:t>[12]</w:t>
      </w:r>
      <w:r w:rsidR="00AC77B1" w:rsidRPr="00AE4053">
        <w:rPr>
          <w:rFonts w:ascii="Book Antiqua" w:hAnsi="Book Antiqua"/>
          <w:color w:val="141314"/>
          <w:sz w:val="24"/>
          <w:szCs w:val="24"/>
          <w:lang w:val="en-IN"/>
        </w:rPr>
        <w:fldChar w:fldCharType="end"/>
      </w:r>
      <w:r w:rsidRPr="00AE4053">
        <w:rPr>
          <w:rFonts w:ascii="Book Antiqua" w:hAnsi="Book Antiqua"/>
          <w:color w:val="141314"/>
          <w:sz w:val="24"/>
          <w:szCs w:val="24"/>
          <w:lang w:val="en-IN"/>
        </w:rPr>
        <w:t xml:space="preserve">. The catheter was advanced until it was wedged into the hepatic vein. The occluded position of the catheter was </w:t>
      </w:r>
      <w:r w:rsidR="00F61788" w:rsidRPr="00AE4053">
        <w:rPr>
          <w:rFonts w:ascii="Book Antiqua" w:hAnsi="Book Antiqua"/>
          <w:color w:val="141314"/>
          <w:sz w:val="24"/>
          <w:szCs w:val="24"/>
          <w:lang w:val="en-IN"/>
        </w:rPr>
        <w:t xml:space="preserve">assessed </w:t>
      </w:r>
      <w:r w:rsidRPr="00AE4053">
        <w:rPr>
          <w:rFonts w:ascii="Book Antiqua" w:hAnsi="Book Antiqua"/>
          <w:color w:val="141314"/>
          <w:sz w:val="24"/>
          <w:szCs w:val="24"/>
          <w:lang w:val="en-IN"/>
        </w:rPr>
        <w:t>by the absence of reflux after the injection of 2</w:t>
      </w:r>
      <w:r w:rsidR="00FC3C08" w:rsidRPr="00AE4053">
        <w:rPr>
          <w:rFonts w:ascii="Book Antiqua" w:hAnsi="Book Antiqua"/>
          <w:color w:val="141314"/>
          <w:sz w:val="24"/>
          <w:szCs w:val="24"/>
          <w:lang w:val="en-IN"/>
        </w:rPr>
        <w:t xml:space="preserve"> </w:t>
      </w:r>
      <w:r w:rsidRPr="00AE4053">
        <w:rPr>
          <w:rFonts w:ascii="Book Antiqua" w:hAnsi="Book Antiqua"/>
          <w:color w:val="141314"/>
          <w:sz w:val="24"/>
          <w:szCs w:val="24"/>
          <w:lang w:val="en-IN"/>
        </w:rPr>
        <w:t>m</w:t>
      </w:r>
      <w:r w:rsidRPr="00D33215">
        <w:rPr>
          <w:rFonts w:ascii="Book Antiqua" w:hAnsi="Book Antiqua"/>
          <w:caps/>
          <w:color w:val="141314"/>
          <w:sz w:val="24"/>
          <w:szCs w:val="24"/>
          <w:lang w:val="en-IN"/>
        </w:rPr>
        <w:t>l</w:t>
      </w:r>
      <w:r w:rsidRPr="00AE4053">
        <w:rPr>
          <w:rFonts w:ascii="Book Antiqua" w:hAnsi="Book Antiqua"/>
          <w:color w:val="141314"/>
          <w:sz w:val="24"/>
          <w:szCs w:val="24"/>
          <w:lang w:val="en-IN"/>
        </w:rPr>
        <w:t xml:space="preserve"> of contrast medium and </w:t>
      </w:r>
      <w:r w:rsidR="00F61788" w:rsidRPr="00AE4053">
        <w:rPr>
          <w:rFonts w:ascii="Book Antiqua" w:hAnsi="Book Antiqua"/>
          <w:color w:val="141314"/>
          <w:sz w:val="24"/>
          <w:szCs w:val="24"/>
          <w:lang w:val="en-IN"/>
        </w:rPr>
        <w:t xml:space="preserve">the </w:t>
      </w:r>
      <w:r w:rsidRPr="00AE4053">
        <w:rPr>
          <w:rFonts w:ascii="Book Antiqua" w:hAnsi="Book Antiqua"/>
          <w:color w:val="141314"/>
          <w:sz w:val="24"/>
          <w:szCs w:val="24"/>
          <w:lang w:val="en-IN"/>
        </w:rPr>
        <w:t xml:space="preserve">appearance of a </w:t>
      </w:r>
      <w:proofErr w:type="spellStart"/>
      <w:r w:rsidRPr="00AE4053">
        <w:rPr>
          <w:rFonts w:ascii="Book Antiqua" w:hAnsi="Book Antiqua"/>
          <w:color w:val="141314"/>
          <w:sz w:val="24"/>
          <w:szCs w:val="24"/>
          <w:lang w:val="en-IN"/>
        </w:rPr>
        <w:t>sinusoidogram</w:t>
      </w:r>
      <w:proofErr w:type="spellEnd"/>
      <w:r w:rsidRPr="00AE4053">
        <w:rPr>
          <w:rFonts w:ascii="Book Antiqua" w:hAnsi="Book Antiqua"/>
          <w:color w:val="141314"/>
          <w:sz w:val="24"/>
          <w:szCs w:val="24"/>
          <w:lang w:val="en-IN"/>
        </w:rPr>
        <w:t>.</w:t>
      </w:r>
      <w:r w:rsidR="00973869" w:rsidRPr="00AE4053">
        <w:rPr>
          <w:rFonts w:ascii="Book Antiqua" w:hAnsi="Book Antiqua"/>
          <w:color w:val="141314"/>
          <w:sz w:val="24"/>
          <w:szCs w:val="24"/>
          <w:lang w:val="en-IN"/>
        </w:rPr>
        <w:t xml:space="preserve"> </w:t>
      </w:r>
      <w:r w:rsidRPr="00AE4053">
        <w:rPr>
          <w:rFonts w:ascii="Book Antiqua" w:hAnsi="Book Antiqua"/>
          <w:color w:val="141314"/>
          <w:sz w:val="24"/>
          <w:szCs w:val="24"/>
          <w:lang w:val="en-IN"/>
        </w:rPr>
        <w:t xml:space="preserve">A mean of three </w:t>
      </w:r>
      <w:r w:rsidR="00FC3C08" w:rsidRPr="00AE4053">
        <w:rPr>
          <w:rFonts w:ascii="Book Antiqua" w:hAnsi="Book Antiqua"/>
          <w:color w:val="141314"/>
          <w:sz w:val="24"/>
          <w:szCs w:val="24"/>
          <w:lang w:val="en-IN"/>
        </w:rPr>
        <w:t xml:space="preserve">HVPG </w:t>
      </w:r>
      <w:r w:rsidRPr="00AE4053">
        <w:rPr>
          <w:rFonts w:ascii="Book Antiqua" w:hAnsi="Book Antiqua"/>
          <w:color w:val="141314"/>
          <w:sz w:val="24"/>
          <w:szCs w:val="24"/>
          <w:lang w:val="en-IN"/>
        </w:rPr>
        <w:t xml:space="preserve">readings was </w:t>
      </w:r>
      <w:r w:rsidR="00F61788" w:rsidRPr="00AE4053">
        <w:rPr>
          <w:rFonts w:ascii="Book Antiqua" w:hAnsi="Book Antiqua"/>
          <w:color w:val="141314"/>
          <w:sz w:val="24"/>
          <w:szCs w:val="24"/>
          <w:lang w:val="en-IN"/>
        </w:rPr>
        <w:t>obtained</w:t>
      </w:r>
      <w:r w:rsidRPr="00AE4053">
        <w:rPr>
          <w:rFonts w:ascii="Book Antiqua" w:hAnsi="Book Antiqua"/>
          <w:color w:val="141314"/>
          <w:sz w:val="24"/>
          <w:szCs w:val="24"/>
          <w:lang w:val="en-IN"/>
        </w:rPr>
        <w:t xml:space="preserve">. If there was a difference of </w:t>
      </w:r>
      <w:r w:rsidR="00F61788" w:rsidRPr="00AE4053">
        <w:rPr>
          <w:rFonts w:ascii="Book Antiqua" w:hAnsi="Book Antiqua"/>
          <w:color w:val="141314"/>
          <w:sz w:val="24"/>
          <w:szCs w:val="24"/>
          <w:lang w:val="en-IN"/>
        </w:rPr>
        <w:t xml:space="preserve">greater </w:t>
      </w:r>
      <w:r w:rsidRPr="00AE4053">
        <w:rPr>
          <w:rFonts w:ascii="Book Antiqua" w:hAnsi="Book Antiqua"/>
          <w:color w:val="141314"/>
          <w:sz w:val="24"/>
          <w:szCs w:val="24"/>
          <w:lang w:val="en-IN"/>
        </w:rPr>
        <w:t>than 1 mm Hg between the readings, all the recordings were discarded</w:t>
      </w:r>
      <w:r w:rsidR="00F61788" w:rsidRPr="00AE4053">
        <w:rPr>
          <w:rFonts w:ascii="Book Antiqua" w:hAnsi="Book Antiqua"/>
          <w:color w:val="141314"/>
          <w:sz w:val="24"/>
          <w:szCs w:val="24"/>
          <w:lang w:val="en-IN"/>
        </w:rPr>
        <w:t>,</w:t>
      </w:r>
      <w:r w:rsidRPr="00AE4053">
        <w:rPr>
          <w:rFonts w:ascii="Book Antiqua" w:hAnsi="Book Antiqua"/>
          <w:color w:val="141314"/>
          <w:sz w:val="24"/>
          <w:szCs w:val="24"/>
          <w:lang w:val="en-IN"/>
        </w:rPr>
        <w:t xml:space="preserve"> and fresh readings were </w:t>
      </w:r>
      <w:r w:rsidR="00F61788" w:rsidRPr="00AE4053">
        <w:rPr>
          <w:rFonts w:ascii="Book Antiqua" w:hAnsi="Book Antiqua"/>
          <w:color w:val="141314"/>
          <w:sz w:val="24"/>
          <w:szCs w:val="24"/>
          <w:lang w:val="en-IN"/>
        </w:rPr>
        <w:t>obtained</w:t>
      </w:r>
      <w:r w:rsidR="00D33215">
        <w:rPr>
          <w:rFonts w:ascii="Book Antiqua" w:hAnsi="Book Antiqua"/>
          <w:color w:val="141314"/>
          <w:sz w:val="24"/>
          <w:szCs w:val="24"/>
          <w:lang w:val="en-IN"/>
        </w:rPr>
        <w:t>.</w:t>
      </w:r>
    </w:p>
    <w:p w14:paraId="3438ECD2" w14:textId="77777777" w:rsidR="000634EC" w:rsidRPr="00AE4053" w:rsidRDefault="000634EC" w:rsidP="00AE4053">
      <w:pPr>
        <w:snapToGrid w:val="0"/>
        <w:spacing w:after="0" w:line="360" w:lineRule="auto"/>
        <w:jc w:val="both"/>
        <w:rPr>
          <w:rFonts w:ascii="Book Antiqua" w:hAnsi="Book Antiqua"/>
          <w:color w:val="141314"/>
          <w:sz w:val="24"/>
          <w:szCs w:val="24"/>
          <w:lang w:val="en-IN"/>
        </w:rPr>
      </w:pPr>
    </w:p>
    <w:p w14:paraId="06E1FED9" w14:textId="0AEC8989" w:rsidR="000634EC" w:rsidRPr="00D33215" w:rsidRDefault="00490DCD" w:rsidP="00AE4053">
      <w:pPr>
        <w:snapToGrid w:val="0"/>
        <w:spacing w:after="0" w:line="360" w:lineRule="auto"/>
        <w:jc w:val="both"/>
        <w:rPr>
          <w:rFonts w:ascii="Book Antiqua" w:hAnsi="Book Antiqua"/>
          <w:b/>
          <w:i/>
          <w:sz w:val="24"/>
          <w:szCs w:val="24"/>
          <w:lang w:val="en-IN"/>
        </w:rPr>
      </w:pPr>
      <w:bookmarkStart w:id="37" w:name="_Toc334950159"/>
      <w:r w:rsidRPr="00D33215">
        <w:rPr>
          <w:rFonts w:ascii="Book Antiqua" w:hAnsi="Book Antiqua"/>
          <w:b/>
          <w:i/>
          <w:sz w:val="24"/>
          <w:szCs w:val="24"/>
          <w:lang w:val="en-IN"/>
        </w:rPr>
        <w:t>Statist</w:t>
      </w:r>
      <w:r w:rsidR="007550E6" w:rsidRPr="00D33215">
        <w:rPr>
          <w:rFonts w:ascii="Book Antiqua" w:hAnsi="Book Antiqua"/>
          <w:b/>
          <w:i/>
          <w:sz w:val="24"/>
          <w:szCs w:val="24"/>
          <w:lang w:val="en-IN"/>
        </w:rPr>
        <w:t>ical anal</w:t>
      </w:r>
      <w:r w:rsidRPr="00D33215">
        <w:rPr>
          <w:rFonts w:ascii="Book Antiqua" w:hAnsi="Book Antiqua"/>
          <w:b/>
          <w:i/>
          <w:sz w:val="24"/>
          <w:szCs w:val="24"/>
          <w:lang w:val="en-IN"/>
        </w:rPr>
        <w:t>ysis</w:t>
      </w:r>
      <w:bookmarkEnd w:id="37"/>
    </w:p>
    <w:p w14:paraId="26FA740B" w14:textId="182C6844" w:rsidR="000634EC" w:rsidRPr="00AE4053" w:rsidRDefault="00381DAF" w:rsidP="00AE4053">
      <w:pPr>
        <w:snapToGrid w:val="0"/>
        <w:spacing w:after="0" w:line="360" w:lineRule="auto"/>
        <w:jc w:val="both"/>
        <w:rPr>
          <w:rFonts w:ascii="Book Antiqua" w:eastAsia="Times New Roman" w:hAnsi="Book Antiqua"/>
          <w:sz w:val="24"/>
          <w:szCs w:val="24"/>
        </w:rPr>
      </w:pPr>
      <w:r w:rsidRPr="00AE4053">
        <w:rPr>
          <w:rFonts w:ascii="Book Antiqua" w:eastAsia="Times New Roman" w:hAnsi="Book Antiqua"/>
          <w:sz w:val="24"/>
          <w:szCs w:val="24"/>
        </w:rPr>
        <w:t xml:space="preserve">Continuous variables </w:t>
      </w:r>
      <w:r w:rsidR="00792B07" w:rsidRPr="00AE4053">
        <w:rPr>
          <w:rFonts w:ascii="Book Antiqua" w:eastAsia="Times New Roman" w:hAnsi="Book Antiqua"/>
          <w:sz w:val="24"/>
          <w:szCs w:val="24"/>
        </w:rPr>
        <w:t xml:space="preserve">are </w:t>
      </w:r>
      <w:r w:rsidRPr="00AE4053">
        <w:rPr>
          <w:rFonts w:ascii="Book Antiqua" w:eastAsia="Times New Roman" w:hAnsi="Book Antiqua"/>
          <w:sz w:val="24"/>
          <w:szCs w:val="24"/>
        </w:rPr>
        <w:t xml:space="preserve">expressed as </w:t>
      </w:r>
      <w:r w:rsidR="00792B07" w:rsidRPr="00AE4053">
        <w:rPr>
          <w:rFonts w:ascii="Book Antiqua" w:eastAsia="Times New Roman" w:hAnsi="Book Antiqua"/>
          <w:sz w:val="24"/>
          <w:szCs w:val="24"/>
        </w:rPr>
        <w:t xml:space="preserve">the </w:t>
      </w:r>
      <w:r w:rsidRPr="00AE4053">
        <w:rPr>
          <w:rFonts w:ascii="Book Antiqua" w:eastAsia="Times New Roman" w:hAnsi="Book Antiqua"/>
          <w:sz w:val="24"/>
          <w:szCs w:val="24"/>
        </w:rPr>
        <w:t>median with range</w:t>
      </w:r>
      <w:r w:rsidR="00F61788" w:rsidRPr="00AE4053">
        <w:rPr>
          <w:rFonts w:ascii="Book Antiqua" w:eastAsia="Times New Roman" w:hAnsi="Book Antiqua"/>
          <w:sz w:val="24"/>
          <w:szCs w:val="24"/>
        </w:rPr>
        <w:t>s,</w:t>
      </w:r>
      <w:r w:rsidRPr="00AE4053">
        <w:rPr>
          <w:rFonts w:ascii="Book Antiqua" w:eastAsia="Times New Roman" w:hAnsi="Book Antiqua"/>
          <w:sz w:val="24"/>
          <w:szCs w:val="24"/>
        </w:rPr>
        <w:t xml:space="preserve"> and discrete variables </w:t>
      </w:r>
      <w:r w:rsidR="00792B07" w:rsidRPr="00AE4053">
        <w:rPr>
          <w:rFonts w:ascii="Book Antiqua" w:eastAsia="Times New Roman" w:hAnsi="Book Antiqua"/>
          <w:sz w:val="24"/>
          <w:szCs w:val="24"/>
        </w:rPr>
        <w:t xml:space="preserve">are </w:t>
      </w:r>
      <w:r w:rsidRPr="00AE4053">
        <w:rPr>
          <w:rFonts w:ascii="Book Antiqua" w:eastAsia="Times New Roman" w:hAnsi="Book Antiqua"/>
          <w:sz w:val="24"/>
          <w:szCs w:val="24"/>
        </w:rPr>
        <w:t>expressed as number</w:t>
      </w:r>
      <w:r w:rsidR="00F61788" w:rsidRPr="00AE4053">
        <w:rPr>
          <w:rFonts w:ascii="Book Antiqua" w:eastAsia="Times New Roman" w:hAnsi="Book Antiqua"/>
          <w:sz w:val="24"/>
          <w:szCs w:val="24"/>
        </w:rPr>
        <w:t>s</w:t>
      </w:r>
      <w:r w:rsidRPr="00AE4053">
        <w:rPr>
          <w:rFonts w:ascii="Book Antiqua" w:eastAsia="Times New Roman" w:hAnsi="Book Antiqua"/>
          <w:sz w:val="24"/>
          <w:szCs w:val="24"/>
        </w:rPr>
        <w:t xml:space="preserve"> (%). </w:t>
      </w:r>
      <w:r w:rsidRPr="00AE4053">
        <w:rPr>
          <w:rFonts w:ascii="Book Antiqua" w:hAnsi="Book Antiqua"/>
          <w:color w:val="141314"/>
          <w:sz w:val="24"/>
          <w:szCs w:val="24"/>
          <w:lang w:val="en-IN"/>
        </w:rPr>
        <w:t>Correlation</w:t>
      </w:r>
      <w:r w:rsidR="00792B07" w:rsidRPr="00AE4053">
        <w:rPr>
          <w:rFonts w:ascii="Book Antiqua" w:hAnsi="Book Antiqua"/>
          <w:color w:val="141314"/>
          <w:sz w:val="24"/>
          <w:szCs w:val="24"/>
        </w:rPr>
        <w:t>s</w:t>
      </w:r>
      <w:r w:rsidRPr="00AE4053">
        <w:rPr>
          <w:rFonts w:ascii="Book Antiqua" w:hAnsi="Book Antiqua"/>
          <w:color w:val="141314"/>
          <w:sz w:val="24"/>
          <w:szCs w:val="24"/>
          <w:lang w:val="en-IN"/>
        </w:rPr>
        <w:t xml:space="preserve"> between variables </w:t>
      </w:r>
      <w:r w:rsidR="00792B07" w:rsidRPr="00AE4053">
        <w:rPr>
          <w:rFonts w:ascii="Book Antiqua" w:hAnsi="Book Antiqua"/>
          <w:color w:val="141314"/>
          <w:sz w:val="24"/>
          <w:szCs w:val="24"/>
        </w:rPr>
        <w:t>were</w:t>
      </w:r>
      <w:r w:rsidR="00792B07" w:rsidRPr="00AE4053">
        <w:rPr>
          <w:rFonts w:ascii="Book Antiqua" w:hAnsi="Book Antiqua"/>
          <w:color w:val="141314"/>
          <w:sz w:val="24"/>
          <w:szCs w:val="24"/>
          <w:lang w:val="en-IN"/>
        </w:rPr>
        <w:t xml:space="preserve"> </w:t>
      </w:r>
      <w:proofErr w:type="spellStart"/>
      <w:r w:rsidRPr="00AE4053">
        <w:rPr>
          <w:rFonts w:ascii="Book Antiqua" w:hAnsi="Book Antiqua"/>
          <w:color w:val="141314"/>
          <w:sz w:val="24"/>
          <w:szCs w:val="24"/>
          <w:lang w:val="en-IN"/>
        </w:rPr>
        <w:t>analyzed</w:t>
      </w:r>
      <w:proofErr w:type="spellEnd"/>
      <w:r w:rsidRPr="00AE4053">
        <w:rPr>
          <w:rFonts w:ascii="Book Antiqua" w:hAnsi="Book Antiqua"/>
          <w:color w:val="141314"/>
          <w:sz w:val="24"/>
          <w:szCs w:val="24"/>
          <w:lang w:val="en-IN"/>
        </w:rPr>
        <w:t xml:space="preserve"> using Spearman</w:t>
      </w:r>
      <w:r w:rsidR="00FB76B1" w:rsidRPr="00AE4053">
        <w:rPr>
          <w:rFonts w:ascii="Book Antiqua" w:hAnsi="Book Antiqua"/>
          <w:color w:val="141314"/>
          <w:sz w:val="24"/>
          <w:szCs w:val="24"/>
          <w:lang w:val="en-IN"/>
        </w:rPr>
        <w:t>’s</w:t>
      </w:r>
      <w:r w:rsidR="00AB6E07" w:rsidRPr="00AE4053">
        <w:rPr>
          <w:rFonts w:ascii="Book Antiqua" w:hAnsi="Book Antiqua"/>
          <w:color w:val="141314"/>
          <w:sz w:val="24"/>
          <w:szCs w:val="24"/>
          <w:lang w:val="en-IN"/>
        </w:rPr>
        <w:t xml:space="preserve"> </w:t>
      </w:r>
      <w:r w:rsidRPr="00AE4053">
        <w:rPr>
          <w:rFonts w:ascii="Book Antiqua" w:hAnsi="Book Antiqua"/>
          <w:color w:val="141314"/>
          <w:sz w:val="24"/>
          <w:szCs w:val="24"/>
          <w:lang w:val="en-IN"/>
        </w:rPr>
        <w:t xml:space="preserve">correlation test. </w:t>
      </w:r>
      <w:r w:rsidR="00C53225" w:rsidRPr="00AE4053">
        <w:rPr>
          <w:rFonts w:ascii="Book Antiqua" w:eastAsia="Times New Roman" w:hAnsi="Book Antiqua"/>
          <w:sz w:val="24"/>
          <w:szCs w:val="24"/>
        </w:rPr>
        <w:t>Comparison</w:t>
      </w:r>
      <w:r w:rsidR="00792B07" w:rsidRPr="00AE4053">
        <w:rPr>
          <w:rFonts w:ascii="Book Antiqua" w:eastAsia="Times New Roman" w:hAnsi="Book Antiqua"/>
          <w:sz w:val="24"/>
          <w:szCs w:val="24"/>
        </w:rPr>
        <w:t>s</w:t>
      </w:r>
      <w:r w:rsidR="00C53225" w:rsidRPr="00AE4053">
        <w:rPr>
          <w:rFonts w:ascii="Book Antiqua" w:eastAsia="Times New Roman" w:hAnsi="Book Antiqua"/>
          <w:sz w:val="24"/>
          <w:szCs w:val="24"/>
        </w:rPr>
        <w:t xml:space="preserve"> of continuous variables between two groups </w:t>
      </w:r>
      <w:r w:rsidR="00792B07" w:rsidRPr="00AE4053">
        <w:rPr>
          <w:rFonts w:ascii="Book Antiqua" w:eastAsia="Times New Roman" w:hAnsi="Book Antiqua"/>
          <w:sz w:val="24"/>
          <w:szCs w:val="24"/>
        </w:rPr>
        <w:t xml:space="preserve">were </w:t>
      </w:r>
      <w:r w:rsidR="00F61788" w:rsidRPr="00AE4053">
        <w:rPr>
          <w:rFonts w:ascii="Book Antiqua" w:eastAsia="Times New Roman" w:hAnsi="Book Antiqua"/>
          <w:sz w:val="24"/>
          <w:szCs w:val="24"/>
        </w:rPr>
        <w:t xml:space="preserve">performed </w:t>
      </w:r>
      <w:r w:rsidR="00792B07" w:rsidRPr="00AE4053">
        <w:rPr>
          <w:rFonts w:ascii="Book Antiqua" w:eastAsia="Times New Roman" w:hAnsi="Book Antiqua"/>
          <w:sz w:val="24"/>
          <w:szCs w:val="24"/>
        </w:rPr>
        <w:t xml:space="preserve">by </w:t>
      </w:r>
      <w:r w:rsidR="00C53225" w:rsidRPr="00AE4053">
        <w:rPr>
          <w:rFonts w:ascii="Book Antiqua" w:eastAsia="Times New Roman" w:hAnsi="Book Antiqua"/>
          <w:sz w:val="24"/>
          <w:szCs w:val="24"/>
        </w:rPr>
        <w:t xml:space="preserve">Mann-Whitney </w:t>
      </w:r>
      <w:r w:rsidR="00C53225" w:rsidRPr="00D33215">
        <w:rPr>
          <w:rFonts w:ascii="Book Antiqua" w:eastAsia="Times New Roman" w:hAnsi="Book Antiqua"/>
          <w:i/>
          <w:sz w:val="24"/>
          <w:szCs w:val="24"/>
        </w:rPr>
        <w:t>U</w:t>
      </w:r>
      <w:r w:rsidR="00C53225" w:rsidRPr="00AE4053">
        <w:rPr>
          <w:rFonts w:ascii="Book Antiqua" w:eastAsia="Times New Roman" w:hAnsi="Book Antiqua"/>
          <w:sz w:val="24"/>
          <w:szCs w:val="24"/>
        </w:rPr>
        <w:t xml:space="preserve"> test</w:t>
      </w:r>
      <w:r w:rsidR="00F61788" w:rsidRPr="00AE4053">
        <w:rPr>
          <w:rFonts w:ascii="Book Antiqua" w:eastAsia="Times New Roman" w:hAnsi="Book Antiqua"/>
          <w:sz w:val="24"/>
          <w:szCs w:val="24"/>
        </w:rPr>
        <w:t>,</w:t>
      </w:r>
      <w:r w:rsidR="00C53225" w:rsidRPr="00AE4053">
        <w:rPr>
          <w:rFonts w:ascii="Book Antiqua" w:eastAsia="Times New Roman" w:hAnsi="Book Antiqua"/>
          <w:sz w:val="24"/>
          <w:szCs w:val="24"/>
        </w:rPr>
        <w:t xml:space="preserve"> and </w:t>
      </w:r>
      <w:r w:rsidR="00F61788" w:rsidRPr="00AE4053">
        <w:rPr>
          <w:rFonts w:ascii="Book Antiqua" w:eastAsia="Times New Roman" w:hAnsi="Book Antiqua"/>
          <w:sz w:val="24"/>
          <w:szCs w:val="24"/>
        </w:rPr>
        <w:t xml:space="preserve">comparisons </w:t>
      </w:r>
      <w:r w:rsidR="00C53225" w:rsidRPr="00AE4053">
        <w:rPr>
          <w:rFonts w:ascii="Book Antiqua" w:eastAsia="Times New Roman" w:hAnsi="Book Antiqua"/>
          <w:sz w:val="24"/>
          <w:szCs w:val="24"/>
        </w:rPr>
        <w:t xml:space="preserve">between multiple groups </w:t>
      </w:r>
      <w:r w:rsidR="00792B07" w:rsidRPr="00AE4053">
        <w:rPr>
          <w:rFonts w:ascii="Book Antiqua" w:eastAsia="Times New Roman" w:hAnsi="Book Antiqua"/>
          <w:sz w:val="24"/>
          <w:szCs w:val="24"/>
        </w:rPr>
        <w:t xml:space="preserve">were </w:t>
      </w:r>
      <w:r w:rsidR="00F61788" w:rsidRPr="00AE4053">
        <w:rPr>
          <w:rFonts w:ascii="Book Antiqua" w:eastAsia="Times New Roman" w:hAnsi="Book Antiqua"/>
          <w:sz w:val="24"/>
          <w:szCs w:val="24"/>
        </w:rPr>
        <w:t xml:space="preserve">performed </w:t>
      </w:r>
      <w:r w:rsidR="00792B07" w:rsidRPr="00AE4053">
        <w:rPr>
          <w:rFonts w:ascii="Book Antiqua" w:eastAsia="Times New Roman" w:hAnsi="Book Antiqua"/>
          <w:sz w:val="24"/>
          <w:szCs w:val="24"/>
        </w:rPr>
        <w:t xml:space="preserve">by </w:t>
      </w:r>
      <w:proofErr w:type="spellStart"/>
      <w:r w:rsidR="00C53225" w:rsidRPr="00AE4053">
        <w:rPr>
          <w:rFonts w:ascii="Book Antiqua" w:eastAsia="Times New Roman" w:hAnsi="Book Antiqua"/>
          <w:sz w:val="24"/>
          <w:szCs w:val="24"/>
        </w:rPr>
        <w:t>Kruskal</w:t>
      </w:r>
      <w:proofErr w:type="spellEnd"/>
      <w:r w:rsidR="00C53225" w:rsidRPr="00AE4053">
        <w:rPr>
          <w:rFonts w:ascii="Book Antiqua" w:eastAsia="Times New Roman" w:hAnsi="Book Antiqua"/>
          <w:sz w:val="24"/>
          <w:szCs w:val="24"/>
        </w:rPr>
        <w:t>-Wallis test</w:t>
      </w:r>
      <w:r w:rsidRPr="00AE4053">
        <w:rPr>
          <w:rFonts w:ascii="Book Antiqua" w:eastAsia="Times New Roman" w:hAnsi="Book Antiqua"/>
          <w:sz w:val="24"/>
          <w:szCs w:val="24"/>
        </w:rPr>
        <w:t xml:space="preserve">. </w:t>
      </w:r>
      <w:r w:rsidR="00C53225" w:rsidRPr="00AE4053">
        <w:rPr>
          <w:rFonts w:ascii="Book Antiqua" w:eastAsia="Times New Roman" w:hAnsi="Book Antiqua"/>
          <w:sz w:val="24"/>
          <w:szCs w:val="24"/>
        </w:rPr>
        <w:t>Fisher’s exact test or chi-square test was used to compare categorical variables. Receiver operating characteristic (ROC) curve</w:t>
      </w:r>
      <w:r w:rsidR="00F61788" w:rsidRPr="00AE4053">
        <w:rPr>
          <w:rFonts w:ascii="Book Antiqua" w:eastAsia="Times New Roman" w:hAnsi="Book Antiqua"/>
          <w:sz w:val="24"/>
          <w:szCs w:val="24"/>
        </w:rPr>
        <w:t>s</w:t>
      </w:r>
      <w:r w:rsidR="00C53225" w:rsidRPr="00AE4053">
        <w:rPr>
          <w:rFonts w:ascii="Book Antiqua" w:eastAsia="Times New Roman" w:hAnsi="Book Antiqua"/>
          <w:sz w:val="24"/>
          <w:szCs w:val="24"/>
        </w:rPr>
        <w:t xml:space="preserve"> </w:t>
      </w:r>
      <w:r w:rsidR="00F61788" w:rsidRPr="00AE4053">
        <w:rPr>
          <w:rFonts w:ascii="Book Antiqua" w:eastAsia="Times New Roman" w:hAnsi="Book Antiqua"/>
          <w:sz w:val="24"/>
          <w:szCs w:val="24"/>
        </w:rPr>
        <w:t xml:space="preserve">were </w:t>
      </w:r>
      <w:r w:rsidR="00C53225" w:rsidRPr="00AE4053">
        <w:rPr>
          <w:rFonts w:ascii="Book Antiqua" w:eastAsia="Times New Roman" w:hAnsi="Book Antiqua"/>
          <w:sz w:val="24"/>
          <w:szCs w:val="24"/>
        </w:rPr>
        <w:t xml:space="preserve">prepared </w:t>
      </w:r>
      <w:r w:rsidR="00F61788" w:rsidRPr="00AE4053">
        <w:rPr>
          <w:rFonts w:ascii="Book Antiqua" w:eastAsia="Times New Roman" w:hAnsi="Book Antiqua"/>
          <w:sz w:val="24"/>
          <w:szCs w:val="24"/>
        </w:rPr>
        <w:t>to determine the</w:t>
      </w:r>
      <w:r w:rsidR="00C53225" w:rsidRPr="00AE4053">
        <w:rPr>
          <w:rFonts w:ascii="Book Antiqua" w:eastAsia="Times New Roman" w:hAnsi="Book Antiqua"/>
          <w:sz w:val="24"/>
          <w:szCs w:val="24"/>
        </w:rPr>
        <w:t xml:space="preserve"> utility of TE in predicting various stages of portal hypertension. </w:t>
      </w:r>
      <w:r w:rsidR="00F61788" w:rsidRPr="00AE4053">
        <w:rPr>
          <w:rFonts w:ascii="Book Antiqua" w:eastAsia="Times New Roman" w:hAnsi="Book Antiqua"/>
          <w:sz w:val="24"/>
          <w:szCs w:val="24"/>
        </w:rPr>
        <w:t xml:space="preserve">The best </w:t>
      </w:r>
      <w:r w:rsidR="00FC3C08" w:rsidRPr="00AE4053">
        <w:rPr>
          <w:rFonts w:ascii="Book Antiqua" w:eastAsia="Times New Roman" w:hAnsi="Book Antiqua"/>
          <w:sz w:val="24"/>
          <w:szCs w:val="24"/>
        </w:rPr>
        <w:t>c</w:t>
      </w:r>
      <w:r w:rsidR="00D33A99" w:rsidRPr="00AE4053">
        <w:rPr>
          <w:rFonts w:ascii="Book Antiqua" w:eastAsia="Times New Roman" w:hAnsi="Book Antiqua"/>
          <w:sz w:val="24"/>
          <w:szCs w:val="24"/>
        </w:rPr>
        <w:t xml:space="preserve">ut-off value of TE </w:t>
      </w:r>
      <w:r w:rsidR="00FC3C08" w:rsidRPr="00AE4053">
        <w:rPr>
          <w:rFonts w:ascii="Book Antiqua" w:eastAsia="Times New Roman" w:hAnsi="Book Antiqua"/>
          <w:sz w:val="24"/>
          <w:szCs w:val="24"/>
        </w:rPr>
        <w:t xml:space="preserve">for </w:t>
      </w:r>
      <w:r w:rsidR="00792B07" w:rsidRPr="00AE4053">
        <w:rPr>
          <w:rFonts w:ascii="Book Antiqua" w:eastAsia="Times New Roman" w:hAnsi="Book Antiqua"/>
          <w:sz w:val="24"/>
          <w:szCs w:val="24"/>
        </w:rPr>
        <w:t xml:space="preserve">the </w:t>
      </w:r>
      <w:r w:rsidR="00FC3C08" w:rsidRPr="00AE4053">
        <w:rPr>
          <w:rFonts w:ascii="Book Antiqua" w:eastAsia="Times New Roman" w:hAnsi="Book Antiqua"/>
          <w:sz w:val="24"/>
          <w:szCs w:val="24"/>
        </w:rPr>
        <w:lastRenderedPageBreak/>
        <w:t xml:space="preserve">diagnosis of CSPH </w:t>
      </w:r>
      <w:r w:rsidR="00D33A99" w:rsidRPr="00AE4053">
        <w:rPr>
          <w:rFonts w:ascii="Book Antiqua" w:hAnsi="Book Antiqua"/>
          <w:color w:val="141314"/>
          <w:sz w:val="24"/>
          <w:szCs w:val="24"/>
          <w:lang w:val="en-IN"/>
        </w:rPr>
        <w:t xml:space="preserve">was obtained by using </w:t>
      </w:r>
      <w:r w:rsidR="00792B07" w:rsidRPr="00AE4053">
        <w:rPr>
          <w:rFonts w:ascii="Book Antiqua" w:hAnsi="Book Antiqua"/>
          <w:color w:val="141314"/>
          <w:sz w:val="24"/>
          <w:szCs w:val="24"/>
        </w:rPr>
        <w:t xml:space="preserve">the </w:t>
      </w:r>
      <w:proofErr w:type="spellStart"/>
      <w:r w:rsidR="00D33A99" w:rsidRPr="00AE4053">
        <w:rPr>
          <w:rFonts w:ascii="Book Antiqua" w:hAnsi="Book Antiqua"/>
          <w:color w:val="141314"/>
          <w:sz w:val="24"/>
          <w:szCs w:val="24"/>
          <w:lang w:val="en-IN"/>
        </w:rPr>
        <w:t>Youden</w:t>
      </w:r>
      <w:proofErr w:type="spellEnd"/>
      <w:r w:rsidR="00D33A99" w:rsidRPr="00AE4053">
        <w:rPr>
          <w:rFonts w:ascii="Book Antiqua" w:hAnsi="Book Antiqua"/>
          <w:color w:val="141314"/>
          <w:sz w:val="24"/>
          <w:szCs w:val="24"/>
          <w:lang w:val="en-IN"/>
        </w:rPr>
        <w:t xml:space="preserve"> index.</w:t>
      </w:r>
      <w:r w:rsidR="00D33A99" w:rsidRPr="00AE4053">
        <w:rPr>
          <w:rFonts w:ascii="Book Antiqua" w:eastAsia="Times New Roman" w:hAnsi="Book Antiqua"/>
          <w:sz w:val="24"/>
          <w:szCs w:val="24"/>
        </w:rPr>
        <w:t xml:space="preserve"> </w:t>
      </w:r>
      <w:r w:rsidRPr="00AE4053">
        <w:rPr>
          <w:rFonts w:ascii="Book Antiqua" w:eastAsia="Times New Roman" w:hAnsi="Book Antiqua"/>
          <w:sz w:val="24"/>
          <w:szCs w:val="24"/>
        </w:rPr>
        <w:t>SPSS 17 (Chicago, I</w:t>
      </w:r>
      <w:r w:rsidR="00D33215">
        <w:rPr>
          <w:rFonts w:ascii="Book Antiqua" w:eastAsia="Times New Roman" w:hAnsi="Book Antiqua"/>
          <w:sz w:val="24"/>
          <w:szCs w:val="24"/>
        </w:rPr>
        <w:t>L, United States</w:t>
      </w:r>
      <w:r w:rsidRPr="00AE4053">
        <w:rPr>
          <w:rFonts w:ascii="Book Antiqua" w:eastAsia="Times New Roman" w:hAnsi="Book Antiqua"/>
          <w:sz w:val="24"/>
          <w:szCs w:val="24"/>
        </w:rPr>
        <w:t xml:space="preserve">) </w:t>
      </w:r>
      <w:r w:rsidR="00F8146C" w:rsidRPr="00AE4053">
        <w:rPr>
          <w:rFonts w:ascii="Book Antiqua" w:eastAsia="Times New Roman" w:hAnsi="Book Antiqua"/>
          <w:sz w:val="24"/>
          <w:szCs w:val="24"/>
        </w:rPr>
        <w:t xml:space="preserve">software </w:t>
      </w:r>
      <w:r w:rsidRPr="00AE4053">
        <w:rPr>
          <w:rFonts w:ascii="Book Antiqua" w:eastAsia="Times New Roman" w:hAnsi="Book Antiqua"/>
          <w:sz w:val="24"/>
          <w:szCs w:val="24"/>
        </w:rPr>
        <w:t>was used for analysis.</w:t>
      </w:r>
    </w:p>
    <w:p w14:paraId="61912A40" w14:textId="77777777" w:rsidR="00D33215" w:rsidRDefault="00D33215" w:rsidP="00AE4053">
      <w:pPr>
        <w:snapToGrid w:val="0"/>
        <w:spacing w:after="0" w:line="360" w:lineRule="auto"/>
        <w:jc w:val="both"/>
        <w:rPr>
          <w:rFonts w:ascii="Book Antiqua" w:hAnsi="Book Antiqua"/>
          <w:b/>
          <w:color w:val="141314"/>
          <w:sz w:val="24"/>
          <w:szCs w:val="24"/>
          <w:lang w:val="en-IN"/>
        </w:rPr>
      </w:pPr>
      <w:bookmarkStart w:id="38" w:name="_Toc334950160"/>
    </w:p>
    <w:p w14:paraId="240460E2" w14:textId="0D3C68E7" w:rsidR="000634EC" w:rsidRPr="00D33215" w:rsidRDefault="00027865" w:rsidP="00AE4053">
      <w:pPr>
        <w:snapToGrid w:val="0"/>
        <w:spacing w:after="0" w:line="360" w:lineRule="auto"/>
        <w:jc w:val="both"/>
        <w:rPr>
          <w:rFonts w:ascii="Book Antiqua" w:hAnsi="Book Antiqua"/>
          <w:b/>
          <w:color w:val="141314"/>
          <w:sz w:val="24"/>
          <w:szCs w:val="24"/>
          <w:lang w:val="en-IN"/>
        </w:rPr>
      </w:pPr>
      <w:r w:rsidRPr="00AE4053">
        <w:rPr>
          <w:rFonts w:ascii="Book Antiqua" w:hAnsi="Book Antiqua"/>
          <w:b/>
          <w:sz w:val="24"/>
          <w:szCs w:val="24"/>
          <w:lang w:val="en-IN"/>
        </w:rPr>
        <w:t>RESULTS</w:t>
      </w:r>
      <w:bookmarkEnd w:id="38"/>
      <w:r w:rsidR="006B6C42" w:rsidRPr="00AE4053">
        <w:rPr>
          <w:rFonts w:ascii="Book Antiqua" w:hAnsi="Book Antiqua"/>
          <w:b/>
          <w:sz w:val="24"/>
          <w:szCs w:val="24"/>
          <w:lang w:val="en-IN"/>
        </w:rPr>
        <w:t xml:space="preserve"> </w:t>
      </w:r>
    </w:p>
    <w:p w14:paraId="57057F5D" w14:textId="77777777" w:rsidR="000634EC" w:rsidRPr="00D33215" w:rsidRDefault="00027865" w:rsidP="00AE4053">
      <w:pPr>
        <w:snapToGrid w:val="0"/>
        <w:spacing w:after="0" w:line="360" w:lineRule="auto"/>
        <w:jc w:val="both"/>
        <w:rPr>
          <w:rFonts w:ascii="Book Antiqua" w:hAnsi="Book Antiqua"/>
          <w:b/>
          <w:i/>
          <w:sz w:val="24"/>
          <w:szCs w:val="24"/>
          <w:lang w:val="en-IN"/>
        </w:rPr>
      </w:pPr>
      <w:bookmarkStart w:id="39" w:name="_Toc334950161"/>
      <w:r w:rsidRPr="00D33215">
        <w:rPr>
          <w:rFonts w:ascii="Book Antiqua" w:hAnsi="Book Antiqua"/>
          <w:b/>
          <w:i/>
          <w:sz w:val="24"/>
          <w:szCs w:val="24"/>
          <w:lang w:val="en-IN"/>
        </w:rPr>
        <w:t>Patients</w:t>
      </w:r>
      <w:bookmarkEnd w:id="39"/>
    </w:p>
    <w:p w14:paraId="55D14091" w14:textId="2A0B56E0" w:rsidR="005155E1" w:rsidRPr="00AE4053" w:rsidRDefault="00393E34" w:rsidP="00AE4053">
      <w:pPr>
        <w:snapToGrid w:val="0"/>
        <w:spacing w:after="0" w:line="360" w:lineRule="auto"/>
        <w:jc w:val="both"/>
        <w:rPr>
          <w:rFonts w:ascii="Book Antiqua" w:hAnsi="Book Antiqua"/>
          <w:color w:val="231F20"/>
          <w:sz w:val="24"/>
          <w:szCs w:val="24"/>
          <w:lang w:val="en-IN"/>
        </w:rPr>
      </w:pPr>
      <w:r w:rsidRPr="00AE4053">
        <w:rPr>
          <w:rFonts w:ascii="Book Antiqua" w:hAnsi="Book Antiqua"/>
          <w:color w:val="231F20"/>
          <w:sz w:val="24"/>
          <w:szCs w:val="24"/>
          <w:lang w:val="en-IN"/>
        </w:rPr>
        <w:t xml:space="preserve">From </w:t>
      </w:r>
      <w:r w:rsidR="00480C49" w:rsidRPr="00AE4053">
        <w:rPr>
          <w:rFonts w:ascii="Book Antiqua" w:hAnsi="Book Antiqua"/>
          <w:color w:val="231F20"/>
          <w:sz w:val="24"/>
          <w:szCs w:val="24"/>
          <w:lang w:val="en-IN"/>
        </w:rPr>
        <w:t>January 2014 to June 2016</w:t>
      </w:r>
      <w:r w:rsidRPr="00AE4053">
        <w:rPr>
          <w:rFonts w:ascii="Book Antiqua" w:hAnsi="Book Antiqua"/>
          <w:color w:val="231F20"/>
          <w:sz w:val="24"/>
          <w:szCs w:val="24"/>
          <w:lang w:val="en-IN"/>
        </w:rPr>
        <w:t xml:space="preserve">, </w:t>
      </w:r>
      <w:r w:rsidR="007D74B6" w:rsidRPr="00AE4053">
        <w:rPr>
          <w:rFonts w:ascii="Book Antiqua" w:hAnsi="Book Antiqua"/>
          <w:color w:val="231F20"/>
          <w:sz w:val="24"/>
          <w:szCs w:val="24"/>
          <w:lang w:val="en-IN"/>
        </w:rPr>
        <w:t>three</w:t>
      </w:r>
      <w:r w:rsidR="008E3B59" w:rsidRPr="00AE4053">
        <w:rPr>
          <w:rFonts w:ascii="Book Antiqua" w:hAnsi="Book Antiqua"/>
          <w:color w:val="231F20"/>
          <w:sz w:val="24"/>
          <w:szCs w:val="24"/>
          <w:lang w:val="en-IN"/>
        </w:rPr>
        <w:t xml:space="preserve"> hundred and </w:t>
      </w:r>
      <w:r w:rsidR="007D74B6" w:rsidRPr="00AE4053">
        <w:rPr>
          <w:rFonts w:ascii="Book Antiqua" w:hAnsi="Book Antiqua"/>
          <w:color w:val="231F20"/>
          <w:sz w:val="24"/>
          <w:szCs w:val="24"/>
          <w:lang w:val="en-IN"/>
        </w:rPr>
        <w:t>seventy</w:t>
      </w:r>
      <w:r w:rsidR="008E3B59" w:rsidRPr="00AE4053">
        <w:rPr>
          <w:rFonts w:ascii="Book Antiqua" w:hAnsi="Book Antiqua"/>
          <w:color w:val="231F20"/>
          <w:sz w:val="24"/>
          <w:szCs w:val="24"/>
          <w:lang w:val="en-IN"/>
        </w:rPr>
        <w:t>-</w:t>
      </w:r>
      <w:r w:rsidR="007D74B6" w:rsidRPr="00AE4053">
        <w:rPr>
          <w:rFonts w:ascii="Book Antiqua" w:hAnsi="Book Antiqua"/>
          <w:color w:val="231F20"/>
          <w:sz w:val="24"/>
          <w:szCs w:val="24"/>
          <w:lang w:val="en-IN"/>
        </w:rPr>
        <w:t>nine</w:t>
      </w:r>
      <w:r w:rsidR="008E3B59" w:rsidRPr="00AE4053">
        <w:rPr>
          <w:rFonts w:ascii="Book Antiqua" w:hAnsi="Book Antiqua"/>
          <w:color w:val="231F20"/>
          <w:sz w:val="24"/>
          <w:szCs w:val="24"/>
          <w:lang w:val="en-IN"/>
        </w:rPr>
        <w:t xml:space="preserve"> patients were </w:t>
      </w:r>
      <w:r w:rsidR="00FB76B1" w:rsidRPr="00AE4053">
        <w:rPr>
          <w:rFonts w:ascii="Book Antiqua" w:hAnsi="Book Antiqua"/>
          <w:color w:val="231F20"/>
          <w:sz w:val="24"/>
          <w:szCs w:val="24"/>
          <w:lang w:val="en-IN"/>
        </w:rPr>
        <w:t>screened for enrolment</w:t>
      </w:r>
      <w:r w:rsidR="00AB6E07" w:rsidRPr="00AE4053">
        <w:rPr>
          <w:rFonts w:ascii="Book Antiqua" w:hAnsi="Book Antiqua"/>
          <w:color w:val="231F20"/>
          <w:sz w:val="24"/>
          <w:szCs w:val="24"/>
          <w:lang w:val="en-IN"/>
        </w:rPr>
        <w:t xml:space="preserve"> </w:t>
      </w:r>
      <w:r w:rsidR="008E3B59" w:rsidRPr="00AE4053">
        <w:rPr>
          <w:rFonts w:ascii="Book Antiqua" w:hAnsi="Book Antiqua"/>
          <w:color w:val="231F20"/>
          <w:sz w:val="24"/>
          <w:szCs w:val="24"/>
          <w:lang w:val="en-IN"/>
        </w:rPr>
        <w:t xml:space="preserve">in the study. Of these, </w:t>
      </w:r>
      <w:r w:rsidR="00793BFC" w:rsidRPr="00AE4053">
        <w:rPr>
          <w:rFonts w:ascii="Book Antiqua" w:hAnsi="Book Antiqua"/>
          <w:color w:val="231F20"/>
          <w:sz w:val="24"/>
          <w:szCs w:val="24"/>
          <w:lang w:val="en-IN"/>
        </w:rPr>
        <w:t>3</w:t>
      </w:r>
      <w:r w:rsidR="005155E1" w:rsidRPr="00AE4053">
        <w:rPr>
          <w:rFonts w:ascii="Book Antiqua" w:hAnsi="Book Antiqua"/>
          <w:color w:val="231F20"/>
          <w:sz w:val="24"/>
          <w:szCs w:val="24"/>
          <w:lang w:val="en-IN"/>
        </w:rPr>
        <w:t>2</w:t>
      </w:r>
      <w:r w:rsidR="000C63DA" w:rsidRPr="00AE4053">
        <w:rPr>
          <w:rFonts w:ascii="Book Antiqua" w:hAnsi="Book Antiqua"/>
          <w:color w:val="231F20"/>
          <w:sz w:val="24"/>
          <w:szCs w:val="24"/>
          <w:lang w:val="en-IN"/>
        </w:rPr>
        <w:t>6</w:t>
      </w:r>
      <w:r w:rsidR="008E3B59" w:rsidRPr="00AE4053">
        <w:rPr>
          <w:rFonts w:ascii="Book Antiqua" w:hAnsi="Book Antiqua"/>
          <w:color w:val="231F20"/>
          <w:sz w:val="24"/>
          <w:szCs w:val="24"/>
          <w:lang w:val="en-IN"/>
        </w:rPr>
        <w:t xml:space="preserve"> patients were included in the study</w:t>
      </w:r>
      <w:r w:rsidR="00F61788" w:rsidRPr="00AE4053">
        <w:rPr>
          <w:rFonts w:ascii="Book Antiqua" w:hAnsi="Book Antiqua"/>
          <w:color w:val="231F20"/>
          <w:sz w:val="24"/>
          <w:szCs w:val="24"/>
          <w:lang w:val="en-IN"/>
        </w:rPr>
        <w:t>,</w:t>
      </w:r>
      <w:r w:rsidR="008E3B59" w:rsidRPr="00AE4053">
        <w:rPr>
          <w:rFonts w:ascii="Book Antiqua" w:hAnsi="Book Antiqua"/>
          <w:color w:val="231F20"/>
          <w:sz w:val="24"/>
          <w:szCs w:val="24"/>
          <w:lang w:val="en-IN"/>
        </w:rPr>
        <w:t xml:space="preserve"> and </w:t>
      </w:r>
      <w:r w:rsidR="00F61788" w:rsidRPr="00AE4053">
        <w:rPr>
          <w:rFonts w:ascii="Book Antiqua" w:hAnsi="Book Antiqua"/>
          <w:color w:val="231F20"/>
          <w:sz w:val="24"/>
          <w:szCs w:val="24"/>
          <w:lang w:val="en-IN"/>
        </w:rPr>
        <w:t xml:space="preserve">the </w:t>
      </w:r>
      <w:r w:rsidR="00033515" w:rsidRPr="00AE4053">
        <w:rPr>
          <w:rFonts w:ascii="Book Antiqua" w:hAnsi="Book Antiqua"/>
          <w:color w:val="231F20"/>
          <w:sz w:val="24"/>
          <w:szCs w:val="24"/>
          <w:lang w:val="en-IN"/>
        </w:rPr>
        <w:t>remaining</w:t>
      </w:r>
      <w:r w:rsidR="00F61788" w:rsidRPr="00AE4053">
        <w:rPr>
          <w:rFonts w:ascii="Book Antiqua" w:hAnsi="Book Antiqua"/>
          <w:color w:val="231F20"/>
          <w:sz w:val="24"/>
          <w:szCs w:val="24"/>
          <w:lang w:val="en-IN"/>
        </w:rPr>
        <w:t xml:space="preserve"> </w:t>
      </w:r>
      <w:r w:rsidR="007D74B6" w:rsidRPr="00AE4053">
        <w:rPr>
          <w:rFonts w:ascii="Book Antiqua" w:hAnsi="Book Antiqua"/>
          <w:color w:val="231F20"/>
          <w:sz w:val="24"/>
          <w:szCs w:val="24"/>
          <w:lang w:val="en-IN"/>
        </w:rPr>
        <w:t>5</w:t>
      </w:r>
      <w:r w:rsidR="000C63DA" w:rsidRPr="00AE4053">
        <w:rPr>
          <w:rFonts w:ascii="Book Antiqua" w:hAnsi="Book Antiqua"/>
          <w:color w:val="231F20"/>
          <w:sz w:val="24"/>
          <w:szCs w:val="24"/>
          <w:lang w:val="en-IN"/>
        </w:rPr>
        <w:t>3</w:t>
      </w:r>
      <w:r w:rsidR="008E3B59" w:rsidRPr="00AE4053">
        <w:rPr>
          <w:rFonts w:ascii="Book Antiqua" w:hAnsi="Book Antiqua"/>
          <w:color w:val="231F20"/>
          <w:sz w:val="24"/>
          <w:szCs w:val="24"/>
          <w:lang w:val="en-IN"/>
        </w:rPr>
        <w:t xml:space="preserve"> were excluded due to following reasons: </w:t>
      </w:r>
      <w:r w:rsidR="005155E1" w:rsidRPr="00AE4053">
        <w:rPr>
          <w:rFonts w:ascii="Book Antiqua" w:hAnsi="Book Antiqua"/>
          <w:color w:val="231F20"/>
          <w:sz w:val="24"/>
          <w:szCs w:val="24"/>
          <w:lang w:val="en-IN"/>
        </w:rPr>
        <w:t>(</w:t>
      </w:r>
      <w:r w:rsidR="00D33215">
        <w:rPr>
          <w:rFonts w:ascii="Book Antiqua" w:hAnsi="Book Antiqua"/>
          <w:color w:val="231F20"/>
          <w:sz w:val="24"/>
          <w:szCs w:val="24"/>
          <w:lang w:val="en-IN"/>
        </w:rPr>
        <w:t>1</w:t>
      </w:r>
      <w:r w:rsidR="005155E1" w:rsidRPr="00AE4053">
        <w:rPr>
          <w:rFonts w:ascii="Book Antiqua" w:hAnsi="Book Antiqua"/>
          <w:color w:val="231F20"/>
          <w:sz w:val="24"/>
          <w:szCs w:val="24"/>
          <w:lang w:val="en-IN"/>
        </w:rPr>
        <w:t>) patients with non-cirrhotic cause of portal hypertension (</w:t>
      </w:r>
      <w:r w:rsidR="005155E1" w:rsidRPr="00D33215">
        <w:rPr>
          <w:rFonts w:ascii="Book Antiqua" w:hAnsi="Book Antiqua"/>
          <w:i/>
          <w:color w:val="231F20"/>
          <w:sz w:val="24"/>
          <w:szCs w:val="24"/>
          <w:lang w:val="en-IN"/>
        </w:rPr>
        <w:t>n</w:t>
      </w:r>
      <w:r w:rsidR="00D33215">
        <w:rPr>
          <w:rFonts w:ascii="Book Antiqua" w:hAnsi="Book Antiqua"/>
          <w:color w:val="231F20"/>
          <w:sz w:val="24"/>
          <w:szCs w:val="24"/>
          <w:lang w:val="en-IN"/>
        </w:rPr>
        <w:t xml:space="preserve"> </w:t>
      </w:r>
      <w:r w:rsidR="005155E1" w:rsidRPr="00AE4053">
        <w:rPr>
          <w:rFonts w:ascii="Book Antiqua" w:hAnsi="Book Antiqua"/>
          <w:color w:val="231F20"/>
          <w:sz w:val="24"/>
          <w:szCs w:val="24"/>
          <w:lang w:val="en-IN"/>
        </w:rPr>
        <w:t>=</w:t>
      </w:r>
      <w:r w:rsidR="00D33215">
        <w:rPr>
          <w:rFonts w:ascii="Book Antiqua" w:hAnsi="Book Antiqua"/>
          <w:color w:val="231F20"/>
          <w:sz w:val="24"/>
          <w:szCs w:val="24"/>
          <w:lang w:val="en-IN"/>
        </w:rPr>
        <w:t xml:space="preserve"> </w:t>
      </w:r>
      <w:r w:rsidR="005155E1" w:rsidRPr="00AE4053">
        <w:rPr>
          <w:rFonts w:ascii="Book Antiqua" w:hAnsi="Book Antiqua"/>
          <w:color w:val="231F20"/>
          <w:sz w:val="24"/>
          <w:szCs w:val="24"/>
          <w:lang w:val="en-IN"/>
        </w:rPr>
        <w:t>1</w:t>
      </w:r>
      <w:r w:rsidR="000C63DA" w:rsidRPr="00AE4053">
        <w:rPr>
          <w:rFonts w:ascii="Book Antiqua" w:hAnsi="Book Antiqua"/>
          <w:color w:val="231F20"/>
          <w:sz w:val="24"/>
          <w:szCs w:val="24"/>
          <w:lang w:val="en-IN"/>
        </w:rPr>
        <w:t>6</w:t>
      </w:r>
      <w:r w:rsidR="005155E1" w:rsidRPr="00AE4053">
        <w:rPr>
          <w:rFonts w:ascii="Book Antiqua" w:hAnsi="Book Antiqua"/>
          <w:color w:val="231F20"/>
          <w:sz w:val="24"/>
          <w:szCs w:val="24"/>
          <w:lang w:val="en-IN"/>
        </w:rPr>
        <w:t>); (</w:t>
      </w:r>
      <w:r w:rsidR="00D33215">
        <w:rPr>
          <w:rFonts w:ascii="Book Antiqua" w:hAnsi="Book Antiqua"/>
          <w:color w:val="231F20"/>
          <w:sz w:val="24"/>
          <w:szCs w:val="24"/>
          <w:lang w:val="en-IN"/>
        </w:rPr>
        <w:t>2</w:t>
      </w:r>
      <w:r w:rsidR="005155E1" w:rsidRPr="00AE4053">
        <w:rPr>
          <w:rFonts w:ascii="Book Antiqua" w:hAnsi="Book Antiqua"/>
          <w:color w:val="231F20"/>
          <w:sz w:val="24"/>
          <w:szCs w:val="24"/>
          <w:lang w:val="en-IN"/>
        </w:rPr>
        <w:t>) patients with acute-on-chronic liver failure (</w:t>
      </w:r>
      <w:r w:rsidR="00D33215" w:rsidRPr="00D33215">
        <w:rPr>
          <w:rFonts w:ascii="Book Antiqua" w:hAnsi="Book Antiqua"/>
          <w:i/>
          <w:color w:val="231F20"/>
          <w:sz w:val="24"/>
          <w:szCs w:val="24"/>
          <w:lang w:val="en-IN"/>
        </w:rPr>
        <w:t>n</w:t>
      </w:r>
      <w:r w:rsidR="00D33215" w:rsidRPr="00AE4053">
        <w:rPr>
          <w:rFonts w:ascii="Book Antiqua" w:hAnsi="Book Antiqua"/>
          <w:color w:val="231F20"/>
          <w:sz w:val="24"/>
          <w:szCs w:val="24"/>
          <w:lang w:val="en-IN"/>
        </w:rPr>
        <w:t xml:space="preserve"> </w:t>
      </w:r>
      <w:r w:rsidR="005155E1" w:rsidRPr="00AE4053">
        <w:rPr>
          <w:rFonts w:ascii="Book Antiqua" w:hAnsi="Book Antiqua"/>
          <w:color w:val="231F20"/>
          <w:sz w:val="24"/>
          <w:szCs w:val="24"/>
          <w:lang w:val="en-IN"/>
        </w:rPr>
        <w:t>=</w:t>
      </w:r>
      <w:r w:rsidR="00D33215">
        <w:rPr>
          <w:rFonts w:ascii="Book Antiqua" w:hAnsi="Book Antiqua"/>
          <w:color w:val="231F20"/>
          <w:sz w:val="24"/>
          <w:szCs w:val="24"/>
          <w:lang w:val="en-IN"/>
        </w:rPr>
        <w:t xml:space="preserve"> </w:t>
      </w:r>
      <w:r w:rsidR="005155E1" w:rsidRPr="00AE4053">
        <w:rPr>
          <w:rFonts w:ascii="Book Antiqua" w:hAnsi="Book Antiqua"/>
          <w:color w:val="231F20"/>
          <w:sz w:val="24"/>
          <w:szCs w:val="24"/>
          <w:lang w:val="en-IN"/>
        </w:rPr>
        <w:t>27)</w:t>
      </w:r>
      <w:r w:rsidR="007D74B6" w:rsidRPr="00AE4053">
        <w:rPr>
          <w:rFonts w:ascii="Book Antiqua" w:hAnsi="Book Antiqua"/>
          <w:color w:val="231F20"/>
          <w:sz w:val="24"/>
          <w:szCs w:val="24"/>
          <w:lang w:val="en-IN"/>
        </w:rPr>
        <w:t>;</w:t>
      </w:r>
      <w:r w:rsidR="005155E1" w:rsidRPr="00AE4053">
        <w:rPr>
          <w:rFonts w:ascii="Book Antiqua" w:hAnsi="Book Antiqua"/>
          <w:color w:val="231F20"/>
          <w:sz w:val="24"/>
          <w:szCs w:val="24"/>
          <w:lang w:val="en-IN"/>
        </w:rPr>
        <w:t xml:space="preserve"> (</w:t>
      </w:r>
      <w:r w:rsidR="00D33215">
        <w:rPr>
          <w:rFonts w:ascii="Book Antiqua" w:hAnsi="Book Antiqua"/>
          <w:color w:val="231F20"/>
          <w:sz w:val="24"/>
          <w:szCs w:val="24"/>
          <w:lang w:val="en-IN"/>
        </w:rPr>
        <w:t>3</w:t>
      </w:r>
      <w:r w:rsidR="005155E1" w:rsidRPr="00AE4053">
        <w:rPr>
          <w:rFonts w:ascii="Book Antiqua" w:hAnsi="Book Antiqua"/>
          <w:color w:val="231F20"/>
          <w:sz w:val="24"/>
          <w:szCs w:val="24"/>
          <w:lang w:val="en-IN"/>
        </w:rPr>
        <w:t xml:space="preserve">) patients with invalid </w:t>
      </w:r>
      <w:r w:rsidR="00FC3C08" w:rsidRPr="00AE4053">
        <w:rPr>
          <w:rFonts w:ascii="Book Antiqua" w:hAnsi="Book Antiqua"/>
          <w:color w:val="231F20"/>
          <w:sz w:val="24"/>
          <w:szCs w:val="24"/>
          <w:lang w:val="en-IN"/>
        </w:rPr>
        <w:t>TE</w:t>
      </w:r>
      <w:r w:rsidR="007D74B6" w:rsidRPr="00AE4053">
        <w:rPr>
          <w:rFonts w:ascii="Book Antiqua" w:hAnsi="Book Antiqua"/>
          <w:color w:val="231F20"/>
          <w:sz w:val="24"/>
          <w:szCs w:val="24"/>
          <w:lang w:val="en-IN"/>
        </w:rPr>
        <w:t xml:space="preserve"> </w:t>
      </w:r>
      <w:r w:rsidR="00F61788" w:rsidRPr="00AE4053">
        <w:rPr>
          <w:rFonts w:ascii="Book Antiqua" w:hAnsi="Book Antiqua"/>
          <w:color w:val="231F20"/>
          <w:sz w:val="24"/>
          <w:szCs w:val="24"/>
          <w:lang w:val="en-IN"/>
        </w:rPr>
        <w:t xml:space="preserve">reading </w:t>
      </w:r>
      <w:r w:rsidR="0097557C" w:rsidRPr="00AE4053">
        <w:rPr>
          <w:rFonts w:ascii="Book Antiqua" w:hAnsi="Book Antiqua"/>
          <w:color w:val="231F20"/>
          <w:sz w:val="24"/>
          <w:szCs w:val="24"/>
          <w:lang w:val="en-IN"/>
        </w:rPr>
        <w:t xml:space="preserve">or whose HVPG was not possible due to technical reasons </w:t>
      </w:r>
      <w:r w:rsidR="007D74B6" w:rsidRPr="00AE4053">
        <w:rPr>
          <w:rFonts w:ascii="Book Antiqua" w:hAnsi="Book Antiqua"/>
          <w:color w:val="231F20"/>
          <w:sz w:val="24"/>
          <w:szCs w:val="24"/>
          <w:lang w:val="en-IN"/>
        </w:rPr>
        <w:t>(</w:t>
      </w:r>
      <w:r w:rsidR="00D33215" w:rsidRPr="00D33215">
        <w:rPr>
          <w:rFonts w:ascii="Book Antiqua" w:hAnsi="Book Antiqua"/>
          <w:i/>
          <w:color w:val="231F20"/>
          <w:sz w:val="24"/>
          <w:szCs w:val="24"/>
          <w:lang w:val="en-IN"/>
        </w:rPr>
        <w:t>n</w:t>
      </w:r>
      <w:r w:rsidR="00D33215" w:rsidRPr="00AE4053">
        <w:rPr>
          <w:rFonts w:ascii="Book Antiqua" w:hAnsi="Book Antiqua"/>
          <w:color w:val="231F20"/>
          <w:sz w:val="24"/>
          <w:szCs w:val="24"/>
          <w:lang w:val="en-IN"/>
        </w:rPr>
        <w:t xml:space="preserve"> </w:t>
      </w:r>
      <w:r w:rsidR="007D74B6" w:rsidRPr="00AE4053">
        <w:rPr>
          <w:rFonts w:ascii="Book Antiqua" w:hAnsi="Book Antiqua"/>
          <w:color w:val="231F20"/>
          <w:sz w:val="24"/>
          <w:szCs w:val="24"/>
          <w:lang w:val="en-IN"/>
        </w:rPr>
        <w:t>=</w:t>
      </w:r>
      <w:r w:rsidR="00D33215">
        <w:rPr>
          <w:rFonts w:ascii="Book Antiqua" w:hAnsi="Book Antiqua"/>
          <w:color w:val="231F20"/>
          <w:sz w:val="24"/>
          <w:szCs w:val="24"/>
          <w:lang w:val="en-IN"/>
        </w:rPr>
        <w:t xml:space="preserve"> </w:t>
      </w:r>
      <w:r w:rsidR="007D74B6" w:rsidRPr="00AE4053">
        <w:rPr>
          <w:rFonts w:ascii="Book Antiqua" w:hAnsi="Book Antiqua"/>
          <w:color w:val="231F20"/>
          <w:sz w:val="24"/>
          <w:szCs w:val="24"/>
          <w:lang w:val="en-IN"/>
        </w:rPr>
        <w:t>5)</w:t>
      </w:r>
      <w:r w:rsidR="005155E1" w:rsidRPr="00AE4053">
        <w:rPr>
          <w:rFonts w:ascii="Book Antiqua" w:hAnsi="Book Antiqua"/>
          <w:color w:val="231F20"/>
          <w:sz w:val="24"/>
          <w:szCs w:val="24"/>
          <w:lang w:val="en-IN"/>
        </w:rPr>
        <w:t>; (</w:t>
      </w:r>
      <w:r w:rsidR="00D33215">
        <w:rPr>
          <w:rFonts w:ascii="Book Antiqua" w:hAnsi="Book Antiqua"/>
          <w:color w:val="231F20"/>
          <w:sz w:val="24"/>
          <w:szCs w:val="24"/>
          <w:lang w:val="en-IN"/>
        </w:rPr>
        <w:t>4</w:t>
      </w:r>
      <w:r w:rsidR="005155E1" w:rsidRPr="00AE4053">
        <w:rPr>
          <w:rFonts w:ascii="Book Antiqua" w:hAnsi="Book Antiqua"/>
          <w:color w:val="231F20"/>
          <w:sz w:val="24"/>
          <w:szCs w:val="24"/>
          <w:lang w:val="en-IN"/>
        </w:rPr>
        <w:t>) patients who received beta blocker therapy in the past two weeks</w:t>
      </w:r>
      <w:r w:rsidR="007D74B6" w:rsidRPr="00AE4053">
        <w:rPr>
          <w:rFonts w:ascii="Book Antiqua" w:hAnsi="Book Antiqua"/>
          <w:color w:val="231F20"/>
          <w:sz w:val="24"/>
          <w:szCs w:val="24"/>
          <w:lang w:val="en-IN"/>
        </w:rPr>
        <w:t xml:space="preserve"> (</w:t>
      </w:r>
      <w:r w:rsidR="00D33215" w:rsidRPr="00D33215">
        <w:rPr>
          <w:rFonts w:ascii="Book Antiqua" w:hAnsi="Book Antiqua"/>
          <w:i/>
          <w:color w:val="231F20"/>
          <w:sz w:val="24"/>
          <w:szCs w:val="24"/>
          <w:lang w:val="en-IN"/>
        </w:rPr>
        <w:t>n</w:t>
      </w:r>
      <w:r w:rsidR="00D33215" w:rsidRPr="00AE4053">
        <w:rPr>
          <w:rFonts w:ascii="Book Antiqua" w:hAnsi="Book Antiqua"/>
          <w:color w:val="231F20"/>
          <w:sz w:val="24"/>
          <w:szCs w:val="24"/>
          <w:lang w:val="en-IN"/>
        </w:rPr>
        <w:t xml:space="preserve"> </w:t>
      </w:r>
      <w:r w:rsidR="007D74B6" w:rsidRPr="00AE4053">
        <w:rPr>
          <w:rFonts w:ascii="Book Antiqua" w:hAnsi="Book Antiqua"/>
          <w:color w:val="231F20"/>
          <w:sz w:val="24"/>
          <w:szCs w:val="24"/>
          <w:lang w:val="en-IN"/>
        </w:rPr>
        <w:t>=</w:t>
      </w:r>
      <w:r w:rsidR="00D33215">
        <w:rPr>
          <w:rFonts w:ascii="Book Antiqua" w:hAnsi="Book Antiqua"/>
          <w:color w:val="231F20"/>
          <w:sz w:val="24"/>
          <w:szCs w:val="24"/>
          <w:lang w:val="en-IN"/>
        </w:rPr>
        <w:t xml:space="preserve"> </w:t>
      </w:r>
      <w:r w:rsidR="007D74B6" w:rsidRPr="00AE4053">
        <w:rPr>
          <w:rFonts w:ascii="Book Antiqua" w:hAnsi="Book Antiqua"/>
          <w:color w:val="231F20"/>
          <w:sz w:val="24"/>
          <w:szCs w:val="24"/>
          <w:lang w:val="en-IN"/>
        </w:rPr>
        <w:t>3);</w:t>
      </w:r>
      <w:r w:rsidR="005155E1" w:rsidRPr="00AE4053">
        <w:rPr>
          <w:rFonts w:ascii="Book Antiqua" w:hAnsi="Book Antiqua"/>
          <w:color w:val="231F20"/>
          <w:sz w:val="24"/>
          <w:szCs w:val="24"/>
          <w:lang w:val="en-IN"/>
        </w:rPr>
        <w:t xml:space="preserve"> </w:t>
      </w:r>
      <w:r w:rsidR="007D74B6" w:rsidRPr="00AE4053">
        <w:rPr>
          <w:rFonts w:ascii="Book Antiqua" w:hAnsi="Book Antiqua"/>
          <w:color w:val="231F20"/>
          <w:sz w:val="24"/>
          <w:szCs w:val="24"/>
          <w:lang w:val="en-IN"/>
        </w:rPr>
        <w:t xml:space="preserve">and </w:t>
      </w:r>
      <w:r w:rsidR="005155E1" w:rsidRPr="00AE4053">
        <w:rPr>
          <w:rFonts w:ascii="Book Antiqua" w:hAnsi="Book Antiqua"/>
          <w:color w:val="231F20"/>
          <w:sz w:val="24"/>
          <w:szCs w:val="24"/>
          <w:lang w:val="en-IN"/>
        </w:rPr>
        <w:t>(</w:t>
      </w:r>
      <w:r w:rsidR="00D33215">
        <w:rPr>
          <w:rFonts w:ascii="Book Antiqua" w:hAnsi="Book Antiqua"/>
          <w:color w:val="231F20"/>
          <w:sz w:val="24"/>
          <w:szCs w:val="24"/>
          <w:lang w:val="en-IN"/>
        </w:rPr>
        <w:t>5</w:t>
      </w:r>
      <w:r w:rsidR="005155E1" w:rsidRPr="00AE4053">
        <w:rPr>
          <w:rFonts w:ascii="Book Antiqua" w:hAnsi="Book Antiqua"/>
          <w:color w:val="231F20"/>
          <w:sz w:val="24"/>
          <w:szCs w:val="24"/>
          <w:lang w:val="en-IN"/>
        </w:rPr>
        <w:t xml:space="preserve">) concomitant </w:t>
      </w:r>
      <w:proofErr w:type="spellStart"/>
      <w:r w:rsidR="00531641" w:rsidRPr="00AE4053">
        <w:rPr>
          <w:rFonts w:ascii="Book Antiqua" w:hAnsi="Book Antiqua"/>
          <w:color w:val="231F20"/>
          <w:sz w:val="24"/>
          <w:szCs w:val="24"/>
          <w:lang w:val="en-IN"/>
        </w:rPr>
        <w:t>extrahepatic</w:t>
      </w:r>
      <w:proofErr w:type="spellEnd"/>
      <w:r w:rsidR="00531641" w:rsidRPr="00AE4053">
        <w:rPr>
          <w:rFonts w:ascii="Book Antiqua" w:hAnsi="Book Antiqua"/>
          <w:color w:val="231F20"/>
          <w:sz w:val="24"/>
          <w:szCs w:val="24"/>
          <w:lang w:val="en-IN"/>
        </w:rPr>
        <w:t xml:space="preserve"> malignancy</w:t>
      </w:r>
      <w:r w:rsidR="007D74B6" w:rsidRPr="00AE4053">
        <w:rPr>
          <w:rFonts w:ascii="Book Antiqua" w:hAnsi="Book Antiqua"/>
          <w:color w:val="231F20"/>
          <w:sz w:val="24"/>
          <w:szCs w:val="24"/>
          <w:lang w:val="en-IN"/>
        </w:rPr>
        <w:t xml:space="preserve"> (</w:t>
      </w:r>
      <w:r w:rsidR="00D33215" w:rsidRPr="00D33215">
        <w:rPr>
          <w:rFonts w:ascii="Book Antiqua" w:hAnsi="Book Antiqua"/>
          <w:i/>
          <w:color w:val="231F20"/>
          <w:sz w:val="24"/>
          <w:szCs w:val="24"/>
          <w:lang w:val="en-IN"/>
        </w:rPr>
        <w:t>n</w:t>
      </w:r>
      <w:r w:rsidR="00D33215" w:rsidRPr="00AE4053">
        <w:rPr>
          <w:rFonts w:ascii="Book Antiqua" w:hAnsi="Book Antiqua"/>
          <w:color w:val="231F20"/>
          <w:sz w:val="24"/>
          <w:szCs w:val="24"/>
          <w:lang w:val="en-IN"/>
        </w:rPr>
        <w:t xml:space="preserve"> </w:t>
      </w:r>
      <w:r w:rsidR="007D74B6" w:rsidRPr="00AE4053">
        <w:rPr>
          <w:rFonts w:ascii="Book Antiqua" w:hAnsi="Book Antiqua"/>
          <w:color w:val="231F20"/>
          <w:sz w:val="24"/>
          <w:szCs w:val="24"/>
          <w:lang w:val="en-IN"/>
        </w:rPr>
        <w:t>=</w:t>
      </w:r>
      <w:r w:rsidR="00D33215">
        <w:rPr>
          <w:rFonts w:ascii="Book Antiqua" w:hAnsi="Book Antiqua"/>
          <w:color w:val="231F20"/>
          <w:sz w:val="24"/>
          <w:szCs w:val="24"/>
          <w:lang w:val="en-IN"/>
        </w:rPr>
        <w:t xml:space="preserve"> </w:t>
      </w:r>
      <w:r w:rsidR="007D74B6" w:rsidRPr="00AE4053">
        <w:rPr>
          <w:rFonts w:ascii="Book Antiqua" w:hAnsi="Book Antiqua"/>
          <w:color w:val="231F20"/>
          <w:sz w:val="24"/>
          <w:szCs w:val="24"/>
          <w:lang w:val="en-IN"/>
        </w:rPr>
        <w:t>2).</w:t>
      </w:r>
    </w:p>
    <w:p w14:paraId="11FD19F6" w14:textId="121996E8" w:rsidR="000634EC" w:rsidRPr="00AE4053" w:rsidRDefault="006B6C42" w:rsidP="00D33215">
      <w:pPr>
        <w:snapToGrid w:val="0"/>
        <w:spacing w:after="0" w:line="360" w:lineRule="auto"/>
        <w:ind w:firstLineChars="100" w:firstLine="240"/>
        <w:jc w:val="both"/>
        <w:rPr>
          <w:rFonts w:ascii="Book Antiqua" w:hAnsi="Book Antiqua"/>
          <w:color w:val="141314"/>
          <w:sz w:val="24"/>
          <w:szCs w:val="24"/>
          <w:lang w:val="en-IN"/>
        </w:rPr>
      </w:pPr>
      <w:r w:rsidRPr="00AE4053">
        <w:rPr>
          <w:rFonts w:ascii="Book Antiqua" w:hAnsi="Book Antiqua"/>
          <w:color w:val="141314"/>
          <w:sz w:val="24"/>
          <w:szCs w:val="24"/>
          <w:lang w:val="en-IN"/>
        </w:rPr>
        <w:t xml:space="preserve">Table 1 </w:t>
      </w:r>
      <w:r w:rsidR="00F61788" w:rsidRPr="00AE4053">
        <w:rPr>
          <w:rFonts w:ascii="Book Antiqua" w:hAnsi="Book Antiqua"/>
          <w:color w:val="141314"/>
          <w:sz w:val="24"/>
          <w:szCs w:val="24"/>
          <w:lang w:val="en-IN"/>
        </w:rPr>
        <w:t xml:space="preserve">presents </w:t>
      </w:r>
      <w:r w:rsidRPr="00AE4053">
        <w:rPr>
          <w:rFonts w:ascii="Book Antiqua" w:hAnsi="Book Antiqua"/>
          <w:color w:val="141314"/>
          <w:sz w:val="24"/>
          <w:szCs w:val="24"/>
          <w:lang w:val="en-IN"/>
        </w:rPr>
        <w:t xml:space="preserve">the demographic profile of patients studied. </w:t>
      </w:r>
      <w:r w:rsidR="008E4497" w:rsidRPr="00AE4053">
        <w:rPr>
          <w:rFonts w:ascii="Book Antiqua" w:hAnsi="Book Antiqua"/>
          <w:color w:val="141314"/>
          <w:sz w:val="24"/>
          <w:szCs w:val="24"/>
          <w:lang w:val="en-IN"/>
        </w:rPr>
        <w:t>The median age was 52 years (range 16-90 years)</w:t>
      </w:r>
      <w:r w:rsidR="00F61788" w:rsidRPr="00AE4053">
        <w:rPr>
          <w:rFonts w:ascii="Book Antiqua" w:hAnsi="Book Antiqua"/>
          <w:color w:val="141314"/>
          <w:sz w:val="24"/>
          <w:szCs w:val="24"/>
          <w:lang w:val="en-IN"/>
        </w:rPr>
        <w:t>,</w:t>
      </w:r>
      <w:r w:rsidR="008E4497" w:rsidRPr="00AE4053">
        <w:rPr>
          <w:rFonts w:ascii="Book Antiqua" w:hAnsi="Book Antiqua"/>
          <w:color w:val="141314"/>
          <w:sz w:val="24"/>
          <w:szCs w:val="24"/>
          <w:lang w:val="en-IN"/>
        </w:rPr>
        <w:t xml:space="preserve"> and </w:t>
      </w:r>
      <w:r w:rsidR="00F61788" w:rsidRPr="00AE4053">
        <w:rPr>
          <w:rFonts w:ascii="Book Antiqua" w:hAnsi="Book Antiqua"/>
          <w:color w:val="141314"/>
          <w:sz w:val="24"/>
          <w:szCs w:val="24"/>
          <w:lang w:val="en-IN"/>
        </w:rPr>
        <w:t xml:space="preserve">the </w:t>
      </w:r>
      <w:r w:rsidR="008E4497" w:rsidRPr="00AE4053">
        <w:rPr>
          <w:rFonts w:ascii="Book Antiqua" w:hAnsi="Book Antiqua"/>
          <w:color w:val="141314"/>
          <w:sz w:val="24"/>
          <w:szCs w:val="24"/>
          <w:lang w:val="en-IN"/>
        </w:rPr>
        <w:t xml:space="preserve">majority (81%) were males. </w:t>
      </w:r>
      <w:r w:rsidR="00F8146C" w:rsidRPr="00AE4053">
        <w:rPr>
          <w:rFonts w:ascii="Book Antiqua" w:hAnsi="Book Antiqua"/>
          <w:color w:val="141314"/>
          <w:sz w:val="24"/>
          <w:szCs w:val="24"/>
          <w:lang w:val="en-IN"/>
        </w:rPr>
        <w:t>The m</w:t>
      </w:r>
      <w:r w:rsidRPr="00AE4053">
        <w:rPr>
          <w:rFonts w:ascii="Book Antiqua" w:hAnsi="Book Antiqua"/>
          <w:color w:val="141314"/>
          <w:sz w:val="24"/>
          <w:szCs w:val="24"/>
          <w:lang w:val="en-IN"/>
        </w:rPr>
        <w:t xml:space="preserve">ost common </w:t>
      </w:r>
      <w:proofErr w:type="spellStart"/>
      <w:r w:rsidR="00CA33B4" w:rsidRPr="00AE4053">
        <w:rPr>
          <w:rFonts w:ascii="Book Antiqua" w:hAnsi="Book Antiqua"/>
          <w:color w:val="141314"/>
          <w:sz w:val="24"/>
          <w:szCs w:val="24"/>
          <w:lang w:val="en-IN"/>
        </w:rPr>
        <w:t>etiology</w:t>
      </w:r>
      <w:proofErr w:type="spellEnd"/>
      <w:r w:rsidRPr="00AE4053">
        <w:rPr>
          <w:rFonts w:ascii="Book Antiqua" w:hAnsi="Book Antiqua"/>
          <w:color w:val="141314"/>
          <w:sz w:val="24"/>
          <w:szCs w:val="24"/>
          <w:lang w:val="en-IN"/>
        </w:rPr>
        <w:t xml:space="preserve"> of </w:t>
      </w:r>
      <w:r w:rsidR="00A85CED" w:rsidRPr="00AE4053">
        <w:rPr>
          <w:rFonts w:ascii="Book Antiqua" w:hAnsi="Book Antiqua"/>
          <w:color w:val="141314"/>
          <w:sz w:val="24"/>
          <w:szCs w:val="24"/>
          <w:lang w:val="en-IN"/>
        </w:rPr>
        <w:t>cirrhosis</w:t>
      </w:r>
      <w:r w:rsidRPr="00AE4053">
        <w:rPr>
          <w:rFonts w:ascii="Book Antiqua" w:hAnsi="Book Antiqua"/>
          <w:color w:val="141314"/>
          <w:sz w:val="24"/>
          <w:szCs w:val="24"/>
          <w:lang w:val="en-IN"/>
        </w:rPr>
        <w:t xml:space="preserve"> was cryptogenic</w:t>
      </w:r>
      <w:r w:rsidR="00F8146C" w:rsidRPr="00AE4053">
        <w:rPr>
          <w:rFonts w:ascii="Book Antiqua" w:hAnsi="Book Antiqua"/>
          <w:color w:val="141314"/>
          <w:sz w:val="24"/>
          <w:szCs w:val="24"/>
          <w:lang w:val="en-IN"/>
        </w:rPr>
        <w:t xml:space="preserve"> </w:t>
      </w:r>
      <w:r w:rsidR="008E4497" w:rsidRPr="00AE4053">
        <w:rPr>
          <w:rFonts w:ascii="Book Antiqua" w:hAnsi="Book Antiqua"/>
          <w:color w:val="141314"/>
          <w:sz w:val="24"/>
          <w:szCs w:val="24"/>
          <w:lang w:val="en-IN"/>
        </w:rPr>
        <w:t>(45%) followed by alcohol (34%)</w:t>
      </w:r>
      <w:r w:rsidRPr="00AE4053">
        <w:rPr>
          <w:rFonts w:ascii="Book Antiqua" w:hAnsi="Book Antiqua"/>
          <w:color w:val="141314"/>
          <w:sz w:val="24"/>
          <w:szCs w:val="24"/>
          <w:lang w:val="en-IN"/>
        </w:rPr>
        <w:t xml:space="preserve">. Ascites was </w:t>
      </w:r>
      <w:r w:rsidR="0030246A" w:rsidRPr="00AE4053">
        <w:rPr>
          <w:rFonts w:ascii="Book Antiqua" w:hAnsi="Book Antiqua"/>
          <w:color w:val="141314"/>
          <w:sz w:val="24"/>
          <w:szCs w:val="24"/>
          <w:lang w:val="en-IN"/>
        </w:rPr>
        <w:t>present</w:t>
      </w:r>
      <w:r w:rsidRPr="00AE4053">
        <w:rPr>
          <w:rFonts w:ascii="Book Antiqua" w:hAnsi="Book Antiqua"/>
          <w:color w:val="141314"/>
          <w:sz w:val="24"/>
          <w:szCs w:val="24"/>
          <w:lang w:val="en-IN"/>
        </w:rPr>
        <w:t xml:space="preserve"> in </w:t>
      </w:r>
      <w:r w:rsidR="008E4497" w:rsidRPr="00AE4053">
        <w:rPr>
          <w:rFonts w:ascii="Book Antiqua" w:hAnsi="Book Antiqua"/>
          <w:color w:val="141314"/>
          <w:sz w:val="24"/>
          <w:szCs w:val="24"/>
          <w:lang w:val="en-IN"/>
        </w:rPr>
        <w:t>51</w:t>
      </w:r>
      <w:r w:rsidRPr="00AE4053">
        <w:rPr>
          <w:rFonts w:ascii="Book Antiqua" w:hAnsi="Book Antiqua"/>
          <w:color w:val="141314"/>
          <w:sz w:val="24"/>
          <w:szCs w:val="24"/>
          <w:lang w:val="en-IN"/>
        </w:rPr>
        <w:t xml:space="preserve">% </w:t>
      </w:r>
      <w:r w:rsidR="0030246A" w:rsidRPr="00AE4053">
        <w:rPr>
          <w:rFonts w:ascii="Book Antiqua" w:hAnsi="Book Antiqua"/>
          <w:color w:val="141314"/>
          <w:sz w:val="24"/>
          <w:szCs w:val="24"/>
          <w:lang w:val="en-IN"/>
        </w:rPr>
        <w:t xml:space="preserve">of </w:t>
      </w:r>
      <w:r w:rsidRPr="00AE4053">
        <w:rPr>
          <w:rFonts w:ascii="Book Antiqua" w:hAnsi="Book Antiqua"/>
          <w:color w:val="141314"/>
          <w:sz w:val="24"/>
          <w:szCs w:val="24"/>
          <w:lang w:val="en-IN"/>
        </w:rPr>
        <w:t xml:space="preserve">patients. </w:t>
      </w:r>
      <w:r w:rsidR="008E4497" w:rsidRPr="00AE4053">
        <w:rPr>
          <w:rFonts w:ascii="Book Antiqua" w:hAnsi="Book Antiqua"/>
          <w:color w:val="141314"/>
          <w:sz w:val="24"/>
          <w:szCs w:val="24"/>
          <w:lang w:val="en-IN"/>
        </w:rPr>
        <w:t>Six</w:t>
      </w:r>
      <w:r w:rsidR="00BE19DD" w:rsidRPr="00AE4053">
        <w:rPr>
          <w:rFonts w:ascii="Book Antiqua" w:hAnsi="Book Antiqua"/>
          <w:color w:val="141314"/>
          <w:sz w:val="24"/>
          <w:szCs w:val="24"/>
          <w:lang w:val="en-IN"/>
        </w:rPr>
        <w:t>t</w:t>
      </w:r>
      <w:r w:rsidR="008E4497" w:rsidRPr="00AE4053">
        <w:rPr>
          <w:rFonts w:ascii="Book Antiqua" w:hAnsi="Book Antiqua"/>
          <w:color w:val="141314"/>
          <w:sz w:val="24"/>
          <w:szCs w:val="24"/>
          <w:lang w:val="en-IN"/>
        </w:rPr>
        <w:t>y-four</w:t>
      </w:r>
      <w:r w:rsidR="0030246A" w:rsidRPr="00AE4053">
        <w:rPr>
          <w:rFonts w:ascii="Book Antiqua" w:hAnsi="Book Antiqua"/>
          <w:color w:val="141314"/>
          <w:sz w:val="24"/>
          <w:szCs w:val="24"/>
          <w:lang w:val="en-IN"/>
        </w:rPr>
        <w:t xml:space="preserve"> </w:t>
      </w:r>
      <w:proofErr w:type="spellStart"/>
      <w:r w:rsidR="0030246A" w:rsidRPr="00AE4053">
        <w:rPr>
          <w:rFonts w:ascii="Book Antiqua" w:hAnsi="Book Antiqua"/>
          <w:color w:val="141314"/>
          <w:sz w:val="24"/>
          <w:szCs w:val="24"/>
          <w:lang w:val="en-IN"/>
        </w:rPr>
        <w:t>percent</w:t>
      </w:r>
      <w:proofErr w:type="spellEnd"/>
      <w:r w:rsidR="000455FE" w:rsidRPr="00AE4053">
        <w:rPr>
          <w:rFonts w:ascii="Book Antiqua" w:hAnsi="Book Antiqua"/>
          <w:color w:val="141314"/>
          <w:sz w:val="24"/>
          <w:szCs w:val="24"/>
          <w:lang w:val="en-IN"/>
        </w:rPr>
        <w:t xml:space="preserve"> </w:t>
      </w:r>
      <w:r w:rsidR="008E4497" w:rsidRPr="00AE4053">
        <w:rPr>
          <w:rFonts w:ascii="Book Antiqua" w:hAnsi="Book Antiqua"/>
          <w:color w:val="141314"/>
          <w:sz w:val="24"/>
          <w:szCs w:val="24"/>
          <w:lang w:val="en-IN"/>
        </w:rPr>
        <w:t xml:space="preserve">of </w:t>
      </w:r>
      <w:r w:rsidR="000455FE" w:rsidRPr="00AE4053">
        <w:rPr>
          <w:rFonts w:ascii="Book Antiqua" w:hAnsi="Book Antiqua"/>
          <w:color w:val="141314"/>
          <w:sz w:val="24"/>
          <w:szCs w:val="24"/>
          <w:lang w:val="en-IN"/>
        </w:rPr>
        <w:t>patients were non</w:t>
      </w:r>
      <w:r w:rsidR="00F8146C" w:rsidRPr="00AE4053">
        <w:rPr>
          <w:rFonts w:ascii="Book Antiqua" w:hAnsi="Book Antiqua"/>
          <w:color w:val="141314"/>
          <w:sz w:val="24"/>
          <w:szCs w:val="24"/>
          <w:lang w:val="en-IN"/>
        </w:rPr>
        <w:t>-</w:t>
      </w:r>
      <w:r w:rsidR="000455FE" w:rsidRPr="00AE4053">
        <w:rPr>
          <w:rFonts w:ascii="Book Antiqua" w:hAnsi="Book Antiqua"/>
          <w:color w:val="141314"/>
          <w:sz w:val="24"/>
          <w:szCs w:val="24"/>
          <w:lang w:val="en-IN"/>
        </w:rPr>
        <w:t>bleeders</w:t>
      </w:r>
      <w:r w:rsidR="00F61788" w:rsidRPr="00AE4053">
        <w:rPr>
          <w:rFonts w:ascii="Book Antiqua" w:hAnsi="Book Antiqua"/>
          <w:color w:val="141314"/>
          <w:sz w:val="24"/>
          <w:szCs w:val="24"/>
          <w:lang w:val="en-IN"/>
        </w:rPr>
        <w:t>,</w:t>
      </w:r>
      <w:r w:rsidR="000455FE" w:rsidRPr="00AE4053">
        <w:rPr>
          <w:rFonts w:ascii="Book Antiqua" w:hAnsi="Book Antiqua"/>
          <w:color w:val="141314"/>
          <w:sz w:val="24"/>
          <w:szCs w:val="24"/>
          <w:lang w:val="en-IN"/>
        </w:rPr>
        <w:t xml:space="preserve"> whereas the remaining had bled from varices in the past. </w:t>
      </w:r>
      <w:r w:rsidR="00B61C5B" w:rsidRPr="00AE4053">
        <w:rPr>
          <w:rFonts w:ascii="Book Antiqua" w:hAnsi="Book Antiqua"/>
          <w:color w:val="141314"/>
          <w:sz w:val="24"/>
          <w:szCs w:val="24"/>
          <w:lang w:val="en-IN"/>
        </w:rPr>
        <w:t>The median CTP score was 7 (range 5-12)</w:t>
      </w:r>
      <w:r w:rsidR="00F61788" w:rsidRPr="00AE4053">
        <w:rPr>
          <w:rFonts w:ascii="Book Antiqua" w:hAnsi="Book Antiqua"/>
          <w:color w:val="141314"/>
          <w:sz w:val="24"/>
          <w:szCs w:val="24"/>
          <w:lang w:val="en-IN"/>
        </w:rPr>
        <w:t>,</w:t>
      </w:r>
      <w:r w:rsidR="00B61C5B" w:rsidRPr="00AE4053">
        <w:rPr>
          <w:rFonts w:ascii="Book Antiqua" w:hAnsi="Book Antiqua"/>
          <w:color w:val="141314"/>
          <w:sz w:val="24"/>
          <w:szCs w:val="24"/>
          <w:lang w:val="en-IN"/>
        </w:rPr>
        <w:t xml:space="preserve"> and the median MELD score was 12 (range 6-37).</w:t>
      </w:r>
      <w:r w:rsidR="00281B57" w:rsidRPr="00AE4053">
        <w:rPr>
          <w:rFonts w:ascii="Book Antiqua" w:hAnsi="Book Antiqua"/>
          <w:color w:val="141314"/>
          <w:sz w:val="24"/>
          <w:szCs w:val="24"/>
          <w:lang w:val="en-IN"/>
        </w:rPr>
        <w:t xml:space="preserve"> </w:t>
      </w:r>
      <w:r w:rsidR="000455FE" w:rsidRPr="00AE4053">
        <w:rPr>
          <w:rFonts w:ascii="Book Antiqua" w:hAnsi="Book Antiqua"/>
          <w:color w:val="141314"/>
          <w:sz w:val="24"/>
          <w:szCs w:val="24"/>
          <w:lang w:val="en-IN"/>
        </w:rPr>
        <w:t xml:space="preserve">The median liver stiffness was </w:t>
      </w:r>
      <w:r w:rsidR="008E4497" w:rsidRPr="00AE4053">
        <w:rPr>
          <w:rFonts w:ascii="Book Antiqua" w:hAnsi="Book Antiqua"/>
          <w:color w:val="141314"/>
          <w:sz w:val="24"/>
          <w:szCs w:val="24"/>
          <w:lang w:val="en-IN"/>
        </w:rPr>
        <w:t>36</w:t>
      </w:r>
      <w:r w:rsidR="001B6D2E" w:rsidRPr="00AE4053">
        <w:rPr>
          <w:rFonts w:ascii="Book Antiqua" w:hAnsi="Book Antiqua"/>
          <w:color w:val="141314"/>
          <w:sz w:val="24"/>
          <w:szCs w:val="24"/>
          <w:lang w:val="en-IN"/>
        </w:rPr>
        <w:t xml:space="preserve"> </w:t>
      </w:r>
      <w:proofErr w:type="spellStart"/>
      <w:r w:rsidR="000455FE" w:rsidRPr="00AE4053">
        <w:rPr>
          <w:rFonts w:ascii="Book Antiqua" w:hAnsi="Book Antiqua"/>
          <w:color w:val="141314"/>
          <w:sz w:val="24"/>
          <w:szCs w:val="24"/>
          <w:lang w:val="en-IN"/>
        </w:rPr>
        <w:t>kPa</w:t>
      </w:r>
      <w:proofErr w:type="spellEnd"/>
      <w:r w:rsidR="000455FE" w:rsidRPr="00AE4053">
        <w:rPr>
          <w:rFonts w:ascii="Book Antiqua" w:hAnsi="Book Antiqua"/>
          <w:color w:val="141314"/>
          <w:sz w:val="24"/>
          <w:szCs w:val="24"/>
          <w:lang w:val="en-IN"/>
        </w:rPr>
        <w:t xml:space="preserve"> with a range of </w:t>
      </w:r>
      <w:r w:rsidR="008E4497" w:rsidRPr="00AE4053">
        <w:rPr>
          <w:rFonts w:ascii="Book Antiqua" w:hAnsi="Book Antiqua"/>
          <w:color w:val="141314"/>
          <w:sz w:val="24"/>
          <w:szCs w:val="24"/>
          <w:lang w:val="en-IN"/>
        </w:rPr>
        <w:t>3</w:t>
      </w:r>
      <w:r w:rsidR="000455FE" w:rsidRPr="00AE4053">
        <w:rPr>
          <w:rFonts w:ascii="Book Antiqua" w:hAnsi="Book Antiqua"/>
          <w:color w:val="141314"/>
          <w:sz w:val="24"/>
          <w:szCs w:val="24"/>
          <w:lang w:val="en-IN"/>
        </w:rPr>
        <w:t xml:space="preserve"> to 75 </w:t>
      </w:r>
      <w:proofErr w:type="spellStart"/>
      <w:r w:rsidR="000455FE" w:rsidRPr="00AE4053">
        <w:rPr>
          <w:rFonts w:ascii="Book Antiqua" w:hAnsi="Book Antiqua"/>
          <w:color w:val="141314"/>
          <w:sz w:val="24"/>
          <w:szCs w:val="24"/>
          <w:lang w:val="en-IN"/>
        </w:rPr>
        <w:t>kPa</w:t>
      </w:r>
      <w:proofErr w:type="spellEnd"/>
      <w:r w:rsidR="000455FE" w:rsidRPr="00AE4053">
        <w:rPr>
          <w:rFonts w:ascii="Book Antiqua" w:hAnsi="Book Antiqua"/>
          <w:color w:val="141314"/>
          <w:sz w:val="24"/>
          <w:szCs w:val="24"/>
          <w:lang w:val="en-IN"/>
        </w:rPr>
        <w:t xml:space="preserve">. </w:t>
      </w:r>
    </w:p>
    <w:p w14:paraId="35D9B8CD" w14:textId="77777777" w:rsidR="000634EC" w:rsidRPr="00AE4053" w:rsidRDefault="000634EC" w:rsidP="00AE4053">
      <w:pPr>
        <w:snapToGrid w:val="0"/>
        <w:spacing w:after="0" w:line="360" w:lineRule="auto"/>
        <w:jc w:val="both"/>
        <w:rPr>
          <w:rFonts w:ascii="Book Antiqua" w:hAnsi="Book Antiqua"/>
          <w:sz w:val="24"/>
          <w:szCs w:val="24"/>
        </w:rPr>
      </w:pPr>
    </w:p>
    <w:p w14:paraId="5981C002" w14:textId="35B408C3" w:rsidR="0028118A" w:rsidRPr="00D33215" w:rsidRDefault="0028118A" w:rsidP="00AE4053">
      <w:pPr>
        <w:snapToGrid w:val="0"/>
        <w:spacing w:after="0" w:line="360" w:lineRule="auto"/>
        <w:jc w:val="both"/>
        <w:rPr>
          <w:rFonts w:ascii="Book Antiqua" w:hAnsi="Book Antiqua"/>
          <w:b/>
          <w:i/>
          <w:sz w:val="24"/>
          <w:szCs w:val="24"/>
        </w:rPr>
      </w:pPr>
      <w:bookmarkStart w:id="40" w:name="_Toc334950162"/>
      <w:r w:rsidRPr="00D33215">
        <w:rPr>
          <w:rFonts w:ascii="Book Antiqua" w:hAnsi="Book Antiqua"/>
          <w:b/>
          <w:i/>
          <w:sz w:val="24"/>
          <w:szCs w:val="24"/>
        </w:rPr>
        <w:t>HVPG</w:t>
      </w:r>
      <w:bookmarkEnd w:id="40"/>
    </w:p>
    <w:p w14:paraId="61AFF0C1" w14:textId="27417A53" w:rsidR="0028118A" w:rsidRPr="00AE4053" w:rsidRDefault="0028118A" w:rsidP="00AE4053">
      <w:pPr>
        <w:snapToGrid w:val="0"/>
        <w:spacing w:after="0" w:line="360" w:lineRule="auto"/>
        <w:jc w:val="both"/>
        <w:rPr>
          <w:rFonts w:ascii="Book Antiqua" w:hAnsi="Book Antiqua"/>
          <w:sz w:val="24"/>
          <w:szCs w:val="24"/>
        </w:rPr>
      </w:pPr>
      <w:r w:rsidRPr="00AE4053">
        <w:rPr>
          <w:rFonts w:ascii="Book Antiqua" w:hAnsi="Book Antiqua"/>
          <w:sz w:val="24"/>
          <w:szCs w:val="24"/>
        </w:rPr>
        <w:t xml:space="preserve">The median HVPG of all patients was </w:t>
      </w:r>
      <w:r w:rsidR="00D33215">
        <w:rPr>
          <w:rFonts w:ascii="Book Antiqua" w:hAnsi="Book Antiqua"/>
          <w:sz w:val="24"/>
          <w:szCs w:val="24"/>
        </w:rPr>
        <w:t>16.0 (range 1.5 to 30.5) mm</w:t>
      </w:r>
      <w:r w:rsidR="006759B0" w:rsidRPr="00AE4053">
        <w:rPr>
          <w:rFonts w:ascii="Book Antiqua" w:hAnsi="Book Antiqua"/>
          <w:sz w:val="24"/>
          <w:szCs w:val="24"/>
        </w:rPr>
        <w:t xml:space="preserve">Hg. </w:t>
      </w:r>
      <w:r w:rsidRPr="00AE4053">
        <w:rPr>
          <w:rFonts w:ascii="Book Antiqua" w:hAnsi="Book Antiqua"/>
          <w:sz w:val="24"/>
          <w:szCs w:val="24"/>
        </w:rPr>
        <w:t xml:space="preserve">Table 2 shows </w:t>
      </w:r>
      <w:r w:rsidR="006759B0" w:rsidRPr="00AE4053">
        <w:rPr>
          <w:rFonts w:ascii="Book Antiqua" w:hAnsi="Book Antiqua"/>
          <w:sz w:val="24"/>
          <w:szCs w:val="24"/>
        </w:rPr>
        <w:t>patients categorized according to HVPG</w:t>
      </w:r>
      <w:r w:rsidR="00CE1F02" w:rsidRPr="00AE4053">
        <w:rPr>
          <w:rFonts w:ascii="Book Antiqua" w:hAnsi="Book Antiqua"/>
          <w:sz w:val="24"/>
          <w:szCs w:val="24"/>
        </w:rPr>
        <w:t xml:space="preserve"> stages</w:t>
      </w:r>
      <w:r w:rsidR="006759B0" w:rsidRPr="00AE4053">
        <w:rPr>
          <w:rFonts w:ascii="Book Antiqua" w:hAnsi="Book Antiqua"/>
          <w:sz w:val="24"/>
          <w:szCs w:val="24"/>
        </w:rPr>
        <w:t xml:space="preserve">. Four percent </w:t>
      </w:r>
      <w:r w:rsidR="00D33215">
        <w:rPr>
          <w:rFonts w:ascii="Book Antiqua" w:hAnsi="Book Antiqua"/>
          <w:sz w:val="24"/>
          <w:szCs w:val="24"/>
        </w:rPr>
        <w:t>patients had normal HVPG (≤ 5 mm</w:t>
      </w:r>
      <w:r w:rsidR="006759B0" w:rsidRPr="00AE4053">
        <w:rPr>
          <w:rFonts w:ascii="Book Antiqua" w:hAnsi="Book Antiqua"/>
          <w:sz w:val="24"/>
          <w:szCs w:val="24"/>
        </w:rPr>
        <w:t xml:space="preserve">Hg), while </w:t>
      </w:r>
      <w:r w:rsidR="00792B07" w:rsidRPr="00AE4053">
        <w:rPr>
          <w:rFonts w:ascii="Book Antiqua" w:hAnsi="Book Antiqua"/>
          <w:sz w:val="24"/>
          <w:szCs w:val="24"/>
        </w:rPr>
        <w:t xml:space="preserve">the </w:t>
      </w:r>
      <w:r w:rsidR="006759B0" w:rsidRPr="00AE4053">
        <w:rPr>
          <w:rFonts w:ascii="Book Antiqua" w:hAnsi="Book Antiqua"/>
          <w:sz w:val="24"/>
          <w:szCs w:val="24"/>
        </w:rPr>
        <w:t>remaining 96% had portal hypertension (</w:t>
      </w:r>
      <w:r w:rsidR="00561EBD" w:rsidRPr="00AE4053">
        <w:rPr>
          <w:rFonts w:ascii="Book Antiqua" w:hAnsi="Book Antiqua"/>
          <w:sz w:val="24"/>
          <w:szCs w:val="24"/>
        </w:rPr>
        <w:t xml:space="preserve">HVPG </w:t>
      </w:r>
      <w:r w:rsidR="006759B0" w:rsidRPr="00AE4053">
        <w:rPr>
          <w:rFonts w:ascii="Book Antiqua" w:hAnsi="Book Antiqua"/>
          <w:sz w:val="24"/>
          <w:szCs w:val="24"/>
        </w:rPr>
        <w:t>&gt;</w:t>
      </w:r>
      <w:r w:rsidR="00D33215">
        <w:rPr>
          <w:rFonts w:ascii="Book Antiqua" w:hAnsi="Book Antiqua"/>
          <w:sz w:val="24"/>
          <w:szCs w:val="24"/>
        </w:rPr>
        <w:t xml:space="preserve"> 5 mm</w:t>
      </w:r>
      <w:r w:rsidR="006759B0" w:rsidRPr="00AE4053">
        <w:rPr>
          <w:rFonts w:ascii="Book Antiqua" w:hAnsi="Book Antiqua"/>
          <w:sz w:val="24"/>
          <w:szCs w:val="24"/>
        </w:rPr>
        <w:t xml:space="preserve">Hg). </w:t>
      </w:r>
      <w:r w:rsidR="00561EBD" w:rsidRPr="00AE4053">
        <w:rPr>
          <w:rFonts w:ascii="Book Antiqua" w:hAnsi="Book Antiqua"/>
          <w:sz w:val="24"/>
          <w:szCs w:val="24"/>
        </w:rPr>
        <w:t>Eighty</w:t>
      </w:r>
      <w:r w:rsidR="00FB17CD" w:rsidRPr="00AE4053">
        <w:rPr>
          <w:rFonts w:ascii="Book Antiqua" w:hAnsi="Book Antiqua"/>
          <w:sz w:val="24"/>
          <w:szCs w:val="24"/>
        </w:rPr>
        <w:t>-</w:t>
      </w:r>
      <w:r w:rsidR="00561EBD" w:rsidRPr="00AE4053">
        <w:rPr>
          <w:rFonts w:ascii="Book Antiqua" w:hAnsi="Book Antiqua"/>
          <w:sz w:val="24"/>
          <w:szCs w:val="24"/>
        </w:rPr>
        <w:t xml:space="preserve">five percent </w:t>
      </w:r>
      <w:r w:rsidR="00FB17CD" w:rsidRPr="00AE4053">
        <w:rPr>
          <w:rFonts w:ascii="Book Antiqua" w:hAnsi="Book Antiqua"/>
          <w:sz w:val="24"/>
          <w:szCs w:val="24"/>
        </w:rPr>
        <w:t xml:space="preserve">of </w:t>
      </w:r>
      <w:r w:rsidR="00561EBD" w:rsidRPr="00AE4053">
        <w:rPr>
          <w:rFonts w:ascii="Book Antiqua" w:hAnsi="Book Antiqua"/>
          <w:sz w:val="24"/>
          <w:szCs w:val="24"/>
        </w:rPr>
        <w:t>patients had clinically significant portal hypertension (HVPG ≥</w:t>
      </w:r>
      <w:r w:rsidR="00D33215">
        <w:rPr>
          <w:rFonts w:ascii="Book Antiqua" w:hAnsi="Book Antiqua"/>
          <w:sz w:val="24"/>
          <w:szCs w:val="24"/>
        </w:rPr>
        <w:t xml:space="preserve"> 10 mm</w:t>
      </w:r>
      <w:r w:rsidR="00561EBD" w:rsidRPr="00AE4053">
        <w:rPr>
          <w:rFonts w:ascii="Book Antiqua" w:hAnsi="Book Antiqua"/>
          <w:sz w:val="24"/>
          <w:szCs w:val="24"/>
        </w:rPr>
        <w:t>Hg</w:t>
      </w:r>
      <w:r w:rsidR="00FB17CD" w:rsidRPr="00AE4053">
        <w:rPr>
          <w:rFonts w:ascii="Book Antiqua" w:hAnsi="Book Antiqua"/>
          <w:sz w:val="24"/>
          <w:szCs w:val="24"/>
        </w:rPr>
        <w:t xml:space="preserve">). </w:t>
      </w:r>
      <w:r w:rsidR="00ED41F4" w:rsidRPr="00AE4053">
        <w:rPr>
          <w:rFonts w:ascii="Book Antiqua" w:hAnsi="Book Antiqua"/>
          <w:sz w:val="24"/>
          <w:szCs w:val="24"/>
        </w:rPr>
        <w:t>Seventy-six percent</w:t>
      </w:r>
      <w:r w:rsidR="00561EBD" w:rsidRPr="00AE4053">
        <w:rPr>
          <w:rFonts w:ascii="Book Antiqua" w:hAnsi="Book Antiqua"/>
          <w:sz w:val="24"/>
          <w:szCs w:val="24"/>
        </w:rPr>
        <w:t xml:space="preserve"> patients had HVPG </w:t>
      </w:r>
      <w:r w:rsidR="00FB17CD" w:rsidRPr="00AE4053">
        <w:rPr>
          <w:rFonts w:ascii="Book Antiqua" w:hAnsi="Book Antiqua"/>
          <w:sz w:val="24"/>
          <w:szCs w:val="24"/>
        </w:rPr>
        <w:t xml:space="preserve">greater </w:t>
      </w:r>
      <w:r w:rsidR="00D33215">
        <w:rPr>
          <w:rFonts w:ascii="Book Antiqua" w:hAnsi="Book Antiqua"/>
          <w:sz w:val="24"/>
          <w:szCs w:val="24"/>
        </w:rPr>
        <w:t>than 12 mm</w:t>
      </w:r>
      <w:r w:rsidR="00561EBD" w:rsidRPr="00AE4053">
        <w:rPr>
          <w:rFonts w:ascii="Book Antiqua" w:hAnsi="Book Antiqua"/>
          <w:sz w:val="24"/>
          <w:szCs w:val="24"/>
        </w:rPr>
        <w:t>Hg</w:t>
      </w:r>
      <w:r w:rsidR="006B74E4" w:rsidRPr="00AE4053">
        <w:rPr>
          <w:rFonts w:ascii="Book Antiqua" w:hAnsi="Book Antiqua"/>
          <w:sz w:val="24"/>
          <w:szCs w:val="24"/>
        </w:rPr>
        <w:t xml:space="preserve"> (severe portal hypertension</w:t>
      </w:r>
      <w:r w:rsidR="003F3603" w:rsidRPr="00AE4053">
        <w:rPr>
          <w:rFonts w:ascii="Book Antiqua" w:hAnsi="Book Antiqua"/>
          <w:sz w:val="24"/>
          <w:szCs w:val="24"/>
        </w:rPr>
        <w:t>, SPH</w:t>
      </w:r>
      <w:r w:rsidR="006B74E4" w:rsidRPr="00AE4053">
        <w:rPr>
          <w:rFonts w:ascii="Book Antiqua" w:hAnsi="Book Antiqua"/>
          <w:sz w:val="24"/>
          <w:szCs w:val="24"/>
        </w:rPr>
        <w:t>)</w:t>
      </w:r>
      <w:r w:rsidR="00561EBD" w:rsidRPr="00AE4053">
        <w:rPr>
          <w:rFonts w:ascii="Book Antiqua" w:hAnsi="Book Antiqua"/>
          <w:sz w:val="24"/>
          <w:szCs w:val="24"/>
        </w:rPr>
        <w:t>, which is the threshold for variceal bleeding</w:t>
      </w:r>
      <w:r w:rsidR="00FB17CD" w:rsidRPr="00AE4053">
        <w:rPr>
          <w:rFonts w:ascii="Book Antiqua" w:hAnsi="Book Antiqua"/>
          <w:sz w:val="24"/>
          <w:szCs w:val="24"/>
        </w:rPr>
        <w:t>. In addition,</w:t>
      </w:r>
      <w:r w:rsidR="00561EBD" w:rsidRPr="00AE4053">
        <w:rPr>
          <w:rFonts w:ascii="Book Antiqua" w:hAnsi="Book Antiqua"/>
          <w:sz w:val="24"/>
          <w:szCs w:val="24"/>
        </w:rPr>
        <w:t xml:space="preserve"> 18% patients had very high HVPG (&gt;</w:t>
      </w:r>
      <w:r w:rsidR="00D33215">
        <w:rPr>
          <w:rFonts w:ascii="Book Antiqua" w:hAnsi="Book Antiqua"/>
          <w:sz w:val="24"/>
          <w:szCs w:val="24"/>
        </w:rPr>
        <w:t xml:space="preserve"> 20 mm</w:t>
      </w:r>
      <w:r w:rsidR="00561EBD" w:rsidRPr="00AE4053">
        <w:rPr>
          <w:rFonts w:ascii="Book Antiqua" w:hAnsi="Book Antiqua"/>
          <w:sz w:val="24"/>
          <w:szCs w:val="24"/>
        </w:rPr>
        <w:t>Hg</w:t>
      </w:r>
      <w:r w:rsidR="006B74E4" w:rsidRPr="00AE4053">
        <w:rPr>
          <w:rFonts w:ascii="Book Antiqua" w:hAnsi="Book Antiqua"/>
          <w:sz w:val="24"/>
          <w:szCs w:val="24"/>
        </w:rPr>
        <w:t>, very severe portal hypertension</w:t>
      </w:r>
      <w:r w:rsidR="003F3603" w:rsidRPr="00AE4053">
        <w:rPr>
          <w:rFonts w:ascii="Book Antiqua" w:hAnsi="Book Antiqua"/>
          <w:sz w:val="24"/>
          <w:szCs w:val="24"/>
        </w:rPr>
        <w:t>, VSPH</w:t>
      </w:r>
      <w:r w:rsidR="00561EBD" w:rsidRPr="00AE4053">
        <w:rPr>
          <w:rFonts w:ascii="Book Antiqua" w:hAnsi="Book Antiqua"/>
          <w:sz w:val="24"/>
          <w:szCs w:val="24"/>
        </w:rPr>
        <w:t>).</w:t>
      </w:r>
    </w:p>
    <w:p w14:paraId="78B5D6E5" w14:textId="77777777" w:rsidR="00561EBD" w:rsidRPr="00AE4053" w:rsidRDefault="00561EBD" w:rsidP="00AE4053">
      <w:pPr>
        <w:snapToGrid w:val="0"/>
        <w:spacing w:after="0" w:line="360" w:lineRule="auto"/>
        <w:jc w:val="both"/>
        <w:rPr>
          <w:rFonts w:ascii="Book Antiqua" w:hAnsi="Book Antiqua"/>
          <w:sz w:val="24"/>
          <w:szCs w:val="24"/>
        </w:rPr>
      </w:pPr>
    </w:p>
    <w:p w14:paraId="7C93606B" w14:textId="0B055C7F" w:rsidR="000634EC" w:rsidRPr="00D33215" w:rsidRDefault="00290D1A" w:rsidP="00AE4053">
      <w:pPr>
        <w:snapToGrid w:val="0"/>
        <w:spacing w:after="0" w:line="360" w:lineRule="auto"/>
        <w:jc w:val="both"/>
        <w:rPr>
          <w:rFonts w:ascii="Book Antiqua" w:hAnsi="Book Antiqua"/>
          <w:b/>
          <w:i/>
          <w:sz w:val="24"/>
          <w:szCs w:val="24"/>
        </w:rPr>
      </w:pPr>
      <w:bookmarkStart w:id="41" w:name="_Toc334950163"/>
      <w:r w:rsidRPr="00D33215">
        <w:rPr>
          <w:rFonts w:ascii="Book Antiqua" w:hAnsi="Book Antiqua"/>
          <w:b/>
          <w:i/>
          <w:sz w:val="24"/>
          <w:szCs w:val="24"/>
        </w:rPr>
        <w:lastRenderedPageBreak/>
        <w:t>Correlation of TE with HVPG</w:t>
      </w:r>
      <w:bookmarkEnd w:id="41"/>
    </w:p>
    <w:p w14:paraId="349BF980" w14:textId="61858A08" w:rsidR="008B0DA5" w:rsidRPr="00AE4053" w:rsidRDefault="00FB17CD" w:rsidP="00AE4053">
      <w:pPr>
        <w:snapToGrid w:val="0"/>
        <w:spacing w:after="0" w:line="360" w:lineRule="auto"/>
        <w:jc w:val="both"/>
        <w:rPr>
          <w:rFonts w:ascii="Book Antiqua" w:hAnsi="Book Antiqua"/>
          <w:sz w:val="24"/>
          <w:szCs w:val="24"/>
        </w:rPr>
      </w:pPr>
      <w:r w:rsidRPr="00AE4053">
        <w:rPr>
          <w:rFonts w:ascii="Book Antiqua" w:hAnsi="Book Antiqua"/>
          <w:sz w:val="24"/>
          <w:szCs w:val="24"/>
        </w:rPr>
        <w:t>A</w:t>
      </w:r>
      <w:r w:rsidR="004F2A7D" w:rsidRPr="00AE4053">
        <w:rPr>
          <w:rFonts w:ascii="Book Antiqua" w:hAnsi="Book Antiqua"/>
          <w:sz w:val="24"/>
          <w:szCs w:val="24"/>
        </w:rPr>
        <w:t xml:space="preserve"> significant </w:t>
      </w:r>
      <w:r w:rsidR="00B559C7" w:rsidRPr="00AE4053">
        <w:rPr>
          <w:rFonts w:ascii="Book Antiqua" w:hAnsi="Book Antiqua"/>
          <w:sz w:val="24"/>
          <w:szCs w:val="24"/>
        </w:rPr>
        <w:t xml:space="preserve">positive </w:t>
      </w:r>
      <w:r w:rsidR="004F2A7D" w:rsidRPr="00AE4053">
        <w:rPr>
          <w:rFonts w:ascii="Book Antiqua" w:hAnsi="Book Antiqua"/>
          <w:sz w:val="24"/>
          <w:szCs w:val="24"/>
        </w:rPr>
        <w:t xml:space="preserve">correlation </w:t>
      </w:r>
      <w:r w:rsidRPr="00AE4053">
        <w:rPr>
          <w:rFonts w:ascii="Book Antiqua" w:hAnsi="Book Antiqua"/>
          <w:sz w:val="24"/>
          <w:szCs w:val="24"/>
        </w:rPr>
        <w:t xml:space="preserve">was noted </w:t>
      </w:r>
      <w:r w:rsidR="004F2A7D" w:rsidRPr="00AE4053">
        <w:rPr>
          <w:rFonts w:ascii="Book Antiqua" w:hAnsi="Book Antiqua"/>
          <w:sz w:val="24"/>
          <w:szCs w:val="24"/>
        </w:rPr>
        <w:t xml:space="preserve">between liver stiffness and HVPG </w:t>
      </w:r>
      <w:r w:rsidR="00F8146C" w:rsidRPr="00AE4053">
        <w:rPr>
          <w:rFonts w:ascii="Book Antiqua" w:hAnsi="Book Antiqua"/>
          <w:sz w:val="24"/>
          <w:szCs w:val="24"/>
        </w:rPr>
        <w:t xml:space="preserve">levels </w:t>
      </w:r>
      <w:r w:rsidR="004F2A7D" w:rsidRPr="00AE4053">
        <w:rPr>
          <w:rFonts w:ascii="Book Antiqua" w:hAnsi="Book Antiqua"/>
          <w:sz w:val="24"/>
          <w:szCs w:val="24"/>
        </w:rPr>
        <w:t>(</w:t>
      </w:r>
      <w:r w:rsidR="00E30A67" w:rsidRPr="00AE4053">
        <w:rPr>
          <w:rFonts w:ascii="Book Antiqua" w:hAnsi="Book Antiqua"/>
          <w:sz w:val="24"/>
          <w:szCs w:val="24"/>
        </w:rPr>
        <w:t>S</w:t>
      </w:r>
      <w:r w:rsidR="004F2A7D" w:rsidRPr="00AE4053">
        <w:rPr>
          <w:rFonts w:ascii="Book Antiqua" w:hAnsi="Book Antiqua"/>
          <w:sz w:val="24"/>
          <w:szCs w:val="24"/>
        </w:rPr>
        <w:t>pearman’s rho 0.</w:t>
      </w:r>
      <w:r w:rsidR="00F861B1" w:rsidRPr="00AE4053">
        <w:rPr>
          <w:rFonts w:ascii="Book Antiqua" w:hAnsi="Book Antiqua"/>
          <w:sz w:val="24"/>
          <w:szCs w:val="24"/>
        </w:rPr>
        <w:t>361</w:t>
      </w:r>
      <w:r w:rsidR="004F2A7D" w:rsidRPr="00AE4053">
        <w:rPr>
          <w:rFonts w:ascii="Book Antiqua" w:hAnsi="Book Antiqua"/>
          <w:sz w:val="24"/>
          <w:szCs w:val="24"/>
        </w:rPr>
        <w:t xml:space="preserve">, </w:t>
      </w:r>
      <w:r w:rsidR="004F2A7D" w:rsidRPr="00D33215">
        <w:rPr>
          <w:rFonts w:ascii="Book Antiqua" w:hAnsi="Book Antiqua"/>
          <w:i/>
          <w:caps/>
          <w:sz w:val="24"/>
          <w:szCs w:val="24"/>
        </w:rPr>
        <w:t>p</w:t>
      </w:r>
      <w:r w:rsidR="00D33215">
        <w:rPr>
          <w:rFonts w:ascii="Book Antiqua" w:hAnsi="Book Antiqua"/>
          <w:sz w:val="24"/>
          <w:szCs w:val="24"/>
        </w:rPr>
        <w:t xml:space="preserve"> </w:t>
      </w:r>
      <w:r w:rsidR="00F861B1" w:rsidRPr="00AE4053">
        <w:rPr>
          <w:rFonts w:ascii="Book Antiqua" w:hAnsi="Book Antiqua"/>
          <w:sz w:val="24"/>
          <w:szCs w:val="24"/>
        </w:rPr>
        <w:t>&lt;</w:t>
      </w:r>
      <w:r w:rsidR="00D33215">
        <w:rPr>
          <w:rFonts w:ascii="Book Antiqua" w:hAnsi="Book Antiqua"/>
          <w:sz w:val="24"/>
          <w:szCs w:val="24"/>
        </w:rPr>
        <w:t xml:space="preserve"> </w:t>
      </w:r>
      <w:r w:rsidR="004F2A7D" w:rsidRPr="00AE4053">
        <w:rPr>
          <w:rFonts w:ascii="Book Antiqua" w:hAnsi="Book Antiqua"/>
          <w:sz w:val="24"/>
          <w:szCs w:val="24"/>
        </w:rPr>
        <w:t>0.00</w:t>
      </w:r>
      <w:r w:rsidR="00F861B1" w:rsidRPr="00AE4053">
        <w:rPr>
          <w:rFonts w:ascii="Book Antiqua" w:hAnsi="Book Antiqua"/>
          <w:sz w:val="24"/>
          <w:szCs w:val="24"/>
        </w:rPr>
        <w:t>1</w:t>
      </w:r>
      <w:r w:rsidR="004F2A7D" w:rsidRPr="00AE4053">
        <w:rPr>
          <w:rFonts w:ascii="Book Antiqua" w:hAnsi="Book Antiqua"/>
          <w:sz w:val="24"/>
          <w:szCs w:val="24"/>
        </w:rPr>
        <w:t>).</w:t>
      </w:r>
      <w:r w:rsidR="00F861B1" w:rsidRPr="00AE4053">
        <w:rPr>
          <w:rFonts w:ascii="Book Antiqua" w:hAnsi="Book Antiqua"/>
          <w:sz w:val="24"/>
          <w:szCs w:val="24"/>
        </w:rPr>
        <w:t xml:space="preserve"> </w:t>
      </w:r>
      <w:r w:rsidR="00031D63" w:rsidRPr="00AE4053">
        <w:rPr>
          <w:rFonts w:ascii="Book Antiqua" w:hAnsi="Book Antiqua"/>
          <w:sz w:val="24"/>
          <w:szCs w:val="24"/>
        </w:rPr>
        <w:t xml:space="preserve">Figure 1 </w:t>
      </w:r>
      <w:r w:rsidRPr="00AE4053">
        <w:rPr>
          <w:rFonts w:ascii="Book Antiqua" w:hAnsi="Book Antiqua"/>
          <w:sz w:val="24"/>
          <w:szCs w:val="24"/>
        </w:rPr>
        <w:t xml:space="preserve">presents </w:t>
      </w:r>
      <w:r w:rsidR="00031D63" w:rsidRPr="00AE4053">
        <w:rPr>
          <w:rFonts w:ascii="Book Antiqua" w:hAnsi="Book Antiqua"/>
          <w:sz w:val="24"/>
          <w:szCs w:val="24"/>
        </w:rPr>
        <w:t>the scatterplot of TE and HVPG values.</w:t>
      </w:r>
      <w:r w:rsidR="00B63043" w:rsidRPr="00AE4053">
        <w:rPr>
          <w:rFonts w:ascii="Book Antiqua" w:hAnsi="Book Antiqua"/>
          <w:sz w:val="24"/>
          <w:szCs w:val="24"/>
        </w:rPr>
        <w:t xml:space="preserve"> The HVPG value could be predicted by the following formula: </w:t>
      </w:r>
    </w:p>
    <w:p w14:paraId="718C9477" w14:textId="3687525C" w:rsidR="00E42FC3" w:rsidRPr="00AE4053" w:rsidRDefault="008B0DA5" w:rsidP="00AE4053">
      <w:pPr>
        <w:snapToGrid w:val="0"/>
        <w:spacing w:after="0" w:line="360" w:lineRule="auto"/>
        <w:jc w:val="both"/>
        <w:rPr>
          <w:rFonts w:ascii="Book Antiqua" w:hAnsi="Book Antiqua"/>
          <w:sz w:val="24"/>
          <w:szCs w:val="24"/>
        </w:rPr>
      </w:pPr>
      <m:oMath>
        <m:r>
          <w:rPr>
            <w:rFonts w:ascii="Cambria Math" w:hAnsi="Cambria Math"/>
            <w:sz w:val="24"/>
            <w:szCs w:val="24"/>
          </w:rPr>
          <m:t>HVPG</m:t>
        </m:r>
        <m:r>
          <m:rPr>
            <m:sty m:val="p"/>
          </m:rPr>
          <w:rPr>
            <w:rFonts w:ascii="Cambria Math" w:hAnsi="Cambria Math"/>
            <w:sz w:val="24"/>
            <w:szCs w:val="24"/>
          </w:rPr>
          <m:t>=9.84+0.25∙</m:t>
        </m:r>
        <m:r>
          <w:rPr>
            <w:rFonts w:ascii="Cambria Math" w:hAnsi="Cambria Math"/>
            <w:sz w:val="24"/>
            <w:szCs w:val="24"/>
          </w:rPr>
          <m:t>TE</m:t>
        </m:r>
        <m:r>
          <m:rPr>
            <m:sty m:val="p"/>
          </m:rPr>
          <w:rPr>
            <w:rFonts w:ascii="Cambria Math" w:hAnsi="Cambria Math"/>
            <w:sz w:val="24"/>
            <w:szCs w:val="24"/>
          </w:rPr>
          <m:t>-0.002∙</m:t>
        </m:r>
        <m:sSup>
          <m:sSupPr>
            <m:ctrlPr>
              <w:rPr>
                <w:rFonts w:ascii="Cambria Math" w:hAnsi="Cambria Math"/>
                <w:bCs/>
                <w:sz w:val="24"/>
                <w:szCs w:val="24"/>
              </w:rPr>
            </m:ctrlPr>
          </m:sSupPr>
          <m:e>
            <m:r>
              <w:rPr>
                <w:rFonts w:ascii="Cambria Math" w:hAnsi="Cambria Math"/>
                <w:sz w:val="24"/>
                <w:szCs w:val="24"/>
              </w:rPr>
              <m:t>TE</m:t>
            </m:r>
          </m:e>
          <m:sup>
            <m:r>
              <m:rPr>
                <m:sty m:val="p"/>
              </m:rPr>
              <w:rPr>
                <w:rFonts w:ascii="Cambria Math" w:hAnsi="Cambria Math"/>
                <w:sz w:val="24"/>
                <w:szCs w:val="24"/>
              </w:rPr>
              <m:t>2</m:t>
            </m:r>
          </m:sup>
        </m:sSup>
      </m:oMath>
      <w:r w:rsidRPr="00AE4053">
        <w:rPr>
          <w:rFonts w:ascii="Book Antiqua" w:eastAsiaTheme="minorEastAsia" w:hAnsi="Book Antiqua"/>
          <w:bCs/>
          <w:sz w:val="24"/>
          <w:szCs w:val="24"/>
        </w:rPr>
        <w:t xml:space="preserve">. </w:t>
      </w:r>
      <w:r w:rsidRPr="00AE4053">
        <w:rPr>
          <w:rFonts w:ascii="Book Antiqua" w:hAnsi="Book Antiqua"/>
          <w:sz w:val="24"/>
          <w:szCs w:val="24"/>
        </w:rPr>
        <w:t xml:space="preserve">The </w:t>
      </w:r>
      <w:r w:rsidR="00BD38AC" w:rsidRPr="00AE4053">
        <w:rPr>
          <w:rFonts w:ascii="Book Antiqua" w:hAnsi="Book Antiqua"/>
          <w:sz w:val="24"/>
          <w:szCs w:val="24"/>
        </w:rPr>
        <w:t xml:space="preserve">adjusted </w:t>
      </w:r>
      <w:r w:rsidRPr="00AE4053">
        <w:rPr>
          <w:rFonts w:ascii="Book Antiqua" w:hAnsi="Book Antiqua"/>
          <w:sz w:val="24"/>
          <w:szCs w:val="24"/>
        </w:rPr>
        <w:t>R squared value was 0.1</w:t>
      </w:r>
      <w:r w:rsidR="00BD38AC" w:rsidRPr="00AE4053">
        <w:rPr>
          <w:rFonts w:ascii="Book Antiqua" w:hAnsi="Book Antiqua"/>
          <w:sz w:val="24"/>
          <w:szCs w:val="24"/>
        </w:rPr>
        <w:t>35</w:t>
      </w:r>
      <w:r w:rsidRPr="00AE4053">
        <w:rPr>
          <w:rFonts w:ascii="Book Antiqua" w:hAnsi="Book Antiqua"/>
          <w:sz w:val="24"/>
          <w:szCs w:val="24"/>
        </w:rPr>
        <w:t>.</w:t>
      </w:r>
    </w:p>
    <w:p w14:paraId="37D0560F" w14:textId="77777777" w:rsidR="00C5720C" w:rsidRPr="00AE4053" w:rsidRDefault="00C5720C" w:rsidP="00AE4053">
      <w:pPr>
        <w:snapToGrid w:val="0"/>
        <w:spacing w:after="0" w:line="360" w:lineRule="auto"/>
        <w:jc w:val="both"/>
        <w:rPr>
          <w:rFonts w:ascii="Book Antiqua" w:hAnsi="Book Antiqua"/>
          <w:bCs/>
          <w:sz w:val="24"/>
          <w:szCs w:val="24"/>
        </w:rPr>
      </w:pPr>
    </w:p>
    <w:p w14:paraId="43B408A5" w14:textId="1537C144" w:rsidR="004D3844" w:rsidRPr="00D33215" w:rsidRDefault="00D045B2" w:rsidP="00AE4053">
      <w:pPr>
        <w:snapToGrid w:val="0"/>
        <w:spacing w:after="0" w:line="360" w:lineRule="auto"/>
        <w:jc w:val="both"/>
        <w:rPr>
          <w:rFonts w:ascii="Book Antiqua" w:hAnsi="Book Antiqua"/>
          <w:b/>
          <w:i/>
          <w:sz w:val="24"/>
          <w:szCs w:val="24"/>
        </w:rPr>
      </w:pPr>
      <w:bookmarkStart w:id="42" w:name="_Toc334950164"/>
      <w:r w:rsidRPr="00D33215">
        <w:rPr>
          <w:rFonts w:ascii="Book Antiqua" w:hAnsi="Book Antiqua"/>
          <w:b/>
          <w:i/>
          <w:sz w:val="24"/>
          <w:szCs w:val="24"/>
        </w:rPr>
        <w:t xml:space="preserve">TE values in patients with </w:t>
      </w:r>
      <w:r w:rsidR="004D3844" w:rsidRPr="00D33215">
        <w:rPr>
          <w:rFonts w:ascii="Book Antiqua" w:hAnsi="Book Antiqua"/>
          <w:b/>
          <w:i/>
          <w:sz w:val="24"/>
          <w:szCs w:val="24"/>
        </w:rPr>
        <w:t>various stages of portal hypertension</w:t>
      </w:r>
      <w:bookmarkEnd w:id="42"/>
    </w:p>
    <w:p w14:paraId="1812684B" w14:textId="7BAF3B9D" w:rsidR="004D3844" w:rsidRPr="00AE4053" w:rsidRDefault="002F638C" w:rsidP="00AE4053">
      <w:pPr>
        <w:snapToGrid w:val="0"/>
        <w:spacing w:after="0" w:line="360" w:lineRule="auto"/>
        <w:jc w:val="both"/>
        <w:rPr>
          <w:rFonts w:ascii="Book Antiqua" w:hAnsi="Book Antiqua"/>
          <w:bCs/>
          <w:sz w:val="24"/>
          <w:szCs w:val="24"/>
        </w:rPr>
      </w:pPr>
      <w:r w:rsidRPr="00AE4053">
        <w:rPr>
          <w:rFonts w:ascii="Book Antiqua" w:hAnsi="Book Antiqua"/>
          <w:bCs/>
          <w:sz w:val="24"/>
          <w:szCs w:val="24"/>
        </w:rPr>
        <w:t xml:space="preserve">Figure 2 </w:t>
      </w:r>
      <w:r w:rsidR="00FB17CD" w:rsidRPr="00AE4053">
        <w:rPr>
          <w:rFonts w:ascii="Book Antiqua" w:hAnsi="Book Antiqua"/>
          <w:bCs/>
          <w:sz w:val="24"/>
          <w:szCs w:val="24"/>
        </w:rPr>
        <w:t xml:space="preserve">presents </w:t>
      </w:r>
      <w:r w:rsidRPr="00AE4053">
        <w:rPr>
          <w:rFonts w:ascii="Book Antiqua" w:hAnsi="Book Antiqua"/>
          <w:bCs/>
          <w:sz w:val="24"/>
          <w:szCs w:val="24"/>
        </w:rPr>
        <w:t xml:space="preserve">the median TE values in various stages of portal hypertension. Cirrhotic patients with no </w:t>
      </w:r>
      <w:r w:rsidR="00963159" w:rsidRPr="00AE4053">
        <w:rPr>
          <w:rFonts w:ascii="Book Antiqua" w:hAnsi="Book Antiqua"/>
          <w:bCs/>
          <w:sz w:val="24"/>
          <w:szCs w:val="24"/>
        </w:rPr>
        <w:t>portal hypertension (HVPG ≤</w:t>
      </w:r>
      <w:r w:rsidR="00D33215">
        <w:rPr>
          <w:rFonts w:ascii="Book Antiqua" w:hAnsi="Book Antiqua"/>
          <w:bCs/>
          <w:sz w:val="24"/>
          <w:szCs w:val="24"/>
        </w:rPr>
        <w:t xml:space="preserve"> 5 mm</w:t>
      </w:r>
      <w:r w:rsidR="00963159" w:rsidRPr="00AE4053">
        <w:rPr>
          <w:rFonts w:ascii="Book Antiqua" w:hAnsi="Book Antiqua"/>
          <w:bCs/>
          <w:sz w:val="24"/>
          <w:szCs w:val="24"/>
        </w:rPr>
        <w:t>Hg) had a median TE value of 15.4 (range 4.1 to 75.0</w:t>
      </w:r>
      <w:r w:rsidR="00F02D79" w:rsidRPr="00AE4053">
        <w:rPr>
          <w:rFonts w:ascii="Book Antiqua" w:hAnsi="Book Antiqua"/>
          <w:bCs/>
          <w:sz w:val="24"/>
          <w:szCs w:val="24"/>
        </w:rPr>
        <w:t xml:space="preserve">) </w:t>
      </w:r>
      <w:proofErr w:type="spellStart"/>
      <w:r w:rsidR="00F02D79" w:rsidRPr="00AE4053">
        <w:rPr>
          <w:rFonts w:ascii="Book Antiqua" w:hAnsi="Book Antiqua"/>
          <w:bCs/>
          <w:sz w:val="24"/>
          <w:szCs w:val="24"/>
        </w:rPr>
        <w:t>kPa</w:t>
      </w:r>
      <w:proofErr w:type="spellEnd"/>
      <w:r w:rsidR="00FB17CD" w:rsidRPr="00AE4053">
        <w:rPr>
          <w:rFonts w:ascii="Book Antiqua" w:hAnsi="Book Antiqua"/>
          <w:bCs/>
          <w:sz w:val="24"/>
          <w:szCs w:val="24"/>
        </w:rPr>
        <w:t>. Patients</w:t>
      </w:r>
      <w:r w:rsidR="00963159" w:rsidRPr="00AE4053">
        <w:rPr>
          <w:rFonts w:ascii="Book Antiqua" w:hAnsi="Book Antiqua"/>
          <w:bCs/>
          <w:sz w:val="24"/>
          <w:szCs w:val="24"/>
        </w:rPr>
        <w:t xml:space="preserve"> with HVPG &gt;5 to &lt;</w:t>
      </w:r>
      <w:r w:rsidR="00D33215">
        <w:rPr>
          <w:rFonts w:ascii="Book Antiqua" w:hAnsi="Book Antiqua"/>
          <w:bCs/>
          <w:sz w:val="24"/>
          <w:szCs w:val="24"/>
        </w:rPr>
        <w:t xml:space="preserve"> </w:t>
      </w:r>
      <w:r w:rsidR="00963159" w:rsidRPr="00AE4053">
        <w:rPr>
          <w:rFonts w:ascii="Book Antiqua" w:hAnsi="Book Antiqua"/>
          <w:bCs/>
          <w:sz w:val="24"/>
          <w:szCs w:val="24"/>
        </w:rPr>
        <w:t xml:space="preserve">10 </w:t>
      </w:r>
      <w:r w:rsidR="00D33215">
        <w:rPr>
          <w:rFonts w:ascii="Book Antiqua" w:hAnsi="Book Antiqua"/>
          <w:bCs/>
          <w:sz w:val="24"/>
          <w:szCs w:val="24"/>
        </w:rPr>
        <w:t>mm</w:t>
      </w:r>
      <w:r w:rsidR="00F02D79" w:rsidRPr="00AE4053">
        <w:rPr>
          <w:rFonts w:ascii="Book Antiqua" w:hAnsi="Book Antiqua"/>
          <w:bCs/>
          <w:sz w:val="24"/>
          <w:szCs w:val="24"/>
        </w:rPr>
        <w:t xml:space="preserve">Hg </w:t>
      </w:r>
      <w:r w:rsidR="00BE19DD" w:rsidRPr="00AE4053">
        <w:rPr>
          <w:rFonts w:ascii="Book Antiqua" w:hAnsi="Book Antiqua"/>
          <w:bCs/>
          <w:sz w:val="24"/>
          <w:szCs w:val="24"/>
        </w:rPr>
        <w:t xml:space="preserve">(sub-clinical portal hypertension, SCPH) </w:t>
      </w:r>
      <w:r w:rsidR="00963159" w:rsidRPr="00AE4053">
        <w:rPr>
          <w:rFonts w:ascii="Book Antiqua" w:hAnsi="Book Antiqua"/>
          <w:bCs/>
          <w:sz w:val="24"/>
          <w:szCs w:val="24"/>
        </w:rPr>
        <w:t>had a median TE value of 19.4 (range 8.8 to 74.0)</w:t>
      </w:r>
      <w:r w:rsidR="00F02D79" w:rsidRPr="00AE4053">
        <w:rPr>
          <w:rFonts w:ascii="Book Antiqua" w:hAnsi="Book Antiqua"/>
          <w:bCs/>
          <w:sz w:val="24"/>
          <w:szCs w:val="24"/>
        </w:rPr>
        <w:t xml:space="preserve"> </w:t>
      </w:r>
      <w:proofErr w:type="spellStart"/>
      <w:r w:rsidR="00F02D79" w:rsidRPr="00AE4053">
        <w:rPr>
          <w:rFonts w:ascii="Book Antiqua" w:hAnsi="Book Antiqua"/>
          <w:bCs/>
          <w:sz w:val="24"/>
          <w:szCs w:val="24"/>
        </w:rPr>
        <w:t>kPa</w:t>
      </w:r>
      <w:proofErr w:type="spellEnd"/>
      <w:r w:rsidR="00FB17CD" w:rsidRPr="00AE4053">
        <w:rPr>
          <w:rFonts w:ascii="Book Antiqua" w:hAnsi="Book Antiqua"/>
          <w:bCs/>
          <w:sz w:val="24"/>
          <w:szCs w:val="24"/>
        </w:rPr>
        <w:t>. Patients</w:t>
      </w:r>
      <w:r w:rsidR="00963159" w:rsidRPr="00AE4053">
        <w:rPr>
          <w:rFonts w:ascii="Book Antiqua" w:hAnsi="Book Antiqua"/>
          <w:bCs/>
          <w:sz w:val="24"/>
          <w:szCs w:val="24"/>
        </w:rPr>
        <w:t xml:space="preserve"> with HVPG ≥</w:t>
      </w:r>
      <w:r w:rsidR="00D33215">
        <w:rPr>
          <w:rFonts w:ascii="Book Antiqua" w:hAnsi="Book Antiqua"/>
          <w:bCs/>
          <w:sz w:val="24"/>
          <w:szCs w:val="24"/>
        </w:rPr>
        <w:t xml:space="preserve"> </w:t>
      </w:r>
      <w:r w:rsidR="00963159" w:rsidRPr="00AE4053">
        <w:rPr>
          <w:rFonts w:ascii="Book Antiqua" w:hAnsi="Book Antiqua"/>
          <w:bCs/>
          <w:sz w:val="24"/>
          <w:szCs w:val="24"/>
        </w:rPr>
        <w:t xml:space="preserve">10 to 12 </w:t>
      </w:r>
      <w:r w:rsidR="00D33215">
        <w:rPr>
          <w:rFonts w:ascii="Book Antiqua" w:hAnsi="Book Antiqua"/>
          <w:bCs/>
          <w:sz w:val="24"/>
          <w:szCs w:val="24"/>
        </w:rPr>
        <w:t>mm</w:t>
      </w:r>
      <w:r w:rsidR="00F02D79" w:rsidRPr="00AE4053">
        <w:rPr>
          <w:rFonts w:ascii="Book Antiqua" w:hAnsi="Book Antiqua"/>
          <w:bCs/>
          <w:sz w:val="24"/>
          <w:szCs w:val="24"/>
        </w:rPr>
        <w:t xml:space="preserve">Hg </w:t>
      </w:r>
      <w:r w:rsidR="00963159" w:rsidRPr="00AE4053">
        <w:rPr>
          <w:rFonts w:ascii="Book Antiqua" w:hAnsi="Book Antiqua"/>
          <w:bCs/>
          <w:sz w:val="24"/>
          <w:szCs w:val="24"/>
        </w:rPr>
        <w:t xml:space="preserve">had </w:t>
      </w:r>
      <w:r w:rsidR="00F02D79" w:rsidRPr="00AE4053">
        <w:rPr>
          <w:rFonts w:ascii="Book Antiqua" w:hAnsi="Book Antiqua"/>
          <w:bCs/>
          <w:sz w:val="24"/>
          <w:szCs w:val="24"/>
        </w:rPr>
        <w:t xml:space="preserve">a median TE value of 25.8 (range 7.3 to 75.0) </w:t>
      </w:r>
      <w:proofErr w:type="spellStart"/>
      <w:r w:rsidR="00F02D79" w:rsidRPr="00AE4053">
        <w:rPr>
          <w:rFonts w:ascii="Book Antiqua" w:hAnsi="Book Antiqua"/>
          <w:bCs/>
          <w:sz w:val="24"/>
          <w:szCs w:val="24"/>
        </w:rPr>
        <w:t>kPa</w:t>
      </w:r>
      <w:proofErr w:type="spellEnd"/>
      <w:r w:rsidR="00FB17CD" w:rsidRPr="00AE4053">
        <w:rPr>
          <w:rFonts w:ascii="Book Antiqua" w:hAnsi="Book Antiqua"/>
          <w:bCs/>
          <w:sz w:val="24"/>
          <w:szCs w:val="24"/>
        </w:rPr>
        <w:t>. Patients</w:t>
      </w:r>
      <w:r w:rsidR="00F02D79" w:rsidRPr="00AE4053">
        <w:rPr>
          <w:rFonts w:ascii="Book Antiqua" w:hAnsi="Book Antiqua"/>
          <w:bCs/>
          <w:sz w:val="24"/>
          <w:szCs w:val="24"/>
        </w:rPr>
        <w:t xml:space="preserve"> with HVPG &gt;</w:t>
      </w:r>
      <w:r w:rsidR="00D33215">
        <w:rPr>
          <w:rFonts w:ascii="Book Antiqua" w:hAnsi="Book Antiqua"/>
          <w:bCs/>
          <w:sz w:val="24"/>
          <w:szCs w:val="24"/>
        </w:rPr>
        <w:t xml:space="preserve"> </w:t>
      </w:r>
      <w:r w:rsidR="00F02D79" w:rsidRPr="00AE4053">
        <w:rPr>
          <w:rFonts w:ascii="Book Antiqua" w:hAnsi="Book Antiqua"/>
          <w:bCs/>
          <w:sz w:val="24"/>
          <w:szCs w:val="24"/>
        </w:rPr>
        <w:t>12 to ≥</w:t>
      </w:r>
      <w:r w:rsidR="00D33215">
        <w:rPr>
          <w:rFonts w:ascii="Book Antiqua" w:hAnsi="Book Antiqua"/>
          <w:bCs/>
          <w:sz w:val="24"/>
          <w:szCs w:val="24"/>
        </w:rPr>
        <w:t xml:space="preserve"> 20 mm</w:t>
      </w:r>
      <w:r w:rsidR="00F02D79" w:rsidRPr="00AE4053">
        <w:rPr>
          <w:rFonts w:ascii="Book Antiqua" w:hAnsi="Book Antiqua"/>
          <w:bCs/>
          <w:sz w:val="24"/>
          <w:szCs w:val="24"/>
        </w:rPr>
        <w:t xml:space="preserve">Hg had a median TE value of 37.1 (range 2.95 to 75.0) </w:t>
      </w:r>
      <w:proofErr w:type="spellStart"/>
      <w:r w:rsidR="00F02D79" w:rsidRPr="00AE4053">
        <w:rPr>
          <w:rFonts w:ascii="Book Antiqua" w:hAnsi="Book Antiqua"/>
          <w:bCs/>
          <w:sz w:val="24"/>
          <w:szCs w:val="24"/>
        </w:rPr>
        <w:t>kPa</w:t>
      </w:r>
      <w:proofErr w:type="spellEnd"/>
      <w:r w:rsidR="00FB17CD" w:rsidRPr="00AE4053">
        <w:rPr>
          <w:rFonts w:ascii="Book Antiqua" w:hAnsi="Book Antiqua"/>
          <w:bCs/>
          <w:sz w:val="24"/>
          <w:szCs w:val="24"/>
        </w:rPr>
        <w:t>. Patients</w:t>
      </w:r>
      <w:r w:rsidR="00F02D79" w:rsidRPr="00AE4053">
        <w:rPr>
          <w:rFonts w:ascii="Book Antiqua" w:hAnsi="Book Antiqua"/>
          <w:bCs/>
          <w:sz w:val="24"/>
          <w:szCs w:val="24"/>
        </w:rPr>
        <w:t xml:space="preserve"> with HVPG &gt;</w:t>
      </w:r>
      <w:r w:rsidR="00D33215">
        <w:rPr>
          <w:rFonts w:ascii="Book Antiqua" w:hAnsi="Book Antiqua"/>
          <w:bCs/>
          <w:sz w:val="24"/>
          <w:szCs w:val="24"/>
        </w:rPr>
        <w:t xml:space="preserve"> 20 mm</w:t>
      </w:r>
      <w:r w:rsidR="00F02D79" w:rsidRPr="00AE4053">
        <w:rPr>
          <w:rFonts w:ascii="Book Antiqua" w:hAnsi="Book Antiqua"/>
          <w:bCs/>
          <w:sz w:val="24"/>
          <w:szCs w:val="24"/>
        </w:rPr>
        <w:t xml:space="preserve">Hg had median TE value of 46.4 (range 10.1 to 75.0) </w:t>
      </w:r>
      <w:proofErr w:type="spellStart"/>
      <w:r w:rsidR="00F02D79" w:rsidRPr="00AE4053">
        <w:rPr>
          <w:rFonts w:ascii="Book Antiqua" w:hAnsi="Book Antiqua"/>
          <w:bCs/>
          <w:sz w:val="24"/>
          <w:szCs w:val="24"/>
        </w:rPr>
        <w:t>kPa</w:t>
      </w:r>
      <w:proofErr w:type="spellEnd"/>
      <w:r w:rsidR="00F02D79" w:rsidRPr="00AE4053">
        <w:rPr>
          <w:rFonts w:ascii="Book Antiqua" w:hAnsi="Book Antiqua"/>
          <w:bCs/>
          <w:sz w:val="24"/>
          <w:szCs w:val="24"/>
        </w:rPr>
        <w:t>.</w:t>
      </w:r>
      <w:r w:rsidR="00CA12AD" w:rsidRPr="00AE4053">
        <w:rPr>
          <w:rFonts w:ascii="Book Antiqua" w:hAnsi="Book Antiqua"/>
          <w:bCs/>
          <w:sz w:val="24"/>
          <w:szCs w:val="24"/>
        </w:rPr>
        <w:t xml:space="preserve"> </w:t>
      </w:r>
      <w:r w:rsidR="00F96B6B" w:rsidRPr="00AE4053">
        <w:rPr>
          <w:rFonts w:ascii="Book Antiqua" w:hAnsi="Book Antiqua"/>
          <w:bCs/>
          <w:sz w:val="24"/>
          <w:szCs w:val="24"/>
        </w:rPr>
        <w:t>Although t</w:t>
      </w:r>
      <w:r w:rsidR="00CA12AD" w:rsidRPr="00AE4053">
        <w:rPr>
          <w:rFonts w:ascii="Book Antiqua" w:hAnsi="Book Antiqua"/>
          <w:bCs/>
          <w:sz w:val="24"/>
          <w:szCs w:val="24"/>
        </w:rPr>
        <w:t xml:space="preserve">hese </w:t>
      </w:r>
      <w:r w:rsidR="00F96B6B" w:rsidRPr="00AE4053">
        <w:rPr>
          <w:rFonts w:ascii="Book Antiqua" w:hAnsi="Book Antiqua"/>
          <w:bCs/>
          <w:sz w:val="24"/>
          <w:szCs w:val="24"/>
        </w:rPr>
        <w:t>TE values</w:t>
      </w:r>
      <w:r w:rsidR="00CA12AD" w:rsidRPr="00AE4053">
        <w:rPr>
          <w:rFonts w:ascii="Book Antiqua" w:hAnsi="Book Antiqua"/>
          <w:bCs/>
          <w:sz w:val="24"/>
          <w:szCs w:val="24"/>
        </w:rPr>
        <w:t xml:space="preserve"> were significant</w:t>
      </w:r>
      <w:r w:rsidR="00F96B6B" w:rsidRPr="00AE4053">
        <w:rPr>
          <w:rFonts w:ascii="Book Antiqua" w:hAnsi="Book Antiqua"/>
          <w:bCs/>
          <w:sz w:val="24"/>
          <w:szCs w:val="24"/>
        </w:rPr>
        <w:t>ly different across the groups (</w:t>
      </w:r>
      <w:r w:rsidR="00F96B6B" w:rsidRPr="00D33215">
        <w:rPr>
          <w:rFonts w:ascii="Book Antiqua" w:hAnsi="Book Antiqua"/>
          <w:bCs/>
          <w:i/>
          <w:caps/>
          <w:sz w:val="24"/>
          <w:szCs w:val="24"/>
        </w:rPr>
        <w:t>p</w:t>
      </w:r>
      <w:r w:rsidR="00D33215">
        <w:rPr>
          <w:rFonts w:ascii="Book Antiqua" w:hAnsi="Book Antiqua"/>
          <w:bCs/>
          <w:sz w:val="24"/>
          <w:szCs w:val="24"/>
        </w:rPr>
        <w:t xml:space="preserve"> </w:t>
      </w:r>
      <w:r w:rsidR="00F96B6B" w:rsidRPr="00AE4053">
        <w:rPr>
          <w:rFonts w:ascii="Book Antiqua" w:hAnsi="Book Antiqua"/>
          <w:bCs/>
          <w:sz w:val="24"/>
          <w:szCs w:val="24"/>
        </w:rPr>
        <w:t>&lt;</w:t>
      </w:r>
      <w:r w:rsidR="00D33215">
        <w:rPr>
          <w:rFonts w:ascii="Book Antiqua" w:hAnsi="Book Antiqua"/>
          <w:bCs/>
          <w:sz w:val="24"/>
          <w:szCs w:val="24"/>
        </w:rPr>
        <w:t xml:space="preserve"> </w:t>
      </w:r>
      <w:r w:rsidR="00F96B6B" w:rsidRPr="00AE4053">
        <w:rPr>
          <w:rFonts w:ascii="Book Antiqua" w:hAnsi="Book Antiqua"/>
          <w:bCs/>
          <w:sz w:val="24"/>
          <w:szCs w:val="24"/>
        </w:rPr>
        <w:t>0.05), there was considerable overlap in</w:t>
      </w:r>
      <w:r w:rsidR="00792B07" w:rsidRPr="00AE4053">
        <w:rPr>
          <w:rFonts w:ascii="Book Antiqua" w:hAnsi="Book Antiqua"/>
          <w:bCs/>
          <w:sz w:val="24"/>
          <w:szCs w:val="24"/>
        </w:rPr>
        <w:t xml:space="preserve"> the</w:t>
      </w:r>
      <w:r w:rsidR="00F96B6B" w:rsidRPr="00AE4053">
        <w:rPr>
          <w:rFonts w:ascii="Book Antiqua" w:hAnsi="Book Antiqua"/>
          <w:bCs/>
          <w:sz w:val="24"/>
          <w:szCs w:val="24"/>
        </w:rPr>
        <w:t xml:space="preserve"> interquartile ranges between various groups (Figure 2)</w:t>
      </w:r>
      <w:r w:rsidR="00CA12AD" w:rsidRPr="00AE4053">
        <w:rPr>
          <w:rFonts w:ascii="Book Antiqua" w:hAnsi="Book Antiqua"/>
          <w:bCs/>
          <w:sz w:val="24"/>
          <w:szCs w:val="24"/>
        </w:rPr>
        <w:t xml:space="preserve">. </w:t>
      </w:r>
    </w:p>
    <w:p w14:paraId="38264D53" w14:textId="77777777" w:rsidR="000634EC" w:rsidRPr="00AE4053" w:rsidRDefault="000634EC" w:rsidP="00AE4053">
      <w:pPr>
        <w:snapToGrid w:val="0"/>
        <w:spacing w:after="0" w:line="360" w:lineRule="auto"/>
        <w:jc w:val="both"/>
        <w:rPr>
          <w:rFonts w:ascii="Book Antiqua" w:hAnsi="Book Antiqua"/>
          <w:b/>
          <w:bCs/>
          <w:sz w:val="24"/>
          <w:szCs w:val="24"/>
        </w:rPr>
      </w:pPr>
    </w:p>
    <w:p w14:paraId="3071408F" w14:textId="7F283028" w:rsidR="000634EC" w:rsidRPr="00840C18" w:rsidRDefault="002A67F6" w:rsidP="00AE4053">
      <w:pPr>
        <w:snapToGrid w:val="0"/>
        <w:spacing w:after="0" w:line="360" w:lineRule="auto"/>
        <w:jc w:val="both"/>
        <w:rPr>
          <w:rFonts w:ascii="Book Antiqua" w:hAnsi="Book Antiqua"/>
          <w:b/>
          <w:i/>
          <w:sz w:val="24"/>
          <w:szCs w:val="24"/>
        </w:rPr>
      </w:pPr>
      <w:bookmarkStart w:id="43" w:name="_Toc334950165"/>
      <w:r w:rsidRPr="00840C18">
        <w:rPr>
          <w:rFonts w:ascii="Book Antiqua" w:hAnsi="Book Antiqua"/>
          <w:b/>
          <w:i/>
          <w:sz w:val="24"/>
          <w:szCs w:val="24"/>
        </w:rPr>
        <w:t xml:space="preserve">Performance of TE in predicting </w:t>
      </w:r>
      <w:r w:rsidR="00C9644E" w:rsidRPr="00840C18">
        <w:rPr>
          <w:rFonts w:ascii="Book Antiqua" w:hAnsi="Book Antiqua"/>
          <w:b/>
          <w:i/>
          <w:sz w:val="24"/>
          <w:szCs w:val="24"/>
        </w:rPr>
        <w:t>various stages of portal hypertension</w:t>
      </w:r>
      <w:bookmarkEnd w:id="43"/>
    </w:p>
    <w:p w14:paraId="03C67031" w14:textId="5D94CEEC" w:rsidR="000634EC" w:rsidRPr="00AE4053" w:rsidRDefault="00C87EE3" w:rsidP="00AE4053">
      <w:pPr>
        <w:snapToGrid w:val="0"/>
        <w:spacing w:after="0" w:line="360" w:lineRule="auto"/>
        <w:jc w:val="both"/>
        <w:rPr>
          <w:rFonts w:ascii="Book Antiqua" w:hAnsi="Book Antiqua"/>
          <w:sz w:val="24"/>
          <w:szCs w:val="24"/>
        </w:rPr>
      </w:pPr>
      <w:r w:rsidRPr="00AE4053">
        <w:rPr>
          <w:rFonts w:ascii="Book Antiqua" w:hAnsi="Book Antiqua"/>
          <w:sz w:val="24"/>
          <w:szCs w:val="24"/>
        </w:rPr>
        <w:t xml:space="preserve">Figure 3 </w:t>
      </w:r>
      <w:r w:rsidR="00FB17CD" w:rsidRPr="00AE4053">
        <w:rPr>
          <w:rFonts w:ascii="Book Antiqua" w:hAnsi="Book Antiqua"/>
          <w:sz w:val="24"/>
          <w:szCs w:val="24"/>
        </w:rPr>
        <w:t xml:space="preserve">presents </w:t>
      </w:r>
      <w:r w:rsidRPr="00AE4053">
        <w:rPr>
          <w:rFonts w:ascii="Book Antiqua" w:hAnsi="Book Antiqua"/>
          <w:sz w:val="24"/>
          <w:szCs w:val="24"/>
        </w:rPr>
        <w:t xml:space="preserve">the ROC curves of TE for predicting </w:t>
      </w:r>
      <w:r w:rsidR="00792B07" w:rsidRPr="00AE4053">
        <w:rPr>
          <w:rFonts w:ascii="Book Antiqua" w:hAnsi="Book Antiqua"/>
          <w:sz w:val="24"/>
          <w:szCs w:val="24"/>
        </w:rPr>
        <w:t xml:space="preserve">the </w:t>
      </w:r>
      <w:r w:rsidRPr="00AE4053">
        <w:rPr>
          <w:rFonts w:ascii="Book Antiqua" w:hAnsi="Book Antiqua"/>
          <w:sz w:val="24"/>
          <w:szCs w:val="24"/>
        </w:rPr>
        <w:t xml:space="preserve">various stages of portal hypertension. </w:t>
      </w:r>
      <w:r w:rsidR="00C9644E" w:rsidRPr="00AE4053">
        <w:rPr>
          <w:rFonts w:ascii="Book Antiqua" w:hAnsi="Book Antiqua"/>
          <w:sz w:val="24"/>
          <w:szCs w:val="24"/>
        </w:rPr>
        <w:t>Nine</w:t>
      </w:r>
      <w:r w:rsidR="009C3074" w:rsidRPr="00AE4053">
        <w:rPr>
          <w:rFonts w:ascii="Book Antiqua" w:hAnsi="Book Antiqua"/>
          <w:sz w:val="24"/>
          <w:szCs w:val="24"/>
        </w:rPr>
        <w:t>ty-six percent of patients had portal hypertension (HVPG &gt;</w:t>
      </w:r>
      <w:r w:rsidR="00840C18">
        <w:rPr>
          <w:rFonts w:ascii="Book Antiqua" w:hAnsi="Book Antiqua"/>
          <w:sz w:val="24"/>
          <w:szCs w:val="24"/>
        </w:rPr>
        <w:t xml:space="preserve"> 5 mm</w:t>
      </w:r>
      <w:r w:rsidR="009C3074" w:rsidRPr="00AE4053">
        <w:rPr>
          <w:rFonts w:ascii="Book Antiqua" w:hAnsi="Book Antiqua"/>
          <w:sz w:val="24"/>
          <w:szCs w:val="24"/>
        </w:rPr>
        <w:t xml:space="preserve">Hg). TE proved to be an excellent non-invasive modality in predicting portal hypertension with an area under </w:t>
      </w:r>
      <w:r w:rsidR="00792B07" w:rsidRPr="00AE4053">
        <w:rPr>
          <w:rFonts w:ascii="Book Antiqua" w:hAnsi="Book Antiqua"/>
          <w:sz w:val="24"/>
          <w:szCs w:val="24"/>
        </w:rPr>
        <w:t xml:space="preserve">the </w:t>
      </w:r>
      <w:r w:rsidR="009C3074" w:rsidRPr="00AE4053">
        <w:rPr>
          <w:rFonts w:ascii="Book Antiqua" w:hAnsi="Book Antiqua"/>
          <w:sz w:val="24"/>
          <w:szCs w:val="24"/>
        </w:rPr>
        <w:t xml:space="preserve">ROC curve </w:t>
      </w:r>
      <w:r w:rsidR="00FB17CD" w:rsidRPr="00AE4053">
        <w:rPr>
          <w:rFonts w:ascii="Book Antiqua" w:hAnsi="Book Antiqua"/>
          <w:sz w:val="24"/>
          <w:szCs w:val="24"/>
        </w:rPr>
        <w:t xml:space="preserve">of </w:t>
      </w:r>
      <w:r w:rsidR="009C3074" w:rsidRPr="00AE4053">
        <w:rPr>
          <w:rFonts w:ascii="Book Antiqua" w:hAnsi="Book Antiqua"/>
          <w:sz w:val="24"/>
          <w:szCs w:val="24"/>
        </w:rPr>
        <w:t>0.786 (95%</w:t>
      </w:r>
      <w:r w:rsidR="00840C18">
        <w:rPr>
          <w:rFonts w:ascii="Book Antiqua" w:hAnsi="Book Antiqua"/>
          <w:sz w:val="24"/>
          <w:szCs w:val="24"/>
        </w:rPr>
        <w:t xml:space="preserve">CI: </w:t>
      </w:r>
      <w:r w:rsidR="009C3074" w:rsidRPr="00AE4053">
        <w:rPr>
          <w:rFonts w:ascii="Book Antiqua" w:hAnsi="Book Antiqua"/>
          <w:sz w:val="24"/>
          <w:szCs w:val="24"/>
        </w:rPr>
        <w:t>0.645</w:t>
      </w:r>
      <w:r w:rsidR="00840C18">
        <w:rPr>
          <w:rFonts w:ascii="Book Antiqua" w:hAnsi="Book Antiqua"/>
          <w:sz w:val="24"/>
          <w:szCs w:val="24"/>
        </w:rPr>
        <w:t>-</w:t>
      </w:r>
      <w:r w:rsidR="009C3074" w:rsidRPr="00AE4053">
        <w:rPr>
          <w:rFonts w:ascii="Book Antiqua" w:hAnsi="Book Antiqua"/>
          <w:sz w:val="24"/>
          <w:szCs w:val="24"/>
        </w:rPr>
        <w:t>0.926)</w:t>
      </w:r>
      <w:r w:rsidR="00D045B2" w:rsidRPr="00AE4053">
        <w:rPr>
          <w:rFonts w:ascii="Book Antiqua" w:hAnsi="Book Antiqua"/>
          <w:sz w:val="24"/>
          <w:szCs w:val="24"/>
        </w:rPr>
        <w:t xml:space="preserve"> </w:t>
      </w:r>
      <w:r w:rsidR="002E1CD8" w:rsidRPr="00AE4053">
        <w:rPr>
          <w:rFonts w:ascii="Book Antiqua" w:hAnsi="Book Antiqua"/>
          <w:sz w:val="24"/>
          <w:szCs w:val="24"/>
        </w:rPr>
        <w:t xml:space="preserve">and </w:t>
      </w:r>
      <w:r w:rsidR="00792B07" w:rsidRPr="00AE4053">
        <w:rPr>
          <w:rFonts w:ascii="Book Antiqua" w:hAnsi="Book Antiqua"/>
          <w:sz w:val="24"/>
          <w:szCs w:val="24"/>
        </w:rPr>
        <w:t xml:space="preserve">a </w:t>
      </w:r>
      <w:r w:rsidR="002E1CD8" w:rsidRPr="00840C18">
        <w:rPr>
          <w:rFonts w:ascii="Book Antiqua" w:hAnsi="Book Antiqua"/>
          <w:i/>
          <w:caps/>
          <w:sz w:val="24"/>
          <w:szCs w:val="24"/>
        </w:rPr>
        <w:t>p</w:t>
      </w:r>
      <w:r w:rsidR="00FB17CD" w:rsidRPr="00840C18">
        <w:rPr>
          <w:rFonts w:ascii="Book Antiqua" w:hAnsi="Book Antiqua"/>
          <w:i/>
          <w:caps/>
          <w:sz w:val="24"/>
          <w:szCs w:val="24"/>
        </w:rPr>
        <w:t>-</w:t>
      </w:r>
      <w:r w:rsidR="002E1CD8" w:rsidRPr="00AE4053">
        <w:rPr>
          <w:rFonts w:ascii="Book Antiqua" w:hAnsi="Book Antiqua"/>
          <w:sz w:val="24"/>
          <w:szCs w:val="24"/>
        </w:rPr>
        <w:t>value &lt;</w:t>
      </w:r>
      <w:r w:rsidR="00840C18">
        <w:rPr>
          <w:rFonts w:ascii="Book Antiqua" w:hAnsi="Book Antiqua"/>
          <w:sz w:val="24"/>
          <w:szCs w:val="24"/>
        </w:rPr>
        <w:t xml:space="preserve"> </w:t>
      </w:r>
      <w:r w:rsidR="00D52684">
        <w:rPr>
          <w:rFonts w:ascii="Book Antiqua" w:hAnsi="Book Antiqua"/>
          <w:sz w:val="24"/>
          <w:szCs w:val="24"/>
        </w:rPr>
        <w:t>0.01 (Figure 3</w:t>
      </w:r>
      <w:r w:rsidR="002E1CD8" w:rsidRPr="00AE4053">
        <w:rPr>
          <w:rFonts w:ascii="Book Antiqua" w:hAnsi="Book Antiqua"/>
          <w:sz w:val="24"/>
          <w:szCs w:val="24"/>
        </w:rPr>
        <w:t xml:space="preserve">A). </w:t>
      </w:r>
      <w:r w:rsidR="00361AFC" w:rsidRPr="00AE4053">
        <w:rPr>
          <w:rFonts w:ascii="Book Antiqua" w:hAnsi="Book Antiqua"/>
          <w:sz w:val="24"/>
          <w:szCs w:val="24"/>
        </w:rPr>
        <w:t>Eighty-five percent patients had clinically significant portal hypertension (HVPG ≥</w:t>
      </w:r>
      <w:r w:rsidR="00840C18">
        <w:rPr>
          <w:rFonts w:ascii="Book Antiqua" w:hAnsi="Book Antiqua"/>
          <w:sz w:val="24"/>
          <w:szCs w:val="24"/>
        </w:rPr>
        <w:t xml:space="preserve"> 10 mm</w:t>
      </w:r>
      <w:r w:rsidR="00361AFC" w:rsidRPr="00AE4053">
        <w:rPr>
          <w:rFonts w:ascii="Book Antiqua" w:hAnsi="Book Antiqua"/>
          <w:sz w:val="24"/>
          <w:szCs w:val="24"/>
        </w:rPr>
        <w:t xml:space="preserve">Hg). The area under </w:t>
      </w:r>
      <w:r w:rsidR="00792B07" w:rsidRPr="00AE4053">
        <w:rPr>
          <w:rFonts w:ascii="Book Antiqua" w:hAnsi="Book Antiqua"/>
          <w:sz w:val="24"/>
          <w:szCs w:val="24"/>
        </w:rPr>
        <w:t xml:space="preserve">the </w:t>
      </w:r>
      <w:r w:rsidR="00361AFC" w:rsidRPr="00AE4053">
        <w:rPr>
          <w:rFonts w:ascii="Book Antiqua" w:hAnsi="Book Antiqua"/>
          <w:sz w:val="24"/>
          <w:szCs w:val="24"/>
        </w:rPr>
        <w:t xml:space="preserve">ROC curve for TE in predicting </w:t>
      </w:r>
      <w:r w:rsidR="004E6B82" w:rsidRPr="00AE4053">
        <w:rPr>
          <w:rFonts w:ascii="Book Antiqua" w:hAnsi="Book Antiqua"/>
          <w:sz w:val="24"/>
          <w:szCs w:val="24"/>
        </w:rPr>
        <w:t>CSPH</w:t>
      </w:r>
      <w:r w:rsidR="00840C18">
        <w:rPr>
          <w:rFonts w:ascii="Book Antiqua" w:hAnsi="Book Antiqua"/>
          <w:sz w:val="24"/>
          <w:szCs w:val="24"/>
        </w:rPr>
        <w:t xml:space="preserve"> was 0.740 (95%</w:t>
      </w:r>
      <w:r w:rsidR="00361AFC" w:rsidRPr="00AE4053">
        <w:rPr>
          <w:rFonts w:ascii="Book Antiqua" w:hAnsi="Book Antiqua"/>
          <w:sz w:val="24"/>
          <w:szCs w:val="24"/>
        </w:rPr>
        <w:t>CI</w:t>
      </w:r>
      <w:r w:rsidR="00840C18">
        <w:rPr>
          <w:rFonts w:ascii="Book Antiqua" w:hAnsi="Book Antiqua"/>
          <w:sz w:val="24"/>
          <w:szCs w:val="24"/>
        </w:rPr>
        <w:t>:</w:t>
      </w:r>
      <w:r w:rsidR="00361AFC" w:rsidRPr="00AE4053">
        <w:rPr>
          <w:rFonts w:ascii="Book Antiqua" w:hAnsi="Book Antiqua"/>
          <w:sz w:val="24"/>
          <w:szCs w:val="24"/>
        </w:rPr>
        <w:t xml:space="preserve"> 0.662</w:t>
      </w:r>
      <w:r w:rsidR="00840C18">
        <w:rPr>
          <w:rFonts w:ascii="Book Antiqua" w:hAnsi="Book Antiqua"/>
          <w:sz w:val="24"/>
          <w:szCs w:val="24"/>
        </w:rPr>
        <w:t>-</w:t>
      </w:r>
      <w:r w:rsidR="00361AFC" w:rsidRPr="00AE4053">
        <w:rPr>
          <w:rFonts w:ascii="Book Antiqua" w:hAnsi="Book Antiqua"/>
          <w:sz w:val="24"/>
          <w:szCs w:val="24"/>
        </w:rPr>
        <w:t>0.818) (</w:t>
      </w:r>
      <w:r w:rsidR="00361AFC" w:rsidRPr="00840C18">
        <w:rPr>
          <w:rFonts w:ascii="Book Antiqua" w:hAnsi="Book Antiqua"/>
          <w:i/>
          <w:caps/>
          <w:sz w:val="24"/>
          <w:szCs w:val="24"/>
        </w:rPr>
        <w:t>p</w:t>
      </w:r>
      <w:r w:rsidR="00840C18">
        <w:rPr>
          <w:rFonts w:ascii="Book Antiqua" w:hAnsi="Book Antiqua"/>
          <w:sz w:val="24"/>
          <w:szCs w:val="24"/>
        </w:rPr>
        <w:t xml:space="preserve"> </w:t>
      </w:r>
      <w:r w:rsidR="00361AFC" w:rsidRPr="00AE4053">
        <w:rPr>
          <w:rFonts w:ascii="Book Antiqua" w:hAnsi="Book Antiqua"/>
          <w:sz w:val="24"/>
          <w:szCs w:val="24"/>
        </w:rPr>
        <w:t>&lt;</w:t>
      </w:r>
      <w:r w:rsidR="00840C18">
        <w:rPr>
          <w:rFonts w:ascii="Book Antiqua" w:hAnsi="Book Antiqua"/>
          <w:sz w:val="24"/>
          <w:szCs w:val="24"/>
        </w:rPr>
        <w:t xml:space="preserve"> </w:t>
      </w:r>
      <w:r w:rsidR="00361AFC" w:rsidRPr="00AE4053">
        <w:rPr>
          <w:rFonts w:ascii="Book Antiqua" w:hAnsi="Book Antiqua"/>
          <w:sz w:val="24"/>
          <w:szCs w:val="24"/>
        </w:rPr>
        <w:t>0.01)</w:t>
      </w:r>
      <w:r w:rsidRPr="00AE4053">
        <w:rPr>
          <w:rFonts w:ascii="Book Antiqua" w:hAnsi="Book Antiqua"/>
          <w:sz w:val="24"/>
          <w:szCs w:val="24"/>
        </w:rPr>
        <w:t xml:space="preserve"> (</w:t>
      </w:r>
      <w:r w:rsidR="00D52684">
        <w:rPr>
          <w:rFonts w:ascii="Book Antiqua" w:hAnsi="Book Antiqua"/>
          <w:sz w:val="24"/>
          <w:szCs w:val="24"/>
        </w:rPr>
        <w:t>Figure 3</w:t>
      </w:r>
      <w:r w:rsidRPr="00AE4053">
        <w:rPr>
          <w:rFonts w:ascii="Book Antiqua" w:hAnsi="Book Antiqua"/>
          <w:sz w:val="24"/>
          <w:szCs w:val="24"/>
        </w:rPr>
        <w:t>B)</w:t>
      </w:r>
      <w:r w:rsidR="00361AFC" w:rsidRPr="00AE4053">
        <w:rPr>
          <w:rFonts w:ascii="Book Antiqua" w:hAnsi="Book Antiqua"/>
          <w:sz w:val="24"/>
          <w:szCs w:val="24"/>
        </w:rPr>
        <w:t xml:space="preserve">. </w:t>
      </w:r>
      <w:r w:rsidR="0050122B" w:rsidRPr="00AE4053">
        <w:rPr>
          <w:rFonts w:ascii="Book Antiqua" w:hAnsi="Book Antiqua"/>
          <w:sz w:val="24"/>
          <w:szCs w:val="24"/>
        </w:rPr>
        <w:t>Seventy-six</w:t>
      </w:r>
      <w:r w:rsidR="00361AFC" w:rsidRPr="00AE4053">
        <w:rPr>
          <w:rFonts w:ascii="Book Antiqua" w:hAnsi="Book Antiqua"/>
          <w:sz w:val="24"/>
          <w:szCs w:val="24"/>
        </w:rPr>
        <w:t xml:space="preserve"> percent patients had HVPG </w:t>
      </w:r>
      <w:r w:rsidR="0050122B" w:rsidRPr="00AE4053">
        <w:rPr>
          <w:rFonts w:ascii="Book Antiqua" w:hAnsi="Book Antiqua"/>
          <w:sz w:val="24"/>
          <w:szCs w:val="24"/>
        </w:rPr>
        <w:t>&gt;</w:t>
      </w:r>
      <w:r w:rsidR="00840C18">
        <w:rPr>
          <w:rFonts w:ascii="Book Antiqua" w:hAnsi="Book Antiqua"/>
          <w:sz w:val="24"/>
          <w:szCs w:val="24"/>
        </w:rPr>
        <w:t xml:space="preserve"> </w:t>
      </w:r>
      <w:r w:rsidR="00361AFC" w:rsidRPr="00AE4053">
        <w:rPr>
          <w:rFonts w:ascii="Book Antiqua" w:hAnsi="Book Antiqua"/>
          <w:sz w:val="24"/>
          <w:szCs w:val="24"/>
        </w:rPr>
        <w:t>1</w:t>
      </w:r>
      <w:r w:rsidR="0050122B" w:rsidRPr="00AE4053">
        <w:rPr>
          <w:rFonts w:ascii="Book Antiqua" w:hAnsi="Book Antiqua"/>
          <w:sz w:val="24"/>
          <w:szCs w:val="24"/>
        </w:rPr>
        <w:t>2</w:t>
      </w:r>
      <w:r w:rsidR="00840C18">
        <w:rPr>
          <w:rFonts w:ascii="Book Antiqua" w:hAnsi="Book Antiqua"/>
          <w:sz w:val="24"/>
          <w:szCs w:val="24"/>
        </w:rPr>
        <w:t xml:space="preserve"> mm</w:t>
      </w:r>
      <w:r w:rsidR="00361AFC" w:rsidRPr="00AE4053">
        <w:rPr>
          <w:rFonts w:ascii="Book Antiqua" w:hAnsi="Book Antiqua"/>
          <w:sz w:val="24"/>
          <w:szCs w:val="24"/>
        </w:rPr>
        <w:t>Hg</w:t>
      </w:r>
      <w:r w:rsidR="0050122B" w:rsidRPr="00AE4053">
        <w:rPr>
          <w:rFonts w:ascii="Book Antiqua" w:hAnsi="Book Antiqua"/>
          <w:sz w:val="24"/>
          <w:szCs w:val="24"/>
        </w:rPr>
        <w:t xml:space="preserve">, </w:t>
      </w:r>
      <w:r w:rsidR="00FB17CD" w:rsidRPr="00AE4053">
        <w:rPr>
          <w:rFonts w:ascii="Book Antiqua" w:hAnsi="Book Antiqua"/>
          <w:sz w:val="24"/>
          <w:szCs w:val="24"/>
        </w:rPr>
        <w:t xml:space="preserve">which is </w:t>
      </w:r>
      <w:r w:rsidR="0050122B" w:rsidRPr="00AE4053">
        <w:rPr>
          <w:rFonts w:ascii="Book Antiqua" w:hAnsi="Book Antiqua"/>
          <w:sz w:val="24"/>
          <w:szCs w:val="24"/>
        </w:rPr>
        <w:t>the threshold for variceal bleeding</w:t>
      </w:r>
      <w:r w:rsidR="00361AFC" w:rsidRPr="00AE4053">
        <w:rPr>
          <w:rFonts w:ascii="Book Antiqua" w:hAnsi="Book Antiqua"/>
          <w:sz w:val="24"/>
          <w:szCs w:val="24"/>
        </w:rPr>
        <w:t xml:space="preserve">. The area under </w:t>
      </w:r>
      <w:r w:rsidR="00792B07" w:rsidRPr="00AE4053">
        <w:rPr>
          <w:rFonts w:ascii="Book Antiqua" w:hAnsi="Book Antiqua"/>
          <w:sz w:val="24"/>
          <w:szCs w:val="24"/>
        </w:rPr>
        <w:t xml:space="preserve">the </w:t>
      </w:r>
      <w:r w:rsidR="00361AFC" w:rsidRPr="00AE4053">
        <w:rPr>
          <w:rFonts w:ascii="Book Antiqua" w:hAnsi="Book Antiqua"/>
          <w:sz w:val="24"/>
          <w:szCs w:val="24"/>
        </w:rPr>
        <w:t xml:space="preserve">ROC curve for TE in predicting </w:t>
      </w:r>
      <w:r w:rsidR="0050122B" w:rsidRPr="00AE4053">
        <w:rPr>
          <w:rFonts w:ascii="Book Antiqua" w:hAnsi="Book Antiqua"/>
          <w:sz w:val="24"/>
          <w:szCs w:val="24"/>
        </w:rPr>
        <w:t>HVPG &gt;</w:t>
      </w:r>
      <w:r w:rsidR="00840C18">
        <w:rPr>
          <w:rFonts w:ascii="Book Antiqua" w:hAnsi="Book Antiqua"/>
          <w:sz w:val="24"/>
          <w:szCs w:val="24"/>
        </w:rPr>
        <w:t xml:space="preserve"> 12 mm</w:t>
      </w:r>
      <w:r w:rsidR="0050122B" w:rsidRPr="00AE4053">
        <w:rPr>
          <w:rFonts w:ascii="Book Antiqua" w:hAnsi="Book Antiqua"/>
          <w:sz w:val="24"/>
          <w:szCs w:val="24"/>
        </w:rPr>
        <w:t>Hg</w:t>
      </w:r>
      <w:r w:rsidR="00840C18">
        <w:rPr>
          <w:rFonts w:ascii="Book Antiqua" w:hAnsi="Book Antiqua"/>
          <w:sz w:val="24"/>
          <w:szCs w:val="24"/>
        </w:rPr>
        <w:t xml:space="preserve"> was 0.721 (95%</w:t>
      </w:r>
      <w:r w:rsidR="00361AFC" w:rsidRPr="00AE4053">
        <w:rPr>
          <w:rFonts w:ascii="Book Antiqua" w:hAnsi="Book Antiqua"/>
          <w:sz w:val="24"/>
          <w:szCs w:val="24"/>
        </w:rPr>
        <w:t>CI</w:t>
      </w:r>
      <w:r w:rsidR="00840C18">
        <w:rPr>
          <w:rFonts w:ascii="Book Antiqua" w:hAnsi="Book Antiqua"/>
          <w:sz w:val="24"/>
          <w:szCs w:val="24"/>
        </w:rPr>
        <w:t>:</w:t>
      </w:r>
      <w:r w:rsidR="00361AFC" w:rsidRPr="00AE4053">
        <w:rPr>
          <w:rFonts w:ascii="Book Antiqua" w:hAnsi="Book Antiqua"/>
          <w:sz w:val="24"/>
          <w:szCs w:val="24"/>
        </w:rPr>
        <w:t xml:space="preserve"> 0.654</w:t>
      </w:r>
      <w:r w:rsidR="00840C18">
        <w:rPr>
          <w:rFonts w:ascii="Book Antiqua" w:hAnsi="Book Antiqua"/>
          <w:sz w:val="24"/>
          <w:szCs w:val="24"/>
        </w:rPr>
        <w:t>-</w:t>
      </w:r>
      <w:r w:rsidR="00361AFC" w:rsidRPr="00AE4053">
        <w:rPr>
          <w:rFonts w:ascii="Book Antiqua" w:hAnsi="Book Antiqua"/>
          <w:sz w:val="24"/>
          <w:szCs w:val="24"/>
        </w:rPr>
        <w:t>0.</w:t>
      </w:r>
      <w:r w:rsidR="0050122B" w:rsidRPr="00AE4053">
        <w:rPr>
          <w:rFonts w:ascii="Book Antiqua" w:hAnsi="Book Antiqua"/>
          <w:sz w:val="24"/>
          <w:szCs w:val="24"/>
        </w:rPr>
        <w:t>78</w:t>
      </w:r>
      <w:r w:rsidR="00361AFC" w:rsidRPr="00AE4053">
        <w:rPr>
          <w:rFonts w:ascii="Book Antiqua" w:hAnsi="Book Antiqua"/>
          <w:sz w:val="24"/>
          <w:szCs w:val="24"/>
        </w:rPr>
        <w:t>8) (</w:t>
      </w:r>
      <w:r w:rsidR="00361AFC" w:rsidRPr="00840C18">
        <w:rPr>
          <w:rFonts w:ascii="Book Antiqua" w:hAnsi="Book Antiqua"/>
          <w:i/>
          <w:caps/>
          <w:sz w:val="24"/>
          <w:szCs w:val="24"/>
        </w:rPr>
        <w:t>p</w:t>
      </w:r>
      <w:r w:rsidR="00840C18">
        <w:rPr>
          <w:rFonts w:ascii="Book Antiqua" w:hAnsi="Book Antiqua"/>
          <w:sz w:val="24"/>
          <w:szCs w:val="24"/>
        </w:rPr>
        <w:t xml:space="preserve"> </w:t>
      </w:r>
      <w:r w:rsidR="00361AFC" w:rsidRPr="00AE4053">
        <w:rPr>
          <w:rFonts w:ascii="Book Antiqua" w:hAnsi="Book Antiqua"/>
          <w:sz w:val="24"/>
          <w:szCs w:val="24"/>
        </w:rPr>
        <w:t>&lt;</w:t>
      </w:r>
      <w:r w:rsidR="00840C18">
        <w:rPr>
          <w:rFonts w:ascii="Book Antiqua" w:hAnsi="Book Antiqua"/>
          <w:sz w:val="24"/>
          <w:szCs w:val="24"/>
        </w:rPr>
        <w:t xml:space="preserve"> </w:t>
      </w:r>
      <w:r w:rsidR="00361AFC" w:rsidRPr="00AE4053">
        <w:rPr>
          <w:rFonts w:ascii="Book Antiqua" w:hAnsi="Book Antiqua"/>
          <w:sz w:val="24"/>
          <w:szCs w:val="24"/>
        </w:rPr>
        <w:t>0.01)</w:t>
      </w:r>
      <w:r w:rsidR="00840C18">
        <w:rPr>
          <w:rFonts w:ascii="Book Antiqua" w:hAnsi="Book Antiqua"/>
          <w:sz w:val="24"/>
          <w:szCs w:val="24"/>
        </w:rPr>
        <w:t xml:space="preserve"> (Figure 3</w:t>
      </w:r>
      <w:r w:rsidRPr="00AE4053">
        <w:rPr>
          <w:rFonts w:ascii="Book Antiqua" w:hAnsi="Book Antiqua"/>
          <w:sz w:val="24"/>
          <w:szCs w:val="24"/>
        </w:rPr>
        <w:t>C)</w:t>
      </w:r>
      <w:r w:rsidR="00361AFC" w:rsidRPr="00AE4053">
        <w:rPr>
          <w:rFonts w:ascii="Book Antiqua" w:hAnsi="Book Antiqua"/>
          <w:sz w:val="24"/>
          <w:szCs w:val="24"/>
        </w:rPr>
        <w:t xml:space="preserve">. </w:t>
      </w:r>
      <w:r w:rsidR="0050122B" w:rsidRPr="00AE4053">
        <w:rPr>
          <w:rFonts w:ascii="Book Antiqua" w:hAnsi="Book Antiqua"/>
          <w:sz w:val="24"/>
          <w:szCs w:val="24"/>
        </w:rPr>
        <w:t>Eighteen</w:t>
      </w:r>
      <w:r w:rsidR="00361AFC" w:rsidRPr="00AE4053">
        <w:rPr>
          <w:rFonts w:ascii="Book Antiqua" w:hAnsi="Book Antiqua"/>
          <w:sz w:val="24"/>
          <w:szCs w:val="24"/>
        </w:rPr>
        <w:t xml:space="preserve"> percent</w:t>
      </w:r>
      <w:r w:rsidR="00FB17CD" w:rsidRPr="00AE4053">
        <w:rPr>
          <w:rFonts w:ascii="Book Antiqua" w:hAnsi="Book Antiqua"/>
          <w:sz w:val="24"/>
          <w:szCs w:val="24"/>
        </w:rPr>
        <w:t xml:space="preserve"> of</w:t>
      </w:r>
      <w:r w:rsidR="00361AFC" w:rsidRPr="00AE4053">
        <w:rPr>
          <w:rFonts w:ascii="Book Antiqua" w:hAnsi="Book Antiqua"/>
          <w:sz w:val="24"/>
          <w:szCs w:val="24"/>
        </w:rPr>
        <w:t xml:space="preserve"> patients had </w:t>
      </w:r>
      <w:r w:rsidR="0050122B" w:rsidRPr="00AE4053">
        <w:rPr>
          <w:rFonts w:ascii="Book Antiqua" w:hAnsi="Book Antiqua"/>
          <w:sz w:val="24"/>
          <w:szCs w:val="24"/>
        </w:rPr>
        <w:t>very high portal hypertension</w:t>
      </w:r>
      <w:r w:rsidR="00361AFC" w:rsidRPr="00AE4053">
        <w:rPr>
          <w:rFonts w:ascii="Book Antiqua" w:hAnsi="Book Antiqua"/>
          <w:sz w:val="24"/>
          <w:szCs w:val="24"/>
        </w:rPr>
        <w:t xml:space="preserve"> (HVPG </w:t>
      </w:r>
      <w:r w:rsidR="0050122B" w:rsidRPr="00AE4053">
        <w:rPr>
          <w:rFonts w:ascii="Book Antiqua" w:hAnsi="Book Antiqua"/>
          <w:sz w:val="24"/>
          <w:szCs w:val="24"/>
        </w:rPr>
        <w:t>&gt;</w:t>
      </w:r>
      <w:r w:rsidR="00840C18">
        <w:rPr>
          <w:rFonts w:ascii="Book Antiqua" w:hAnsi="Book Antiqua"/>
          <w:sz w:val="24"/>
          <w:szCs w:val="24"/>
        </w:rPr>
        <w:t xml:space="preserve"> </w:t>
      </w:r>
      <w:r w:rsidR="0050122B" w:rsidRPr="00AE4053">
        <w:rPr>
          <w:rFonts w:ascii="Book Antiqua" w:hAnsi="Book Antiqua"/>
          <w:sz w:val="24"/>
          <w:szCs w:val="24"/>
        </w:rPr>
        <w:t>2</w:t>
      </w:r>
      <w:r w:rsidR="00840C18">
        <w:rPr>
          <w:rFonts w:ascii="Book Antiqua" w:hAnsi="Book Antiqua"/>
          <w:sz w:val="24"/>
          <w:szCs w:val="24"/>
        </w:rPr>
        <w:t>0 mm</w:t>
      </w:r>
      <w:r w:rsidR="00361AFC" w:rsidRPr="00AE4053">
        <w:rPr>
          <w:rFonts w:ascii="Book Antiqua" w:hAnsi="Book Antiqua"/>
          <w:sz w:val="24"/>
          <w:szCs w:val="24"/>
        </w:rPr>
        <w:t xml:space="preserve">Hg). The area under </w:t>
      </w:r>
      <w:r w:rsidR="00FB17CD" w:rsidRPr="00AE4053">
        <w:rPr>
          <w:rFonts w:ascii="Book Antiqua" w:hAnsi="Book Antiqua"/>
          <w:sz w:val="24"/>
          <w:szCs w:val="24"/>
        </w:rPr>
        <w:t xml:space="preserve">the </w:t>
      </w:r>
      <w:r w:rsidR="00361AFC" w:rsidRPr="00AE4053">
        <w:rPr>
          <w:rFonts w:ascii="Book Antiqua" w:hAnsi="Book Antiqua"/>
          <w:sz w:val="24"/>
          <w:szCs w:val="24"/>
        </w:rPr>
        <w:t xml:space="preserve">ROC curve for TE </w:t>
      </w:r>
      <w:r w:rsidR="00361AFC" w:rsidRPr="00AE4053">
        <w:rPr>
          <w:rFonts w:ascii="Book Antiqua" w:hAnsi="Book Antiqua"/>
          <w:sz w:val="24"/>
          <w:szCs w:val="24"/>
        </w:rPr>
        <w:lastRenderedPageBreak/>
        <w:t xml:space="preserve">in predicting </w:t>
      </w:r>
      <w:r w:rsidR="0050122B" w:rsidRPr="00AE4053">
        <w:rPr>
          <w:rFonts w:ascii="Book Antiqua" w:hAnsi="Book Antiqua"/>
          <w:sz w:val="24"/>
          <w:szCs w:val="24"/>
        </w:rPr>
        <w:t>HVPG &gt;</w:t>
      </w:r>
      <w:r w:rsidR="00840C18">
        <w:rPr>
          <w:rFonts w:ascii="Book Antiqua" w:hAnsi="Book Antiqua"/>
          <w:sz w:val="24"/>
          <w:szCs w:val="24"/>
        </w:rPr>
        <w:t xml:space="preserve"> 20 mm</w:t>
      </w:r>
      <w:r w:rsidR="0050122B" w:rsidRPr="00AE4053">
        <w:rPr>
          <w:rFonts w:ascii="Book Antiqua" w:hAnsi="Book Antiqua"/>
          <w:sz w:val="24"/>
          <w:szCs w:val="24"/>
        </w:rPr>
        <w:t>Hg</w:t>
      </w:r>
      <w:r w:rsidR="00361AFC" w:rsidRPr="00AE4053">
        <w:rPr>
          <w:rFonts w:ascii="Book Antiqua" w:hAnsi="Book Antiqua"/>
          <w:sz w:val="24"/>
          <w:szCs w:val="24"/>
        </w:rPr>
        <w:t xml:space="preserve"> was 0.</w:t>
      </w:r>
      <w:r w:rsidR="0050122B" w:rsidRPr="00AE4053">
        <w:rPr>
          <w:rFonts w:ascii="Book Antiqua" w:hAnsi="Book Antiqua"/>
          <w:sz w:val="24"/>
          <w:szCs w:val="24"/>
        </w:rPr>
        <w:t>653</w:t>
      </w:r>
      <w:r w:rsidR="00840C18">
        <w:rPr>
          <w:rFonts w:ascii="Book Antiqua" w:hAnsi="Book Antiqua"/>
          <w:sz w:val="24"/>
          <w:szCs w:val="24"/>
        </w:rPr>
        <w:t xml:space="preserve"> (95%</w:t>
      </w:r>
      <w:r w:rsidR="00361AFC" w:rsidRPr="00AE4053">
        <w:rPr>
          <w:rFonts w:ascii="Book Antiqua" w:hAnsi="Book Antiqua"/>
          <w:sz w:val="24"/>
          <w:szCs w:val="24"/>
        </w:rPr>
        <w:t>CI</w:t>
      </w:r>
      <w:r w:rsidR="00840C18">
        <w:rPr>
          <w:rFonts w:ascii="Book Antiqua" w:hAnsi="Book Antiqua"/>
          <w:sz w:val="24"/>
          <w:szCs w:val="24"/>
        </w:rPr>
        <w:t>:</w:t>
      </w:r>
      <w:r w:rsidR="00361AFC" w:rsidRPr="00AE4053">
        <w:rPr>
          <w:rFonts w:ascii="Book Antiqua" w:hAnsi="Book Antiqua"/>
          <w:sz w:val="24"/>
          <w:szCs w:val="24"/>
        </w:rPr>
        <w:t xml:space="preserve"> 0.</w:t>
      </w:r>
      <w:r w:rsidR="0050122B" w:rsidRPr="00AE4053">
        <w:rPr>
          <w:rFonts w:ascii="Book Antiqua" w:hAnsi="Book Antiqua"/>
          <w:sz w:val="24"/>
          <w:szCs w:val="24"/>
        </w:rPr>
        <w:t>580</w:t>
      </w:r>
      <w:r w:rsidR="00840C18">
        <w:rPr>
          <w:rFonts w:ascii="Book Antiqua" w:hAnsi="Book Antiqua"/>
          <w:sz w:val="24"/>
          <w:szCs w:val="24"/>
        </w:rPr>
        <w:t>-</w:t>
      </w:r>
      <w:r w:rsidR="00361AFC" w:rsidRPr="00AE4053">
        <w:rPr>
          <w:rFonts w:ascii="Book Antiqua" w:hAnsi="Book Antiqua"/>
          <w:sz w:val="24"/>
          <w:szCs w:val="24"/>
        </w:rPr>
        <w:t>0.</w:t>
      </w:r>
      <w:r w:rsidR="0050122B" w:rsidRPr="00AE4053">
        <w:rPr>
          <w:rFonts w:ascii="Book Antiqua" w:hAnsi="Book Antiqua"/>
          <w:sz w:val="24"/>
          <w:szCs w:val="24"/>
        </w:rPr>
        <w:t>727</w:t>
      </w:r>
      <w:r w:rsidR="00361AFC" w:rsidRPr="00AE4053">
        <w:rPr>
          <w:rFonts w:ascii="Book Antiqua" w:hAnsi="Book Antiqua"/>
          <w:sz w:val="24"/>
          <w:szCs w:val="24"/>
        </w:rPr>
        <w:t>) (</w:t>
      </w:r>
      <w:r w:rsidR="00361AFC" w:rsidRPr="00840C18">
        <w:rPr>
          <w:rFonts w:ascii="Book Antiqua" w:hAnsi="Book Antiqua"/>
          <w:i/>
          <w:caps/>
          <w:sz w:val="24"/>
          <w:szCs w:val="24"/>
        </w:rPr>
        <w:t>p</w:t>
      </w:r>
      <w:r w:rsidR="00840C18">
        <w:rPr>
          <w:rFonts w:ascii="Book Antiqua" w:hAnsi="Book Antiqua"/>
          <w:i/>
          <w:caps/>
          <w:sz w:val="24"/>
          <w:szCs w:val="24"/>
        </w:rPr>
        <w:t xml:space="preserve"> </w:t>
      </w:r>
      <w:r w:rsidR="00361AFC" w:rsidRPr="00AE4053">
        <w:rPr>
          <w:rFonts w:ascii="Book Antiqua" w:hAnsi="Book Antiqua"/>
          <w:sz w:val="24"/>
          <w:szCs w:val="24"/>
        </w:rPr>
        <w:t>&lt;</w:t>
      </w:r>
      <w:r w:rsidR="00840C18">
        <w:rPr>
          <w:rFonts w:ascii="Book Antiqua" w:hAnsi="Book Antiqua"/>
          <w:sz w:val="24"/>
          <w:szCs w:val="24"/>
        </w:rPr>
        <w:t xml:space="preserve"> </w:t>
      </w:r>
      <w:r w:rsidR="00361AFC" w:rsidRPr="00AE4053">
        <w:rPr>
          <w:rFonts w:ascii="Book Antiqua" w:hAnsi="Book Antiqua"/>
          <w:sz w:val="24"/>
          <w:szCs w:val="24"/>
        </w:rPr>
        <w:t>0.01)</w:t>
      </w:r>
      <w:r w:rsidR="00840C18">
        <w:rPr>
          <w:rFonts w:ascii="Book Antiqua" w:hAnsi="Book Antiqua"/>
          <w:sz w:val="24"/>
          <w:szCs w:val="24"/>
        </w:rPr>
        <w:t xml:space="preserve"> (Figure 3</w:t>
      </w:r>
      <w:r w:rsidRPr="00AE4053">
        <w:rPr>
          <w:rFonts w:ascii="Book Antiqua" w:hAnsi="Book Antiqua"/>
          <w:sz w:val="24"/>
          <w:szCs w:val="24"/>
        </w:rPr>
        <w:t>D)</w:t>
      </w:r>
      <w:r w:rsidR="00361AFC" w:rsidRPr="00AE4053">
        <w:rPr>
          <w:rFonts w:ascii="Book Antiqua" w:hAnsi="Book Antiqua"/>
          <w:sz w:val="24"/>
          <w:szCs w:val="24"/>
        </w:rPr>
        <w:t>.</w:t>
      </w:r>
    </w:p>
    <w:p w14:paraId="62934268" w14:textId="77777777" w:rsidR="00597C4D" w:rsidRPr="00AE4053" w:rsidRDefault="00597C4D" w:rsidP="00AE4053">
      <w:pPr>
        <w:snapToGrid w:val="0"/>
        <w:spacing w:after="0" w:line="360" w:lineRule="auto"/>
        <w:jc w:val="both"/>
        <w:rPr>
          <w:rFonts w:ascii="Book Antiqua" w:hAnsi="Book Antiqua"/>
          <w:color w:val="141314"/>
          <w:sz w:val="24"/>
          <w:szCs w:val="24"/>
          <w:lang w:val="en-IN"/>
        </w:rPr>
      </w:pPr>
    </w:p>
    <w:p w14:paraId="20BC1C1D" w14:textId="16B48B40" w:rsidR="00302E8D" w:rsidRPr="00840C18" w:rsidRDefault="00597C4D" w:rsidP="00AE4053">
      <w:pPr>
        <w:snapToGrid w:val="0"/>
        <w:spacing w:after="0" w:line="360" w:lineRule="auto"/>
        <w:jc w:val="both"/>
        <w:rPr>
          <w:rFonts w:ascii="Book Antiqua" w:hAnsi="Book Antiqua"/>
          <w:b/>
          <w:i/>
          <w:sz w:val="24"/>
          <w:szCs w:val="24"/>
          <w:lang w:val="en-IN"/>
        </w:rPr>
      </w:pPr>
      <w:bookmarkStart w:id="44" w:name="_Toc334950166"/>
      <w:r w:rsidRPr="00840C18">
        <w:rPr>
          <w:rFonts w:ascii="Book Antiqua" w:hAnsi="Book Antiqua"/>
          <w:b/>
          <w:i/>
          <w:sz w:val="24"/>
          <w:szCs w:val="24"/>
          <w:lang w:val="en-IN"/>
        </w:rPr>
        <w:t>Cut-off TE value for predicting</w:t>
      </w:r>
      <w:r w:rsidR="00840C18" w:rsidRPr="00840C18">
        <w:rPr>
          <w:rFonts w:ascii="Book Antiqua" w:hAnsi="Book Antiqua"/>
          <w:b/>
          <w:i/>
          <w:sz w:val="24"/>
          <w:szCs w:val="24"/>
          <w:lang w:val="en-IN"/>
        </w:rPr>
        <w:t xml:space="preserve"> </w:t>
      </w:r>
      <w:r w:rsidR="00FD5524" w:rsidRPr="00840C18">
        <w:rPr>
          <w:rFonts w:ascii="Book Antiqua" w:hAnsi="Book Antiqua"/>
          <w:b/>
          <w:i/>
          <w:sz w:val="24"/>
          <w:szCs w:val="24"/>
          <w:lang w:val="en-IN"/>
        </w:rPr>
        <w:t>CSPH</w:t>
      </w:r>
      <w:bookmarkEnd w:id="44"/>
    </w:p>
    <w:p w14:paraId="7C3CF5FF" w14:textId="6B83C7B7" w:rsidR="00FF2A67" w:rsidRPr="00AE4053" w:rsidRDefault="00302E8D" w:rsidP="00FF2A67">
      <w:pPr>
        <w:snapToGrid w:val="0"/>
        <w:spacing w:after="0" w:line="360" w:lineRule="auto"/>
        <w:jc w:val="both"/>
        <w:rPr>
          <w:rFonts w:ascii="Book Antiqua" w:hAnsi="Book Antiqua"/>
          <w:sz w:val="24"/>
          <w:szCs w:val="24"/>
        </w:rPr>
      </w:pPr>
      <w:r w:rsidRPr="00AE4053">
        <w:rPr>
          <w:rFonts w:ascii="Book Antiqua" w:hAnsi="Book Antiqua"/>
          <w:color w:val="141314"/>
          <w:sz w:val="24"/>
          <w:szCs w:val="24"/>
          <w:lang w:val="en-IN"/>
        </w:rPr>
        <w:t>When</w:t>
      </w:r>
      <w:r w:rsidR="00AB6E07" w:rsidRPr="00AE4053">
        <w:rPr>
          <w:rFonts w:ascii="Book Antiqua" w:hAnsi="Book Antiqua"/>
          <w:color w:val="141314"/>
          <w:sz w:val="24"/>
          <w:szCs w:val="24"/>
          <w:lang w:val="en-IN"/>
        </w:rPr>
        <w:t xml:space="preserve"> </w:t>
      </w:r>
      <w:r w:rsidR="003F249F" w:rsidRPr="00AE4053">
        <w:rPr>
          <w:rFonts w:ascii="Book Antiqua" w:hAnsi="Book Antiqua"/>
          <w:color w:val="141314"/>
          <w:sz w:val="24"/>
          <w:szCs w:val="24"/>
          <w:lang w:val="en-IN"/>
        </w:rPr>
        <w:t>HVPG is ≥</w:t>
      </w:r>
      <w:r w:rsidR="00840C18">
        <w:rPr>
          <w:rFonts w:ascii="Book Antiqua" w:hAnsi="Book Antiqua"/>
          <w:color w:val="141314"/>
          <w:sz w:val="24"/>
          <w:szCs w:val="24"/>
          <w:lang w:val="en-IN"/>
        </w:rPr>
        <w:t xml:space="preserve"> 10 mm</w:t>
      </w:r>
      <w:r w:rsidR="003F249F" w:rsidRPr="00AE4053">
        <w:rPr>
          <w:rFonts w:ascii="Book Antiqua" w:hAnsi="Book Antiqua"/>
          <w:color w:val="141314"/>
          <w:sz w:val="24"/>
          <w:szCs w:val="24"/>
          <w:lang w:val="en-IN"/>
        </w:rPr>
        <w:t>Hg</w:t>
      </w:r>
      <w:r w:rsidR="00FB17CD" w:rsidRPr="00AE4053">
        <w:rPr>
          <w:rFonts w:ascii="Book Antiqua" w:hAnsi="Book Antiqua"/>
          <w:color w:val="141314"/>
          <w:sz w:val="24"/>
          <w:szCs w:val="24"/>
          <w:lang w:val="en-IN"/>
        </w:rPr>
        <w:t>,</w:t>
      </w:r>
      <w:r w:rsidR="003F249F" w:rsidRPr="00AE4053">
        <w:rPr>
          <w:rFonts w:ascii="Book Antiqua" w:hAnsi="Book Antiqua"/>
          <w:color w:val="141314"/>
          <w:sz w:val="24"/>
          <w:szCs w:val="24"/>
          <w:lang w:val="en-IN"/>
        </w:rPr>
        <w:t xml:space="preserve"> it is known as clinically significant portal hypertension</w:t>
      </w:r>
      <w:r w:rsidR="00FD5524" w:rsidRPr="00AE4053">
        <w:rPr>
          <w:rFonts w:ascii="Book Antiqua" w:hAnsi="Book Antiqua"/>
          <w:color w:val="141314"/>
          <w:sz w:val="24"/>
          <w:szCs w:val="24"/>
          <w:lang w:val="en-IN"/>
        </w:rPr>
        <w:t xml:space="preserve"> (CSPH)</w:t>
      </w:r>
      <w:r w:rsidR="00C87EE3" w:rsidRPr="00AE4053">
        <w:rPr>
          <w:rFonts w:ascii="Book Antiqua" w:hAnsi="Book Antiqua"/>
          <w:color w:val="141314"/>
          <w:sz w:val="24"/>
          <w:szCs w:val="24"/>
          <w:lang w:val="en-IN"/>
        </w:rPr>
        <w:t>.</w:t>
      </w:r>
      <w:r w:rsidR="003F249F" w:rsidRPr="00AE4053">
        <w:rPr>
          <w:rFonts w:ascii="Book Antiqua" w:hAnsi="Book Antiqua"/>
          <w:color w:val="141314"/>
          <w:sz w:val="24"/>
          <w:szCs w:val="24"/>
          <w:lang w:val="en-IN"/>
        </w:rPr>
        <w:t xml:space="preserve"> </w:t>
      </w:r>
      <w:r w:rsidR="00C87EE3" w:rsidRPr="00AE4053">
        <w:rPr>
          <w:rFonts w:ascii="Book Antiqua" w:hAnsi="Book Antiqua"/>
          <w:color w:val="141314"/>
          <w:sz w:val="24"/>
          <w:szCs w:val="24"/>
          <w:lang w:val="en-IN"/>
        </w:rPr>
        <w:t>M</w:t>
      </w:r>
      <w:r w:rsidR="003F249F" w:rsidRPr="00AE4053">
        <w:rPr>
          <w:rFonts w:ascii="Book Antiqua" w:hAnsi="Book Antiqua"/>
          <w:color w:val="141314"/>
          <w:sz w:val="24"/>
          <w:szCs w:val="24"/>
          <w:lang w:val="en-IN"/>
        </w:rPr>
        <w:t>ost complications of portal hypertension</w:t>
      </w:r>
      <w:r w:rsidR="00FB17CD" w:rsidRPr="00AE4053">
        <w:rPr>
          <w:rFonts w:ascii="Book Antiqua" w:hAnsi="Book Antiqua"/>
          <w:color w:val="141314"/>
          <w:sz w:val="24"/>
          <w:szCs w:val="24"/>
          <w:lang w:val="en-IN"/>
        </w:rPr>
        <w:t>, such as</w:t>
      </w:r>
      <w:r w:rsidR="003F249F" w:rsidRPr="00AE4053">
        <w:rPr>
          <w:rFonts w:ascii="Book Antiqua" w:hAnsi="Book Antiqua"/>
          <w:color w:val="141314"/>
          <w:sz w:val="24"/>
          <w:szCs w:val="24"/>
          <w:lang w:val="en-IN"/>
        </w:rPr>
        <w:t xml:space="preserve"> varices, ascites, </w:t>
      </w:r>
      <w:r w:rsidR="00FD5524" w:rsidRPr="00AE4053">
        <w:rPr>
          <w:rFonts w:ascii="Book Antiqua" w:hAnsi="Book Antiqua"/>
          <w:color w:val="141314"/>
          <w:sz w:val="24"/>
          <w:szCs w:val="24"/>
          <w:lang w:val="en-IN"/>
        </w:rPr>
        <w:t>encephalopathy, and bleeding</w:t>
      </w:r>
      <w:r w:rsidR="00FB17CD" w:rsidRPr="00AE4053">
        <w:rPr>
          <w:rFonts w:ascii="Book Antiqua" w:hAnsi="Book Antiqua"/>
          <w:color w:val="141314"/>
          <w:sz w:val="24"/>
          <w:szCs w:val="24"/>
          <w:lang w:val="en-IN"/>
        </w:rPr>
        <w:t>,</w:t>
      </w:r>
      <w:r w:rsidR="00FD5524" w:rsidRPr="00AE4053">
        <w:rPr>
          <w:rFonts w:ascii="Book Antiqua" w:hAnsi="Book Antiqua"/>
          <w:color w:val="141314"/>
          <w:sz w:val="24"/>
          <w:szCs w:val="24"/>
          <w:lang w:val="en-IN"/>
        </w:rPr>
        <w:t xml:space="preserve"> </w:t>
      </w:r>
      <w:r w:rsidR="003F249F" w:rsidRPr="00AE4053">
        <w:rPr>
          <w:rFonts w:ascii="Book Antiqua" w:hAnsi="Book Antiqua"/>
          <w:color w:val="141314"/>
          <w:sz w:val="24"/>
          <w:szCs w:val="24"/>
          <w:lang w:val="en-IN"/>
        </w:rPr>
        <w:t>occur at or above this value</w:t>
      </w:r>
      <w:r w:rsidR="00FD5524" w:rsidRPr="00AE4053">
        <w:rPr>
          <w:rFonts w:ascii="Book Antiqua" w:hAnsi="Book Antiqua"/>
          <w:color w:val="141314"/>
          <w:sz w:val="24"/>
          <w:szCs w:val="24"/>
          <w:lang w:val="en-IN"/>
        </w:rPr>
        <w:t xml:space="preserve">. The area under </w:t>
      </w:r>
      <w:r w:rsidR="00792B07" w:rsidRPr="00AE4053">
        <w:rPr>
          <w:rFonts w:ascii="Book Antiqua" w:hAnsi="Book Antiqua"/>
          <w:color w:val="141314"/>
          <w:sz w:val="24"/>
          <w:szCs w:val="24"/>
        </w:rPr>
        <w:t xml:space="preserve">the </w:t>
      </w:r>
      <w:r w:rsidR="00FD5524" w:rsidRPr="00AE4053">
        <w:rPr>
          <w:rFonts w:ascii="Book Antiqua" w:hAnsi="Book Antiqua"/>
          <w:color w:val="141314"/>
          <w:sz w:val="24"/>
          <w:szCs w:val="24"/>
          <w:lang w:val="en-IN"/>
        </w:rPr>
        <w:t xml:space="preserve">ROC curve for TE </w:t>
      </w:r>
      <w:r w:rsidR="00840C18">
        <w:rPr>
          <w:rFonts w:ascii="Book Antiqua" w:hAnsi="Book Antiqua"/>
          <w:color w:val="141314"/>
          <w:sz w:val="24"/>
          <w:szCs w:val="24"/>
          <w:lang w:val="en-IN"/>
        </w:rPr>
        <w:t>to diagnose CSPH was 0.740 (95%</w:t>
      </w:r>
      <w:r w:rsidR="00FD5524" w:rsidRPr="00AE4053">
        <w:rPr>
          <w:rFonts w:ascii="Book Antiqua" w:hAnsi="Book Antiqua"/>
          <w:color w:val="141314"/>
          <w:sz w:val="24"/>
          <w:szCs w:val="24"/>
          <w:lang w:val="en-IN"/>
        </w:rPr>
        <w:t>CI</w:t>
      </w:r>
      <w:r w:rsidR="00840C18">
        <w:rPr>
          <w:rFonts w:ascii="Book Antiqua" w:hAnsi="Book Antiqua"/>
          <w:color w:val="141314"/>
          <w:sz w:val="24"/>
          <w:szCs w:val="24"/>
          <w:lang w:val="en-IN"/>
        </w:rPr>
        <w:t>:</w:t>
      </w:r>
      <w:r w:rsidR="00FD5524" w:rsidRPr="00AE4053">
        <w:rPr>
          <w:rFonts w:ascii="Book Antiqua" w:hAnsi="Book Antiqua"/>
          <w:color w:val="141314"/>
          <w:sz w:val="24"/>
          <w:szCs w:val="24"/>
          <w:lang w:val="en-IN"/>
        </w:rPr>
        <w:t xml:space="preserve"> 0.662</w:t>
      </w:r>
      <w:r w:rsidR="00840C18">
        <w:rPr>
          <w:rFonts w:ascii="Book Antiqua" w:hAnsi="Book Antiqua"/>
          <w:color w:val="141314"/>
          <w:sz w:val="24"/>
          <w:szCs w:val="24"/>
          <w:lang w:val="en-IN"/>
        </w:rPr>
        <w:t>-</w:t>
      </w:r>
      <w:r w:rsidR="00FD5524" w:rsidRPr="00AE4053">
        <w:rPr>
          <w:rFonts w:ascii="Book Antiqua" w:hAnsi="Book Antiqua"/>
          <w:color w:val="141314"/>
          <w:sz w:val="24"/>
          <w:szCs w:val="24"/>
          <w:lang w:val="en-IN"/>
        </w:rPr>
        <w:t xml:space="preserve">0.818). </w:t>
      </w:r>
      <w:r w:rsidR="007F0306" w:rsidRPr="00AE4053">
        <w:rPr>
          <w:rFonts w:ascii="Book Antiqua" w:hAnsi="Book Antiqua"/>
          <w:color w:val="141314"/>
          <w:sz w:val="24"/>
          <w:szCs w:val="24"/>
          <w:lang w:val="en-IN"/>
        </w:rPr>
        <w:t xml:space="preserve">A cut-off value of TE of 21.6 </w:t>
      </w:r>
      <w:proofErr w:type="spellStart"/>
      <w:r w:rsidR="007F0306" w:rsidRPr="00AE4053">
        <w:rPr>
          <w:rFonts w:ascii="Book Antiqua" w:hAnsi="Book Antiqua"/>
          <w:color w:val="141314"/>
          <w:sz w:val="24"/>
          <w:szCs w:val="24"/>
          <w:lang w:val="en-IN"/>
        </w:rPr>
        <w:t>kPa</w:t>
      </w:r>
      <w:proofErr w:type="spellEnd"/>
      <w:r w:rsidR="007F0306" w:rsidRPr="00AE4053">
        <w:rPr>
          <w:rFonts w:ascii="Book Antiqua" w:hAnsi="Book Antiqua"/>
          <w:color w:val="141314"/>
          <w:sz w:val="24"/>
          <w:szCs w:val="24"/>
          <w:lang w:val="en-IN"/>
        </w:rPr>
        <w:t xml:space="preserve"> was obtained by using </w:t>
      </w:r>
      <w:proofErr w:type="spellStart"/>
      <w:r w:rsidR="007F0306" w:rsidRPr="00AE4053">
        <w:rPr>
          <w:rFonts w:ascii="Book Antiqua" w:hAnsi="Book Antiqua"/>
          <w:color w:val="141314"/>
          <w:sz w:val="24"/>
          <w:szCs w:val="24"/>
          <w:lang w:val="en-IN"/>
        </w:rPr>
        <w:t>Youden</w:t>
      </w:r>
      <w:proofErr w:type="spellEnd"/>
      <w:r w:rsidR="007F0306" w:rsidRPr="00AE4053">
        <w:rPr>
          <w:rFonts w:ascii="Book Antiqua" w:hAnsi="Book Antiqua"/>
          <w:color w:val="141314"/>
          <w:sz w:val="24"/>
          <w:szCs w:val="24"/>
          <w:lang w:val="en-IN"/>
        </w:rPr>
        <w:t xml:space="preserve"> index to best predict </w:t>
      </w:r>
      <w:r w:rsidR="00242385" w:rsidRPr="00AE4053">
        <w:rPr>
          <w:rFonts w:ascii="Book Antiqua" w:hAnsi="Book Antiqua"/>
          <w:color w:val="141314"/>
          <w:sz w:val="24"/>
          <w:szCs w:val="24"/>
          <w:lang w:val="en-IN"/>
        </w:rPr>
        <w:t xml:space="preserve">CSPH. </w:t>
      </w:r>
      <w:r w:rsidR="009246F6" w:rsidRPr="00AE4053">
        <w:rPr>
          <w:rFonts w:ascii="Book Antiqua" w:hAnsi="Book Antiqua"/>
          <w:color w:val="141314"/>
          <w:sz w:val="24"/>
          <w:szCs w:val="24"/>
          <w:lang w:val="en-IN"/>
        </w:rPr>
        <w:t xml:space="preserve">The sensitivity, specificity, positive predictive value, negative predictive value, and accuracy of </w:t>
      </w:r>
      <w:r w:rsidR="00792B07" w:rsidRPr="00AE4053">
        <w:rPr>
          <w:rFonts w:ascii="Book Antiqua" w:hAnsi="Book Antiqua"/>
          <w:color w:val="141314"/>
          <w:sz w:val="24"/>
          <w:szCs w:val="24"/>
        </w:rPr>
        <w:t xml:space="preserve">a </w:t>
      </w:r>
      <w:r w:rsidR="009246F6" w:rsidRPr="00AE4053">
        <w:rPr>
          <w:rFonts w:ascii="Book Antiqua" w:hAnsi="Book Antiqua"/>
          <w:color w:val="141314"/>
          <w:sz w:val="24"/>
          <w:szCs w:val="24"/>
          <w:lang w:val="en-IN"/>
        </w:rPr>
        <w:t>TE value ≥</w:t>
      </w:r>
      <w:r w:rsidR="00840C18">
        <w:rPr>
          <w:rFonts w:ascii="Book Antiqua" w:hAnsi="Book Antiqua"/>
          <w:color w:val="141314"/>
          <w:sz w:val="24"/>
          <w:szCs w:val="24"/>
          <w:lang w:val="en-IN"/>
        </w:rPr>
        <w:t xml:space="preserve"> </w:t>
      </w:r>
      <w:r w:rsidR="009246F6" w:rsidRPr="00AE4053">
        <w:rPr>
          <w:rFonts w:ascii="Book Antiqua" w:hAnsi="Book Antiqua"/>
          <w:color w:val="141314"/>
          <w:sz w:val="24"/>
          <w:szCs w:val="24"/>
          <w:lang w:val="en-IN"/>
        </w:rPr>
        <w:t xml:space="preserve">21.6 to diagnose CSPH </w:t>
      </w:r>
      <w:r w:rsidR="00FB17CD" w:rsidRPr="00AE4053">
        <w:rPr>
          <w:rFonts w:ascii="Book Antiqua" w:hAnsi="Book Antiqua"/>
          <w:color w:val="141314"/>
          <w:sz w:val="24"/>
          <w:szCs w:val="24"/>
          <w:lang w:val="en-IN"/>
        </w:rPr>
        <w:t xml:space="preserve">were </w:t>
      </w:r>
      <w:r w:rsidR="009246F6" w:rsidRPr="00AE4053">
        <w:rPr>
          <w:rFonts w:ascii="Book Antiqua" w:hAnsi="Book Antiqua"/>
          <w:color w:val="141314"/>
          <w:sz w:val="24"/>
          <w:szCs w:val="24"/>
          <w:lang w:val="en-IN"/>
        </w:rPr>
        <w:t>79%, 67%, 93%, 35%, and 77%</w:t>
      </w:r>
      <w:r w:rsidR="00FB17CD" w:rsidRPr="00AE4053">
        <w:rPr>
          <w:rFonts w:ascii="Book Antiqua" w:hAnsi="Book Antiqua"/>
          <w:color w:val="141314"/>
          <w:sz w:val="24"/>
          <w:szCs w:val="24"/>
          <w:lang w:val="en-IN"/>
        </w:rPr>
        <w:t>,</w:t>
      </w:r>
      <w:r w:rsidR="009246F6" w:rsidRPr="00AE4053">
        <w:rPr>
          <w:rFonts w:ascii="Book Antiqua" w:hAnsi="Book Antiqua"/>
          <w:color w:val="141314"/>
          <w:sz w:val="24"/>
          <w:szCs w:val="24"/>
          <w:lang w:val="en-IN"/>
        </w:rPr>
        <w:t xml:space="preserve"> respectively</w:t>
      </w:r>
      <w:r w:rsidR="00B70880" w:rsidRPr="00AE4053">
        <w:rPr>
          <w:rFonts w:ascii="Book Antiqua" w:hAnsi="Book Antiqua"/>
          <w:color w:val="141314"/>
          <w:sz w:val="24"/>
          <w:szCs w:val="24"/>
          <w:lang w:val="en-IN"/>
        </w:rPr>
        <w:t xml:space="preserve"> (Table </w:t>
      </w:r>
      <w:r w:rsidR="006B7523" w:rsidRPr="00AE4053">
        <w:rPr>
          <w:rFonts w:ascii="Book Antiqua" w:hAnsi="Book Antiqua"/>
          <w:color w:val="141314"/>
          <w:sz w:val="24"/>
          <w:szCs w:val="24"/>
          <w:lang w:val="en-IN"/>
        </w:rPr>
        <w:t>3</w:t>
      </w:r>
      <w:r w:rsidR="00B70880" w:rsidRPr="00AE4053">
        <w:rPr>
          <w:rFonts w:ascii="Book Antiqua" w:hAnsi="Book Antiqua"/>
          <w:color w:val="141314"/>
          <w:sz w:val="24"/>
          <w:szCs w:val="24"/>
          <w:lang w:val="en-IN"/>
        </w:rPr>
        <w:t>)</w:t>
      </w:r>
      <w:r w:rsidR="009246F6" w:rsidRPr="00AE4053">
        <w:rPr>
          <w:rFonts w:ascii="Book Antiqua" w:hAnsi="Book Antiqua"/>
          <w:color w:val="141314"/>
          <w:sz w:val="24"/>
          <w:szCs w:val="24"/>
          <w:lang w:val="en-IN"/>
        </w:rPr>
        <w:t>.</w:t>
      </w:r>
      <w:r w:rsidR="007F0306" w:rsidRPr="00AE4053">
        <w:rPr>
          <w:rFonts w:ascii="Book Antiqua" w:hAnsi="Book Antiqua"/>
          <w:color w:val="141314"/>
          <w:sz w:val="24"/>
          <w:szCs w:val="24"/>
          <w:lang w:val="en-IN"/>
        </w:rPr>
        <w:t xml:space="preserve"> </w:t>
      </w:r>
      <w:r w:rsidR="00FF2A67">
        <w:rPr>
          <w:rFonts w:ascii="Book Antiqua" w:hAnsi="Book Antiqua"/>
          <w:color w:val="141314"/>
          <w:sz w:val="24"/>
          <w:szCs w:val="24"/>
          <w:lang w:val="en-IN"/>
        </w:rPr>
        <w:t xml:space="preserve">The median HVPG in patients with a TE values </w:t>
      </w:r>
      <w:r w:rsidR="00FF2A67" w:rsidRPr="00AE4053">
        <w:rPr>
          <w:rFonts w:ascii="Book Antiqua" w:hAnsi="Book Antiqua"/>
          <w:color w:val="141314"/>
          <w:sz w:val="24"/>
          <w:szCs w:val="24"/>
          <w:lang w:val="en-IN"/>
        </w:rPr>
        <w:t>≥</w:t>
      </w:r>
      <w:r w:rsidR="00FF2A67">
        <w:rPr>
          <w:rFonts w:ascii="Book Antiqua" w:hAnsi="Book Antiqua"/>
          <w:color w:val="141314"/>
          <w:sz w:val="24"/>
          <w:szCs w:val="24"/>
          <w:lang w:val="en-IN"/>
        </w:rPr>
        <w:t xml:space="preserve"> </w:t>
      </w:r>
      <w:r w:rsidR="00FF2A67" w:rsidRPr="00AE4053">
        <w:rPr>
          <w:rFonts w:ascii="Book Antiqua" w:hAnsi="Book Antiqua"/>
          <w:color w:val="141314"/>
          <w:sz w:val="24"/>
          <w:szCs w:val="24"/>
          <w:lang w:val="en-IN"/>
        </w:rPr>
        <w:t>21.6</w:t>
      </w:r>
      <w:r w:rsidR="00FF2A67">
        <w:rPr>
          <w:rFonts w:ascii="Book Antiqua" w:hAnsi="Book Antiqua"/>
          <w:color w:val="141314"/>
          <w:sz w:val="24"/>
          <w:szCs w:val="24"/>
          <w:lang w:val="en-IN"/>
        </w:rPr>
        <w:t xml:space="preserve"> was 17.5 mm</w:t>
      </w:r>
      <w:r w:rsidR="00FF2A67">
        <w:rPr>
          <w:rFonts w:ascii="Book Antiqua" w:hAnsi="Book Antiqua"/>
          <w:color w:val="141314"/>
          <w:sz w:val="24"/>
          <w:szCs w:val="24"/>
          <w:lang w:val="en-IN"/>
        </w:rPr>
        <w:t>Hg (Figure 4).</w:t>
      </w:r>
    </w:p>
    <w:p w14:paraId="6ECAAACA" w14:textId="18C70861" w:rsidR="000634EC" w:rsidRPr="00AE4053" w:rsidRDefault="000634EC" w:rsidP="00AE4053">
      <w:pPr>
        <w:snapToGrid w:val="0"/>
        <w:spacing w:after="0" w:line="360" w:lineRule="auto"/>
        <w:jc w:val="both"/>
        <w:rPr>
          <w:rFonts w:ascii="Book Antiqua" w:hAnsi="Book Antiqua"/>
          <w:sz w:val="24"/>
          <w:szCs w:val="24"/>
        </w:rPr>
      </w:pPr>
      <w:bookmarkStart w:id="45" w:name="_GoBack"/>
      <w:bookmarkEnd w:id="45"/>
    </w:p>
    <w:p w14:paraId="2699222B" w14:textId="77777777" w:rsidR="00840C18" w:rsidRDefault="00840C18" w:rsidP="00AE4053">
      <w:pPr>
        <w:snapToGrid w:val="0"/>
        <w:spacing w:after="0" w:line="360" w:lineRule="auto"/>
        <w:jc w:val="both"/>
        <w:rPr>
          <w:rFonts w:ascii="Book Antiqua" w:hAnsi="Book Antiqua"/>
          <w:b/>
          <w:sz w:val="24"/>
          <w:szCs w:val="24"/>
          <w:lang w:val="en-IN"/>
        </w:rPr>
      </w:pPr>
      <w:bookmarkStart w:id="46" w:name="_Toc334950167"/>
    </w:p>
    <w:p w14:paraId="700700EA" w14:textId="77777777" w:rsidR="000634EC" w:rsidRPr="00AE4053" w:rsidRDefault="00027865" w:rsidP="00AE4053">
      <w:pPr>
        <w:snapToGrid w:val="0"/>
        <w:spacing w:after="0" w:line="360" w:lineRule="auto"/>
        <w:jc w:val="both"/>
        <w:rPr>
          <w:rFonts w:ascii="Book Antiqua" w:hAnsi="Book Antiqua"/>
          <w:b/>
          <w:sz w:val="24"/>
          <w:szCs w:val="24"/>
          <w:lang w:val="en-IN"/>
        </w:rPr>
      </w:pPr>
      <w:r w:rsidRPr="00AE4053">
        <w:rPr>
          <w:rFonts w:ascii="Book Antiqua" w:hAnsi="Book Antiqua"/>
          <w:b/>
          <w:sz w:val="24"/>
          <w:szCs w:val="24"/>
          <w:lang w:val="en-IN"/>
        </w:rPr>
        <w:t>DISCUSSION</w:t>
      </w:r>
      <w:bookmarkEnd w:id="46"/>
    </w:p>
    <w:p w14:paraId="3BDE45A0" w14:textId="1BDF79CC" w:rsidR="0000763E" w:rsidRPr="00AE4053" w:rsidRDefault="00597508" w:rsidP="00AE4053">
      <w:pPr>
        <w:snapToGrid w:val="0"/>
        <w:spacing w:after="0" w:line="360" w:lineRule="auto"/>
        <w:jc w:val="both"/>
        <w:rPr>
          <w:rFonts w:ascii="Book Antiqua" w:hAnsi="Book Antiqua"/>
          <w:sz w:val="24"/>
          <w:szCs w:val="24"/>
          <w:lang w:val="en-IN"/>
        </w:rPr>
      </w:pPr>
      <w:r w:rsidRPr="00AE4053">
        <w:rPr>
          <w:rFonts w:ascii="Book Antiqua" w:hAnsi="Book Antiqua"/>
          <w:sz w:val="24"/>
          <w:szCs w:val="24"/>
          <w:lang w:val="en-IN"/>
        </w:rPr>
        <w:t xml:space="preserve">In the present </w:t>
      </w:r>
      <w:r w:rsidR="00792B07" w:rsidRPr="00AE4053">
        <w:rPr>
          <w:rFonts w:ascii="Book Antiqua" w:hAnsi="Book Antiqua"/>
          <w:sz w:val="24"/>
          <w:szCs w:val="24"/>
        </w:rPr>
        <w:t>study,</w:t>
      </w:r>
      <w:r w:rsidRPr="00AE4053">
        <w:rPr>
          <w:rFonts w:ascii="Book Antiqua" w:hAnsi="Book Antiqua"/>
          <w:sz w:val="24"/>
          <w:szCs w:val="24"/>
          <w:lang w:val="en-IN"/>
        </w:rPr>
        <w:t xml:space="preserve"> we showed that in patients with cirrhosis, TE </w:t>
      </w:r>
      <w:r w:rsidR="00E0346D" w:rsidRPr="00AE4053">
        <w:rPr>
          <w:rFonts w:ascii="Book Antiqua" w:hAnsi="Book Antiqua"/>
          <w:sz w:val="24"/>
          <w:szCs w:val="24"/>
          <w:lang w:val="en-IN"/>
        </w:rPr>
        <w:t xml:space="preserve">has a fair </w:t>
      </w:r>
      <w:r w:rsidR="00CC69B5" w:rsidRPr="00AE4053">
        <w:rPr>
          <w:rFonts w:ascii="Book Antiqua" w:hAnsi="Book Antiqua"/>
          <w:sz w:val="24"/>
          <w:szCs w:val="24"/>
          <w:lang w:val="en-IN"/>
        </w:rPr>
        <w:t xml:space="preserve">positive </w:t>
      </w:r>
      <w:r w:rsidRPr="00AE4053">
        <w:rPr>
          <w:rFonts w:ascii="Book Antiqua" w:hAnsi="Book Antiqua"/>
          <w:sz w:val="24"/>
          <w:szCs w:val="24"/>
          <w:lang w:val="en-IN"/>
        </w:rPr>
        <w:t>co</w:t>
      </w:r>
      <w:r w:rsidR="002B55C7" w:rsidRPr="00AE4053">
        <w:rPr>
          <w:rFonts w:ascii="Book Antiqua" w:hAnsi="Book Antiqua"/>
          <w:sz w:val="24"/>
          <w:szCs w:val="24"/>
          <w:lang w:val="en-IN"/>
        </w:rPr>
        <w:t xml:space="preserve">rrelation with </w:t>
      </w:r>
      <w:r w:rsidR="00E0346D" w:rsidRPr="00AE4053">
        <w:rPr>
          <w:rFonts w:ascii="Book Antiqua" w:hAnsi="Book Antiqua"/>
          <w:sz w:val="24"/>
          <w:szCs w:val="24"/>
          <w:lang w:val="en-IN"/>
        </w:rPr>
        <w:t xml:space="preserve">HVPG, and </w:t>
      </w:r>
      <w:r w:rsidR="002B55C7" w:rsidRPr="00AE4053">
        <w:rPr>
          <w:rFonts w:ascii="Book Antiqua" w:hAnsi="Book Antiqua"/>
          <w:sz w:val="24"/>
          <w:szCs w:val="24"/>
          <w:lang w:val="en-IN"/>
        </w:rPr>
        <w:t xml:space="preserve">TE </w:t>
      </w:r>
      <w:r w:rsidR="00E0346D" w:rsidRPr="00AE4053">
        <w:rPr>
          <w:rFonts w:ascii="Book Antiqua" w:hAnsi="Book Antiqua"/>
          <w:sz w:val="24"/>
          <w:szCs w:val="24"/>
          <w:lang w:val="en-IN"/>
        </w:rPr>
        <w:t xml:space="preserve">can </w:t>
      </w:r>
      <w:r w:rsidR="00792B07" w:rsidRPr="00AE4053">
        <w:rPr>
          <w:rFonts w:ascii="Book Antiqua" w:hAnsi="Book Antiqua"/>
          <w:sz w:val="24"/>
          <w:szCs w:val="24"/>
        </w:rPr>
        <w:t xml:space="preserve">thus </w:t>
      </w:r>
      <w:r w:rsidR="00E0346D" w:rsidRPr="00AE4053">
        <w:rPr>
          <w:rFonts w:ascii="Book Antiqua" w:hAnsi="Book Antiqua"/>
          <w:sz w:val="24"/>
          <w:szCs w:val="24"/>
          <w:lang w:val="en-IN"/>
        </w:rPr>
        <w:t xml:space="preserve">be used as a non-invasive modality to assess the degree of portal hypertension. </w:t>
      </w:r>
      <w:r w:rsidR="00584307" w:rsidRPr="00AE4053">
        <w:rPr>
          <w:rFonts w:ascii="Book Antiqua" w:hAnsi="Book Antiqua"/>
          <w:sz w:val="24"/>
          <w:szCs w:val="24"/>
          <w:lang w:val="en-IN"/>
        </w:rPr>
        <w:t xml:space="preserve">The TE values </w:t>
      </w:r>
      <w:r w:rsidR="00BA1646" w:rsidRPr="00AE4053">
        <w:rPr>
          <w:rFonts w:ascii="Book Antiqua" w:hAnsi="Book Antiqua"/>
          <w:sz w:val="24"/>
          <w:szCs w:val="24"/>
          <w:lang w:val="en-IN"/>
        </w:rPr>
        <w:t xml:space="preserve">increase </w:t>
      </w:r>
      <w:r w:rsidR="00584307" w:rsidRPr="00AE4053">
        <w:rPr>
          <w:rFonts w:ascii="Book Antiqua" w:hAnsi="Book Antiqua"/>
          <w:sz w:val="24"/>
          <w:szCs w:val="24"/>
          <w:lang w:val="en-IN"/>
        </w:rPr>
        <w:t xml:space="preserve">progressively as portal pressure </w:t>
      </w:r>
      <w:r w:rsidR="00BA1646" w:rsidRPr="00AE4053">
        <w:rPr>
          <w:rFonts w:ascii="Book Antiqua" w:hAnsi="Book Antiqua"/>
          <w:sz w:val="24"/>
          <w:szCs w:val="24"/>
          <w:lang w:val="en-IN"/>
        </w:rPr>
        <w:t xml:space="preserve">increases </w:t>
      </w:r>
      <w:r w:rsidR="00584307" w:rsidRPr="00AE4053">
        <w:rPr>
          <w:rFonts w:ascii="Book Antiqua" w:hAnsi="Book Antiqua"/>
          <w:sz w:val="24"/>
          <w:szCs w:val="24"/>
          <w:lang w:val="en-IN"/>
        </w:rPr>
        <w:t xml:space="preserve">from normal through </w:t>
      </w:r>
      <w:r w:rsidR="00CC69B5" w:rsidRPr="00AE4053">
        <w:rPr>
          <w:rFonts w:ascii="Book Antiqua" w:hAnsi="Book Antiqua"/>
          <w:sz w:val="24"/>
          <w:szCs w:val="24"/>
          <w:lang w:val="en-IN"/>
        </w:rPr>
        <w:t>SCPH,</w:t>
      </w:r>
      <w:r w:rsidR="00584307" w:rsidRPr="00AE4053">
        <w:rPr>
          <w:rFonts w:ascii="Book Antiqua" w:hAnsi="Book Antiqua"/>
          <w:sz w:val="24"/>
          <w:szCs w:val="24"/>
          <w:lang w:val="en-IN"/>
        </w:rPr>
        <w:t xml:space="preserve"> CSPH, </w:t>
      </w:r>
      <w:r w:rsidR="00CC69B5" w:rsidRPr="00AE4053">
        <w:rPr>
          <w:rFonts w:ascii="Book Antiqua" w:hAnsi="Book Antiqua"/>
          <w:sz w:val="24"/>
          <w:szCs w:val="24"/>
          <w:lang w:val="en-IN"/>
        </w:rPr>
        <w:t>S</w:t>
      </w:r>
      <w:r w:rsidR="0054635B" w:rsidRPr="00AE4053">
        <w:rPr>
          <w:rFonts w:ascii="Book Antiqua" w:hAnsi="Book Antiqua"/>
          <w:sz w:val="24"/>
          <w:szCs w:val="24"/>
          <w:lang w:val="en-IN"/>
        </w:rPr>
        <w:t>P</w:t>
      </w:r>
      <w:r w:rsidR="00CC69B5" w:rsidRPr="00AE4053">
        <w:rPr>
          <w:rFonts w:ascii="Book Antiqua" w:hAnsi="Book Antiqua"/>
          <w:sz w:val="24"/>
          <w:szCs w:val="24"/>
          <w:lang w:val="en-IN"/>
        </w:rPr>
        <w:t>H</w:t>
      </w:r>
      <w:r w:rsidR="00584307" w:rsidRPr="00AE4053">
        <w:rPr>
          <w:rFonts w:ascii="Book Antiqua" w:hAnsi="Book Antiqua"/>
          <w:sz w:val="24"/>
          <w:szCs w:val="24"/>
          <w:lang w:val="en-IN"/>
        </w:rPr>
        <w:t xml:space="preserve"> </w:t>
      </w:r>
      <w:r w:rsidR="00CC69B5" w:rsidRPr="00AE4053">
        <w:rPr>
          <w:rFonts w:ascii="Book Antiqua" w:hAnsi="Book Antiqua"/>
          <w:sz w:val="24"/>
          <w:szCs w:val="24"/>
          <w:lang w:val="en-IN"/>
        </w:rPr>
        <w:t>and VSPH</w:t>
      </w:r>
      <w:r w:rsidR="00584307" w:rsidRPr="00AE4053">
        <w:rPr>
          <w:rFonts w:ascii="Book Antiqua" w:hAnsi="Book Antiqua"/>
          <w:sz w:val="24"/>
          <w:szCs w:val="24"/>
          <w:lang w:val="en-IN"/>
        </w:rPr>
        <w:t xml:space="preserve">. We also found that </w:t>
      </w:r>
      <w:r w:rsidR="002B55C7" w:rsidRPr="00AE4053">
        <w:rPr>
          <w:rFonts w:ascii="Book Antiqua" w:hAnsi="Book Antiqua"/>
          <w:sz w:val="24"/>
          <w:szCs w:val="24"/>
          <w:lang w:val="en-IN"/>
        </w:rPr>
        <w:t xml:space="preserve">a cut-off TE value of 21.6 </w:t>
      </w:r>
      <w:proofErr w:type="spellStart"/>
      <w:r w:rsidR="002B55C7" w:rsidRPr="00AE4053">
        <w:rPr>
          <w:rFonts w:ascii="Book Antiqua" w:hAnsi="Book Antiqua"/>
          <w:sz w:val="24"/>
          <w:szCs w:val="24"/>
          <w:lang w:val="en-IN"/>
        </w:rPr>
        <w:t>kPa</w:t>
      </w:r>
      <w:proofErr w:type="spellEnd"/>
      <w:r w:rsidR="002B55C7" w:rsidRPr="00AE4053">
        <w:rPr>
          <w:rFonts w:ascii="Book Antiqua" w:hAnsi="Book Antiqua"/>
          <w:sz w:val="24"/>
          <w:szCs w:val="24"/>
          <w:lang w:val="en-IN"/>
        </w:rPr>
        <w:t xml:space="preserve"> has 93% positive predictive value in diagnosing CSPH.</w:t>
      </w:r>
    </w:p>
    <w:p w14:paraId="1D005216" w14:textId="6F0F8228" w:rsidR="00265801" w:rsidRPr="00AE4053" w:rsidRDefault="00BA1646" w:rsidP="00840C18">
      <w:pPr>
        <w:snapToGrid w:val="0"/>
        <w:spacing w:after="0" w:line="360" w:lineRule="auto"/>
        <w:ind w:firstLineChars="100" w:firstLine="240"/>
        <w:jc w:val="both"/>
        <w:rPr>
          <w:rFonts w:ascii="Book Antiqua" w:hAnsi="Book Antiqua"/>
          <w:sz w:val="24"/>
          <w:szCs w:val="24"/>
          <w:lang w:val="en-IN"/>
        </w:rPr>
      </w:pPr>
      <w:r w:rsidRPr="00AE4053">
        <w:rPr>
          <w:rFonts w:ascii="Book Antiqua" w:hAnsi="Book Antiqua"/>
          <w:sz w:val="24"/>
          <w:szCs w:val="24"/>
          <w:lang w:val="en-IN"/>
        </w:rPr>
        <w:t>Numerous</w:t>
      </w:r>
      <w:r w:rsidR="006F48DE" w:rsidRPr="00AE4053">
        <w:rPr>
          <w:rFonts w:ascii="Book Antiqua" w:hAnsi="Book Antiqua"/>
          <w:sz w:val="24"/>
          <w:szCs w:val="24"/>
          <w:lang w:val="en-IN"/>
        </w:rPr>
        <w:t xml:space="preserve"> previous studies have correlated TE with HVP</w:t>
      </w:r>
      <w:r w:rsidR="000A2F22" w:rsidRPr="00AE4053">
        <w:rPr>
          <w:rFonts w:ascii="Book Antiqua" w:hAnsi="Book Antiqua"/>
          <w:sz w:val="24"/>
          <w:szCs w:val="24"/>
          <w:lang w:val="en-IN"/>
        </w:rPr>
        <w:t>G</w:t>
      </w:r>
      <w:r w:rsidR="00E3702B" w:rsidRPr="00AE4053">
        <w:rPr>
          <w:rFonts w:ascii="Book Antiqua" w:hAnsi="Book Antiqua"/>
          <w:sz w:val="24"/>
          <w:szCs w:val="24"/>
          <w:lang w:val="en-IN"/>
        </w:rPr>
        <w:t xml:space="preserve"> (Table </w:t>
      </w:r>
      <w:r w:rsidR="006B7523" w:rsidRPr="00AE4053">
        <w:rPr>
          <w:rFonts w:ascii="Book Antiqua" w:hAnsi="Book Antiqua"/>
          <w:sz w:val="24"/>
          <w:szCs w:val="24"/>
          <w:lang w:val="en-IN"/>
        </w:rPr>
        <w:t>4</w:t>
      </w:r>
      <w:r w:rsidR="00E3702B" w:rsidRPr="00AE4053">
        <w:rPr>
          <w:rFonts w:ascii="Book Antiqua" w:hAnsi="Book Antiqua"/>
          <w:sz w:val="24"/>
          <w:szCs w:val="24"/>
          <w:lang w:val="en-IN"/>
        </w:rPr>
        <w:t>)</w:t>
      </w:r>
      <w:r w:rsidR="00E61F86" w:rsidRPr="00AE4053">
        <w:rPr>
          <w:rFonts w:ascii="Book Antiqua" w:hAnsi="Book Antiqua"/>
          <w:sz w:val="24"/>
          <w:szCs w:val="24"/>
          <w:lang w:val="en-IN"/>
        </w:rPr>
        <w:t>.</w:t>
      </w:r>
      <w:r w:rsidR="000A2F22" w:rsidRPr="00AE4053">
        <w:rPr>
          <w:rFonts w:ascii="Book Antiqua" w:hAnsi="Book Antiqua"/>
          <w:sz w:val="24"/>
          <w:szCs w:val="24"/>
          <w:lang w:val="en-IN"/>
        </w:rPr>
        <w:t xml:space="preserve"> </w:t>
      </w:r>
      <w:r w:rsidR="00E61F86" w:rsidRPr="00AE4053">
        <w:rPr>
          <w:rFonts w:ascii="Book Antiqua" w:hAnsi="Book Antiqua"/>
          <w:sz w:val="24"/>
          <w:szCs w:val="24"/>
          <w:lang w:val="en-IN"/>
        </w:rPr>
        <w:t>In these studies</w:t>
      </w:r>
      <w:r w:rsidRPr="00AE4053">
        <w:rPr>
          <w:rFonts w:ascii="Book Antiqua" w:hAnsi="Book Antiqua"/>
          <w:sz w:val="24"/>
          <w:szCs w:val="24"/>
          <w:lang w:val="en-IN"/>
        </w:rPr>
        <w:t>, the</w:t>
      </w:r>
      <w:r w:rsidR="00E61F86" w:rsidRPr="00AE4053">
        <w:rPr>
          <w:rFonts w:ascii="Book Antiqua" w:hAnsi="Book Antiqua"/>
          <w:sz w:val="24"/>
          <w:szCs w:val="24"/>
          <w:lang w:val="en-IN"/>
        </w:rPr>
        <w:t xml:space="preserve"> AUROC curve for prediction of CSPH varie</w:t>
      </w:r>
      <w:r w:rsidR="00DB7100" w:rsidRPr="00AE4053">
        <w:rPr>
          <w:rFonts w:ascii="Book Antiqua" w:hAnsi="Book Antiqua"/>
          <w:sz w:val="24"/>
          <w:szCs w:val="24"/>
          <w:lang w:val="en-IN"/>
        </w:rPr>
        <w:t>d</w:t>
      </w:r>
      <w:r w:rsidR="00E61F86" w:rsidRPr="00AE4053">
        <w:rPr>
          <w:rFonts w:ascii="Book Antiqua" w:hAnsi="Book Antiqua"/>
          <w:sz w:val="24"/>
          <w:szCs w:val="24"/>
          <w:lang w:val="en-IN"/>
        </w:rPr>
        <w:t xml:space="preserve"> between 0.78 and 0.99</w:t>
      </w:r>
      <w:r w:rsidR="00DB7100" w:rsidRPr="00AE4053">
        <w:rPr>
          <w:rFonts w:ascii="Book Antiqua" w:hAnsi="Book Antiqua"/>
          <w:sz w:val="24"/>
          <w:szCs w:val="24"/>
          <w:lang w:val="en-IN"/>
        </w:rPr>
        <w:t>.</w:t>
      </w:r>
      <w:r w:rsidR="00E61F86" w:rsidRPr="00AE4053">
        <w:rPr>
          <w:rFonts w:ascii="Book Antiqua" w:hAnsi="Book Antiqua"/>
          <w:sz w:val="24"/>
          <w:szCs w:val="24"/>
          <w:lang w:val="en-IN"/>
        </w:rPr>
        <w:t xml:space="preserve"> </w:t>
      </w:r>
      <w:r w:rsidR="00DB7100" w:rsidRPr="00AE4053">
        <w:rPr>
          <w:rFonts w:ascii="Book Antiqua" w:hAnsi="Book Antiqua"/>
          <w:sz w:val="24"/>
          <w:szCs w:val="24"/>
          <w:lang w:val="en-IN"/>
        </w:rPr>
        <w:t xml:space="preserve">The </w:t>
      </w:r>
      <w:r w:rsidR="00E61F86" w:rsidRPr="00AE4053">
        <w:rPr>
          <w:rFonts w:ascii="Book Antiqua" w:hAnsi="Book Antiqua"/>
          <w:sz w:val="24"/>
          <w:szCs w:val="24"/>
          <w:lang w:val="en-IN"/>
        </w:rPr>
        <w:t xml:space="preserve">optimal cut-offs </w:t>
      </w:r>
      <w:r w:rsidR="00DB7100" w:rsidRPr="00AE4053">
        <w:rPr>
          <w:rFonts w:ascii="Book Antiqua" w:hAnsi="Book Antiqua"/>
          <w:sz w:val="24"/>
          <w:szCs w:val="24"/>
          <w:lang w:val="en-IN"/>
        </w:rPr>
        <w:t xml:space="preserve">ranged </w:t>
      </w:r>
      <w:r w:rsidR="00E61F86" w:rsidRPr="00AE4053">
        <w:rPr>
          <w:rFonts w:ascii="Book Antiqua" w:hAnsi="Book Antiqua"/>
          <w:sz w:val="24"/>
          <w:szCs w:val="24"/>
          <w:lang w:val="en-IN"/>
        </w:rPr>
        <w:t xml:space="preserve">between 13.6 and 65.3 </w:t>
      </w:r>
      <w:proofErr w:type="spellStart"/>
      <w:r w:rsidR="00E61F86" w:rsidRPr="00AE4053">
        <w:rPr>
          <w:rFonts w:ascii="Book Antiqua" w:hAnsi="Book Antiqua"/>
          <w:sz w:val="24"/>
          <w:szCs w:val="24"/>
          <w:lang w:val="en-IN"/>
        </w:rPr>
        <w:t>kPa</w:t>
      </w:r>
      <w:proofErr w:type="spellEnd"/>
      <w:r w:rsidR="00E61F86" w:rsidRPr="00AE4053">
        <w:rPr>
          <w:rFonts w:ascii="Book Antiqua" w:hAnsi="Book Antiqua"/>
          <w:sz w:val="24"/>
          <w:szCs w:val="24"/>
          <w:lang w:val="en-IN"/>
        </w:rPr>
        <w:t xml:space="preserve"> with PPV </w:t>
      </w:r>
      <w:r w:rsidRPr="00AE4053">
        <w:rPr>
          <w:rFonts w:ascii="Book Antiqua" w:hAnsi="Book Antiqua"/>
          <w:sz w:val="24"/>
          <w:szCs w:val="24"/>
          <w:lang w:val="en-IN"/>
        </w:rPr>
        <w:t>typically greater than</w:t>
      </w:r>
      <w:r w:rsidR="00E61F86" w:rsidRPr="00AE4053">
        <w:rPr>
          <w:rFonts w:ascii="Book Antiqua" w:hAnsi="Book Antiqua"/>
          <w:sz w:val="24"/>
          <w:szCs w:val="24"/>
          <w:lang w:val="en-IN"/>
        </w:rPr>
        <w:t xml:space="preserve"> 80%.</w:t>
      </w:r>
      <w:r w:rsidR="00182C5F" w:rsidRPr="00AE4053">
        <w:rPr>
          <w:rFonts w:ascii="Book Antiqua" w:hAnsi="Book Antiqua"/>
          <w:sz w:val="24"/>
          <w:szCs w:val="24"/>
          <w:lang w:val="en-IN"/>
        </w:rPr>
        <w:t xml:space="preserve"> However</w:t>
      </w:r>
      <w:r w:rsidR="000A2F22" w:rsidRPr="00AE4053">
        <w:rPr>
          <w:rFonts w:ascii="Book Antiqua" w:hAnsi="Book Antiqua"/>
          <w:sz w:val="24"/>
          <w:szCs w:val="24"/>
          <w:lang w:val="en-IN"/>
        </w:rPr>
        <w:t xml:space="preserve">, most </w:t>
      </w:r>
      <w:r w:rsidR="00182C5F" w:rsidRPr="00AE4053">
        <w:rPr>
          <w:rFonts w:ascii="Book Antiqua" w:hAnsi="Book Antiqua"/>
          <w:sz w:val="24"/>
          <w:szCs w:val="24"/>
          <w:lang w:val="en-IN"/>
        </w:rPr>
        <w:t>of these</w:t>
      </w:r>
      <w:r w:rsidR="000A2F22" w:rsidRPr="00AE4053">
        <w:rPr>
          <w:rFonts w:ascii="Book Antiqua" w:hAnsi="Book Antiqua"/>
          <w:sz w:val="24"/>
          <w:szCs w:val="24"/>
          <w:lang w:val="en-IN"/>
        </w:rPr>
        <w:t xml:space="preserve"> studies </w:t>
      </w:r>
      <w:r w:rsidRPr="00AE4053">
        <w:rPr>
          <w:rFonts w:ascii="Book Antiqua" w:hAnsi="Book Antiqua"/>
          <w:sz w:val="24"/>
          <w:szCs w:val="24"/>
          <w:lang w:val="en-IN"/>
        </w:rPr>
        <w:t>used a</w:t>
      </w:r>
      <w:r w:rsidR="000A2F22" w:rsidRPr="00AE4053">
        <w:rPr>
          <w:rFonts w:ascii="Book Antiqua" w:hAnsi="Book Antiqua"/>
          <w:sz w:val="24"/>
          <w:szCs w:val="24"/>
          <w:lang w:val="en-IN"/>
        </w:rPr>
        <w:t xml:space="preserve"> small number of patients, and almost </w:t>
      </w:r>
      <w:r w:rsidR="00182C5F" w:rsidRPr="00AE4053">
        <w:rPr>
          <w:rFonts w:ascii="Book Antiqua" w:hAnsi="Book Antiqua"/>
          <w:sz w:val="24"/>
          <w:szCs w:val="24"/>
          <w:lang w:val="en-IN"/>
        </w:rPr>
        <w:t xml:space="preserve">all of these studies were </w:t>
      </w:r>
      <w:r w:rsidRPr="00AE4053">
        <w:rPr>
          <w:rFonts w:ascii="Book Antiqua" w:hAnsi="Book Antiqua"/>
          <w:sz w:val="24"/>
          <w:szCs w:val="24"/>
          <w:lang w:val="en-IN"/>
        </w:rPr>
        <w:t>performed</w:t>
      </w:r>
      <w:r w:rsidR="00182C5F" w:rsidRPr="00AE4053">
        <w:rPr>
          <w:rFonts w:ascii="Book Antiqua" w:hAnsi="Book Antiqua"/>
          <w:sz w:val="24"/>
          <w:szCs w:val="24"/>
          <w:lang w:val="en-IN"/>
        </w:rPr>
        <w:t xml:space="preserve"> in Europe with </w:t>
      </w:r>
      <w:r w:rsidR="000A2F22" w:rsidRPr="00AE4053">
        <w:rPr>
          <w:rFonts w:ascii="Book Antiqua" w:hAnsi="Book Antiqua"/>
          <w:sz w:val="24"/>
          <w:szCs w:val="24"/>
          <w:lang w:val="en-IN"/>
        </w:rPr>
        <w:t xml:space="preserve">none from </w:t>
      </w:r>
      <w:r w:rsidR="00C73538" w:rsidRPr="00AE4053">
        <w:rPr>
          <w:rFonts w:ascii="Book Antiqua" w:hAnsi="Book Antiqua"/>
          <w:sz w:val="24"/>
          <w:szCs w:val="24"/>
          <w:lang w:val="en-IN"/>
        </w:rPr>
        <w:t>S</w:t>
      </w:r>
      <w:r w:rsidR="00182C5F" w:rsidRPr="00AE4053">
        <w:rPr>
          <w:rFonts w:ascii="Book Antiqua" w:hAnsi="Book Antiqua"/>
          <w:sz w:val="24"/>
          <w:szCs w:val="24"/>
          <w:lang w:val="en-IN"/>
        </w:rPr>
        <w:t xml:space="preserve">outh </w:t>
      </w:r>
      <w:r w:rsidR="000A2F22" w:rsidRPr="00AE4053">
        <w:rPr>
          <w:rFonts w:ascii="Book Antiqua" w:hAnsi="Book Antiqua"/>
          <w:sz w:val="24"/>
          <w:szCs w:val="24"/>
          <w:lang w:val="en-IN"/>
        </w:rPr>
        <w:t xml:space="preserve">Asia where </w:t>
      </w:r>
      <w:r w:rsidRPr="00AE4053">
        <w:rPr>
          <w:rFonts w:ascii="Book Antiqua" w:hAnsi="Book Antiqua"/>
          <w:sz w:val="24"/>
          <w:szCs w:val="24"/>
          <w:lang w:val="en-IN"/>
        </w:rPr>
        <w:t xml:space="preserve">the </w:t>
      </w:r>
      <w:r w:rsidR="000A2F22" w:rsidRPr="00AE4053">
        <w:rPr>
          <w:rFonts w:ascii="Book Antiqua" w:hAnsi="Book Antiqua"/>
          <w:sz w:val="24"/>
          <w:szCs w:val="24"/>
          <w:lang w:val="en-IN"/>
        </w:rPr>
        <w:t>etiologic</w:t>
      </w:r>
      <w:r w:rsidR="00465FC0" w:rsidRPr="00AE4053">
        <w:rPr>
          <w:rFonts w:ascii="Book Antiqua" w:hAnsi="Book Antiqua"/>
          <w:sz w:val="24"/>
          <w:szCs w:val="24"/>
          <w:lang w:val="en-IN"/>
        </w:rPr>
        <w:t>al profile of cirrhosis is diffe</w:t>
      </w:r>
      <w:r w:rsidR="000A2F22" w:rsidRPr="00AE4053">
        <w:rPr>
          <w:rFonts w:ascii="Book Antiqua" w:hAnsi="Book Antiqua"/>
          <w:sz w:val="24"/>
          <w:szCs w:val="24"/>
          <w:lang w:val="en-IN"/>
        </w:rPr>
        <w:t xml:space="preserve">rent from the West. </w:t>
      </w:r>
      <w:r w:rsidR="004076F3" w:rsidRPr="00AE4053">
        <w:rPr>
          <w:rFonts w:ascii="Book Antiqua" w:hAnsi="Book Antiqua"/>
          <w:sz w:val="24"/>
          <w:szCs w:val="24"/>
          <w:lang w:val="en-IN"/>
        </w:rPr>
        <w:t xml:space="preserve">The largest </w:t>
      </w:r>
      <w:r w:rsidR="00731E83" w:rsidRPr="00AE4053">
        <w:rPr>
          <w:rFonts w:ascii="Book Antiqua" w:hAnsi="Book Antiqua"/>
          <w:sz w:val="24"/>
          <w:szCs w:val="24"/>
          <w:lang w:val="en-IN"/>
        </w:rPr>
        <w:t xml:space="preserve">of these </w:t>
      </w:r>
      <w:r w:rsidR="004076F3" w:rsidRPr="00AE4053">
        <w:rPr>
          <w:rFonts w:ascii="Book Antiqua" w:hAnsi="Book Antiqua"/>
          <w:sz w:val="24"/>
          <w:szCs w:val="24"/>
          <w:lang w:val="en-IN"/>
        </w:rPr>
        <w:t>stud</w:t>
      </w:r>
      <w:r w:rsidR="00731E83" w:rsidRPr="00AE4053">
        <w:rPr>
          <w:rFonts w:ascii="Book Antiqua" w:hAnsi="Book Antiqua"/>
          <w:sz w:val="24"/>
          <w:szCs w:val="24"/>
          <w:lang w:val="en-IN"/>
        </w:rPr>
        <w:t>ies</w:t>
      </w:r>
      <w:r w:rsidR="004076F3" w:rsidRPr="00AE4053">
        <w:rPr>
          <w:rFonts w:ascii="Book Antiqua" w:hAnsi="Book Antiqua"/>
          <w:sz w:val="24"/>
          <w:szCs w:val="24"/>
          <w:lang w:val="en-IN"/>
        </w:rPr>
        <w:t xml:space="preserve"> was by </w:t>
      </w:r>
      <w:proofErr w:type="spellStart"/>
      <w:r w:rsidR="004076F3" w:rsidRPr="00AE4053">
        <w:rPr>
          <w:rFonts w:ascii="Book Antiqua" w:hAnsi="Book Antiqua"/>
          <w:sz w:val="24"/>
          <w:szCs w:val="24"/>
          <w:lang w:val="en-IN"/>
        </w:rPr>
        <w:t>Reiberger</w:t>
      </w:r>
      <w:proofErr w:type="spellEnd"/>
      <w:r w:rsidR="004076F3" w:rsidRPr="00AE4053">
        <w:rPr>
          <w:rFonts w:ascii="Book Antiqua" w:hAnsi="Book Antiqua"/>
          <w:sz w:val="24"/>
          <w:szCs w:val="24"/>
          <w:lang w:val="en-IN"/>
        </w:rPr>
        <w:t xml:space="preserve"> et al from Austria</w:t>
      </w:r>
      <w:r w:rsidR="00902F64" w:rsidRPr="00AE4053">
        <w:rPr>
          <w:rFonts w:ascii="Book Antiqua" w:hAnsi="Book Antiqua"/>
          <w:sz w:val="24"/>
          <w:szCs w:val="24"/>
          <w:lang w:val="en-IN"/>
        </w:rPr>
        <w:fldChar w:fldCharType="begin"/>
      </w:r>
      <w:r w:rsidR="008F2F86" w:rsidRPr="00AE4053">
        <w:rPr>
          <w:rFonts w:ascii="Book Antiqua" w:hAnsi="Book Antiqua"/>
          <w:sz w:val="24"/>
          <w:szCs w:val="24"/>
          <w:lang w:val="en-IN"/>
        </w:rPr>
        <w:instrText xml:space="preserve"> ADDIN ZOTERO_ITEM CSL_CITATION {"citationID":"6em25i7pu","properties":{"formattedCitation":"{\\rtf \\super [13]\\nosupersub{}}","plainCitation":"[13]"},"citationItems":[{"id":4243,"uris":["http://zotero.org/users/271015/items/QMARKV4N"],"uri":["http://zotero.org/users/271015/items/QMARKV4N"],"itemData":{"id":4243,"type":"article-journal","title":"Noninvasive screening for liver fibrosis and portal hypertension by transient elastography--a large single center experience","container-title":"Wiener Klinische Wochenschrift","page":"395-402","volume":"124","issue":"11-12","source":"PubMed","abstract":"BACKGROUND: Transient elastography (TE) is a noninvasive tool to assess hepatic fibrosis by measuring liver stiffness (LS). Recent studies suggest that TE may be used to screen for liver cirrhosis and clinically significant portal hypertension (≥ 10 mmHg; CSPH), whereas data on the clinical applicability of TE are limited.\nMETHODS: Among 695 patients undergoing measurement of LS, data on liver biopsies and on hepatic venous pressure gradient (HVPG) were available in 290 and 502 patients, respectively. Analysis of the area under the receiver operating curve (AUC) was used to assess the positive (PPV) and negative predictive (NPV) values of LS cut-offs for staging of hepatic fibrosis and for diagnosis of CSPH.\nRESULTS: LS was significantly associated with fibrosis stage (R = 0.872;p &lt; 0.0001). AUC for diagnosis of fibrosis F2 (&gt; 7.2 kPa) was 0.690, 0.737 for F3 (&gt; 9.6 kPa), and 0.904 for F4 (&gt; 12.1 kPa), respectively. At a LS cut-off of 12.1 kPa the PPV and NPV for diagnosis of cirrhosis were 87 and 91 %, respectively. A significant correlation of LS and HVPG was noted (R = 0.794;p &lt; 0.0001), being stronger in patients with viral disease (R = 0.838;p &lt; 0.0001) than in patients with alcoholic disease (R = 0.756;p &lt; 0.0001). The LS cut-off at 18 kPa can identify CSPH with a PPV and NPV of 86 and 80 %, respectively.\nCONCLUSIONS: This large single center study confirms the clinical utility of TE as valuable noninvasive screening tool for liver fibrosis with excellent accuracy to rule out F4 cirrhosis. However, the moderate PPV and NPV limit the diagnostic use of TE for discriminating patients with and without CSPH.","DOI":"10.1007/s00508-012-0190-5","ISSN":"1613-7671","note":"PMID: 22699260","journalAbbreviation":"Wien. Klin. Wochenschr.","language":"eng","author":[{"family":"Reiberger","given":"Thomas"},{"family":"Ferlitsch","given":"Arnulf"},{"family":"Payer","given":"Berit Anna"},{"family":"Pinter","given":"Matthias"},{"family":"Schwabl","given":"Philipp"},{"family":"Stift","given":"Judith"},{"family":"Trauner","given":"Michael"},{"family":"Peck-Radosavljevic","given":"Markus"}],"issued":{"date-parts":[["2012",6]]}}}],"schema":"https://github.com/citation-style-language/schema/raw/master/csl-citation.json"} </w:instrText>
      </w:r>
      <w:r w:rsidR="00902F64" w:rsidRPr="00AE4053">
        <w:rPr>
          <w:rFonts w:ascii="Book Antiqua" w:hAnsi="Book Antiqua"/>
          <w:sz w:val="24"/>
          <w:szCs w:val="24"/>
          <w:lang w:val="en-IN"/>
        </w:rPr>
        <w:fldChar w:fldCharType="separate"/>
      </w:r>
      <w:r w:rsidR="008F2F86" w:rsidRPr="00AE4053">
        <w:rPr>
          <w:rFonts w:ascii="Book Antiqua" w:hAnsi="Book Antiqua"/>
          <w:sz w:val="24"/>
          <w:szCs w:val="24"/>
          <w:vertAlign w:val="superscript"/>
        </w:rPr>
        <w:t>[13]</w:t>
      </w:r>
      <w:r w:rsidR="00902F64" w:rsidRPr="00AE4053">
        <w:rPr>
          <w:rFonts w:ascii="Book Antiqua" w:hAnsi="Book Antiqua"/>
          <w:sz w:val="24"/>
          <w:szCs w:val="24"/>
          <w:lang w:val="en-IN"/>
        </w:rPr>
        <w:fldChar w:fldCharType="end"/>
      </w:r>
      <w:r w:rsidR="004076F3" w:rsidRPr="00AE4053">
        <w:rPr>
          <w:rFonts w:ascii="Book Antiqua" w:hAnsi="Book Antiqua"/>
          <w:sz w:val="24"/>
          <w:szCs w:val="24"/>
          <w:lang w:val="en-IN"/>
        </w:rPr>
        <w:t xml:space="preserve">, who retrospectively </w:t>
      </w:r>
      <w:r w:rsidR="00033515" w:rsidRPr="00AE4053">
        <w:rPr>
          <w:rFonts w:ascii="Book Antiqua" w:hAnsi="Book Antiqua"/>
          <w:sz w:val="24"/>
          <w:szCs w:val="24"/>
        </w:rPr>
        <w:t>correlated</w:t>
      </w:r>
      <w:r w:rsidR="00902F64" w:rsidRPr="00AE4053">
        <w:rPr>
          <w:rFonts w:ascii="Book Antiqua" w:hAnsi="Book Antiqua"/>
          <w:sz w:val="24"/>
          <w:szCs w:val="24"/>
          <w:lang w:val="en-IN"/>
        </w:rPr>
        <w:t xml:space="preserve"> TE and HVPG in 502 patients. They </w:t>
      </w:r>
      <w:r w:rsidRPr="00AE4053">
        <w:rPr>
          <w:rFonts w:ascii="Book Antiqua" w:hAnsi="Book Antiqua"/>
          <w:sz w:val="24"/>
          <w:szCs w:val="24"/>
          <w:lang w:val="en-IN"/>
        </w:rPr>
        <w:t xml:space="preserve">identified </w:t>
      </w:r>
      <w:r w:rsidR="00902F64" w:rsidRPr="00AE4053">
        <w:rPr>
          <w:rFonts w:ascii="Book Antiqua" w:hAnsi="Book Antiqua"/>
          <w:sz w:val="24"/>
          <w:szCs w:val="24"/>
          <w:lang w:val="en-IN"/>
        </w:rPr>
        <w:t xml:space="preserve">a </w:t>
      </w:r>
      <w:r w:rsidR="00732C8C" w:rsidRPr="00AE4053">
        <w:rPr>
          <w:rFonts w:ascii="Book Antiqua" w:hAnsi="Book Antiqua"/>
          <w:sz w:val="24"/>
          <w:szCs w:val="24"/>
          <w:lang w:val="en-IN"/>
        </w:rPr>
        <w:t>very high</w:t>
      </w:r>
      <w:r w:rsidR="00902F64" w:rsidRPr="00AE4053">
        <w:rPr>
          <w:rFonts w:ascii="Book Antiqua" w:hAnsi="Book Antiqua"/>
          <w:sz w:val="24"/>
          <w:szCs w:val="24"/>
          <w:lang w:val="en-IN"/>
        </w:rPr>
        <w:t xml:space="preserve"> correlation of </w:t>
      </w:r>
      <w:r w:rsidR="000E299E" w:rsidRPr="00AE4053">
        <w:rPr>
          <w:rFonts w:ascii="Book Antiqua" w:hAnsi="Book Antiqua"/>
          <w:sz w:val="24"/>
          <w:szCs w:val="24"/>
          <w:lang w:val="en-IN"/>
        </w:rPr>
        <w:t>TE</w:t>
      </w:r>
      <w:r w:rsidR="00902F64" w:rsidRPr="00AE4053">
        <w:rPr>
          <w:rFonts w:ascii="Book Antiqua" w:hAnsi="Book Antiqua"/>
          <w:sz w:val="24"/>
          <w:szCs w:val="24"/>
          <w:lang w:val="en-IN"/>
        </w:rPr>
        <w:t xml:space="preserve"> </w:t>
      </w:r>
      <w:r w:rsidR="000E299E" w:rsidRPr="00AE4053">
        <w:rPr>
          <w:rFonts w:ascii="Book Antiqua" w:hAnsi="Book Antiqua"/>
          <w:sz w:val="24"/>
          <w:szCs w:val="24"/>
          <w:lang w:val="en-IN"/>
        </w:rPr>
        <w:t>with</w:t>
      </w:r>
      <w:r w:rsidR="00902F64" w:rsidRPr="00AE4053">
        <w:rPr>
          <w:rFonts w:ascii="Book Antiqua" w:hAnsi="Book Antiqua"/>
          <w:sz w:val="24"/>
          <w:szCs w:val="24"/>
          <w:lang w:val="en-IN"/>
        </w:rPr>
        <w:t xml:space="preserve"> HVPG (</w:t>
      </w:r>
      <w:r w:rsidR="00902F64" w:rsidRPr="00840C18">
        <w:rPr>
          <w:rFonts w:ascii="Book Antiqua" w:hAnsi="Book Antiqua"/>
          <w:i/>
          <w:sz w:val="24"/>
          <w:szCs w:val="24"/>
          <w:lang w:val="en-IN"/>
        </w:rPr>
        <w:t>r</w:t>
      </w:r>
      <w:r w:rsidR="00840C18" w:rsidRPr="00840C18">
        <w:rPr>
          <w:rFonts w:ascii="Book Antiqua" w:hAnsi="Book Antiqua"/>
          <w:i/>
          <w:sz w:val="24"/>
          <w:szCs w:val="24"/>
          <w:lang w:val="en-IN"/>
        </w:rPr>
        <w:t xml:space="preserve"> </w:t>
      </w:r>
      <w:r w:rsidR="00902F64" w:rsidRPr="00AE4053">
        <w:rPr>
          <w:rFonts w:ascii="Book Antiqua" w:hAnsi="Book Antiqua"/>
          <w:sz w:val="24"/>
          <w:szCs w:val="24"/>
          <w:lang w:val="en-IN"/>
        </w:rPr>
        <w:t>=</w:t>
      </w:r>
      <w:r w:rsidR="00840C18">
        <w:rPr>
          <w:rFonts w:ascii="Book Antiqua" w:hAnsi="Book Antiqua"/>
          <w:sz w:val="24"/>
          <w:szCs w:val="24"/>
          <w:lang w:val="en-IN"/>
        </w:rPr>
        <w:t xml:space="preserve"> </w:t>
      </w:r>
      <w:r w:rsidR="00902F64" w:rsidRPr="00AE4053">
        <w:rPr>
          <w:rFonts w:ascii="Book Antiqua" w:hAnsi="Book Antiqua"/>
          <w:sz w:val="24"/>
          <w:szCs w:val="24"/>
          <w:lang w:val="en-IN"/>
        </w:rPr>
        <w:t>0.79</w:t>
      </w:r>
      <w:r w:rsidR="00641A7D" w:rsidRPr="00AE4053">
        <w:rPr>
          <w:rFonts w:ascii="Book Antiqua" w:hAnsi="Book Antiqua"/>
          <w:sz w:val="24"/>
          <w:szCs w:val="24"/>
          <w:lang w:val="en-IN"/>
        </w:rPr>
        <w:t>9</w:t>
      </w:r>
      <w:r w:rsidR="00902F64" w:rsidRPr="00AE4053">
        <w:rPr>
          <w:rFonts w:ascii="Book Antiqua" w:hAnsi="Book Antiqua"/>
          <w:sz w:val="24"/>
          <w:szCs w:val="24"/>
          <w:lang w:val="en-IN"/>
        </w:rPr>
        <w:t xml:space="preserve">; </w:t>
      </w:r>
      <w:r w:rsidR="00902F64" w:rsidRPr="00840C18">
        <w:rPr>
          <w:rFonts w:ascii="Book Antiqua" w:hAnsi="Book Antiqua"/>
          <w:i/>
          <w:caps/>
          <w:sz w:val="24"/>
          <w:szCs w:val="24"/>
          <w:lang w:val="en-IN"/>
        </w:rPr>
        <w:t>p</w:t>
      </w:r>
      <w:r w:rsidR="00902F64" w:rsidRPr="00AE4053">
        <w:rPr>
          <w:rFonts w:ascii="Book Antiqua" w:hAnsi="Book Antiqua"/>
          <w:sz w:val="24"/>
          <w:szCs w:val="24"/>
          <w:lang w:val="en-IN"/>
        </w:rPr>
        <w:t xml:space="preserve"> &lt;</w:t>
      </w:r>
      <w:r w:rsidR="00840C18">
        <w:rPr>
          <w:rFonts w:ascii="Book Antiqua" w:hAnsi="Book Antiqua"/>
          <w:sz w:val="24"/>
          <w:szCs w:val="24"/>
          <w:lang w:val="en-IN"/>
        </w:rPr>
        <w:t xml:space="preserve"> </w:t>
      </w:r>
      <w:r w:rsidR="00902F64" w:rsidRPr="00AE4053">
        <w:rPr>
          <w:rFonts w:ascii="Book Antiqua" w:hAnsi="Book Antiqua"/>
          <w:sz w:val="24"/>
          <w:szCs w:val="24"/>
          <w:lang w:val="en-IN"/>
        </w:rPr>
        <w:t>0.0001).</w:t>
      </w:r>
      <w:r w:rsidR="000E299E" w:rsidRPr="00AE4053">
        <w:rPr>
          <w:rFonts w:ascii="Book Antiqua" w:hAnsi="Book Antiqua"/>
          <w:sz w:val="24"/>
          <w:szCs w:val="24"/>
          <w:lang w:val="en-IN"/>
        </w:rPr>
        <w:t xml:space="preserve"> </w:t>
      </w:r>
      <w:r w:rsidR="00732C8C" w:rsidRPr="00AE4053">
        <w:rPr>
          <w:rFonts w:ascii="Book Antiqua" w:hAnsi="Book Antiqua"/>
          <w:sz w:val="24"/>
          <w:szCs w:val="24"/>
          <w:lang w:val="en-IN"/>
        </w:rPr>
        <w:t xml:space="preserve">Compared </w:t>
      </w:r>
      <w:r w:rsidRPr="00AE4053">
        <w:rPr>
          <w:rFonts w:ascii="Book Antiqua" w:hAnsi="Book Antiqua"/>
          <w:sz w:val="24"/>
          <w:szCs w:val="24"/>
          <w:lang w:val="en-IN"/>
        </w:rPr>
        <w:t xml:space="preserve">with </w:t>
      </w:r>
      <w:r w:rsidR="00732C8C" w:rsidRPr="00AE4053">
        <w:rPr>
          <w:rFonts w:ascii="Book Antiqua" w:hAnsi="Book Antiqua"/>
          <w:sz w:val="24"/>
          <w:szCs w:val="24"/>
          <w:lang w:val="en-IN"/>
        </w:rPr>
        <w:t>their study, our correlation coefficient was lower (</w:t>
      </w:r>
      <w:r w:rsidR="00732C8C" w:rsidRPr="00840C18">
        <w:rPr>
          <w:rFonts w:ascii="Book Antiqua" w:hAnsi="Book Antiqua"/>
          <w:i/>
          <w:sz w:val="24"/>
          <w:szCs w:val="24"/>
          <w:lang w:val="en-IN"/>
        </w:rPr>
        <w:t>r</w:t>
      </w:r>
      <w:r w:rsidR="00840C18">
        <w:rPr>
          <w:rFonts w:ascii="Book Antiqua" w:hAnsi="Book Antiqua"/>
          <w:sz w:val="24"/>
          <w:szCs w:val="24"/>
          <w:lang w:val="en-IN"/>
        </w:rPr>
        <w:t xml:space="preserve"> </w:t>
      </w:r>
      <w:r w:rsidR="00732C8C" w:rsidRPr="00AE4053">
        <w:rPr>
          <w:rFonts w:ascii="Book Antiqua" w:hAnsi="Book Antiqua"/>
          <w:sz w:val="24"/>
          <w:szCs w:val="24"/>
          <w:lang w:val="en-IN"/>
        </w:rPr>
        <w:t>=</w:t>
      </w:r>
      <w:r w:rsidR="00840C18">
        <w:rPr>
          <w:rFonts w:ascii="Book Antiqua" w:hAnsi="Book Antiqua"/>
          <w:sz w:val="24"/>
          <w:szCs w:val="24"/>
          <w:lang w:val="en-IN"/>
        </w:rPr>
        <w:t xml:space="preserve"> </w:t>
      </w:r>
      <w:r w:rsidR="00732C8C" w:rsidRPr="00AE4053">
        <w:rPr>
          <w:rFonts w:ascii="Book Antiqua" w:hAnsi="Book Antiqua"/>
          <w:sz w:val="24"/>
          <w:szCs w:val="24"/>
          <w:lang w:val="en-IN"/>
        </w:rPr>
        <w:lastRenderedPageBreak/>
        <w:t xml:space="preserve">0.361). </w:t>
      </w:r>
      <w:r w:rsidRPr="00AE4053">
        <w:rPr>
          <w:rFonts w:ascii="Book Antiqua" w:hAnsi="Book Antiqua"/>
          <w:sz w:val="24"/>
          <w:szCs w:val="24"/>
          <w:lang w:val="en-IN"/>
        </w:rPr>
        <w:t>Two possible reasons could explain</w:t>
      </w:r>
      <w:r w:rsidR="00732C8C" w:rsidRPr="00AE4053">
        <w:rPr>
          <w:rFonts w:ascii="Book Antiqua" w:hAnsi="Book Antiqua"/>
          <w:sz w:val="24"/>
          <w:szCs w:val="24"/>
          <w:lang w:val="en-IN"/>
        </w:rPr>
        <w:t xml:space="preserve"> this difference in </w:t>
      </w:r>
      <w:r w:rsidR="00792B07" w:rsidRPr="00AE4053">
        <w:rPr>
          <w:rFonts w:ascii="Book Antiqua" w:hAnsi="Book Antiqua"/>
          <w:sz w:val="24"/>
          <w:szCs w:val="24"/>
        </w:rPr>
        <w:t xml:space="preserve">the </w:t>
      </w:r>
      <w:r w:rsidR="00732C8C" w:rsidRPr="00AE4053">
        <w:rPr>
          <w:rFonts w:ascii="Book Antiqua" w:hAnsi="Book Antiqua"/>
          <w:sz w:val="24"/>
          <w:szCs w:val="24"/>
          <w:lang w:val="en-IN"/>
        </w:rPr>
        <w:t>strength of correlation</w:t>
      </w:r>
      <w:r w:rsidR="00733B5B" w:rsidRPr="00AE4053">
        <w:rPr>
          <w:rFonts w:ascii="Book Antiqua" w:hAnsi="Book Antiqua"/>
          <w:sz w:val="24"/>
          <w:szCs w:val="24"/>
          <w:lang w:val="en-IN"/>
        </w:rPr>
        <w:t xml:space="preserve"> between the</w:t>
      </w:r>
      <w:r w:rsidR="00850D2F" w:rsidRPr="00AE4053">
        <w:rPr>
          <w:rFonts w:ascii="Book Antiqua" w:hAnsi="Book Antiqua"/>
          <w:sz w:val="24"/>
          <w:szCs w:val="24"/>
          <w:lang w:val="en-IN"/>
        </w:rPr>
        <w:t>ir</w:t>
      </w:r>
      <w:r w:rsidR="00733B5B" w:rsidRPr="00AE4053">
        <w:rPr>
          <w:rFonts w:ascii="Book Antiqua" w:hAnsi="Book Antiqua"/>
          <w:sz w:val="24"/>
          <w:szCs w:val="24"/>
          <w:lang w:val="en-IN"/>
        </w:rPr>
        <w:t xml:space="preserve"> </w:t>
      </w:r>
      <w:r w:rsidR="00850D2F" w:rsidRPr="00AE4053">
        <w:rPr>
          <w:rFonts w:ascii="Book Antiqua" w:hAnsi="Book Antiqua"/>
          <w:sz w:val="24"/>
          <w:szCs w:val="24"/>
          <w:lang w:val="en-IN"/>
        </w:rPr>
        <w:t>study and ours</w:t>
      </w:r>
      <w:r w:rsidR="00732C8C" w:rsidRPr="00AE4053">
        <w:rPr>
          <w:rFonts w:ascii="Book Antiqua" w:hAnsi="Book Antiqua"/>
          <w:sz w:val="24"/>
          <w:szCs w:val="24"/>
          <w:lang w:val="en-IN"/>
        </w:rPr>
        <w:t xml:space="preserve">. </w:t>
      </w:r>
      <w:r w:rsidRPr="00AE4053">
        <w:rPr>
          <w:rFonts w:ascii="Book Antiqua" w:hAnsi="Book Antiqua"/>
          <w:sz w:val="24"/>
          <w:szCs w:val="24"/>
          <w:lang w:val="en-IN"/>
        </w:rPr>
        <w:t xml:space="preserve">The first </w:t>
      </w:r>
      <w:r w:rsidR="00C73538" w:rsidRPr="00AE4053">
        <w:rPr>
          <w:rFonts w:ascii="Book Antiqua" w:hAnsi="Book Antiqua"/>
          <w:sz w:val="24"/>
          <w:szCs w:val="24"/>
          <w:lang w:val="en-IN"/>
        </w:rPr>
        <w:t xml:space="preserve">reason </w:t>
      </w:r>
      <w:r w:rsidR="006643E9" w:rsidRPr="00AE4053">
        <w:rPr>
          <w:rFonts w:ascii="Book Antiqua" w:hAnsi="Book Antiqua"/>
          <w:sz w:val="24"/>
          <w:szCs w:val="24"/>
          <w:lang w:val="en-IN"/>
        </w:rPr>
        <w:t xml:space="preserve">is the difference in </w:t>
      </w:r>
      <w:r w:rsidR="00792B07" w:rsidRPr="00AE4053">
        <w:rPr>
          <w:rFonts w:ascii="Book Antiqua" w:hAnsi="Book Antiqua"/>
          <w:sz w:val="24"/>
          <w:szCs w:val="24"/>
        </w:rPr>
        <w:t xml:space="preserve">the </w:t>
      </w:r>
      <w:r w:rsidR="006643E9" w:rsidRPr="00AE4053">
        <w:rPr>
          <w:rFonts w:ascii="Book Antiqua" w:hAnsi="Book Antiqua"/>
          <w:sz w:val="24"/>
          <w:szCs w:val="24"/>
          <w:lang w:val="en-IN"/>
        </w:rPr>
        <w:t>etiological profile</w:t>
      </w:r>
      <w:r w:rsidRPr="00AE4053">
        <w:rPr>
          <w:rFonts w:ascii="Book Antiqua" w:hAnsi="Book Antiqua"/>
          <w:sz w:val="24"/>
          <w:szCs w:val="24"/>
          <w:lang w:val="en-IN"/>
        </w:rPr>
        <w:t>s</w:t>
      </w:r>
      <w:r w:rsidR="006643E9" w:rsidRPr="00AE4053">
        <w:rPr>
          <w:rFonts w:ascii="Book Antiqua" w:hAnsi="Book Antiqua"/>
          <w:sz w:val="24"/>
          <w:szCs w:val="24"/>
          <w:lang w:val="en-IN"/>
        </w:rPr>
        <w:t xml:space="preserve"> of patients</w:t>
      </w:r>
      <w:r w:rsidR="00766037" w:rsidRPr="00AE4053">
        <w:rPr>
          <w:rFonts w:ascii="Book Antiqua" w:hAnsi="Book Antiqua"/>
          <w:sz w:val="24"/>
          <w:szCs w:val="24"/>
          <w:lang w:val="en-IN"/>
        </w:rPr>
        <w:t xml:space="preserve"> in the two studies</w:t>
      </w:r>
      <w:r w:rsidR="006643E9" w:rsidRPr="00AE4053">
        <w:rPr>
          <w:rFonts w:ascii="Book Antiqua" w:hAnsi="Book Antiqua"/>
          <w:sz w:val="24"/>
          <w:szCs w:val="24"/>
          <w:lang w:val="en-IN"/>
        </w:rPr>
        <w:t xml:space="preserve">. Their study had more patients with </w:t>
      </w:r>
      <w:r w:rsidR="00792B07" w:rsidRPr="00AE4053">
        <w:rPr>
          <w:rFonts w:ascii="Book Antiqua" w:hAnsi="Book Antiqua"/>
          <w:sz w:val="24"/>
          <w:szCs w:val="24"/>
        </w:rPr>
        <w:t xml:space="preserve">a </w:t>
      </w:r>
      <w:r w:rsidR="006643E9" w:rsidRPr="00AE4053">
        <w:rPr>
          <w:rFonts w:ascii="Book Antiqua" w:hAnsi="Book Antiqua"/>
          <w:sz w:val="24"/>
          <w:szCs w:val="24"/>
          <w:lang w:val="en-IN"/>
        </w:rPr>
        <w:t xml:space="preserve">viral </w:t>
      </w:r>
      <w:proofErr w:type="spellStart"/>
      <w:r w:rsidR="006643E9" w:rsidRPr="00AE4053">
        <w:rPr>
          <w:rFonts w:ascii="Book Antiqua" w:hAnsi="Book Antiqua"/>
          <w:sz w:val="24"/>
          <w:szCs w:val="24"/>
          <w:lang w:val="en-IN"/>
        </w:rPr>
        <w:t>etiology</w:t>
      </w:r>
      <w:proofErr w:type="spellEnd"/>
      <w:r w:rsidR="006643E9" w:rsidRPr="00AE4053">
        <w:rPr>
          <w:rFonts w:ascii="Book Antiqua" w:hAnsi="Book Antiqua"/>
          <w:sz w:val="24"/>
          <w:szCs w:val="24"/>
          <w:lang w:val="en-IN"/>
        </w:rPr>
        <w:t xml:space="preserve"> (56%) that </w:t>
      </w:r>
      <w:r w:rsidRPr="00AE4053">
        <w:rPr>
          <w:rFonts w:ascii="Book Antiqua" w:hAnsi="Book Antiqua"/>
          <w:sz w:val="24"/>
          <w:szCs w:val="24"/>
          <w:lang w:val="en-IN"/>
        </w:rPr>
        <w:t xml:space="preserve">typically exhibits a </w:t>
      </w:r>
      <w:r w:rsidR="006643E9" w:rsidRPr="00AE4053">
        <w:rPr>
          <w:rFonts w:ascii="Book Antiqua" w:hAnsi="Book Antiqua"/>
          <w:sz w:val="24"/>
          <w:szCs w:val="24"/>
          <w:lang w:val="en-IN"/>
        </w:rPr>
        <w:t>better correlation</w:t>
      </w:r>
      <w:r w:rsidRPr="00AE4053">
        <w:rPr>
          <w:rFonts w:ascii="Book Antiqua" w:hAnsi="Book Antiqua"/>
          <w:sz w:val="24"/>
          <w:szCs w:val="24"/>
          <w:lang w:val="en-IN"/>
        </w:rPr>
        <w:t>, whereas</w:t>
      </w:r>
      <w:r w:rsidR="006643E9" w:rsidRPr="00AE4053">
        <w:rPr>
          <w:rFonts w:ascii="Book Antiqua" w:hAnsi="Book Antiqua"/>
          <w:sz w:val="24"/>
          <w:szCs w:val="24"/>
          <w:lang w:val="en-IN"/>
        </w:rPr>
        <w:t xml:space="preserve"> our study had more patients with </w:t>
      </w:r>
      <w:r w:rsidR="00792B07" w:rsidRPr="00AE4053">
        <w:rPr>
          <w:rFonts w:ascii="Book Antiqua" w:hAnsi="Book Antiqua"/>
          <w:sz w:val="24"/>
          <w:szCs w:val="24"/>
        </w:rPr>
        <w:t xml:space="preserve">a </w:t>
      </w:r>
      <w:r w:rsidR="006643E9" w:rsidRPr="00AE4053">
        <w:rPr>
          <w:rFonts w:ascii="Book Antiqua" w:hAnsi="Book Antiqua"/>
          <w:sz w:val="24"/>
          <w:szCs w:val="24"/>
          <w:lang w:val="en-IN"/>
        </w:rPr>
        <w:t xml:space="preserve">NASH/cryptogenic and alcohol </w:t>
      </w:r>
      <w:proofErr w:type="spellStart"/>
      <w:r w:rsidR="006643E9" w:rsidRPr="00AE4053">
        <w:rPr>
          <w:rFonts w:ascii="Book Antiqua" w:hAnsi="Book Antiqua"/>
          <w:sz w:val="24"/>
          <w:szCs w:val="24"/>
          <w:lang w:val="en-IN"/>
        </w:rPr>
        <w:t>etiology</w:t>
      </w:r>
      <w:proofErr w:type="spellEnd"/>
      <w:r w:rsidR="006643E9" w:rsidRPr="00AE4053">
        <w:rPr>
          <w:rFonts w:ascii="Book Antiqua" w:hAnsi="Book Antiqua"/>
          <w:sz w:val="24"/>
          <w:szCs w:val="24"/>
          <w:lang w:val="en-IN"/>
        </w:rPr>
        <w:t xml:space="preserve">, which </w:t>
      </w:r>
      <w:r w:rsidRPr="00AE4053">
        <w:rPr>
          <w:rFonts w:ascii="Book Antiqua" w:hAnsi="Book Antiqua"/>
          <w:sz w:val="24"/>
          <w:szCs w:val="24"/>
          <w:lang w:val="en-IN"/>
        </w:rPr>
        <w:t xml:space="preserve">typically </w:t>
      </w:r>
      <w:r w:rsidR="006643E9" w:rsidRPr="00AE4053">
        <w:rPr>
          <w:rFonts w:ascii="Book Antiqua" w:hAnsi="Book Antiqua"/>
          <w:sz w:val="24"/>
          <w:szCs w:val="24"/>
          <w:lang w:val="en-IN"/>
        </w:rPr>
        <w:t>has poorer correlation.</w:t>
      </w:r>
      <w:r w:rsidR="00766037" w:rsidRPr="00AE4053">
        <w:rPr>
          <w:rFonts w:ascii="Book Antiqua" w:hAnsi="Book Antiqua"/>
          <w:sz w:val="24"/>
          <w:szCs w:val="24"/>
          <w:lang w:val="en-IN"/>
        </w:rPr>
        <w:t xml:space="preserve"> The second possible reason for the difference in </w:t>
      </w:r>
      <w:r w:rsidRPr="00AE4053">
        <w:rPr>
          <w:rFonts w:ascii="Book Antiqua" w:hAnsi="Book Antiqua"/>
          <w:sz w:val="24"/>
          <w:szCs w:val="24"/>
          <w:lang w:val="en-IN"/>
        </w:rPr>
        <w:t xml:space="preserve">the </w:t>
      </w:r>
      <w:r w:rsidR="00766037" w:rsidRPr="00AE4053">
        <w:rPr>
          <w:rFonts w:ascii="Book Antiqua" w:hAnsi="Book Antiqua"/>
          <w:sz w:val="24"/>
          <w:szCs w:val="24"/>
          <w:lang w:val="en-IN"/>
        </w:rPr>
        <w:t>strength of correlation between their study and ours was that</w:t>
      </w:r>
      <w:r w:rsidR="00732C8C" w:rsidRPr="00AE4053">
        <w:rPr>
          <w:rFonts w:ascii="Book Antiqua" w:hAnsi="Book Antiqua"/>
          <w:sz w:val="24"/>
          <w:szCs w:val="24"/>
          <w:lang w:val="en-IN"/>
        </w:rPr>
        <w:t xml:space="preserve"> their patients had less severe liver</w:t>
      </w:r>
      <w:r w:rsidR="00186A96" w:rsidRPr="00AE4053">
        <w:rPr>
          <w:rFonts w:ascii="Book Antiqua" w:hAnsi="Book Antiqua"/>
          <w:sz w:val="24"/>
          <w:szCs w:val="24"/>
          <w:lang w:val="en-IN"/>
        </w:rPr>
        <w:t xml:space="preserve"> disease compared</w:t>
      </w:r>
      <w:r w:rsidRPr="00AE4053">
        <w:rPr>
          <w:rFonts w:ascii="Book Antiqua" w:hAnsi="Book Antiqua"/>
          <w:sz w:val="24"/>
          <w:szCs w:val="24"/>
          <w:lang w:val="en-IN"/>
        </w:rPr>
        <w:t xml:space="preserve"> with</w:t>
      </w:r>
      <w:r w:rsidR="00186A96" w:rsidRPr="00AE4053">
        <w:rPr>
          <w:rFonts w:ascii="Book Antiqua" w:hAnsi="Book Antiqua"/>
          <w:sz w:val="24"/>
          <w:szCs w:val="24"/>
          <w:lang w:val="en-IN"/>
        </w:rPr>
        <w:t xml:space="preserve"> our</w:t>
      </w:r>
      <w:r w:rsidRPr="00AE4053">
        <w:rPr>
          <w:rFonts w:ascii="Book Antiqua" w:hAnsi="Book Antiqua"/>
          <w:sz w:val="24"/>
          <w:szCs w:val="24"/>
          <w:lang w:val="en-IN"/>
        </w:rPr>
        <w:t xml:space="preserve"> patients</w:t>
      </w:r>
      <w:r w:rsidR="00186A96" w:rsidRPr="00AE4053">
        <w:rPr>
          <w:rFonts w:ascii="Book Antiqua" w:hAnsi="Book Antiqua"/>
          <w:sz w:val="24"/>
          <w:szCs w:val="24"/>
          <w:lang w:val="en-IN"/>
        </w:rPr>
        <w:t>. The</w:t>
      </w:r>
      <w:r w:rsidR="00732C8C" w:rsidRPr="00AE4053">
        <w:rPr>
          <w:rFonts w:ascii="Book Antiqua" w:hAnsi="Book Antiqua"/>
          <w:sz w:val="24"/>
          <w:szCs w:val="24"/>
          <w:lang w:val="en-IN"/>
        </w:rPr>
        <w:t xml:space="preserve"> mean HVPG of the</w:t>
      </w:r>
      <w:r w:rsidR="00186A96" w:rsidRPr="00AE4053">
        <w:rPr>
          <w:rFonts w:ascii="Book Antiqua" w:hAnsi="Book Antiqua"/>
          <w:sz w:val="24"/>
          <w:szCs w:val="24"/>
          <w:lang w:val="en-IN"/>
        </w:rPr>
        <w:t>ir</w:t>
      </w:r>
      <w:r w:rsidR="00732C8C" w:rsidRPr="00AE4053">
        <w:rPr>
          <w:rFonts w:ascii="Book Antiqua" w:hAnsi="Book Antiqua"/>
          <w:sz w:val="24"/>
          <w:szCs w:val="24"/>
          <w:lang w:val="en-IN"/>
        </w:rPr>
        <w:t xml:space="preserve"> cohort was 12.6 </w:t>
      </w:r>
      <w:r w:rsidR="008A41A5" w:rsidRPr="00AE4053">
        <w:rPr>
          <w:rFonts w:ascii="Book Antiqua" w:hAnsi="Book Antiqua"/>
          <w:sz w:val="24"/>
          <w:szCs w:val="24"/>
          <w:lang w:val="en-IN"/>
        </w:rPr>
        <w:t>(±</w:t>
      </w:r>
      <w:r w:rsidR="00840C18">
        <w:rPr>
          <w:rFonts w:ascii="Book Antiqua" w:hAnsi="Book Antiqua"/>
          <w:sz w:val="24"/>
          <w:szCs w:val="24"/>
          <w:lang w:val="en-IN"/>
        </w:rPr>
        <w:t xml:space="preserve"> 7.6) mm</w:t>
      </w:r>
      <w:r w:rsidR="008A41A5" w:rsidRPr="00AE4053">
        <w:rPr>
          <w:rFonts w:ascii="Book Antiqua" w:hAnsi="Book Antiqua"/>
          <w:sz w:val="24"/>
          <w:szCs w:val="24"/>
          <w:lang w:val="en-IN"/>
        </w:rPr>
        <w:t>Hg</w:t>
      </w:r>
      <w:r w:rsidRPr="00AE4053">
        <w:rPr>
          <w:rFonts w:ascii="Book Antiqua" w:hAnsi="Book Antiqua"/>
          <w:sz w:val="24"/>
          <w:szCs w:val="24"/>
          <w:lang w:val="en-IN"/>
        </w:rPr>
        <w:t>, whereas</w:t>
      </w:r>
      <w:r w:rsidR="008A41A5" w:rsidRPr="00AE4053">
        <w:rPr>
          <w:rFonts w:ascii="Book Antiqua" w:hAnsi="Book Antiqua"/>
          <w:sz w:val="24"/>
          <w:szCs w:val="24"/>
          <w:lang w:val="en-IN"/>
        </w:rPr>
        <w:t xml:space="preserve"> the median H</w:t>
      </w:r>
      <w:r w:rsidR="00840C18">
        <w:rPr>
          <w:rFonts w:ascii="Book Antiqua" w:hAnsi="Book Antiqua"/>
          <w:sz w:val="24"/>
          <w:szCs w:val="24"/>
          <w:lang w:val="en-IN"/>
        </w:rPr>
        <w:t>VPG in our patients was 16.0 mm</w:t>
      </w:r>
      <w:r w:rsidR="008A41A5" w:rsidRPr="00AE4053">
        <w:rPr>
          <w:rFonts w:ascii="Book Antiqua" w:hAnsi="Book Antiqua"/>
          <w:sz w:val="24"/>
          <w:szCs w:val="24"/>
          <w:lang w:val="en-IN"/>
        </w:rPr>
        <w:t xml:space="preserve">Hg. </w:t>
      </w:r>
      <w:r w:rsidR="00731E83" w:rsidRPr="00AE4053">
        <w:rPr>
          <w:rFonts w:ascii="Book Antiqua" w:hAnsi="Book Antiqua"/>
          <w:sz w:val="24"/>
          <w:szCs w:val="24"/>
          <w:lang w:val="en-IN"/>
        </w:rPr>
        <w:t>T</w:t>
      </w:r>
      <w:r w:rsidR="00733B5B" w:rsidRPr="00AE4053">
        <w:rPr>
          <w:rFonts w:ascii="Book Antiqua" w:hAnsi="Book Antiqua"/>
          <w:sz w:val="24"/>
          <w:szCs w:val="24"/>
          <w:lang w:val="en-IN"/>
        </w:rPr>
        <w:t xml:space="preserve">heir median liver stiffness value was 26.4 </w:t>
      </w:r>
      <w:proofErr w:type="spellStart"/>
      <w:r w:rsidR="00733B5B" w:rsidRPr="00AE4053">
        <w:rPr>
          <w:rFonts w:ascii="Book Antiqua" w:hAnsi="Book Antiqua"/>
          <w:sz w:val="24"/>
          <w:szCs w:val="24"/>
          <w:lang w:val="en-IN"/>
        </w:rPr>
        <w:t>kPa</w:t>
      </w:r>
      <w:proofErr w:type="spellEnd"/>
      <w:r w:rsidR="00733B5B" w:rsidRPr="00AE4053">
        <w:rPr>
          <w:rFonts w:ascii="Book Antiqua" w:hAnsi="Book Antiqua"/>
          <w:sz w:val="24"/>
          <w:szCs w:val="24"/>
          <w:lang w:val="en-IN"/>
        </w:rPr>
        <w:t xml:space="preserve">, </w:t>
      </w:r>
      <w:r w:rsidRPr="00AE4053">
        <w:rPr>
          <w:rFonts w:ascii="Book Antiqua" w:hAnsi="Book Antiqua"/>
          <w:sz w:val="24"/>
          <w:szCs w:val="24"/>
          <w:lang w:val="en-IN"/>
        </w:rPr>
        <w:t xml:space="preserve">whereas </w:t>
      </w:r>
      <w:r w:rsidR="00733B5B" w:rsidRPr="00AE4053">
        <w:rPr>
          <w:rFonts w:ascii="Book Antiqua" w:hAnsi="Book Antiqua"/>
          <w:sz w:val="24"/>
          <w:szCs w:val="24"/>
          <w:lang w:val="en-IN"/>
        </w:rPr>
        <w:t xml:space="preserve">that in our study was 36 </w:t>
      </w:r>
      <w:proofErr w:type="spellStart"/>
      <w:r w:rsidR="00733B5B" w:rsidRPr="00AE4053">
        <w:rPr>
          <w:rFonts w:ascii="Book Antiqua" w:hAnsi="Book Antiqua"/>
          <w:sz w:val="24"/>
          <w:szCs w:val="24"/>
          <w:lang w:val="en-IN"/>
        </w:rPr>
        <w:t>kPa</w:t>
      </w:r>
      <w:proofErr w:type="spellEnd"/>
      <w:r w:rsidR="00733B5B" w:rsidRPr="00AE4053">
        <w:rPr>
          <w:rFonts w:ascii="Book Antiqua" w:hAnsi="Book Antiqua"/>
          <w:sz w:val="24"/>
          <w:szCs w:val="24"/>
          <w:lang w:val="en-IN"/>
        </w:rPr>
        <w:t xml:space="preserve">. </w:t>
      </w:r>
      <w:r w:rsidR="00850D2F" w:rsidRPr="00AE4053">
        <w:rPr>
          <w:rFonts w:ascii="Book Antiqua" w:hAnsi="Book Antiqua"/>
          <w:sz w:val="24"/>
          <w:szCs w:val="24"/>
          <w:lang w:val="en-IN"/>
        </w:rPr>
        <w:t xml:space="preserve">TE and HVPG correlate better when liver disease is less advanced. </w:t>
      </w:r>
      <w:r w:rsidR="0044680C" w:rsidRPr="00AE4053">
        <w:rPr>
          <w:rFonts w:ascii="Book Antiqua" w:hAnsi="Book Antiqua"/>
          <w:sz w:val="24"/>
          <w:szCs w:val="24"/>
          <w:lang w:val="en-IN"/>
        </w:rPr>
        <w:t xml:space="preserve">As </w:t>
      </w:r>
      <w:r w:rsidRPr="00AE4053">
        <w:rPr>
          <w:rFonts w:ascii="Book Antiqua" w:hAnsi="Book Antiqua"/>
          <w:sz w:val="24"/>
          <w:szCs w:val="24"/>
          <w:lang w:val="en-IN"/>
        </w:rPr>
        <w:t xml:space="preserve">observed </w:t>
      </w:r>
      <w:r w:rsidR="0044680C" w:rsidRPr="00AE4053">
        <w:rPr>
          <w:rFonts w:ascii="Book Antiqua" w:hAnsi="Book Antiqua"/>
          <w:sz w:val="24"/>
          <w:szCs w:val="24"/>
          <w:lang w:val="en-IN"/>
        </w:rPr>
        <w:t xml:space="preserve">from the scatterplot </w:t>
      </w:r>
      <w:r w:rsidR="00B52F7C" w:rsidRPr="00AE4053">
        <w:rPr>
          <w:rFonts w:ascii="Book Antiqua" w:hAnsi="Book Antiqua"/>
          <w:sz w:val="24"/>
          <w:szCs w:val="24"/>
          <w:lang w:val="en-IN"/>
        </w:rPr>
        <w:t xml:space="preserve">of our study </w:t>
      </w:r>
      <w:r w:rsidR="0044680C" w:rsidRPr="00AE4053">
        <w:rPr>
          <w:rFonts w:ascii="Book Antiqua" w:hAnsi="Book Antiqua"/>
          <w:sz w:val="24"/>
          <w:szCs w:val="24"/>
          <w:lang w:val="en-IN"/>
        </w:rPr>
        <w:t xml:space="preserve">(Figure 1) </w:t>
      </w:r>
      <w:r w:rsidR="00B52F7C" w:rsidRPr="00AE4053">
        <w:rPr>
          <w:rFonts w:ascii="Book Antiqua" w:hAnsi="Book Antiqua"/>
          <w:sz w:val="24"/>
          <w:szCs w:val="24"/>
          <w:lang w:val="en-IN"/>
        </w:rPr>
        <w:t xml:space="preserve">and also </w:t>
      </w:r>
      <w:r w:rsidR="00186A96" w:rsidRPr="00AE4053">
        <w:rPr>
          <w:rFonts w:ascii="Book Antiqua" w:hAnsi="Book Antiqua"/>
          <w:sz w:val="24"/>
          <w:szCs w:val="24"/>
          <w:lang w:val="en-IN"/>
        </w:rPr>
        <w:t xml:space="preserve">from </w:t>
      </w:r>
      <w:r w:rsidR="00B52F7C" w:rsidRPr="00AE4053">
        <w:rPr>
          <w:rFonts w:ascii="Book Antiqua" w:hAnsi="Book Antiqua"/>
          <w:sz w:val="24"/>
          <w:szCs w:val="24"/>
          <w:lang w:val="en-IN"/>
        </w:rPr>
        <w:t xml:space="preserve">the scatterplot of </w:t>
      </w:r>
      <w:proofErr w:type="spellStart"/>
      <w:r w:rsidR="00B52F7C" w:rsidRPr="00AE4053">
        <w:rPr>
          <w:rFonts w:ascii="Book Antiqua" w:hAnsi="Book Antiqua"/>
          <w:sz w:val="24"/>
          <w:szCs w:val="24"/>
          <w:lang w:val="en-IN"/>
        </w:rPr>
        <w:t>Reiberger’s</w:t>
      </w:r>
      <w:proofErr w:type="spellEnd"/>
      <w:r w:rsidR="00B52F7C" w:rsidRPr="00AE4053">
        <w:rPr>
          <w:rFonts w:ascii="Book Antiqua" w:hAnsi="Book Antiqua"/>
          <w:sz w:val="24"/>
          <w:szCs w:val="24"/>
          <w:lang w:val="en-IN"/>
        </w:rPr>
        <w:t xml:space="preserve"> study</w:t>
      </w:r>
      <w:r w:rsidR="00186A96" w:rsidRPr="00AE4053">
        <w:rPr>
          <w:rFonts w:ascii="Book Antiqua" w:hAnsi="Book Antiqua"/>
          <w:sz w:val="24"/>
          <w:szCs w:val="24"/>
          <w:lang w:val="en-IN"/>
        </w:rPr>
        <w:fldChar w:fldCharType="begin"/>
      </w:r>
      <w:r w:rsidR="008F2F86" w:rsidRPr="00AE4053">
        <w:rPr>
          <w:rFonts w:ascii="Book Antiqua" w:hAnsi="Book Antiqua"/>
          <w:sz w:val="24"/>
          <w:szCs w:val="24"/>
          <w:lang w:val="en-IN"/>
        </w:rPr>
        <w:instrText xml:space="preserve"> ADDIN ZOTERO_ITEM CSL_CITATION {"citationID":"i3cTz86s","properties":{"formattedCitation":"{\\rtf \\super [13]\\nosupersub{}}","plainCitation":"[13]"},"citationItems":[{"id":4243,"uris":["http://zotero.org/users/271015/items/QMARKV4N"],"uri":["http://zotero.org/users/271015/items/QMARKV4N"],"itemData":{"id":4243,"type":"article-journal","title":"Noninvasive screening for liver fibrosis and portal hypertension by transient elastography--a large single center experience","container-title":"Wiener Klinische Wochenschrift","page":"395-402","volume":"124","issue":"11-12","source":"PubMed","abstract":"BACKGROUND: Transient elastography (TE) is a noninvasive tool to assess hepatic fibrosis by measuring liver stiffness (LS). Recent studies suggest that TE may be used to screen for liver cirrhosis and clinically significant portal hypertension (≥ 10 mmHg; CSPH), whereas data on the clinical applicability of TE are limited.\nMETHODS: Among 695 patients undergoing measurement of LS, data on liver biopsies and on hepatic venous pressure gradient (HVPG) were available in 290 and 502 patients, respectively. Analysis of the area under the receiver operating curve (AUC) was used to assess the positive (PPV) and negative predictive (NPV) values of LS cut-offs for staging of hepatic fibrosis and for diagnosis of CSPH.\nRESULTS: LS was significantly associated with fibrosis stage (R = 0.872;p &lt; 0.0001). AUC for diagnosis of fibrosis F2 (&gt; 7.2 kPa) was 0.690, 0.737 for F3 (&gt; 9.6 kPa), and 0.904 for F4 (&gt; 12.1 kPa), respectively. At a LS cut-off of 12.1 kPa the PPV and NPV for diagnosis of cirrhosis were 87 and 91 %, respectively. A significant correlation of LS and HVPG was noted (R = 0.794;p &lt; 0.0001), being stronger in patients with viral disease (R = 0.838;p &lt; 0.0001) than in patients with alcoholic disease (R = 0.756;p &lt; 0.0001). The LS cut-off at 18 kPa can identify CSPH with a PPV and NPV of 86 and 80 %, respectively.\nCONCLUSIONS: This large single center study confirms the clinical utility of TE as valuable noninvasive screening tool for liver fibrosis with excellent accuracy to rule out F4 cirrhosis. However, the moderate PPV and NPV limit the diagnostic use of TE for discriminating patients with and without CSPH.","DOI":"10.1007/s00508-012-0190-5","ISSN":"1613-7671","note":"PMID: 22699260","journalAbbreviation":"Wien. Klin. Wochenschr.","language":"eng","author":[{"family":"Reiberger","given":"Thomas"},{"family":"Ferlitsch","given":"Arnulf"},{"family":"Payer","given":"Berit Anna"},{"family":"Pinter","given":"Matthias"},{"family":"Schwabl","given":"Philipp"},{"family":"Stift","given":"Judith"},{"family":"Trauner","given":"Michael"},{"family":"Peck-Radosavljevic","given":"Markus"}],"issued":{"date-parts":[["2012",6]]}}}],"schema":"https://github.com/citation-style-language/schema/raw/master/csl-citation.json"} </w:instrText>
      </w:r>
      <w:r w:rsidR="00186A96" w:rsidRPr="00AE4053">
        <w:rPr>
          <w:rFonts w:ascii="Book Antiqua" w:hAnsi="Book Antiqua"/>
          <w:sz w:val="24"/>
          <w:szCs w:val="24"/>
          <w:lang w:val="en-IN"/>
        </w:rPr>
        <w:fldChar w:fldCharType="separate"/>
      </w:r>
      <w:r w:rsidR="008F2F86" w:rsidRPr="00AE4053">
        <w:rPr>
          <w:rFonts w:ascii="Book Antiqua" w:hAnsi="Book Antiqua"/>
          <w:sz w:val="24"/>
          <w:szCs w:val="24"/>
          <w:vertAlign w:val="superscript"/>
        </w:rPr>
        <w:t>[13]</w:t>
      </w:r>
      <w:r w:rsidR="00186A96" w:rsidRPr="00AE4053">
        <w:rPr>
          <w:rFonts w:ascii="Book Antiqua" w:hAnsi="Book Antiqua"/>
          <w:sz w:val="24"/>
          <w:szCs w:val="24"/>
          <w:lang w:val="en-IN"/>
        </w:rPr>
        <w:fldChar w:fldCharType="end"/>
      </w:r>
      <w:r w:rsidR="006F3A39" w:rsidRPr="00AE4053">
        <w:rPr>
          <w:rFonts w:ascii="Book Antiqua" w:hAnsi="Book Antiqua"/>
          <w:sz w:val="24"/>
          <w:szCs w:val="24"/>
          <w:lang w:val="en-IN"/>
        </w:rPr>
        <w:t xml:space="preserve">, </w:t>
      </w:r>
      <w:r w:rsidR="0044680C" w:rsidRPr="00AE4053">
        <w:rPr>
          <w:rFonts w:ascii="Book Antiqua" w:hAnsi="Book Antiqua"/>
          <w:sz w:val="24"/>
          <w:szCs w:val="24"/>
          <w:lang w:val="en-IN"/>
        </w:rPr>
        <w:t xml:space="preserve">the slope of the trend line </w:t>
      </w:r>
      <w:r w:rsidR="00B52F7C" w:rsidRPr="00AE4053">
        <w:rPr>
          <w:rFonts w:ascii="Book Antiqua" w:hAnsi="Book Antiqua"/>
          <w:sz w:val="24"/>
          <w:szCs w:val="24"/>
          <w:lang w:val="en-IN"/>
        </w:rPr>
        <w:t>on the left side of the graph</w:t>
      </w:r>
      <w:r w:rsidRPr="00AE4053">
        <w:rPr>
          <w:rFonts w:ascii="Book Antiqua" w:hAnsi="Book Antiqua"/>
          <w:sz w:val="24"/>
          <w:szCs w:val="24"/>
          <w:lang w:val="en-IN"/>
        </w:rPr>
        <w:t xml:space="preserve"> </w:t>
      </w:r>
      <w:r w:rsidR="00B52F7C" w:rsidRPr="00AE4053">
        <w:rPr>
          <w:rFonts w:ascii="Book Antiqua" w:hAnsi="Book Antiqua"/>
          <w:sz w:val="24"/>
          <w:szCs w:val="24"/>
          <w:lang w:val="en-IN"/>
        </w:rPr>
        <w:t>when the disease is less severe</w:t>
      </w:r>
      <w:r w:rsidR="00186A96" w:rsidRPr="00AE4053">
        <w:rPr>
          <w:rFonts w:ascii="Book Antiqua" w:hAnsi="Book Antiqua"/>
          <w:sz w:val="24"/>
          <w:szCs w:val="24"/>
          <w:lang w:val="en-IN"/>
        </w:rPr>
        <w:t xml:space="preserve"> is steeper</w:t>
      </w:r>
      <w:r w:rsidRPr="00AE4053">
        <w:rPr>
          <w:rFonts w:ascii="Book Antiqua" w:hAnsi="Book Antiqua"/>
          <w:sz w:val="24"/>
          <w:szCs w:val="24"/>
          <w:lang w:val="en-IN"/>
        </w:rPr>
        <w:t>,</w:t>
      </w:r>
      <w:r w:rsidR="00186A96" w:rsidRPr="00AE4053">
        <w:rPr>
          <w:rFonts w:ascii="Book Antiqua" w:hAnsi="Book Antiqua"/>
          <w:sz w:val="24"/>
          <w:szCs w:val="24"/>
          <w:lang w:val="en-IN"/>
        </w:rPr>
        <w:t xml:space="preserve"> indicating </w:t>
      </w:r>
      <w:r w:rsidR="00792B07" w:rsidRPr="00AE4053">
        <w:rPr>
          <w:rFonts w:ascii="Book Antiqua" w:hAnsi="Book Antiqua"/>
          <w:sz w:val="24"/>
          <w:szCs w:val="24"/>
        </w:rPr>
        <w:t xml:space="preserve">a </w:t>
      </w:r>
      <w:r w:rsidR="00186A96" w:rsidRPr="00AE4053">
        <w:rPr>
          <w:rFonts w:ascii="Book Antiqua" w:hAnsi="Book Antiqua"/>
          <w:sz w:val="24"/>
          <w:szCs w:val="24"/>
          <w:lang w:val="en-IN"/>
        </w:rPr>
        <w:t>better correlation</w:t>
      </w:r>
      <w:r w:rsidR="00B52F7C" w:rsidRPr="00AE4053">
        <w:rPr>
          <w:rFonts w:ascii="Book Antiqua" w:hAnsi="Book Antiqua"/>
          <w:sz w:val="24"/>
          <w:szCs w:val="24"/>
          <w:lang w:val="en-IN"/>
        </w:rPr>
        <w:t xml:space="preserve"> compared </w:t>
      </w:r>
      <w:r w:rsidRPr="00AE4053">
        <w:rPr>
          <w:rFonts w:ascii="Book Antiqua" w:hAnsi="Book Antiqua"/>
          <w:sz w:val="24"/>
          <w:szCs w:val="24"/>
          <w:lang w:val="en-IN"/>
        </w:rPr>
        <w:t xml:space="preserve">with </w:t>
      </w:r>
      <w:r w:rsidR="00B52F7C" w:rsidRPr="00AE4053">
        <w:rPr>
          <w:rFonts w:ascii="Book Antiqua" w:hAnsi="Book Antiqua"/>
          <w:sz w:val="24"/>
          <w:szCs w:val="24"/>
          <w:lang w:val="en-IN"/>
        </w:rPr>
        <w:t>the right side when the trend line is flatter</w:t>
      </w:r>
      <w:r w:rsidRPr="00AE4053">
        <w:rPr>
          <w:rFonts w:ascii="Book Antiqua" w:hAnsi="Book Antiqua"/>
          <w:sz w:val="24"/>
          <w:szCs w:val="24"/>
          <w:lang w:val="en-IN"/>
        </w:rPr>
        <w:t>,</w:t>
      </w:r>
      <w:r w:rsidR="00B52F7C" w:rsidRPr="00AE4053">
        <w:rPr>
          <w:rFonts w:ascii="Book Antiqua" w:hAnsi="Book Antiqua"/>
          <w:sz w:val="24"/>
          <w:szCs w:val="24"/>
          <w:lang w:val="en-IN"/>
        </w:rPr>
        <w:t xml:space="preserve"> </w:t>
      </w:r>
      <w:r w:rsidR="006F3A39" w:rsidRPr="00AE4053">
        <w:rPr>
          <w:rFonts w:ascii="Book Antiqua" w:hAnsi="Book Antiqua"/>
          <w:sz w:val="24"/>
          <w:szCs w:val="24"/>
          <w:lang w:val="en-IN"/>
        </w:rPr>
        <w:t xml:space="preserve">indicating </w:t>
      </w:r>
      <w:r w:rsidR="00792B07" w:rsidRPr="00AE4053">
        <w:rPr>
          <w:rFonts w:ascii="Book Antiqua" w:hAnsi="Book Antiqua"/>
          <w:sz w:val="24"/>
          <w:szCs w:val="24"/>
        </w:rPr>
        <w:t xml:space="preserve">a </w:t>
      </w:r>
      <w:r w:rsidR="00186A96" w:rsidRPr="00AE4053">
        <w:rPr>
          <w:rFonts w:ascii="Book Antiqua" w:hAnsi="Book Antiqua"/>
          <w:sz w:val="24"/>
          <w:szCs w:val="24"/>
          <w:lang w:val="en-IN"/>
        </w:rPr>
        <w:t>poorer</w:t>
      </w:r>
      <w:r w:rsidR="00B52F7C" w:rsidRPr="00AE4053">
        <w:rPr>
          <w:rFonts w:ascii="Book Antiqua" w:hAnsi="Book Antiqua"/>
          <w:sz w:val="24"/>
          <w:szCs w:val="24"/>
          <w:lang w:val="en-IN"/>
        </w:rPr>
        <w:t xml:space="preserve"> </w:t>
      </w:r>
      <w:r w:rsidR="006F3A39" w:rsidRPr="00AE4053">
        <w:rPr>
          <w:rFonts w:ascii="Book Antiqua" w:hAnsi="Book Antiqua"/>
          <w:sz w:val="24"/>
          <w:szCs w:val="24"/>
          <w:lang w:val="en-IN"/>
        </w:rPr>
        <w:t>correlation at higher TE</w:t>
      </w:r>
      <w:r w:rsidRPr="00AE4053">
        <w:rPr>
          <w:rFonts w:ascii="Book Antiqua" w:hAnsi="Book Antiqua"/>
          <w:sz w:val="24"/>
          <w:szCs w:val="24"/>
          <w:lang w:val="en-IN"/>
        </w:rPr>
        <w:t xml:space="preserve"> values</w:t>
      </w:r>
      <w:r w:rsidR="00B52F7C" w:rsidRPr="00AE4053">
        <w:rPr>
          <w:rFonts w:ascii="Book Antiqua" w:hAnsi="Book Antiqua"/>
          <w:sz w:val="24"/>
          <w:szCs w:val="24"/>
          <w:lang w:val="en-IN"/>
        </w:rPr>
        <w:t>.</w:t>
      </w:r>
      <w:r w:rsidR="006F3A39" w:rsidRPr="00AE4053">
        <w:rPr>
          <w:rFonts w:ascii="Book Antiqua" w:hAnsi="Book Antiqua"/>
          <w:sz w:val="24"/>
          <w:szCs w:val="24"/>
          <w:lang w:val="en-IN"/>
        </w:rPr>
        <w:t xml:space="preserve"> </w:t>
      </w:r>
      <w:proofErr w:type="spellStart"/>
      <w:r w:rsidR="0099560E" w:rsidRPr="00AE4053">
        <w:rPr>
          <w:rFonts w:ascii="Book Antiqua" w:hAnsi="Book Antiqua"/>
          <w:sz w:val="24"/>
          <w:szCs w:val="24"/>
          <w:lang w:val="en-IN"/>
        </w:rPr>
        <w:t>Vizzutti</w:t>
      </w:r>
      <w:proofErr w:type="spellEnd"/>
      <w:r w:rsidR="0099560E" w:rsidRPr="00AE4053">
        <w:rPr>
          <w:rFonts w:ascii="Book Antiqua" w:hAnsi="Book Antiqua"/>
          <w:sz w:val="24"/>
          <w:szCs w:val="24"/>
          <w:lang w:val="en-IN"/>
        </w:rPr>
        <w:t xml:space="preserve"> </w:t>
      </w:r>
      <w:r w:rsidR="0099560E" w:rsidRPr="0011288D">
        <w:rPr>
          <w:rFonts w:ascii="Book Antiqua" w:hAnsi="Book Antiqua"/>
          <w:i/>
          <w:sz w:val="24"/>
          <w:szCs w:val="24"/>
          <w:lang w:val="en-IN"/>
        </w:rPr>
        <w:t>et al</w:t>
      </w:r>
      <w:r w:rsidR="0099560E" w:rsidRPr="00AE4053">
        <w:rPr>
          <w:rFonts w:ascii="Book Antiqua" w:hAnsi="Book Antiqua"/>
          <w:sz w:val="24"/>
          <w:szCs w:val="24"/>
          <w:lang w:val="en-IN"/>
        </w:rPr>
        <w:fldChar w:fldCharType="begin"/>
      </w:r>
      <w:r w:rsidR="008F2F86" w:rsidRPr="00AE4053">
        <w:rPr>
          <w:rFonts w:ascii="Book Antiqua" w:hAnsi="Book Antiqua"/>
          <w:sz w:val="24"/>
          <w:szCs w:val="24"/>
          <w:lang w:val="en-IN"/>
        </w:rPr>
        <w:instrText xml:space="preserve"> ADDIN ZOTERO_ITEM CSL_CITATION {"citationID":"21ko46nseg","properties":{"formattedCitation":"{\\rtf \\super [14]\\nosupersub{}}","plainCitation":"[14]"},"citationItems":[{"id":4022,"uris":["http://zotero.org/users/271015/items/JTT26CCJ"],"uri":["http://zotero.org/users/271015/items/JTT26CCJ"],"itemData":{"id":4022,"type":"article-journal","title":"Liver stiffness measurement predicts severe portal hypertension in patients with HCV-related cirrhosis","container-title":"Hepatology (Baltimore, Md.)","page":"1290-1297","volume":"45","issue":"5","source":"PubMed","abstract":"Measurement of hepatic venous pressure gradient (HVPG) is a standard method for the assessment of portal pressure and correlates with the occurrence of its complications. Liver stiffness measurement (LSM) has been proposed as a noninvasive technique for the prediction of the complications of cirrhosis. In this study, we evaluated the ability of LSM to predict severe portal hypertension compared with that of HVPG in 61 consecutive patients with HCV-related chronic liver disease. A strong relationship between LSM and HVPG measurements was found in the overall population (r=0.81, P&lt;0.0001). However, although the correlation was excellent for HVPG values less than 10 or 12 mm Hg (r=0.81, P=0.0003 and r=0.91, P&lt;0.0001, respectively), linear regression analysis was not optimal for HVPG values&gt;or=10 mm Hg (r2=0.35, P&lt;0.0001) or&gt;or=12 mm Hg (r2=0.17, P=0.02). The AUROC for the prediction of HVPG&gt;or=10 and &gt;or=12 mm Hg were 0.99 and 0.92, respectively and at LSM cutoff values of 13.6 kPa and 17.6 kPa, sensitivity was 97% and 94%, respectively. In patients with cirrhosis, LSM positively correlated with the presence of esophageal varices (P=0.002), although no correlation between LSM and esophageal varices size was detected. The area under the ROC for the prediction of EV was 0.76 and at a LSM cutoff value of 17.6 kPa sensitivity was 90%.\nCONCLUSION: LSM represents a non-invasive tool for the identification of chronic liver disease patients with clinically significant or severe portal hypertension and could be employed for screening patients to be subjected to standard investigations including upper GI endoscopy and hemodynamic studies.","DOI":"10.1002/hep.21665","ISSN":"0270-9139","note":"PMID: 17464971","journalAbbreviation":"Hepatology","language":"eng","author":[{"family":"Vizzutti","given":"Francesco"},{"family":"Arena","given":"Umberto"},{"family":"Romanelli","given":"Roberto G."},{"family":"Rega","given":"Luigi"},{"family":"Foschi","given":"Marco"},{"family":"Colagrande","given":"Stefano"},{"family":"Petrarca","given":"Antonio"},{"family":"Moscarella","given":"Stefania"},{"family":"Belli","given":"Giacomo"},{"family":"Zignego","given":"Anna Linda"},{"family":"Marra","given":"Fabio"},{"family":"Laffi","given":"Giacomo"},{"family":"Pinzani","given":"Massimo"}],"issued":{"date-parts":[["2007",5]]}}}],"schema":"https://github.com/citation-style-language/schema/raw/master/csl-citation.json"} </w:instrText>
      </w:r>
      <w:r w:rsidR="0099560E" w:rsidRPr="00AE4053">
        <w:rPr>
          <w:rFonts w:ascii="Book Antiqua" w:hAnsi="Book Antiqua"/>
          <w:sz w:val="24"/>
          <w:szCs w:val="24"/>
          <w:lang w:val="en-IN"/>
        </w:rPr>
        <w:fldChar w:fldCharType="separate"/>
      </w:r>
      <w:r w:rsidR="008F2F86" w:rsidRPr="00AE4053">
        <w:rPr>
          <w:rFonts w:ascii="Book Antiqua" w:hAnsi="Book Antiqua"/>
          <w:sz w:val="24"/>
          <w:szCs w:val="24"/>
          <w:vertAlign w:val="superscript"/>
        </w:rPr>
        <w:t>[14]</w:t>
      </w:r>
      <w:r w:rsidR="0099560E" w:rsidRPr="00AE4053">
        <w:rPr>
          <w:rFonts w:ascii="Book Antiqua" w:hAnsi="Book Antiqua"/>
          <w:sz w:val="24"/>
          <w:szCs w:val="24"/>
          <w:lang w:val="en-IN"/>
        </w:rPr>
        <w:fldChar w:fldCharType="end"/>
      </w:r>
      <w:r w:rsidR="0099560E" w:rsidRPr="00AE4053">
        <w:rPr>
          <w:rFonts w:ascii="Book Antiqua" w:hAnsi="Book Antiqua"/>
          <w:sz w:val="24"/>
          <w:szCs w:val="24"/>
          <w:lang w:val="en-IN"/>
        </w:rPr>
        <w:t xml:space="preserve"> also found that the correlation was excellent for HV</w:t>
      </w:r>
      <w:r w:rsidR="00840C18">
        <w:rPr>
          <w:rFonts w:ascii="Book Antiqua" w:hAnsi="Book Antiqua"/>
          <w:sz w:val="24"/>
          <w:szCs w:val="24"/>
          <w:lang w:val="en-IN"/>
        </w:rPr>
        <w:t>PG values less than 10 or 12 mm</w:t>
      </w:r>
      <w:r w:rsidR="0099560E" w:rsidRPr="00AE4053">
        <w:rPr>
          <w:rFonts w:ascii="Book Antiqua" w:hAnsi="Book Antiqua"/>
          <w:sz w:val="24"/>
          <w:szCs w:val="24"/>
          <w:lang w:val="en-IN"/>
        </w:rPr>
        <w:t>Hg (</w:t>
      </w:r>
      <w:r w:rsidR="00840C18" w:rsidRPr="00840C18">
        <w:rPr>
          <w:rFonts w:ascii="Book Antiqua" w:hAnsi="Book Antiqua"/>
          <w:i/>
          <w:sz w:val="24"/>
          <w:szCs w:val="24"/>
          <w:lang w:val="en-IN"/>
        </w:rPr>
        <w:t>r</w:t>
      </w:r>
      <w:r w:rsidR="00840C18">
        <w:rPr>
          <w:rFonts w:ascii="Book Antiqua" w:hAnsi="Book Antiqua"/>
          <w:sz w:val="24"/>
          <w:szCs w:val="24"/>
          <w:lang w:val="en-IN"/>
        </w:rPr>
        <w:t xml:space="preserve"> </w:t>
      </w:r>
      <w:r w:rsidR="0099560E" w:rsidRPr="00AE4053">
        <w:rPr>
          <w:rFonts w:ascii="Book Antiqua" w:hAnsi="Book Antiqua"/>
          <w:sz w:val="24"/>
          <w:szCs w:val="24"/>
          <w:lang w:val="en-IN"/>
        </w:rPr>
        <w:t>=</w:t>
      </w:r>
      <w:r w:rsidR="00840C18">
        <w:rPr>
          <w:rFonts w:ascii="Book Antiqua" w:hAnsi="Book Antiqua"/>
          <w:sz w:val="24"/>
          <w:szCs w:val="24"/>
          <w:lang w:val="en-IN"/>
        </w:rPr>
        <w:t xml:space="preserve"> </w:t>
      </w:r>
      <w:r w:rsidR="0099560E" w:rsidRPr="00AE4053">
        <w:rPr>
          <w:rFonts w:ascii="Book Antiqua" w:hAnsi="Book Antiqua"/>
          <w:sz w:val="24"/>
          <w:szCs w:val="24"/>
          <w:lang w:val="en-IN"/>
        </w:rPr>
        <w:t>0.</w:t>
      </w:r>
      <w:r w:rsidR="00AF28BB" w:rsidRPr="00AE4053">
        <w:rPr>
          <w:rFonts w:ascii="Book Antiqua" w:hAnsi="Book Antiqua"/>
          <w:sz w:val="24"/>
          <w:szCs w:val="24"/>
          <w:lang w:val="en-IN"/>
        </w:rPr>
        <w:t>81</w:t>
      </w:r>
      <w:r w:rsidR="0099560E" w:rsidRPr="00AE4053">
        <w:rPr>
          <w:rFonts w:ascii="Book Antiqua" w:hAnsi="Book Antiqua"/>
          <w:sz w:val="24"/>
          <w:szCs w:val="24"/>
          <w:lang w:val="en-IN"/>
        </w:rPr>
        <w:t xml:space="preserve"> and </w:t>
      </w:r>
      <w:r w:rsidR="0099560E" w:rsidRPr="00840C18">
        <w:rPr>
          <w:rFonts w:ascii="Book Antiqua" w:hAnsi="Book Antiqua"/>
          <w:i/>
          <w:sz w:val="24"/>
          <w:szCs w:val="24"/>
          <w:lang w:val="en-IN"/>
        </w:rPr>
        <w:t>r</w:t>
      </w:r>
      <w:r w:rsidR="00840C18">
        <w:rPr>
          <w:rFonts w:ascii="Book Antiqua" w:hAnsi="Book Antiqua"/>
          <w:sz w:val="24"/>
          <w:szCs w:val="24"/>
          <w:lang w:val="en-IN"/>
        </w:rPr>
        <w:t xml:space="preserve"> </w:t>
      </w:r>
      <w:r w:rsidR="0099560E" w:rsidRPr="00AE4053">
        <w:rPr>
          <w:rFonts w:ascii="Book Antiqua" w:hAnsi="Book Antiqua"/>
          <w:sz w:val="24"/>
          <w:szCs w:val="24"/>
          <w:lang w:val="en-IN"/>
        </w:rPr>
        <w:t>=</w:t>
      </w:r>
      <w:r w:rsidR="00840C18">
        <w:rPr>
          <w:rFonts w:ascii="Book Antiqua" w:hAnsi="Book Antiqua"/>
          <w:sz w:val="24"/>
          <w:szCs w:val="24"/>
          <w:lang w:val="en-IN"/>
        </w:rPr>
        <w:t xml:space="preserve"> </w:t>
      </w:r>
      <w:r w:rsidR="0099560E" w:rsidRPr="00AE4053">
        <w:rPr>
          <w:rFonts w:ascii="Book Antiqua" w:hAnsi="Book Antiqua"/>
          <w:sz w:val="24"/>
          <w:szCs w:val="24"/>
          <w:lang w:val="en-IN"/>
        </w:rPr>
        <w:t>0.</w:t>
      </w:r>
      <w:r w:rsidR="00AF28BB" w:rsidRPr="00AE4053">
        <w:rPr>
          <w:rFonts w:ascii="Book Antiqua" w:hAnsi="Book Antiqua"/>
          <w:sz w:val="24"/>
          <w:szCs w:val="24"/>
          <w:lang w:val="en-IN"/>
        </w:rPr>
        <w:t>91</w:t>
      </w:r>
      <w:r w:rsidR="0099560E" w:rsidRPr="00AE4053">
        <w:rPr>
          <w:rFonts w:ascii="Book Antiqua" w:hAnsi="Book Antiqua"/>
          <w:sz w:val="24"/>
          <w:szCs w:val="24"/>
          <w:lang w:val="en-IN"/>
        </w:rPr>
        <w:t>, respectively</w:t>
      </w:r>
      <w:r w:rsidRPr="00AE4053">
        <w:rPr>
          <w:rFonts w:ascii="Book Antiqua" w:hAnsi="Book Antiqua"/>
          <w:sz w:val="24"/>
          <w:szCs w:val="24"/>
          <w:lang w:val="en-IN"/>
        </w:rPr>
        <w:t xml:space="preserve">); </w:t>
      </w:r>
      <w:r w:rsidR="0099560E" w:rsidRPr="00AE4053">
        <w:rPr>
          <w:rFonts w:ascii="Book Antiqua" w:hAnsi="Book Antiqua"/>
          <w:sz w:val="24"/>
          <w:szCs w:val="24"/>
          <w:lang w:val="en-IN"/>
        </w:rPr>
        <w:t>however, the linear regression analysis was not</w:t>
      </w:r>
      <w:r w:rsidR="00840C18">
        <w:rPr>
          <w:rFonts w:ascii="Book Antiqua" w:hAnsi="Book Antiqua"/>
          <w:sz w:val="24"/>
          <w:szCs w:val="24"/>
          <w:lang w:val="en-IN"/>
        </w:rPr>
        <w:t xml:space="preserve"> optimal for HVPG values ≥</w:t>
      </w:r>
      <w:r w:rsidR="00D52684">
        <w:rPr>
          <w:rFonts w:ascii="Book Antiqua" w:hAnsi="Book Antiqua"/>
          <w:sz w:val="24"/>
          <w:szCs w:val="24"/>
          <w:lang w:val="en-IN"/>
        </w:rPr>
        <w:t xml:space="preserve"> </w:t>
      </w:r>
      <w:r w:rsidR="00840C18">
        <w:rPr>
          <w:rFonts w:ascii="Book Antiqua" w:hAnsi="Book Antiqua"/>
          <w:sz w:val="24"/>
          <w:szCs w:val="24"/>
          <w:lang w:val="en-IN"/>
        </w:rPr>
        <w:t>10 mm</w:t>
      </w:r>
      <w:r w:rsidR="0099560E" w:rsidRPr="00AE4053">
        <w:rPr>
          <w:rFonts w:ascii="Book Antiqua" w:hAnsi="Book Antiqua"/>
          <w:sz w:val="24"/>
          <w:szCs w:val="24"/>
          <w:lang w:val="en-IN"/>
        </w:rPr>
        <w:t>Hg (</w:t>
      </w:r>
      <w:r w:rsidR="0099560E" w:rsidRPr="00840C18">
        <w:rPr>
          <w:rFonts w:ascii="Book Antiqua" w:hAnsi="Book Antiqua"/>
          <w:i/>
          <w:sz w:val="24"/>
          <w:szCs w:val="24"/>
          <w:lang w:val="en-IN"/>
        </w:rPr>
        <w:t>r</w:t>
      </w:r>
      <w:r w:rsidR="00840C18">
        <w:rPr>
          <w:rFonts w:ascii="Book Antiqua" w:hAnsi="Book Antiqua"/>
          <w:sz w:val="24"/>
          <w:szCs w:val="24"/>
          <w:lang w:val="en-IN"/>
        </w:rPr>
        <w:t xml:space="preserve"> </w:t>
      </w:r>
      <w:r w:rsidR="0099560E" w:rsidRPr="00AE4053">
        <w:rPr>
          <w:rFonts w:ascii="Book Antiqua" w:hAnsi="Book Antiqua"/>
          <w:sz w:val="24"/>
          <w:szCs w:val="24"/>
          <w:lang w:val="en-IN"/>
        </w:rPr>
        <w:t>=</w:t>
      </w:r>
      <w:r w:rsidR="00840C18">
        <w:rPr>
          <w:rFonts w:ascii="Book Antiqua" w:hAnsi="Book Antiqua"/>
          <w:sz w:val="24"/>
          <w:szCs w:val="24"/>
          <w:lang w:val="en-IN"/>
        </w:rPr>
        <w:t xml:space="preserve"> </w:t>
      </w:r>
      <w:r w:rsidR="0099560E" w:rsidRPr="00AE4053">
        <w:rPr>
          <w:rFonts w:ascii="Book Antiqua" w:hAnsi="Book Antiqua"/>
          <w:sz w:val="24"/>
          <w:szCs w:val="24"/>
          <w:lang w:val="en-IN"/>
        </w:rPr>
        <w:t>0.</w:t>
      </w:r>
      <w:r w:rsidR="00AF28BB" w:rsidRPr="00AE4053">
        <w:rPr>
          <w:rFonts w:ascii="Book Antiqua" w:hAnsi="Book Antiqua"/>
          <w:sz w:val="24"/>
          <w:szCs w:val="24"/>
          <w:lang w:val="en-IN"/>
        </w:rPr>
        <w:t>59</w:t>
      </w:r>
      <w:r w:rsidR="0099560E" w:rsidRPr="00AE4053">
        <w:rPr>
          <w:rFonts w:ascii="Book Antiqua" w:hAnsi="Book Antiqua"/>
          <w:sz w:val="24"/>
          <w:szCs w:val="24"/>
          <w:lang w:val="en-IN"/>
        </w:rPr>
        <w:t>) or</w:t>
      </w:r>
      <w:r w:rsidR="004F75ED" w:rsidRPr="00AE4053">
        <w:rPr>
          <w:rFonts w:ascii="Book Antiqua" w:hAnsi="Book Antiqua"/>
          <w:sz w:val="24"/>
          <w:szCs w:val="24"/>
          <w:lang w:val="en-IN"/>
        </w:rPr>
        <w:t xml:space="preserve"> ≥</w:t>
      </w:r>
      <w:r w:rsidR="00840C18">
        <w:rPr>
          <w:rFonts w:ascii="Book Antiqua" w:hAnsi="Book Antiqua"/>
          <w:sz w:val="24"/>
          <w:szCs w:val="24"/>
          <w:lang w:val="en-IN"/>
        </w:rPr>
        <w:t xml:space="preserve"> 12 mm</w:t>
      </w:r>
      <w:r w:rsidR="00AF28BB" w:rsidRPr="00AE4053">
        <w:rPr>
          <w:rFonts w:ascii="Book Antiqua" w:hAnsi="Book Antiqua"/>
          <w:sz w:val="24"/>
          <w:szCs w:val="24"/>
          <w:lang w:val="en-IN"/>
        </w:rPr>
        <w:t>Hg (</w:t>
      </w:r>
      <w:r w:rsidR="00AF28BB" w:rsidRPr="00840C18">
        <w:rPr>
          <w:rFonts w:ascii="Book Antiqua" w:hAnsi="Book Antiqua"/>
          <w:i/>
          <w:sz w:val="24"/>
          <w:szCs w:val="24"/>
          <w:lang w:val="en-IN"/>
        </w:rPr>
        <w:t>r</w:t>
      </w:r>
      <w:r w:rsidR="00840C18">
        <w:rPr>
          <w:rFonts w:ascii="Book Antiqua" w:hAnsi="Book Antiqua"/>
          <w:sz w:val="24"/>
          <w:szCs w:val="24"/>
          <w:lang w:val="en-IN"/>
        </w:rPr>
        <w:t xml:space="preserve"> </w:t>
      </w:r>
      <w:r w:rsidR="0099560E" w:rsidRPr="00AE4053">
        <w:rPr>
          <w:rFonts w:ascii="Book Antiqua" w:hAnsi="Book Antiqua"/>
          <w:sz w:val="24"/>
          <w:szCs w:val="24"/>
          <w:lang w:val="en-IN"/>
        </w:rPr>
        <w:t>=</w:t>
      </w:r>
      <w:r w:rsidR="00840C18">
        <w:rPr>
          <w:rFonts w:ascii="Book Antiqua" w:hAnsi="Book Antiqua"/>
          <w:sz w:val="24"/>
          <w:szCs w:val="24"/>
          <w:lang w:val="en-IN"/>
        </w:rPr>
        <w:t xml:space="preserve"> </w:t>
      </w:r>
      <w:r w:rsidR="0099560E" w:rsidRPr="00AE4053">
        <w:rPr>
          <w:rFonts w:ascii="Book Antiqua" w:hAnsi="Book Antiqua"/>
          <w:sz w:val="24"/>
          <w:szCs w:val="24"/>
          <w:lang w:val="en-IN"/>
        </w:rPr>
        <w:t>0.</w:t>
      </w:r>
      <w:r w:rsidR="00AF28BB" w:rsidRPr="00AE4053">
        <w:rPr>
          <w:rFonts w:ascii="Book Antiqua" w:hAnsi="Book Antiqua"/>
          <w:sz w:val="24"/>
          <w:szCs w:val="24"/>
          <w:lang w:val="en-IN"/>
        </w:rPr>
        <w:t>3</w:t>
      </w:r>
      <w:r w:rsidR="0099560E" w:rsidRPr="00AE4053">
        <w:rPr>
          <w:rFonts w:ascii="Book Antiqua" w:hAnsi="Book Antiqua"/>
          <w:sz w:val="24"/>
          <w:szCs w:val="24"/>
          <w:lang w:val="en-IN"/>
        </w:rPr>
        <w:t>7).</w:t>
      </w:r>
      <w:r w:rsidR="006C533A" w:rsidRPr="00AE4053">
        <w:rPr>
          <w:rFonts w:ascii="Book Antiqua" w:hAnsi="Book Antiqua"/>
          <w:sz w:val="24"/>
          <w:szCs w:val="24"/>
          <w:lang w:val="en-IN"/>
        </w:rPr>
        <w:t xml:space="preserve"> </w:t>
      </w:r>
      <w:r w:rsidR="006C533A" w:rsidRPr="00AE4053">
        <w:rPr>
          <w:rFonts w:ascii="Book Antiqua" w:hAnsi="Book Antiqua"/>
          <w:sz w:val="24"/>
          <w:szCs w:val="24"/>
        </w:rPr>
        <w:t>In advanced portal hypertension</w:t>
      </w:r>
      <w:r w:rsidR="008E13C4" w:rsidRPr="00AE4053">
        <w:rPr>
          <w:rFonts w:ascii="Book Antiqua" w:hAnsi="Book Antiqua"/>
          <w:sz w:val="24"/>
          <w:szCs w:val="24"/>
        </w:rPr>
        <w:t>,</w:t>
      </w:r>
      <w:r w:rsidR="006C533A" w:rsidRPr="00AE4053">
        <w:rPr>
          <w:rFonts w:ascii="Book Antiqua" w:hAnsi="Book Antiqua"/>
          <w:sz w:val="24"/>
          <w:szCs w:val="24"/>
        </w:rPr>
        <w:t xml:space="preserve"> it is not only the liver fibrosis but also the </w:t>
      </w:r>
      <w:proofErr w:type="spellStart"/>
      <w:r w:rsidR="006C533A" w:rsidRPr="00AE4053">
        <w:rPr>
          <w:rFonts w:ascii="Book Antiqua" w:hAnsi="Book Antiqua"/>
          <w:sz w:val="24"/>
          <w:szCs w:val="24"/>
        </w:rPr>
        <w:t>extrahepatic</w:t>
      </w:r>
      <w:proofErr w:type="spellEnd"/>
      <w:r w:rsidR="006C533A" w:rsidRPr="00AE4053">
        <w:rPr>
          <w:rFonts w:ascii="Book Antiqua" w:hAnsi="Book Antiqua"/>
          <w:sz w:val="24"/>
          <w:szCs w:val="24"/>
        </w:rPr>
        <w:t xml:space="preserve"> factors</w:t>
      </w:r>
      <w:r w:rsidR="008E13C4" w:rsidRPr="00AE4053">
        <w:rPr>
          <w:rFonts w:ascii="Book Antiqua" w:hAnsi="Book Antiqua"/>
          <w:sz w:val="24"/>
          <w:szCs w:val="24"/>
        </w:rPr>
        <w:t xml:space="preserve">, </w:t>
      </w:r>
      <w:r w:rsidR="006C533A" w:rsidRPr="00AE4053">
        <w:rPr>
          <w:rFonts w:ascii="Book Antiqua" w:hAnsi="Book Antiqua"/>
          <w:sz w:val="24"/>
          <w:szCs w:val="24"/>
        </w:rPr>
        <w:t xml:space="preserve">such as the increase in blood flow due to </w:t>
      </w:r>
      <w:proofErr w:type="spellStart"/>
      <w:r w:rsidR="006C533A" w:rsidRPr="00AE4053">
        <w:rPr>
          <w:rFonts w:ascii="Book Antiqua" w:hAnsi="Book Antiqua"/>
          <w:sz w:val="24"/>
          <w:szCs w:val="24"/>
        </w:rPr>
        <w:t>hyperdynamic</w:t>
      </w:r>
      <w:proofErr w:type="spellEnd"/>
      <w:r w:rsidR="006C533A" w:rsidRPr="00AE4053">
        <w:rPr>
          <w:rFonts w:ascii="Book Antiqua" w:hAnsi="Book Antiqua"/>
          <w:sz w:val="24"/>
          <w:szCs w:val="24"/>
        </w:rPr>
        <w:t xml:space="preserve"> circulation</w:t>
      </w:r>
      <w:r w:rsidR="008E13C4" w:rsidRPr="00AE4053">
        <w:rPr>
          <w:rFonts w:ascii="Book Antiqua" w:hAnsi="Book Antiqua"/>
          <w:sz w:val="24"/>
          <w:szCs w:val="24"/>
        </w:rPr>
        <w:t xml:space="preserve">, </w:t>
      </w:r>
      <w:r w:rsidR="00C73538" w:rsidRPr="00AE4053">
        <w:rPr>
          <w:rFonts w:ascii="Book Antiqua" w:hAnsi="Book Antiqua"/>
          <w:sz w:val="24"/>
          <w:szCs w:val="24"/>
        </w:rPr>
        <w:t>that</w:t>
      </w:r>
      <w:r w:rsidR="006C533A" w:rsidRPr="00AE4053">
        <w:rPr>
          <w:rFonts w:ascii="Book Antiqua" w:hAnsi="Book Antiqua"/>
          <w:sz w:val="24"/>
          <w:szCs w:val="24"/>
        </w:rPr>
        <w:t xml:space="preserve"> co</w:t>
      </w:r>
      <w:r w:rsidR="00840C18">
        <w:rPr>
          <w:rFonts w:ascii="Book Antiqua" w:hAnsi="Book Antiqua"/>
          <w:sz w:val="24"/>
          <w:szCs w:val="24"/>
        </w:rPr>
        <w:t>ntribute to portal hypertension</w:t>
      </w:r>
      <w:r w:rsidR="003C3F2B" w:rsidRPr="00AE4053">
        <w:rPr>
          <w:rFonts w:ascii="Book Antiqua" w:hAnsi="Book Antiqua"/>
          <w:sz w:val="24"/>
          <w:szCs w:val="24"/>
        </w:rPr>
        <w:fldChar w:fldCharType="begin"/>
      </w:r>
      <w:r w:rsidR="008F2F86" w:rsidRPr="00AE4053">
        <w:rPr>
          <w:rFonts w:ascii="Book Antiqua" w:hAnsi="Book Antiqua"/>
          <w:sz w:val="24"/>
          <w:szCs w:val="24"/>
        </w:rPr>
        <w:instrText xml:space="preserve"> ADDIN ZOTERO_ITEM CSL_CITATION {"citationID":"Adhqatc5","properties":{"formattedCitation":"{\\rtf \\super [15]\\nosupersub{}}","plainCitation":"[15]"},"citationItems":[{"id":4262,"uris":["http://zotero.org/users/271015/items/PG8INU4R"],"uri":["http://zotero.org/users/271015/items/PG8INU4R"],"itemData":{"id":4262,"type":"article-journal","title":"Diagnosing and monitoring cirrhosis: Liver biopsy, hepatic venous pressure gradient and elastography","container-title":"Gastroenterología Y Hepatología","page":"488-495","volume":"35","issue":"7","source":"PubMed","abstract":"In this review we summarize the role of liver biopsy, transient elastography and hepatic venous pressure gradient (HVPG) in the diagnosis and monitoring of patients with liver cirrhosis. Transient elastography is useful for the non-invasive diagnosis of cirrhosis, but relevant information is lost if it is used as a dichotomous test. The development of clinically significant portal hypertension (defined as a hepatic venous pressure gradient ≥ 10 mmHg) is associated with the development of varices and decompensation and it is something that it is worth testing for. Transient elastography has some value for the prediction of clinically significant portal hypertension, but a large proportion of patients have non-diagnostic values. It has also some value for the diagnosis of varices, but non-invasive markers cannot substitute endoscopic screening in cirrhosis. Better dynamic, easily repeatable non-invasive tools are needed to monitor compensated cirrhosis.","DOI":"10.1016/j.gastrohep.2012.02.010","ISSN":"0210-5705","note":"PMID: 22560536","shortTitle":"Diagnosing and monitoring cirrhosis","journalAbbreviation":"Gastroenterol Hepatol","language":"eng","author":[{"family":"Abraldes","given":"Juan G."},{"family":"Araujo","given":"Isis K."},{"family":"Turón","given":"Fanny"},{"family":"Berzigotti","given":"Annalisa"}],"issued":{"date-parts":[["2012",9]]}}}],"schema":"https://github.com/citation-style-language/schema/raw/master/csl-citation.json"} </w:instrText>
      </w:r>
      <w:r w:rsidR="003C3F2B" w:rsidRPr="00AE4053">
        <w:rPr>
          <w:rFonts w:ascii="Book Antiqua" w:hAnsi="Book Antiqua"/>
          <w:sz w:val="24"/>
          <w:szCs w:val="24"/>
        </w:rPr>
        <w:fldChar w:fldCharType="separate"/>
      </w:r>
      <w:r w:rsidR="008F2F86" w:rsidRPr="00AE4053">
        <w:rPr>
          <w:rFonts w:ascii="Book Antiqua" w:hAnsi="Book Antiqua"/>
          <w:sz w:val="24"/>
          <w:szCs w:val="24"/>
          <w:vertAlign w:val="superscript"/>
        </w:rPr>
        <w:t>[15]</w:t>
      </w:r>
      <w:r w:rsidR="003C3F2B" w:rsidRPr="00AE4053">
        <w:rPr>
          <w:rFonts w:ascii="Book Antiqua" w:hAnsi="Book Antiqua"/>
          <w:sz w:val="24"/>
          <w:szCs w:val="24"/>
        </w:rPr>
        <w:fldChar w:fldCharType="end"/>
      </w:r>
      <w:r w:rsidR="006C533A" w:rsidRPr="00AE4053">
        <w:rPr>
          <w:rFonts w:ascii="Book Antiqua" w:hAnsi="Book Antiqua"/>
          <w:sz w:val="24"/>
          <w:szCs w:val="24"/>
        </w:rPr>
        <w:t>.</w:t>
      </w:r>
    </w:p>
    <w:p w14:paraId="5422CEB6" w14:textId="63C389C6" w:rsidR="0000763E" w:rsidRPr="00AE4053" w:rsidRDefault="00A969F1" w:rsidP="00840C18">
      <w:pPr>
        <w:snapToGrid w:val="0"/>
        <w:spacing w:after="0" w:line="360" w:lineRule="auto"/>
        <w:ind w:firstLineChars="100" w:firstLine="240"/>
        <w:jc w:val="both"/>
        <w:rPr>
          <w:rFonts w:ascii="Book Antiqua" w:hAnsi="Book Antiqua"/>
          <w:sz w:val="24"/>
          <w:szCs w:val="24"/>
          <w:lang w:val="en-IN"/>
        </w:rPr>
      </w:pPr>
      <w:r w:rsidRPr="00AE4053">
        <w:rPr>
          <w:rFonts w:ascii="Book Antiqua" w:hAnsi="Book Antiqua"/>
          <w:sz w:val="24"/>
          <w:szCs w:val="24"/>
          <w:lang w:val="en-IN"/>
        </w:rPr>
        <w:t xml:space="preserve">There was an urgent need for a </w:t>
      </w:r>
      <w:r w:rsidR="006E6DAD" w:rsidRPr="00AE4053">
        <w:rPr>
          <w:rFonts w:ascii="Book Antiqua" w:hAnsi="Book Antiqua"/>
          <w:sz w:val="24"/>
          <w:szCs w:val="24"/>
          <w:lang w:val="en-IN"/>
        </w:rPr>
        <w:t>South</w:t>
      </w:r>
      <w:r w:rsidR="00326400" w:rsidRPr="00AE4053">
        <w:rPr>
          <w:rFonts w:ascii="Book Antiqua" w:hAnsi="Book Antiqua"/>
          <w:sz w:val="24"/>
          <w:szCs w:val="24"/>
          <w:lang w:val="en-IN"/>
        </w:rPr>
        <w:t xml:space="preserve"> Asian </w:t>
      </w:r>
      <w:r w:rsidRPr="00AE4053">
        <w:rPr>
          <w:rFonts w:ascii="Book Antiqua" w:hAnsi="Book Antiqua"/>
          <w:sz w:val="24"/>
          <w:szCs w:val="24"/>
          <w:lang w:val="en-IN"/>
        </w:rPr>
        <w:t xml:space="preserve">study on </w:t>
      </w:r>
      <w:r w:rsidR="00792B07" w:rsidRPr="00AE4053">
        <w:rPr>
          <w:rFonts w:ascii="Book Antiqua" w:hAnsi="Book Antiqua"/>
          <w:sz w:val="24"/>
          <w:szCs w:val="24"/>
        </w:rPr>
        <w:t xml:space="preserve">the correlation of </w:t>
      </w:r>
      <w:r w:rsidRPr="00AE4053">
        <w:rPr>
          <w:rFonts w:ascii="Book Antiqua" w:hAnsi="Book Antiqua"/>
          <w:sz w:val="24"/>
          <w:szCs w:val="24"/>
          <w:lang w:val="en-IN"/>
        </w:rPr>
        <w:t>TE – HVPG</w:t>
      </w:r>
      <w:r w:rsidR="0028228E" w:rsidRPr="00AE4053">
        <w:rPr>
          <w:rFonts w:ascii="Book Antiqua" w:hAnsi="Book Antiqua"/>
          <w:sz w:val="24"/>
          <w:szCs w:val="24"/>
          <w:lang w:val="en-IN"/>
        </w:rPr>
        <w:t xml:space="preserve"> </w:t>
      </w:r>
      <w:r w:rsidR="00ED42D3" w:rsidRPr="00AE4053">
        <w:rPr>
          <w:rFonts w:ascii="Book Antiqua" w:hAnsi="Book Antiqua"/>
          <w:sz w:val="24"/>
          <w:szCs w:val="24"/>
          <w:lang w:val="en-IN"/>
        </w:rPr>
        <w:t>because</w:t>
      </w:r>
      <w:r w:rsidR="00326400" w:rsidRPr="00AE4053">
        <w:rPr>
          <w:rFonts w:ascii="Book Antiqua" w:hAnsi="Book Antiqua"/>
          <w:sz w:val="24"/>
          <w:szCs w:val="24"/>
          <w:lang w:val="en-IN"/>
        </w:rPr>
        <w:t xml:space="preserve"> </w:t>
      </w:r>
      <w:r w:rsidR="00576391" w:rsidRPr="00AE4053">
        <w:rPr>
          <w:rFonts w:ascii="Book Antiqua" w:hAnsi="Book Antiqua"/>
          <w:sz w:val="24"/>
          <w:szCs w:val="24"/>
          <w:lang w:val="en-IN"/>
        </w:rPr>
        <w:t xml:space="preserve">the results of Western studies may not apply to </w:t>
      </w:r>
      <w:r w:rsidR="00792B07" w:rsidRPr="00AE4053">
        <w:rPr>
          <w:rFonts w:ascii="Book Antiqua" w:hAnsi="Book Antiqua"/>
          <w:sz w:val="24"/>
          <w:szCs w:val="24"/>
        </w:rPr>
        <w:t xml:space="preserve">the </w:t>
      </w:r>
      <w:r w:rsidR="00576391" w:rsidRPr="00AE4053">
        <w:rPr>
          <w:rFonts w:ascii="Book Antiqua" w:hAnsi="Book Antiqua"/>
          <w:sz w:val="24"/>
          <w:szCs w:val="24"/>
          <w:lang w:val="en-IN"/>
        </w:rPr>
        <w:t xml:space="preserve">South Asian population where </w:t>
      </w:r>
      <w:r w:rsidR="00C571AF" w:rsidRPr="00AE4053">
        <w:rPr>
          <w:rFonts w:ascii="Book Antiqua" w:hAnsi="Book Antiqua"/>
          <w:sz w:val="24"/>
          <w:szCs w:val="24"/>
          <w:lang w:val="en-IN"/>
        </w:rPr>
        <w:t xml:space="preserve">the etiological and </w:t>
      </w:r>
      <w:r w:rsidR="00ED42D3" w:rsidRPr="00AE4053">
        <w:rPr>
          <w:rFonts w:ascii="Book Antiqua" w:hAnsi="Book Antiqua"/>
          <w:sz w:val="24"/>
          <w:szCs w:val="24"/>
          <w:lang w:val="en-IN"/>
        </w:rPr>
        <w:t xml:space="preserve">the </w:t>
      </w:r>
      <w:r w:rsidR="00C571AF" w:rsidRPr="00AE4053">
        <w:rPr>
          <w:rFonts w:ascii="Book Antiqua" w:hAnsi="Book Antiqua"/>
          <w:sz w:val="24"/>
          <w:szCs w:val="24"/>
          <w:lang w:val="en-IN"/>
        </w:rPr>
        <w:t xml:space="preserve">clinical profile of chronic liver disease </w:t>
      </w:r>
      <w:r w:rsidR="008E13C4" w:rsidRPr="00AE4053">
        <w:rPr>
          <w:rFonts w:ascii="Book Antiqua" w:hAnsi="Book Antiqua"/>
          <w:sz w:val="24"/>
          <w:szCs w:val="24"/>
          <w:lang w:val="en-IN"/>
        </w:rPr>
        <w:t>differs</w:t>
      </w:r>
      <w:r w:rsidR="00C571AF" w:rsidRPr="00AE4053">
        <w:rPr>
          <w:rFonts w:ascii="Book Antiqua" w:hAnsi="Book Antiqua"/>
          <w:sz w:val="24"/>
          <w:szCs w:val="24"/>
          <w:lang w:val="en-IN"/>
        </w:rPr>
        <w:t xml:space="preserve"> from the West</w:t>
      </w:r>
      <w:r w:rsidR="006E6DAD" w:rsidRPr="00AE4053">
        <w:rPr>
          <w:rFonts w:ascii="Book Antiqua" w:hAnsi="Book Antiqua"/>
          <w:sz w:val="24"/>
          <w:szCs w:val="24"/>
          <w:lang w:val="en-IN"/>
        </w:rPr>
        <w:t xml:space="preserve">. </w:t>
      </w:r>
      <w:r w:rsidR="00576391" w:rsidRPr="00AE4053">
        <w:rPr>
          <w:rFonts w:ascii="Book Antiqua" w:hAnsi="Book Antiqua"/>
          <w:sz w:val="24"/>
          <w:szCs w:val="24"/>
          <w:lang w:val="en-IN"/>
        </w:rPr>
        <w:t xml:space="preserve">Alcohol consumption and </w:t>
      </w:r>
      <w:r w:rsidR="00ED42D3" w:rsidRPr="00AE4053">
        <w:rPr>
          <w:rFonts w:ascii="Book Antiqua" w:hAnsi="Book Antiqua"/>
          <w:sz w:val="24"/>
          <w:szCs w:val="24"/>
          <w:lang w:val="en-IN"/>
        </w:rPr>
        <w:t xml:space="preserve">the </w:t>
      </w:r>
      <w:r w:rsidR="00576391" w:rsidRPr="00AE4053">
        <w:rPr>
          <w:rFonts w:ascii="Book Antiqua" w:hAnsi="Book Antiqua"/>
          <w:sz w:val="24"/>
          <w:szCs w:val="24"/>
          <w:lang w:val="en-IN"/>
        </w:rPr>
        <w:t xml:space="preserve">prevalence of diabetes </w:t>
      </w:r>
      <w:r w:rsidR="00840C18">
        <w:rPr>
          <w:rFonts w:ascii="Book Antiqua" w:hAnsi="Book Antiqua"/>
          <w:sz w:val="24"/>
          <w:szCs w:val="24"/>
          <w:lang w:val="en-IN"/>
        </w:rPr>
        <w:t>[</w:t>
      </w:r>
      <w:r w:rsidR="00576391" w:rsidRPr="00AE4053">
        <w:rPr>
          <w:rFonts w:ascii="Book Antiqua" w:hAnsi="Book Antiqua"/>
          <w:sz w:val="24"/>
          <w:szCs w:val="24"/>
          <w:lang w:val="en-IN"/>
        </w:rPr>
        <w:t xml:space="preserve">a major risk factor for </w:t>
      </w:r>
      <w:proofErr w:type="spellStart"/>
      <w:r w:rsidR="00576391" w:rsidRPr="00AE4053">
        <w:rPr>
          <w:rFonts w:ascii="Book Antiqua" w:hAnsi="Book Antiqua"/>
          <w:sz w:val="24"/>
          <w:szCs w:val="24"/>
          <w:lang w:val="en-IN"/>
        </w:rPr>
        <w:t>nonalcoholic</w:t>
      </w:r>
      <w:proofErr w:type="spellEnd"/>
      <w:r w:rsidR="00576391" w:rsidRPr="00AE4053">
        <w:rPr>
          <w:rFonts w:ascii="Book Antiqua" w:hAnsi="Book Antiqua"/>
          <w:sz w:val="24"/>
          <w:szCs w:val="24"/>
          <w:lang w:val="en-IN"/>
        </w:rPr>
        <w:t xml:space="preserve"> fatty liver disease (NAFLD)</w:t>
      </w:r>
      <w:r w:rsidR="00840C18">
        <w:rPr>
          <w:rFonts w:ascii="Book Antiqua" w:hAnsi="Book Antiqua"/>
          <w:sz w:val="24"/>
          <w:szCs w:val="24"/>
          <w:lang w:val="en-IN"/>
        </w:rPr>
        <w:t>]</w:t>
      </w:r>
      <w:r w:rsidR="00576391" w:rsidRPr="00AE4053">
        <w:rPr>
          <w:rFonts w:ascii="Book Antiqua" w:hAnsi="Book Antiqua"/>
          <w:sz w:val="24"/>
          <w:szCs w:val="24"/>
          <w:lang w:val="en-IN"/>
        </w:rPr>
        <w:t xml:space="preserve"> has been steadily increasing in </w:t>
      </w:r>
      <w:r w:rsidR="00495CDF" w:rsidRPr="00AE4053">
        <w:rPr>
          <w:rFonts w:ascii="Book Antiqua" w:hAnsi="Book Antiqua"/>
          <w:sz w:val="24"/>
          <w:szCs w:val="24"/>
          <w:lang w:val="en-IN"/>
        </w:rPr>
        <w:t>South Asia</w:t>
      </w:r>
      <w:r w:rsidR="00576391" w:rsidRPr="00AE4053">
        <w:rPr>
          <w:rFonts w:ascii="Book Antiqua" w:hAnsi="Book Antiqua"/>
          <w:sz w:val="24"/>
          <w:szCs w:val="24"/>
          <w:lang w:val="en-IN"/>
        </w:rPr>
        <w:fldChar w:fldCharType="begin"/>
      </w:r>
      <w:r w:rsidR="008F2F86" w:rsidRPr="00AE4053">
        <w:rPr>
          <w:rFonts w:ascii="Book Antiqua" w:hAnsi="Book Antiqua"/>
          <w:sz w:val="24"/>
          <w:szCs w:val="24"/>
          <w:lang w:val="en-IN"/>
        </w:rPr>
        <w:instrText xml:space="preserve"> ADDIN ZOTERO_ITEM CSL_CITATION {"citationID":"CrRxDWdT","properties":{"formattedCitation":"{\\rtf \\super [16]\\nosupersub{}}","plainCitation":"[16]"},"citationItems":[{"id":4253,"uris":["http://zotero.org/users/271015/items/38MHUWEA"],"uri":["http://zotero.org/users/271015/items/38MHUWEA"],"itemData":{"id":4253,"type":"article-journal","title":"A comparative risk assessment of burden of disease and injury attributable to 67 risk factors and risk factor clusters in 21 regions, 1990-2010: a systematic analysis for the Global Burden of Disease Study 2010","container-title":"Lancet (London, England)","page":"2224-2260","volume":"380","issue":"9859","source":"PubMed","abstract":"BACKGROUND: Quantification of the disease burden caused by different risks informs prevention by providing an account of health loss different to that provided by a disease-by-disease analysis. No complete revision of global disease burden caused by risk factors has been done since a comparative risk assessment in 2000, and no previous analysis has assessed changes in burden attributable to risk factors over time.\nMETHODS: We estimated deaths and disability-adjusted life years (DALYs; sum of years lived with disability [YLD] and years of life lost [YLL]) attributable to the independent effects of 67 risk factors and clusters of risk factors for 21 regions in 1990 and 2010. We estimated exposure distributions for each year, region, sex, and age group, and relative risks per unit of exposure by systematically reviewing and synthesising published and unpublished data. We used these estimates, together with estimates of cause-specific deaths and DALYs from the Global Burden of Disease Study 2010, to calculate the burden attributable to each risk factor exposure compared with the theoretical-minimum-risk exposure. We incorporated uncertainty in disease burden, relative risks, and exposures into our estimates of attributable burden.\nFINDINGS: In 2010, the three leading risk factors for global disease burden were high blood pressure (7·0% [95% uncertainty interval 6·2-7·7] of global DALYs), tobacco smoking including second-hand smoke (6·3% [5·5-7·0]), and alcohol use (5·5% [5·0-5·9]). In 1990, the leading risks were childhood underweight (7·9% [6·8-9·4]), household air pollution from solid fuels (HAP; 7·0% [5·6-8·3]), and tobacco smoking including second-hand smoke (6·1% [5·4-6·8]). Dietary risk factors and physical inactivity collectively accounted for 10·0% (95% UI 9·2-10·8) of global DALYs in 2010, with the most prominent dietary risks being diets low in fruits and those high in sodium. Several risks that primarily affect childhood communicable diseases, including unimproved water and sanitation and childhood micronutrient deficiencies, fell in rank between 1990 and 2010, with unimproved water and sanitation accounting for 0·9% (0·4-1·6) of global DALYs in 2010. However, in most of sub-Saharan Africa childhood underweight, HAP, and non-exclusive and discontinued breastfeeding were the leading risks in 2010, while HAP was the leading risk in south Asia. The leading risk factor in Eastern Europe, most of Latin America, and southern sub-Saharan Africa in 2010 was alcohol use; in most of Asia, North Africa and Middle East, and central Europe it was high blood pressure. Despite declines, tobacco smoking including second-hand smoke remained the leading risk in high-income north America and western Europe. High body-mass index has increased globally and it is the leading risk in Australasia and southern Latin America, and also ranks high in other high-income regions, North Africa and Middle East, and Oceania.\nINTERPRETATION: Worldwide, the contribution of different risk factors to disease burden has changed substantially, with a shift away from risks for communicable diseases in children towards those for non-communicable diseases in adults. These changes are related to the ageing population, decreased mortality among children younger than 5 years, changes in cause-of-death composition, and changes in risk factor exposures. New evidence has led to changes in the magnitude of key risks including unimproved water and sanitation, vitamin A and zinc deficiencies, and ambient particulate matter pollution. The extent to which the epidemiological shift has occurred and what the leading risks currently are varies greatly across regions. In much of sub-Saharan Africa, the leading risks are still those associated with poverty and those that affect children.\nFUNDING: Bill &amp; Melinda Gates Foundation.","DOI":"10.1016/S0140-6736(12)61766-8","ISSN":"1474-547X","note":"PMID: 23245609\nPMCID: PMC4156511","shortTitle":"A comparative risk assessment of burden of disease and injury attributable to 67 risk factors and risk factor clusters in 21 regions, 1990-2010","journalAbbreviation":"Lancet","language":"eng","author":[{"family":"Lim","given":"Stephen S."},{"family":"Vos","given":"Theo"},{"family":"Flaxman","given":"Abraham D."},{"family":"Danaei","given":"Goodarz"},{"family":"Shibuya","given":"Kenji"},{"family":"Adair-Rohani","given":"Heather"},{"family":"Amann","given":"Markus"},{"family":"Anderson","given":"H. Ross"},{"family":"Andrews","given":"Kathryn G."},{"family":"Aryee","given":"Martin"},{"family":"Atkinson","given":"Charles"},{"family":"Bacchus","given":"Loraine J."},{"family":"Bahalim","given":"Adil N."},{"family":"Balakrishnan","given":"Kalpana"},{"family":"Balmes","given":"John"},{"family":"Barker-Collo","given":"Suzanne"},{"family":"Baxter","given":"Amanda"},{"family":"Bell","given":"Michelle L."},{"family":"Blore","given":"Jed D."},{"family":"Blyth","given":"Fiona"},{"family":"Bonner","given":"Carissa"},{"family":"Borges","given":"Guilherme"},{"family":"Bourne","given":"Rupert"},{"family":"Boussinesq","given":"Michel"},{"family":"Brauer","given":"Michael"},{"family":"Brooks","given":"Peter"},{"family":"Bruce","given":"Nigel G."},{"family":"Brunekreef","given":"Bert"},{"family":"Bryan-Hancock","given":"Claire"},{"family":"Bucello","given":"Chiara"},{"family":"Buchbinder","given":"Rachelle"},{"family":"Bull","given":"Fiona"},{"family":"Burnett","given":"Richard T."},{"family":"Byers","given":"Tim E."},{"family":"Calabria","given":"Bianca"},{"family":"Carapetis","given":"Jonathan"},{"family":"Carnahan","given":"Emily"},{"family":"Chafe","given":"Zoe"},{"family":"Charlson","given":"Fiona"},{"family":"Chen","given":"Honglei"},{"family":"Chen","given":"Jian Shen"},{"family":"Cheng","given":"Andrew Tai-Ann"},{"family":"Child","given":"Jennifer Christine"},{"family":"Cohen","given":"Aaron"},{"family":"Colson","given":"K. Ellicott"},{"family":"Cowie","given":"Benjamin C."},{"family":"Darby","given":"Sarah"},{"family":"Darling","given":"Susan"},{"family":"Davis","given":"Adrian"},{"family":"Degenhardt","given":"Louisa"},{"family":"Dentener","given":"Frank"},{"family":"Des Jarlais","given":"Don C."},{"family":"Devries","given":"Karen"},{"family":"Dherani","given":"Mukesh"},{"family":"Ding","given":"Eric L."},{"family":"Dorsey","given":"E. Ray"},{"family":"Driscoll","given":"Tim"},{"family":"Edmond","given":"Karen"},{"family":"Ali","given":"Suad Eltahir"},{"family":"Engell","given":"Rebecca E."},{"family":"Erwin","given":"Patricia J."},{"family":"Fahimi","given":"Saman"},{"family":"Falder","given":"Gail"},{"family":"Farzadfar","given":"Farshad"},{"family":"Ferrari","given":"Alize"},{"family":"Finucane","given":"Mariel M."},{"family":"Flaxman","given":"Seth"},{"family":"Fowkes","given":"Francis Gerry R."},{"family":"Freedman","given":"Greg"},{"family":"Freeman","given":"Michael K."},{"family":"Gakidou","given":"Emmanuela"},{"family":"Ghosh","given":"Santu"},{"family":"Giovannucci","given":"Edward"},{"family":"Gmel","given":"Gerhard"},{"family":"Graham","given":"Kathryn"},{"family":"Grainger","given":"Rebecca"},{"family":"Grant","given":"Bridget"},{"family":"Gunnell","given":"David"},{"family":"Gutierrez","given":"Hialy R."},{"family":"Hall","given":"Wayne"},{"family":"Hoek","given":"Hans W."},{"family":"Hogan","given":"Anthony"},{"family":"Hosgood","given":"H. Dean"},{"family":"Hoy","given":"Damian"},{"family":"Hu","given":"Howard"},{"family":"Hubbell","given":"Bryan J."},{"family":"Hutchings","given":"Sally J."},{"family":"Ibeanusi","given":"Sydney E."},{"family":"Jacklyn","given":"Gemma L."},{"family":"Jasrasaria","given":"Rashmi"},{"family":"Jonas","given":"Jost B."},{"family":"Kan","given":"Haidong"},{"family":"Kanis","given":"John A."},{"family":"Kassebaum","given":"Nicholas"},{"family":"Kawakami","given":"Norito"},{"family":"Khang","given":"Young-Ho"},{"family":"Khatibzadeh","given":"Shahab"},{"family":"Khoo","given":"Jon-Paul"},{"family":"Kok","given":"Cindy"},{"family":"Laden","given":"Francine"},{"family":"Lalloo","given":"Ratilal"},{"family":"Lan","given":"Qing"},{"family":"Lathlean","given":"Tim"},{"family":"Leasher","given":"Janet L."},{"family":"Leigh","given":"James"},{"family":"Li","given":"Yang"},{"family":"Lin","given":"John Kent"},{"family":"Lipshultz","given":"Steven E."},{"family":"London","given":"Stephanie"},{"family":"Lozano","given":"Rafael"},{"family":"Lu","given":"Yuan"},{"family":"Mak","given":"Joelle"},{"family":"Malekzadeh","given":"Reza"},{"family":"Mallinger","given":"Leslie"},{"family":"Marcenes","given":"Wagner"},{"family":"March","given":"Lyn"},{"family":"Marks","given":"Robin"},{"family":"Martin","given":"Randall"},{"family":"McGale","given":"Paul"},{"family":"McGrath","given":"John"},{"family":"Mehta","given":"Sumi"},{"family":"Mensah","given":"George A."},{"family":"Merriman","given":"Tony R."},{"family":"Micha","given":"Renata"},{"family":"Michaud","given":"Catherine"},{"family":"Mishra","given":"Vinod"},{"family":"Mohd Hanafiah","given":"Khayriyyah"},{"family":"Mokdad","given":"Ali A."},{"family":"Morawska","given":"Lidia"},{"family":"Mozaffarian","given":"Dariush"},{"family":"Murphy","given":"Tasha"},{"family":"Naghavi","given":"Mohsen"},{"family":"Neal","given":"Bruce"},{"family":"Nelson","given":"Paul K."},{"family":"Nolla","given":"Joan Miquel"},{"family":"Norman","given":"Rosana"},{"family":"Olives","given":"Casey"},{"family":"Omer","given":"Saad B."},{"family":"Orchard","given":"Jessica"},{"family":"Osborne","given":"Richard"},{"family":"Ostro","given":"Bart"},{"family":"Page","given":"Andrew"},{"family":"Pandey","given":"Kiran D."},{"family":"Parry","given":"Charles D. H."},{"family":"Passmore","given":"Erin"},{"family":"Patra","given":"Jayadeep"},{"family":"Pearce","given":"Neil"},{"family":"Pelizzari","given":"Pamela M."},{"family":"Petzold","given":"Max"},{"family":"Phillips","given":"Michael R."},{"family":"Pope","given":"Dan"},{"family":"Pope","given":"C. Arden"},{"family":"Powles","given":"John"},{"family":"Rao","given":"Mayuree"},{"family":"Razavi","given":"Homie"},{"family":"Rehfuess","given":"Eva A."},{"family":"Rehm","given":"Jürgen T."},{"family":"Ritz","given":"Beate"},{"family":"Rivara","given":"Frederick P."},{"family":"Roberts","given":"Thomas"},{"family":"Robinson","given":"Carolyn"},{"family":"Rodriguez-Portales","given":"Jose A."},{"family":"Romieu","given":"Isabelle"},{"family":"Room","given":"Robin"},{"family":"Rosenfeld","given":"Lisa C."},{"family":"Roy","given":"Ananya"},{"family":"Rushton","given":"Lesley"},{"family":"Salomon","given":"Joshua A."},{"family":"Sampson","given":"Uchechukwu"},{"family":"Sanchez-Riera","given":"Lidia"},{"family":"Sanman","given":"Ella"},{"family":"Sapkota","given":"Amir"},{"family":"Seedat","given":"Soraya"},{"family":"Shi","given":"Peilin"},{"family":"Shield","given":"Kevin"},{"family":"Shivakoti","given":"Rupak"},{"family":"Singh","given":"Gitanjali M."},{"family":"Sleet","given":"David A."},{"family":"Smith","given":"Emma"},{"family":"Smith","given":"Kirk R."},{"family":"Stapelberg","given":"Nicolas J. C."},{"family":"Steenland","given":"Kyle"},{"family":"Stöckl","given":"Heidi"},{"family":"Stovner","given":"Lars Jacob"},{"family":"Straif","given":"Kurt"},{"family":"Straney","given":"Lahn"},{"family":"Thurston","given":"George D."},{"family":"Tran","given":"Jimmy H."},{"family":"Van Dingenen","given":"Rita"},{"family":"Donkelaar","given":"Aaron","non-dropping-particle":"van"},{"family":"Veerman","given":"J. Lennert"},{"family":"Vijayakumar","given":"Lakshmi"},{"family":"Weintraub","given":"Robert"},{"family":"Weissman","given":"Myrna M."},{"family":"White","given":"Richard A."},{"family":"Whiteford","given":"Harvey"},{"family":"Wiersma","given":"Steven T."},{"family":"Wilkinson","given":"James D."},{"family":"Williams","given":"Hywel C."},{"family":"Williams","given":"Warwick"},{"family":"Wilson","given":"Nicholas"},{"family":"Woolf","given":"Anthony D."},{"family":"Yip","given":"Paul"},{"family":"Zielinski","given":"Jan M."},{"family":"Lopez","given":"Alan D."},{"family":"Murray","given":"Christopher J. L."},{"family":"Ezzati","given":"Majid"},{"family":"AlMazroa","given":"Mohammad A."},{"family":"Memish","given":"Ziad A."}],"issued":{"date-parts":[["2012",12,15]]}}}],"schema":"https://github.com/citation-style-language/schema/raw/master/csl-citation.json"} </w:instrText>
      </w:r>
      <w:r w:rsidR="00576391" w:rsidRPr="00AE4053">
        <w:rPr>
          <w:rFonts w:ascii="Book Antiqua" w:hAnsi="Book Antiqua"/>
          <w:sz w:val="24"/>
          <w:szCs w:val="24"/>
          <w:lang w:val="en-IN"/>
        </w:rPr>
        <w:fldChar w:fldCharType="separate"/>
      </w:r>
      <w:r w:rsidR="008F2F86" w:rsidRPr="00AE4053">
        <w:rPr>
          <w:rFonts w:ascii="Book Antiqua" w:hAnsi="Book Antiqua"/>
          <w:sz w:val="24"/>
          <w:szCs w:val="24"/>
          <w:vertAlign w:val="superscript"/>
        </w:rPr>
        <w:t>[16]</w:t>
      </w:r>
      <w:r w:rsidR="00576391" w:rsidRPr="00AE4053">
        <w:rPr>
          <w:rFonts w:ascii="Book Antiqua" w:hAnsi="Book Antiqua"/>
          <w:sz w:val="24"/>
          <w:szCs w:val="24"/>
          <w:lang w:val="en-IN"/>
        </w:rPr>
        <w:fldChar w:fldCharType="end"/>
      </w:r>
      <w:r w:rsidR="00576391" w:rsidRPr="00AE4053">
        <w:rPr>
          <w:rFonts w:ascii="Book Antiqua" w:hAnsi="Book Antiqua"/>
          <w:sz w:val="24"/>
          <w:szCs w:val="24"/>
          <w:lang w:val="en-IN"/>
        </w:rPr>
        <w:t>. The International Diabetes Federation has revised its estimates of the number of people with the diabetes in South-East Asia from 50 million in 2009 to 78.3 million in 2015, with a pr</w:t>
      </w:r>
      <w:r w:rsidR="00840C18">
        <w:rPr>
          <w:rFonts w:ascii="Book Antiqua" w:hAnsi="Book Antiqua"/>
          <w:sz w:val="24"/>
          <w:szCs w:val="24"/>
          <w:lang w:val="en-IN"/>
        </w:rPr>
        <w:t>ojection of 140 million by 2040</w:t>
      </w:r>
      <w:r w:rsidR="00576391" w:rsidRPr="00AE4053">
        <w:rPr>
          <w:rFonts w:ascii="Book Antiqua" w:hAnsi="Book Antiqua"/>
          <w:sz w:val="24"/>
          <w:szCs w:val="24"/>
          <w:lang w:val="en-IN"/>
        </w:rPr>
        <w:fldChar w:fldCharType="begin"/>
      </w:r>
      <w:r w:rsidR="008F2F86" w:rsidRPr="00AE4053">
        <w:rPr>
          <w:rFonts w:ascii="Book Antiqua" w:hAnsi="Book Antiqua"/>
          <w:sz w:val="24"/>
          <w:szCs w:val="24"/>
          <w:lang w:val="en-IN"/>
        </w:rPr>
        <w:instrText xml:space="preserve"> ADDIN ZOTERO_ITEM CSL_CITATION {"citationID":"1jproqrme2","properties":{"formattedCitation":"{\\rtf \\super [17,18]\\nosupersub{}}","plainCitation":"[17,18]"},"citationItems":[{"id":4258,"uris":["http://zotero.org/users/271015/items/5CJG8S8D"],"uri":["http://zotero.org/users/271015/items/5CJG8S8D"],"itemData":{"id":4258,"type":"webpage","title":"IDF diabetes atlas - Home","URL":"http://www.diabetesatlas.org/","accessed":{"date-parts":[["2016",9,3]]}},"label":"page"},{"id":4256,"uris":["http://zotero.org/users/271015/items/4TU2ATWH"],"uri":["http://zotero.org/users/271015/items/4TU2ATWH"],"itemData":{"id":4256,"type":"article-journal","title":"Diabetes mellitus and its complications in India","container-title":"Nature Reviews. Endocrinology","page":"357-370","volume":"12","issue":"6","source":"PubMed","abstract":"India is one of the epicentres of the global diabetes mellitus pandemic. Rapid socioeconomic development and demographic changes, along with increased susceptibility for Indian individuals, have led to the explosive increase in the prevalence of diabetes mellitus in India over the past four decades. Type 2 diabetes mellitus in Asian Indian people is characterized by a young age of onset and occurrence at low levels of BMI. Available data also suggest that the susceptibility of Asian Indian people to the complications of diabetes mellitus differs from that of white populations. Management of this disease in India faces multiple challenges, such as low levels of awareness, paucity of trained medical and paramedical staff and unaffordability of medications and services. Novel interventions using readily available resources and technology promise to revolutionise the care of patients with diabetes mellitus in India. As many of these challenges are common to most developing countries of the world, the lessons learnt from India's experience with diabetes mellitus are likely to be of immense global relevance. In this Review, we discuss the epidemiology of diabetes mellitus and its complications in India and outline the advances made in the country to ensure adequate care. We make specific references to novel, cost-effective interventions, which might be of relevance to other low-income and middle-income countries of the world.","DOI":"10.1038/nrendo.2016.53","ISSN":"1759-5037","note":"PMID: 27080137","journalAbbreviation":"Nat Rev Endocrinol","language":"eng","author":[{"family":"Unnikrishnan","given":"Ranjit"},{"family":"Anjana","given":"Ranjit Mohan"},{"family":"Mohan","given":"Viswanathan"}],"issued":{"date-parts":[["2016",6]]}},"label":"page"}],"schema":"https://github.com/citation-style-language/schema/raw/master/csl-citation.json"} </w:instrText>
      </w:r>
      <w:r w:rsidR="00576391" w:rsidRPr="00AE4053">
        <w:rPr>
          <w:rFonts w:ascii="Book Antiqua" w:hAnsi="Book Antiqua"/>
          <w:sz w:val="24"/>
          <w:szCs w:val="24"/>
          <w:lang w:val="en-IN"/>
        </w:rPr>
        <w:fldChar w:fldCharType="separate"/>
      </w:r>
      <w:r w:rsidR="008F2F86" w:rsidRPr="00AE4053">
        <w:rPr>
          <w:rFonts w:ascii="Book Antiqua" w:hAnsi="Book Antiqua"/>
          <w:sz w:val="24"/>
          <w:szCs w:val="24"/>
          <w:vertAlign w:val="superscript"/>
        </w:rPr>
        <w:t>[17,18]</w:t>
      </w:r>
      <w:r w:rsidR="00576391" w:rsidRPr="00AE4053">
        <w:rPr>
          <w:rFonts w:ascii="Book Antiqua" w:hAnsi="Book Antiqua"/>
          <w:sz w:val="24"/>
          <w:szCs w:val="24"/>
          <w:lang w:val="en-IN"/>
        </w:rPr>
        <w:fldChar w:fldCharType="end"/>
      </w:r>
      <w:r w:rsidR="00576391" w:rsidRPr="00AE4053">
        <w:rPr>
          <w:rFonts w:ascii="Book Antiqua" w:hAnsi="Book Antiqua"/>
          <w:sz w:val="24"/>
          <w:szCs w:val="24"/>
          <w:lang w:val="en-IN"/>
        </w:rPr>
        <w:t>.</w:t>
      </w:r>
      <w:r w:rsidR="008770B1" w:rsidRPr="00AE4053">
        <w:rPr>
          <w:rFonts w:ascii="Book Antiqua" w:hAnsi="Book Antiqua"/>
          <w:sz w:val="24"/>
          <w:szCs w:val="24"/>
          <w:lang w:val="en-IN"/>
        </w:rPr>
        <w:t xml:space="preserve"> Although c</w:t>
      </w:r>
      <w:r w:rsidR="009A2DA2" w:rsidRPr="00AE4053">
        <w:rPr>
          <w:rFonts w:ascii="Book Antiqua" w:hAnsi="Book Antiqua"/>
          <w:sz w:val="24"/>
          <w:szCs w:val="24"/>
          <w:lang w:val="en-IN"/>
        </w:rPr>
        <w:t xml:space="preserve">irrhosis mortality has been steadily </w:t>
      </w:r>
      <w:r w:rsidR="008770B1" w:rsidRPr="00AE4053">
        <w:rPr>
          <w:rFonts w:ascii="Book Antiqua" w:hAnsi="Book Antiqua"/>
          <w:sz w:val="24"/>
          <w:szCs w:val="24"/>
          <w:lang w:val="en-IN"/>
        </w:rPr>
        <w:t xml:space="preserve">decreasing globally and especially in the West, it has been steadily </w:t>
      </w:r>
      <w:r w:rsidR="009A2DA2" w:rsidRPr="00AE4053">
        <w:rPr>
          <w:rFonts w:ascii="Book Antiqua" w:hAnsi="Book Antiqua"/>
          <w:sz w:val="24"/>
          <w:szCs w:val="24"/>
          <w:lang w:val="en-IN"/>
        </w:rPr>
        <w:t>increasing in India since 1980</w:t>
      </w:r>
      <w:r w:rsidR="001477EF" w:rsidRPr="00AE4053">
        <w:rPr>
          <w:rFonts w:ascii="Book Antiqua" w:hAnsi="Book Antiqua"/>
          <w:sz w:val="24"/>
          <w:szCs w:val="24"/>
          <w:lang w:val="en-IN"/>
        </w:rPr>
        <w:t>.</w:t>
      </w:r>
      <w:r w:rsidR="009A2DA2" w:rsidRPr="00AE4053">
        <w:rPr>
          <w:rFonts w:ascii="Book Antiqua" w:hAnsi="Book Antiqua"/>
          <w:sz w:val="24"/>
          <w:szCs w:val="24"/>
          <w:lang w:val="en-IN"/>
        </w:rPr>
        <w:t xml:space="preserve"> </w:t>
      </w:r>
      <w:r w:rsidR="001477EF" w:rsidRPr="00AE4053">
        <w:rPr>
          <w:rFonts w:ascii="Book Antiqua" w:hAnsi="Book Antiqua"/>
          <w:sz w:val="24"/>
          <w:szCs w:val="24"/>
          <w:lang w:val="en-IN"/>
        </w:rPr>
        <w:t xml:space="preserve">With 188,575 liver cirrhosis deaths in </w:t>
      </w:r>
      <w:r w:rsidR="001477EF" w:rsidRPr="00AE4053">
        <w:rPr>
          <w:rFonts w:ascii="Book Antiqua" w:hAnsi="Book Antiqua"/>
          <w:sz w:val="24"/>
          <w:szCs w:val="24"/>
          <w:lang w:val="en-IN"/>
        </w:rPr>
        <w:lastRenderedPageBreak/>
        <w:t xml:space="preserve">2010, India ranks number one in the world in liver cirrhosis deaths, accounting for </w:t>
      </w:r>
      <w:r w:rsidR="009A2DA2" w:rsidRPr="00AE4053">
        <w:rPr>
          <w:rFonts w:ascii="Book Antiqua" w:hAnsi="Book Antiqua"/>
          <w:sz w:val="24"/>
          <w:szCs w:val="24"/>
          <w:lang w:val="en-IN"/>
        </w:rPr>
        <w:t>almost one-fifth (18%) of global liver cirrh</w:t>
      </w:r>
      <w:r w:rsidR="00840C18">
        <w:rPr>
          <w:rFonts w:ascii="Book Antiqua" w:hAnsi="Book Antiqua"/>
          <w:sz w:val="24"/>
          <w:szCs w:val="24"/>
          <w:lang w:val="en-IN"/>
        </w:rPr>
        <w:t>osis deaths</w:t>
      </w:r>
      <w:r w:rsidR="009A2DA2" w:rsidRPr="00AE4053">
        <w:rPr>
          <w:rFonts w:ascii="Book Antiqua" w:hAnsi="Book Antiqua"/>
          <w:sz w:val="24"/>
          <w:szCs w:val="24"/>
          <w:lang w:val="en-IN"/>
        </w:rPr>
        <w:fldChar w:fldCharType="begin"/>
      </w:r>
      <w:r w:rsidR="008F2F86" w:rsidRPr="00AE4053">
        <w:rPr>
          <w:rFonts w:ascii="Book Antiqua" w:hAnsi="Book Antiqua"/>
          <w:sz w:val="24"/>
          <w:szCs w:val="24"/>
          <w:lang w:val="en-IN"/>
        </w:rPr>
        <w:instrText xml:space="preserve"> ADDIN ZOTERO_ITEM CSL_CITATION {"citationID":"M4BLOS5n","properties":{"formattedCitation":"{\\rtf \\super [19]\\nosupersub{}}","plainCitation":"[19]"},"citationItems":[{"id":4251,"uris":["http://zotero.org/users/271015/items/D7TRZVM8"],"uri":["http://zotero.org/users/271015/items/D7TRZVM8"],"itemData":{"id":4251,"type":"article-journal","title":"Liver cirrhosis mortality in 187 countries between 1980 and 2010: a systematic analysis","container-title":"BMC medicine","page":"145","volume":"12","source":"PubMed","abstract":"BACKGROUND: Liver cirrhosis is a major yet largely preventable and underappreciated cause of global health loss. Variations in cirrhosis mortality at the country level reflect differences in prevalence of risk factors such as alcohol use and hepatitis B and C infection. We estimated annual age-specific mortality from liver cirrhosis in 187 countries between 1980 and 2010.\nMETHODS: We systematically collected vital registration and verbal autopsy data on liver cirrhosis mortality for the period 1980 to 2010. We corrected for misclassification of deaths, which included deaths attributed to improbable or nonfatal causes. We used ensemble models to estimate liver cirrhosis mortality with uncertainty by age, sex, country and year. We used out-of-sample predictive validity to select the optimal model.\nRESULTS: Global liver cirrhosis deaths increased from around 676,000 (95% uncertainty interval: 452,863 to 1,004,530) in 1980 to over 1 million (1,029,042; 670,216 to 1,554,530) in 2010 (about 2% of the global total). Over the same period, the age-standardized cirrhosis mortality rate decreased by 22%. This was largely driven by decreasing cirrhosis mortality rates in China, the US and countries in Western Europe. In 2010, Egypt, followed by Moldova, had the highest age-standardized cirrhosis mortality rates, 72.7 and 71.2 deaths per 100,000, respectively, while Iceland had the lowest. In Egypt, almost one-fifth (18.1%) of all deaths in males 45- to 54-years old were due to liver cirrhosis. Liver cirrhosis mortality in Mexico is the highest in Latin America. In France and Italy, liver cirrhosis mortality fell by 50% to 60%; conversely, in the United Kingdom, mortality increased by about one-third. Mortality from liver cirrhosis was also comparatively high in Central Asia countries, particularly Mongolia, Uzbekistan and Kyrgyzstan, and in parts of sub-Saharan Africa, notably Gabon.\nCONCLUSIONS: Liver cirrhosis is a significant cause of global health burden, with more than one million deaths in 2010. Our study identifies areas with high and/or rapidly increasing mortality where preventive measures to control and reduce liver cirrhosis risk factors should be urgently strengthened.","DOI":"10.1186/s12916-014-0145-y","ISSN":"1741-7015","note":"PMID: 25242656\nPMCID: PMC4169640","shortTitle":"Liver cirrhosis mortality in 187 countries between 1980 and 2010","journalAbbreviation":"BMC Med","language":"eng","author":[{"family":"Mokdad","given":"Ali A."},{"family":"Lopez","given":"Alan D."},{"family":"Shahraz","given":"Saied"},{"family":"Lozano","given":"Rafael"},{"family":"Mokdad","given":"Ali H."},{"family":"Stanaway","given":"Jeff"},{"family":"Murray","given":"Christopher J. L."},{"family":"Naghavi","given":"Mohsen"}],"issued":{"date-parts":[["2014"]]}}}],"schema":"https://github.com/citation-style-language/schema/raw/master/csl-citation.json"} </w:instrText>
      </w:r>
      <w:r w:rsidR="009A2DA2" w:rsidRPr="00AE4053">
        <w:rPr>
          <w:rFonts w:ascii="Book Antiqua" w:hAnsi="Book Antiqua"/>
          <w:sz w:val="24"/>
          <w:szCs w:val="24"/>
          <w:lang w:val="en-IN"/>
        </w:rPr>
        <w:fldChar w:fldCharType="separate"/>
      </w:r>
      <w:r w:rsidR="008F2F86" w:rsidRPr="00AE4053">
        <w:rPr>
          <w:rFonts w:ascii="Book Antiqua" w:hAnsi="Book Antiqua"/>
          <w:sz w:val="24"/>
          <w:szCs w:val="24"/>
          <w:vertAlign w:val="superscript"/>
        </w:rPr>
        <w:t>[19]</w:t>
      </w:r>
      <w:r w:rsidR="009A2DA2" w:rsidRPr="00AE4053">
        <w:rPr>
          <w:rFonts w:ascii="Book Antiqua" w:hAnsi="Book Antiqua"/>
          <w:sz w:val="24"/>
          <w:szCs w:val="24"/>
          <w:lang w:val="en-IN"/>
        </w:rPr>
        <w:fldChar w:fldCharType="end"/>
      </w:r>
      <w:r w:rsidR="009A2DA2" w:rsidRPr="00AE4053">
        <w:rPr>
          <w:rFonts w:ascii="Book Antiqua" w:hAnsi="Book Antiqua"/>
          <w:sz w:val="24"/>
          <w:szCs w:val="24"/>
          <w:lang w:val="en-IN"/>
        </w:rPr>
        <w:t xml:space="preserve">. </w:t>
      </w:r>
      <w:r w:rsidR="009B4634" w:rsidRPr="00AE4053">
        <w:rPr>
          <w:rFonts w:ascii="Book Antiqua" w:hAnsi="Book Antiqua"/>
          <w:sz w:val="24"/>
          <w:szCs w:val="24"/>
          <w:lang w:val="en-IN"/>
        </w:rPr>
        <w:t>With</w:t>
      </w:r>
      <w:r w:rsidR="005F7630" w:rsidRPr="00AE4053">
        <w:rPr>
          <w:rFonts w:ascii="Book Antiqua" w:hAnsi="Book Antiqua"/>
          <w:sz w:val="24"/>
          <w:szCs w:val="24"/>
          <w:lang w:val="en-IN"/>
        </w:rPr>
        <w:t xml:space="preserve"> such a huge population of liver cirrhosis patients in India </w:t>
      </w:r>
      <w:r w:rsidR="00510440" w:rsidRPr="00AE4053">
        <w:rPr>
          <w:rFonts w:ascii="Book Antiqua" w:hAnsi="Book Antiqua"/>
          <w:sz w:val="24"/>
          <w:szCs w:val="24"/>
          <w:lang w:val="en-IN"/>
        </w:rPr>
        <w:t xml:space="preserve">whose </w:t>
      </w:r>
      <w:proofErr w:type="spellStart"/>
      <w:r w:rsidR="00510440" w:rsidRPr="00AE4053">
        <w:rPr>
          <w:rFonts w:ascii="Book Antiqua" w:hAnsi="Book Antiqua"/>
          <w:sz w:val="24"/>
          <w:szCs w:val="24"/>
          <w:lang w:val="en-IN"/>
        </w:rPr>
        <w:t>etiology</w:t>
      </w:r>
      <w:proofErr w:type="spellEnd"/>
      <w:r w:rsidR="00510440" w:rsidRPr="00AE4053">
        <w:rPr>
          <w:rFonts w:ascii="Book Antiqua" w:hAnsi="Book Antiqua"/>
          <w:sz w:val="24"/>
          <w:szCs w:val="24"/>
          <w:lang w:val="en-IN"/>
        </w:rPr>
        <w:t xml:space="preserve"> </w:t>
      </w:r>
      <w:r w:rsidR="008E13C4" w:rsidRPr="00AE4053">
        <w:rPr>
          <w:rFonts w:ascii="Book Antiqua" w:hAnsi="Book Antiqua"/>
          <w:sz w:val="24"/>
          <w:szCs w:val="24"/>
          <w:lang w:val="en-IN"/>
        </w:rPr>
        <w:t>differs</w:t>
      </w:r>
      <w:r w:rsidR="00510440" w:rsidRPr="00AE4053">
        <w:rPr>
          <w:rFonts w:ascii="Book Antiqua" w:hAnsi="Book Antiqua"/>
          <w:sz w:val="24"/>
          <w:szCs w:val="24"/>
          <w:lang w:val="en-IN"/>
        </w:rPr>
        <w:t xml:space="preserve"> from the West, </w:t>
      </w:r>
      <w:r w:rsidR="005F7630" w:rsidRPr="00AE4053">
        <w:rPr>
          <w:rFonts w:ascii="Book Antiqua" w:hAnsi="Book Antiqua"/>
          <w:sz w:val="24"/>
          <w:szCs w:val="24"/>
          <w:lang w:val="en-IN"/>
        </w:rPr>
        <w:t xml:space="preserve">an easy and non-invasive modality for portal hypertension estimation is urgently needed for treating these patients. Our study </w:t>
      </w:r>
      <w:r w:rsidR="00792B07" w:rsidRPr="00AE4053">
        <w:rPr>
          <w:rFonts w:ascii="Book Antiqua" w:hAnsi="Book Antiqua"/>
          <w:sz w:val="24"/>
          <w:szCs w:val="24"/>
        </w:rPr>
        <w:t>attempts</w:t>
      </w:r>
      <w:r w:rsidR="00792B07" w:rsidRPr="00AE4053">
        <w:rPr>
          <w:rFonts w:ascii="Book Antiqua" w:hAnsi="Book Antiqua"/>
          <w:sz w:val="24"/>
          <w:szCs w:val="24"/>
          <w:lang w:val="en-IN"/>
        </w:rPr>
        <w:t xml:space="preserve"> </w:t>
      </w:r>
      <w:r w:rsidR="005F7630" w:rsidRPr="00AE4053">
        <w:rPr>
          <w:rFonts w:ascii="Book Antiqua" w:hAnsi="Book Antiqua"/>
          <w:sz w:val="24"/>
          <w:szCs w:val="24"/>
          <w:lang w:val="en-IN"/>
        </w:rPr>
        <w:t xml:space="preserve">to address this need for </w:t>
      </w:r>
      <w:r w:rsidR="00C664BF" w:rsidRPr="00AE4053">
        <w:rPr>
          <w:rFonts w:ascii="Book Antiqua" w:hAnsi="Book Antiqua"/>
          <w:sz w:val="24"/>
          <w:szCs w:val="24"/>
          <w:lang w:val="en-IN"/>
        </w:rPr>
        <w:t>Indian and South Asian population</w:t>
      </w:r>
      <w:r w:rsidR="008E13C4" w:rsidRPr="00AE4053">
        <w:rPr>
          <w:rFonts w:ascii="Book Antiqua" w:hAnsi="Book Antiqua"/>
          <w:sz w:val="24"/>
          <w:szCs w:val="24"/>
          <w:lang w:val="en-IN"/>
        </w:rPr>
        <w:t>s</w:t>
      </w:r>
      <w:r w:rsidR="00C664BF" w:rsidRPr="00AE4053">
        <w:rPr>
          <w:rFonts w:ascii="Book Antiqua" w:hAnsi="Book Antiqua"/>
          <w:sz w:val="24"/>
          <w:szCs w:val="24"/>
          <w:lang w:val="en-IN"/>
        </w:rPr>
        <w:t>.</w:t>
      </w:r>
    </w:p>
    <w:p w14:paraId="5E5EBEC3" w14:textId="4190EF7C" w:rsidR="00D92A25" w:rsidRPr="00AE4053" w:rsidRDefault="0044591C" w:rsidP="00840C18">
      <w:pPr>
        <w:snapToGrid w:val="0"/>
        <w:spacing w:after="0" w:line="360" w:lineRule="auto"/>
        <w:ind w:firstLineChars="100" w:firstLine="240"/>
        <w:jc w:val="both"/>
        <w:rPr>
          <w:rFonts w:ascii="Book Antiqua" w:hAnsi="Book Antiqua"/>
          <w:sz w:val="24"/>
          <w:szCs w:val="24"/>
        </w:rPr>
      </w:pPr>
      <w:r w:rsidRPr="00AE4053">
        <w:rPr>
          <w:rFonts w:ascii="Book Antiqua" w:hAnsi="Book Antiqua"/>
          <w:sz w:val="24"/>
          <w:szCs w:val="24"/>
        </w:rPr>
        <w:t>Most of the complications</w:t>
      </w:r>
      <w:r w:rsidR="00D92A25" w:rsidRPr="00AE4053">
        <w:rPr>
          <w:rFonts w:ascii="Book Antiqua" w:hAnsi="Book Antiqua"/>
          <w:sz w:val="24"/>
          <w:szCs w:val="24"/>
        </w:rPr>
        <w:t xml:space="preserve"> of cirrhosis are </w:t>
      </w:r>
      <w:r w:rsidR="008E13C4" w:rsidRPr="00AE4053">
        <w:rPr>
          <w:rFonts w:ascii="Book Antiqua" w:hAnsi="Book Antiqua"/>
          <w:sz w:val="24"/>
          <w:szCs w:val="24"/>
        </w:rPr>
        <w:t xml:space="preserve">typically </w:t>
      </w:r>
      <w:r w:rsidR="00D92A25" w:rsidRPr="00AE4053">
        <w:rPr>
          <w:rFonts w:ascii="Book Antiqua" w:hAnsi="Book Antiqua"/>
          <w:sz w:val="24"/>
          <w:szCs w:val="24"/>
        </w:rPr>
        <w:t xml:space="preserve">related more to CSPH </w:t>
      </w:r>
      <w:r w:rsidR="008E13C4" w:rsidRPr="00AE4053">
        <w:rPr>
          <w:rFonts w:ascii="Book Antiqua" w:hAnsi="Book Antiqua"/>
          <w:sz w:val="24"/>
          <w:szCs w:val="24"/>
        </w:rPr>
        <w:t xml:space="preserve">compared </w:t>
      </w:r>
      <w:r w:rsidR="00033515" w:rsidRPr="00AE4053">
        <w:rPr>
          <w:rFonts w:ascii="Book Antiqua" w:hAnsi="Book Antiqua"/>
          <w:sz w:val="24"/>
          <w:szCs w:val="24"/>
        </w:rPr>
        <w:t>with</w:t>
      </w:r>
      <w:r w:rsidR="00D92A25" w:rsidRPr="00AE4053">
        <w:rPr>
          <w:rFonts w:ascii="Book Antiqua" w:hAnsi="Book Antiqua"/>
          <w:sz w:val="24"/>
          <w:szCs w:val="24"/>
        </w:rPr>
        <w:t xml:space="preserve"> any other </w:t>
      </w:r>
      <w:r w:rsidRPr="00AE4053">
        <w:rPr>
          <w:rFonts w:ascii="Book Antiqua" w:hAnsi="Book Antiqua"/>
          <w:sz w:val="24"/>
          <w:szCs w:val="24"/>
        </w:rPr>
        <w:t>factor</w:t>
      </w:r>
      <w:r w:rsidR="00D92A25" w:rsidRPr="00AE4053">
        <w:rPr>
          <w:rFonts w:ascii="Book Antiqua" w:hAnsi="Book Antiqua"/>
          <w:sz w:val="24"/>
          <w:szCs w:val="24"/>
        </w:rPr>
        <w:t xml:space="preserve">. Although HVPG measurement is the gold standard for </w:t>
      </w:r>
      <w:r w:rsidRPr="00AE4053">
        <w:rPr>
          <w:rFonts w:ascii="Book Antiqua" w:hAnsi="Book Antiqua"/>
          <w:sz w:val="24"/>
          <w:szCs w:val="24"/>
        </w:rPr>
        <w:t>diagnosing CS</w:t>
      </w:r>
      <w:r w:rsidR="00D92A25" w:rsidRPr="00AE4053">
        <w:rPr>
          <w:rFonts w:ascii="Book Antiqua" w:hAnsi="Book Antiqua"/>
          <w:sz w:val="24"/>
          <w:szCs w:val="24"/>
        </w:rPr>
        <w:t xml:space="preserve">PH, it is not in common use because it is invasive, not widely available, </w:t>
      </w:r>
      <w:r w:rsidRPr="00AE4053">
        <w:rPr>
          <w:rFonts w:ascii="Book Antiqua" w:hAnsi="Book Antiqua"/>
          <w:sz w:val="24"/>
          <w:szCs w:val="24"/>
        </w:rPr>
        <w:t xml:space="preserve">and </w:t>
      </w:r>
      <w:r w:rsidR="00D92A25" w:rsidRPr="00AE4053">
        <w:rPr>
          <w:rFonts w:ascii="Book Antiqua" w:hAnsi="Book Antiqua"/>
          <w:sz w:val="24"/>
          <w:szCs w:val="24"/>
        </w:rPr>
        <w:t>expensive</w:t>
      </w:r>
      <w:r w:rsidRPr="00AE4053">
        <w:rPr>
          <w:rFonts w:ascii="Book Antiqua" w:hAnsi="Book Antiqua"/>
          <w:sz w:val="24"/>
          <w:szCs w:val="24"/>
        </w:rPr>
        <w:t xml:space="preserve">, thus </w:t>
      </w:r>
      <w:r w:rsidR="00D92A25" w:rsidRPr="00AE4053">
        <w:rPr>
          <w:rFonts w:ascii="Book Antiqua" w:hAnsi="Book Antiqua"/>
          <w:sz w:val="24"/>
          <w:szCs w:val="24"/>
        </w:rPr>
        <w:t>hinder</w:t>
      </w:r>
      <w:r w:rsidRPr="00AE4053">
        <w:rPr>
          <w:rFonts w:ascii="Book Antiqua" w:hAnsi="Book Antiqua"/>
          <w:sz w:val="24"/>
          <w:szCs w:val="24"/>
        </w:rPr>
        <w:t>ing</w:t>
      </w:r>
      <w:r w:rsidR="00D92A25" w:rsidRPr="00AE4053">
        <w:rPr>
          <w:rFonts w:ascii="Book Antiqua" w:hAnsi="Book Antiqua"/>
          <w:sz w:val="24"/>
          <w:szCs w:val="24"/>
        </w:rPr>
        <w:t xml:space="preserve"> </w:t>
      </w:r>
      <w:r w:rsidRPr="00AE4053">
        <w:rPr>
          <w:rFonts w:ascii="Book Antiqua" w:hAnsi="Book Antiqua"/>
          <w:sz w:val="24"/>
          <w:szCs w:val="24"/>
        </w:rPr>
        <w:t>its</w:t>
      </w:r>
      <w:r w:rsidR="00D92A25" w:rsidRPr="00AE4053">
        <w:rPr>
          <w:rFonts w:ascii="Book Antiqua" w:hAnsi="Book Antiqua"/>
          <w:sz w:val="24"/>
          <w:szCs w:val="24"/>
        </w:rPr>
        <w:t xml:space="preserve"> broad use </w:t>
      </w:r>
      <w:r w:rsidRPr="00AE4053">
        <w:rPr>
          <w:rFonts w:ascii="Book Antiqua" w:hAnsi="Book Antiqua"/>
          <w:sz w:val="24"/>
          <w:szCs w:val="24"/>
        </w:rPr>
        <w:t>in</w:t>
      </w:r>
      <w:r w:rsidR="00D92A25" w:rsidRPr="00AE4053">
        <w:rPr>
          <w:rFonts w:ascii="Book Antiqua" w:hAnsi="Book Antiqua"/>
          <w:sz w:val="24"/>
          <w:szCs w:val="24"/>
        </w:rPr>
        <w:t xml:space="preserve"> diagnostic and therapeutic algorithms in patients with cirrhosis</w:t>
      </w:r>
      <w:r w:rsidR="00076A9B" w:rsidRPr="00AE4053">
        <w:rPr>
          <w:rFonts w:ascii="Book Antiqua" w:hAnsi="Book Antiqua"/>
          <w:sz w:val="24"/>
          <w:szCs w:val="24"/>
        </w:rPr>
        <w:t xml:space="preserve"> with CSPH</w:t>
      </w:r>
      <w:r w:rsidR="00D92A25" w:rsidRPr="00AE4053">
        <w:rPr>
          <w:rFonts w:ascii="Book Antiqua" w:hAnsi="Book Antiqua"/>
          <w:sz w:val="24"/>
          <w:szCs w:val="24"/>
        </w:rPr>
        <w:t xml:space="preserve">. </w:t>
      </w:r>
      <w:r w:rsidR="000E51C8" w:rsidRPr="00AE4053">
        <w:rPr>
          <w:rFonts w:ascii="Book Antiqua" w:hAnsi="Book Antiqua"/>
          <w:sz w:val="24"/>
          <w:szCs w:val="24"/>
        </w:rPr>
        <w:t xml:space="preserve">Our study found that a TE value of 21.6 </w:t>
      </w:r>
      <w:proofErr w:type="spellStart"/>
      <w:r w:rsidR="000E51C8" w:rsidRPr="00AE4053">
        <w:rPr>
          <w:rFonts w:ascii="Book Antiqua" w:hAnsi="Book Antiqua"/>
          <w:sz w:val="24"/>
          <w:szCs w:val="24"/>
        </w:rPr>
        <w:t>kPa</w:t>
      </w:r>
      <w:proofErr w:type="spellEnd"/>
      <w:r w:rsidR="000E51C8" w:rsidRPr="00AE4053">
        <w:rPr>
          <w:rFonts w:ascii="Book Antiqua" w:hAnsi="Book Antiqua"/>
          <w:sz w:val="24"/>
          <w:szCs w:val="24"/>
        </w:rPr>
        <w:t xml:space="preserve"> is a good cut-off for predicting </w:t>
      </w:r>
      <w:r w:rsidR="009041A2" w:rsidRPr="00AE4053">
        <w:rPr>
          <w:rFonts w:ascii="Book Antiqua" w:hAnsi="Book Antiqua"/>
          <w:sz w:val="24"/>
          <w:szCs w:val="24"/>
        </w:rPr>
        <w:t>CSPH with a PPV of 93%</w:t>
      </w:r>
      <w:r w:rsidR="00C006E5" w:rsidRPr="00AE4053">
        <w:rPr>
          <w:rFonts w:ascii="Book Antiqua" w:hAnsi="Book Antiqua"/>
          <w:sz w:val="24"/>
          <w:szCs w:val="24"/>
        </w:rPr>
        <w:t xml:space="preserve">. </w:t>
      </w:r>
      <w:r w:rsidR="008E13C4" w:rsidRPr="00AE4053">
        <w:rPr>
          <w:rFonts w:ascii="Book Antiqua" w:hAnsi="Book Antiqua"/>
          <w:sz w:val="24"/>
          <w:szCs w:val="24"/>
        </w:rPr>
        <w:t>S</w:t>
      </w:r>
      <w:r w:rsidR="00023DE9" w:rsidRPr="00AE4053">
        <w:rPr>
          <w:rFonts w:ascii="Book Antiqua" w:hAnsi="Book Antiqua"/>
          <w:sz w:val="24"/>
          <w:szCs w:val="24"/>
        </w:rPr>
        <w:t>eventeen</w:t>
      </w:r>
      <w:r w:rsidR="00C006E5" w:rsidRPr="00AE4053">
        <w:rPr>
          <w:rFonts w:ascii="Book Antiqua" w:hAnsi="Book Antiqua"/>
          <w:sz w:val="24"/>
          <w:szCs w:val="24"/>
        </w:rPr>
        <w:t xml:space="preserve"> </w:t>
      </w:r>
      <w:r w:rsidR="008E13C4" w:rsidRPr="00AE4053">
        <w:rPr>
          <w:rFonts w:ascii="Book Antiqua" w:hAnsi="Book Antiqua"/>
          <w:sz w:val="24"/>
          <w:szCs w:val="24"/>
        </w:rPr>
        <w:t xml:space="preserve">additional </w:t>
      </w:r>
      <w:r w:rsidR="00C006E5" w:rsidRPr="00AE4053">
        <w:rPr>
          <w:rFonts w:ascii="Book Antiqua" w:hAnsi="Book Antiqua"/>
          <w:sz w:val="24"/>
          <w:szCs w:val="24"/>
        </w:rPr>
        <w:t>studies have calculated the cut-off TE values for diagnosing CSPH</w:t>
      </w:r>
      <w:r w:rsidR="00D30D8D" w:rsidRPr="00AE4053">
        <w:rPr>
          <w:rFonts w:ascii="Book Antiqua" w:hAnsi="Book Antiqua"/>
          <w:sz w:val="24"/>
          <w:szCs w:val="24"/>
        </w:rPr>
        <w:t xml:space="preserve"> (Table </w:t>
      </w:r>
      <w:r w:rsidR="006B7523" w:rsidRPr="00AE4053">
        <w:rPr>
          <w:rFonts w:ascii="Book Antiqua" w:hAnsi="Book Antiqua"/>
          <w:sz w:val="24"/>
          <w:szCs w:val="24"/>
        </w:rPr>
        <w:t>4</w:t>
      </w:r>
      <w:r w:rsidR="00D30D8D" w:rsidRPr="00AE4053">
        <w:rPr>
          <w:rFonts w:ascii="Book Antiqua" w:hAnsi="Book Antiqua"/>
          <w:sz w:val="24"/>
          <w:szCs w:val="24"/>
        </w:rPr>
        <w:t>)</w:t>
      </w:r>
      <w:r w:rsidR="003C3F2B" w:rsidRPr="00AE4053">
        <w:rPr>
          <w:rFonts w:ascii="Book Antiqua" w:hAnsi="Book Antiqua"/>
          <w:sz w:val="24"/>
          <w:szCs w:val="24"/>
        </w:rPr>
        <w:t>.</w:t>
      </w:r>
      <w:r w:rsidR="00C006E5" w:rsidRPr="00AE4053">
        <w:rPr>
          <w:rFonts w:ascii="Book Antiqua" w:hAnsi="Book Antiqua"/>
          <w:sz w:val="24"/>
          <w:szCs w:val="24"/>
        </w:rPr>
        <w:t xml:space="preserve"> </w:t>
      </w:r>
      <w:r w:rsidR="003C3F2B" w:rsidRPr="00AE4053">
        <w:rPr>
          <w:rFonts w:ascii="Book Antiqua" w:hAnsi="Book Antiqua"/>
          <w:sz w:val="24"/>
          <w:szCs w:val="24"/>
        </w:rPr>
        <w:t xml:space="preserve">These studies were performed in patients with different disease </w:t>
      </w:r>
      <w:r w:rsidR="008E13C4" w:rsidRPr="00AE4053">
        <w:rPr>
          <w:rFonts w:ascii="Book Antiqua" w:hAnsi="Book Antiqua"/>
          <w:sz w:val="24"/>
          <w:szCs w:val="24"/>
        </w:rPr>
        <w:t xml:space="preserve">severities </w:t>
      </w:r>
      <w:r w:rsidR="003C3F2B" w:rsidRPr="00AE4053">
        <w:rPr>
          <w:rFonts w:ascii="Book Antiqua" w:hAnsi="Book Antiqua"/>
          <w:sz w:val="24"/>
          <w:szCs w:val="24"/>
        </w:rPr>
        <w:t>and different proportion</w:t>
      </w:r>
      <w:r w:rsidR="008E13C4" w:rsidRPr="00AE4053">
        <w:rPr>
          <w:rFonts w:ascii="Book Antiqua" w:hAnsi="Book Antiqua"/>
          <w:sz w:val="24"/>
          <w:szCs w:val="24"/>
        </w:rPr>
        <w:t>s</w:t>
      </w:r>
      <w:r w:rsidR="003C3F2B" w:rsidRPr="00AE4053">
        <w:rPr>
          <w:rFonts w:ascii="Book Antiqua" w:hAnsi="Book Antiqua"/>
          <w:sz w:val="24"/>
          <w:szCs w:val="24"/>
        </w:rPr>
        <w:t xml:space="preserve"> of viral cirrhosis</w:t>
      </w:r>
      <w:r w:rsidR="008E13C4" w:rsidRPr="00AE4053">
        <w:rPr>
          <w:rFonts w:ascii="Book Antiqua" w:hAnsi="Book Antiqua"/>
          <w:sz w:val="24"/>
          <w:szCs w:val="24"/>
        </w:rPr>
        <w:t>,</w:t>
      </w:r>
      <w:r w:rsidR="003C3F2B" w:rsidRPr="00AE4053">
        <w:rPr>
          <w:rFonts w:ascii="Book Antiqua" w:hAnsi="Book Antiqua"/>
          <w:sz w:val="24"/>
          <w:szCs w:val="24"/>
        </w:rPr>
        <w:t xml:space="preserve"> and their </w:t>
      </w:r>
      <w:r w:rsidR="00C006E5" w:rsidRPr="00AE4053">
        <w:rPr>
          <w:rFonts w:ascii="Book Antiqua" w:hAnsi="Book Antiqua"/>
          <w:sz w:val="24"/>
          <w:szCs w:val="24"/>
        </w:rPr>
        <w:t>cut-off values rang</w:t>
      </w:r>
      <w:r w:rsidR="003C3F2B" w:rsidRPr="00AE4053">
        <w:rPr>
          <w:rFonts w:ascii="Book Antiqua" w:hAnsi="Book Antiqua"/>
          <w:sz w:val="24"/>
          <w:szCs w:val="24"/>
        </w:rPr>
        <w:t>ed</w:t>
      </w:r>
      <w:r w:rsidR="00C006E5" w:rsidRPr="00AE4053">
        <w:rPr>
          <w:rFonts w:ascii="Book Antiqua" w:hAnsi="Book Antiqua"/>
          <w:sz w:val="24"/>
          <w:szCs w:val="24"/>
        </w:rPr>
        <w:t xml:space="preserve"> from 13.6 </w:t>
      </w:r>
      <w:proofErr w:type="spellStart"/>
      <w:r w:rsidR="00C006E5" w:rsidRPr="00AE4053">
        <w:rPr>
          <w:rFonts w:ascii="Book Antiqua" w:hAnsi="Book Antiqua"/>
          <w:sz w:val="24"/>
          <w:szCs w:val="24"/>
        </w:rPr>
        <w:t>kPa</w:t>
      </w:r>
      <w:proofErr w:type="spellEnd"/>
      <w:r w:rsidR="00C006E5" w:rsidRPr="00AE4053">
        <w:rPr>
          <w:rFonts w:ascii="Book Antiqua" w:hAnsi="Book Antiqua"/>
          <w:sz w:val="24"/>
          <w:szCs w:val="24"/>
        </w:rPr>
        <w:t xml:space="preserve"> to </w:t>
      </w:r>
      <w:r w:rsidR="00D13C88" w:rsidRPr="00AE4053">
        <w:rPr>
          <w:rFonts w:ascii="Book Antiqua" w:hAnsi="Book Antiqua"/>
          <w:sz w:val="24"/>
          <w:szCs w:val="24"/>
        </w:rPr>
        <w:t xml:space="preserve">65.3 </w:t>
      </w:r>
      <w:proofErr w:type="spellStart"/>
      <w:r w:rsidR="00D13C88" w:rsidRPr="00AE4053">
        <w:rPr>
          <w:rFonts w:ascii="Book Antiqua" w:hAnsi="Book Antiqua"/>
          <w:sz w:val="24"/>
          <w:szCs w:val="24"/>
        </w:rPr>
        <w:t>kPa</w:t>
      </w:r>
      <w:proofErr w:type="spellEnd"/>
      <w:r w:rsidR="00D13C88" w:rsidRPr="00AE4053">
        <w:rPr>
          <w:rFonts w:ascii="Book Antiqua" w:hAnsi="Book Antiqua"/>
          <w:sz w:val="24"/>
          <w:szCs w:val="24"/>
        </w:rPr>
        <w:t xml:space="preserve">. </w:t>
      </w:r>
      <w:r w:rsidR="00BE33D0" w:rsidRPr="00AE4053">
        <w:rPr>
          <w:rFonts w:ascii="Book Antiqua" w:hAnsi="Book Antiqua"/>
          <w:sz w:val="24"/>
          <w:szCs w:val="24"/>
        </w:rPr>
        <w:t>The weighted mean of cut-off from all these studies was 2</w:t>
      </w:r>
      <w:r w:rsidR="00023DE9" w:rsidRPr="00AE4053">
        <w:rPr>
          <w:rFonts w:ascii="Book Antiqua" w:hAnsi="Book Antiqua"/>
          <w:sz w:val="24"/>
          <w:szCs w:val="24"/>
        </w:rPr>
        <w:t>1</w:t>
      </w:r>
      <w:r w:rsidR="00BE33D0" w:rsidRPr="00AE4053">
        <w:rPr>
          <w:rFonts w:ascii="Book Antiqua" w:hAnsi="Book Antiqua"/>
          <w:sz w:val="24"/>
          <w:szCs w:val="24"/>
        </w:rPr>
        <w:t>.</w:t>
      </w:r>
      <w:r w:rsidR="00023DE9" w:rsidRPr="00AE4053">
        <w:rPr>
          <w:rFonts w:ascii="Book Antiqua" w:hAnsi="Book Antiqua"/>
          <w:sz w:val="24"/>
          <w:szCs w:val="24"/>
        </w:rPr>
        <w:t>9</w:t>
      </w:r>
      <w:r w:rsidR="00BE33D0" w:rsidRPr="00AE4053">
        <w:rPr>
          <w:rFonts w:ascii="Book Antiqua" w:hAnsi="Book Antiqua"/>
          <w:sz w:val="24"/>
          <w:szCs w:val="24"/>
        </w:rPr>
        <w:t xml:space="preserve"> </w:t>
      </w:r>
      <w:proofErr w:type="spellStart"/>
      <w:r w:rsidR="00BE33D0" w:rsidRPr="00AE4053">
        <w:rPr>
          <w:rFonts w:ascii="Book Antiqua" w:hAnsi="Book Antiqua"/>
          <w:sz w:val="24"/>
          <w:szCs w:val="24"/>
        </w:rPr>
        <w:t>kPa</w:t>
      </w:r>
      <w:proofErr w:type="spellEnd"/>
      <w:r w:rsidR="00BE33D0" w:rsidRPr="00AE4053">
        <w:rPr>
          <w:rFonts w:ascii="Book Antiqua" w:hAnsi="Book Antiqua"/>
          <w:sz w:val="24"/>
          <w:szCs w:val="24"/>
        </w:rPr>
        <w:t>, which is very similar to what we obtained in our study. Adding our study to the pool of studies</w:t>
      </w:r>
      <w:r w:rsidR="007E6753" w:rsidRPr="00AE4053">
        <w:rPr>
          <w:rFonts w:ascii="Book Antiqua" w:hAnsi="Book Antiqua"/>
          <w:sz w:val="24"/>
          <w:szCs w:val="24"/>
        </w:rPr>
        <w:t>,</w:t>
      </w:r>
      <w:r w:rsidR="00BE33D0" w:rsidRPr="00AE4053">
        <w:rPr>
          <w:rFonts w:ascii="Book Antiqua" w:hAnsi="Book Antiqua"/>
          <w:sz w:val="24"/>
          <w:szCs w:val="24"/>
        </w:rPr>
        <w:t xml:space="preserve"> the weighted mean for </w:t>
      </w:r>
      <w:r w:rsidR="007E6753" w:rsidRPr="00AE4053">
        <w:rPr>
          <w:rFonts w:ascii="Book Antiqua" w:hAnsi="Book Antiqua"/>
          <w:sz w:val="24"/>
          <w:szCs w:val="24"/>
        </w:rPr>
        <w:t xml:space="preserve">the </w:t>
      </w:r>
      <w:r w:rsidR="00BE33D0" w:rsidRPr="00AE4053">
        <w:rPr>
          <w:rFonts w:ascii="Book Antiqua" w:hAnsi="Book Antiqua"/>
          <w:sz w:val="24"/>
          <w:szCs w:val="24"/>
        </w:rPr>
        <w:t xml:space="preserve">best cut-off TE value for diagnosing </w:t>
      </w:r>
      <w:r w:rsidR="00E12834" w:rsidRPr="00AE4053">
        <w:rPr>
          <w:rFonts w:ascii="Book Antiqua" w:hAnsi="Book Antiqua"/>
          <w:sz w:val="24"/>
          <w:szCs w:val="24"/>
        </w:rPr>
        <w:t>CSPH is 21.</w:t>
      </w:r>
      <w:r w:rsidR="00023DE9" w:rsidRPr="00AE4053">
        <w:rPr>
          <w:rFonts w:ascii="Book Antiqua" w:hAnsi="Book Antiqua"/>
          <w:sz w:val="24"/>
          <w:szCs w:val="24"/>
        </w:rPr>
        <w:t>8</w:t>
      </w:r>
      <w:r w:rsidR="00E12834" w:rsidRPr="00AE4053">
        <w:rPr>
          <w:rFonts w:ascii="Book Antiqua" w:hAnsi="Book Antiqua"/>
          <w:sz w:val="24"/>
          <w:szCs w:val="24"/>
        </w:rPr>
        <w:t xml:space="preserve"> </w:t>
      </w:r>
      <w:proofErr w:type="spellStart"/>
      <w:r w:rsidR="00E12834" w:rsidRPr="00AE4053">
        <w:rPr>
          <w:rFonts w:ascii="Book Antiqua" w:hAnsi="Book Antiqua"/>
          <w:sz w:val="24"/>
          <w:szCs w:val="24"/>
        </w:rPr>
        <w:t>kPa</w:t>
      </w:r>
      <w:proofErr w:type="spellEnd"/>
      <w:r w:rsidR="00E12834" w:rsidRPr="00AE4053">
        <w:rPr>
          <w:rFonts w:ascii="Book Antiqua" w:hAnsi="Book Antiqua"/>
          <w:sz w:val="24"/>
          <w:szCs w:val="24"/>
        </w:rPr>
        <w:t>.</w:t>
      </w:r>
      <w:r w:rsidR="00BE33D0" w:rsidRPr="00AE4053">
        <w:rPr>
          <w:rFonts w:ascii="Book Antiqua" w:hAnsi="Book Antiqua"/>
          <w:sz w:val="24"/>
          <w:szCs w:val="24"/>
        </w:rPr>
        <w:t xml:space="preserve"> </w:t>
      </w:r>
    </w:p>
    <w:p w14:paraId="49B780A4" w14:textId="42686D56" w:rsidR="006C533A" w:rsidRPr="00AE4053" w:rsidRDefault="00ED42D3" w:rsidP="008E7A2E">
      <w:pPr>
        <w:snapToGrid w:val="0"/>
        <w:spacing w:after="0" w:line="360" w:lineRule="auto"/>
        <w:ind w:firstLineChars="100" w:firstLine="240"/>
        <w:jc w:val="both"/>
        <w:rPr>
          <w:rFonts w:ascii="Book Antiqua" w:hAnsi="Book Antiqua"/>
          <w:sz w:val="24"/>
          <w:szCs w:val="24"/>
        </w:rPr>
      </w:pPr>
      <w:r w:rsidRPr="00AE4053">
        <w:rPr>
          <w:rFonts w:ascii="Book Antiqua" w:hAnsi="Book Antiqua"/>
          <w:sz w:val="24"/>
          <w:szCs w:val="24"/>
        </w:rPr>
        <w:t>Notably</w:t>
      </w:r>
      <w:r w:rsidR="008E13C4" w:rsidRPr="00AE4053">
        <w:rPr>
          <w:rFonts w:ascii="Book Antiqua" w:hAnsi="Book Antiqua"/>
          <w:sz w:val="24"/>
          <w:szCs w:val="24"/>
        </w:rPr>
        <w:t>,</w:t>
      </w:r>
      <w:r w:rsidR="00D30D8D" w:rsidRPr="00AE4053">
        <w:rPr>
          <w:rFonts w:ascii="Book Antiqua" w:hAnsi="Book Antiqua"/>
          <w:sz w:val="24"/>
          <w:szCs w:val="24"/>
        </w:rPr>
        <w:t xml:space="preserve"> </w:t>
      </w:r>
      <w:proofErr w:type="spellStart"/>
      <w:r w:rsidR="003C3F2B" w:rsidRPr="00AE4053">
        <w:rPr>
          <w:rFonts w:ascii="Book Antiqua" w:hAnsi="Book Antiqua"/>
          <w:sz w:val="24"/>
          <w:szCs w:val="24"/>
        </w:rPr>
        <w:t>Llop</w:t>
      </w:r>
      <w:proofErr w:type="spellEnd"/>
      <w:r w:rsidR="003C3F2B" w:rsidRPr="00AE4053">
        <w:rPr>
          <w:rFonts w:ascii="Book Antiqua" w:hAnsi="Book Antiqua"/>
          <w:sz w:val="24"/>
          <w:szCs w:val="24"/>
        </w:rPr>
        <w:t xml:space="preserve"> </w:t>
      </w:r>
      <w:r w:rsidR="003C3F2B" w:rsidRPr="00840C18">
        <w:rPr>
          <w:rFonts w:ascii="Book Antiqua" w:hAnsi="Book Antiqua"/>
          <w:i/>
          <w:sz w:val="24"/>
          <w:szCs w:val="24"/>
        </w:rPr>
        <w:t>et al</w:t>
      </w:r>
      <w:r w:rsidR="007365D4" w:rsidRPr="00AE4053">
        <w:rPr>
          <w:rFonts w:ascii="Book Antiqua" w:hAnsi="Book Antiqua"/>
          <w:sz w:val="24"/>
          <w:szCs w:val="24"/>
        </w:rPr>
        <w:fldChar w:fldCharType="begin"/>
      </w:r>
      <w:r w:rsidR="008F2F86" w:rsidRPr="00AE4053">
        <w:rPr>
          <w:rFonts w:ascii="Book Antiqua" w:hAnsi="Book Antiqua"/>
          <w:sz w:val="24"/>
          <w:szCs w:val="24"/>
        </w:rPr>
        <w:instrText xml:space="preserve"> ADDIN ZOTERO_ITEM CSL_CITATION {"citationID":"1e7aepr86u","properties":{"formattedCitation":"{\\rtf \\super [20]\\nosupersub{}}","plainCitation":"[20]"},"citationItems":[{"id":4051,"uris":["http://zotero.org/users/271015/items/5VXAHSSA"],"uri":["http://zotero.org/users/271015/items/5VXAHSSA"],"itemData":{"id":4051,"type":"article-journal","title":"Assessment of portal hypertension by transient elastography in patients with compensated cirrhosis and potentially resectable liver tumors","container-title":"Journal of Hepatology","page":"103-108","volume":"56","issue":"1","source":"PubMed","abstract":"BACKGROUND &amp; AIMS: Patients with cirrhosis and small hepatocellular carcinoma with normal bilirubin and hepatic venous pressure gradient (HVPG) &lt;10 mm Hg have &gt;70% 5-year survival after hepatic resection. On the contrary, patients with HVPG ≥10 mm Hg (clinically significant portal hypertension, CSPH) frequently develop decompensation following surgery, with around 50% 5-year survival. Liver stiffness (LS) evaluation by transient elastography might non-invasively identify CSPH. We investigated the usefulness of LS predicting CSPH in patients with compensated cirrhosis and potentially resectable liver tumors.\nMETHODS: Ninety-seven consecutive Child-Pugh A patients with potentially resectable liver tumors referred for HVPG measurement were prospectively evaluated. In fasting conditions LS was measured before the hemodynamic study.\nRESULTS: HVPG could be measured in all patients, whereas LS could not be measured in 18 (18.5%) obese patients. In the 79 patients with valid LS, 32 (40.5%) had CSPH; mean HVPG was 8.8±4.7 mm Hg. Mean LS was 18.4±12.3 kPa. LS showed a moderate correlation with HVPG (r=0.552; p&lt;0.001). LS&lt;13.6 kPa had high sensitivity (91%) but low specificity (57%) excluding CSPH. Conversely, LS&gt;21 kPa had low sensitivity (53%) and high specificity (91%) predicting CSPH. 35% of patients had LS between 13.6 and 21 kPa (\"grey zone\").\nCONCLUSIONS: These data suggest that in real-life scenarios half of patients with potentially resectable liver nodules can be non-invasively classified as having or not CSPH by LS. However, in the remaining half, LS is either not applicable or inaccurate. In this last population HVPG is still a non replaceable method to detect CSPH.","DOI":"10.1016/j.jhep.2011.06.027","ISSN":"1600-0641","note":"PMID: 21827733","journalAbbreviation":"J. Hepatol.","language":"eng","author":[{"family":"Llop","given":"Elba"},{"family":"Berzigotti","given":"Annalisa"},{"family":"Reig","given":"Maria"},{"family":"Erice","given":"Eva"},{"family":"Reverter","given":"Enric"},{"family":"Seijo","given":"Susana"},{"family":"Abraldes","given":"Juan G."},{"family":"Bruix","given":"Jordi"},{"family":"Bosch","given":"Jaime"},{"family":"García-Pagan","given":"Juan Carlos"}],"issued":{"date-parts":[["2012",1]]}}}],"schema":"https://github.com/citation-style-language/schema/raw/master/csl-citation.json"} </w:instrText>
      </w:r>
      <w:r w:rsidR="007365D4" w:rsidRPr="00AE4053">
        <w:rPr>
          <w:rFonts w:ascii="Book Antiqua" w:hAnsi="Book Antiqua"/>
          <w:sz w:val="24"/>
          <w:szCs w:val="24"/>
        </w:rPr>
        <w:fldChar w:fldCharType="separate"/>
      </w:r>
      <w:r w:rsidR="008F2F86" w:rsidRPr="00AE4053">
        <w:rPr>
          <w:rFonts w:ascii="Book Antiqua" w:hAnsi="Book Antiqua"/>
          <w:sz w:val="24"/>
          <w:szCs w:val="24"/>
          <w:vertAlign w:val="superscript"/>
        </w:rPr>
        <w:t>[20]</w:t>
      </w:r>
      <w:r w:rsidR="007365D4" w:rsidRPr="00AE4053">
        <w:rPr>
          <w:rFonts w:ascii="Book Antiqua" w:hAnsi="Book Antiqua"/>
          <w:sz w:val="24"/>
          <w:szCs w:val="24"/>
        </w:rPr>
        <w:fldChar w:fldCharType="end"/>
      </w:r>
      <w:r w:rsidR="003C3F2B" w:rsidRPr="00AE4053">
        <w:rPr>
          <w:rFonts w:ascii="Book Antiqua" w:hAnsi="Book Antiqua"/>
          <w:sz w:val="24"/>
          <w:szCs w:val="24"/>
        </w:rPr>
        <w:t xml:space="preserve"> from Spain </w:t>
      </w:r>
      <w:r w:rsidR="008E13C4" w:rsidRPr="00AE4053">
        <w:rPr>
          <w:rFonts w:ascii="Book Antiqua" w:hAnsi="Book Antiqua"/>
          <w:sz w:val="24"/>
          <w:szCs w:val="24"/>
        </w:rPr>
        <w:t>provided</w:t>
      </w:r>
      <w:r w:rsidR="007365D4" w:rsidRPr="00AE4053">
        <w:rPr>
          <w:rFonts w:ascii="Book Antiqua" w:hAnsi="Book Antiqua"/>
          <w:sz w:val="24"/>
          <w:szCs w:val="24"/>
        </w:rPr>
        <w:t xml:space="preserve"> two cut-offs of TE instead of one to predict CSPH. They showed that a cut-off of 13.6 </w:t>
      </w:r>
      <w:proofErr w:type="spellStart"/>
      <w:r w:rsidR="007365D4" w:rsidRPr="00AE4053">
        <w:rPr>
          <w:rFonts w:ascii="Book Antiqua" w:hAnsi="Book Antiqua"/>
          <w:sz w:val="24"/>
          <w:szCs w:val="24"/>
        </w:rPr>
        <w:t>kPa</w:t>
      </w:r>
      <w:proofErr w:type="spellEnd"/>
      <w:r w:rsidR="007365D4" w:rsidRPr="00AE4053">
        <w:rPr>
          <w:rFonts w:ascii="Book Antiqua" w:hAnsi="Book Antiqua"/>
          <w:sz w:val="24"/>
          <w:szCs w:val="24"/>
        </w:rPr>
        <w:t xml:space="preserve"> was </w:t>
      </w:r>
      <w:r w:rsidR="008E13C4" w:rsidRPr="00AE4053">
        <w:rPr>
          <w:rFonts w:ascii="Book Antiqua" w:hAnsi="Book Antiqua"/>
          <w:sz w:val="24"/>
          <w:szCs w:val="24"/>
        </w:rPr>
        <w:t>sufficiently sensitive</w:t>
      </w:r>
      <w:r w:rsidR="007365D4" w:rsidRPr="00AE4053">
        <w:rPr>
          <w:rFonts w:ascii="Book Antiqua" w:hAnsi="Book Antiqua"/>
          <w:sz w:val="24"/>
          <w:szCs w:val="24"/>
        </w:rPr>
        <w:t xml:space="preserve"> to </w:t>
      </w:r>
      <w:r w:rsidR="008E13C4" w:rsidRPr="00AE4053">
        <w:rPr>
          <w:rFonts w:ascii="Book Antiqua" w:hAnsi="Book Antiqua"/>
          <w:sz w:val="24"/>
          <w:szCs w:val="24"/>
        </w:rPr>
        <w:t>exclude</w:t>
      </w:r>
      <w:r w:rsidR="007365D4" w:rsidRPr="00AE4053">
        <w:rPr>
          <w:rFonts w:ascii="Book Antiqua" w:hAnsi="Book Antiqua"/>
          <w:sz w:val="24"/>
          <w:szCs w:val="24"/>
        </w:rPr>
        <w:t xml:space="preserve"> CSPH, and a cut-off of 21 </w:t>
      </w:r>
      <w:proofErr w:type="spellStart"/>
      <w:r w:rsidR="007365D4" w:rsidRPr="00AE4053">
        <w:rPr>
          <w:rFonts w:ascii="Book Antiqua" w:hAnsi="Book Antiqua"/>
          <w:sz w:val="24"/>
          <w:szCs w:val="24"/>
        </w:rPr>
        <w:t>kPa</w:t>
      </w:r>
      <w:proofErr w:type="spellEnd"/>
      <w:r w:rsidR="007365D4" w:rsidRPr="00AE4053">
        <w:rPr>
          <w:rFonts w:ascii="Book Antiqua" w:hAnsi="Book Antiqua"/>
          <w:sz w:val="24"/>
          <w:szCs w:val="24"/>
        </w:rPr>
        <w:t xml:space="preserve"> was </w:t>
      </w:r>
      <w:r w:rsidR="008E13C4" w:rsidRPr="00AE4053">
        <w:rPr>
          <w:rFonts w:ascii="Book Antiqua" w:hAnsi="Book Antiqua"/>
          <w:sz w:val="24"/>
          <w:szCs w:val="24"/>
        </w:rPr>
        <w:t xml:space="preserve">sufficiently </w:t>
      </w:r>
      <w:r w:rsidR="007365D4" w:rsidRPr="00AE4053">
        <w:rPr>
          <w:rFonts w:ascii="Book Antiqua" w:hAnsi="Book Antiqua"/>
          <w:sz w:val="24"/>
          <w:szCs w:val="24"/>
        </w:rPr>
        <w:t xml:space="preserve">specific to </w:t>
      </w:r>
      <w:r w:rsidR="008E13C4" w:rsidRPr="00AE4053">
        <w:rPr>
          <w:rFonts w:ascii="Book Antiqua" w:hAnsi="Book Antiqua"/>
          <w:sz w:val="24"/>
          <w:szCs w:val="24"/>
        </w:rPr>
        <w:t>include</w:t>
      </w:r>
      <w:r w:rsidR="007365D4" w:rsidRPr="00AE4053">
        <w:rPr>
          <w:rFonts w:ascii="Book Antiqua" w:hAnsi="Book Antiqua"/>
          <w:sz w:val="24"/>
          <w:szCs w:val="24"/>
        </w:rPr>
        <w:t xml:space="preserve"> CSPH. They suggested that v</w:t>
      </w:r>
      <w:r w:rsidR="006C533A" w:rsidRPr="00AE4053">
        <w:rPr>
          <w:rFonts w:ascii="Book Antiqua" w:hAnsi="Book Antiqua"/>
          <w:sz w:val="24"/>
          <w:szCs w:val="24"/>
        </w:rPr>
        <w:t>alues in between these limits (which were found in 35% of the</w:t>
      </w:r>
      <w:r w:rsidR="007365D4" w:rsidRPr="00AE4053">
        <w:rPr>
          <w:rFonts w:ascii="Book Antiqua" w:hAnsi="Book Antiqua"/>
          <w:sz w:val="24"/>
          <w:szCs w:val="24"/>
        </w:rPr>
        <w:t>ir</w:t>
      </w:r>
      <w:r w:rsidR="006C533A" w:rsidRPr="00AE4053">
        <w:rPr>
          <w:rFonts w:ascii="Book Antiqua" w:hAnsi="Book Antiqua"/>
          <w:sz w:val="24"/>
          <w:szCs w:val="24"/>
        </w:rPr>
        <w:t xml:space="preserve"> patients) were not useful. </w:t>
      </w:r>
      <w:r w:rsidR="00B82C7C" w:rsidRPr="00AE4053">
        <w:rPr>
          <w:rFonts w:ascii="Book Antiqua" w:hAnsi="Book Antiqua"/>
          <w:sz w:val="24"/>
          <w:szCs w:val="24"/>
        </w:rPr>
        <w:t>Some authors believe that</w:t>
      </w:r>
      <w:r w:rsidR="006C533A" w:rsidRPr="00AE4053">
        <w:rPr>
          <w:rFonts w:ascii="Book Antiqua" w:hAnsi="Book Antiqua"/>
          <w:sz w:val="24"/>
          <w:szCs w:val="24"/>
        </w:rPr>
        <w:t xml:space="preserve"> the use of a single TE cut-off, </w:t>
      </w:r>
      <w:r w:rsidR="008E13C4" w:rsidRPr="00AE4053">
        <w:rPr>
          <w:rFonts w:ascii="Book Antiqua" w:hAnsi="Book Antiqua"/>
          <w:sz w:val="24"/>
          <w:szCs w:val="24"/>
        </w:rPr>
        <w:t>al</w:t>
      </w:r>
      <w:r w:rsidR="006C533A" w:rsidRPr="00AE4053">
        <w:rPr>
          <w:rFonts w:ascii="Book Antiqua" w:hAnsi="Book Antiqua"/>
          <w:sz w:val="24"/>
          <w:szCs w:val="24"/>
        </w:rPr>
        <w:t xml:space="preserve">though simple, limits the value of TE to predict CSPH. The use of at least two cut-offs reproduces the clinical thinking in which a diagnostic test commonly </w:t>
      </w:r>
      <w:r w:rsidR="008E13C4" w:rsidRPr="00AE4053">
        <w:rPr>
          <w:rFonts w:ascii="Book Antiqua" w:hAnsi="Book Antiqua"/>
          <w:sz w:val="24"/>
          <w:szCs w:val="24"/>
        </w:rPr>
        <w:t xml:space="preserve">provides </w:t>
      </w:r>
      <w:r w:rsidR="009E5538" w:rsidRPr="00AE4053">
        <w:rPr>
          <w:rFonts w:ascii="Book Antiqua" w:hAnsi="Book Antiqua"/>
          <w:sz w:val="24"/>
          <w:szCs w:val="24"/>
        </w:rPr>
        <w:t>three</w:t>
      </w:r>
      <w:r w:rsidR="006C533A" w:rsidRPr="00AE4053">
        <w:rPr>
          <w:rFonts w:ascii="Book Antiqua" w:hAnsi="Book Antiqua"/>
          <w:sz w:val="24"/>
          <w:szCs w:val="24"/>
        </w:rPr>
        <w:t xml:space="preserve"> outputs: the condition is </w:t>
      </w:r>
      <w:r w:rsidR="008E13C4" w:rsidRPr="00AE4053">
        <w:rPr>
          <w:rFonts w:ascii="Book Antiqua" w:hAnsi="Book Antiqua"/>
          <w:sz w:val="24"/>
          <w:szCs w:val="24"/>
        </w:rPr>
        <w:t>included</w:t>
      </w:r>
      <w:r w:rsidR="006C533A" w:rsidRPr="00AE4053">
        <w:rPr>
          <w:rFonts w:ascii="Book Antiqua" w:hAnsi="Book Antiqua"/>
          <w:sz w:val="24"/>
          <w:szCs w:val="24"/>
        </w:rPr>
        <w:t xml:space="preserve">, </w:t>
      </w:r>
      <w:r w:rsidR="008E13C4" w:rsidRPr="00AE4053">
        <w:rPr>
          <w:rFonts w:ascii="Book Antiqua" w:hAnsi="Book Antiqua"/>
          <w:sz w:val="24"/>
          <w:szCs w:val="24"/>
        </w:rPr>
        <w:t>excluded</w:t>
      </w:r>
      <w:r w:rsidR="006C533A" w:rsidRPr="00AE4053">
        <w:rPr>
          <w:rFonts w:ascii="Book Antiqua" w:hAnsi="Book Antiqua"/>
          <w:sz w:val="24"/>
          <w:szCs w:val="24"/>
        </w:rPr>
        <w:t xml:space="preserve"> or “further tests are needed”</w:t>
      </w:r>
      <w:r w:rsidR="00B82C7C" w:rsidRPr="00AE4053">
        <w:rPr>
          <w:rFonts w:ascii="Book Antiqua" w:hAnsi="Book Antiqua"/>
          <w:sz w:val="24"/>
          <w:szCs w:val="24"/>
        </w:rPr>
        <w:fldChar w:fldCharType="begin"/>
      </w:r>
      <w:r w:rsidR="008F2F86" w:rsidRPr="00AE4053">
        <w:rPr>
          <w:rFonts w:ascii="Book Antiqua" w:hAnsi="Book Antiqua"/>
          <w:sz w:val="24"/>
          <w:szCs w:val="24"/>
        </w:rPr>
        <w:instrText xml:space="preserve"> ADDIN ZOTERO_ITEM CSL_CITATION {"citationID":"m9c2wMa8","properties":{"formattedCitation":"{\\rtf \\super [15]\\nosupersub{}}","plainCitation":"[15]"},"citationItems":[{"id":4262,"uris":["http://zotero.org/users/271015/items/PG8INU4R"],"uri":["http://zotero.org/users/271015/items/PG8INU4R"],"itemData":{"id":4262,"type":"article-journal","title":"Diagnosing and monitoring cirrhosis: Liver biopsy, hepatic venous pressure gradient and elastography","container-title":"Gastroenterología Y Hepatología","page":"488-495","volume":"35","issue":"7","source":"PubMed","abstract":"In this review we summarize the role of liver biopsy, transient elastography and hepatic venous pressure gradient (HVPG) in the diagnosis and monitoring of patients with liver cirrhosis. Transient elastography is useful for the non-invasive diagnosis of cirrhosis, but relevant information is lost if it is used as a dichotomous test. The development of clinically significant portal hypertension (defined as a hepatic venous pressure gradient ≥ 10 mmHg) is associated with the development of varices and decompensation and it is something that it is worth testing for. Transient elastography has some value for the prediction of clinically significant portal hypertension, but a large proportion of patients have non-diagnostic values. It has also some value for the diagnosis of varices, but non-invasive markers cannot substitute endoscopic screening in cirrhosis. Better dynamic, easily repeatable non-invasive tools are needed to monitor compensated cirrhosis.","DOI":"10.1016/j.gastrohep.2012.02.010","ISSN":"0210-5705","note":"PMID: 22560536","shortTitle":"Diagnosing and monitoring cirrhosis","journalAbbreviation":"Gastroenterol Hepatol","language":"eng","author":[{"family":"Abraldes","given":"Juan G."},{"family":"Araujo","given":"Isis K."},{"family":"Turón","given":"Fanny"},{"family":"Berzigotti","given":"Annalisa"}],"issued":{"date-parts":[["2012",9]]}}}],"schema":"https://github.com/citation-style-language/schema/raw/master/csl-citation.json"} </w:instrText>
      </w:r>
      <w:r w:rsidR="00B82C7C" w:rsidRPr="00AE4053">
        <w:rPr>
          <w:rFonts w:ascii="Book Antiqua" w:hAnsi="Book Antiqua"/>
          <w:sz w:val="24"/>
          <w:szCs w:val="24"/>
        </w:rPr>
        <w:fldChar w:fldCharType="separate"/>
      </w:r>
      <w:r w:rsidR="008F2F86" w:rsidRPr="00AE4053">
        <w:rPr>
          <w:rFonts w:ascii="Book Antiqua" w:hAnsi="Book Antiqua"/>
          <w:sz w:val="24"/>
          <w:szCs w:val="24"/>
          <w:vertAlign w:val="superscript"/>
        </w:rPr>
        <w:t>[15]</w:t>
      </w:r>
      <w:r w:rsidR="00B82C7C" w:rsidRPr="00AE4053">
        <w:rPr>
          <w:rFonts w:ascii="Book Antiqua" w:hAnsi="Book Antiqua"/>
          <w:sz w:val="24"/>
          <w:szCs w:val="24"/>
        </w:rPr>
        <w:fldChar w:fldCharType="end"/>
      </w:r>
      <w:r w:rsidR="006C533A" w:rsidRPr="00AE4053">
        <w:rPr>
          <w:rFonts w:ascii="Book Antiqua" w:hAnsi="Book Antiqua"/>
          <w:sz w:val="24"/>
          <w:szCs w:val="24"/>
        </w:rPr>
        <w:t>.</w:t>
      </w:r>
      <w:r w:rsidR="00B82C7C" w:rsidRPr="00AE4053">
        <w:rPr>
          <w:rFonts w:ascii="Book Antiqua" w:hAnsi="Book Antiqua"/>
          <w:sz w:val="24"/>
          <w:szCs w:val="24"/>
        </w:rPr>
        <w:t xml:space="preserve"> </w:t>
      </w:r>
      <w:r w:rsidR="009E5538" w:rsidRPr="00AE4053">
        <w:rPr>
          <w:rFonts w:ascii="Book Antiqua" w:hAnsi="Book Antiqua"/>
          <w:sz w:val="24"/>
          <w:szCs w:val="24"/>
        </w:rPr>
        <w:t>Thus</w:t>
      </w:r>
      <w:r w:rsidR="007E6753" w:rsidRPr="00AE4053">
        <w:rPr>
          <w:rFonts w:ascii="Book Antiqua" w:hAnsi="Book Antiqua"/>
          <w:sz w:val="24"/>
          <w:szCs w:val="24"/>
        </w:rPr>
        <w:t>,</w:t>
      </w:r>
      <w:r w:rsidR="009E5538" w:rsidRPr="00AE4053">
        <w:rPr>
          <w:rFonts w:ascii="Book Antiqua" w:hAnsi="Book Antiqua"/>
          <w:sz w:val="24"/>
          <w:szCs w:val="24"/>
        </w:rPr>
        <w:t xml:space="preserve"> TE, using these three outputs, might be useful to select these suspicious patients with cirrhosis for HVPG measurement. </w:t>
      </w:r>
      <w:r w:rsidR="00B82C7C" w:rsidRPr="00AE4053">
        <w:rPr>
          <w:rFonts w:ascii="Book Antiqua" w:hAnsi="Book Antiqua"/>
          <w:sz w:val="24"/>
          <w:szCs w:val="24"/>
        </w:rPr>
        <w:t xml:space="preserve">However, we believe that multiple cut-offs may lead to confusion, and the single cut-off with a high PPV is best </w:t>
      </w:r>
      <w:r w:rsidR="00A3237B" w:rsidRPr="00AE4053">
        <w:rPr>
          <w:rFonts w:ascii="Book Antiqua" w:hAnsi="Book Antiqua"/>
          <w:sz w:val="24"/>
          <w:szCs w:val="24"/>
        </w:rPr>
        <w:t>for</w:t>
      </w:r>
      <w:r w:rsidR="00B82C7C" w:rsidRPr="00AE4053">
        <w:rPr>
          <w:rFonts w:ascii="Book Antiqua" w:hAnsi="Book Antiqua"/>
          <w:sz w:val="24"/>
          <w:szCs w:val="24"/>
        </w:rPr>
        <w:t xml:space="preserve"> guiding primary physicians in the community to </w:t>
      </w:r>
      <w:r w:rsidR="008E13C4" w:rsidRPr="00AE4053">
        <w:rPr>
          <w:rFonts w:ascii="Book Antiqua" w:hAnsi="Book Antiqua"/>
          <w:sz w:val="24"/>
          <w:szCs w:val="24"/>
        </w:rPr>
        <w:t xml:space="preserve">make </w:t>
      </w:r>
      <w:r w:rsidR="00B82C7C" w:rsidRPr="00AE4053">
        <w:rPr>
          <w:rFonts w:ascii="Book Antiqua" w:hAnsi="Book Antiqua"/>
          <w:sz w:val="24"/>
          <w:szCs w:val="24"/>
        </w:rPr>
        <w:t xml:space="preserve">treatment decisions. </w:t>
      </w:r>
    </w:p>
    <w:p w14:paraId="2E5335F7" w14:textId="3D73AAFF" w:rsidR="008D0A97" w:rsidRPr="00AE4053" w:rsidRDefault="00F849A4" w:rsidP="008E7A2E">
      <w:pPr>
        <w:snapToGrid w:val="0"/>
        <w:spacing w:after="0" w:line="360" w:lineRule="auto"/>
        <w:ind w:firstLineChars="100" w:firstLine="240"/>
        <w:jc w:val="both"/>
        <w:rPr>
          <w:rFonts w:ascii="Book Antiqua" w:hAnsi="Book Antiqua"/>
          <w:sz w:val="24"/>
          <w:szCs w:val="24"/>
        </w:rPr>
      </w:pPr>
      <w:r w:rsidRPr="00AE4053">
        <w:rPr>
          <w:rFonts w:ascii="Book Antiqua" w:hAnsi="Book Antiqua"/>
          <w:sz w:val="24"/>
          <w:szCs w:val="24"/>
        </w:rPr>
        <w:lastRenderedPageBreak/>
        <w:t>A recent meta-analysis</w:t>
      </w:r>
      <w:r w:rsidR="008D0A97" w:rsidRPr="00AE4053">
        <w:rPr>
          <w:rFonts w:ascii="Book Antiqua" w:hAnsi="Book Antiqua"/>
          <w:sz w:val="24"/>
          <w:szCs w:val="24"/>
        </w:rPr>
        <w:fldChar w:fldCharType="begin"/>
      </w:r>
      <w:r w:rsidR="008F2F86" w:rsidRPr="00AE4053">
        <w:rPr>
          <w:rFonts w:ascii="Book Antiqua" w:hAnsi="Book Antiqua"/>
          <w:sz w:val="24"/>
          <w:szCs w:val="24"/>
        </w:rPr>
        <w:instrText xml:space="preserve"> ADDIN ZOTERO_ITEM CSL_CITATION {"citationID":"Uia04S34","properties":{"formattedCitation":"{\\rtf \\super [11]\\nosupersub{}}","plainCitation":"[11]"},"citationItems":[{"id":4270,"uris":["http://zotero.org/users/271015/items/FVV95HB2"],"uri":["http://zotero.org/users/271015/items/FVV95HB2"],"itemData":{"id":4270,"type":"article-journal","title":"Transient elastography: a meta-analysis of diagnostic accuracy in evaluation of portal hypertension in chronic liver disease","container-title":"Liver International: Official Journal of the International Association for the Study of the Liver","page":"62-71","volume":"33","issue":"1","source":"PubMed","abstract":"OBJECTIVES: Transient elastography (TE), as a non-invasive method, has been studied for evaluation of portal hypertension in patients with chronic liver diseases (CLD) with variable results. We studied the performance of TE for detection of significant portal hypertension, oesophageal varices and large oesophageal varices using meta-analysis.\nMETHODS: PubMed, the Cochrane Library, EMBASE and ISI web of Knowledge were searched. The studies published in English relating to the diagnostic value of TE for significant portal hypertension, oesophageal varices and large oesophageal varices in patients with CLD were collected.\nRESULTS: A total of 18 studies, which included 3644 patients were analysed. Summary sensitivity and specificity were 0.90 (95% confidence interval (CI), 0.81-0.95) and 0.79 (95% CI, 0.58-0.91) for significant portal hypertension, and 0.87 (95% CI, 0.80-0.92) and 0.53 (95% CI, 0.36-0.69) for oesophageal varices and 0.86 (95% CI, 0.71-0.94) and 0.59 (95% CI, 0.45-0.72) for large oesophageal varices respectively. The HSROCs were 0.93 for significant portal hypertension, 0.84 for oesophageal varices and 0.78 for large oesophageal varices respectively. TE was very informative with 81% probability of correctly detection significant portal hypertension following a 'positive' measurement (over the threshold value) and lowering the probability of disease to as low as 11% when 'negative' measurement (below the threshold value) when pre-test probability was 50% whereas, for oesophageal varices or large oesophageal varices, the probability of a correct diagnosis following a 'positive' measurement did not exceeded 70%.\nCONCLUSIONS: TE could be used as a good screening tool for significant portal hypertension, but only moderate diagnostic utility for the prediction of oesophageal varices or large oesophageal varices.","DOI":"10.1111/liv.12003","ISSN":"1478-3231","note":"PMID: 22973991","shortTitle":"Transient elastography","journalAbbreviation":"Liver Int.","language":"eng","author":[{"family":"Shi","given":"Ke-Qing"},{"family":"Fan","given":"Yu-Chen"},{"family":"Pan","given":"Zhen-Zhen"},{"family":"Lin","given":"Xian-Feng"},{"family":"Liu","given":"Wen-Yue"},{"family":"Chen","given":"Yong-Ping"},{"family":"Zheng","given":"Ming-Hua"}],"issued":{"date-parts":[["2013",1]]}}}],"schema":"https://github.com/citation-style-language/schema/raw/master/csl-citation.json"} </w:instrText>
      </w:r>
      <w:r w:rsidR="008D0A97" w:rsidRPr="00AE4053">
        <w:rPr>
          <w:rFonts w:ascii="Book Antiqua" w:hAnsi="Book Antiqua"/>
          <w:sz w:val="24"/>
          <w:szCs w:val="24"/>
        </w:rPr>
        <w:fldChar w:fldCharType="separate"/>
      </w:r>
      <w:r w:rsidR="008F2F86" w:rsidRPr="00AE4053">
        <w:rPr>
          <w:rFonts w:ascii="Book Antiqua" w:hAnsi="Book Antiqua"/>
          <w:sz w:val="24"/>
          <w:szCs w:val="24"/>
          <w:vertAlign w:val="superscript"/>
        </w:rPr>
        <w:t>[11]</w:t>
      </w:r>
      <w:r w:rsidR="008D0A97" w:rsidRPr="00AE4053">
        <w:rPr>
          <w:rFonts w:ascii="Book Antiqua" w:hAnsi="Book Antiqua"/>
          <w:sz w:val="24"/>
          <w:szCs w:val="24"/>
        </w:rPr>
        <w:fldChar w:fldCharType="end"/>
      </w:r>
      <w:r w:rsidRPr="00AE4053">
        <w:rPr>
          <w:rFonts w:ascii="Book Antiqua" w:hAnsi="Book Antiqua"/>
          <w:sz w:val="24"/>
          <w:szCs w:val="24"/>
        </w:rPr>
        <w:t>, which included 5 studies o</w:t>
      </w:r>
      <w:r w:rsidR="007E6753" w:rsidRPr="00AE4053">
        <w:rPr>
          <w:rFonts w:ascii="Book Antiqua" w:hAnsi="Book Antiqua"/>
          <w:sz w:val="24"/>
          <w:szCs w:val="24"/>
        </w:rPr>
        <w:t>f</w:t>
      </w:r>
      <w:r w:rsidRPr="00AE4053">
        <w:rPr>
          <w:rFonts w:ascii="Book Antiqua" w:hAnsi="Book Antiqua"/>
          <w:sz w:val="24"/>
          <w:szCs w:val="24"/>
        </w:rPr>
        <w:t xml:space="preserve"> </w:t>
      </w:r>
      <w:r w:rsidR="007E6753" w:rsidRPr="00AE4053">
        <w:rPr>
          <w:rFonts w:ascii="Book Antiqua" w:hAnsi="Book Antiqua"/>
          <w:sz w:val="24"/>
          <w:szCs w:val="24"/>
        </w:rPr>
        <w:t xml:space="preserve">the </w:t>
      </w:r>
      <w:r w:rsidRPr="00AE4053">
        <w:rPr>
          <w:rFonts w:ascii="Book Antiqua" w:hAnsi="Book Antiqua"/>
          <w:sz w:val="24"/>
          <w:szCs w:val="24"/>
        </w:rPr>
        <w:t xml:space="preserve">diagnostic accuracy of TE for significant portal hypertension, also indicated that TE had a high accuracy for </w:t>
      </w:r>
      <w:r w:rsidR="007E6753" w:rsidRPr="00AE4053">
        <w:rPr>
          <w:rFonts w:ascii="Book Antiqua" w:hAnsi="Book Antiqua"/>
          <w:sz w:val="24"/>
          <w:szCs w:val="24"/>
        </w:rPr>
        <w:t xml:space="preserve">the </w:t>
      </w:r>
      <w:r w:rsidRPr="00AE4053">
        <w:rPr>
          <w:rFonts w:ascii="Book Antiqua" w:hAnsi="Book Antiqua"/>
          <w:sz w:val="24"/>
          <w:szCs w:val="24"/>
        </w:rPr>
        <w:t xml:space="preserve">detection of significant portal hypertension. The </w:t>
      </w:r>
      <w:r w:rsidR="008D0A97" w:rsidRPr="00AE4053">
        <w:rPr>
          <w:rFonts w:ascii="Book Antiqua" w:hAnsi="Book Antiqua"/>
          <w:sz w:val="24"/>
          <w:szCs w:val="24"/>
        </w:rPr>
        <w:t xml:space="preserve">hierarchical summary </w:t>
      </w:r>
      <w:r w:rsidR="00BB4C14" w:rsidRPr="00AE4053">
        <w:rPr>
          <w:rFonts w:ascii="Book Antiqua" w:hAnsi="Book Antiqua"/>
          <w:sz w:val="24"/>
          <w:szCs w:val="24"/>
        </w:rPr>
        <w:t>receiver-operating</w:t>
      </w:r>
      <w:r w:rsidR="008D0A97" w:rsidRPr="00AE4053">
        <w:rPr>
          <w:rFonts w:ascii="Book Antiqua" w:hAnsi="Book Antiqua"/>
          <w:sz w:val="24"/>
          <w:szCs w:val="24"/>
        </w:rPr>
        <w:t xml:space="preserve"> characteristic (HSROC)</w:t>
      </w:r>
      <w:r w:rsidRPr="00AE4053">
        <w:rPr>
          <w:rFonts w:ascii="Book Antiqua" w:hAnsi="Book Antiqua"/>
          <w:sz w:val="24"/>
          <w:szCs w:val="24"/>
        </w:rPr>
        <w:t xml:space="preserve"> for </w:t>
      </w:r>
      <w:r w:rsidR="008E13C4" w:rsidRPr="00AE4053">
        <w:rPr>
          <w:rFonts w:ascii="Book Antiqua" w:hAnsi="Book Antiqua"/>
          <w:sz w:val="24"/>
          <w:szCs w:val="24"/>
        </w:rPr>
        <w:t xml:space="preserve">the </w:t>
      </w:r>
      <w:r w:rsidRPr="00AE4053">
        <w:rPr>
          <w:rFonts w:ascii="Book Antiqua" w:hAnsi="Book Antiqua"/>
          <w:sz w:val="24"/>
          <w:szCs w:val="24"/>
        </w:rPr>
        <w:t>diagnosis of significant portal hypertensio</w:t>
      </w:r>
      <w:r w:rsidR="008E7A2E">
        <w:rPr>
          <w:rFonts w:ascii="Book Antiqua" w:hAnsi="Book Antiqua"/>
          <w:sz w:val="24"/>
          <w:szCs w:val="24"/>
        </w:rPr>
        <w:t>n by TE was 0.93 (95%</w:t>
      </w:r>
      <w:r w:rsidRPr="00AE4053">
        <w:rPr>
          <w:rFonts w:ascii="Book Antiqua" w:hAnsi="Book Antiqua"/>
          <w:sz w:val="24"/>
          <w:szCs w:val="24"/>
        </w:rPr>
        <w:t>CI</w:t>
      </w:r>
      <w:r w:rsidR="008E7A2E">
        <w:rPr>
          <w:rFonts w:ascii="Book Antiqua" w:hAnsi="Book Antiqua"/>
          <w:sz w:val="24"/>
          <w:szCs w:val="24"/>
        </w:rPr>
        <w:t>:</w:t>
      </w:r>
      <w:r w:rsidRPr="00AE4053">
        <w:rPr>
          <w:rFonts w:ascii="Book Antiqua" w:hAnsi="Book Antiqua"/>
          <w:sz w:val="24"/>
          <w:szCs w:val="24"/>
        </w:rPr>
        <w:t xml:space="preserve"> 0.90</w:t>
      </w:r>
      <w:r w:rsidR="008E7A2E">
        <w:rPr>
          <w:rFonts w:ascii="Book Antiqua" w:hAnsi="Book Antiqua"/>
          <w:sz w:val="24"/>
          <w:szCs w:val="24"/>
        </w:rPr>
        <w:t>-</w:t>
      </w:r>
      <w:r w:rsidRPr="00AE4053">
        <w:rPr>
          <w:rFonts w:ascii="Book Antiqua" w:hAnsi="Book Antiqua"/>
          <w:sz w:val="24"/>
          <w:szCs w:val="24"/>
        </w:rPr>
        <w:t>0.95). The Fagan plot</w:t>
      </w:r>
      <w:r w:rsidR="008D0A97" w:rsidRPr="00AE4053">
        <w:rPr>
          <w:rFonts w:ascii="Book Antiqua" w:hAnsi="Book Antiqua"/>
          <w:sz w:val="24"/>
          <w:szCs w:val="24"/>
        </w:rPr>
        <w:t xml:space="preserve"> </w:t>
      </w:r>
      <w:r w:rsidRPr="00AE4053">
        <w:rPr>
          <w:rFonts w:ascii="Book Antiqua" w:hAnsi="Book Antiqua"/>
          <w:sz w:val="24"/>
          <w:szCs w:val="24"/>
        </w:rPr>
        <w:t>analysis showed that TE could be used to diagnose significant</w:t>
      </w:r>
      <w:r w:rsidR="008D0A97" w:rsidRPr="00AE4053">
        <w:rPr>
          <w:rFonts w:ascii="Book Antiqua" w:hAnsi="Book Antiqua"/>
          <w:sz w:val="24"/>
          <w:szCs w:val="24"/>
        </w:rPr>
        <w:t xml:space="preserve"> </w:t>
      </w:r>
      <w:r w:rsidRPr="00AE4053">
        <w:rPr>
          <w:rFonts w:ascii="Book Antiqua" w:hAnsi="Book Antiqua"/>
          <w:sz w:val="24"/>
          <w:szCs w:val="24"/>
        </w:rPr>
        <w:t>portal hypertension (when pre-test probability</w:t>
      </w:r>
      <w:r w:rsidR="008D0A97" w:rsidRPr="00AE4053">
        <w:rPr>
          <w:rFonts w:ascii="Book Antiqua" w:hAnsi="Book Antiqua"/>
          <w:sz w:val="24"/>
          <w:szCs w:val="24"/>
        </w:rPr>
        <w:t xml:space="preserve"> </w:t>
      </w:r>
      <w:r w:rsidRPr="00AE4053">
        <w:rPr>
          <w:rFonts w:ascii="Book Antiqua" w:hAnsi="Book Antiqua"/>
          <w:sz w:val="24"/>
          <w:szCs w:val="24"/>
        </w:rPr>
        <w:t>= 50%), with 81% probability of correctly</w:t>
      </w:r>
      <w:r w:rsidR="008D0A97" w:rsidRPr="00AE4053">
        <w:rPr>
          <w:rFonts w:ascii="Book Antiqua" w:hAnsi="Book Antiqua"/>
          <w:sz w:val="24"/>
          <w:szCs w:val="24"/>
        </w:rPr>
        <w:t xml:space="preserve"> </w:t>
      </w:r>
      <w:r w:rsidRPr="00AE4053">
        <w:rPr>
          <w:rFonts w:ascii="Book Antiqua" w:hAnsi="Book Antiqua"/>
          <w:sz w:val="24"/>
          <w:szCs w:val="24"/>
        </w:rPr>
        <w:t>diagnosing significant portal hypertension following the ‘positive’ measurement. Furthermore, a ‘negative’ measurement</w:t>
      </w:r>
      <w:r w:rsidR="008D0A97" w:rsidRPr="00AE4053">
        <w:rPr>
          <w:rFonts w:ascii="Book Antiqua" w:hAnsi="Book Antiqua"/>
          <w:sz w:val="24"/>
          <w:szCs w:val="24"/>
        </w:rPr>
        <w:t xml:space="preserve"> </w:t>
      </w:r>
      <w:r w:rsidRPr="00AE4053">
        <w:rPr>
          <w:rFonts w:ascii="Book Antiqua" w:hAnsi="Book Antiqua"/>
          <w:sz w:val="24"/>
          <w:szCs w:val="24"/>
        </w:rPr>
        <w:t>was also informative, as significant portal</w:t>
      </w:r>
      <w:r w:rsidR="008D0A97" w:rsidRPr="00AE4053">
        <w:rPr>
          <w:rFonts w:ascii="Book Antiqua" w:hAnsi="Book Antiqua"/>
          <w:sz w:val="24"/>
          <w:szCs w:val="24"/>
        </w:rPr>
        <w:t xml:space="preserve"> </w:t>
      </w:r>
      <w:r w:rsidRPr="00AE4053">
        <w:rPr>
          <w:rFonts w:ascii="Book Antiqua" w:hAnsi="Book Antiqua"/>
          <w:sz w:val="24"/>
          <w:szCs w:val="24"/>
        </w:rPr>
        <w:t xml:space="preserve">hypertension was present in only 11% of patients. </w:t>
      </w:r>
      <w:proofErr w:type="gramStart"/>
      <w:r w:rsidR="009E5538" w:rsidRPr="00AE4053">
        <w:rPr>
          <w:rFonts w:ascii="Book Antiqua" w:hAnsi="Book Antiqua"/>
          <w:sz w:val="24"/>
          <w:szCs w:val="24"/>
        </w:rPr>
        <w:t>However</w:t>
      </w:r>
      <w:r w:rsidR="008D0A97" w:rsidRPr="00AE4053">
        <w:rPr>
          <w:rFonts w:ascii="Book Antiqua" w:hAnsi="Book Antiqua"/>
          <w:sz w:val="24"/>
          <w:szCs w:val="24"/>
        </w:rPr>
        <w:t>, when the pre-test probability of significant portal hypertension was as low as 25%, the probability of correctly identifying significant portal hypertension decreased markedly.</w:t>
      </w:r>
      <w:proofErr w:type="gramEnd"/>
      <w:r w:rsidR="008D0A97" w:rsidRPr="00AE4053">
        <w:rPr>
          <w:rFonts w:ascii="Book Antiqua" w:hAnsi="Book Antiqua"/>
          <w:sz w:val="24"/>
          <w:szCs w:val="24"/>
        </w:rPr>
        <w:t xml:space="preserve"> This </w:t>
      </w:r>
      <w:r w:rsidR="008E13C4" w:rsidRPr="00AE4053">
        <w:rPr>
          <w:rFonts w:ascii="Book Antiqua" w:hAnsi="Book Antiqua"/>
          <w:sz w:val="24"/>
          <w:szCs w:val="24"/>
        </w:rPr>
        <w:t xml:space="preserve">finding </w:t>
      </w:r>
      <w:r w:rsidR="008D0A97" w:rsidRPr="00AE4053">
        <w:rPr>
          <w:rFonts w:ascii="Book Antiqua" w:hAnsi="Book Antiqua"/>
          <w:sz w:val="24"/>
          <w:szCs w:val="24"/>
        </w:rPr>
        <w:t>suggests that an accurate selection of patients is necessary to exploit the performance of TE at its best</w:t>
      </w:r>
      <w:r w:rsidR="009E5538" w:rsidRPr="00AE4053">
        <w:rPr>
          <w:rFonts w:ascii="Book Antiqua" w:hAnsi="Book Antiqua"/>
          <w:sz w:val="24"/>
          <w:szCs w:val="24"/>
        </w:rPr>
        <w:t xml:space="preserve"> </w:t>
      </w:r>
      <w:r w:rsidR="009E5538" w:rsidRPr="00AE4053">
        <w:rPr>
          <w:rFonts w:ascii="Book Antiqua" w:hAnsi="Book Antiqua"/>
          <w:sz w:val="24"/>
          <w:szCs w:val="24"/>
        </w:rPr>
        <w:fldChar w:fldCharType="begin"/>
      </w:r>
      <w:r w:rsidR="008F2F86" w:rsidRPr="00AE4053">
        <w:rPr>
          <w:rFonts w:ascii="Book Antiqua" w:hAnsi="Book Antiqua"/>
          <w:sz w:val="24"/>
          <w:szCs w:val="24"/>
        </w:rPr>
        <w:instrText xml:space="preserve"> ADDIN ZOTERO_ITEM CSL_CITATION {"citationID":"vGrgAOyi","properties":{"formattedCitation":"{\\rtf \\super [11]\\nosupersub{}}","plainCitation":"[11]"},"citationItems":[{"id":4270,"uris":["http://zotero.org/users/271015/items/FVV95HB2"],"uri":["http://zotero.org/users/271015/items/FVV95HB2"],"itemData":{"id":4270,"type":"article-journal","title":"Transient elastography: a meta-analysis of diagnostic accuracy in evaluation of portal hypertension in chronic liver disease","container-title":"Liver International: Official Journal of the International Association for the Study of the Liver","page":"62-71","volume":"33","issue":"1","source":"PubMed","abstract":"OBJECTIVES: Transient elastography (TE), as a non-invasive method, has been studied for evaluation of portal hypertension in patients with chronic liver diseases (CLD) with variable results. We studied the performance of TE for detection of significant portal hypertension, oesophageal varices and large oesophageal varices using meta-analysis.\nMETHODS: PubMed, the Cochrane Library, EMBASE and ISI web of Knowledge were searched. The studies published in English relating to the diagnostic value of TE for significant portal hypertension, oesophageal varices and large oesophageal varices in patients with CLD were collected.\nRESULTS: A total of 18 studies, which included 3644 patients were analysed. Summary sensitivity and specificity were 0.90 (95% confidence interval (CI), 0.81-0.95) and 0.79 (95% CI, 0.58-0.91) for significant portal hypertension, and 0.87 (95% CI, 0.80-0.92) and 0.53 (95% CI, 0.36-0.69) for oesophageal varices and 0.86 (95% CI, 0.71-0.94) and 0.59 (95% CI, 0.45-0.72) for large oesophageal varices respectively. The HSROCs were 0.93 for significant portal hypertension, 0.84 for oesophageal varices and 0.78 for large oesophageal varices respectively. TE was very informative with 81% probability of correctly detection significant portal hypertension following a 'positive' measurement (over the threshold value) and lowering the probability of disease to as low as 11% when 'negative' measurement (below the threshold value) when pre-test probability was 50% whereas, for oesophageal varices or large oesophageal varices, the probability of a correct diagnosis following a 'positive' measurement did not exceeded 70%.\nCONCLUSIONS: TE could be used as a good screening tool for significant portal hypertension, but only moderate diagnostic utility for the prediction of oesophageal varices or large oesophageal varices.","DOI":"10.1111/liv.12003","ISSN":"1478-3231","note":"PMID: 22973991","shortTitle":"Transient elastography","journalAbbreviation":"Liver Int.","language":"eng","author":[{"family":"Shi","given":"Ke-Qing"},{"family":"Fan","given":"Yu-Chen"},{"family":"Pan","given":"Zhen-Zhen"},{"family":"Lin","given":"Xian-Feng"},{"family":"Liu","given":"Wen-Yue"},{"family":"Chen","given":"Yong-Ping"},{"family":"Zheng","given":"Ming-Hua"}],"issued":{"date-parts":[["2013",1]]}}}],"schema":"https://github.com/citation-style-language/schema/raw/master/csl-citation.json"} </w:instrText>
      </w:r>
      <w:r w:rsidR="009E5538" w:rsidRPr="00AE4053">
        <w:rPr>
          <w:rFonts w:ascii="Book Antiqua" w:hAnsi="Book Antiqua"/>
          <w:sz w:val="24"/>
          <w:szCs w:val="24"/>
        </w:rPr>
        <w:fldChar w:fldCharType="separate"/>
      </w:r>
      <w:r w:rsidR="008F2F86" w:rsidRPr="00AE4053">
        <w:rPr>
          <w:rFonts w:ascii="Book Antiqua" w:hAnsi="Book Antiqua"/>
          <w:sz w:val="24"/>
          <w:szCs w:val="24"/>
          <w:vertAlign w:val="superscript"/>
        </w:rPr>
        <w:t>[11]</w:t>
      </w:r>
      <w:r w:rsidR="009E5538" w:rsidRPr="00AE4053">
        <w:rPr>
          <w:rFonts w:ascii="Book Antiqua" w:hAnsi="Book Antiqua"/>
          <w:sz w:val="24"/>
          <w:szCs w:val="24"/>
        </w:rPr>
        <w:fldChar w:fldCharType="end"/>
      </w:r>
      <w:r w:rsidR="008D0A97" w:rsidRPr="00AE4053">
        <w:rPr>
          <w:rFonts w:ascii="Book Antiqua" w:hAnsi="Book Antiqua"/>
          <w:sz w:val="24"/>
          <w:szCs w:val="24"/>
        </w:rPr>
        <w:t xml:space="preserve">. </w:t>
      </w:r>
    </w:p>
    <w:p w14:paraId="494A0E3C" w14:textId="5F894F90" w:rsidR="008D0A97" w:rsidRPr="00AE4053" w:rsidRDefault="00A3237B" w:rsidP="0011288D">
      <w:pPr>
        <w:snapToGrid w:val="0"/>
        <w:spacing w:after="0" w:line="360" w:lineRule="auto"/>
        <w:ind w:firstLineChars="100" w:firstLine="240"/>
        <w:jc w:val="both"/>
        <w:rPr>
          <w:rFonts w:ascii="Book Antiqua" w:hAnsi="Book Antiqua"/>
          <w:sz w:val="24"/>
          <w:szCs w:val="24"/>
        </w:rPr>
      </w:pPr>
      <w:r w:rsidRPr="00AE4053">
        <w:rPr>
          <w:rFonts w:ascii="Book Antiqua" w:hAnsi="Book Antiqua"/>
          <w:sz w:val="24"/>
          <w:szCs w:val="24"/>
        </w:rPr>
        <w:t>Other n</w:t>
      </w:r>
      <w:r w:rsidR="00D63185" w:rsidRPr="00AE4053">
        <w:rPr>
          <w:rFonts w:ascii="Book Antiqua" w:hAnsi="Book Antiqua"/>
          <w:sz w:val="24"/>
          <w:szCs w:val="24"/>
        </w:rPr>
        <w:t xml:space="preserve">ewer and promising noninvasive modalities </w:t>
      </w:r>
      <w:r w:rsidR="0012612E" w:rsidRPr="00AE4053">
        <w:rPr>
          <w:rFonts w:ascii="Book Antiqua" w:hAnsi="Book Antiqua"/>
          <w:sz w:val="24"/>
          <w:szCs w:val="24"/>
        </w:rPr>
        <w:t xml:space="preserve">are </w:t>
      </w:r>
      <w:r w:rsidR="008E13C4" w:rsidRPr="00AE4053">
        <w:rPr>
          <w:rFonts w:ascii="Book Antiqua" w:hAnsi="Book Antiqua"/>
          <w:sz w:val="24"/>
          <w:szCs w:val="24"/>
        </w:rPr>
        <w:t xml:space="preserve">being developed </w:t>
      </w:r>
      <w:r w:rsidR="00D63185" w:rsidRPr="00AE4053">
        <w:rPr>
          <w:rFonts w:ascii="Book Antiqua" w:hAnsi="Book Antiqua"/>
          <w:sz w:val="24"/>
          <w:szCs w:val="24"/>
        </w:rPr>
        <w:t>for d</w:t>
      </w:r>
      <w:r w:rsidR="0012612E" w:rsidRPr="00AE4053">
        <w:rPr>
          <w:rFonts w:ascii="Book Antiqua" w:hAnsi="Book Antiqua"/>
          <w:sz w:val="24"/>
          <w:szCs w:val="24"/>
        </w:rPr>
        <w:t>iagnosing</w:t>
      </w:r>
      <w:r w:rsidR="00D63185" w:rsidRPr="00AE4053">
        <w:rPr>
          <w:rFonts w:ascii="Book Antiqua" w:hAnsi="Book Antiqua"/>
          <w:sz w:val="24"/>
          <w:szCs w:val="24"/>
        </w:rPr>
        <w:t xml:space="preserve"> portal hypertension, </w:t>
      </w:r>
      <w:r w:rsidR="008E13C4" w:rsidRPr="00AE4053">
        <w:rPr>
          <w:rFonts w:ascii="Book Antiqua" w:hAnsi="Book Antiqua"/>
          <w:sz w:val="24"/>
          <w:szCs w:val="24"/>
        </w:rPr>
        <w:t xml:space="preserve">such as </w:t>
      </w:r>
      <w:r w:rsidR="00874451" w:rsidRPr="00AE4053">
        <w:rPr>
          <w:rFonts w:ascii="Book Antiqua" w:hAnsi="Book Antiqua"/>
          <w:sz w:val="24"/>
          <w:szCs w:val="24"/>
        </w:rPr>
        <w:t xml:space="preserve">two-dimensional shear wave </w:t>
      </w:r>
      <w:proofErr w:type="spellStart"/>
      <w:r w:rsidR="00874451" w:rsidRPr="00AE4053">
        <w:rPr>
          <w:rFonts w:ascii="Book Antiqua" w:hAnsi="Book Antiqua"/>
          <w:sz w:val="24"/>
          <w:szCs w:val="24"/>
        </w:rPr>
        <w:t>elastography</w:t>
      </w:r>
      <w:proofErr w:type="spellEnd"/>
      <w:r w:rsidR="00141CD4" w:rsidRPr="00AE4053">
        <w:rPr>
          <w:rFonts w:ascii="Book Antiqua" w:hAnsi="Book Antiqua"/>
          <w:sz w:val="24"/>
          <w:szCs w:val="24"/>
        </w:rPr>
        <w:t xml:space="preserve"> (2D-SWE)</w:t>
      </w:r>
      <w:r w:rsidR="00E72D52" w:rsidRPr="00AE4053">
        <w:rPr>
          <w:rFonts w:ascii="Book Antiqua" w:hAnsi="Book Antiqua"/>
          <w:sz w:val="24"/>
          <w:szCs w:val="24"/>
        </w:rPr>
        <w:fldChar w:fldCharType="begin"/>
      </w:r>
      <w:r w:rsidR="008F2F86" w:rsidRPr="00AE4053">
        <w:rPr>
          <w:rFonts w:ascii="Book Antiqua" w:hAnsi="Book Antiqua"/>
          <w:sz w:val="24"/>
          <w:szCs w:val="24"/>
        </w:rPr>
        <w:instrText xml:space="preserve"> ADDIN ZOTERO_ITEM CSL_CITATION {"citationID":"2k23i8h62u","properties":{"formattedCitation":"{\\rtf \\super [21\\uc0\\u8211{}25]\\nosupersub{}}","plainCitation":"[21–25]"},"citationItems":[{"id":4278,"uris":["http://zotero.org/users/271015/items/D6CJZ3J6"],"uri":["http://zotero.org/users/271015/items/D6CJZ3J6"],"itemData":{"id":4278,"type":"article-journal","title":"Shear-wave elastography: a noninvasive tool for monitoring changing hepatic venous pressure gradients in patients with cirrhosis","container-title":"Radiology","page":"917-926","volume":"273","issue":"3","source":"PubMed","abstract":"PURPOSE: To investigate whether liver stiffness ( LS liver stiffness ) and change in LS liver stiffness measurements ( ΔLS change in LS ) at shear-wave elastography ( SWE shear-wave elastography ) correlates with the hepatic venous pressure gradient ( HVPG hepatic venous pressure gradient ) and to assess the feasibility of using SWE shear-wave elastography to estimate the change in HVPG hepatic venous pressure gradient ( ΔHVPG change in HVPG ) in patients with portal hypertension.\nMATERIALS AND METHODS: Institutional review board approval was obtained, with waiver of informed consent. Between September 2010 and October 2012, 97 consecutive patients who were given a diagnosis of portal hypertension on the basis of HVPG hepatic venous pressure gradient measurement were included. Among these patients, 23 who underwent follow-up HVPG hepatic venous pressure gradient measurement to evaluate response to treatment were included in the follow-up group. The correlation between HVPG hepatic venous pressure gradient and LS liver stiffness was analyzed by using the Pearson correlation test. In the follow-up group, whether ΔHVPG change in HVPG was correlated with ΔLS change in LS was also evaluated. Thereafter, the areas under the receiver operating characteristic curves ( AUC area under the ROC curve s) were calculated to determine the diagnostic performances of ΔLS change in LS and the second LS liver stiffness measurement after medical treatment and to compare their performances in association with clinical improvement and aggravation of portal hypertension.\nRESULTS: LS liver stiffness was moderately correlated with HVPG hepatic venous pressure gradient (r = 0.593) in the single-measurement group. There was also a strong correlation between ΔLS change in LS and ΔHVPG change in HVPG (r = 0.863). At comparison of the second LS liver stiffness measurement, ΔLS change in LS showed no significant difference in AUC area under the ROC curve in patients with improvement (0.627 vs 0.794, P = .201) but showed higher AUC area under the ROC curve in association with aggravation of portal hypertension (0.925 vs 0.611, P = .026).\nCONCLUSION: Estimating ΔHVPG change in HVPG by using SWE shear-wave elastography may be useful in patients with cirrhosis and portal hypertension.","DOI":"10.1148/radiol.14140008","ISSN":"1527-1315","note":"PMID: 25025464","shortTitle":"Shear-wave elastography","journalAbbreviation":"Radiology","language":"eng","author":[{"family":"Choi","given":"Seo-Youn"},{"family":"Jeong","given":"Woo Kyoung"},{"family":"Kim","given":"Yongsoo"},{"family":"Kim","given":"Jinoo"},{"family":"Kim","given":"Tae Yeob"},{"family":"Sohn","given":"Joo Hyun"}],"issued":{"date-parts":[["2014",12]]}},"label":"page"},{"id":4276,"uris":["http://zotero.org/users/271015/items/5WSNDMHI"],"uri":["http://zotero.org/users/271015/items/5WSNDMHI"],"itemData":{"id":4276,"type":"article-journal","title":"Evaluation of portal hypertension by real-time shear wave elastography in cirrhotic patients","container-title":"Liver International: Official Journal of the International Association for the Study of the Liver","page":"2416-2424","volume":"35","issue":"11","source":"PubMed","abstract":"BACKGROUND &amp; AIMS: To assess the correlation between liver stiffness measurement (LSM) by real-time shear wave elastography (SWE) and hepatic venous pressure gradient (HVPG) and to investigate the diagnostic performance of SWE for predicting clinically significant and severe portal hypertension (CSPH and SPH).\nMETHODS: Clinical data of 115 cirrhotic patients with haemodynamic measurement were consecutively collected. Liver stiffness (LS) was measured using SWE by repeated performance five times per patient, and the median value and interquartile range of the parameters on the same day of HVPG measurement was calculated. CSPH and SPH were defined as a HVPG ≥10 mmHg and ≥12 mmHg respectively.\nRESULTS: A total of 92 patients (male, 63; mean age, 53 ± 11.9 years) were eligible for analysis. CSPH and SPH were detected in 77 patients (83.7%) and 66 patients (71.5%) respectively. HVPG were significantly correlated with LSM in the overall, CSPH, and SPH patients (r = 0.646, 0.574 and 0.424 respectively; all P &lt; 0.001). With ascites, the correlation coefficient did not decrease (r = 0.587). The AUROCs of LSM was 0.819 (95% CI, 0.725-0.892) for CSPH and 0.867 (95% CI, 0.780-0.928) for SPH. The cut-off values for determining CSPH and SPH were 15.2 kPa (Sensitivity, 85.7%; Specificity, 80.0%) and 21.6 kPa (Sensitivity, 83.3%; Specificity, 80.8%) respectively.\nCONCLUSION: In cirrhotic patients, LSM by SWE is highly correlated with HVPG value regardless of ascites. SWE is a new reliable non-invasive diagnostic tool to predict CSPH and SPH, even in cirrhotic patients with ascites.","DOI":"10.1111/liv.12846","ISSN":"1478-3231","note":"PMID: 25875718","journalAbbreviation":"Liver Int.","language":"eng","author":[{"family":"Kim","given":"Tae Yeob"},{"family":"Jeong","given":"Woo Kyoung"},{"family":"Sohn","given":"Joo Hyun"},{"family":"Kim","given":"Jinoo"},{"family":"Kim","given":"Min Yeong"},{"family":"Kim","given":"Yongsoo"}],"issued":{"date-parts":[["2015",11]]}},"label":"page"},{"id":4274,"uris":["http://zotero.org/users/271015/items/VT2DDVAE"],"uri":["http://zotero.org/users/271015/items/VT2DDVAE"],"itemData":{"id":4274,"type":"article-journal","title":"Shear-wave Elastography of the liver and spleen identifies clinically significant portal hypertension: a prospective multi-center study","container-title":"Liver International: Official Journal of the International Association for the Study of the Liver","source":"PubMed","abstract":"BACKGROUND AND AIMS: Clinically significant portal hypertension (CSPH) is associated with severe complications and decompensation of liver cirrhosis. Liver stiffness measured either by transient elastography (TE) or Shear-wave elastography (SWE) and spleen stiffness by TE might be helpful in the diagnosis of CSPH. We recently showed the algorithm to rule-out CSPH by using sequential liver- (L-SWE) and spleen-Shear-wave elastography (S-SWE). This study investigated the diagnostic value of S-SWE for diagnosis of CSPH.\nMETHODS: 158 cirrhotic patients with pressure gradient measurements were included into this prospective multicenter study. L-SWE was measured in 155 patients, S-SWE in 112 patients, and both in 109 patients.\nRESULTS: L-SWE and S-SWE correlated with clinical events and decompensation. SWE of liver and spleen revealed strong correlations with the pressure gradient and to differentiate between patients with and without CSPH. The best cut-off values were 24.6kPa:L-SWE and 26.3kPa:S-SWE. L-SWE≤16.0kPa and S-SWE≤21.7kPa were able to rule-out CSPH. Cut-off values of L-SWE&gt;29.5kPa and S-SWE&gt;35.6kPa were able to rule-in CSPH (specificity&gt; 92%). Patients with a L-SWE&gt;38.0kPa had likely CSPH. In patients with L-SWE≤38.0kPa, a S-SWE&gt;27.9kPa ruled in CSPH. This algorithm has a sensitivity of 89.2% and a specificity of 91.4% to rule-in CSPH. Patients not full-filling these criteria should undergo HVPG-measurement.\nCONCLUSIONS: Liver and spleen SWE correlates with portal pressure and can both be used as a non-invasive method to suggest CSPH. Even though external validation is still missing, these algorithms to rule-out and rule-in CSPH using sequential SWE of liver and spleen might change the clinical practice. This article is protected by copyright. All rights reserved.","DOI":"10.1111/liv.13243","ISSN":"1478-3231","note":"PMID: 27569696","shortTitle":"Shear-wave Elastography of the liver and spleen identifies clinically significant portal hypertension","journalAbbreviation":"Liver Int.","language":"ENG","author":[{"family":"Jansen","given":"Christian"},{"family":"Bogs","given":"Christopher"},{"family":"Verlinden","given":"Wim"},{"family":"Thiele","given":"Maja"},{"family":"Möller","given":"Philipp"},{"family":"Görtzen","given":"Jan"},{"family":"Lehmann","given":"Jennifer"},{"family":"Vanwolleghem","given":"Thomas"},{"family":"Vonghia","given":"Luisa"},{"family":"Praktiknjo","given":"Michael"},{"family":"Chang","given":"Johannes"},{"family":"Krag","given":"Aleksander"},{"family":"Strassburg","given":"Christian P."},{"family":"Francque","given":"Sven"},{"family":"Trebicka","given":"Jonel"}],"issued":{"date-parts":[["2016",8,29]]}},"label":"page"},{"id":4268,"uris":["http://zotero.org/users/271015/items/A8DP8B72"],"uri":["http://zotero.org/users/271015/items/A8DP8B72"],"itemData":{"id":4268,"type":"article-journal","title":"Real-time shear-wave elastography: applicability, reliability and accuracy for clinically significant portal hypertension","container-title":"Journal of Hepatology","page":"1068-1075","volume":"62","issue":"5","source":"PubMed","abstract":"BACKGROUND &amp; AIMS: Real-time shear wave elastography (RT-SWE) might be useful to assess the severity of portal hypertension; reliability criteria for measurement are needed.\nMETHODS: We prospectively included 88 consecutive patients undergoing hepatic venous pressure gradient measurement (HVPG, reference standard) for portal hypertension. Liver stiffness (LS) was measured by RT-SWE and by transient elastography (TE). Spleen stiffness (SS) was measured by RT-SWE. Reliability criteria for RT-SWE were searched, and the accuracy of these techniques to identify HVPG </w:instrText>
      </w:r>
      <w:r w:rsidR="008F2F86" w:rsidRPr="00AE4053">
        <w:rPr>
          <w:rFonts w:ascii="Cambria Math" w:hAnsi="Cambria Math" w:cs="Cambria Math"/>
          <w:sz w:val="24"/>
          <w:szCs w:val="24"/>
        </w:rPr>
        <w:instrText>⩾</w:instrText>
      </w:r>
      <w:r w:rsidR="008F2F86" w:rsidRPr="00AE4053">
        <w:rPr>
          <w:rFonts w:ascii="Book Antiqua" w:hAnsi="Book Antiqua"/>
          <w:sz w:val="24"/>
          <w:szCs w:val="24"/>
        </w:rPr>
        <w:instrText xml:space="preserve">10mmHg (clinically significant portal hypertension, CSPH) was tested and internally validated by bootstrapping analysis.\nRESULTS: LS and SS by RT-SWE were feasible respectively in 87 (99%) and 58 (66%) patients. Both correlated with HVPG (LS: R=0.611, p&lt;0.0001 and SS: R=0.514, p&lt;0.0001). LS performed well for diagnosing CSPH (optimism corrected AUROC=0.858). Reliability of measurements was influenced by standard deviation (SD)/median ratio and depth. SD/median </w:instrText>
      </w:r>
      <w:r w:rsidR="008F2F86" w:rsidRPr="00AE4053">
        <w:rPr>
          <w:rFonts w:ascii="Cambria Math" w:hAnsi="Cambria Math" w:cs="Cambria Math"/>
          <w:sz w:val="24"/>
          <w:szCs w:val="24"/>
        </w:rPr>
        <w:instrText>⩽</w:instrText>
      </w:r>
      <w:r w:rsidR="008F2F86" w:rsidRPr="00AE4053">
        <w:rPr>
          <w:rFonts w:ascii="Book Antiqua" w:hAnsi="Book Antiqua"/>
          <w:sz w:val="24"/>
          <w:szCs w:val="24"/>
        </w:rPr>
        <w:instrText xml:space="preserve">0.10 and depth of measurement &lt;5.6cm were associated to 96.3% well classified for CSPH, while when one or none of the criteria were fulfilled the rates were 76.4% and 44.4%, respectively. Measurements fulfilling at least one criterion were considered acceptable; in these patients, RT-SWE performance to detect CSPH was excellent (AUROC=0.939; 95% CI: 0.865-1.000; p&lt;0.0001; best cut-off: 15.4kPa). LS by RT-SWE and by TE were strongly correlated (R=0.795, p&lt;0.0001) and performed similarly both in \"per protocol\" and in \"intention-to-diagnose\" analysis after applying reliability criteria.\nCONCLUSIONS: LS by RT-SWE is an accurate method to diagnose CSPH if reliability criteria (SD/median </w:instrText>
      </w:r>
      <w:r w:rsidR="008F2F86" w:rsidRPr="00AE4053">
        <w:rPr>
          <w:rFonts w:ascii="Cambria Math" w:hAnsi="Cambria Math" w:cs="Cambria Math"/>
          <w:sz w:val="24"/>
          <w:szCs w:val="24"/>
        </w:rPr>
        <w:instrText>⩽</w:instrText>
      </w:r>
      <w:r w:rsidR="008F2F86" w:rsidRPr="00AE4053">
        <w:rPr>
          <w:rFonts w:ascii="Book Antiqua" w:hAnsi="Book Antiqua"/>
          <w:sz w:val="24"/>
          <w:szCs w:val="24"/>
        </w:rPr>
        <w:instrText xml:space="preserve">0.10 and/or depth &lt;5.6cm) are fulfilled.","DOI":"10.1016/j.jhep.2014.12.007","ISSN":"1600-0641","note":"PMID: 25514554","shortTitle":"Real-time shear-wave elastography","journalAbbreviation":"J. Hepatol.","language":"eng","author":[{"family":"Procopet","given":"Bogdan"},{"family":"Berzigotti","given":"Annalisa"},{"family":"Abraldes","given":"Juan G."},{"family":"Turon","given":"Fanny"},{"family":"Hernandez-Gea","given":"Virginia"},{"family":"García-Pagán","given":"Juan Carlos"},{"family":"Bosch","given":"Jaime"}],"issued":{"date-parts":[["2015",5]]}},"label":"page"},{"id":4231,"uris":["http://zotero.org/users/271015/items/AWMWMVAQ"],"uri":["http://zotero.org/users/271015/items/AWMWMVAQ"],"itemData":{"id":4231,"type":"article-journal","title":"Prospective comparison of spleen and liver stiffness by using shear-wave and transient elastography for detection of portal hypertension in cirrhosis","container-title":"Radiology","page":"589-598","volume":"275","issue":"2","source":"PubMed","abstract":"PURPOSE: To prospectively compare the technical success rate and accuracy of shear-wave elastography (SWE) and transient elastography (TE) for the detection of clinically significant portal hypertension (PH) in patients with advanced cirrhosis who are undergoing hepatic vein pressure gradient (HVPG) measurements.\nMATERIALS AND METHODS: The institutional ethics committee approved the study, and written informed consent was obtained. Seventy-nine consecutive patients with cirrhosis who were undergoing SWE and TE at the time of HVPG measurement were studied. The technical success rate of SWE and TE was compared with the diagnostic value of liver stiffness (LS) and spleen stiffness (SS) measurements and composite scores (LS spleen-diameter-to-platelet-ratio score [LSPS] and PH risk score) by using SWE and TE to detect clinically significant PH (HVPG ≥ 10 mm Hg) and esophageal varices at high risk of bleeding. Areas under the receiver operating characteristic curve and the DeLong test were used.\nRESULTS: The technical success rate of SWE was significantly better than that of TE for both LS and SS (97% and 97% vs 44% and 42%, respectively; P &lt; .001). LS of more than 24.6 kPa with SWE had a sensitivity, specificity, and accuracy for clinically significant PH of 81%, 88%, and 82%, respectively. Diagnostic performance of LS by using SWE was significantly better than that for SS for the diagnosis of clinically significant PH (area under the receiver operating characteristic curve of 0.87 vs 0.64, P = .003). LS, SS, LSPS, and PH risk score (according to SWE or TE) did not differ between patients with and those without high-risk esophageal varices (P = .09-.42).\nCONCLUSION: In patients with advanced cirrhosis who are undergoing HVPG measurements, LS measurements obtained by using SWE have a higher technical success rate and a better diagnostic value than TE for clinically significant PH.","DOI":"10.1148/radiol.14141210","ISSN":"1527-1315","note":"PMID: 25469784","journalAbbreviation":"Radiology","language":"eng","author":[{"family":"Elkrief","given":"Laure"},{"family":"Rautou","given":"Pierre-Emmanuel"},{"family":"Ronot","given":"Maxime"},{"family":"Lambert","given":"Simon"},{"family":"Dioguardi Burgio","given":"Marco"},{"family":"Francoz","given":"Claire"},{"family":"Plessier","given":"Aurélie"},{"family":"Durand","given":"François"},{"family":"Valla","given":"Dominique"},{"family":"Lebrec","given":"Didier"},{"family":"Vilgrain","given":"Valérie"},{"family":"Castéra","given":"Laurent"}],"issued":{"date-parts":[["2015",5]]}},"label":"page"}],"schema":"https://github.com/citation-style-language/schema/raw/master/csl-citation.json"} </w:instrText>
      </w:r>
      <w:r w:rsidR="00E72D52" w:rsidRPr="00AE4053">
        <w:rPr>
          <w:rFonts w:ascii="Book Antiqua" w:hAnsi="Book Antiqua"/>
          <w:sz w:val="24"/>
          <w:szCs w:val="24"/>
        </w:rPr>
        <w:fldChar w:fldCharType="separate"/>
      </w:r>
      <w:r w:rsidR="008F2F86" w:rsidRPr="00AE4053">
        <w:rPr>
          <w:rFonts w:ascii="Book Antiqua" w:hAnsi="Book Antiqua"/>
          <w:sz w:val="24"/>
          <w:szCs w:val="24"/>
          <w:vertAlign w:val="superscript"/>
        </w:rPr>
        <w:t>[21–25]</w:t>
      </w:r>
      <w:r w:rsidR="00E72D52" w:rsidRPr="00AE4053">
        <w:rPr>
          <w:rFonts w:ascii="Book Antiqua" w:hAnsi="Book Antiqua"/>
          <w:sz w:val="24"/>
          <w:szCs w:val="24"/>
        </w:rPr>
        <w:fldChar w:fldCharType="end"/>
      </w:r>
      <w:r w:rsidR="00040067" w:rsidRPr="00AE4053">
        <w:rPr>
          <w:rFonts w:ascii="Book Antiqua" w:hAnsi="Book Antiqua"/>
          <w:sz w:val="24"/>
          <w:szCs w:val="24"/>
        </w:rPr>
        <w:t>;</w:t>
      </w:r>
      <w:r w:rsidR="00141CD4" w:rsidRPr="00AE4053">
        <w:rPr>
          <w:rFonts w:ascii="Book Antiqua" w:hAnsi="Book Antiqua"/>
          <w:sz w:val="24"/>
          <w:szCs w:val="24"/>
        </w:rPr>
        <w:t xml:space="preserve"> </w:t>
      </w:r>
      <w:r w:rsidR="00040067" w:rsidRPr="00AE4053">
        <w:rPr>
          <w:rFonts w:ascii="Book Antiqua" w:hAnsi="Book Antiqua"/>
          <w:sz w:val="24"/>
          <w:szCs w:val="24"/>
        </w:rPr>
        <w:t>a</w:t>
      </w:r>
      <w:r w:rsidR="00C36F26" w:rsidRPr="00AE4053">
        <w:rPr>
          <w:rFonts w:ascii="Book Antiqua" w:hAnsi="Book Antiqua"/>
          <w:sz w:val="24"/>
          <w:szCs w:val="24"/>
        </w:rPr>
        <w:t>coustic radiation force impulse</w:t>
      </w:r>
      <w:r w:rsidR="008E7A2E">
        <w:rPr>
          <w:rFonts w:ascii="Book Antiqua" w:hAnsi="Book Antiqua"/>
          <w:sz w:val="24"/>
          <w:szCs w:val="24"/>
        </w:rPr>
        <w:t xml:space="preserve"> (ARFI)</w:t>
      </w:r>
      <w:r w:rsidR="00040067" w:rsidRPr="00AE4053">
        <w:rPr>
          <w:rFonts w:ascii="Book Antiqua" w:hAnsi="Book Antiqua"/>
          <w:sz w:val="24"/>
          <w:szCs w:val="24"/>
        </w:rPr>
        <w:fldChar w:fldCharType="begin"/>
      </w:r>
      <w:r w:rsidR="008F2F86" w:rsidRPr="00AE4053">
        <w:rPr>
          <w:rFonts w:ascii="Book Antiqua" w:hAnsi="Book Antiqua"/>
          <w:sz w:val="24"/>
          <w:szCs w:val="24"/>
        </w:rPr>
        <w:instrText xml:space="preserve"> ADDIN ZOTERO_ITEM CSL_CITATION {"citationID":"l7ZAW8mV","properties":{"formattedCitation":"{\\rtf \\super [26\\uc0\\u8211{}28]\\nosupersub{}}","plainCitation":"[26–28]"},"citationItems":[{"id":4282,"uris":["http://zotero.org/users/271015/items/8IEQD8C8"],"uri":["http://zotero.org/users/271015/items/8IEQD8C8"],"itemData":{"id":4282,"type":"article-journal","title":"Evaluation of Liver and Spleen Stiffness with Acoustic Radiation Force Impulse Quantification Elastography for Diagnosing Clinically Significant Portal Hypertension","container-title":"Ultraschall in Der Medizin (Stuttgart, Germany: 1980)","page":"603-610","volume":"36","issue":"6","source":"PubMed","abstract":"PURPOSE: Hepatic vein pressure gradient (HVPG) is the gold standard for diagnosing clinically significant portal hypertension (CSPH). The aim of this study was to investigate-in comparison to HVPG-the ability to diagnose CSPH by liver and spleen stiffness measurements obtained by acoustic radiation force impulse (ARFI) imaging.\nMATERIALS AND METHODS: A total of 78 patients (mean age: 53</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13 years, 62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 male) with chronic liver disease were enrolled in this study. Each patient received liver (LSM) and spleen (SSM) stiffness measurements by ARFI, an HVPG measurement and a transjugular liver biopsy on the same day. Patients were classified according to their HVPG into three different groups: HVPG &lt;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10</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10-&lt;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and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mmHg.\nRESULTS: LSM, SSM were significantly higher in patients with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10</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12 in comparison to HVPG &lt;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10</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(p</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0.001 and p</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0.001, respectively), and in patients with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in comparison to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10</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(p</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0.001 and p</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0.001, respectively). LSM and SSM were able to diagnose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10</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and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with high diagnostic performance (AUC LSM: 0.93 and 0.87, respectively; AUC SSM: 0.97 and 0.95, respectively). The AUC of SSM in predicting esophageal varices (EVs) plus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10</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and EVs plus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were higher compared to LSM in both groups of patients (SSM: 0.90 and 0.93 vs. LSM: 0.84 and 0.88, respectively). No significant difference between both AUCs was detected in the different HVPG groups. In the multivariate -analysis SSM remained a factor predicting HVPG (HVPG &gt;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10</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p</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0.007;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p</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0.003).\nCONCLUSION: LSM and SSM by ARFI are noninvasive diagnostic tools that may help in diagnosing CSPH. LSM and SSM could be used as a guiding noninvasive screening tool in patients with esophageal varices requiring endoscopic evaluation.","DOI":"10.1055/s-0041-107971","ISSN":"1438-8782","note":"PMID: 26565516","journalAbbreviation":"Ultraschall Med","language":"eng","author":[{"family":"Attia","given":"D."},{"family":"Schoenemeier","given":"B."},{"family":"Rodt","given":"T."},{"family":"Negm","given":"A. A."},{"family":"Lenzen","given":"H."},{"family":"Lankisch","given":"T. O."},{"family":"Manns","given":"M."},{"family":"Gebel","given":"M."},{"family":"Potthoff","given":"A."}],"issued":{"date-parts":[["2015",12]]}},"label":"page"},{"id":4280,"uris":["http://zotero.org/users/271015/items/D7WJCQER"],"uri":["http://zotero.org/users/271015/items/D7WJCQER"],"itemData":{"id":4280,"type":"article-journal","title":"Portal Hypertension in Patients with Liver Cirrhosis: Diagnostic Accuracy of Spleen Stiffness","container-title":"Radiology","page":"609-619","volume":"279","issue":"2","source":"PubMed","abstract":"PURPOSE: To evaluate the accuracy of spleen stiffness (SS) and liver stiffness (LS) measured by using acoustic radiation force impulse imaging in the diagnosis of portal hypertension in patients with liver cirrhosis, with the hepatic venous pressure gradient (HVPG) as a reference standard.\nMATERIALS AND METHODS: Institutional review board approval and informed consent were obtained for this prospective single-center study. From February 2012 to August 2013, 60 patients with liver cirrhosis (mean age, 70.8 years; age range, 34-88 years; 34 men, 26 women) with HVPG, LS, and SS measurements and gastrointestinal endoscopy and laboratory data were included if they met the following criteria: no recent episodes of gastrointestinal bleeding, no history of splenectomy, no history of partial splenic embolization, no history of β-blocker therapy, and absence of portal thrombosis. The efficacy of the parameters for the evaluation of portal hypertension was analyzed by using the Spearman rank-order correlation coefficient and receiver operating characteristic (ROC) curve analysis.\nRESULTS: The correlation coefficient between SS and HVPG (r = 0.876) was significantly better than that between LS and HVPG (r = 0.609, P &lt; .0001). The areas under the ROC curve of SS for the identification of clinically important portal hypertension (HVPG ≥ 10 mm Hg), severe portal hypertension (HVPG ≥ 12 mm Hg), esophageal varices (EVs), and high-risk EVs were significantly higher (0.943, 0.963, 0.937, and 0.955, respectively) than those of LS, spleen diameter, platelet count, and platelet count to spleen diameter ratio (P &lt; .05 for all). SS could be used to accurately rule out the presence of clinically important portal hypertension, severe portal hypertension, EVs, and high-risk EVs (negative likelihood ratios, 0.051, 0.056, 0.054, and 0.074, respectively).\nCONCLUSION: SS is reliable and has better diagnostic performance than LS for identifying portal hypertension in liver cirrhosis.","DOI":"10.1148/radiol.2015150690","ISSN":"1527-1315","note":"PMID: 26588019","shortTitle":"Portal Hypertension in Patients with Liver Cirrhosis","journalAbbreviation":"Radiology","language":"eng","author":[{"family":"Takuma","given":"Yoshitaka"},{"family":"Nouso","given":"Kazuhiro"},{"family":"Morimoto","given":"Youichi"},{"family":"Tomokuni","given":"Junko"},{"family":"Sahara","given":"Akiko"},{"family":"Takabatake","given":"Hiroyuki"},{"family":"Matsueda","given":"Kazuhiro"},{"family":"Yamamoto","given":"Hiroshi"}],"issued":{"date-parts":[["2016",5]]}},"label":"page"},{"id":4235,"uris":["http://zotero.org/users/271015/items/PE97WGWX"],"uri":["http://zotero.org/users/271015/items/PE97WGWX"],"itemData":{"id":4235,"type":"article-journal","title":"Evaluation of portal hypertension and varices by acoustic radiation force impulse imaging of the liver compared to transient elastography and AST to platelet ratio index","container-title":"Ultraschall in Der Medizin (Stuttgart, Germany: 1980)","page":"528-533","volume":"35","issue":"6","source":"PubMed","abstract":"BACKGROUND: Acoustic radiation force impulse imaging (ARFI) is a new method of liver stiffness measurement (LSM). The aim was to compare ARFI, transient elastography (TE) and AST to platelet ratio index (APRI) for the noninvasive diagnosis of clinically significant portal hypertension (CSPH, hepatic venous pressure gradient;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10 mmHg) and esophageal varices (EV).\nMATERIALS AND METHODS: LSM via ARFI and TE was performed in 88 consecutive patients with cirrhosis prior to HVPG measurement. The mean liver stiffness for ARFI was calculated out of 5 measurements for each lobe.\nRESULTS: LSM by TE and ARFI was not successful in 22 (25%) patients and 1 (1</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 patient, respectively, due to ascites or obesity. Both TE (r</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0.765; p</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0.001) and ARFI (r</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0.646; p</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 xml:space="preserve">0.001) correlated significantly with HVPG. At the optimal cut-off (16.8 kPa), TE (area under the curve, AUC 0.870) yielded a sensitivity and specificity of 89.7% and 75%, respectively, for predicting CSPH. At the optimal cut-off (2.58 m/s), the sensitivity and specificity for ARFI (AUC 0.855) were 71.4% and 87.5%, respectively. Using an APRI (AUC 0.838), the sensitivity and specificity were 69% and 87.5%, respectively. The AUC for the diagnosis of EV was 0.802 for TE (cut-off: 27.9 kPa), 0.743 for ARFI (cut-off: 2.74 m/s), and 0.805 for APRI (cut-off: 1.90).\nCONCLUSION: ARFI shows a higher applicability particularly in obese and ascitic patients. All three investigated methods show a high diagnostic accuracy for CSPH. Notably, APRI performed not significantly different compared to ARFI for the diagnosis of CSPH.","DOI":"10.1055/s-0034-1366506","ISSN":"1438-8782","note":"PMID: 24871695","journalAbbreviation":"Ultraschall Med","language":"eng","author":[{"family":"Salzl","given":"P."},{"family":"Reiberger","given":"T."},{"family":"Ferlitsch","given":"M."},{"family":"Payer","given":"B. A."},{"family":"Schwengerer","given":"B."},{"family":"Trauner","given":"M."},{"family":"Peck-Radosavljevic","given":"M."},{"family":"Ferlitsch","given":"A."}],"issued":{"date-parts":[["2014",12]]}},"label":"page"}],"schema":"https://github.com/citation-style-language/schema/raw/master/csl-citation.json"} </w:instrText>
      </w:r>
      <w:r w:rsidR="00040067" w:rsidRPr="00AE4053">
        <w:rPr>
          <w:rFonts w:ascii="Book Antiqua" w:hAnsi="Book Antiqua"/>
          <w:sz w:val="24"/>
          <w:szCs w:val="24"/>
        </w:rPr>
        <w:fldChar w:fldCharType="separate"/>
      </w:r>
      <w:r w:rsidR="008F2F86" w:rsidRPr="00AE4053">
        <w:rPr>
          <w:rFonts w:ascii="Book Antiqua" w:hAnsi="Book Antiqua"/>
          <w:sz w:val="24"/>
          <w:szCs w:val="24"/>
          <w:vertAlign w:val="superscript"/>
        </w:rPr>
        <w:t>[26</w:t>
      </w:r>
      <w:r w:rsidR="008E7A2E">
        <w:rPr>
          <w:rFonts w:ascii="Book Antiqua" w:hAnsi="Book Antiqua"/>
          <w:sz w:val="24"/>
          <w:szCs w:val="24"/>
          <w:vertAlign w:val="superscript"/>
        </w:rPr>
        <w:t>-</w:t>
      </w:r>
      <w:r w:rsidR="008F2F86" w:rsidRPr="00AE4053">
        <w:rPr>
          <w:rFonts w:ascii="Book Antiqua" w:hAnsi="Book Antiqua"/>
          <w:sz w:val="24"/>
          <w:szCs w:val="24"/>
          <w:vertAlign w:val="superscript"/>
        </w:rPr>
        <w:t>28]</w:t>
      </w:r>
      <w:r w:rsidR="00040067" w:rsidRPr="00AE4053">
        <w:rPr>
          <w:rFonts w:ascii="Book Antiqua" w:hAnsi="Book Antiqua"/>
          <w:sz w:val="24"/>
          <w:szCs w:val="24"/>
        </w:rPr>
        <w:fldChar w:fldCharType="end"/>
      </w:r>
      <w:r w:rsidR="00040067" w:rsidRPr="00AE4053">
        <w:rPr>
          <w:rFonts w:ascii="Book Antiqua" w:hAnsi="Book Antiqua"/>
          <w:sz w:val="24"/>
          <w:szCs w:val="24"/>
        </w:rPr>
        <w:t xml:space="preserve">; VITRO Score (Von </w:t>
      </w:r>
      <w:proofErr w:type="spellStart"/>
      <w:r w:rsidR="00040067" w:rsidRPr="00AE4053">
        <w:rPr>
          <w:rFonts w:ascii="Book Antiqua" w:hAnsi="Book Antiqua"/>
          <w:sz w:val="24"/>
          <w:szCs w:val="24"/>
        </w:rPr>
        <w:t>Willebrand</w:t>
      </w:r>
      <w:proofErr w:type="spellEnd"/>
      <w:r w:rsidR="00040067" w:rsidRPr="00AE4053">
        <w:rPr>
          <w:rFonts w:ascii="Book Antiqua" w:hAnsi="Book Antiqua"/>
          <w:sz w:val="24"/>
          <w:szCs w:val="24"/>
        </w:rPr>
        <w:t xml:space="preserve"> Fa</w:t>
      </w:r>
      <w:r w:rsidR="008E7A2E">
        <w:rPr>
          <w:rFonts w:ascii="Book Antiqua" w:hAnsi="Book Antiqua"/>
          <w:sz w:val="24"/>
          <w:szCs w:val="24"/>
        </w:rPr>
        <w:t>ctor Antigen/Thrombocyte Ratio)</w:t>
      </w:r>
      <w:r w:rsidR="0012612E" w:rsidRPr="00AE4053">
        <w:rPr>
          <w:rFonts w:ascii="Book Antiqua" w:hAnsi="Book Antiqua"/>
          <w:sz w:val="24"/>
          <w:szCs w:val="24"/>
        </w:rPr>
        <w:fldChar w:fldCharType="begin"/>
      </w:r>
      <w:r w:rsidR="008F2F86" w:rsidRPr="00AE4053">
        <w:rPr>
          <w:rFonts w:ascii="Book Antiqua" w:hAnsi="Book Antiqua"/>
          <w:sz w:val="24"/>
          <w:szCs w:val="24"/>
        </w:rPr>
        <w:instrText xml:space="preserve"> ADDIN ZOTERO_ITEM CSL_CITATION {"citationID":"d4zhdV4y","properties":{"formattedCitation":"{\\rtf \\super [29]\\nosupersub{}}","plainCitation":"[29]"},"citationItems":[{"id":4246,"uris":["http://zotero.org/users/271015/items/XEJ88G9V"],"uri":["http://zotero.org/users/271015/items/XEJ88G9V"],"itemData":{"id":4246,"type":"article-journal","title":"The VITRO Score (Von Willebrand Factor Antigen/Thrombocyte Ratio) as a New Marker for Clinically Significant Portal Hypertension in Comparison to Other Non-Invasive Parameters of Fibrosis Including ELF Test","container-title":"PloS One","page":"e0149230","volume":"11","issue":"2","source":"PubMed","abstract":"BACKGROUND: Clinically significant portal hypertension (CSPH), defined as hepatic venous pressure gradient (HVPG) ≥10 mmHg, causes major complications. HVPG is not always available, so a non-invasive tool to diagnose CSPH would be useful. VWF-Ag can be used to diagnose. Using the VITRO score (the VWF-Ag/platelet ratio) instead of VWF-Ag itself improves the diagnostic accuracy of detecting cirrhosis/ fibrosis in HCV patients.\nAIM: This study tested the diagnostic accuracy of VITRO score detecting CSPH compared to HVPG measurement.\nMETHODS: All patients underwent HVPG testing and were categorised as CSPH or no CSPH. The following patient data were determined: CPS, D'Amico stage, VITRO score, APRI and transient elastography (TE).\nRESULTS: The analysis included 236 patients; 170 (72%) were male, and the median age was 57.9 (35.2-76.3; 95% CI). Disease aetiology included ALD (39.4%), HCV (23.4%), NASH (12.3%), other (8.1%) and unknown (11.9%). The CPS showed 140 patients (59.3%) with CPS A; 56 (23.7%) with CPS B; and 18 (7.6%) with CPS C. 136 patients (57.6%) had compensated and 100 (42.4%) had decompensated cirrhosis; 83.9% had HVPG ≥10 mmHg. The VWF-Ag and the VITRO score increased significantly with worsening HVPG categories (P&lt;0.0001). ROC analysis was performed for the detection of CSPH and showed AUC values of 0.92 for TE, 0.86 for VITRO score, 0.79 for VWF-Ag, 0.68 for ELF and 0.62 for APRI.\nCONCLUSION: The VITRO score is an easy way to diagnose CSPH independently of CPS in routine clinical work and may improve the management of patients with cirrhosis.","DOI":"10.1371/journal.pone.0149230","ISSN":"1932-6203","note":"PMID: 26895398\nPMCID: PMC4760704","journalAbbreviation":"PLoS ONE","language":"eng","author":[{"family":"Hametner","given":"Stephanie"},{"family":"Ferlitsch","given":"Arnulf"},{"family":"Ferlitsch","given":"Monika"},{"family":"Etschmaier","given":"Alexandra"},{"family":"Schöfl","given":"Rainer"},{"family":"Ziachehabi","given":"Alexander"},{"family":"Maieron","given":"Andreas"}],"issued":{"date-parts":[["2016"]]}}}],"schema":"https://github.com/citation-style-language/schema/raw/master/csl-citation.json"} </w:instrText>
      </w:r>
      <w:r w:rsidR="0012612E" w:rsidRPr="00AE4053">
        <w:rPr>
          <w:rFonts w:ascii="Book Antiqua" w:hAnsi="Book Antiqua"/>
          <w:sz w:val="24"/>
          <w:szCs w:val="24"/>
        </w:rPr>
        <w:fldChar w:fldCharType="separate"/>
      </w:r>
      <w:r w:rsidR="008F2F86" w:rsidRPr="00AE4053">
        <w:rPr>
          <w:rFonts w:ascii="Book Antiqua" w:hAnsi="Book Antiqua"/>
          <w:sz w:val="24"/>
          <w:szCs w:val="24"/>
          <w:vertAlign w:val="superscript"/>
        </w:rPr>
        <w:t>[29]</w:t>
      </w:r>
      <w:r w:rsidR="0012612E" w:rsidRPr="00AE4053">
        <w:rPr>
          <w:rFonts w:ascii="Book Antiqua" w:hAnsi="Book Antiqua"/>
          <w:sz w:val="24"/>
          <w:szCs w:val="24"/>
        </w:rPr>
        <w:fldChar w:fldCharType="end"/>
      </w:r>
      <w:r w:rsidR="0012612E" w:rsidRPr="00AE4053">
        <w:rPr>
          <w:rFonts w:ascii="Book Antiqua" w:hAnsi="Book Antiqua"/>
          <w:sz w:val="24"/>
          <w:szCs w:val="24"/>
        </w:rPr>
        <w:t>; aspartate aminotransfer</w:t>
      </w:r>
      <w:r w:rsidR="008E7A2E">
        <w:rPr>
          <w:rFonts w:ascii="Book Antiqua" w:hAnsi="Book Antiqua"/>
          <w:sz w:val="24"/>
          <w:szCs w:val="24"/>
        </w:rPr>
        <w:t>ase/platelet ratio index (APRI)</w:t>
      </w:r>
      <w:r w:rsidR="0012612E" w:rsidRPr="00AE4053">
        <w:rPr>
          <w:rFonts w:ascii="Book Antiqua" w:hAnsi="Book Antiqua"/>
          <w:sz w:val="24"/>
          <w:szCs w:val="24"/>
        </w:rPr>
        <w:fldChar w:fldCharType="begin"/>
      </w:r>
      <w:r w:rsidR="008F2F86" w:rsidRPr="00AE4053">
        <w:rPr>
          <w:rFonts w:ascii="Book Antiqua" w:hAnsi="Book Antiqua"/>
          <w:sz w:val="24"/>
          <w:szCs w:val="24"/>
        </w:rPr>
        <w:instrText xml:space="preserve"> ADDIN ZOTERO_ITEM CSL_CITATION {"citationID":"yNtiLQPn","properties":{"formattedCitation":"{\\rtf \\super [30]\\nosupersub{}}","plainCitation":"[30]"},"citationItems":[{"id":4272,"uris":["http://zotero.org/users/271015/items/I6IXFC3P"],"uri":["http://zotero.org/users/271015/items/I6IXFC3P"],"itemData":{"id":4272,"type":"article-journal","title":"Correlation of aspartate aminotransferase/platelet ratio index with hepatic venous pressure gradient in cirrhosis","container-title":"United European Gastroenterology Journal","page":"226-231","volume":"2","issue":"3","source":"PubMed","abstract":"BACKGROUND: Hepatic venous pressure gradient (HVPG) is a prognostic marker in cirrhosis, but is invasive. There is a need to validate a noninvasive marker to measure portal hypertension. Aspartate aminotransferase/platelet ratio index (APRI) is proposed as a good noninvasive estimator of hepatic fibrosis. Whether APRI could be used as noninvasive tool to measure portal hypertension has not been studied.\nAIM: To correlate APRI with HVPG in patients with cirrhosis and to determine the diagnostic usefulness of the APRI in detection of high portal pressure.\nMETHODS: APRI and HVPG were measured in consecutive patients of cirrhosis aged 18-75 years, with serum bilirubin &lt;5</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mg/dl, Child-Turcotte-Pugh (CTP) score ≤12, and without evidence of acute-on-chronic liver failure or flare.\nRESULTS: This study included 74 patients (median age 47 years, range 20-70 years; 57 males, (77%). The aetiology of cirrhosis was: viral 33 (45%), alcohol 10 (14%), and cryptogenic and others 31 (42%). The median HVPG was 16</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(range 2-28</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The median APRI was 1.19 (range 0.17-7.92). There was significant correlation between HVPG and APRI (Spearman's rho 0.365; p</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0.001). The ROC curve to study the performance of APRI for predicting high portal pressure (HVPG &gt;12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had area under curve 0.716 (95% CI 0.574-0.858). An APRI of ≥1.09 had a sensitivity 66%, specificity 73%, positive predictive value 85%, negative predictive value 47%, and diagnostic accuracy 68% for predicting HVPG &gt;12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 xml:space="preserve">mmHg.\nCONCLUSIONS: APRI correlates fairly with HVPG in patients of cirrhosis. An APRI score of ≥1.09 seems to have an acceptable accuracy for prediction of high portal pressure. APRI is a fair, bedside, cost-effective parameter for diagnosis of high portal pressure in patients with cirrhosis.","DOI":"10.1177/2050640614527084","ISSN":"2050-6406","note":"PMID: 25360306\nPMCID: PMC4212452","journalAbbreviation":"United European Gastroenterol J","language":"eng","author":[{"family":"Verma","given":"Vipin"},{"family":"Sarin","given":"Shiv Kumar"},{"family":"Sharma","given":"Praveen"},{"family":"Kumar","given":"Ashish"}],"issued":{"date-parts":[["2014",6]]}}}],"schema":"https://github.com/citation-style-language/schema/raw/master/csl-citation.json"} </w:instrText>
      </w:r>
      <w:r w:rsidR="0012612E" w:rsidRPr="00AE4053">
        <w:rPr>
          <w:rFonts w:ascii="Book Antiqua" w:hAnsi="Book Antiqua"/>
          <w:sz w:val="24"/>
          <w:szCs w:val="24"/>
        </w:rPr>
        <w:fldChar w:fldCharType="separate"/>
      </w:r>
      <w:r w:rsidR="008F2F86" w:rsidRPr="00AE4053">
        <w:rPr>
          <w:rFonts w:ascii="Book Antiqua" w:hAnsi="Book Antiqua"/>
          <w:sz w:val="24"/>
          <w:szCs w:val="24"/>
          <w:vertAlign w:val="superscript"/>
        </w:rPr>
        <w:t>[30]</w:t>
      </w:r>
      <w:r w:rsidR="0012612E" w:rsidRPr="00AE4053">
        <w:rPr>
          <w:rFonts w:ascii="Book Antiqua" w:hAnsi="Book Antiqua"/>
          <w:sz w:val="24"/>
          <w:szCs w:val="24"/>
        </w:rPr>
        <w:fldChar w:fldCharType="end"/>
      </w:r>
      <w:r w:rsidR="0012612E" w:rsidRPr="00AE4053">
        <w:rPr>
          <w:rFonts w:ascii="Book Antiqua" w:hAnsi="Book Antiqua"/>
          <w:sz w:val="24"/>
          <w:szCs w:val="24"/>
        </w:rPr>
        <w:t>;</w:t>
      </w:r>
      <w:r w:rsidR="008E7A2E">
        <w:rPr>
          <w:rFonts w:ascii="Book Antiqua" w:hAnsi="Book Antiqua"/>
          <w:sz w:val="24"/>
          <w:szCs w:val="24"/>
        </w:rPr>
        <w:t xml:space="preserve"> spleen </w:t>
      </w:r>
      <w:proofErr w:type="spellStart"/>
      <w:r w:rsidR="008E7A2E">
        <w:rPr>
          <w:rFonts w:ascii="Book Antiqua" w:hAnsi="Book Antiqua"/>
          <w:sz w:val="24"/>
          <w:szCs w:val="24"/>
        </w:rPr>
        <w:t>elsatography</w:t>
      </w:r>
      <w:proofErr w:type="spellEnd"/>
      <w:r w:rsidR="00C573AD" w:rsidRPr="00AE4053">
        <w:rPr>
          <w:rFonts w:ascii="Book Antiqua" w:hAnsi="Book Antiqua"/>
          <w:sz w:val="24"/>
          <w:szCs w:val="24"/>
        </w:rPr>
        <w:fldChar w:fldCharType="begin"/>
      </w:r>
      <w:r w:rsidR="008F2F86" w:rsidRPr="00AE4053">
        <w:rPr>
          <w:rFonts w:ascii="Book Antiqua" w:hAnsi="Book Antiqua"/>
          <w:sz w:val="24"/>
          <w:szCs w:val="24"/>
        </w:rPr>
        <w:instrText xml:space="preserve"> ADDIN ZOTERO_ITEM CSL_CITATION {"citationID":"as4s53ahp","properties":{"formattedCitation":"{\\rtf \\super [23\\uc0\\u8211{}27,31]\\nosupersub{}}","plainCitation":"[23–27,31]"},"citationItems":[{"id":4225,"uris":["http://zotero.org/users/271015/items/SSBDRSI4"],"uri":["http://zotero.org/users/271015/items/SSBDRSI4"],"itemData":{"id":4225,"type":"article-journal","title":"Liver and spleen transient elastography predicts portal hypertension in patients with chronic liver disease: a prospective cohort study","container-title":"BMC gastroenterology","page":"183","volume":"15","source":"PubMed","abstract":"BACKGROUND: To assess correlation between liver or spleen stiffness measurement by transient elastography (TE) and hepatic venous pressure gradient (HVPG) in patients with chronic liver disease as well find optimal and rule in/rule out cut-offs for prognosis of clinically significant (CSPH) and severe (SPH) portal hypertension.\nMETHODS: In this prospective study patients with different chronic liver diseases were included. TE was performed at the same day prior to HVPG measurement. HVPG was measured using catheter tip occlusion technique. Based on HVPG, patients were categorized into groups of CSPH and SPH. Cut-off values were established by applying ROC curve analysis.\nRESULTS: The study included 107 consecutive patients referred for HVPG measurement or transjugular liver biopsy. Successful spleen TE was performed in 99 of the patients. Liver and spleen TE strongly correlated with HVPG, r</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0.75 and r</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0.62, respectively. Accuracy to detect CSPH was 88.7% for liver stiffness of 17.4 kPa and 77.7% for spleen stiffness of 47.6 kPa. Accuracy to detect SPH was 83.1% for liver stiffness of 20.6 kPa and 77.7 % for spleen stiffness of 50.7 kPa. Liver stiffness &lt;11.4 kPa could rule out CSPH with 55.2% specificity and &gt;21.9 kPa rule in CSPH with 74.4% sensitivity. Liver stiffness &lt;12.1 kPa could rule out SPH with 50.0% specificity and &gt;35 kPa rule in SPH with 58.2% sensitivity.\nCONCLUSIONS: Liver and spleen stiffness correlate with HVPG and could be used to predict CSPH or SPH. Spleen elastography was not superior to liver elastography in predicting portal hypertension.","DOI":"10.1186/s12876-015-0414-z","ISSN":"1471-230X","note":"PMID: 26702818\nPMCID: PMC4690243","shortTitle":"Liver and spleen transient elastography predicts portal hypertension in patients with chronic liver disease","journalAbbreviation":"BMC Gastroenterol","language":"eng","author":[{"family":"Zykus","given":"Romanas"},{"family":"Jonaitis","given":"Laimas"},{"family":"Petrenkien</w:instrText>
      </w:r>
      <w:r w:rsidR="008F2F86" w:rsidRPr="00AE4053">
        <w:rPr>
          <w:rFonts w:ascii="Book Antiqua" w:hAnsi="Book Antiqua" w:cs="Times New Roman"/>
          <w:sz w:val="24"/>
          <w:szCs w:val="24"/>
        </w:rPr>
        <w:instrText>ė</w:instrText>
      </w:r>
      <w:r w:rsidR="008F2F86" w:rsidRPr="00AE4053">
        <w:rPr>
          <w:rFonts w:ascii="Book Antiqua" w:hAnsi="Book Antiqua"/>
          <w:sz w:val="24"/>
          <w:szCs w:val="24"/>
        </w:rPr>
        <w:instrText>","given":"Vitalija"},{"family":"Pranculis","given":"Andrius"},{"family":"Kup</w:instrText>
      </w:r>
      <w:r w:rsidR="008F2F86" w:rsidRPr="00AE4053">
        <w:rPr>
          <w:rFonts w:ascii="Book Antiqua" w:hAnsi="Book Antiqua" w:cs="Times New Roman"/>
          <w:sz w:val="24"/>
          <w:szCs w:val="24"/>
        </w:rPr>
        <w:instrText>č</w:instrText>
      </w:r>
      <w:r w:rsidR="008F2F86" w:rsidRPr="00AE4053">
        <w:rPr>
          <w:rFonts w:ascii="Book Antiqua" w:hAnsi="Book Antiqua"/>
          <w:sz w:val="24"/>
          <w:szCs w:val="24"/>
        </w:rPr>
        <w:instrText xml:space="preserve">inskas","given":"Limas"}],"issued":{"date-parts":[["2015"]]}}},{"id":4268,"uris":["http://zotero.org/users/271015/items/A8DP8B72"],"uri":["http://zotero.org/users/271015/items/A8DP8B72"],"itemData":{"id":4268,"type":"article-journal","title":"Real-time shear-wave elastography: applicability, reliability and accuracy for clinically significant portal hypertension","container-title":"Journal of Hepatology","page":"1068-1075","volume":"62","issue":"5","source":"PubMed","abstract":"BACKGROUND &amp; AIMS: Real-time shear wave elastography (RT-SWE) might be useful to assess the severity of portal hypertension; reliability criteria for measurement are needed.\nMETHODS: We prospectively included 88 consecutive patients undergoing hepatic venous pressure gradient measurement (HVPG, reference standard) for portal hypertension. Liver stiffness (LS) was measured by RT-SWE and by transient elastography (TE). Spleen stiffness (SS) was measured by RT-SWE. Reliability criteria for RT-SWE were searched, and the accuracy of these techniques to identify HVPG </w:instrText>
      </w:r>
      <w:r w:rsidR="008F2F86" w:rsidRPr="00AE4053">
        <w:rPr>
          <w:rFonts w:ascii="Cambria Math" w:hAnsi="Cambria Math" w:cs="Cambria Math"/>
          <w:sz w:val="24"/>
          <w:szCs w:val="24"/>
        </w:rPr>
        <w:instrText>⩾</w:instrText>
      </w:r>
      <w:r w:rsidR="008F2F86" w:rsidRPr="00AE4053">
        <w:rPr>
          <w:rFonts w:ascii="Book Antiqua" w:hAnsi="Book Antiqua"/>
          <w:sz w:val="24"/>
          <w:szCs w:val="24"/>
        </w:rPr>
        <w:instrText xml:space="preserve">10mmHg (clinically significant portal hypertension, CSPH) was tested and internally validated by bootstrapping analysis.\nRESULTS: LS and SS by RT-SWE were feasible respectively in 87 (99%) and 58 (66%) patients. Both correlated with HVPG (LS: R=0.611, p&lt;0.0001 and SS: R=0.514, p&lt;0.0001). LS performed well for diagnosing CSPH (optimism corrected AUROC=0.858). Reliability of measurements was influenced by standard deviation (SD)/median ratio and depth. SD/median </w:instrText>
      </w:r>
      <w:r w:rsidR="008F2F86" w:rsidRPr="00AE4053">
        <w:rPr>
          <w:rFonts w:ascii="Cambria Math" w:hAnsi="Cambria Math" w:cs="Cambria Math"/>
          <w:sz w:val="24"/>
          <w:szCs w:val="24"/>
        </w:rPr>
        <w:instrText>⩽</w:instrText>
      </w:r>
      <w:r w:rsidR="008F2F86" w:rsidRPr="00AE4053">
        <w:rPr>
          <w:rFonts w:ascii="Book Antiqua" w:hAnsi="Book Antiqua"/>
          <w:sz w:val="24"/>
          <w:szCs w:val="24"/>
        </w:rPr>
        <w:instrText xml:space="preserve">0.10 and depth of measurement &lt;5.6cm were associated to 96.3% well classified for CSPH, while when one or none of the criteria were fulfilled the rates were 76.4% and 44.4%, respectively. Measurements fulfilling at least one criterion were considered acceptable; in these patients, RT-SWE performance to detect CSPH was excellent (AUROC=0.939; 95% CI: 0.865-1.000; p&lt;0.0001; best cut-off: 15.4kPa). LS by RT-SWE and by TE were strongly correlated (R=0.795, p&lt;0.0001) and performed similarly both in \"per protocol\" and in \"intention-to-diagnose\" analysis after applying reliability criteria.\nCONCLUSIONS: LS by RT-SWE is an accurate method to diagnose CSPH if reliability criteria (SD/median </w:instrText>
      </w:r>
      <w:r w:rsidR="008F2F86" w:rsidRPr="00AE4053">
        <w:rPr>
          <w:rFonts w:ascii="Cambria Math" w:hAnsi="Cambria Math" w:cs="Cambria Math"/>
          <w:sz w:val="24"/>
          <w:szCs w:val="24"/>
        </w:rPr>
        <w:instrText>⩽</w:instrText>
      </w:r>
      <w:r w:rsidR="008F2F86" w:rsidRPr="00AE4053">
        <w:rPr>
          <w:rFonts w:ascii="Book Antiqua" w:hAnsi="Book Antiqua"/>
          <w:sz w:val="24"/>
          <w:szCs w:val="24"/>
        </w:rPr>
        <w:instrText>0.10 and/or depth &lt;5.6cm) are fulfilled.","DOI":"10.1016/j.jhep.2014.12.007","ISSN":"1600-0641","note":"PMID: 25514554","shortTitle":"Real-time shear-wave elastography","journalAbbreviation":"J. Hepatol.","language":"eng","author":[{"family":"Procopet","given":"Bogdan"},{"family":"Berzigotti","given":"Annalisa"},{"family":"Abraldes","given":"Juan G."},{"family":"Turon","given":"Fanny"},{"family":"Hernandez-Gea","given":"Virginia"},{"family":"García-Pagán","given":"Juan Carlos"},{"family":"Bosch","given":"Jaime"}],"issued":{"date-parts":[["2015",5]]}}},{"id":4231,"uris":["http://zotero.org/users/271015/items/AWMWMVAQ"],"uri":["http://zotero.org/users/271015/items/AWMWMVAQ"],"itemData":{"id":4231,"type":"article-journal","title":"Prospective comparison of spleen and liver stiffness by using shear-wave and transient elastography for detection of portal hypertension in cirrhosis","container-title":"Radiology","page":"589-598","volume":"275","issue":"2","source":"PubMed","abstract":"PURPOSE: To prospectively compare the technical success rate and accuracy of shear-wave elastography (SWE) and transient elastography (TE) for the detection of clinically significant portal hypertension (PH) in patients with advanced cirrhosis who are undergoing hepatic vein pressure gradient (HVPG) measurements.\nMATERIALS AND METHODS: The institutional ethics committee approved the study, and written informed consent was obtained. Seventy-nine consecutive patients with cirrhosis who were undergoing SWE and TE at the time of HVPG measurement were studied. The technical success rate of SWE and TE was compared with the diagnostic value of liver stiffness (LS) and spleen stiffness (SS) measurements and composite scores (LS spleen-diameter-to-platelet-ratio score [LSPS] and PH risk score) by using SWE and TE to detect clinically significant PH (HVPG ≥ 10 mm Hg) and esophageal varices at high risk of bleeding. Areas under the receiver operating characteristic curve and the DeLong test were used.\nRESULTS: The technical success rate of SWE was significantly better than that of TE for both LS and SS (97% and 97% vs 44% and 42%, respectively; P &lt; .001). LS of more than 24.6 kPa with SWE had a sensitivity, specificity, and accuracy for clinically significant PH of 81%, 88%, and 82%, respectively. Diagnostic performance of LS by using SWE was significantly better than that for SS for the diagnosis of clinically significant PH (area under the receiver operating characteristic curve of 0.87 vs 0.64, P = .003). LS, SS, LSPS, and PH risk score (according to SWE or TE) did not differ between patients with and those without high-risk esophageal varices (P = .09-.42).\nCONCLUSION: In patients with advanced cirrhosis who are undergoing HVPG measurements, LS measurements obtained by using SWE have a higher technical success rate and a better diagnostic value than TE for clinically significant PH.","DOI":"10.1148/radiol.14141210","ISSN":"1527-1315","note":"PMID: 25469784","journalAbbreviation":"Radiology","language":"eng","author":[{"family":"Elkrief","given":"Laure"},{"family":"Rautou","given":"Pierre-Emmanuel"},{"family":"Ronot","given":"Maxime"},{"family":"Lambert","given":"Simon"},{"family":"Dioguardi Burgio","given":"Marco"},{"family":"Francoz","given":"Claire"},{"family":"Plessier","given":"Aurélie"},{"family":"Durand","given":"François"},{"family":"Valla","given":"Dominique"},{"family":"Lebrec","given":"Didier"},{"family":"Vilgrain","given":"Valérie"},{"family":"Castéra","given":"Laurent"}],"issued":{"date-parts":[["2015",5]]}}},{"id":4274,"uris":["http://zotero.org/users/271015/items/VT2DDVAE"],"uri":["http://zotero.org/users/271015/items/VT2DDVAE"],"itemData":{"id":4274,"type":"article-journal","title":"Shear-wave Elastography of the liver and spleen identifies clinically significant portal hypertension: a prospective multi-center study","container-title":"Liver International: Official Journal of the International Association for the Study of the Liver","source":"PubMed","abstract":"BACKGROUND AND AIMS: Clinically significant portal hypertension (CSPH) is associated with severe complications and decompensation of liver cirrhosis. Liver stiffness measured either by transient elastography (TE) or Shear-wave elastography (SWE) and spleen stiffness by TE might be helpful in the diagnosis of CSPH. We recently showed the algorithm to rule-out CSPH by using sequential liver- (L-SWE) and spleen-Shear-wave elastography (S-SWE). This study investigated the diagnostic value of S-SWE for diagnosis of CSPH.\nMETHODS: 158 cirrhotic patients with pressure gradient measurements were included into this prospective multicenter study. L-SWE was measured in 155 patients, S-SWE in 112 patients, and both in 109 patients.\nRESULTS: L-SWE and S-SWE correlated with clinical events and decompensation. SWE of liver and spleen revealed strong correlations with the pressure gradient and to differentiate between patients with and without CSPH. The best cut-off values were 24.6kPa:L-SWE and 26.3kPa:S-SWE. L-SWE≤16.0kPa and S-SWE≤21.7kPa were able to rule-out CSPH. Cut-off values of L-SWE&gt;29.5kPa and S-SWE&gt;35.6kPa were able to rule-in CSPH (specificity&gt; 92%). Patients with a L-SWE&gt;38.0kPa had likely CSPH. In patients with L-SWE≤38.0kPa, a S-SWE&gt;27.9kPa ruled in CSPH. This algorithm has a sensitivity of 89.2% and a specificity of 91.4% to rule-in CSPH. Patients not full-filling these criteria should undergo HVPG-measurement.\nCONCLUSIONS: Liver and spleen SWE correlates with portal pressure and can both be used as a non-invasive method to suggest CSPH. Even though external validation is still missing, these algorithms to rule-out and rule-in CSPH using sequential SWE of liver and spleen might change the clinical practice. This article is protected by copyright. All rights reserved.","DOI":"10.1111/liv.13243","ISSN":"1478-3231","note":"PMID: 27569696","shortTitle":"Shear-wave Elastography of the liver and spleen identifies clinically significant portal hypertension","journalAbbreviation":"Liver Int.","language":"ENG","author":[{"family":"Jansen","given":"Christian"},{"family":"Bogs","given":"Christopher"},{"family":"Verlinden","given":"Wim"},{"family":"Thiele","given":"Maja"},{"family":"Möller","given":"Philipp"},{"family":"Görtzen","given":"Jan"},{"family":"Lehmann","given":"Jennifer"},{"family":"Vanwolleghem","given":"Thomas"},{"family":"Vonghia","given":"Luisa"},{"family":"Praktiknjo","given":"Michael"},{"family":"Chang","given":"Johannes"},{"family":"Krag","given":"Aleksander"},{"family":"Strassburg","given":"Christian P."},{"family":"Francque","given":"Sven"},{"family":"Trebicka","given":"Jonel"}],"issued":{"date-parts":[["2016",8,29]]}}},{"id":4280,"uris":["http://zotero.org/users/271015/items/D7WJCQER"],"uri":["http://zotero.org/users/271015/items/D7WJCQER"],"itemData":{"id":4280,"type":"article-journal","title":"Portal Hypertension in Patients with Liver Cirrhosis: Diagnostic Accuracy of Spleen Stiffness","container-title":"Radiology","page":"609-619","volume":"279","issue":"2","source":"PubMed","abstract":"PURPOSE: To evaluate the accuracy of spleen stiffness (SS) and liver stiffness (LS) measured by using acoustic radiation force impulse imaging in the diagnosis of portal hypertension in patients with liver cirrhosis, with the hepatic venous pressure gradient (HVPG) as a reference standard.\nMATERIALS AND METHODS: Institutional review board approval and informed consent were obtained for this prospective single-center study. From February 2012 to August 2013, 60 patients with liver cirrhosis (mean age, 70.8 years; age range, 34-88 years; 34 men, 26 women) with HVPG, LS, and SS measurements and gastrointestinal endoscopy and laboratory data were included if they met the following criteria: no recent episodes of gastrointestinal bleeding, no history of splenectomy, no history of partial splenic embolization, no history of β-blocker therapy, and absence of portal thrombosis. The efficacy of the parameters for the evaluation of portal hypertension was analyzed by using the Spearman rank-order correlation coefficient and receiver operating characteristic (ROC) curve analysis.\nRESULTS: The correlation coefficient between SS and HVPG (r = 0.876) was significantly better than that between LS and HVPG (r = 0.609, P &lt; .0001). The areas under the ROC curve of SS for the identification of clinically important portal hypertension (HVPG ≥ 10 mm Hg), severe portal hypertension (HVPG ≥ 12 mm Hg), esophageal varices (EVs), and high-risk EVs were significantly higher (0.943, 0.963, 0.937, and 0.955, respectively) than those of LS, spleen diameter, platelet count, and platelet count to spleen diameter ratio (P &lt; .05 for all). SS could be used to accurately rule out the presence of clinically important portal hypertension, severe portal hypertension, EVs, and high-risk EVs (negative likelihood ratios, 0.051, 0.056, 0.054, and 0.074, respectively).\nCONCLUSION: SS is reliable and has better diagnostic performance than LS for identifying portal hypertension in liver cirrhosis.","DOI":"10.1148/radiol.2015150690","ISSN":"1527-1315","note":"PMID: 26588019","shortTitle":"Portal Hypertension in Patients with Liver Cirrhosis","journalAbbreviation":"Radiology","language":"eng","author":[{"family":"Takuma","given":"Yoshitaka"},{"family":"Nouso","given":"Kazuhiro"},{"family":"Morimoto","given":"Youichi"},{"family":"Tomokuni","given":"Junko"},{"family":"Sahara","given":"Akiko"},{"family":"Takabatake","given":"Hiroyuki"},{"family":"Matsueda","given":"Kazuhiro"},{"family":"Yamamoto","given":"Hiroshi"}],"issued":{"date-parts":[["2016",5]]}}},{"id":4282,"uris":["http://zotero.org/users/271015/items/8IEQD8C8"],"uri":["http://zotero.org/users/271015/items/8IEQD8C8"],"itemData":{"id":4282,"type":"article-journal","title":"Evaluation of Liver and Spleen Stiffness with Acoustic Radiation Force Impulse Quantification Elastography for Diagnosing Clinically Significant Portal Hypertension","container-title":"Ultraschall in Der Medizin (Stuttgart, Germany: 1980)","page":"603-610","volume":"36","issue":"6","source":"PubMed","abstract":"PURPOSE: Hepatic vein pressure gradient (HVPG) is the gold standard for diagnosing clinically significant portal hypertension (CSPH). The aim of this study was to investigate-in comparison to HVPG-the ability to diagnose CSPH by liver and spleen stiffness measurements obtained by acoustic radiation force impulse (ARFI) imaging.\nMATERIALS AND METHODS: A total of 78 patients (mean age: 53</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13 years, 62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 male) with chronic liver disease were enrolled in this study. Each patient received liver (LSM) and spleen (SSM) stiffness measurements by ARFI, an HVPG measurement and a transjugular liver biopsy on the same day. Patients were classified according to their HVPG into three different groups: HVPG &lt;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10</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10-&lt;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and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mmHg.\nRESULTS: LSM, SSM were significantly higher in patients with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10</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12 in comparison to HVPG &lt;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10</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(p</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0.001 and p</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0.001, respectively), and in patients with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in comparison to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10</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(p</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0.001 and p</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&lt;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0.001, respectively). LSM and SSM were able to diagnose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10</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and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with high diagnostic performance (AUC LSM: 0.93 and 0.87, respectively; AUC SSM: 0.97 and 0.95, respectively). The AUC of SSM in predicting esophageal varices (EVs) plus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10</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and EVs plus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were higher compared to LSM in both groups of patients (SSM: 0.90 and 0.93 vs. LSM: 0.84 and 0.88, respectively). No significant difference between both AUCs was detected in the different HVPG groups. In the multivariate -analysis SSM remained a factor predicting HVPG (HVPG &gt;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10</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p</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0.007; HVPG ≥</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12</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mmHg p</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w:instrText>
      </w:r>
      <w:r w:rsidR="008F2F86" w:rsidRPr="00AE4053">
        <w:rPr>
          <w:rFonts w:ascii="Cambria Math" w:hAnsi="Cambria Math" w:cs="Cambria Math"/>
          <w:sz w:val="24"/>
          <w:szCs w:val="24"/>
        </w:rPr>
        <w:instrText> </w:instrText>
      </w:r>
      <w:r w:rsidR="008F2F86" w:rsidRPr="00AE4053">
        <w:rPr>
          <w:rFonts w:ascii="Book Antiqua" w:hAnsi="Book Antiqua"/>
          <w:sz w:val="24"/>
          <w:szCs w:val="24"/>
        </w:rPr>
        <w:instrText xml:space="preserve">0.003).\nCONCLUSION: LSM and SSM by ARFI are noninvasive diagnostic tools that may help in diagnosing CSPH. LSM and SSM could be used as a guiding noninvasive screening tool in patients with esophageal varices requiring endoscopic evaluation.","DOI":"10.1055/s-0041-107971","ISSN":"1438-8782","note":"PMID: 26565516","journalAbbreviation":"Ultraschall Med","language":"eng","author":[{"family":"Attia","given":"D."},{"family":"Schoenemeier","given":"B."},{"family":"Rodt","given":"T."},{"family":"Negm","given":"A. A."},{"family":"Lenzen","given":"H."},{"family":"Lankisch","given":"T. O."},{"family":"Manns","given":"M."},{"family":"Gebel","given":"M."},{"family":"Potthoff","given":"A."}],"issued":{"date-parts":[["2015",12]]}}}],"schema":"https://github.com/citation-style-language/schema/raw/master/csl-citation.json"} </w:instrText>
      </w:r>
      <w:r w:rsidR="00C573AD" w:rsidRPr="00AE4053">
        <w:rPr>
          <w:rFonts w:ascii="Book Antiqua" w:hAnsi="Book Antiqua"/>
          <w:sz w:val="24"/>
          <w:szCs w:val="24"/>
        </w:rPr>
        <w:fldChar w:fldCharType="separate"/>
      </w:r>
      <w:r w:rsidR="008F2F86" w:rsidRPr="00AE4053">
        <w:rPr>
          <w:rFonts w:ascii="Book Antiqua" w:hAnsi="Book Antiqua"/>
          <w:sz w:val="24"/>
          <w:szCs w:val="24"/>
          <w:vertAlign w:val="superscript"/>
        </w:rPr>
        <w:t>[23</w:t>
      </w:r>
      <w:r w:rsidR="008E7A2E">
        <w:rPr>
          <w:rFonts w:ascii="Book Antiqua" w:hAnsi="Book Antiqua"/>
          <w:sz w:val="24"/>
          <w:szCs w:val="24"/>
          <w:vertAlign w:val="superscript"/>
        </w:rPr>
        <w:t>-</w:t>
      </w:r>
      <w:r w:rsidR="008F2F86" w:rsidRPr="00AE4053">
        <w:rPr>
          <w:rFonts w:ascii="Book Antiqua" w:hAnsi="Book Antiqua"/>
          <w:sz w:val="24"/>
          <w:szCs w:val="24"/>
          <w:vertAlign w:val="superscript"/>
        </w:rPr>
        <w:t>27,31]</w:t>
      </w:r>
      <w:r w:rsidR="00C573AD" w:rsidRPr="00AE4053">
        <w:rPr>
          <w:rFonts w:ascii="Book Antiqua" w:hAnsi="Book Antiqua"/>
          <w:sz w:val="24"/>
          <w:szCs w:val="24"/>
        </w:rPr>
        <w:fldChar w:fldCharType="end"/>
      </w:r>
      <w:r w:rsidR="00C573AD" w:rsidRPr="00AE4053">
        <w:rPr>
          <w:rFonts w:ascii="Book Antiqua" w:hAnsi="Book Antiqua"/>
          <w:sz w:val="24"/>
          <w:szCs w:val="24"/>
        </w:rPr>
        <w:t xml:space="preserve">; and serum </w:t>
      </w:r>
      <w:r w:rsidR="00BB4C14" w:rsidRPr="00AE4053">
        <w:rPr>
          <w:rFonts w:ascii="Book Antiqua" w:hAnsi="Book Antiqua"/>
          <w:sz w:val="24"/>
          <w:szCs w:val="24"/>
        </w:rPr>
        <w:t>tests</w:t>
      </w:r>
      <w:r w:rsidR="008E13C4" w:rsidRPr="00AE4053">
        <w:rPr>
          <w:rFonts w:ascii="Book Antiqua" w:hAnsi="Book Antiqua"/>
          <w:sz w:val="24"/>
          <w:szCs w:val="24"/>
        </w:rPr>
        <w:t>,</w:t>
      </w:r>
      <w:r w:rsidR="00BB4C14" w:rsidRPr="00AE4053">
        <w:rPr>
          <w:rFonts w:ascii="Book Antiqua" w:hAnsi="Book Antiqua"/>
          <w:sz w:val="24"/>
          <w:szCs w:val="24"/>
        </w:rPr>
        <w:t xml:space="preserve"> su</w:t>
      </w:r>
      <w:r w:rsidR="008E7A2E">
        <w:rPr>
          <w:rFonts w:ascii="Book Antiqua" w:hAnsi="Book Antiqua"/>
          <w:sz w:val="24"/>
          <w:szCs w:val="24"/>
        </w:rPr>
        <w:t xml:space="preserve">ch as Fibrosis-4, and </w:t>
      </w:r>
      <w:proofErr w:type="spellStart"/>
      <w:r w:rsidR="008E7A2E">
        <w:rPr>
          <w:rFonts w:ascii="Book Antiqua" w:hAnsi="Book Antiqua"/>
          <w:sz w:val="24"/>
          <w:szCs w:val="24"/>
        </w:rPr>
        <w:t>Lok</w:t>
      </w:r>
      <w:proofErr w:type="spellEnd"/>
      <w:r w:rsidR="008E7A2E">
        <w:rPr>
          <w:rFonts w:ascii="Book Antiqua" w:hAnsi="Book Antiqua"/>
          <w:sz w:val="24"/>
          <w:szCs w:val="24"/>
        </w:rPr>
        <w:t xml:space="preserve"> score</w:t>
      </w:r>
      <w:r w:rsidR="00BB4C14" w:rsidRPr="00AE4053">
        <w:rPr>
          <w:rFonts w:ascii="Book Antiqua" w:hAnsi="Book Antiqua"/>
          <w:sz w:val="24"/>
          <w:szCs w:val="24"/>
        </w:rPr>
        <w:fldChar w:fldCharType="begin"/>
      </w:r>
      <w:r w:rsidR="008F2F86" w:rsidRPr="00AE4053">
        <w:rPr>
          <w:rFonts w:ascii="Book Antiqua" w:hAnsi="Book Antiqua"/>
          <w:sz w:val="24"/>
          <w:szCs w:val="24"/>
        </w:rPr>
        <w:instrText xml:space="preserve"> ADDIN ZOTERO_ITEM CSL_CITATION {"citationID":"wY2v2ukT","properties":{"formattedCitation":"{\\rtf \\super [32]\\nosupersub{}}","plainCitation":"[32]"},"citationItems":[{"id":4227,"uris":["http://zotero.org/users/271015/items/7NJFA734"],"uri":["http://zotero.org/users/271015/items/7NJFA734"],"itemData":{"id":4227,"type":"article-journal","title":"Serum tests, liver stiffness and artificial neural networks for diagnosing cirrhosis and portal hypertension","container-title":"Digestive and Liver Disease: Official Journal of the Italian Society of Gastroenterology and the Italian Association for the Study of the Liver","page":"411-416","volume":"47","issue":"5","source":"PubMed","abstract":"BACKGROUND: The diagnostic performance of biochemical scores and artificial neural network models for portal hypertension and cirrhosis is not well established.\nAIMS: To assess diagnostic accuracy of six serum scores, artificial neural networks and liver stiffness measured by transient elastography, for diagnosing cirrhosis, clinically significant portal hypertension and oesophageal varices.\nMETHODS: 202 consecutive compensated patients requiring liver biopsy and hepatic venous pressure gradient measurement were included. Several serum tests (alone and combined into scores) and liver stiffness were measured. Artificial neural networks containing or not liver stiffness as input variable were also created.\nRESULTS: The best non-invasive method for diagnosing cirrhosis, portal hypertension and oesophageal varices was liver stiffness (C-statistics=0.93, 0.94, and 0.90, respectively). Among serum tests/scores the best for diagnosing cirrhosis and portal hypertension and oesophageal varices were, respectively, Fibrosis-4, and Lok score. Artificial neural networks including liver stiffness had high diagnostic performance for cirrhosis, portal hypertension and oesophageal varices (accuracy&gt;80%), but were not statistically superior to liver stiffness alone.\nCONCLUSIONS: Liver stiffness was the best non-invasive method to assess the presence of cirrhosis, portal hypertension and oesophageal varices. The use of artificial neural networks integrating different non-invasive tests did not increase the diagnostic accuracy of liver stiffness alone.","DOI":"10.1016/j.dld.2015.02.001","ISSN":"1878-3562","note":"PMID: 25732434","journalAbbreviation":"Dig Liver Dis","language":"eng","author":[{"family":"Procopet","given":"Bogdan"},{"family":"Cristea","given":"Vasile Mircea"},{"family":"Robic","given":"Marie Angele"},{"family":"Grigorescu","given":"Mircea"},{"family":"Agachi","given":"Paul Serban"},{"family":"Metivier","given":"Sophie"},{"family":"Peron","given":"Jean Marie"},{"family":"Selves","given":"Janick"},{"family":"Stefanescu","given":"Horia"},{"family":"Berzigotti","given":"Annalisa"},{"family":"Vinel","given":"Jean Pierre"},{"family":"Bureau","given":"Christophe"}],"issued":{"date-parts":[["2015",5]]}}}],"schema":"https://github.com/citation-style-language/schema/raw/master/csl-citation.json"} </w:instrText>
      </w:r>
      <w:r w:rsidR="00BB4C14" w:rsidRPr="00AE4053">
        <w:rPr>
          <w:rFonts w:ascii="Book Antiqua" w:hAnsi="Book Antiqua"/>
          <w:sz w:val="24"/>
          <w:szCs w:val="24"/>
        </w:rPr>
        <w:fldChar w:fldCharType="separate"/>
      </w:r>
      <w:r w:rsidR="008F2F86" w:rsidRPr="00AE4053">
        <w:rPr>
          <w:rFonts w:ascii="Book Antiqua" w:hAnsi="Book Antiqua"/>
          <w:sz w:val="24"/>
          <w:szCs w:val="24"/>
          <w:vertAlign w:val="superscript"/>
        </w:rPr>
        <w:t>[32]</w:t>
      </w:r>
      <w:r w:rsidR="00BB4C14" w:rsidRPr="00AE4053">
        <w:rPr>
          <w:rFonts w:ascii="Book Antiqua" w:hAnsi="Book Antiqua"/>
          <w:sz w:val="24"/>
          <w:szCs w:val="24"/>
        </w:rPr>
        <w:fldChar w:fldCharType="end"/>
      </w:r>
      <w:r w:rsidR="00BB4C14" w:rsidRPr="00AE4053">
        <w:rPr>
          <w:rFonts w:ascii="Book Antiqua" w:hAnsi="Book Antiqua"/>
          <w:sz w:val="24"/>
          <w:szCs w:val="24"/>
        </w:rPr>
        <w:t>. These tests have their own advantages and disadvantages</w:t>
      </w:r>
      <w:r w:rsidR="008E13C4" w:rsidRPr="00AE4053">
        <w:rPr>
          <w:rFonts w:ascii="Book Antiqua" w:hAnsi="Book Antiqua"/>
          <w:sz w:val="24"/>
          <w:szCs w:val="24"/>
        </w:rPr>
        <w:t>. However</w:t>
      </w:r>
      <w:r w:rsidR="00BB4C14" w:rsidRPr="00AE4053">
        <w:rPr>
          <w:rFonts w:ascii="Book Antiqua" w:hAnsi="Book Antiqua"/>
          <w:sz w:val="24"/>
          <w:szCs w:val="24"/>
        </w:rPr>
        <w:t xml:space="preserve">, </w:t>
      </w:r>
      <w:r w:rsidR="008E13C4" w:rsidRPr="00AE4053">
        <w:rPr>
          <w:rFonts w:ascii="Book Antiqua" w:hAnsi="Book Antiqua"/>
          <w:sz w:val="24"/>
          <w:szCs w:val="24"/>
        </w:rPr>
        <w:t>to date,</w:t>
      </w:r>
      <w:r w:rsidR="00BB4C14" w:rsidRPr="00AE4053">
        <w:rPr>
          <w:rFonts w:ascii="Book Antiqua" w:hAnsi="Book Antiqua"/>
          <w:sz w:val="24"/>
          <w:szCs w:val="24"/>
        </w:rPr>
        <w:t xml:space="preserve"> very few studies have been </w:t>
      </w:r>
      <w:r w:rsidR="008E13C4" w:rsidRPr="00AE4053">
        <w:rPr>
          <w:rFonts w:ascii="Book Antiqua" w:hAnsi="Book Antiqua"/>
          <w:sz w:val="24"/>
          <w:szCs w:val="24"/>
        </w:rPr>
        <w:t xml:space="preserve">performed </w:t>
      </w:r>
      <w:r w:rsidR="00BB4C14" w:rsidRPr="00AE4053">
        <w:rPr>
          <w:rFonts w:ascii="Book Antiqua" w:hAnsi="Book Antiqua"/>
          <w:sz w:val="24"/>
          <w:szCs w:val="24"/>
        </w:rPr>
        <w:t>on them for correlation with HVPG, so their routine use cannot be recommended outside of clinical trials.</w:t>
      </w:r>
    </w:p>
    <w:p w14:paraId="34453744" w14:textId="1BB71B3A" w:rsidR="00A3237B" w:rsidRPr="00AE4053" w:rsidRDefault="00A3237B" w:rsidP="008E7A2E">
      <w:pPr>
        <w:snapToGrid w:val="0"/>
        <w:spacing w:after="0" w:line="360" w:lineRule="auto"/>
        <w:ind w:firstLineChars="100" w:firstLine="240"/>
        <w:jc w:val="both"/>
        <w:rPr>
          <w:rFonts w:ascii="Book Antiqua" w:hAnsi="Book Antiqua"/>
          <w:sz w:val="24"/>
          <w:szCs w:val="24"/>
        </w:rPr>
      </w:pPr>
      <w:r w:rsidRPr="00AE4053">
        <w:rPr>
          <w:rFonts w:ascii="Book Antiqua" w:hAnsi="Book Antiqua"/>
          <w:sz w:val="24"/>
          <w:szCs w:val="24"/>
        </w:rPr>
        <w:t xml:space="preserve">There could be a few limitations in our study. First, it is a retrospective study, so </w:t>
      </w:r>
      <w:r w:rsidR="008E13C4" w:rsidRPr="00AE4053">
        <w:rPr>
          <w:rFonts w:ascii="Book Antiqua" w:hAnsi="Book Antiqua"/>
          <w:sz w:val="24"/>
          <w:szCs w:val="24"/>
        </w:rPr>
        <w:t xml:space="preserve">the study </w:t>
      </w:r>
      <w:r w:rsidRPr="00AE4053">
        <w:rPr>
          <w:rFonts w:ascii="Book Antiqua" w:hAnsi="Book Antiqua"/>
          <w:sz w:val="24"/>
          <w:szCs w:val="24"/>
        </w:rPr>
        <w:t>may suffer from selection bias. We included only those patients who underwent HVPG and TE during the study period; hence</w:t>
      </w:r>
      <w:r w:rsidR="008E13C4" w:rsidRPr="00AE4053">
        <w:rPr>
          <w:rFonts w:ascii="Book Antiqua" w:hAnsi="Book Antiqua"/>
          <w:sz w:val="24"/>
          <w:szCs w:val="24"/>
        </w:rPr>
        <w:t>,</w:t>
      </w:r>
      <w:r w:rsidRPr="00AE4053">
        <w:rPr>
          <w:rFonts w:ascii="Book Antiqua" w:hAnsi="Book Antiqua"/>
          <w:sz w:val="24"/>
          <w:szCs w:val="24"/>
        </w:rPr>
        <w:t xml:space="preserve"> our patients may not represent the entire population of patients </w:t>
      </w:r>
      <w:r w:rsidR="008E13C4" w:rsidRPr="00AE4053">
        <w:rPr>
          <w:rFonts w:ascii="Book Antiqua" w:hAnsi="Book Antiqua"/>
          <w:sz w:val="24"/>
          <w:szCs w:val="24"/>
        </w:rPr>
        <w:t xml:space="preserve">with </w:t>
      </w:r>
      <w:r w:rsidRPr="00AE4053">
        <w:rPr>
          <w:rFonts w:ascii="Book Antiqua" w:hAnsi="Book Antiqua"/>
          <w:sz w:val="24"/>
          <w:szCs w:val="24"/>
        </w:rPr>
        <w:t>cirrhosis</w:t>
      </w:r>
      <w:r w:rsidR="007E6753" w:rsidRPr="00AE4053">
        <w:rPr>
          <w:rFonts w:ascii="Book Antiqua" w:hAnsi="Book Antiqua"/>
          <w:sz w:val="24"/>
          <w:szCs w:val="24"/>
        </w:rPr>
        <w:t>,</w:t>
      </w:r>
      <w:r w:rsidRPr="00AE4053">
        <w:rPr>
          <w:rFonts w:ascii="Book Antiqua" w:hAnsi="Book Antiqua"/>
          <w:sz w:val="24"/>
          <w:szCs w:val="24"/>
        </w:rPr>
        <w:t xml:space="preserve"> as most included patients </w:t>
      </w:r>
      <w:r w:rsidR="008E13C4" w:rsidRPr="00AE4053">
        <w:rPr>
          <w:rFonts w:ascii="Book Antiqua" w:hAnsi="Book Antiqua"/>
          <w:sz w:val="24"/>
          <w:szCs w:val="24"/>
        </w:rPr>
        <w:t>have</w:t>
      </w:r>
      <w:r w:rsidRPr="00AE4053">
        <w:rPr>
          <w:rFonts w:ascii="Book Antiqua" w:hAnsi="Book Antiqua"/>
          <w:sz w:val="24"/>
          <w:szCs w:val="24"/>
        </w:rPr>
        <w:t xml:space="preserve"> moderate to severe portal hypertension. A prospective study design, which includes all consecutive patients of cirrhosis, regardless of degree of portal hypertension, would have been a better study design and more representative of the cirrhotic population of the community. </w:t>
      </w:r>
      <w:r w:rsidR="00E72F9A" w:rsidRPr="00AE4053">
        <w:rPr>
          <w:rFonts w:ascii="Book Antiqua" w:hAnsi="Book Antiqua"/>
          <w:sz w:val="24"/>
          <w:szCs w:val="24"/>
        </w:rPr>
        <w:t xml:space="preserve">A second </w:t>
      </w:r>
      <w:r w:rsidRPr="00AE4053">
        <w:rPr>
          <w:rFonts w:ascii="Book Antiqua" w:hAnsi="Book Antiqua"/>
          <w:sz w:val="24"/>
          <w:szCs w:val="24"/>
        </w:rPr>
        <w:t xml:space="preserve">limitation could be </w:t>
      </w:r>
      <w:r w:rsidR="00E72F9A" w:rsidRPr="00AE4053">
        <w:rPr>
          <w:rFonts w:ascii="Book Antiqua" w:hAnsi="Book Antiqua"/>
          <w:sz w:val="24"/>
          <w:szCs w:val="24"/>
        </w:rPr>
        <w:t xml:space="preserve">the </w:t>
      </w:r>
      <w:r w:rsidRPr="00AE4053">
        <w:rPr>
          <w:rFonts w:ascii="Book Antiqua" w:hAnsi="Book Antiqua"/>
          <w:sz w:val="24"/>
          <w:szCs w:val="24"/>
        </w:rPr>
        <w:t xml:space="preserve">lack of </w:t>
      </w:r>
      <w:r w:rsidR="00E72F9A" w:rsidRPr="00AE4053">
        <w:rPr>
          <w:rFonts w:ascii="Book Antiqua" w:hAnsi="Book Antiqua"/>
          <w:sz w:val="24"/>
          <w:szCs w:val="24"/>
        </w:rPr>
        <w:lastRenderedPageBreak/>
        <w:t>follow-</w:t>
      </w:r>
      <w:r w:rsidRPr="00AE4053">
        <w:rPr>
          <w:rFonts w:ascii="Book Antiqua" w:hAnsi="Book Antiqua"/>
          <w:sz w:val="24"/>
          <w:szCs w:val="24"/>
        </w:rPr>
        <w:t>up. Follow-up data on complications of portal hypertension would have further validated our results of TE cut-off for CSPH.</w:t>
      </w:r>
    </w:p>
    <w:p w14:paraId="1A33EEE3" w14:textId="77777777" w:rsidR="00C2452C" w:rsidRPr="00AE4053" w:rsidRDefault="00C2452C" w:rsidP="00AE4053">
      <w:pPr>
        <w:snapToGrid w:val="0"/>
        <w:spacing w:after="0" w:line="360" w:lineRule="auto"/>
        <w:jc w:val="both"/>
        <w:rPr>
          <w:rFonts w:ascii="Book Antiqua" w:hAnsi="Book Antiqua"/>
          <w:sz w:val="24"/>
          <w:szCs w:val="24"/>
        </w:rPr>
      </w:pPr>
    </w:p>
    <w:p w14:paraId="4D94376F" w14:textId="06EFE80E" w:rsidR="009E5538" w:rsidRPr="008E7A2E" w:rsidRDefault="008E7A2E" w:rsidP="008E7A2E">
      <w:pPr>
        <w:snapToGrid w:val="0"/>
        <w:spacing w:after="0" w:line="360" w:lineRule="auto"/>
        <w:ind w:firstLineChars="100" w:firstLine="240"/>
        <w:jc w:val="both"/>
        <w:rPr>
          <w:rFonts w:ascii="Book Antiqua" w:hAnsi="Book Antiqua"/>
          <w:sz w:val="24"/>
          <w:szCs w:val="24"/>
        </w:rPr>
      </w:pPr>
      <w:r w:rsidRPr="008E7A2E">
        <w:rPr>
          <w:rFonts w:ascii="Book Antiqua" w:hAnsi="Book Antiqua"/>
          <w:sz w:val="24"/>
          <w:szCs w:val="24"/>
        </w:rPr>
        <w:t xml:space="preserve">In conclusions, </w:t>
      </w:r>
      <w:r w:rsidRPr="00AE4053">
        <w:rPr>
          <w:rFonts w:ascii="Book Antiqua" w:hAnsi="Book Antiqua"/>
          <w:sz w:val="24"/>
          <w:szCs w:val="24"/>
        </w:rPr>
        <w:t>o</w:t>
      </w:r>
      <w:r w:rsidR="00C2452C" w:rsidRPr="00AE4053">
        <w:rPr>
          <w:rFonts w:ascii="Book Antiqua" w:hAnsi="Book Antiqua"/>
          <w:sz w:val="24"/>
          <w:szCs w:val="24"/>
        </w:rPr>
        <w:t xml:space="preserve">ur </w:t>
      </w:r>
      <w:r w:rsidR="0054635B" w:rsidRPr="00AE4053">
        <w:rPr>
          <w:rFonts w:ascii="Book Antiqua" w:hAnsi="Book Antiqua"/>
          <w:sz w:val="24"/>
          <w:szCs w:val="24"/>
        </w:rPr>
        <w:t xml:space="preserve">study </w:t>
      </w:r>
      <w:r w:rsidR="00E72F9A" w:rsidRPr="00AE4053">
        <w:rPr>
          <w:rFonts w:ascii="Book Antiqua" w:hAnsi="Book Antiqua"/>
          <w:sz w:val="24"/>
          <w:szCs w:val="24"/>
        </w:rPr>
        <w:t>demonstrated</w:t>
      </w:r>
      <w:r w:rsidR="0054635B" w:rsidRPr="00AE4053">
        <w:rPr>
          <w:rFonts w:ascii="Book Antiqua" w:hAnsi="Book Antiqua"/>
          <w:sz w:val="24"/>
          <w:szCs w:val="24"/>
        </w:rPr>
        <w:t xml:space="preserve"> that in patients with cirrhosis, TE has a fair positive correlation with HVPG</w:t>
      </w:r>
      <w:r w:rsidR="00E72F9A" w:rsidRPr="00AE4053">
        <w:rPr>
          <w:rFonts w:ascii="Book Antiqua" w:hAnsi="Book Antiqua"/>
          <w:sz w:val="24"/>
          <w:szCs w:val="24"/>
        </w:rPr>
        <w:t>;</w:t>
      </w:r>
      <w:r w:rsidR="0054635B" w:rsidRPr="00AE4053">
        <w:rPr>
          <w:rFonts w:ascii="Book Antiqua" w:hAnsi="Book Antiqua"/>
          <w:sz w:val="24"/>
          <w:szCs w:val="24"/>
        </w:rPr>
        <w:t xml:space="preserve"> thus</w:t>
      </w:r>
      <w:r w:rsidR="00E72F9A" w:rsidRPr="00AE4053">
        <w:rPr>
          <w:rFonts w:ascii="Book Antiqua" w:hAnsi="Book Antiqua"/>
          <w:sz w:val="24"/>
          <w:szCs w:val="24"/>
        </w:rPr>
        <w:t>,</w:t>
      </w:r>
      <w:r w:rsidR="0054635B" w:rsidRPr="00AE4053">
        <w:rPr>
          <w:rFonts w:ascii="Book Antiqua" w:hAnsi="Book Antiqua"/>
          <w:sz w:val="24"/>
          <w:szCs w:val="24"/>
        </w:rPr>
        <w:t xml:space="preserve"> TE can be used as a non-invasive modality to assess the degree of portal hypertension. The TE values </w:t>
      </w:r>
      <w:r w:rsidR="00E72F9A" w:rsidRPr="00AE4053">
        <w:rPr>
          <w:rFonts w:ascii="Book Antiqua" w:hAnsi="Book Antiqua"/>
          <w:sz w:val="24"/>
          <w:szCs w:val="24"/>
        </w:rPr>
        <w:t xml:space="preserve">increase </w:t>
      </w:r>
      <w:r w:rsidR="0054635B" w:rsidRPr="00AE4053">
        <w:rPr>
          <w:rFonts w:ascii="Book Antiqua" w:hAnsi="Book Antiqua"/>
          <w:sz w:val="24"/>
          <w:szCs w:val="24"/>
        </w:rPr>
        <w:t xml:space="preserve">progressively as portal pressure </w:t>
      </w:r>
      <w:r w:rsidR="00E72F9A" w:rsidRPr="00AE4053">
        <w:rPr>
          <w:rFonts w:ascii="Book Antiqua" w:hAnsi="Book Antiqua"/>
          <w:sz w:val="24"/>
          <w:szCs w:val="24"/>
        </w:rPr>
        <w:t xml:space="preserve">increases </w:t>
      </w:r>
      <w:r w:rsidR="0054635B" w:rsidRPr="00AE4053">
        <w:rPr>
          <w:rFonts w:ascii="Book Antiqua" w:hAnsi="Book Antiqua"/>
          <w:sz w:val="24"/>
          <w:szCs w:val="24"/>
        </w:rPr>
        <w:t xml:space="preserve">from normal through SCPH, CSPH, SPH and VSPH. </w:t>
      </w:r>
      <w:r w:rsidR="00FB7136" w:rsidRPr="00AE4053">
        <w:rPr>
          <w:rFonts w:ascii="Book Antiqua" w:hAnsi="Book Antiqua"/>
          <w:sz w:val="24"/>
          <w:szCs w:val="24"/>
        </w:rPr>
        <w:t>A</w:t>
      </w:r>
      <w:r w:rsidR="0054635B" w:rsidRPr="00AE4053">
        <w:rPr>
          <w:rFonts w:ascii="Book Antiqua" w:hAnsi="Book Antiqua"/>
          <w:sz w:val="24"/>
          <w:szCs w:val="24"/>
        </w:rPr>
        <w:t xml:space="preserve"> cut-off TE value of 21.6 </w:t>
      </w:r>
      <w:proofErr w:type="spellStart"/>
      <w:r w:rsidR="0054635B" w:rsidRPr="00AE4053">
        <w:rPr>
          <w:rFonts w:ascii="Book Antiqua" w:hAnsi="Book Antiqua"/>
          <w:sz w:val="24"/>
          <w:szCs w:val="24"/>
        </w:rPr>
        <w:t>kPa</w:t>
      </w:r>
      <w:proofErr w:type="spellEnd"/>
      <w:r w:rsidR="0054635B" w:rsidRPr="00AE4053">
        <w:rPr>
          <w:rFonts w:ascii="Book Antiqua" w:hAnsi="Book Antiqua"/>
          <w:sz w:val="24"/>
          <w:szCs w:val="24"/>
        </w:rPr>
        <w:t xml:space="preserve"> has 93% positive predictive value in diagnosing CSPH. </w:t>
      </w:r>
      <w:r w:rsidR="008E388B" w:rsidRPr="00AE4053">
        <w:rPr>
          <w:rFonts w:ascii="Book Antiqua" w:hAnsi="Book Antiqua"/>
          <w:sz w:val="24"/>
          <w:szCs w:val="24"/>
        </w:rPr>
        <w:t xml:space="preserve">This cut-off will be very useful in diagnosing CSPH and </w:t>
      </w:r>
      <w:r w:rsidR="00E72F9A" w:rsidRPr="00AE4053">
        <w:rPr>
          <w:rFonts w:ascii="Book Antiqua" w:hAnsi="Book Antiqua"/>
          <w:sz w:val="24"/>
          <w:szCs w:val="24"/>
        </w:rPr>
        <w:t xml:space="preserve">making </w:t>
      </w:r>
      <w:r w:rsidR="008E388B" w:rsidRPr="00AE4053">
        <w:rPr>
          <w:rFonts w:ascii="Book Antiqua" w:hAnsi="Book Antiqua"/>
          <w:sz w:val="24"/>
          <w:szCs w:val="24"/>
        </w:rPr>
        <w:t xml:space="preserve">appropriate treatment decisions in places where HVPG is not available or when patients are unwilling to undergo HVPG due to its invasiveness. </w:t>
      </w:r>
      <w:r w:rsidR="00E72F9A" w:rsidRPr="00AE4053">
        <w:rPr>
          <w:rFonts w:ascii="Book Antiqua" w:hAnsi="Book Antiqua"/>
          <w:sz w:val="24"/>
          <w:szCs w:val="24"/>
        </w:rPr>
        <w:t>As</w:t>
      </w:r>
      <w:r w:rsidR="00427E2B" w:rsidRPr="00AE4053">
        <w:rPr>
          <w:rFonts w:ascii="Book Antiqua" w:hAnsi="Book Antiqua"/>
          <w:sz w:val="24"/>
          <w:szCs w:val="24"/>
        </w:rPr>
        <w:t xml:space="preserve"> a reliable and non-invasive procedure, </w:t>
      </w:r>
      <w:r w:rsidR="00E72F9A" w:rsidRPr="00AE4053">
        <w:rPr>
          <w:rFonts w:ascii="Book Antiqua" w:hAnsi="Book Antiqua"/>
          <w:sz w:val="24"/>
          <w:szCs w:val="24"/>
        </w:rPr>
        <w:t xml:space="preserve">TE </w:t>
      </w:r>
      <w:r w:rsidR="00427E2B" w:rsidRPr="00AE4053">
        <w:rPr>
          <w:rFonts w:ascii="Book Antiqua" w:hAnsi="Book Antiqua"/>
          <w:sz w:val="24"/>
          <w:szCs w:val="24"/>
        </w:rPr>
        <w:t xml:space="preserve">is </w:t>
      </w:r>
      <w:r w:rsidR="00E72F9A" w:rsidRPr="00AE4053">
        <w:rPr>
          <w:rFonts w:ascii="Book Antiqua" w:hAnsi="Book Antiqua"/>
          <w:sz w:val="24"/>
          <w:szCs w:val="24"/>
        </w:rPr>
        <w:t xml:space="preserve">a </w:t>
      </w:r>
      <w:r w:rsidR="00427E2B" w:rsidRPr="00AE4053">
        <w:rPr>
          <w:rFonts w:ascii="Book Antiqua" w:hAnsi="Book Antiqua"/>
          <w:sz w:val="24"/>
          <w:szCs w:val="24"/>
        </w:rPr>
        <w:t xml:space="preserve">promising and worthy </w:t>
      </w:r>
      <w:r w:rsidR="0046639C" w:rsidRPr="00AE4053">
        <w:rPr>
          <w:rFonts w:ascii="Book Antiqua" w:hAnsi="Book Antiqua"/>
          <w:sz w:val="24"/>
          <w:szCs w:val="24"/>
        </w:rPr>
        <w:t xml:space="preserve">tool </w:t>
      </w:r>
      <w:r w:rsidR="00427E2B" w:rsidRPr="00AE4053">
        <w:rPr>
          <w:rFonts w:ascii="Book Antiqua" w:hAnsi="Book Antiqua"/>
          <w:sz w:val="24"/>
          <w:szCs w:val="24"/>
        </w:rPr>
        <w:t xml:space="preserve">to translate into </w:t>
      </w:r>
      <w:r w:rsidR="0046639C" w:rsidRPr="00AE4053">
        <w:rPr>
          <w:rFonts w:ascii="Book Antiqua" w:hAnsi="Book Antiqua"/>
          <w:sz w:val="24"/>
          <w:szCs w:val="24"/>
        </w:rPr>
        <w:t xml:space="preserve">routine </w:t>
      </w:r>
      <w:r w:rsidR="00427E2B" w:rsidRPr="00AE4053">
        <w:rPr>
          <w:rFonts w:ascii="Book Antiqua" w:hAnsi="Book Antiqua"/>
          <w:sz w:val="24"/>
          <w:szCs w:val="24"/>
        </w:rPr>
        <w:t xml:space="preserve">clinical practice </w:t>
      </w:r>
      <w:r w:rsidR="0046639C" w:rsidRPr="00AE4053">
        <w:rPr>
          <w:rFonts w:ascii="Book Antiqua" w:hAnsi="Book Antiqua"/>
          <w:sz w:val="24"/>
          <w:szCs w:val="24"/>
        </w:rPr>
        <w:t>for</w:t>
      </w:r>
      <w:r w:rsidR="00427E2B" w:rsidRPr="00AE4053">
        <w:rPr>
          <w:rFonts w:ascii="Book Antiqua" w:hAnsi="Book Antiqua"/>
          <w:sz w:val="24"/>
          <w:szCs w:val="24"/>
        </w:rPr>
        <w:t xml:space="preserve"> detecting CSPH. TE could be integrated in the detection of CSPH in untreated patients for portal hypertension. </w:t>
      </w:r>
      <w:r w:rsidR="0054635B" w:rsidRPr="00AE4053">
        <w:rPr>
          <w:rFonts w:ascii="Book Antiqua" w:hAnsi="Book Antiqua"/>
          <w:sz w:val="24"/>
          <w:szCs w:val="24"/>
        </w:rPr>
        <w:t xml:space="preserve">Further large prospective studies are needed to </w:t>
      </w:r>
      <w:r w:rsidR="00DD5B70" w:rsidRPr="00AE4053">
        <w:rPr>
          <w:rFonts w:ascii="Book Antiqua" w:hAnsi="Book Antiqua"/>
          <w:sz w:val="24"/>
          <w:szCs w:val="24"/>
        </w:rPr>
        <w:t xml:space="preserve">prospectively </w:t>
      </w:r>
      <w:r w:rsidR="0054635B" w:rsidRPr="00AE4053">
        <w:rPr>
          <w:rFonts w:ascii="Book Antiqua" w:hAnsi="Book Antiqua"/>
          <w:sz w:val="24"/>
          <w:szCs w:val="24"/>
        </w:rPr>
        <w:t xml:space="preserve">validate the findings of our study </w:t>
      </w:r>
      <w:r w:rsidR="00DD5B70" w:rsidRPr="00AE4053">
        <w:rPr>
          <w:rFonts w:ascii="Book Antiqua" w:hAnsi="Book Antiqua"/>
          <w:sz w:val="24"/>
          <w:szCs w:val="24"/>
        </w:rPr>
        <w:t>and</w:t>
      </w:r>
      <w:r w:rsidR="009E5538" w:rsidRPr="00AE4053">
        <w:rPr>
          <w:rFonts w:ascii="Book Antiqua" w:hAnsi="Book Antiqua"/>
          <w:sz w:val="24"/>
          <w:szCs w:val="24"/>
        </w:rPr>
        <w:t xml:space="preserve"> also to determine whether TE can be used in monitoring the hemodynamic response and the effect of drugs reducing portal pressure.</w:t>
      </w:r>
    </w:p>
    <w:p w14:paraId="0975DD4A" w14:textId="77777777" w:rsidR="009E5538" w:rsidRPr="00AE4053" w:rsidRDefault="009E5538" w:rsidP="00AE4053">
      <w:pPr>
        <w:snapToGrid w:val="0"/>
        <w:spacing w:after="0" w:line="360" w:lineRule="auto"/>
        <w:jc w:val="both"/>
        <w:rPr>
          <w:rFonts w:ascii="Book Antiqua" w:hAnsi="Book Antiqua"/>
          <w:sz w:val="24"/>
          <w:szCs w:val="24"/>
        </w:rPr>
      </w:pPr>
    </w:p>
    <w:p w14:paraId="78E00C8E" w14:textId="02A53C71" w:rsidR="00D83B76" w:rsidRPr="00AE4053" w:rsidRDefault="00D83B76" w:rsidP="00AE4053">
      <w:pPr>
        <w:snapToGrid w:val="0"/>
        <w:spacing w:after="0" w:line="360" w:lineRule="auto"/>
        <w:jc w:val="both"/>
        <w:rPr>
          <w:rFonts w:ascii="Book Antiqua" w:hAnsi="Book Antiqua"/>
          <w:b/>
          <w:sz w:val="24"/>
          <w:szCs w:val="24"/>
        </w:rPr>
      </w:pPr>
      <w:r w:rsidRPr="00AE4053">
        <w:rPr>
          <w:rFonts w:ascii="Book Antiqua" w:hAnsi="Book Antiqua"/>
          <w:b/>
          <w:sz w:val="24"/>
          <w:szCs w:val="24"/>
        </w:rPr>
        <w:t>COMMENTS</w:t>
      </w:r>
    </w:p>
    <w:p w14:paraId="464EA5BC" w14:textId="715EE980" w:rsidR="00D83B76" w:rsidRPr="008E7A2E" w:rsidRDefault="00D83B76" w:rsidP="00AE4053">
      <w:pPr>
        <w:snapToGrid w:val="0"/>
        <w:spacing w:after="0" w:line="360" w:lineRule="auto"/>
        <w:jc w:val="both"/>
        <w:rPr>
          <w:rFonts w:ascii="Book Antiqua" w:hAnsi="Book Antiqua"/>
          <w:b/>
          <w:i/>
          <w:sz w:val="24"/>
          <w:szCs w:val="24"/>
        </w:rPr>
      </w:pPr>
      <w:r w:rsidRPr="008E7A2E">
        <w:rPr>
          <w:rFonts w:ascii="Book Antiqua" w:hAnsi="Book Antiqua"/>
          <w:b/>
          <w:i/>
          <w:sz w:val="24"/>
          <w:szCs w:val="24"/>
        </w:rPr>
        <w:t>Background</w:t>
      </w:r>
    </w:p>
    <w:p w14:paraId="6130CDB5" w14:textId="50518F8F" w:rsidR="00D83B76" w:rsidRPr="00AE4053" w:rsidRDefault="00D83B76" w:rsidP="00AE4053">
      <w:pPr>
        <w:snapToGrid w:val="0"/>
        <w:spacing w:after="0" w:line="360" w:lineRule="auto"/>
        <w:jc w:val="both"/>
        <w:rPr>
          <w:rFonts w:ascii="Book Antiqua" w:hAnsi="Book Antiqua"/>
          <w:sz w:val="24"/>
          <w:szCs w:val="24"/>
        </w:rPr>
      </w:pPr>
      <w:r w:rsidRPr="00AE4053">
        <w:rPr>
          <w:rFonts w:ascii="Book Antiqua" w:hAnsi="Book Antiqua"/>
          <w:sz w:val="24"/>
          <w:szCs w:val="24"/>
        </w:rPr>
        <w:t xml:space="preserve">Clinically significant portal hypertension (CSPH), </w:t>
      </w:r>
      <w:r w:rsidR="00E72F9A" w:rsidRPr="00AE4053">
        <w:rPr>
          <w:rFonts w:ascii="Book Antiqua" w:hAnsi="Book Antiqua"/>
          <w:sz w:val="24"/>
          <w:szCs w:val="24"/>
        </w:rPr>
        <w:t xml:space="preserve">which is </w:t>
      </w:r>
      <w:r w:rsidRPr="00AE4053">
        <w:rPr>
          <w:rFonts w:ascii="Book Antiqua" w:hAnsi="Book Antiqua"/>
          <w:sz w:val="24"/>
          <w:szCs w:val="24"/>
        </w:rPr>
        <w:t>defined as hepatic venous pressure gradient (HVPG) ≥</w:t>
      </w:r>
      <w:r w:rsidR="008E7A2E">
        <w:rPr>
          <w:rFonts w:ascii="Book Antiqua" w:hAnsi="Book Antiqua"/>
          <w:sz w:val="24"/>
          <w:szCs w:val="24"/>
        </w:rPr>
        <w:t xml:space="preserve"> 10 mm</w:t>
      </w:r>
      <w:r w:rsidRPr="00AE4053">
        <w:rPr>
          <w:rFonts w:ascii="Book Antiqua" w:hAnsi="Book Antiqua"/>
          <w:sz w:val="24"/>
          <w:szCs w:val="24"/>
        </w:rPr>
        <w:t>Hg, causes major complications of cirrhosis.</w:t>
      </w:r>
      <w:r w:rsidR="008E7A2E">
        <w:rPr>
          <w:rFonts w:ascii="Book Antiqua" w:hAnsi="Book Antiqua"/>
          <w:sz w:val="24"/>
          <w:szCs w:val="24"/>
        </w:rPr>
        <w:t xml:space="preserve"> </w:t>
      </w:r>
      <w:r w:rsidRPr="00AE4053">
        <w:rPr>
          <w:rFonts w:ascii="Book Antiqua" w:hAnsi="Book Antiqua"/>
          <w:sz w:val="24"/>
          <w:szCs w:val="24"/>
        </w:rPr>
        <w:t xml:space="preserve">HVPG is invasive and not always available, so a noninvasive tool to diagnose CSPH is needed. Many studies have correlated transient </w:t>
      </w:r>
      <w:proofErr w:type="spellStart"/>
      <w:r w:rsidRPr="00AE4053">
        <w:rPr>
          <w:rFonts w:ascii="Book Antiqua" w:hAnsi="Book Antiqua"/>
          <w:sz w:val="24"/>
          <w:szCs w:val="24"/>
        </w:rPr>
        <w:t>elastography</w:t>
      </w:r>
      <w:proofErr w:type="spellEnd"/>
      <w:r w:rsidRPr="00AE4053">
        <w:rPr>
          <w:rFonts w:ascii="Book Antiqua" w:hAnsi="Book Antiqua"/>
          <w:sz w:val="24"/>
          <w:szCs w:val="24"/>
        </w:rPr>
        <w:t xml:space="preserve"> (TE) with HVPG, but none of them are from South Asia where </w:t>
      </w:r>
      <w:r w:rsidR="00E72F9A" w:rsidRPr="00AE4053">
        <w:rPr>
          <w:rFonts w:ascii="Book Antiqua" w:hAnsi="Book Antiqua"/>
          <w:sz w:val="24"/>
          <w:szCs w:val="24"/>
        </w:rPr>
        <w:t xml:space="preserve">the </w:t>
      </w:r>
      <w:r w:rsidRPr="00AE4053">
        <w:rPr>
          <w:rFonts w:ascii="Book Antiqua" w:hAnsi="Book Antiqua"/>
          <w:sz w:val="24"/>
          <w:szCs w:val="24"/>
        </w:rPr>
        <w:t xml:space="preserve">etiological profile of cirrhosis </w:t>
      </w:r>
      <w:r w:rsidR="00E72F9A" w:rsidRPr="00AE4053">
        <w:rPr>
          <w:rFonts w:ascii="Book Antiqua" w:hAnsi="Book Antiqua"/>
          <w:sz w:val="24"/>
          <w:szCs w:val="24"/>
        </w:rPr>
        <w:t>differs</w:t>
      </w:r>
      <w:r w:rsidRPr="00AE4053">
        <w:rPr>
          <w:rFonts w:ascii="Book Antiqua" w:hAnsi="Book Antiqua"/>
          <w:sz w:val="24"/>
          <w:szCs w:val="24"/>
        </w:rPr>
        <w:t xml:space="preserve"> f</w:t>
      </w:r>
      <w:r w:rsidR="008E7A2E">
        <w:rPr>
          <w:rFonts w:ascii="Book Antiqua" w:hAnsi="Book Antiqua"/>
          <w:sz w:val="24"/>
          <w:szCs w:val="24"/>
        </w:rPr>
        <w:t>rom other regions of the world.</w:t>
      </w:r>
    </w:p>
    <w:p w14:paraId="50FACB31" w14:textId="77777777" w:rsidR="009368DE" w:rsidRPr="00AE4053" w:rsidRDefault="009368DE" w:rsidP="00AE4053">
      <w:pPr>
        <w:snapToGrid w:val="0"/>
        <w:spacing w:after="0" w:line="360" w:lineRule="auto"/>
        <w:jc w:val="both"/>
        <w:rPr>
          <w:rFonts w:ascii="Book Antiqua" w:hAnsi="Book Antiqua"/>
          <w:sz w:val="24"/>
          <w:szCs w:val="24"/>
        </w:rPr>
      </w:pPr>
    </w:p>
    <w:p w14:paraId="40520685" w14:textId="5B8059B6" w:rsidR="009368DE" w:rsidRPr="008E7A2E" w:rsidRDefault="009368DE" w:rsidP="00AE4053">
      <w:pPr>
        <w:snapToGrid w:val="0"/>
        <w:spacing w:after="0" w:line="360" w:lineRule="auto"/>
        <w:jc w:val="both"/>
        <w:rPr>
          <w:rFonts w:ascii="Book Antiqua" w:hAnsi="Book Antiqua"/>
          <w:b/>
          <w:i/>
          <w:sz w:val="24"/>
          <w:szCs w:val="24"/>
        </w:rPr>
      </w:pPr>
      <w:r w:rsidRPr="008E7A2E">
        <w:rPr>
          <w:rFonts w:ascii="Book Antiqua" w:hAnsi="Book Antiqua"/>
          <w:b/>
          <w:i/>
          <w:sz w:val="24"/>
          <w:szCs w:val="24"/>
        </w:rPr>
        <w:t>Research frontiers</w:t>
      </w:r>
    </w:p>
    <w:p w14:paraId="2037F584" w14:textId="01D3F881" w:rsidR="009368DE" w:rsidRPr="00AE4053" w:rsidRDefault="009368DE" w:rsidP="00AE4053">
      <w:pPr>
        <w:snapToGrid w:val="0"/>
        <w:spacing w:after="0" w:line="360" w:lineRule="auto"/>
        <w:jc w:val="both"/>
        <w:rPr>
          <w:rFonts w:ascii="Book Antiqua" w:hAnsi="Book Antiqua"/>
          <w:sz w:val="24"/>
          <w:szCs w:val="24"/>
        </w:rPr>
      </w:pPr>
      <w:r w:rsidRPr="00AE4053">
        <w:rPr>
          <w:rFonts w:ascii="Book Antiqua" w:hAnsi="Book Antiqua"/>
          <w:sz w:val="24"/>
          <w:szCs w:val="24"/>
        </w:rPr>
        <w:t xml:space="preserve">TE is a novel, noninvasive, ultrasound-based technology that allows </w:t>
      </w:r>
      <w:r w:rsidR="00E72F9A" w:rsidRPr="00AE4053">
        <w:rPr>
          <w:rFonts w:ascii="Book Antiqua" w:hAnsi="Book Antiqua"/>
          <w:sz w:val="24"/>
          <w:szCs w:val="24"/>
        </w:rPr>
        <w:t xml:space="preserve">measurements of </w:t>
      </w:r>
      <w:r w:rsidRPr="00AE4053">
        <w:rPr>
          <w:rFonts w:ascii="Book Antiqua" w:hAnsi="Book Antiqua"/>
          <w:sz w:val="24"/>
          <w:szCs w:val="24"/>
        </w:rPr>
        <w:t>liver stiffness. Established evidence indicate</w:t>
      </w:r>
      <w:r w:rsidR="00E72F9A" w:rsidRPr="00AE4053">
        <w:rPr>
          <w:rFonts w:ascii="Book Antiqua" w:hAnsi="Book Antiqua"/>
          <w:sz w:val="24"/>
          <w:szCs w:val="24"/>
        </w:rPr>
        <w:t>s</w:t>
      </w:r>
      <w:r w:rsidRPr="00AE4053">
        <w:rPr>
          <w:rFonts w:ascii="Book Antiqua" w:hAnsi="Book Antiqua"/>
          <w:sz w:val="24"/>
          <w:szCs w:val="24"/>
        </w:rPr>
        <w:t xml:space="preserve"> that TE has good sensitivity and specificity for diagnosing liver fibrosis and cirrhosis and has been popular over the </w:t>
      </w:r>
      <w:r w:rsidRPr="00AE4053">
        <w:rPr>
          <w:rFonts w:ascii="Book Antiqua" w:hAnsi="Book Antiqua"/>
          <w:sz w:val="24"/>
          <w:szCs w:val="24"/>
        </w:rPr>
        <w:lastRenderedPageBreak/>
        <w:t>past few years. Th</w:t>
      </w:r>
      <w:r w:rsidR="00523D09" w:rsidRPr="00AE4053">
        <w:rPr>
          <w:rFonts w:ascii="Book Antiqua" w:hAnsi="Book Antiqua"/>
          <w:sz w:val="24"/>
          <w:szCs w:val="24"/>
        </w:rPr>
        <w:t>e present</w:t>
      </w:r>
      <w:r w:rsidRPr="00AE4053">
        <w:rPr>
          <w:rFonts w:ascii="Book Antiqua" w:hAnsi="Book Antiqua"/>
          <w:sz w:val="24"/>
          <w:szCs w:val="24"/>
        </w:rPr>
        <w:t xml:space="preserve"> study tested the diagnostic accuracy of TE for detecting CSPH in Indian patients.</w:t>
      </w:r>
    </w:p>
    <w:p w14:paraId="3019698C" w14:textId="77777777" w:rsidR="00523D09" w:rsidRPr="00AE4053" w:rsidRDefault="00523D09" w:rsidP="00AE4053">
      <w:pPr>
        <w:snapToGrid w:val="0"/>
        <w:spacing w:after="0" w:line="360" w:lineRule="auto"/>
        <w:jc w:val="both"/>
        <w:rPr>
          <w:rFonts w:ascii="Book Antiqua" w:hAnsi="Book Antiqua"/>
          <w:sz w:val="24"/>
          <w:szCs w:val="24"/>
        </w:rPr>
      </w:pPr>
    </w:p>
    <w:p w14:paraId="59F2DB34" w14:textId="313B5237" w:rsidR="00523D09" w:rsidRPr="008E7A2E" w:rsidRDefault="00523D09" w:rsidP="00AE4053">
      <w:pPr>
        <w:snapToGrid w:val="0"/>
        <w:spacing w:after="0" w:line="360" w:lineRule="auto"/>
        <w:jc w:val="both"/>
        <w:rPr>
          <w:rFonts w:ascii="Book Antiqua" w:hAnsi="Book Antiqua"/>
          <w:b/>
          <w:i/>
          <w:sz w:val="24"/>
          <w:szCs w:val="24"/>
        </w:rPr>
      </w:pPr>
      <w:r w:rsidRPr="008E7A2E">
        <w:rPr>
          <w:rFonts w:ascii="Book Antiqua" w:hAnsi="Book Antiqua"/>
          <w:b/>
          <w:i/>
          <w:sz w:val="24"/>
          <w:szCs w:val="24"/>
        </w:rPr>
        <w:t>Innovations and breakthroughs</w:t>
      </w:r>
    </w:p>
    <w:p w14:paraId="4BCDCAD1" w14:textId="4A58A373" w:rsidR="00523D09" w:rsidRPr="00AE4053" w:rsidRDefault="00523D09" w:rsidP="00AE4053">
      <w:pPr>
        <w:snapToGrid w:val="0"/>
        <w:spacing w:after="0" w:line="360" w:lineRule="auto"/>
        <w:jc w:val="both"/>
        <w:rPr>
          <w:rFonts w:ascii="Book Antiqua" w:hAnsi="Book Antiqua"/>
          <w:sz w:val="24"/>
          <w:szCs w:val="24"/>
        </w:rPr>
      </w:pPr>
      <w:r w:rsidRPr="00AE4053">
        <w:rPr>
          <w:rFonts w:ascii="Book Antiqua" w:hAnsi="Book Antiqua"/>
          <w:sz w:val="24"/>
          <w:szCs w:val="24"/>
        </w:rPr>
        <w:t>The present study showed that in patients with cirrhosis, TE has a fair positive correlation with HVPG</w:t>
      </w:r>
      <w:r w:rsidR="00E72F9A" w:rsidRPr="00AE4053">
        <w:rPr>
          <w:rFonts w:ascii="Book Antiqua" w:hAnsi="Book Antiqua"/>
          <w:sz w:val="24"/>
          <w:szCs w:val="24"/>
        </w:rPr>
        <w:t>;</w:t>
      </w:r>
      <w:r w:rsidRPr="00AE4053">
        <w:rPr>
          <w:rFonts w:ascii="Book Antiqua" w:hAnsi="Book Antiqua"/>
          <w:sz w:val="24"/>
          <w:szCs w:val="24"/>
        </w:rPr>
        <w:t xml:space="preserve"> thus</w:t>
      </w:r>
      <w:r w:rsidR="00E72F9A" w:rsidRPr="00AE4053">
        <w:rPr>
          <w:rFonts w:ascii="Book Antiqua" w:hAnsi="Book Antiqua"/>
          <w:sz w:val="24"/>
          <w:szCs w:val="24"/>
        </w:rPr>
        <w:t>,</w:t>
      </w:r>
      <w:r w:rsidRPr="00AE4053">
        <w:rPr>
          <w:rFonts w:ascii="Book Antiqua" w:hAnsi="Book Antiqua"/>
          <w:sz w:val="24"/>
          <w:szCs w:val="24"/>
        </w:rPr>
        <w:t xml:space="preserve"> TE can be used as a non-invasive modality to assess the degree of portal hypertension. The TE values </w:t>
      </w:r>
      <w:r w:rsidR="00E72F9A" w:rsidRPr="00AE4053">
        <w:rPr>
          <w:rFonts w:ascii="Book Antiqua" w:hAnsi="Book Antiqua"/>
          <w:sz w:val="24"/>
          <w:szCs w:val="24"/>
        </w:rPr>
        <w:t xml:space="preserve">increase </w:t>
      </w:r>
      <w:r w:rsidRPr="00AE4053">
        <w:rPr>
          <w:rFonts w:ascii="Book Antiqua" w:hAnsi="Book Antiqua"/>
          <w:sz w:val="24"/>
          <w:szCs w:val="24"/>
        </w:rPr>
        <w:t xml:space="preserve">progressively as portal pressure </w:t>
      </w:r>
      <w:r w:rsidR="00E72F9A" w:rsidRPr="00AE4053">
        <w:rPr>
          <w:rFonts w:ascii="Book Antiqua" w:hAnsi="Book Antiqua"/>
          <w:sz w:val="24"/>
          <w:szCs w:val="24"/>
        </w:rPr>
        <w:t xml:space="preserve">increases </w:t>
      </w:r>
      <w:r w:rsidRPr="00AE4053">
        <w:rPr>
          <w:rFonts w:ascii="Book Antiqua" w:hAnsi="Book Antiqua"/>
          <w:sz w:val="24"/>
          <w:szCs w:val="24"/>
        </w:rPr>
        <w:t xml:space="preserve">from normal through subclinical portal hypertension (SCPH), CSPH, severe portal hypertension (SPH) and very severe portal hypertension (VSPH). </w:t>
      </w:r>
      <w:r w:rsidR="00E72F9A" w:rsidRPr="00AE4053">
        <w:rPr>
          <w:rFonts w:ascii="Book Antiqua" w:hAnsi="Book Antiqua"/>
          <w:sz w:val="24"/>
          <w:szCs w:val="24"/>
        </w:rPr>
        <w:t>In addition,</w:t>
      </w:r>
      <w:r w:rsidRPr="00AE4053">
        <w:rPr>
          <w:rFonts w:ascii="Book Antiqua" w:hAnsi="Book Antiqua"/>
          <w:sz w:val="24"/>
          <w:szCs w:val="24"/>
        </w:rPr>
        <w:t xml:space="preserve"> a cut-off TE value of 21.6 </w:t>
      </w:r>
      <w:proofErr w:type="spellStart"/>
      <w:r w:rsidRPr="00AE4053">
        <w:rPr>
          <w:rFonts w:ascii="Book Antiqua" w:hAnsi="Book Antiqua"/>
          <w:sz w:val="24"/>
          <w:szCs w:val="24"/>
        </w:rPr>
        <w:t>kPa</w:t>
      </w:r>
      <w:proofErr w:type="spellEnd"/>
      <w:r w:rsidRPr="00AE4053">
        <w:rPr>
          <w:rFonts w:ascii="Book Antiqua" w:hAnsi="Book Antiqua"/>
          <w:sz w:val="24"/>
          <w:szCs w:val="24"/>
        </w:rPr>
        <w:t xml:space="preserve"> has 93% positive predictive value in diagnosing CSPH.</w:t>
      </w:r>
    </w:p>
    <w:p w14:paraId="25D0EF7D" w14:textId="77777777" w:rsidR="009368DE" w:rsidRPr="00AE4053" w:rsidRDefault="009368DE" w:rsidP="00AE4053">
      <w:pPr>
        <w:snapToGrid w:val="0"/>
        <w:spacing w:after="0" w:line="360" w:lineRule="auto"/>
        <w:jc w:val="both"/>
        <w:rPr>
          <w:rFonts w:ascii="Book Antiqua" w:hAnsi="Book Antiqua"/>
          <w:sz w:val="24"/>
          <w:szCs w:val="24"/>
        </w:rPr>
      </w:pPr>
    </w:p>
    <w:p w14:paraId="09B70700" w14:textId="1F87891C" w:rsidR="009E5538" w:rsidRPr="008E7A2E" w:rsidRDefault="00523D09" w:rsidP="00AE4053">
      <w:pPr>
        <w:snapToGrid w:val="0"/>
        <w:spacing w:after="0" w:line="360" w:lineRule="auto"/>
        <w:jc w:val="both"/>
        <w:rPr>
          <w:rFonts w:ascii="Book Antiqua" w:hAnsi="Book Antiqua"/>
          <w:b/>
          <w:i/>
          <w:sz w:val="24"/>
          <w:szCs w:val="24"/>
        </w:rPr>
      </w:pPr>
      <w:r w:rsidRPr="008E7A2E">
        <w:rPr>
          <w:rFonts w:ascii="Book Antiqua" w:hAnsi="Book Antiqua"/>
          <w:b/>
          <w:i/>
          <w:sz w:val="24"/>
          <w:szCs w:val="24"/>
        </w:rPr>
        <w:t>Applications</w:t>
      </w:r>
    </w:p>
    <w:p w14:paraId="2DA3AB66" w14:textId="063DB81E" w:rsidR="00523D09" w:rsidRPr="00AE4053" w:rsidRDefault="00EB277E" w:rsidP="00AE4053">
      <w:pPr>
        <w:snapToGrid w:val="0"/>
        <w:spacing w:after="0" w:line="360" w:lineRule="auto"/>
        <w:jc w:val="both"/>
        <w:rPr>
          <w:rFonts w:ascii="Book Antiqua" w:hAnsi="Book Antiqua"/>
          <w:sz w:val="24"/>
          <w:szCs w:val="24"/>
        </w:rPr>
      </w:pPr>
      <w:r w:rsidRPr="00AE4053">
        <w:rPr>
          <w:rFonts w:ascii="Book Antiqua" w:hAnsi="Book Antiqua"/>
          <w:sz w:val="24"/>
          <w:szCs w:val="24"/>
        </w:rPr>
        <w:t xml:space="preserve">This </w:t>
      </w:r>
      <w:r w:rsidR="00605AB9" w:rsidRPr="00AE4053">
        <w:rPr>
          <w:rFonts w:ascii="Book Antiqua" w:hAnsi="Book Antiqua"/>
          <w:sz w:val="24"/>
          <w:szCs w:val="24"/>
        </w:rPr>
        <w:t xml:space="preserve">study suggests that </w:t>
      </w:r>
      <w:r w:rsidR="00365749" w:rsidRPr="00AE4053">
        <w:rPr>
          <w:rFonts w:ascii="Book Antiqua" w:hAnsi="Book Antiqua"/>
          <w:sz w:val="24"/>
          <w:szCs w:val="24"/>
        </w:rPr>
        <w:t xml:space="preserve">TE, </w:t>
      </w:r>
      <w:r w:rsidR="00E72F9A" w:rsidRPr="00AE4053">
        <w:rPr>
          <w:rFonts w:ascii="Book Antiqua" w:hAnsi="Book Antiqua"/>
          <w:sz w:val="24"/>
          <w:szCs w:val="24"/>
        </w:rPr>
        <w:t xml:space="preserve">which is </w:t>
      </w:r>
      <w:r w:rsidR="00365749" w:rsidRPr="00AE4053">
        <w:rPr>
          <w:rFonts w:ascii="Book Antiqua" w:hAnsi="Book Antiqua"/>
          <w:sz w:val="24"/>
          <w:szCs w:val="24"/>
        </w:rPr>
        <w:t xml:space="preserve">a reliable and non-invasive procedure, is </w:t>
      </w:r>
      <w:r w:rsidR="007E6753" w:rsidRPr="00AE4053">
        <w:rPr>
          <w:rFonts w:ascii="Book Antiqua" w:hAnsi="Book Antiqua"/>
          <w:sz w:val="24"/>
          <w:szCs w:val="24"/>
        </w:rPr>
        <w:t xml:space="preserve">a </w:t>
      </w:r>
      <w:r w:rsidR="00365749" w:rsidRPr="00AE4053">
        <w:rPr>
          <w:rFonts w:ascii="Book Antiqua" w:hAnsi="Book Antiqua"/>
          <w:sz w:val="24"/>
          <w:szCs w:val="24"/>
        </w:rPr>
        <w:t>promising and worthy tool to translate into routine clinical practice for detecting CSPH.</w:t>
      </w:r>
      <w:r w:rsidR="008E7A2E">
        <w:rPr>
          <w:rFonts w:ascii="Book Antiqua" w:hAnsi="Book Antiqua"/>
          <w:sz w:val="24"/>
          <w:szCs w:val="24"/>
        </w:rPr>
        <w:t xml:space="preserve"> </w:t>
      </w:r>
      <w:r w:rsidR="00365749" w:rsidRPr="00AE4053">
        <w:rPr>
          <w:rFonts w:ascii="Book Antiqua" w:hAnsi="Book Antiqua"/>
          <w:sz w:val="24"/>
          <w:szCs w:val="24"/>
        </w:rPr>
        <w:t>A</w:t>
      </w:r>
      <w:r w:rsidRPr="00AE4053">
        <w:rPr>
          <w:rFonts w:ascii="Book Antiqua" w:hAnsi="Book Antiqua"/>
          <w:sz w:val="24"/>
          <w:szCs w:val="24"/>
        </w:rPr>
        <w:t xml:space="preserve"> </w:t>
      </w:r>
      <w:r w:rsidR="00365749" w:rsidRPr="00AE4053">
        <w:rPr>
          <w:rFonts w:ascii="Book Antiqua" w:hAnsi="Book Antiqua"/>
          <w:sz w:val="24"/>
          <w:szCs w:val="24"/>
        </w:rPr>
        <w:t xml:space="preserve">TE </w:t>
      </w:r>
      <w:r w:rsidRPr="00AE4053">
        <w:rPr>
          <w:rFonts w:ascii="Book Antiqua" w:hAnsi="Book Antiqua"/>
          <w:sz w:val="24"/>
          <w:szCs w:val="24"/>
        </w:rPr>
        <w:t xml:space="preserve">cut-off </w:t>
      </w:r>
      <w:r w:rsidR="00365749" w:rsidRPr="00AE4053">
        <w:rPr>
          <w:rFonts w:ascii="Book Antiqua" w:hAnsi="Book Antiqua"/>
          <w:sz w:val="24"/>
          <w:szCs w:val="24"/>
        </w:rPr>
        <w:t xml:space="preserve">value of 21.6 </w:t>
      </w:r>
      <w:proofErr w:type="spellStart"/>
      <w:r w:rsidR="00365749" w:rsidRPr="00AE4053">
        <w:rPr>
          <w:rFonts w:ascii="Book Antiqua" w:hAnsi="Book Antiqua"/>
          <w:sz w:val="24"/>
          <w:szCs w:val="24"/>
        </w:rPr>
        <w:t>kPa</w:t>
      </w:r>
      <w:proofErr w:type="spellEnd"/>
      <w:r w:rsidR="00365749" w:rsidRPr="00AE4053">
        <w:rPr>
          <w:rFonts w:ascii="Book Antiqua" w:hAnsi="Book Antiqua"/>
          <w:sz w:val="24"/>
          <w:szCs w:val="24"/>
        </w:rPr>
        <w:t xml:space="preserve"> is</w:t>
      </w:r>
      <w:r w:rsidRPr="00AE4053">
        <w:rPr>
          <w:rFonts w:ascii="Book Antiqua" w:hAnsi="Book Antiqua"/>
          <w:sz w:val="24"/>
          <w:szCs w:val="24"/>
        </w:rPr>
        <w:t xml:space="preserve"> very useful in diagnosing CSPH and </w:t>
      </w:r>
      <w:r w:rsidR="00E72F9A" w:rsidRPr="00AE4053">
        <w:rPr>
          <w:rFonts w:ascii="Book Antiqua" w:hAnsi="Book Antiqua"/>
          <w:sz w:val="24"/>
          <w:szCs w:val="24"/>
        </w:rPr>
        <w:t xml:space="preserve">making </w:t>
      </w:r>
      <w:r w:rsidRPr="00AE4053">
        <w:rPr>
          <w:rFonts w:ascii="Book Antiqua" w:hAnsi="Book Antiqua"/>
          <w:sz w:val="24"/>
          <w:szCs w:val="24"/>
        </w:rPr>
        <w:t xml:space="preserve">appropriate treatment decisions in places where HVPG is not available or when patients are unwilling to undergo HVPG due to its invasiveness. </w:t>
      </w:r>
      <w:r w:rsidR="00365749" w:rsidRPr="00AE4053">
        <w:rPr>
          <w:rFonts w:ascii="Book Antiqua" w:hAnsi="Book Antiqua"/>
          <w:sz w:val="24"/>
          <w:szCs w:val="24"/>
        </w:rPr>
        <w:t>Thus</w:t>
      </w:r>
      <w:r w:rsidR="00E72F9A" w:rsidRPr="00AE4053">
        <w:rPr>
          <w:rFonts w:ascii="Book Antiqua" w:hAnsi="Book Antiqua"/>
          <w:sz w:val="24"/>
          <w:szCs w:val="24"/>
        </w:rPr>
        <w:t>,</w:t>
      </w:r>
      <w:r w:rsidR="00365749" w:rsidRPr="00AE4053">
        <w:rPr>
          <w:rFonts w:ascii="Book Antiqua" w:hAnsi="Book Antiqua"/>
          <w:sz w:val="24"/>
          <w:szCs w:val="24"/>
        </w:rPr>
        <w:t xml:space="preserve"> </w:t>
      </w:r>
      <w:r w:rsidRPr="00AE4053">
        <w:rPr>
          <w:rFonts w:ascii="Book Antiqua" w:hAnsi="Book Antiqua"/>
          <w:sz w:val="24"/>
          <w:szCs w:val="24"/>
        </w:rPr>
        <w:t>TE could be integrated in the detection of CSPH in untreated patien</w:t>
      </w:r>
      <w:r w:rsidR="00365749" w:rsidRPr="00AE4053">
        <w:rPr>
          <w:rFonts w:ascii="Book Antiqua" w:hAnsi="Book Antiqua"/>
          <w:sz w:val="24"/>
          <w:szCs w:val="24"/>
        </w:rPr>
        <w:t>ts of</w:t>
      </w:r>
      <w:r w:rsidRPr="00AE4053">
        <w:rPr>
          <w:rFonts w:ascii="Book Antiqua" w:hAnsi="Book Antiqua"/>
          <w:sz w:val="24"/>
          <w:szCs w:val="24"/>
        </w:rPr>
        <w:t xml:space="preserve"> portal hypertension.</w:t>
      </w:r>
    </w:p>
    <w:p w14:paraId="62D7A851" w14:textId="77777777" w:rsidR="00365749" w:rsidRPr="00AE4053" w:rsidRDefault="00365749" w:rsidP="00AE4053">
      <w:pPr>
        <w:snapToGrid w:val="0"/>
        <w:spacing w:after="0" w:line="360" w:lineRule="auto"/>
        <w:jc w:val="both"/>
        <w:rPr>
          <w:rFonts w:ascii="Book Antiqua" w:hAnsi="Book Antiqua"/>
          <w:sz w:val="24"/>
          <w:szCs w:val="24"/>
        </w:rPr>
      </w:pPr>
    </w:p>
    <w:p w14:paraId="06611EAB" w14:textId="5D2EC96A" w:rsidR="00365749" w:rsidRPr="008E7A2E" w:rsidRDefault="00365749" w:rsidP="00AE4053">
      <w:pPr>
        <w:snapToGrid w:val="0"/>
        <w:spacing w:after="0" w:line="360" w:lineRule="auto"/>
        <w:jc w:val="both"/>
        <w:rPr>
          <w:rFonts w:ascii="Book Antiqua" w:hAnsi="Book Antiqua"/>
          <w:b/>
          <w:i/>
          <w:sz w:val="24"/>
          <w:szCs w:val="24"/>
        </w:rPr>
      </w:pPr>
      <w:r w:rsidRPr="008E7A2E">
        <w:rPr>
          <w:rFonts w:ascii="Book Antiqua" w:hAnsi="Book Antiqua"/>
          <w:b/>
          <w:i/>
          <w:sz w:val="24"/>
          <w:szCs w:val="24"/>
        </w:rPr>
        <w:t>Terminology</w:t>
      </w:r>
    </w:p>
    <w:p w14:paraId="66F1D234" w14:textId="57AAC4FA" w:rsidR="00365749" w:rsidRPr="00AE4053" w:rsidRDefault="00142704" w:rsidP="00AE4053">
      <w:pPr>
        <w:snapToGrid w:val="0"/>
        <w:spacing w:after="0" w:line="360" w:lineRule="auto"/>
        <w:jc w:val="both"/>
        <w:rPr>
          <w:rFonts w:ascii="Book Antiqua" w:hAnsi="Book Antiqua"/>
          <w:sz w:val="24"/>
          <w:szCs w:val="24"/>
        </w:rPr>
      </w:pPr>
      <w:r w:rsidRPr="00AE4053">
        <w:rPr>
          <w:rFonts w:ascii="Book Antiqua" w:hAnsi="Book Antiqua"/>
          <w:sz w:val="24"/>
          <w:szCs w:val="24"/>
        </w:rPr>
        <w:t>HVPG</w:t>
      </w:r>
      <w:r w:rsidR="008E7A2E">
        <w:rPr>
          <w:rFonts w:ascii="Book Antiqua" w:hAnsi="Book Antiqua"/>
          <w:sz w:val="24"/>
          <w:szCs w:val="24"/>
        </w:rPr>
        <w:t xml:space="preserve"> </w:t>
      </w:r>
      <w:r w:rsidRPr="00AE4053">
        <w:rPr>
          <w:rFonts w:ascii="Book Antiqua" w:hAnsi="Book Antiqua"/>
          <w:sz w:val="24"/>
          <w:szCs w:val="24"/>
        </w:rPr>
        <w:t xml:space="preserve">represents the </w:t>
      </w:r>
      <w:r w:rsidR="001E177D" w:rsidRPr="00AE4053">
        <w:rPr>
          <w:rFonts w:ascii="Book Antiqua" w:hAnsi="Book Antiqua"/>
          <w:sz w:val="24"/>
          <w:szCs w:val="24"/>
        </w:rPr>
        <w:t xml:space="preserve">approximate </w:t>
      </w:r>
      <w:r w:rsidRPr="00AE4053">
        <w:rPr>
          <w:rFonts w:ascii="Book Antiqua" w:hAnsi="Book Antiqua"/>
          <w:sz w:val="24"/>
          <w:szCs w:val="24"/>
        </w:rPr>
        <w:t xml:space="preserve">gradient between portal vein and intra-abdominal vena cava pressure. </w:t>
      </w:r>
      <w:r w:rsidR="001E177D" w:rsidRPr="00AE4053">
        <w:rPr>
          <w:rFonts w:ascii="Book Antiqua" w:hAnsi="Book Antiqua"/>
          <w:sz w:val="24"/>
          <w:szCs w:val="24"/>
        </w:rPr>
        <w:t>Measurement of the hepatic venous pressure gradient HVPG is currently the best available method to evaluate the presence and severity of portal hypertension.</w:t>
      </w:r>
      <w:r w:rsidR="008E7A2E">
        <w:rPr>
          <w:rFonts w:ascii="Book Antiqua" w:hAnsi="Book Antiqua"/>
          <w:sz w:val="24"/>
          <w:szCs w:val="24"/>
        </w:rPr>
        <w:t xml:space="preserve"> TE</w:t>
      </w:r>
      <w:r w:rsidR="007E6753" w:rsidRPr="00AE4053">
        <w:rPr>
          <w:rFonts w:ascii="Book Antiqua" w:hAnsi="Book Antiqua"/>
          <w:sz w:val="24"/>
          <w:szCs w:val="24"/>
        </w:rPr>
        <w:t>,</w:t>
      </w:r>
      <w:r w:rsidR="001E177D" w:rsidRPr="00AE4053">
        <w:rPr>
          <w:rFonts w:ascii="Book Antiqua" w:hAnsi="Book Antiqua"/>
          <w:sz w:val="24"/>
          <w:szCs w:val="24"/>
        </w:rPr>
        <w:t xml:space="preserve"> known by the </w:t>
      </w:r>
      <w:proofErr w:type="spellStart"/>
      <w:r w:rsidR="001E177D" w:rsidRPr="00AE4053">
        <w:rPr>
          <w:rFonts w:ascii="Book Antiqua" w:hAnsi="Book Antiqua"/>
          <w:sz w:val="24"/>
          <w:szCs w:val="24"/>
        </w:rPr>
        <w:t>brandname</w:t>
      </w:r>
      <w:proofErr w:type="spellEnd"/>
      <w:r w:rsidR="001E177D" w:rsidRPr="00AE4053">
        <w:rPr>
          <w:rFonts w:ascii="Book Antiqua" w:hAnsi="Book Antiqua"/>
          <w:sz w:val="24"/>
          <w:szCs w:val="24"/>
        </w:rPr>
        <w:t xml:space="preserve"> </w:t>
      </w:r>
      <w:proofErr w:type="spellStart"/>
      <w:r w:rsidR="001E177D" w:rsidRPr="00AE4053">
        <w:rPr>
          <w:rFonts w:ascii="Book Antiqua" w:hAnsi="Book Antiqua"/>
          <w:sz w:val="24"/>
          <w:szCs w:val="24"/>
        </w:rPr>
        <w:t>FibroScan</w:t>
      </w:r>
      <w:proofErr w:type="spellEnd"/>
      <w:r w:rsidR="007E6753" w:rsidRPr="00AE4053">
        <w:rPr>
          <w:rFonts w:ascii="Book Antiqua" w:hAnsi="Book Antiqua"/>
          <w:sz w:val="24"/>
          <w:szCs w:val="24"/>
        </w:rPr>
        <w:t>,</w:t>
      </w:r>
      <w:r w:rsidR="001E177D" w:rsidRPr="00AE4053">
        <w:rPr>
          <w:rFonts w:ascii="Book Antiqua" w:hAnsi="Book Antiqua"/>
          <w:sz w:val="24"/>
          <w:szCs w:val="24"/>
        </w:rPr>
        <w:t xml:space="preserve"> is a non-invasive test to quantify liver </w:t>
      </w:r>
      <w:r w:rsidR="00E0650A" w:rsidRPr="00AE4053">
        <w:rPr>
          <w:rFonts w:ascii="Book Antiqua" w:hAnsi="Book Antiqua"/>
          <w:sz w:val="24"/>
          <w:szCs w:val="24"/>
        </w:rPr>
        <w:t>stiffness</w:t>
      </w:r>
      <w:r w:rsidR="001E177D" w:rsidRPr="00AE4053">
        <w:rPr>
          <w:rFonts w:ascii="Book Antiqua" w:hAnsi="Book Antiqua"/>
          <w:sz w:val="24"/>
          <w:szCs w:val="24"/>
        </w:rPr>
        <w:t>.</w:t>
      </w:r>
      <w:r w:rsidR="00E0650A" w:rsidRPr="00AE4053">
        <w:rPr>
          <w:rFonts w:ascii="Book Antiqua" w:hAnsi="Book Antiqua"/>
          <w:sz w:val="24"/>
          <w:szCs w:val="24"/>
        </w:rPr>
        <w:t xml:space="preserve"> </w:t>
      </w:r>
      <w:r w:rsidR="00CD550D" w:rsidRPr="00AE4053">
        <w:rPr>
          <w:rFonts w:ascii="Book Antiqua" w:hAnsi="Book Antiqua"/>
          <w:sz w:val="24"/>
          <w:szCs w:val="24"/>
        </w:rPr>
        <w:t>Liver stiffness increases with increasing liver fibrosis.</w:t>
      </w:r>
    </w:p>
    <w:p w14:paraId="276752C2" w14:textId="77777777" w:rsidR="00CD550D" w:rsidRPr="00AE4053" w:rsidRDefault="00CD550D" w:rsidP="00AE4053">
      <w:pPr>
        <w:snapToGrid w:val="0"/>
        <w:spacing w:after="0" w:line="360" w:lineRule="auto"/>
        <w:jc w:val="both"/>
        <w:rPr>
          <w:rFonts w:ascii="Book Antiqua" w:hAnsi="Book Antiqua"/>
          <w:sz w:val="24"/>
          <w:szCs w:val="24"/>
        </w:rPr>
      </w:pPr>
    </w:p>
    <w:p w14:paraId="16A0A323" w14:textId="57396C12" w:rsidR="00CD550D" w:rsidRPr="008E7A2E" w:rsidRDefault="00CD550D" w:rsidP="00AE4053">
      <w:pPr>
        <w:snapToGrid w:val="0"/>
        <w:spacing w:after="0" w:line="360" w:lineRule="auto"/>
        <w:jc w:val="both"/>
        <w:rPr>
          <w:rFonts w:ascii="Book Antiqua" w:hAnsi="Book Antiqua"/>
          <w:b/>
          <w:i/>
          <w:sz w:val="24"/>
          <w:szCs w:val="24"/>
        </w:rPr>
      </w:pPr>
      <w:r w:rsidRPr="008E7A2E">
        <w:rPr>
          <w:rFonts w:ascii="Book Antiqua" w:hAnsi="Book Antiqua"/>
          <w:b/>
          <w:i/>
          <w:sz w:val="24"/>
          <w:szCs w:val="24"/>
        </w:rPr>
        <w:t>Peer-review</w:t>
      </w:r>
    </w:p>
    <w:p w14:paraId="15C23A0B" w14:textId="24D10401" w:rsidR="00CD550D" w:rsidRPr="00AE4053" w:rsidRDefault="00F334BC" w:rsidP="00AE4053">
      <w:pPr>
        <w:snapToGrid w:val="0"/>
        <w:spacing w:after="0" w:line="360" w:lineRule="auto"/>
        <w:jc w:val="both"/>
        <w:rPr>
          <w:rFonts w:ascii="Book Antiqua" w:hAnsi="Book Antiqua"/>
          <w:sz w:val="24"/>
          <w:szCs w:val="24"/>
        </w:rPr>
      </w:pPr>
      <w:r w:rsidRPr="00AE4053">
        <w:rPr>
          <w:rFonts w:ascii="Book Antiqua" w:hAnsi="Book Antiqua"/>
          <w:sz w:val="24"/>
          <w:szCs w:val="24"/>
        </w:rPr>
        <w:t xml:space="preserve">The authors of this paper have </w:t>
      </w:r>
      <w:r w:rsidR="00E72F9A" w:rsidRPr="00AE4053">
        <w:rPr>
          <w:rFonts w:ascii="Book Antiqua" w:hAnsi="Book Antiqua"/>
          <w:sz w:val="24"/>
          <w:szCs w:val="24"/>
        </w:rPr>
        <w:t xml:space="preserve">demonstrated </w:t>
      </w:r>
      <w:r w:rsidRPr="00AE4053">
        <w:rPr>
          <w:rFonts w:ascii="Book Antiqua" w:hAnsi="Book Antiqua"/>
          <w:sz w:val="24"/>
          <w:szCs w:val="24"/>
        </w:rPr>
        <w:t>that in patients with cirrhosis, TE has a fair positive correlation with HVPG</w:t>
      </w:r>
      <w:r w:rsidR="00E72F9A" w:rsidRPr="00AE4053">
        <w:rPr>
          <w:rFonts w:ascii="Book Antiqua" w:hAnsi="Book Antiqua"/>
          <w:sz w:val="24"/>
          <w:szCs w:val="24"/>
        </w:rPr>
        <w:t xml:space="preserve">; </w:t>
      </w:r>
      <w:r w:rsidRPr="00AE4053">
        <w:rPr>
          <w:rFonts w:ascii="Book Antiqua" w:hAnsi="Book Antiqua"/>
          <w:sz w:val="24"/>
          <w:szCs w:val="24"/>
        </w:rPr>
        <w:t>thus</w:t>
      </w:r>
      <w:r w:rsidR="00E72F9A" w:rsidRPr="00AE4053">
        <w:rPr>
          <w:rFonts w:ascii="Book Antiqua" w:hAnsi="Book Antiqua"/>
          <w:sz w:val="24"/>
          <w:szCs w:val="24"/>
        </w:rPr>
        <w:t>,</w:t>
      </w:r>
      <w:r w:rsidRPr="00AE4053">
        <w:rPr>
          <w:rFonts w:ascii="Book Antiqua" w:hAnsi="Book Antiqua"/>
          <w:sz w:val="24"/>
          <w:szCs w:val="24"/>
        </w:rPr>
        <w:t xml:space="preserve"> TE can be used as a non-invasive modality </w:t>
      </w:r>
      <w:r w:rsidRPr="00AE4053">
        <w:rPr>
          <w:rFonts w:ascii="Book Antiqua" w:hAnsi="Book Antiqua"/>
          <w:sz w:val="24"/>
          <w:szCs w:val="24"/>
        </w:rPr>
        <w:lastRenderedPageBreak/>
        <w:t>to assess the degree of portal hypertension. Further large prospective studies are needed to prospectively validate the findings of this study and also to determine whether TE can be used in monitoring the hemodynamic response and the effect of drugs reducing portal pressure.</w:t>
      </w:r>
    </w:p>
    <w:p w14:paraId="57FB62F6" w14:textId="73264702" w:rsidR="001927B0" w:rsidRPr="00AE4053" w:rsidRDefault="001927B0" w:rsidP="00AE4053">
      <w:pPr>
        <w:snapToGrid w:val="0"/>
        <w:spacing w:after="0" w:line="360" w:lineRule="auto"/>
        <w:jc w:val="both"/>
        <w:rPr>
          <w:rFonts w:ascii="Book Antiqua" w:hAnsi="Book Antiqua"/>
          <w:sz w:val="24"/>
          <w:szCs w:val="24"/>
        </w:rPr>
      </w:pPr>
      <w:r w:rsidRPr="00AE4053">
        <w:rPr>
          <w:rFonts w:ascii="Book Antiqua" w:hAnsi="Book Antiqua"/>
          <w:b/>
          <w:sz w:val="24"/>
          <w:szCs w:val="24"/>
        </w:rPr>
        <w:br w:type="page"/>
      </w:r>
    </w:p>
    <w:p w14:paraId="012392C0" w14:textId="7EB745BD" w:rsidR="0086199F" w:rsidRPr="00AE4053" w:rsidRDefault="0086199F" w:rsidP="00AE4053">
      <w:pPr>
        <w:snapToGrid w:val="0"/>
        <w:spacing w:after="0" w:line="360" w:lineRule="auto"/>
        <w:jc w:val="both"/>
        <w:rPr>
          <w:rFonts w:ascii="Book Antiqua" w:hAnsi="Book Antiqua"/>
          <w:b/>
          <w:sz w:val="24"/>
          <w:szCs w:val="24"/>
        </w:rPr>
      </w:pPr>
      <w:bookmarkStart w:id="47" w:name="_Toc334950170"/>
      <w:r w:rsidRPr="00AE4053">
        <w:rPr>
          <w:rFonts w:ascii="Book Antiqua" w:hAnsi="Book Antiqua"/>
          <w:b/>
          <w:sz w:val="24"/>
          <w:szCs w:val="24"/>
        </w:rPr>
        <w:lastRenderedPageBreak/>
        <w:t>REFERENCES</w:t>
      </w:r>
      <w:bookmarkEnd w:id="47"/>
    </w:p>
    <w:p w14:paraId="6E010D11" w14:textId="77777777" w:rsidR="000F4A07" w:rsidRPr="000F4A07" w:rsidRDefault="000F4A07" w:rsidP="000F4A07">
      <w:pPr>
        <w:spacing w:after="0" w:line="360" w:lineRule="auto"/>
        <w:jc w:val="both"/>
        <w:rPr>
          <w:rFonts w:ascii="Book Antiqua" w:hAnsi="Book Antiqua" w:cs="宋体"/>
          <w:sz w:val="24"/>
          <w:szCs w:val="24"/>
          <w:lang w:eastAsia="zh-CN"/>
        </w:rPr>
      </w:pPr>
      <w:bookmarkStart w:id="48" w:name="_Toc334950171"/>
      <w:r w:rsidRPr="000F4A07">
        <w:rPr>
          <w:rFonts w:ascii="Book Antiqua" w:hAnsi="Book Antiqua" w:cs="宋体"/>
          <w:sz w:val="24"/>
          <w:szCs w:val="24"/>
          <w:lang w:eastAsia="zh-CN"/>
        </w:rPr>
        <w:t>1 </w:t>
      </w:r>
      <w:r w:rsidRPr="000F4A07">
        <w:rPr>
          <w:rFonts w:ascii="Book Antiqua" w:hAnsi="Book Antiqua" w:cs="宋体"/>
          <w:b/>
          <w:bCs/>
          <w:sz w:val="24"/>
          <w:szCs w:val="24"/>
          <w:lang w:eastAsia="zh-CN"/>
        </w:rPr>
        <w:t>Friedman SL</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Rockey</w:t>
      </w:r>
      <w:proofErr w:type="spellEnd"/>
      <w:r w:rsidRPr="000F4A07">
        <w:rPr>
          <w:rFonts w:ascii="Book Antiqua" w:hAnsi="Book Antiqua" w:cs="宋体"/>
          <w:sz w:val="24"/>
          <w:szCs w:val="24"/>
          <w:lang w:eastAsia="zh-CN"/>
        </w:rPr>
        <w:t xml:space="preserve"> DC, Bissell DM. Hepatic fibrosis 2006: report of the Third AASLD Single Topic Conference. </w:t>
      </w:r>
      <w:proofErr w:type="spellStart"/>
      <w:r w:rsidRPr="000F4A07">
        <w:rPr>
          <w:rFonts w:ascii="Book Antiqua" w:hAnsi="Book Antiqua" w:cs="宋体"/>
          <w:i/>
          <w:iCs/>
          <w:sz w:val="24"/>
          <w:szCs w:val="24"/>
          <w:lang w:eastAsia="zh-CN"/>
        </w:rPr>
        <w:t>Hepatology</w:t>
      </w:r>
      <w:proofErr w:type="spellEnd"/>
      <w:r w:rsidRPr="000F4A07">
        <w:rPr>
          <w:rFonts w:ascii="Book Antiqua" w:hAnsi="Book Antiqua" w:cs="宋体"/>
          <w:sz w:val="24"/>
          <w:szCs w:val="24"/>
          <w:lang w:eastAsia="zh-CN"/>
        </w:rPr>
        <w:t> 2007; </w:t>
      </w:r>
      <w:r w:rsidRPr="000F4A07">
        <w:rPr>
          <w:rFonts w:ascii="Book Antiqua" w:hAnsi="Book Antiqua" w:cs="宋体"/>
          <w:b/>
          <w:bCs/>
          <w:sz w:val="24"/>
          <w:szCs w:val="24"/>
          <w:lang w:eastAsia="zh-CN"/>
        </w:rPr>
        <w:t>45</w:t>
      </w:r>
      <w:r w:rsidRPr="000F4A07">
        <w:rPr>
          <w:rFonts w:ascii="Book Antiqua" w:hAnsi="Book Antiqua" w:cs="宋体"/>
          <w:sz w:val="24"/>
          <w:szCs w:val="24"/>
          <w:lang w:eastAsia="zh-CN"/>
        </w:rPr>
        <w:t>: 242-249 [PMID: 17187439 DOI: 10.1002/hep.21459]</w:t>
      </w:r>
    </w:p>
    <w:p w14:paraId="395F260F"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2 </w:t>
      </w:r>
      <w:r w:rsidRPr="000F4A07">
        <w:rPr>
          <w:rFonts w:ascii="Book Antiqua" w:hAnsi="Book Antiqua" w:cs="宋体"/>
          <w:b/>
          <w:bCs/>
          <w:sz w:val="24"/>
          <w:szCs w:val="24"/>
          <w:lang w:eastAsia="zh-CN"/>
        </w:rPr>
        <w:t>Bosch J</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Groszmann</w:t>
      </w:r>
      <w:proofErr w:type="spellEnd"/>
      <w:r w:rsidRPr="000F4A07">
        <w:rPr>
          <w:rFonts w:ascii="Book Antiqua" w:hAnsi="Book Antiqua" w:cs="宋体"/>
          <w:sz w:val="24"/>
          <w:szCs w:val="24"/>
          <w:lang w:eastAsia="zh-CN"/>
        </w:rPr>
        <w:t xml:space="preserve"> RJ, Shah VH. Evolution in the understanding of the pathophysiological basis of portal hypertension: How changes in paradigm are leading to successful new treatments. </w:t>
      </w:r>
      <w:r w:rsidRPr="000F4A07">
        <w:rPr>
          <w:rFonts w:ascii="Book Antiqua" w:hAnsi="Book Antiqua" w:cs="宋体"/>
          <w:i/>
          <w:iCs/>
          <w:sz w:val="24"/>
          <w:szCs w:val="24"/>
          <w:lang w:eastAsia="zh-CN"/>
        </w:rPr>
        <w:t xml:space="preserve">J </w:t>
      </w:r>
      <w:proofErr w:type="spellStart"/>
      <w:r w:rsidRPr="000F4A07">
        <w:rPr>
          <w:rFonts w:ascii="Book Antiqua" w:hAnsi="Book Antiqua" w:cs="宋体"/>
          <w:i/>
          <w:iCs/>
          <w:sz w:val="24"/>
          <w:szCs w:val="24"/>
          <w:lang w:eastAsia="zh-CN"/>
        </w:rPr>
        <w:t>Hepatol</w:t>
      </w:r>
      <w:proofErr w:type="spellEnd"/>
      <w:r w:rsidRPr="000F4A07">
        <w:rPr>
          <w:rFonts w:ascii="Book Antiqua" w:hAnsi="Book Antiqua" w:cs="宋体"/>
          <w:sz w:val="24"/>
          <w:szCs w:val="24"/>
          <w:lang w:eastAsia="zh-CN"/>
        </w:rPr>
        <w:t> 2015; </w:t>
      </w:r>
      <w:r w:rsidRPr="000F4A07">
        <w:rPr>
          <w:rFonts w:ascii="Book Antiqua" w:hAnsi="Book Antiqua" w:cs="宋体"/>
          <w:b/>
          <w:bCs/>
          <w:sz w:val="24"/>
          <w:szCs w:val="24"/>
          <w:lang w:eastAsia="zh-CN"/>
        </w:rPr>
        <w:t>62</w:t>
      </w:r>
      <w:r w:rsidRPr="000F4A07">
        <w:rPr>
          <w:rFonts w:ascii="Book Antiqua" w:hAnsi="Book Antiqua" w:cs="宋体"/>
          <w:sz w:val="24"/>
          <w:szCs w:val="24"/>
          <w:lang w:eastAsia="zh-CN"/>
        </w:rPr>
        <w:t>: S121-S130 [PMID: 25920081 DOI: 10.1016/j.jhep.2015.01.003]</w:t>
      </w:r>
    </w:p>
    <w:p w14:paraId="1243E20C" w14:textId="77777777" w:rsidR="000F4A07" w:rsidRPr="000F4A07" w:rsidRDefault="000F4A07" w:rsidP="000F4A07">
      <w:pPr>
        <w:spacing w:after="0" w:line="360" w:lineRule="auto"/>
        <w:jc w:val="both"/>
        <w:rPr>
          <w:rFonts w:ascii="Book Antiqua" w:hAnsi="Book Antiqua" w:cs="宋体"/>
          <w:sz w:val="24"/>
          <w:szCs w:val="24"/>
          <w:lang w:eastAsia="zh-CN"/>
        </w:rPr>
      </w:pPr>
      <w:proofErr w:type="gramStart"/>
      <w:r w:rsidRPr="000F4A07">
        <w:rPr>
          <w:rFonts w:ascii="Book Antiqua" w:hAnsi="Book Antiqua" w:cs="宋体"/>
          <w:sz w:val="24"/>
          <w:szCs w:val="24"/>
          <w:lang w:eastAsia="zh-CN"/>
        </w:rPr>
        <w:t>3 </w:t>
      </w:r>
      <w:proofErr w:type="spellStart"/>
      <w:r w:rsidRPr="000F4A07">
        <w:rPr>
          <w:rFonts w:ascii="Book Antiqua" w:hAnsi="Book Antiqua" w:cs="宋体"/>
          <w:b/>
          <w:bCs/>
          <w:sz w:val="24"/>
          <w:szCs w:val="24"/>
          <w:lang w:eastAsia="zh-CN"/>
        </w:rPr>
        <w:t>Garbuzenko</w:t>
      </w:r>
      <w:proofErr w:type="spellEnd"/>
      <w:r w:rsidRPr="000F4A07">
        <w:rPr>
          <w:rFonts w:ascii="Book Antiqua" w:hAnsi="Book Antiqua" w:cs="宋体"/>
          <w:b/>
          <w:bCs/>
          <w:sz w:val="24"/>
          <w:szCs w:val="24"/>
          <w:lang w:eastAsia="zh-CN"/>
        </w:rPr>
        <w:t xml:space="preserve"> DV</w:t>
      </w:r>
      <w:r w:rsidRPr="000F4A07">
        <w:rPr>
          <w:rFonts w:ascii="Book Antiqua" w:hAnsi="Book Antiqua" w:cs="宋体"/>
          <w:sz w:val="24"/>
          <w:szCs w:val="24"/>
          <w:lang w:eastAsia="zh-CN"/>
        </w:rPr>
        <w:t>.</w:t>
      </w:r>
      <w:proofErr w:type="gramEnd"/>
      <w:r w:rsidRPr="000F4A07">
        <w:rPr>
          <w:rFonts w:ascii="Book Antiqua" w:hAnsi="Book Antiqua" w:cs="宋体"/>
          <w:sz w:val="24"/>
          <w:szCs w:val="24"/>
          <w:lang w:eastAsia="zh-CN"/>
        </w:rPr>
        <w:t xml:space="preserve"> </w:t>
      </w:r>
      <w:proofErr w:type="gramStart"/>
      <w:r w:rsidRPr="000F4A07">
        <w:rPr>
          <w:rFonts w:ascii="Book Antiqua" w:hAnsi="Book Antiqua" w:cs="宋体"/>
          <w:sz w:val="24"/>
          <w:szCs w:val="24"/>
          <w:lang w:eastAsia="zh-CN"/>
        </w:rPr>
        <w:t>Contemporary concepts of the medical therapy of portal hypertension under liver cirrhosis.</w:t>
      </w:r>
      <w:proofErr w:type="gramEnd"/>
      <w:r w:rsidRPr="000F4A07">
        <w:rPr>
          <w:rFonts w:ascii="Book Antiqua" w:hAnsi="Book Antiqua" w:cs="宋体"/>
          <w:sz w:val="24"/>
          <w:szCs w:val="24"/>
          <w:lang w:eastAsia="zh-CN"/>
        </w:rPr>
        <w:t> </w:t>
      </w:r>
      <w:r w:rsidRPr="000F4A07">
        <w:rPr>
          <w:rFonts w:ascii="Book Antiqua" w:hAnsi="Book Antiqua" w:cs="宋体"/>
          <w:i/>
          <w:iCs/>
          <w:sz w:val="24"/>
          <w:szCs w:val="24"/>
          <w:lang w:eastAsia="zh-CN"/>
        </w:rPr>
        <w:t xml:space="preserve">World J </w:t>
      </w:r>
      <w:proofErr w:type="spellStart"/>
      <w:r w:rsidRPr="000F4A07">
        <w:rPr>
          <w:rFonts w:ascii="Book Antiqua" w:hAnsi="Book Antiqua" w:cs="宋体"/>
          <w:i/>
          <w:iCs/>
          <w:sz w:val="24"/>
          <w:szCs w:val="24"/>
          <w:lang w:eastAsia="zh-CN"/>
        </w:rPr>
        <w:t>Gastroenterol</w:t>
      </w:r>
      <w:proofErr w:type="spellEnd"/>
      <w:r w:rsidRPr="000F4A07">
        <w:rPr>
          <w:rFonts w:ascii="Book Antiqua" w:hAnsi="Book Antiqua" w:cs="宋体"/>
          <w:sz w:val="24"/>
          <w:szCs w:val="24"/>
          <w:lang w:eastAsia="zh-CN"/>
        </w:rPr>
        <w:t> 2015; </w:t>
      </w:r>
      <w:r w:rsidRPr="000F4A07">
        <w:rPr>
          <w:rFonts w:ascii="Book Antiqua" w:hAnsi="Book Antiqua" w:cs="宋体"/>
          <w:b/>
          <w:bCs/>
          <w:sz w:val="24"/>
          <w:szCs w:val="24"/>
          <w:lang w:eastAsia="zh-CN"/>
        </w:rPr>
        <w:t>21</w:t>
      </w:r>
      <w:r w:rsidRPr="000F4A07">
        <w:rPr>
          <w:rFonts w:ascii="Book Antiqua" w:hAnsi="Book Antiqua" w:cs="宋体"/>
          <w:sz w:val="24"/>
          <w:szCs w:val="24"/>
          <w:lang w:eastAsia="zh-CN"/>
        </w:rPr>
        <w:t>: 6117-6126 [PMID: 26034348 DOI: 10.3748/wjg.v21.i20.6117]</w:t>
      </w:r>
    </w:p>
    <w:p w14:paraId="51439C9B"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4 </w:t>
      </w:r>
      <w:r w:rsidRPr="000F4A07">
        <w:rPr>
          <w:rFonts w:ascii="Book Antiqua" w:hAnsi="Book Antiqua" w:cs="宋体"/>
          <w:b/>
          <w:bCs/>
          <w:sz w:val="24"/>
          <w:szCs w:val="24"/>
          <w:lang w:eastAsia="zh-CN"/>
        </w:rPr>
        <w:t>Bloom S</w:t>
      </w:r>
      <w:r w:rsidRPr="000F4A07">
        <w:rPr>
          <w:rFonts w:ascii="Book Antiqua" w:hAnsi="Book Antiqua" w:cs="宋体"/>
          <w:sz w:val="24"/>
          <w:szCs w:val="24"/>
          <w:lang w:eastAsia="zh-CN"/>
        </w:rPr>
        <w:t xml:space="preserve">, Kemp W, </w:t>
      </w:r>
      <w:proofErr w:type="spellStart"/>
      <w:r w:rsidRPr="000F4A07">
        <w:rPr>
          <w:rFonts w:ascii="Book Antiqua" w:hAnsi="Book Antiqua" w:cs="宋体"/>
          <w:sz w:val="24"/>
          <w:szCs w:val="24"/>
          <w:lang w:eastAsia="zh-CN"/>
        </w:rPr>
        <w:t>Lubel</w:t>
      </w:r>
      <w:proofErr w:type="spellEnd"/>
      <w:r w:rsidRPr="000F4A07">
        <w:rPr>
          <w:rFonts w:ascii="Book Antiqua" w:hAnsi="Book Antiqua" w:cs="宋体"/>
          <w:sz w:val="24"/>
          <w:szCs w:val="24"/>
          <w:lang w:eastAsia="zh-CN"/>
        </w:rPr>
        <w:t xml:space="preserve"> J. Portal hypertension: pathophysiology, diagnosis and management. </w:t>
      </w:r>
      <w:r w:rsidRPr="000F4A07">
        <w:rPr>
          <w:rFonts w:ascii="Book Antiqua" w:hAnsi="Book Antiqua" w:cs="宋体"/>
          <w:i/>
          <w:iCs/>
          <w:sz w:val="24"/>
          <w:szCs w:val="24"/>
          <w:lang w:eastAsia="zh-CN"/>
        </w:rPr>
        <w:t>Intern Med J</w:t>
      </w:r>
      <w:r w:rsidRPr="000F4A07">
        <w:rPr>
          <w:rFonts w:ascii="Book Antiqua" w:hAnsi="Book Antiqua" w:cs="宋体"/>
          <w:sz w:val="24"/>
          <w:szCs w:val="24"/>
          <w:lang w:eastAsia="zh-CN"/>
        </w:rPr>
        <w:t> 2015; </w:t>
      </w:r>
      <w:r w:rsidRPr="000F4A07">
        <w:rPr>
          <w:rFonts w:ascii="Book Antiqua" w:hAnsi="Book Antiqua" w:cs="宋体"/>
          <w:b/>
          <w:bCs/>
          <w:sz w:val="24"/>
          <w:szCs w:val="24"/>
          <w:lang w:eastAsia="zh-CN"/>
        </w:rPr>
        <w:t>45</w:t>
      </w:r>
      <w:r w:rsidRPr="000F4A07">
        <w:rPr>
          <w:rFonts w:ascii="Book Antiqua" w:hAnsi="Book Antiqua" w:cs="宋体"/>
          <w:sz w:val="24"/>
          <w:szCs w:val="24"/>
          <w:lang w:eastAsia="zh-CN"/>
        </w:rPr>
        <w:t>: 16-26 [PMID: 25230084 DOI: 10.1111/imj.12590]</w:t>
      </w:r>
    </w:p>
    <w:p w14:paraId="29DBD3A1"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5 </w:t>
      </w:r>
      <w:proofErr w:type="spellStart"/>
      <w:r w:rsidRPr="000F4A07">
        <w:rPr>
          <w:rFonts w:ascii="Book Antiqua" w:hAnsi="Book Antiqua" w:cs="宋体"/>
          <w:b/>
          <w:bCs/>
          <w:sz w:val="24"/>
          <w:szCs w:val="24"/>
          <w:lang w:eastAsia="zh-CN"/>
        </w:rPr>
        <w:t>Vorobioff</w:t>
      </w:r>
      <w:proofErr w:type="spellEnd"/>
      <w:r w:rsidRPr="000F4A07">
        <w:rPr>
          <w:rFonts w:ascii="Book Antiqua" w:hAnsi="Book Antiqua" w:cs="宋体"/>
          <w:b/>
          <w:bCs/>
          <w:sz w:val="24"/>
          <w:szCs w:val="24"/>
          <w:lang w:eastAsia="zh-CN"/>
        </w:rPr>
        <w:t xml:space="preserve"> J</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Groszmann</w:t>
      </w:r>
      <w:proofErr w:type="spellEnd"/>
      <w:r w:rsidRPr="000F4A07">
        <w:rPr>
          <w:rFonts w:ascii="Book Antiqua" w:hAnsi="Book Antiqua" w:cs="宋体"/>
          <w:sz w:val="24"/>
          <w:szCs w:val="24"/>
          <w:lang w:eastAsia="zh-CN"/>
        </w:rPr>
        <w:t xml:space="preserve"> RJ, </w:t>
      </w:r>
      <w:proofErr w:type="spellStart"/>
      <w:r w:rsidRPr="000F4A07">
        <w:rPr>
          <w:rFonts w:ascii="Book Antiqua" w:hAnsi="Book Antiqua" w:cs="宋体"/>
          <w:sz w:val="24"/>
          <w:szCs w:val="24"/>
          <w:lang w:eastAsia="zh-CN"/>
        </w:rPr>
        <w:t>Picabea</w:t>
      </w:r>
      <w:proofErr w:type="spellEnd"/>
      <w:r w:rsidRPr="000F4A07">
        <w:rPr>
          <w:rFonts w:ascii="Book Antiqua" w:hAnsi="Book Antiqua" w:cs="宋体"/>
          <w:sz w:val="24"/>
          <w:szCs w:val="24"/>
          <w:lang w:eastAsia="zh-CN"/>
        </w:rPr>
        <w:t xml:space="preserve"> E, </w:t>
      </w:r>
      <w:proofErr w:type="spellStart"/>
      <w:r w:rsidRPr="000F4A07">
        <w:rPr>
          <w:rFonts w:ascii="Book Antiqua" w:hAnsi="Book Antiqua" w:cs="宋体"/>
          <w:sz w:val="24"/>
          <w:szCs w:val="24"/>
          <w:lang w:eastAsia="zh-CN"/>
        </w:rPr>
        <w:t>Gamen</w:t>
      </w:r>
      <w:proofErr w:type="spellEnd"/>
      <w:r w:rsidRPr="000F4A07">
        <w:rPr>
          <w:rFonts w:ascii="Book Antiqua" w:hAnsi="Book Antiqua" w:cs="宋体"/>
          <w:sz w:val="24"/>
          <w:szCs w:val="24"/>
          <w:lang w:eastAsia="zh-CN"/>
        </w:rPr>
        <w:t xml:space="preserve"> M, Villavicencio R, </w:t>
      </w:r>
      <w:proofErr w:type="spellStart"/>
      <w:r w:rsidRPr="000F4A07">
        <w:rPr>
          <w:rFonts w:ascii="Book Antiqua" w:hAnsi="Book Antiqua" w:cs="宋体"/>
          <w:sz w:val="24"/>
          <w:szCs w:val="24"/>
          <w:lang w:eastAsia="zh-CN"/>
        </w:rPr>
        <w:t>Bordato</w:t>
      </w:r>
      <w:proofErr w:type="spellEnd"/>
      <w:r w:rsidRPr="000F4A07">
        <w:rPr>
          <w:rFonts w:ascii="Book Antiqua" w:hAnsi="Book Antiqua" w:cs="宋体"/>
          <w:sz w:val="24"/>
          <w:szCs w:val="24"/>
          <w:lang w:eastAsia="zh-CN"/>
        </w:rPr>
        <w:t xml:space="preserve"> J, Morel I, </w:t>
      </w:r>
      <w:proofErr w:type="spellStart"/>
      <w:r w:rsidRPr="000F4A07">
        <w:rPr>
          <w:rFonts w:ascii="Book Antiqua" w:hAnsi="Book Antiqua" w:cs="宋体"/>
          <w:sz w:val="24"/>
          <w:szCs w:val="24"/>
          <w:lang w:eastAsia="zh-CN"/>
        </w:rPr>
        <w:t>Audano</w:t>
      </w:r>
      <w:proofErr w:type="spellEnd"/>
      <w:r w:rsidRPr="000F4A07">
        <w:rPr>
          <w:rFonts w:ascii="Book Antiqua" w:hAnsi="Book Antiqua" w:cs="宋体"/>
          <w:sz w:val="24"/>
          <w:szCs w:val="24"/>
          <w:lang w:eastAsia="zh-CN"/>
        </w:rPr>
        <w:t xml:space="preserve"> M, </w:t>
      </w:r>
      <w:proofErr w:type="spellStart"/>
      <w:r w:rsidRPr="000F4A07">
        <w:rPr>
          <w:rFonts w:ascii="Book Antiqua" w:hAnsi="Book Antiqua" w:cs="宋体"/>
          <w:sz w:val="24"/>
          <w:szCs w:val="24"/>
          <w:lang w:eastAsia="zh-CN"/>
        </w:rPr>
        <w:t>Tanno</w:t>
      </w:r>
      <w:proofErr w:type="spellEnd"/>
      <w:r w:rsidRPr="000F4A07">
        <w:rPr>
          <w:rFonts w:ascii="Book Antiqua" w:hAnsi="Book Antiqua" w:cs="宋体"/>
          <w:sz w:val="24"/>
          <w:szCs w:val="24"/>
          <w:lang w:eastAsia="zh-CN"/>
        </w:rPr>
        <w:t xml:space="preserve"> H, Lerner E, </w:t>
      </w:r>
      <w:proofErr w:type="spellStart"/>
      <w:r w:rsidRPr="000F4A07">
        <w:rPr>
          <w:rFonts w:ascii="Book Antiqua" w:hAnsi="Book Antiqua" w:cs="宋体"/>
          <w:sz w:val="24"/>
          <w:szCs w:val="24"/>
          <w:lang w:eastAsia="zh-CN"/>
        </w:rPr>
        <w:t>Passamonti</w:t>
      </w:r>
      <w:proofErr w:type="spellEnd"/>
      <w:r w:rsidRPr="000F4A07">
        <w:rPr>
          <w:rFonts w:ascii="Book Antiqua" w:hAnsi="Book Antiqua" w:cs="宋体"/>
          <w:sz w:val="24"/>
          <w:szCs w:val="24"/>
          <w:lang w:eastAsia="zh-CN"/>
        </w:rPr>
        <w:t xml:space="preserve"> M. Prognostic value of hepatic venous pressure gradient measurements in alcoholic cirrhosis: a 10-year prospective study. </w:t>
      </w:r>
      <w:r w:rsidRPr="000F4A07">
        <w:rPr>
          <w:rFonts w:ascii="Book Antiqua" w:hAnsi="Book Antiqua" w:cs="宋体"/>
          <w:i/>
          <w:iCs/>
          <w:sz w:val="24"/>
          <w:szCs w:val="24"/>
          <w:lang w:eastAsia="zh-CN"/>
        </w:rPr>
        <w:t>Gastroenterology</w:t>
      </w:r>
      <w:r w:rsidRPr="000F4A07">
        <w:rPr>
          <w:rFonts w:ascii="Book Antiqua" w:hAnsi="Book Antiqua" w:cs="宋体"/>
          <w:sz w:val="24"/>
          <w:szCs w:val="24"/>
          <w:lang w:eastAsia="zh-CN"/>
        </w:rPr>
        <w:t> 1996; </w:t>
      </w:r>
      <w:r w:rsidRPr="000F4A07">
        <w:rPr>
          <w:rFonts w:ascii="Book Antiqua" w:hAnsi="Book Antiqua" w:cs="宋体"/>
          <w:b/>
          <w:bCs/>
          <w:sz w:val="24"/>
          <w:szCs w:val="24"/>
          <w:lang w:eastAsia="zh-CN"/>
        </w:rPr>
        <w:t>111</w:t>
      </w:r>
      <w:r w:rsidRPr="000F4A07">
        <w:rPr>
          <w:rFonts w:ascii="Book Antiqua" w:hAnsi="Book Antiqua" w:cs="宋体"/>
          <w:sz w:val="24"/>
          <w:szCs w:val="24"/>
          <w:lang w:eastAsia="zh-CN"/>
        </w:rPr>
        <w:t>: 701-709 [PMID: 8780575]</w:t>
      </w:r>
    </w:p>
    <w:p w14:paraId="7152A1D9"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6 </w:t>
      </w:r>
      <w:r w:rsidRPr="000F4A07">
        <w:rPr>
          <w:rFonts w:ascii="Book Antiqua" w:hAnsi="Book Antiqua" w:cs="宋体"/>
          <w:b/>
          <w:bCs/>
          <w:sz w:val="24"/>
          <w:szCs w:val="24"/>
          <w:lang w:eastAsia="zh-CN"/>
        </w:rPr>
        <w:t>Garcia-</w:t>
      </w:r>
      <w:proofErr w:type="spellStart"/>
      <w:r w:rsidRPr="000F4A07">
        <w:rPr>
          <w:rFonts w:ascii="Book Antiqua" w:hAnsi="Book Antiqua" w:cs="宋体"/>
          <w:b/>
          <w:bCs/>
          <w:sz w:val="24"/>
          <w:szCs w:val="24"/>
          <w:lang w:eastAsia="zh-CN"/>
        </w:rPr>
        <w:t>Tsao</w:t>
      </w:r>
      <w:proofErr w:type="spellEnd"/>
      <w:r w:rsidRPr="000F4A07">
        <w:rPr>
          <w:rFonts w:ascii="Book Antiqua" w:hAnsi="Book Antiqua" w:cs="宋体"/>
          <w:b/>
          <w:bCs/>
          <w:sz w:val="24"/>
          <w:szCs w:val="24"/>
          <w:lang w:eastAsia="zh-CN"/>
        </w:rPr>
        <w:t xml:space="preserve"> G</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Groszmann</w:t>
      </w:r>
      <w:proofErr w:type="spellEnd"/>
      <w:r w:rsidRPr="000F4A07">
        <w:rPr>
          <w:rFonts w:ascii="Book Antiqua" w:hAnsi="Book Antiqua" w:cs="宋体"/>
          <w:sz w:val="24"/>
          <w:szCs w:val="24"/>
          <w:lang w:eastAsia="zh-CN"/>
        </w:rPr>
        <w:t xml:space="preserve"> RJ, Fisher RL, Conn HO, </w:t>
      </w:r>
      <w:proofErr w:type="spellStart"/>
      <w:r w:rsidRPr="000F4A07">
        <w:rPr>
          <w:rFonts w:ascii="Book Antiqua" w:hAnsi="Book Antiqua" w:cs="宋体"/>
          <w:sz w:val="24"/>
          <w:szCs w:val="24"/>
          <w:lang w:eastAsia="zh-CN"/>
        </w:rPr>
        <w:t>Atterbury</w:t>
      </w:r>
      <w:proofErr w:type="spellEnd"/>
      <w:r w:rsidRPr="000F4A07">
        <w:rPr>
          <w:rFonts w:ascii="Book Antiqua" w:hAnsi="Book Antiqua" w:cs="宋体"/>
          <w:sz w:val="24"/>
          <w:szCs w:val="24"/>
          <w:lang w:eastAsia="zh-CN"/>
        </w:rPr>
        <w:t xml:space="preserve"> CE, Glickman M. Portal pressure, presence of </w:t>
      </w:r>
      <w:proofErr w:type="spellStart"/>
      <w:r w:rsidRPr="000F4A07">
        <w:rPr>
          <w:rFonts w:ascii="Book Antiqua" w:hAnsi="Book Antiqua" w:cs="宋体"/>
          <w:sz w:val="24"/>
          <w:szCs w:val="24"/>
          <w:lang w:eastAsia="zh-CN"/>
        </w:rPr>
        <w:t>gastroesophageal</w:t>
      </w:r>
      <w:proofErr w:type="spellEnd"/>
      <w:r w:rsidRPr="000F4A07">
        <w:rPr>
          <w:rFonts w:ascii="Book Antiqua" w:hAnsi="Book Antiqua" w:cs="宋体"/>
          <w:sz w:val="24"/>
          <w:szCs w:val="24"/>
          <w:lang w:eastAsia="zh-CN"/>
        </w:rPr>
        <w:t xml:space="preserve"> varices and variceal bleeding. </w:t>
      </w:r>
      <w:proofErr w:type="spellStart"/>
      <w:r w:rsidRPr="000F4A07">
        <w:rPr>
          <w:rFonts w:ascii="Book Antiqua" w:hAnsi="Book Antiqua" w:cs="宋体"/>
          <w:i/>
          <w:iCs/>
          <w:sz w:val="24"/>
          <w:szCs w:val="24"/>
          <w:lang w:eastAsia="zh-CN"/>
        </w:rPr>
        <w:t>Hepatology</w:t>
      </w:r>
      <w:proofErr w:type="spellEnd"/>
      <w:r w:rsidRPr="000F4A07">
        <w:rPr>
          <w:rFonts w:ascii="Book Antiqua" w:hAnsi="Book Antiqua" w:cs="宋体"/>
          <w:sz w:val="24"/>
          <w:szCs w:val="24"/>
          <w:lang w:eastAsia="zh-CN"/>
        </w:rPr>
        <w:t> 1985; </w:t>
      </w:r>
      <w:r w:rsidRPr="000F4A07">
        <w:rPr>
          <w:rFonts w:ascii="Book Antiqua" w:hAnsi="Book Antiqua" w:cs="宋体"/>
          <w:b/>
          <w:bCs/>
          <w:sz w:val="24"/>
          <w:szCs w:val="24"/>
          <w:lang w:eastAsia="zh-CN"/>
        </w:rPr>
        <w:t>5</w:t>
      </w:r>
      <w:r w:rsidRPr="000F4A07">
        <w:rPr>
          <w:rFonts w:ascii="Book Antiqua" w:hAnsi="Book Antiqua" w:cs="宋体"/>
          <w:sz w:val="24"/>
          <w:szCs w:val="24"/>
          <w:lang w:eastAsia="zh-CN"/>
        </w:rPr>
        <w:t>: 419-424 [PMID: 3873388]</w:t>
      </w:r>
    </w:p>
    <w:p w14:paraId="0A180449"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7 </w:t>
      </w:r>
      <w:proofErr w:type="spellStart"/>
      <w:r w:rsidRPr="000F4A07">
        <w:rPr>
          <w:rFonts w:ascii="Book Antiqua" w:hAnsi="Book Antiqua" w:cs="宋体"/>
          <w:b/>
          <w:bCs/>
          <w:sz w:val="24"/>
          <w:szCs w:val="24"/>
          <w:lang w:eastAsia="zh-CN"/>
        </w:rPr>
        <w:t>Viallet</w:t>
      </w:r>
      <w:proofErr w:type="spellEnd"/>
      <w:r w:rsidRPr="000F4A07">
        <w:rPr>
          <w:rFonts w:ascii="Book Antiqua" w:hAnsi="Book Antiqua" w:cs="宋体"/>
          <w:b/>
          <w:bCs/>
          <w:sz w:val="24"/>
          <w:szCs w:val="24"/>
          <w:lang w:eastAsia="zh-CN"/>
        </w:rPr>
        <w:t xml:space="preserve"> A</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Marleau</w:t>
      </w:r>
      <w:proofErr w:type="spellEnd"/>
      <w:r w:rsidRPr="000F4A07">
        <w:rPr>
          <w:rFonts w:ascii="Book Antiqua" w:hAnsi="Book Antiqua" w:cs="宋体"/>
          <w:sz w:val="24"/>
          <w:szCs w:val="24"/>
          <w:lang w:eastAsia="zh-CN"/>
        </w:rPr>
        <w:t xml:space="preserve"> D, </w:t>
      </w:r>
      <w:proofErr w:type="spellStart"/>
      <w:r w:rsidRPr="000F4A07">
        <w:rPr>
          <w:rFonts w:ascii="Book Antiqua" w:hAnsi="Book Antiqua" w:cs="宋体"/>
          <w:sz w:val="24"/>
          <w:szCs w:val="24"/>
          <w:lang w:eastAsia="zh-CN"/>
        </w:rPr>
        <w:t>Huet</w:t>
      </w:r>
      <w:proofErr w:type="spellEnd"/>
      <w:r w:rsidRPr="000F4A07">
        <w:rPr>
          <w:rFonts w:ascii="Book Antiqua" w:hAnsi="Book Antiqua" w:cs="宋体"/>
          <w:sz w:val="24"/>
          <w:szCs w:val="24"/>
          <w:lang w:eastAsia="zh-CN"/>
        </w:rPr>
        <w:t xml:space="preserve"> M, Martin F, Farley A, Villeneuve JP, Lavoie P. Hemodynamic evaluation of patients with intrahepatic portal hypertension. </w:t>
      </w:r>
      <w:proofErr w:type="gramStart"/>
      <w:r w:rsidRPr="000F4A07">
        <w:rPr>
          <w:rFonts w:ascii="Book Antiqua" w:hAnsi="Book Antiqua" w:cs="宋体"/>
          <w:sz w:val="24"/>
          <w:szCs w:val="24"/>
          <w:lang w:eastAsia="zh-CN"/>
        </w:rPr>
        <w:t xml:space="preserve">Relationship between bleeding varices and the </w:t>
      </w:r>
      <w:proofErr w:type="spellStart"/>
      <w:r w:rsidRPr="000F4A07">
        <w:rPr>
          <w:rFonts w:ascii="Book Antiqua" w:hAnsi="Book Antiqua" w:cs="宋体"/>
          <w:sz w:val="24"/>
          <w:szCs w:val="24"/>
          <w:lang w:eastAsia="zh-CN"/>
        </w:rPr>
        <w:t>portohepatic</w:t>
      </w:r>
      <w:proofErr w:type="spellEnd"/>
      <w:r w:rsidRPr="000F4A07">
        <w:rPr>
          <w:rFonts w:ascii="Book Antiqua" w:hAnsi="Book Antiqua" w:cs="宋体"/>
          <w:sz w:val="24"/>
          <w:szCs w:val="24"/>
          <w:lang w:eastAsia="zh-CN"/>
        </w:rPr>
        <w:t xml:space="preserve"> gradient.</w:t>
      </w:r>
      <w:proofErr w:type="gramEnd"/>
      <w:r w:rsidRPr="000F4A07">
        <w:rPr>
          <w:rFonts w:ascii="Book Antiqua" w:hAnsi="Book Antiqua" w:cs="宋体"/>
          <w:sz w:val="24"/>
          <w:szCs w:val="24"/>
          <w:lang w:eastAsia="zh-CN"/>
        </w:rPr>
        <w:t xml:space="preserve"> </w:t>
      </w:r>
      <w:r w:rsidRPr="000F4A07">
        <w:rPr>
          <w:rFonts w:ascii="Book Antiqua" w:hAnsi="Book Antiqua" w:cs="宋体"/>
          <w:i/>
          <w:iCs/>
          <w:sz w:val="24"/>
          <w:szCs w:val="24"/>
          <w:lang w:eastAsia="zh-CN"/>
        </w:rPr>
        <w:t>Gastroenterology</w:t>
      </w:r>
      <w:r w:rsidRPr="000F4A07">
        <w:rPr>
          <w:rFonts w:ascii="Book Antiqua" w:hAnsi="Book Antiqua" w:cs="宋体"/>
          <w:sz w:val="24"/>
          <w:szCs w:val="24"/>
          <w:lang w:eastAsia="zh-CN"/>
        </w:rPr>
        <w:t xml:space="preserve"> 1975; </w:t>
      </w:r>
      <w:r w:rsidRPr="000F4A07">
        <w:rPr>
          <w:rFonts w:ascii="Book Antiqua" w:hAnsi="Book Antiqua" w:cs="宋体"/>
          <w:b/>
          <w:bCs/>
          <w:sz w:val="24"/>
          <w:szCs w:val="24"/>
          <w:lang w:eastAsia="zh-CN"/>
        </w:rPr>
        <w:t>69</w:t>
      </w:r>
      <w:r w:rsidRPr="000F4A07">
        <w:rPr>
          <w:rFonts w:ascii="Book Antiqua" w:hAnsi="Book Antiqua" w:cs="宋体"/>
          <w:sz w:val="24"/>
          <w:szCs w:val="24"/>
          <w:lang w:eastAsia="zh-CN"/>
        </w:rPr>
        <w:t>: 1297-1300 [PMID: 1081459]</w:t>
      </w:r>
    </w:p>
    <w:p w14:paraId="56692123"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8 </w:t>
      </w:r>
      <w:r w:rsidRPr="000F4A07">
        <w:rPr>
          <w:rFonts w:ascii="Book Antiqua" w:hAnsi="Book Antiqua" w:cs="宋体"/>
          <w:b/>
          <w:bCs/>
          <w:sz w:val="24"/>
          <w:szCs w:val="24"/>
          <w:lang w:eastAsia="zh-CN"/>
        </w:rPr>
        <w:t xml:space="preserve">de </w:t>
      </w:r>
      <w:proofErr w:type="spellStart"/>
      <w:r w:rsidRPr="000F4A07">
        <w:rPr>
          <w:rFonts w:ascii="Book Antiqua" w:hAnsi="Book Antiqua" w:cs="宋体"/>
          <w:b/>
          <w:bCs/>
          <w:sz w:val="24"/>
          <w:szCs w:val="24"/>
          <w:lang w:eastAsia="zh-CN"/>
        </w:rPr>
        <w:t>Franchis</w:t>
      </w:r>
      <w:proofErr w:type="spellEnd"/>
      <w:r w:rsidRPr="000F4A07">
        <w:rPr>
          <w:rFonts w:ascii="Book Antiqua" w:hAnsi="Book Antiqua" w:cs="宋体"/>
          <w:b/>
          <w:bCs/>
          <w:sz w:val="24"/>
          <w:szCs w:val="24"/>
          <w:lang w:eastAsia="zh-CN"/>
        </w:rPr>
        <w:t xml:space="preserve"> R</w:t>
      </w:r>
      <w:r w:rsidRPr="000F4A07">
        <w:rPr>
          <w:rFonts w:ascii="Book Antiqua" w:hAnsi="Book Antiqua" w:cs="宋体"/>
          <w:sz w:val="24"/>
          <w:szCs w:val="24"/>
          <w:lang w:eastAsia="zh-CN"/>
        </w:rPr>
        <w:t xml:space="preserve">. Updating consensus in portal hypertension: report of the </w:t>
      </w:r>
      <w:proofErr w:type="spellStart"/>
      <w:r w:rsidRPr="000F4A07">
        <w:rPr>
          <w:rFonts w:ascii="Book Antiqua" w:hAnsi="Book Antiqua" w:cs="宋体"/>
          <w:sz w:val="24"/>
          <w:szCs w:val="24"/>
          <w:lang w:eastAsia="zh-CN"/>
        </w:rPr>
        <w:t>Baveno</w:t>
      </w:r>
      <w:proofErr w:type="spellEnd"/>
      <w:r w:rsidRPr="000F4A07">
        <w:rPr>
          <w:rFonts w:ascii="Book Antiqua" w:hAnsi="Book Antiqua" w:cs="宋体"/>
          <w:sz w:val="24"/>
          <w:szCs w:val="24"/>
          <w:lang w:eastAsia="zh-CN"/>
        </w:rPr>
        <w:t xml:space="preserve"> III Consensus Workshop on definitions, methodology and therapeutic strategies in portal hypertension. </w:t>
      </w:r>
      <w:r w:rsidRPr="000F4A07">
        <w:rPr>
          <w:rFonts w:ascii="Book Antiqua" w:hAnsi="Book Antiqua" w:cs="宋体"/>
          <w:i/>
          <w:iCs/>
          <w:sz w:val="24"/>
          <w:szCs w:val="24"/>
          <w:lang w:eastAsia="zh-CN"/>
        </w:rPr>
        <w:t xml:space="preserve">J </w:t>
      </w:r>
      <w:proofErr w:type="spellStart"/>
      <w:r w:rsidRPr="000F4A07">
        <w:rPr>
          <w:rFonts w:ascii="Book Antiqua" w:hAnsi="Book Antiqua" w:cs="宋体"/>
          <w:i/>
          <w:iCs/>
          <w:sz w:val="24"/>
          <w:szCs w:val="24"/>
          <w:lang w:eastAsia="zh-CN"/>
        </w:rPr>
        <w:t>Hepatol</w:t>
      </w:r>
      <w:proofErr w:type="spellEnd"/>
      <w:r w:rsidRPr="000F4A07">
        <w:rPr>
          <w:rFonts w:ascii="Book Antiqua" w:hAnsi="Book Antiqua" w:cs="宋体"/>
          <w:sz w:val="24"/>
          <w:szCs w:val="24"/>
          <w:lang w:eastAsia="zh-CN"/>
        </w:rPr>
        <w:t> 2000; </w:t>
      </w:r>
      <w:r w:rsidRPr="000F4A07">
        <w:rPr>
          <w:rFonts w:ascii="Book Antiqua" w:hAnsi="Book Antiqua" w:cs="宋体"/>
          <w:b/>
          <w:bCs/>
          <w:sz w:val="24"/>
          <w:szCs w:val="24"/>
          <w:lang w:eastAsia="zh-CN"/>
        </w:rPr>
        <w:t>33</w:t>
      </w:r>
      <w:r w:rsidRPr="000F4A07">
        <w:rPr>
          <w:rFonts w:ascii="Book Antiqua" w:hAnsi="Book Antiqua" w:cs="宋体"/>
          <w:sz w:val="24"/>
          <w:szCs w:val="24"/>
          <w:lang w:eastAsia="zh-CN"/>
        </w:rPr>
        <w:t>: 846-852 [PMID: 11097497]</w:t>
      </w:r>
    </w:p>
    <w:p w14:paraId="1A291389"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9 </w:t>
      </w:r>
      <w:proofErr w:type="spellStart"/>
      <w:r w:rsidRPr="000F4A07">
        <w:rPr>
          <w:rFonts w:ascii="Book Antiqua" w:hAnsi="Book Antiqua" w:cs="宋体"/>
          <w:b/>
          <w:bCs/>
          <w:sz w:val="24"/>
          <w:szCs w:val="24"/>
          <w:lang w:eastAsia="zh-CN"/>
        </w:rPr>
        <w:t>Tsochatzis</w:t>
      </w:r>
      <w:proofErr w:type="spellEnd"/>
      <w:r w:rsidRPr="000F4A07">
        <w:rPr>
          <w:rFonts w:ascii="Book Antiqua" w:hAnsi="Book Antiqua" w:cs="宋体"/>
          <w:b/>
          <w:bCs/>
          <w:sz w:val="24"/>
          <w:szCs w:val="24"/>
          <w:lang w:eastAsia="zh-CN"/>
        </w:rPr>
        <w:t xml:space="preserve"> EA</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Gurusamy</w:t>
      </w:r>
      <w:proofErr w:type="spellEnd"/>
      <w:r w:rsidRPr="000F4A07">
        <w:rPr>
          <w:rFonts w:ascii="Book Antiqua" w:hAnsi="Book Antiqua" w:cs="宋体"/>
          <w:sz w:val="24"/>
          <w:szCs w:val="24"/>
          <w:lang w:eastAsia="zh-CN"/>
        </w:rPr>
        <w:t xml:space="preserve"> KS, </w:t>
      </w:r>
      <w:proofErr w:type="spellStart"/>
      <w:r w:rsidRPr="000F4A07">
        <w:rPr>
          <w:rFonts w:ascii="Book Antiqua" w:hAnsi="Book Antiqua" w:cs="宋体"/>
          <w:sz w:val="24"/>
          <w:szCs w:val="24"/>
          <w:lang w:eastAsia="zh-CN"/>
        </w:rPr>
        <w:t>Ntaoula</w:t>
      </w:r>
      <w:proofErr w:type="spellEnd"/>
      <w:r w:rsidRPr="000F4A07">
        <w:rPr>
          <w:rFonts w:ascii="Book Antiqua" w:hAnsi="Book Antiqua" w:cs="宋体"/>
          <w:sz w:val="24"/>
          <w:szCs w:val="24"/>
          <w:lang w:eastAsia="zh-CN"/>
        </w:rPr>
        <w:t xml:space="preserve"> S, </w:t>
      </w:r>
      <w:proofErr w:type="spellStart"/>
      <w:r w:rsidRPr="000F4A07">
        <w:rPr>
          <w:rFonts w:ascii="Book Antiqua" w:hAnsi="Book Antiqua" w:cs="宋体"/>
          <w:sz w:val="24"/>
          <w:szCs w:val="24"/>
          <w:lang w:eastAsia="zh-CN"/>
        </w:rPr>
        <w:t>Cholongitas</w:t>
      </w:r>
      <w:proofErr w:type="spellEnd"/>
      <w:r w:rsidRPr="000F4A07">
        <w:rPr>
          <w:rFonts w:ascii="Book Antiqua" w:hAnsi="Book Antiqua" w:cs="宋体"/>
          <w:sz w:val="24"/>
          <w:szCs w:val="24"/>
          <w:lang w:eastAsia="zh-CN"/>
        </w:rPr>
        <w:t xml:space="preserve"> E, Davidson BR, Burroughs AK.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xml:space="preserve"> for the diagnosis of severity of fibrosis in chronic liver disease: a meta-analysis of diagnostic accuracy. </w:t>
      </w:r>
      <w:r w:rsidRPr="000F4A07">
        <w:rPr>
          <w:rFonts w:ascii="Book Antiqua" w:hAnsi="Book Antiqua" w:cs="宋体"/>
          <w:i/>
          <w:iCs/>
          <w:sz w:val="24"/>
          <w:szCs w:val="24"/>
          <w:lang w:eastAsia="zh-CN"/>
        </w:rPr>
        <w:t xml:space="preserve">J </w:t>
      </w:r>
      <w:proofErr w:type="spellStart"/>
      <w:r w:rsidRPr="000F4A07">
        <w:rPr>
          <w:rFonts w:ascii="Book Antiqua" w:hAnsi="Book Antiqua" w:cs="宋体"/>
          <w:i/>
          <w:iCs/>
          <w:sz w:val="24"/>
          <w:szCs w:val="24"/>
          <w:lang w:eastAsia="zh-CN"/>
        </w:rPr>
        <w:t>Hepatol</w:t>
      </w:r>
      <w:proofErr w:type="spellEnd"/>
      <w:r w:rsidRPr="000F4A07">
        <w:rPr>
          <w:rFonts w:ascii="Book Antiqua" w:hAnsi="Book Antiqua" w:cs="宋体"/>
          <w:sz w:val="24"/>
          <w:szCs w:val="24"/>
          <w:lang w:eastAsia="zh-CN"/>
        </w:rPr>
        <w:t> 2011; </w:t>
      </w:r>
      <w:r w:rsidRPr="000F4A07">
        <w:rPr>
          <w:rFonts w:ascii="Book Antiqua" w:hAnsi="Book Antiqua" w:cs="宋体"/>
          <w:b/>
          <w:bCs/>
          <w:sz w:val="24"/>
          <w:szCs w:val="24"/>
          <w:lang w:eastAsia="zh-CN"/>
        </w:rPr>
        <w:t>54</w:t>
      </w:r>
      <w:r w:rsidRPr="000F4A07">
        <w:rPr>
          <w:rFonts w:ascii="Book Antiqua" w:hAnsi="Book Antiqua" w:cs="宋体"/>
          <w:sz w:val="24"/>
          <w:szCs w:val="24"/>
          <w:lang w:eastAsia="zh-CN"/>
        </w:rPr>
        <w:t>: 650-659 [PMID: 21146892 DOI: 10.1016/j.jhep.2010.07.033]</w:t>
      </w:r>
    </w:p>
    <w:p w14:paraId="34DF1DC0"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lastRenderedPageBreak/>
        <w:t>10 </w:t>
      </w:r>
      <w:r w:rsidRPr="000F4A07">
        <w:rPr>
          <w:rFonts w:ascii="Book Antiqua" w:hAnsi="Book Antiqua" w:cs="宋体"/>
          <w:b/>
          <w:bCs/>
          <w:sz w:val="24"/>
          <w:szCs w:val="24"/>
          <w:lang w:eastAsia="zh-CN"/>
        </w:rPr>
        <w:t>Pavlov CS</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Casazza</w:t>
      </w:r>
      <w:proofErr w:type="spellEnd"/>
      <w:r w:rsidRPr="000F4A07">
        <w:rPr>
          <w:rFonts w:ascii="Book Antiqua" w:hAnsi="Book Antiqua" w:cs="宋体"/>
          <w:sz w:val="24"/>
          <w:szCs w:val="24"/>
          <w:lang w:eastAsia="zh-CN"/>
        </w:rPr>
        <w:t xml:space="preserve"> G, </w:t>
      </w:r>
      <w:proofErr w:type="spellStart"/>
      <w:r w:rsidRPr="000F4A07">
        <w:rPr>
          <w:rFonts w:ascii="Book Antiqua" w:hAnsi="Book Antiqua" w:cs="宋体"/>
          <w:sz w:val="24"/>
          <w:szCs w:val="24"/>
          <w:lang w:eastAsia="zh-CN"/>
        </w:rPr>
        <w:t>Nikolova</w:t>
      </w:r>
      <w:proofErr w:type="spellEnd"/>
      <w:r w:rsidRPr="000F4A07">
        <w:rPr>
          <w:rFonts w:ascii="Book Antiqua" w:hAnsi="Book Antiqua" w:cs="宋体"/>
          <w:sz w:val="24"/>
          <w:szCs w:val="24"/>
          <w:lang w:eastAsia="zh-CN"/>
        </w:rPr>
        <w:t xml:space="preserve"> D, </w:t>
      </w:r>
      <w:proofErr w:type="spellStart"/>
      <w:r w:rsidRPr="000F4A07">
        <w:rPr>
          <w:rFonts w:ascii="Book Antiqua" w:hAnsi="Book Antiqua" w:cs="宋体"/>
          <w:sz w:val="24"/>
          <w:szCs w:val="24"/>
          <w:lang w:eastAsia="zh-CN"/>
        </w:rPr>
        <w:t>Tsochatzis</w:t>
      </w:r>
      <w:proofErr w:type="spellEnd"/>
      <w:r w:rsidRPr="000F4A07">
        <w:rPr>
          <w:rFonts w:ascii="Book Antiqua" w:hAnsi="Book Antiqua" w:cs="宋体"/>
          <w:sz w:val="24"/>
          <w:szCs w:val="24"/>
          <w:lang w:eastAsia="zh-CN"/>
        </w:rPr>
        <w:t xml:space="preserve"> E, Burroughs AK, </w:t>
      </w:r>
      <w:proofErr w:type="spellStart"/>
      <w:r w:rsidRPr="000F4A07">
        <w:rPr>
          <w:rFonts w:ascii="Book Antiqua" w:hAnsi="Book Antiqua" w:cs="宋体"/>
          <w:sz w:val="24"/>
          <w:szCs w:val="24"/>
          <w:lang w:eastAsia="zh-CN"/>
        </w:rPr>
        <w:t>Ivashkin</w:t>
      </w:r>
      <w:proofErr w:type="spellEnd"/>
      <w:r w:rsidRPr="000F4A07">
        <w:rPr>
          <w:rFonts w:ascii="Book Antiqua" w:hAnsi="Book Antiqua" w:cs="宋体"/>
          <w:sz w:val="24"/>
          <w:szCs w:val="24"/>
          <w:lang w:eastAsia="zh-CN"/>
        </w:rPr>
        <w:t xml:space="preserve"> VT, </w:t>
      </w:r>
      <w:proofErr w:type="spellStart"/>
      <w:r w:rsidRPr="000F4A07">
        <w:rPr>
          <w:rFonts w:ascii="Book Antiqua" w:hAnsi="Book Antiqua" w:cs="宋体"/>
          <w:sz w:val="24"/>
          <w:szCs w:val="24"/>
          <w:lang w:eastAsia="zh-CN"/>
        </w:rPr>
        <w:t>Gluud</w:t>
      </w:r>
      <w:proofErr w:type="spellEnd"/>
      <w:r w:rsidRPr="000F4A07">
        <w:rPr>
          <w:rFonts w:ascii="Book Antiqua" w:hAnsi="Book Antiqua" w:cs="宋体"/>
          <w:sz w:val="24"/>
          <w:szCs w:val="24"/>
          <w:lang w:eastAsia="zh-CN"/>
        </w:rPr>
        <w:t xml:space="preserve"> C. Transient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xml:space="preserve"> for diagnosis of stages of hepatic fibrosis and cirrhosis in people with alcoholic liver disease. </w:t>
      </w:r>
      <w:r w:rsidRPr="000F4A07">
        <w:rPr>
          <w:rFonts w:ascii="Book Antiqua" w:hAnsi="Book Antiqua" w:cs="宋体"/>
          <w:i/>
          <w:iCs/>
          <w:sz w:val="24"/>
          <w:szCs w:val="24"/>
          <w:lang w:eastAsia="zh-CN"/>
        </w:rPr>
        <w:t xml:space="preserve">Cochrane Database </w:t>
      </w:r>
      <w:proofErr w:type="spellStart"/>
      <w:r w:rsidRPr="000F4A07">
        <w:rPr>
          <w:rFonts w:ascii="Book Antiqua" w:hAnsi="Book Antiqua" w:cs="宋体"/>
          <w:i/>
          <w:iCs/>
          <w:sz w:val="24"/>
          <w:szCs w:val="24"/>
          <w:lang w:eastAsia="zh-CN"/>
        </w:rPr>
        <w:t>Syst</w:t>
      </w:r>
      <w:proofErr w:type="spellEnd"/>
      <w:r w:rsidRPr="000F4A07">
        <w:rPr>
          <w:rFonts w:ascii="Book Antiqua" w:hAnsi="Book Antiqua" w:cs="宋体"/>
          <w:i/>
          <w:iCs/>
          <w:sz w:val="24"/>
          <w:szCs w:val="24"/>
          <w:lang w:eastAsia="zh-CN"/>
        </w:rPr>
        <w:t xml:space="preserve"> Rev</w:t>
      </w:r>
      <w:r w:rsidRPr="000F4A07">
        <w:rPr>
          <w:rFonts w:ascii="Book Antiqua" w:hAnsi="Book Antiqua" w:cs="宋体"/>
          <w:sz w:val="24"/>
          <w:szCs w:val="24"/>
          <w:lang w:eastAsia="zh-CN"/>
        </w:rPr>
        <w:t> 2015; </w:t>
      </w:r>
      <w:r w:rsidRPr="000F4A07">
        <w:rPr>
          <w:rFonts w:ascii="Book Antiqua" w:hAnsi="Book Antiqua" w:cs="宋体"/>
          <w:b/>
          <w:bCs/>
          <w:sz w:val="24"/>
          <w:szCs w:val="24"/>
          <w:lang w:eastAsia="zh-CN"/>
        </w:rPr>
        <w:t>1</w:t>
      </w:r>
      <w:r w:rsidRPr="000F4A07">
        <w:rPr>
          <w:rFonts w:ascii="Book Antiqua" w:hAnsi="Book Antiqua" w:cs="宋体"/>
          <w:sz w:val="24"/>
          <w:szCs w:val="24"/>
          <w:lang w:eastAsia="zh-CN"/>
        </w:rPr>
        <w:t>: CD010542 [PMID: 25612182 DOI: 10.1002/14651858.CD010542.pub2]</w:t>
      </w:r>
    </w:p>
    <w:p w14:paraId="6E852451"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11 </w:t>
      </w:r>
      <w:r w:rsidRPr="000F4A07">
        <w:rPr>
          <w:rFonts w:ascii="Book Antiqua" w:hAnsi="Book Antiqua" w:cs="宋体"/>
          <w:b/>
          <w:bCs/>
          <w:sz w:val="24"/>
          <w:szCs w:val="24"/>
          <w:lang w:eastAsia="zh-CN"/>
        </w:rPr>
        <w:t>Shi KQ</w:t>
      </w:r>
      <w:r w:rsidRPr="000F4A07">
        <w:rPr>
          <w:rFonts w:ascii="Book Antiqua" w:hAnsi="Book Antiqua" w:cs="宋体"/>
          <w:sz w:val="24"/>
          <w:szCs w:val="24"/>
          <w:lang w:eastAsia="zh-CN"/>
        </w:rPr>
        <w:t xml:space="preserve">, Fan YC, Pan ZZ, Lin XF, Liu WY, Chen YP, </w:t>
      </w:r>
      <w:proofErr w:type="spellStart"/>
      <w:r w:rsidRPr="000F4A07">
        <w:rPr>
          <w:rFonts w:ascii="Book Antiqua" w:hAnsi="Book Antiqua" w:cs="宋体"/>
          <w:sz w:val="24"/>
          <w:szCs w:val="24"/>
          <w:lang w:eastAsia="zh-CN"/>
        </w:rPr>
        <w:t>Zheng</w:t>
      </w:r>
      <w:proofErr w:type="spellEnd"/>
      <w:r w:rsidRPr="000F4A07">
        <w:rPr>
          <w:rFonts w:ascii="Book Antiqua" w:hAnsi="Book Antiqua" w:cs="宋体"/>
          <w:sz w:val="24"/>
          <w:szCs w:val="24"/>
          <w:lang w:eastAsia="zh-CN"/>
        </w:rPr>
        <w:t xml:space="preserve"> MH. Transient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a meta-analysis of diagnostic accuracy in evaluation of portal hypertension in chronic liver disease. </w:t>
      </w:r>
      <w:r w:rsidRPr="000F4A07">
        <w:rPr>
          <w:rFonts w:ascii="Book Antiqua" w:hAnsi="Book Antiqua" w:cs="宋体"/>
          <w:i/>
          <w:iCs/>
          <w:sz w:val="24"/>
          <w:szCs w:val="24"/>
          <w:lang w:eastAsia="zh-CN"/>
        </w:rPr>
        <w:t xml:space="preserve">Liver </w:t>
      </w:r>
      <w:proofErr w:type="spellStart"/>
      <w:r w:rsidRPr="000F4A07">
        <w:rPr>
          <w:rFonts w:ascii="Book Antiqua" w:hAnsi="Book Antiqua" w:cs="宋体"/>
          <w:i/>
          <w:iCs/>
          <w:sz w:val="24"/>
          <w:szCs w:val="24"/>
          <w:lang w:eastAsia="zh-CN"/>
        </w:rPr>
        <w:t>Int</w:t>
      </w:r>
      <w:proofErr w:type="spellEnd"/>
      <w:r w:rsidRPr="000F4A07">
        <w:rPr>
          <w:rFonts w:ascii="Book Antiqua" w:hAnsi="Book Antiqua" w:cs="宋体"/>
          <w:sz w:val="24"/>
          <w:szCs w:val="24"/>
          <w:lang w:eastAsia="zh-CN"/>
        </w:rPr>
        <w:t> 2013; </w:t>
      </w:r>
      <w:r w:rsidRPr="000F4A07">
        <w:rPr>
          <w:rFonts w:ascii="Book Antiqua" w:hAnsi="Book Antiqua" w:cs="宋体"/>
          <w:b/>
          <w:bCs/>
          <w:sz w:val="24"/>
          <w:szCs w:val="24"/>
          <w:lang w:eastAsia="zh-CN"/>
        </w:rPr>
        <w:t>33</w:t>
      </w:r>
      <w:r w:rsidRPr="000F4A07">
        <w:rPr>
          <w:rFonts w:ascii="Book Antiqua" w:hAnsi="Book Antiqua" w:cs="宋体"/>
          <w:sz w:val="24"/>
          <w:szCs w:val="24"/>
          <w:lang w:eastAsia="zh-CN"/>
        </w:rPr>
        <w:t>: 62-71 [PMID: 22973991 DOI: 10.1111/liv.12003]</w:t>
      </w:r>
    </w:p>
    <w:p w14:paraId="04CF21E7"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12 </w:t>
      </w:r>
      <w:r w:rsidRPr="000F4A07">
        <w:rPr>
          <w:rFonts w:ascii="Book Antiqua" w:hAnsi="Book Antiqua" w:cs="宋体"/>
          <w:b/>
          <w:bCs/>
          <w:sz w:val="24"/>
          <w:szCs w:val="24"/>
          <w:lang w:eastAsia="zh-CN"/>
        </w:rPr>
        <w:t>Kumar A</w:t>
      </w:r>
      <w:r w:rsidRPr="000F4A07">
        <w:rPr>
          <w:rFonts w:ascii="Book Antiqua" w:hAnsi="Book Antiqua" w:cs="宋体"/>
          <w:sz w:val="24"/>
          <w:szCs w:val="24"/>
          <w:lang w:eastAsia="zh-CN"/>
        </w:rPr>
        <w:t xml:space="preserve">, Sharma P, </w:t>
      </w:r>
      <w:proofErr w:type="spellStart"/>
      <w:r w:rsidRPr="000F4A07">
        <w:rPr>
          <w:rFonts w:ascii="Book Antiqua" w:hAnsi="Book Antiqua" w:cs="宋体"/>
          <w:sz w:val="24"/>
          <w:szCs w:val="24"/>
          <w:lang w:eastAsia="zh-CN"/>
        </w:rPr>
        <w:t>Sarin</w:t>
      </w:r>
      <w:proofErr w:type="spellEnd"/>
      <w:r w:rsidRPr="000F4A07">
        <w:rPr>
          <w:rFonts w:ascii="Book Antiqua" w:hAnsi="Book Antiqua" w:cs="宋体"/>
          <w:sz w:val="24"/>
          <w:szCs w:val="24"/>
          <w:lang w:eastAsia="zh-CN"/>
        </w:rPr>
        <w:t xml:space="preserve"> SK. Hepatic venous pressure gradient measurement: time to learn! </w:t>
      </w:r>
      <w:r w:rsidRPr="000F4A07">
        <w:rPr>
          <w:rFonts w:ascii="Book Antiqua" w:hAnsi="Book Antiqua" w:cs="宋体"/>
          <w:i/>
          <w:iCs/>
          <w:sz w:val="24"/>
          <w:szCs w:val="24"/>
          <w:lang w:eastAsia="zh-CN"/>
        </w:rPr>
        <w:t xml:space="preserve">Indian J </w:t>
      </w:r>
      <w:proofErr w:type="spellStart"/>
      <w:r w:rsidRPr="000F4A07">
        <w:rPr>
          <w:rFonts w:ascii="Book Antiqua" w:hAnsi="Book Antiqua" w:cs="宋体"/>
          <w:i/>
          <w:iCs/>
          <w:sz w:val="24"/>
          <w:szCs w:val="24"/>
          <w:lang w:eastAsia="zh-CN"/>
        </w:rPr>
        <w:t>Gastroenterol</w:t>
      </w:r>
      <w:proofErr w:type="spellEnd"/>
      <w:r w:rsidRPr="000F4A07">
        <w:rPr>
          <w:rFonts w:ascii="Book Antiqua" w:hAnsi="Book Antiqua" w:cs="宋体"/>
          <w:sz w:val="24"/>
          <w:szCs w:val="24"/>
          <w:lang w:eastAsia="zh-CN"/>
        </w:rPr>
        <w:t> 2008; </w:t>
      </w:r>
      <w:r w:rsidRPr="000F4A07">
        <w:rPr>
          <w:rFonts w:ascii="Book Antiqua" w:hAnsi="Book Antiqua" w:cs="宋体"/>
          <w:b/>
          <w:bCs/>
          <w:sz w:val="24"/>
          <w:szCs w:val="24"/>
          <w:lang w:eastAsia="zh-CN"/>
        </w:rPr>
        <w:t>27</w:t>
      </w:r>
      <w:r w:rsidRPr="000F4A07">
        <w:rPr>
          <w:rFonts w:ascii="Book Antiqua" w:hAnsi="Book Antiqua" w:cs="宋体"/>
          <w:sz w:val="24"/>
          <w:szCs w:val="24"/>
          <w:lang w:eastAsia="zh-CN"/>
        </w:rPr>
        <w:t>: 74-80 [PMID: 18695309]</w:t>
      </w:r>
    </w:p>
    <w:p w14:paraId="195452BE"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13 </w:t>
      </w:r>
      <w:proofErr w:type="spellStart"/>
      <w:r w:rsidRPr="000F4A07">
        <w:rPr>
          <w:rFonts w:ascii="Book Antiqua" w:hAnsi="Book Antiqua" w:cs="宋体"/>
          <w:b/>
          <w:bCs/>
          <w:sz w:val="24"/>
          <w:szCs w:val="24"/>
          <w:lang w:eastAsia="zh-CN"/>
        </w:rPr>
        <w:t>Reiberger</w:t>
      </w:r>
      <w:proofErr w:type="spellEnd"/>
      <w:r w:rsidRPr="000F4A07">
        <w:rPr>
          <w:rFonts w:ascii="Book Antiqua" w:hAnsi="Book Antiqua" w:cs="宋体"/>
          <w:b/>
          <w:bCs/>
          <w:sz w:val="24"/>
          <w:szCs w:val="24"/>
          <w:lang w:eastAsia="zh-CN"/>
        </w:rPr>
        <w:t xml:space="preserve"> T</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Ferlitsch</w:t>
      </w:r>
      <w:proofErr w:type="spellEnd"/>
      <w:r w:rsidRPr="000F4A07">
        <w:rPr>
          <w:rFonts w:ascii="Book Antiqua" w:hAnsi="Book Antiqua" w:cs="宋体"/>
          <w:sz w:val="24"/>
          <w:szCs w:val="24"/>
          <w:lang w:eastAsia="zh-CN"/>
        </w:rPr>
        <w:t xml:space="preserve"> A, Payer BA, Pinter M, </w:t>
      </w:r>
      <w:proofErr w:type="spellStart"/>
      <w:r w:rsidRPr="000F4A07">
        <w:rPr>
          <w:rFonts w:ascii="Book Antiqua" w:hAnsi="Book Antiqua" w:cs="宋体"/>
          <w:sz w:val="24"/>
          <w:szCs w:val="24"/>
          <w:lang w:eastAsia="zh-CN"/>
        </w:rPr>
        <w:t>Schwabl</w:t>
      </w:r>
      <w:proofErr w:type="spellEnd"/>
      <w:r w:rsidRPr="000F4A07">
        <w:rPr>
          <w:rFonts w:ascii="Book Antiqua" w:hAnsi="Book Antiqua" w:cs="宋体"/>
          <w:sz w:val="24"/>
          <w:szCs w:val="24"/>
          <w:lang w:eastAsia="zh-CN"/>
        </w:rPr>
        <w:t xml:space="preserve"> P, </w:t>
      </w:r>
      <w:proofErr w:type="spellStart"/>
      <w:r w:rsidRPr="000F4A07">
        <w:rPr>
          <w:rFonts w:ascii="Book Antiqua" w:hAnsi="Book Antiqua" w:cs="宋体"/>
          <w:sz w:val="24"/>
          <w:szCs w:val="24"/>
          <w:lang w:eastAsia="zh-CN"/>
        </w:rPr>
        <w:t>Stift</w:t>
      </w:r>
      <w:proofErr w:type="spellEnd"/>
      <w:r w:rsidRPr="000F4A07">
        <w:rPr>
          <w:rFonts w:ascii="Book Antiqua" w:hAnsi="Book Antiqua" w:cs="宋体"/>
          <w:sz w:val="24"/>
          <w:szCs w:val="24"/>
          <w:lang w:eastAsia="zh-CN"/>
        </w:rPr>
        <w:t xml:space="preserve"> J, </w:t>
      </w:r>
      <w:proofErr w:type="spellStart"/>
      <w:r w:rsidRPr="000F4A07">
        <w:rPr>
          <w:rFonts w:ascii="Book Antiqua" w:hAnsi="Book Antiqua" w:cs="宋体"/>
          <w:sz w:val="24"/>
          <w:szCs w:val="24"/>
          <w:lang w:eastAsia="zh-CN"/>
        </w:rPr>
        <w:t>Trauner</w:t>
      </w:r>
      <w:proofErr w:type="spellEnd"/>
      <w:r w:rsidRPr="000F4A07">
        <w:rPr>
          <w:rFonts w:ascii="Book Antiqua" w:hAnsi="Book Antiqua" w:cs="宋体"/>
          <w:sz w:val="24"/>
          <w:szCs w:val="24"/>
          <w:lang w:eastAsia="zh-CN"/>
        </w:rPr>
        <w:t xml:space="preserve"> M, Peck-</w:t>
      </w:r>
      <w:proofErr w:type="spellStart"/>
      <w:r w:rsidRPr="000F4A07">
        <w:rPr>
          <w:rFonts w:ascii="Book Antiqua" w:hAnsi="Book Antiqua" w:cs="宋体"/>
          <w:sz w:val="24"/>
          <w:szCs w:val="24"/>
          <w:lang w:eastAsia="zh-CN"/>
        </w:rPr>
        <w:t>Radosavljevic</w:t>
      </w:r>
      <w:proofErr w:type="spellEnd"/>
      <w:r w:rsidRPr="000F4A07">
        <w:rPr>
          <w:rFonts w:ascii="Book Antiqua" w:hAnsi="Book Antiqua" w:cs="宋体"/>
          <w:sz w:val="24"/>
          <w:szCs w:val="24"/>
          <w:lang w:eastAsia="zh-CN"/>
        </w:rPr>
        <w:t xml:space="preserve"> M. Noninvasive screening for liver fibrosis and portal hypertension by transient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--a large single center experience. </w:t>
      </w:r>
      <w:r w:rsidRPr="000F4A07">
        <w:rPr>
          <w:rFonts w:ascii="Book Antiqua" w:hAnsi="Book Antiqua" w:cs="宋体"/>
          <w:i/>
          <w:iCs/>
          <w:sz w:val="24"/>
          <w:szCs w:val="24"/>
          <w:lang w:eastAsia="zh-CN"/>
        </w:rPr>
        <w:t xml:space="preserve">Wien </w:t>
      </w:r>
      <w:proofErr w:type="spellStart"/>
      <w:r w:rsidRPr="000F4A07">
        <w:rPr>
          <w:rFonts w:ascii="Book Antiqua" w:hAnsi="Book Antiqua" w:cs="宋体"/>
          <w:i/>
          <w:iCs/>
          <w:sz w:val="24"/>
          <w:szCs w:val="24"/>
          <w:lang w:eastAsia="zh-CN"/>
        </w:rPr>
        <w:t>Klin</w:t>
      </w:r>
      <w:proofErr w:type="spellEnd"/>
      <w:r w:rsidRPr="000F4A07">
        <w:rPr>
          <w:rFonts w:ascii="Book Antiqua" w:hAnsi="Book Antiqua" w:cs="宋体"/>
          <w:i/>
          <w:iCs/>
          <w:sz w:val="24"/>
          <w:szCs w:val="24"/>
          <w:lang w:eastAsia="zh-CN"/>
        </w:rPr>
        <w:t xml:space="preserve"> </w:t>
      </w:r>
      <w:proofErr w:type="spellStart"/>
      <w:r w:rsidRPr="000F4A07">
        <w:rPr>
          <w:rFonts w:ascii="Book Antiqua" w:hAnsi="Book Antiqua" w:cs="宋体"/>
          <w:i/>
          <w:iCs/>
          <w:sz w:val="24"/>
          <w:szCs w:val="24"/>
          <w:lang w:eastAsia="zh-CN"/>
        </w:rPr>
        <w:t>Wochenschr</w:t>
      </w:r>
      <w:proofErr w:type="spellEnd"/>
      <w:r w:rsidRPr="000F4A07">
        <w:rPr>
          <w:rFonts w:ascii="Book Antiqua" w:hAnsi="Book Antiqua" w:cs="宋体"/>
          <w:sz w:val="24"/>
          <w:szCs w:val="24"/>
          <w:lang w:eastAsia="zh-CN"/>
        </w:rPr>
        <w:t> 2012; </w:t>
      </w:r>
      <w:r w:rsidRPr="000F4A07">
        <w:rPr>
          <w:rFonts w:ascii="Book Antiqua" w:hAnsi="Book Antiqua" w:cs="宋体"/>
          <w:b/>
          <w:bCs/>
          <w:sz w:val="24"/>
          <w:szCs w:val="24"/>
          <w:lang w:eastAsia="zh-CN"/>
        </w:rPr>
        <w:t>124</w:t>
      </w:r>
      <w:r w:rsidRPr="000F4A07">
        <w:rPr>
          <w:rFonts w:ascii="Book Antiqua" w:hAnsi="Book Antiqua" w:cs="宋体"/>
          <w:sz w:val="24"/>
          <w:szCs w:val="24"/>
          <w:lang w:eastAsia="zh-CN"/>
        </w:rPr>
        <w:t>: 395-402 [PMID: 22699260 DOI: 10.1007/s00508-012-0190-5]</w:t>
      </w:r>
    </w:p>
    <w:p w14:paraId="52F702DD"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14 </w:t>
      </w:r>
      <w:proofErr w:type="spellStart"/>
      <w:r w:rsidRPr="000F4A07">
        <w:rPr>
          <w:rFonts w:ascii="Book Antiqua" w:hAnsi="Book Antiqua" w:cs="宋体"/>
          <w:b/>
          <w:bCs/>
          <w:sz w:val="24"/>
          <w:szCs w:val="24"/>
          <w:lang w:eastAsia="zh-CN"/>
        </w:rPr>
        <w:t>Vizzutti</w:t>
      </w:r>
      <w:proofErr w:type="spellEnd"/>
      <w:r w:rsidRPr="000F4A07">
        <w:rPr>
          <w:rFonts w:ascii="Book Antiqua" w:hAnsi="Book Antiqua" w:cs="宋体"/>
          <w:b/>
          <w:bCs/>
          <w:sz w:val="24"/>
          <w:szCs w:val="24"/>
          <w:lang w:eastAsia="zh-CN"/>
        </w:rPr>
        <w:t xml:space="preserve"> F</w:t>
      </w:r>
      <w:r w:rsidRPr="000F4A07">
        <w:rPr>
          <w:rFonts w:ascii="Book Antiqua" w:hAnsi="Book Antiqua" w:cs="宋体"/>
          <w:sz w:val="24"/>
          <w:szCs w:val="24"/>
          <w:lang w:eastAsia="zh-CN"/>
        </w:rPr>
        <w:t xml:space="preserve">, Arena U, </w:t>
      </w:r>
      <w:proofErr w:type="spellStart"/>
      <w:r w:rsidRPr="000F4A07">
        <w:rPr>
          <w:rFonts w:ascii="Book Antiqua" w:hAnsi="Book Antiqua" w:cs="宋体"/>
          <w:sz w:val="24"/>
          <w:szCs w:val="24"/>
          <w:lang w:eastAsia="zh-CN"/>
        </w:rPr>
        <w:t>Romanelli</w:t>
      </w:r>
      <w:proofErr w:type="spellEnd"/>
      <w:r w:rsidRPr="000F4A07">
        <w:rPr>
          <w:rFonts w:ascii="Book Antiqua" w:hAnsi="Book Antiqua" w:cs="宋体"/>
          <w:sz w:val="24"/>
          <w:szCs w:val="24"/>
          <w:lang w:eastAsia="zh-CN"/>
        </w:rPr>
        <w:t xml:space="preserve"> RG, </w:t>
      </w:r>
      <w:proofErr w:type="spellStart"/>
      <w:r w:rsidRPr="000F4A07">
        <w:rPr>
          <w:rFonts w:ascii="Book Antiqua" w:hAnsi="Book Antiqua" w:cs="宋体"/>
          <w:sz w:val="24"/>
          <w:szCs w:val="24"/>
          <w:lang w:eastAsia="zh-CN"/>
        </w:rPr>
        <w:t>Rega</w:t>
      </w:r>
      <w:proofErr w:type="spellEnd"/>
      <w:r w:rsidRPr="000F4A07">
        <w:rPr>
          <w:rFonts w:ascii="Book Antiqua" w:hAnsi="Book Antiqua" w:cs="宋体"/>
          <w:sz w:val="24"/>
          <w:szCs w:val="24"/>
          <w:lang w:eastAsia="zh-CN"/>
        </w:rPr>
        <w:t xml:space="preserve"> L, </w:t>
      </w:r>
      <w:proofErr w:type="spellStart"/>
      <w:r w:rsidRPr="000F4A07">
        <w:rPr>
          <w:rFonts w:ascii="Book Antiqua" w:hAnsi="Book Antiqua" w:cs="宋体"/>
          <w:sz w:val="24"/>
          <w:szCs w:val="24"/>
          <w:lang w:eastAsia="zh-CN"/>
        </w:rPr>
        <w:t>Foschi</w:t>
      </w:r>
      <w:proofErr w:type="spellEnd"/>
      <w:r w:rsidRPr="000F4A07">
        <w:rPr>
          <w:rFonts w:ascii="Book Antiqua" w:hAnsi="Book Antiqua" w:cs="宋体"/>
          <w:sz w:val="24"/>
          <w:szCs w:val="24"/>
          <w:lang w:eastAsia="zh-CN"/>
        </w:rPr>
        <w:t xml:space="preserve"> M, </w:t>
      </w:r>
      <w:proofErr w:type="spellStart"/>
      <w:r w:rsidRPr="000F4A07">
        <w:rPr>
          <w:rFonts w:ascii="Book Antiqua" w:hAnsi="Book Antiqua" w:cs="宋体"/>
          <w:sz w:val="24"/>
          <w:szCs w:val="24"/>
          <w:lang w:eastAsia="zh-CN"/>
        </w:rPr>
        <w:t>Colagrande</w:t>
      </w:r>
      <w:proofErr w:type="spellEnd"/>
      <w:r w:rsidRPr="000F4A07">
        <w:rPr>
          <w:rFonts w:ascii="Book Antiqua" w:hAnsi="Book Antiqua" w:cs="宋体"/>
          <w:sz w:val="24"/>
          <w:szCs w:val="24"/>
          <w:lang w:eastAsia="zh-CN"/>
        </w:rPr>
        <w:t xml:space="preserve"> S, </w:t>
      </w:r>
      <w:proofErr w:type="spellStart"/>
      <w:r w:rsidRPr="000F4A07">
        <w:rPr>
          <w:rFonts w:ascii="Book Antiqua" w:hAnsi="Book Antiqua" w:cs="宋体"/>
          <w:sz w:val="24"/>
          <w:szCs w:val="24"/>
          <w:lang w:eastAsia="zh-CN"/>
        </w:rPr>
        <w:t>Petrarca</w:t>
      </w:r>
      <w:proofErr w:type="spellEnd"/>
      <w:r w:rsidRPr="000F4A07">
        <w:rPr>
          <w:rFonts w:ascii="Book Antiqua" w:hAnsi="Book Antiqua" w:cs="宋体"/>
          <w:sz w:val="24"/>
          <w:szCs w:val="24"/>
          <w:lang w:eastAsia="zh-CN"/>
        </w:rPr>
        <w:t xml:space="preserve"> A, </w:t>
      </w:r>
      <w:proofErr w:type="spellStart"/>
      <w:r w:rsidRPr="000F4A07">
        <w:rPr>
          <w:rFonts w:ascii="Book Antiqua" w:hAnsi="Book Antiqua" w:cs="宋体"/>
          <w:sz w:val="24"/>
          <w:szCs w:val="24"/>
          <w:lang w:eastAsia="zh-CN"/>
        </w:rPr>
        <w:t>Moscarella</w:t>
      </w:r>
      <w:proofErr w:type="spellEnd"/>
      <w:r w:rsidRPr="000F4A07">
        <w:rPr>
          <w:rFonts w:ascii="Book Antiqua" w:hAnsi="Book Antiqua" w:cs="宋体"/>
          <w:sz w:val="24"/>
          <w:szCs w:val="24"/>
          <w:lang w:eastAsia="zh-CN"/>
        </w:rPr>
        <w:t xml:space="preserve"> S, Belli G, </w:t>
      </w:r>
      <w:proofErr w:type="spellStart"/>
      <w:r w:rsidRPr="000F4A07">
        <w:rPr>
          <w:rFonts w:ascii="Book Antiqua" w:hAnsi="Book Antiqua" w:cs="宋体"/>
          <w:sz w:val="24"/>
          <w:szCs w:val="24"/>
          <w:lang w:eastAsia="zh-CN"/>
        </w:rPr>
        <w:t>Zignego</w:t>
      </w:r>
      <w:proofErr w:type="spellEnd"/>
      <w:r w:rsidRPr="000F4A07">
        <w:rPr>
          <w:rFonts w:ascii="Book Antiqua" w:hAnsi="Book Antiqua" w:cs="宋体"/>
          <w:sz w:val="24"/>
          <w:szCs w:val="24"/>
          <w:lang w:eastAsia="zh-CN"/>
        </w:rPr>
        <w:t xml:space="preserve"> AL, </w:t>
      </w:r>
      <w:proofErr w:type="spellStart"/>
      <w:r w:rsidRPr="000F4A07">
        <w:rPr>
          <w:rFonts w:ascii="Book Antiqua" w:hAnsi="Book Antiqua" w:cs="宋体"/>
          <w:sz w:val="24"/>
          <w:szCs w:val="24"/>
          <w:lang w:eastAsia="zh-CN"/>
        </w:rPr>
        <w:t>Marra</w:t>
      </w:r>
      <w:proofErr w:type="spellEnd"/>
      <w:r w:rsidRPr="000F4A07">
        <w:rPr>
          <w:rFonts w:ascii="Book Antiqua" w:hAnsi="Book Antiqua" w:cs="宋体"/>
          <w:sz w:val="24"/>
          <w:szCs w:val="24"/>
          <w:lang w:eastAsia="zh-CN"/>
        </w:rPr>
        <w:t xml:space="preserve"> F, </w:t>
      </w:r>
      <w:proofErr w:type="spellStart"/>
      <w:r w:rsidRPr="000F4A07">
        <w:rPr>
          <w:rFonts w:ascii="Book Antiqua" w:hAnsi="Book Antiqua" w:cs="宋体"/>
          <w:sz w:val="24"/>
          <w:szCs w:val="24"/>
          <w:lang w:eastAsia="zh-CN"/>
        </w:rPr>
        <w:t>Laffi</w:t>
      </w:r>
      <w:proofErr w:type="spellEnd"/>
      <w:r w:rsidRPr="000F4A07">
        <w:rPr>
          <w:rFonts w:ascii="Book Antiqua" w:hAnsi="Book Antiqua" w:cs="宋体"/>
          <w:sz w:val="24"/>
          <w:szCs w:val="24"/>
          <w:lang w:eastAsia="zh-CN"/>
        </w:rPr>
        <w:t xml:space="preserve"> G, </w:t>
      </w:r>
      <w:proofErr w:type="spellStart"/>
      <w:r w:rsidRPr="000F4A07">
        <w:rPr>
          <w:rFonts w:ascii="Book Antiqua" w:hAnsi="Book Antiqua" w:cs="宋体"/>
          <w:sz w:val="24"/>
          <w:szCs w:val="24"/>
          <w:lang w:eastAsia="zh-CN"/>
        </w:rPr>
        <w:t>Pinzani</w:t>
      </w:r>
      <w:proofErr w:type="spellEnd"/>
      <w:r w:rsidRPr="000F4A07">
        <w:rPr>
          <w:rFonts w:ascii="Book Antiqua" w:hAnsi="Book Antiqua" w:cs="宋体"/>
          <w:sz w:val="24"/>
          <w:szCs w:val="24"/>
          <w:lang w:eastAsia="zh-CN"/>
        </w:rPr>
        <w:t xml:space="preserve"> M. Liver stiffness measurement predicts severe portal hypertension in patients with HCV-related cirrhosis. </w:t>
      </w:r>
      <w:proofErr w:type="spellStart"/>
      <w:r w:rsidRPr="000F4A07">
        <w:rPr>
          <w:rFonts w:ascii="Book Antiqua" w:hAnsi="Book Antiqua" w:cs="宋体"/>
          <w:i/>
          <w:iCs/>
          <w:sz w:val="24"/>
          <w:szCs w:val="24"/>
          <w:lang w:eastAsia="zh-CN"/>
        </w:rPr>
        <w:t>Hepatology</w:t>
      </w:r>
      <w:proofErr w:type="spellEnd"/>
      <w:r w:rsidRPr="000F4A07">
        <w:rPr>
          <w:rFonts w:ascii="Book Antiqua" w:hAnsi="Book Antiqua" w:cs="宋体"/>
          <w:sz w:val="24"/>
          <w:szCs w:val="24"/>
          <w:lang w:eastAsia="zh-CN"/>
        </w:rPr>
        <w:t> 2007; </w:t>
      </w:r>
      <w:r w:rsidRPr="000F4A07">
        <w:rPr>
          <w:rFonts w:ascii="Book Antiqua" w:hAnsi="Book Antiqua" w:cs="宋体"/>
          <w:b/>
          <w:bCs/>
          <w:sz w:val="24"/>
          <w:szCs w:val="24"/>
          <w:lang w:eastAsia="zh-CN"/>
        </w:rPr>
        <w:t>45</w:t>
      </w:r>
      <w:r w:rsidRPr="000F4A07">
        <w:rPr>
          <w:rFonts w:ascii="Book Antiqua" w:hAnsi="Book Antiqua" w:cs="宋体"/>
          <w:sz w:val="24"/>
          <w:szCs w:val="24"/>
          <w:lang w:eastAsia="zh-CN"/>
        </w:rPr>
        <w:t>: 1290-1297 [PMID: 17464971 DOI: 10.1002/hep.21665]</w:t>
      </w:r>
    </w:p>
    <w:p w14:paraId="6935A8D5"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15 </w:t>
      </w:r>
      <w:proofErr w:type="spellStart"/>
      <w:r w:rsidRPr="000F4A07">
        <w:rPr>
          <w:rFonts w:ascii="Book Antiqua" w:hAnsi="Book Antiqua" w:cs="宋体"/>
          <w:b/>
          <w:bCs/>
          <w:sz w:val="24"/>
          <w:szCs w:val="24"/>
          <w:lang w:eastAsia="zh-CN"/>
        </w:rPr>
        <w:t>Abraldes</w:t>
      </w:r>
      <w:proofErr w:type="spellEnd"/>
      <w:r w:rsidRPr="000F4A07">
        <w:rPr>
          <w:rFonts w:ascii="Book Antiqua" w:hAnsi="Book Antiqua" w:cs="宋体"/>
          <w:b/>
          <w:bCs/>
          <w:sz w:val="24"/>
          <w:szCs w:val="24"/>
          <w:lang w:eastAsia="zh-CN"/>
        </w:rPr>
        <w:t xml:space="preserve"> JG</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Araujo</w:t>
      </w:r>
      <w:proofErr w:type="spellEnd"/>
      <w:r w:rsidRPr="000F4A07">
        <w:rPr>
          <w:rFonts w:ascii="Book Antiqua" w:hAnsi="Book Antiqua" w:cs="宋体"/>
          <w:sz w:val="24"/>
          <w:szCs w:val="24"/>
          <w:lang w:eastAsia="zh-CN"/>
        </w:rPr>
        <w:t xml:space="preserve"> IK, </w:t>
      </w:r>
      <w:proofErr w:type="spellStart"/>
      <w:r w:rsidRPr="000F4A07">
        <w:rPr>
          <w:rFonts w:ascii="Book Antiqua" w:hAnsi="Book Antiqua" w:cs="宋体"/>
          <w:sz w:val="24"/>
          <w:szCs w:val="24"/>
          <w:lang w:eastAsia="zh-CN"/>
        </w:rPr>
        <w:t>Turón</w:t>
      </w:r>
      <w:proofErr w:type="spellEnd"/>
      <w:r w:rsidRPr="000F4A07">
        <w:rPr>
          <w:rFonts w:ascii="Book Antiqua" w:hAnsi="Book Antiqua" w:cs="宋体"/>
          <w:sz w:val="24"/>
          <w:szCs w:val="24"/>
          <w:lang w:eastAsia="zh-CN"/>
        </w:rPr>
        <w:t xml:space="preserve"> F, </w:t>
      </w:r>
      <w:proofErr w:type="spellStart"/>
      <w:r w:rsidRPr="000F4A07">
        <w:rPr>
          <w:rFonts w:ascii="Book Antiqua" w:hAnsi="Book Antiqua" w:cs="宋体"/>
          <w:sz w:val="24"/>
          <w:szCs w:val="24"/>
          <w:lang w:eastAsia="zh-CN"/>
        </w:rPr>
        <w:t>Berzigotti</w:t>
      </w:r>
      <w:proofErr w:type="spellEnd"/>
      <w:r w:rsidRPr="000F4A07">
        <w:rPr>
          <w:rFonts w:ascii="Book Antiqua" w:hAnsi="Book Antiqua" w:cs="宋体"/>
          <w:sz w:val="24"/>
          <w:szCs w:val="24"/>
          <w:lang w:eastAsia="zh-CN"/>
        </w:rPr>
        <w:t xml:space="preserve"> A. Diagnosing and monitoring cirrhosis: Liver biopsy, hepatic venous pressure gradient and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xml:space="preserve">. </w:t>
      </w:r>
      <w:proofErr w:type="spellStart"/>
      <w:r w:rsidRPr="000F4A07">
        <w:rPr>
          <w:rFonts w:ascii="Book Antiqua" w:hAnsi="Book Antiqua" w:cs="宋体"/>
          <w:i/>
          <w:iCs/>
          <w:sz w:val="24"/>
          <w:szCs w:val="24"/>
          <w:lang w:eastAsia="zh-CN"/>
        </w:rPr>
        <w:t>Gastroenterol</w:t>
      </w:r>
      <w:proofErr w:type="spellEnd"/>
      <w:r w:rsidRPr="000F4A07">
        <w:rPr>
          <w:rFonts w:ascii="Book Antiqua" w:hAnsi="Book Antiqua" w:cs="宋体"/>
          <w:i/>
          <w:iCs/>
          <w:sz w:val="24"/>
          <w:szCs w:val="24"/>
          <w:lang w:eastAsia="zh-CN"/>
        </w:rPr>
        <w:t xml:space="preserve"> </w:t>
      </w:r>
      <w:proofErr w:type="spellStart"/>
      <w:r w:rsidRPr="000F4A07">
        <w:rPr>
          <w:rFonts w:ascii="Book Antiqua" w:hAnsi="Book Antiqua" w:cs="宋体"/>
          <w:i/>
          <w:iCs/>
          <w:sz w:val="24"/>
          <w:szCs w:val="24"/>
          <w:lang w:eastAsia="zh-CN"/>
        </w:rPr>
        <w:t>Hepatol</w:t>
      </w:r>
      <w:proofErr w:type="spellEnd"/>
      <w:r w:rsidRPr="000F4A07">
        <w:rPr>
          <w:rFonts w:ascii="Book Antiqua" w:hAnsi="Book Antiqua" w:cs="宋体"/>
          <w:sz w:val="24"/>
          <w:szCs w:val="24"/>
          <w:lang w:eastAsia="zh-CN"/>
        </w:rPr>
        <w:t xml:space="preserve"> 2012; </w:t>
      </w:r>
      <w:r w:rsidRPr="000F4A07">
        <w:rPr>
          <w:rFonts w:ascii="Book Antiqua" w:hAnsi="Book Antiqua" w:cs="宋体"/>
          <w:b/>
          <w:bCs/>
          <w:sz w:val="24"/>
          <w:szCs w:val="24"/>
          <w:lang w:eastAsia="zh-CN"/>
        </w:rPr>
        <w:t>35</w:t>
      </w:r>
      <w:r w:rsidRPr="000F4A07">
        <w:rPr>
          <w:rFonts w:ascii="Book Antiqua" w:hAnsi="Book Antiqua" w:cs="宋体"/>
          <w:sz w:val="24"/>
          <w:szCs w:val="24"/>
          <w:lang w:eastAsia="zh-CN"/>
        </w:rPr>
        <w:t>: 488-495 [PMID: 22560536 DOI: 10.1016/j.gastrohep.2012.02.010]</w:t>
      </w:r>
    </w:p>
    <w:p w14:paraId="2E41B586" w14:textId="77777777" w:rsidR="00D52684"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 xml:space="preserve">16 </w:t>
      </w:r>
      <w:r w:rsidRPr="000F4A07">
        <w:rPr>
          <w:rFonts w:ascii="Book Antiqua" w:hAnsi="Book Antiqua" w:cs="宋体"/>
          <w:b/>
          <w:sz w:val="24"/>
          <w:szCs w:val="24"/>
          <w:lang w:eastAsia="zh-CN"/>
        </w:rPr>
        <w:t>Lim SS</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Vos</w:t>
      </w:r>
      <w:proofErr w:type="spellEnd"/>
      <w:r w:rsidRPr="000F4A07">
        <w:rPr>
          <w:rFonts w:ascii="Book Antiqua" w:hAnsi="Book Antiqua" w:cs="宋体"/>
          <w:sz w:val="24"/>
          <w:szCs w:val="24"/>
          <w:lang w:eastAsia="zh-CN"/>
        </w:rPr>
        <w:t xml:space="preserve"> T, Flaxman AD, </w:t>
      </w:r>
      <w:proofErr w:type="spellStart"/>
      <w:r w:rsidRPr="000F4A07">
        <w:rPr>
          <w:rFonts w:ascii="Book Antiqua" w:hAnsi="Book Antiqua" w:cs="宋体"/>
          <w:sz w:val="24"/>
          <w:szCs w:val="24"/>
          <w:lang w:eastAsia="zh-CN"/>
        </w:rPr>
        <w:t>Danaei</w:t>
      </w:r>
      <w:proofErr w:type="spellEnd"/>
      <w:r w:rsidRPr="000F4A07">
        <w:rPr>
          <w:rFonts w:ascii="Book Antiqua" w:hAnsi="Book Antiqua" w:cs="宋体"/>
          <w:sz w:val="24"/>
          <w:szCs w:val="24"/>
          <w:lang w:eastAsia="zh-CN"/>
        </w:rPr>
        <w:t xml:space="preserve"> G, Shibuya K, Adair-</w:t>
      </w:r>
      <w:proofErr w:type="spellStart"/>
      <w:r w:rsidRPr="000F4A07">
        <w:rPr>
          <w:rFonts w:ascii="Book Antiqua" w:hAnsi="Book Antiqua" w:cs="宋体"/>
          <w:sz w:val="24"/>
          <w:szCs w:val="24"/>
          <w:lang w:eastAsia="zh-CN"/>
        </w:rPr>
        <w:t>Rohani</w:t>
      </w:r>
      <w:proofErr w:type="spellEnd"/>
      <w:r w:rsidRPr="000F4A07">
        <w:rPr>
          <w:rFonts w:ascii="Book Antiqua" w:hAnsi="Book Antiqua" w:cs="宋体"/>
          <w:sz w:val="24"/>
          <w:szCs w:val="24"/>
          <w:lang w:eastAsia="zh-CN"/>
        </w:rPr>
        <w:t xml:space="preserve"> H, </w:t>
      </w:r>
      <w:proofErr w:type="spellStart"/>
      <w:r w:rsidRPr="000F4A07">
        <w:rPr>
          <w:rFonts w:ascii="Book Antiqua" w:hAnsi="Book Antiqua" w:cs="宋体"/>
          <w:sz w:val="24"/>
          <w:szCs w:val="24"/>
          <w:lang w:eastAsia="zh-CN"/>
        </w:rPr>
        <w:t>Amann</w:t>
      </w:r>
      <w:proofErr w:type="spellEnd"/>
      <w:r w:rsidRPr="000F4A07">
        <w:rPr>
          <w:rFonts w:ascii="Book Antiqua" w:hAnsi="Book Antiqua" w:cs="宋体"/>
          <w:sz w:val="24"/>
          <w:szCs w:val="24"/>
          <w:lang w:eastAsia="zh-CN"/>
        </w:rPr>
        <w:t xml:space="preserve"> M, Anderson HR, Andrews KG, </w:t>
      </w:r>
      <w:proofErr w:type="spellStart"/>
      <w:r w:rsidRPr="000F4A07">
        <w:rPr>
          <w:rFonts w:ascii="Book Antiqua" w:hAnsi="Book Antiqua" w:cs="宋体"/>
          <w:sz w:val="24"/>
          <w:szCs w:val="24"/>
          <w:lang w:eastAsia="zh-CN"/>
        </w:rPr>
        <w:t>Aryee</w:t>
      </w:r>
      <w:proofErr w:type="spellEnd"/>
      <w:r w:rsidRPr="000F4A07">
        <w:rPr>
          <w:rFonts w:ascii="Book Antiqua" w:hAnsi="Book Antiqua" w:cs="宋体"/>
          <w:sz w:val="24"/>
          <w:szCs w:val="24"/>
          <w:lang w:eastAsia="zh-CN"/>
        </w:rPr>
        <w:t xml:space="preserve"> M, Atkinson C, Bacchus LJ, </w:t>
      </w:r>
      <w:proofErr w:type="spellStart"/>
      <w:r w:rsidRPr="000F4A07">
        <w:rPr>
          <w:rFonts w:ascii="Book Antiqua" w:hAnsi="Book Antiqua" w:cs="宋体"/>
          <w:sz w:val="24"/>
          <w:szCs w:val="24"/>
          <w:lang w:eastAsia="zh-CN"/>
        </w:rPr>
        <w:t>Bahalim</w:t>
      </w:r>
      <w:proofErr w:type="spellEnd"/>
      <w:r w:rsidRPr="000F4A07">
        <w:rPr>
          <w:rFonts w:ascii="Book Antiqua" w:hAnsi="Book Antiqua" w:cs="宋体"/>
          <w:sz w:val="24"/>
          <w:szCs w:val="24"/>
          <w:lang w:eastAsia="zh-CN"/>
        </w:rPr>
        <w:t xml:space="preserve"> AN, </w:t>
      </w:r>
      <w:proofErr w:type="spellStart"/>
      <w:r w:rsidRPr="000F4A07">
        <w:rPr>
          <w:rFonts w:ascii="Book Antiqua" w:hAnsi="Book Antiqua" w:cs="宋体"/>
          <w:sz w:val="24"/>
          <w:szCs w:val="24"/>
          <w:lang w:eastAsia="zh-CN"/>
        </w:rPr>
        <w:t>Balakrishnan</w:t>
      </w:r>
      <w:proofErr w:type="spellEnd"/>
      <w:r w:rsidRPr="000F4A07">
        <w:rPr>
          <w:rFonts w:ascii="Book Antiqua" w:hAnsi="Book Antiqua" w:cs="宋体"/>
          <w:sz w:val="24"/>
          <w:szCs w:val="24"/>
          <w:lang w:eastAsia="zh-CN"/>
        </w:rPr>
        <w:t xml:space="preserve"> K, </w:t>
      </w:r>
      <w:proofErr w:type="spellStart"/>
      <w:r w:rsidRPr="000F4A07">
        <w:rPr>
          <w:rFonts w:ascii="Book Antiqua" w:hAnsi="Book Antiqua" w:cs="宋体"/>
          <w:sz w:val="24"/>
          <w:szCs w:val="24"/>
          <w:lang w:eastAsia="zh-CN"/>
        </w:rPr>
        <w:t>Balmes</w:t>
      </w:r>
      <w:proofErr w:type="spellEnd"/>
      <w:r w:rsidRPr="000F4A07">
        <w:rPr>
          <w:rFonts w:ascii="Book Antiqua" w:hAnsi="Book Antiqua" w:cs="宋体"/>
          <w:sz w:val="24"/>
          <w:szCs w:val="24"/>
          <w:lang w:eastAsia="zh-CN"/>
        </w:rPr>
        <w:t xml:space="preserve"> J, Barker-</w:t>
      </w:r>
      <w:proofErr w:type="spellStart"/>
      <w:r w:rsidRPr="000F4A07">
        <w:rPr>
          <w:rFonts w:ascii="Book Antiqua" w:hAnsi="Book Antiqua" w:cs="宋体"/>
          <w:sz w:val="24"/>
          <w:szCs w:val="24"/>
          <w:lang w:eastAsia="zh-CN"/>
        </w:rPr>
        <w:t>Collo</w:t>
      </w:r>
      <w:proofErr w:type="spellEnd"/>
      <w:r w:rsidRPr="000F4A07">
        <w:rPr>
          <w:rFonts w:ascii="Book Antiqua" w:hAnsi="Book Antiqua" w:cs="宋体"/>
          <w:sz w:val="24"/>
          <w:szCs w:val="24"/>
          <w:lang w:eastAsia="zh-CN"/>
        </w:rPr>
        <w:t xml:space="preserve"> S, Baxter A, Bell ML, </w:t>
      </w:r>
      <w:proofErr w:type="spellStart"/>
      <w:r w:rsidRPr="000F4A07">
        <w:rPr>
          <w:rFonts w:ascii="Book Antiqua" w:hAnsi="Book Antiqua" w:cs="宋体"/>
          <w:sz w:val="24"/>
          <w:szCs w:val="24"/>
          <w:lang w:eastAsia="zh-CN"/>
        </w:rPr>
        <w:t>Blore</w:t>
      </w:r>
      <w:proofErr w:type="spellEnd"/>
      <w:r w:rsidRPr="000F4A07">
        <w:rPr>
          <w:rFonts w:ascii="Book Antiqua" w:hAnsi="Book Antiqua" w:cs="宋体"/>
          <w:sz w:val="24"/>
          <w:szCs w:val="24"/>
          <w:lang w:eastAsia="zh-CN"/>
        </w:rPr>
        <w:t xml:space="preserve"> JD, Blyth F, Bonner C, Borges G, Bourne R, </w:t>
      </w:r>
      <w:proofErr w:type="spellStart"/>
      <w:r w:rsidRPr="000F4A07">
        <w:rPr>
          <w:rFonts w:ascii="Book Antiqua" w:hAnsi="Book Antiqua" w:cs="宋体"/>
          <w:sz w:val="24"/>
          <w:szCs w:val="24"/>
          <w:lang w:eastAsia="zh-CN"/>
        </w:rPr>
        <w:t>Boussinesq</w:t>
      </w:r>
      <w:proofErr w:type="spellEnd"/>
      <w:r w:rsidRPr="000F4A07">
        <w:rPr>
          <w:rFonts w:ascii="Book Antiqua" w:hAnsi="Book Antiqua" w:cs="宋体"/>
          <w:sz w:val="24"/>
          <w:szCs w:val="24"/>
          <w:lang w:eastAsia="zh-CN"/>
        </w:rPr>
        <w:t xml:space="preserve"> M, </w:t>
      </w:r>
      <w:proofErr w:type="spellStart"/>
      <w:r w:rsidRPr="000F4A07">
        <w:rPr>
          <w:rFonts w:ascii="Book Antiqua" w:hAnsi="Book Antiqua" w:cs="宋体"/>
          <w:sz w:val="24"/>
          <w:szCs w:val="24"/>
          <w:lang w:eastAsia="zh-CN"/>
        </w:rPr>
        <w:t>Brauer</w:t>
      </w:r>
      <w:proofErr w:type="spellEnd"/>
      <w:r w:rsidRPr="000F4A07">
        <w:rPr>
          <w:rFonts w:ascii="Book Antiqua" w:hAnsi="Book Antiqua" w:cs="宋体"/>
          <w:sz w:val="24"/>
          <w:szCs w:val="24"/>
          <w:lang w:eastAsia="zh-CN"/>
        </w:rPr>
        <w:t xml:space="preserve"> M, Brooks P, Bruce NG, </w:t>
      </w:r>
      <w:proofErr w:type="spellStart"/>
      <w:r w:rsidRPr="000F4A07">
        <w:rPr>
          <w:rFonts w:ascii="Book Antiqua" w:hAnsi="Book Antiqua" w:cs="宋体"/>
          <w:sz w:val="24"/>
          <w:szCs w:val="24"/>
          <w:lang w:eastAsia="zh-CN"/>
        </w:rPr>
        <w:t>Brunekreef</w:t>
      </w:r>
      <w:proofErr w:type="spellEnd"/>
      <w:r w:rsidRPr="000F4A07">
        <w:rPr>
          <w:rFonts w:ascii="Book Antiqua" w:hAnsi="Book Antiqua" w:cs="宋体"/>
          <w:sz w:val="24"/>
          <w:szCs w:val="24"/>
          <w:lang w:eastAsia="zh-CN"/>
        </w:rPr>
        <w:t xml:space="preserve"> B, Bryan-Hancock C, </w:t>
      </w:r>
      <w:proofErr w:type="spellStart"/>
      <w:r w:rsidRPr="000F4A07">
        <w:rPr>
          <w:rFonts w:ascii="Book Antiqua" w:hAnsi="Book Antiqua" w:cs="宋体"/>
          <w:sz w:val="24"/>
          <w:szCs w:val="24"/>
          <w:lang w:eastAsia="zh-CN"/>
        </w:rPr>
        <w:t>Bucello</w:t>
      </w:r>
      <w:proofErr w:type="spellEnd"/>
      <w:r w:rsidRPr="000F4A07">
        <w:rPr>
          <w:rFonts w:ascii="Book Antiqua" w:hAnsi="Book Antiqua" w:cs="宋体"/>
          <w:sz w:val="24"/>
          <w:szCs w:val="24"/>
          <w:lang w:eastAsia="zh-CN"/>
        </w:rPr>
        <w:t xml:space="preserve"> C, </w:t>
      </w:r>
      <w:proofErr w:type="spellStart"/>
      <w:r w:rsidRPr="000F4A07">
        <w:rPr>
          <w:rFonts w:ascii="Book Antiqua" w:hAnsi="Book Antiqua" w:cs="宋体"/>
          <w:sz w:val="24"/>
          <w:szCs w:val="24"/>
          <w:lang w:eastAsia="zh-CN"/>
        </w:rPr>
        <w:t>Buchbinder</w:t>
      </w:r>
      <w:proofErr w:type="spellEnd"/>
      <w:r w:rsidRPr="000F4A07">
        <w:rPr>
          <w:rFonts w:ascii="Book Antiqua" w:hAnsi="Book Antiqua" w:cs="宋体"/>
          <w:sz w:val="24"/>
          <w:szCs w:val="24"/>
          <w:lang w:eastAsia="zh-CN"/>
        </w:rPr>
        <w:t xml:space="preserve"> R, Bull F, Burnett RT, Byers TE, Calabria B, </w:t>
      </w:r>
      <w:proofErr w:type="spellStart"/>
      <w:r w:rsidRPr="000F4A07">
        <w:rPr>
          <w:rFonts w:ascii="Book Antiqua" w:hAnsi="Book Antiqua" w:cs="宋体"/>
          <w:sz w:val="24"/>
          <w:szCs w:val="24"/>
          <w:lang w:eastAsia="zh-CN"/>
        </w:rPr>
        <w:t>Carapetis</w:t>
      </w:r>
      <w:proofErr w:type="spellEnd"/>
      <w:r w:rsidRPr="000F4A07">
        <w:rPr>
          <w:rFonts w:ascii="Book Antiqua" w:hAnsi="Book Antiqua" w:cs="宋体"/>
          <w:sz w:val="24"/>
          <w:szCs w:val="24"/>
          <w:lang w:eastAsia="zh-CN"/>
        </w:rPr>
        <w:t xml:space="preserve"> J, Carnahan E, Chafe Z, </w:t>
      </w:r>
      <w:proofErr w:type="spellStart"/>
      <w:r w:rsidRPr="000F4A07">
        <w:rPr>
          <w:rFonts w:ascii="Book Antiqua" w:hAnsi="Book Antiqua" w:cs="宋体"/>
          <w:sz w:val="24"/>
          <w:szCs w:val="24"/>
          <w:lang w:eastAsia="zh-CN"/>
        </w:rPr>
        <w:t>Charlson</w:t>
      </w:r>
      <w:proofErr w:type="spellEnd"/>
      <w:r w:rsidRPr="000F4A07">
        <w:rPr>
          <w:rFonts w:ascii="Book Antiqua" w:hAnsi="Book Antiqua" w:cs="宋体"/>
          <w:sz w:val="24"/>
          <w:szCs w:val="24"/>
          <w:lang w:eastAsia="zh-CN"/>
        </w:rPr>
        <w:t xml:space="preserve"> F, Chen H, Chen JS, Cheng AT-A, Child JC, Cohen A, Colson KE, </w:t>
      </w:r>
      <w:proofErr w:type="spellStart"/>
      <w:r w:rsidRPr="000F4A07">
        <w:rPr>
          <w:rFonts w:ascii="Book Antiqua" w:hAnsi="Book Antiqua" w:cs="宋体"/>
          <w:sz w:val="24"/>
          <w:szCs w:val="24"/>
          <w:lang w:eastAsia="zh-CN"/>
        </w:rPr>
        <w:t>Cowie</w:t>
      </w:r>
      <w:proofErr w:type="spellEnd"/>
      <w:r w:rsidRPr="000F4A07">
        <w:rPr>
          <w:rFonts w:ascii="Book Antiqua" w:hAnsi="Book Antiqua" w:cs="宋体"/>
          <w:sz w:val="24"/>
          <w:szCs w:val="24"/>
          <w:lang w:eastAsia="zh-CN"/>
        </w:rPr>
        <w:t xml:space="preserve"> BC, Darby S, Darling S, Davis A, </w:t>
      </w:r>
      <w:proofErr w:type="spellStart"/>
      <w:r w:rsidRPr="000F4A07">
        <w:rPr>
          <w:rFonts w:ascii="Book Antiqua" w:hAnsi="Book Antiqua" w:cs="宋体"/>
          <w:sz w:val="24"/>
          <w:szCs w:val="24"/>
          <w:lang w:eastAsia="zh-CN"/>
        </w:rPr>
        <w:t>Degenhardt</w:t>
      </w:r>
      <w:proofErr w:type="spellEnd"/>
      <w:r w:rsidRPr="000F4A07">
        <w:rPr>
          <w:rFonts w:ascii="Book Antiqua" w:hAnsi="Book Antiqua" w:cs="宋体"/>
          <w:sz w:val="24"/>
          <w:szCs w:val="24"/>
          <w:lang w:eastAsia="zh-CN"/>
        </w:rPr>
        <w:t xml:space="preserve"> L, </w:t>
      </w:r>
      <w:proofErr w:type="spellStart"/>
      <w:r w:rsidRPr="000F4A07">
        <w:rPr>
          <w:rFonts w:ascii="Book Antiqua" w:hAnsi="Book Antiqua" w:cs="宋体"/>
          <w:sz w:val="24"/>
          <w:szCs w:val="24"/>
          <w:lang w:eastAsia="zh-CN"/>
        </w:rPr>
        <w:t>Dentener</w:t>
      </w:r>
      <w:proofErr w:type="spellEnd"/>
      <w:r w:rsidRPr="000F4A07">
        <w:rPr>
          <w:rFonts w:ascii="Book Antiqua" w:hAnsi="Book Antiqua" w:cs="宋体"/>
          <w:sz w:val="24"/>
          <w:szCs w:val="24"/>
          <w:lang w:eastAsia="zh-CN"/>
        </w:rPr>
        <w:t xml:space="preserve"> F, Des </w:t>
      </w:r>
      <w:proofErr w:type="spellStart"/>
      <w:r w:rsidRPr="000F4A07">
        <w:rPr>
          <w:rFonts w:ascii="Book Antiqua" w:hAnsi="Book Antiqua" w:cs="宋体"/>
          <w:sz w:val="24"/>
          <w:szCs w:val="24"/>
          <w:lang w:eastAsia="zh-CN"/>
        </w:rPr>
        <w:t>Jarlais</w:t>
      </w:r>
      <w:proofErr w:type="spellEnd"/>
      <w:r w:rsidRPr="000F4A07">
        <w:rPr>
          <w:rFonts w:ascii="Book Antiqua" w:hAnsi="Book Antiqua" w:cs="宋体"/>
          <w:sz w:val="24"/>
          <w:szCs w:val="24"/>
          <w:lang w:eastAsia="zh-CN"/>
        </w:rPr>
        <w:t xml:space="preserve"> DC, Devries K, </w:t>
      </w:r>
      <w:proofErr w:type="spellStart"/>
      <w:r w:rsidRPr="000F4A07">
        <w:rPr>
          <w:rFonts w:ascii="Book Antiqua" w:hAnsi="Book Antiqua" w:cs="宋体"/>
          <w:sz w:val="24"/>
          <w:szCs w:val="24"/>
          <w:lang w:eastAsia="zh-CN"/>
        </w:rPr>
        <w:t>Dherani</w:t>
      </w:r>
      <w:proofErr w:type="spellEnd"/>
      <w:r w:rsidRPr="000F4A07">
        <w:rPr>
          <w:rFonts w:ascii="Book Antiqua" w:hAnsi="Book Antiqua" w:cs="宋体"/>
          <w:sz w:val="24"/>
          <w:szCs w:val="24"/>
          <w:lang w:eastAsia="zh-CN"/>
        </w:rPr>
        <w:t xml:space="preserve"> M, Ding EL, Dorsey ER, Driscoll T, Edmond K, Ali SE, </w:t>
      </w:r>
      <w:proofErr w:type="spellStart"/>
      <w:r w:rsidRPr="000F4A07">
        <w:rPr>
          <w:rFonts w:ascii="Book Antiqua" w:hAnsi="Book Antiqua" w:cs="宋体"/>
          <w:sz w:val="24"/>
          <w:szCs w:val="24"/>
          <w:lang w:eastAsia="zh-CN"/>
        </w:rPr>
        <w:t>Engell</w:t>
      </w:r>
      <w:proofErr w:type="spellEnd"/>
      <w:r w:rsidRPr="000F4A07">
        <w:rPr>
          <w:rFonts w:ascii="Book Antiqua" w:hAnsi="Book Antiqua" w:cs="宋体"/>
          <w:sz w:val="24"/>
          <w:szCs w:val="24"/>
          <w:lang w:eastAsia="zh-CN"/>
        </w:rPr>
        <w:t xml:space="preserve"> RE, Erwin PJ, </w:t>
      </w:r>
      <w:proofErr w:type="spellStart"/>
      <w:r w:rsidRPr="000F4A07">
        <w:rPr>
          <w:rFonts w:ascii="Book Antiqua" w:hAnsi="Book Antiqua" w:cs="宋体"/>
          <w:sz w:val="24"/>
          <w:szCs w:val="24"/>
          <w:lang w:eastAsia="zh-CN"/>
        </w:rPr>
        <w:t>Fahimi</w:t>
      </w:r>
      <w:proofErr w:type="spellEnd"/>
      <w:r w:rsidRPr="000F4A07">
        <w:rPr>
          <w:rFonts w:ascii="Book Antiqua" w:hAnsi="Book Antiqua" w:cs="宋体"/>
          <w:sz w:val="24"/>
          <w:szCs w:val="24"/>
          <w:lang w:eastAsia="zh-CN"/>
        </w:rPr>
        <w:t xml:space="preserve"> S, </w:t>
      </w:r>
      <w:proofErr w:type="spellStart"/>
      <w:r w:rsidRPr="000F4A07">
        <w:rPr>
          <w:rFonts w:ascii="Book Antiqua" w:hAnsi="Book Antiqua" w:cs="宋体"/>
          <w:sz w:val="24"/>
          <w:szCs w:val="24"/>
          <w:lang w:eastAsia="zh-CN"/>
        </w:rPr>
        <w:t>Falder</w:t>
      </w:r>
      <w:proofErr w:type="spellEnd"/>
      <w:r w:rsidRPr="000F4A07">
        <w:rPr>
          <w:rFonts w:ascii="Book Antiqua" w:hAnsi="Book Antiqua" w:cs="宋体"/>
          <w:sz w:val="24"/>
          <w:szCs w:val="24"/>
          <w:lang w:eastAsia="zh-CN"/>
        </w:rPr>
        <w:t xml:space="preserve"> G, </w:t>
      </w:r>
      <w:proofErr w:type="spellStart"/>
      <w:r w:rsidRPr="000F4A07">
        <w:rPr>
          <w:rFonts w:ascii="Book Antiqua" w:hAnsi="Book Antiqua" w:cs="宋体"/>
          <w:sz w:val="24"/>
          <w:szCs w:val="24"/>
          <w:lang w:eastAsia="zh-CN"/>
        </w:rPr>
        <w:t>Farzadfar</w:t>
      </w:r>
      <w:proofErr w:type="spellEnd"/>
      <w:r w:rsidRPr="000F4A07">
        <w:rPr>
          <w:rFonts w:ascii="Book Antiqua" w:hAnsi="Book Antiqua" w:cs="宋体"/>
          <w:sz w:val="24"/>
          <w:szCs w:val="24"/>
          <w:lang w:eastAsia="zh-CN"/>
        </w:rPr>
        <w:t xml:space="preserve"> </w:t>
      </w:r>
      <w:r w:rsidRPr="000F4A07">
        <w:rPr>
          <w:rFonts w:ascii="Book Antiqua" w:hAnsi="Book Antiqua" w:cs="宋体"/>
          <w:sz w:val="24"/>
          <w:szCs w:val="24"/>
          <w:lang w:eastAsia="zh-CN"/>
        </w:rPr>
        <w:lastRenderedPageBreak/>
        <w:t xml:space="preserve">F, Ferrari A, </w:t>
      </w:r>
      <w:proofErr w:type="spellStart"/>
      <w:r w:rsidRPr="000F4A07">
        <w:rPr>
          <w:rFonts w:ascii="Book Antiqua" w:hAnsi="Book Antiqua" w:cs="宋体"/>
          <w:sz w:val="24"/>
          <w:szCs w:val="24"/>
          <w:lang w:eastAsia="zh-CN"/>
        </w:rPr>
        <w:t>Finucane</w:t>
      </w:r>
      <w:proofErr w:type="spellEnd"/>
      <w:r w:rsidRPr="000F4A07">
        <w:rPr>
          <w:rFonts w:ascii="Book Antiqua" w:hAnsi="Book Antiqua" w:cs="宋体"/>
          <w:sz w:val="24"/>
          <w:szCs w:val="24"/>
          <w:lang w:eastAsia="zh-CN"/>
        </w:rPr>
        <w:t xml:space="preserve"> MM, Flaxman S, </w:t>
      </w:r>
      <w:proofErr w:type="spellStart"/>
      <w:r w:rsidRPr="000F4A07">
        <w:rPr>
          <w:rFonts w:ascii="Book Antiqua" w:hAnsi="Book Antiqua" w:cs="宋体"/>
          <w:sz w:val="24"/>
          <w:szCs w:val="24"/>
          <w:lang w:eastAsia="zh-CN"/>
        </w:rPr>
        <w:t>Fowkes</w:t>
      </w:r>
      <w:proofErr w:type="spellEnd"/>
      <w:r w:rsidRPr="000F4A07">
        <w:rPr>
          <w:rFonts w:ascii="Book Antiqua" w:hAnsi="Book Antiqua" w:cs="宋体"/>
          <w:sz w:val="24"/>
          <w:szCs w:val="24"/>
          <w:lang w:eastAsia="zh-CN"/>
        </w:rPr>
        <w:t xml:space="preserve"> FGR, Freedman G, Freeman MK, </w:t>
      </w:r>
      <w:proofErr w:type="spellStart"/>
      <w:r w:rsidRPr="000F4A07">
        <w:rPr>
          <w:rFonts w:ascii="Book Antiqua" w:hAnsi="Book Antiqua" w:cs="宋体"/>
          <w:sz w:val="24"/>
          <w:szCs w:val="24"/>
          <w:lang w:eastAsia="zh-CN"/>
        </w:rPr>
        <w:t>Gakidou</w:t>
      </w:r>
      <w:proofErr w:type="spellEnd"/>
      <w:r w:rsidRPr="000F4A07">
        <w:rPr>
          <w:rFonts w:ascii="Book Antiqua" w:hAnsi="Book Antiqua" w:cs="宋体"/>
          <w:sz w:val="24"/>
          <w:szCs w:val="24"/>
          <w:lang w:eastAsia="zh-CN"/>
        </w:rPr>
        <w:t xml:space="preserve"> E, </w:t>
      </w:r>
      <w:proofErr w:type="spellStart"/>
      <w:r w:rsidRPr="000F4A07">
        <w:rPr>
          <w:rFonts w:ascii="Book Antiqua" w:hAnsi="Book Antiqua" w:cs="宋体"/>
          <w:sz w:val="24"/>
          <w:szCs w:val="24"/>
          <w:lang w:eastAsia="zh-CN"/>
        </w:rPr>
        <w:t>Ghosh</w:t>
      </w:r>
      <w:proofErr w:type="spellEnd"/>
      <w:r w:rsidRPr="000F4A07">
        <w:rPr>
          <w:rFonts w:ascii="Book Antiqua" w:hAnsi="Book Antiqua" w:cs="宋体"/>
          <w:sz w:val="24"/>
          <w:szCs w:val="24"/>
          <w:lang w:eastAsia="zh-CN"/>
        </w:rPr>
        <w:t xml:space="preserve"> S, </w:t>
      </w:r>
      <w:proofErr w:type="spellStart"/>
      <w:r w:rsidRPr="000F4A07">
        <w:rPr>
          <w:rFonts w:ascii="Book Antiqua" w:hAnsi="Book Antiqua" w:cs="宋体"/>
          <w:sz w:val="24"/>
          <w:szCs w:val="24"/>
          <w:lang w:eastAsia="zh-CN"/>
        </w:rPr>
        <w:t>Giovannucci</w:t>
      </w:r>
      <w:proofErr w:type="spellEnd"/>
      <w:r w:rsidRPr="000F4A07">
        <w:rPr>
          <w:rFonts w:ascii="Book Antiqua" w:hAnsi="Book Antiqua" w:cs="宋体"/>
          <w:sz w:val="24"/>
          <w:szCs w:val="24"/>
          <w:lang w:eastAsia="zh-CN"/>
        </w:rPr>
        <w:t xml:space="preserve"> E, </w:t>
      </w:r>
      <w:proofErr w:type="spellStart"/>
      <w:r w:rsidRPr="000F4A07">
        <w:rPr>
          <w:rFonts w:ascii="Book Antiqua" w:hAnsi="Book Antiqua" w:cs="宋体"/>
          <w:sz w:val="24"/>
          <w:szCs w:val="24"/>
          <w:lang w:eastAsia="zh-CN"/>
        </w:rPr>
        <w:t>Gmel</w:t>
      </w:r>
      <w:proofErr w:type="spellEnd"/>
      <w:r w:rsidRPr="000F4A07">
        <w:rPr>
          <w:rFonts w:ascii="Book Antiqua" w:hAnsi="Book Antiqua" w:cs="宋体"/>
          <w:sz w:val="24"/>
          <w:szCs w:val="24"/>
          <w:lang w:eastAsia="zh-CN"/>
        </w:rPr>
        <w:t xml:space="preserve"> G, Graham K, Grainger R, Grant B, </w:t>
      </w:r>
      <w:proofErr w:type="spellStart"/>
      <w:r w:rsidRPr="000F4A07">
        <w:rPr>
          <w:rFonts w:ascii="Book Antiqua" w:hAnsi="Book Antiqua" w:cs="宋体"/>
          <w:sz w:val="24"/>
          <w:szCs w:val="24"/>
          <w:lang w:eastAsia="zh-CN"/>
        </w:rPr>
        <w:t>Gunnell</w:t>
      </w:r>
      <w:proofErr w:type="spellEnd"/>
      <w:r w:rsidRPr="000F4A07">
        <w:rPr>
          <w:rFonts w:ascii="Book Antiqua" w:hAnsi="Book Antiqua" w:cs="宋体"/>
          <w:sz w:val="24"/>
          <w:szCs w:val="24"/>
          <w:lang w:eastAsia="zh-CN"/>
        </w:rPr>
        <w:t xml:space="preserve"> D, Gutierrez HR, Hall W, </w:t>
      </w:r>
      <w:proofErr w:type="spellStart"/>
      <w:r w:rsidRPr="000F4A07">
        <w:rPr>
          <w:rFonts w:ascii="Book Antiqua" w:hAnsi="Book Antiqua" w:cs="宋体"/>
          <w:sz w:val="24"/>
          <w:szCs w:val="24"/>
          <w:lang w:eastAsia="zh-CN"/>
        </w:rPr>
        <w:t>Hoek</w:t>
      </w:r>
      <w:proofErr w:type="spellEnd"/>
      <w:r w:rsidRPr="000F4A07">
        <w:rPr>
          <w:rFonts w:ascii="Book Antiqua" w:hAnsi="Book Antiqua" w:cs="宋体"/>
          <w:sz w:val="24"/>
          <w:szCs w:val="24"/>
          <w:lang w:eastAsia="zh-CN"/>
        </w:rPr>
        <w:t xml:space="preserve"> HW, Hogan A, </w:t>
      </w:r>
      <w:proofErr w:type="spellStart"/>
      <w:r w:rsidRPr="000F4A07">
        <w:rPr>
          <w:rFonts w:ascii="Book Antiqua" w:hAnsi="Book Antiqua" w:cs="宋体"/>
          <w:sz w:val="24"/>
          <w:szCs w:val="24"/>
          <w:lang w:eastAsia="zh-CN"/>
        </w:rPr>
        <w:t>Hosgood</w:t>
      </w:r>
      <w:proofErr w:type="spellEnd"/>
      <w:r w:rsidRPr="000F4A07">
        <w:rPr>
          <w:rFonts w:ascii="Book Antiqua" w:hAnsi="Book Antiqua" w:cs="宋体"/>
          <w:sz w:val="24"/>
          <w:szCs w:val="24"/>
          <w:lang w:eastAsia="zh-CN"/>
        </w:rPr>
        <w:t xml:space="preserve"> HD, Hoy D, Hu H, Hubbell BJ, Hutchings SJ, </w:t>
      </w:r>
      <w:proofErr w:type="spellStart"/>
      <w:r w:rsidRPr="000F4A07">
        <w:rPr>
          <w:rFonts w:ascii="Book Antiqua" w:hAnsi="Book Antiqua" w:cs="宋体"/>
          <w:sz w:val="24"/>
          <w:szCs w:val="24"/>
          <w:lang w:eastAsia="zh-CN"/>
        </w:rPr>
        <w:t>Ibeanusi</w:t>
      </w:r>
      <w:proofErr w:type="spellEnd"/>
      <w:r w:rsidRPr="000F4A07">
        <w:rPr>
          <w:rFonts w:ascii="Book Antiqua" w:hAnsi="Book Antiqua" w:cs="宋体"/>
          <w:sz w:val="24"/>
          <w:szCs w:val="24"/>
          <w:lang w:eastAsia="zh-CN"/>
        </w:rPr>
        <w:t xml:space="preserve"> SE, </w:t>
      </w:r>
      <w:proofErr w:type="spellStart"/>
      <w:r w:rsidRPr="000F4A07">
        <w:rPr>
          <w:rFonts w:ascii="Book Antiqua" w:hAnsi="Book Antiqua" w:cs="宋体"/>
          <w:sz w:val="24"/>
          <w:szCs w:val="24"/>
          <w:lang w:eastAsia="zh-CN"/>
        </w:rPr>
        <w:t>Jacklyn</w:t>
      </w:r>
      <w:proofErr w:type="spellEnd"/>
      <w:r w:rsidRPr="000F4A07">
        <w:rPr>
          <w:rFonts w:ascii="Book Antiqua" w:hAnsi="Book Antiqua" w:cs="宋体"/>
          <w:sz w:val="24"/>
          <w:szCs w:val="24"/>
          <w:lang w:eastAsia="zh-CN"/>
        </w:rPr>
        <w:t xml:space="preserve"> GL, </w:t>
      </w:r>
      <w:proofErr w:type="spellStart"/>
      <w:r w:rsidRPr="000F4A07">
        <w:rPr>
          <w:rFonts w:ascii="Book Antiqua" w:hAnsi="Book Antiqua" w:cs="宋体"/>
          <w:sz w:val="24"/>
          <w:szCs w:val="24"/>
          <w:lang w:eastAsia="zh-CN"/>
        </w:rPr>
        <w:t>Jasrasaria</w:t>
      </w:r>
      <w:proofErr w:type="spellEnd"/>
      <w:r w:rsidRPr="000F4A07">
        <w:rPr>
          <w:rFonts w:ascii="Book Antiqua" w:hAnsi="Book Antiqua" w:cs="宋体"/>
          <w:sz w:val="24"/>
          <w:szCs w:val="24"/>
          <w:lang w:eastAsia="zh-CN"/>
        </w:rPr>
        <w:t xml:space="preserve"> R, Jonas JB, </w:t>
      </w:r>
      <w:proofErr w:type="spellStart"/>
      <w:r w:rsidRPr="000F4A07">
        <w:rPr>
          <w:rFonts w:ascii="Book Antiqua" w:hAnsi="Book Antiqua" w:cs="宋体"/>
          <w:sz w:val="24"/>
          <w:szCs w:val="24"/>
          <w:lang w:eastAsia="zh-CN"/>
        </w:rPr>
        <w:t>Kan</w:t>
      </w:r>
      <w:proofErr w:type="spellEnd"/>
      <w:r w:rsidRPr="000F4A07">
        <w:rPr>
          <w:rFonts w:ascii="Book Antiqua" w:hAnsi="Book Antiqua" w:cs="宋体"/>
          <w:sz w:val="24"/>
          <w:szCs w:val="24"/>
          <w:lang w:eastAsia="zh-CN"/>
        </w:rPr>
        <w:t xml:space="preserve"> H, </w:t>
      </w:r>
      <w:proofErr w:type="spellStart"/>
      <w:r w:rsidRPr="000F4A07">
        <w:rPr>
          <w:rFonts w:ascii="Book Antiqua" w:hAnsi="Book Antiqua" w:cs="宋体"/>
          <w:sz w:val="24"/>
          <w:szCs w:val="24"/>
          <w:lang w:eastAsia="zh-CN"/>
        </w:rPr>
        <w:t>Kanis</w:t>
      </w:r>
      <w:proofErr w:type="spellEnd"/>
      <w:r w:rsidRPr="000F4A07">
        <w:rPr>
          <w:rFonts w:ascii="Book Antiqua" w:hAnsi="Book Antiqua" w:cs="宋体"/>
          <w:sz w:val="24"/>
          <w:szCs w:val="24"/>
          <w:lang w:eastAsia="zh-CN"/>
        </w:rPr>
        <w:t xml:space="preserve"> JA, </w:t>
      </w:r>
      <w:proofErr w:type="spellStart"/>
      <w:r w:rsidRPr="000F4A07">
        <w:rPr>
          <w:rFonts w:ascii="Book Antiqua" w:hAnsi="Book Antiqua" w:cs="宋体"/>
          <w:sz w:val="24"/>
          <w:szCs w:val="24"/>
          <w:lang w:eastAsia="zh-CN"/>
        </w:rPr>
        <w:t>Kassebaum</w:t>
      </w:r>
      <w:proofErr w:type="spellEnd"/>
      <w:r w:rsidRPr="000F4A07">
        <w:rPr>
          <w:rFonts w:ascii="Book Antiqua" w:hAnsi="Book Antiqua" w:cs="宋体"/>
          <w:sz w:val="24"/>
          <w:szCs w:val="24"/>
          <w:lang w:eastAsia="zh-CN"/>
        </w:rPr>
        <w:t xml:space="preserve"> N, Kawakami N, </w:t>
      </w:r>
      <w:proofErr w:type="spellStart"/>
      <w:r w:rsidRPr="000F4A07">
        <w:rPr>
          <w:rFonts w:ascii="Book Antiqua" w:hAnsi="Book Antiqua" w:cs="宋体"/>
          <w:sz w:val="24"/>
          <w:szCs w:val="24"/>
          <w:lang w:eastAsia="zh-CN"/>
        </w:rPr>
        <w:t>Khang</w:t>
      </w:r>
      <w:proofErr w:type="spellEnd"/>
      <w:r w:rsidRPr="000F4A07">
        <w:rPr>
          <w:rFonts w:ascii="Book Antiqua" w:hAnsi="Book Antiqua" w:cs="宋体"/>
          <w:sz w:val="24"/>
          <w:szCs w:val="24"/>
          <w:lang w:eastAsia="zh-CN"/>
        </w:rPr>
        <w:t xml:space="preserve"> Y-H, </w:t>
      </w:r>
      <w:proofErr w:type="spellStart"/>
      <w:r w:rsidRPr="000F4A07">
        <w:rPr>
          <w:rFonts w:ascii="Book Antiqua" w:hAnsi="Book Antiqua" w:cs="宋体"/>
          <w:sz w:val="24"/>
          <w:szCs w:val="24"/>
          <w:lang w:eastAsia="zh-CN"/>
        </w:rPr>
        <w:t>Khatibzadeh</w:t>
      </w:r>
      <w:proofErr w:type="spellEnd"/>
      <w:r w:rsidRPr="000F4A07">
        <w:rPr>
          <w:rFonts w:ascii="Book Antiqua" w:hAnsi="Book Antiqua" w:cs="宋体"/>
          <w:sz w:val="24"/>
          <w:szCs w:val="24"/>
          <w:lang w:eastAsia="zh-CN"/>
        </w:rPr>
        <w:t xml:space="preserve"> S, </w:t>
      </w:r>
      <w:proofErr w:type="spellStart"/>
      <w:r w:rsidRPr="000F4A07">
        <w:rPr>
          <w:rFonts w:ascii="Book Antiqua" w:hAnsi="Book Antiqua" w:cs="宋体"/>
          <w:sz w:val="24"/>
          <w:szCs w:val="24"/>
          <w:lang w:eastAsia="zh-CN"/>
        </w:rPr>
        <w:t>Khoo</w:t>
      </w:r>
      <w:proofErr w:type="spellEnd"/>
      <w:r w:rsidRPr="000F4A07">
        <w:rPr>
          <w:rFonts w:ascii="Book Antiqua" w:hAnsi="Book Antiqua" w:cs="宋体"/>
          <w:sz w:val="24"/>
          <w:szCs w:val="24"/>
          <w:lang w:eastAsia="zh-CN"/>
        </w:rPr>
        <w:t xml:space="preserve"> J-P, </w:t>
      </w:r>
      <w:proofErr w:type="spellStart"/>
      <w:r w:rsidRPr="000F4A07">
        <w:rPr>
          <w:rFonts w:ascii="Book Antiqua" w:hAnsi="Book Antiqua" w:cs="宋体"/>
          <w:sz w:val="24"/>
          <w:szCs w:val="24"/>
          <w:lang w:eastAsia="zh-CN"/>
        </w:rPr>
        <w:t>Kok</w:t>
      </w:r>
      <w:proofErr w:type="spellEnd"/>
      <w:r w:rsidRPr="000F4A07">
        <w:rPr>
          <w:rFonts w:ascii="Book Antiqua" w:hAnsi="Book Antiqua" w:cs="宋体"/>
          <w:sz w:val="24"/>
          <w:szCs w:val="24"/>
          <w:lang w:eastAsia="zh-CN"/>
        </w:rPr>
        <w:t xml:space="preserve"> C, Laden F, </w:t>
      </w:r>
      <w:proofErr w:type="spellStart"/>
      <w:r w:rsidRPr="000F4A07">
        <w:rPr>
          <w:rFonts w:ascii="Book Antiqua" w:hAnsi="Book Antiqua" w:cs="宋体"/>
          <w:sz w:val="24"/>
          <w:szCs w:val="24"/>
          <w:lang w:eastAsia="zh-CN"/>
        </w:rPr>
        <w:t>Lalloo</w:t>
      </w:r>
      <w:proofErr w:type="spellEnd"/>
      <w:r w:rsidRPr="000F4A07">
        <w:rPr>
          <w:rFonts w:ascii="Book Antiqua" w:hAnsi="Book Antiqua" w:cs="宋体"/>
          <w:sz w:val="24"/>
          <w:szCs w:val="24"/>
          <w:lang w:eastAsia="zh-CN"/>
        </w:rPr>
        <w:t xml:space="preserve"> R, </w:t>
      </w:r>
      <w:proofErr w:type="spellStart"/>
      <w:r w:rsidRPr="000F4A07">
        <w:rPr>
          <w:rFonts w:ascii="Book Antiqua" w:hAnsi="Book Antiqua" w:cs="宋体"/>
          <w:sz w:val="24"/>
          <w:szCs w:val="24"/>
          <w:lang w:eastAsia="zh-CN"/>
        </w:rPr>
        <w:t>Lan</w:t>
      </w:r>
      <w:proofErr w:type="spellEnd"/>
      <w:r w:rsidRPr="000F4A07">
        <w:rPr>
          <w:rFonts w:ascii="Book Antiqua" w:hAnsi="Book Antiqua" w:cs="宋体"/>
          <w:sz w:val="24"/>
          <w:szCs w:val="24"/>
          <w:lang w:eastAsia="zh-CN"/>
        </w:rPr>
        <w:t xml:space="preserve"> Q, </w:t>
      </w:r>
      <w:proofErr w:type="spellStart"/>
      <w:r w:rsidRPr="000F4A07">
        <w:rPr>
          <w:rFonts w:ascii="Book Antiqua" w:hAnsi="Book Antiqua" w:cs="宋体"/>
          <w:sz w:val="24"/>
          <w:szCs w:val="24"/>
          <w:lang w:eastAsia="zh-CN"/>
        </w:rPr>
        <w:t>Lathlean</w:t>
      </w:r>
      <w:proofErr w:type="spellEnd"/>
      <w:r w:rsidRPr="000F4A07">
        <w:rPr>
          <w:rFonts w:ascii="Book Antiqua" w:hAnsi="Book Antiqua" w:cs="宋体"/>
          <w:sz w:val="24"/>
          <w:szCs w:val="24"/>
          <w:lang w:eastAsia="zh-CN"/>
        </w:rPr>
        <w:t xml:space="preserve"> T, </w:t>
      </w:r>
      <w:proofErr w:type="spellStart"/>
      <w:r w:rsidRPr="000F4A07">
        <w:rPr>
          <w:rFonts w:ascii="Book Antiqua" w:hAnsi="Book Antiqua" w:cs="宋体"/>
          <w:sz w:val="24"/>
          <w:szCs w:val="24"/>
          <w:lang w:eastAsia="zh-CN"/>
        </w:rPr>
        <w:t>Leasher</w:t>
      </w:r>
      <w:proofErr w:type="spellEnd"/>
      <w:r w:rsidRPr="000F4A07">
        <w:rPr>
          <w:rFonts w:ascii="Book Antiqua" w:hAnsi="Book Antiqua" w:cs="宋体"/>
          <w:sz w:val="24"/>
          <w:szCs w:val="24"/>
          <w:lang w:eastAsia="zh-CN"/>
        </w:rPr>
        <w:t xml:space="preserve"> JL, Leigh J, Li Y, Lin JK, </w:t>
      </w:r>
      <w:proofErr w:type="spellStart"/>
      <w:r w:rsidRPr="000F4A07">
        <w:rPr>
          <w:rFonts w:ascii="Book Antiqua" w:hAnsi="Book Antiqua" w:cs="宋体"/>
          <w:sz w:val="24"/>
          <w:szCs w:val="24"/>
          <w:lang w:eastAsia="zh-CN"/>
        </w:rPr>
        <w:t>Lipshultz</w:t>
      </w:r>
      <w:proofErr w:type="spellEnd"/>
      <w:r w:rsidRPr="000F4A07">
        <w:rPr>
          <w:rFonts w:ascii="Book Antiqua" w:hAnsi="Book Antiqua" w:cs="宋体"/>
          <w:sz w:val="24"/>
          <w:szCs w:val="24"/>
          <w:lang w:eastAsia="zh-CN"/>
        </w:rPr>
        <w:t xml:space="preserve"> SE, London S, Lozano R, Lu Y, </w:t>
      </w:r>
      <w:proofErr w:type="spellStart"/>
      <w:r w:rsidRPr="000F4A07">
        <w:rPr>
          <w:rFonts w:ascii="Book Antiqua" w:hAnsi="Book Antiqua" w:cs="宋体"/>
          <w:sz w:val="24"/>
          <w:szCs w:val="24"/>
          <w:lang w:eastAsia="zh-CN"/>
        </w:rPr>
        <w:t>Mak</w:t>
      </w:r>
      <w:proofErr w:type="spellEnd"/>
      <w:r w:rsidRPr="000F4A07">
        <w:rPr>
          <w:rFonts w:ascii="Book Antiqua" w:hAnsi="Book Antiqua" w:cs="宋体"/>
          <w:sz w:val="24"/>
          <w:szCs w:val="24"/>
          <w:lang w:eastAsia="zh-CN"/>
        </w:rPr>
        <w:t xml:space="preserve"> J, </w:t>
      </w:r>
      <w:proofErr w:type="spellStart"/>
      <w:r w:rsidRPr="000F4A07">
        <w:rPr>
          <w:rFonts w:ascii="Book Antiqua" w:hAnsi="Book Antiqua" w:cs="宋体"/>
          <w:sz w:val="24"/>
          <w:szCs w:val="24"/>
          <w:lang w:eastAsia="zh-CN"/>
        </w:rPr>
        <w:t>Malekzadeh</w:t>
      </w:r>
      <w:proofErr w:type="spellEnd"/>
      <w:r w:rsidRPr="000F4A07">
        <w:rPr>
          <w:rFonts w:ascii="Book Antiqua" w:hAnsi="Book Antiqua" w:cs="宋体"/>
          <w:sz w:val="24"/>
          <w:szCs w:val="24"/>
          <w:lang w:eastAsia="zh-CN"/>
        </w:rPr>
        <w:t xml:space="preserve"> R, </w:t>
      </w:r>
      <w:proofErr w:type="spellStart"/>
      <w:r w:rsidRPr="000F4A07">
        <w:rPr>
          <w:rFonts w:ascii="Book Antiqua" w:hAnsi="Book Antiqua" w:cs="宋体"/>
          <w:sz w:val="24"/>
          <w:szCs w:val="24"/>
          <w:lang w:eastAsia="zh-CN"/>
        </w:rPr>
        <w:t>Mallinger</w:t>
      </w:r>
      <w:proofErr w:type="spellEnd"/>
      <w:r w:rsidRPr="000F4A07">
        <w:rPr>
          <w:rFonts w:ascii="Book Antiqua" w:hAnsi="Book Antiqua" w:cs="宋体"/>
          <w:sz w:val="24"/>
          <w:szCs w:val="24"/>
          <w:lang w:eastAsia="zh-CN"/>
        </w:rPr>
        <w:t xml:space="preserve"> L, </w:t>
      </w:r>
      <w:proofErr w:type="spellStart"/>
      <w:r w:rsidRPr="000F4A07">
        <w:rPr>
          <w:rFonts w:ascii="Book Antiqua" w:hAnsi="Book Antiqua" w:cs="宋体"/>
          <w:sz w:val="24"/>
          <w:szCs w:val="24"/>
          <w:lang w:eastAsia="zh-CN"/>
        </w:rPr>
        <w:t>Marcenes</w:t>
      </w:r>
      <w:proofErr w:type="spellEnd"/>
      <w:r w:rsidRPr="000F4A07">
        <w:rPr>
          <w:rFonts w:ascii="Book Antiqua" w:hAnsi="Book Antiqua" w:cs="宋体"/>
          <w:sz w:val="24"/>
          <w:szCs w:val="24"/>
          <w:lang w:eastAsia="zh-CN"/>
        </w:rPr>
        <w:t xml:space="preserve"> W, March L, Marks R, Martin R, </w:t>
      </w:r>
      <w:proofErr w:type="spellStart"/>
      <w:r w:rsidRPr="000F4A07">
        <w:rPr>
          <w:rFonts w:ascii="Book Antiqua" w:hAnsi="Book Antiqua" w:cs="宋体"/>
          <w:sz w:val="24"/>
          <w:szCs w:val="24"/>
          <w:lang w:eastAsia="zh-CN"/>
        </w:rPr>
        <w:t>McGale</w:t>
      </w:r>
      <w:proofErr w:type="spellEnd"/>
      <w:r w:rsidRPr="000F4A07">
        <w:rPr>
          <w:rFonts w:ascii="Book Antiqua" w:hAnsi="Book Antiqua" w:cs="宋体"/>
          <w:sz w:val="24"/>
          <w:szCs w:val="24"/>
          <w:lang w:eastAsia="zh-CN"/>
        </w:rPr>
        <w:t xml:space="preserve"> P, McGrath J, Mehta S, </w:t>
      </w:r>
      <w:proofErr w:type="spellStart"/>
      <w:r w:rsidRPr="000F4A07">
        <w:rPr>
          <w:rFonts w:ascii="Book Antiqua" w:hAnsi="Book Antiqua" w:cs="宋体"/>
          <w:sz w:val="24"/>
          <w:szCs w:val="24"/>
          <w:lang w:eastAsia="zh-CN"/>
        </w:rPr>
        <w:t>Mensah</w:t>
      </w:r>
      <w:proofErr w:type="spellEnd"/>
      <w:r w:rsidRPr="000F4A07">
        <w:rPr>
          <w:rFonts w:ascii="Book Antiqua" w:hAnsi="Book Antiqua" w:cs="宋体"/>
          <w:sz w:val="24"/>
          <w:szCs w:val="24"/>
          <w:lang w:eastAsia="zh-CN"/>
        </w:rPr>
        <w:t xml:space="preserve"> GA, Merriman TR, </w:t>
      </w:r>
      <w:proofErr w:type="spellStart"/>
      <w:r w:rsidRPr="000F4A07">
        <w:rPr>
          <w:rFonts w:ascii="Book Antiqua" w:hAnsi="Book Antiqua" w:cs="宋体"/>
          <w:sz w:val="24"/>
          <w:szCs w:val="24"/>
          <w:lang w:eastAsia="zh-CN"/>
        </w:rPr>
        <w:t>Micha</w:t>
      </w:r>
      <w:proofErr w:type="spellEnd"/>
      <w:r w:rsidRPr="000F4A07">
        <w:rPr>
          <w:rFonts w:ascii="Book Antiqua" w:hAnsi="Book Antiqua" w:cs="宋体"/>
          <w:sz w:val="24"/>
          <w:szCs w:val="24"/>
          <w:lang w:eastAsia="zh-CN"/>
        </w:rPr>
        <w:t xml:space="preserve"> R, Michaud C, Mishra V, </w:t>
      </w:r>
      <w:proofErr w:type="spellStart"/>
      <w:r w:rsidRPr="000F4A07">
        <w:rPr>
          <w:rFonts w:ascii="Book Antiqua" w:hAnsi="Book Antiqua" w:cs="宋体"/>
          <w:sz w:val="24"/>
          <w:szCs w:val="24"/>
          <w:lang w:eastAsia="zh-CN"/>
        </w:rPr>
        <w:t>Mohd</w:t>
      </w:r>
      <w:proofErr w:type="spellEnd"/>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Hanafiah</w:t>
      </w:r>
      <w:proofErr w:type="spellEnd"/>
      <w:r w:rsidRPr="000F4A07">
        <w:rPr>
          <w:rFonts w:ascii="Book Antiqua" w:hAnsi="Book Antiqua" w:cs="宋体"/>
          <w:sz w:val="24"/>
          <w:szCs w:val="24"/>
          <w:lang w:eastAsia="zh-CN"/>
        </w:rPr>
        <w:t xml:space="preserve"> K, </w:t>
      </w:r>
      <w:proofErr w:type="spellStart"/>
      <w:r w:rsidRPr="000F4A07">
        <w:rPr>
          <w:rFonts w:ascii="Book Antiqua" w:hAnsi="Book Antiqua" w:cs="宋体"/>
          <w:sz w:val="24"/>
          <w:szCs w:val="24"/>
          <w:lang w:eastAsia="zh-CN"/>
        </w:rPr>
        <w:t>Mokdad</w:t>
      </w:r>
      <w:proofErr w:type="spellEnd"/>
      <w:r w:rsidRPr="000F4A07">
        <w:rPr>
          <w:rFonts w:ascii="Book Antiqua" w:hAnsi="Book Antiqua" w:cs="宋体"/>
          <w:sz w:val="24"/>
          <w:szCs w:val="24"/>
          <w:lang w:eastAsia="zh-CN"/>
        </w:rPr>
        <w:t xml:space="preserve"> AA, </w:t>
      </w:r>
      <w:proofErr w:type="spellStart"/>
      <w:r w:rsidRPr="000F4A07">
        <w:rPr>
          <w:rFonts w:ascii="Book Antiqua" w:hAnsi="Book Antiqua" w:cs="宋体"/>
          <w:sz w:val="24"/>
          <w:szCs w:val="24"/>
          <w:lang w:eastAsia="zh-CN"/>
        </w:rPr>
        <w:t>Morawska</w:t>
      </w:r>
      <w:proofErr w:type="spellEnd"/>
      <w:r w:rsidRPr="000F4A07">
        <w:rPr>
          <w:rFonts w:ascii="Book Antiqua" w:hAnsi="Book Antiqua" w:cs="宋体"/>
          <w:sz w:val="24"/>
          <w:szCs w:val="24"/>
          <w:lang w:eastAsia="zh-CN"/>
        </w:rPr>
        <w:t xml:space="preserve"> L, </w:t>
      </w:r>
      <w:proofErr w:type="spellStart"/>
      <w:r w:rsidRPr="000F4A07">
        <w:rPr>
          <w:rFonts w:ascii="Book Antiqua" w:hAnsi="Book Antiqua" w:cs="宋体"/>
          <w:sz w:val="24"/>
          <w:szCs w:val="24"/>
          <w:lang w:eastAsia="zh-CN"/>
        </w:rPr>
        <w:t>Mozaffarian</w:t>
      </w:r>
      <w:proofErr w:type="spellEnd"/>
      <w:r w:rsidRPr="000F4A07">
        <w:rPr>
          <w:rFonts w:ascii="Book Antiqua" w:hAnsi="Book Antiqua" w:cs="宋体"/>
          <w:sz w:val="24"/>
          <w:szCs w:val="24"/>
          <w:lang w:eastAsia="zh-CN"/>
        </w:rPr>
        <w:t xml:space="preserve"> D, Murphy T, </w:t>
      </w:r>
      <w:proofErr w:type="spellStart"/>
      <w:r w:rsidRPr="000F4A07">
        <w:rPr>
          <w:rFonts w:ascii="Book Antiqua" w:hAnsi="Book Antiqua" w:cs="宋体"/>
          <w:sz w:val="24"/>
          <w:szCs w:val="24"/>
          <w:lang w:eastAsia="zh-CN"/>
        </w:rPr>
        <w:t>Naghavi</w:t>
      </w:r>
      <w:proofErr w:type="spellEnd"/>
      <w:r w:rsidRPr="000F4A07">
        <w:rPr>
          <w:rFonts w:ascii="Book Antiqua" w:hAnsi="Book Antiqua" w:cs="宋体"/>
          <w:sz w:val="24"/>
          <w:szCs w:val="24"/>
          <w:lang w:eastAsia="zh-CN"/>
        </w:rPr>
        <w:t xml:space="preserve"> M, Neal B, Nelson PK, </w:t>
      </w:r>
      <w:proofErr w:type="spellStart"/>
      <w:r w:rsidRPr="000F4A07">
        <w:rPr>
          <w:rFonts w:ascii="Book Antiqua" w:hAnsi="Book Antiqua" w:cs="宋体"/>
          <w:sz w:val="24"/>
          <w:szCs w:val="24"/>
          <w:lang w:eastAsia="zh-CN"/>
        </w:rPr>
        <w:t>Nolla</w:t>
      </w:r>
      <w:proofErr w:type="spellEnd"/>
      <w:r w:rsidRPr="000F4A07">
        <w:rPr>
          <w:rFonts w:ascii="Book Antiqua" w:hAnsi="Book Antiqua" w:cs="宋体"/>
          <w:sz w:val="24"/>
          <w:szCs w:val="24"/>
          <w:lang w:eastAsia="zh-CN"/>
        </w:rPr>
        <w:t xml:space="preserve"> JM, Norman R, Olives C, Omer SB, Orchard J, Osborne R, </w:t>
      </w:r>
      <w:proofErr w:type="spellStart"/>
      <w:r w:rsidRPr="000F4A07">
        <w:rPr>
          <w:rFonts w:ascii="Book Antiqua" w:hAnsi="Book Antiqua" w:cs="宋体"/>
          <w:sz w:val="24"/>
          <w:szCs w:val="24"/>
          <w:lang w:eastAsia="zh-CN"/>
        </w:rPr>
        <w:t>Ostro</w:t>
      </w:r>
      <w:proofErr w:type="spellEnd"/>
      <w:r w:rsidRPr="000F4A07">
        <w:rPr>
          <w:rFonts w:ascii="Book Antiqua" w:hAnsi="Book Antiqua" w:cs="宋体"/>
          <w:sz w:val="24"/>
          <w:szCs w:val="24"/>
          <w:lang w:eastAsia="zh-CN"/>
        </w:rPr>
        <w:t xml:space="preserve"> B, Page A, </w:t>
      </w:r>
      <w:proofErr w:type="spellStart"/>
      <w:r w:rsidRPr="000F4A07">
        <w:rPr>
          <w:rFonts w:ascii="Book Antiqua" w:hAnsi="Book Antiqua" w:cs="宋体"/>
          <w:sz w:val="24"/>
          <w:szCs w:val="24"/>
          <w:lang w:eastAsia="zh-CN"/>
        </w:rPr>
        <w:t>Pandey</w:t>
      </w:r>
      <w:proofErr w:type="spellEnd"/>
      <w:r w:rsidRPr="000F4A07">
        <w:rPr>
          <w:rFonts w:ascii="Book Antiqua" w:hAnsi="Book Antiqua" w:cs="宋体"/>
          <w:sz w:val="24"/>
          <w:szCs w:val="24"/>
          <w:lang w:eastAsia="zh-CN"/>
        </w:rPr>
        <w:t xml:space="preserve"> KD, Parry CDH, </w:t>
      </w:r>
      <w:proofErr w:type="spellStart"/>
      <w:r w:rsidRPr="000F4A07">
        <w:rPr>
          <w:rFonts w:ascii="Book Antiqua" w:hAnsi="Book Antiqua" w:cs="宋体"/>
          <w:sz w:val="24"/>
          <w:szCs w:val="24"/>
          <w:lang w:eastAsia="zh-CN"/>
        </w:rPr>
        <w:t>Passmore</w:t>
      </w:r>
      <w:proofErr w:type="spellEnd"/>
      <w:r w:rsidRPr="000F4A07">
        <w:rPr>
          <w:rFonts w:ascii="Book Antiqua" w:hAnsi="Book Antiqua" w:cs="宋体"/>
          <w:sz w:val="24"/>
          <w:szCs w:val="24"/>
          <w:lang w:eastAsia="zh-CN"/>
        </w:rPr>
        <w:t xml:space="preserve"> E, </w:t>
      </w:r>
      <w:proofErr w:type="spellStart"/>
      <w:r w:rsidRPr="000F4A07">
        <w:rPr>
          <w:rFonts w:ascii="Book Antiqua" w:hAnsi="Book Antiqua" w:cs="宋体"/>
          <w:sz w:val="24"/>
          <w:szCs w:val="24"/>
          <w:lang w:eastAsia="zh-CN"/>
        </w:rPr>
        <w:t>Patra</w:t>
      </w:r>
      <w:proofErr w:type="spellEnd"/>
      <w:r w:rsidRPr="000F4A07">
        <w:rPr>
          <w:rFonts w:ascii="Book Antiqua" w:hAnsi="Book Antiqua" w:cs="宋体"/>
          <w:sz w:val="24"/>
          <w:szCs w:val="24"/>
          <w:lang w:eastAsia="zh-CN"/>
        </w:rPr>
        <w:t xml:space="preserve"> J, Pearce N, </w:t>
      </w:r>
      <w:proofErr w:type="spellStart"/>
      <w:r w:rsidRPr="000F4A07">
        <w:rPr>
          <w:rFonts w:ascii="Book Antiqua" w:hAnsi="Book Antiqua" w:cs="宋体"/>
          <w:sz w:val="24"/>
          <w:szCs w:val="24"/>
          <w:lang w:eastAsia="zh-CN"/>
        </w:rPr>
        <w:t>Pelizzari</w:t>
      </w:r>
      <w:proofErr w:type="spellEnd"/>
      <w:r w:rsidRPr="000F4A07">
        <w:rPr>
          <w:rFonts w:ascii="Book Antiqua" w:hAnsi="Book Antiqua" w:cs="宋体"/>
          <w:sz w:val="24"/>
          <w:szCs w:val="24"/>
          <w:lang w:eastAsia="zh-CN"/>
        </w:rPr>
        <w:t xml:space="preserve"> PM, </w:t>
      </w:r>
      <w:proofErr w:type="spellStart"/>
      <w:r w:rsidRPr="000F4A07">
        <w:rPr>
          <w:rFonts w:ascii="Book Antiqua" w:hAnsi="Book Antiqua" w:cs="宋体"/>
          <w:sz w:val="24"/>
          <w:szCs w:val="24"/>
          <w:lang w:eastAsia="zh-CN"/>
        </w:rPr>
        <w:t>Petzold</w:t>
      </w:r>
      <w:proofErr w:type="spellEnd"/>
      <w:r w:rsidRPr="000F4A07">
        <w:rPr>
          <w:rFonts w:ascii="Book Antiqua" w:hAnsi="Book Antiqua" w:cs="宋体"/>
          <w:sz w:val="24"/>
          <w:szCs w:val="24"/>
          <w:lang w:eastAsia="zh-CN"/>
        </w:rPr>
        <w:t xml:space="preserve"> M, Phillips MR, Pope D, Pope CA, </w:t>
      </w:r>
      <w:proofErr w:type="spellStart"/>
      <w:r w:rsidRPr="000F4A07">
        <w:rPr>
          <w:rFonts w:ascii="Book Antiqua" w:hAnsi="Book Antiqua" w:cs="宋体"/>
          <w:sz w:val="24"/>
          <w:szCs w:val="24"/>
          <w:lang w:eastAsia="zh-CN"/>
        </w:rPr>
        <w:t>Powles</w:t>
      </w:r>
      <w:proofErr w:type="spellEnd"/>
      <w:r w:rsidRPr="000F4A07">
        <w:rPr>
          <w:rFonts w:ascii="Book Antiqua" w:hAnsi="Book Antiqua" w:cs="宋体"/>
          <w:sz w:val="24"/>
          <w:szCs w:val="24"/>
          <w:lang w:eastAsia="zh-CN"/>
        </w:rPr>
        <w:t xml:space="preserve"> J, </w:t>
      </w:r>
      <w:proofErr w:type="spellStart"/>
      <w:r w:rsidRPr="000F4A07">
        <w:rPr>
          <w:rFonts w:ascii="Book Antiqua" w:hAnsi="Book Antiqua" w:cs="宋体"/>
          <w:sz w:val="24"/>
          <w:szCs w:val="24"/>
          <w:lang w:eastAsia="zh-CN"/>
        </w:rPr>
        <w:t>Rao</w:t>
      </w:r>
      <w:proofErr w:type="spellEnd"/>
      <w:r w:rsidRPr="000F4A07">
        <w:rPr>
          <w:rFonts w:ascii="Book Antiqua" w:hAnsi="Book Antiqua" w:cs="宋体"/>
          <w:sz w:val="24"/>
          <w:szCs w:val="24"/>
          <w:lang w:eastAsia="zh-CN"/>
        </w:rPr>
        <w:t xml:space="preserve"> M, </w:t>
      </w:r>
      <w:proofErr w:type="spellStart"/>
      <w:r w:rsidRPr="000F4A07">
        <w:rPr>
          <w:rFonts w:ascii="Book Antiqua" w:hAnsi="Book Antiqua" w:cs="宋体"/>
          <w:sz w:val="24"/>
          <w:szCs w:val="24"/>
          <w:lang w:eastAsia="zh-CN"/>
        </w:rPr>
        <w:t>Razavi</w:t>
      </w:r>
      <w:proofErr w:type="spellEnd"/>
      <w:r w:rsidRPr="000F4A07">
        <w:rPr>
          <w:rFonts w:ascii="Book Antiqua" w:hAnsi="Book Antiqua" w:cs="宋体"/>
          <w:sz w:val="24"/>
          <w:szCs w:val="24"/>
          <w:lang w:eastAsia="zh-CN"/>
        </w:rPr>
        <w:t xml:space="preserve"> H, </w:t>
      </w:r>
      <w:proofErr w:type="spellStart"/>
      <w:r w:rsidRPr="000F4A07">
        <w:rPr>
          <w:rFonts w:ascii="Book Antiqua" w:hAnsi="Book Antiqua" w:cs="宋体"/>
          <w:sz w:val="24"/>
          <w:szCs w:val="24"/>
          <w:lang w:eastAsia="zh-CN"/>
        </w:rPr>
        <w:t>Rehfuess</w:t>
      </w:r>
      <w:proofErr w:type="spellEnd"/>
      <w:r w:rsidRPr="000F4A07">
        <w:rPr>
          <w:rFonts w:ascii="Book Antiqua" w:hAnsi="Book Antiqua" w:cs="宋体"/>
          <w:sz w:val="24"/>
          <w:szCs w:val="24"/>
          <w:lang w:eastAsia="zh-CN"/>
        </w:rPr>
        <w:t xml:space="preserve"> EA, </w:t>
      </w:r>
      <w:proofErr w:type="spellStart"/>
      <w:r w:rsidRPr="000F4A07">
        <w:rPr>
          <w:rFonts w:ascii="Book Antiqua" w:hAnsi="Book Antiqua" w:cs="宋体"/>
          <w:sz w:val="24"/>
          <w:szCs w:val="24"/>
          <w:lang w:eastAsia="zh-CN"/>
        </w:rPr>
        <w:t>Rehm</w:t>
      </w:r>
      <w:proofErr w:type="spellEnd"/>
      <w:r w:rsidRPr="000F4A07">
        <w:rPr>
          <w:rFonts w:ascii="Book Antiqua" w:hAnsi="Book Antiqua" w:cs="宋体"/>
          <w:sz w:val="24"/>
          <w:szCs w:val="24"/>
          <w:lang w:eastAsia="zh-CN"/>
        </w:rPr>
        <w:t xml:space="preserve"> JT, Ritz B, </w:t>
      </w:r>
      <w:proofErr w:type="spellStart"/>
      <w:r w:rsidRPr="000F4A07">
        <w:rPr>
          <w:rFonts w:ascii="Book Antiqua" w:hAnsi="Book Antiqua" w:cs="宋体"/>
          <w:sz w:val="24"/>
          <w:szCs w:val="24"/>
          <w:lang w:eastAsia="zh-CN"/>
        </w:rPr>
        <w:t>Rivara</w:t>
      </w:r>
      <w:proofErr w:type="spellEnd"/>
      <w:r w:rsidRPr="000F4A07">
        <w:rPr>
          <w:rFonts w:ascii="Book Antiqua" w:hAnsi="Book Antiqua" w:cs="宋体"/>
          <w:sz w:val="24"/>
          <w:szCs w:val="24"/>
          <w:lang w:eastAsia="zh-CN"/>
        </w:rPr>
        <w:t xml:space="preserve"> FP, Roberts T, Robinson C, Rodriguez-Portales JA, </w:t>
      </w:r>
      <w:proofErr w:type="spellStart"/>
      <w:r w:rsidRPr="000F4A07">
        <w:rPr>
          <w:rFonts w:ascii="Book Antiqua" w:hAnsi="Book Antiqua" w:cs="宋体"/>
          <w:sz w:val="24"/>
          <w:szCs w:val="24"/>
          <w:lang w:eastAsia="zh-CN"/>
        </w:rPr>
        <w:t>Romieu</w:t>
      </w:r>
      <w:proofErr w:type="spellEnd"/>
      <w:r w:rsidRPr="000F4A07">
        <w:rPr>
          <w:rFonts w:ascii="Book Antiqua" w:hAnsi="Book Antiqua" w:cs="宋体"/>
          <w:sz w:val="24"/>
          <w:szCs w:val="24"/>
          <w:lang w:eastAsia="zh-CN"/>
        </w:rPr>
        <w:t xml:space="preserve"> I, Room R, Rosenfeld LC, Roy A, Rushton L, Salomon JA, Sampson U, Sanchez-</w:t>
      </w:r>
      <w:proofErr w:type="spellStart"/>
      <w:r w:rsidRPr="000F4A07">
        <w:rPr>
          <w:rFonts w:ascii="Book Antiqua" w:hAnsi="Book Antiqua" w:cs="宋体"/>
          <w:sz w:val="24"/>
          <w:szCs w:val="24"/>
          <w:lang w:eastAsia="zh-CN"/>
        </w:rPr>
        <w:t>Riera</w:t>
      </w:r>
      <w:proofErr w:type="spellEnd"/>
      <w:r w:rsidRPr="000F4A07">
        <w:rPr>
          <w:rFonts w:ascii="Book Antiqua" w:hAnsi="Book Antiqua" w:cs="宋体"/>
          <w:sz w:val="24"/>
          <w:szCs w:val="24"/>
          <w:lang w:eastAsia="zh-CN"/>
        </w:rPr>
        <w:t xml:space="preserve"> L, </w:t>
      </w:r>
      <w:proofErr w:type="spellStart"/>
      <w:r w:rsidRPr="000F4A07">
        <w:rPr>
          <w:rFonts w:ascii="Book Antiqua" w:hAnsi="Book Antiqua" w:cs="宋体"/>
          <w:sz w:val="24"/>
          <w:szCs w:val="24"/>
          <w:lang w:eastAsia="zh-CN"/>
        </w:rPr>
        <w:t>Sanman</w:t>
      </w:r>
      <w:proofErr w:type="spellEnd"/>
      <w:r w:rsidRPr="000F4A07">
        <w:rPr>
          <w:rFonts w:ascii="Book Antiqua" w:hAnsi="Book Antiqua" w:cs="宋体"/>
          <w:sz w:val="24"/>
          <w:szCs w:val="24"/>
          <w:lang w:eastAsia="zh-CN"/>
        </w:rPr>
        <w:t xml:space="preserve"> E, </w:t>
      </w:r>
      <w:proofErr w:type="spellStart"/>
      <w:r w:rsidRPr="000F4A07">
        <w:rPr>
          <w:rFonts w:ascii="Book Antiqua" w:hAnsi="Book Antiqua" w:cs="宋体"/>
          <w:sz w:val="24"/>
          <w:szCs w:val="24"/>
          <w:lang w:eastAsia="zh-CN"/>
        </w:rPr>
        <w:t>Sapkota</w:t>
      </w:r>
      <w:proofErr w:type="spellEnd"/>
      <w:r w:rsidRPr="000F4A07">
        <w:rPr>
          <w:rFonts w:ascii="Book Antiqua" w:hAnsi="Book Antiqua" w:cs="宋体"/>
          <w:sz w:val="24"/>
          <w:szCs w:val="24"/>
          <w:lang w:eastAsia="zh-CN"/>
        </w:rPr>
        <w:t xml:space="preserve"> A, </w:t>
      </w:r>
      <w:proofErr w:type="spellStart"/>
      <w:r w:rsidRPr="000F4A07">
        <w:rPr>
          <w:rFonts w:ascii="Book Antiqua" w:hAnsi="Book Antiqua" w:cs="宋体"/>
          <w:sz w:val="24"/>
          <w:szCs w:val="24"/>
          <w:lang w:eastAsia="zh-CN"/>
        </w:rPr>
        <w:t>Seedat</w:t>
      </w:r>
      <w:proofErr w:type="spellEnd"/>
      <w:r w:rsidRPr="000F4A07">
        <w:rPr>
          <w:rFonts w:ascii="Book Antiqua" w:hAnsi="Book Antiqua" w:cs="宋体"/>
          <w:sz w:val="24"/>
          <w:szCs w:val="24"/>
          <w:lang w:eastAsia="zh-CN"/>
        </w:rPr>
        <w:t xml:space="preserve"> S, Shi P, Shield K, </w:t>
      </w:r>
      <w:proofErr w:type="spellStart"/>
      <w:r w:rsidRPr="000F4A07">
        <w:rPr>
          <w:rFonts w:ascii="Book Antiqua" w:hAnsi="Book Antiqua" w:cs="宋体"/>
          <w:sz w:val="24"/>
          <w:szCs w:val="24"/>
          <w:lang w:eastAsia="zh-CN"/>
        </w:rPr>
        <w:t>Shivakoti</w:t>
      </w:r>
      <w:proofErr w:type="spellEnd"/>
      <w:r w:rsidRPr="000F4A07">
        <w:rPr>
          <w:rFonts w:ascii="Book Antiqua" w:hAnsi="Book Antiqua" w:cs="宋体"/>
          <w:sz w:val="24"/>
          <w:szCs w:val="24"/>
          <w:lang w:eastAsia="zh-CN"/>
        </w:rPr>
        <w:t xml:space="preserve"> R, Singh GM, Sleet DA, Smith E, Smith KR, </w:t>
      </w:r>
      <w:proofErr w:type="spellStart"/>
      <w:r w:rsidRPr="000F4A07">
        <w:rPr>
          <w:rFonts w:ascii="Book Antiqua" w:hAnsi="Book Antiqua" w:cs="宋体"/>
          <w:sz w:val="24"/>
          <w:szCs w:val="24"/>
          <w:lang w:eastAsia="zh-CN"/>
        </w:rPr>
        <w:t>Stapelberg</w:t>
      </w:r>
      <w:proofErr w:type="spellEnd"/>
      <w:r w:rsidRPr="000F4A07">
        <w:rPr>
          <w:rFonts w:ascii="Book Antiqua" w:hAnsi="Book Antiqua" w:cs="宋体"/>
          <w:sz w:val="24"/>
          <w:szCs w:val="24"/>
          <w:lang w:eastAsia="zh-CN"/>
        </w:rPr>
        <w:t xml:space="preserve"> NJC, </w:t>
      </w:r>
      <w:proofErr w:type="spellStart"/>
      <w:r w:rsidRPr="000F4A07">
        <w:rPr>
          <w:rFonts w:ascii="Book Antiqua" w:hAnsi="Book Antiqua" w:cs="宋体"/>
          <w:sz w:val="24"/>
          <w:szCs w:val="24"/>
          <w:lang w:eastAsia="zh-CN"/>
        </w:rPr>
        <w:t>Steenland</w:t>
      </w:r>
      <w:proofErr w:type="spellEnd"/>
      <w:r w:rsidRPr="000F4A07">
        <w:rPr>
          <w:rFonts w:ascii="Book Antiqua" w:hAnsi="Book Antiqua" w:cs="宋体"/>
          <w:sz w:val="24"/>
          <w:szCs w:val="24"/>
          <w:lang w:eastAsia="zh-CN"/>
        </w:rPr>
        <w:t xml:space="preserve"> K, </w:t>
      </w:r>
      <w:proofErr w:type="spellStart"/>
      <w:r w:rsidRPr="000F4A07">
        <w:rPr>
          <w:rFonts w:ascii="Book Antiqua" w:hAnsi="Book Antiqua" w:cs="宋体"/>
          <w:sz w:val="24"/>
          <w:szCs w:val="24"/>
          <w:lang w:eastAsia="zh-CN"/>
        </w:rPr>
        <w:t>Stöckl</w:t>
      </w:r>
      <w:proofErr w:type="spellEnd"/>
      <w:r w:rsidRPr="000F4A07">
        <w:rPr>
          <w:rFonts w:ascii="Book Antiqua" w:hAnsi="Book Antiqua" w:cs="宋体"/>
          <w:sz w:val="24"/>
          <w:szCs w:val="24"/>
          <w:lang w:eastAsia="zh-CN"/>
        </w:rPr>
        <w:t xml:space="preserve"> H, </w:t>
      </w:r>
      <w:proofErr w:type="spellStart"/>
      <w:r w:rsidRPr="000F4A07">
        <w:rPr>
          <w:rFonts w:ascii="Book Antiqua" w:hAnsi="Book Antiqua" w:cs="宋体"/>
          <w:sz w:val="24"/>
          <w:szCs w:val="24"/>
          <w:lang w:eastAsia="zh-CN"/>
        </w:rPr>
        <w:t>Stovner</w:t>
      </w:r>
      <w:proofErr w:type="spellEnd"/>
      <w:r w:rsidRPr="000F4A07">
        <w:rPr>
          <w:rFonts w:ascii="Book Antiqua" w:hAnsi="Book Antiqua" w:cs="宋体"/>
          <w:sz w:val="24"/>
          <w:szCs w:val="24"/>
          <w:lang w:eastAsia="zh-CN"/>
        </w:rPr>
        <w:t xml:space="preserve"> LJ, </w:t>
      </w:r>
      <w:proofErr w:type="spellStart"/>
      <w:r w:rsidRPr="000F4A07">
        <w:rPr>
          <w:rFonts w:ascii="Book Antiqua" w:hAnsi="Book Antiqua" w:cs="宋体"/>
          <w:sz w:val="24"/>
          <w:szCs w:val="24"/>
          <w:lang w:eastAsia="zh-CN"/>
        </w:rPr>
        <w:t>Straif</w:t>
      </w:r>
      <w:proofErr w:type="spellEnd"/>
      <w:r w:rsidRPr="000F4A07">
        <w:rPr>
          <w:rFonts w:ascii="Book Antiqua" w:hAnsi="Book Antiqua" w:cs="宋体"/>
          <w:sz w:val="24"/>
          <w:szCs w:val="24"/>
          <w:lang w:eastAsia="zh-CN"/>
        </w:rPr>
        <w:t xml:space="preserve"> K, </w:t>
      </w:r>
      <w:proofErr w:type="spellStart"/>
      <w:r w:rsidRPr="000F4A07">
        <w:rPr>
          <w:rFonts w:ascii="Book Antiqua" w:hAnsi="Book Antiqua" w:cs="宋体"/>
          <w:sz w:val="24"/>
          <w:szCs w:val="24"/>
          <w:lang w:eastAsia="zh-CN"/>
        </w:rPr>
        <w:t>Straney</w:t>
      </w:r>
      <w:proofErr w:type="spellEnd"/>
      <w:r w:rsidRPr="000F4A07">
        <w:rPr>
          <w:rFonts w:ascii="Book Antiqua" w:hAnsi="Book Antiqua" w:cs="宋体"/>
          <w:sz w:val="24"/>
          <w:szCs w:val="24"/>
          <w:lang w:eastAsia="zh-CN"/>
        </w:rPr>
        <w:t xml:space="preserve"> L, Thurston GD, Tran JH, Van </w:t>
      </w:r>
      <w:proofErr w:type="spellStart"/>
      <w:r w:rsidRPr="000F4A07">
        <w:rPr>
          <w:rFonts w:ascii="Book Antiqua" w:hAnsi="Book Antiqua" w:cs="宋体"/>
          <w:sz w:val="24"/>
          <w:szCs w:val="24"/>
          <w:lang w:eastAsia="zh-CN"/>
        </w:rPr>
        <w:t>Dingenen</w:t>
      </w:r>
      <w:proofErr w:type="spellEnd"/>
      <w:r w:rsidRPr="000F4A07">
        <w:rPr>
          <w:rFonts w:ascii="Book Antiqua" w:hAnsi="Book Antiqua" w:cs="宋体"/>
          <w:sz w:val="24"/>
          <w:szCs w:val="24"/>
          <w:lang w:eastAsia="zh-CN"/>
        </w:rPr>
        <w:t xml:space="preserve"> R, van </w:t>
      </w:r>
      <w:proofErr w:type="spellStart"/>
      <w:r w:rsidRPr="000F4A07">
        <w:rPr>
          <w:rFonts w:ascii="Book Antiqua" w:hAnsi="Book Antiqua" w:cs="宋体"/>
          <w:sz w:val="24"/>
          <w:szCs w:val="24"/>
          <w:lang w:eastAsia="zh-CN"/>
        </w:rPr>
        <w:t>Donkelaar</w:t>
      </w:r>
      <w:proofErr w:type="spellEnd"/>
      <w:r w:rsidRPr="000F4A07">
        <w:rPr>
          <w:rFonts w:ascii="Book Antiqua" w:hAnsi="Book Antiqua" w:cs="宋体"/>
          <w:sz w:val="24"/>
          <w:szCs w:val="24"/>
          <w:lang w:eastAsia="zh-CN"/>
        </w:rPr>
        <w:t xml:space="preserve"> A, </w:t>
      </w:r>
      <w:proofErr w:type="spellStart"/>
      <w:r w:rsidRPr="000F4A07">
        <w:rPr>
          <w:rFonts w:ascii="Book Antiqua" w:hAnsi="Book Antiqua" w:cs="宋体"/>
          <w:sz w:val="24"/>
          <w:szCs w:val="24"/>
          <w:lang w:eastAsia="zh-CN"/>
        </w:rPr>
        <w:t>Veerman</w:t>
      </w:r>
      <w:proofErr w:type="spellEnd"/>
      <w:r w:rsidRPr="000F4A07">
        <w:rPr>
          <w:rFonts w:ascii="Book Antiqua" w:hAnsi="Book Antiqua" w:cs="宋体"/>
          <w:sz w:val="24"/>
          <w:szCs w:val="24"/>
          <w:lang w:eastAsia="zh-CN"/>
        </w:rPr>
        <w:t xml:space="preserve"> JL, </w:t>
      </w:r>
      <w:proofErr w:type="spellStart"/>
      <w:r w:rsidRPr="000F4A07">
        <w:rPr>
          <w:rFonts w:ascii="Book Antiqua" w:hAnsi="Book Antiqua" w:cs="宋体"/>
          <w:sz w:val="24"/>
          <w:szCs w:val="24"/>
          <w:lang w:eastAsia="zh-CN"/>
        </w:rPr>
        <w:t>Vijayakumar</w:t>
      </w:r>
      <w:proofErr w:type="spellEnd"/>
      <w:r w:rsidRPr="000F4A07">
        <w:rPr>
          <w:rFonts w:ascii="Book Antiqua" w:hAnsi="Book Antiqua" w:cs="宋体"/>
          <w:sz w:val="24"/>
          <w:szCs w:val="24"/>
          <w:lang w:eastAsia="zh-CN"/>
        </w:rPr>
        <w:t xml:space="preserve"> L, </w:t>
      </w:r>
      <w:proofErr w:type="spellStart"/>
      <w:r w:rsidRPr="000F4A07">
        <w:rPr>
          <w:rFonts w:ascii="Book Antiqua" w:hAnsi="Book Antiqua" w:cs="宋体"/>
          <w:sz w:val="24"/>
          <w:szCs w:val="24"/>
          <w:lang w:eastAsia="zh-CN"/>
        </w:rPr>
        <w:t>Weintraub</w:t>
      </w:r>
      <w:proofErr w:type="spellEnd"/>
      <w:r w:rsidRPr="000F4A07">
        <w:rPr>
          <w:rFonts w:ascii="Book Antiqua" w:hAnsi="Book Antiqua" w:cs="宋体"/>
          <w:sz w:val="24"/>
          <w:szCs w:val="24"/>
          <w:lang w:eastAsia="zh-CN"/>
        </w:rPr>
        <w:t xml:space="preserve"> R, </w:t>
      </w:r>
      <w:proofErr w:type="spellStart"/>
      <w:r w:rsidRPr="000F4A07">
        <w:rPr>
          <w:rFonts w:ascii="Book Antiqua" w:hAnsi="Book Antiqua" w:cs="宋体"/>
          <w:sz w:val="24"/>
          <w:szCs w:val="24"/>
          <w:lang w:eastAsia="zh-CN"/>
        </w:rPr>
        <w:t>Weissman</w:t>
      </w:r>
      <w:proofErr w:type="spellEnd"/>
      <w:r w:rsidRPr="000F4A07">
        <w:rPr>
          <w:rFonts w:ascii="Book Antiqua" w:hAnsi="Book Antiqua" w:cs="宋体"/>
          <w:sz w:val="24"/>
          <w:szCs w:val="24"/>
          <w:lang w:eastAsia="zh-CN"/>
        </w:rPr>
        <w:t xml:space="preserve"> MM, White RA, </w:t>
      </w:r>
      <w:proofErr w:type="spellStart"/>
      <w:r w:rsidRPr="000F4A07">
        <w:rPr>
          <w:rFonts w:ascii="Book Antiqua" w:hAnsi="Book Antiqua" w:cs="宋体"/>
          <w:sz w:val="24"/>
          <w:szCs w:val="24"/>
          <w:lang w:eastAsia="zh-CN"/>
        </w:rPr>
        <w:t>Whiteford</w:t>
      </w:r>
      <w:proofErr w:type="spellEnd"/>
      <w:r w:rsidRPr="000F4A07">
        <w:rPr>
          <w:rFonts w:ascii="Book Antiqua" w:hAnsi="Book Antiqua" w:cs="宋体"/>
          <w:sz w:val="24"/>
          <w:szCs w:val="24"/>
          <w:lang w:eastAsia="zh-CN"/>
        </w:rPr>
        <w:t xml:space="preserve"> H, </w:t>
      </w:r>
      <w:proofErr w:type="spellStart"/>
      <w:r w:rsidRPr="000F4A07">
        <w:rPr>
          <w:rFonts w:ascii="Book Antiqua" w:hAnsi="Book Antiqua" w:cs="宋体"/>
          <w:sz w:val="24"/>
          <w:szCs w:val="24"/>
          <w:lang w:eastAsia="zh-CN"/>
        </w:rPr>
        <w:t>Wiersma</w:t>
      </w:r>
      <w:proofErr w:type="spellEnd"/>
      <w:r w:rsidRPr="000F4A07">
        <w:rPr>
          <w:rFonts w:ascii="Book Antiqua" w:hAnsi="Book Antiqua" w:cs="宋体"/>
          <w:sz w:val="24"/>
          <w:szCs w:val="24"/>
          <w:lang w:eastAsia="zh-CN"/>
        </w:rPr>
        <w:t xml:space="preserve"> ST, Wilkinson JD, Williams HC, Williams W, Wilson N, Woolf AD, Yip P, Zielinski JM, Lopez AD, Murray CJL, </w:t>
      </w:r>
      <w:proofErr w:type="spellStart"/>
      <w:r w:rsidRPr="000F4A07">
        <w:rPr>
          <w:rFonts w:ascii="Book Antiqua" w:hAnsi="Book Antiqua" w:cs="宋体"/>
          <w:sz w:val="24"/>
          <w:szCs w:val="24"/>
          <w:lang w:eastAsia="zh-CN"/>
        </w:rPr>
        <w:t>Ezzati</w:t>
      </w:r>
      <w:proofErr w:type="spellEnd"/>
      <w:r w:rsidRPr="000F4A07">
        <w:rPr>
          <w:rFonts w:ascii="Book Antiqua" w:hAnsi="Book Antiqua" w:cs="宋体"/>
          <w:sz w:val="24"/>
          <w:szCs w:val="24"/>
          <w:lang w:eastAsia="zh-CN"/>
        </w:rPr>
        <w:t xml:space="preserve"> M, </w:t>
      </w:r>
      <w:proofErr w:type="spellStart"/>
      <w:r w:rsidRPr="000F4A07">
        <w:rPr>
          <w:rFonts w:ascii="Book Antiqua" w:hAnsi="Book Antiqua" w:cs="宋体"/>
          <w:sz w:val="24"/>
          <w:szCs w:val="24"/>
          <w:lang w:eastAsia="zh-CN"/>
        </w:rPr>
        <w:t>AlMazroa</w:t>
      </w:r>
      <w:proofErr w:type="spellEnd"/>
      <w:r w:rsidRPr="000F4A07">
        <w:rPr>
          <w:rFonts w:ascii="Book Antiqua" w:hAnsi="Book Antiqua" w:cs="宋体"/>
          <w:sz w:val="24"/>
          <w:szCs w:val="24"/>
          <w:lang w:eastAsia="zh-CN"/>
        </w:rPr>
        <w:t xml:space="preserve"> MA, </w:t>
      </w:r>
      <w:proofErr w:type="spellStart"/>
      <w:r w:rsidRPr="000F4A07">
        <w:rPr>
          <w:rFonts w:ascii="Book Antiqua" w:hAnsi="Book Antiqua" w:cs="宋体"/>
          <w:sz w:val="24"/>
          <w:szCs w:val="24"/>
          <w:lang w:eastAsia="zh-CN"/>
        </w:rPr>
        <w:t>Memish</w:t>
      </w:r>
      <w:proofErr w:type="spellEnd"/>
      <w:r w:rsidRPr="000F4A07">
        <w:rPr>
          <w:rFonts w:ascii="Book Antiqua" w:hAnsi="Book Antiqua" w:cs="宋体"/>
          <w:sz w:val="24"/>
          <w:szCs w:val="24"/>
          <w:lang w:eastAsia="zh-CN"/>
        </w:rPr>
        <w:t xml:space="preserve"> ZA. A comparative risk assessment of burden of disease and injury </w:t>
      </w:r>
      <w:proofErr w:type="spellStart"/>
      <w:r w:rsidRPr="000F4A07">
        <w:rPr>
          <w:rFonts w:ascii="Book Antiqua" w:hAnsi="Book Antiqua" w:cs="宋体"/>
          <w:sz w:val="24"/>
          <w:szCs w:val="24"/>
          <w:lang w:eastAsia="zh-CN"/>
        </w:rPr>
        <w:t>attribu</w:t>
      </w:r>
      <w:proofErr w:type="spellEnd"/>
    </w:p>
    <w:p w14:paraId="357B9754" w14:textId="77777777" w:rsidR="00D52684" w:rsidRDefault="00D52684" w:rsidP="000F4A07">
      <w:pPr>
        <w:spacing w:after="0" w:line="360" w:lineRule="auto"/>
        <w:jc w:val="both"/>
        <w:rPr>
          <w:rFonts w:ascii="Book Antiqua" w:hAnsi="Book Antiqua" w:cs="宋体"/>
          <w:sz w:val="24"/>
          <w:szCs w:val="24"/>
          <w:lang w:eastAsia="zh-CN"/>
        </w:rPr>
      </w:pPr>
    </w:p>
    <w:p w14:paraId="4A9AD755" w14:textId="29DD9A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 xml:space="preserve"> </w:t>
      </w:r>
      <w:proofErr w:type="gramStart"/>
      <w:r w:rsidRPr="000F4A07">
        <w:rPr>
          <w:rFonts w:ascii="Book Antiqua" w:hAnsi="Book Antiqua" w:cs="宋体"/>
          <w:sz w:val="24"/>
          <w:szCs w:val="24"/>
          <w:lang w:eastAsia="zh-CN"/>
        </w:rPr>
        <w:t>to</w:t>
      </w:r>
      <w:proofErr w:type="gramEnd"/>
      <w:r w:rsidRPr="000F4A07">
        <w:rPr>
          <w:rFonts w:ascii="Book Antiqua" w:hAnsi="Book Antiqua" w:cs="宋体"/>
          <w:sz w:val="24"/>
          <w:szCs w:val="24"/>
          <w:lang w:eastAsia="zh-CN"/>
        </w:rPr>
        <w:t xml:space="preserve"> 67 risk factors and risk factor clusters in 21 regions, 1990-2010: a systematic analysis for the Global Burden of Disease Study 2010. </w:t>
      </w:r>
      <w:r w:rsidRPr="000F4A07">
        <w:rPr>
          <w:rFonts w:ascii="Book Antiqua" w:hAnsi="Book Antiqua" w:cs="宋体"/>
          <w:i/>
          <w:iCs/>
          <w:sz w:val="24"/>
          <w:szCs w:val="24"/>
          <w:lang w:eastAsia="zh-CN"/>
        </w:rPr>
        <w:t>Lancet</w:t>
      </w:r>
      <w:r w:rsidRPr="000F4A07">
        <w:rPr>
          <w:rFonts w:ascii="Book Antiqua" w:hAnsi="Book Antiqua" w:cs="宋体"/>
          <w:sz w:val="24"/>
          <w:szCs w:val="24"/>
          <w:lang w:eastAsia="zh-CN"/>
        </w:rPr>
        <w:t xml:space="preserve"> 2012; </w:t>
      </w:r>
      <w:r w:rsidRPr="000F4A07">
        <w:rPr>
          <w:rFonts w:ascii="Book Antiqua" w:hAnsi="Book Antiqua" w:cs="宋体"/>
          <w:b/>
          <w:bCs/>
          <w:sz w:val="24"/>
          <w:szCs w:val="24"/>
          <w:lang w:eastAsia="zh-CN"/>
        </w:rPr>
        <w:t>380</w:t>
      </w:r>
      <w:r w:rsidRPr="000F4A07">
        <w:rPr>
          <w:rFonts w:ascii="Book Antiqua" w:hAnsi="Book Antiqua" w:cs="宋体"/>
          <w:sz w:val="24"/>
          <w:szCs w:val="24"/>
          <w:lang w:eastAsia="zh-CN"/>
        </w:rPr>
        <w:t>: 2224-2260 [PMID: 23245609 DOI: 10.1016/S0140-6736(12)61766-8]</w:t>
      </w:r>
    </w:p>
    <w:p w14:paraId="3143BD8F"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 xml:space="preserve">17 </w:t>
      </w:r>
      <w:r w:rsidRPr="000F4A07">
        <w:rPr>
          <w:rFonts w:ascii="Book Antiqua" w:hAnsi="Book Antiqua" w:cs="宋体"/>
          <w:b/>
          <w:sz w:val="24"/>
          <w:szCs w:val="24"/>
          <w:lang w:eastAsia="zh-CN"/>
        </w:rPr>
        <w:t xml:space="preserve">IDF diabetes </w:t>
      </w:r>
      <w:proofErr w:type="gramStart"/>
      <w:r w:rsidRPr="000F4A07">
        <w:rPr>
          <w:rFonts w:ascii="Book Antiqua" w:hAnsi="Book Antiqua" w:cs="宋体"/>
          <w:b/>
          <w:sz w:val="24"/>
          <w:szCs w:val="24"/>
          <w:lang w:eastAsia="zh-CN"/>
        </w:rPr>
        <w:t>atlas</w:t>
      </w:r>
      <w:proofErr w:type="gramEnd"/>
      <w:r w:rsidRPr="000F4A07">
        <w:rPr>
          <w:rFonts w:ascii="Book Antiqua" w:hAnsi="Book Antiqua" w:cs="宋体"/>
          <w:sz w:val="24"/>
          <w:szCs w:val="24"/>
          <w:lang w:eastAsia="zh-CN"/>
        </w:rPr>
        <w:t xml:space="preserve"> - Home [Internet]. </w:t>
      </w:r>
      <w:proofErr w:type="gramStart"/>
      <w:r w:rsidRPr="000F4A07">
        <w:rPr>
          <w:rFonts w:ascii="Book Antiqua" w:hAnsi="Book Antiqua" w:cs="宋体"/>
          <w:sz w:val="24"/>
          <w:szCs w:val="24"/>
          <w:lang w:eastAsia="zh-CN"/>
        </w:rPr>
        <w:t>cited</w:t>
      </w:r>
      <w:proofErr w:type="gramEnd"/>
      <w:r w:rsidRPr="000F4A07">
        <w:rPr>
          <w:rFonts w:ascii="Book Antiqua" w:hAnsi="Book Antiqua" w:cs="宋体"/>
          <w:sz w:val="24"/>
          <w:szCs w:val="24"/>
          <w:lang w:eastAsia="zh-CN"/>
        </w:rPr>
        <w:t xml:space="preserve"> 2016-09-03; Available from: URL: </w:t>
      </w:r>
      <w:hyperlink r:id="rId12" w:history="1">
        <w:r w:rsidRPr="000F4A07">
          <w:rPr>
            <w:rFonts w:ascii="Book Antiqua" w:hAnsi="Book Antiqua" w:cs="宋体"/>
            <w:color w:val="0000FF"/>
            <w:sz w:val="24"/>
            <w:szCs w:val="24"/>
            <w:u w:val="single"/>
            <w:lang w:eastAsia="zh-CN"/>
          </w:rPr>
          <w:t>http://www.diabetesatlas.org/</w:t>
        </w:r>
      </w:hyperlink>
      <w:r w:rsidRPr="000F4A07">
        <w:rPr>
          <w:rFonts w:ascii="Book Antiqua" w:hAnsi="Book Antiqua" w:cs="宋体"/>
          <w:sz w:val="24"/>
          <w:szCs w:val="24"/>
          <w:lang w:eastAsia="zh-CN"/>
        </w:rPr>
        <w:t xml:space="preserve"> </w:t>
      </w:r>
    </w:p>
    <w:p w14:paraId="0ECBDD16" w14:textId="77777777" w:rsidR="000F4A07" w:rsidRPr="000F4A07" w:rsidRDefault="000F4A07" w:rsidP="000F4A07">
      <w:pPr>
        <w:spacing w:after="0" w:line="360" w:lineRule="auto"/>
        <w:jc w:val="both"/>
        <w:rPr>
          <w:rFonts w:ascii="Book Antiqua" w:hAnsi="Book Antiqua" w:cs="宋体"/>
          <w:sz w:val="24"/>
          <w:szCs w:val="24"/>
          <w:lang w:eastAsia="zh-CN"/>
        </w:rPr>
      </w:pPr>
      <w:proofErr w:type="gramStart"/>
      <w:r w:rsidRPr="000F4A07">
        <w:rPr>
          <w:rFonts w:ascii="Book Antiqua" w:hAnsi="Book Antiqua" w:cs="宋体"/>
          <w:sz w:val="24"/>
          <w:szCs w:val="24"/>
          <w:lang w:eastAsia="zh-CN"/>
        </w:rPr>
        <w:t>18 </w:t>
      </w:r>
      <w:proofErr w:type="spellStart"/>
      <w:r w:rsidRPr="000F4A07">
        <w:rPr>
          <w:rFonts w:ascii="Book Antiqua" w:hAnsi="Book Antiqua" w:cs="宋体"/>
          <w:b/>
          <w:bCs/>
          <w:sz w:val="24"/>
          <w:szCs w:val="24"/>
          <w:lang w:eastAsia="zh-CN"/>
        </w:rPr>
        <w:t>Unnikrishnan</w:t>
      </w:r>
      <w:proofErr w:type="spellEnd"/>
      <w:r w:rsidRPr="000F4A07">
        <w:rPr>
          <w:rFonts w:ascii="Book Antiqua" w:hAnsi="Book Antiqua" w:cs="宋体"/>
          <w:b/>
          <w:bCs/>
          <w:sz w:val="24"/>
          <w:szCs w:val="24"/>
          <w:lang w:eastAsia="zh-CN"/>
        </w:rPr>
        <w:t xml:space="preserve"> R</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Anjana</w:t>
      </w:r>
      <w:proofErr w:type="spellEnd"/>
      <w:r w:rsidRPr="000F4A07">
        <w:rPr>
          <w:rFonts w:ascii="Book Antiqua" w:hAnsi="Book Antiqua" w:cs="宋体"/>
          <w:sz w:val="24"/>
          <w:szCs w:val="24"/>
          <w:lang w:eastAsia="zh-CN"/>
        </w:rPr>
        <w:t xml:space="preserve"> RM, Mohan V. Diabetes mellitus and its complications in India.</w:t>
      </w:r>
      <w:proofErr w:type="gramEnd"/>
      <w:r w:rsidRPr="000F4A07">
        <w:rPr>
          <w:rFonts w:ascii="Book Antiqua" w:hAnsi="Book Antiqua" w:cs="宋体"/>
          <w:sz w:val="24"/>
          <w:szCs w:val="24"/>
          <w:lang w:eastAsia="zh-CN"/>
        </w:rPr>
        <w:t xml:space="preserve"> </w:t>
      </w:r>
      <w:r w:rsidRPr="000F4A07">
        <w:rPr>
          <w:rFonts w:ascii="Book Antiqua" w:hAnsi="Book Antiqua" w:cs="宋体"/>
          <w:i/>
          <w:iCs/>
          <w:sz w:val="24"/>
          <w:szCs w:val="24"/>
          <w:lang w:eastAsia="zh-CN"/>
        </w:rPr>
        <w:t xml:space="preserve">Nat Rev </w:t>
      </w:r>
      <w:proofErr w:type="spellStart"/>
      <w:r w:rsidRPr="000F4A07">
        <w:rPr>
          <w:rFonts w:ascii="Book Antiqua" w:hAnsi="Book Antiqua" w:cs="宋体"/>
          <w:i/>
          <w:iCs/>
          <w:sz w:val="24"/>
          <w:szCs w:val="24"/>
          <w:lang w:eastAsia="zh-CN"/>
        </w:rPr>
        <w:t>Endocrinol</w:t>
      </w:r>
      <w:proofErr w:type="spellEnd"/>
      <w:r w:rsidRPr="000F4A07">
        <w:rPr>
          <w:rFonts w:ascii="Book Antiqua" w:hAnsi="Book Antiqua" w:cs="宋体"/>
          <w:sz w:val="24"/>
          <w:szCs w:val="24"/>
          <w:lang w:eastAsia="zh-CN"/>
        </w:rPr>
        <w:t> 2016; </w:t>
      </w:r>
      <w:r w:rsidRPr="000F4A07">
        <w:rPr>
          <w:rFonts w:ascii="Book Antiqua" w:hAnsi="Book Antiqua" w:cs="宋体"/>
          <w:b/>
          <w:bCs/>
          <w:sz w:val="24"/>
          <w:szCs w:val="24"/>
          <w:lang w:eastAsia="zh-CN"/>
        </w:rPr>
        <w:t>12</w:t>
      </w:r>
      <w:r w:rsidRPr="000F4A07">
        <w:rPr>
          <w:rFonts w:ascii="Book Antiqua" w:hAnsi="Book Antiqua" w:cs="宋体"/>
          <w:sz w:val="24"/>
          <w:szCs w:val="24"/>
          <w:lang w:eastAsia="zh-CN"/>
        </w:rPr>
        <w:t>: 357-370 [PMID: 27080137 DOI: 10.1038/nrendo.2016.53]</w:t>
      </w:r>
    </w:p>
    <w:p w14:paraId="3DED4911"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lastRenderedPageBreak/>
        <w:t>19 </w:t>
      </w:r>
      <w:proofErr w:type="spellStart"/>
      <w:r w:rsidRPr="000F4A07">
        <w:rPr>
          <w:rFonts w:ascii="Book Antiqua" w:hAnsi="Book Antiqua" w:cs="宋体"/>
          <w:b/>
          <w:bCs/>
          <w:sz w:val="24"/>
          <w:szCs w:val="24"/>
          <w:lang w:eastAsia="zh-CN"/>
        </w:rPr>
        <w:t>Mokdad</w:t>
      </w:r>
      <w:proofErr w:type="spellEnd"/>
      <w:r w:rsidRPr="000F4A07">
        <w:rPr>
          <w:rFonts w:ascii="Book Antiqua" w:hAnsi="Book Antiqua" w:cs="宋体"/>
          <w:b/>
          <w:bCs/>
          <w:sz w:val="24"/>
          <w:szCs w:val="24"/>
          <w:lang w:eastAsia="zh-CN"/>
        </w:rPr>
        <w:t xml:space="preserve"> AA</w:t>
      </w:r>
      <w:r w:rsidRPr="000F4A07">
        <w:rPr>
          <w:rFonts w:ascii="Book Antiqua" w:hAnsi="Book Antiqua" w:cs="宋体"/>
          <w:sz w:val="24"/>
          <w:szCs w:val="24"/>
          <w:lang w:eastAsia="zh-CN"/>
        </w:rPr>
        <w:t xml:space="preserve">, Lopez AD, </w:t>
      </w:r>
      <w:proofErr w:type="spellStart"/>
      <w:r w:rsidRPr="000F4A07">
        <w:rPr>
          <w:rFonts w:ascii="Book Antiqua" w:hAnsi="Book Antiqua" w:cs="宋体"/>
          <w:sz w:val="24"/>
          <w:szCs w:val="24"/>
          <w:lang w:eastAsia="zh-CN"/>
        </w:rPr>
        <w:t>Shahraz</w:t>
      </w:r>
      <w:proofErr w:type="spellEnd"/>
      <w:r w:rsidRPr="000F4A07">
        <w:rPr>
          <w:rFonts w:ascii="Book Antiqua" w:hAnsi="Book Antiqua" w:cs="宋体"/>
          <w:sz w:val="24"/>
          <w:szCs w:val="24"/>
          <w:lang w:eastAsia="zh-CN"/>
        </w:rPr>
        <w:t xml:space="preserve"> S, Lozano R, </w:t>
      </w:r>
      <w:proofErr w:type="spellStart"/>
      <w:r w:rsidRPr="000F4A07">
        <w:rPr>
          <w:rFonts w:ascii="Book Antiqua" w:hAnsi="Book Antiqua" w:cs="宋体"/>
          <w:sz w:val="24"/>
          <w:szCs w:val="24"/>
          <w:lang w:eastAsia="zh-CN"/>
        </w:rPr>
        <w:t>Mokdad</w:t>
      </w:r>
      <w:proofErr w:type="spellEnd"/>
      <w:r w:rsidRPr="000F4A07">
        <w:rPr>
          <w:rFonts w:ascii="Book Antiqua" w:hAnsi="Book Antiqua" w:cs="宋体"/>
          <w:sz w:val="24"/>
          <w:szCs w:val="24"/>
          <w:lang w:eastAsia="zh-CN"/>
        </w:rPr>
        <w:t xml:space="preserve"> AH, </w:t>
      </w:r>
      <w:proofErr w:type="spellStart"/>
      <w:r w:rsidRPr="000F4A07">
        <w:rPr>
          <w:rFonts w:ascii="Book Antiqua" w:hAnsi="Book Antiqua" w:cs="宋体"/>
          <w:sz w:val="24"/>
          <w:szCs w:val="24"/>
          <w:lang w:eastAsia="zh-CN"/>
        </w:rPr>
        <w:t>Stanaway</w:t>
      </w:r>
      <w:proofErr w:type="spellEnd"/>
      <w:r w:rsidRPr="000F4A07">
        <w:rPr>
          <w:rFonts w:ascii="Book Antiqua" w:hAnsi="Book Antiqua" w:cs="宋体"/>
          <w:sz w:val="24"/>
          <w:szCs w:val="24"/>
          <w:lang w:eastAsia="zh-CN"/>
        </w:rPr>
        <w:t xml:space="preserve"> J, Murray CJ, </w:t>
      </w:r>
      <w:proofErr w:type="spellStart"/>
      <w:r w:rsidRPr="000F4A07">
        <w:rPr>
          <w:rFonts w:ascii="Book Antiqua" w:hAnsi="Book Antiqua" w:cs="宋体"/>
          <w:sz w:val="24"/>
          <w:szCs w:val="24"/>
          <w:lang w:eastAsia="zh-CN"/>
        </w:rPr>
        <w:t>Naghavi</w:t>
      </w:r>
      <w:proofErr w:type="spellEnd"/>
      <w:r w:rsidRPr="000F4A07">
        <w:rPr>
          <w:rFonts w:ascii="Book Antiqua" w:hAnsi="Book Antiqua" w:cs="宋体"/>
          <w:sz w:val="24"/>
          <w:szCs w:val="24"/>
          <w:lang w:eastAsia="zh-CN"/>
        </w:rPr>
        <w:t xml:space="preserve"> M. Liver cirrhosis mortality in 187 countries between 1980 and 2010: a systematic analysis. </w:t>
      </w:r>
      <w:r w:rsidRPr="000F4A07">
        <w:rPr>
          <w:rFonts w:ascii="Book Antiqua" w:hAnsi="Book Antiqua" w:cs="宋体"/>
          <w:i/>
          <w:iCs/>
          <w:sz w:val="24"/>
          <w:szCs w:val="24"/>
          <w:lang w:eastAsia="zh-CN"/>
        </w:rPr>
        <w:t>BMC Med</w:t>
      </w:r>
      <w:r w:rsidRPr="000F4A07">
        <w:rPr>
          <w:rFonts w:ascii="Book Antiqua" w:hAnsi="Book Antiqua" w:cs="宋体"/>
          <w:sz w:val="24"/>
          <w:szCs w:val="24"/>
          <w:lang w:eastAsia="zh-CN"/>
        </w:rPr>
        <w:t> 2014; </w:t>
      </w:r>
      <w:r w:rsidRPr="000F4A07">
        <w:rPr>
          <w:rFonts w:ascii="Book Antiqua" w:hAnsi="Book Antiqua" w:cs="宋体"/>
          <w:b/>
          <w:bCs/>
          <w:sz w:val="24"/>
          <w:szCs w:val="24"/>
          <w:lang w:eastAsia="zh-CN"/>
        </w:rPr>
        <w:t>12</w:t>
      </w:r>
      <w:r w:rsidRPr="000F4A07">
        <w:rPr>
          <w:rFonts w:ascii="Book Antiqua" w:hAnsi="Book Antiqua" w:cs="宋体"/>
          <w:sz w:val="24"/>
          <w:szCs w:val="24"/>
          <w:lang w:eastAsia="zh-CN"/>
        </w:rPr>
        <w:t>: 145 [PMID: 25242656 DOI: 10.1186/s12916-014-0145-y]</w:t>
      </w:r>
    </w:p>
    <w:p w14:paraId="5318F43B"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20 </w:t>
      </w:r>
      <w:proofErr w:type="spellStart"/>
      <w:r w:rsidRPr="000F4A07">
        <w:rPr>
          <w:rFonts w:ascii="Book Antiqua" w:hAnsi="Book Antiqua" w:cs="宋体"/>
          <w:b/>
          <w:bCs/>
          <w:sz w:val="24"/>
          <w:szCs w:val="24"/>
          <w:lang w:eastAsia="zh-CN"/>
        </w:rPr>
        <w:t>Llop</w:t>
      </w:r>
      <w:proofErr w:type="spellEnd"/>
      <w:r w:rsidRPr="000F4A07">
        <w:rPr>
          <w:rFonts w:ascii="Book Antiqua" w:hAnsi="Book Antiqua" w:cs="宋体"/>
          <w:b/>
          <w:bCs/>
          <w:sz w:val="24"/>
          <w:szCs w:val="24"/>
          <w:lang w:eastAsia="zh-CN"/>
        </w:rPr>
        <w:t xml:space="preserve"> E</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Berzigotti</w:t>
      </w:r>
      <w:proofErr w:type="spellEnd"/>
      <w:r w:rsidRPr="000F4A07">
        <w:rPr>
          <w:rFonts w:ascii="Book Antiqua" w:hAnsi="Book Antiqua" w:cs="宋体"/>
          <w:sz w:val="24"/>
          <w:szCs w:val="24"/>
          <w:lang w:eastAsia="zh-CN"/>
        </w:rPr>
        <w:t xml:space="preserve"> A, </w:t>
      </w:r>
      <w:proofErr w:type="spellStart"/>
      <w:r w:rsidRPr="000F4A07">
        <w:rPr>
          <w:rFonts w:ascii="Book Antiqua" w:hAnsi="Book Antiqua" w:cs="宋体"/>
          <w:sz w:val="24"/>
          <w:szCs w:val="24"/>
          <w:lang w:eastAsia="zh-CN"/>
        </w:rPr>
        <w:t>Reig</w:t>
      </w:r>
      <w:proofErr w:type="spellEnd"/>
      <w:r w:rsidRPr="000F4A07">
        <w:rPr>
          <w:rFonts w:ascii="Book Antiqua" w:hAnsi="Book Antiqua" w:cs="宋体"/>
          <w:sz w:val="24"/>
          <w:szCs w:val="24"/>
          <w:lang w:eastAsia="zh-CN"/>
        </w:rPr>
        <w:t xml:space="preserve"> M, </w:t>
      </w:r>
      <w:proofErr w:type="spellStart"/>
      <w:r w:rsidRPr="000F4A07">
        <w:rPr>
          <w:rFonts w:ascii="Book Antiqua" w:hAnsi="Book Antiqua" w:cs="宋体"/>
          <w:sz w:val="24"/>
          <w:szCs w:val="24"/>
          <w:lang w:eastAsia="zh-CN"/>
        </w:rPr>
        <w:t>Erice</w:t>
      </w:r>
      <w:proofErr w:type="spellEnd"/>
      <w:r w:rsidRPr="000F4A07">
        <w:rPr>
          <w:rFonts w:ascii="Book Antiqua" w:hAnsi="Book Antiqua" w:cs="宋体"/>
          <w:sz w:val="24"/>
          <w:szCs w:val="24"/>
          <w:lang w:eastAsia="zh-CN"/>
        </w:rPr>
        <w:t xml:space="preserve"> E, </w:t>
      </w:r>
      <w:proofErr w:type="spellStart"/>
      <w:r w:rsidRPr="000F4A07">
        <w:rPr>
          <w:rFonts w:ascii="Book Antiqua" w:hAnsi="Book Antiqua" w:cs="宋体"/>
          <w:sz w:val="24"/>
          <w:szCs w:val="24"/>
          <w:lang w:eastAsia="zh-CN"/>
        </w:rPr>
        <w:t>Reverter</w:t>
      </w:r>
      <w:proofErr w:type="spellEnd"/>
      <w:r w:rsidRPr="000F4A07">
        <w:rPr>
          <w:rFonts w:ascii="Book Antiqua" w:hAnsi="Book Antiqua" w:cs="宋体"/>
          <w:sz w:val="24"/>
          <w:szCs w:val="24"/>
          <w:lang w:eastAsia="zh-CN"/>
        </w:rPr>
        <w:t xml:space="preserve"> E, </w:t>
      </w:r>
      <w:proofErr w:type="spellStart"/>
      <w:r w:rsidRPr="000F4A07">
        <w:rPr>
          <w:rFonts w:ascii="Book Antiqua" w:hAnsi="Book Antiqua" w:cs="宋体"/>
          <w:sz w:val="24"/>
          <w:szCs w:val="24"/>
          <w:lang w:eastAsia="zh-CN"/>
        </w:rPr>
        <w:t>Seijo</w:t>
      </w:r>
      <w:proofErr w:type="spellEnd"/>
      <w:r w:rsidRPr="000F4A07">
        <w:rPr>
          <w:rFonts w:ascii="Book Antiqua" w:hAnsi="Book Antiqua" w:cs="宋体"/>
          <w:sz w:val="24"/>
          <w:szCs w:val="24"/>
          <w:lang w:eastAsia="zh-CN"/>
        </w:rPr>
        <w:t xml:space="preserve"> S, </w:t>
      </w:r>
      <w:proofErr w:type="spellStart"/>
      <w:r w:rsidRPr="000F4A07">
        <w:rPr>
          <w:rFonts w:ascii="Book Antiqua" w:hAnsi="Book Antiqua" w:cs="宋体"/>
          <w:sz w:val="24"/>
          <w:szCs w:val="24"/>
          <w:lang w:eastAsia="zh-CN"/>
        </w:rPr>
        <w:t>Abraldes</w:t>
      </w:r>
      <w:proofErr w:type="spellEnd"/>
      <w:r w:rsidRPr="000F4A07">
        <w:rPr>
          <w:rFonts w:ascii="Book Antiqua" w:hAnsi="Book Antiqua" w:cs="宋体"/>
          <w:sz w:val="24"/>
          <w:szCs w:val="24"/>
          <w:lang w:eastAsia="zh-CN"/>
        </w:rPr>
        <w:t xml:space="preserve"> JG, </w:t>
      </w:r>
      <w:proofErr w:type="spellStart"/>
      <w:r w:rsidRPr="000F4A07">
        <w:rPr>
          <w:rFonts w:ascii="Book Antiqua" w:hAnsi="Book Antiqua" w:cs="宋体"/>
          <w:sz w:val="24"/>
          <w:szCs w:val="24"/>
          <w:lang w:eastAsia="zh-CN"/>
        </w:rPr>
        <w:t>Bruix</w:t>
      </w:r>
      <w:proofErr w:type="spellEnd"/>
      <w:r w:rsidRPr="000F4A07">
        <w:rPr>
          <w:rFonts w:ascii="Book Antiqua" w:hAnsi="Book Antiqua" w:cs="宋体"/>
          <w:sz w:val="24"/>
          <w:szCs w:val="24"/>
          <w:lang w:eastAsia="zh-CN"/>
        </w:rPr>
        <w:t xml:space="preserve"> J, Bosch J, </w:t>
      </w:r>
      <w:proofErr w:type="spellStart"/>
      <w:r w:rsidRPr="000F4A07">
        <w:rPr>
          <w:rFonts w:ascii="Book Antiqua" w:hAnsi="Book Antiqua" w:cs="宋体"/>
          <w:sz w:val="24"/>
          <w:szCs w:val="24"/>
          <w:lang w:eastAsia="zh-CN"/>
        </w:rPr>
        <w:t>García</w:t>
      </w:r>
      <w:proofErr w:type="spellEnd"/>
      <w:r w:rsidRPr="000F4A07">
        <w:rPr>
          <w:rFonts w:ascii="Book Antiqua" w:hAnsi="Book Antiqua" w:cs="宋体"/>
          <w:sz w:val="24"/>
          <w:szCs w:val="24"/>
          <w:lang w:eastAsia="zh-CN"/>
        </w:rPr>
        <w:t xml:space="preserve">-Pagan JC. Assessment of portal hypertension by transient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xml:space="preserve"> in patients with compensated cirrhosis and potentially </w:t>
      </w:r>
      <w:proofErr w:type="spellStart"/>
      <w:r w:rsidRPr="000F4A07">
        <w:rPr>
          <w:rFonts w:ascii="Book Antiqua" w:hAnsi="Book Antiqua" w:cs="宋体"/>
          <w:sz w:val="24"/>
          <w:szCs w:val="24"/>
          <w:lang w:eastAsia="zh-CN"/>
        </w:rPr>
        <w:t>resectable</w:t>
      </w:r>
      <w:proofErr w:type="spellEnd"/>
      <w:r w:rsidRPr="000F4A07">
        <w:rPr>
          <w:rFonts w:ascii="Book Antiqua" w:hAnsi="Book Antiqua" w:cs="宋体"/>
          <w:sz w:val="24"/>
          <w:szCs w:val="24"/>
          <w:lang w:eastAsia="zh-CN"/>
        </w:rPr>
        <w:t xml:space="preserve"> liver tumors. </w:t>
      </w:r>
      <w:r w:rsidRPr="000F4A07">
        <w:rPr>
          <w:rFonts w:ascii="Book Antiqua" w:hAnsi="Book Antiqua" w:cs="宋体"/>
          <w:i/>
          <w:iCs/>
          <w:sz w:val="24"/>
          <w:szCs w:val="24"/>
          <w:lang w:eastAsia="zh-CN"/>
        </w:rPr>
        <w:t xml:space="preserve">J </w:t>
      </w:r>
      <w:proofErr w:type="spellStart"/>
      <w:r w:rsidRPr="000F4A07">
        <w:rPr>
          <w:rFonts w:ascii="Book Antiqua" w:hAnsi="Book Antiqua" w:cs="宋体"/>
          <w:i/>
          <w:iCs/>
          <w:sz w:val="24"/>
          <w:szCs w:val="24"/>
          <w:lang w:eastAsia="zh-CN"/>
        </w:rPr>
        <w:t>Hepatol</w:t>
      </w:r>
      <w:proofErr w:type="spellEnd"/>
      <w:r w:rsidRPr="000F4A07">
        <w:rPr>
          <w:rFonts w:ascii="Book Antiqua" w:hAnsi="Book Antiqua" w:cs="宋体"/>
          <w:sz w:val="24"/>
          <w:szCs w:val="24"/>
          <w:lang w:eastAsia="zh-CN"/>
        </w:rPr>
        <w:t> 2012; </w:t>
      </w:r>
      <w:r w:rsidRPr="000F4A07">
        <w:rPr>
          <w:rFonts w:ascii="Book Antiqua" w:hAnsi="Book Antiqua" w:cs="宋体"/>
          <w:b/>
          <w:bCs/>
          <w:sz w:val="24"/>
          <w:szCs w:val="24"/>
          <w:lang w:eastAsia="zh-CN"/>
        </w:rPr>
        <w:t>56</w:t>
      </w:r>
      <w:r w:rsidRPr="000F4A07">
        <w:rPr>
          <w:rFonts w:ascii="Book Antiqua" w:hAnsi="Book Antiqua" w:cs="宋体"/>
          <w:sz w:val="24"/>
          <w:szCs w:val="24"/>
          <w:lang w:eastAsia="zh-CN"/>
        </w:rPr>
        <w:t>: 103-108 [PMID: 21827733 DOI: 10.1016/j.jhep.2011.06.027]</w:t>
      </w:r>
    </w:p>
    <w:p w14:paraId="7F5E5A37"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21 </w:t>
      </w:r>
      <w:r w:rsidRPr="000F4A07">
        <w:rPr>
          <w:rFonts w:ascii="Book Antiqua" w:hAnsi="Book Antiqua" w:cs="宋体"/>
          <w:b/>
          <w:bCs/>
          <w:sz w:val="24"/>
          <w:szCs w:val="24"/>
          <w:lang w:eastAsia="zh-CN"/>
        </w:rPr>
        <w:t>Choi SY</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Jeong</w:t>
      </w:r>
      <w:proofErr w:type="spellEnd"/>
      <w:r w:rsidRPr="000F4A07">
        <w:rPr>
          <w:rFonts w:ascii="Book Antiqua" w:hAnsi="Book Antiqua" w:cs="宋体"/>
          <w:sz w:val="24"/>
          <w:szCs w:val="24"/>
          <w:lang w:eastAsia="zh-CN"/>
        </w:rPr>
        <w:t xml:space="preserve"> WK, Kim Y, Kim J, Kim TY, </w:t>
      </w:r>
      <w:proofErr w:type="spellStart"/>
      <w:r w:rsidRPr="000F4A07">
        <w:rPr>
          <w:rFonts w:ascii="Book Antiqua" w:hAnsi="Book Antiqua" w:cs="宋体"/>
          <w:sz w:val="24"/>
          <w:szCs w:val="24"/>
          <w:lang w:eastAsia="zh-CN"/>
        </w:rPr>
        <w:t>Sohn</w:t>
      </w:r>
      <w:proofErr w:type="spellEnd"/>
      <w:r w:rsidRPr="000F4A07">
        <w:rPr>
          <w:rFonts w:ascii="Book Antiqua" w:hAnsi="Book Antiqua" w:cs="宋体"/>
          <w:sz w:val="24"/>
          <w:szCs w:val="24"/>
          <w:lang w:eastAsia="zh-CN"/>
        </w:rPr>
        <w:t xml:space="preserve"> JH. Shear-wave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a noninvasive tool for monitoring changing hepatic venous pressure gradients in patients with cirrhosis. </w:t>
      </w:r>
      <w:r w:rsidRPr="000F4A07">
        <w:rPr>
          <w:rFonts w:ascii="Book Antiqua" w:hAnsi="Book Antiqua" w:cs="宋体"/>
          <w:i/>
          <w:iCs/>
          <w:sz w:val="24"/>
          <w:szCs w:val="24"/>
          <w:lang w:eastAsia="zh-CN"/>
        </w:rPr>
        <w:t>Radiology</w:t>
      </w:r>
      <w:r w:rsidRPr="000F4A07">
        <w:rPr>
          <w:rFonts w:ascii="Book Antiqua" w:hAnsi="Book Antiqua" w:cs="宋体"/>
          <w:sz w:val="24"/>
          <w:szCs w:val="24"/>
          <w:lang w:eastAsia="zh-CN"/>
        </w:rPr>
        <w:t> 2014; </w:t>
      </w:r>
      <w:r w:rsidRPr="000F4A07">
        <w:rPr>
          <w:rFonts w:ascii="Book Antiqua" w:hAnsi="Book Antiqua" w:cs="宋体"/>
          <w:b/>
          <w:bCs/>
          <w:sz w:val="24"/>
          <w:szCs w:val="24"/>
          <w:lang w:eastAsia="zh-CN"/>
        </w:rPr>
        <w:t>273</w:t>
      </w:r>
      <w:r w:rsidRPr="000F4A07">
        <w:rPr>
          <w:rFonts w:ascii="Book Antiqua" w:hAnsi="Book Antiqua" w:cs="宋体"/>
          <w:sz w:val="24"/>
          <w:szCs w:val="24"/>
          <w:lang w:eastAsia="zh-CN"/>
        </w:rPr>
        <w:t>: 917-926 [PMID: 25025464 DOI: 10.1148/radiol.14140008]</w:t>
      </w:r>
    </w:p>
    <w:p w14:paraId="61B7E790" w14:textId="77777777" w:rsidR="000F4A07" w:rsidRPr="000F4A07" w:rsidRDefault="000F4A07" w:rsidP="000F4A07">
      <w:pPr>
        <w:spacing w:after="0" w:line="360" w:lineRule="auto"/>
        <w:jc w:val="both"/>
        <w:rPr>
          <w:rFonts w:ascii="Book Antiqua" w:hAnsi="Book Antiqua" w:cs="宋体"/>
          <w:sz w:val="24"/>
          <w:szCs w:val="24"/>
          <w:lang w:eastAsia="zh-CN"/>
        </w:rPr>
      </w:pPr>
      <w:proofErr w:type="gramStart"/>
      <w:r w:rsidRPr="000F4A07">
        <w:rPr>
          <w:rFonts w:ascii="Book Antiqua" w:hAnsi="Book Antiqua" w:cs="宋体"/>
          <w:sz w:val="24"/>
          <w:szCs w:val="24"/>
          <w:lang w:eastAsia="zh-CN"/>
        </w:rPr>
        <w:t>22 </w:t>
      </w:r>
      <w:r w:rsidRPr="000F4A07">
        <w:rPr>
          <w:rFonts w:ascii="Book Antiqua" w:hAnsi="Book Antiqua" w:cs="宋体"/>
          <w:b/>
          <w:bCs/>
          <w:sz w:val="24"/>
          <w:szCs w:val="24"/>
          <w:lang w:eastAsia="zh-CN"/>
        </w:rPr>
        <w:t>Kim TY</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Jeong</w:t>
      </w:r>
      <w:proofErr w:type="spellEnd"/>
      <w:r w:rsidRPr="000F4A07">
        <w:rPr>
          <w:rFonts w:ascii="Book Antiqua" w:hAnsi="Book Antiqua" w:cs="宋体"/>
          <w:sz w:val="24"/>
          <w:szCs w:val="24"/>
          <w:lang w:eastAsia="zh-CN"/>
        </w:rPr>
        <w:t xml:space="preserve"> WK, </w:t>
      </w:r>
      <w:proofErr w:type="spellStart"/>
      <w:r w:rsidRPr="000F4A07">
        <w:rPr>
          <w:rFonts w:ascii="Book Antiqua" w:hAnsi="Book Antiqua" w:cs="宋体"/>
          <w:sz w:val="24"/>
          <w:szCs w:val="24"/>
          <w:lang w:eastAsia="zh-CN"/>
        </w:rPr>
        <w:t>Sohn</w:t>
      </w:r>
      <w:proofErr w:type="spellEnd"/>
      <w:r w:rsidRPr="000F4A07">
        <w:rPr>
          <w:rFonts w:ascii="Book Antiqua" w:hAnsi="Book Antiqua" w:cs="宋体"/>
          <w:sz w:val="24"/>
          <w:szCs w:val="24"/>
          <w:lang w:eastAsia="zh-CN"/>
        </w:rPr>
        <w:t xml:space="preserve"> JH, Kim J, Kim MY, Kim Y. Evaluation of portal hypertension by real-time shear wave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xml:space="preserve"> in cirrhotic patients.</w:t>
      </w:r>
      <w:proofErr w:type="gramEnd"/>
      <w:r w:rsidRPr="000F4A07">
        <w:rPr>
          <w:rFonts w:ascii="Book Antiqua" w:hAnsi="Book Antiqua" w:cs="宋体"/>
          <w:sz w:val="24"/>
          <w:szCs w:val="24"/>
          <w:lang w:eastAsia="zh-CN"/>
        </w:rPr>
        <w:t> </w:t>
      </w:r>
      <w:r w:rsidRPr="000F4A07">
        <w:rPr>
          <w:rFonts w:ascii="Book Antiqua" w:hAnsi="Book Antiqua" w:cs="宋体"/>
          <w:i/>
          <w:iCs/>
          <w:sz w:val="24"/>
          <w:szCs w:val="24"/>
          <w:lang w:eastAsia="zh-CN"/>
        </w:rPr>
        <w:t xml:space="preserve">Liver </w:t>
      </w:r>
      <w:proofErr w:type="spellStart"/>
      <w:r w:rsidRPr="000F4A07">
        <w:rPr>
          <w:rFonts w:ascii="Book Antiqua" w:hAnsi="Book Antiqua" w:cs="宋体"/>
          <w:i/>
          <w:iCs/>
          <w:sz w:val="24"/>
          <w:szCs w:val="24"/>
          <w:lang w:eastAsia="zh-CN"/>
        </w:rPr>
        <w:t>Int</w:t>
      </w:r>
      <w:proofErr w:type="spellEnd"/>
      <w:r w:rsidRPr="000F4A07">
        <w:rPr>
          <w:rFonts w:ascii="Book Antiqua" w:hAnsi="Book Antiqua" w:cs="宋体"/>
          <w:sz w:val="24"/>
          <w:szCs w:val="24"/>
          <w:lang w:eastAsia="zh-CN"/>
        </w:rPr>
        <w:t> 2015; </w:t>
      </w:r>
      <w:r w:rsidRPr="000F4A07">
        <w:rPr>
          <w:rFonts w:ascii="Book Antiqua" w:hAnsi="Book Antiqua" w:cs="宋体"/>
          <w:b/>
          <w:bCs/>
          <w:sz w:val="24"/>
          <w:szCs w:val="24"/>
          <w:lang w:eastAsia="zh-CN"/>
        </w:rPr>
        <w:t>35</w:t>
      </w:r>
      <w:r w:rsidRPr="000F4A07">
        <w:rPr>
          <w:rFonts w:ascii="Book Antiqua" w:hAnsi="Book Antiqua" w:cs="宋体"/>
          <w:sz w:val="24"/>
          <w:szCs w:val="24"/>
          <w:lang w:eastAsia="zh-CN"/>
        </w:rPr>
        <w:t>: 2416-2424 [PMID: 25875718 DOI: 10.1111/liv.12846]</w:t>
      </w:r>
    </w:p>
    <w:p w14:paraId="673B7B9E"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23 </w:t>
      </w:r>
      <w:r w:rsidRPr="000F4A07">
        <w:rPr>
          <w:rFonts w:ascii="Book Antiqua" w:hAnsi="Book Antiqua" w:cs="宋体"/>
          <w:b/>
          <w:bCs/>
          <w:sz w:val="24"/>
          <w:szCs w:val="24"/>
          <w:lang w:eastAsia="zh-CN"/>
        </w:rPr>
        <w:t>Jansen C</w:t>
      </w:r>
      <w:r w:rsidRPr="000F4A07">
        <w:rPr>
          <w:rFonts w:ascii="Book Antiqua" w:hAnsi="Book Antiqua" w:cs="宋体"/>
          <w:sz w:val="24"/>
          <w:szCs w:val="24"/>
          <w:lang w:eastAsia="zh-CN"/>
        </w:rPr>
        <w:t xml:space="preserve">, Bogs C, </w:t>
      </w:r>
      <w:proofErr w:type="spellStart"/>
      <w:r w:rsidRPr="000F4A07">
        <w:rPr>
          <w:rFonts w:ascii="Book Antiqua" w:hAnsi="Book Antiqua" w:cs="宋体"/>
          <w:sz w:val="24"/>
          <w:szCs w:val="24"/>
          <w:lang w:eastAsia="zh-CN"/>
        </w:rPr>
        <w:t>Verlinden</w:t>
      </w:r>
      <w:proofErr w:type="spellEnd"/>
      <w:r w:rsidRPr="000F4A07">
        <w:rPr>
          <w:rFonts w:ascii="Book Antiqua" w:hAnsi="Book Antiqua" w:cs="宋体"/>
          <w:sz w:val="24"/>
          <w:szCs w:val="24"/>
          <w:lang w:eastAsia="zh-CN"/>
        </w:rPr>
        <w:t xml:space="preserve"> W, Thiele M, </w:t>
      </w:r>
      <w:proofErr w:type="spellStart"/>
      <w:r w:rsidRPr="000F4A07">
        <w:rPr>
          <w:rFonts w:ascii="Book Antiqua" w:hAnsi="Book Antiqua" w:cs="宋体"/>
          <w:sz w:val="24"/>
          <w:szCs w:val="24"/>
          <w:lang w:eastAsia="zh-CN"/>
        </w:rPr>
        <w:t>Möller</w:t>
      </w:r>
      <w:proofErr w:type="spellEnd"/>
      <w:r w:rsidRPr="000F4A07">
        <w:rPr>
          <w:rFonts w:ascii="Book Antiqua" w:hAnsi="Book Antiqua" w:cs="宋体"/>
          <w:sz w:val="24"/>
          <w:szCs w:val="24"/>
          <w:lang w:eastAsia="zh-CN"/>
        </w:rPr>
        <w:t xml:space="preserve"> P, </w:t>
      </w:r>
      <w:proofErr w:type="spellStart"/>
      <w:r w:rsidRPr="000F4A07">
        <w:rPr>
          <w:rFonts w:ascii="Book Antiqua" w:hAnsi="Book Antiqua" w:cs="宋体"/>
          <w:sz w:val="24"/>
          <w:szCs w:val="24"/>
          <w:lang w:eastAsia="zh-CN"/>
        </w:rPr>
        <w:t>Görtzen</w:t>
      </w:r>
      <w:proofErr w:type="spellEnd"/>
      <w:r w:rsidRPr="000F4A07">
        <w:rPr>
          <w:rFonts w:ascii="Book Antiqua" w:hAnsi="Book Antiqua" w:cs="宋体"/>
          <w:sz w:val="24"/>
          <w:szCs w:val="24"/>
          <w:lang w:eastAsia="zh-CN"/>
        </w:rPr>
        <w:t xml:space="preserve"> J, Lehmann J, </w:t>
      </w:r>
      <w:proofErr w:type="spellStart"/>
      <w:r w:rsidRPr="000F4A07">
        <w:rPr>
          <w:rFonts w:ascii="Book Antiqua" w:hAnsi="Book Antiqua" w:cs="宋体"/>
          <w:sz w:val="24"/>
          <w:szCs w:val="24"/>
          <w:lang w:eastAsia="zh-CN"/>
        </w:rPr>
        <w:t>Vanwolleghem</w:t>
      </w:r>
      <w:proofErr w:type="spellEnd"/>
      <w:r w:rsidRPr="000F4A07">
        <w:rPr>
          <w:rFonts w:ascii="Book Antiqua" w:hAnsi="Book Antiqua" w:cs="宋体"/>
          <w:sz w:val="24"/>
          <w:szCs w:val="24"/>
          <w:lang w:eastAsia="zh-CN"/>
        </w:rPr>
        <w:t xml:space="preserve"> T, </w:t>
      </w:r>
      <w:proofErr w:type="spellStart"/>
      <w:r w:rsidRPr="000F4A07">
        <w:rPr>
          <w:rFonts w:ascii="Book Antiqua" w:hAnsi="Book Antiqua" w:cs="宋体"/>
          <w:sz w:val="24"/>
          <w:szCs w:val="24"/>
          <w:lang w:eastAsia="zh-CN"/>
        </w:rPr>
        <w:t>Vonghia</w:t>
      </w:r>
      <w:proofErr w:type="spellEnd"/>
      <w:r w:rsidRPr="000F4A07">
        <w:rPr>
          <w:rFonts w:ascii="Book Antiqua" w:hAnsi="Book Antiqua" w:cs="宋体"/>
          <w:sz w:val="24"/>
          <w:szCs w:val="24"/>
          <w:lang w:eastAsia="zh-CN"/>
        </w:rPr>
        <w:t xml:space="preserve"> L, </w:t>
      </w:r>
      <w:proofErr w:type="spellStart"/>
      <w:r w:rsidRPr="000F4A07">
        <w:rPr>
          <w:rFonts w:ascii="Book Antiqua" w:hAnsi="Book Antiqua" w:cs="宋体"/>
          <w:sz w:val="24"/>
          <w:szCs w:val="24"/>
          <w:lang w:eastAsia="zh-CN"/>
        </w:rPr>
        <w:t>Praktiknjo</w:t>
      </w:r>
      <w:proofErr w:type="spellEnd"/>
      <w:r w:rsidRPr="000F4A07">
        <w:rPr>
          <w:rFonts w:ascii="Book Antiqua" w:hAnsi="Book Antiqua" w:cs="宋体"/>
          <w:sz w:val="24"/>
          <w:szCs w:val="24"/>
          <w:lang w:eastAsia="zh-CN"/>
        </w:rPr>
        <w:t xml:space="preserve"> M, Chang J, </w:t>
      </w:r>
      <w:proofErr w:type="spellStart"/>
      <w:r w:rsidRPr="000F4A07">
        <w:rPr>
          <w:rFonts w:ascii="Book Antiqua" w:hAnsi="Book Antiqua" w:cs="宋体"/>
          <w:sz w:val="24"/>
          <w:szCs w:val="24"/>
          <w:lang w:eastAsia="zh-CN"/>
        </w:rPr>
        <w:t>Krag</w:t>
      </w:r>
      <w:proofErr w:type="spellEnd"/>
      <w:r w:rsidRPr="000F4A07">
        <w:rPr>
          <w:rFonts w:ascii="Book Antiqua" w:hAnsi="Book Antiqua" w:cs="宋体"/>
          <w:sz w:val="24"/>
          <w:szCs w:val="24"/>
          <w:lang w:eastAsia="zh-CN"/>
        </w:rPr>
        <w:t xml:space="preserve"> A, </w:t>
      </w:r>
      <w:proofErr w:type="spellStart"/>
      <w:r w:rsidRPr="000F4A07">
        <w:rPr>
          <w:rFonts w:ascii="Book Antiqua" w:hAnsi="Book Antiqua" w:cs="宋体"/>
          <w:sz w:val="24"/>
          <w:szCs w:val="24"/>
          <w:lang w:eastAsia="zh-CN"/>
        </w:rPr>
        <w:t>Strassburg</w:t>
      </w:r>
      <w:proofErr w:type="spellEnd"/>
      <w:r w:rsidRPr="000F4A07">
        <w:rPr>
          <w:rFonts w:ascii="Book Antiqua" w:hAnsi="Book Antiqua" w:cs="宋体"/>
          <w:sz w:val="24"/>
          <w:szCs w:val="24"/>
          <w:lang w:eastAsia="zh-CN"/>
        </w:rPr>
        <w:t xml:space="preserve"> CP, </w:t>
      </w:r>
      <w:proofErr w:type="spellStart"/>
      <w:r w:rsidRPr="000F4A07">
        <w:rPr>
          <w:rFonts w:ascii="Book Antiqua" w:hAnsi="Book Antiqua" w:cs="宋体"/>
          <w:sz w:val="24"/>
          <w:szCs w:val="24"/>
          <w:lang w:eastAsia="zh-CN"/>
        </w:rPr>
        <w:t>Francque</w:t>
      </w:r>
      <w:proofErr w:type="spellEnd"/>
      <w:r w:rsidRPr="000F4A07">
        <w:rPr>
          <w:rFonts w:ascii="Book Antiqua" w:hAnsi="Book Antiqua" w:cs="宋体"/>
          <w:sz w:val="24"/>
          <w:szCs w:val="24"/>
          <w:lang w:eastAsia="zh-CN"/>
        </w:rPr>
        <w:t xml:space="preserve"> S, </w:t>
      </w:r>
      <w:proofErr w:type="spellStart"/>
      <w:r w:rsidRPr="000F4A07">
        <w:rPr>
          <w:rFonts w:ascii="Book Antiqua" w:hAnsi="Book Antiqua" w:cs="宋体"/>
          <w:sz w:val="24"/>
          <w:szCs w:val="24"/>
          <w:lang w:eastAsia="zh-CN"/>
        </w:rPr>
        <w:t>Trebicka</w:t>
      </w:r>
      <w:proofErr w:type="spellEnd"/>
      <w:r w:rsidRPr="000F4A07">
        <w:rPr>
          <w:rFonts w:ascii="Book Antiqua" w:hAnsi="Book Antiqua" w:cs="宋体"/>
          <w:sz w:val="24"/>
          <w:szCs w:val="24"/>
          <w:lang w:eastAsia="zh-CN"/>
        </w:rPr>
        <w:t xml:space="preserve"> J. Shear-wave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xml:space="preserve"> of the liver and spleen identifies clinically significant portal hypertension: A prospective </w:t>
      </w:r>
      <w:proofErr w:type="spellStart"/>
      <w:r w:rsidRPr="000F4A07">
        <w:rPr>
          <w:rFonts w:ascii="Book Antiqua" w:hAnsi="Book Antiqua" w:cs="宋体"/>
          <w:sz w:val="24"/>
          <w:szCs w:val="24"/>
          <w:lang w:eastAsia="zh-CN"/>
        </w:rPr>
        <w:t>multicentre</w:t>
      </w:r>
      <w:proofErr w:type="spellEnd"/>
      <w:r w:rsidRPr="000F4A07">
        <w:rPr>
          <w:rFonts w:ascii="Book Antiqua" w:hAnsi="Book Antiqua" w:cs="宋体"/>
          <w:sz w:val="24"/>
          <w:szCs w:val="24"/>
          <w:lang w:eastAsia="zh-CN"/>
        </w:rPr>
        <w:t xml:space="preserve"> study. </w:t>
      </w:r>
      <w:r w:rsidRPr="000F4A07">
        <w:rPr>
          <w:rFonts w:ascii="Book Antiqua" w:hAnsi="Book Antiqua" w:cs="宋体"/>
          <w:i/>
          <w:iCs/>
          <w:sz w:val="24"/>
          <w:szCs w:val="24"/>
          <w:lang w:eastAsia="zh-CN"/>
        </w:rPr>
        <w:t xml:space="preserve">Liver </w:t>
      </w:r>
      <w:proofErr w:type="spellStart"/>
      <w:r w:rsidRPr="000F4A07">
        <w:rPr>
          <w:rFonts w:ascii="Book Antiqua" w:hAnsi="Book Antiqua" w:cs="宋体"/>
          <w:i/>
          <w:iCs/>
          <w:sz w:val="24"/>
          <w:szCs w:val="24"/>
          <w:lang w:eastAsia="zh-CN"/>
        </w:rPr>
        <w:t>Int</w:t>
      </w:r>
      <w:proofErr w:type="spellEnd"/>
      <w:r w:rsidRPr="000F4A07">
        <w:rPr>
          <w:rFonts w:ascii="Book Antiqua" w:hAnsi="Book Antiqua" w:cs="宋体"/>
          <w:sz w:val="24"/>
          <w:szCs w:val="24"/>
          <w:lang w:eastAsia="zh-CN"/>
        </w:rPr>
        <w:t> 2016; </w:t>
      </w:r>
      <w:proofErr w:type="spellStart"/>
      <w:r w:rsidRPr="000F4A07">
        <w:rPr>
          <w:rFonts w:ascii="Book Antiqua" w:hAnsi="Book Antiqua" w:cs="宋体"/>
          <w:sz w:val="24"/>
          <w:szCs w:val="24"/>
          <w:lang w:eastAsia="zh-CN"/>
        </w:rPr>
        <w:t>Epub</w:t>
      </w:r>
      <w:proofErr w:type="spellEnd"/>
      <w:r w:rsidRPr="000F4A07">
        <w:rPr>
          <w:rFonts w:ascii="Book Antiqua" w:hAnsi="Book Antiqua" w:cs="宋体"/>
          <w:sz w:val="24"/>
          <w:szCs w:val="24"/>
          <w:lang w:eastAsia="zh-CN"/>
        </w:rPr>
        <w:t xml:space="preserve"> ahead of print [PMID: 27569696 DOI: 10.1111/liv.13243]</w:t>
      </w:r>
    </w:p>
    <w:p w14:paraId="70024359"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24 </w:t>
      </w:r>
      <w:proofErr w:type="spellStart"/>
      <w:r w:rsidRPr="000F4A07">
        <w:rPr>
          <w:rFonts w:ascii="Book Antiqua" w:hAnsi="Book Antiqua" w:cs="宋体"/>
          <w:b/>
          <w:bCs/>
          <w:sz w:val="24"/>
          <w:szCs w:val="24"/>
          <w:lang w:eastAsia="zh-CN"/>
        </w:rPr>
        <w:t>Procopet</w:t>
      </w:r>
      <w:proofErr w:type="spellEnd"/>
      <w:r w:rsidRPr="000F4A07">
        <w:rPr>
          <w:rFonts w:ascii="Book Antiqua" w:hAnsi="Book Antiqua" w:cs="宋体"/>
          <w:b/>
          <w:bCs/>
          <w:sz w:val="24"/>
          <w:szCs w:val="24"/>
          <w:lang w:eastAsia="zh-CN"/>
        </w:rPr>
        <w:t xml:space="preserve"> B</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Berzigotti</w:t>
      </w:r>
      <w:proofErr w:type="spellEnd"/>
      <w:r w:rsidRPr="000F4A07">
        <w:rPr>
          <w:rFonts w:ascii="Book Antiqua" w:hAnsi="Book Antiqua" w:cs="宋体"/>
          <w:sz w:val="24"/>
          <w:szCs w:val="24"/>
          <w:lang w:eastAsia="zh-CN"/>
        </w:rPr>
        <w:t xml:space="preserve"> A, </w:t>
      </w:r>
      <w:proofErr w:type="spellStart"/>
      <w:r w:rsidRPr="000F4A07">
        <w:rPr>
          <w:rFonts w:ascii="Book Antiqua" w:hAnsi="Book Antiqua" w:cs="宋体"/>
          <w:sz w:val="24"/>
          <w:szCs w:val="24"/>
          <w:lang w:eastAsia="zh-CN"/>
        </w:rPr>
        <w:t>Abraldes</w:t>
      </w:r>
      <w:proofErr w:type="spellEnd"/>
      <w:r w:rsidRPr="000F4A07">
        <w:rPr>
          <w:rFonts w:ascii="Book Antiqua" w:hAnsi="Book Antiqua" w:cs="宋体"/>
          <w:sz w:val="24"/>
          <w:szCs w:val="24"/>
          <w:lang w:eastAsia="zh-CN"/>
        </w:rPr>
        <w:t xml:space="preserve"> JG, </w:t>
      </w:r>
      <w:proofErr w:type="spellStart"/>
      <w:r w:rsidRPr="000F4A07">
        <w:rPr>
          <w:rFonts w:ascii="Book Antiqua" w:hAnsi="Book Antiqua" w:cs="宋体"/>
          <w:sz w:val="24"/>
          <w:szCs w:val="24"/>
          <w:lang w:eastAsia="zh-CN"/>
        </w:rPr>
        <w:t>Turon</w:t>
      </w:r>
      <w:proofErr w:type="spellEnd"/>
      <w:r w:rsidRPr="000F4A07">
        <w:rPr>
          <w:rFonts w:ascii="Book Antiqua" w:hAnsi="Book Antiqua" w:cs="宋体"/>
          <w:sz w:val="24"/>
          <w:szCs w:val="24"/>
          <w:lang w:eastAsia="zh-CN"/>
        </w:rPr>
        <w:t xml:space="preserve"> F, Hernandez-</w:t>
      </w:r>
      <w:proofErr w:type="spellStart"/>
      <w:r w:rsidRPr="000F4A07">
        <w:rPr>
          <w:rFonts w:ascii="Book Antiqua" w:hAnsi="Book Antiqua" w:cs="宋体"/>
          <w:sz w:val="24"/>
          <w:szCs w:val="24"/>
          <w:lang w:eastAsia="zh-CN"/>
        </w:rPr>
        <w:t>Gea</w:t>
      </w:r>
      <w:proofErr w:type="spellEnd"/>
      <w:r w:rsidRPr="000F4A07">
        <w:rPr>
          <w:rFonts w:ascii="Book Antiqua" w:hAnsi="Book Antiqua" w:cs="宋体"/>
          <w:sz w:val="24"/>
          <w:szCs w:val="24"/>
          <w:lang w:eastAsia="zh-CN"/>
        </w:rPr>
        <w:t xml:space="preserve"> V, </w:t>
      </w:r>
      <w:proofErr w:type="spellStart"/>
      <w:r w:rsidRPr="000F4A07">
        <w:rPr>
          <w:rFonts w:ascii="Book Antiqua" w:hAnsi="Book Antiqua" w:cs="宋体"/>
          <w:sz w:val="24"/>
          <w:szCs w:val="24"/>
          <w:lang w:eastAsia="zh-CN"/>
        </w:rPr>
        <w:t>García-Pagán</w:t>
      </w:r>
      <w:proofErr w:type="spellEnd"/>
      <w:r w:rsidRPr="000F4A07">
        <w:rPr>
          <w:rFonts w:ascii="Book Antiqua" w:hAnsi="Book Antiqua" w:cs="宋体"/>
          <w:sz w:val="24"/>
          <w:szCs w:val="24"/>
          <w:lang w:eastAsia="zh-CN"/>
        </w:rPr>
        <w:t xml:space="preserve"> JC, Bosch J. Real-time shear-wave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applicability, reliability and accuracy for clinically significant portal hypertension. </w:t>
      </w:r>
      <w:r w:rsidRPr="000F4A07">
        <w:rPr>
          <w:rFonts w:ascii="Book Antiqua" w:hAnsi="Book Antiqua" w:cs="宋体"/>
          <w:i/>
          <w:iCs/>
          <w:sz w:val="24"/>
          <w:szCs w:val="24"/>
          <w:lang w:eastAsia="zh-CN"/>
        </w:rPr>
        <w:t xml:space="preserve">J </w:t>
      </w:r>
      <w:proofErr w:type="spellStart"/>
      <w:r w:rsidRPr="000F4A07">
        <w:rPr>
          <w:rFonts w:ascii="Book Antiqua" w:hAnsi="Book Antiqua" w:cs="宋体"/>
          <w:i/>
          <w:iCs/>
          <w:sz w:val="24"/>
          <w:szCs w:val="24"/>
          <w:lang w:eastAsia="zh-CN"/>
        </w:rPr>
        <w:t>Hepatol</w:t>
      </w:r>
      <w:proofErr w:type="spellEnd"/>
      <w:r w:rsidRPr="000F4A07">
        <w:rPr>
          <w:rFonts w:ascii="Book Antiqua" w:hAnsi="Book Antiqua" w:cs="宋体"/>
          <w:sz w:val="24"/>
          <w:szCs w:val="24"/>
          <w:lang w:eastAsia="zh-CN"/>
        </w:rPr>
        <w:t> 2015; </w:t>
      </w:r>
      <w:r w:rsidRPr="000F4A07">
        <w:rPr>
          <w:rFonts w:ascii="Book Antiqua" w:hAnsi="Book Antiqua" w:cs="宋体"/>
          <w:b/>
          <w:bCs/>
          <w:sz w:val="24"/>
          <w:szCs w:val="24"/>
          <w:lang w:eastAsia="zh-CN"/>
        </w:rPr>
        <w:t>62</w:t>
      </w:r>
      <w:r w:rsidRPr="000F4A07">
        <w:rPr>
          <w:rFonts w:ascii="Book Antiqua" w:hAnsi="Book Antiqua" w:cs="宋体"/>
          <w:sz w:val="24"/>
          <w:szCs w:val="24"/>
          <w:lang w:eastAsia="zh-CN"/>
        </w:rPr>
        <w:t>: 1068-1075 [PMID: 25514554 DOI: 10.1016/j.jhep.2014.12.007]</w:t>
      </w:r>
    </w:p>
    <w:p w14:paraId="21DE9D34"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25 </w:t>
      </w:r>
      <w:proofErr w:type="spellStart"/>
      <w:r w:rsidRPr="000F4A07">
        <w:rPr>
          <w:rFonts w:ascii="Book Antiqua" w:hAnsi="Book Antiqua" w:cs="宋体"/>
          <w:b/>
          <w:bCs/>
          <w:sz w:val="24"/>
          <w:szCs w:val="24"/>
          <w:lang w:eastAsia="zh-CN"/>
        </w:rPr>
        <w:t>Elkrief</w:t>
      </w:r>
      <w:proofErr w:type="spellEnd"/>
      <w:r w:rsidRPr="000F4A07">
        <w:rPr>
          <w:rFonts w:ascii="Book Antiqua" w:hAnsi="Book Antiqua" w:cs="宋体"/>
          <w:b/>
          <w:bCs/>
          <w:sz w:val="24"/>
          <w:szCs w:val="24"/>
          <w:lang w:eastAsia="zh-CN"/>
        </w:rPr>
        <w:t xml:space="preserve"> L</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Rautou</w:t>
      </w:r>
      <w:proofErr w:type="spellEnd"/>
      <w:r w:rsidRPr="000F4A07">
        <w:rPr>
          <w:rFonts w:ascii="Book Antiqua" w:hAnsi="Book Antiqua" w:cs="宋体"/>
          <w:sz w:val="24"/>
          <w:szCs w:val="24"/>
          <w:lang w:eastAsia="zh-CN"/>
        </w:rPr>
        <w:t xml:space="preserve"> PE, </w:t>
      </w:r>
      <w:proofErr w:type="spellStart"/>
      <w:r w:rsidRPr="000F4A07">
        <w:rPr>
          <w:rFonts w:ascii="Book Antiqua" w:hAnsi="Book Antiqua" w:cs="宋体"/>
          <w:sz w:val="24"/>
          <w:szCs w:val="24"/>
          <w:lang w:eastAsia="zh-CN"/>
        </w:rPr>
        <w:t>Ronot</w:t>
      </w:r>
      <w:proofErr w:type="spellEnd"/>
      <w:r w:rsidRPr="000F4A07">
        <w:rPr>
          <w:rFonts w:ascii="Book Antiqua" w:hAnsi="Book Antiqua" w:cs="宋体"/>
          <w:sz w:val="24"/>
          <w:szCs w:val="24"/>
          <w:lang w:eastAsia="zh-CN"/>
        </w:rPr>
        <w:t xml:space="preserve"> M, Lambert S, </w:t>
      </w:r>
      <w:proofErr w:type="spellStart"/>
      <w:r w:rsidRPr="000F4A07">
        <w:rPr>
          <w:rFonts w:ascii="Book Antiqua" w:hAnsi="Book Antiqua" w:cs="宋体"/>
          <w:sz w:val="24"/>
          <w:szCs w:val="24"/>
          <w:lang w:eastAsia="zh-CN"/>
        </w:rPr>
        <w:t>Dioguardi</w:t>
      </w:r>
      <w:proofErr w:type="spellEnd"/>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Burgio</w:t>
      </w:r>
      <w:proofErr w:type="spellEnd"/>
      <w:r w:rsidRPr="000F4A07">
        <w:rPr>
          <w:rFonts w:ascii="Book Antiqua" w:hAnsi="Book Antiqua" w:cs="宋体"/>
          <w:sz w:val="24"/>
          <w:szCs w:val="24"/>
          <w:lang w:eastAsia="zh-CN"/>
        </w:rPr>
        <w:t xml:space="preserve"> M, </w:t>
      </w:r>
      <w:proofErr w:type="spellStart"/>
      <w:r w:rsidRPr="000F4A07">
        <w:rPr>
          <w:rFonts w:ascii="Book Antiqua" w:hAnsi="Book Antiqua" w:cs="宋体"/>
          <w:sz w:val="24"/>
          <w:szCs w:val="24"/>
          <w:lang w:eastAsia="zh-CN"/>
        </w:rPr>
        <w:t>Francoz</w:t>
      </w:r>
      <w:proofErr w:type="spellEnd"/>
      <w:r w:rsidRPr="000F4A07">
        <w:rPr>
          <w:rFonts w:ascii="Book Antiqua" w:hAnsi="Book Antiqua" w:cs="宋体"/>
          <w:sz w:val="24"/>
          <w:szCs w:val="24"/>
          <w:lang w:eastAsia="zh-CN"/>
        </w:rPr>
        <w:t xml:space="preserve"> C, </w:t>
      </w:r>
      <w:proofErr w:type="spellStart"/>
      <w:r w:rsidRPr="000F4A07">
        <w:rPr>
          <w:rFonts w:ascii="Book Antiqua" w:hAnsi="Book Antiqua" w:cs="宋体"/>
          <w:sz w:val="24"/>
          <w:szCs w:val="24"/>
          <w:lang w:eastAsia="zh-CN"/>
        </w:rPr>
        <w:t>Plessier</w:t>
      </w:r>
      <w:proofErr w:type="spellEnd"/>
      <w:r w:rsidRPr="000F4A07">
        <w:rPr>
          <w:rFonts w:ascii="Book Antiqua" w:hAnsi="Book Antiqua" w:cs="宋体"/>
          <w:sz w:val="24"/>
          <w:szCs w:val="24"/>
          <w:lang w:eastAsia="zh-CN"/>
        </w:rPr>
        <w:t xml:space="preserve"> A, Durand F, Valla D, </w:t>
      </w:r>
      <w:proofErr w:type="spellStart"/>
      <w:r w:rsidRPr="000F4A07">
        <w:rPr>
          <w:rFonts w:ascii="Book Antiqua" w:hAnsi="Book Antiqua" w:cs="宋体"/>
          <w:sz w:val="24"/>
          <w:szCs w:val="24"/>
          <w:lang w:eastAsia="zh-CN"/>
        </w:rPr>
        <w:t>Lebrec</w:t>
      </w:r>
      <w:proofErr w:type="spellEnd"/>
      <w:r w:rsidRPr="000F4A07">
        <w:rPr>
          <w:rFonts w:ascii="Book Antiqua" w:hAnsi="Book Antiqua" w:cs="宋体"/>
          <w:sz w:val="24"/>
          <w:szCs w:val="24"/>
          <w:lang w:eastAsia="zh-CN"/>
        </w:rPr>
        <w:t xml:space="preserve"> D, </w:t>
      </w:r>
      <w:proofErr w:type="spellStart"/>
      <w:r w:rsidRPr="000F4A07">
        <w:rPr>
          <w:rFonts w:ascii="Book Antiqua" w:hAnsi="Book Antiqua" w:cs="宋体"/>
          <w:sz w:val="24"/>
          <w:szCs w:val="24"/>
          <w:lang w:eastAsia="zh-CN"/>
        </w:rPr>
        <w:t>Vilgrain</w:t>
      </w:r>
      <w:proofErr w:type="spellEnd"/>
      <w:r w:rsidRPr="000F4A07">
        <w:rPr>
          <w:rFonts w:ascii="Book Antiqua" w:hAnsi="Book Antiqua" w:cs="宋体"/>
          <w:sz w:val="24"/>
          <w:szCs w:val="24"/>
          <w:lang w:eastAsia="zh-CN"/>
        </w:rPr>
        <w:t xml:space="preserve"> V, </w:t>
      </w:r>
      <w:proofErr w:type="spellStart"/>
      <w:r w:rsidRPr="000F4A07">
        <w:rPr>
          <w:rFonts w:ascii="Book Antiqua" w:hAnsi="Book Antiqua" w:cs="宋体"/>
          <w:sz w:val="24"/>
          <w:szCs w:val="24"/>
          <w:lang w:eastAsia="zh-CN"/>
        </w:rPr>
        <w:t>Castéra</w:t>
      </w:r>
      <w:proofErr w:type="spellEnd"/>
      <w:r w:rsidRPr="000F4A07">
        <w:rPr>
          <w:rFonts w:ascii="Book Antiqua" w:hAnsi="Book Antiqua" w:cs="宋体"/>
          <w:sz w:val="24"/>
          <w:szCs w:val="24"/>
          <w:lang w:eastAsia="zh-CN"/>
        </w:rPr>
        <w:t xml:space="preserve"> L. Prospective comparison of spleen and liver stiffness by using shear-wave and transient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xml:space="preserve"> for detection of portal hypertension in cirrhosis. </w:t>
      </w:r>
      <w:r w:rsidRPr="000F4A07">
        <w:rPr>
          <w:rFonts w:ascii="Book Antiqua" w:hAnsi="Book Antiqua" w:cs="宋体"/>
          <w:i/>
          <w:iCs/>
          <w:sz w:val="24"/>
          <w:szCs w:val="24"/>
          <w:lang w:eastAsia="zh-CN"/>
        </w:rPr>
        <w:t>Radiology</w:t>
      </w:r>
      <w:r w:rsidRPr="000F4A07">
        <w:rPr>
          <w:rFonts w:ascii="Book Antiqua" w:hAnsi="Book Antiqua" w:cs="宋体"/>
          <w:sz w:val="24"/>
          <w:szCs w:val="24"/>
          <w:lang w:eastAsia="zh-CN"/>
        </w:rPr>
        <w:t xml:space="preserve"> 2015; </w:t>
      </w:r>
      <w:r w:rsidRPr="000F4A07">
        <w:rPr>
          <w:rFonts w:ascii="Book Antiqua" w:hAnsi="Book Antiqua" w:cs="宋体"/>
          <w:b/>
          <w:bCs/>
          <w:sz w:val="24"/>
          <w:szCs w:val="24"/>
          <w:lang w:eastAsia="zh-CN"/>
        </w:rPr>
        <w:t>275</w:t>
      </w:r>
      <w:r w:rsidRPr="000F4A07">
        <w:rPr>
          <w:rFonts w:ascii="Book Antiqua" w:hAnsi="Book Antiqua" w:cs="宋体"/>
          <w:sz w:val="24"/>
          <w:szCs w:val="24"/>
          <w:lang w:eastAsia="zh-CN"/>
        </w:rPr>
        <w:t>: 589-598 [PMID: 25469784 DOI: 10.1148/radiol.14141210]</w:t>
      </w:r>
    </w:p>
    <w:p w14:paraId="74418EB5"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26 </w:t>
      </w:r>
      <w:proofErr w:type="spellStart"/>
      <w:r w:rsidRPr="000F4A07">
        <w:rPr>
          <w:rFonts w:ascii="Book Antiqua" w:hAnsi="Book Antiqua" w:cs="宋体"/>
          <w:b/>
          <w:bCs/>
          <w:sz w:val="24"/>
          <w:szCs w:val="24"/>
          <w:lang w:eastAsia="zh-CN"/>
        </w:rPr>
        <w:t>Attia</w:t>
      </w:r>
      <w:proofErr w:type="spellEnd"/>
      <w:r w:rsidRPr="000F4A07">
        <w:rPr>
          <w:rFonts w:ascii="Book Antiqua" w:hAnsi="Book Antiqua" w:cs="宋体"/>
          <w:b/>
          <w:bCs/>
          <w:sz w:val="24"/>
          <w:szCs w:val="24"/>
          <w:lang w:eastAsia="zh-CN"/>
        </w:rPr>
        <w:t xml:space="preserve"> D</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Schoenemeier</w:t>
      </w:r>
      <w:proofErr w:type="spellEnd"/>
      <w:r w:rsidRPr="000F4A07">
        <w:rPr>
          <w:rFonts w:ascii="Book Antiqua" w:hAnsi="Book Antiqua" w:cs="宋体"/>
          <w:sz w:val="24"/>
          <w:szCs w:val="24"/>
          <w:lang w:eastAsia="zh-CN"/>
        </w:rPr>
        <w:t xml:space="preserve"> B, </w:t>
      </w:r>
      <w:proofErr w:type="spellStart"/>
      <w:r w:rsidRPr="000F4A07">
        <w:rPr>
          <w:rFonts w:ascii="Book Antiqua" w:hAnsi="Book Antiqua" w:cs="宋体"/>
          <w:sz w:val="24"/>
          <w:szCs w:val="24"/>
          <w:lang w:eastAsia="zh-CN"/>
        </w:rPr>
        <w:t>Rodt</w:t>
      </w:r>
      <w:proofErr w:type="spellEnd"/>
      <w:r w:rsidRPr="000F4A07">
        <w:rPr>
          <w:rFonts w:ascii="Book Antiqua" w:hAnsi="Book Antiqua" w:cs="宋体"/>
          <w:sz w:val="24"/>
          <w:szCs w:val="24"/>
          <w:lang w:eastAsia="zh-CN"/>
        </w:rPr>
        <w:t xml:space="preserve"> T, </w:t>
      </w:r>
      <w:proofErr w:type="spellStart"/>
      <w:r w:rsidRPr="000F4A07">
        <w:rPr>
          <w:rFonts w:ascii="Book Antiqua" w:hAnsi="Book Antiqua" w:cs="宋体"/>
          <w:sz w:val="24"/>
          <w:szCs w:val="24"/>
          <w:lang w:eastAsia="zh-CN"/>
        </w:rPr>
        <w:t>Negm</w:t>
      </w:r>
      <w:proofErr w:type="spellEnd"/>
      <w:r w:rsidRPr="000F4A07">
        <w:rPr>
          <w:rFonts w:ascii="Book Antiqua" w:hAnsi="Book Antiqua" w:cs="宋体"/>
          <w:sz w:val="24"/>
          <w:szCs w:val="24"/>
          <w:lang w:eastAsia="zh-CN"/>
        </w:rPr>
        <w:t xml:space="preserve"> AA, </w:t>
      </w:r>
      <w:proofErr w:type="spellStart"/>
      <w:r w:rsidRPr="000F4A07">
        <w:rPr>
          <w:rFonts w:ascii="Book Antiqua" w:hAnsi="Book Antiqua" w:cs="宋体"/>
          <w:sz w:val="24"/>
          <w:szCs w:val="24"/>
          <w:lang w:eastAsia="zh-CN"/>
        </w:rPr>
        <w:t>Lenzen</w:t>
      </w:r>
      <w:proofErr w:type="spellEnd"/>
      <w:r w:rsidRPr="000F4A07">
        <w:rPr>
          <w:rFonts w:ascii="Book Antiqua" w:hAnsi="Book Antiqua" w:cs="宋体"/>
          <w:sz w:val="24"/>
          <w:szCs w:val="24"/>
          <w:lang w:eastAsia="zh-CN"/>
        </w:rPr>
        <w:t xml:space="preserve"> H, </w:t>
      </w:r>
      <w:proofErr w:type="spellStart"/>
      <w:r w:rsidRPr="000F4A07">
        <w:rPr>
          <w:rFonts w:ascii="Book Antiqua" w:hAnsi="Book Antiqua" w:cs="宋体"/>
          <w:sz w:val="24"/>
          <w:szCs w:val="24"/>
          <w:lang w:eastAsia="zh-CN"/>
        </w:rPr>
        <w:t>Lankisch</w:t>
      </w:r>
      <w:proofErr w:type="spellEnd"/>
      <w:r w:rsidRPr="000F4A07">
        <w:rPr>
          <w:rFonts w:ascii="Book Antiqua" w:hAnsi="Book Antiqua" w:cs="宋体"/>
          <w:sz w:val="24"/>
          <w:szCs w:val="24"/>
          <w:lang w:eastAsia="zh-CN"/>
        </w:rPr>
        <w:t xml:space="preserve"> TO, </w:t>
      </w:r>
      <w:proofErr w:type="spellStart"/>
      <w:r w:rsidRPr="000F4A07">
        <w:rPr>
          <w:rFonts w:ascii="Book Antiqua" w:hAnsi="Book Antiqua" w:cs="宋体"/>
          <w:sz w:val="24"/>
          <w:szCs w:val="24"/>
          <w:lang w:eastAsia="zh-CN"/>
        </w:rPr>
        <w:t>Manns</w:t>
      </w:r>
      <w:proofErr w:type="spellEnd"/>
      <w:r w:rsidRPr="000F4A07">
        <w:rPr>
          <w:rFonts w:ascii="Book Antiqua" w:hAnsi="Book Antiqua" w:cs="宋体"/>
          <w:sz w:val="24"/>
          <w:szCs w:val="24"/>
          <w:lang w:eastAsia="zh-CN"/>
        </w:rPr>
        <w:t xml:space="preserve"> M, Gebel M, </w:t>
      </w:r>
      <w:proofErr w:type="spellStart"/>
      <w:r w:rsidRPr="000F4A07">
        <w:rPr>
          <w:rFonts w:ascii="Book Antiqua" w:hAnsi="Book Antiqua" w:cs="宋体"/>
          <w:sz w:val="24"/>
          <w:szCs w:val="24"/>
          <w:lang w:eastAsia="zh-CN"/>
        </w:rPr>
        <w:t>Potthoff</w:t>
      </w:r>
      <w:proofErr w:type="spellEnd"/>
      <w:r w:rsidRPr="000F4A07">
        <w:rPr>
          <w:rFonts w:ascii="Book Antiqua" w:hAnsi="Book Antiqua" w:cs="宋体"/>
          <w:sz w:val="24"/>
          <w:szCs w:val="24"/>
          <w:lang w:eastAsia="zh-CN"/>
        </w:rPr>
        <w:t xml:space="preserve"> A. Evaluation of Liver and Spleen Stiffness with Acoustic </w:t>
      </w:r>
      <w:r w:rsidRPr="000F4A07">
        <w:rPr>
          <w:rFonts w:ascii="Book Antiqua" w:hAnsi="Book Antiqua" w:cs="宋体"/>
          <w:sz w:val="24"/>
          <w:szCs w:val="24"/>
          <w:lang w:eastAsia="zh-CN"/>
        </w:rPr>
        <w:lastRenderedPageBreak/>
        <w:t xml:space="preserve">Radiation Force Impulse Quantification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xml:space="preserve"> for Diagnosing Clinically Significant Portal Hypertension. </w:t>
      </w:r>
      <w:proofErr w:type="spellStart"/>
      <w:r w:rsidRPr="000F4A07">
        <w:rPr>
          <w:rFonts w:ascii="Book Antiqua" w:hAnsi="Book Antiqua" w:cs="宋体"/>
          <w:i/>
          <w:iCs/>
          <w:sz w:val="24"/>
          <w:szCs w:val="24"/>
          <w:lang w:eastAsia="zh-CN"/>
        </w:rPr>
        <w:t>Ultraschall</w:t>
      </w:r>
      <w:proofErr w:type="spellEnd"/>
      <w:r w:rsidRPr="000F4A07">
        <w:rPr>
          <w:rFonts w:ascii="Book Antiqua" w:hAnsi="Book Antiqua" w:cs="宋体"/>
          <w:i/>
          <w:iCs/>
          <w:sz w:val="24"/>
          <w:szCs w:val="24"/>
          <w:lang w:eastAsia="zh-CN"/>
        </w:rPr>
        <w:t xml:space="preserve"> Med</w:t>
      </w:r>
      <w:r w:rsidRPr="000F4A07">
        <w:rPr>
          <w:rFonts w:ascii="Book Antiqua" w:hAnsi="Book Antiqua" w:cs="宋体"/>
          <w:sz w:val="24"/>
          <w:szCs w:val="24"/>
          <w:lang w:eastAsia="zh-CN"/>
        </w:rPr>
        <w:t xml:space="preserve"> 2015; </w:t>
      </w:r>
      <w:r w:rsidRPr="000F4A07">
        <w:rPr>
          <w:rFonts w:ascii="Book Antiqua" w:hAnsi="Book Antiqua" w:cs="宋体"/>
          <w:b/>
          <w:bCs/>
          <w:sz w:val="24"/>
          <w:szCs w:val="24"/>
          <w:lang w:eastAsia="zh-CN"/>
        </w:rPr>
        <w:t>36</w:t>
      </w:r>
      <w:r w:rsidRPr="000F4A07">
        <w:rPr>
          <w:rFonts w:ascii="Book Antiqua" w:hAnsi="Book Antiqua" w:cs="宋体"/>
          <w:sz w:val="24"/>
          <w:szCs w:val="24"/>
          <w:lang w:eastAsia="zh-CN"/>
        </w:rPr>
        <w:t>: 603-610 [PMID: 26565516 DOI: 10.1055/s-0041-107971]</w:t>
      </w:r>
    </w:p>
    <w:p w14:paraId="120CA626"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27 </w:t>
      </w:r>
      <w:r w:rsidRPr="000F4A07">
        <w:rPr>
          <w:rFonts w:ascii="Book Antiqua" w:hAnsi="Book Antiqua" w:cs="宋体"/>
          <w:b/>
          <w:bCs/>
          <w:sz w:val="24"/>
          <w:szCs w:val="24"/>
          <w:lang w:eastAsia="zh-CN"/>
        </w:rPr>
        <w:t>Takuma Y</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Nouso</w:t>
      </w:r>
      <w:proofErr w:type="spellEnd"/>
      <w:r w:rsidRPr="000F4A07">
        <w:rPr>
          <w:rFonts w:ascii="Book Antiqua" w:hAnsi="Book Antiqua" w:cs="宋体"/>
          <w:sz w:val="24"/>
          <w:szCs w:val="24"/>
          <w:lang w:eastAsia="zh-CN"/>
        </w:rPr>
        <w:t xml:space="preserve"> K, </w:t>
      </w:r>
      <w:proofErr w:type="gramStart"/>
      <w:r w:rsidRPr="000F4A07">
        <w:rPr>
          <w:rFonts w:ascii="Book Antiqua" w:hAnsi="Book Antiqua" w:cs="宋体"/>
          <w:sz w:val="24"/>
          <w:szCs w:val="24"/>
          <w:lang w:eastAsia="zh-CN"/>
        </w:rPr>
        <w:t>Morimoto</w:t>
      </w:r>
      <w:proofErr w:type="gramEnd"/>
      <w:r w:rsidRPr="000F4A07">
        <w:rPr>
          <w:rFonts w:ascii="Book Antiqua" w:hAnsi="Book Antiqua" w:cs="宋体"/>
          <w:sz w:val="24"/>
          <w:szCs w:val="24"/>
          <w:lang w:eastAsia="zh-CN"/>
        </w:rPr>
        <w:t xml:space="preserve"> Y, </w:t>
      </w:r>
      <w:proofErr w:type="spellStart"/>
      <w:r w:rsidRPr="000F4A07">
        <w:rPr>
          <w:rFonts w:ascii="Book Antiqua" w:hAnsi="Book Antiqua" w:cs="宋体"/>
          <w:sz w:val="24"/>
          <w:szCs w:val="24"/>
          <w:lang w:eastAsia="zh-CN"/>
        </w:rPr>
        <w:t>Tomokuni</w:t>
      </w:r>
      <w:proofErr w:type="spellEnd"/>
      <w:r w:rsidRPr="000F4A07">
        <w:rPr>
          <w:rFonts w:ascii="Book Antiqua" w:hAnsi="Book Antiqua" w:cs="宋体"/>
          <w:sz w:val="24"/>
          <w:szCs w:val="24"/>
          <w:lang w:eastAsia="zh-CN"/>
        </w:rPr>
        <w:t xml:space="preserve"> J, Sahara A, </w:t>
      </w:r>
      <w:proofErr w:type="spellStart"/>
      <w:r w:rsidRPr="000F4A07">
        <w:rPr>
          <w:rFonts w:ascii="Book Antiqua" w:hAnsi="Book Antiqua" w:cs="宋体"/>
          <w:sz w:val="24"/>
          <w:szCs w:val="24"/>
          <w:lang w:eastAsia="zh-CN"/>
        </w:rPr>
        <w:t>Takabatake</w:t>
      </w:r>
      <w:proofErr w:type="spellEnd"/>
      <w:r w:rsidRPr="000F4A07">
        <w:rPr>
          <w:rFonts w:ascii="Book Antiqua" w:hAnsi="Book Antiqua" w:cs="宋体"/>
          <w:sz w:val="24"/>
          <w:szCs w:val="24"/>
          <w:lang w:eastAsia="zh-CN"/>
        </w:rPr>
        <w:t xml:space="preserve"> H, </w:t>
      </w:r>
      <w:proofErr w:type="spellStart"/>
      <w:r w:rsidRPr="000F4A07">
        <w:rPr>
          <w:rFonts w:ascii="Book Antiqua" w:hAnsi="Book Antiqua" w:cs="宋体"/>
          <w:sz w:val="24"/>
          <w:szCs w:val="24"/>
          <w:lang w:eastAsia="zh-CN"/>
        </w:rPr>
        <w:t>Matsueda</w:t>
      </w:r>
      <w:proofErr w:type="spellEnd"/>
      <w:r w:rsidRPr="000F4A07">
        <w:rPr>
          <w:rFonts w:ascii="Book Antiqua" w:hAnsi="Book Antiqua" w:cs="宋体"/>
          <w:sz w:val="24"/>
          <w:szCs w:val="24"/>
          <w:lang w:eastAsia="zh-CN"/>
        </w:rPr>
        <w:t xml:space="preserve"> K, Yamamoto H. Portal Hypertension in Patients with Liver Cirrhosis: Diagnostic Accuracy of Spleen Stiffness. </w:t>
      </w:r>
      <w:r w:rsidRPr="000F4A07">
        <w:rPr>
          <w:rFonts w:ascii="Book Antiqua" w:hAnsi="Book Antiqua" w:cs="宋体"/>
          <w:i/>
          <w:iCs/>
          <w:sz w:val="24"/>
          <w:szCs w:val="24"/>
          <w:lang w:eastAsia="zh-CN"/>
        </w:rPr>
        <w:t>Radiology</w:t>
      </w:r>
      <w:r w:rsidRPr="000F4A07">
        <w:rPr>
          <w:rFonts w:ascii="Book Antiqua" w:hAnsi="Book Antiqua" w:cs="宋体"/>
          <w:sz w:val="24"/>
          <w:szCs w:val="24"/>
          <w:lang w:eastAsia="zh-CN"/>
        </w:rPr>
        <w:t> 2016; </w:t>
      </w:r>
      <w:r w:rsidRPr="000F4A07">
        <w:rPr>
          <w:rFonts w:ascii="Book Antiqua" w:hAnsi="Book Antiqua" w:cs="宋体"/>
          <w:b/>
          <w:bCs/>
          <w:sz w:val="24"/>
          <w:szCs w:val="24"/>
          <w:lang w:eastAsia="zh-CN"/>
        </w:rPr>
        <w:t>279</w:t>
      </w:r>
      <w:r w:rsidRPr="000F4A07">
        <w:rPr>
          <w:rFonts w:ascii="Book Antiqua" w:hAnsi="Book Antiqua" w:cs="宋体"/>
          <w:sz w:val="24"/>
          <w:szCs w:val="24"/>
          <w:lang w:eastAsia="zh-CN"/>
        </w:rPr>
        <w:t>: 609-619 [PMID: 26588019 DOI: 10.1148/radiol.2015150690]</w:t>
      </w:r>
    </w:p>
    <w:p w14:paraId="0A4EC4F8"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28 </w:t>
      </w:r>
      <w:proofErr w:type="spellStart"/>
      <w:r w:rsidRPr="000F4A07">
        <w:rPr>
          <w:rFonts w:ascii="Book Antiqua" w:hAnsi="Book Antiqua" w:cs="宋体"/>
          <w:b/>
          <w:bCs/>
          <w:sz w:val="24"/>
          <w:szCs w:val="24"/>
          <w:lang w:eastAsia="zh-CN"/>
        </w:rPr>
        <w:t>Salzl</w:t>
      </w:r>
      <w:proofErr w:type="spellEnd"/>
      <w:r w:rsidRPr="000F4A07">
        <w:rPr>
          <w:rFonts w:ascii="Book Antiqua" w:hAnsi="Book Antiqua" w:cs="宋体"/>
          <w:b/>
          <w:bCs/>
          <w:sz w:val="24"/>
          <w:szCs w:val="24"/>
          <w:lang w:eastAsia="zh-CN"/>
        </w:rPr>
        <w:t xml:space="preserve"> P</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Reiberger</w:t>
      </w:r>
      <w:proofErr w:type="spellEnd"/>
      <w:r w:rsidRPr="000F4A07">
        <w:rPr>
          <w:rFonts w:ascii="Book Antiqua" w:hAnsi="Book Antiqua" w:cs="宋体"/>
          <w:sz w:val="24"/>
          <w:szCs w:val="24"/>
          <w:lang w:eastAsia="zh-CN"/>
        </w:rPr>
        <w:t xml:space="preserve"> T, </w:t>
      </w:r>
      <w:proofErr w:type="spellStart"/>
      <w:r w:rsidRPr="000F4A07">
        <w:rPr>
          <w:rFonts w:ascii="Book Antiqua" w:hAnsi="Book Antiqua" w:cs="宋体"/>
          <w:sz w:val="24"/>
          <w:szCs w:val="24"/>
          <w:lang w:eastAsia="zh-CN"/>
        </w:rPr>
        <w:t>Ferlitsch</w:t>
      </w:r>
      <w:proofErr w:type="spellEnd"/>
      <w:r w:rsidRPr="000F4A07">
        <w:rPr>
          <w:rFonts w:ascii="Book Antiqua" w:hAnsi="Book Antiqua" w:cs="宋体"/>
          <w:sz w:val="24"/>
          <w:szCs w:val="24"/>
          <w:lang w:eastAsia="zh-CN"/>
        </w:rPr>
        <w:t xml:space="preserve"> M, Payer BA, </w:t>
      </w:r>
      <w:proofErr w:type="spellStart"/>
      <w:r w:rsidRPr="000F4A07">
        <w:rPr>
          <w:rFonts w:ascii="Book Antiqua" w:hAnsi="Book Antiqua" w:cs="宋体"/>
          <w:sz w:val="24"/>
          <w:szCs w:val="24"/>
          <w:lang w:eastAsia="zh-CN"/>
        </w:rPr>
        <w:t>Schwengerer</w:t>
      </w:r>
      <w:proofErr w:type="spellEnd"/>
      <w:r w:rsidRPr="000F4A07">
        <w:rPr>
          <w:rFonts w:ascii="Book Antiqua" w:hAnsi="Book Antiqua" w:cs="宋体"/>
          <w:sz w:val="24"/>
          <w:szCs w:val="24"/>
          <w:lang w:eastAsia="zh-CN"/>
        </w:rPr>
        <w:t xml:space="preserve"> B, </w:t>
      </w:r>
      <w:proofErr w:type="spellStart"/>
      <w:r w:rsidRPr="000F4A07">
        <w:rPr>
          <w:rFonts w:ascii="Book Antiqua" w:hAnsi="Book Antiqua" w:cs="宋体"/>
          <w:sz w:val="24"/>
          <w:szCs w:val="24"/>
          <w:lang w:eastAsia="zh-CN"/>
        </w:rPr>
        <w:t>Trauner</w:t>
      </w:r>
      <w:proofErr w:type="spellEnd"/>
      <w:r w:rsidRPr="000F4A07">
        <w:rPr>
          <w:rFonts w:ascii="Book Antiqua" w:hAnsi="Book Antiqua" w:cs="宋体"/>
          <w:sz w:val="24"/>
          <w:szCs w:val="24"/>
          <w:lang w:eastAsia="zh-CN"/>
        </w:rPr>
        <w:t xml:space="preserve"> M, Peck-</w:t>
      </w:r>
      <w:proofErr w:type="spellStart"/>
      <w:r w:rsidRPr="000F4A07">
        <w:rPr>
          <w:rFonts w:ascii="Book Antiqua" w:hAnsi="Book Antiqua" w:cs="宋体"/>
          <w:sz w:val="24"/>
          <w:szCs w:val="24"/>
          <w:lang w:eastAsia="zh-CN"/>
        </w:rPr>
        <w:t>Radosavljevic</w:t>
      </w:r>
      <w:proofErr w:type="spellEnd"/>
      <w:r w:rsidRPr="000F4A07">
        <w:rPr>
          <w:rFonts w:ascii="Book Antiqua" w:hAnsi="Book Antiqua" w:cs="宋体"/>
          <w:sz w:val="24"/>
          <w:szCs w:val="24"/>
          <w:lang w:eastAsia="zh-CN"/>
        </w:rPr>
        <w:t xml:space="preserve"> M, </w:t>
      </w:r>
      <w:proofErr w:type="spellStart"/>
      <w:r w:rsidRPr="000F4A07">
        <w:rPr>
          <w:rFonts w:ascii="Book Antiqua" w:hAnsi="Book Antiqua" w:cs="宋体"/>
          <w:sz w:val="24"/>
          <w:szCs w:val="24"/>
          <w:lang w:eastAsia="zh-CN"/>
        </w:rPr>
        <w:t>Ferlitsch</w:t>
      </w:r>
      <w:proofErr w:type="spellEnd"/>
      <w:r w:rsidRPr="000F4A07">
        <w:rPr>
          <w:rFonts w:ascii="Book Antiqua" w:hAnsi="Book Antiqua" w:cs="宋体"/>
          <w:sz w:val="24"/>
          <w:szCs w:val="24"/>
          <w:lang w:eastAsia="zh-CN"/>
        </w:rPr>
        <w:t xml:space="preserve"> A. Evaluation of portal hypertension and varices by acoustic radiation force impulse imaging of the liver compared to transient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xml:space="preserve"> and AST to platelet ratio index. </w:t>
      </w:r>
      <w:proofErr w:type="spellStart"/>
      <w:r w:rsidRPr="000F4A07">
        <w:rPr>
          <w:rFonts w:ascii="Book Antiqua" w:hAnsi="Book Antiqua" w:cs="宋体"/>
          <w:i/>
          <w:iCs/>
          <w:sz w:val="24"/>
          <w:szCs w:val="24"/>
          <w:lang w:eastAsia="zh-CN"/>
        </w:rPr>
        <w:t>Ultraschall</w:t>
      </w:r>
      <w:proofErr w:type="spellEnd"/>
      <w:r w:rsidRPr="000F4A07">
        <w:rPr>
          <w:rFonts w:ascii="Book Antiqua" w:hAnsi="Book Antiqua" w:cs="宋体"/>
          <w:i/>
          <w:iCs/>
          <w:sz w:val="24"/>
          <w:szCs w:val="24"/>
          <w:lang w:eastAsia="zh-CN"/>
        </w:rPr>
        <w:t xml:space="preserve"> Med</w:t>
      </w:r>
      <w:r w:rsidRPr="000F4A07">
        <w:rPr>
          <w:rFonts w:ascii="Book Antiqua" w:hAnsi="Book Antiqua" w:cs="宋体"/>
          <w:sz w:val="24"/>
          <w:szCs w:val="24"/>
          <w:lang w:eastAsia="zh-CN"/>
        </w:rPr>
        <w:t> 2014; </w:t>
      </w:r>
      <w:r w:rsidRPr="000F4A07">
        <w:rPr>
          <w:rFonts w:ascii="Book Antiqua" w:hAnsi="Book Antiqua" w:cs="宋体"/>
          <w:b/>
          <w:bCs/>
          <w:sz w:val="24"/>
          <w:szCs w:val="24"/>
          <w:lang w:eastAsia="zh-CN"/>
        </w:rPr>
        <w:t>35</w:t>
      </w:r>
      <w:r w:rsidRPr="000F4A07">
        <w:rPr>
          <w:rFonts w:ascii="Book Antiqua" w:hAnsi="Book Antiqua" w:cs="宋体"/>
          <w:sz w:val="24"/>
          <w:szCs w:val="24"/>
          <w:lang w:eastAsia="zh-CN"/>
        </w:rPr>
        <w:t>: 528-533 [PMID: 24871695 DOI: 10.1055/s-0034-1366506]</w:t>
      </w:r>
    </w:p>
    <w:p w14:paraId="0AE70450"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29 </w:t>
      </w:r>
      <w:proofErr w:type="spellStart"/>
      <w:r w:rsidRPr="000F4A07">
        <w:rPr>
          <w:rFonts w:ascii="Book Antiqua" w:hAnsi="Book Antiqua" w:cs="宋体"/>
          <w:b/>
          <w:bCs/>
          <w:sz w:val="24"/>
          <w:szCs w:val="24"/>
          <w:lang w:eastAsia="zh-CN"/>
        </w:rPr>
        <w:t>Hametner</w:t>
      </w:r>
      <w:proofErr w:type="spellEnd"/>
      <w:r w:rsidRPr="000F4A07">
        <w:rPr>
          <w:rFonts w:ascii="Book Antiqua" w:hAnsi="Book Antiqua" w:cs="宋体"/>
          <w:b/>
          <w:bCs/>
          <w:sz w:val="24"/>
          <w:szCs w:val="24"/>
          <w:lang w:eastAsia="zh-CN"/>
        </w:rPr>
        <w:t xml:space="preserve"> S</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Ferlitsch</w:t>
      </w:r>
      <w:proofErr w:type="spellEnd"/>
      <w:r w:rsidRPr="000F4A07">
        <w:rPr>
          <w:rFonts w:ascii="Book Antiqua" w:hAnsi="Book Antiqua" w:cs="宋体"/>
          <w:sz w:val="24"/>
          <w:szCs w:val="24"/>
          <w:lang w:eastAsia="zh-CN"/>
        </w:rPr>
        <w:t xml:space="preserve"> A, </w:t>
      </w:r>
      <w:proofErr w:type="spellStart"/>
      <w:r w:rsidRPr="000F4A07">
        <w:rPr>
          <w:rFonts w:ascii="Book Antiqua" w:hAnsi="Book Antiqua" w:cs="宋体"/>
          <w:sz w:val="24"/>
          <w:szCs w:val="24"/>
          <w:lang w:eastAsia="zh-CN"/>
        </w:rPr>
        <w:t>Ferlitsch</w:t>
      </w:r>
      <w:proofErr w:type="spellEnd"/>
      <w:r w:rsidRPr="000F4A07">
        <w:rPr>
          <w:rFonts w:ascii="Book Antiqua" w:hAnsi="Book Antiqua" w:cs="宋体"/>
          <w:sz w:val="24"/>
          <w:szCs w:val="24"/>
          <w:lang w:eastAsia="zh-CN"/>
        </w:rPr>
        <w:t xml:space="preserve"> M, </w:t>
      </w:r>
      <w:proofErr w:type="spellStart"/>
      <w:r w:rsidRPr="000F4A07">
        <w:rPr>
          <w:rFonts w:ascii="Book Antiqua" w:hAnsi="Book Antiqua" w:cs="宋体"/>
          <w:sz w:val="24"/>
          <w:szCs w:val="24"/>
          <w:lang w:eastAsia="zh-CN"/>
        </w:rPr>
        <w:t>Etschmaier</w:t>
      </w:r>
      <w:proofErr w:type="spellEnd"/>
      <w:r w:rsidRPr="000F4A07">
        <w:rPr>
          <w:rFonts w:ascii="Book Antiqua" w:hAnsi="Book Antiqua" w:cs="宋体"/>
          <w:sz w:val="24"/>
          <w:szCs w:val="24"/>
          <w:lang w:eastAsia="zh-CN"/>
        </w:rPr>
        <w:t xml:space="preserve"> A, </w:t>
      </w:r>
      <w:proofErr w:type="spellStart"/>
      <w:r w:rsidRPr="000F4A07">
        <w:rPr>
          <w:rFonts w:ascii="Book Antiqua" w:hAnsi="Book Antiqua" w:cs="宋体"/>
          <w:sz w:val="24"/>
          <w:szCs w:val="24"/>
          <w:lang w:eastAsia="zh-CN"/>
        </w:rPr>
        <w:t>Schöfl</w:t>
      </w:r>
      <w:proofErr w:type="spellEnd"/>
      <w:r w:rsidRPr="000F4A07">
        <w:rPr>
          <w:rFonts w:ascii="Book Antiqua" w:hAnsi="Book Antiqua" w:cs="宋体"/>
          <w:sz w:val="24"/>
          <w:szCs w:val="24"/>
          <w:lang w:eastAsia="zh-CN"/>
        </w:rPr>
        <w:t xml:space="preserve"> R, </w:t>
      </w:r>
      <w:proofErr w:type="spellStart"/>
      <w:r w:rsidRPr="000F4A07">
        <w:rPr>
          <w:rFonts w:ascii="Book Antiqua" w:hAnsi="Book Antiqua" w:cs="宋体"/>
          <w:sz w:val="24"/>
          <w:szCs w:val="24"/>
          <w:lang w:eastAsia="zh-CN"/>
        </w:rPr>
        <w:t>Ziachehabi</w:t>
      </w:r>
      <w:proofErr w:type="spellEnd"/>
      <w:r w:rsidRPr="000F4A07">
        <w:rPr>
          <w:rFonts w:ascii="Book Antiqua" w:hAnsi="Book Antiqua" w:cs="宋体"/>
          <w:sz w:val="24"/>
          <w:szCs w:val="24"/>
          <w:lang w:eastAsia="zh-CN"/>
        </w:rPr>
        <w:t xml:space="preserve"> A, </w:t>
      </w:r>
      <w:proofErr w:type="spellStart"/>
      <w:r w:rsidRPr="000F4A07">
        <w:rPr>
          <w:rFonts w:ascii="Book Antiqua" w:hAnsi="Book Antiqua" w:cs="宋体"/>
          <w:sz w:val="24"/>
          <w:szCs w:val="24"/>
          <w:lang w:eastAsia="zh-CN"/>
        </w:rPr>
        <w:t>Maieron</w:t>
      </w:r>
      <w:proofErr w:type="spellEnd"/>
      <w:r w:rsidRPr="000F4A07">
        <w:rPr>
          <w:rFonts w:ascii="Book Antiqua" w:hAnsi="Book Antiqua" w:cs="宋体"/>
          <w:sz w:val="24"/>
          <w:szCs w:val="24"/>
          <w:lang w:eastAsia="zh-CN"/>
        </w:rPr>
        <w:t xml:space="preserve"> A. The VITRO Score (Von </w:t>
      </w:r>
      <w:proofErr w:type="spellStart"/>
      <w:r w:rsidRPr="000F4A07">
        <w:rPr>
          <w:rFonts w:ascii="Book Antiqua" w:hAnsi="Book Antiqua" w:cs="宋体"/>
          <w:sz w:val="24"/>
          <w:szCs w:val="24"/>
          <w:lang w:eastAsia="zh-CN"/>
        </w:rPr>
        <w:t>Willebrand</w:t>
      </w:r>
      <w:proofErr w:type="spellEnd"/>
      <w:r w:rsidRPr="000F4A07">
        <w:rPr>
          <w:rFonts w:ascii="Book Antiqua" w:hAnsi="Book Antiqua" w:cs="宋体"/>
          <w:sz w:val="24"/>
          <w:szCs w:val="24"/>
          <w:lang w:eastAsia="zh-CN"/>
        </w:rPr>
        <w:t xml:space="preserve"> Factor Antigen/Thrombocyte Ratio) as a New Marker for Clinically Significant Portal Hypertension in Comparison to Other Non-Invasive Parameters of Fibrosis Including ELF Test. </w:t>
      </w:r>
      <w:proofErr w:type="spellStart"/>
      <w:r w:rsidRPr="000F4A07">
        <w:rPr>
          <w:rFonts w:ascii="Book Antiqua" w:hAnsi="Book Antiqua" w:cs="宋体"/>
          <w:i/>
          <w:iCs/>
          <w:sz w:val="24"/>
          <w:szCs w:val="24"/>
          <w:lang w:eastAsia="zh-CN"/>
        </w:rPr>
        <w:t>PLoS</w:t>
      </w:r>
      <w:proofErr w:type="spellEnd"/>
      <w:r w:rsidRPr="000F4A07">
        <w:rPr>
          <w:rFonts w:ascii="Book Antiqua" w:hAnsi="Book Antiqua" w:cs="宋体"/>
          <w:i/>
          <w:iCs/>
          <w:sz w:val="24"/>
          <w:szCs w:val="24"/>
          <w:lang w:eastAsia="zh-CN"/>
        </w:rPr>
        <w:t xml:space="preserve"> One</w:t>
      </w:r>
      <w:r w:rsidRPr="000F4A07">
        <w:rPr>
          <w:rFonts w:ascii="Book Antiqua" w:hAnsi="Book Antiqua" w:cs="宋体"/>
          <w:sz w:val="24"/>
          <w:szCs w:val="24"/>
          <w:lang w:eastAsia="zh-CN"/>
        </w:rPr>
        <w:t xml:space="preserve"> 2016; </w:t>
      </w:r>
      <w:r w:rsidRPr="000F4A07">
        <w:rPr>
          <w:rFonts w:ascii="Book Antiqua" w:hAnsi="Book Antiqua" w:cs="宋体"/>
          <w:b/>
          <w:bCs/>
          <w:sz w:val="24"/>
          <w:szCs w:val="24"/>
          <w:lang w:eastAsia="zh-CN"/>
        </w:rPr>
        <w:t>11</w:t>
      </w:r>
      <w:r w:rsidRPr="000F4A07">
        <w:rPr>
          <w:rFonts w:ascii="Book Antiqua" w:hAnsi="Book Antiqua" w:cs="宋体"/>
          <w:sz w:val="24"/>
          <w:szCs w:val="24"/>
          <w:lang w:eastAsia="zh-CN"/>
        </w:rPr>
        <w:t>: e0149230 [PMID: 26895398 DOI: 10.1371/journal.pone.0149230]</w:t>
      </w:r>
    </w:p>
    <w:p w14:paraId="5B9D169A"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30 </w:t>
      </w:r>
      <w:proofErr w:type="spellStart"/>
      <w:r w:rsidRPr="000F4A07">
        <w:rPr>
          <w:rFonts w:ascii="Book Antiqua" w:hAnsi="Book Antiqua" w:cs="宋体"/>
          <w:b/>
          <w:bCs/>
          <w:sz w:val="24"/>
          <w:szCs w:val="24"/>
          <w:lang w:eastAsia="zh-CN"/>
        </w:rPr>
        <w:t>Verma</w:t>
      </w:r>
      <w:proofErr w:type="spellEnd"/>
      <w:r w:rsidRPr="000F4A07">
        <w:rPr>
          <w:rFonts w:ascii="Book Antiqua" w:hAnsi="Book Antiqua" w:cs="宋体"/>
          <w:b/>
          <w:bCs/>
          <w:sz w:val="24"/>
          <w:szCs w:val="24"/>
          <w:lang w:eastAsia="zh-CN"/>
        </w:rPr>
        <w:t xml:space="preserve"> V</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Sarin</w:t>
      </w:r>
      <w:proofErr w:type="spellEnd"/>
      <w:r w:rsidRPr="000F4A07">
        <w:rPr>
          <w:rFonts w:ascii="Book Antiqua" w:hAnsi="Book Antiqua" w:cs="宋体"/>
          <w:sz w:val="24"/>
          <w:szCs w:val="24"/>
          <w:lang w:eastAsia="zh-CN"/>
        </w:rPr>
        <w:t xml:space="preserve"> SK, Sharma P, Kumar A. Correlation of aspartate aminotransferase/platelet ratio index with hepatic venous pressure gradient in cirrhosis. </w:t>
      </w:r>
      <w:r w:rsidRPr="000F4A07">
        <w:rPr>
          <w:rFonts w:ascii="Book Antiqua" w:hAnsi="Book Antiqua" w:cs="宋体"/>
          <w:i/>
          <w:iCs/>
          <w:sz w:val="24"/>
          <w:szCs w:val="24"/>
          <w:lang w:eastAsia="zh-CN"/>
        </w:rPr>
        <w:t xml:space="preserve">United European </w:t>
      </w:r>
      <w:proofErr w:type="spellStart"/>
      <w:r w:rsidRPr="000F4A07">
        <w:rPr>
          <w:rFonts w:ascii="Book Antiqua" w:hAnsi="Book Antiqua" w:cs="宋体"/>
          <w:i/>
          <w:iCs/>
          <w:sz w:val="24"/>
          <w:szCs w:val="24"/>
          <w:lang w:eastAsia="zh-CN"/>
        </w:rPr>
        <w:t>Gastroenterol</w:t>
      </w:r>
      <w:proofErr w:type="spellEnd"/>
      <w:r w:rsidRPr="000F4A07">
        <w:rPr>
          <w:rFonts w:ascii="Book Antiqua" w:hAnsi="Book Antiqua" w:cs="宋体"/>
          <w:i/>
          <w:iCs/>
          <w:sz w:val="24"/>
          <w:szCs w:val="24"/>
          <w:lang w:eastAsia="zh-CN"/>
        </w:rPr>
        <w:t xml:space="preserve"> J</w:t>
      </w:r>
      <w:r w:rsidRPr="000F4A07">
        <w:rPr>
          <w:rFonts w:ascii="Book Antiqua" w:hAnsi="Book Antiqua" w:cs="宋体"/>
          <w:sz w:val="24"/>
          <w:szCs w:val="24"/>
          <w:lang w:eastAsia="zh-CN"/>
        </w:rPr>
        <w:t> 2014; </w:t>
      </w:r>
      <w:r w:rsidRPr="000F4A07">
        <w:rPr>
          <w:rFonts w:ascii="Book Antiqua" w:hAnsi="Book Antiqua" w:cs="宋体"/>
          <w:b/>
          <w:bCs/>
          <w:sz w:val="24"/>
          <w:szCs w:val="24"/>
          <w:lang w:eastAsia="zh-CN"/>
        </w:rPr>
        <w:t>2</w:t>
      </w:r>
      <w:r w:rsidRPr="000F4A07">
        <w:rPr>
          <w:rFonts w:ascii="Book Antiqua" w:hAnsi="Book Antiqua" w:cs="宋体"/>
          <w:sz w:val="24"/>
          <w:szCs w:val="24"/>
          <w:lang w:eastAsia="zh-CN"/>
        </w:rPr>
        <w:t>: 226-231 [PMID: 25360306 DOI: 10.1177/2050640614527084]</w:t>
      </w:r>
    </w:p>
    <w:p w14:paraId="3478EBDC"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 xml:space="preserve">31 </w:t>
      </w:r>
      <w:proofErr w:type="spellStart"/>
      <w:r w:rsidRPr="000F4A07">
        <w:rPr>
          <w:rFonts w:ascii="Book Antiqua" w:hAnsi="Book Antiqua" w:cs="宋体"/>
          <w:b/>
          <w:sz w:val="24"/>
          <w:szCs w:val="24"/>
          <w:lang w:eastAsia="zh-CN"/>
        </w:rPr>
        <w:t>Zykus</w:t>
      </w:r>
      <w:proofErr w:type="spellEnd"/>
      <w:r w:rsidRPr="000F4A07">
        <w:rPr>
          <w:rFonts w:ascii="Book Antiqua" w:hAnsi="Book Antiqua" w:cs="宋体"/>
          <w:b/>
          <w:sz w:val="24"/>
          <w:szCs w:val="24"/>
          <w:lang w:eastAsia="zh-CN"/>
        </w:rPr>
        <w:t xml:space="preserve"> R</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Jonaitis</w:t>
      </w:r>
      <w:proofErr w:type="spellEnd"/>
      <w:r w:rsidRPr="000F4A07">
        <w:rPr>
          <w:rFonts w:ascii="Book Antiqua" w:hAnsi="Book Antiqua" w:cs="宋体"/>
          <w:sz w:val="24"/>
          <w:szCs w:val="24"/>
          <w:lang w:eastAsia="zh-CN"/>
        </w:rPr>
        <w:t xml:space="preserve"> L, </w:t>
      </w:r>
      <w:proofErr w:type="spellStart"/>
      <w:r w:rsidRPr="000F4A07">
        <w:rPr>
          <w:rFonts w:ascii="Book Antiqua" w:hAnsi="Book Antiqua" w:cs="宋体"/>
          <w:sz w:val="24"/>
          <w:szCs w:val="24"/>
          <w:lang w:eastAsia="zh-CN"/>
        </w:rPr>
        <w:t>Petrenkienė</w:t>
      </w:r>
      <w:proofErr w:type="spellEnd"/>
      <w:r w:rsidRPr="000F4A07">
        <w:rPr>
          <w:rFonts w:ascii="Book Antiqua" w:hAnsi="Book Antiqua" w:cs="宋体"/>
          <w:sz w:val="24"/>
          <w:szCs w:val="24"/>
          <w:lang w:eastAsia="zh-CN"/>
        </w:rPr>
        <w:t xml:space="preserve"> V, </w:t>
      </w:r>
      <w:proofErr w:type="spellStart"/>
      <w:r w:rsidRPr="000F4A07">
        <w:rPr>
          <w:rFonts w:ascii="Book Antiqua" w:hAnsi="Book Antiqua" w:cs="宋体"/>
          <w:sz w:val="24"/>
          <w:szCs w:val="24"/>
          <w:lang w:eastAsia="zh-CN"/>
        </w:rPr>
        <w:t>Pranculis</w:t>
      </w:r>
      <w:proofErr w:type="spellEnd"/>
      <w:r w:rsidRPr="000F4A07">
        <w:rPr>
          <w:rFonts w:ascii="Book Antiqua" w:hAnsi="Book Antiqua" w:cs="宋体"/>
          <w:sz w:val="24"/>
          <w:szCs w:val="24"/>
          <w:lang w:eastAsia="zh-CN"/>
        </w:rPr>
        <w:t xml:space="preserve"> A, </w:t>
      </w:r>
      <w:proofErr w:type="spellStart"/>
      <w:r w:rsidRPr="000F4A07">
        <w:rPr>
          <w:rFonts w:ascii="Book Antiqua" w:hAnsi="Book Antiqua" w:cs="宋体"/>
          <w:sz w:val="24"/>
          <w:szCs w:val="24"/>
          <w:lang w:eastAsia="zh-CN"/>
        </w:rPr>
        <w:t>Kupčinskas</w:t>
      </w:r>
      <w:proofErr w:type="spellEnd"/>
      <w:r w:rsidRPr="000F4A07">
        <w:rPr>
          <w:rFonts w:ascii="Book Antiqua" w:hAnsi="Book Antiqua" w:cs="宋体"/>
          <w:sz w:val="24"/>
          <w:szCs w:val="24"/>
          <w:lang w:eastAsia="zh-CN"/>
        </w:rPr>
        <w:t xml:space="preserve"> L. Liver and spleen transient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xml:space="preserve"> predicts portal hypertension in patients with chronic liver disease: a prospective cohort study. </w:t>
      </w:r>
      <w:r w:rsidRPr="000F4A07">
        <w:rPr>
          <w:rFonts w:ascii="Book Antiqua" w:hAnsi="Book Antiqua" w:cs="宋体"/>
          <w:i/>
          <w:iCs/>
          <w:sz w:val="24"/>
          <w:szCs w:val="24"/>
          <w:lang w:eastAsia="zh-CN"/>
        </w:rPr>
        <w:t xml:space="preserve">BMC </w:t>
      </w:r>
      <w:proofErr w:type="spellStart"/>
      <w:r w:rsidRPr="000F4A07">
        <w:rPr>
          <w:rFonts w:ascii="Book Antiqua" w:hAnsi="Book Antiqua" w:cs="宋体"/>
          <w:i/>
          <w:iCs/>
          <w:sz w:val="24"/>
          <w:szCs w:val="24"/>
          <w:lang w:eastAsia="zh-CN"/>
        </w:rPr>
        <w:t>Gastroenterol</w:t>
      </w:r>
      <w:proofErr w:type="spellEnd"/>
      <w:r w:rsidRPr="000F4A07">
        <w:rPr>
          <w:rFonts w:ascii="Book Antiqua" w:hAnsi="Book Antiqua" w:cs="宋体"/>
          <w:sz w:val="24"/>
          <w:szCs w:val="24"/>
          <w:lang w:eastAsia="zh-CN"/>
        </w:rPr>
        <w:t xml:space="preserve"> 2015; </w:t>
      </w:r>
      <w:r w:rsidRPr="000F4A07">
        <w:rPr>
          <w:rFonts w:ascii="Book Antiqua" w:hAnsi="Book Antiqua" w:cs="宋体"/>
          <w:b/>
          <w:bCs/>
          <w:sz w:val="24"/>
          <w:szCs w:val="24"/>
          <w:lang w:eastAsia="zh-CN"/>
        </w:rPr>
        <w:t>15</w:t>
      </w:r>
      <w:r w:rsidRPr="000F4A07">
        <w:rPr>
          <w:rFonts w:ascii="Book Antiqua" w:hAnsi="Book Antiqua" w:cs="宋体"/>
          <w:sz w:val="24"/>
          <w:szCs w:val="24"/>
          <w:lang w:eastAsia="zh-CN"/>
        </w:rPr>
        <w:t>: 183 [PMID: 26702818 DOI: 10.1186/s12876-015-0414-z]</w:t>
      </w:r>
    </w:p>
    <w:p w14:paraId="1DFD2F90"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32 </w:t>
      </w:r>
      <w:proofErr w:type="spellStart"/>
      <w:r w:rsidRPr="000F4A07">
        <w:rPr>
          <w:rFonts w:ascii="Book Antiqua" w:hAnsi="Book Antiqua" w:cs="宋体"/>
          <w:b/>
          <w:bCs/>
          <w:sz w:val="24"/>
          <w:szCs w:val="24"/>
          <w:lang w:eastAsia="zh-CN"/>
        </w:rPr>
        <w:t>Procopet</w:t>
      </w:r>
      <w:proofErr w:type="spellEnd"/>
      <w:r w:rsidRPr="000F4A07">
        <w:rPr>
          <w:rFonts w:ascii="Book Antiqua" w:hAnsi="Book Antiqua" w:cs="宋体"/>
          <w:b/>
          <w:bCs/>
          <w:sz w:val="24"/>
          <w:szCs w:val="24"/>
          <w:lang w:eastAsia="zh-CN"/>
        </w:rPr>
        <w:t xml:space="preserve"> B</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Cristea</w:t>
      </w:r>
      <w:proofErr w:type="spellEnd"/>
      <w:r w:rsidRPr="000F4A07">
        <w:rPr>
          <w:rFonts w:ascii="Book Antiqua" w:hAnsi="Book Antiqua" w:cs="宋体"/>
          <w:sz w:val="24"/>
          <w:szCs w:val="24"/>
          <w:lang w:eastAsia="zh-CN"/>
        </w:rPr>
        <w:t xml:space="preserve"> VM, </w:t>
      </w:r>
      <w:proofErr w:type="spellStart"/>
      <w:r w:rsidRPr="000F4A07">
        <w:rPr>
          <w:rFonts w:ascii="Book Antiqua" w:hAnsi="Book Antiqua" w:cs="宋体"/>
          <w:sz w:val="24"/>
          <w:szCs w:val="24"/>
          <w:lang w:eastAsia="zh-CN"/>
        </w:rPr>
        <w:t>Robic</w:t>
      </w:r>
      <w:proofErr w:type="spellEnd"/>
      <w:r w:rsidRPr="000F4A07">
        <w:rPr>
          <w:rFonts w:ascii="Book Antiqua" w:hAnsi="Book Antiqua" w:cs="宋体"/>
          <w:sz w:val="24"/>
          <w:szCs w:val="24"/>
          <w:lang w:eastAsia="zh-CN"/>
        </w:rPr>
        <w:t xml:space="preserve"> MA, </w:t>
      </w:r>
      <w:proofErr w:type="spellStart"/>
      <w:r w:rsidRPr="000F4A07">
        <w:rPr>
          <w:rFonts w:ascii="Book Antiqua" w:hAnsi="Book Antiqua" w:cs="宋体"/>
          <w:sz w:val="24"/>
          <w:szCs w:val="24"/>
          <w:lang w:eastAsia="zh-CN"/>
        </w:rPr>
        <w:t>Grigorescu</w:t>
      </w:r>
      <w:proofErr w:type="spellEnd"/>
      <w:r w:rsidRPr="000F4A07">
        <w:rPr>
          <w:rFonts w:ascii="Book Antiqua" w:hAnsi="Book Antiqua" w:cs="宋体"/>
          <w:sz w:val="24"/>
          <w:szCs w:val="24"/>
          <w:lang w:eastAsia="zh-CN"/>
        </w:rPr>
        <w:t xml:space="preserve"> M, </w:t>
      </w:r>
      <w:proofErr w:type="spellStart"/>
      <w:r w:rsidRPr="000F4A07">
        <w:rPr>
          <w:rFonts w:ascii="Book Antiqua" w:hAnsi="Book Antiqua" w:cs="宋体"/>
          <w:sz w:val="24"/>
          <w:szCs w:val="24"/>
          <w:lang w:eastAsia="zh-CN"/>
        </w:rPr>
        <w:t>Agachi</w:t>
      </w:r>
      <w:proofErr w:type="spellEnd"/>
      <w:r w:rsidRPr="000F4A07">
        <w:rPr>
          <w:rFonts w:ascii="Book Antiqua" w:hAnsi="Book Antiqua" w:cs="宋体"/>
          <w:sz w:val="24"/>
          <w:szCs w:val="24"/>
          <w:lang w:eastAsia="zh-CN"/>
        </w:rPr>
        <w:t xml:space="preserve"> PS, </w:t>
      </w:r>
      <w:proofErr w:type="spellStart"/>
      <w:r w:rsidRPr="000F4A07">
        <w:rPr>
          <w:rFonts w:ascii="Book Antiqua" w:hAnsi="Book Antiqua" w:cs="宋体"/>
          <w:sz w:val="24"/>
          <w:szCs w:val="24"/>
          <w:lang w:eastAsia="zh-CN"/>
        </w:rPr>
        <w:t>Metivier</w:t>
      </w:r>
      <w:proofErr w:type="spellEnd"/>
      <w:r w:rsidRPr="000F4A07">
        <w:rPr>
          <w:rFonts w:ascii="Book Antiqua" w:hAnsi="Book Antiqua" w:cs="宋体"/>
          <w:sz w:val="24"/>
          <w:szCs w:val="24"/>
          <w:lang w:eastAsia="zh-CN"/>
        </w:rPr>
        <w:t xml:space="preserve"> S, Peron JM, Selves J, </w:t>
      </w:r>
      <w:proofErr w:type="spellStart"/>
      <w:r w:rsidRPr="000F4A07">
        <w:rPr>
          <w:rFonts w:ascii="Book Antiqua" w:hAnsi="Book Antiqua" w:cs="宋体"/>
          <w:sz w:val="24"/>
          <w:szCs w:val="24"/>
          <w:lang w:eastAsia="zh-CN"/>
        </w:rPr>
        <w:t>Stefanescu</w:t>
      </w:r>
      <w:proofErr w:type="spellEnd"/>
      <w:r w:rsidRPr="000F4A07">
        <w:rPr>
          <w:rFonts w:ascii="Book Antiqua" w:hAnsi="Book Antiqua" w:cs="宋体"/>
          <w:sz w:val="24"/>
          <w:szCs w:val="24"/>
          <w:lang w:eastAsia="zh-CN"/>
        </w:rPr>
        <w:t xml:space="preserve"> H, </w:t>
      </w:r>
      <w:proofErr w:type="spellStart"/>
      <w:r w:rsidRPr="000F4A07">
        <w:rPr>
          <w:rFonts w:ascii="Book Antiqua" w:hAnsi="Book Antiqua" w:cs="宋体"/>
          <w:sz w:val="24"/>
          <w:szCs w:val="24"/>
          <w:lang w:eastAsia="zh-CN"/>
        </w:rPr>
        <w:t>Berzigotti</w:t>
      </w:r>
      <w:proofErr w:type="spellEnd"/>
      <w:r w:rsidRPr="000F4A07">
        <w:rPr>
          <w:rFonts w:ascii="Book Antiqua" w:hAnsi="Book Antiqua" w:cs="宋体"/>
          <w:sz w:val="24"/>
          <w:szCs w:val="24"/>
          <w:lang w:eastAsia="zh-CN"/>
        </w:rPr>
        <w:t xml:space="preserve"> A, </w:t>
      </w:r>
      <w:proofErr w:type="spellStart"/>
      <w:r w:rsidRPr="000F4A07">
        <w:rPr>
          <w:rFonts w:ascii="Book Antiqua" w:hAnsi="Book Antiqua" w:cs="宋体"/>
          <w:sz w:val="24"/>
          <w:szCs w:val="24"/>
          <w:lang w:eastAsia="zh-CN"/>
        </w:rPr>
        <w:t>Vinel</w:t>
      </w:r>
      <w:proofErr w:type="spellEnd"/>
      <w:r w:rsidRPr="000F4A07">
        <w:rPr>
          <w:rFonts w:ascii="Book Antiqua" w:hAnsi="Book Antiqua" w:cs="宋体"/>
          <w:sz w:val="24"/>
          <w:szCs w:val="24"/>
          <w:lang w:eastAsia="zh-CN"/>
        </w:rPr>
        <w:t xml:space="preserve"> JP, Bureau C. Serum tests, liver stiffness and artificial neural networks for diagnosing cirrhosis and portal hypertension. </w:t>
      </w:r>
      <w:r w:rsidRPr="000F4A07">
        <w:rPr>
          <w:rFonts w:ascii="Book Antiqua" w:hAnsi="Book Antiqua" w:cs="宋体"/>
          <w:i/>
          <w:iCs/>
          <w:sz w:val="24"/>
          <w:szCs w:val="24"/>
          <w:lang w:eastAsia="zh-CN"/>
        </w:rPr>
        <w:t>Dig Liver Dis</w:t>
      </w:r>
      <w:r w:rsidRPr="000F4A07">
        <w:rPr>
          <w:rFonts w:ascii="Book Antiqua" w:hAnsi="Book Antiqua" w:cs="宋体"/>
          <w:sz w:val="24"/>
          <w:szCs w:val="24"/>
          <w:lang w:eastAsia="zh-CN"/>
        </w:rPr>
        <w:t> 2015; </w:t>
      </w:r>
      <w:r w:rsidRPr="000F4A07">
        <w:rPr>
          <w:rFonts w:ascii="Book Antiqua" w:hAnsi="Book Antiqua" w:cs="宋体"/>
          <w:b/>
          <w:bCs/>
          <w:sz w:val="24"/>
          <w:szCs w:val="24"/>
          <w:lang w:eastAsia="zh-CN"/>
        </w:rPr>
        <w:t>47</w:t>
      </w:r>
      <w:r w:rsidRPr="000F4A07">
        <w:rPr>
          <w:rFonts w:ascii="Book Antiqua" w:hAnsi="Book Antiqua" w:cs="宋体"/>
          <w:sz w:val="24"/>
          <w:szCs w:val="24"/>
          <w:lang w:eastAsia="zh-CN"/>
        </w:rPr>
        <w:t>: 411-416 [PMID: 25732434 DOI: 10.1016/j.dld.2015.02.001]</w:t>
      </w:r>
    </w:p>
    <w:p w14:paraId="15167C95"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lastRenderedPageBreak/>
        <w:t>33 </w:t>
      </w:r>
      <w:proofErr w:type="spellStart"/>
      <w:r w:rsidRPr="000F4A07">
        <w:rPr>
          <w:rFonts w:ascii="Book Antiqua" w:hAnsi="Book Antiqua" w:cs="宋体"/>
          <w:b/>
          <w:bCs/>
          <w:sz w:val="24"/>
          <w:szCs w:val="24"/>
          <w:lang w:eastAsia="zh-CN"/>
        </w:rPr>
        <w:t>Carrión</w:t>
      </w:r>
      <w:proofErr w:type="spellEnd"/>
      <w:r w:rsidRPr="000F4A07">
        <w:rPr>
          <w:rFonts w:ascii="Book Antiqua" w:hAnsi="Book Antiqua" w:cs="宋体"/>
          <w:b/>
          <w:bCs/>
          <w:sz w:val="24"/>
          <w:szCs w:val="24"/>
          <w:lang w:eastAsia="zh-CN"/>
        </w:rPr>
        <w:t xml:space="preserve"> JA</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Navasa</w:t>
      </w:r>
      <w:proofErr w:type="spellEnd"/>
      <w:r w:rsidRPr="000F4A07">
        <w:rPr>
          <w:rFonts w:ascii="Book Antiqua" w:hAnsi="Book Antiqua" w:cs="宋体"/>
          <w:sz w:val="24"/>
          <w:szCs w:val="24"/>
          <w:lang w:eastAsia="zh-CN"/>
        </w:rPr>
        <w:t xml:space="preserve"> M, Bosch J, </w:t>
      </w:r>
      <w:proofErr w:type="spellStart"/>
      <w:r w:rsidRPr="000F4A07">
        <w:rPr>
          <w:rFonts w:ascii="Book Antiqua" w:hAnsi="Book Antiqua" w:cs="宋体"/>
          <w:sz w:val="24"/>
          <w:szCs w:val="24"/>
          <w:lang w:eastAsia="zh-CN"/>
        </w:rPr>
        <w:t>Bruguera</w:t>
      </w:r>
      <w:proofErr w:type="spellEnd"/>
      <w:r w:rsidRPr="000F4A07">
        <w:rPr>
          <w:rFonts w:ascii="Book Antiqua" w:hAnsi="Book Antiqua" w:cs="宋体"/>
          <w:sz w:val="24"/>
          <w:szCs w:val="24"/>
          <w:lang w:eastAsia="zh-CN"/>
        </w:rPr>
        <w:t xml:space="preserve"> M, </w:t>
      </w:r>
      <w:proofErr w:type="spellStart"/>
      <w:r w:rsidRPr="000F4A07">
        <w:rPr>
          <w:rFonts w:ascii="Book Antiqua" w:hAnsi="Book Antiqua" w:cs="宋体"/>
          <w:sz w:val="24"/>
          <w:szCs w:val="24"/>
          <w:lang w:eastAsia="zh-CN"/>
        </w:rPr>
        <w:t>Gilabert</w:t>
      </w:r>
      <w:proofErr w:type="spellEnd"/>
      <w:r w:rsidRPr="000F4A07">
        <w:rPr>
          <w:rFonts w:ascii="Book Antiqua" w:hAnsi="Book Antiqua" w:cs="宋体"/>
          <w:sz w:val="24"/>
          <w:szCs w:val="24"/>
          <w:lang w:eastAsia="zh-CN"/>
        </w:rPr>
        <w:t xml:space="preserve"> R, </w:t>
      </w:r>
      <w:proofErr w:type="spellStart"/>
      <w:r w:rsidRPr="000F4A07">
        <w:rPr>
          <w:rFonts w:ascii="Book Antiqua" w:hAnsi="Book Antiqua" w:cs="宋体"/>
          <w:sz w:val="24"/>
          <w:szCs w:val="24"/>
          <w:lang w:eastAsia="zh-CN"/>
        </w:rPr>
        <w:t>Forns</w:t>
      </w:r>
      <w:proofErr w:type="spellEnd"/>
      <w:r w:rsidRPr="000F4A07">
        <w:rPr>
          <w:rFonts w:ascii="Book Antiqua" w:hAnsi="Book Antiqua" w:cs="宋体"/>
          <w:sz w:val="24"/>
          <w:szCs w:val="24"/>
          <w:lang w:eastAsia="zh-CN"/>
        </w:rPr>
        <w:t xml:space="preserve"> X. Transient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xml:space="preserve"> for diagnosis of advanced fibrosis and portal hypertension in patients with hepatitis C recurrence after liver transplantation. </w:t>
      </w:r>
      <w:r w:rsidRPr="000F4A07">
        <w:rPr>
          <w:rFonts w:ascii="Book Antiqua" w:hAnsi="Book Antiqua" w:cs="宋体"/>
          <w:i/>
          <w:iCs/>
          <w:sz w:val="24"/>
          <w:szCs w:val="24"/>
          <w:lang w:eastAsia="zh-CN"/>
        </w:rPr>
        <w:t xml:space="preserve">Liver </w:t>
      </w:r>
      <w:proofErr w:type="spellStart"/>
      <w:r w:rsidRPr="000F4A07">
        <w:rPr>
          <w:rFonts w:ascii="Book Antiqua" w:hAnsi="Book Antiqua" w:cs="宋体"/>
          <w:i/>
          <w:iCs/>
          <w:sz w:val="24"/>
          <w:szCs w:val="24"/>
          <w:lang w:eastAsia="zh-CN"/>
        </w:rPr>
        <w:t>Transpl</w:t>
      </w:r>
      <w:proofErr w:type="spellEnd"/>
      <w:r w:rsidRPr="000F4A07">
        <w:rPr>
          <w:rFonts w:ascii="Book Antiqua" w:hAnsi="Book Antiqua" w:cs="宋体"/>
          <w:sz w:val="24"/>
          <w:szCs w:val="24"/>
          <w:lang w:eastAsia="zh-CN"/>
        </w:rPr>
        <w:t> 2006; </w:t>
      </w:r>
      <w:r w:rsidRPr="000F4A07">
        <w:rPr>
          <w:rFonts w:ascii="Book Antiqua" w:hAnsi="Book Antiqua" w:cs="宋体"/>
          <w:b/>
          <w:bCs/>
          <w:sz w:val="24"/>
          <w:szCs w:val="24"/>
          <w:lang w:eastAsia="zh-CN"/>
        </w:rPr>
        <w:t>12</w:t>
      </w:r>
      <w:r w:rsidRPr="000F4A07">
        <w:rPr>
          <w:rFonts w:ascii="Book Antiqua" w:hAnsi="Book Antiqua" w:cs="宋体"/>
          <w:sz w:val="24"/>
          <w:szCs w:val="24"/>
          <w:lang w:eastAsia="zh-CN"/>
        </w:rPr>
        <w:t>: 1791-1798 [PMID: 16823833 DOI: 10.1002/lt.20857]</w:t>
      </w:r>
    </w:p>
    <w:p w14:paraId="1AB62EBB"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34 </w:t>
      </w:r>
      <w:proofErr w:type="spellStart"/>
      <w:r w:rsidRPr="000F4A07">
        <w:rPr>
          <w:rFonts w:ascii="Book Antiqua" w:hAnsi="Book Antiqua" w:cs="宋体"/>
          <w:b/>
          <w:bCs/>
          <w:sz w:val="24"/>
          <w:szCs w:val="24"/>
          <w:lang w:eastAsia="zh-CN"/>
        </w:rPr>
        <w:t>Lemoine</w:t>
      </w:r>
      <w:proofErr w:type="spellEnd"/>
      <w:r w:rsidRPr="000F4A07">
        <w:rPr>
          <w:rFonts w:ascii="Book Antiqua" w:hAnsi="Book Antiqua" w:cs="宋体"/>
          <w:b/>
          <w:bCs/>
          <w:sz w:val="24"/>
          <w:szCs w:val="24"/>
          <w:lang w:eastAsia="zh-CN"/>
        </w:rPr>
        <w:t xml:space="preserve"> M</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Katsahian</w:t>
      </w:r>
      <w:proofErr w:type="spellEnd"/>
      <w:r w:rsidRPr="000F4A07">
        <w:rPr>
          <w:rFonts w:ascii="Book Antiqua" w:hAnsi="Book Antiqua" w:cs="宋体"/>
          <w:sz w:val="24"/>
          <w:szCs w:val="24"/>
          <w:lang w:eastAsia="zh-CN"/>
        </w:rPr>
        <w:t xml:space="preserve"> S, </w:t>
      </w:r>
      <w:proofErr w:type="spellStart"/>
      <w:r w:rsidRPr="000F4A07">
        <w:rPr>
          <w:rFonts w:ascii="Book Antiqua" w:hAnsi="Book Antiqua" w:cs="宋体"/>
          <w:sz w:val="24"/>
          <w:szCs w:val="24"/>
          <w:lang w:eastAsia="zh-CN"/>
        </w:rPr>
        <w:t>Ziol</w:t>
      </w:r>
      <w:proofErr w:type="spellEnd"/>
      <w:r w:rsidRPr="000F4A07">
        <w:rPr>
          <w:rFonts w:ascii="Book Antiqua" w:hAnsi="Book Antiqua" w:cs="宋体"/>
          <w:sz w:val="24"/>
          <w:szCs w:val="24"/>
          <w:lang w:eastAsia="zh-CN"/>
        </w:rPr>
        <w:t xml:space="preserve"> M, </w:t>
      </w:r>
      <w:proofErr w:type="spellStart"/>
      <w:r w:rsidRPr="000F4A07">
        <w:rPr>
          <w:rFonts w:ascii="Book Antiqua" w:hAnsi="Book Antiqua" w:cs="宋体"/>
          <w:sz w:val="24"/>
          <w:szCs w:val="24"/>
          <w:lang w:eastAsia="zh-CN"/>
        </w:rPr>
        <w:t>Nahon</w:t>
      </w:r>
      <w:proofErr w:type="spellEnd"/>
      <w:r w:rsidRPr="000F4A07">
        <w:rPr>
          <w:rFonts w:ascii="Book Antiqua" w:hAnsi="Book Antiqua" w:cs="宋体"/>
          <w:sz w:val="24"/>
          <w:szCs w:val="24"/>
          <w:lang w:eastAsia="zh-CN"/>
        </w:rPr>
        <w:t xml:space="preserve"> P, </w:t>
      </w:r>
      <w:proofErr w:type="spellStart"/>
      <w:r w:rsidRPr="000F4A07">
        <w:rPr>
          <w:rFonts w:ascii="Book Antiqua" w:hAnsi="Book Antiqua" w:cs="宋体"/>
          <w:sz w:val="24"/>
          <w:szCs w:val="24"/>
          <w:lang w:eastAsia="zh-CN"/>
        </w:rPr>
        <w:t>Ganne</w:t>
      </w:r>
      <w:proofErr w:type="spellEnd"/>
      <w:r w:rsidRPr="000F4A07">
        <w:rPr>
          <w:rFonts w:ascii="Book Antiqua" w:hAnsi="Book Antiqua" w:cs="宋体"/>
          <w:sz w:val="24"/>
          <w:szCs w:val="24"/>
          <w:lang w:eastAsia="zh-CN"/>
        </w:rPr>
        <w:t xml:space="preserve">-Carrie N, </w:t>
      </w:r>
      <w:proofErr w:type="spellStart"/>
      <w:r w:rsidRPr="000F4A07">
        <w:rPr>
          <w:rFonts w:ascii="Book Antiqua" w:hAnsi="Book Antiqua" w:cs="宋体"/>
          <w:sz w:val="24"/>
          <w:szCs w:val="24"/>
          <w:lang w:eastAsia="zh-CN"/>
        </w:rPr>
        <w:t>Kazemi</w:t>
      </w:r>
      <w:proofErr w:type="spellEnd"/>
      <w:r w:rsidRPr="000F4A07">
        <w:rPr>
          <w:rFonts w:ascii="Book Antiqua" w:hAnsi="Book Antiqua" w:cs="宋体"/>
          <w:sz w:val="24"/>
          <w:szCs w:val="24"/>
          <w:lang w:eastAsia="zh-CN"/>
        </w:rPr>
        <w:t xml:space="preserve"> F, </w:t>
      </w:r>
      <w:proofErr w:type="spellStart"/>
      <w:r w:rsidRPr="000F4A07">
        <w:rPr>
          <w:rFonts w:ascii="Book Antiqua" w:hAnsi="Book Antiqua" w:cs="宋体"/>
          <w:sz w:val="24"/>
          <w:szCs w:val="24"/>
          <w:lang w:eastAsia="zh-CN"/>
        </w:rPr>
        <w:t>Grando-Lemaire</w:t>
      </w:r>
      <w:proofErr w:type="spellEnd"/>
      <w:r w:rsidRPr="000F4A07">
        <w:rPr>
          <w:rFonts w:ascii="Book Antiqua" w:hAnsi="Book Antiqua" w:cs="宋体"/>
          <w:sz w:val="24"/>
          <w:szCs w:val="24"/>
          <w:lang w:eastAsia="zh-CN"/>
        </w:rPr>
        <w:t xml:space="preserve"> V, </w:t>
      </w:r>
      <w:proofErr w:type="spellStart"/>
      <w:r w:rsidRPr="000F4A07">
        <w:rPr>
          <w:rFonts w:ascii="Book Antiqua" w:hAnsi="Book Antiqua" w:cs="宋体"/>
          <w:sz w:val="24"/>
          <w:szCs w:val="24"/>
          <w:lang w:eastAsia="zh-CN"/>
        </w:rPr>
        <w:t>Trinchet</w:t>
      </w:r>
      <w:proofErr w:type="spellEnd"/>
      <w:r w:rsidRPr="000F4A07">
        <w:rPr>
          <w:rFonts w:ascii="Book Antiqua" w:hAnsi="Book Antiqua" w:cs="宋体"/>
          <w:sz w:val="24"/>
          <w:szCs w:val="24"/>
          <w:lang w:eastAsia="zh-CN"/>
        </w:rPr>
        <w:t xml:space="preserve"> JC, </w:t>
      </w:r>
      <w:proofErr w:type="spellStart"/>
      <w:r w:rsidRPr="000F4A07">
        <w:rPr>
          <w:rFonts w:ascii="Book Antiqua" w:hAnsi="Book Antiqua" w:cs="宋体"/>
          <w:sz w:val="24"/>
          <w:szCs w:val="24"/>
          <w:lang w:eastAsia="zh-CN"/>
        </w:rPr>
        <w:t>Beaugrand</w:t>
      </w:r>
      <w:proofErr w:type="spellEnd"/>
      <w:r w:rsidRPr="000F4A07">
        <w:rPr>
          <w:rFonts w:ascii="Book Antiqua" w:hAnsi="Book Antiqua" w:cs="宋体"/>
          <w:sz w:val="24"/>
          <w:szCs w:val="24"/>
          <w:lang w:eastAsia="zh-CN"/>
        </w:rPr>
        <w:t xml:space="preserve"> M. Liver stiffness measurement as a predictive tool of clinically significant portal hypertension in patients with compensated hepatitis C virus or alcohol-related cirrhosis. </w:t>
      </w:r>
      <w:r w:rsidRPr="000F4A07">
        <w:rPr>
          <w:rFonts w:ascii="Book Antiqua" w:hAnsi="Book Antiqua" w:cs="宋体"/>
          <w:i/>
          <w:iCs/>
          <w:sz w:val="24"/>
          <w:szCs w:val="24"/>
          <w:lang w:eastAsia="zh-CN"/>
        </w:rPr>
        <w:t xml:space="preserve">Aliment </w:t>
      </w:r>
      <w:proofErr w:type="spellStart"/>
      <w:r w:rsidRPr="000F4A07">
        <w:rPr>
          <w:rFonts w:ascii="Book Antiqua" w:hAnsi="Book Antiqua" w:cs="宋体"/>
          <w:i/>
          <w:iCs/>
          <w:sz w:val="24"/>
          <w:szCs w:val="24"/>
          <w:lang w:eastAsia="zh-CN"/>
        </w:rPr>
        <w:t>Pharmacol</w:t>
      </w:r>
      <w:proofErr w:type="spellEnd"/>
      <w:r w:rsidRPr="000F4A07">
        <w:rPr>
          <w:rFonts w:ascii="Book Antiqua" w:hAnsi="Book Antiqua" w:cs="宋体"/>
          <w:i/>
          <w:iCs/>
          <w:sz w:val="24"/>
          <w:szCs w:val="24"/>
          <w:lang w:eastAsia="zh-CN"/>
        </w:rPr>
        <w:t xml:space="preserve"> </w:t>
      </w:r>
      <w:proofErr w:type="spellStart"/>
      <w:r w:rsidRPr="000F4A07">
        <w:rPr>
          <w:rFonts w:ascii="Book Antiqua" w:hAnsi="Book Antiqua" w:cs="宋体"/>
          <w:i/>
          <w:iCs/>
          <w:sz w:val="24"/>
          <w:szCs w:val="24"/>
          <w:lang w:eastAsia="zh-CN"/>
        </w:rPr>
        <w:t>Ther</w:t>
      </w:r>
      <w:proofErr w:type="spellEnd"/>
      <w:r w:rsidRPr="000F4A07">
        <w:rPr>
          <w:rFonts w:ascii="Book Antiqua" w:hAnsi="Book Antiqua" w:cs="宋体"/>
          <w:sz w:val="24"/>
          <w:szCs w:val="24"/>
          <w:lang w:eastAsia="zh-CN"/>
        </w:rPr>
        <w:t xml:space="preserve"> 2008; </w:t>
      </w:r>
      <w:r w:rsidRPr="000F4A07">
        <w:rPr>
          <w:rFonts w:ascii="Book Antiqua" w:hAnsi="Book Antiqua" w:cs="宋体"/>
          <w:b/>
          <w:bCs/>
          <w:sz w:val="24"/>
          <w:szCs w:val="24"/>
          <w:lang w:eastAsia="zh-CN"/>
        </w:rPr>
        <w:t>28</w:t>
      </w:r>
      <w:r w:rsidRPr="000F4A07">
        <w:rPr>
          <w:rFonts w:ascii="Book Antiqua" w:hAnsi="Book Antiqua" w:cs="宋体"/>
          <w:sz w:val="24"/>
          <w:szCs w:val="24"/>
          <w:lang w:eastAsia="zh-CN"/>
        </w:rPr>
        <w:t>: 1102-1110 [PMID: 18691352 DOI: 10.1111/j.1365-2036.2008.03825.x]</w:t>
      </w:r>
    </w:p>
    <w:p w14:paraId="5A2B842A"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35 </w:t>
      </w:r>
      <w:r w:rsidRPr="000F4A07">
        <w:rPr>
          <w:rFonts w:ascii="Book Antiqua" w:hAnsi="Book Antiqua" w:cs="宋体"/>
          <w:b/>
          <w:bCs/>
          <w:sz w:val="24"/>
          <w:szCs w:val="24"/>
          <w:lang w:eastAsia="zh-CN"/>
        </w:rPr>
        <w:t>Bureau C</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Metivier</w:t>
      </w:r>
      <w:proofErr w:type="spellEnd"/>
      <w:r w:rsidRPr="000F4A07">
        <w:rPr>
          <w:rFonts w:ascii="Book Antiqua" w:hAnsi="Book Antiqua" w:cs="宋体"/>
          <w:sz w:val="24"/>
          <w:szCs w:val="24"/>
          <w:lang w:eastAsia="zh-CN"/>
        </w:rPr>
        <w:t xml:space="preserve"> S, Peron JM, Selves J, </w:t>
      </w:r>
      <w:proofErr w:type="spellStart"/>
      <w:r w:rsidRPr="000F4A07">
        <w:rPr>
          <w:rFonts w:ascii="Book Antiqua" w:hAnsi="Book Antiqua" w:cs="宋体"/>
          <w:sz w:val="24"/>
          <w:szCs w:val="24"/>
          <w:lang w:eastAsia="zh-CN"/>
        </w:rPr>
        <w:t>Robic</w:t>
      </w:r>
      <w:proofErr w:type="spellEnd"/>
      <w:r w:rsidRPr="000F4A07">
        <w:rPr>
          <w:rFonts w:ascii="Book Antiqua" w:hAnsi="Book Antiqua" w:cs="宋体"/>
          <w:sz w:val="24"/>
          <w:szCs w:val="24"/>
          <w:lang w:eastAsia="zh-CN"/>
        </w:rPr>
        <w:t xml:space="preserve"> MA, </w:t>
      </w:r>
      <w:proofErr w:type="spellStart"/>
      <w:r w:rsidRPr="000F4A07">
        <w:rPr>
          <w:rFonts w:ascii="Book Antiqua" w:hAnsi="Book Antiqua" w:cs="宋体"/>
          <w:sz w:val="24"/>
          <w:szCs w:val="24"/>
          <w:lang w:eastAsia="zh-CN"/>
        </w:rPr>
        <w:t>Gourraud</w:t>
      </w:r>
      <w:proofErr w:type="spellEnd"/>
      <w:r w:rsidRPr="000F4A07">
        <w:rPr>
          <w:rFonts w:ascii="Book Antiqua" w:hAnsi="Book Antiqua" w:cs="宋体"/>
          <w:sz w:val="24"/>
          <w:szCs w:val="24"/>
          <w:lang w:eastAsia="zh-CN"/>
        </w:rPr>
        <w:t xml:space="preserve"> PA, </w:t>
      </w:r>
      <w:proofErr w:type="spellStart"/>
      <w:r w:rsidRPr="000F4A07">
        <w:rPr>
          <w:rFonts w:ascii="Book Antiqua" w:hAnsi="Book Antiqua" w:cs="宋体"/>
          <w:sz w:val="24"/>
          <w:szCs w:val="24"/>
          <w:lang w:eastAsia="zh-CN"/>
        </w:rPr>
        <w:t>Rouquet</w:t>
      </w:r>
      <w:proofErr w:type="spellEnd"/>
      <w:r w:rsidRPr="000F4A07">
        <w:rPr>
          <w:rFonts w:ascii="Book Antiqua" w:hAnsi="Book Antiqua" w:cs="宋体"/>
          <w:sz w:val="24"/>
          <w:szCs w:val="24"/>
          <w:lang w:eastAsia="zh-CN"/>
        </w:rPr>
        <w:t xml:space="preserve"> O, Dupuis E, </w:t>
      </w:r>
      <w:proofErr w:type="spellStart"/>
      <w:r w:rsidRPr="000F4A07">
        <w:rPr>
          <w:rFonts w:ascii="Book Antiqua" w:hAnsi="Book Antiqua" w:cs="宋体"/>
          <w:sz w:val="24"/>
          <w:szCs w:val="24"/>
          <w:lang w:eastAsia="zh-CN"/>
        </w:rPr>
        <w:t>Alric</w:t>
      </w:r>
      <w:proofErr w:type="spellEnd"/>
      <w:r w:rsidRPr="000F4A07">
        <w:rPr>
          <w:rFonts w:ascii="Book Antiqua" w:hAnsi="Book Antiqua" w:cs="宋体"/>
          <w:sz w:val="24"/>
          <w:szCs w:val="24"/>
          <w:lang w:eastAsia="zh-CN"/>
        </w:rPr>
        <w:t xml:space="preserve"> L, </w:t>
      </w:r>
      <w:proofErr w:type="spellStart"/>
      <w:r w:rsidRPr="000F4A07">
        <w:rPr>
          <w:rFonts w:ascii="Book Antiqua" w:hAnsi="Book Antiqua" w:cs="宋体"/>
          <w:sz w:val="24"/>
          <w:szCs w:val="24"/>
          <w:lang w:eastAsia="zh-CN"/>
        </w:rPr>
        <w:t>Vinel</w:t>
      </w:r>
      <w:proofErr w:type="spellEnd"/>
      <w:r w:rsidRPr="000F4A07">
        <w:rPr>
          <w:rFonts w:ascii="Book Antiqua" w:hAnsi="Book Antiqua" w:cs="宋体"/>
          <w:sz w:val="24"/>
          <w:szCs w:val="24"/>
          <w:lang w:eastAsia="zh-CN"/>
        </w:rPr>
        <w:t xml:space="preserve"> JP. Transient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xml:space="preserve"> accurately predicts presence of significant portal hypertension in patients with chronic liver disease. </w:t>
      </w:r>
      <w:r w:rsidRPr="000F4A07">
        <w:rPr>
          <w:rFonts w:ascii="Book Antiqua" w:hAnsi="Book Antiqua" w:cs="宋体"/>
          <w:i/>
          <w:iCs/>
          <w:sz w:val="24"/>
          <w:szCs w:val="24"/>
          <w:lang w:eastAsia="zh-CN"/>
        </w:rPr>
        <w:t xml:space="preserve">Aliment </w:t>
      </w:r>
      <w:proofErr w:type="spellStart"/>
      <w:r w:rsidRPr="000F4A07">
        <w:rPr>
          <w:rFonts w:ascii="Book Antiqua" w:hAnsi="Book Antiqua" w:cs="宋体"/>
          <w:i/>
          <w:iCs/>
          <w:sz w:val="24"/>
          <w:szCs w:val="24"/>
          <w:lang w:eastAsia="zh-CN"/>
        </w:rPr>
        <w:t>Pharmacol</w:t>
      </w:r>
      <w:proofErr w:type="spellEnd"/>
      <w:r w:rsidRPr="000F4A07">
        <w:rPr>
          <w:rFonts w:ascii="Book Antiqua" w:hAnsi="Book Antiqua" w:cs="宋体"/>
          <w:i/>
          <w:iCs/>
          <w:sz w:val="24"/>
          <w:szCs w:val="24"/>
          <w:lang w:eastAsia="zh-CN"/>
        </w:rPr>
        <w:t xml:space="preserve"> </w:t>
      </w:r>
      <w:proofErr w:type="spellStart"/>
      <w:r w:rsidRPr="000F4A07">
        <w:rPr>
          <w:rFonts w:ascii="Book Antiqua" w:hAnsi="Book Antiqua" w:cs="宋体"/>
          <w:i/>
          <w:iCs/>
          <w:sz w:val="24"/>
          <w:szCs w:val="24"/>
          <w:lang w:eastAsia="zh-CN"/>
        </w:rPr>
        <w:t>Ther</w:t>
      </w:r>
      <w:proofErr w:type="spellEnd"/>
      <w:r w:rsidRPr="000F4A07">
        <w:rPr>
          <w:rFonts w:ascii="Book Antiqua" w:hAnsi="Book Antiqua" w:cs="宋体"/>
          <w:sz w:val="24"/>
          <w:szCs w:val="24"/>
          <w:lang w:eastAsia="zh-CN"/>
        </w:rPr>
        <w:t> 2008; </w:t>
      </w:r>
      <w:r w:rsidRPr="000F4A07">
        <w:rPr>
          <w:rFonts w:ascii="Book Antiqua" w:hAnsi="Book Antiqua" w:cs="宋体"/>
          <w:b/>
          <w:bCs/>
          <w:sz w:val="24"/>
          <w:szCs w:val="24"/>
          <w:lang w:eastAsia="zh-CN"/>
        </w:rPr>
        <w:t>27</w:t>
      </w:r>
      <w:r w:rsidRPr="000F4A07">
        <w:rPr>
          <w:rFonts w:ascii="Book Antiqua" w:hAnsi="Book Antiqua" w:cs="宋体"/>
          <w:sz w:val="24"/>
          <w:szCs w:val="24"/>
          <w:lang w:eastAsia="zh-CN"/>
        </w:rPr>
        <w:t>: 1261-1268 [PMID: 18397389 DOI: 10.1111/j.1365-2036.2008.03701.x]</w:t>
      </w:r>
    </w:p>
    <w:p w14:paraId="527A1CFE"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36 </w:t>
      </w:r>
      <w:r w:rsidRPr="000F4A07">
        <w:rPr>
          <w:rFonts w:ascii="Book Antiqua" w:hAnsi="Book Antiqua" w:cs="宋体"/>
          <w:b/>
          <w:bCs/>
          <w:sz w:val="24"/>
          <w:szCs w:val="24"/>
          <w:lang w:eastAsia="zh-CN"/>
        </w:rPr>
        <w:t>Sánchez-</w:t>
      </w:r>
      <w:proofErr w:type="spellStart"/>
      <w:r w:rsidRPr="000F4A07">
        <w:rPr>
          <w:rFonts w:ascii="Book Antiqua" w:hAnsi="Book Antiqua" w:cs="宋体"/>
          <w:b/>
          <w:bCs/>
          <w:sz w:val="24"/>
          <w:szCs w:val="24"/>
          <w:lang w:eastAsia="zh-CN"/>
        </w:rPr>
        <w:t>Conde</w:t>
      </w:r>
      <w:proofErr w:type="spellEnd"/>
      <w:r w:rsidRPr="000F4A07">
        <w:rPr>
          <w:rFonts w:ascii="Book Antiqua" w:hAnsi="Book Antiqua" w:cs="宋体"/>
          <w:b/>
          <w:bCs/>
          <w:sz w:val="24"/>
          <w:szCs w:val="24"/>
          <w:lang w:eastAsia="zh-CN"/>
        </w:rPr>
        <w:t xml:space="preserve"> M</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Miralles</w:t>
      </w:r>
      <w:proofErr w:type="spellEnd"/>
      <w:r w:rsidRPr="000F4A07">
        <w:rPr>
          <w:rFonts w:ascii="Book Antiqua" w:hAnsi="Book Antiqua" w:cs="宋体"/>
          <w:sz w:val="24"/>
          <w:szCs w:val="24"/>
          <w:lang w:eastAsia="zh-CN"/>
        </w:rPr>
        <w:t xml:space="preserve"> P, </w:t>
      </w:r>
      <w:proofErr w:type="spellStart"/>
      <w:r w:rsidRPr="000F4A07">
        <w:rPr>
          <w:rFonts w:ascii="Book Antiqua" w:hAnsi="Book Antiqua" w:cs="宋体"/>
          <w:sz w:val="24"/>
          <w:szCs w:val="24"/>
          <w:lang w:eastAsia="zh-CN"/>
        </w:rPr>
        <w:t>Bellón</w:t>
      </w:r>
      <w:proofErr w:type="spellEnd"/>
      <w:r w:rsidRPr="000F4A07">
        <w:rPr>
          <w:rFonts w:ascii="Book Antiqua" w:hAnsi="Book Antiqua" w:cs="宋体"/>
          <w:sz w:val="24"/>
          <w:szCs w:val="24"/>
          <w:lang w:eastAsia="zh-CN"/>
        </w:rPr>
        <w:t xml:space="preserve"> JM, </w:t>
      </w:r>
      <w:proofErr w:type="spellStart"/>
      <w:r w:rsidRPr="000F4A07">
        <w:rPr>
          <w:rFonts w:ascii="Book Antiqua" w:hAnsi="Book Antiqua" w:cs="宋体"/>
          <w:sz w:val="24"/>
          <w:szCs w:val="24"/>
          <w:lang w:eastAsia="zh-CN"/>
        </w:rPr>
        <w:t>Rincón</w:t>
      </w:r>
      <w:proofErr w:type="spellEnd"/>
      <w:r w:rsidRPr="000F4A07">
        <w:rPr>
          <w:rFonts w:ascii="Book Antiqua" w:hAnsi="Book Antiqua" w:cs="宋体"/>
          <w:sz w:val="24"/>
          <w:szCs w:val="24"/>
          <w:lang w:eastAsia="zh-CN"/>
        </w:rPr>
        <w:t xml:space="preserve"> D, </w:t>
      </w:r>
      <w:proofErr w:type="spellStart"/>
      <w:r w:rsidRPr="000F4A07">
        <w:rPr>
          <w:rFonts w:ascii="Book Antiqua" w:hAnsi="Book Antiqua" w:cs="宋体"/>
          <w:sz w:val="24"/>
          <w:szCs w:val="24"/>
          <w:lang w:eastAsia="zh-CN"/>
        </w:rPr>
        <w:t>Ramírez</w:t>
      </w:r>
      <w:proofErr w:type="spellEnd"/>
      <w:r w:rsidRPr="000F4A07">
        <w:rPr>
          <w:rFonts w:ascii="Book Antiqua" w:hAnsi="Book Antiqua" w:cs="宋体"/>
          <w:sz w:val="24"/>
          <w:szCs w:val="24"/>
          <w:lang w:eastAsia="zh-CN"/>
        </w:rPr>
        <w:t xml:space="preserve"> M, Gutiérrez I, Ripoll C, </w:t>
      </w:r>
      <w:proofErr w:type="spellStart"/>
      <w:r w:rsidRPr="000F4A07">
        <w:rPr>
          <w:rFonts w:ascii="Book Antiqua" w:hAnsi="Book Antiqua" w:cs="宋体"/>
          <w:sz w:val="24"/>
          <w:szCs w:val="24"/>
          <w:lang w:eastAsia="zh-CN"/>
        </w:rPr>
        <w:t>López</w:t>
      </w:r>
      <w:proofErr w:type="spellEnd"/>
      <w:r w:rsidRPr="000F4A07">
        <w:rPr>
          <w:rFonts w:ascii="Book Antiqua" w:hAnsi="Book Antiqua" w:cs="宋体"/>
          <w:sz w:val="24"/>
          <w:szCs w:val="24"/>
          <w:lang w:eastAsia="zh-CN"/>
        </w:rPr>
        <w:t xml:space="preserve"> JC, </w:t>
      </w:r>
      <w:proofErr w:type="spellStart"/>
      <w:r w:rsidRPr="000F4A07">
        <w:rPr>
          <w:rFonts w:ascii="Book Antiqua" w:hAnsi="Book Antiqua" w:cs="宋体"/>
          <w:sz w:val="24"/>
          <w:szCs w:val="24"/>
          <w:lang w:eastAsia="zh-CN"/>
        </w:rPr>
        <w:t>Cosín</w:t>
      </w:r>
      <w:proofErr w:type="spellEnd"/>
      <w:r w:rsidRPr="000F4A07">
        <w:rPr>
          <w:rFonts w:ascii="Book Antiqua" w:hAnsi="Book Antiqua" w:cs="宋体"/>
          <w:sz w:val="24"/>
          <w:szCs w:val="24"/>
          <w:lang w:eastAsia="zh-CN"/>
        </w:rPr>
        <w:t xml:space="preserve"> J, Clemente G, Lo </w:t>
      </w:r>
      <w:proofErr w:type="spellStart"/>
      <w:r w:rsidRPr="000F4A07">
        <w:rPr>
          <w:rFonts w:ascii="Book Antiqua" w:hAnsi="Book Antiqua" w:cs="宋体"/>
          <w:sz w:val="24"/>
          <w:szCs w:val="24"/>
          <w:lang w:eastAsia="zh-CN"/>
        </w:rPr>
        <w:t>Iacono</w:t>
      </w:r>
      <w:proofErr w:type="spellEnd"/>
      <w:r w:rsidRPr="000F4A07">
        <w:rPr>
          <w:rFonts w:ascii="Book Antiqua" w:hAnsi="Book Antiqua" w:cs="宋体"/>
          <w:sz w:val="24"/>
          <w:szCs w:val="24"/>
          <w:lang w:eastAsia="zh-CN"/>
        </w:rPr>
        <w:t xml:space="preserve"> O, </w:t>
      </w:r>
      <w:proofErr w:type="spellStart"/>
      <w:r w:rsidRPr="000F4A07">
        <w:rPr>
          <w:rFonts w:ascii="Book Antiqua" w:hAnsi="Book Antiqua" w:cs="宋体"/>
          <w:sz w:val="24"/>
          <w:szCs w:val="24"/>
          <w:lang w:eastAsia="zh-CN"/>
        </w:rPr>
        <w:t>Bañares</w:t>
      </w:r>
      <w:proofErr w:type="spellEnd"/>
      <w:r w:rsidRPr="000F4A07">
        <w:rPr>
          <w:rFonts w:ascii="Book Antiqua" w:hAnsi="Book Antiqua" w:cs="宋体"/>
          <w:sz w:val="24"/>
          <w:szCs w:val="24"/>
          <w:lang w:eastAsia="zh-CN"/>
        </w:rPr>
        <w:t xml:space="preserve"> R, </w:t>
      </w:r>
      <w:proofErr w:type="spellStart"/>
      <w:r w:rsidRPr="000F4A07">
        <w:rPr>
          <w:rFonts w:ascii="Book Antiqua" w:hAnsi="Book Antiqua" w:cs="宋体"/>
          <w:sz w:val="24"/>
          <w:szCs w:val="24"/>
          <w:lang w:eastAsia="zh-CN"/>
        </w:rPr>
        <w:t>Berenguer</w:t>
      </w:r>
      <w:proofErr w:type="spellEnd"/>
      <w:r w:rsidRPr="000F4A07">
        <w:rPr>
          <w:rFonts w:ascii="Book Antiqua" w:hAnsi="Book Antiqua" w:cs="宋体"/>
          <w:sz w:val="24"/>
          <w:szCs w:val="24"/>
          <w:lang w:eastAsia="zh-CN"/>
        </w:rPr>
        <w:t xml:space="preserve"> J. Use of transient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FibroScan</w:t>
      </w:r>
      <w:proofErr w:type="spellEnd"/>
      <w:r w:rsidRPr="000F4A07">
        <w:rPr>
          <w:rFonts w:ascii="Book Antiqua" w:hAnsi="Book Antiqua" w:cs="宋体"/>
          <w:sz w:val="24"/>
          <w:szCs w:val="24"/>
          <w:lang w:eastAsia="zh-CN"/>
        </w:rPr>
        <w:t>®) for the noninvasive assessment of portal hypertension in HIV/HCV-</w:t>
      </w:r>
      <w:proofErr w:type="spellStart"/>
      <w:r w:rsidRPr="000F4A07">
        <w:rPr>
          <w:rFonts w:ascii="Book Antiqua" w:hAnsi="Book Antiqua" w:cs="宋体"/>
          <w:sz w:val="24"/>
          <w:szCs w:val="24"/>
          <w:lang w:eastAsia="zh-CN"/>
        </w:rPr>
        <w:t>coinfected</w:t>
      </w:r>
      <w:proofErr w:type="spellEnd"/>
      <w:r w:rsidRPr="000F4A07">
        <w:rPr>
          <w:rFonts w:ascii="Book Antiqua" w:hAnsi="Book Antiqua" w:cs="宋体"/>
          <w:sz w:val="24"/>
          <w:szCs w:val="24"/>
          <w:lang w:eastAsia="zh-CN"/>
        </w:rPr>
        <w:t xml:space="preserve"> patients. </w:t>
      </w:r>
      <w:r w:rsidRPr="000F4A07">
        <w:rPr>
          <w:rFonts w:ascii="Book Antiqua" w:hAnsi="Book Antiqua" w:cs="宋体"/>
          <w:i/>
          <w:iCs/>
          <w:sz w:val="24"/>
          <w:szCs w:val="24"/>
          <w:lang w:eastAsia="zh-CN"/>
        </w:rPr>
        <w:t xml:space="preserve">J Viral </w:t>
      </w:r>
      <w:proofErr w:type="spellStart"/>
      <w:r w:rsidRPr="000F4A07">
        <w:rPr>
          <w:rFonts w:ascii="Book Antiqua" w:hAnsi="Book Antiqua" w:cs="宋体"/>
          <w:i/>
          <w:iCs/>
          <w:sz w:val="24"/>
          <w:szCs w:val="24"/>
          <w:lang w:eastAsia="zh-CN"/>
        </w:rPr>
        <w:t>Hepat</w:t>
      </w:r>
      <w:proofErr w:type="spellEnd"/>
      <w:r w:rsidRPr="000F4A07">
        <w:rPr>
          <w:rFonts w:ascii="Book Antiqua" w:hAnsi="Book Antiqua" w:cs="宋体"/>
          <w:sz w:val="24"/>
          <w:szCs w:val="24"/>
          <w:lang w:eastAsia="zh-CN"/>
        </w:rPr>
        <w:t> 2011; </w:t>
      </w:r>
      <w:r w:rsidRPr="000F4A07">
        <w:rPr>
          <w:rFonts w:ascii="Book Antiqua" w:hAnsi="Book Antiqua" w:cs="宋体"/>
          <w:b/>
          <w:bCs/>
          <w:sz w:val="24"/>
          <w:szCs w:val="24"/>
          <w:lang w:eastAsia="zh-CN"/>
        </w:rPr>
        <w:t>18</w:t>
      </w:r>
      <w:r w:rsidRPr="000F4A07">
        <w:rPr>
          <w:rFonts w:ascii="Book Antiqua" w:hAnsi="Book Antiqua" w:cs="宋体"/>
          <w:sz w:val="24"/>
          <w:szCs w:val="24"/>
          <w:lang w:eastAsia="zh-CN"/>
        </w:rPr>
        <w:t>: 685-691 [PMID: 21914085 DOI: 10.1111/j.1365-2893.2010.01371.x]</w:t>
      </w:r>
    </w:p>
    <w:p w14:paraId="31B71F08"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37 </w:t>
      </w:r>
      <w:proofErr w:type="spellStart"/>
      <w:r w:rsidRPr="000F4A07">
        <w:rPr>
          <w:rFonts w:ascii="Book Antiqua" w:hAnsi="Book Antiqua" w:cs="宋体"/>
          <w:b/>
          <w:bCs/>
          <w:sz w:val="24"/>
          <w:szCs w:val="24"/>
          <w:lang w:eastAsia="zh-CN"/>
        </w:rPr>
        <w:t>Berzigotti</w:t>
      </w:r>
      <w:proofErr w:type="spellEnd"/>
      <w:r w:rsidRPr="000F4A07">
        <w:rPr>
          <w:rFonts w:ascii="Book Antiqua" w:hAnsi="Book Antiqua" w:cs="宋体"/>
          <w:b/>
          <w:bCs/>
          <w:sz w:val="24"/>
          <w:szCs w:val="24"/>
          <w:lang w:eastAsia="zh-CN"/>
        </w:rPr>
        <w:t xml:space="preserve"> A</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Seijo</w:t>
      </w:r>
      <w:proofErr w:type="spellEnd"/>
      <w:r w:rsidRPr="000F4A07">
        <w:rPr>
          <w:rFonts w:ascii="Book Antiqua" w:hAnsi="Book Antiqua" w:cs="宋体"/>
          <w:sz w:val="24"/>
          <w:szCs w:val="24"/>
          <w:lang w:eastAsia="zh-CN"/>
        </w:rPr>
        <w:t xml:space="preserve"> S, Arena U, </w:t>
      </w:r>
      <w:proofErr w:type="spellStart"/>
      <w:r w:rsidRPr="000F4A07">
        <w:rPr>
          <w:rFonts w:ascii="Book Antiqua" w:hAnsi="Book Antiqua" w:cs="宋体"/>
          <w:sz w:val="24"/>
          <w:szCs w:val="24"/>
          <w:lang w:eastAsia="zh-CN"/>
        </w:rPr>
        <w:t>Abraldes</w:t>
      </w:r>
      <w:proofErr w:type="spellEnd"/>
      <w:r w:rsidRPr="000F4A07">
        <w:rPr>
          <w:rFonts w:ascii="Book Antiqua" w:hAnsi="Book Antiqua" w:cs="宋体"/>
          <w:sz w:val="24"/>
          <w:szCs w:val="24"/>
          <w:lang w:eastAsia="zh-CN"/>
        </w:rPr>
        <w:t xml:space="preserve"> JG, </w:t>
      </w:r>
      <w:proofErr w:type="spellStart"/>
      <w:r w:rsidRPr="000F4A07">
        <w:rPr>
          <w:rFonts w:ascii="Book Antiqua" w:hAnsi="Book Antiqua" w:cs="宋体"/>
          <w:sz w:val="24"/>
          <w:szCs w:val="24"/>
          <w:lang w:eastAsia="zh-CN"/>
        </w:rPr>
        <w:t>Vizzutti</w:t>
      </w:r>
      <w:proofErr w:type="spellEnd"/>
      <w:r w:rsidRPr="000F4A07">
        <w:rPr>
          <w:rFonts w:ascii="Book Antiqua" w:hAnsi="Book Antiqua" w:cs="宋体"/>
          <w:sz w:val="24"/>
          <w:szCs w:val="24"/>
          <w:lang w:eastAsia="zh-CN"/>
        </w:rPr>
        <w:t xml:space="preserve"> F, </w:t>
      </w:r>
      <w:proofErr w:type="spellStart"/>
      <w:r w:rsidRPr="000F4A07">
        <w:rPr>
          <w:rFonts w:ascii="Book Antiqua" w:hAnsi="Book Antiqua" w:cs="宋体"/>
          <w:sz w:val="24"/>
          <w:szCs w:val="24"/>
          <w:lang w:eastAsia="zh-CN"/>
        </w:rPr>
        <w:t>García-Pagán</w:t>
      </w:r>
      <w:proofErr w:type="spellEnd"/>
      <w:r w:rsidRPr="000F4A07">
        <w:rPr>
          <w:rFonts w:ascii="Book Antiqua" w:hAnsi="Book Antiqua" w:cs="宋体"/>
          <w:sz w:val="24"/>
          <w:szCs w:val="24"/>
          <w:lang w:eastAsia="zh-CN"/>
        </w:rPr>
        <w:t xml:space="preserve"> JC, </w:t>
      </w:r>
      <w:proofErr w:type="spellStart"/>
      <w:r w:rsidRPr="000F4A07">
        <w:rPr>
          <w:rFonts w:ascii="Book Antiqua" w:hAnsi="Book Antiqua" w:cs="宋体"/>
          <w:sz w:val="24"/>
          <w:szCs w:val="24"/>
          <w:lang w:eastAsia="zh-CN"/>
        </w:rPr>
        <w:t>Pinzani</w:t>
      </w:r>
      <w:proofErr w:type="spellEnd"/>
      <w:r w:rsidRPr="000F4A07">
        <w:rPr>
          <w:rFonts w:ascii="Book Antiqua" w:hAnsi="Book Antiqua" w:cs="宋体"/>
          <w:sz w:val="24"/>
          <w:szCs w:val="24"/>
          <w:lang w:eastAsia="zh-CN"/>
        </w:rPr>
        <w:t xml:space="preserve"> M, Bosch J.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xml:space="preserve">, spleen size, and platelet count identify portal hypertension in patients with compensated cirrhosis. </w:t>
      </w:r>
      <w:r w:rsidRPr="000F4A07">
        <w:rPr>
          <w:rFonts w:ascii="Book Antiqua" w:hAnsi="Book Antiqua" w:cs="宋体"/>
          <w:i/>
          <w:iCs/>
          <w:sz w:val="24"/>
          <w:szCs w:val="24"/>
          <w:lang w:eastAsia="zh-CN"/>
        </w:rPr>
        <w:t>Gastroenterology</w:t>
      </w:r>
      <w:r w:rsidRPr="000F4A07">
        <w:rPr>
          <w:rFonts w:ascii="Book Antiqua" w:hAnsi="Book Antiqua" w:cs="宋体"/>
          <w:sz w:val="24"/>
          <w:szCs w:val="24"/>
          <w:lang w:eastAsia="zh-CN"/>
        </w:rPr>
        <w:t xml:space="preserve"> 2013; </w:t>
      </w:r>
      <w:r w:rsidRPr="000F4A07">
        <w:rPr>
          <w:rFonts w:ascii="Book Antiqua" w:hAnsi="Book Antiqua" w:cs="宋体"/>
          <w:b/>
          <w:bCs/>
          <w:sz w:val="24"/>
          <w:szCs w:val="24"/>
          <w:lang w:eastAsia="zh-CN"/>
        </w:rPr>
        <w:t>144</w:t>
      </w:r>
      <w:r w:rsidRPr="000F4A07">
        <w:rPr>
          <w:rFonts w:ascii="Book Antiqua" w:hAnsi="Book Antiqua" w:cs="宋体"/>
          <w:sz w:val="24"/>
          <w:szCs w:val="24"/>
          <w:lang w:eastAsia="zh-CN"/>
        </w:rPr>
        <w:t>: 102-111.e1 [PMID: 23058320 DOI: 10.1053/j.gastro.2012.10.001]</w:t>
      </w:r>
    </w:p>
    <w:p w14:paraId="592E38D1"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38 </w:t>
      </w:r>
      <w:r w:rsidRPr="000F4A07">
        <w:rPr>
          <w:rFonts w:ascii="Book Antiqua" w:hAnsi="Book Antiqua" w:cs="宋体"/>
          <w:b/>
          <w:bCs/>
          <w:sz w:val="24"/>
          <w:szCs w:val="24"/>
          <w:lang w:eastAsia="zh-CN"/>
        </w:rPr>
        <w:t>Hong WK</w:t>
      </w:r>
      <w:r w:rsidRPr="000F4A07">
        <w:rPr>
          <w:rFonts w:ascii="Book Antiqua" w:hAnsi="Book Antiqua" w:cs="宋体"/>
          <w:sz w:val="24"/>
          <w:szCs w:val="24"/>
          <w:lang w:eastAsia="zh-CN"/>
        </w:rPr>
        <w:t xml:space="preserve">, Kim MY, </w:t>
      </w:r>
      <w:proofErr w:type="spellStart"/>
      <w:r w:rsidRPr="000F4A07">
        <w:rPr>
          <w:rFonts w:ascii="Book Antiqua" w:hAnsi="Book Antiqua" w:cs="宋体"/>
          <w:sz w:val="24"/>
          <w:szCs w:val="24"/>
          <w:lang w:eastAsia="zh-CN"/>
        </w:rPr>
        <w:t>Baik</w:t>
      </w:r>
      <w:proofErr w:type="spellEnd"/>
      <w:r w:rsidRPr="000F4A07">
        <w:rPr>
          <w:rFonts w:ascii="Book Antiqua" w:hAnsi="Book Antiqua" w:cs="宋体"/>
          <w:sz w:val="24"/>
          <w:szCs w:val="24"/>
          <w:lang w:eastAsia="zh-CN"/>
        </w:rPr>
        <w:t xml:space="preserve"> SK, Shin SY, Kim JM, Kang YS, Lim YL, Kim YJ, Cho YZ, Hwang HW, Lee JH, </w:t>
      </w:r>
      <w:proofErr w:type="spellStart"/>
      <w:r w:rsidRPr="000F4A07">
        <w:rPr>
          <w:rFonts w:ascii="Book Antiqua" w:hAnsi="Book Antiqua" w:cs="宋体"/>
          <w:sz w:val="24"/>
          <w:szCs w:val="24"/>
          <w:lang w:eastAsia="zh-CN"/>
        </w:rPr>
        <w:t>Chae</w:t>
      </w:r>
      <w:proofErr w:type="spellEnd"/>
      <w:r w:rsidRPr="000F4A07">
        <w:rPr>
          <w:rFonts w:ascii="Book Antiqua" w:hAnsi="Book Antiqua" w:cs="宋体"/>
          <w:sz w:val="24"/>
          <w:szCs w:val="24"/>
          <w:lang w:eastAsia="zh-CN"/>
        </w:rPr>
        <w:t xml:space="preserve"> MH, Kim HA, Kang HW, Kwon SO. The usefulness of non-invasive liver stiffness measurements in predicting clinically significant portal hypertension in cirrhotic patients: Korean data. </w:t>
      </w:r>
      <w:proofErr w:type="spellStart"/>
      <w:r w:rsidRPr="000F4A07">
        <w:rPr>
          <w:rFonts w:ascii="Book Antiqua" w:hAnsi="Book Antiqua" w:cs="宋体"/>
          <w:i/>
          <w:iCs/>
          <w:sz w:val="24"/>
          <w:szCs w:val="24"/>
          <w:lang w:eastAsia="zh-CN"/>
        </w:rPr>
        <w:t>Clin</w:t>
      </w:r>
      <w:proofErr w:type="spellEnd"/>
      <w:r w:rsidRPr="000F4A07">
        <w:rPr>
          <w:rFonts w:ascii="Book Antiqua" w:hAnsi="Book Antiqua" w:cs="宋体"/>
          <w:i/>
          <w:iCs/>
          <w:sz w:val="24"/>
          <w:szCs w:val="24"/>
          <w:lang w:eastAsia="zh-CN"/>
        </w:rPr>
        <w:t xml:space="preserve"> </w:t>
      </w:r>
      <w:proofErr w:type="spellStart"/>
      <w:r w:rsidRPr="000F4A07">
        <w:rPr>
          <w:rFonts w:ascii="Book Antiqua" w:hAnsi="Book Antiqua" w:cs="宋体"/>
          <w:i/>
          <w:iCs/>
          <w:sz w:val="24"/>
          <w:szCs w:val="24"/>
          <w:lang w:eastAsia="zh-CN"/>
        </w:rPr>
        <w:t>Mol</w:t>
      </w:r>
      <w:proofErr w:type="spellEnd"/>
      <w:r w:rsidRPr="000F4A07">
        <w:rPr>
          <w:rFonts w:ascii="Book Antiqua" w:hAnsi="Book Antiqua" w:cs="宋体"/>
          <w:i/>
          <w:iCs/>
          <w:sz w:val="24"/>
          <w:szCs w:val="24"/>
          <w:lang w:eastAsia="zh-CN"/>
        </w:rPr>
        <w:t xml:space="preserve"> </w:t>
      </w:r>
      <w:proofErr w:type="spellStart"/>
      <w:r w:rsidRPr="000F4A07">
        <w:rPr>
          <w:rFonts w:ascii="Book Antiqua" w:hAnsi="Book Antiqua" w:cs="宋体"/>
          <w:i/>
          <w:iCs/>
          <w:sz w:val="24"/>
          <w:szCs w:val="24"/>
          <w:lang w:eastAsia="zh-CN"/>
        </w:rPr>
        <w:t>Hepatol</w:t>
      </w:r>
      <w:proofErr w:type="spellEnd"/>
      <w:r w:rsidRPr="000F4A07">
        <w:rPr>
          <w:rFonts w:ascii="Book Antiqua" w:hAnsi="Book Antiqua" w:cs="宋体"/>
          <w:sz w:val="24"/>
          <w:szCs w:val="24"/>
          <w:lang w:eastAsia="zh-CN"/>
        </w:rPr>
        <w:t> 2013; </w:t>
      </w:r>
      <w:r w:rsidRPr="000F4A07">
        <w:rPr>
          <w:rFonts w:ascii="Book Antiqua" w:hAnsi="Book Antiqua" w:cs="宋体"/>
          <w:b/>
          <w:bCs/>
          <w:sz w:val="24"/>
          <w:szCs w:val="24"/>
          <w:lang w:eastAsia="zh-CN"/>
        </w:rPr>
        <w:t>19</w:t>
      </w:r>
      <w:r w:rsidRPr="000F4A07">
        <w:rPr>
          <w:rFonts w:ascii="Book Antiqua" w:hAnsi="Book Antiqua" w:cs="宋体"/>
          <w:sz w:val="24"/>
          <w:szCs w:val="24"/>
          <w:lang w:eastAsia="zh-CN"/>
        </w:rPr>
        <w:t>: 370-375 [PMID: 24459641 DOI: 10.3350/cmh.2013.19.4.370]</w:t>
      </w:r>
    </w:p>
    <w:p w14:paraId="5D468BA1"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39 </w:t>
      </w:r>
      <w:proofErr w:type="spellStart"/>
      <w:r w:rsidRPr="000F4A07">
        <w:rPr>
          <w:rFonts w:ascii="Book Antiqua" w:hAnsi="Book Antiqua" w:cs="宋体"/>
          <w:b/>
          <w:bCs/>
          <w:sz w:val="24"/>
          <w:szCs w:val="24"/>
          <w:lang w:eastAsia="zh-CN"/>
        </w:rPr>
        <w:t>Augustin</w:t>
      </w:r>
      <w:proofErr w:type="spellEnd"/>
      <w:r w:rsidRPr="000F4A07">
        <w:rPr>
          <w:rFonts w:ascii="Book Antiqua" w:hAnsi="Book Antiqua" w:cs="宋体"/>
          <w:b/>
          <w:bCs/>
          <w:sz w:val="24"/>
          <w:szCs w:val="24"/>
          <w:lang w:eastAsia="zh-CN"/>
        </w:rPr>
        <w:t xml:space="preserve"> S</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Millán</w:t>
      </w:r>
      <w:proofErr w:type="spellEnd"/>
      <w:r w:rsidRPr="000F4A07">
        <w:rPr>
          <w:rFonts w:ascii="Book Antiqua" w:hAnsi="Book Antiqua" w:cs="宋体"/>
          <w:sz w:val="24"/>
          <w:szCs w:val="24"/>
          <w:lang w:eastAsia="zh-CN"/>
        </w:rPr>
        <w:t xml:space="preserve"> L, González A, Martell M, </w:t>
      </w:r>
      <w:proofErr w:type="spellStart"/>
      <w:r w:rsidRPr="000F4A07">
        <w:rPr>
          <w:rFonts w:ascii="Book Antiqua" w:hAnsi="Book Antiqua" w:cs="宋体"/>
          <w:sz w:val="24"/>
          <w:szCs w:val="24"/>
          <w:lang w:eastAsia="zh-CN"/>
        </w:rPr>
        <w:t>Gelabert</w:t>
      </w:r>
      <w:proofErr w:type="spellEnd"/>
      <w:r w:rsidRPr="000F4A07">
        <w:rPr>
          <w:rFonts w:ascii="Book Antiqua" w:hAnsi="Book Antiqua" w:cs="宋体"/>
          <w:sz w:val="24"/>
          <w:szCs w:val="24"/>
          <w:lang w:eastAsia="zh-CN"/>
        </w:rPr>
        <w:t xml:space="preserve"> A, </w:t>
      </w:r>
      <w:proofErr w:type="spellStart"/>
      <w:r w:rsidRPr="000F4A07">
        <w:rPr>
          <w:rFonts w:ascii="Book Antiqua" w:hAnsi="Book Antiqua" w:cs="宋体"/>
          <w:sz w:val="24"/>
          <w:szCs w:val="24"/>
          <w:lang w:eastAsia="zh-CN"/>
        </w:rPr>
        <w:t>Segarra</w:t>
      </w:r>
      <w:proofErr w:type="spellEnd"/>
      <w:r w:rsidRPr="000F4A07">
        <w:rPr>
          <w:rFonts w:ascii="Book Antiqua" w:hAnsi="Book Antiqua" w:cs="宋体"/>
          <w:sz w:val="24"/>
          <w:szCs w:val="24"/>
          <w:lang w:eastAsia="zh-CN"/>
        </w:rPr>
        <w:t xml:space="preserve"> A, </w:t>
      </w:r>
      <w:proofErr w:type="spellStart"/>
      <w:r w:rsidRPr="000F4A07">
        <w:rPr>
          <w:rFonts w:ascii="Book Antiqua" w:hAnsi="Book Antiqua" w:cs="宋体"/>
          <w:sz w:val="24"/>
          <w:szCs w:val="24"/>
          <w:lang w:eastAsia="zh-CN"/>
        </w:rPr>
        <w:t>Serres</w:t>
      </w:r>
      <w:proofErr w:type="spellEnd"/>
      <w:r w:rsidRPr="000F4A07">
        <w:rPr>
          <w:rFonts w:ascii="Book Antiqua" w:hAnsi="Book Antiqua" w:cs="宋体"/>
          <w:sz w:val="24"/>
          <w:szCs w:val="24"/>
          <w:lang w:eastAsia="zh-CN"/>
        </w:rPr>
        <w:t xml:space="preserve"> X, Esteban R, </w:t>
      </w:r>
      <w:proofErr w:type="spellStart"/>
      <w:r w:rsidRPr="000F4A07">
        <w:rPr>
          <w:rFonts w:ascii="Book Antiqua" w:hAnsi="Book Antiqua" w:cs="宋体"/>
          <w:sz w:val="24"/>
          <w:szCs w:val="24"/>
          <w:lang w:eastAsia="zh-CN"/>
        </w:rPr>
        <w:t>Genescà</w:t>
      </w:r>
      <w:proofErr w:type="spellEnd"/>
      <w:r w:rsidRPr="000F4A07">
        <w:rPr>
          <w:rFonts w:ascii="Book Antiqua" w:hAnsi="Book Antiqua" w:cs="宋体"/>
          <w:sz w:val="24"/>
          <w:szCs w:val="24"/>
          <w:lang w:eastAsia="zh-CN"/>
        </w:rPr>
        <w:t xml:space="preserve"> J. Detection of early portal hypertension with routine data and </w:t>
      </w:r>
      <w:r w:rsidRPr="000F4A07">
        <w:rPr>
          <w:rFonts w:ascii="Book Antiqua" w:hAnsi="Book Antiqua" w:cs="宋体"/>
          <w:sz w:val="24"/>
          <w:szCs w:val="24"/>
          <w:lang w:eastAsia="zh-CN"/>
        </w:rPr>
        <w:lastRenderedPageBreak/>
        <w:t>liver stiffness in patients with asymptomatic liver disease: a prospective study. </w:t>
      </w:r>
      <w:r w:rsidRPr="000F4A07">
        <w:rPr>
          <w:rFonts w:ascii="Book Antiqua" w:hAnsi="Book Antiqua" w:cs="宋体"/>
          <w:i/>
          <w:iCs/>
          <w:sz w:val="24"/>
          <w:szCs w:val="24"/>
          <w:lang w:eastAsia="zh-CN"/>
        </w:rPr>
        <w:t xml:space="preserve">J </w:t>
      </w:r>
      <w:proofErr w:type="spellStart"/>
      <w:r w:rsidRPr="000F4A07">
        <w:rPr>
          <w:rFonts w:ascii="Book Antiqua" w:hAnsi="Book Antiqua" w:cs="宋体"/>
          <w:i/>
          <w:iCs/>
          <w:sz w:val="24"/>
          <w:szCs w:val="24"/>
          <w:lang w:eastAsia="zh-CN"/>
        </w:rPr>
        <w:t>Hepatol</w:t>
      </w:r>
      <w:proofErr w:type="spellEnd"/>
      <w:r w:rsidRPr="000F4A07">
        <w:rPr>
          <w:rFonts w:ascii="Book Antiqua" w:hAnsi="Book Antiqua" w:cs="宋体"/>
          <w:sz w:val="24"/>
          <w:szCs w:val="24"/>
          <w:lang w:eastAsia="zh-CN"/>
        </w:rPr>
        <w:t> 2014; </w:t>
      </w:r>
      <w:r w:rsidRPr="000F4A07">
        <w:rPr>
          <w:rFonts w:ascii="Book Antiqua" w:hAnsi="Book Antiqua" w:cs="宋体"/>
          <w:b/>
          <w:bCs/>
          <w:sz w:val="24"/>
          <w:szCs w:val="24"/>
          <w:lang w:eastAsia="zh-CN"/>
        </w:rPr>
        <w:t>60</w:t>
      </w:r>
      <w:r w:rsidRPr="000F4A07">
        <w:rPr>
          <w:rFonts w:ascii="Book Antiqua" w:hAnsi="Book Antiqua" w:cs="宋体"/>
          <w:sz w:val="24"/>
          <w:szCs w:val="24"/>
          <w:lang w:eastAsia="zh-CN"/>
        </w:rPr>
        <w:t>: 561-569 [PMID: 24211744 DOI: 10.1016/j.jhep.2013.10.027]</w:t>
      </w:r>
    </w:p>
    <w:p w14:paraId="76679A4B"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40 </w:t>
      </w:r>
      <w:proofErr w:type="spellStart"/>
      <w:r w:rsidRPr="000F4A07">
        <w:rPr>
          <w:rFonts w:ascii="Book Antiqua" w:hAnsi="Book Antiqua" w:cs="宋体"/>
          <w:b/>
          <w:bCs/>
          <w:sz w:val="24"/>
          <w:szCs w:val="24"/>
          <w:lang w:eastAsia="zh-CN"/>
        </w:rPr>
        <w:t>Kitson</w:t>
      </w:r>
      <w:proofErr w:type="spellEnd"/>
      <w:r w:rsidRPr="000F4A07">
        <w:rPr>
          <w:rFonts w:ascii="Book Antiqua" w:hAnsi="Book Antiqua" w:cs="宋体"/>
          <w:b/>
          <w:bCs/>
          <w:sz w:val="24"/>
          <w:szCs w:val="24"/>
          <w:lang w:eastAsia="zh-CN"/>
        </w:rPr>
        <w:t xml:space="preserve"> MT</w:t>
      </w:r>
      <w:r w:rsidRPr="000F4A07">
        <w:rPr>
          <w:rFonts w:ascii="Book Antiqua" w:hAnsi="Book Antiqua" w:cs="宋体"/>
          <w:sz w:val="24"/>
          <w:szCs w:val="24"/>
          <w:lang w:eastAsia="zh-CN"/>
        </w:rPr>
        <w:t>, Roberts SK, Colman JC, Paul E, Button P, Kemp W. Liver stiffness and the prediction of clinically significant portal hypertension and portal hypertensive complications. </w:t>
      </w:r>
      <w:proofErr w:type="spellStart"/>
      <w:r w:rsidRPr="000F4A07">
        <w:rPr>
          <w:rFonts w:ascii="Book Antiqua" w:hAnsi="Book Antiqua" w:cs="宋体"/>
          <w:i/>
          <w:iCs/>
          <w:sz w:val="24"/>
          <w:szCs w:val="24"/>
          <w:lang w:eastAsia="zh-CN"/>
        </w:rPr>
        <w:t>Scand</w:t>
      </w:r>
      <w:proofErr w:type="spellEnd"/>
      <w:r w:rsidRPr="000F4A07">
        <w:rPr>
          <w:rFonts w:ascii="Book Antiqua" w:hAnsi="Book Antiqua" w:cs="宋体"/>
          <w:i/>
          <w:iCs/>
          <w:sz w:val="24"/>
          <w:szCs w:val="24"/>
          <w:lang w:eastAsia="zh-CN"/>
        </w:rPr>
        <w:t xml:space="preserve"> J </w:t>
      </w:r>
      <w:proofErr w:type="spellStart"/>
      <w:r w:rsidRPr="000F4A07">
        <w:rPr>
          <w:rFonts w:ascii="Book Antiqua" w:hAnsi="Book Antiqua" w:cs="宋体"/>
          <w:i/>
          <w:iCs/>
          <w:sz w:val="24"/>
          <w:szCs w:val="24"/>
          <w:lang w:eastAsia="zh-CN"/>
        </w:rPr>
        <w:t>Gastroenterol</w:t>
      </w:r>
      <w:proofErr w:type="spellEnd"/>
      <w:r w:rsidRPr="000F4A07">
        <w:rPr>
          <w:rFonts w:ascii="Book Antiqua" w:hAnsi="Book Antiqua" w:cs="宋体"/>
          <w:sz w:val="24"/>
          <w:szCs w:val="24"/>
          <w:lang w:eastAsia="zh-CN"/>
        </w:rPr>
        <w:t> 2015; </w:t>
      </w:r>
      <w:r w:rsidRPr="000F4A07">
        <w:rPr>
          <w:rFonts w:ascii="Book Antiqua" w:hAnsi="Book Antiqua" w:cs="宋体"/>
          <w:b/>
          <w:bCs/>
          <w:sz w:val="24"/>
          <w:szCs w:val="24"/>
          <w:lang w:eastAsia="zh-CN"/>
        </w:rPr>
        <w:t>50</w:t>
      </w:r>
      <w:r w:rsidRPr="000F4A07">
        <w:rPr>
          <w:rFonts w:ascii="Book Antiqua" w:hAnsi="Book Antiqua" w:cs="宋体"/>
          <w:sz w:val="24"/>
          <w:szCs w:val="24"/>
          <w:lang w:eastAsia="zh-CN"/>
        </w:rPr>
        <w:t>: 462-469 [PMID: 25623641 DOI: 10.3109/00365521.2014.964758]</w:t>
      </w:r>
    </w:p>
    <w:p w14:paraId="7F972448" w14:textId="77777777" w:rsidR="000F4A07" w:rsidRPr="000F4A07" w:rsidRDefault="000F4A07" w:rsidP="000F4A07">
      <w:pPr>
        <w:spacing w:after="0" w:line="360" w:lineRule="auto"/>
        <w:jc w:val="both"/>
        <w:rPr>
          <w:rFonts w:ascii="Book Antiqua" w:hAnsi="Book Antiqua" w:cs="宋体"/>
          <w:sz w:val="24"/>
          <w:szCs w:val="24"/>
          <w:lang w:eastAsia="zh-CN"/>
        </w:rPr>
      </w:pPr>
      <w:r w:rsidRPr="000F4A07">
        <w:rPr>
          <w:rFonts w:ascii="Book Antiqua" w:hAnsi="Book Antiqua" w:cs="宋体"/>
          <w:sz w:val="24"/>
          <w:szCs w:val="24"/>
          <w:lang w:eastAsia="zh-CN"/>
        </w:rPr>
        <w:t>41 </w:t>
      </w:r>
      <w:proofErr w:type="spellStart"/>
      <w:r w:rsidRPr="000F4A07">
        <w:rPr>
          <w:rFonts w:ascii="Book Antiqua" w:hAnsi="Book Antiqua" w:cs="宋体"/>
          <w:b/>
          <w:bCs/>
          <w:sz w:val="24"/>
          <w:szCs w:val="24"/>
          <w:lang w:eastAsia="zh-CN"/>
        </w:rPr>
        <w:t>Schwabl</w:t>
      </w:r>
      <w:proofErr w:type="spellEnd"/>
      <w:r w:rsidRPr="000F4A07">
        <w:rPr>
          <w:rFonts w:ascii="Book Antiqua" w:hAnsi="Book Antiqua" w:cs="宋体"/>
          <w:b/>
          <w:bCs/>
          <w:sz w:val="24"/>
          <w:szCs w:val="24"/>
          <w:lang w:eastAsia="zh-CN"/>
        </w:rPr>
        <w:t xml:space="preserve"> P</w:t>
      </w:r>
      <w:r w:rsidRPr="000F4A07">
        <w:rPr>
          <w:rFonts w:ascii="Book Antiqua" w:hAnsi="Book Antiqua" w:cs="宋体"/>
          <w:sz w:val="24"/>
          <w:szCs w:val="24"/>
          <w:lang w:eastAsia="zh-CN"/>
        </w:rPr>
        <w:t xml:space="preserve">, </w:t>
      </w:r>
      <w:proofErr w:type="spellStart"/>
      <w:r w:rsidRPr="000F4A07">
        <w:rPr>
          <w:rFonts w:ascii="Book Antiqua" w:hAnsi="Book Antiqua" w:cs="宋体"/>
          <w:sz w:val="24"/>
          <w:szCs w:val="24"/>
          <w:lang w:eastAsia="zh-CN"/>
        </w:rPr>
        <w:t>Bota</w:t>
      </w:r>
      <w:proofErr w:type="spellEnd"/>
      <w:r w:rsidRPr="000F4A07">
        <w:rPr>
          <w:rFonts w:ascii="Book Antiqua" w:hAnsi="Book Antiqua" w:cs="宋体"/>
          <w:sz w:val="24"/>
          <w:szCs w:val="24"/>
          <w:lang w:eastAsia="zh-CN"/>
        </w:rPr>
        <w:t xml:space="preserve"> S, </w:t>
      </w:r>
      <w:proofErr w:type="spellStart"/>
      <w:r w:rsidRPr="000F4A07">
        <w:rPr>
          <w:rFonts w:ascii="Book Antiqua" w:hAnsi="Book Antiqua" w:cs="宋体"/>
          <w:sz w:val="24"/>
          <w:szCs w:val="24"/>
          <w:lang w:eastAsia="zh-CN"/>
        </w:rPr>
        <w:t>Salzl</w:t>
      </w:r>
      <w:proofErr w:type="spellEnd"/>
      <w:r w:rsidRPr="000F4A07">
        <w:rPr>
          <w:rFonts w:ascii="Book Antiqua" w:hAnsi="Book Antiqua" w:cs="宋体"/>
          <w:sz w:val="24"/>
          <w:szCs w:val="24"/>
          <w:lang w:eastAsia="zh-CN"/>
        </w:rPr>
        <w:t xml:space="preserve"> P, </w:t>
      </w:r>
      <w:proofErr w:type="spellStart"/>
      <w:r w:rsidRPr="000F4A07">
        <w:rPr>
          <w:rFonts w:ascii="Book Antiqua" w:hAnsi="Book Antiqua" w:cs="宋体"/>
          <w:sz w:val="24"/>
          <w:szCs w:val="24"/>
          <w:lang w:eastAsia="zh-CN"/>
        </w:rPr>
        <w:t>Mandorfer</w:t>
      </w:r>
      <w:proofErr w:type="spellEnd"/>
      <w:r w:rsidRPr="000F4A07">
        <w:rPr>
          <w:rFonts w:ascii="Book Antiqua" w:hAnsi="Book Antiqua" w:cs="宋体"/>
          <w:sz w:val="24"/>
          <w:szCs w:val="24"/>
          <w:lang w:eastAsia="zh-CN"/>
        </w:rPr>
        <w:t xml:space="preserve"> M, Payer BA, </w:t>
      </w:r>
      <w:proofErr w:type="spellStart"/>
      <w:r w:rsidRPr="000F4A07">
        <w:rPr>
          <w:rFonts w:ascii="Book Antiqua" w:hAnsi="Book Antiqua" w:cs="宋体"/>
          <w:sz w:val="24"/>
          <w:szCs w:val="24"/>
          <w:lang w:eastAsia="zh-CN"/>
        </w:rPr>
        <w:t>Ferlitsch</w:t>
      </w:r>
      <w:proofErr w:type="spellEnd"/>
      <w:r w:rsidRPr="000F4A07">
        <w:rPr>
          <w:rFonts w:ascii="Book Antiqua" w:hAnsi="Book Antiqua" w:cs="宋体"/>
          <w:sz w:val="24"/>
          <w:szCs w:val="24"/>
          <w:lang w:eastAsia="zh-CN"/>
        </w:rPr>
        <w:t xml:space="preserve"> A, </w:t>
      </w:r>
      <w:proofErr w:type="spellStart"/>
      <w:r w:rsidRPr="000F4A07">
        <w:rPr>
          <w:rFonts w:ascii="Book Antiqua" w:hAnsi="Book Antiqua" w:cs="宋体"/>
          <w:sz w:val="24"/>
          <w:szCs w:val="24"/>
          <w:lang w:eastAsia="zh-CN"/>
        </w:rPr>
        <w:t>Stift</w:t>
      </w:r>
      <w:proofErr w:type="spellEnd"/>
      <w:r w:rsidRPr="000F4A07">
        <w:rPr>
          <w:rFonts w:ascii="Book Antiqua" w:hAnsi="Book Antiqua" w:cs="宋体"/>
          <w:sz w:val="24"/>
          <w:szCs w:val="24"/>
          <w:lang w:eastAsia="zh-CN"/>
        </w:rPr>
        <w:t xml:space="preserve"> J, </w:t>
      </w:r>
      <w:proofErr w:type="spellStart"/>
      <w:r w:rsidRPr="000F4A07">
        <w:rPr>
          <w:rFonts w:ascii="Book Antiqua" w:hAnsi="Book Antiqua" w:cs="宋体"/>
          <w:sz w:val="24"/>
          <w:szCs w:val="24"/>
          <w:lang w:eastAsia="zh-CN"/>
        </w:rPr>
        <w:t>Wrba</w:t>
      </w:r>
      <w:proofErr w:type="spellEnd"/>
      <w:r w:rsidRPr="000F4A07">
        <w:rPr>
          <w:rFonts w:ascii="Book Antiqua" w:hAnsi="Book Antiqua" w:cs="宋体"/>
          <w:sz w:val="24"/>
          <w:szCs w:val="24"/>
          <w:lang w:eastAsia="zh-CN"/>
        </w:rPr>
        <w:t xml:space="preserve"> F, </w:t>
      </w:r>
      <w:proofErr w:type="spellStart"/>
      <w:r w:rsidRPr="000F4A07">
        <w:rPr>
          <w:rFonts w:ascii="Book Antiqua" w:hAnsi="Book Antiqua" w:cs="宋体"/>
          <w:sz w:val="24"/>
          <w:szCs w:val="24"/>
          <w:lang w:eastAsia="zh-CN"/>
        </w:rPr>
        <w:t>Trauner</w:t>
      </w:r>
      <w:proofErr w:type="spellEnd"/>
      <w:r w:rsidRPr="000F4A07">
        <w:rPr>
          <w:rFonts w:ascii="Book Antiqua" w:hAnsi="Book Antiqua" w:cs="宋体"/>
          <w:sz w:val="24"/>
          <w:szCs w:val="24"/>
          <w:lang w:eastAsia="zh-CN"/>
        </w:rPr>
        <w:t xml:space="preserve"> M, Peck-</w:t>
      </w:r>
      <w:proofErr w:type="spellStart"/>
      <w:r w:rsidRPr="000F4A07">
        <w:rPr>
          <w:rFonts w:ascii="Book Antiqua" w:hAnsi="Book Antiqua" w:cs="宋体"/>
          <w:sz w:val="24"/>
          <w:szCs w:val="24"/>
          <w:lang w:eastAsia="zh-CN"/>
        </w:rPr>
        <w:t>Radosavljevic</w:t>
      </w:r>
      <w:proofErr w:type="spellEnd"/>
      <w:r w:rsidRPr="000F4A07">
        <w:rPr>
          <w:rFonts w:ascii="Book Antiqua" w:hAnsi="Book Antiqua" w:cs="宋体"/>
          <w:sz w:val="24"/>
          <w:szCs w:val="24"/>
          <w:lang w:eastAsia="zh-CN"/>
        </w:rPr>
        <w:t xml:space="preserve"> M, </w:t>
      </w:r>
      <w:proofErr w:type="spellStart"/>
      <w:r w:rsidRPr="000F4A07">
        <w:rPr>
          <w:rFonts w:ascii="Book Antiqua" w:hAnsi="Book Antiqua" w:cs="宋体"/>
          <w:sz w:val="24"/>
          <w:szCs w:val="24"/>
          <w:lang w:eastAsia="zh-CN"/>
        </w:rPr>
        <w:t>Reiberger</w:t>
      </w:r>
      <w:proofErr w:type="spellEnd"/>
      <w:r w:rsidRPr="000F4A07">
        <w:rPr>
          <w:rFonts w:ascii="Book Antiqua" w:hAnsi="Book Antiqua" w:cs="宋体"/>
          <w:sz w:val="24"/>
          <w:szCs w:val="24"/>
          <w:lang w:eastAsia="zh-CN"/>
        </w:rPr>
        <w:t xml:space="preserve"> T. New reliability criteria for transient </w:t>
      </w:r>
      <w:proofErr w:type="spellStart"/>
      <w:r w:rsidRPr="000F4A07">
        <w:rPr>
          <w:rFonts w:ascii="Book Antiqua" w:hAnsi="Book Antiqua" w:cs="宋体"/>
          <w:sz w:val="24"/>
          <w:szCs w:val="24"/>
          <w:lang w:eastAsia="zh-CN"/>
        </w:rPr>
        <w:t>elastography</w:t>
      </w:r>
      <w:proofErr w:type="spellEnd"/>
      <w:r w:rsidRPr="000F4A07">
        <w:rPr>
          <w:rFonts w:ascii="Book Antiqua" w:hAnsi="Book Antiqua" w:cs="宋体"/>
          <w:sz w:val="24"/>
          <w:szCs w:val="24"/>
          <w:lang w:eastAsia="zh-CN"/>
        </w:rPr>
        <w:t xml:space="preserve"> increase the number of accurate measurements for screening of cirrhosis and portal hypertension. </w:t>
      </w:r>
      <w:r w:rsidRPr="000F4A07">
        <w:rPr>
          <w:rFonts w:ascii="Book Antiqua" w:hAnsi="Book Antiqua" w:cs="宋体"/>
          <w:i/>
          <w:iCs/>
          <w:sz w:val="24"/>
          <w:szCs w:val="24"/>
          <w:lang w:eastAsia="zh-CN"/>
        </w:rPr>
        <w:t xml:space="preserve">Liver </w:t>
      </w:r>
      <w:proofErr w:type="spellStart"/>
      <w:r w:rsidRPr="000F4A07">
        <w:rPr>
          <w:rFonts w:ascii="Book Antiqua" w:hAnsi="Book Antiqua" w:cs="宋体"/>
          <w:i/>
          <w:iCs/>
          <w:sz w:val="24"/>
          <w:szCs w:val="24"/>
          <w:lang w:eastAsia="zh-CN"/>
        </w:rPr>
        <w:t>Int</w:t>
      </w:r>
      <w:proofErr w:type="spellEnd"/>
      <w:r w:rsidRPr="000F4A07">
        <w:rPr>
          <w:rFonts w:ascii="Book Antiqua" w:hAnsi="Book Antiqua" w:cs="宋体"/>
          <w:sz w:val="24"/>
          <w:szCs w:val="24"/>
          <w:lang w:eastAsia="zh-CN"/>
        </w:rPr>
        <w:t xml:space="preserve"> 2015; </w:t>
      </w:r>
      <w:r w:rsidRPr="000F4A07">
        <w:rPr>
          <w:rFonts w:ascii="Book Antiqua" w:hAnsi="Book Antiqua" w:cs="宋体"/>
          <w:b/>
          <w:bCs/>
          <w:sz w:val="24"/>
          <w:szCs w:val="24"/>
          <w:lang w:eastAsia="zh-CN"/>
        </w:rPr>
        <w:t>35</w:t>
      </w:r>
      <w:r w:rsidRPr="000F4A07">
        <w:rPr>
          <w:rFonts w:ascii="Book Antiqua" w:hAnsi="Book Antiqua" w:cs="宋体"/>
          <w:sz w:val="24"/>
          <w:szCs w:val="24"/>
          <w:lang w:eastAsia="zh-CN"/>
        </w:rPr>
        <w:t>: 381-390 [PMID: 24953516 DOI: 10.1111/liv.12623]</w:t>
      </w:r>
    </w:p>
    <w:p w14:paraId="6457D3DE" w14:textId="77777777" w:rsidR="000F4A07" w:rsidRPr="000F4A07" w:rsidRDefault="000F4A07" w:rsidP="000F4A07">
      <w:pPr>
        <w:wordWrap w:val="0"/>
        <w:snapToGrid w:val="0"/>
        <w:spacing w:after="0" w:line="360" w:lineRule="auto"/>
        <w:jc w:val="right"/>
        <w:rPr>
          <w:rFonts w:ascii="Book Antiqua" w:hAnsi="Book Antiqua" w:cs="Times New Roman"/>
          <w:sz w:val="24"/>
          <w:szCs w:val="24"/>
          <w:lang w:eastAsia="zh-CN"/>
        </w:rPr>
      </w:pPr>
      <w:bookmarkStart w:id="49" w:name="OLE_LINK51"/>
      <w:bookmarkStart w:id="50" w:name="OLE_LINK52"/>
      <w:bookmarkStart w:id="51" w:name="OLE_LINK120"/>
      <w:bookmarkStart w:id="52" w:name="OLE_LINK148"/>
      <w:bookmarkStart w:id="53" w:name="OLE_LINK72"/>
      <w:bookmarkStart w:id="54" w:name="OLE_LINK112"/>
      <w:bookmarkStart w:id="55" w:name="OLE_LINK320"/>
      <w:bookmarkStart w:id="56" w:name="OLE_LINK387"/>
      <w:bookmarkStart w:id="57" w:name="OLE_LINK183"/>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r w:rsidRPr="000F4A07">
        <w:rPr>
          <w:rFonts w:ascii="Book Antiqua" w:hAnsi="Book Antiqua" w:cs="Times New Roman"/>
          <w:b/>
          <w:bCs/>
          <w:sz w:val="24"/>
          <w:szCs w:val="24"/>
          <w:lang w:eastAsia="zh-CN"/>
        </w:rPr>
        <w:t>P-Reviewer:</w:t>
      </w:r>
      <w:r w:rsidRPr="000F4A07">
        <w:rPr>
          <w:rFonts w:ascii="Book Antiqua" w:hAnsi="Book Antiqua" w:cs="Times New Roman" w:hint="eastAsia"/>
          <w:b/>
          <w:bCs/>
          <w:sz w:val="24"/>
          <w:szCs w:val="24"/>
          <w:lang w:eastAsia="zh-CN"/>
        </w:rPr>
        <w:t xml:space="preserve"> </w:t>
      </w:r>
      <w:r w:rsidRPr="000F4A07">
        <w:rPr>
          <w:rFonts w:ascii="Book Antiqua" w:hAnsi="Book Antiqua" w:cs="Times New Roman"/>
          <w:bCs/>
          <w:sz w:val="24"/>
          <w:szCs w:val="24"/>
          <w:lang w:eastAsia="zh-CN"/>
        </w:rPr>
        <w:t xml:space="preserve">De Silva AP, </w:t>
      </w:r>
      <w:proofErr w:type="spellStart"/>
      <w:r w:rsidRPr="000F4A07">
        <w:rPr>
          <w:rFonts w:ascii="Book Antiqua" w:hAnsi="Book Antiqua" w:cs="Times New Roman"/>
          <w:bCs/>
          <w:sz w:val="24"/>
          <w:szCs w:val="24"/>
          <w:lang w:eastAsia="zh-CN"/>
        </w:rPr>
        <w:t>Furuichi</w:t>
      </w:r>
      <w:proofErr w:type="spellEnd"/>
      <w:r w:rsidRPr="000F4A07">
        <w:rPr>
          <w:rFonts w:ascii="Book Antiqua" w:hAnsi="Book Antiqua" w:cs="Times New Roman"/>
          <w:bCs/>
          <w:sz w:val="24"/>
          <w:szCs w:val="24"/>
          <w:lang w:eastAsia="zh-CN"/>
        </w:rPr>
        <w:t xml:space="preserve"> Y, Nakajima H</w:t>
      </w:r>
      <w:r w:rsidRPr="000F4A07">
        <w:rPr>
          <w:rFonts w:ascii="Book Antiqua" w:hAnsi="Book Antiqua" w:cs="Times New Roman"/>
          <w:b/>
          <w:bCs/>
          <w:sz w:val="24"/>
          <w:szCs w:val="24"/>
          <w:lang w:eastAsia="zh-CN"/>
        </w:rPr>
        <w:t xml:space="preserve"> S-Editor:</w:t>
      </w:r>
      <w:r w:rsidRPr="000F4A07">
        <w:rPr>
          <w:rFonts w:ascii="Book Antiqua" w:hAnsi="Book Antiqua" w:cs="Times New Roman" w:hint="eastAsia"/>
          <w:sz w:val="24"/>
          <w:szCs w:val="24"/>
          <w:lang w:eastAsia="zh-CN"/>
        </w:rPr>
        <w:t xml:space="preserve"> Gong ZM</w:t>
      </w:r>
    </w:p>
    <w:p w14:paraId="1867D347" w14:textId="77777777" w:rsidR="000F4A07" w:rsidRPr="000F4A07" w:rsidRDefault="000F4A07" w:rsidP="000F4A07">
      <w:pPr>
        <w:snapToGrid w:val="0"/>
        <w:spacing w:after="0" w:line="360" w:lineRule="auto"/>
        <w:jc w:val="right"/>
        <w:rPr>
          <w:rFonts w:ascii="Book Antiqua" w:hAnsi="Book Antiqua" w:cs="Times New Roman"/>
          <w:b/>
          <w:bCs/>
          <w:sz w:val="24"/>
          <w:szCs w:val="24"/>
          <w:lang w:eastAsia="zh-CN"/>
        </w:rPr>
      </w:pPr>
      <w:r w:rsidRPr="000F4A07">
        <w:rPr>
          <w:rFonts w:ascii="Book Antiqua" w:hAnsi="Book Antiqua" w:cs="Times New Roman"/>
          <w:b/>
          <w:bCs/>
          <w:sz w:val="24"/>
          <w:szCs w:val="24"/>
          <w:lang w:eastAsia="zh-CN"/>
        </w:rPr>
        <w:t>L-Editor:</w:t>
      </w:r>
      <w:r w:rsidRPr="000F4A07">
        <w:rPr>
          <w:rFonts w:ascii="Book Antiqua" w:hAnsi="Book Antiqua" w:cs="Times New Roman"/>
          <w:sz w:val="24"/>
          <w:szCs w:val="24"/>
          <w:lang w:eastAsia="zh-CN"/>
        </w:rPr>
        <w:t xml:space="preserve"> </w:t>
      </w:r>
      <w:r w:rsidRPr="000F4A07">
        <w:rPr>
          <w:rFonts w:ascii="Book Antiqua" w:hAnsi="Book Antiqua" w:cs="Times New Roman"/>
          <w:b/>
          <w:bCs/>
          <w:sz w:val="24"/>
          <w:szCs w:val="24"/>
          <w:lang w:eastAsia="zh-CN"/>
        </w:rPr>
        <w:t>E-Editor:</w:t>
      </w:r>
    </w:p>
    <w:p w14:paraId="62210649" w14:textId="77777777" w:rsidR="000F4A07" w:rsidRPr="000F4A07" w:rsidRDefault="000F4A07" w:rsidP="000F4A07">
      <w:pPr>
        <w:shd w:val="clear" w:color="auto" w:fill="FFFFFF"/>
        <w:snapToGrid w:val="0"/>
        <w:spacing w:after="0" w:line="360" w:lineRule="auto"/>
        <w:jc w:val="both"/>
        <w:rPr>
          <w:rFonts w:ascii="Book Antiqua" w:hAnsi="Book Antiqua" w:cs="Helvetica"/>
          <w:b/>
          <w:sz w:val="24"/>
          <w:szCs w:val="24"/>
          <w:lang w:eastAsia="zh-CN"/>
        </w:rPr>
      </w:pPr>
      <w:bookmarkStart w:id="154" w:name="OLE_LINK880"/>
      <w:bookmarkStart w:id="155" w:name="OLE_LINK881"/>
      <w:bookmarkStart w:id="156" w:name="OLE_LINK497"/>
      <w:bookmarkStart w:id="157" w:name="OLE_LINK81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0F4A07">
        <w:rPr>
          <w:rFonts w:ascii="Book Antiqua" w:hAnsi="Book Antiqua" w:cs="Helvetica"/>
          <w:b/>
          <w:sz w:val="24"/>
          <w:szCs w:val="24"/>
          <w:lang w:eastAsia="zh-CN"/>
        </w:rPr>
        <w:t xml:space="preserve">Specialty type: </w:t>
      </w:r>
      <w:r w:rsidRPr="000F4A07">
        <w:rPr>
          <w:rFonts w:ascii="Book Antiqua" w:hAnsi="Book Antiqua" w:cs="Helvetica"/>
          <w:sz w:val="24"/>
          <w:szCs w:val="24"/>
          <w:lang w:eastAsia="zh-CN"/>
        </w:rPr>
        <w:t>Gastroenterology and</w:t>
      </w:r>
      <w:r w:rsidRPr="000F4A07">
        <w:rPr>
          <w:rFonts w:ascii="Book Antiqua" w:hAnsi="Book Antiqua" w:cs="Helvetica" w:hint="eastAsia"/>
          <w:sz w:val="24"/>
          <w:szCs w:val="24"/>
          <w:lang w:eastAsia="zh-CN"/>
        </w:rPr>
        <w:t xml:space="preserve"> </w:t>
      </w:r>
      <w:proofErr w:type="spellStart"/>
      <w:r w:rsidRPr="000F4A07">
        <w:rPr>
          <w:rFonts w:ascii="Book Antiqua" w:hAnsi="Book Antiqua" w:cs="Helvetica"/>
          <w:sz w:val="24"/>
          <w:szCs w:val="24"/>
          <w:lang w:eastAsia="zh-CN"/>
        </w:rPr>
        <w:t>hepatology</w:t>
      </w:r>
      <w:proofErr w:type="spellEnd"/>
    </w:p>
    <w:p w14:paraId="27FB00E7" w14:textId="77777777" w:rsidR="000F4A07" w:rsidRPr="000F4A07" w:rsidRDefault="000F4A07" w:rsidP="000F4A07">
      <w:pPr>
        <w:shd w:val="clear" w:color="auto" w:fill="FFFFFF"/>
        <w:snapToGrid w:val="0"/>
        <w:spacing w:after="0" w:line="360" w:lineRule="auto"/>
        <w:jc w:val="both"/>
        <w:rPr>
          <w:rFonts w:ascii="Book Antiqua" w:hAnsi="Book Antiqua" w:cs="Helvetica"/>
          <w:b/>
          <w:sz w:val="24"/>
          <w:szCs w:val="24"/>
          <w:lang w:eastAsia="zh-CN"/>
        </w:rPr>
      </w:pPr>
      <w:r w:rsidRPr="000F4A07">
        <w:rPr>
          <w:rFonts w:ascii="Book Antiqua" w:hAnsi="Book Antiqua" w:cs="Helvetica"/>
          <w:b/>
          <w:sz w:val="24"/>
          <w:szCs w:val="24"/>
          <w:lang w:eastAsia="zh-CN"/>
        </w:rPr>
        <w:t xml:space="preserve">Country of origin: </w:t>
      </w:r>
      <w:r w:rsidRPr="000F4A07">
        <w:rPr>
          <w:rFonts w:ascii="Book Antiqua" w:eastAsia="MS Mincho" w:hAnsi="Book Antiqua" w:cs="Times New Roman"/>
          <w:bCs/>
          <w:sz w:val="24"/>
          <w:szCs w:val="24"/>
          <w:lang w:eastAsia="de-DE"/>
        </w:rPr>
        <w:t>India</w:t>
      </w:r>
    </w:p>
    <w:p w14:paraId="635E6459" w14:textId="77777777" w:rsidR="000F4A07" w:rsidRPr="000F4A07" w:rsidRDefault="000F4A07" w:rsidP="000F4A07">
      <w:pPr>
        <w:shd w:val="clear" w:color="auto" w:fill="FFFFFF"/>
        <w:snapToGrid w:val="0"/>
        <w:spacing w:after="0" w:line="360" w:lineRule="auto"/>
        <w:jc w:val="both"/>
        <w:rPr>
          <w:rFonts w:ascii="Book Antiqua" w:hAnsi="Book Antiqua" w:cs="Helvetica"/>
          <w:b/>
          <w:sz w:val="24"/>
          <w:szCs w:val="24"/>
          <w:lang w:eastAsia="zh-CN"/>
        </w:rPr>
      </w:pPr>
      <w:r w:rsidRPr="000F4A07">
        <w:rPr>
          <w:rFonts w:ascii="Book Antiqua" w:hAnsi="Book Antiqua" w:cs="Helvetica"/>
          <w:b/>
          <w:sz w:val="24"/>
          <w:szCs w:val="24"/>
          <w:lang w:eastAsia="zh-CN"/>
        </w:rPr>
        <w:t>Peer-review report classification</w:t>
      </w:r>
    </w:p>
    <w:p w14:paraId="373CA0A5" w14:textId="77777777" w:rsidR="000F4A07" w:rsidRPr="000F4A07" w:rsidRDefault="000F4A07" w:rsidP="000F4A07">
      <w:pPr>
        <w:shd w:val="clear" w:color="auto" w:fill="FFFFFF"/>
        <w:snapToGrid w:val="0"/>
        <w:spacing w:after="0" w:line="360" w:lineRule="auto"/>
        <w:jc w:val="both"/>
        <w:rPr>
          <w:rFonts w:ascii="Book Antiqua" w:hAnsi="Book Antiqua" w:cs="Helvetica"/>
          <w:sz w:val="24"/>
          <w:szCs w:val="24"/>
          <w:lang w:eastAsia="zh-CN"/>
        </w:rPr>
      </w:pPr>
      <w:r w:rsidRPr="000F4A07">
        <w:rPr>
          <w:rFonts w:ascii="Book Antiqua" w:hAnsi="Book Antiqua" w:cs="Helvetica"/>
          <w:sz w:val="24"/>
          <w:szCs w:val="24"/>
          <w:lang w:eastAsia="zh-CN"/>
        </w:rPr>
        <w:t xml:space="preserve">Grade </w:t>
      </w:r>
      <w:proofErr w:type="gramStart"/>
      <w:r w:rsidRPr="000F4A07">
        <w:rPr>
          <w:rFonts w:ascii="Book Antiqua" w:hAnsi="Book Antiqua" w:cs="Helvetica"/>
          <w:sz w:val="24"/>
          <w:szCs w:val="24"/>
          <w:lang w:eastAsia="zh-CN"/>
        </w:rPr>
        <w:t>A</w:t>
      </w:r>
      <w:proofErr w:type="gramEnd"/>
      <w:r w:rsidRPr="000F4A07">
        <w:rPr>
          <w:rFonts w:ascii="Book Antiqua" w:hAnsi="Book Antiqua" w:cs="Helvetica"/>
          <w:sz w:val="24"/>
          <w:szCs w:val="24"/>
          <w:lang w:eastAsia="zh-CN"/>
        </w:rPr>
        <w:t xml:space="preserve"> (Excellent): </w:t>
      </w:r>
      <w:r w:rsidRPr="000F4A07">
        <w:rPr>
          <w:rFonts w:ascii="Book Antiqua" w:hAnsi="Book Antiqua" w:cs="Helvetica" w:hint="eastAsia"/>
          <w:sz w:val="24"/>
          <w:szCs w:val="24"/>
          <w:lang w:eastAsia="zh-CN"/>
        </w:rPr>
        <w:t>0</w:t>
      </w:r>
    </w:p>
    <w:p w14:paraId="2BEBAC84" w14:textId="77777777" w:rsidR="000F4A07" w:rsidRPr="000F4A07" w:rsidRDefault="000F4A07" w:rsidP="000F4A07">
      <w:pPr>
        <w:shd w:val="clear" w:color="auto" w:fill="FFFFFF"/>
        <w:snapToGrid w:val="0"/>
        <w:spacing w:after="0" w:line="360" w:lineRule="auto"/>
        <w:jc w:val="both"/>
        <w:rPr>
          <w:rFonts w:ascii="Book Antiqua" w:hAnsi="Book Antiqua" w:cs="Helvetica"/>
          <w:sz w:val="24"/>
          <w:szCs w:val="24"/>
          <w:lang w:eastAsia="zh-CN"/>
        </w:rPr>
      </w:pPr>
      <w:r w:rsidRPr="000F4A07">
        <w:rPr>
          <w:rFonts w:ascii="Book Antiqua" w:hAnsi="Book Antiqua" w:cs="Helvetica"/>
          <w:sz w:val="24"/>
          <w:szCs w:val="24"/>
          <w:lang w:eastAsia="zh-CN"/>
        </w:rPr>
        <w:t xml:space="preserve">Grade B (Very good): </w:t>
      </w:r>
      <w:r w:rsidRPr="000F4A07">
        <w:rPr>
          <w:rFonts w:ascii="Book Antiqua" w:hAnsi="Book Antiqua" w:cs="Helvetica" w:hint="eastAsia"/>
          <w:sz w:val="24"/>
          <w:szCs w:val="24"/>
          <w:lang w:eastAsia="zh-CN"/>
        </w:rPr>
        <w:t>0</w:t>
      </w:r>
    </w:p>
    <w:p w14:paraId="0B45FDE0" w14:textId="77777777" w:rsidR="000F4A07" w:rsidRPr="000F4A07" w:rsidRDefault="000F4A07" w:rsidP="000F4A07">
      <w:pPr>
        <w:shd w:val="clear" w:color="auto" w:fill="FFFFFF"/>
        <w:snapToGrid w:val="0"/>
        <w:spacing w:after="0" w:line="360" w:lineRule="auto"/>
        <w:jc w:val="both"/>
        <w:rPr>
          <w:rFonts w:ascii="Book Antiqua" w:hAnsi="Book Antiqua" w:cs="Helvetica"/>
          <w:sz w:val="24"/>
          <w:szCs w:val="24"/>
          <w:lang w:eastAsia="zh-CN"/>
        </w:rPr>
      </w:pPr>
      <w:r w:rsidRPr="000F4A07">
        <w:rPr>
          <w:rFonts w:ascii="Book Antiqua" w:hAnsi="Book Antiqua" w:cs="Helvetica"/>
          <w:sz w:val="24"/>
          <w:szCs w:val="24"/>
          <w:lang w:eastAsia="zh-CN"/>
        </w:rPr>
        <w:t xml:space="preserve">Grade C (Good): </w:t>
      </w:r>
      <w:r w:rsidRPr="000F4A07">
        <w:rPr>
          <w:rFonts w:ascii="Book Antiqua" w:hAnsi="Book Antiqua" w:cs="Helvetica" w:hint="eastAsia"/>
          <w:sz w:val="24"/>
          <w:szCs w:val="24"/>
          <w:lang w:eastAsia="zh-CN"/>
        </w:rPr>
        <w:t>C, C, C</w:t>
      </w:r>
    </w:p>
    <w:p w14:paraId="17293D83" w14:textId="77777777" w:rsidR="000F4A07" w:rsidRPr="000F4A07" w:rsidRDefault="000F4A07" w:rsidP="000F4A07">
      <w:pPr>
        <w:shd w:val="clear" w:color="auto" w:fill="FFFFFF"/>
        <w:snapToGrid w:val="0"/>
        <w:spacing w:after="0" w:line="360" w:lineRule="auto"/>
        <w:jc w:val="both"/>
        <w:rPr>
          <w:rFonts w:ascii="Book Antiqua" w:hAnsi="Book Antiqua" w:cs="Helvetica"/>
          <w:sz w:val="24"/>
          <w:szCs w:val="24"/>
          <w:lang w:eastAsia="zh-CN"/>
        </w:rPr>
      </w:pPr>
      <w:r w:rsidRPr="000F4A07">
        <w:rPr>
          <w:rFonts w:ascii="Book Antiqua" w:hAnsi="Book Antiqua" w:cs="Helvetica"/>
          <w:sz w:val="24"/>
          <w:szCs w:val="24"/>
          <w:lang w:eastAsia="zh-CN"/>
        </w:rPr>
        <w:t xml:space="preserve">Grade D (Fair): </w:t>
      </w:r>
      <w:r w:rsidRPr="000F4A07">
        <w:rPr>
          <w:rFonts w:ascii="Book Antiqua" w:hAnsi="Book Antiqua" w:cs="Helvetica" w:hint="eastAsia"/>
          <w:sz w:val="24"/>
          <w:szCs w:val="24"/>
          <w:lang w:eastAsia="zh-CN"/>
        </w:rPr>
        <w:t>0</w:t>
      </w:r>
    </w:p>
    <w:p w14:paraId="24299AD7" w14:textId="77777777" w:rsidR="000F4A07" w:rsidRPr="000F4A07" w:rsidRDefault="000F4A07" w:rsidP="000F4A07">
      <w:pPr>
        <w:shd w:val="clear" w:color="auto" w:fill="FFFFFF"/>
        <w:snapToGrid w:val="0"/>
        <w:spacing w:after="0" w:line="360" w:lineRule="auto"/>
        <w:jc w:val="both"/>
        <w:rPr>
          <w:rFonts w:ascii="Book Antiqua" w:hAnsi="Book Antiqua" w:cs="Helvetica"/>
          <w:sz w:val="24"/>
          <w:szCs w:val="24"/>
          <w:lang w:eastAsia="zh-CN"/>
        </w:rPr>
      </w:pPr>
      <w:r w:rsidRPr="000F4A07">
        <w:rPr>
          <w:rFonts w:ascii="Book Antiqua" w:hAnsi="Book Antiqua" w:cs="Helvetica"/>
          <w:sz w:val="24"/>
          <w:szCs w:val="24"/>
          <w:lang w:eastAsia="zh-CN"/>
        </w:rPr>
        <w:t xml:space="preserve">Grade E (Poor): </w:t>
      </w:r>
      <w:r w:rsidRPr="000F4A07">
        <w:rPr>
          <w:rFonts w:ascii="Book Antiqua" w:hAnsi="Book Antiqua" w:cs="Helvetica" w:hint="eastAsia"/>
          <w:sz w:val="24"/>
          <w:szCs w:val="24"/>
          <w:lang w:eastAsia="zh-CN"/>
        </w:rPr>
        <w:t>0</w:t>
      </w:r>
      <w:bookmarkEnd w:id="154"/>
      <w:bookmarkEnd w:id="155"/>
    </w:p>
    <w:bookmarkEnd w:id="156"/>
    <w:bookmarkEnd w:id="157"/>
    <w:p w14:paraId="6B25F22F" w14:textId="77777777" w:rsidR="000F4A07" w:rsidRPr="000F4A07" w:rsidRDefault="000F4A07" w:rsidP="000F4A07">
      <w:pPr>
        <w:spacing w:line="360" w:lineRule="auto"/>
        <w:jc w:val="both"/>
        <w:rPr>
          <w:rFonts w:ascii="Book Antiqua" w:eastAsia="MS Mincho" w:hAnsi="Book Antiqua" w:cs="Times New Roman"/>
          <w:lang w:eastAsia="de-DE"/>
        </w:rPr>
      </w:pPr>
    </w:p>
    <w:p w14:paraId="4476962C" w14:textId="0168C9C3" w:rsidR="00CB5D35" w:rsidRPr="008E7A2E" w:rsidRDefault="004E6070" w:rsidP="00AE4053">
      <w:pPr>
        <w:snapToGrid w:val="0"/>
        <w:spacing w:after="0" w:line="360" w:lineRule="auto"/>
        <w:jc w:val="both"/>
        <w:rPr>
          <w:rFonts w:ascii="Book Antiqua" w:hAnsi="Book Antiqua"/>
          <w:b/>
          <w:sz w:val="24"/>
          <w:szCs w:val="24"/>
        </w:rPr>
      </w:pPr>
      <w:r w:rsidRPr="00AE4053">
        <w:rPr>
          <w:rFonts w:ascii="Book Antiqua" w:hAnsi="Book Antiqua"/>
          <w:b/>
          <w:sz w:val="24"/>
          <w:szCs w:val="24"/>
        </w:rPr>
        <w:br w:type="page"/>
      </w:r>
      <w:bookmarkEnd w:id="48"/>
    </w:p>
    <w:p w14:paraId="1DF78576" w14:textId="25352B35" w:rsidR="000634EC" w:rsidRPr="00AE4053" w:rsidRDefault="00E12A38" w:rsidP="00AE4053">
      <w:pPr>
        <w:snapToGrid w:val="0"/>
        <w:spacing w:after="0" w:line="360" w:lineRule="auto"/>
        <w:jc w:val="both"/>
        <w:rPr>
          <w:rFonts w:ascii="Book Antiqua" w:hAnsi="Book Antiqua"/>
          <w:b/>
          <w:color w:val="141314"/>
          <w:sz w:val="24"/>
          <w:szCs w:val="24"/>
          <w:lang w:eastAsia="zh-CN"/>
        </w:rPr>
      </w:pPr>
      <w:r w:rsidRPr="00AE4053">
        <w:rPr>
          <w:rFonts w:ascii="Book Antiqua" w:hAnsi="Book Antiqua"/>
          <w:b/>
          <w:color w:val="141314"/>
          <w:sz w:val="24"/>
          <w:szCs w:val="24"/>
        </w:rPr>
        <w:lastRenderedPageBreak/>
        <w:t xml:space="preserve">Table </w:t>
      </w:r>
      <w:r w:rsidR="00B37AFA" w:rsidRPr="00AE4053">
        <w:rPr>
          <w:rFonts w:ascii="Book Antiqua" w:hAnsi="Book Antiqua"/>
          <w:b/>
          <w:color w:val="141314"/>
          <w:sz w:val="24"/>
          <w:szCs w:val="24"/>
        </w:rPr>
        <w:t>1</w:t>
      </w:r>
      <w:r w:rsidR="008E7A2E">
        <w:rPr>
          <w:rFonts w:ascii="Book Antiqua" w:hAnsi="Book Antiqua"/>
          <w:b/>
          <w:color w:val="141314"/>
          <w:sz w:val="24"/>
          <w:szCs w:val="24"/>
        </w:rPr>
        <w:t xml:space="preserve"> </w:t>
      </w:r>
      <w:r w:rsidR="00B37AFA" w:rsidRPr="00AE4053">
        <w:rPr>
          <w:rFonts w:ascii="Book Antiqua" w:hAnsi="Book Antiqua"/>
          <w:b/>
          <w:color w:val="141314"/>
          <w:sz w:val="24"/>
          <w:szCs w:val="24"/>
        </w:rPr>
        <w:t xml:space="preserve">Demographic </w:t>
      </w:r>
      <w:r w:rsidR="008E7A2E">
        <w:rPr>
          <w:rFonts w:ascii="Book Antiqua" w:hAnsi="Book Antiqua"/>
          <w:b/>
          <w:color w:val="141314"/>
          <w:sz w:val="24"/>
          <w:szCs w:val="24"/>
        </w:rPr>
        <w:t>profile of the study population</w:t>
      </w:r>
    </w:p>
    <w:tbl>
      <w:tblPr>
        <w:tblStyle w:val="LightShading1"/>
        <w:tblW w:w="0" w:type="auto"/>
        <w:tblLook w:val="04A0" w:firstRow="1" w:lastRow="0" w:firstColumn="1" w:lastColumn="0" w:noHBand="0" w:noVBand="1"/>
      </w:tblPr>
      <w:tblGrid>
        <w:gridCol w:w="4621"/>
        <w:gridCol w:w="4621"/>
      </w:tblGrid>
      <w:tr w:rsidR="00B37AFA" w:rsidRPr="00AE4053" w14:paraId="06DF9C29" w14:textId="77777777" w:rsidTr="00D43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BC7D0CA" w14:textId="77777777" w:rsidR="000634EC" w:rsidRPr="00AE4053" w:rsidRDefault="00294417" w:rsidP="00B429FF">
            <w:pPr>
              <w:snapToGrid w:val="0"/>
              <w:spacing w:line="360" w:lineRule="auto"/>
              <w:rPr>
                <w:rFonts w:ascii="Book Antiqua" w:hAnsi="Book Antiqua"/>
                <w:color w:val="141314"/>
                <w:sz w:val="24"/>
                <w:szCs w:val="24"/>
              </w:rPr>
            </w:pPr>
            <w:r w:rsidRPr="00AE4053">
              <w:rPr>
                <w:rFonts w:ascii="Book Antiqua" w:hAnsi="Book Antiqua"/>
                <w:color w:val="141314"/>
                <w:sz w:val="24"/>
                <w:szCs w:val="24"/>
              </w:rPr>
              <w:t>Parameter</w:t>
            </w:r>
            <w:r w:rsidR="00B37AFA" w:rsidRPr="00AE4053">
              <w:rPr>
                <w:rFonts w:ascii="Book Antiqua" w:hAnsi="Book Antiqua"/>
                <w:color w:val="141314"/>
                <w:sz w:val="24"/>
                <w:szCs w:val="24"/>
              </w:rPr>
              <w:t xml:space="preserve"> </w:t>
            </w:r>
          </w:p>
        </w:tc>
        <w:tc>
          <w:tcPr>
            <w:tcW w:w="4621" w:type="dxa"/>
          </w:tcPr>
          <w:p w14:paraId="05C8E401" w14:textId="3FC910D1" w:rsidR="000634EC" w:rsidRPr="00AE4053" w:rsidRDefault="00294417" w:rsidP="00B429FF">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Value</w:t>
            </w:r>
            <w:r w:rsidR="00B429FF">
              <w:rPr>
                <w:rFonts w:ascii="Book Antiqua" w:hAnsi="Book Antiqua"/>
                <w:color w:val="141314"/>
                <w:sz w:val="24"/>
                <w:szCs w:val="24"/>
              </w:rPr>
              <w:t xml:space="preserve"> </w:t>
            </w:r>
            <w:r w:rsidRPr="00AE4053">
              <w:rPr>
                <w:rFonts w:ascii="Book Antiqua" w:hAnsi="Book Antiqua"/>
                <w:color w:val="141314"/>
                <w:sz w:val="24"/>
                <w:szCs w:val="24"/>
              </w:rPr>
              <w:t>(</w:t>
            </w:r>
            <w:r w:rsidRPr="00B429FF">
              <w:rPr>
                <w:rFonts w:ascii="Book Antiqua" w:hAnsi="Book Antiqua"/>
                <w:i/>
                <w:color w:val="141314"/>
                <w:sz w:val="24"/>
                <w:szCs w:val="24"/>
              </w:rPr>
              <w:t>n</w:t>
            </w:r>
            <w:r w:rsidR="00B429FF">
              <w:rPr>
                <w:rFonts w:ascii="Book Antiqua" w:hAnsi="Book Antiqua"/>
                <w:color w:val="141314"/>
                <w:sz w:val="24"/>
                <w:szCs w:val="24"/>
              </w:rPr>
              <w:t xml:space="preserve"> </w:t>
            </w:r>
            <w:r w:rsidRPr="00AE4053">
              <w:rPr>
                <w:rFonts w:ascii="Book Antiqua" w:hAnsi="Book Antiqua"/>
                <w:color w:val="141314"/>
                <w:sz w:val="24"/>
                <w:szCs w:val="24"/>
              </w:rPr>
              <w:t>=</w:t>
            </w:r>
            <w:r w:rsidR="00B429FF">
              <w:rPr>
                <w:rFonts w:ascii="Book Antiqua" w:hAnsi="Book Antiqua"/>
                <w:color w:val="141314"/>
                <w:sz w:val="24"/>
                <w:szCs w:val="24"/>
              </w:rPr>
              <w:t xml:space="preserve"> </w:t>
            </w:r>
            <w:r w:rsidR="00FB0FEA" w:rsidRPr="00AE4053">
              <w:rPr>
                <w:rFonts w:ascii="Book Antiqua" w:hAnsi="Book Antiqua"/>
                <w:color w:val="141314"/>
                <w:sz w:val="24"/>
                <w:szCs w:val="24"/>
              </w:rPr>
              <w:t>32</w:t>
            </w:r>
            <w:r w:rsidR="000C63DA" w:rsidRPr="00AE4053">
              <w:rPr>
                <w:rFonts w:ascii="Book Antiqua" w:hAnsi="Book Antiqua"/>
                <w:color w:val="141314"/>
                <w:sz w:val="24"/>
                <w:szCs w:val="24"/>
              </w:rPr>
              <w:t>6</w:t>
            </w:r>
            <w:r w:rsidRPr="00AE4053">
              <w:rPr>
                <w:rFonts w:ascii="Book Antiqua" w:hAnsi="Book Antiqua"/>
                <w:color w:val="141314"/>
                <w:sz w:val="24"/>
                <w:szCs w:val="24"/>
              </w:rPr>
              <w:t>)</w:t>
            </w:r>
          </w:p>
        </w:tc>
      </w:tr>
      <w:tr w:rsidR="00B37AFA" w:rsidRPr="00AE4053" w14:paraId="19011F02" w14:textId="77777777" w:rsidTr="00D4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B76814C" w14:textId="77777777" w:rsidR="000634EC" w:rsidRPr="008E7A2E" w:rsidRDefault="00294417" w:rsidP="00B429FF">
            <w:pPr>
              <w:snapToGrid w:val="0"/>
              <w:spacing w:line="360" w:lineRule="auto"/>
              <w:rPr>
                <w:rFonts w:ascii="Book Antiqua" w:hAnsi="Book Antiqua"/>
                <w:b w:val="0"/>
                <w:color w:val="141314"/>
                <w:sz w:val="24"/>
                <w:szCs w:val="24"/>
              </w:rPr>
            </w:pPr>
            <w:r w:rsidRPr="008E7A2E">
              <w:rPr>
                <w:rFonts w:ascii="Book Antiqua" w:hAnsi="Book Antiqua"/>
                <w:b w:val="0"/>
                <w:color w:val="141314"/>
                <w:sz w:val="24"/>
                <w:szCs w:val="24"/>
              </w:rPr>
              <w:t>Gender</w:t>
            </w:r>
          </w:p>
          <w:p w14:paraId="1C4B277D" w14:textId="437898BB" w:rsidR="000634EC" w:rsidRPr="008E7A2E" w:rsidRDefault="00B37AFA" w:rsidP="00B429FF">
            <w:pPr>
              <w:snapToGrid w:val="0"/>
              <w:spacing w:line="360" w:lineRule="auto"/>
              <w:ind w:firstLineChars="100" w:firstLine="240"/>
              <w:rPr>
                <w:rFonts w:ascii="Book Antiqua" w:hAnsi="Book Antiqua"/>
                <w:b w:val="0"/>
                <w:color w:val="141314"/>
                <w:sz w:val="24"/>
                <w:szCs w:val="24"/>
              </w:rPr>
            </w:pPr>
            <w:r w:rsidRPr="008E7A2E">
              <w:rPr>
                <w:rFonts w:ascii="Book Antiqua" w:hAnsi="Book Antiqua"/>
                <w:b w:val="0"/>
                <w:color w:val="141314"/>
                <w:sz w:val="24"/>
                <w:szCs w:val="24"/>
              </w:rPr>
              <w:t>Male</w:t>
            </w:r>
            <w:r w:rsidR="00294417" w:rsidRPr="008E7A2E">
              <w:rPr>
                <w:rFonts w:ascii="Book Antiqua" w:hAnsi="Book Antiqua"/>
                <w:b w:val="0"/>
                <w:color w:val="141314"/>
                <w:sz w:val="24"/>
                <w:szCs w:val="24"/>
              </w:rPr>
              <w:t>s</w:t>
            </w:r>
            <w:r w:rsidRPr="008E7A2E">
              <w:rPr>
                <w:rFonts w:ascii="Book Antiqua" w:hAnsi="Book Antiqua"/>
                <w:b w:val="0"/>
                <w:color w:val="141314"/>
                <w:sz w:val="24"/>
                <w:szCs w:val="24"/>
              </w:rPr>
              <w:t xml:space="preserve"> </w:t>
            </w:r>
          </w:p>
          <w:p w14:paraId="0A36A8F3" w14:textId="04882065" w:rsidR="000634EC" w:rsidRPr="008E7A2E" w:rsidRDefault="00294417" w:rsidP="00B429FF">
            <w:pPr>
              <w:snapToGrid w:val="0"/>
              <w:spacing w:line="360" w:lineRule="auto"/>
              <w:ind w:firstLineChars="100" w:firstLine="240"/>
              <w:rPr>
                <w:rFonts w:ascii="Book Antiqua" w:hAnsi="Book Antiqua"/>
                <w:b w:val="0"/>
                <w:color w:val="141314"/>
                <w:sz w:val="24"/>
                <w:szCs w:val="24"/>
              </w:rPr>
            </w:pPr>
            <w:r w:rsidRPr="008E7A2E">
              <w:rPr>
                <w:rFonts w:ascii="Book Antiqua" w:hAnsi="Book Antiqua"/>
                <w:b w:val="0"/>
                <w:color w:val="141314"/>
                <w:sz w:val="24"/>
                <w:szCs w:val="24"/>
              </w:rPr>
              <w:t>F</w:t>
            </w:r>
            <w:r w:rsidR="00B37AFA" w:rsidRPr="008E7A2E">
              <w:rPr>
                <w:rFonts w:ascii="Book Antiqua" w:hAnsi="Book Antiqua"/>
                <w:b w:val="0"/>
                <w:color w:val="141314"/>
                <w:sz w:val="24"/>
                <w:szCs w:val="24"/>
              </w:rPr>
              <w:t>emale</w:t>
            </w:r>
            <w:r w:rsidRPr="008E7A2E">
              <w:rPr>
                <w:rFonts w:ascii="Book Antiqua" w:hAnsi="Book Antiqua"/>
                <w:b w:val="0"/>
                <w:color w:val="141314"/>
                <w:sz w:val="24"/>
                <w:szCs w:val="24"/>
              </w:rPr>
              <w:t>s</w:t>
            </w:r>
          </w:p>
        </w:tc>
        <w:tc>
          <w:tcPr>
            <w:tcW w:w="4621" w:type="dxa"/>
          </w:tcPr>
          <w:p w14:paraId="6DFC3124" w14:textId="77777777" w:rsidR="000634EC" w:rsidRPr="008E7A2E" w:rsidRDefault="000634EC" w:rsidP="008E7A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p>
          <w:p w14:paraId="7EF61B20" w14:textId="7DE38AFF" w:rsidR="000634EC" w:rsidRPr="008E7A2E" w:rsidRDefault="004501F1" w:rsidP="008E7A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26</w:t>
            </w:r>
            <w:r w:rsidR="003C15CF" w:rsidRPr="008E7A2E">
              <w:rPr>
                <w:rFonts w:ascii="Book Antiqua" w:hAnsi="Book Antiqua"/>
                <w:color w:val="141314"/>
                <w:sz w:val="24"/>
                <w:szCs w:val="24"/>
              </w:rPr>
              <w:t>3</w:t>
            </w:r>
            <w:r w:rsidR="00B429FF">
              <w:rPr>
                <w:rFonts w:ascii="Book Antiqua" w:hAnsi="Book Antiqua"/>
                <w:color w:val="141314"/>
                <w:sz w:val="24"/>
                <w:szCs w:val="24"/>
              </w:rPr>
              <w:t xml:space="preserve"> </w:t>
            </w:r>
            <w:r w:rsidR="00294417" w:rsidRPr="008E7A2E">
              <w:rPr>
                <w:rFonts w:ascii="Book Antiqua" w:hAnsi="Book Antiqua"/>
                <w:color w:val="141314"/>
                <w:sz w:val="24"/>
                <w:szCs w:val="24"/>
              </w:rPr>
              <w:t>(</w:t>
            </w:r>
            <w:r w:rsidRPr="008E7A2E">
              <w:rPr>
                <w:rFonts w:ascii="Book Antiqua" w:hAnsi="Book Antiqua"/>
                <w:color w:val="141314"/>
                <w:sz w:val="24"/>
                <w:szCs w:val="24"/>
              </w:rPr>
              <w:t>81</w:t>
            </w:r>
            <w:r w:rsidR="00294417" w:rsidRPr="008E7A2E">
              <w:rPr>
                <w:rFonts w:ascii="Book Antiqua" w:hAnsi="Book Antiqua"/>
                <w:color w:val="141314"/>
                <w:sz w:val="24"/>
                <w:szCs w:val="24"/>
              </w:rPr>
              <w:t>)</w:t>
            </w:r>
          </w:p>
          <w:p w14:paraId="427B8DF1" w14:textId="1D585D1D" w:rsidR="000634EC" w:rsidRPr="008E7A2E" w:rsidRDefault="004501F1" w:rsidP="00B429F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63</w:t>
            </w:r>
            <w:r w:rsidR="00B429FF">
              <w:rPr>
                <w:rFonts w:ascii="Book Antiqua" w:hAnsi="Book Antiqua"/>
                <w:color w:val="141314"/>
                <w:sz w:val="24"/>
                <w:szCs w:val="24"/>
              </w:rPr>
              <w:t xml:space="preserve"> </w:t>
            </w:r>
            <w:r w:rsidR="00294417" w:rsidRPr="008E7A2E">
              <w:rPr>
                <w:rFonts w:ascii="Book Antiqua" w:hAnsi="Book Antiqua"/>
                <w:color w:val="141314"/>
                <w:sz w:val="24"/>
                <w:szCs w:val="24"/>
              </w:rPr>
              <w:t>(</w:t>
            </w:r>
            <w:r w:rsidRPr="008E7A2E">
              <w:rPr>
                <w:rFonts w:ascii="Book Antiqua" w:hAnsi="Book Antiqua"/>
                <w:color w:val="141314"/>
                <w:sz w:val="24"/>
                <w:szCs w:val="24"/>
              </w:rPr>
              <w:t>19</w:t>
            </w:r>
            <w:r w:rsidR="00B37AFA" w:rsidRPr="008E7A2E">
              <w:rPr>
                <w:rFonts w:ascii="Book Antiqua" w:hAnsi="Book Antiqua"/>
                <w:color w:val="141314"/>
                <w:sz w:val="24"/>
                <w:szCs w:val="24"/>
              </w:rPr>
              <w:t>)</w:t>
            </w:r>
          </w:p>
        </w:tc>
      </w:tr>
      <w:tr w:rsidR="00B37AFA" w:rsidRPr="00AE4053" w14:paraId="56449E83" w14:textId="77777777" w:rsidTr="00D43F42">
        <w:tc>
          <w:tcPr>
            <w:cnfStyle w:val="001000000000" w:firstRow="0" w:lastRow="0" w:firstColumn="1" w:lastColumn="0" w:oddVBand="0" w:evenVBand="0" w:oddHBand="0" w:evenHBand="0" w:firstRowFirstColumn="0" w:firstRowLastColumn="0" w:lastRowFirstColumn="0" w:lastRowLastColumn="0"/>
            <w:tcW w:w="4621" w:type="dxa"/>
          </w:tcPr>
          <w:p w14:paraId="5B0F5C01" w14:textId="6895C647" w:rsidR="000634EC" w:rsidRPr="008E7A2E" w:rsidRDefault="00294417" w:rsidP="00B429FF">
            <w:pPr>
              <w:snapToGrid w:val="0"/>
              <w:spacing w:line="360" w:lineRule="auto"/>
              <w:rPr>
                <w:rFonts w:ascii="Book Antiqua" w:hAnsi="Book Antiqua"/>
                <w:b w:val="0"/>
                <w:color w:val="141314"/>
                <w:sz w:val="24"/>
                <w:szCs w:val="24"/>
              </w:rPr>
            </w:pPr>
            <w:r w:rsidRPr="008E7A2E">
              <w:rPr>
                <w:rFonts w:ascii="Book Antiqua" w:hAnsi="Book Antiqua"/>
                <w:b w:val="0"/>
                <w:color w:val="141314"/>
                <w:sz w:val="24"/>
                <w:szCs w:val="24"/>
              </w:rPr>
              <w:t xml:space="preserve">Age, </w:t>
            </w:r>
            <w:proofErr w:type="spellStart"/>
            <w:r w:rsidR="00B429FF">
              <w:rPr>
                <w:rFonts w:ascii="Book Antiqua" w:hAnsi="Book Antiqua"/>
                <w:b w:val="0"/>
                <w:color w:val="141314"/>
                <w:sz w:val="24"/>
                <w:szCs w:val="24"/>
              </w:rPr>
              <w:t>yr</w:t>
            </w:r>
            <w:proofErr w:type="spellEnd"/>
          </w:p>
        </w:tc>
        <w:tc>
          <w:tcPr>
            <w:tcW w:w="4621" w:type="dxa"/>
          </w:tcPr>
          <w:p w14:paraId="774968C1" w14:textId="5D5D70DA" w:rsidR="000634EC" w:rsidRPr="008E7A2E" w:rsidRDefault="004501F1" w:rsidP="00B429F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52</w:t>
            </w:r>
            <w:r w:rsidR="00B429FF">
              <w:rPr>
                <w:rFonts w:ascii="Book Antiqua" w:hAnsi="Book Antiqua"/>
                <w:color w:val="141314"/>
                <w:sz w:val="24"/>
                <w:szCs w:val="24"/>
              </w:rPr>
              <w:t xml:space="preserve"> </w:t>
            </w:r>
            <w:r w:rsidR="00294417" w:rsidRPr="008E7A2E">
              <w:rPr>
                <w:rFonts w:ascii="Book Antiqua" w:hAnsi="Book Antiqua"/>
                <w:color w:val="141314"/>
                <w:sz w:val="24"/>
                <w:szCs w:val="24"/>
              </w:rPr>
              <w:t>(</w:t>
            </w:r>
            <w:r w:rsidR="00B37AFA" w:rsidRPr="008E7A2E">
              <w:rPr>
                <w:rFonts w:ascii="Book Antiqua" w:hAnsi="Book Antiqua"/>
                <w:color w:val="141314"/>
                <w:sz w:val="24"/>
                <w:szCs w:val="24"/>
              </w:rPr>
              <w:t>1</w:t>
            </w:r>
            <w:r w:rsidRPr="008E7A2E">
              <w:rPr>
                <w:rFonts w:ascii="Book Antiqua" w:hAnsi="Book Antiqua"/>
                <w:color w:val="141314"/>
                <w:sz w:val="24"/>
                <w:szCs w:val="24"/>
              </w:rPr>
              <w:t>6</w:t>
            </w:r>
            <w:r w:rsidR="00B37AFA" w:rsidRPr="008E7A2E">
              <w:rPr>
                <w:rFonts w:ascii="Book Antiqua" w:hAnsi="Book Antiqua"/>
                <w:color w:val="141314"/>
                <w:sz w:val="24"/>
                <w:szCs w:val="24"/>
              </w:rPr>
              <w:t>-</w:t>
            </w:r>
            <w:r w:rsidRPr="008E7A2E">
              <w:rPr>
                <w:rFonts w:ascii="Book Antiqua" w:hAnsi="Book Antiqua"/>
                <w:color w:val="141314"/>
                <w:sz w:val="24"/>
                <w:szCs w:val="24"/>
              </w:rPr>
              <w:t>90</w:t>
            </w:r>
            <w:r w:rsidR="00B37AFA" w:rsidRPr="008E7A2E">
              <w:rPr>
                <w:rFonts w:ascii="Book Antiqua" w:hAnsi="Book Antiqua"/>
                <w:color w:val="141314"/>
                <w:sz w:val="24"/>
                <w:szCs w:val="24"/>
              </w:rPr>
              <w:t>)</w:t>
            </w:r>
          </w:p>
        </w:tc>
      </w:tr>
      <w:tr w:rsidR="00B37AFA" w:rsidRPr="00AE4053" w14:paraId="5D67DE2D" w14:textId="77777777" w:rsidTr="00D4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181DEBC" w14:textId="51FB993F" w:rsidR="000634EC" w:rsidRPr="008E7A2E" w:rsidRDefault="00B37AFA" w:rsidP="00B429FF">
            <w:pPr>
              <w:snapToGrid w:val="0"/>
              <w:spacing w:line="360" w:lineRule="auto"/>
              <w:rPr>
                <w:rFonts w:ascii="Book Antiqua" w:hAnsi="Book Antiqua"/>
                <w:b w:val="0"/>
                <w:color w:val="141314"/>
                <w:sz w:val="24"/>
                <w:szCs w:val="24"/>
              </w:rPr>
            </w:pPr>
            <w:r w:rsidRPr="008E7A2E">
              <w:rPr>
                <w:rFonts w:ascii="Book Antiqua" w:hAnsi="Book Antiqua"/>
                <w:b w:val="0"/>
                <w:color w:val="141314"/>
                <w:sz w:val="24"/>
                <w:szCs w:val="24"/>
              </w:rPr>
              <w:t>BMI</w:t>
            </w:r>
            <w:r w:rsidR="00B429FF">
              <w:rPr>
                <w:rFonts w:ascii="Book Antiqua" w:hAnsi="Book Antiqua"/>
                <w:b w:val="0"/>
                <w:color w:val="141314"/>
                <w:sz w:val="24"/>
                <w:szCs w:val="24"/>
              </w:rPr>
              <w:t>, kg/m</w:t>
            </w:r>
            <w:r w:rsidR="00B429FF" w:rsidRPr="00B429FF">
              <w:rPr>
                <w:rFonts w:ascii="Book Antiqua" w:hAnsi="Book Antiqua"/>
                <w:b w:val="0"/>
                <w:color w:val="141314"/>
                <w:sz w:val="24"/>
                <w:szCs w:val="24"/>
                <w:vertAlign w:val="superscript"/>
              </w:rPr>
              <w:t>2</w:t>
            </w:r>
          </w:p>
        </w:tc>
        <w:tc>
          <w:tcPr>
            <w:tcW w:w="4621" w:type="dxa"/>
          </w:tcPr>
          <w:p w14:paraId="0E4A8F4B" w14:textId="1B619265" w:rsidR="000634EC" w:rsidRPr="008E7A2E" w:rsidRDefault="0025119A" w:rsidP="00B429F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2</w:t>
            </w:r>
            <w:r w:rsidR="00766861" w:rsidRPr="008E7A2E">
              <w:rPr>
                <w:rFonts w:ascii="Book Antiqua" w:hAnsi="Book Antiqua"/>
                <w:color w:val="141314"/>
                <w:sz w:val="24"/>
                <w:szCs w:val="24"/>
              </w:rPr>
              <w:t>3</w:t>
            </w:r>
            <w:r w:rsidR="00B429FF">
              <w:rPr>
                <w:rFonts w:ascii="Book Antiqua" w:hAnsi="Book Antiqua"/>
                <w:color w:val="141314"/>
                <w:sz w:val="24"/>
                <w:szCs w:val="24"/>
              </w:rPr>
              <w:t xml:space="preserve"> </w:t>
            </w:r>
            <w:r w:rsidR="00B37AFA" w:rsidRPr="008E7A2E">
              <w:rPr>
                <w:rFonts w:ascii="Book Antiqua" w:hAnsi="Book Antiqua"/>
                <w:color w:val="141314"/>
                <w:sz w:val="24"/>
                <w:szCs w:val="24"/>
              </w:rPr>
              <w:t>(1</w:t>
            </w:r>
            <w:r w:rsidR="00766861" w:rsidRPr="008E7A2E">
              <w:rPr>
                <w:rFonts w:ascii="Book Antiqua" w:hAnsi="Book Antiqua"/>
                <w:color w:val="141314"/>
                <w:sz w:val="24"/>
                <w:szCs w:val="24"/>
              </w:rPr>
              <w:t>7</w:t>
            </w:r>
            <w:r w:rsidRPr="008E7A2E">
              <w:rPr>
                <w:rFonts w:ascii="Book Antiqua" w:hAnsi="Book Antiqua"/>
                <w:color w:val="141314"/>
                <w:sz w:val="24"/>
                <w:szCs w:val="24"/>
              </w:rPr>
              <w:t>-</w:t>
            </w:r>
            <w:r w:rsidR="00766861" w:rsidRPr="008E7A2E">
              <w:rPr>
                <w:rFonts w:ascii="Book Antiqua" w:hAnsi="Book Antiqua"/>
                <w:color w:val="141314"/>
                <w:sz w:val="24"/>
                <w:szCs w:val="24"/>
              </w:rPr>
              <w:t>41</w:t>
            </w:r>
            <w:r w:rsidR="00B37AFA" w:rsidRPr="008E7A2E">
              <w:rPr>
                <w:rFonts w:ascii="Book Antiqua" w:hAnsi="Book Antiqua"/>
                <w:color w:val="141314"/>
                <w:sz w:val="24"/>
                <w:szCs w:val="24"/>
              </w:rPr>
              <w:t>)</w:t>
            </w:r>
          </w:p>
        </w:tc>
      </w:tr>
      <w:tr w:rsidR="00B37AFA" w:rsidRPr="00AE4053" w14:paraId="1DFF3BD4" w14:textId="77777777" w:rsidTr="00D43F42">
        <w:tc>
          <w:tcPr>
            <w:cnfStyle w:val="001000000000" w:firstRow="0" w:lastRow="0" w:firstColumn="1" w:lastColumn="0" w:oddVBand="0" w:evenVBand="0" w:oddHBand="0" w:evenHBand="0" w:firstRowFirstColumn="0" w:firstRowLastColumn="0" w:lastRowFirstColumn="0" w:lastRowLastColumn="0"/>
            <w:tcW w:w="4621" w:type="dxa"/>
          </w:tcPr>
          <w:p w14:paraId="74C34B72" w14:textId="77777777" w:rsidR="000634EC" w:rsidRPr="008E7A2E" w:rsidRDefault="00B37AFA" w:rsidP="00B429FF">
            <w:pPr>
              <w:snapToGrid w:val="0"/>
              <w:spacing w:line="360" w:lineRule="auto"/>
              <w:rPr>
                <w:rFonts w:ascii="Book Antiqua" w:hAnsi="Book Antiqua"/>
                <w:b w:val="0"/>
                <w:color w:val="141314"/>
                <w:sz w:val="24"/>
                <w:szCs w:val="24"/>
              </w:rPr>
            </w:pPr>
            <w:r w:rsidRPr="008E7A2E">
              <w:rPr>
                <w:rFonts w:ascii="Book Antiqua" w:hAnsi="Book Antiqua"/>
                <w:b w:val="0"/>
                <w:color w:val="141314"/>
                <w:sz w:val="24"/>
                <w:szCs w:val="24"/>
              </w:rPr>
              <w:t>Etiology</w:t>
            </w:r>
          </w:p>
          <w:p w14:paraId="03325239" w14:textId="3F014E56" w:rsidR="000634EC" w:rsidRPr="008E7A2E" w:rsidRDefault="00125511" w:rsidP="00B429FF">
            <w:pPr>
              <w:snapToGrid w:val="0"/>
              <w:spacing w:line="360" w:lineRule="auto"/>
              <w:ind w:firstLineChars="100" w:firstLine="240"/>
              <w:rPr>
                <w:rFonts w:ascii="Book Antiqua" w:hAnsi="Book Antiqua"/>
                <w:b w:val="0"/>
                <w:color w:val="141314"/>
                <w:sz w:val="24"/>
                <w:szCs w:val="24"/>
              </w:rPr>
            </w:pPr>
            <w:r w:rsidRPr="008E7A2E">
              <w:rPr>
                <w:rFonts w:ascii="Book Antiqua" w:hAnsi="Book Antiqua"/>
                <w:b w:val="0"/>
                <w:color w:val="141314"/>
                <w:sz w:val="24"/>
                <w:szCs w:val="24"/>
              </w:rPr>
              <w:t>NASH/</w:t>
            </w:r>
            <w:r w:rsidR="00B429FF" w:rsidRPr="008E7A2E">
              <w:rPr>
                <w:rFonts w:ascii="Book Antiqua" w:hAnsi="Book Antiqua"/>
                <w:b w:val="0"/>
                <w:color w:val="141314"/>
                <w:sz w:val="24"/>
                <w:szCs w:val="24"/>
              </w:rPr>
              <w:t>c</w:t>
            </w:r>
            <w:r w:rsidR="00294417" w:rsidRPr="008E7A2E">
              <w:rPr>
                <w:rFonts w:ascii="Book Antiqua" w:hAnsi="Book Antiqua"/>
                <w:b w:val="0"/>
                <w:color w:val="141314"/>
                <w:sz w:val="24"/>
                <w:szCs w:val="24"/>
              </w:rPr>
              <w:t>rypto</w:t>
            </w:r>
            <w:r w:rsidR="00945DCB" w:rsidRPr="008E7A2E">
              <w:rPr>
                <w:rFonts w:ascii="Book Antiqua" w:hAnsi="Book Antiqua"/>
                <w:b w:val="0"/>
                <w:color w:val="141314"/>
                <w:sz w:val="24"/>
                <w:szCs w:val="24"/>
              </w:rPr>
              <w:t>genic</w:t>
            </w:r>
          </w:p>
          <w:p w14:paraId="3C890749" w14:textId="0A558ADD" w:rsidR="000634EC" w:rsidRPr="008E7A2E" w:rsidRDefault="00EB2249" w:rsidP="00B429FF">
            <w:pPr>
              <w:snapToGrid w:val="0"/>
              <w:spacing w:line="360" w:lineRule="auto"/>
              <w:ind w:firstLineChars="100" w:firstLine="240"/>
              <w:rPr>
                <w:rFonts w:ascii="Book Antiqua" w:hAnsi="Book Antiqua"/>
                <w:b w:val="0"/>
                <w:color w:val="141314"/>
                <w:sz w:val="24"/>
                <w:szCs w:val="24"/>
              </w:rPr>
            </w:pPr>
            <w:r w:rsidRPr="008E7A2E">
              <w:rPr>
                <w:rFonts w:ascii="Book Antiqua" w:hAnsi="Book Antiqua"/>
                <w:b w:val="0"/>
                <w:color w:val="141314"/>
                <w:sz w:val="24"/>
                <w:szCs w:val="24"/>
              </w:rPr>
              <w:t>Alcohol</w:t>
            </w:r>
          </w:p>
          <w:p w14:paraId="6FE9464C" w14:textId="0EBCE4EE" w:rsidR="000634EC" w:rsidRPr="008E7A2E" w:rsidRDefault="00EB2249" w:rsidP="00B429FF">
            <w:pPr>
              <w:snapToGrid w:val="0"/>
              <w:spacing w:line="360" w:lineRule="auto"/>
              <w:ind w:firstLineChars="100" w:firstLine="240"/>
              <w:rPr>
                <w:rFonts w:ascii="Book Antiqua" w:hAnsi="Book Antiqua"/>
                <w:b w:val="0"/>
                <w:color w:val="141314"/>
                <w:sz w:val="24"/>
                <w:szCs w:val="24"/>
              </w:rPr>
            </w:pPr>
            <w:r w:rsidRPr="008E7A2E">
              <w:rPr>
                <w:rFonts w:ascii="Book Antiqua" w:hAnsi="Book Antiqua"/>
                <w:b w:val="0"/>
                <w:color w:val="141314"/>
                <w:sz w:val="24"/>
                <w:szCs w:val="24"/>
              </w:rPr>
              <w:t>Viral</w:t>
            </w:r>
            <w:r w:rsidR="004D23A5" w:rsidRPr="008E7A2E">
              <w:rPr>
                <w:rFonts w:ascii="Book Antiqua" w:hAnsi="Book Antiqua"/>
                <w:b w:val="0"/>
                <w:color w:val="141314"/>
                <w:sz w:val="24"/>
                <w:szCs w:val="24"/>
              </w:rPr>
              <w:t xml:space="preserve"> (HBV/HCV)</w:t>
            </w:r>
          </w:p>
          <w:p w14:paraId="633ACD17" w14:textId="7FA72B1D" w:rsidR="000634EC" w:rsidRPr="008E7A2E" w:rsidRDefault="0025119A" w:rsidP="00B429FF">
            <w:pPr>
              <w:snapToGrid w:val="0"/>
              <w:spacing w:line="360" w:lineRule="auto"/>
              <w:ind w:firstLineChars="100" w:firstLine="240"/>
              <w:rPr>
                <w:rFonts w:ascii="Book Antiqua" w:hAnsi="Book Antiqua"/>
                <w:b w:val="0"/>
                <w:color w:val="141314"/>
                <w:sz w:val="24"/>
                <w:szCs w:val="24"/>
              </w:rPr>
            </w:pPr>
            <w:r w:rsidRPr="008E7A2E">
              <w:rPr>
                <w:rFonts w:ascii="Book Antiqua" w:hAnsi="Book Antiqua"/>
                <w:b w:val="0"/>
                <w:color w:val="141314"/>
                <w:sz w:val="24"/>
                <w:szCs w:val="24"/>
              </w:rPr>
              <w:t>Others</w:t>
            </w:r>
            <w:r w:rsidR="00EB2249" w:rsidRPr="008E7A2E">
              <w:rPr>
                <w:rFonts w:ascii="Book Antiqua" w:hAnsi="Book Antiqua"/>
                <w:b w:val="0"/>
                <w:color w:val="141314"/>
                <w:sz w:val="24"/>
                <w:szCs w:val="24"/>
              </w:rPr>
              <w:t xml:space="preserve"> (including mixed etiology)</w:t>
            </w:r>
          </w:p>
        </w:tc>
        <w:tc>
          <w:tcPr>
            <w:tcW w:w="4621" w:type="dxa"/>
          </w:tcPr>
          <w:p w14:paraId="61DAD261" w14:textId="77777777" w:rsidR="000634EC" w:rsidRPr="008E7A2E" w:rsidRDefault="000634EC" w:rsidP="008E7A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141314"/>
                <w:sz w:val="24"/>
                <w:szCs w:val="24"/>
              </w:rPr>
            </w:pPr>
          </w:p>
          <w:p w14:paraId="22C5CA14" w14:textId="61F8DA67" w:rsidR="000634EC" w:rsidRPr="008E7A2E" w:rsidRDefault="00125511" w:rsidP="008E7A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1</w:t>
            </w:r>
            <w:r w:rsidR="0025119A" w:rsidRPr="008E7A2E">
              <w:rPr>
                <w:rFonts w:ascii="Book Antiqua" w:hAnsi="Book Antiqua"/>
                <w:color w:val="141314"/>
                <w:sz w:val="24"/>
                <w:szCs w:val="24"/>
              </w:rPr>
              <w:t>4</w:t>
            </w:r>
            <w:r w:rsidR="000B5E74" w:rsidRPr="008E7A2E">
              <w:rPr>
                <w:rFonts w:ascii="Book Antiqua" w:hAnsi="Book Antiqua"/>
                <w:color w:val="141314"/>
                <w:sz w:val="24"/>
                <w:szCs w:val="24"/>
              </w:rPr>
              <w:t>8</w:t>
            </w:r>
            <w:r w:rsidR="00B429FF">
              <w:rPr>
                <w:rFonts w:ascii="Book Antiqua" w:hAnsi="Book Antiqua"/>
                <w:color w:val="141314"/>
                <w:sz w:val="24"/>
                <w:szCs w:val="24"/>
              </w:rPr>
              <w:t xml:space="preserve"> </w:t>
            </w:r>
            <w:r w:rsidR="0025119A" w:rsidRPr="008E7A2E">
              <w:rPr>
                <w:rFonts w:ascii="Book Antiqua" w:hAnsi="Book Antiqua"/>
                <w:color w:val="141314"/>
                <w:sz w:val="24"/>
                <w:szCs w:val="24"/>
              </w:rPr>
              <w:t>(</w:t>
            </w:r>
            <w:r w:rsidRPr="008E7A2E">
              <w:rPr>
                <w:rFonts w:ascii="Book Antiqua" w:hAnsi="Book Antiqua"/>
                <w:color w:val="141314"/>
                <w:sz w:val="24"/>
                <w:szCs w:val="24"/>
              </w:rPr>
              <w:t>45</w:t>
            </w:r>
            <w:r w:rsidR="0025119A" w:rsidRPr="008E7A2E">
              <w:rPr>
                <w:rFonts w:ascii="Book Antiqua" w:hAnsi="Book Antiqua"/>
                <w:color w:val="141314"/>
                <w:sz w:val="24"/>
                <w:szCs w:val="24"/>
              </w:rPr>
              <w:t>)</w:t>
            </w:r>
          </w:p>
          <w:p w14:paraId="18E617E4" w14:textId="22DF9C74" w:rsidR="000634EC" w:rsidRPr="008E7A2E" w:rsidRDefault="00EB2249" w:rsidP="008E7A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110</w:t>
            </w:r>
            <w:r w:rsidR="00B429FF">
              <w:rPr>
                <w:rFonts w:ascii="Book Antiqua" w:hAnsi="Book Antiqua"/>
                <w:color w:val="141314"/>
                <w:sz w:val="24"/>
                <w:szCs w:val="24"/>
              </w:rPr>
              <w:t xml:space="preserve"> </w:t>
            </w:r>
            <w:r w:rsidR="0025119A" w:rsidRPr="008E7A2E">
              <w:rPr>
                <w:rFonts w:ascii="Book Antiqua" w:hAnsi="Book Antiqua"/>
                <w:color w:val="141314"/>
                <w:sz w:val="24"/>
                <w:szCs w:val="24"/>
              </w:rPr>
              <w:t>(</w:t>
            </w:r>
            <w:r w:rsidRPr="008E7A2E">
              <w:rPr>
                <w:rFonts w:ascii="Book Antiqua" w:hAnsi="Book Antiqua"/>
                <w:color w:val="141314"/>
                <w:sz w:val="24"/>
                <w:szCs w:val="24"/>
              </w:rPr>
              <w:t>34</w:t>
            </w:r>
            <w:r w:rsidR="0025119A" w:rsidRPr="008E7A2E">
              <w:rPr>
                <w:rFonts w:ascii="Book Antiqua" w:hAnsi="Book Antiqua"/>
                <w:color w:val="141314"/>
                <w:sz w:val="24"/>
                <w:szCs w:val="24"/>
              </w:rPr>
              <w:t>)</w:t>
            </w:r>
          </w:p>
          <w:p w14:paraId="4E2F4943" w14:textId="7781CB5B" w:rsidR="000634EC" w:rsidRPr="008E7A2E" w:rsidRDefault="00EB2249" w:rsidP="008E7A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4</w:t>
            </w:r>
            <w:r w:rsidR="000B5E74" w:rsidRPr="008E7A2E">
              <w:rPr>
                <w:rFonts w:ascii="Book Antiqua" w:hAnsi="Book Antiqua"/>
                <w:color w:val="141314"/>
                <w:sz w:val="24"/>
                <w:szCs w:val="24"/>
              </w:rPr>
              <w:t>8</w:t>
            </w:r>
            <w:r w:rsidR="00B429FF">
              <w:rPr>
                <w:rFonts w:ascii="Book Antiqua" w:hAnsi="Book Antiqua"/>
                <w:color w:val="141314"/>
                <w:sz w:val="24"/>
                <w:szCs w:val="24"/>
              </w:rPr>
              <w:t xml:space="preserve"> </w:t>
            </w:r>
            <w:r w:rsidR="0025119A" w:rsidRPr="008E7A2E">
              <w:rPr>
                <w:rFonts w:ascii="Book Antiqua" w:hAnsi="Book Antiqua"/>
                <w:color w:val="141314"/>
                <w:sz w:val="24"/>
                <w:szCs w:val="24"/>
              </w:rPr>
              <w:t>(</w:t>
            </w:r>
            <w:r w:rsidR="000B5E74" w:rsidRPr="008E7A2E">
              <w:rPr>
                <w:rFonts w:ascii="Book Antiqua" w:hAnsi="Book Antiqua"/>
                <w:color w:val="141314"/>
                <w:sz w:val="24"/>
                <w:szCs w:val="24"/>
              </w:rPr>
              <w:t>1</w:t>
            </w:r>
            <w:r w:rsidRPr="008E7A2E">
              <w:rPr>
                <w:rFonts w:ascii="Book Antiqua" w:hAnsi="Book Antiqua"/>
                <w:color w:val="141314"/>
                <w:sz w:val="24"/>
                <w:szCs w:val="24"/>
              </w:rPr>
              <w:t>5</w:t>
            </w:r>
            <w:r w:rsidR="0025119A" w:rsidRPr="008E7A2E">
              <w:rPr>
                <w:rFonts w:ascii="Book Antiqua" w:hAnsi="Book Antiqua"/>
                <w:color w:val="141314"/>
                <w:sz w:val="24"/>
                <w:szCs w:val="24"/>
              </w:rPr>
              <w:t>)</w:t>
            </w:r>
          </w:p>
          <w:p w14:paraId="071A7B77" w14:textId="49634B42" w:rsidR="000634EC" w:rsidRPr="008E7A2E" w:rsidRDefault="000B5E74" w:rsidP="00B429F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2</w:t>
            </w:r>
            <w:r w:rsidR="00EB2249" w:rsidRPr="008E7A2E">
              <w:rPr>
                <w:rFonts w:ascii="Book Antiqua" w:hAnsi="Book Antiqua"/>
                <w:color w:val="141314"/>
                <w:sz w:val="24"/>
                <w:szCs w:val="24"/>
              </w:rPr>
              <w:t>0</w:t>
            </w:r>
            <w:r w:rsidR="00B429FF">
              <w:rPr>
                <w:rFonts w:ascii="Book Antiqua" w:hAnsi="Book Antiqua"/>
                <w:color w:val="141314"/>
                <w:sz w:val="24"/>
                <w:szCs w:val="24"/>
              </w:rPr>
              <w:t xml:space="preserve"> </w:t>
            </w:r>
            <w:r w:rsidR="0025119A" w:rsidRPr="008E7A2E">
              <w:rPr>
                <w:rFonts w:ascii="Book Antiqua" w:hAnsi="Book Antiqua"/>
                <w:color w:val="141314"/>
                <w:sz w:val="24"/>
                <w:szCs w:val="24"/>
              </w:rPr>
              <w:t>(</w:t>
            </w:r>
            <w:r w:rsidR="00EB2249" w:rsidRPr="008E7A2E">
              <w:rPr>
                <w:rFonts w:ascii="Book Antiqua" w:hAnsi="Book Antiqua"/>
                <w:color w:val="141314"/>
                <w:sz w:val="24"/>
                <w:szCs w:val="24"/>
              </w:rPr>
              <w:t>6</w:t>
            </w:r>
            <w:r w:rsidR="0025119A" w:rsidRPr="008E7A2E">
              <w:rPr>
                <w:rFonts w:ascii="Book Antiqua" w:hAnsi="Book Antiqua"/>
                <w:color w:val="141314"/>
                <w:sz w:val="24"/>
                <w:szCs w:val="24"/>
              </w:rPr>
              <w:t>)</w:t>
            </w:r>
          </w:p>
        </w:tc>
      </w:tr>
      <w:tr w:rsidR="00B37AFA" w:rsidRPr="00AE4053" w14:paraId="44890344" w14:textId="77777777" w:rsidTr="00D4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3A70550" w14:textId="77777777" w:rsidR="000634EC" w:rsidRPr="008E7A2E" w:rsidRDefault="00B37AFA" w:rsidP="00B429FF">
            <w:pPr>
              <w:snapToGrid w:val="0"/>
              <w:spacing w:line="360" w:lineRule="auto"/>
              <w:rPr>
                <w:rFonts w:ascii="Book Antiqua" w:hAnsi="Book Antiqua"/>
                <w:b w:val="0"/>
                <w:color w:val="141314"/>
                <w:sz w:val="24"/>
                <w:szCs w:val="24"/>
              </w:rPr>
            </w:pPr>
            <w:r w:rsidRPr="008E7A2E">
              <w:rPr>
                <w:rFonts w:ascii="Book Antiqua" w:hAnsi="Book Antiqua"/>
                <w:b w:val="0"/>
                <w:color w:val="141314"/>
                <w:sz w:val="24"/>
                <w:szCs w:val="24"/>
              </w:rPr>
              <w:t>Ascites</w:t>
            </w:r>
          </w:p>
          <w:p w14:paraId="1983AAFA" w14:textId="5A67911A" w:rsidR="000634EC" w:rsidRPr="008E7A2E" w:rsidRDefault="0025119A" w:rsidP="00B429FF">
            <w:pPr>
              <w:snapToGrid w:val="0"/>
              <w:spacing w:line="360" w:lineRule="auto"/>
              <w:ind w:firstLineChars="100" w:firstLine="240"/>
              <w:rPr>
                <w:rFonts w:ascii="Book Antiqua" w:hAnsi="Book Antiqua"/>
                <w:b w:val="0"/>
                <w:color w:val="141314"/>
                <w:sz w:val="24"/>
                <w:szCs w:val="24"/>
              </w:rPr>
            </w:pPr>
            <w:r w:rsidRPr="008E7A2E">
              <w:rPr>
                <w:rFonts w:ascii="Book Antiqua" w:hAnsi="Book Antiqua"/>
                <w:b w:val="0"/>
                <w:color w:val="141314"/>
                <w:sz w:val="24"/>
                <w:szCs w:val="24"/>
              </w:rPr>
              <w:t>None</w:t>
            </w:r>
          </w:p>
          <w:p w14:paraId="6B42F549" w14:textId="52368A08" w:rsidR="000634EC" w:rsidRPr="008E7A2E" w:rsidRDefault="0025119A" w:rsidP="00B429FF">
            <w:pPr>
              <w:snapToGrid w:val="0"/>
              <w:spacing w:line="360" w:lineRule="auto"/>
              <w:ind w:firstLineChars="100" w:firstLine="240"/>
              <w:rPr>
                <w:rFonts w:ascii="Book Antiqua" w:hAnsi="Book Antiqua"/>
                <w:b w:val="0"/>
                <w:color w:val="141314"/>
                <w:sz w:val="24"/>
                <w:szCs w:val="24"/>
              </w:rPr>
            </w:pPr>
            <w:r w:rsidRPr="008E7A2E">
              <w:rPr>
                <w:rFonts w:ascii="Book Antiqua" w:hAnsi="Book Antiqua"/>
                <w:b w:val="0"/>
                <w:color w:val="141314"/>
                <w:sz w:val="24"/>
                <w:szCs w:val="24"/>
              </w:rPr>
              <w:t>Mild</w:t>
            </w:r>
          </w:p>
          <w:p w14:paraId="02C8E1C4" w14:textId="115A2ADA" w:rsidR="000634EC" w:rsidRPr="008E7A2E" w:rsidRDefault="0025119A" w:rsidP="00B429FF">
            <w:pPr>
              <w:snapToGrid w:val="0"/>
              <w:spacing w:line="360" w:lineRule="auto"/>
              <w:ind w:firstLineChars="100" w:firstLine="240"/>
              <w:rPr>
                <w:rFonts w:ascii="Book Antiqua" w:hAnsi="Book Antiqua"/>
                <w:b w:val="0"/>
                <w:color w:val="141314"/>
                <w:sz w:val="24"/>
                <w:szCs w:val="24"/>
              </w:rPr>
            </w:pPr>
            <w:r w:rsidRPr="008E7A2E">
              <w:rPr>
                <w:rFonts w:ascii="Book Antiqua" w:hAnsi="Book Antiqua"/>
                <w:b w:val="0"/>
                <w:color w:val="141314"/>
                <w:sz w:val="24"/>
                <w:szCs w:val="24"/>
              </w:rPr>
              <w:t>Moderate</w:t>
            </w:r>
            <w:r w:rsidR="00D44E1F" w:rsidRPr="008E7A2E">
              <w:rPr>
                <w:rFonts w:ascii="Book Antiqua" w:hAnsi="Book Antiqua"/>
                <w:b w:val="0"/>
                <w:color w:val="141314"/>
                <w:sz w:val="24"/>
                <w:szCs w:val="24"/>
              </w:rPr>
              <w:t xml:space="preserve"> to tense</w:t>
            </w:r>
          </w:p>
        </w:tc>
        <w:tc>
          <w:tcPr>
            <w:tcW w:w="4621" w:type="dxa"/>
          </w:tcPr>
          <w:p w14:paraId="6F89D393" w14:textId="77777777" w:rsidR="000634EC" w:rsidRPr="008E7A2E" w:rsidRDefault="000634EC" w:rsidP="008E7A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p>
          <w:p w14:paraId="1586912A" w14:textId="014AFDB8" w:rsidR="000634EC" w:rsidRPr="008E7A2E" w:rsidRDefault="00D44E1F" w:rsidP="008E7A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161</w:t>
            </w:r>
            <w:r w:rsidR="00B429FF">
              <w:rPr>
                <w:rFonts w:ascii="Book Antiqua" w:hAnsi="Book Antiqua"/>
                <w:color w:val="141314"/>
                <w:sz w:val="24"/>
                <w:szCs w:val="24"/>
              </w:rPr>
              <w:t xml:space="preserve"> </w:t>
            </w:r>
            <w:r w:rsidR="0025119A" w:rsidRPr="008E7A2E">
              <w:rPr>
                <w:rFonts w:ascii="Book Antiqua" w:hAnsi="Book Antiqua"/>
                <w:color w:val="141314"/>
                <w:sz w:val="24"/>
                <w:szCs w:val="24"/>
              </w:rPr>
              <w:t>(</w:t>
            </w:r>
            <w:r w:rsidRPr="008E7A2E">
              <w:rPr>
                <w:rFonts w:ascii="Book Antiqua" w:hAnsi="Book Antiqua"/>
                <w:color w:val="141314"/>
                <w:sz w:val="24"/>
                <w:szCs w:val="24"/>
              </w:rPr>
              <w:t>49</w:t>
            </w:r>
            <w:r w:rsidR="0025119A" w:rsidRPr="008E7A2E">
              <w:rPr>
                <w:rFonts w:ascii="Book Antiqua" w:hAnsi="Book Antiqua"/>
                <w:color w:val="141314"/>
                <w:sz w:val="24"/>
                <w:szCs w:val="24"/>
              </w:rPr>
              <w:t>)</w:t>
            </w:r>
          </w:p>
          <w:p w14:paraId="667BABE2" w14:textId="34F42E0C" w:rsidR="000634EC" w:rsidRPr="008E7A2E" w:rsidRDefault="00D44E1F" w:rsidP="008E7A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1</w:t>
            </w:r>
            <w:r w:rsidR="000B5E74" w:rsidRPr="008E7A2E">
              <w:rPr>
                <w:rFonts w:ascii="Book Antiqua" w:hAnsi="Book Antiqua"/>
                <w:color w:val="141314"/>
                <w:sz w:val="24"/>
                <w:szCs w:val="24"/>
              </w:rPr>
              <w:t>3</w:t>
            </w:r>
            <w:r w:rsidRPr="008E7A2E">
              <w:rPr>
                <w:rFonts w:ascii="Book Antiqua" w:hAnsi="Book Antiqua"/>
                <w:color w:val="141314"/>
                <w:sz w:val="24"/>
                <w:szCs w:val="24"/>
              </w:rPr>
              <w:t>5</w:t>
            </w:r>
            <w:r w:rsidR="00B429FF">
              <w:rPr>
                <w:rFonts w:ascii="Book Antiqua" w:hAnsi="Book Antiqua"/>
                <w:color w:val="141314"/>
                <w:sz w:val="24"/>
                <w:szCs w:val="24"/>
              </w:rPr>
              <w:t xml:space="preserve"> </w:t>
            </w:r>
            <w:r w:rsidR="0025119A" w:rsidRPr="008E7A2E">
              <w:rPr>
                <w:rFonts w:ascii="Book Antiqua" w:hAnsi="Book Antiqua"/>
                <w:color w:val="141314"/>
                <w:sz w:val="24"/>
                <w:szCs w:val="24"/>
              </w:rPr>
              <w:t>(</w:t>
            </w:r>
            <w:r w:rsidRPr="008E7A2E">
              <w:rPr>
                <w:rFonts w:ascii="Book Antiqua" w:hAnsi="Book Antiqua"/>
                <w:color w:val="141314"/>
                <w:sz w:val="24"/>
                <w:szCs w:val="24"/>
              </w:rPr>
              <w:t>42</w:t>
            </w:r>
            <w:r w:rsidR="0025119A" w:rsidRPr="008E7A2E">
              <w:rPr>
                <w:rFonts w:ascii="Book Antiqua" w:hAnsi="Book Antiqua"/>
                <w:color w:val="141314"/>
                <w:sz w:val="24"/>
                <w:szCs w:val="24"/>
              </w:rPr>
              <w:t>)</w:t>
            </w:r>
          </w:p>
          <w:p w14:paraId="317DDCB6" w14:textId="169750AA" w:rsidR="000634EC" w:rsidRPr="008E7A2E" w:rsidRDefault="00D44E1F" w:rsidP="00B429F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30</w:t>
            </w:r>
            <w:r w:rsidR="00B429FF">
              <w:rPr>
                <w:rFonts w:ascii="Book Antiqua" w:hAnsi="Book Antiqua"/>
                <w:color w:val="141314"/>
                <w:sz w:val="24"/>
                <w:szCs w:val="24"/>
              </w:rPr>
              <w:t xml:space="preserve"> </w:t>
            </w:r>
            <w:r w:rsidR="0025119A" w:rsidRPr="008E7A2E">
              <w:rPr>
                <w:rFonts w:ascii="Book Antiqua" w:hAnsi="Book Antiqua"/>
                <w:color w:val="141314"/>
                <w:sz w:val="24"/>
                <w:szCs w:val="24"/>
              </w:rPr>
              <w:t>(</w:t>
            </w:r>
            <w:r w:rsidRPr="008E7A2E">
              <w:rPr>
                <w:rFonts w:ascii="Book Antiqua" w:hAnsi="Book Antiqua"/>
                <w:color w:val="141314"/>
                <w:sz w:val="24"/>
                <w:szCs w:val="24"/>
              </w:rPr>
              <w:t>9</w:t>
            </w:r>
            <w:r w:rsidR="0025119A" w:rsidRPr="008E7A2E">
              <w:rPr>
                <w:rFonts w:ascii="Book Antiqua" w:hAnsi="Book Antiqua"/>
                <w:color w:val="141314"/>
                <w:sz w:val="24"/>
                <w:szCs w:val="24"/>
              </w:rPr>
              <w:t>)</w:t>
            </w:r>
          </w:p>
        </w:tc>
      </w:tr>
      <w:tr w:rsidR="00B37AFA" w:rsidRPr="00AE4053" w14:paraId="7844687F" w14:textId="77777777" w:rsidTr="00D43F42">
        <w:tc>
          <w:tcPr>
            <w:cnfStyle w:val="001000000000" w:firstRow="0" w:lastRow="0" w:firstColumn="1" w:lastColumn="0" w:oddVBand="0" w:evenVBand="0" w:oddHBand="0" w:evenHBand="0" w:firstRowFirstColumn="0" w:firstRowLastColumn="0" w:lastRowFirstColumn="0" w:lastRowLastColumn="0"/>
            <w:tcW w:w="4621" w:type="dxa"/>
          </w:tcPr>
          <w:p w14:paraId="574F16AD" w14:textId="77777777" w:rsidR="000634EC" w:rsidRPr="008E7A2E" w:rsidRDefault="0025119A" w:rsidP="00B429FF">
            <w:pPr>
              <w:snapToGrid w:val="0"/>
              <w:spacing w:line="360" w:lineRule="auto"/>
              <w:rPr>
                <w:rFonts w:ascii="Book Antiqua" w:hAnsi="Book Antiqua"/>
                <w:b w:val="0"/>
                <w:color w:val="141314"/>
                <w:sz w:val="24"/>
                <w:szCs w:val="24"/>
              </w:rPr>
            </w:pPr>
            <w:r w:rsidRPr="008E7A2E">
              <w:rPr>
                <w:rFonts w:ascii="Book Antiqua" w:hAnsi="Book Antiqua"/>
                <w:b w:val="0"/>
                <w:color w:val="141314"/>
                <w:sz w:val="24"/>
                <w:szCs w:val="24"/>
              </w:rPr>
              <w:t>Bleeding status</w:t>
            </w:r>
          </w:p>
          <w:p w14:paraId="1025D5EC" w14:textId="405A3DF7" w:rsidR="000634EC" w:rsidRPr="008E7A2E" w:rsidRDefault="0025119A" w:rsidP="00B429FF">
            <w:pPr>
              <w:snapToGrid w:val="0"/>
              <w:spacing w:line="360" w:lineRule="auto"/>
              <w:ind w:firstLineChars="100" w:firstLine="240"/>
              <w:rPr>
                <w:rFonts w:ascii="Book Antiqua" w:hAnsi="Book Antiqua"/>
                <w:b w:val="0"/>
                <w:color w:val="141314"/>
                <w:sz w:val="24"/>
                <w:szCs w:val="24"/>
              </w:rPr>
            </w:pPr>
            <w:r w:rsidRPr="008E7A2E">
              <w:rPr>
                <w:rFonts w:ascii="Book Antiqua" w:hAnsi="Book Antiqua"/>
                <w:b w:val="0"/>
                <w:color w:val="141314"/>
                <w:sz w:val="24"/>
                <w:szCs w:val="24"/>
              </w:rPr>
              <w:t>Bleeder</w:t>
            </w:r>
          </w:p>
          <w:p w14:paraId="168C87DE" w14:textId="6107F542" w:rsidR="000634EC" w:rsidRPr="008E7A2E" w:rsidRDefault="007E6753" w:rsidP="00B429FF">
            <w:pPr>
              <w:snapToGrid w:val="0"/>
              <w:spacing w:line="360" w:lineRule="auto"/>
              <w:ind w:firstLineChars="100" w:firstLine="240"/>
              <w:rPr>
                <w:rFonts w:ascii="Book Antiqua" w:hAnsi="Book Antiqua"/>
                <w:b w:val="0"/>
                <w:color w:val="141314"/>
                <w:sz w:val="24"/>
                <w:szCs w:val="24"/>
              </w:rPr>
            </w:pPr>
            <w:r w:rsidRPr="008E7A2E">
              <w:rPr>
                <w:rFonts w:ascii="Book Antiqua" w:hAnsi="Book Antiqua"/>
                <w:b w:val="0"/>
                <w:color w:val="141314"/>
                <w:sz w:val="24"/>
                <w:szCs w:val="24"/>
              </w:rPr>
              <w:t>Non-bleeder</w:t>
            </w:r>
            <w:r w:rsidR="00AB6E07" w:rsidRPr="008E7A2E">
              <w:rPr>
                <w:rFonts w:ascii="Book Antiqua" w:hAnsi="Book Antiqua"/>
                <w:b w:val="0"/>
                <w:color w:val="141314"/>
                <w:sz w:val="24"/>
                <w:szCs w:val="24"/>
              </w:rPr>
              <w:t xml:space="preserve"> </w:t>
            </w:r>
          </w:p>
        </w:tc>
        <w:tc>
          <w:tcPr>
            <w:tcW w:w="4621" w:type="dxa"/>
          </w:tcPr>
          <w:p w14:paraId="28450DEA" w14:textId="77777777" w:rsidR="000634EC" w:rsidRPr="008E7A2E" w:rsidRDefault="000634EC" w:rsidP="008E7A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141314"/>
                <w:sz w:val="24"/>
                <w:szCs w:val="24"/>
              </w:rPr>
            </w:pPr>
          </w:p>
          <w:p w14:paraId="7C33A1AC" w14:textId="45FE419E" w:rsidR="000634EC" w:rsidRPr="008E7A2E" w:rsidRDefault="0025119A" w:rsidP="008E7A2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1</w:t>
            </w:r>
            <w:r w:rsidR="00197728" w:rsidRPr="008E7A2E">
              <w:rPr>
                <w:rFonts w:ascii="Book Antiqua" w:hAnsi="Book Antiqua"/>
                <w:color w:val="141314"/>
                <w:sz w:val="24"/>
                <w:szCs w:val="24"/>
              </w:rPr>
              <w:t>18</w:t>
            </w:r>
            <w:r w:rsidR="00B429FF">
              <w:rPr>
                <w:rFonts w:ascii="Book Antiqua" w:hAnsi="Book Antiqua"/>
                <w:color w:val="141314"/>
                <w:sz w:val="24"/>
                <w:szCs w:val="24"/>
              </w:rPr>
              <w:t xml:space="preserve"> </w:t>
            </w:r>
            <w:r w:rsidRPr="008E7A2E">
              <w:rPr>
                <w:rFonts w:ascii="Book Antiqua" w:hAnsi="Book Antiqua"/>
                <w:color w:val="141314"/>
                <w:sz w:val="24"/>
                <w:szCs w:val="24"/>
              </w:rPr>
              <w:t>(</w:t>
            </w:r>
            <w:r w:rsidR="00197728" w:rsidRPr="008E7A2E">
              <w:rPr>
                <w:rFonts w:ascii="Book Antiqua" w:hAnsi="Book Antiqua"/>
                <w:color w:val="141314"/>
                <w:sz w:val="24"/>
                <w:szCs w:val="24"/>
              </w:rPr>
              <w:t>36</w:t>
            </w:r>
            <w:r w:rsidRPr="008E7A2E">
              <w:rPr>
                <w:rFonts w:ascii="Book Antiqua" w:hAnsi="Book Antiqua"/>
                <w:color w:val="141314"/>
                <w:sz w:val="24"/>
                <w:szCs w:val="24"/>
              </w:rPr>
              <w:t>)</w:t>
            </w:r>
          </w:p>
          <w:p w14:paraId="63CE3141" w14:textId="462820E7" w:rsidR="000634EC" w:rsidRPr="008E7A2E" w:rsidRDefault="00A23A48" w:rsidP="00B429F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208</w:t>
            </w:r>
            <w:r w:rsidR="00B429FF">
              <w:rPr>
                <w:rFonts w:ascii="Book Antiqua" w:hAnsi="Book Antiqua"/>
                <w:color w:val="141314"/>
                <w:sz w:val="24"/>
                <w:szCs w:val="24"/>
              </w:rPr>
              <w:t xml:space="preserve"> </w:t>
            </w:r>
            <w:r w:rsidR="0025119A" w:rsidRPr="008E7A2E">
              <w:rPr>
                <w:rFonts w:ascii="Book Antiqua" w:hAnsi="Book Antiqua"/>
                <w:color w:val="141314"/>
                <w:sz w:val="24"/>
                <w:szCs w:val="24"/>
              </w:rPr>
              <w:t>(</w:t>
            </w:r>
            <w:r w:rsidRPr="008E7A2E">
              <w:rPr>
                <w:rFonts w:ascii="Book Antiqua" w:hAnsi="Book Antiqua"/>
                <w:color w:val="141314"/>
                <w:sz w:val="24"/>
                <w:szCs w:val="24"/>
              </w:rPr>
              <w:t>64</w:t>
            </w:r>
            <w:r w:rsidR="0025119A" w:rsidRPr="008E7A2E">
              <w:rPr>
                <w:rFonts w:ascii="Book Antiqua" w:hAnsi="Book Antiqua"/>
                <w:color w:val="141314"/>
                <w:sz w:val="24"/>
                <w:szCs w:val="24"/>
              </w:rPr>
              <w:t>)</w:t>
            </w:r>
          </w:p>
        </w:tc>
      </w:tr>
      <w:tr w:rsidR="00671734" w:rsidRPr="00AE4053" w14:paraId="0BB2BCE5" w14:textId="77777777" w:rsidTr="00D4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7369C0D3" w14:textId="77777777" w:rsidR="000634EC" w:rsidRPr="008E7A2E" w:rsidRDefault="00671734" w:rsidP="00B429FF">
            <w:pPr>
              <w:snapToGrid w:val="0"/>
              <w:spacing w:line="360" w:lineRule="auto"/>
              <w:rPr>
                <w:rFonts w:ascii="Book Antiqua" w:hAnsi="Book Antiqua"/>
                <w:b w:val="0"/>
                <w:color w:val="141314"/>
                <w:sz w:val="24"/>
                <w:szCs w:val="24"/>
              </w:rPr>
            </w:pPr>
            <w:r w:rsidRPr="008E7A2E">
              <w:rPr>
                <w:rFonts w:ascii="Book Antiqua" w:hAnsi="Book Antiqua"/>
                <w:b w:val="0"/>
                <w:color w:val="141314"/>
                <w:sz w:val="24"/>
                <w:szCs w:val="24"/>
              </w:rPr>
              <w:t>Hemoglobin, g/</w:t>
            </w:r>
            <w:proofErr w:type="spellStart"/>
            <w:r w:rsidRPr="008E7A2E">
              <w:rPr>
                <w:rFonts w:ascii="Book Antiqua" w:hAnsi="Book Antiqua"/>
                <w:b w:val="0"/>
                <w:color w:val="141314"/>
                <w:sz w:val="24"/>
                <w:szCs w:val="24"/>
              </w:rPr>
              <w:t>dL</w:t>
            </w:r>
            <w:proofErr w:type="spellEnd"/>
          </w:p>
        </w:tc>
        <w:tc>
          <w:tcPr>
            <w:tcW w:w="4621" w:type="dxa"/>
          </w:tcPr>
          <w:p w14:paraId="3B17660C" w14:textId="5D12E8D3" w:rsidR="000634EC" w:rsidRPr="008E7A2E" w:rsidRDefault="00671734" w:rsidP="00B429F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1</w:t>
            </w:r>
            <w:r w:rsidR="00A23A48" w:rsidRPr="008E7A2E">
              <w:rPr>
                <w:rFonts w:ascii="Book Antiqua" w:hAnsi="Book Antiqua"/>
                <w:color w:val="141314"/>
                <w:sz w:val="24"/>
                <w:szCs w:val="24"/>
              </w:rPr>
              <w:t>0</w:t>
            </w:r>
            <w:r w:rsidRPr="008E7A2E">
              <w:rPr>
                <w:rFonts w:ascii="Book Antiqua" w:hAnsi="Book Antiqua"/>
                <w:color w:val="141314"/>
                <w:sz w:val="24"/>
                <w:szCs w:val="24"/>
              </w:rPr>
              <w:t>.</w:t>
            </w:r>
            <w:r w:rsidR="00A23A48" w:rsidRPr="008E7A2E">
              <w:rPr>
                <w:rFonts w:ascii="Book Antiqua" w:hAnsi="Book Antiqua"/>
                <w:color w:val="141314"/>
                <w:sz w:val="24"/>
                <w:szCs w:val="24"/>
              </w:rPr>
              <w:t>3</w:t>
            </w:r>
            <w:r w:rsidR="00B429FF">
              <w:rPr>
                <w:rFonts w:ascii="Book Antiqua" w:hAnsi="Book Antiqua"/>
                <w:color w:val="141314"/>
                <w:sz w:val="24"/>
                <w:szCs w:val="24"/>
              </w:rPr>
              <w:t xml:space="preserve"> </w:t>
            </w:r>
            <w:r w:rsidRPr="008E7A2E">
              <w:rPr>
                <w:rFonts w:ascii="Book Antiqua" w:hAnsi="Book Antiqua"/>
                <w:color w:val="141314"/>
                <w:sz w:val="24"/>
                <w:szCs w:val="24"/>
              </w:rPr>
              <w:t>(</w:t>
            </w:r>
            <w:r w:rsidR="00A23A48" w:rsidRPr="008E7A2E">
              <w:rPr>
                <w:rFonts w:ascii="Book Antiqua" w:hAnsi="Book Antiqua"/>
                <w:color w:val="141314"/>
                <w:sz w:val="24"/>
                <w:szCs w:val="24"/>
              </w:rPr>
              <w:t>4</w:t>
            </w:r>
            <w:r w:rsidRPr="008E7A2E">
              <w:rPr>
                <w:rFonts w:ascii="Book Antiqua" w:hAnsi="Book Antiqua"/>
                <w:color w:val="141314"/>
                <w:sz w:val="24"/>
                <w:szCs w:val="24"/>
              </w:rPr>
              <w:t>.</w:t>
            </w:r>
            <w:r w:rsidR="00A23A48" w:rsidRPr="008E7A2E">
              <w:rPr>
                <w:rFonts w:ascii="Book Antiqua" w:hAnsi="Book Antiqua"/>
                <w:color w:val="141314"/>
                <w:sz w:val="24"/>
                <w:szCs w:val="24"/>
              </w:rPr>
              <w:t>5</w:t>
            </w:r>
            <w:r w:rsidRPr="008E7A2E">
              <w:rPr>
                <w:rFonts w:ascii="Book Antiqua" w:hAnsi="Book Antiqua"/>
                <w:color w:val="141314"/>
                <w:sz w:val="24"/>
                <w:szCs w:val="24"/>
              </w:rPr>
              <w:t>-1</w:t>
            </w:r>
            <w:r w:rsidR="00A23A48" w:rsidRPr="008E7A2E">
              <w:rPr>
                <w:rFonts w:ascii="Book Antiqua" w:hAnsi="Book Antiqua"/>
                <w:color w:val="141314"/>
                <w:sz w:val="24"/>
                <w:szCs w:val="24"/>
              </w:rPr>
              <w:t>7</w:t>
            </w:r>
            <w:r w:rsidRPr="008E7A2E">
              <w:rPr>
                <w:rFonts w:ascii="Book Antiqua" w:hAnsi="Book Antiqua"/>
                <w:color w:val="141314"/>
                <w:sz w:val="24"/>
                <w:szCs w:val="24"/>
              </w:rPr>
              <w:t>.</w:t>
            </w:r>
            <w:r w:rsidR="00A23A48" w:rsidRPr="008E7A2E">
              <w:rPr>
                <w:rFonts w:ascii="Book Antiqua" w:hAnsi="Book Antiqua"/>
                <w:color w:val="141314"/>
                <w:sz w:val="24"/>
                <w:szCs w:val="24"/>
              </w:rPr>
              <w:t>0</w:t>
            </w:r>
            <w:r w:rsidRPr="008E7A2E">
              <w:rPr>
                <w:rFonts w:ascii="Book Antiqua" w:hAnsi="Book Antiqua"/>
                <w:color w:val="141314"/>
                <w:sz w:val="24"/>
                <w:szCs w:val="24"/>
              </w:rPr>
              <w:t>)</w:t>
            </w:r>
          </w:p>
        </w:tc>
      </w:tr>
      <w:tr w:rsidR="00671734" w:rsidRPr="00AE4053" w14:paraId="0A96234C" w14:textId="77777777" w:rsidTr="00D43F42">
        <w:tc>
          <w:tcPr>
            <w:cnfStyle w:val="001000000000" w:firstRow="0" w:lastRow="0" w:firstColumn="1" w:lastColumn="0" w:oddVBand="0" w:evenVBand="0" w:oddHBand="0" w:evenHBand="0" w:firstRowFirstColumn="0" w:firstRowLastColumn="0" w:lastRowFirstColumn="0" w:lastRowLastColumn="0"/>
            <w:tcW w:w="4621" w:type="dxa"/>
          </w:tcPr>
          <w:p w14:paraId="7C7B8822" w14:textId="397ABC25" w:rsidR="000634EC" w:rsidRPr="008E7A2E" w:rsidRDefault="00671734" w:rsidP="00B429FF">
            <w:pPr>
              <w:snapToGrid w:val="0"/>
              <w:spacing w:line="360" w:lineRule="auto"/>
              <w:rPr>
                <w:rFonts w:ascii="Book Antiqua" w:hAnsi="Book Antiqua"/>
                <w:b w:val="0"/>
                <w:color w:val="141314"/>
                <w:sz w:val="24"/>
                <w:szCs w:val="24"/>
              </w:rPr>
            </w:pPr>
            <w:r w:rsidRPr="008E7A2E">
              <w:rPr>
                <w:rFonts w:ascii="Book Antiqua" w:hAnsi="Book Antiqua"/>
                <w:b w:val="0"/>
                <w:color w:val="141314"/>
                <w:sz w:val="24"/>
                <w:szCs w:val="24"/>
              </w:rPr>
              <w:t>Platelets, ×</w:t>
            </w:r>
            <w:r w:rsidR="00B429FF">
              <w:rPr>
                <w:rFonts w:ascii="Book Antiqua" w:hAnsi="Book Antiqua"/>
                <w:b w:val="0"/>
                <w:color w:val="141314"/>
                <w:sz w:val="24"/>
                <w:szCs w:val="24"/>
              </w:rPr>
              <w:t xml:space="preserve"> </w:t>
            </w:r>
            <w:r w:rsidRPr="008E7A2E">
              <w:rPr>
                <w:rFonts w:ascii="Book Antiqua" w:hAnsi="Book Antiqua"/>
                <w:b w:val="0"/>
                <w:color w:val="141314"/>
                <w:sz w:val="24"/>
                <w:szCs w:val="24"/>
              </w:rPr>
              <w:t>10</w:t>
            </w:r>
            <w:r w:rsidRPr="008E7A2E">
              <w:rPr>
                <w:rFonts w:ascii="Book Antiqua" w:hAnsi="Book Antiqua"/>
                <w:b w:val="0"/>
                <w:color w:val="141314"/>
                <w:sz w:val="24"/>
                <w:szCs w:val="24"/>
                <w:vertAlign w:val="superscript"/>
              </w:rPr>
              <w:t>3</w:t>
            </w:r>
            <w:r w:rsidRPr="008E7A2E">
              <w:rPr>
                <w:rFonts w:ascii="Book Antiqua" w:hAnsi="Book Antiqua"/>
                <w:b w:val="0"/>
                <w:color w:val="141314"/>
                <w:sz w:val="24"/>
                <w:szCs w:val="24"/>
              </w:rPr>
              <w:t>/</w:t>
            </w:r>
            <w:proofErr w:type="spellStart"/>
            <w:r w:rsidRPr="008E7A2E">
              <w:rPr>
                <w:rFonts w:ascii="Book Antiqua" w:hAnsi="Book Antiqua"/>
                <w:b w:val="0"/>
                <w:color w:val="141314"/>
                <w:sz w:val="24"/>
                <w:szCs w:val="24"/>
              </w:rPr>
              <w:t>cumm</w:t>
            </w:r>
            <w:proofErr w:type="spellEnd"/>
          </w:p>
        </w:tc>
        <w:tc>
          <w:tcPr>
            <w:tcW w:w="4621" w:type="dxa"/>
          </w:tcPr>
          <w:p w14:paraId="2A228D5E" w14:textId="2F60B825" w:rsidR="000634EC" w:rsidRPr="008E7A2E" w:rsidRDefault="00343889" w:rsidP="00B429F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90</w:t>
            </w:r>
            <w:r w:rsidR="00B429FF">
              <w:rPr>
                <w:rFonts w:ascii="Book Antiqua" w:hAnsi="Book Antiqua"/>
                <w:color w:val="141314"/>
                <w:sz w:val="24"/>
                <w:szCs w:val="24"/>
              </w:rPr>
              <w:t xml:space="preserve"> </w:t>
            </w:r>
            <w:r w:rsidR="00671734" w:rsidRPr="008E7A2E">
              <w:rPr>
                <w:rFonts w:ascii="Book Antiqua" w:hAnsi="Book Antiqua"/>
                <w:color w:val="141314"/>
                <w:sz w:val="24"/>
                <w:szCs w:val="24"/>
              </w:rPr>
              <w:t>(</w:t>
            </w:r>
            <w:r w:rsidRPr="008E7A2E">
              <w:rPr>
                <w:rFonts w:ascii="Book Antiqua" w:hAnsi="Book Antiqua"/>
                <w:color w:val="141314"/>
                <w:sz w:val="24"/>
                <w:szCs w:val="24"/>
              </w:rPr>
              <w:t>13</w:t>
            </w:r>
            <w:r w:rsidR="00671734" w:rsidRPr="008E7A2E">
              <w:rPr>
                <w:rFonts w:ascii="Book Antiqua" w:hAnsi="Book Antiqua"/>
                <w:color w:val="141314"/>
                <w:sz w:val="24"/>
                <w:szCs w:val="24"/>
              </w:rPr>
              <w:t>-</w:t>
            </w:r>
            <w:r w:rsidRPr="008E7A2E">
              <w:rPr>
                <w:rFonts w:ascii="Book Antiqua" w:hAnsi="Book Antiqua"/>
                <w:color w:val="141314"/>
                <w:sz w:val="24"/>
                <w:szCs w:val="24"/>
              </w:rPr>
              <w:t>422</w:t>
            </w:r>
            <w:r w:rsidR="00671734" w:rsidRPr="008E7A2E">
              <w:rPr>
                <w:rFonts w:ascii="Book Antiqua" w:hAnsi="Book Antiqua"/>
                <w:color w:val="141314"/>
                <w:sz w:val="24"/>
                <w:szCs w:val="24"/>
              </w:rPr>
              <w:t>)</w:t>
            </w:r>
          </w:p>
        </w:tc>
      </w:tr>
      <w:tr w:rsidR="0025119A" w:rsidRPr="00AE4053" w14:paraId="0500E123" w14:textId="77777777" w:rsidTr="00D4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CD4CD69" w14:textId="77777777" w:rsidR="000634EC" w:rsidRPr="008E7A2E" w:rsidRDefault="0025119A" w:rsidP="00B429FF">
            <w:pPr>
              <w:snapToGrid w:val="0"/>
              <w:spacing w:line="360" w:lineRule="auto"/>
              <w:rPr>
                <w:rFonts w:ascii="Book Antiqua" w:hAnsi="Book Antiqua"/>
                <w:b w:val="0"/>
                <w:color w:val="141314"/>
                <w:sz w:val="24"/>
                <w:szCs w:val="24"/>
              </w:rPr>
            </w:pPr>
            <w:r w:rsidRPr="008E7A2E">
              <w:rPr>
                <w:rFonts w:ascii="Book Antiqua" w:hAnsi="Book Antiqua"/>
                <w:b w:val="0"/>
                <w:color w:val="141314"/>
                <w:sz w:val="24"/>
                <w:szCs w:val="24"/>
              </w:rPr>
              <w:t>Bilirubin, mg/</w:t>
            </w:r>
            <w:proofErr w:type="spellStart"/>
            <w:r w:rsidRPr="008E7A2E">
              <w:rPr>
                <w:rFonts w:ascii="Book Antiqua" w:hAnsi="Book Antiqua"/>
                <w:b w:val="0"/>
                <w:color w:val="141314"/>
                <w:sz w:val="24"/>
                <w:szCs w:val="24"/>
              </w:rPr>
              <w:t>dL</w:t>
            </w:r>
            <w:proofErr w:type="spellEnd"/>
          </w:p>
        </w:tc>
        <w:tc>
          <w:tcPr>
            <w:tcW w:w="4621" w:type="dxa"/>
          </w:tcPr>
          <w:p w14:paraId="4AD914D4" w14:textId="0F4D5C2B" w:rsidR="000634EC" w:rsidRPr="008E7A2E" w:rsidRDefault="005A72A3" w:rsidP="00B429F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1</w:t>
            </w:r>
            <w:r w:rsidR="0025119A" w:rsidRPr="008E7A2E">
              <w:rPr>
                <w:rFonts w:ascii="Book Antiqua" w:hAnsi="Book Antiqua"/>
                <w:color w:val="141314"/>
                <w:sz w:val="24"/>
                <w:szCs w:val="24"/>
              </w:rPr>
              <w:t>.</w:t>
            </w:r>
            <w:r w:rsidRPr="008E7A2E">
              <w:rPr>
                <w:rFonts w:ascii="Book Antiqua" w:hAnsi="Book Antiqua"/>
                <w:color w:val="141314"/>
                <w:sz w:val="24"/>
                <w:szCs w:val="24"/>
              </w:rPr>
              <w:t>6</w:t>
            </w:r>
            <w:r w:rsidR="00B429FF">
              <w:rPr>
                <w:rFonts w:ascii="Book Antiqua" w:hAnsi="Book Antiqua"/>
                <w:color w:val="141314"/>
                <w:sz w:val="24"/>
                <w:szCs w:val="24"/>
              </w:rPr>
              <w:t xml:space="preserve"> </w:t>
            </w:r>
            <w:r w:rsidR="00D00C0C" w:rsidRPr="008E7A2E">
              <w:rPr>
                <w:rFonts w:ascii="Book Antiqua" w:hAnsi="Book Antiqua"/>
                <w:color w:val="141314"/>
                <w:sz w:val="24"/>
                <w:szCs w:val="24"/>
              </w:rPr>
              <w:t>(0.</w:t>
            </w:r>
            <w:r w:rsidRPr="008E7A2E">
              <w:rPr>
                <w:rFonts w:ascii="Book Antiqua" w:hAnsi="Book Antiqua"/>
                <w:color w:val="141314"/>
                <w:sz w:val="24"/>
                <w:szCs w:val="24"/>
              </w:rPr>
              <w:t>2</w:t>
            </w:r>
            <w:r w:rsidR="0025119A" w:rsidRPr="008E7A2E">
              <w:rPr>
                <w:rFonts w:ascii="Book Antiqua" w:hAnsi="Book Antiqua"/>
                <w:color w:val="141314"/>
                <w:sz w:val="24"/>
                <w:szCs w:val="24"/>
              </w:rPr>
              <w:t>-</w:t>
            </w:r>
            <w:r w:rsidRPr="008E7A2E">
              <w:rPr>
                <w:rFonts w:ascii="Book Antiqua" w:hAnsi="Book Antiqua"/>
                <w:color w:val="141314"/>
                <w:sz w:val="24"/>
                <w:szCs w:val="24"/>
              </w:rPr>
              <w:t>11</w:t>
            </w:r>
            <w:r w:rsidR="0025119A" w:rsidRPr="008E7A2E">
              <w:rPr>
                <w:rFonts w:ascii="Book Antiqua" w:hAnsi="Book Antiqua"/>
                <w:color w:val="141314"/>
                <w:sz w:val="24"/>
                <w:szCs w:val="24"/>
              </w:rPr>
              <w:t>.</w:t>
            </w:r>
            <w:r w:rsidRPr="008E7A2E">
              <w:rPr>
                <w:rFonts w:ascii="Book Antiqua" w:hAnsi="Book Antiqua"/>
                <w:color w:val="141314"/>
                <w:sz w:val="24"/>
                <w:szCs w:val="24"/>
              </w:rPr>
              <w:t>2</w:t>
            </w:r>
            <w:r w:rsidR="0025119A" w:rsidRPr="008E7A2E">
              <w:rPr>
                <w:rFonts w:ascii="Book Antiqua" w:hAnsi="Book Antiqua"/>
                <w:color w:val="141314"/>
                <w:sz w:val="24"/>
                <w:szCs w:val="24"/>
              </w:rPr>
              <w:t>)</w:t>
            </w:r>
          </w:p>
        </w:tc>
      </w:tr>
      <w:tr w:rsidR="00677EB9" w:rsidRPr="00AE4053" w14:paraId="13128D38" w14:textId="77777777" w:rsidTr="00D43F42">
        <w:tc>
          <w:tcPr>
            <w:cnfStyle w:val="001000000000" w:firstRow="0" w:lastRow="0" w:firstColumn="1" w:lastColumn="0" w:oddVBand="0" w:evenVBand="0" w:oddHBand="0" w:evenHBand="0" w:firstRowFirstColumn="0" w:firstRowLastColumn="0" w:lastRowFirstColumn="0" w:lastRowLastColumn="0"/>
            <w:tcW w:w="4621" w:type="dxa"/>
          </w:tcPr>
          <w:p w14:paraId="0DC9A035" w14:textId="77777777" w:rsidR="000634EC" w:rsidRPr="008E7A2E" w:rsidRDefault="00677EB9" w:rsidP="00B429FF">
            <w:pPr>
              <w:snapToGrid w:val="0"/>
              <w:spacing w:line="360" w:lineRule="auto"/>
              <w:rPr>
                <w:rFonts w:ascii="Book Antiqua" w:hAnsi="Book Antiqua"/>
                <w:b w:val="0"/>
                <w:color w:val="141314"/>
                <w:sz w:val="24"/>
                <w:szCs w:val="24"/>
              </w:rPr>
            </w:pPr>
            <w:r w:rsidRPr="008E7A2E">
              <w:rPr>
                <w:rFonts w:ascii="Book Antiqua" w:hAnsi="Book Antiqua"/>
                <w:b w:val="0"/>
                <w:color w:val="141314"/>
                <w:sz w:val="24"/>
                <w:szCs w:val="24"/>
              </w:rPr>
              <w:t>AST</w:t>
            </w:r>
            <w:r w:rsidR="008B2660" w:rsidRPr="008E7A2E">
              <w:rPr>
                <w:rFonts w:ascii="Book Antiqua" w:hAnsi="Book Antiqua"/>
                <w:b w:val="0"/>
                <w:color w:val="141314"/>
                <w:sz w:val="24"/>
                <w:szCs w:val="24"/>
              </w:rPr>
              <w:t>, IU/</w:t>
            </w:r>
            <w:proofErr w:type="spellStart"/>
            <w:r w:rsidR="008B2660" w:rsidRPr="008E7A2E">
              <w:rPr>
                <w:rFonts w:ascii="Book Antiqua" w:hAnsi="Book Antiqua"/>
                <w:b w:val="0"/>
                <w:color w:val="141314"/>
                <w:sz w:val="24"/>
                <w:szCs w:val="24"/>
              </w:rPr>
              <w:t>dL</w:t>
            </w:r>
            <w:proofErr w:type="spellEnd"/>
          </w:p>
        </w:tc>
        <w:tc>
          <w:tcPr>
            <w:tcW w:w="4621" w:type="dxa"/>
          </w:tcPr>
          <w:p w14:paraId="0B13D657" w14:textId="0BF8AB98" w:rsidR="000634EC" w:rsidRPr="008E7A2E" w:rsidRDefault="005C4FE7" w:rsidP="00B429F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5</w:t>
            </w:r>
            <w:r w:rsidR="00D00C0C" w:rsidRPr="008E7A2E">
              <w:rPr>
                <w:rFonts w:ascii="Book Antiqua" w:hAnsi="Book Antiqua"/>
                <w:color w:val="141314"/>
                <w:sz w:val="24"/>
                <w:szCs w:val="24"/>
              </w:rPr>
              <w:t>3</w:t>
            </w:r>
            <w:r w:rsidR="00B429FF">
              <w:rPr>
                <w:rFonts w:ascii="Book Antiqua" w:hAnsi="Book Antiqua"/>
                <w:color w:val="141314"/>
                <w:sz w:val="24"/>
                <w:szCs w:val="24"/>
              </w:rPr>
              <w:t xml:space="preserve"> </w:t>
            </w:r>
            <w:r w:rsidR="00677EB9" w:rsidRPr="008E7A2E">
              <w:rPr>
                <w:rFonts w:ascii="Book Antiqua" w:hAnsi="Book Antiqua"/>
                <w:color w:val="141314"/>
                <w:sz w:val="24"/>
                <w:szCs w:val="24"/>
              </w:rPr>
              <w:t>(1</w:t>
            </w:r>
            <w:r w:rsidRPr="008E7A2E">
              <w:rPr>
                <w:rFonts w:ascii="Book Antiqua" w:hAnsi="Book Antiqua"/>
                <w:color w:val="141314"/>
                <w:sz w:val="24"/>
                <w:szCs w:val="24"/>
              </w:rPr>
              <w:t>6</w:t>
            </w:r>
            <w:r w:rsidR="00677EB9" w:rsidRPr="008E7A2E">
              <w:rPr>
                <w:rFonts w:ascii="Book Antiqua" w:hAnsi="Book Antiqua"/>
                <w:color w:val="141314"/>
                <w:sz w:val="24"/>
                <w:szCs w:val="24"/>
              </w:rPr>
              <w:t>-</w:t>
            </w:r>
            <w:r w:rsidRPr="008E7A2E">
              <w:rPr>
                <w:rFonts w:ascii="Book Antiqua" w:hAnsi="Book Antiqua"/>
                <w:color w:val="141314"/>
                <w:sz w:val="24"/>
                <w:szCs w:val="24"/>
              </w:rPr>
              <w:t>209</w:t>
            </w:r>
            <w:r w:rsidR="00677EB9" w:rsidRPr="008E7A2E">
              <w:rPr>
                <w:rFonts w:ascii="Book Antiqua" w:hAnsi="Book Antiqua"/>
                <w:color w:val="141314"/>
                <w:sz w:val="24"/>
                <w:szCs w:val="24"/>
              </w:rPr>
              <w:t>)</w:t>
            </w:r>
          </w:p>
        </w:tc>
      </w:tr>
      <w:tr w:rsidR="0025119A" w:rsidRPr="00AE4053" w14:paraId="70B59674" w14:textId="77777777" w:rsidTr="00D4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B1BD54A" w14:textId="77777777" w:rsidR="000634EC" w:rsidRPr="008E7A2E" w:rsidRDefault="0025119A" w:rsidP="00B429FF">
            <w:pPr>
              <w:snapToGrid w:val="0"/>
              <w:spacing w:line="360" w:lineRule="auto"/>
              <w:rPr>
                <w:rFonts w:ascii="Book Antiqua" w:hAnsi="Book Antiqua"/>
                <w:b w:val="0"/>
                <w:color w:val="141314"/>
                <w:sz w:val="24"/>
                <w:szCs w:val="24"/>
              </w:rPr>
            </w:pPr>
            <w:r w:rsidRPr="008E7A2E">
              <w:rPr>
                <w:rFonts w:ascii="Book Antiqua" w:hAnsi="Book Antiqua"/>
                <w:b w:val="0"/>
                <w:color w:val="141314"/>
                <w:sz w:val="24"/>
                <w:szCs w:val="24"/>
              </w:rPr>
              <w:t>INR</w:t>
            </w:r>
          </w:p>
        </w:tc>
        <w:tc>
          <w:tcPr>
            <w:tcW w:w="4621" w:type="dxa"/>
          </w:tcPr>
          <w:p w14:paraId="05D2528D" w14:textId="4F6A1364" w:rsidR="000634EC" w:rsidRPr="008E7A2E" w:rsidRDefault="00671734" w:rsidP="00B429F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1.</w:t>
            </w:r>
            <w:r w:rsidR="0013381E" w:rsidRPr="008E7A2E">
              <w:rPr>
                <w:rFonts w:ascii="Book Antiqua" w:hAnsi="Book Antiqua"/>
                <w:color w:val="141314"/>
                <w:sz w:val="24"/>
                <w:szCs w:val="24"/>
              </w:rPr>
              <w:t>3</w:t>
            </w:r>
            <w:r w:rsidR="00B429FF">
              <w:rPr>
                <w:rFonts w:ascii="Book Antiqua" w:hAnsi="Book Antiqua"/>
                <w:color w:val="141314"/>
                <w:sz w:val="24"/>
                <w:szCs w:val="24"/>
              </w:rPr>
              <w:t xml:space="preserve"> </w:t>
            </w:r>
            <w:r w:rsidRPr="008E7A2E">
              <w:rPr>
                <w:rFonts w:ascii="Book Antiqua" w:hAnsi="Book Antiqua"/>
                <w:color w:val="141314"/>
                <w:sz w:val="24"/>
                <w:szCs w:val="24"/>
              </w:rPr>
              <w:t>(0.9-</w:t>
            </w:r>
            <w:r w:rsidR="0013381E" w:rsidRPr="008E7A2E">
              <w:rPr>
                <w:rFonts w:ascii="Book Antiqua" w:hAnsi="Book Antiqua"/>
                <w:color w:val="141314"/>
                <w:sz w:val="24"/>
                <w:szCs w:val="24"/>
              </w:rPr>
              <w:t>3</w:t>
            </w:r>
            <w:r w:rsidRPr="008E7A2E">
              <w:rPr>
                <w:rFonts w:ascii="Book Antiqua" w:hAnsi="Book Antiqua"/>
                <w:color w:val="141314"/>
                <w:sz w:val="24"/>
                <w:szCs w:val="24"/>
              </w:rPr>
              <w:t>.2)</w:t>
            </w:r>
          </w:p>
        </w:tc>
      </w:tr>
      <w:tr w:rsidR="00671734" w:rsidRPr="00AE4053" w14:paraId="3473B6CB" w14:textId="77777777" w:rsidTr="00D43F42">
        <w:tc>
          <w:tcPr>
            <w:cnfStyle w:val="001000000000" w:firstRow="0" w:lastRow="0" w:firstColumn="1" w:lastColumn="0" w:oddVBand="0" w:evenVBand="0" w:oddHBand="0" w:evenHBand="0" w:firstRowFirstColumn="0" w:firstRowLastColumn="0" w:lastRowFirstColumn="0" w:lastRowLastColumn="0"/>
            <w:tcW w:w="4621" w:type="dxa"/>
          </w:tcPr>
          <w:p w14:paraId="0159D8EE" w14:textId="77777777" w:rsidR="000634EC" w:rsidRPr="008E7A2E" w:rsidRDefault="00671734" w:rsidP="00B429FF">
            <w:pPr>
              <w:snapToGrid w:val="0"/>
              <w:spacing w:line="360" w:lineRule="auto"/>
              <w:rPr>
                <w:rFonts w:ascii="Book Antiqua" w:hAnsi="Book Antiqua"/>
                <w:b w:val="0"/>
                <w:color w:val="141314"/>
                <w:sz w:val="24"/>
                <w:szCs w:val="24"/>
              </w:rPr>
            </w:pPr>
            <w:r w:rsidRPr="008E7A2E">
              <w:rPr>
                <w:rFonts w:ascii="Book Antiqua" w:hAnsi="Book Antiqua"/>
                <w:b w:val="0"/>
                <w:color w:val="141314"/>
                <w:sz w:val="24"/>
                <w:szCs w:val="24"/>
              </w:rPr>
              <w:t>Serum albumin, g/</w:t>
            </w:r>
            <w:proofErr w:type="spellStart"/>
            <w:r w:rsidRPr="008E7A2E">
              <w:rPr>
                <w:rFonts w:ascii="Book Antiqua" w:hAnsi="Book Antiqua"/>
                <w:b w:val="0"/>
                <w:color w:val="141314"/>
                <w:sz w:val="24"/>
                <w:szCs w:val="24"/>
              </w:rPr>
              <w:t>dL</w:t>
            </w:r>
            <w:proofErr w:type="spellEnd"/>
          </w:p>
        </w:tc>
        <w:tc>
          <w:tcPr>
            <w:tcW w:w="4621" w:type="dxa"/>
          </w:tcPr>
          <w:p w14:paraId="6EE3CE71" w14:textId="6FE1AE28" w:rsidR="000634EC" w:rsidRPr="008E7A2E" w:rsidRDefault="007135A5" w:rsidP="00B429F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3</w:t>
            </w:r>
            <w:r w:rsidR="00671734" w:rsidRPr="008E7A2E">
              <w:rPr>
                <w:rFonts w:ascii="Book Antiqua" w:hAnsi="Book Antiqua"/>
                <w:color w:val="141314"/>
                <w:sz w:val="24"/>
                <w:szCs w:val="24"/>
              </w:rPr>
              <w:t>.</w:t>
            </w:r>
            <w:r w:rsidRPr="008E7A2E">
              <w:rPr>
                <w:rFonts w:ascii="Book Antiqua" w:hAnsi="Book Antiqua"/>
                <w:color w:val="141314"/>
                <w:sz w:val="24"/>
                <w:szCs w:val="24"/>
              </w:rPr>
              <w:t>0</w:t>
            </w:r>
            <w:r w:rsidR="00B429FF">
              <w:rPr>
                <w:rFonts w:ascii="Book Antiqua" w:hAnsi="Book Antiqua"/>
                <w:color w:val="141314"/>
                <w:sz w:val="24"/>
                <w:szCs w:val="24"/>
              </w:rPr>
              <w:t xml:space="preserve"> </w:t>
            </w:r>
            <w:r w:rsidR="00671734" w:rsidRPr="008E7A2E">
              <w:rPr>
                <w:rFonts w:ascii="Book Antiqua" w:hAnsi="Book Antiqua"/>
                <w:color w:val="141314"/>
                <w:sz w:val="24"/>
                <w:szCs w:val="24"/>
              </w:rPr>
              <w:t>(1.2-4.</w:t>
            </w:r>
            <w:r w:rsidRPr="008E7A2E">
              <w:rPr>
                <w:rFonts w:ascii="Book Antiqua" w:hAnsi="Book Antiqua"/>
                <w:color w:val="141314"/>
                <w:sz w:val="24"/>
                <w:szCs w:val="24"/>
              </w:rPr>
              <w:t>6</w:t>
            </w:r>
            <w:r w:rsidR="00671734" w:rsidRPr="008E7A2E">
              <w:rPr>
                <w:rFonts w:ascii="Book Antiqua" w:hAnsi="Book Antiqua"/>
                <w:color w:val="141314"/>
                <w:sz w:val="24"/>
                <w:szCs w:val="24"/>
              </w:rPr>
              <w:t>)</w:t>
            </w:r>
          </w:p>
        </w:tc>
      </w:tr>
      <w:tr w:rsidR="00B37AFA" w:rsidRPr="00AE4053" w14:paraId="48F119E6" w14:textId="77777777" w:rsidTr="00D4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63864C8" w14:textId="77777777" w:rsidR="000634EC" w:rsidRPr="008E7A2E" w:rsidRDefault="00B37AFA" w:rsidP="00B429FF">
            <w:pPr>
              <w:snapToGrid w:val="0"/>
              <w:spacing w:line="360" w:lineRule="auto"/>
              <w:rPr>
                <w:rFonts w:ascii="Book Antiqua" w:hAnsi="Book Antiqua"/>
                <w:b w:val="0"/>
                <w:color w:val="141314"/>
                <w:sz w:val="24"/>
                <w:szCs w:val="24"/>
              </w:rPr>
            </w:pPr>
            <w:r w:rsidRPr="008E7A2E">
              <w:rPr>
                <w:rFonts w:ascii="Book Antiqua" w:hAnsi="Book Antiqua"/>
                <w:b w:val="0"/>
                <w:color w:val="141314"/>
                <w:sz w:val="24"/>
                <w:szCs w:val="24"/>
              </w:rPr>
              <w:t xml:space="preserve">CTP score </w:t>
            </w:r>
          </w:p>
        </w:tc>
        <w:tc>
          <w:tcPr>
            <w:tcW w:w="4621" w:type="dxa"/>
          </w:tcPr>
          <w:p w14:paraId="4C7F4118" w14:textId="0A2E84D7" w:rsidR="000634EC" w:rsidRPr="008E7A2E" w:rsidRDefault="009C4F65" w:rsidP="00B429F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7</w:t>
            </w:r>
            <w:r w:rsidR="00B429FF">
              <w:rPr>
                <w:rFonts w:ascii="Book Antiqua" w:hAnsi="Book Antiqua"/>
                <w:color w:val="141314"/>
                <w:sz w:val="24"/>
                <w:szCs w:val="24"/>
              </w:rPr>
              <w:t xml:space="preserve"> </w:t>
            </w:r>
            <w:r w:rsidR="00671734" w:rsidRPr="008E7A2E">
              <w:rPr>
                <w:rFonts w:ascii="Book Antiqua" w:hAnsi="Book Antiqua"/>
                <w:color w:val="141314"/>
                <w:sz w:val="24"/>
                <w:szCs w:val="24"/>
              </w:rPr>
              <w:t>(</w:t>
            </w:r>
            <w:r w:rsidR="00B37AFA" w:rsidRPr="008E7A2E">
              <w:rPr>
                <w:rFonts w:ascii="Book Antiqua" w:hAnsi="Book Antiqua"/>
                <w:color w:val="141314"/>
                <w:sz w:val="24"/>
                <w:szCs w:val="24"/>
              </w:rPr>
              <w:t>5-1</w:t>
            </w:r>
            <w:r w:rsidRPr="008E7A2E">
              <w:rPr>
                <w:rFonts w:ascii="Book Antiqua" w:hAnsi="Book Antiqua"/>
                <w:color w:val="141314"/>
                <w:sz w:val="24"/>
                <w:szCs w:val="24"/>
              </w:rPr>
              <w:t>2</w:t>
            </w:r>
            <w:r w:rsidR="00B37AFA" w:rsidRPr="008E7A2E">
              <w:rPr>
                <w:rFonts w:ascii="Book Antiqua" w:hAnsi="Book Antiqua"/>
                <w:color w:val="141314"/>
                <w:sz w:val="24"/>
                <w:szCs w:val="24"/>
              </w:rPr>
              <w:t>)</w:t>
            </w:r>
          </w:p>
        </w:tc>
      </w:tr>
      <w:tr w:rsidR="00B37AFA" w:rsidRPr="00AE4053" w14:paraId="650A7D5F" w14:textId="77777777" w:rsidTr="00D43F42">
        <w:tc>
          <w:tcPr>
            <w:cnfStyle w:val="001000000000" w:firstRow="0" w:lastRow="0" w:firstColumn="1" w:lastColumn="0" w:oddVBand="0" w:evenVBand="0" w:oddHBand="0" w:evenHBand="0" w:firstRowFirstColumn="0" w:firstRowLastColumn="0" w:lastRowFirstColumn="0" w:lastRowLastColumn="0"/>
            <w:tcW w:w="4621" w:type="dxa"/>
          </w:tcPr>
          <w:p w14:paraId="647B60C6" w14:textId="77777777" w:rsidR="000634EC" w:rsidRPr="008E7A2E" w:rsidRDefault="00B37AFA" w:rsidP="00B429FF">
            <w:pPr>
              <w:snapToGrid w:val="0"/>
              <w:spacing w:line="360" w:lineRule="auto"/>
              <w:rPr>
                <w:rFonts w:ascii="Book Antiqua" w:hAnsi="Book Antiqua"/>
                <w:b w:val="0"/>
                <w:color w:val="141314"/>
                <w:sz w:val="24"/>
                <w:szCs w:val="24"/>
              </w:rPr>
            </w:pPr>
            <w:r w:rsidRPr="008E7A2E">
              <w:rPr>
                <w:rFonts w:ascii="Book Antiqua" w:hAnsi="Book Antiqua"/>
                <w:b w:val="0"/>
                <w:color w:val="141314"/>
                <w:sz w:val="24"/>
                <w:szCs w:val="24"/>
              </w:rPr>
              <w:t xml:space="preserve">MELD score </w:t>
            </w:r>
          </w:p>
        </w:tc>
        <w:tc>
          <w:tcPr>
            <w:tcW w:w="4621" w:type="dxa"/>
          </w:tcPr>
          <w:p w14:paraId="6C3C6C0F" w14:textId="750E62CB" w:rsidR="000634EC" w:rsidRPr="008E7A2E" w:rsidRDefault="00671734" w:rsidP="00B429F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1</w:t>
            </w:r>
            <w:r w:rsidR="009C4F65" w:rsidRPr="008E7A2E">
              <w:rPr>
                <w:rFonts w:ascii="Book Antiqua" w:hAnsi="Book Antiqua"/>
                <w:color w:val="141314"/>
                <w:sz w:val="24"/>
                <w:szCs w:val="24"/>
              </w:rPr>
              <w:t>2</w:t>
            </w:r>
            <w:r w:rsidR="00B429FF">
              <w:rPr>
                <w:rFonts w:ascii="Book Antiqua" w:hAnsi="Book Antiqua"/>
                <w:color w:val="141314"/>
                <w:sz w:val="24"/>
                <w:szCs w:val="24"/>
              </w:rPr>
              <w:t xml:space="preserve"> </w:t>
            </w:r>
            <w:r w:rsidR="00B37AFA" w:rsidRPr="008E7A2E">
              <w:rPr>
                <w:rFonts w:ascii="Book Antiqua" w:hAnsi="Book Antiqua"/>
                <w:color w:val="141314"/>
                <w:sz w:val="24"/>
                <w:szCs w:val="24"/>
              </w:rPr>
              <w:t>(6</w:t>
            </w:r>
            <w:r w:rsidRPr="008E7A2E">
              <w:rPr>
                <w:rFonts w:ascii="Book Antiqua" w:hAnsi="Book Antiqua"/>
                <w:color w:val="141314"/>
                <w:sz w:val="24"/>
                <w:szCs w:val="24"/>
              </w:rPr>
              <w:t>-</w:t>
            </w:r>
            <w:r w:rsidR="00B37AFA" w:rsidRPr="008E7A2E">
              <w:rPr>
                <w:rFonts w:ascii="Book Antiqua" w:hAnsi="Book Antiqua"/>
                <w:color w:val="141314"/>
                <w:sz w:val="24"/>
                <w:szCs w:val="24"/>
              </w:rPr>
              <w:t>3</w:t>
            </w:r>
            <w:r w:rsidR="009C4F65" w:rsidRPr="008E7A2E">
              <w:rPr>
                <w:rFonts w:ascii="Book Antiqua" w:hAnsi="Book Antiqua"/>
                <w:color w:val="141314"/>
                <w:sz w:val="24"/>
                <w:szCs w:val="24"/>
              </w:rPr>
              <w:t>7</w:t>
            </w:r>
            <w:r w:rsidR="00B37AFA" w:rsidRPr="008E7A2E">
              <w:rPr>
                <w:rFonts w:ascii="Book Antiqua" w:hAnsi="Book Antiqua"/>
                <w:color w:val="141314"/>
                <w:sz w:val="24"/>
                <w:szCs w:val="24"/>
              </w:rPr>
              <w:t>)</w:t>
            </w:r>
          </w:p>
        </w:tc>
      </w:tr>
      <w:tr w:rsidR="00305627" w:rsidRPr="00AE4053" w14:paraId="672AB7FF" w14:textId="77777777" w:rsidTr="00D4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E78A483" w14:textId="4084EFFE" w:rsidR="000634EC" w:rsidRPr="008E7A2E" w:rsidRDefault="002915C1" w:rsidP="00B429FF">
            <w:pPr>
              <w:snapToGrid w:val="0"/>
              <w:spacing w:line="360" w:lineRule="auto"/>
              <w:rPr>
                <w:rFonts w:ascii="Book Antiqua" w:hAnsi="Book Antiqua"/>
                <w:b w:val="0"/>
                <w:color w:val="141314"/>
                <w:sz w:val="24"/>
                <w:szCs w:val="24"/>
              </w:rPr>
            </w:pPr>
            <w:r w:rsidRPr="008E7A2E">
              <w:rPr>
                <w:rFonts w:ascii="Book Antiqua" w:hAnsi="Book Antiqua"/>
                <w:b w:val="0"/>
                <w:color w:val="141314"/>
                <w:sz w:val="24"/>
                <w:szCs w:val="24"/>
              </w:rPr>
              <w:t>V</w:t>
            </w:r>
            <w:r w:rsidR="00305627" w:rsidRPr="008E7A2E">
              <w:rPr>
                <w:rFonts w:ascii="Book Antiqua" w:hAnsi="Book Antiqua"/>
                <w:b w:val="0"/>
                <w:color w:val="141314"/>
                <w:sz w:val="24"/>
                <w:szCs w:val="24"/>
              </w:rPr>
              <w:t>arices</w:t>
            </w:r>
            <w:r w:rsidRPr="008E7A2E">
              <w:rPr>
                <w:rFonts w:ascii="Book Antiqua" w:hAnsi="Book Antiqua"/>
                <w:b w:val="0"/>
                <w:color w:val="141314"/>
                <w:sz w:val="24"/>
                <w:szCs w:val="24"/>
              </w:rPr>
              <w:t xml:space="preserve"> present</w:t>
            </w:r>
          </w:p>
          <w:p w14:paraId="6709264E" w14:textId="004A0EC1" w:rsidR="000634EC" w:rsidRPr="008E7A2E" w:rsidRDefault="002915C1" w:rsidP="00B429FF">
            <w:pPr>
              <w:snapToGrid w:val="0"/>
              <w:spacing w:line="360" w:lineRule="auto"/>
              <w:ind w:firstLineChars="100" w:firstLine="240"/>
              <w:rPr>
                <w:rFonts w:ascii="Book Antiqua" w:hAnsi="Book Antiqua"/>
                <w:b w:val="0"/>
                <w:color w:val="141314"/>
                <w:sz w:val="24"/>
                <w:szCs w:val="24"/>
              </w:rPr>
            </w:pPr>
            <w:r w:rsidRPr="008E7A2E">
              <w:rPr>
                <w:rFonts w:ascii="Book Antiqua" w:hAnsi="Book Antiqua"/>
                <w:b w:val="0"/>
                <w:color w:val="141314"/>
                <w:sz w:val="24"/>
                <w:szCs w:val="24"/>
              </w:rPr>
              <w:t>Esophageal varices</w:t>
            </w:r>
          </w:p>
          <w:p w14:paraId="650F6CEE" w14:textId="3424BA16" w:rsidR="000634EC" w:rsidRPr="008E7A2E" w:rsidRDefault="00305627" w:rsidP="00B429FF">
            <w:pPr>
              <w:snapToGrid w:val="0"/>
              <w:spacing w:line="360" w:lineRule="auto"/>
              <w:ind w:firstLineChars="200" w:firstLine="480"/>
              <w:rPr>
                <w:rFonts w:ascii="Book Antiqua" w:hAnsi="Book Antiqua"/>
                <w:b w:val="0"/>
                <w:color w:val="141314"/>
                <w:sz w:val="24"/>
                <w:szCs w:val="24"/>
              </w:rPr>
            </w:pPr>
            <w:r w:rsidRPr="008E7A2E">
              <w:rPr>
                <w:rFonts w:ascii="Book Antiqua" w:hAnsi="Book Antiqua"/>
                <w:b w:val="0"/>
                <w:color w:val="141314"/>
                <w:sz w:val="24"/>
                <w:szCs w:val="24"/>
              </w:rPr>
              <w:t>Small</w:t>
            </w:r>
            <w:r w:rsidR="008B2660" w:rsidRPr="008E7A2E">
              <w:rPr>
                <w:rFonts w:ascii="Book Antiqua" w:hAnsi="Book Antiqua"/>
                <w:b w:val="0"/>
                <w:color w:val="141314"/>
                <w:sz w:val="24"/>
                <w:szCs w:val="24"/>
              </w:rPr>
              <w:t xml:space="preserve"> varices</w:t>
            </w:r>
          </w:p>
          <w:p w14:paraId="77E7B582" w14:textId="0003ABC6" w:rsidR="000634EC" w:rsidRPr="008E7A2E" w:rsidRDefault="00305627" w:rsidP="00B429FF">
            <w:pPr>
              <w:snapToGrid w:val="0"/>
              <w:spacing w:line="360" w:lineRule="auto"/>
              <w:ind w:firstLineChars="200" w:firstLine="480"/>
              <w:rPr>
                <w:rFonts w:ascii="Book Antiqua" w:hAnsi="Book Antiqua"/>
                <w:b w:val="0"/>
                <w:color w:val="141314"/>
                <w:sz w:val="24"/>
                <w:szCs w:val="24"/>
              </w:rPr>
            </w:pPr>
            <w:r w:rsidRPr="008E7A2E">
              <w:rPr>
                <w:rFonts w:ascii="Book Antiqua" w:hAnsi="Book Antiqua"/>
                <w:b w:val="0"/>
                <w:color w:val="141314"/>
                <w:sz w:val="24"/>
                <w:szCs w:val="24"/>
              </w:rPr>
              <w:t>Large</w:t>
            </w:r>
            <w:r w:rsidR="008B2660" w:rsidRPr="008E7A2E">
              <w:rPr>
                <w:rFonts w:ascii="Book Antiqua" w:hAnsi="Book Antiqua"/>
                <w:b w:val="0"/>
                <w:color w:val="141314"/>
                <w:sz w:val="24"/>
                <w:szCs w:val="24"/>
              </w:rPr>
              <w:t xml:space="preserve"> varices</w:t>
            </w:r>
          </w:p>
          <w:p w14:paraId="1248FA13" w14:textId="27E17B43" w:rsidR="00F8441E" w:rsidRPr="008E7A2E" w:rsidRDefault="00F8441E" w:rsidP="00B429FF">
            <w:pPr>
              <w:snapToGrid w:val="0"/>
              <w:spacing w:line="360" w:lineRule="auto"/>
              <w:ind w:firstLineChars="100" w:firstLine="240"/>
              <w:rPr>
                <w:rFonts w:ascii="Book Antiqua" w:hAnsi="Book Antiqua"/>
                <w:b w:val="0"/>
                <w:color w:val="141314"/>
                <w:sz w:val="24"/>
                <w:szCs w:val="24"/>
              </w:rPr>
            </w:pPr>
            <w:r w:rsidRPr="008E7A2E">
              <w:rPr>
                <w:rFonts w:ascii="Book Antiqua" w:hAnsi="Book Antiqua"/>
                <w:b w:val="0"/>
                <w:color w:val="141314"/>
                <w:sz w:val="24"/>
                <w:szCs w:val="24"/>
              </w:rPr>
              <w:lastRenderedPageBreak/>
              <w:t>Gastric varices</w:t>
            </w:r>
          </w:p>
          <w:p w14:paraId="14AE6E91" w14:textId="104272E4" w:rsidR="00D419FF" w:rsidRPr="008E7A2E" w:rsidRDefault="00D419FF" w:rsidP="00B429FF">
            <w:pPr>
              <w:snapToGrid w:val="0"/>
              <w:spacing w:line="360" w:lineRule="auto"/>
              <w:ind w:firstLineChars="200" w:firstLine="480"/>
              <w:rPr>
                <w:rFonts w:ascii="Book Antiqua" w:hAnsi="Book Antiqua"/>
                <w:b w:val="0"/>
                <w:color w:val="141314"/>
                <w:sz w:val="24"/>
                <w:szCs w:val="24"/>
              </w:rPr>
            </w:pPr>
            <w:r w:rsidRPr="008E7A2E">
              <w:rPr>
                <w:rFonts w:ascii="Book Antiqua" w:hAnsi="Book Antiqua"/>
                <w:b w:val="0"/>
                <w:color w:val="141314"/>
                <w:sz w:val="24"/>
                <w:szCs w:val="24"/>
              </w:rPr>
              <w:t>Small varices</w:t>
            </w:r>
          </w:p>
          <w:p w14:paraId="1BD2C433" w14:textId="603E42F2" w:rsidR="00D419FF" w:rsidRPr="008E7A2E" w:rsidRDefault="00D419FF" w:rsidP="00B429FF">
            <w:pPr>
              <w:snapToGrid w:val="0"/>
              <w:spacing w:line="360" w:lineRule="auto"/>
              <w:ind w:firstLineChars="200" w:firstLine="480"/>
              <w:rPr>
                <w:rFonts w:ascii="Book Antiqua" w:hAnsi="Book Antiqua"/>
                <w:b w:val="0"/>
                <w:color w:val="141314"/>
                <w:sz w:val="24"/>
                <w:szCs w:val="24"/>
              </w:rPr>
            </w:pPr>
            <w:r w:rsidRPr="008E7A2E">
              <w:rPr>
                <w:rFonts w:ascii="Book Antiqua" w:hAnsi="Book Antiqua"/>
                <w:b w:val="0"/>
                <w:color w:val="141314"/>
                <w:sz w:val="24"/>
                <w:szCs w:val="24"/>
              </w:rPr>
              <w:t>Large varices</w:t>
            </w:r>
          </w:p>
        </w:tc>
        <w:tc>
          <w:tcPr>
            <w:tcW w:w="4621" w:type="dxa"/>
          </w:tcPr>
          <w:p w14:paraId="7FBD94EA" w14:textId="1D611192" w:rsidR="000634EC" w:rsidRPr="008E7A2E" w:rsidRDefault="002915C1" w:rsidP="008E7A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lastRenderedPageBreak/>
              <w:t>293</w:t>
            </w:r>
            <w:r w:rsidR="00B429FF">
              <w:rPr>
                <w:rFonts w:ascii="Book Antiqua" w:hAnsi="Book Antiqua"/>
                <w:color w:val="141314"/>
                <w:sz w:val="24"/>
                <w:szCs w:val="24"/>
              </w:rPr>
              <w:t xml:space="preserve"> </w:t>
            </w:r>
            <w:r w:rsidR="00047FE1">
              <w:rPr>
                <w:rFonts w:ascii="Book Antiqua" w:hAnsi="Book Antiqua"/>
                <w:color w:val="141314"/>
                <w:sz w:val="24"/>
                <w:szCs w:val="24"/>
              </w:rPr>
              <w:t>(90</w:t>
            </w:r>
            <w:r w:rsidRPr="008E7A2E">
              <w:rPr>
                <w:rFonts w:ascii="Book Antiqua" w:hAnsi="Book Antiqua"/>
                <w:color w:val="141314"/>
                <w:sz w:val="24"/>
                <w:szCs w:val="24"/>
              </w:rPr>
              <w:t>)</w:t>
            </w:r>
          </w:p>
          <w:p w14:paraId="2706E4A6" w14:textId="2FEBDCB7" w:rsidR="000634EC" w:rsidRPr="008E7A2E" w:rsidRDefault="00305627" w:rsidP="008E7A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2</w:t>
            </w:r>
            <w:r w:rsidR="00F8441E" w:rsidRPr="008E7A2E">
              <w:rPr>
                <w:rFonts w:ascii="Book Antiqua" w:hAnsi="Book Antiqua"/>
                <w:color w:val="141314"/>
                <w:sz w:val="24"/>
                <w:szCs w:val="24"/>
              </w:rPr>
              <w:t>80</w:t>
            </w:r>
            <w:r w:rsidR="00B429FF">
              <w:rPr>
                <w:rFonts w:ascii="Book Antiqua" w:hAnsi="Book Antiqua"/>
                <w:color w:val="141314"/>
                <w:sz w:val="24"/>
                <w:szCs w:val="24"/>
              </w:rPr>
              <w:t xml:space="preserve"> </w:t>
            </w:r>
            <w:r w:rsidRPr="008E7A2E">
              <w:rPr>
                <w:rFonts w:ascii="Book Antiqua" w:hAnsi="Book Antiqua"/>
                <w:color w:val="141314"/>
                <w:sz w:val="24"/>
                <w:szCs w:val="24"/>
              </w:rPr>
              <w:t>(</w:t>
            </w:r>
            <w:r w:rsidR="00F8441E" w:rsidRPr="008E7A2E">
              <w:rPr>
                <w:rFonts w:ascii="Book Antiqua" w:hAnsi="Book Antiqua"/>
                <w:color w:val="141314"/>
                <w:sz w:val="24"/>
                <w:szCs w:val="24"/>
              </w:rPr>
              <w:t>8</w:t>
            </w:r>
            <w:r w:rsidR="00B75C3D" w:rsidRPr="008E7A2E">
              <w:rPr>
                <w:rFonts w:ascii="Book Antiqua" w:hAnsi="Book Antiqua"/>
                <w:color w:val="141314"/>
                <w:sz w:val="24"/>
                <w:szCs w:val="24"/>
              </w:rPr>
              <w:t>6</w:t>
            </w:r>
            <w:r w:rsidRPr="008E7A2E">
              <w:rPr>
                <w:rFonts w:ascii="Book Antiqua" w:hAnsi="Book Antiqua"/>
                <w:color w:val="141314"/>
                <w:sz w:val="24"/>
                <w:szCs w:val="24"/>
              </w:rPr>
              <w:t>)</w:t>
            </w:r>
          </w:p>
          <w:p w14:paraId="6390E79E" w14:textId="067F27AF" w:rsidR="000634EC" w:rsidRPr="008E7A2E" w:rsidRDefault="00F8441E" w:rsidP="008E7A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170/280</w:t>
            </w:r>
            <w:r w:rsidR="00305627" w:rsidRPr="008E7A2E">
              <w:rPr>
                <w:rFonts w:ascii="Book Antiqua" w:hAnsi="Book Antiqua"/>
                <w:color w:val="141314"/>
                <w:sz w:val="24"/>
                <w:szCs w:val="24"/>
              </w:rPr>
              <w:tab/>
              <w:t>(6</w:t>
            </w:r>
            <w:r w:rsidRPr="008E7A2E">
              <w:rPr>
                <w:rFonts w:ascii="Book Antiqua" w:hAnsi="Book Antiqua"/>
                <w:color w:val="141314"/>
                <w:sz w:val="24"/>
                <w:szCs w:val="24"/>
              </w:rPr>
              <w:t>1</w:t>
            </w:r>
            <w:r w:rsidR="00305627" w:rsidRPr="008E7A2E">
              <w:rPr>
                <w:rFonts w:ascii="Book Antiqua" w:hAnsi="Book Antiqua"/>
                <w:color w:val="141314"/>
                <w:sz w:val="24"/>
                <w:szCs w:val="24"/>
              </w:rPr>
              <w:t>)</w:t>
            </w:r>
          </w:p>
          <w:p w14:paraId="656F3F99" w14:textId="572217D3" w:rsidR="000634EC" w:rsidRPr="008E7A2E" w:rsidRDefault="00F8441E" w:rsidP="008E7A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110/280</w:t>
            </w:r>
            <w:r w:rsidR="00305627" w:rsidRPr="008E7A2E">
              <w:rPr>
                <w:rFonts w:ascii="Book Antiqua" w:hAnsi="Book Antiqua"/>
                <w:color w:val="141314"/>
                <w:sz w:val="24"/>
                <w:szCs w:val="24"/>
              </w:rPr>
              <w:tab/>
              <w:t>(</w:t>
            </w:r>
            <w:r w:rsidRPr="008E7A2E">
              <w:rPr>
                <w:rFonts w:ascii="Book Antiqua" w:hAnsi="Book Antiqua"/>
                <w:color w:val="141314"/>
                <w:sz w:val="24"/>
                <w:szCs w:val="24"/>
              </w:rPr>
              <w:t>3</w:t>
            </w:r>
            <w:r w:rsidR="00B75C3D" w:rsidRPr="008E7A2E">
              <w:rPr>
                <w:rFonts w:ascii="Book Antiqua" w:hAnsi="Book Antiqua"/>
                <w:color w:val="141314"/>
                <w:sz w:val="24"/>
                <w:szCs w:val="24"/>
              </w:rPr>
              <w:t>9</w:t>
            </w:r>
            <w:r w:rsidR="00305627" w:rsidRPr="008E7A2E">
              <w:rPr>
                <w:rFonts w:ascii="Book Antiqua" w:hAnsi="Book Antiqua"/>
                <w:color w:val="141314"/>
                <w:sz w:val="24"/>
                <w:szCs w:val="24"/>
              </w:rPr>
              <w:t>)</w:t>
            </w:r>
          </w:p>
          <w:p w14:paraId="6B473263" w14:textId="533ACA68" w:rsidR="00F8441E" w:rsidRPr="008E7A2E" w:rsidRDefault="00D419FF" w:rsidP="008E7A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lastRenderedPageBreak/>
              <w:t>79</w:t>
            </w:r>
            <w:r w:rsidR="00B429FF">
              <w:rPr>
                <w:rFonts w:ascii="Book Antiqua" w:hAnsi="Book Antiqua"/>
                <w:color w:val="141314"/>
                <w:sz w:val="24"/>
                <w:szCs w:val="24"/>
              </w:rPr>
              <w:t xml:space="preserve"> </w:t>
            </w:r>
            <w:r w:rsidR="00047FE1">
              <w:rPr>
                <w:rFonts w:ascii="Book Antiqua" w:hAnsi="Book Antiqua"/>
                <w:color w:val="141314"/>
                <w:sz w:val="24"/>
                <w:szCs w:val="24"/>
              </w:rPr>
              <w:t>(24</w:t>
            </w:r>
            <w:r w:rsidRPr="008E7A2E">
              <w:rPr>
                <w:rFonts w:ascii="Book Antiqua" w:hAnsi="Book Antiqua"/>
                <w:color w:val="141314"/>
                <w:sz w:val="24"/>
                <w:szCs w:val="24"/>
              </w:rPr>
              <w:t>)</w:t>
            </w:r>
          </w:p>
          <w:p w14:paraId="49E12D84" w14:textId="2714A635" w:rsidR="00D419FF" w:rsidRPr="008E7A2E" w:rsidRDefault="00D419FF" w:rsidP="008E7A2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52/79</w:t>
            </w:r>
            <w:r w:rsidR="00B429FF">
              <w:rPr>
                <w:rFonts w:ascii="Book Antiqua" w:hAnsi="Book Antiqua"/>
                <w:color w:val="141314"/>
                <w:sz w:val="24"/>
                <w:szCs w:val="24"/>
              </w:rPr>
              <w:t xml:space="preserve"> </w:t>
            </w:r>
            <w:r w:rsidR="00047FE1">
              <w:rPr>
                <w:rFonts w:ascii="Book Antiqua" w:hAnsi="Book Antiqua"/>
                <w:color w:val="141314"/>
                <w:sz w:val="24"/>
                <w:szCs w:val="24"/>
              </w:rPr>
              <w:t>(66</w:t>
            </w:r>
            <w:r w:rsidRPr="008E7A2E">
              <w:rPr>
                <w:rFonts w:ascii="Book Antiqua" w:hAnsi="Book Antiqua"/>
                <w:color w:val="141314"/>
                <w:sz w:val="24"/>
                <w:szCs w:val="24"/>
              </w:rPr>
              <w:t>)</w:t>
            </w:r>
          </w:p>
          <w:p w14:paraId="49128951" w14:textId="4B34B10D" w:rsidR="00D419FF" w:rsidRPr="008E7A2E" w:rsidRDefault="00D419FF" w:rsidP="00B429F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27/79</w:t>
            </w:r>
            <w:r w:rsidR="00B429FF">
              <w:rPr>
                <w:rFonts w:ascii="Book Antiqua" w:hAnsi="Book Antiqua"/>
                <w:color w:val="141314"/>
                <w:sz w:val="24"/>
                <w:szCs w:val="24"/>
              </w:rPr>
              <w:t xml:space="preserve"> </w:t>
            </w:r>
            <w:r w:rsidR="00047FE1">
              <w:rPr>
                <w:rFonts w:ascii="Book Antiqua" w:hAnsi="Book Antiqua"/>
                <w:color w:val="141314"/>
                <w:sz w:val="24"/>
                <w:szCs w:val="24"/>
              </w:rPr>
              <w:t>(34</w:t>
            </w:r>
            <w:r w:rsidRPr="008E7A2E">
              <w:rPr>
                <w:rFonts w:ascii="Book Antiqua" w:hAnsi="Book Antiqua"/>
                <w:color w:val="141314"/>
                <w:sz w:val="24"/>
                <w:szCs w:val="24"/>
              </w:rPr>
              <w:t>)</w:t>
            </w:r>
          </w:p>
        </w:tc>
      </w:tr>
      <w:tr w:rsidR="004245AE" w:rsidRPr="00AE4053" w14:paraId="4A84EB2B" w14:textId="77777777" w:rsidTr="00D43F42">
        <w:tc>
          <w:tcPr>
            <w:cnfStyle w:val="001000000000" w:firstRow="0" w:lastRow="0" w:firstColumn="1" w:lastColumn="0" w:oddVBand="0" w:evenVBand="0" w:oddHBand="0" w:evenHBand="0" w:firstRowFirstColumn="0" w:firstRowLastColumn="0" w:lastRowFirstColumn="0" w:lastRowLastColumn="0"/>
            <w:tcW w:w="4621" w:type="dxa"/>
          </w:tcPr>
          <w:p w14:paraId="0F66AA91" w14:textId="06EE3F04" w:rsidR="000634EC" w:rsidRPr="008E7A2E" w:rsidRDefault="004245AE" w:rsidP="00B429FF">
            <w:pPr>
              <w:snapToGrid w:val="0"/>
              <w:spacing w:line="360" w:lineRule="auto"/>
              <w:rPr>
                <w:rFonts w:ascii="Book Antiqua" w:hAnsi="Book Antiqua"/>
                <w:b w:val="0"/>
                <w:color w:val="141314"/>
                <w:sz w:val="24"/>
                <w:szCs w:val="24"/>
              </w:rPr>
            </w:pPr>
            <w:r w:rsidRPr="008E7A2E">
              <w:rPr>
                <w:rFonts w:ascii="Book Antiqua" w:hAnsi="Book Antiqua"/>
                <w:b w:val="0"/>
                <w:color w:val="141314"/>
                <w:sz w:val="24"/>
                <w:szCs w:val="24"/>
              </w:rPr>
              <w:lastRenderedPageBreak/>
              <w:t>HVPG</w:t>
            </w:r>
            <w:r w:rsidR="00B429FF">
              <w:rPr>
                <w:rFonts w:ascii="Book Antiqua" w:hAnsi="Book Antiqua"/>
                <w:b w:val="0"/>
                <w:color w:val="141314"/>
                <w:sz w:val="24"/>
                <w:szCs w:val="24"/>
              </w:rPr>
              <w:t>, mm</w:t>
            </w:r>
            <w:r w:rsidR="00756EF5" w:rsidRPr="008E7A2E">
              <w:rPr>
                <w:rFonts w:ascii="Book Antiqua" w:hAnsi="Book Antiqua"/>
                <w:b w:val="0"/>
                <w:color w:val="141314"/>
                <w:sz w:val="24"/>
                <w:szCs w:val="24"/>
              </w:rPr>
              <w:t>Hg</w:t>
            </w:r>
          </w:p>
        </w:tc>
        <w:tc>
          <w:tcPr>
            <w:tcW w:w="4621" w:type="dxa"/>
          </w:tcPr>
          <w:p w14:paraId="70AA261C" w14:textId="3ED893B1" w:rsidR="000634EC" w:rsidRPr="008E7A2E" w:rsidRDefault="00756EF5" w:rsidP="00B429FF">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1</w:t>
            </w:r>
            <w:r w:rsidR="00037AA8" w:rsidRPr="008E7A2E">
              <w:rPr>
                <w:rFonts w:ascii="Book Antiqua" w:hAnsi="Book Antiqua"/>
                <w:color w:val="141314"/>
                <w:sz w:val="24"/>
                <w:szCs w:val="24"/>
              </w:rPr>
              <w:t>6.0</w:t>
            </w:r>
            <w:r w:rsidR="00B429FF">
              <w:rPr>
                <w:rFonts w:ascii="Book Antiqua" w:hAnsi="Book Antiqua"/>
                <w:color w:val="141314"/>
                <w:sz w:val="24"/>
                <w:szCs w:val="24"/>
              </w:rPr>
              <w:t xml:space="preserve"> </w:t>
            </w:r>
            <w:r w:rsidRPr="008E7A2E">
              <w:rPr>
                <w:rFonts w:ascii="Book Antiqua" w:hAnsi="Book Antiqua"/>
                <w:color w:val="141314"/>
                <w:sz w:val="24"/>
                <w:szCs w:val="24"/>
              </w:rPr>
              <w:t>(</w:t>
            </w:r>
            <w:r w:rsidR="00037AA8" w:rsidRPr="008E7A2E">
              <w:rPr>
                <w:rFonts w:ascii="Book Antiqua" w:hAnsi="Book Antiqua"/>
                <w:color w:val="141314"/>
                <w:sz w:val="24"/>
                <w:szCs w:val="24"/>
              </w:rPr>
              <w:t>1.5</w:t>
            </w:r>
            <w:r w:rsidRPr="008E7A2E">
              <w:rPr>
                <w:rFonts w:ascii="Book Antiqua" w:hAnsi="Book Antiqua"/>
                <w:color w:val="141314"/>
                <w:sz w:val="24"/>
                <w:szCs w:val="24"/>
              </w:rPr>
              <w:t>-3</w:t>
            </w:r>
            <w:r w:rsidR="00037AA8" w:rsidRPr="008E7A2E">
              <w:rPr>
                <w:rFonts w:ascii="Book Antiqua" w:hAnsi="Book Antiqua"/>
                <w:color w:val="141314"/>
                <w:sz w:val="24"/>
                <w:szCs w:val="24"/>
              </w:rPr>
              <w:t>0.5</w:t>
            </w:r>
            <w:r w:rsidRPr="008E7A2E">
              <w:rPr>
                <w:rFonts w:ascii="Book Antiqua" w:hAnsi="Book Antiqua"/>
                <w:color w:val="141314"/>
                <w:sz w:val="24"/>
                <w:szCs w:val="24"/>
              </w:rPr>
              <w:t>)</w:t>
            </w:r>
          </w:p>
        </w:tc>
      </w:tr>
      <w:tr w:rsidR="00756EF5" w:rsidRPr="00AE4053" w14:paraId="250DA5E9" w14:textId="77777777" w:rsidTr="00D4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24227A5" w14:textId="77777777" w:rsidR="000634EC" w:rsidRPr="008E7A2E" w:rsidRDefault="00756EF5" w:rsidP="00AE4053">
            <w:pPr>
              <w:snapToGrid w:val="0"/>
              <w:spacing w:line="360" w:lineRule="auto"/>
              <w:jc w:val="both"/>
              <w:rPr>
                <w:rFonts w:ascii="Book Antiqua" w:hAnsi="Book Antiqua"/>
                <w:b w:val="0"/>
                <w:color w:val="141314"/>
                <w:sz w:val="24"/>
                <w:szCs w:val="24"/>
              </w:rPr>
            </w:pPr>
            <w:r w:rsidRPr="008E7A2E">
              <w:rPr>
                <w:rFonts w:ascii="Book Antiqua" w:hAnsi="Book Antiqua"/>
                <w:b w:val="0"/>
                <w:color w:val="141314"/>
                <w:sz w:val="24"/>
                <w:szCs w:val="24"/>
              </w:rPr>
              <w:t xml:space="preserve">Transient </w:t>
            </w:r>
            <w:proofErr w:type="spellStart"/>
            <w:r w:rsidRPr="008E7A2E">
              <w:rPr>
                <w:rFonts w:ascii="Book Antiqua" w:hAnsi="Book Antiqua"/>
                <w:b w:val="0"/>
                <w:color w:val="141314"/>
                <w:sz w:val="24"/>
                <w:szCs w:val="24"/>
              </w:rPr>
              <w:t>elastography</w:t>
            </w:r>
            <w:proofErr w:type="spellEnd"/>
            <w:r w:rsidRPr="008E7A2E">
              <w:rPr>
                <w:rFonts w:ascii="Book Antiqua" w:hAnsi="Book Antiqua"/>
                <w:b w:val="0"/>
                <w:color w:val="141314"/>
                <w:sz w:val="24"/>
                <w:szCs w:val="24"/>
              </w:rPr>
              <w:t xml:space="preserve">, </w:t>
            </w:r>
            <w:proofErr w:type="spellStart"/>
            <w:r w:rsidRPr="008E7A2E">
              <w:rPr>
                <w:rFonts w:ascii="Book Antiqua" w:hAnsi="Book Antiqua"/>
                <w:b w:val="0"/>
                <w:color w:val="141314"/>
                <w:sz w:val="24"/>
                <w:szCs w:val="24"/>
              </w:rPr>
              <w:t>kPa</w:t>
            </w:r>
            <w:proofErr w:type="spellEnd"/>
          </w:p>
        </w:tc>
        <w:tc>
          <w:tcPr>
            <w:tcW w:w="4621" w:type="dxa"/>
          </w:tcPr>
          <w:p w14:paraId="1EF7D75C" w14:textId="3E7813CA" w:rsidR="000634EC" w:rsidRPr="008E7A2E" w:rsidRDefault="007D2771" w:rsidP="00B429FF">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8E7A2E">
              <w:rPr>
                <w:rFonts w:ascii="Book Antiqua" w:hAnsi="Book Antiqua"/>
                <w:color w:val="141314"/>
                <w:sz w:val="24"/>
                <w:szCs w:val="24"/>
              </w:rPr>
              <w:t>36</w:t>
            </w:r>
            <w:r w:rsidR="00B429FF">
              <w:rPr>
                <w:rFonts w:ascii="Book Antiqua" w:hAnsi="Book Antiqua"/>
                <w:color w:val="141314"/>
                <w:sz w:val="24"/>
                <w:szCs w:val="24"/>
              </w:rPr>
              <w:t xml:space="preserve"> </w:t>
            </w:r>
            <w:r w:rsidR="00756EF5" w:rsidRPr="008E7A2E">
              <w:rPr>
                <w:rFonts w:ascii="Book Antiqua" w:hAnsi="Book Antiqua"/>
                <w:color w:val="141314"/>
                <w:sz w:val="24"/>
                <w:szCs w:val="24"/>
              </w:rPr>
              <w:t>(</w:t>
            </w:r>
            <w:r w:rsidRPr="008E7A2E">
              <w:rPr>
                <w:rFonts w:ascii="Book Antiqua" w:hAnsi="Book Antiqua"/>
                <w:color w:val="141314"/>
                <w:sz w:val="24"/>
                <w:szCs w:val="24"/>
              </w:rPr>
              <w:t>3</w:t>
            </w:r>
            <w:r w:rsidR="00756EF5" w:rsidRPr="008E7A2E">
              <w:rPr>
                <w:rFonts w:ascii="Book Antiqua" w:hAnsi="Book Antiqua"/>
                <w:color w:val="141314"/>
                <w:sz w:val="24"/>
                <w:szCs w:val="24"/>
              </w:rPr>
              <w:t>-75)</w:t>
            </w:r>
          </w:p>
        </w:tc>
      </w:tr>
    </w:tbl>
    <w:p w14:paraId="6E3FD021" w14:textId="0BC66D34" w:rsidR="004927D9" w:rsidRPr="00B429FF" w:rsidRDefault="00294417" w:rsidP="00AE4053">
      <w:pPr>
        <w:snapToGrid w:val="0"/>
        <w:spacing w:after="0" w:line="360" w:lineRule="auto"/>
        <w:jc w:val="both"/>
        <w:rPr>
          <w:rFonts w:ascii="Book Antiqua" w:hAnsi="Book Antiqua"/>
          <w:color w:val="141314"/>
          <w:sz w:val="24"/>
          <w:szCs w:val="24"/>
        </w:rPr>
      </w:pPr>
      <w:r w:rsidRPr="00B429FF">
        <w:rPr>
          <w:rFonts w:ascii="Book Antiqua" w:hAnsi="Book Antiqua"/>
          <w:color w:val="141314"/>
          <w:sz w:val="24"/>
          <w:szCs w:val="24"/>
        </w:rPr>
        <w:t xml:space="preserve">All values are expressed as </w:t>
      </w:r>
      <w:r w:rsidR="007E6753" w:rsidRPr="00B429FF">
        <w:rPr>
          <w:rFonts w:ascii="Book Antiqua" w:hAnsi="Book Antiqua"/>
          <w:bCs/>
          <w:iCs/>
          <w:color w:val="141314"/>
          <w:sz w:val="24"/>
          <w:szCs w:val="24"/>
        </w:rPr>
        <w:t xml:space="preserve">the </w:t>
      </w:r>
      <w:r w:rsidRPr="00B429FF">
        <w:rPr>
          <w:rFonts w:ascii="Book Antiqua" w:hAnsi="Book Antiqua"/>
          <w:color w:val="141314"/>
          <w:sz w:val="24"/>
          <w:szCs w:val="24"/>
        </w:rPr>
        <w:t xml:space="preserve">median (range) or </w:t>
      </w:r>
      <w:r w:rsidRPr="00B429FF">
        <w:rPr>
          <w:rFonts w:ascii="Book Antiqua" w:hAnsi="Book Antiqua"/>
          <w:i/>
          <w:color w:val="141314"/>
          <w:sz w:val="24"/>
          <w:szCs w:val="24"/>
        </w:rPr>
        <w:t>n</w:t>
      </w:r>
      <w:r w:rsidRPr="00B429FF">
        <w:rPr>
          <w:rFonts w:ascii="Book Antiqua" w:hAnsi="Book Antiqua"/>
          <w:color w:val="141314"/>
          <w:sz w:val="24"/>
          <w:szCs w:val="24"/>
        </w:rPr>
        <w:t xml:space="preserve"> </w:t>
      </w:r>
      <w:r w:rsidRPr="00B429FF">
        <w:rPr>
          <w:rFonts w:ascii="Book Antiqua" w:hAnsi="Book Antiqua"/>
          <w:bCs/>
          <w:iCs/>
          <w:color w:val="141314"/>
          <w:sz w:val="24"/>
          <w:szCs w:val="24"/>
        </w:rPr>
        <w:t>(%)</w:t>
      </w:r>
      <w:r w:rsidR="00E72F9A" w:rsidRPr="00B429FF">
        <w:rPr>
          <w:rFonts w:ascii="Book Antiqua" w:hAnsi="Book Antiqua"/>
          <w:bCs/>
          <w:iCs/>
          <w:color w:val="141314"/>
          <w:sz w:val="24"/>
          <w:szCs w:val="24"/>
        </w:rPr>
        <w:t>.</w:t>
      </w:r>
      <w:r w:rsidR="00B429FF">
        <w:rPr>
          <w:rFonts w:ascii="Book Antiqua" w:hAnsi="Book Antiqua"/>
          <w:color w:val="141314"/>
          <w:sz w:val="24"/>
          <w:szCs w:val="24"/>
        </w:rPr>
        <w:t xml:space="preserve"> </w:t>
      </w:r>
      <w:r w:rsidR="00FC6C98" w:rsidRPr="00B429FF">
        <w:rPr>
          <w:rFonts w:ascii="Book Antiqua" w:hAnsi="Book Antiqua"/>
          <w:color w:val="141314"/>
          <w:sz w:val="24"/>
          <w:szCs w:val="24"/>
        </w:rPr>
        <w:t>NASH</w:t>
      </w:r>
      <w:r w:rsidR="00B429FF">
        <w:rPr>
          <w:rFonts w:ascii="Book Antiqua" w:hAnsi="Book Antiqua"/>
          <w:color w:val="141314"/>
          <w:sz w:val="24"/>
          <w:szCs w:val="24"/>
        </w:rPr>
        <w:t>:</w:t>
      </w:r>
      <w:r w:rsidR="00FC6C98" w:rsidRPr="00B429FF">
        <w:rPr>
          <w:rFonts w:ascii="Book Antiqua" w:hAnsi="Book Antiqua"/>
          <w:color w:val="141314"/>
          <w:sz w:val="24"/>
          <w:szCs w:val="24"/>
        </w:rPr>
        <w:t xml:space="preserve"> </w:t>
      </w:r>
      <w:r w:rsidR="00FC6C98" w:rsidRPr="00B429FF">
        <w:rPr>
          <w:rFonts w:ascii="Book Antiqua" w:hAnsi="Book Antiqua"/>
          <w:caps/>
          <w:color w:val="141314"/>
          <w:sz w:val="24"/>
          <w:szCs w:val="24"/>
        </w:rPr>
        <w:t>n</w:t>
      </w:r>
      <w:r w:rsidR="00FC6C98" w:rsidRPr="00B429FF">
        <w:rPr>
          <w:rFonts w:ascii="Book Antiqua" w:hAnsi="Book Antiqua"/>
          <w:color w:val="141314"/>
          <w:sz w:val="24"/>
          <w:szCs w:val="24"/>
        </w:rPr>
        <w:t xml:space="preserve">on-alcoholic </w:t>
      </w:r>
      <w:proofErr w:type="spellStart"/>
      <w:r w:rsidR="00FC6C98" w:rsidRPr="00B429FF">
        <w:rPr>
          <w:rFonts w:ascii="Book Antiqua" w:hAnsi="Book Antiqua"/>
          <w:color w:val="141314"/>
          <w:sz w:val="24"/>
          <w:szCs w:val="24"/>
        </w:rPr>
        <w:t>steatohepatitis</w:t>
      </w:r>
      <w:proofErr w:type="spellEnd"/>
      <w:r w:rsidR="00FC6C98" w:rsidRPr="00B429FF">
        <w:rPr>
          <w:rFonts w:ascii="Book Antiqua" w:hAnsi="Book Antiqua"/>
          <w:color w:val="141314"/>
          <w:sz w:val="24"/>
          <w:szCs w:val="24"/>
        </w:rPr>
        <w:t>; HBV</w:t>
      </w:r>
      <w:r w:rsidR="00B429FF">
        <w:rPr>
          <w:rFonts w:ascii="Book Antiqua" w:hAnsi="Book Antiqua"/>
          <w:color w:val="141314"/>
          <w:sz w:val="24"/>
          <w:szCs w:val="24"/>
        </w:rPr>
        <w:t>:</w:t>
      </w:r>
      <w:r w:rsidR="00FC6C98" w:rsidRPr="00B429FF">
        <w:rPr>
          <w:rFonts w:ascii="Book Antiqua" w:hAnsi="Book Antiqua"/>
          <w:color w:val="141314"/>
          <w:sz w:val="24"/>
          <w:szCs w:val="24"/>
        </w:rPr>
        <w:t xml:space="preserve"> </w:t>
      </w:r>
      <w:r w:rsidR="00FC6C98" w:rsidRPr="00B429FF">
        <w:rPr>
          <w:rFonts w:ascii="Book Antiqua" w:hAnsi="Book Antiqua"/>
          <w:caps/>
          <w:color w:val="141314"/>
          <w:sz w:val="24"/>
          <w:szCs w:val="24"/>
        </w:rPr>
        <w:t>h</w:t>
      </w:r>
      <w:r w:rsidR="00FC6C98" w:rsidRPr="00B429FF">
        <w:rPr>
          <w:rFonts w:ascii="Book Antiqua" w:hAnsi="Book Antiqua"/>
          <w:color w:val="141314"/>
          <w:sz w:val="24"/>
          <w:szCs w:val="24"/>
        </w:rPr>
        <w:t>epatitis B virus; HCV</w:t>
      </w:r>
      <w:r w:rsidR="00B429FF">
        <w:rPr>
          <w:rFonts w:ascii="Book Antiqua" w:hAnsi="Book Antiqua"/>
          <w:color w:val="141314"/>
          <w:sz w:val="24"/>
          <w:szCs w:val="24"/>
        </w:rPr>
        <w:t xml:space="preserve">: </w:t>
      </w:r>
      <w:r w:rsidR="00FC6C98" w:rsidRPr="00B429FF">
        <w:rPr>
          <w:rFonts w:ascii="Book Antiqua" w:hAnsi="Book Antiqua"/>
          <w:caps/>
          <w:color w:val="141314"/>
          <w:sz w:val="24"/>
          <w:szCs w:val="24"/>
        </w:rPr>
        <w:t>h</w:t>
      </w:r>
      <w:r w:rsidR="00FC6C98" w:rsidRPr="00B429FF">
        <w:rPr>
          <w:rFonts w:ascii="Book Antiqua" w:hAnsi="Book Antiqua"/>
          <w:color w:val="141314"/>
          <w:sz w:val="24"/>
          <w:szCs w:val="24"/>
        </w:rPr>
        <w:t>epatitis C virus; AST</w:t>
      </w:r>
      <w:r w:rsidR="00B429FF">
        <w:rPr>
          <w:rFonts w:ascii="Book Antiqua" w:hAnsi="Book Antiqua"/>
          <w:color w:val="141314"/>
          <w:sz w:val="24"/>
          <w:szCs w:val="24"/>
        </w:rPr>
        <w:t xml:space="preserve">: </w:t>
      </w:r>
      <w:r w:rsidR="00FC6C98" w:rsidRPr="00B429FF">
        <w:rPr>
          <w:rFonts w:ascii="Book Antiqua" w:hAnsi="Book Antiqua"/>
          <w:caps/>
          <w:color w:val="141314"/>
          <w:sz w:val="24"/>
          <w:szCs w:val="24"/>
        </w:rPr>
        <w:t>a</w:t>
      </w:r>
      <w:r w:rsidR="00FC6C98" w:rsidRPr="00B429FF">
        <w:rPr>
          <w:rFonts w:ascii="Book Antiqua" w:hAnsi="Book Antiqua"/>
          <w:color w:val="141314"/>
          <w:sz w:val="24"/>
          <w:szCs w:val="24"/>
        </w:rPr>
        <w:t>spartate aminotransferase; INR</w:t>
      </w:r>
      <w:r w:rsidR="00B429FF">
        <w:rPr>
          <w:rFonts w:ascii="Book Antiqua" w:hAnsi="Book Antiqua"/>
          <w:color w:val="141314"/>
          <w:sz w:val="24"/>
          <w:szCs w:val="24"/>
        </w:rPr>
        <w:t>:</w:t>
      </w:r>
      <w:r w:rsidR="00FC6C98" w:rsidRPr="00B429FF">
        <w:rPr>
          <w:rFonts w:ascii="Book Antiqua" w:hAnsi="Book Antiqua"/>
          <w:color w:val="141314"/>
          <w:sz w:val="24"/>
          <w:szCs w:val="24"/>
        </w:rPr>
        <w:t xml:space="preserve"> </w:t>
      </w:r>
      <w:r w:rsidR="00FC6C98" w:rsidRPr="00B429FF">
        <w:rPr>
          <w:rFonts w:ascii="Book Antiqua" w:hAnsi="Book Antiqua"/>
          <w:caps/>
          <w:color w:val="141314"/>
          <w:sz w:val="24"/>
          <w:szCs w:val="24"/>
        </w:rPr>
        <w:t>i</w:t>
      </w:r>
      <w:r w:rsidR="00FC6C98" w:rsidRPr="00B429FF">
        <w:rPr>
          <w:rFonts w:ascii="Book Antiqua" w:hAnsi="Book Antiqua"/>
          <w:color w:val="141314"/>
          <w:sz w:val="24"/>
          <w:szCs w:val="24"/>
        </w:rPr>
        <w:t>nternational normalized ratio; CTP</w:t>
      </w:r>
      <w:r w:rsidR="00B429FF">
        <w:rPr>
          <w:rFonts w:ascii="Book Antiqua" w:hAnsi="Book Antiqua"/>
          <w:color w:val="141314"/>
          <w:sz w:val="24"/>
          <w:szCs w:val="24"/>
        </w:rPr>
        <w:t>:</w:t>
      </w:r>
      <w:r w:rsidR="00FC6C98" w:rsidRPr="00B429FF">
        <w:rPr>
          <w:rFonts w:ascii="Book Antiqua" w:hAnsi="Book Antiqua"/>
          <w:color w:val="141314"/>
          <w:sz w:val="24"/>
          <w:szCs w:val="24"/>
        </w:rPr>
        <w:t xml:space="preserve"> Child-</w:t>
      </w:r>
      <w:proofErr w:type="spellStart"/>
      <w:r w:rsidR="00FC6C98" w:rsidRPr="00B429FF">
        <w:rPr>
          <w:rFonts w:ascii="Book Antiqua" w:hAnsi="Book Antiqua"/>
          <w:color w:val="141314"/>
          <w:sz w:val="24"/>
          <w:szCs w:val="24"/>
        </w:rPr>
        <w:t>Turcotte</w:t>
      </w:r>
      <w:proofErr w:type="spellEnd"/>
      <w:r w:rsidR="00FC6C98" w:rsidRPr="00B429FF">
        <w:rPr>
          <w:rFonts w:ascii="Book Antiqua" w:hAnsi="Book Antiqua"/>
          <w:color w:val="141314"/>
          <w:sz w:val="24"/>
          <w:szCs w:val="24"/>
        </w:rPr>
        <w:t>-Pugh; MELD</w:t>
      </w:r>
      <w:r w:rsidR="00B429FF">
        <w:rPr>
          <w:rFonts w:ascii="Book Antiqua" w:hAnsi="Book Antiqua"/>
          <w:color w:val="141314"/>
          <w:sz w:val="24"/>
          <w:szCs w:val="24"/>
        </w:rPr>
        <w:t>:</w:t>
      </w:r>
      <w:r w:rsidR="00FC6C98" w:rsidRPr="00B429FF">
        <w:rPr>
          <w:rFonts w:ascii="Book Antiqua" w:hAnsi="Book Antiqua"/>
          <w:color w:val="141314"/>
          <w:sz w:val="24"/>
          <w:szCs w:val="24"/>
        </w:rPr>
        <w:t xml:space="preserve"> </w:t>
      </w:r>
      <w:r w:rsidR="00CB5D35" w:rsidRPr="00B429FF">
        <w:rPr>
          <w:rFonts w:ascii="Book Antiqua" w:hAnsi="Book Antiqua"/>
          <w:caps/>
          <w:color w:val="141314"/>
          <w:sz w:val="24"/>
          <w:szCs w:val="24"/>
        </w:rPr>
        <w:t>m</w:t>
      </w:r>
      <w:r w:rsidR="00CB5D35" w:rsidRPr="00B429FF">
        <w:rPr>
          <w:rFonts w:ascii="Book Antiqua" w:hAnsi="Book Antiqua"/>
          <w:color w:val="141314"/>
          <w:sz w:val="24"/>
          <w:szCs w:val="24"/>
        </w:rPr>
        <w:t>odel for end-stage liver disease; HVPG</w:t>
      </w:r>
      <w:r w:rsidR="00B429FF">
        <w:rPr>
          <w:rFonts w:ascii="Book Antiqua" w:hAnsi="Book Antiqua"/>
          <w:color w:val="141314"/>
          <w:sz w:val="24"/>
          <w:szCs w:val="24"/>
        </w:rPr>
        <w:t>:</w:t>
      </w:r>
      <w:r w:rsidR="00CB5D35" w:rsidRPr="00B429FF">
        <w:rPr>
          <w:rFonts w:ascii="Book Antiqua" w:hAnsi="Book Antiqua"/>
          <w:color w:val="141314"/>
          <w:sz w:val="24"/>
          <w:szCs w:val="24"/>
        </w:rPr>
        <w:t xml:space="preserve"> </w:t>
      </w:r>
      <w:r w:rsidR="00CB5D35" w:rsidRPr="00B429FF">
        <w:rPr>
          <w:rFonts w:ascii="Book Antiqua" w:hAnsi="Book Antiqua"/>
          <w:caps/>
          <w:color w:val="141314"/>
          <w:sz w:val="24"/>
          <w:szCs w:val="24"/>
        </w:rPr>
        <w:t>h</w:t>
      </w:r>
      <w:r w:rsidR="00CB5D35" w:rsidRPr="00B429FF">
        <w:rPr>
          <w:rFonts w:ascii="Book Antiqua" w:hAnsi="Book Antiqua"/>
          <w:color w:val="141314"/>
          <w:sz w:val="24"/>
          <w:szCs w:val="24"/>
        </w:rPr>
        <w:t>epatic venous pressure gradient.</w:t>
      </w:r>
    </w:p>
    <w:p w14:paraId="30172631" w14:textId="77777777" w:rsidR="004927D9" w:rsidRPr="00AE4053" w:rsidRDefault="004927D9" w:rsidP="00AE4053">
      <w:pPr>
        <w:snapToGrid w:val="0"/>
        <w:spacing w:after="0" w:line="360" w:lineRule="auto"/>
        <w:jc w:val="both"/>
        <w:rPr>
          <w:rFonts w:ascii="Book Antiqua" w:hAnsi="Book Antiqua"/>
          <w:b/>
          <w:color w:val="141314"/>
          <w:sz w:val="24"/>
          <w:szCs w:val="24"/>
        </w:rPr>
      </w:pPr>
      <w:r w:rsidRPr="00AE4053">
        <w:rPr>
          <w:rFonts w:ascii="Book Antiqua" w:hAnsi="Book Antiqua"/>
          <w:b/>
          <w:color w:val="141314"/>
          <w:sz w:val="24"/>
          <w:szCs w:val="24"/>
        </w:rPr>
        <w:br w:type="page"/>
      </w:r>
    </w:p>
    <w:p w14:paraId="5800C23C" w14:textId="610C5F42" w:rsidR="0051421A" w:rsidRPr="00AE4053" w:rsidRDefault="004927D9" w:rsidP="00AE4053">
      <w:pPr>
        <w:snapToGrid w:val="0"/>
        <w:spacing w:after="0" w:line="360" w:lineRule="auto"/>
        <w:jc w:val="both"/>
        <w:rPr>
          <w:rFonts w:ascii="Book Antiqua" w:hAnsi="Book Antiqua"/>
          <w:b/>
          <w:color w:val="141314"/>
          <w:sz w:val="24"/>
          <w:szCs w:val="24"/>
        </w:rPr>
      </w:pPr>
      <w:r w:rsidRPr="00AE4053">
        <w:rPr>
          <w:rFonts w:ascii="Book Antiqua" w:hAnsi="Book Antiqua"/>
          <w:b/>
          <w:color w:val="141314"/>
          <w:sz w:val="24"/>
          <w:szCs w:val="24"/>
        </w:rPr>
        <w:lastRenderedPageBreak/>
        <w:t>Table 2</w:t>
      </w:r>
      <w:r w:rsidR="00B429FF">
        <w:rPr>
          <w:rFonts w:ascii="Book Antiqua" w:hAnsi="Book Antiqua"/>
          <w:b/>
          <w:color w:val="141314"/>
          <w:sz w:val="24"/>
          <w:szCs w:val="24"/>
        </w:rPr>
        <w:t xml:space="preserve"> Groups according to </w:t>
      </w:r>
      <w:r w:rsidR="00B429FF" w:rsidRPr="00B429FF">
        <w:rPr>
          <w:rFonts w:ascii="Book Antiqua" w:hAnsi="Book Antiqua"/>
          <w:b/>
          <w:color w:val="141314"/>
          <w:sz w:val="24"/>
          <w:szCs w:val="24"/>
        </w:rPr>
        <w:t>hepatic venous pressure gradient</w:t>
      </w:r>
    </w:p>
    <w:tbl>
      <w:tblPr>
        <w:tblStyle w:val="a4"/>
        <w:tblW w:w="10267" w:type="dxa"/>
        <w:tblInd w:w="-459" w:type="dxa"/>
        <w:tblLook w:val="04A0" w:firstRow="1" w:lastRow="0" w:firstColumn="1" w:lastColumn="0" w:noHBand="0" w:noVBand="1"/>
      </w:tblPr>
      <w:tblGrid>
        <w:gridCol w:w="1560"/>
        <w:gridCol w:w="1275"/>
        <w:gridCol w:w="1985"/>
        <w:gridCol w:w="1843"/>
        <w:gridCol w:w="1842"/>
        <w:gridCol w:w="1762"/>
      </w:tblGrid>
      <w:tr w:rsidR="00B429FF" w:rsidRPr="00AE4053" w14:paraId="3C64D32A" w14:textId="77777777" w:rsidTr="00B429FF">
        <w:trPr>
          <w:trHeight w:val="1280"/>
        </w:trPr>
        <w:tc>
          <w:tcPr>
            <w:tcW w:w="1560" w:type="dxa"/>
          </w:tcPr>
          <w:p w14:paraId="0C6C19DA" w14:textId="20FA13D3" w:rsidR="0051421A" w:rsidRPr="00AE4053" w:rsidRDefault="00B429FF" w:rsidP="00AE4053">
            <w:pPr>
              <w:snapToGrid w:val="0"/>
              <w:spacing w:line="360" w:lineRule="auto"/>
              <w:jc w:val="both"/>
              <w:rPr>
                <w:rFonts w:ascii="Book Antiqua" w:hAnsi="Book Antiqua"/>
                <w:b/>
                <w:color w:val="141314"/>
                <w:sz w:val="24"/>
                <w:szCs w:val="24"/>
              </w:rPr>
            </w:pPr>
            <w:r>
              <w:rPr>
                <w:rFonts w:ascii="Book Antiqua" w:hAnsi="Book Antiqua"/>
                <w:b/>
                <w:color w:val="141314"/>
                <w:sz w:val="24"/>
                <w:szCs w:val="24"/>
              </w:rPr>
              <w:t>HVPG (mm</w:t>
            </w:r>
            <w:r w:rsidR="0051421A" w:rsidRPr="00AE4053">
              <w:rPr>
                <w:rFonts w:ascii="Book Antiqua" w:hAnsi="Book Antiqua"/>
                <w:b/>
                <w:color w:val="141314"/>
                <w:sz w:val="24"/>
                <w:szCs w:val="24"/>
              </w:rPr>
              <w:t>Hg)</w:t>
            </w:r>
          </w:p>
        </w:tc>
        <w:tc>
          <w:tcPr>
            <w:tcW w:w="1275" w:type="dxa"/>
          </w:tcPr>
          <w:p w14:paraId="2A287219" w14:textId="0A7E4AC5" w:rsidR="0051421A" w:rsidRPr="00AE4053" w:rsidRDefault="00B429FF" w:rsidP="00B429FF">
            <w:pPr>
              <w:snapToGrid w:val="0"/>
              <w:spacing w:line="360" w:lineRule="auto"/>
              <w:jc w:val="center"/>
              <w:rPr>
                <w:rFonts w:ascii="Book Antiqua" w:hAnsi="Book Antiqua"/>
                <w:b/>
                <w:color w:val="141314"/>
                <w:sz w:val="24"/>
                <w:szCs w:val="24"/>
              </w:rPr>
            </w:pPr>
            <w:proofErr w:type="gramStart"/>
            <w:r w:rsidRPr="00B429FF">
              <w:rPr>
                <w:rFonts w:ascii="Book Antiqua" w:hAnsi="Book Antiqua"/>
                <w:b/>
                <w:i/>
                <w:color w:val="141314"/>
                <w:sz w:val="24"/>
                <w:szCs w:val="24"/>
              </w:rPr>
              <w:t>n</w:t>
            </w:r>
            <w:proofErr w:type="gramEnd"/>
            <w:r w:rsidR="0051421A" w:rsidRPr="00AE4053">
              <w:rPr>
                <w:rFonts w:ascii="Book Antiqua" w:hAnsi="Book Antiqua"/>
                <w:b/>
                <w:color w:val="141314"/>
                <w:sz w:val="24"/>
                <w:szCs w:val="24"/>
              </w:rPr>
              <w:t xml:space="preserve"> (%)</w:t>
            </w:r>
          </w:p>
        </w:tc>
        <w:tc>
          <w:tcPr>
            <w:tcW w:w="1985" w:type="dxa"/>
          </w:tcPr>
          <w:p w14:paraId="0191A202" w14:textId="538D71F3" w:rsidR="0051421A" w:rsidRPr="00AE4053" w:rsidRDefault="00A85CED" w:rsidP="00B429FF">
            <w:pPr>
              <w:snapToGrid w:val="0"/>
              <w:spacing w:line="360" w:lineRule="auto"/>
              <w:jc w:val="center"/>
              <w:rPr>
                <w:rFonts w:ascii="Book Antiqua" w:hAnsi="Book Antiqua"/>
                <w:b/>
                <w:color w:val="141314"/>
                <w:sz w:val="24"/>
                <w:szCs w:val="24"/>
              </w:rPr>
            </w:pPr>
            <w:r w:rsidRPr="00AE4053">
              <w:rPr>
                <w:rFonts w:ascii="Book Antiqua" w:hAnsi="Book Antiqua"/>
                <w:b/>
                <w:color w:val="141314"/>
                <w:sz w:val="24"/>
                <w:szCs w:val="24"/>
              </w:rPr>
              <w:t>P</w:t>
            </w:r>
            <w:r w:rsidR="008B7075" w:rsidRPr="00AE4053">
              <w:rPr>
                <w:rFonts w:ascii="Book Antiqua" w:hAnsi="Book Antiqua"/>
                <w:b/>
                <w:color w:val="141314"/>
                <w:sz w:val="24"/>
                <w:szCs w:val="24"/>
              </w:rPr>
              <w:t>ortal hypertension</w:t>
            </w:r>
            <w:r w:rsidR="00B429FF">
              <w:rPr>
                <w:rFonts w:ascii="Book Antiqua" w:hAnsi="Book Antiqua"/>
                <w:b/>
                <w:color w:val="141314"/>
                <w:sz w:val="24"/>
                <w:szCs w:val="24"/>
              </w:rPr>
              <w:t xml:space="preserve"> </w:t>
            </w:r>
            <w:r w:rsidR="0051421A" w:rsidRPr="00AE4053">
              <w:rPr>
                <w:rFonts w:ascii="Book Antiqua" w:hAnsi="Book Antiqua"/>
                <w:b/>
                <w:color w:val="141314"/>
                <w:sz w:val="24"/>
                <w:szCs w:val="24"/>
              </w:rPr>
              <w:t>(&gt;</w:t>
            </w:r>
            <w:r w:rsidR="00B429FF">
              <w:rPr>
                <w:rFonts w:ascii="Book Antiqua" w:hAnsi="Book Antiqua"/>
                <w:b/>
                <w:color w:val="141314"/>
                <w:sz w:val="24"/>
                <w:szCs w:val="24"/>
              </w:rPr>
              <w:t xml:space="preserve"> 5 mm</w:t>
            </w:r>
            <w:r w:rsidR="0051421A" w:rsidRPr="00AE4053">
              <w:rPr>
                <w:rFonts w:ascii="Book Antiqua" w:hAnsi="Book Antiqua"/>
                <w:b/>
                <w:color w:val="141314"/>
                <w:sz w:val="24"/>
                <w:szCs w:val="24"/>
              </w:rPr>
              <w:t>Hg)</w:t>
            </w:r>
          </w:p>
        </w:tc>
        <w:tc>
          <w:tcPr>
            <w:tcW w:w="1843" w:type="dxa"/>
          </w:tcPr>
          <w:p w14:paraId="4B00CC6A" w14:textId="68DCB665" w:rsidR="0051421A" w:rsidRPr="00AE4053" w:rsidRDefault="00B429FF" w:rsidP="00B429FF">
            <w:pPr>
              <w:snapToGrid w:val="0"/>
              <w:spacing w:line="360" w:lineRule="auto"/>
              <w:jc w:val="center"/>
              <w:rPr>
                <w:rFonts w:ascii="Book Antiqua" w:hAnsi="Book Antiqua"/>
                <w:b/>
                <w:color w:val="141314"/>
                <w:sz w:val="24"/>
                <w:szCs w:val="24"/>
              </w:rPr>
            </w:pPr>
            <w:r>
              <w:rPr>
                <w:rFonts w:ascii="Book Antiqua" w:hAnsi="Book Antiqua"/>
                <w:b/>
                <w:color w:val="141314"/>
                <w:sz w:val="24"/>
                <w:szCs w:val="24"/>
              </w:rPr>
              <w:t xml:space="preserve">CSPH </w:t>
            </w:r>
            <w:r w:rsidR="0051421A" w:rsidRPr="00AE4053">
              <w:rPr>
                <w:rFonts w:ascii="Book Antiqua" w:hAnsi="Book Antiqua"/>
                <w:b/>
                <w:color w:val="141314"/>
                <w:sz w:val="24"/>
                <w:szCs w:val="24"/>
              </w:rPr>
              <w:t>(</w:t>
            </w:r>
            <w:r w:rsidR="00B24139" w:rsidRPr="00AE4053">
              <w:rPr>
                <w:rFonts w:ascii="Book Antiqua" w:hAnsi="Book Antiqua"/>
                <w:b/>
                <w:color w:val="141314"/>
                <w:sz w:val="24"/>
                <w:szCs w:val="24"/>
              </w:rPr>
              <w:t>≥</w:t>
            </w:r>
            <w:r>
              <w:rPr>
                <w:rFonts w:ascii="Book Antiqua" w:hAnsi="Book Antiqua"/>
                <w:b/>
                <w:color w:val="141314"/>
                <w:sz w:val="24"/>
                <w:szCs w:val="24"/>
              </w:rPr>
              <w:t xml:space="preserve"> 10 mm</w:t>
            </w:r>
            <w:r w:rsidR="0051421A" w:rsidRPr="00AE4053">
              <w:rPr>
                <w:rFonts w:ascii="Book Antiqua" w:hAnsi="Book Antiqua"/>
                <w:b/>
                <w:color w:val="141314"/>
                <w:sz w:val="24"/>
                <w:szCs w:val="24"/>
              </w:rPr>
              <w:t>Hg)</w:t>
            </w:r>
          </w:p>
        </w:tc>
        <w:tc>
          <w:tcPr>
            <w:tcW w:w="1842" w:type="dxa"/>
          </w:tcPr>
          <w:p w14:paraId="78AEE65B" w14:textId="64A8C20F" w:rsidR="0051421A" w:rsidRPr="00AE4053" w:rsidRDefault="00AB0259" w:rsidP="00B429FF">
            <w:pPr>
              <w:snapToGrid w:val="0"/>
              <w:spacing w:line="360" w:lineRule="auto"/>
              <w:jc w:val="center"/>
              <w:rPr>
                <w:rFonts w:ascii="Book Antiqua" w:hAnsi="Book Antiqua"/>
                <w:b/>
                <w:color w:val="141314"/>
                <w:sz w:val="24"/>
                <w:szCs w:val="24"/>
              </w:rPr>
            </w:pPr>
            <w:r w:rsidRPr="00AE4053">
              <w:rPr>
                <w:rFonts w:ascii="Book Antiqua" w:hAnsi="Book Antiqua"/>
                <w:b/>
                <w:color w:val="141314"/>
                <w:sz w:val="24"/>
                <w:szCs w:val="24"/>
              </w:rPr>
              <w:t>SPH</w:t>
            </w:r>
            <w:r w:rsidR="00B429FF">
              <w:rPr>
                <w:rFonts w:ascii="Book Antiqua" w:hAnsi="Book Antiqua"/>
                <w:b/>
                <w:color w:val="141314"/>
                <w:sz w:val="24"/>
                <w:szCs w:val="24"/>
              </w:rPr>
              <w:t xml:space="preserve"> (&gt; 12 mm</w:t>
            </w:r>
            <w:r w:rsidR="0051421A" w:rsidRPr="00AE4053">
              <w:rPr>
                <w:rFonts w:ascii="Book Antiqua" w:hAnsi="Book Antiqua"/>
                <w:b/>
                <w:color w:val="141314"/>
                <w:sz w:val="24"/>
                <w:szCs w:val="24"/>
              </w:rPr>
              <w:t>Hg)</w:t>
            </w:r>
          </w:p>
        </w:tc>
        <w:tc>
          <w:tcPr>
            <w:tcW w:w="1762" w:type="dxa"/>
          </w:tcPr>
          <w:p w14:paraId="68C83348" w14:textId="604744E5" w:rsidR="0051421A" w:rsidRPr="00AE4053" w:rsidRDefault="003F3603" w:rsidP="00B429FF">
            <w:pPr>
              <w:snapToGrid w:val="0"/>
              <w:spacing w:line="360" w:lineRule="auto"/>
              <w:jc w:val="center"/>
              <w:rPr>
                <w:rFonts w:ascii="Book Antiqua" w:hAnsi="Book Antiqua"/>
                <w:b/>
                <w:color w:val="141314"/>
                <w:sz w:val="24"/>
                <w:szCs w:val="24"/>
              </w:rPr>
            </w:pPr>
            <w:r w:rsidRPr="00AE4053">
              <w:rPr>
                <w:rFonts w:ascii="Book Antiqua" w:hAnsi="Book Antiqua"/>
                <w:b/>
                <w:color w:val="141314"/>
                <w:sz w:val="24"/>
                <w:szCs w:val="24"/>
              </w:rPr>
              <w:t>VSPH</w:t>
            </w:r>
            <w:r w:rsidR="00B429FF">
              <w:rPr>
                <w:rFonts w:ascii="Book Antiqua" w:hAnsi="Book Antiqua"/>
                <w:b/>
                <w:color w:val="141314"/>
                <w:sz w:val="24"/>
                <w:szCs w:val="24"/>
              </w:rPr>
              <w:t xml:space="preserve"> </w:t>
            </w:r>
            <w:r w:rsidR="0051421A" w:rsidRPr="00AE4053">
              <w:rPr>
                <w:rFonts w:ascii="Book Antiqua" w:hAnsi="Book Antiqua"/>
                <w:b/>
                <w:color w:val="141314"/>
                <w:sz w:val="24"/>
                <w:szCs w:val="24"/>
              </w:rPr>
              <w:t>(&gt;</w:t>
            </w:r>
            <w:r w:rsidR="00B429FF">
              <w:rPr>
                <w:rFonts w:ascii="Book Antiqua" w:hAnsi="Book Antiqua"/>
                <w:b/>
                <w:color w:val="141314"/>
                <w:sz w:val="24"/>
                <w:szCs w:val="24"/>
              </w:rPr>
              <w:t xml:space="preserve"> 20 mm</w:t>
            </w:r>
            <w:r w:rsidR="0051421A" w:rsidRPr="00AE4053">
              <w:rPr>
                <w:rFonts w:ascii="Book Antiqua" w:hAnsi="Book Antiqua"/>
                <w:b/>
                <w:color w:val="141314"/>
                <w:sz w:val="24"/>
                <w:szCs w:val="24"/>
              </w:rPr>
              <w:t>Hg)</w:t>
            </w:r>
          </w:p>
        </w:tc>
      </w:tr>
      <w:tr w:rsidR="00B429FF" w:rsidRPr="00AE4053" w14:paraId="60F3228D" w14:textId="77777777" w:rsidTr="00B429FF">
        <w:trPr>
          <w:trHeight w:val="430"/>
        </w:trPr>
        <w:tc>
          <w:tcPr>
            <w:tcW w:w="1560" w:type="dxa"/>
          </w:tcPr>
          <w:p w14:paraId="6A8AAB37" w14:textId="0A1F2B6B" w:rsidR="0051421A" w:rsidRPr="00B429FF" w:rsidRDefault="0051421A" w:rsidP="00AE4053">
            <w:pPr>
              <w:snapToGrid w:val="0"/>
              <w:spacing w:line="360" w:lineRule="auto"/>
              <w:jc w:val="both"/>
              <w:rPr>
                <w:rFonts w:ascii="Book Antiqua" w:hAnsi="Book Antiqua"/>
                <w:color w:val="141314"/>
                <w:sz w:val="24"/>
                <w:szCs w:val="24"/>
              </w:rPr>
            </w:pPr>
            <w:r w:rsidRPr="00B429FF">
              <w:rPr>
                <w:rFonts w:ascii="Book Antiqua" w:hAnsi="Book Antiqua"/>
                <w:color w:val="141314"/>
                <w:sz w:val="24"/>
                <w:szCs w:val="24"/>
              </w:rPr>
              <w:t>≤</w:t>
            </w:r>
            <w:r w:rsidR="00B429FF" w:rsidRPr="00B429FF">
              <w:rPr>
                <w:rFonts w:ascii="Book Antiqua" w:hAnsi="Book Antiqua"/>
                <w:color w:val="141314"/>
                <w:sz w:val="24"/>
                <w:szCs w:val="24"/>
              </w:rPr>
              <w:t xml:space="preserve"> </w:t>
            </w:r>
            <w:r w:rsidRPr="00B429FF">
              <w:rPr>
                <w:rFonts w:ascii="Book Antiqua" w:hAnsi="Book Antiqua"/>
                <w:color w:val="141314"/>
                <w:sz w:val="24"/>
                <w:szCs w:val="24"/>
              </w:rPr>
              <w:t>5</w:t>
            </w:r>
          </w:p>
        </w:tc>
        <w:tc>
          <w:tcPr>
            <w:tcW w:w="1275" w:type="dxa"/>
          </w:tcPr>
          <w:p w14:paraId="64D749B3" w14:textId="44074700" w:rsidR="0051421A" w:rsidRPr="00B429FF" w:rsidRDefault="0051421A" w:rsidP="00B429FF">
            <w:pPr>
              <w:snapToGrid w:val="0"/>
              <w:spacing w:line="360" w:lineRule="auto"/>
              <w:jc w:val="center"/>
              <w:rPr>
                <w:rFonts w:ascii="Book Antiqua" w:hAnsi="Book Antiqua"/>
                <w:color w:val="141314"/>
                <w:sz w:val="24"/>
                <w:szCs w:val="24"/>
              </w:rPr>
            </w:pPr>
            <w:r w:rsidRPr="00B429FF">
              <w:rPr>
                <w:rFonts w:ascii="Book Antiqua" w:hAnsi="Book Antiqua"/>
                <w:color w:val="141314"/>
                <w:sz w:val="24"/>
                <w:szCs w:val="24"/>
              </w:rPr>
              <w:t>14</w:t>
            </w:r>
            <w:r w:rsidR="00B429FF" w:rsidRPr="00B429FF">
              <w:rPr>
                <w:rFonts w:ascii="Book Antiqua" w:hAnsi="Book Antiqua"/>
                <w:color w:val="141314"/>
                <w:sz w:val="24"/>
                <w:szCs w:val="24"/>
              </w:rPr>
              <w:t xml:space="preserve"> </w:t>
            </w:r>
            <w:r w:rsidR="00B429FF">
              <w:rPr>
                <w:rFonts w:ascii="Book Antiqua" w:hAnsi="Book Antiqua"/>
                <w:color w:val="141314"/>
                <w:sz w:val="24"/>
                <w:szCs w:val="24"/>
              </w:rPr>
              <w:t>(4</w:t>
            </w:r>
            <w:r w:rsidRPr="00B429FF">
              <w:rPr>
                <w:rFonts w:ascii="Book Antiqua" w:hAnsi="Book Antiqua"/>
                <w:color w:val="141314"/>
                <w:sz w:val="24"/>
                <w:szCs w:val="24"/>
              </w:rPr>
              <w:t>)</w:t>
            </w:r>
          </w:p>
        </w:tc>
        <w:tc>
          <w:tcPr>
            <w:tcW w:w="1985" w:type="dxa"/>
            <w:shd w:val="clear" w:color="auto" w:fill="auto"/>
            <w:vAlign w:val="center"/>
          </w:tcPr>
          <w:p w14:paraId="0305D2C5" w14:textId="56C956C2" w:rsidR="0051421A" w:rsidRPr="00B429FF" w:rsidRDefault="0051421A" w:rsidP="00B429FF">
            <w:pPr>
              <w:snapToGrid w:val="0"/>
              <w:spacing w:line="360" w:lineRule="auto"/>
              <w:jc w:val="center"/>
              <w:rPr>
                <w:rFonts w:ascii="Book Antiqua" w:hAnsi="Book Antiqua"/>
                <w:color w:val="141314"/>
                <w:sz w:val="24"/>
                <w:szCs w:val="24"/>
              </w:rPr>
            </w:pPr>
            <w:r w:rsidRPr="00B429FF">
              <w:rPr>
                <w:rFonts w:ascii="Book Antiqua" w:hAnsi="Book Antiqua"/>
                <w:color w:val="141314"/>
                <w:sz w:val="24"/>
                <w:szCs w:val="24"/>
              </w:rPr>
              <w:t>No (14, 4%)</w:t>
            </w:r>
          </w:p>
        </w:tc>
        <w:tc>
          <w:tcPr>
            <w:tcW w:w="1843" w:type="dxa"/>
            <w:vMerge w:val="restart"/>
            <w:shd w:val="clear" w:color="auto" w:fill="auto"/>
            <w:vAlign w:val="center"/>
          </w:tcPr>
          <w:p w14:paraId="1173813F" w14:textId="12090AF6" w:rsidR="0051421A" w:rsidRPr="00B429FF" w:rsidRDefault="0051421A" w:rsidP="00B429FF">
            <w:pPr>
              <w:snapToGrid w:val="0"/>
              <w:spacing w:line="360" w:lineRule="auto"/>
              <w:jc w:val="center"/>
              <w:rPr>
                <w:rFonts w:ascii="Book Antiqua" w:hAnsi="Book Antiqua"/>
                <w:color w:val="141314"/>
                <w:sz w:val="24"/>
                <w:szCs w:val="24"/>
              </w:rPr>
            </w:pPr>
            <w:r w:rsidRPr="00B429FF">
              <w:rPr>
                <w:rFonts w:ascii="Book Antiqua" w:hAnsi="Book Antiqua"/>
                <w:color w:val="141314"/>
                <w:sz w:val="24"/>
                <w:szCs w:val="24"/>
              </w:rPr>
              <w:t>No (48, 15%)</w:t>
            </w:r>
          </w:p>
        </w:tc>
        <w:tc>
          <w:tcPr>
            <w:tcW w:w="1842" w:type="dxa"/>
            <w:vMerge w:val="restart"/>
            <w:shd w:val="clear" w:color="auto" w:fill="auto"/>
            <w:vAlign w:val="center"/>
          </w:tcPr>
          <w:p w14:paraId="173211C7" w14:textId="32412FD6" w:rsidR="0051421A" w:rsidRPr="00B429FF" w:rsidRDefault="0051421A" w:rsidP="00B429FF">
            <w:pPr>
              <w:snapToGrid w:val="0"/>
              <w:spacing w:line="360" w:lineRule="auto"/>
              <w:jc w:val="center"/>
              <w:rPr>
                <w:rFonts w:ascii="Book Antiqua" w:hAnsi="Book Antiqua"/>
                <w:color w:val="141314"/>
                <w:sz w:val="24"/>
                <w:szCs w:val="24"/>
              </w:rPr>
            </w:pPr>
            <w:r w:rsidRPr="00B429FF">
              <w:rPr>
                <w:rFonts w:ascii="Book Antiqua" w:hAnsi="Book Antiqua"/>
                <w:color w:val="141314"/>
                <w:sz w:val="24"/>
                <w:szCs w:val="24"/>
              </w:rPr>
              <w:t>No (78, 24%)</w:t>
            </w:r>
          </w:p>
        </w:tc>
        <w:tc>
          <w:tcPr>
            <w:tcW w:w="1762" w:type="dxa"/>
            <w:vMerge w:val="restart"/>
            <w:shd w:val="clear" w:color="auto" w:fill="auto"/>
            <w:vAlign w:val="center"/>
          </w:tcPr>
          <w:p w14:paraId="76E0B922" w14:textId="370334E0" w:rsidR="0051421A" w:rsidRPr="00B429FF" w:rsidRDefault="0051421A" w:rsidP="00B429FF">
            <w:pPr>
              <w:snapToGrid w:val="0"/>
              <w:spacing w:line="360" w:lineRule="auto"/>
              <w:jc w:val="center"/>
              <w:rPr>
                <w:rFonts w:ascii="Book Antiqua" w:hAnsi="Book Antiqua"/>
                <w:color w:val="141314"/>
                <w:sz w:val="24"/>
                <w:szCs w:val="24"/>
              </w:rPr>
            </w:pPr>
            <w:r w:rsidRPr="00B429FF">
              <w:rPr>
                <w:rFonts w:ascii="Book Antiqua" w:hAnsi="Book Antiqua"/>
                <w:color w:val="141314"/>
                <w:sz w:val="24"/>
                <w:szCs w:val="24"/>
              </w:rPr>
              <w:t>No (266, 82%)</w:t>
            </w:r>
          </w:p>
        </w:tc>
      </w:tr>
      <w:tr w:rsidR="00B429FF" w:rsidRPr="00AE4053" w14:paraId="3B500C64" w14:textId="77777777" w:rsidTr="00B429FF">
        <w:trPr>
          <w:trHeight w:val="419"/>
        </w:trPr>
        <w:tc>
          <w:tcPr>
            <w:tcW w:w="1560" w:type="dxa"/>
          </w:tcPr>
          <w:p w14:paraId="7445DE33" w14:textId="6E7B7367" w:rsidR="0051421A" w:rsidRPr="00B429FF" w:rsidRDefault="0051421A" w:rsidP="00AE4053">
            <w:pPr>
              <w:snapToGrid w:val="0"/>
              <w:spacing w:line="360" w:lineRule="auto"/>
              <w:jc w:val="both"/>
              <w:rPr>
                <w:rFonts w:ascii="Book Antiqua" w:hAnsi="Book Antiqua"/>
                <w:color w:val="141314"/>
                <w:sz w:val="24"/>
                <w:szCs w:val="24"/>
              </w:rPr>
            </w:pPr>
            <w:r w:rsidRPr="00B429FF">
              <w:rPr>
                <w:rFonts w:ascii="Book Antiqua" w:hAnsi="Book Antiqua"/>
                <w:color w:val="141314"/>
                <w:sz w:val="24"/>
                <w:szCs w:val="24"/>
              </w:rPr>
              <w:t>&gt;</w:t>
            </w:r>
            <w:r w:rsidR="00B429FF" w:rsidRPr="00B429FF">
              <w:rPr>
                <w:rFonts w:ascii="Book Antiqua" w:hAnsi="Book Antiqua"/>
                <w:color w:val="141314"/>
                <w:sz w:val="24"/>
                <w:szCs w:val="24"/>
              </w:rPr>
              <w:t xml:space="preserve"> </w:t>
            </w:r>
            <w:r w:rsidRPr="00B429FF">
              <w:rPr>
                <w:rFonts w:ascii="Book Antiqua" w:hAnsi="Book Antiqua"/>
                <w:color w:val="141314"/>
                <w:sz w:val="24"/>
                <w:szCs w:val="24"/>
              </w:rPr>
              <w:t>5 to &lt;</w:t>
            </w:r>
            <w:r w:rsidR="00B429FF" w:rsidRPr="00B429FF">
              <w:rPr>
                <w:rFonts w:ascii="Book Antiqua" w:hAnsi="Book Antiqua"/>
                <w:color w:val="141314"/>
                <w:sz w:val="24"/>
                <w:szCs w:val="24"/>
              </w:rPr>
              <w:t xml:space="preserve"> </w:t>
            </w:r>
            <w:r w:rsidRPr="00B429FF">
              <w:rPr>
                <w:rFonts w:ascii="Book Antiqua" w:hAnsi="Book Antiqua"/>
                <w:color w:val="141314"/>
                <w:sz w:val="24"/>
                <w:szCs w:val="24"/>
              </w:rPr>
              <w:t xml:space="preserve">10 </w:t>
            </w:r>
          </w:p>
        </w:tc>
        <w:tc>
          <w:tcPr>
            <w:tcW w:w="1275" w:type="dxa"/>
          </w:tcPr>
          <w:p w14:paraId="376A50CD" w14:textId="17AE6F1C" w:rsidR="0051421A" w:rsidRPr="00B429FF" w:rsidRDefault="0051421A" w:rsidP="00B429FF">
            <w:pPr>
              <w:snapToGrid w:val="0"/>
              <w:spacing w:line="360" w:lineRule="auto"/>
              <w:jc w:val="center"/>
              <w:rPr>
                <w:rFonts w:ascii="Book Antiqua" w:hAnsi="Book Antiqua"/>
                <w:color w:val="141314"/>
                <w:sz w:val="24"/>
                <w:szCs w:val="24"/>
              </w:rPr>
            </w:pPr>
            <w:r w:rsidRPr="00B429FF">
              <w:rPr>
                <w:rFonts w:ascii="Book Antiqua" w:hAnsi="Book Antiqua"/>
                <w:color w:val="141314"/>
                <w:sz w:val="24"/>
                <w:szCs w:val="24"/>
              </w:rPr>
              <w:t>34</w:t>
            </w:r>
            <w:r w:rsidR="00B429FF" w:rsidRPr="00B429FF">
              <w:rPr>
                <w:rFonts w:ascii="Book Antiqua" w:hAnsi="Book Antiqua"/>
                <w:color w:val="141314"/>
                <w:sz w:val="24"/>
                <w:szCs w:val="24"/>
              </w:rPr>
              <w:t xml:space="preserve"> </w:t>
            </w:r>
            <w:r w:rsidR="00B429FF">
              <w:rPr>
                <w:rFonts w:ascii="Book Antiqua" w:hAnsi="Book Antiqua"/>
                <w:color w:val="141314"/>
                <w:sz w:val="24"/>
                <w:szCs w:val="24"/>
              </w:rPr>
              <w:t>(10</w:t>
            </w:r>
            <w:r w:rsidRPr="00B429FF">
              <w:rPr>
                <w:rFonts w:ascii="Book Antiqua" w:hAnsi="Book Antiqua"/>
                <w:color w:val="141314"/>
                <w:sz w:val="24"/>
                <w:szCs w:val="24"/>
              </w:rPr>
              <w:t>)</w:t>
            </w:r>
          </w:p>
        </w:tc>
        <w:tc>
          <w:tcPr>
            <w:tcW w:w="1985" w:type="dxa"/>
            <w:vMerge w:val="restart"/>
            <w:shd w:val="clear" w:color="auto" w:fill="BFBFBF" w:themeFill="background1" w:themeFillShade="BF"/>
            <w:vAlign w:val="center"/>
          </w:tcPr>
          <w:p w14:paraId="6A8170C8" w14:textId="05122B4B" w:rsidR="0051421A" w:rsidRPr="00B429FF" w:rsidRDefault="0051421A" w:rsidP="00B429FF">
            <w:pPr>
              <w:snapToGrid w:val="0"/>
              <w:spacing w:line="360" w:lineRule="auto"/>
              <w:jc w:val="center"/>
              <w:rPr>
                <w:rFonts w:ascii="Book Antiqua" w:hAnsi="Book Antiqua"/>
                <w:color w:val="141314"/>
                <w:sz w:val="24"/>
                <w:szCs w:val="24"/>
              </w:rPr>
            </w:pPr>
            <w:r w:rsidRPr="00B429FF">
              <w:rPr>
                <w:rFonts w:ascii="Book Antiqua" w:hAnsi="Book Antiqua"/>
                <w:color w:val="141314"/>
                <w:sz w:val="24"/>
                <w:szCs w:val="24"/>
              </w:rPr>
              <w:t>Yes (312, 96%)</w:t>
            </w:r>
          </w:p>
        </w:tc>
        <w:tc>
          <w:tcPr>
            <w:tcW w:w="1843" w:type="dxa"/>
            <w:vMerge/>
            <w:shd w:val="clear" w:color="auto" w:fill="auto"/>
            <w:vAlign w:val="center"/>
          </w:tcPr>
          <w:p w14:paraId="02D0A8A3" w14:textId="77777777" w:rsidR="0051421A" w:rsidRPr="00B429FF" w:rsidRDefault="0051421A" w:rsidP="00B429FF">
            <w:pPr>
              <w:snapToGrid w:val="0"/>
              <w:spacing w:line="360" w:lineRule="auto"/>
              <w:jc w:val="center"/>
              <w:rPr>
                <w:rFonts w:ascii="Book Antiqua" w:hAnsi="Book Antiqua"/>
                <w:color w:val="141314"/>
                <w:sz w:val="24"/>
                <w:szCs w:val="24"/>
              </w:rPr>
            </w:pPr>
          </w:p>
        </w:tc>
        <w:tc>
          <w:tcPr>
            <w:tcW w:w="1842" w:type="dxa"/>
            <w:vMerge/>
            <w:shd w:val="clear" w:color="auto" w:fill="auto"/>
            <w:vAlign w:val="center"/>
          </w:tcPr>
          <w:p w14:paraId="19E231FC" w14:textId="77777777" w:rsidR="0051421A" w:rsidRPr="00B429FF" w:rsidRDefault="0051421A" w:rsidP="00B429FF">
            <w:pPr>
              <w:snapToGrid w:val="0"/>
              <w:spacing w:line="360" w:lineRule="auto"/>
              <w:jc w:val="center"/>
              <w:rPr>
                <w:rFonts w:ascii="Book Antiqua" w:hAnsi="Book Antiqua"/>
                <w:color w:val="141314"/>
                <w:sz w:val="24"/>
                <w:szCs w:val="24"/>
              </w:rPr>
            </w:pPr>
          </w:p>
        </w:tc>
        <w:tc>
          <w:tcPr>
            <w:tcW w:w="1762" w:type="dxa"/>
            <w:vMerge/>
            <w:shd w:val="clear" w:color="auto" w:fill="auto"/>
            <w:vAlign w:val="center"/>
          </w:tcPr>
          <w:p w14:paraId="15A44FF1" w14:textId="77777777" w:rsidR="0051421A" w:rsidRPr="00B429FF" w:rsidRDefault="0051421A" w:rsidP="00B429FF">
            <w:pPr>
              <w:snapToGrid w:val="0"/>
              <w:spacing w:line="360" w:lineRule="auto"/>
              <w:jc w:val="center"/>
              <w:rPr>
                <w:rFonts w:ascii="Book Antiqua" w:hAnsi="Book Antiqua"/>
                <w:color w:val="141314"/>
                <w:sz w:val="24"/>
                <w:szCs w:val="24"/>
              </w:rPr>
            </w:pPr>
          </w:p>
        </w:tc>
      </w:tr>
      <w:tr w:rsidR="00B429FF" w:rsidRPr="00AE4053" w14:paraId="28F06CB1" w14:textId="77777777" w:rsidTr="00B429FF">
        <w:trPr>
          <w:trHeight w:val="430"/>
        </w:trPr>
        <w:tc>
          <w:tcPr>
            <w:tcW w:w="1560" w:type="dxa"/>
          </w:tcPr>
          <w:p w14:paraId="1E41C9D8" w14:textId="1107191A" w:rsidR="0051421A" w:rsidRPr="00B429FF" w:rsidRDefault="0051421A" w:rsidP="00AE4053">
            <w:pPr>
              <w:snapToGrid w:val="0"/>
              <w:spacing w:line="360" w:lineRule="auto"/>
              <w:jc w:val="both"/>
              <w:rPr>
                <w:rFonts w:ascii="Book Antiqua" w:hAnsi="Book Antiqua"/>
                <w:color w:val="141314"/>
                <w:sz w:val="24"/>
                <w:szCs w:val="24"/>
              </w:rPr>
            </w:pPr>
            <w:r w:rsidRPr="00B429FF">
              <w:rPr>
                <w:rFonts w:ascii="Book Antiqua" w:hAnsi="Book Antiqua"/>
                <w:color w:val="141314"/>
                <w:sz w:val="24"/>
                <w:szCs w:val="24"/>
              </w:rPr>
              <w:t>≥</w:t>
            </w:r>
            <w:r w:rsidR="00B429FF" w:rsidRPr="00B429FF">
              <w:rPr>
                <w:rFonts w:ascii="Book Antiqua" w:hAnsi="Book Antiqua"/>
                <w:color w:val="141314"/>
                <w:sz w:val="24"/>
                <w:szCs w:val="24"/>
              </w:rPr>
              <w:t xml:space="preserve"> </w:t>
            </w:r>
            <w:r w:rsidRPr="00B429FF">
              <w:rPr>
                <w:rFonts w:ascii="Book Antiqua" w:hAnsi="Book Antiqua"/>
                <w:color w:val="141314"/>
                <w:sz w:val="24"/>
                <w:szCs w:val="24"/>
              </w:rPr>
              <w:t>10 to 12</w:t>
            </w:r>
          </w:p>
        </w:tc>
        <w:tc>
          <w:tcPr>
            <w:tcW w:w="1275" w:type="dxa"/>
          </w:tcPr>
          <w:p w14:paraId="5CE929AD" w14:textId="256270A1" w:rsidR="0051421A" w:rsidRPr="00B429FF" w:rsidRDefault="0051421A" w:rsidP="00B429FF">
            <w:pPr>
              <w:snapToGrid w:val="0"/>
              <w:spacing w:line="360" w:lineRule="auto"/>
              <w:jc w:val="center"/>
              <w:rPr>
                <w:rFonts w:ascii="Book Antiqua" w:hAnsi="Book Antiqua"/>
                <w:color w:val="141314"/>
                <w:sz w:val="24"/>
                <w:szCs w:val="24"/>
              </w:rPr>
            </w:pPr>
            <w:r w:rsidRPr="00B429FF">
              <w:rPr>
                <w:rFonts w:ascii="Book Antiqua" w:hAnsi="Book Antiqua"/>
                <w:color w:val="141314"/>
                <w:sz w:val="24"/>
                <w:szCs w:val="24"/>
              </w:rPr>
              <w:t>30</w:t>
            </w:r>
            <w:r w:rsidR="00B429FF" w:rsidRPr="00B429FF">
              <w:rPr>
                <w:rFonts w:ascii="Book Antiqua" w:hAnsi="Book Antiqua"/>
                <w:color w:val="141314"/>
                <w:sz w:val="24"/>
                <w:szCs w:val="24"/>
              </w:rPr>
              <w:t xml:space="preserve"> </w:t>
            </w:r>
            <w:r w:rsidR="00B429FF">
              <w:rPr>
                <w:rFonts w:ascii="Book Antiqua" w:hAnsi="Book Antiqua"/>
                <w:color w:val="141314"/>
                <w:sz w:val="24"/>
                <w:szCs w:val="24"/>
              </w:rPr>
              <w:t>(9</w:t>
            </w:r>
            <w:r w:rsidRPr="00B429FF">
              <w:rPr>
                <w:rFonts w:ascii="Book Antiqua" w:hAnsi="Book Antiqua"/>
                <w:color w:val="141314"/>
                <w:sz w:val="24"/>
                <w:szCs w:val="24"/>
              </w:rPr>
              <w:t>)</w:t>
            </w:r>
          </w:p>
        </w:tc>
        <w:tc>
          <w:tcPr>
            <w:tcW w:w="1985" w:type="dxa"/>
            <w:vMerge/>
            <w:shd w:val="clear" w:color="auto" w:fill="BFBFBF" w:themeFill="background1" w:themeFillShade="BF"/>
          </w:tcPr>
          <w:p w14:paraId="08F833AB" w14:textId="04AA8F22" w:rsidR="0051421A" w:rsidRPr="00B429FF" w:rsidRDefault="0051421A" w:rsidP="00B429FF">
            <w:pPr>
              <w:snapToGrid w:val="0"/>
              <w:spacing w:line="360" w:lineRule="auto"/>
              <w:jc w:val="center"/>
              <w:rPr>
                <w:rFonts w:ascii="Book Antiqua" w:hAnsi="Book Antiqua"/>
                <w:color w:val="141314"/>
                <w:sz w:val="24"/>
                <w:szCs w:val="24"/>
              </w:rPr>
            </w:pPr>
          </w:p>
        </w:tc>
        <w:tc>
          <w:tcPr>
            <w:tcW w:w="1843" w:type="dxa"/>
            <w:vMerge w:val="restart"/>
            <w:shd w:val="clear" w:color="auto" w:fill="BFBFBF" w:themeFill="background1" w:themeFillShade="BF"/>
            <w:vAlign w:val="center"/>
          </w:tcPr>
          <w:p w14:paraId="34E2EAB5" w14:textId="7FF634DD" w:rsidR="0051421A" w:rsidRPr="00B429FF" w:rsidRDefault="0051421A" w:rsidP="00B429FF">
            <w:pPr>
              <w:snapToGrid w:val="0"/>
              <w:spacing w:line="360" w:lineRule="auto"/>
              <w:jc w:val="center"/>
              <w:rPr>
                <w:rFonts w:ascii="Book Antiqua" w:hAnsi="Book Antiqua"/>
                <w:color w:val="141314"/>
                <w:sz w:val="24"/>
                <w:szCs w:val="24"/>
              </w:rPr>
            </w:pPr>
            <w:r w:rsidRPr="00B429FF">
              <w:rPr>
                <w:rFonts w:ascii="Book Antiqua" w:hAnsi="Book Antiqua"/>
                <w:color w:val="141314"/>
                <w:sz w:val="24"/>
                <w:szCs w:val="24"/>
              </w:rPr>
              <w:t>Yes (278, 85%)</w:t>
            </w:r>
          </w:p>
        </w:tc>
        <w:tc>
          <w:tcPr>
            <w:tcW w:w="1842" w:type="dxa"/>
            <w:vMerge/>
            <w:shd w:val="clear" w:color="auto" w:fill="auto"/>
            <w:vAlign w:val="center"/>
          </w:tcPr>
          <w:p w14:paraId="0052F574" w14:textId="77777777" w:rsidR="0051421A" w:rsidRPr="00B429FF" w:rsidRDefault="0051421A" w:rsidP="00B429FF">
            <w:pPr>
              <w:snapToGrid w:val="0"/>
              <w:spacing w:line="360" w:lineRule="auto"/>
              <w:jc w:val="center"/>
              <w:rPr>
                <w:rFonts w:ascii="Book Antiqua" w:hAnsi="Book Antiqua"/>
                <w:color w:val="141314"/>
                <w:sz w:val="24"/>
                <w:szCs w:val="24"/>
              </w:rPr>
            </w:pPr>
          </w:p>
        </w:tc>
        <w:tc>
          <w:tcPr>
            <w:tcW w:w="1762" w:type="dxa"/>
            <w:vMerge/>
            <w:shd w:val="clear" w:color="auto" w:fill="auto"/>
            <w:vAlign w:val="center"/>
          </w:tcPr>
          <w:p w14:paraId="099F1280" w14:textId="77777777" w:rsidR="0051421A" w:rsidRPr="00B429FF" w:rsidRDefault="0051421A" w:rsidP="00B429FF">
            <w:pPr>
              <w:snapToGrid w:val="0"/>
              <w:spacing w:line="360" w:lineRule="auto"/>
              <w:jc w:val="center"/>
              <w:rPr>
                <w:rFonts w:ascii="Book Antiqua" w:hAnsi="Book Antiqua"/>
                <w:color w:val="141314"/>
                <w:sz w:val="24"/>
                <w:szCs w:val="24"/>
              </w:rPr>
            </w:pPr>
          </w:p>
        </w:tc>
      </w:tr>
      <w:tr w:rsidR="00B429FF" w:rsidRPr="00AE4053" w14:paraId="7B9E47FD" w14:textId="77777777" w:rsidTr="00B429FF">
        <w:trPr>
          <w:trHeight w:val="430"/>
        </w:trPr>
        <w:tc>
          <w:tcPr>
            <w:tcW w:w="1560" w:type="dxa"/>
          </w:tcPr>
          <w:p w14:paraId="6819A38C" w14:textId="2B16B9AA" w:rsidR="0051421A" w:rsidRPr="00B429FF" w:rsidRDefault="0051421A" w:rsidP="00AE4053">
            <w:pPr>
              <w:snapToGrid w:val="0"/>
              <w:spacing w:line="360" w:lineRule="auto"/>
              <w:jc w:val="both"/>
              <w:rPr>
                <w:rFonts w:ascii="Book Antiqua" w:hAnsi="Book Antiqua"/>
                <w:color w:val="141314"/>
                <w:sz w:val="24"/>
                <w:szCs w:val="24"/>
              </w:rPr>
            </w:pPr>
            <w:r w:rsidRPr="00B429FF">
              <w:rPr>
                <w:rFonts w:ascii="Book Antiqua" w:hAnsi="Book Antiqua"/>
                <w:color w:val="141314"/>
                <w:sz w:val="24"/>
                <w:szCs w:val="24"/>
              </w:rPr>
              <w:t>&gt;</w:t>
            </w:r>
            <w:r w:rsidR="00B429FF" w:rsidRPr="00B429FF">
              <w:rPr>
                <w:rFonts w:ascii="Book Antiqua" w:hAnsi="Book Antiqua"/>
                <w:color w:val="141314"/>
                <w:sz w:val="24"/>
                <w:szCs w:val="24"/>
              </w:rPr>
              <w:t xml:space="preserve"> </w:t>
            </w:r>
            <w:r w:rsidRPr="00B429FF">
              <w:rPr>
                <w:rFonts w:ascii="Book Antiqua" w:hAnsi="Book Antiqua"/>
                <w:color w:val="141314"/>
                <w:sz w:val="24"/>
                <w:szCs w:val="24"/>
              </w:rPr>
              <w:t>12 to ≥</w:t>
            </w:r>
            <w:r w:rsidR="00B429FF" w:rsidRPr="00B429FF">
              <w:rPr>
                <w:rFonts w:ascii="Book Antiqua" w:hAnsi="Book Antiqua"/>
                <w:color w:val="141314"/>
                <w:sz w:val="24"/>
                <w:szCs w:val="24"/>
              </w:rPr>
              <w:t xml:space="preserve"> </w:t>
            </w:r>
            <w:r w:rsidRPr="00B429FF">
              <w:rPr>
                <w:rFonts w:ascii="Book Antiqua" w:hAnsi="Book Antiqua"/>
                <w:color w:val="141314"/>
                <w:sz w:val="24"/>
                <w:szCs w:val="24"/>
              </w:rPr>
              <w:t>20</w:t>
            </w:r>
          </w:p>
        </w:tc>
        <w:tc>
          <w:tcPr>
            <w:tcW w:w="1275" w:type="dxa"/>
          </w:tcPr>
          <w:p w14:paraId="3AA41118" w14:textId="0B3C6E97" w:rsidR="0051421A" w:rsidRPr="00B429FF" w:rsidRDefault="0051421A" w:rsidP="00B429FF">
            <w:pPr>
              <w:snapToGrid w:val="0"/>
              <w:spacing w:line="360" w:lineRule="auto"/>
              <w:jc w:val="center"/>
              <w:rPr>
                <w:rFonts w:ascii="Book Antiqua" w:hAnsi="Book Antiqua"/>
                <w:color w:val="141314"/>
                <w:sz w:val="24"/>
                <w:szCs w:val="24"/>
              </w:rPr>
            </w:pPr>
            <w:r w:rsidRPr="00B429FF">
              <w:rPr>
                <w:rFonts w:ascii="Book Antiqua" w:hAnsi="Book Antiqua"/>
                <w:color w:val="141314"/>
                <w:sz w:val="24"/>
                <w:szCs w:val="24"/>
              </w:rPr>
              <w:t>188</w:t>
            </w:r>
            <w:r w:rsidR="00B429FF" w:rsidRPr="00B429FF">
              <w:rPr>
                <w:rFonts w:ascii="Book Antiqua" w:hAnsi="Book Antiqua"/>
                <w:color w:val="141314"/>
                <w:sz w:val="24"/>
                <w:szCs w:val="24"/>
              </w:rPr>
              <w:t xml:space="preserve"> </w:t>
            </w:r>
            <w:r w:rsidR="00B429FF">
              <w:rPr>
                <w:rFonts w:ascii="Book Antiqua" w:hAnsi="Book Antiqua"/>
                <w:color w:val="141314"/>
                <w:sz w:val="24"/>
                <w:szCs w:val="24"/>
              </w:rPr>
              <w:t>(58</w:t>
            </w:r>
            <w:r w:rsidRPr="00B429FF">
              <w:rPr>
                <w:rFonts w:ascii="Book Antiqua" w:hAnsi="Book Antiqua"/>
                <w:color w:val="141314"/>
                <w:sz w:val="24"/>
                <w:szCs w:val="24"/>
              </w:rPr>
              <w:t>)</w:t>
            </w:r>
          </w:p>
        </w:tc>
        <w:tc>
          <w:tcPr>
            <w:tcW w:w="1985" w:type="dxa"/>
            <w:vMerge/>
            <w:shd w:val="clear" w:color="auto" w:fill="BFBFBF" w:themeFill="background1" w:themeFillShade="BF"/>
          </w:tcPr>
          <w:p w14:paraId="2A869C37" w14:textId="77F0B340" w:rsidR="0051421A" w:rsidRPr="00B429FF" w:rsidRDefault="0051421A" w:rsidP="00B429FF">
            <w:pPr>
              <w:snapToGrid w:val="0"/>
              <w:spacing w:line="360" w:lineRule="auto"/>
              <w:jc w:val="center"/>
              <w:rPr>
                <w:rFonts w:ascii="Book Antiqua" w:hAnsi="Book Antiqua"/>
                <w:color w:val="141314"/>
                <w:sz w:val="24"/>
                <w:szCs w:val="24"/>
              </w:rPr>
            </w:pPr>
          </w:p>
        </w:tc>
        <w:tc>
          <w:tcPr>
            <w:tcW w:w="1843" w:type="dxa"/>
            <w:vMerge/>
            <w:shd w:val="clear" w:color="auto" w:fill="BFBFBF" w:themeFill="background1" w:themeFillShade="BF"/>
          </w:tcPr>
          <w:p w14:paraId="0923C2A0" w14:textId="77777777" w:rsidR="0051421A" w:rsidRPr="00B429FF" w:rsidRDefault="0051421A" w:rsidP="00B429FF">
            <w:pPr>
              <w:snapToGrid w:val="0"/>
              <w:spacing w:line="360" w:lineRule="auto"/>
              <w:jc w:val="center"/>
              <w:rPr>
                <w:rFonts w:ascii="Book Antiqua" w:hAnsi="Book Antiqua"/>
                <w:color w:val="141314"/>
                <w:sz w:val="24"/>
                <w:szCs w:val="24"/>
              </w:rPr>
            </w:pPr>
          </w:p>
        </w:tc>
        <w:tc>
          <w:tcPr>
            <w:tcW w:w="1842" w:type="dxa"/>
            <w:vMerge w:val="restart"/>
            <w:shd w:val="clear" w:color="auto" w:fill="BFBFBF" w:themeFill="background1" w:themeFillShade="BF"/>
            <w:vAlign w:val="center"/>
          </w:tcPr>
          <w:p w14:paraId="3BEE2308" w14:textId="09D4E6FC" w:rsidR="0051421A" w:rsidRPr="00B429FF" w:rsidRDefault="0051421A" w:rsidP="00B429FF">
            <w:pPr>
              <w:snapToGrid w:val="0"/>
              <w:spacing w:line="360" w:lineRule="auto"/>
              <w:jc w:val="center"/>
              <w:rPr>
                <w:rFonts w:ascii="Book Antiqua" w:hAnsi="Book Antiqua"/>
                <w:color w:val="141314"/>
                <w:sz w:val="24"/>
                <w:szCs w:val="24"/>
              </w:rPr>
            </w:pPr>
            <w:r w:rsidRPr="00B429FF">
              <w:rPr>
                <w:rFonts w:ascii="Book Antiqua" w:hAnsi="Book Antiqua"/>
                <w:color w:val="141314"/>
                <w:sz w:val="24"/>
                <w:szCs w:val="24"/>
              </w:rPr>
              <w:t>Yes (248, 76%)</w:t>
            </w:r>
          </w:p>
        </w:tc>
        <w:tc>
          <w:tcPr>
            <w:tcW w:w="1762" w:type="dxa"/>
            <w:vMerge/>
            <w:shd w:val="clear" w:color="auto" w:fill="auto"/>
            <w:vAlign w:val="center"/>
          </w:tcPr>
          <w:p w14:paraId="39C2B882" w14:textId="77777777" w:rsidR="0051421A" w:rsidRPr="00B429FF" w:rsidRDefault="0051421A" w:rsidP="00B429FF">
            <w:pPr>
              <w:snapToGrid w:val="0"/>
              <w:spacing w:line="360" w:lineRule="auto"/>
              <w:jc w:val="center"/>
              <w:rPr>
                <w:rFonts w:ascii="Book Antiqua" w:hAnsi="Book Antiqua"/>
                <w:color w:val="141314"/>
                <w:sz w:val="24"/>
                <w:szCs w:val="24"/>
              </w:rPr>
            </w:pPr>
          </w:p>
        </w:tc>
      </w:tr>
      <w:tr w:rsidR="00B429FF" w:rsidRPr="00AE4053" w14:paraId="0B526B72" w14:textId="77777777" w:rsidTr="00B429FF">
        <w:trPr>
          <w:trHeight w:val="522"/>
        </w:trPr>
        <w:tc>
          <w:tcPr>
            <w:tcW w:w="1560" w:type="dxa"/>
          </w:tcPr>
          <w:p w14:paraId="3A9FAB8C" w14:textId="21DD7EB5" w:rsidR="0051421A" w:rsidRPr="00B429FF" w:rsidRDefault="0051421A" w:rsidP="00AE4053">
            <w:pPr>
              <w:snapToGrid w:val="0"/>
              <w:spacing w:line="360" w:lineRule="auto"/>
              <w:jc w:val="both"/>
              <w:rPr>
                <w:rFonts w:ascii="Book Antiqua" w:hAnsi="Book Antiqua"/>
                <w:color w:val="141314"/>
                <w:sz w:val="24"/>
                <w:szCs w:val="24"/>
              </w:rPr>
            </w:pPr>
            <w:r w:rsidRPr="00B429FF">
              <w:rPr>
                <w:rFonts w:ascii="Book Antiqua" w:hAnsi="Book Antiqua"/>
                <w:color w:val="141314"/>
                <w:sz w:val="24"/>
                <w:szCs w:val="24"/>
              </w:rPr>
              <w:t>&gt;</w:t>
            </w:r>
            <w:r w:rsidR="00B429FF" w:rsidRPr="00B429FF">
              <w:rPr>
                <w:rFonts w:ascii="Book Antiqua" w:hAnsi="Book Antiqua"/>
                <w:color w:val="141314"/>
                <w:sz w:val="24"/>
                <w:szCs w:val="24"/>
              </w:rPr>
              <w:t xml:space="preserve"> </w:t>
            </w:r>
            <w:r w:rsidRPr="00B429FF">
              <w:rPr>
                <w:rFonts w:ascii="Book Antiqua" w:hAnsi="Book Antiqua"/>
                <w:color w:val="141314"/>
                <w:sz w:val="24"/>
                <w:szCs w:val="24"/>
              </w:rPr>
              <w:t>20</w:t>
            </w:r>
          </w:p>
        </w:tc>
        <w:tc>
          <w:tcPr>
            <w:tcW w:w="1275" w:type="dxa"/>
          </w:tcPr>
          <w:p w14:paraId="1A84DCB3" w14:textId="34FE8859" w:rsidR="0051421A" w:rsidRPr="00B429FF" w:rsidRDefault="0051421A" w:rsidP="00B429FF">
            <w:pPr>
              <w:snapToGrid w:val="0"/>
              <w:spacing w:line="360" w:lineRule="auto"/>
              <w:jc w:val="center"/>
              <w:rPr>
                <w:rFonts w:ascii="Book Antiqua" w:hAnsi="Book Antiqua"/>
                <w:color w:val="141314"/>
                <w:sz w:val="24"/>
                <w:szCs w:val="24"/>
              </w:rPr>
            </w:pPr>
            <w:r w:rsidRPr="00B429FF">
              <w:rPr>
                <w:rFonts w:ascii="Book Antiqua" w:hAnsi="Book Antiqua"/>
                <w:color w:val="141314"/>
                <w:sz w:val="24"/>
                <w:szCs w:val="24"/>
              </w:rPr>
              <w:t>60</w:t>
            </w:r>
            <w:r w:rsidR="00B429FF" w:rsidRPr="00B429FF">
              <w:rPr>
                <w:rFonts w:ascii="Book Antiqua" w:hAnsi="Book Antiqua"/>
                <w:color w:val="141314"/>
                <w:sz w:val="24"/>
                <w:szCs w:val="24"/>
              </w:rPr>
              <w:t xml:space="preserve"> </w:t>
            </w:r>
            <w:r w:rsidR="00B429FF">
              <w:rPr>
                <w:rFonts w:ascii="Book Antiqua" w:hAnsi="Book Antiqua"/>
                <w:color w:val="141314"/>
                <w:sz w:val="24"/>
                <w:szCs w:val="24"/>
              </w:rPr>
              <w:t>(18</w:t>
            </w:r>
            <w:r w:rsidRPr="00B429FF">
              <w:rPr>
                <w:rFonts w:ascii="Book Antiqua" w:hAnsi="Book Antiqua"/>
                <w:color w:val="141314"/>
                <w:sz w:val="24"/>
                <w:szCs w:val="24"/>
              </w:rPr>
              <w:t>)</w:t>
            </w:r>
          </w:p>
        </w:tc>
        <w:tc>
          <w:tcPr>
            <w:tcW w:w="1985" w:type="dxa"/>
            <w:vMerge/>
            <w:shd w:val="clear" w:color="auto" w:fill="BFBFBF" w:themeFill="background1" w:themeFillShade="BF"/>
          </w:tcPr>
          <w:p w14:paraId="023CA528" w14:textId="43309A63" w:rsidR="0051421A" w:rsidRPr="00B429FF" w:rsidRDefault="0051421A" w:rsidP="00B429FF">
            <w:pPr>
              <w:snapToGrid w:val="0"/>
              <w:spacing w:line="360" w:lineRule="auto"/>
              <w:jc w:val="center"/>
              <w:rPr>
                <w:rFonts w:ascii="Book Antiqua" w:hAnsi="Book Antiqua"/>
                <w:color w:val="141314"/>
                <w:sz w:val="24"/>
                <w:szCs w:val="24"/>
              </w:rPr>
            </w:pPr>
          </w:p>
        </w:tc>
        <w:tc>
          <w:tcPr>
            <w:tcW w:w="1843" w:type="dxa"/>
            <w:vMerge/>
            <w:shd w:val="clear" w:color="auto" w:fill="BFBFBF" w:themeFill="background1" w:themeFillShade="BF"/>
          </w:tcPr>
          <w:p w14:paraId="6B98A6E7" w14:textId="77777777" w:rsidR="0051421A" w:rsidRPr="00B429FF" w:rsidRDefault="0051421A" w:rsidP="00B429FF">
            <w:pPr>
              <w:snapToGrid w:val="0"/>
              <w:spacing w:line="360" w:lineRule="auto"/>
              <w:jc w:val="center"/>
              <w:rPr>
                <w:rFonts w:ascii="Book Antiqua" w:hAnsi="Book Antiqua"/>
                <w:color w:val="141314"/>
                <w:sz w:val="24"/>
                <w:szCs w:val="24"/>
              </w:rPr>
            </w:pPr>
          </w:p>
        </w:tc>
        <w:tc>
          <w:tcPr>
            <w:tcW w:w="1842" w:type="dxa"/>
            <w:vMerge/>
            <w:shd w:val="clear" w:color="auto" w:fill="BFBFBF" w:themeFill="background1" w:themeFillShade="BF"/>
          </w:tcPr>
          <w:p w14:paraId="5A47CEAD" w14:textId="77777777" w:rsidR="0051421A" w:rsidRPr="00B429FF" w:rsidRDefault="0051421A" w:rsidP="00B429FF">
            <w:pPr>
              <w:snapToGrid w:val="0"/>
              <w:spacing w:line="360" w:lineRule="auto"/>
              <w:jc w:val="center"/>
              <w:rPr>
                <w:rFonts w:ascii="Book Antiqua" w:hAnsi="Book Antiqua"/>
                <w:color w:val="141314"/>
                <w:sz w:val="24"/>
                <w:szCs w:val="24"/>
              </w:rPr>
            </w:pPr>
          </w:p>
        </w:tc>
        <w:tc>
          <w:tcPr>
            <w:tcW w:w="1762" w:type="dxa"/>
            <w:shd w:val="clear" w:color="auto" w:fill="BFBFBF" w:themeFill="background1" w:themeFillShade="BF"/>
            <w:vAlign w:val="center"/>
          </w:tcPr>
          <w:p w14:paraId="0FD09CD7" w14:textId="1110476D" w:rsidR="0051421A" w:rsidRPr="00B429FF" w:rsidRDefault="0051421A" w:rsidP="00B429FF">
            <w:pPr>
              <w:snapToGrid w:val="0"/>
              <w:spacing w:line="360" w:lineRule="auto"/>
              <w:jc w:val="center"/>
              <w:rPr>
                <w:rFonts w:ascii="Book Antiqua" w:hAnsi="Book Antiqua"/>
                <w:color w:val="141314"/>
                <w:sz w:val="24"/>
                <w:szCs w:val="24"/>
              </w:rPr>
            </w:pPr>
            <w:r w:rsidRPr="00B429FF">
              <w:rPr>
                <w:rFonts w:ascii="Book Antiqua" w:hAnsi="Book Antiqua"/>
                <w:color w:val="141314"/>
                <w:sz w:val="24"/>
                <w:szCs w:val="24"/>
              </w:rPr>
              <w:t>Yes (60, 18%)</w:t>
            </w:r>
          </w:p>
        </w:tc>
      </w:tr>
    </w:tbl>
    <w:p w14:paraId="0FD28870" w14:textId="26E829A8" w:rsidR="006B0C52" w:rsidRPr="00B429FF" w:rsidRDefault="006B0C52" w:rsidP="00AE4053">
      <w:pPr>
        <w:snapToGrid w:val="0"/>
        <w:spacing w:after="0" w:line="360" w:lineRule="auto"/>
        <w:jc w:val="both"/>
        <w:rPr>
          <w:rFonts w:ascii="Book Antiqua" w:hAnsi="Book Antiqua"/>
          <w:color w:val="141314"/>
          <w:sz w:val="24"/>
          <w:szCs w:val="24"/>
        </w:rPr>
      </w:pPr>
      <w:r w:rsidRPr="00B429FF">
        <w:rPr>
          <w:rFonts w:ascii="Book Antiqua" w:hAnsi="Book Antiqua"/>
          <w:color w:val="141314"/>
          <w:sz w:val="24"/>
          <w:szCs w:val="24"/>
        </w:rPr>
        <w:t>CSPH</w:t>
      </w:r>
      <w:r w:rsidR="00B429FF">
        <w:rPr>
          <w:rFonts w:ascii="Book Antiqua" w:hAnsi="Book Antiqua"/>
          <w:color w:val="141314"/>
          <w:sz w:val="24"/>
          <w:szCs w:val="24"/>
        </w:rPr>
        <w:t xml:space="preserve">: </w:t>
      </w:r>
      <w:r w:rsidRPr="00B429FF">
        <w:rPr>
          <w:rFonts w:ascii="Book Antiqua" w:hAnsi="Book Antiqua"/>
          <w:caps/>
          <w:color w:val="141314"/>
          <w:sz w:val="24"/>
          <w:szCs w:val="24"/>
        </w:rPr>
        <w:t>c</w:t>
      </w:r>
      <w:r w:rsidRPr="00B429FF">
        <w:rPr>
          <w:rFonts w:ascii="Book Antiqua" w:hAnsi="Book Antiqua"/>
          <w:color w:val="141314"/>
          <w:sz w:val="24"/>
          <w:szCs w:val="24"/>
        </w:rPr>
        <w:t>linically significant portal hypertension; SPH</w:t>
      </w:r>
      <w:r w:rsidR="00B429FF">
        <w:rPr>
          <w:rFonts w:ascii="Book Antiqua" w:hAnsi="Book Antiqua"/>
          <w:color w:val="141314"/>
          <w:sz w:val="24"/>
          <w:szCs w:val="24"/>
        </w:rPr>
        <w:t>:</w:t>
      </w:r>
      <w:r w:rsidRPr="00B429FF">
        <w:rPr>
          <w:rFonts w:ascii="Book Antiqua" w:hAnsi="Book Antiqua"/>
          <w:color w:val="141314"/>
          <w:sz w:val="24"/>
          <w:szCs w:val="24"/>
        </w:rPr>
        <w:t xml:space="preserve"> </w:t>
      </w:r>
      <w:r w:rsidRPr="00B429FF">
        <w:rPr>
          <w:rFonts w:ascii="Book Antiqua" w:hAnsi="Book Antiqua"/>
          <w:caps/>
          <w:color w:val="141314"/>
          <w:sz w:val="24"/>
          <w:szCs w:val="24"/>
        </w:rPr>
        <w:t>s</w:t>
      </w:r>
      <w:r w:rsidRPr="00B429FF">
        <w:rPr>
          <w:rFonts w:ascii="Book Antiqua" w:hAnsi="Book Antiqua"/>
          <w:color w:val="141314"/>
          <w:sz w:val="24"/>
          <w:szCs w:val="24"/>
        </w:rPr>
        <w:t>evere portal hypertension; VSPH</w:t>
      </w:r>
      <w:r w:rsidR="00B429FF">
        <w:rPr>
          <w:rFonts w:ascii="Book Antiqua" w:hAnsi="Book Antiqua"/>
          <w:color w:val="141314"/>
          <w:sz w:val="24"/>
          <w:szCs w:val="24"/>
        </w:rPr>
        <w:t xml:space="preserve">: </w:t>
      </w:r>
      <w:r w:rsidRPr="00B429FF">
        <w:rPr>
          <w:rFonts w:ascii="Book Antiqua" w:hAnsi="Book Antiqua"/>
          <w:caps/>
          <w:color w:val="141314"/>
          <w:sz w:val="24"/>
          <w:szCs w:val="24"/>
        </w:rPr>
        <w:t>v</w:t>
      </w:r>
      <w:r w:rsidRPr="00B429FF">
        <w:rPr>
          <w:rFonts w:ascii="Book Antiqua" w:hAnsi="Book Antiqua"/>
          <w:color w:val="141314"/>
          <w:sz w:val="24"/>
          <w:szCs w:val="24"/>
        </w:rPr>
        <w:t>ery severe portal hypertension.</w:t>
      </w:r>
    </w:p>
    <w:p w14:paraId="4833352C" w14:textId="22B4E53A" w:rsidR="00DD6F9B" w:rsidRPr="004C6C39" w:rsidRDefault="002B4B93" w:rsidP="00AE4053">
      <w:pPr>
        <w:snapToGrid w:val="0"/>
        <w:spacing w:after="0" w:line="360" w:lineRule="auto"/>
        <w:jc w:val="both"/>
        <w:rPr>
          <w:rFonts w:ascii="Book Antiqua" w:hAnsi="Book Antiqua"/>
          <w:b/>
          <w:i/>
          <w:color w:val="141314"/>
          <w:sz w:val="24"/>
          <w:szCs w:val="24"/>
        </w:rPr>
      </w:pPr>
      <w:r w:rsidRPr="00AE4053">
        <w:rPr>
          <w:rFonts w:ascii="Book Antiqua" w:hAnsi="Book Antiqua"/>
          <w:b/>
          <w:i/>
          <w:color w:val="141314"/>
          <w:sz w:val="24"/>
          <w:szCs w:val="24"/>
        </w:rPr>
        <w:br w:type="page"/>
      </w:r>
    </w:p>
    <w:p w14:paraId="74458FC5" w14:textId="4D226CFE" w:rsidR="001A70E1" w:rsidRPr="00AE4053" w:rsidRDefault="00AB3DB0" w:rsidP="00AE4053">
      <w:pPr>
        <w:snapToGrid w:val="0"/>
        <w:spacing w:after="0" w:line="360" w:lineRule="auto"/>
        <w:jc w:val="both"/>
        <w:rPr>
          <w:rFonts w:ascii="Book Antiqua" w:hAnsi="Book Antiqua"/>
          <w:b/>
          <w:color w:val="141314"/>
          <w:sz w:val="24"/>
          <w:szCs w:val="24"/>
        </w:rPr>
      </w:pPr>
      <w:r w:rsidRPr="00AE4053">
        <w:rPr>
          <w:rFonts w:ascii="Book Antiqua" w:hAnsi="Book Antiqua"/>
          <w:b/>
          <w:color w:val="141314"/>
          <w:sz w:val="24"/>
          <w:szCs w:val="24"/>
        </w:rPr>
        <w:lastRenderedPageBreak/>
        <w:t xml:space="preserve">Table </w:t>
      </w:r>
      <w:r w:rsidR="006B7523" w:rsidRPr="00AE4053">
        <w:rPr>
          <w:rFonts w:ascii="Book Antiqua" w:hAnsi="Book Antiqua"/>
          <w:b/>
          <w:color w:val="141314"/>
          <w:sz w:val="24"/>
          <w:szCs w:val="24"/>
        </w:rPr>
        <w:t>3</w:t>
      </w:r>
      <w:r w:rsidR="004C6C39">
        <w:rPr>
          <w:rFonts w:ascii="Book Antiqua" w:hAnsi="Book Antiqua"/>
          <w:b/>
          <w:color w:val="141314"/>
          <w:sz w:val="24"/>
          <w:szCs w:val="24"/>
        </w:rPr>
        <w:t xml:space="preserve"> </w:t>
      </w:r>
      <w:r w:rsidR="001A70E1" w:rsidRPr="00AE4053">
        <w:rPr>
          <w:rFonts w:ascii="Book Antiqua" w:hAnsi="Book Antiqua"/>
          <w:b/>
          <w:color w:val="141314"/>
          <w:sz w:val="24"/>
          <w:szCs w:val="24"/>
        </w:rPr>
        <w:t xml:space="preserve">Predictive values of transient </w:t>
      </w:r>
      <w:proofErr w:type="spellStart"/>
      <w:r w:rsidR="001A70E1" w:rsidRPr="00AE4053">
        <w:rPr>
          <w:rFonts w:ascii="Book Antiqua" w:hAnsi="Book Antiqua"/>
          <w:b/>
          <w:color w:val="141314"/>
          <w:sz w:val="24"/>
          <w:szCs w:val="24"/>
        </w:rPr>
        <w:t>elastography</w:t>
      </w:r>
      <w:proofErr w:type="spellEnd"/>
      <w:r w:rsidR="001A70E1" w:rsidRPr="00AE4053">
        <w:rPr>
          <w:rFonts w:ascii="Book Antiqua" w:hAnsi="Book Antiqua"/>
          <w:b/>
          <w:color w:val="141314"/>
          <w:sz w:val="24"/>
          <w:szCs w:val="24"/>
        </w:rPr>
        <w:t xml:space="preserve"> for </w:t>
      </w:r>
      <w:r w:rsidR="007E6753" w:rsidRPr="00AE4053">
        <w:rPr>
          <w:rFonts w:ascii="Book Antiqua" w:hAnsi="Book Antiqua"/>
          <w:b/>
          <w:color w:val="141314"/>
          <w:sz w:val="24"/>
          <w:szCs w:val="24"/>
        </w:rPr>
        <w:t xml:space="preserve">the </w:t>
      </w:r>
      <w:r w:rsidR="001A70E1" w:rsidRPr="00AE4053">
        <w:rPr>
          <w:rFonts w:ascii="Book Antiqua" w:hAnsi="Book Antiqua"/>
          <w:b/>
          <w:color w:val="141314"/>
          <w:sz w:val="24"/>
          <w:szCs w:val="24"/>
        </w:rPr>
        <w:t>prediction of clinically significant porta</w:t>
      </w:r>
      <w:r w:rsidR="009C17C4">
        <w:rPr>
          <w:rFonts w:ascii="Book Antiqua" w:hAnsi="Book Antiqua"/>
          <w:b/>
          <w:color w:val="141314"/>
          <w:sz w:val="24"/>
          <w:szCs w:val="24"/>
        </w:rPr>
        <w:t>l hypertension (HVPG ≥ 10 mm</w:t>
      </w:r>
      <w:r w:rsidR="004C6C39">
        <w:rPr>
          <w:rFonts w:ascii="Book Antiqua" w:hAnsi="Book Antiqua"/>
          <w:b/>
          <w:color w:val="141314"/>
          <w:sz w:val="24"/>
          <w:szCs w:val="24"/>
        </w:rPr>
        <w:t>Hg)</w:t>
      </w:r>
    </w:p>
    <w:tbl>
      <w:tblPr>
        <w:tblStyle w:val="ad"/>
        <w:tblW w:w="11036" w:type="dxa"/>
        <w:tblInd w:w="-885" w:type="dxa"/>
        <w:tblLayout w:type="fixed"/>
        <w:tblLook w:val="04A0" w:firstRow="1" w:lastRow="0" w:firstColumn="1" w:lastColumn="0" w:noHBand="0" w:noVBand="1"/>
      </w:tblPr>
      <w:tblGrid>
        <w:gridCol w:w="1335"/>
        <w:gridCol w:w="792"/>
        <w:gridCol w:w="919"/>
        <w:gridCol w:w="765"/>
        <w:gridCol w:w="1073"/>
        <w:gridCol w:w="1073"/>
        <w:gridCol w:w="1074"/>
        <w:gridCol w:w="1144"/>
        <w:gridCol w:w="1085"/>
        <w:gridCol w:w="888"/>
        <w:gridCol w:w="888"/>
      </w:tblGrid>
      <w:tr w:rsidR="00B70880" w:rsidRPr="00AE4053" w14:paraId="603D8A5C" w14:textId="77777777" w:rsidTr="009C17C4">
        <w:trPr>
          <w:cnfStyle w:val="100000000000" w:firstRow="1" w:lastRow="0" w:firstColumn="0" w:lastColumn="0" w:oddVBand="0" w:evenVBand="0" w:oddHBand="0" w:evenHBand="0" w:firstRowFirstColumn="0" w:firstRowLastColumn="0" w:lastRowFirstColumn="0" w:lastRowLastColumn="0"/>
          <w:trHeight w:val="2187"/>
        </w:trPr>
        <w:tc>
          <w:tcPr>
            <w:cnfStyle w:val="001000000000" w:firstRow="0" w:lastRow="0" w:firstColumn="1" w:lastColumn="0" w:oddVBand="0" w:evenVBand="0" w:oddHBand="0" w:evenHBand="0" w:firstRowFirstColumn="0" w:firstRowLastColumn="0" w:lastRowFirstColumn="0" w:lastRowLastColumn="0"/>
            <w:tcW w:w="1335" w:type="dxa"/>
          </w:tcPr>
          <w:p w14:paraId="22A7899C" w14:textId="4C8A6046" w:rsidR="00C13B1B" w:rsidRPr="00AE4053" w:rsidRDefault="009C17C4" w:rsidP="009C17C4">
            <w:pPr>
              <w:snapToGrid w:val="0"/>
              <w:spacing w:line="360" w:lineRule="auto"/>
              <w:rPr>
                <w:rFonts w:ascii="Book Antiqua" w:hAnsi="Book Antiqua"/>
                <w:color w:val="141314"/>
                <w:sz w:val="24"/>
                <w:szCs w:val="24"/>
              </w:rPr>
            </w:pPr>
            <w:r>
              <w:rPr>
                <w:rFonts w:ascii="Book Antiqua" w:hAnsi="Book Antiqua"/>
                <w:color w:val="141314"/>
                <w:sz w:val="24"/>
                <w:szCs w:val="24"/>
              </w:rPr>
              <w:t>TE cut-off value (mm</w:t>
            </w:r>
            <w:r w:rsidR="00C13B1B" w:rsidRPr="00AE4053">
              <w:rPr>
                <w:rFonts w:ascii="Book Antiqua" w:hAnsi="Book Antiqua"/>
                <w:color w:val="141314"/>
                <w:sz w:val="24"/>
                <w:szCs w:val="24"/>
              </w:rPr>
              <w:t>Hg)</w:t>
            </w:r>
          </w:p>
        </w:tc>
        <w:tc>
          <w:tcPr>
            <w:tcW w:w="792" w:type="dxa"/>
          </w:tcPr>
          <w:p w14:paraId="1056F4B9" w14:textId="0B5A7236" w:rsidR="00540104" w:rsidRPr="00AE4053" w:rsidRDefault="009C17C4" w:rsidP="009C17C4">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CSPH </w:t>
            </w:r>
            <w:r w:rsidR="00540104" w:rsidRPr="00AE4053">
              <w:rPr>
                <w:rFonts w:ascii="Book Antiqua" w:hAnsi="Book Antiqua"/>
                <w:color w:val="141314"/>
                <w:sz w:val="24"/>
                <w:szCs w:val="24"/>
              </w:rPr>
              <w:t>(</w:t>
            </w:r>
            <w:r w:rsidR="00540104" w:rsidRPr="009C17C4">
              <w:rPr>
                <w:rFonts w:ascii="Book Antiqua" w:hAnsi="Book Antiqua"/>
                <w:i/>
                <w:color w:val="141314"/>
                <w:sz w:val="24"/>
                <w:szCs w:val="24"/>
              </w:rPr>
              <w:t>n</w:t>
            </w:r>
            <w:r w:rsidR="00540104" w:rsidRPr="00AE4053">
              <w:rPr>
                <w:rFonts w:ascii="Book Antiqua" w:hAnsi="Book Antiqua"/>
                <w:color w:val="141314"/>
                <w:sz w:val="24"/>
                <w:szCs w:val="24"/>
              </w:rPr>
              <w:t>)</w:t>
            </w:r>
          </w:p>
        </w:tc>
        <w:tc>
          <w:tcPr>
            <w:tcW w:w="919" w:type="dxa"/>
          </w:tcPr>
          <w:p w14:paraId="72F728E2" w14:textId="4CB2330D" w:rsidR="00540104" w:rsidRPr="00AE4053" w:rsidRDefault="009C17C4" w:rsidP="009C17C4">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No CSPH </w:t>
            </w:r>
            <w:r w:rsidR="00540104" w:rsidRPr="00AE4053">
              <w:rPr>
                <w:rFonts w:ascii="Book Antiqua" w:hAnsi="Book Antiqua"/>
                <w:color w:val="141314"/>
                <w:sz w:val="24"/>
                <w:szCs w:val="24"/>
              </w:rPr>
              <w:t>(</w:t>
            </w:r>
            <w:r w:rsidR="00540104" w:rsidRPr="009C17C4">
              <w:rPr>
                <w:rFonts w:ascii="Book Antiqua" w:hAnsi="Book Antiqua"/>
                <w:i/>
                <w:color w:val="141314"/>
                <w:sz w:val="24"/>
                <w:szCs w:val="24"/>
              </w:rPr>
              <w:t>n</w:t>
            </w:r>
            <w:r w:rsidR="00540104" w:rsidRPr="00AE4053">
              <w:rPr>
                <w:rFonts w:ascii="Book Antiqua" w:hAnsi="Book Antiqua"/>
                <w:color w:val="141314"/>
                <w:sz w:val="24"/>
                <w:szCs w:val="24"/>
              </w:rPr>
              <w:t>)</w:t>
            </w:r>
          </w:p>
        </w:tc>
        <w:tc>
          <w:tcPr>
            <w:tcW w:w="765" w:type="dxa"/>
          </w:tcPr>
          <w:p w14:paraId="0EE8517A" w14:textId="74FFBCA1" w:rsidR="00540104" w:rsidRPr="00AE4053" w:rsidRDefault="009C17C4" w:rsidP="009C17C4">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Total </w:t>
            </w:r>
            <w:r w:rsidR="00540104" w:rsidRPr="00AE4053">
              <w:rPr>
                <w:rFonts w:ascii="Book Antiqua" w:hAnsi="Book Antiqua"/>
                <w:color w:val="141314"/>
                <w:sz w:val="24"/>
                <w:szCs w:val="24"/>
              </w:rPr>
              <w:t>(</w:t>
            </w:r>
            <w:r w:rsidR="00540104" w:rsidRPr="009C17C4">
              <w:rPr>
                <w:rFonts w:ascii="Book Antiqua" w:hAnsi="Book Antiqua"/>
                <w:i/>
                <w:color w:val="141314"/>
                <w:sz w:val="24"/>
                <w:szCs w:val="24"/>
              </w:rPr>
              <w:t>n</w:t>
            </w:r>
            <w:r w:rsidR="00540104" w:rsidRPr="00AE4053">
              <w:rPr>
                <w:rFonts w:ascii="Book Antiqua" w:hAnsi="Book Antiqua"/>
                <w:color w:val="141314"/>
                <w:sz w:val="24"/>
                <w:szCs w:val="24"/>
              </w:rPr>
              <w:t>)</w:t>
            </w:r>
          </w:p>
        </w:tc>
        <w:tc>
          <w:tcPr>
            <w:tcW w:w="1073" w:type="dxa"/>
          </w:tcPr>
          <w:p w14:paraId="018A740A" w14:textId="613D2BBB" w:rsidR="00540104" w:rsidRPr="00AE4053" w:rsidRDefault="009C17C4" w:rsidP="009C17C4">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Sensitivity </w:t>
            </w:r>
            <w:r w:rsidR="00540104" w:rsidRPr="00AE4053">
              <w:rPr>
                <w:rFonts w:ascii="Book Antiqua" w:hAnsi="Book Antiqua"/>
                <w:color w:val="141314"/>
                <w:sz w:val="24"/>
                <w:szCs w:val="24"/>
              </w:rPr>
              <w:t>(95%</w:t>
            </w:r>
            <w:r w:rsidR="00E72F9A" w:rsidRPr="00AE4053">
              <w:rPr>
                <w:rFonts w:ascii="Book Antiqua" w:hAnsi="Book Antiqua"/>
                <w:color w:val="141314"/>
                <w:sz w:val="24"/>
                <w:szCs w:val="24"/>
              </w:rPr>
              <w:t xml:space="preserve"> </w:t>
            </w:r>
            <w:r w:rsidR="00540104" w:rsidRPr="00AE4053">
              <w:rPr>
                <w:rFonts w:ascii="Book Antiqua" w:hAnsi="Book Antiqua"/>
                <w:color w:val="141314"/>
                <w:sz w:val="24"/>
                <w:szCs w:val="24"/>
              </w:rPr>
              <w:t>CI)</w:t>
            </w:r>
          </w:p>
        </w:tc>
        <w:tc>
          <w:tcPr>
            <w:tcW w:w="1073" w:type="dxa"/>
          </w:tcPr>
          <w:p w14:paraId="37925862" w14:textId="68E954D2" w:rsidR="00540104" w:rsidRPr="00AE4053" w:rsidRDefault="009C17C4" w:rsidP="009C17C4">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Specificity </w:t>
            </w:r>
            <w:r w:rsidR="00540104" w:rsidRPr="00AE4053">
              <w:rPr>
                <w:rFonts w:ascii="Book Antiqua" w:hAnsi="Book Antiqua"/>
                <w:color w:val="141314"/>
                <w:sz w:val="24"/>
                <w:szCs w:val="24"/>
              </w:rPr>
              <w:t>(95%</w:t>
            </w:r>
            <w:r w:rsidR="00E72F9A" w:rsidRPr="00AE4053">
              <w:rPr>
                <w:rFonts w:ascii="Book Antiqua" w:hAnsi="Book Antiqua"/>
                <w:color w:val="141314"/>
                <w:sz w:val="24"/>
                <w:szCs w:val="24"/>
              </w:rPr>
              <w:t xml:space="preserve"> </w:t>
            </w:r>
            <w:r w:rsidR="00540104" w:rsidRPr="00AE4053">
              <w:rPr>
                <w:rFonts w:ascii="Book Antiqua" w:hAnsi="Book Antiqua"/>
                <w:color w:val="141314"/>
                <w:sz w:val="24"/>
                <w:szCs w:val="24"/>
              </w:rPr>
              <w:t>CI)</w:t>
            </w:r>
          </w:p>
        </w:tc>
        <w:tc>
          <w:tcPr>
            <w:tcW w:w="1074" w:type="dxa"/>
          </w:tcPr>
          <w:p w14:paraId="04557CA6" w14:textId="5F66A17A" w:rsidR="00540104" w:rsidRPr="00AE4053" w:rsidRDefault="009C17C4" w:rsidP="009C17C4">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PPV </w:t>
            </w:r>
            <w:r w:rsidR="00540104" w:rsidRPr="00AE4053">
              <w:rPr>
                <w:rFonts w:ascii="Book Antiqua" w:hAnsi="Book Antiqua"/>
                <w:color w:val="141314"/>
                <w:sz w:val="24"/>
                <w:szCs w:val="24"/>
              </w:rPr>
              <w:t>(95%CI)</w:t>
            </w:r>
          </w:p>
        </w:tc>
        <w:tc>
          <w:tcPr>
            <w:tcW w:w="1144" w:type="dxa"/>
          </w:tcPr>
          <w:p w14:paraId="5E9BB176" w14:textId="00D00B64" w:rsidR="00540104" w:rsidRPr="00AE4053" w:rsidRDefault="009C17C4" w:rsidP="009C17C4">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NPV </w:t>
            </w:r>
            <w:r w:rsidR="00540104" w:rsidRPr="00AE4053">
              <w:rPr>
                <w:rFonts w:ascii="Book Antiqua" w:hAnsi="Book Antiqua"/>
                <w:color w:val="141314"/>
                <w:sz w:val="24"/>
                <w:szCs w:val="24"/>
              </w:rPr>
              <w:t>(95%CI)</w:t>
            </w:r>
          </w:p>
        </w:tc>
        <w:tc>
          <w:tcPr>
            <w:tcW w:w="1085" w:type="dxa"/>
          </w:tcPr>
          <w:p w14:paraId="15F3EECF" w14:textId="4DE43C09" w:rsidR="00540104" w:rsidRPr="00AE4053" w:rsidRDefault="009C17C4" w:rsidP="009C17C4">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Accuracy </w:t>
            </w:r>
            <w:r w:rsidR="00540104" w:rsidRPr="00AE4053">
              <w:rPr>
                <w:rFonts w:ascii="Book Antiqua" w:hAnsi="Book Antiqua"/>
                <w:color w:val="141314"/>
                <w:sz w:val="24"/>
                <w:szCs w:val="24"/>
              </w:rPr>
              <w:t>(95%CI)</w:t>
            </w:r>
          </w:p>
        </w:tc>
        <w:tc>
          <w:tcPr>
            <w:tcW w:w="888" w:type="dxa"/>
          </w:tcPr>
          <w:p w14:paraId="2CE534D5" w14:textId="5C79787D" w:rsidR="00540104" w:rsidRPr="00AE4053" w:rsidRDefault="009C17C4" w:rsidP="009C17C4">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LR+ </w:t>
            </w:r>
            <w:r w:rsidR="00540104" w:rsidRPr="00AE4053">
              <w:rPr>
                <w:rFonts w:ascii="Book Antiqua" w:hAnsi="Book Antiqua"/>
                <w:color w:val="141314"/>
                <w:sz w:val="24"/>
                <w:szCs w:val="24"/>
              </w:rPr>
              <w:t>(95%CI)</w:t>
            </w:r>
          </w:p>
        </w:tc>
        <w:tc>
          <w:tcPr>
            <w:tcW w:w="888" w:type="dxa"/>
          </w:tcPr>
          <w:p w14:paraId="4A1D471A" w14:textId="7995E009" w:rsidR="00540104" w:rsidRPr="00AE4053" w:rsidRDefault="009C17C4" w:rsidP="009C17C4">
            <w:pPr>
              <w:snapToGrid w:val="0"/>
              <w:spacing w:line="360" w:lineRule="auto"/>
              <w:ind w:left="118" w:hangingChars="49" w:hanging="118"/>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LR-</w:t>
            </w:r>
            <w:r w:rsidR="00540104" w:rsidRPr="00AE4053">
              <w:rPr>
                <w:rFonts w:ascii="Book Antiqua" w:hAnsi="Book Antiqua"/>
                <w:color w:val="141314"/>
                <w:sz w:val="24"/>
                <w:szCs w:val="24"/>
              </w:rPr>
              <w:t>(95%CI)</w:t>
            </w:r>
          </w:p>
        </w:tc>
      </w:tr>
      <w:tr w:rsidR="00B70880" w:rsidRPr="00AE4053" w14:paraId="47DFEAF5" w14:textId="77777777" w:rsidTr="009C17C4">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35" w:type="dxa"/>
          </w:tcPr>
          <w:p w14:paraId="33F1C410" w14:textId="3CBC32B3" w:rsidR="00C13B1B" w:rsidRPr="009C17C4" w:rsidRDefault="00C13B1B" w:rsidP="009C17C4">
            <w:pPr>
              <w:snapToGrid w:val="0"/>
              <w:spacing w:line="360" w:lineRule="auto"/>
              <w:rPr>
                <w:rFonts w:ascii="Book Antiqua" w:hAnsi="Book Antiqua"/>
                <w:b w:val="0"/>
                <w:color w:val="141314"/>
                <w:sz w:val="24"/>
                <w:szCs w:val="24"/>
              </w:rPr>
            </w:pPr>
            <w:r w:rsidRPr="009C17C4">
              <w:rPr>
                <w:rFonts w:ascii="Book Antiqua" w:hAnsi="Book Antiqua"/>
                <w:b w:val="0"/>
                <w:color w:val="141314"/>
                <w:sz w:val="24"/>
                <w:szCs w:val="24"/>
              </w:rPr>
              <w:t>≥</w:t>
            </w:r>
            <w:r w:rsidR="009C17C4" w:rsidRPr="009C17C4">
              <w:rPr>
                <w:rFonts w:ascii="Book Antiqua" w:hAnsi="Book Antiqua"/>
                <w:b w:val="0"/>
                <w:color w:val="141314"/>
                <w:sz w:val="24"/>
                <w:szCs w:val="24"/>
              </w:rPr>
              <w:t xml:space="preserve"> </w:t>
            </w:r>
            <w:r w:rsidRPr="009C17C4">
              <w:rPr>
                <w:rFonts w:ascii="Book Antiqua" w:hAnsi="Book Antiqua"/>
                <w:b w:val="0"/>
                <w:color w:val="141314"/>
                <w:sz w:val="24"/>
                <w:szCs w:val="24"/>
              </w:rPr>
              <w:t>21.6</w:t>
            </w:r>
          </w:p>
        </w:tc>
        <w:tc>
          <w:tcPr>
            <w:tcW w:w="792" w:type="dxa"/>
          </w:tcPr>
          <w:p w14:paraId="5CFB6F14" w14:textId="6731BF56" w:rsidR="00C13B1B" w:rsidRPr="00AE4053" w:rsidRDefault="00C13B1B"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219</w:t>
            </w:r>
          </w:p>
        </w:tc>
        <w:tc>
          <w:tcPr>
            <w:tcW w:w="919" w:type="dxa"/>
          </w:tcPr>
          <w:p w14:paraId="34E1473B" w14:textId="7A862C5E" w:rsidR="00C13B1B" w:rsidRPr="00AE4053" w:rsidRDefault="00C13B1B"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16</w:t>
            </w:r>
          </w:p>
        </w:tc>
        <w:tc>
          <w:tcPr>
            <w:tcW w:w="765" w:type="dxa"/>
          </w:tcPr>
          <w:p w14:paraId="41766AAA" w14:textId="0E146502" w:rsidR="00C13B1B" w:rsidRPr="00AE4053" w:rsidRDefault="00C13B1B"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235</w:t>
            </w:r>
          </w:p>
        </w:tc>
        <w:tc>
          <w:tcPr>
            <w:tcW w:w="1073" w:type="dxa"/>
            <w:vMerge w:val="restart"/>
            <w:vAlign w:val="center"/>
          </w:tcPr>
          <w:p w14:paraId="76E6D97D" w14:textId="493225C2" w:rsidR="00C13B1B" w:rsidRPr="00AE4053" w:rsidRDefault="009C17C4"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79% </w:t>
            </w:r>
            <w:r w:rsidR="00C13B1B" w:rsidRPr="00AE4053">
              <w:rPr>
                <w:rFonts w:ascii="Book Antiqua" w:hAnsi="Book Antiqua"/>
                <w:color w:val="141314"/>
                <w:sz w:val="24"/>
                <w:szCs w:val="24"/>
              </w:rPr>
              <w:t>(74%-83%)</w:t>
            </w:r>
          </w:p>
        </w:tc>
        <w:tc>
          <w:tcPr>
            <w:tcW w:w="1073" w:type="dxa"/>
            <w:vMerge w:val="restart"/>
            <w:vAlign w:val="center"/>
          </w:tcPr>
          <w:p w14:paraId="11329988" w14:textId="497C3013" w:rsidR="00C13B1B" w:rsidRPr="00AE4053" w:rsidRDefault="009C17C4"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67% </w:t>
            </w:r>
            <w:r w:rsidR="00C13B1B" w:rsidRPr="00AE4053">
              <w:rPr>
                <w:rFonts w:ascii="Book Antiqua" w:hAnsi="Book Antiqua"/>
                <w:color w:val="141314"/>
                <w:sz w:val="24"/>
                <w:szCs w:val="24"/>
              </w:rPr>
              <w:t>(52%-80%)</w:t>
            </w:r>
          </w:p>
        </w:tc>
        <w:tc>
          <w:tcPr>
            <w:tcW w:w="1074" w:type="dxa"/>
            <w:vMerge w:val="restart"/>
            <w:vAlign w:val="center"/>
          </w:tcPr>
          <w:p w14:paraId="5D38B977" w14:textId="75C4C9FF" w:rsidR="00C13B1B" w:rsidRPr="00AE4053" w:rsidRDefault="009C17C4"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93% </w:t>
            </w:r>
            <w:r w:rsidR="00C13B1B" w:rsidRPr="00AE4053">
              <w:rPr>
                <w:rFonts w:ascii="Book Antiqua" w:hAnsi="Book Antiqua"/>
                <w:color w:val="141314"/>
                <w:sz w:val="24"/>
                <w:szCs w:val="24"/>
              </w:rPr>
              <w:t>(89%-96%)</w:t>
            </w:r>
          </w:p>
        </w:tc>
        <w:tc>
          <w:tcPr>
            <w:tcW w:w="1144" w:type="dxa"/>
            <w:vMerge w:val="restart"/>
            <w:vAlign w:val="center"/>
          </w:tcPr>
          <w:p w14:paraId="642FF9DF" w14:textId="4A3480FF" w:rsidR="00C13B1B" w:rsidRPr="00AE4053" w:rsidRDefault="009C17C4"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35% </w:t>
            </w:r>
            <w:r w:rsidR="00C13B1B" w:rsidRPr="00AE4053">
              <w:rPr>
                <w:rFonts w:ascii="Book Antiqua" w:hAnsi="Book Antiqua"/>
                <w:color w:val="141314"/>
                <w:sz w:val="24"/>
                <w:szCs w:val="24"/>
              </w:rPr>
              <w:t>(25%-46%)</w:t>
            </w:r>
          </w:p>
        </w:tc>
        <w:tc>
          <w:tcPr>
            <w:tcW w:w="1085" w:type="dxa"/>
            <w:vMerge w:val="restart"/>
            <w:vAlign w:val="center"/>
          </w:tcPr>
          <w:p w14:paraId="1F91D294" w14:textId="190BEFBE" w:rsidR="00C13B1B" w:rsidRPr="00AE4053" w:rsidRDefault="009C17C4"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77% </w:t>
            </w:r>
            <w:r w:rsidR="003765C0" w:rsidRPr="00AE4053">
              <w:rPr>
                <w:rFonts w:ascii="Book Antiqua" w:hAnsi="Book Antiqua"/>
                <w:color w:val="141314"/>
                <w:sz w:val="24"/>
                <w:szCs w:val="24"/>
              </w:rPr>
              <w:t>(</w:t>
            </w:r>
            <w:r w:rsidR="00540104" w:rsidRPr="00AE4053">
              <w:rPr>
                <w:rFonts w:ascii="Book Antiqua" w:hAnsi="Book Antiqua"/>
                <w:color w:val="141314"/>
                <w:sz w:val="24"/>
                <w:szCs w:val="24"/>
              </w:rPr>
              <w:t>72%-82%)</w:t>
            </w:r>
          </w:p>
        </w:tc>
        <w:tc>
          <w:tcPr>
            <w:tcW w:w="888" w:type="dxa"/>
            <w:vMerge w:val="restart"/>
            <w:vAlign w:val="center"/>
          </w:tcPr>
          <w:p w14:paraId="60C2FF9B" w14:textId="6179F725" w:rsidR="00C13B1B" w:rsidRPr="00AE4053" w:rsidRDefault="009C17C4"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2.4 </w:t>
            </w:r>
            <w:r w:rsidR="00C13B1B" w:rsidRPr="00AE4053">
              <w:rPr>
                <w:rFonts w:ascii="Book Antiqua" w:hAnsi="Book Antiqua"/>
                <w:color w:val="141314"/>
                <w:sz w:val="24"/>
                <w:szCs w:val="24"/>
              </w:rPr>
              <w:t>(</w:t>
            </w:r>
            <w:r w:rsidR="003765C0" w:rsidRPr="00AE4053">
              <w:rPr>
                <w:rFonts w:ascii="Book Antiqua" w:hAnsi="Book Antiqua"/>
                <w:color w:val="141314"/>
                <w:sz w:val="24"/>
                <w:szCs w:val="24"/>
              </w:rPr>
              <w:t>1.6-3.5)</w:t>
            </w:r>
          </w:p>
        </w:tc>
        <w:tc>
          <w:tcPr>
            <w:tcW w:w="888" w:type="dxa"/>
            <w:vMerge w:val="restart"/>
            <w:vAlign w:val="center"/>
          </w:tcPr>
          <w:p w14:paraId="38484731" w14:textId="08E23BD5" w:rsidR="003765C0" w:rsidRPr="00AE4053" w:rsidRDefault="003765C0"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0.3</w:t>
            </w:r>
            <w:r w:rsidR="009C17C4">
              <w:rPr>
                <w:rFonts w:ascii="Book Antiqua" w:hAnsi="Book Antiqua"/>
                <w:color w:val="141314"/>
                <w:sz w:val="24"/>
                <w:szCs w:val="24"/>
              </w:rPr>
              <w:t xml:space="preserve"> </w:t>
            </w:r>
            <w:r w:rsidRPr="00AE4053">
              <w:rPr>
                <w:rFonts w:ascii="Book Antiqua" w:hAnsi="Book Antiqua"/>
                <w:color w:val="141314"/>
                <w:sz w:val="24"/>
                <w:szCs w:val="24"/>
              </w:rPr>
              <w:t>(0.2-0.4)</w:t>
            </w:r>
          </w:p>
        </w:tc>
      </w:tr>
      <w:tr w:rsidR="00B70880" w:rsidRPr="00AE4053" w14:paraId="60A3AD58" w14:textId="77777777" w:rsidTr="009C17C4">
        <w:trPr>
          <w:cnfStyle w:val="000000010000" w:firstRow="0" w:lastRow="0" w:firstColumn="0" w:lastColumn="0" w:oddVBand="0" w:evenVBand="0" w:oddHBand="0" w:evenHBand="1"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35" w:type="dxa"/>
          </w:tcPr>
          <w:p w14:paraId="13FADDF7" w14:textId="739C443A" w:rsidR="00C13B1B" w:rsidRPr="009C17C4" w:rsidRDefault="00C13B1B" w:rsidP="009C17C4">
            <w:pPr>
              <w:snapToGrid w:val="0"/>
              <w:spacing w:line="360" w:lineRule="auto"/>
              <w:rPr>
                <w:rFonts w:ascii="Book Antiqua" w:hAnsi="Book Antiqua"/>
                <w:b w:val="0"/>
                <w:color w:val="141314"/>
                <w:sz w:val="24"/>
                <w:szCs w:val="24"/>
              </w:rPr>
            </w:pPr>
            <w:r w:rsidRPr="009C17C4">
              <w:rPr>
                <w:rFonts w:ascii="Book Antiqua" w:hAnsi="Book Antiqua"/>
                <w:b w:val="0"/>
                <w:color w:val="141314"/>
                <w:sz w:val="24"/>
                <w:szCs w:val="24"/>
              </w:rPr>
              <w:t>&lt;</w:t>
            </w:r>
            <w:r w:rsidR="009C17C4" w:rsidRPr="009C17C4">
              <w:rPr>
                <w:rFonts w:ascii="Book Antiqua" w:hAnsi="Book Antiqua"/>
                <w:b w:val="0"/>
                <w:color w:val="141314"/>
                <w:sz w:val="24"/>
                <w:szCs w:val="24"/>
              </w:rPr>
              <w:t xml:space="preserve"> </w:t>
            </w:r>
            <w:r w:rsidRPr="009C17C4">
              <w:rPr>
                <w:rFonts w:ascii="Book Antiqua" w:hAnsi="Book Antiqua"/>
                <w:b w:val="0"/>
                <w:color w:val="141314"/>
                <w:sz w:val="24"/>
                <w:szCs w:val="24"/>
              </w:rPr>
              <w:t>21.6</w:t>
            </w:r>
          </w:p>
        </w:tc>
        <w:tc>
          <w:tcPr>
            <w:tcW w:w="792" w:type="dxa"/>
          </w:tcPr>
          <w:p w14:paraId="1A22193C" w14:textId="08610218" w:rsidR="00C13B1B" w:rsidRPr="00AE4053" w:rsidRDefault="00C13B1B" w:rsidP="00AE4053">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59</w:t>
            </w:r>
          </w:p>
        </w:tc>
        <w:tc>
          <w:tcPr>
            <w:tcW w:w="919" w:type="dxa"/>
          </w:tcPr>
          <w:p w14:paraId="292ED7BC" w14:textId="0C9A1496" w:rsidR="00C13B1B" w:rsidRPr="00AE4053" w:rsidRDefault="00C13B1B" w:rsidP="00AE4053">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32</w:t>
            </w:r>
          </w:p>
        </w:tc>
        <w:tc>
          <w:tcPr>
            <w:tcW w:w="765" w:type="dxa"/>
          </w:tcPr>
          <w:p w14:paraId="0516FEF9" w14:textId="3F73BF24" w:rsidR="00C13B1B" w:rsidRPr="00AE4053" w:rsidRDefault="00C13B1B" w:rsidP="00AE4053">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91</w:t>
            </w:r>
          </w:p>
        </w:tc>
        <w:tc>
          <w:tcPr>
            <w:tcW w:w="1073" w:type="dxa"/>
            <w:vMerge/>
          </w:tcPr>
          <w:p w14:paraId="5E40485C" w14:textId="77777777" w:rsidR="00C13B1B" w:rsidRPr="00AE4053" w:rsidRDefault="00C13B1B" w:rsidP="00AE4053">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b/>
                <w:color w:val="141314"/>
                <w:sz w:val="24"/>
                <w:szCs w:val="24"/>
              </w:rPr>
            </w:pPr>
          </w:p>
        </w:tc>
        <w:tc>
          <w:tcPr>
            <w:tcW w:w="1073" w:type="dxa"/>
            <w:vMerge/>
          </w:tcPr>
          <w:p w14:paraId="6324CA36" w14:textId="77777777" w:rsidR="00C13B1B" w:rsidRPr="00AE4053" w:rsidRDefault="00C13B1B" w:rsidP="00AE4053">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b/>
                <w:color w:val="141314"/>
                <w:sz w:val="24"/>
                <w:szCs w:val="24"/>
              </w:rPr>
            </w:pPr>
          </w:p>
        </w:tc>
        <w:tc>
          <w:tcPr>
            <w:tcW w:w="1074" w:type="dxa"/>
            <w:vMerge/>
          </w:tcPr>
          <w:p w14:paraId="156E5CD3" w14:textId="77777777" w:rsidR="00C13B1B" w:rsidRPr="00AE4053" w:rsidRDefault="00C13B1B" w:rsidP="00AE4053">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b/>
                <w:color w:val="141314"/>
                <w:sz w:val="24"/>
                <w:szCs w:val="24"/>
              </w:rPr>
            </w:pPr>
          </w:p>
        </w:tc>
        <w:tc>
          <w:tcPr>
            <w:tcW w:w="1144" w:type="dxa"/>
            <w:vMerge/>
          </w:tcPr>
          <w:p w14:paraId="45EBD103" w14:textId="77777777" w:rsidR="00C13B1B" w:rsidRPr="00AE4053" w:rsidRDefault="00C13B1B" w:rsidP="00AE4053">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b/>
                <w:color w:val="141314"/>
                <w:sz w:val="24"/>
                <w:szCs w:val="24"/>
              </w:rPr>
            </w:pPr>
          </w:p>
        </w:tc>
        <w:tc>
          <w:tcPr>
            <w:tcW w:w="1085" w:type="dxa"/>
            <w:vMerge/>
          </w:tcPr>
          <w:p w14:paraId="02BE2913" w14:textId="77777777" w:rsidR="00C13B1B" w:rsidRPr="00AE4053" w:rsidRDefault="00C13B1B" w:rsidP="00AE4053">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b/>
                <w:color w:val="141314"/>
                <w:sz w:val="24"/>
                <w:szCs w:val="24"/>
              </w:rPr>
            </w:pPr>
          </w:p>
        </w:tc>
        <w:tc>
          <w:tcPr>
            <w:tcW w:w="888" w:type="dxa"/>
            <w:vMerge/>
          </w:tcPr>
          <w:p w14:paraId="03B97083" w14:textId="77777777" w:rsidR="00C13B1B" w:rsidRPr="00AE4053" w:rsidRDefault="00C13B1B" w:rsidP="00AE4053">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b/>
                <w:color w:val="141314"/>
                <w:sz w:val="24"/>
                <w:szCs w:val="24"/>
              </w:rPr>
            </w:pPr>
          </w:p>
        </w:tc>
        <w:tc>
          <w:tcPr>
            <w:tcW w:w="888" w:type="dxa"/>
            <w:vMerge/>
          </w:tcPr>
          <w:p w14:paraId="543A6E3B" w14:textId="33D4BF3E" w:rsidR="00C13B1B" w:rsidRPr="00AE4053" w:rsidRDefault="00C13B1B" w:rsidP="00AE4053">
            <w:pPr>
              <w:snapToGrid w:val="0"/>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b/>
                <w:color w:val="141314"/>
                <w:sz w:val="24"/>
                <w:szCs w:val="24"/>
              </w:rPr>
            </w:pPr>
          </w:p>
        </w:tc>
      </w:tr>
      <w:tr w:rsidR="00B70880" w:rsidRPr="00AE4053" w14:paraId="45375AA5" w14:textId="77777777" w:rsidTr="009C17C4">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335" w:type="dxa"/>
          </w:tcPr>
          <w:p w14:paraId="78272FC9" w14:textId="779D4374" w:rsidR="00C13B1B" w:rsidRPr="009C17C4" w:rsidRDefault="00C13B1B" w:rsidP="009C17C4">
            <w:pPr>
              <w:snapToGrid w:val="0"/>
              <w:spacing w:line="360" w:lineRule="auto"/>
              <w:rPr>
                <w:rFonts w:ascii="Book Antiqua" w:hAnsi="Book Antiqua"/>
                <w:b w:val="0"/>
                <w:color w:val="141314"/>
                <w:sz w:val="24"/>
                <w:szCs w:val="24"/>
              </w:rPr>
            </w:pPr>
            <w:r w:rsidRPr="009C17C4">
              <w:rPr>
                <w:rFonts w:ascii="Book Antiqua" w:hAnsi="Book Antiqua"/>
                <w:b w:val="0"/>
                <w:color w:val="141314"/>
                <w:sz w:val="24"/>
                <w:szCs w:val="24"/>
              </w:rPr>
              <w:t>Total</w:t>
            </w:r>
          </w:p>
        </w:tc>
        <w:tc>
          <w:tcPr>
            <w:tcW w:w="792" w:type="dxa"/>
          </w:tcPr>
          <w:p w14:paraId="12612A6F" w14:textId="56789182" w:rsidR="00C13B1B" w:rsidRPr="00AE4053" w:rsidRDefault="00C13B1B"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278</w:t>
            </w:r>
          </w:p>
        </w:tc>
        <w:tc>
          <w:tcPr>
            <w:tcW w:w="919" w:type="dxa"/>
          </w:tcPr>
          <w:p w14:paraId="34A593E8" w14:textId="6A73025D" w:rsidR="00C13B1B" w:rsidRPr="00AE4053" w:rsidRDefault="00C13B1B"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48</w:t>
            </w:r>
          </w:p>
        </w:tc>
        <w:tc>
          <w:tcPr>
            <w:tcW w:w="765" w:type="dxa"/>
          </w:tcPr>
          <w:p w14:paraId="4F27EBDE" w14:textId="592E9754" w:rsidR="00C13B1B" w:rsidRPr="00AE4053" w:rsidRDefault="00C13B1B"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326</w:t>
            </w:r>
          </w:p>
        </w:tc>
        <w:tc>
          <w:tcPr>
            <w:tcW w:w="1073" w:type="dxa"/>
            <w:vMerge/>
          </w:tcPr>
          <w:p w14:paraId="49909384" w14:textId="77777777" w:rsidR="00C13B1B" w:rsidRPr="00AE4053" w:rsidRDefault="00C13B1B"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141314"/>
                <w:sz w:val="24"/>
                <w:szCs w:val="24"/>
              </w:rPr>
            </w:pPr>
          </w:p>
        </w:tc>
        <w:tc>
          <w:tcPr>
            <w:tcW w:w="1073" w:type="dxa"/>
            <w:vMerge/>
          </w:tcPr>
          <w:p w14:paraId="4A78100F" w14:textId="77777777" w:rsidR="00C13B1B" w:rsidRPr="00AE4053" w:rsidRDefault="00C13B1B"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141314"/>
                <w:sz w:val="24"/>
                <w:szCs w:val="24"/>
              </w:rPr>
            </w:pPr>
          </w:p>
        </w:tc>
        <w:tc>
          <w:tcPr>
            <w:tcW w:w="1074" w:type="dxa"/>
            <w:vMerge/>
          </w:tcPr>
          <w:p w14:paraId="7B0CF8DF" w14:textId="77777777" w:rsidR="00C13B1B" w:rsidRPr="00AE4053" w:rsidRDefault="00C13B1B"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141314"/>
                <w:sz w:val="24"/>
                <w:szCs w:val="24"/>
              </w:rPr>
            </w:pPr>
          </w:p>
        </w:tc>
        <w:tc>
          <w:tcPr>
            <w:tcW w:w="1144" w:type="dxa"/>
            <w:vMerge/>
          </w:tcPr>
          <w:p w14:paraId="3BB472A8" w14:textId="77777777" w:rsidR="00C13B1B" w:rsidRPr="00AE4053" w:rsidRDefault="00C13B1B"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141314"/>
                <w:sz w:val="24"/>
                <w:szCs w:val="24"/>
              </w:rPr>
            </w:pPr>
          </w:p>
        </w:tc>
        <w:tc>
          <w:tcPr>
            <w:tcW w:w="1085" w:type="dxa"/>
            <w:vMerge/>
          </w:tcPr>
          <w:p w14:paraId="149F6363" w14:textId="77777777" w:rsidR="00C13B1B" w:rsidRPr="00AE4053" w:rsidRDefault="00C13B1B"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141314"/>
                <w:sz w:val="24"/>
                <w:szCs w:val="24"/>
              </w:rPr>
            </w:pPr>
          </w:p>
        </w:tc>
        <w:tc>
          <w:tcPr>
            <w:tcW w:w="888" w:type="dxa"/>
            <w:vMerge/>
          </w:tcPr>
          <w:p w14:paraId="28EE553E" w14:textId="77777777" w:rsidR="00C13B1B" w:rsidRPr="00AE4053" w:rsidRDefault="00C13B1B"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141314"/>
                <w:sz w:val="24"/>
                <w:szCs w:val="24"/>
              </w:rPr>
            </w:pPr>
          </w:p>
        </w:tc>
        <w:tc>
          <w:tcPr>
            <w:tcW w:w="888" w:type="dxa"/>
            <w:vMerge/>
          </w:tcPr>
          <w:p w14:paraId="41B483F6" w14:textId="7C1E13E6" w:rsidR="00C13B1B" w:rsidRPr="00AE4053" w:rsidRDefault="00C13B1B" w:rsidP="00AE405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141314"/>
                <w:sz w:val="24"/>
                <w:szCs w:val="24"/>
              </w:rPr>
            </w:pPr>
          </w:p>
        </w:tc>
      </w:tr>
    </w:tbl>
    <w:p w14:paraId="7ADAA710" w14:textId="668981F9" w:rsidR="00AB3DB0" w:rsidRPr="009C17C4" w:rsidRDefault="006B0C52" w:rsidP="00AE4053">
      <w:pPr>
        <w:snapToGrid w:val="0"/>
        <w:spacing w:after="0" w:line="360" w:lineRule="auto"/>
        <w:jc w:val="both"/>
        <w:rPr>
          <w:rFonts w:ascii="Book Antiqua" w:hAnsi="Book Antiqua"/>
          <w:color w:val="141314"/>
          <w:sz w:val="24"/>
          <w:szCs w:val="24"/>
        </w:rPr>
      </w:pPr>
      <w:r w:rsidRPr="009C17C4">
        <w:rPr>
          <w:rFonts w:ascii="Book Antiqua" w:hAnsi="Book Antiqua"/>
          <w:color w:val="141314"/>
          <w:sz w:val="24"/>
          <w:szCs w:val="24"/>
        </w:rPr>
        <w:t>TE</w:t>
      </w:r>
      <w:r w:rsidR="009C17C4">
        <w:rPr>
          <w:rFonts w:ascii="Book Antiqua" w:hAnsi="Book Antiqua"/>
          <w:color w:val="141314"/>
          <w:sz w:val="24"/>
          <w:szCs w:val="24"/>
        </w:rPr>
        <w:t xml:space="preserve">: </w:t>
      </w:r>
      <w:r w:rsidRPr="009C17C4">
        <w:rPr>
          <w:rFonts w:ascii="Book Antiqua" w:hAnsi="Book Antiqua"/>
          <w:caps/>
          <w:color w:val="141314"/>
          <w:sz w:val="24"/>
          <w:szCs w:val="24"/>
        </w:rPr>
        <w:t>t</w:t>
      </w:r>
      <w:r w:rsidRPr="009C17C4">
        <w:rPr>
          <w:rFonts w:ascii="Book Antiqua" w:hAnsi="Book Antiqua"/>
          <w:color w:val="141314"/>
          <w:sz w:val="24"/>
          <w:szCs w:val="24"/>
        </w:rPr>
        <w:t xml:space="preserve">ransient </w:t>
      </w:r>
      <w:proofErr w:type="spellStart"/>
      <w:r w:rsidR="00463449" w:rsidRPr="009C17C4">
        <w:rPr>
          <w:rFonts w:ascii="Book Antiqua" w:hAnsi="Book Antiqua"/>
          <w:color w:val="141314"/>
          <w:sz w:val="24"/>
          <w:szCs w:val="24"/>
        </w:rPr>
        <w:t>elastography</w:t>
      </w:r>
      <w:proofErr w:type="spellEnd"/>
      <w:r w:rsidRPr="009C17C4">
        <w:rPr>
          <w:rFonts w:ascii="Book Antiqua" w:hAnsi="Book Antiqua"/>
          <w:color w:val="141314"/>
          <w:sz w:val="24"/>
          <w:szCs w:val="24"/>
        </w:rPr>
        <w:t>; CSPH</w:t>
      </w:r>
      <w:r w:rsidR="009C17C4">
        <w:rPr>
          <w:rFonts w:ascii="Book Antiqua" w:hAnsi="Book Antiqua"/>
          <w:color w:val="141314"/>
          <w:sz w:val="24"/>
          <w:szCs w:val="24"/>
        </w:rPr>
        <w:t>:</w:t>
      </w:r>
      <w:r w:rsidRPr="009C17C4">
        <w:rPr>
          <w:rFonts w:ascii="Book Antiqua" w:hAnsi="Book Antiqua"/>
          <w:color w:val="141314"/>
          <w:sz w:val="24"/>
          <w:szCs w:val="24"/>
        </w:rPr>
        <w:t xml:space="preserve"> </w:t>
      </w:r>
      <w:r w:rsidRPr="009C17C4">
        <w:rPr>
          <w:rFonts w:ascii="Book Antiqua" w:hAnsi="Book Antiqua"/>
          <w:caps/>
          <w:color w:val="141314"/>
          <w:sz w:val="24"/>
          <w:szCs w:val="24"/>
        </w:rPr>
        <w:t>c</w:t>
      </w:r>
      <w:r w:rsidRPr="009C17C4">
        <w:rPr>
          <w:rFonts w:ascii="Book Antiqua" w:hAnsi="Book Antiqua"/>
          <w:color w:val="141314"/>
          <w:sz w:val="24"/>
          <w:szCs w:val="24"/>
        </w:rPr>
        <w:t>linically significant portal hypertension; PPV</w:t>
      </w:r>
      <w:r w:rsidR="009C17C4">
        <w:rPr>
          <w:rFonts w:ascii="Book Antiqua" w:hAnsi="Book Antiqua"/>
          <w:color w:val="141314"/>
          <w:sz w:val="24"/>
          <w:szCs w:val="24"/>
        </w:rPr>
        <w:t>:</w:t>
      </w:r>
      <w:r w:rsidRPr="009C17C4">
        <w:rPr>
          <w:rFonts w:ascii="Book Antiqua" w:hAnsi="Book Antiqua"/>
          <w:color w:val="141314"/>
          <w:sz w:val="24"/>
          <w:szCs w:val="24"/>
        </w:rPr>
        <w:t xml:space="preserve"> </w:t>
      </w:r>
      <w:r w:rsidRPr="009C17C4">
        <w:rPr>
          <w:rFonts w:ascii="Book Antiqua" w:hAnsi="Book Antiqua"/>
          <w:caps/>
          <w:color w:val="141314"/>
          <w:sz w:val="24"/>
          <w:szCs w:val="24"/>
        </w:rPr>
        <w:t>p</w:t>
      </w:r>
      <w:r w:rsidRPr="009C17C4">
        <w:rPr>
          <w:rFonts w:ascii="Book Antiqua" w:hAnsi="Book Antiqua"/>
          <w:color w:val="141314"/>
          <w:sz w:val="24"/>
          <w:szCs w:val="24"/>
        </w:rPr>
        <w:t>ositive predictive value; NPV</w:t>
      </w:r>
      <w:r w:rsidR="009C17C4">
        <w:rPr>
          <w:rFonts w:ascii="Book Antiqua" w:hAnsi="Book Antiqua"/>
          <w:color w:val="141314"/>
          <w:sz w:val="24"/>
          <w:szCs w:val="24"/>
        </w:rPr>
        <w:t>:</w:t>
      </w:r>
      <w:r w:rsidRPr="009C17C4">
        <w:rPr>
          <w:rFonts w:ascii="Book Antiqua" w:hAnsi="Book Antiqua"/>
          <w:color w:val="141314"/>
          <w:sz w:val="24"/>
          <w:szCs w:val="24"/>
        </w:rPr>
        <w:t xml:space="preserve"> </w:t>
      </w:r>
      <w:r w:rsidRPr="009C17C4">
        <w:rPr>
          <w:rFonts w:ascii="Book Antiqua" w:hAnsi="Book Antiqua"/>
          <w:caps/>
          <w:color w:val="141314"/>
          <w:sz w:val="24"/>
          <w:szCs w:val="24"/>
        </w:rPr>
        <w:t>n</w:t>
      </w:r>
      <w:r w:rsidRPr="009C17C4">
        <w:rPr>
          <w:rFonts w:ascii="Book Antiqua" w:hAnsi="Book Antiqua"/>
          <w:color w:val="141314"/>
          <w:sz w:val="24"/>
          <w:szCs w:val="24"/>
        </w:rPr>
        <w:t>egative predictive value; LR+</w:t>
      </w:r>
      <w:r w:rsidR="009C17C4">
        <w:rPr>
          <w:rFonts w:ascii="Book Antiqua" w:hAnsi="Book Antiqua"/>
          <w:color w:val="141314"/>
          <w:sz w:val="24"/>
          <w:szCs w:val="24"/>
        </w:rPr>
        <w:t>:</w:t>
      </w:r>
      <w:r w:rsidR="00177D21" w:rsidRPr="009C17C4">
        <w:rPr>
          <w:rFonts w:ascii="Book Antiqua" w:hAnsi="Book Antiqua"/>
          <w:color w:val="141314"/>
          <w:sz w:val="24"/>
          <w:szCs w:val="24"/>
        </w:rPr>
        <w:t xml:space="preserve"> </w:t>
      </w:r>
      <w:r w:rsidR="00177D21" w:rsidRPr="009C17C4">
        <w:rPr>
          <w:rFonts w:ascii="Book Antiqua" w:hAnsi="Book Antiqua"/>
          <w:caps/>
          <w:color w:val="141314"/>
          <w:sz w:val="24"/>
          <w:szCs w:val="24"/>
        </w:rPr>
        <w:t>l</w:t>
      </w:r>
      <w:r w:rsidR="00177D21" w:rsidRPr="009C17C4">
        <w:rPr>
          <w:rFonts w:ascii="Book Antiqua" w:hAnsi="Book Antiqua"/>
          <w:color w:val="141314"/>
          <w:sz w:val="24"/>
          <w:szCs w:val="24"/>
        </w:rPr>
        <w:t>ikelihood ratio positive; LR-</w:t>
      </w:r>
      <w:r w:rsidR="009C17C4">
        <w:rPr>
          <w:rFonts w:ascii="Book Antiqua" w:hAnsi="Book Antiqua"/>
          <w:color w:val="141314"/>
          <w:sz w:val="24"/>
          <w:szCs w:val="24"/>
        </w:rPr>
        <w:t>:</w:t>
      </w:r>
      <w:r w:rsidR="00177D21" w:rsidRPr="009C17C4">
        <w:rPr>
          <w:rFonts w:ascii="Book Antiqua" w:hAnsi="Book Antiqua"/>
          <w:color w:val="141314"/>
          <w:sz w:val="24"/>
          <w:szCs w:val="24"/>
        </w:rPr>
        <w:t xml:space="preserve"> </w:t>
      </w:r>
      <w:r w:rsidR="00177D21" w:rsidRPr="009C17C4">
        <w:rPr>
          <w:rFonts w:ascii="Book Antiqua" w:hAnsi="Book Antiqua"/>
          <w:caps/>
          <w:color w:val="141314"/>
          <w:sz w:val="24"/>
          <w:szCs w:val="24"/>
        </w:rPr>
        <w:t>l</w:t>
      </w:r>
      <w:r w:rsidR="00177D21" w:rsidRPr="009C17C4">
        <w:rPr>
          <w:rFonts w:ascii="Book Antiqua" w:hAnsi="Book Antiqua"/>
          <w:color w:val="141314"/>
          <w:sz w:val="24"/>
          <w:szCs w:val="24"/>
        </w:rPr>
        <w:t>ikelihood ratio negative.</w:t>
      </w:r>
    </w:p>
    <w:p w14:paraId="3A021606" w14:textId="77777777" w:rsidR="00AB3DB0" w:rsidRPr="00AE4053" w:rsidRDefault="00AB3DB0" w:rsidP="00AE4053">
      <w:pPr>
        <w:snapToGrid w:val="0"/>
        <w:spacing w:after="0" w:line="360" w:lineRule="auto"/>
        <w:jc w:val="both"/>
        <w:rPr>
          <w:rFonts w:ascii="Book Antiqua" w:hAnsi="Book Antiqua"/>
          <w:b/>
          <w:color w:val="141314"/>
          <w:sz w:val="24"/>
          <w:szCs w:val="24"/>
        </w:rPr>
      </w:pPr>
      <w:r w:rsidRPr="00AE4053">
        <w:rPr>
          <w:rFonts w:ascii="Book Antiqua" w:hAnsi="Book Antiqua"/>
          <w:b/>
          <w:color w:val="141314"/>
          <w:sz w:val="24"/>
          <w:szCs w:val="24"/>
        </w:rPr>
        <w:br w:type="page"/>
      </w:r>
    </w:p>
    <w:p w14:paraId="0886F246" w14:textId="76A88DD4" w:rsidR="00297D5C" w:rsidRPr="00AE4053" w:rsidRDefault="00DD6F9B" w:rsidP="00AE4053">
      <w:pPr>
        <w:snapToGrid w:val="0"/>
        <w:spacing w:after="0" w:line="360" w:lineRule="auto"/>
        <w:jc w:val="both"/>
        <w:rPr>
          <w:rFonts w:ascii="Book Antiqua" w:hAnsi="Book Antiqua"/>
          <w:b/>
          <w:color w:val="141314"/>
          <w:sz w:val="24"/>
          <w:szCs w:val="24"/>
        </w:rPr>
      </w:pPr>
      <w:r w:rsidRPr="00AE4053">
        <w:rPr>
          <w:rFonts w:ascii="Book Antiqua" w:hAnsi="Book Antiqua"/>
          <w:b/>
          <w:color w:val="141314"/>
          <w:sz w:val="24"/>
          <w:szCs w:val="24"/>
        </w:rPr>
        <w:lastRenderedPageBreak/>
        <w:t xml:space="preserve">Table </w:t>
      </w:r>
      <w:r w:rsidR="006B7523" w:rsidRPr="00AE4053">
        <w:rPr>
          <w:rFonts w:ascii="Book Antiqua" w:hAnsi="Book Antiqua"/>
          <w:b/>
          <w:color w:val="141314"/>
          <w:sz w:val="24"/>
          <w:szCs w:val="24"/>
        </w:rPr>
        <w:t>4</w:t>
      </w:r>
      <w:r w:rsidR="009C17C4">
        <w:rPr>
          <w:rFonts w:ascii="Book Antiqua" w:hAnsi="Book Antiqua"/>
          <w:b/>
          <w:color w:val="141314"/>
          <w:sz w:val="24"/>
          <w:szCs w:val="24"/>
        </w:rPr>
        <w:t xml:space="preserve"> </w:t>
      </w:r>
      <w:proofErr w:type="gramStart"/>
      <w:r w:rsidR="007E6753" w:rsidRPr="00AE4053">
        <w:rPr>
          <w:rFonts w:ascii="Book Antiqua" w:hAnsi="Book Antiqua"/>
          <w:b/>
          <w:color w:val="141314"/>
          <w:sz w:val="24"/>
          <w:szCs w:val="24"/>
        </w:rPr>
        <w:t>Various</w:t>
      </w:r>
      <w:proofErr w:type="gramEnd"/>
      <w:r w:rsidR="00355AE6" w:rsidRPr="00AE4053">
        <w:rPr>
          <w:rFonts w:ascii="Book Antiqua" w:hAnsi="Book Antiqua"/>
          <w:b/>
          <w:color w:val="141314"/>
          <w:sz w:val="24"/>
          <w:szCs w:val="24"/>
        </w:rPr>
        <w:t xml:space="preserve"> studies o</w:t>
      </w:r>
      <w:r w:rsidR="007E6753" w:rsidRPr="00AE4053">
        <w:rPr>
          <w:rFonts w:ascii="Book Antiqua" w:hAnsi="Book Antiqua"/>
          <w:b/>
          <w:color w:val="141314"/>
          <w:sz w:val="24"/>
          <w:szCs w:val="24"/>
        </w:rPr>
        <w:t>f the</w:t>
      </w:r>
      <w:r w:rsidR="00355AE6" w:rsidRPr="00AE4053">
        <w:rPr>
          <w:rFonts w:ascii="Book Antiqua" w:hAnsi="Book Antiqua"/>
          <w:b/>
          <w:color w:val="141314"/>
          <w:sz w:val="24"/>
          <w:szCs w:val="24"/>
        </w:rPr>
        <w:t xml:space="preserve"> diagno</w:t>
      </w:r>
      <w:r w:rsidR="009C17C4">
        <w:rPr>
          <w:rFonts w:ascii="Book Antiqua" w:hAnsi="Book Antiqua"/>
          <w:b/>
          <w:color w:val="141314"/>
          <w:sz w:val="24"/>
          <w:szCs w:val="24"/>
        </w:rPr>
        <w:t xml:space="preserve">stic performance of </w:t>
      </w:r>
      <w:r w:rsidR="009C17C4" w:rsidRPr="009C17C4">
        <w:rPr>
          <w:rFonts w:ascii="Book Antiqua" w:hAnsi="Book Antiqua"/>
          <w:b/>
          <w:color w:val="141314"/>
          <w:sz w:val="24"/>
          <w:szCs w:val="24"/>
        </w:rPr>
        <w:t xml:space="preserve">transient </w:t>
      </w:r>
      <w:proofErr w:type="spellStart"/>
      <w:r w:rsidR="009C17C4" w:rsidRPr="009C17C4">
        <w:rPr>
          <w:rFonts w:ascii="Book Antiqua" w:hAnsi="Book Antiqua"/>
          <w:b/>
          <w:color w:val="141314"/>
          <w:sz w:val="24"/>
          <w:szCs w:val="24"/>
        </w:rPr>
        <w:t>elastography</w:t>
      </w:r>
      <w:proofErr w:type="spellEnd"/>
      <w:r w:rsidR="009C17C4">
        <w:rPr>
          <w:rFonts w:ascii="Book Antiqua" w:hAnsi="Book Antiqua"/>
          <w:b/>
          <w:color w:val="141314"/>
          <w:sz w:val="24"/>
          <w:szCs w:val="24"/>
        </w:rPr>
        <w:t xml:space="preserve"> for </w:t>
      </w:r>
      <w:r w:rsidR="009C17C4" w:rsidRPr="009C17C4">
        <w:rPr>
          <w:rFonts w:ascii="Book Antiqua" w:hAnsi="Book Antiqua"/>
          <w:b/>
          <w:color w:val="141314"/>
          <w:sz w:val="24"/>
          <w:szCs w:val="24"/>
        </w:rPr>
        <w:t>clinically significant portal hypertension</w:t>
      </w:r>
    </w:p>
    <w:tbl>
      <w:tblPr>
        <w:tblStyle w:val="ad"/>
        <w:tblW w:w="6212" w:type="pct"/>
        <w:tblInd w:w="-1168" w:type="dxa"/>
        <w:tblLayout w:type="fixed"/>
        <w:tblLook w:val="04A0" w:firstRow="1" w:lastRow="0" w:firstColumn="1" w:lastColumn="0" w:noHBand="0" w:noVBand="1"/>
      </w:tblPr>
      <w:tblGrid>
        <w:gridCol w:w="2126"/>
        <w:gridCol w:w="1049"/>
        <w:gridCol w:w="852"/>
        <w:gridCol w:w="1417"/>
        <w:gridCol w:w="1275"/>
        <w:gridCol w:w="2191"/>
        <w:gridCol w:w="2572"/>
      </w:tblGrid>
      <w:tr w:rsidR="006D509B" w:rsidRPr="00AE4053" w14:paraId="118A995F" w14:textId="77777777" w:rsidTr="0055128F">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0B860B03" w14:textId="18904AB5" w:rsidR="00297D5C" w:rsidRPr="00AE4053" w:rsidRDefault="009C17C4" w:rsidP="00AE4053">
            <w:pPr>
              <w:snapToGrid w:val="0"/>
              <w:spacing w:line="360" w:lineRule="auto"/>
              <w:jc w:val="both"/>
              <w:rPr>
                <w:rFonts w:ascii="Book Antiqua" w:hAnsi="Book Antiqua"/>
                <w:color w:val="141314"/>
                <w:sz w:val="24"/>
                <w:szCs w:val="24"/>
              </w:rPr>
            </w:pPr>
            <w:r>
              <w:rPr>
                <w:rFonts w:ascii="Book Antiqua" w:hAnsi="Book Antiqua"/>
                <w:color w:val="141314"/>
                <w:sz w:val="24"/>
                <w:szCs w:val="24"/>
              </w:rPr>
              <w:t>Ref.</w:t>
            </w:r>
          </w:p>
        </w:tc>
        <w:tc>
          <w:tcPr>
            <w:tcW w:w="457" w:type="pct"/>
          </w:tcPr>
          <w:p w14:paraId="4CCDC851" w14:textId="5EC4979A" w:rsidR="00297D5C" w:rsidRPr="00AE4053" w:rsidRDefault="00297D5C" w:rsidP="006D509B">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Place</w:t>
            </w:r>
          </w:p>
        </w:tc>
        <w:tc>
          <w:tcPr>
            <w:tcW w:w="371" w:type="pct"/>
          </w:tcPr>
          <w:p w14:paraId="3061293D" w14:textId="36F8D72C" w:rsidR="00297D5C" w:rsidRPr="00AE4053" w:rsidRDefault="00297D5C" w:rsidP="006D509B">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Year</w:t>
            </w:r>
          </w:p>
        </w:tc>
        <w:tc>
          <w:tcPr>
            <w:tcW w:w="617" w:type="pct"/>
          </w:tcPr>
          <w:p w14:paraId="155A6ADD" w14:textId="14782078" w:rsidR="00297D5C" w:rsidRPr="00AE4053" w:rsidRDefault="00297D5C" w:rsidP="006D509B">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Number of patients</w:t>
            </w:r>
          </w:p>
        </w:tc>
        <w:tc>
          <w:tcPr>
            <w:tcW w:w="555" w:type="pct"/>
          </w:tcPr>
          <w:p w14:paraId="161ED881" w14:textId="2F52B5D1" w:rsidR="00297D5C" w:rsidRPr="00AE4053" w:rsidRDefault="00297D5C" w:rsidP="006D509B">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 xml:space="preserve">Correlation coefficient </w:t>
            </w:r>
            <w:r w:rsidR="002176DF" w:rsidRPr="00AE4053">
              <w:rPr>
                <w:rFonts w:ascii="Book Antiqua" w:hAnsi="Book Antiqua"/>
                <w:color w:val="141314"/>
                <w:sz w:val="24"/>
                <w:szCs w:val="24"/>
              </w:rPr>
              <w:t>(r) or r</w:t>
            </w:r>
            <w:r w:rsidR="002176DF" w:rsidRPr="00AE4053">
              <w:rPr>
                <w:rFonts w:ascii="Book Antiqua" w:hAnsi="Book Antiqua"/>
                <w:color w:val="141314"/>
                <w:sz w:val="24"/>
                <w:szCs w:val="24"/>
                <w:vertAlign w:val="superscript"/>
              </w:rPr>
              <w:t>2</w:t>
            </w:r>
            <w:r w:rsidR="002176DF" w:rsidRPr="00AE4053">
              <w:rPr>
                <w:rFonts w:ascii="Book Antiqua" w:hAnsi="Book Antiqua"/>
                <w:color w:val="141314"/>
                <w:sz w:val="24"/>
                <w:szCs w:val="24"/>
              </w:rPr>
              <w:t xml:space="preserve"> </w:t>
            </w:r>
            <w:r w:rsidRPr="00AE4053">
              <w:rPr>
                <w:rFonts w:ascii="Book Antiqua" w:hAnsi="Book Antiqua"/>
                <w:color w:val="141314"/>
                <w:sz w:val="24"/>
                <w:szCs w:val="24"/>
              </w:rPr>
              <w:t>of TE with HVPG</w:t>
            </w:r>
          </w:p>
        </w:tc>
        <w:tc>
          <w:tcPr>
            <w:tcW w:w="954" w:type="pct"/>
          </w:tcPr>
          <w:p w14:paraId="6ECBD393" w14:textId="0743CBF9" w:rsidR="00297D5C" w:rsidRPr="00AE4053" w:rsidRDefault="00297D5C" w:rsidP="006D509B">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AUROC</w:t>
            </w:r>
            <w:r w:rsidR="009C17C4">
              <w:rPr>
                <w:rFonts w:ascii="Book Antiqua" w:hAnsi="Book Antiqua"/>
                <w:color w:val="141314"/>
                <w:sz w:val="24"/>
                <w:szCs w:val="24"/>
              </w:rPr>
              <w:t xml:space="preserve"> (95%</w:t>
            </w:r>
            <w:r w:rsidR="009C17C4" w:rsidRPr="00AE4053">
              <w:rPr>
                <w:rFonts w:ascii="Book Antiqua" w:hAnsi="Book Antiqua"/>
                <w:color w:val="141314"/>
                <w:sz w:val="24"/>
                <w:szCs w:val="24"/>
              </w:rPr>
              <w:t>CI</w:t>
            </w:r>
            <w:r w:rsidR="009C17C4">
              <w:rPr>
                <w:rFonts w:ascii="Book Antiqua" w:hAnsi="Book Antiqua"/>
                <w:color w:val="141314"/>
                <w:sz w:val="24"/>
                <w:szCs w:val="24"/>
              </w:rPr>
              <w:t>)</w:t>
            </w:r>
          </w:p>
        </w:tc>
        <w:tc>
          <w:tcPr>
            <w:tcW w:w="1120" w:type="pct"/>
          </w:tcPr>
          <w:p w14:paraId="64DFF8F7" w14:textId="31A5A571" w:rsidR="00297D5C" w:rsidRPr="00AE4053" w:rsidRDefault="00297D5C" w:rsidP="006D509B">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Best cut-off of TE for CSPH</w:t>
            </w:r>
          </w:p>
        </w:tc>
      </w:tr>
      <w:tr w:rsidR="006D509B" w:rsidRPr="00AE4053" w14:paraId="4996C283" w14:textId="77777777" w:rsidTr="0055128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3790D54E" w14:textId="6E93E106" w:rsidR="00297D5C" w:rsidRPr="006C3ACC" w:rsidRDefault="006C3ACC" w:rsidP="00AE4053">
            <w:pPr>
              <w:snapToGrid w:val="0"/>
              <w:spacing w:line="360" w:lineRule="auto"/>
              <w:jc w:val="both"/>
              <w:rPr>
                <w:rFonts w:ascii="Book Antiqua" w:hAnsi="Book Antiqua"/>
                <w:b w:val="0"/>
                <w:color w:val="141314"/>
                <w:sz w:val="24"/>
                <w:szCs w:val="24"/>
              </w:rPr>
            </w:pPr>
            <w:proofErr w:type="spellStart"/>
            <w:r w:rsidRPr="006C3ACC">
              <w:rPr>
                <w:rFonts w:ascii="Book Antiqua" w:hAnsi="Book Antiqua"/>
                <w:b w:val="0"/>
                <w:color w:val="141314"/>
                <w:sz w:val="24"/>
                <w:szCs w:val="24"/>
              </w:rPr>
              <w:t>Carrión</w:t>
            </w:r>
            <w:proofErr w:type="spellEnd"/>
            <w:r w:rsidRPr="006C3ACC">
              <w:rPr>
                <w:rFonts w:ascii="Book Antiqua" w:hAnsi="Book Antiqua"/>
                <w:b w:val="0"/>
                <w:color w:val="141314"/>
                <w:sz w:val="24"/>
                <w:szCs w:val="24"/>
              </w:rPr>
              <w:t xml:space="preserve"> </w:t>
            </w:r>
            <w:r w:rsidRPr="006C3ACC">
              <w:rPr>
                <w:rFonts w:ascii="Book Antiqua" w:hAnsi="Book Antiqua"/>
                <w:b w:val="0"/>
                <w:i/>
                <w:color w:val="141314"/>
                <w:sz w:val="24"/>
                <w:szCs w:val="24"/>
              </w:rPr>
              <w:t>et al</w:t>
            </w:r>
            <w:r w:rsidR="00297D5C" w:rsidRPr="006C3ACC">
              <w:rPr>
                <w:rFonts w:ascii="Book Antiqua" w:hAnsi="Book Antiqua"/>
                <w:color w:val="141314"/>
                <w:sz w:val="24"/>
                <w:szCs w:val="24"/>
              </w:rPr>
              <w:fldChar w:fldCharType="begin"/>
            </w:r>
            <w:r w:rsidR="008F2F86" w:rsidRPr="006C3ACC">
              <w:rPr>
                <w:rFonts w:ascii="Book Antiqua" w:hAnsi="Book Antiqua"/>
                <w:b w:val="0"/>
                <w:color w:val="141314"/>
                <w:sz w:val="24"/>
                <w:szCs w:val="24"/>
              </w:rPr>
              <w:instrText xml:space="preserve"> ADDIN ZOTERO_ITEM CSL_CITATION {"citationID":"hQvn4ax3","properties":{"formattedCitation":"{\\rtf \\super [33]\\nosupersub{}}","plainCitation":"[33]"},"citationItems":[{"id":3958,"uris":["http://zotero.org/users/271015/items/22IIHWV4"],"uri":["http://zotero.org/users/271015/items/22IIHWV4"],"itemData":{"id":3958,"type":"article-journal","title":"Transient elastography for diagnosis of advanced fibrosis and portal hypertension in patients with hepatitis C recurrence after liver transplantation","container-title":"Liver Transplantation: Official Publication of the American Association for the Study of Liver Diseases and the International Liver Transplantation Society","page":"1791-1798","volume":"12","issue":"12","source":"PubMed","abstract":"Recurrence of hepatitis C after liver transplantation (LT) is the main cause of graft loss and retransplantation. Frequent liver biopsies are essential to follow-up hepatitis C virus (HCV)-induced liver damage. However, liver biopsy is an invasive and expensive procedure. We evaluated prospectively the diagnostic accuracy of noninvasive measurement of liver stiffness (by transient elastography) to assess the severity of hepatitis C recurrence after LT. For this purpose, we included 124 HCV-infected liver transplant recipients who underwent 169 liver biopsies and 129 hepatic hemodynamic studies with determination of hepatic venous pressure gradient (HVPG). Simultaneously, patients underwent measurement of liver stiffness. Liver fibrosis was mild (F0-F1) in 96 cases (57%) and significant (F2-F4) in 73 (43%). HVPG was normal (&lt;6 mm Hg) in 69 cases (54%) and elevated (&gt;or=6 mm Hg) in 60 (46%). Using a liver stiffness cutoff value of 8.5 kilopascals, the sensitivity, specificity, negative predictive value, and positive predictive value for diagnosis of fibrosis &gt;or=F2 were 90%, 81%, 79%, and 92%, respectively. The area under the curve (AUC) for diagnosis of fibrosis &gt;or=F2, &gt;or=F3 and F4 were 0.90, 0.93, and 0.98, respectively. There was a close direct correlation between liver stiffness and HVPG (Pearson coefficient, 0.84; P &lt; 0.001) and the AUC for diagnosis of portal hypertension (HVPG &gt;or=6 mm Hg) was 0.93. Importantly, none of the individuals with liver stiffness below the cutoff value had either bridging fibrosis (F3) or cirrhosis (F4) or significant portal hypertension (HVPG &gt;or=10 mm Hg). In conclusion, determination of liver stiffness is an extremely valuable tool to assess the severity of HCV recurrence after LT and in reducing the need of follow-up liver biopsies.","DOI":"10.1002/lt.20857","ISSN":"1527-6465","note":"PMID: 16823833","journalAbbreviation":"Liver Transpl.","language":"eng","author":[{"family":"Carrión","given":"Jose A."},{"family":"Navasa","given":"Miquel"},{"family":"Bosch","given":"Jaume"},{"family":"Bruguera","given":"Miquel"},{"family":"Gilabert","given":"Rosa"},{"family":"Forns","given":"Xavier"}],"issued":{"date-parts":[["2006",12]]}}}],"schema":"https://github.com/citation-style-language/schema/raw/master/csl-citation.json"} </w:instrText>
            </w:r>
            <w:r w:rsidR="00297D5C" w:rsidRPr="006C3ACC">
              <w:rPr>
                <w:rFonts w:ascii="Book Antiqua" w:hAnsi="Book Antiqua"/>
                <w:color w:val="141314"/>
                <w:sz w:val="24"/>
                <w:szCs w:val="24"/>
              </w:rPr>
              <w:fldChar w:fldCharType="separate"/>
            </w:r>
            <w:r w:rsidR="008F2F86" w:rsidRPr="006C3ACC">
              <w:rPr>
                <w:rFonts w:ascii="Book Antiqua" w:hAnsi="Book Antiqua"/>
                <w:b w:val="0"/>
                <w:color w:val="000000"/>
                <w:sz w:val="24"/>
                <w:szCs w:val="24"/>
                <w:vertAlign w:val="superscript"/>
              </w:rPr>
              <w:t>[33]</w:t>
            </w:r>
            <w:r w:rsidR="00297D5C" w:rsidRPr="006C3ACC">
              <w:rPr>
                <w:rFonts w:ascii="Book Antiqua" w:hAnsi="Book Antiqua"/>
                <w:color w:val="141314"/>
                <w:sz w:val="24"/>
                <w:szCs w:val="24"/>
              </w:rPr>
              <w:fldChar w:fldCharType="end"/>
            </w:r>
          </w:p>
        </w:tc>
        <w:tc>
          <w:tcPr>
            <w:tcW w:w="457" w:type="pct"/>
          </w:tcPr>
          <w:p w14:paraId="4A53E4CE" w14:textId="242E81E5"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Spain</w:t>
            </w:r>
          </w:p>
        </w:tc>
        <w:tc>
          <w:tcPr>
            <w:tcW w:w="371" w:type="pct"/>
          </w:tcPr>
          <w:p w14:paraId="0F7D9A04" w14:textId="2739E724"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2006</w:t>
            </w:r>
          </w:p>
        </w:tc>
        <w:tc>
          <w:tcPr>
            <w:tcW w:w="617" w:type="pct"/>
          </w:tcPr>
          <w:p w14:paraId="608A437F" w14:textId="73650559"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124</w:t>
            </w:r>
          </w:p>
        </w:tc>
        <w:tc>
          <w:tcPr>
            <w:tcW w:w="555" w:type="pct"/>
          </w:tcPr>
          <w:p w14:paraId="04CCE210" w14:textId="4BF9D6D8"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0.84</w:t>
            </w:r>
          </w:p>
        </w:tc>
        <w:tc>
          <w:tcPr>
            <w:tcW w:w="954" w:type="pct"/>
          </w:tcPr>
          <w:p w14:paraId="0B985172" w14:textId="728EBDD8" w:rsidR="00355AE6" w:rsidRPr="00AE4053" w:rsidRDefault="009C17C4"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0.94</w:t>
            </w:r>
          </w:p>
        </w:tc>
        <w:tc>
          <w:tcPr>
            <w:tcW w:w="1120" w:type="pct"/>
          </w:tcPr>
          <w:p w14:paraId="334C5A3F" w14:textId="3E7F74CE"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w:t>
            </w:r>
          </w:p>
        </w:tc>
      </w:tr>
      <w:tr w:rsidR="006D509B" w:rsidRPr="00AE4053" w14:paraId="3F4CE426" w14:textId="77777777" w:rsidTr="0055128F">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70E05436" w14:textId="5D6AD996" w:rsidR="00265801" w:rsidRPr="006C3ACC" w:rsidRDefault="006C3ACC" w:rsidP="00AE4053">
            <w:pPr>
              <w:snapToGrid w:val="0"/>
              <w:spacing w:line="360" w:lineRule="auto"/>
              <w:jc w:val="both"/>
              <w:rPr>
                <w:rFonts w:ascii="Book Antiqua" w:hAnsi="Book Antiqua"/>
                <w:b w:val="0"/>
                <w:color w:val="141314"/>
                <w:sz w:val="24"/>
                <w:szCs w:val="24"/>
              </w:rPr>
            </w:pPr>
            <w:proofErr w:type="spellStart"/>
            <w:r w:rsidRPr="006C3ACC">
              <w:rPr>
                <w:rFonts w:ascii="Book Antiqua" w:hAnsi="Book Antiqua"/>
                <w:b w:val="0"/>
                <w:color w:val="141314"/>
                <w:sz w:val="24"/>
                <w:szCs w:val="24"/>
              </w:rPr>
              <w:t>Vizzutti</w:t>
            </w:r>
            <w:proofErr w:type="spellEnd"/>
            <w:r w:rsidRPr="006C3ACC">
              <w:rPr>
                <w:rFonts w:ascii="Book Antiqua" w:hAnsi="Book Antiqua"/>
                <w:b w:val="0"/>
                <w:color w:val="141314"/>
                <w:sz w:val="24"/>
                <w:szCs w:val="24"/>
              </w:rPr>
              <w:t xml:space="preserve"> </w:t>
            </w:r>
            <w:r w:rsidRPr="006C3ACC">
              <w:rPr>
                <w:rFonts w:ascii="Book Antiqua" w:hAnsi="Book Antiqua"/>
                <w:b w:val="0"/>
                <w:i/>
                <w:color w:val="141314"/>
                <w:sz w:val="24"/>
                <w:szCs w:val="24"/>
              </w:rPr>
              <w:t>et al</w:t>
            </w:r>
            <w:r w:rsidR="00265801" w:rsidRPr="006C3ACC">
              <w:rPr>
                <w:rFonts w:ascii="Book Antiqua" w:hAnsi="Book Antiqua"/>
                <w:color w:val="141314"/>
                <w:sz w:val="24"/>
                <w:szCs w:val="24"/>
              </w:rPr>
              <w:fldChar w:fldCharType="begin"/>
            </w:r>
            <w:r w:rsidR="008F2F86" w:rsidRPr="006C3ACC">
              <w:rPr>
                <w:rFonts w:ascii="Book Antiqua" w:hAnsi="Book Antiqua"/>
                <w:b w:val="0"/>
                <w:color w:val="141314"/>
                <w:sz w:val="24"/>
                <w:szCs w:val="24"/>
              </w:rPr>
              <w:instrText xml:space="preserve"> ADDIN ZOTERO_ITEM CSL_CITATION {"citationID":"mixKckH1","properties":{"formattedCitation":"{\\rtf \\super [14]\\nosupersub{}}","plainCitation":"[14]"},"citationItems":[{"id":4022,"uris":["http://zotero.org/users/271015/items/JTT26CCJ"],"uri":["http://zotero.org/users/271015/items/JTT26CCJ"],"itemData":{"id":4022,"type":"article-journal","title":"Liver stiffness measurement predicts severe portal hypertension in patients with HCV-related cirrhosis","container-title":"Hepatology (Baltimore, Md.)","page":"1290-1297","volume":"45","issue":"5","source":"PubMed","abstract":"Measurement of hepatic venous pressure gradient (HVPG) is a standard method for the assessment of portal pressure and correlates with the occurrence of its complications. Liver stiffness measurement (LSM) has been proposed as a noninvasive technique for the prediction of the complications of cirrhosis. In this study, we evaluated the ability of LSM to predict severe portal hypertension compared with that of HVPG in 61 consecutive patients with HCV-related chronic liver disease. A strong relationship between LSM and HVPG measurements was found in the overall population (r=0.81, P&lt;0.0001). However, although the correlation was excellent for HVPG values less than 10 or 12 mm Hg (r=0.81, P=0.0003 and r=0.91, P&lt;0.0001, respectively), linear regression analysis was not optimal for HVPG values&gt;or=10 mm Hg (r2=0.35, P&lt;0.0001) or&gt;or=12 mm Hg (r2=0.17, P=0.02). The AUROC for the prediction of HVPG&gt;or=10 and &gt;or=12 mm Hg were 0.99 and 0.92, respectively and at LSM cutoff values of 13.6 kPa and 17.6 kPa, sensitivity was 97% and 94%, respectively. In patients with cirrhosis, LSM positively correlated with the presence of esophageal varices (P=0.002), although no correlation between LSM and esophageal varices size was detected. The area under the ROC for the prediction of EV was 0.76 and at a LSM cutoff value of 17.6 kPa sensitivity was 90%.\nCONCLUSION: LSM represents a non-invasive tool for the identification of chronic liver disease patients with clinically significant or severe portal hypertension and could be employed for screening patients to be subjected to standard investigations including upper GI endoscopy and hemodynamic studies.","DOI":"10.1002/hep.21665","ISSN":"0270-9139","note":"PMID: 17464971","journalAbbreviation":"Hepatology","language":"eng","author":[{"family":"Vizzutti","given":"Francesco"},{"family":"Arena","given":"Umberto"},{"family":"Romanelli","given":"Roberto G."},{"family":"Rega","given":"Luigi"},{"family":"Foschi","given":"Marco"},{"family":"Colagrande","given":"Stefano"},{"family":"Petrarca","given":"Antonio"},{"family":"Moscarella","given":"Stefania"},{"family":"Belli","given":"Giacomo"},{"family":"Zignego","given":"Anna Linda"},{"family":"Marra","given":"Fabio"},{"family":"Laffi","given":"Giacomo"},{"family":"Pinzani","given":"Massimo"}],"issued":{"date-parts":[["2007",5]]}}}],"schema":"https://github.com/citation-style-language/schema/raw/master/csl-citation.json"} </w:instrText>
            </w:r>
            <w:r w:rsidR="00265801" w:rsidRPr="006C3ACC">
              <w:rPr>
                <w:rFonts w:ascii="Book Antiqua" w:hAnsi="Book Antiqua"/>
                <w:color w:val="141314"/>
                <w:sz w:val="24"/>
                <w:szCs w:val="24"/>
              </w:rPr>
              <w:fldChar w:fldCharType="separate"/>
            </w:r>
            <w:r w:rsidR="008F2F86" w:rsidRPr="006C3ACC">
              <w:rPr>
                <w:rFonts w:ascii="Book Antiqua" w:hAnsi="Book Antiqua"/>
                <w:b w:val="0"/>
                <w:color w:val="000000"/>
                <w:sz w:val="24"/>
                <w:szCs w:val="24"/>
                <w:vertAlign w:val="superscript"/>
              </w:rPr>
              <w:t>[14]</w:t>
            </w:r>
            <w:r w:rsidR="00265801" w:rsidRPr="006C3ACC">
              <w:rPr>
                <w:rFonts w:ascii="Book Antiqua" w:hAnsi="Book Antiqua"/>
                <w:color w:val="141314"/>
                <w:sz w:val="24"/>
                <w:szCs w:val="24"/>
              </w:rPr>
              <w:fldChar w:fldCharType="end"/>
            </w:r>
          </w:p>
        </w:tc>
        <w:tc>
          <w:tcPr>
            <w:tcW w:w="457" w:type="pct"/>
          </w:tcPr>
          <w:p w14:paraId="690B80F5" w14:textId="67747C73" w:rsidR="00265801" w:rsidRPr="00AE4053" w:rsidRDefault="00265801"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Italy</w:t>
            </w:r>
          </w:p>
        </w:tc>
        <w:tc>
          <w:tcPr>
            <w:tcW w:w="371" w:type="pct"/>
          </w:tcPr>
          <w:p w14:paraId="795F176F" w14:textId="7AD73612" w:rsidR="00265801" w:rsidRPr="00AE4053" w:rsidRDefault="00265801"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2007</w:t>
            </w:r>
          </w:p>
        </w:tc>
        <w:tc>
          <w:tcPr>
            <w:tcW w:w="617" w:type="pct"/>
          </w:tcPr>
          <w:p w14:paraId="5012F4C2" w14:textId="2D4238C4" w:rsidR="00265801" w:rsidRPr="00AE4053" w:rsidRDefault="00265801"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61</w:t>
            </w:r>
          </w:p>
        </w:tc>
        <w:tc>
          <w:tcPr>
            <w:tcW w:w="555" w:type="pct"/>
          </w:tcPr>
          <w:p w14:paraId="0244A500" w14:textId="60888427" w:rsidR="00265801" w:rsidRPr="00AE4053" w:rsidRDefault="00265801"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0.81</w:t>
            </w:r>
          </w:p>
        </w:tc>
        <w:tc>
          <w:tcPr>
            <w:tcW w:w="954" w:type="pct"/>
          </w:tcPr>
          <w:p w14:paraId="1E7AA168" w14:textId="4EF4D2D1" w:rsidR="009E4AE6" w:rsidRPr="00AE4053" w:rsidRDefault="00AF28BB"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0.99</w:t>
            </w:r>
            <w:r w:rsidR="009C17C4">
              <w:rPr>
                <w:rFonts w:ascii="Book Antiqua" w:hAnsi="Book Antiqua"/>
                <w:color w:val="141314"/>
                <w:sz w:val="24"/>
                <w:szCs w:val="24"/>
              </w:rPr>
              <w:t xml:space="preserve"> </w:t>
            </w:r>
            <w:r w:rsidR="009E4AE6" w:rsidRPr="00AE4053">
              <w:rPr>
                <w:rFonts w:ascii="Book Antiqua" w:hAnsi="Book Antiqua"/>
                <w:color w:val="141314"/>
                <w:sz w:val="24"/>
                <w:szCs w:val="24"/>
              </w:rPr>
              <w:t>(0.92-0.99)</w:t>
            </w:r>
          </w:p>
        </w:tc>
        <w:tc>
          <w:tcPr>
            <w:tcW w:w="1120" w:type="pct"/>
          </w:tcPr>
          <w:p w14:paraId="618ED34C" w14:textId="5905EA2E" w:rsidR="009E4AE6" w:rsidRPr="00AE4053" w:rsidRDefault="009E4AE6"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13.6</w:t>
            </w:r>
            <w:r w:rsidR="006D509B">
              <w:rPr>
                <w:rFonts w:ascii="Book Antiqua" w:hAnsi="Book Antiqua"/>
                <w:color w:val="141314"/>
                <w:sz w:val="24"/>
                <w:szCs w:val="24"/>
              </w:rPr>
              <w:t xml:space="preserve"> </w:t>
            </w:r>
            <w:r w:rsidRPr="00AE4053">
              <w:rPr>
                <w:rFonts w:ascii="Book Antiqua" w:hAnsi="Book Antiqua"/>
                <w:color w:val="141314"/>
                <w:sz w:val="24"/>
                <w:szCs w:val="24"/>
              </w:rPr>
              <w:t>(PPV 97%)</w:t>
            </w:r>
          </w:p>
        </w:tc>
      </w:tr>
      <w:tr w:rsidR="006D509B" w:rsidRPr="00AE4053" w14:paraId="173FCA9C" w14:textId="77777777" w:rsidTr="0055128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06C92E3D" w14:textId="672A358B" w:rsidR="002176DF" w:rsidRPr="006C3ACC" w:rsidRDefault="002176DF" w:rsidP="00AE4053">
            <w:pPr>
              <w:snapToGrid w:val="0"/>
              <w:spacing w:line="360" w:lineRule="auto"/>
              <w:jc w:val="both"/>
              <w:rPr>
                <w:rFonts w:ascii="Book Antiqua" w:hAnsi="Book Antiqua"/>
                <w:b w:val="0"/>
                <w:color w:val="141314"/>
                <w:sz w:val="24"/>
                <w:szCs w:val="24"/>
              </w:rPr>
            </w:pPr>
            <w:proofErr w:type="spellStart"/>
            <w:r w:rsidRPr="006C3ACC">
              <w:rPr>
                <w:rFonts w:ascii="Book Antiqua" w:hAnsi="Book Antiqua"/>
                <w:b w:val="0"/>
                <w:color w:val="141314"/>
                <w:sz w:val="24"/>
                <w:szCs w:val="24"/>
              </w:rPr>
              <w:t>Lemoine</w:t>
            </w:r>
            <w:proofErr w:type="spellEnd"/>
            <w:r w:rsidRPr="006C3ACC">
              <w:rPr>
                <w:rFonts w:ascii="Book Antiqua" w:hAnsi="Book Antiqua"/>
                <w:b w:val="0"/>
                <w:color w:val="141314"/>
                <w:sz w:val="24"/>
                <w:szCs w:val="24"/>
              </w:rPr>
              <w:t xml:space="preserve"> </w:t>
            </w:r>
            <w:r w:rsidRPr="006C3ACC">
              <w:rPr>
                <w:rFonts w:ascii="Book Antiqua" w:hAnsi="Book Antiqua"/>
                <w:b w:val="0"/>
                <w:i/>
                <w:color w:val="141314"/>
                <w:sz w:val="24"/>
                <w:szCs w:val="24"/>
              </w:rPr>
              <w:t>et al</w:t>
            </w:r>
            <w:r w:rsidRPr="006C3ACC">
              <w:rPr>
                <w:rFonts w:ascii="Book Antiqua" w:hAnsi="Book Antiqua"/>
                <w:color w:val="141314"/>
                <w:sz w:val="24"/>
                <w:szCs w:val="24"/>
              </w:rPr>
              <w:fldChar w:fldCharType="begin"/>
            </w:r>
            <w:r w:rsidR="008F2F86" w:rsidRPr="006C3ACC">
              <w:rPr>
                <w:rFonts w:ascii="Book Antiqua" w:hAnsi="Book Antiqua"/>
                <w:b w:val="0"/>
                <w:color w:val="141314"/>
                <w:sz w:val="24"/>
                <w:szCs w:val="24"/>
              </w:rPr>
              <w:instrText xml:space="preserve"> ADDIN ZOTERO_ITEM CSL_CITATION {"citationID":"0ZPsXtnM","properties":{"formattedCitation":"{\\rtf \\super [34]\\nosupersub{}}","plainCitation":"[34]"},"citationItems":[{"id":4028,"uris":["http://zotero.org/users/271015/items/2RRWH9RD"],"uri":["http://zotero.org/users/271015/items/2RRWH9RD"],"itemData":{"id":4028,"type":"article-journal","title":"Liver stiffness measurement as a predictive tool of clinically significant portal hypertension in patients with compensated hepatitis C virus or alcohol-related cirrhosis","container-title":"Alimentary Pharmacology &amp; Therapeutics","page":"1102-1110","volume":"28","issue":"9","source":"PubMed","abstract":"BACKGROUND: Hepatic venous pressure gradient (HVPG) is the gold standard for assessing the presence and the severity of portal hypertension (PHT). Liver stiffness measurement (LSM) is a non-invasive method for liver fibrosis assessment.\nAIMS: To assess the relationship between LSM and HVPG in patients with compensated cirrhosis related to hepatitis C virus (HCV) or alcohol and to define the performance and the best cut-off of LSM for the diagnosis of PHT in these patients.\nMETHODS: Between January 2004 and September 2006, we studied all the consecutive patients with compensated HCV or alcohol-related-cirrhosis referred for transjugular liver biopsy with HVPG measurement and LSM performed the same day.\nRESULTS: Ninety-two patients were eligible, 44 had HCV related-cirrhosis and 48 alcoholic cirrhosis. LSM was positively correlated to HVPG in both groups. The area under the receiver operating characteristic curve for the diagnosis of significant PHT was 0.76 +/- 0.07 in HCV patients (best cut-off at 20.5 kPa) and 0.94 +/- 0.03 (best cut-off at 34.9 kPa) in alcoholic patients.\nCONCLUSIONS: Liver stiffness measurement and HVPG were significantly correlated in patients with compensated cirrhosis because of HCV infection or alcohol. LSM could predict significant PHT in both these groups of patients with a higher cut-off and a better performance in alcoholic patients.","DOI":"10.1111/j.1365-2036.2008.03825.x","ISSN":"1365-2036","note":"PMID: 18691352","journalAbbreviation":"Aliment. Pharmacol. Ther.","language":"eng","author":[{"family":"Lemoine","given":"M."},{"family":"Katsahian","given":"S."},{"family":"Ziol","given":"M."},{"family":"Nahon","given":"P."},{"family":"Ganne-Carrie","given":"N."},{"family":"Kazemi","given":"F."},{"family":"Grando-Lemaire","given":"V."},{"family":"Trinchet","given":"J.-C."},{"family":"Beaugrand","given":"M."}],"issued":{"date-parts":[["2008",11,1]]}}}],"schema":"https://github.com/citation-style-language/schema/raw/master/csl-citation.json"} </w:instrText>
            </w:r>
            <w:r w:rsidRPr="006C3ACC">
              <w:rPr>
                <w:rFonts w:ascii="Book Antiqua" w:hAnsi="Book Antiqua"/>
                <w:color w:val="141314"/>
                <w:sz w:val="24"/>
                <w:szCs w:val="24"/>
              </w:rPr>
              <w:fldChar w:fldCharType="separate"/>
            </w:r>
            <w:r w:rsidR="008F2F86" w:rsidRPr="006C3ACC">
              <w:rPr>
                <w:rFonts w:ascii="Book Antiqua" w:hAnsi="Book Antiqua"/>
                <w:b w:val="0"/>
                <w:color w:val="000000"/>
                <w:sz w:val="24"/>
                <w:szCs w:val="24"/>
                <w:vertAlign w:val="superscript"/>
              </w:rPr>
              <w:t>[34]</w:t>
            </w:r>
            <w:r w:rsidRPr="006C3ACC">
              <w:rPr>
                <w:rFonts w:ascii="Book Antiqua" w:hAnsi="Book Antiqua"/>
                <w:color w:val="141314"/>
                <w:sz w:val="24"/>
                <w:szCs w:val="24"/>
              </w:rPr>
              <w:fldChar w:fldCharType="end"/>
            </w:r>
          </w:p>
        </w:tc>
        <w:tc>
          <w:tcPr>
            <w:tcW w:w="457" w:type="pct"/>
          </w:tcPr>
          <w:p w14:paraId="6EFF7B63" w14:textId="784ABE6D" w:rsidR="002176DF" w:rsidRPr="00AE4053" w:rsidRDefault="002176DF"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France</w:t>
            </w:r>
          </w:p>
        </w:tc>
        <w:tc>
          <w:tcPr>
            <w:tcW w:w="371" w:type="pct"/>
          </w:tcPr>
          <w:p w14:paraId="5A2D8760" w14:textId="66785B93" w:rsidR="002176DF" w:rsidRPr="00AE4053" w:rsidRDefault="002176DF"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2008</w:t>
            </w:r>
          </w:p>
        </w:tc>
        <w:tc>
          <w:tcPr>
            <w:tcW w:w="617" w:type="pct"/>
          </w:tcPr>
          <w:p w14:paraId="1FAF6098" w14:textId="325DF989" w:rsidR="002176DF" w:rsidRPr="00AE4053" w:rsidRDefault="002176DF"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92</w:t>
            </w:r>
          </w:p>
        </w:tc>
        <w:tc>
          <w:tcPr>
            <w:tcW w:w="555" w:type="pct"/>
          </w:tcPr>
          <w:p w14:paraId="26195E38" w14:textId="5A3ABC28" w:rsidR="002176DF" w:rsidRPr="00AE4053" w:rsidRDefault="002176DF"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0.53</w:t>
            </w:r>
          </w:p>
        </w:tc>
        <w:tc>
          <w:tcPr>
            <w:tcW w:w="954" w:type="pct"/>
          </w:tcPr>
          <w:p w14:paraId="36404A42" w14:textId="336F2D41" w:rsidR="002176DF" w:rsidRPr="00AE4053" w:rsidRDefault="009C17C4"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0.84 </w:t>
            </w:r>
            <w:r w:rsidR="002176DF" w:rsidRPr="00AE4053">
              <w:rPr>
                <w:rFonts w:ascii="Book Antiqua" w:hAnsi="Book Antiqua"/>
                <w:color w:val="141314"/>
                <w:sz w:val="24"/>
                <w:szCs w:val="24"/>
              </w:rPr>
              <w:t>(</w:t>
            </w:r>
            <w:r w:rsidR="004B11F3" w:rsidRPr="00AE4053">
              <w:rPr>
                <w:rFonts w:ascii="Book Antiqua" w:hAnsi="Book Antiqua"/>
                <w:color w:val="141314"/>
                <w:sz w:val="24"/>
                <w:szCs w:val="24"/>
              </w:rPr>
              <w:t>0.80-0.88)</w:t>
            </w:r>
          </w:p>
        </w:tc>
        <w:tc>
          <w:tcPr>
            <w:tcW w:w="1120" w:type="pct"/>
          </w:tcPr>
          <w:p w14:paraId="714945C8" w14:textId="77777777" w:rsidR="002176DF" w:rsidRPr="00AE4053" w:rsidRDefault="00466C9D"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 xml:space="preserve">34.9 </w:t>
            </w:r>
            <w:proofErr w:type="gramStart"/>
            <w:r w:rsidRPr="00AE4053">
              <w:rPr>
                <w:rFonts w:ascii="Book Antiqua" w:hAnsi="Book Antiqua"/>
                <w:color w:val="141314"/>
                <w:sz w:val="24"/>
                <w:szCs w:val="24"/>
              </w:rPr>
              <w:t>for</w:t>
            </w:r>
            <w:proofErr w:type="gramEnd"/>
            <w:r w:rsidRPr="00AE4053">
              <w:rPr>
                <w:rFonts w:ascii="Book Antiqua" w:hAnsi="Book Antiqua"/>
                <w:color w:val="141314"/>
                <w:sz w:val="24"/>
                <w:szCs w:val="24"/>
              </w:rPr>
              <w:t xml:space="preserve"> alcohol (PPV 98%)</w:t>
            </w:r>
          </w:p>
          <w:p w14:paraId="5B6D9D7E" w14:textId="0888A223" w:rsidR="00466C9D" w:rsidRPr="00AE4053" w:rsidRDefault="00466C9D"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 xml:space="preserve">20.5 </w:t>
            </w:r>
            <w:proofErr w:type="gramStart"/>
            <w:r w:rsidRPr="00AE4053">
              <w:rPr>
                <w:rFonts w:ascii="Book Antiqua" w:hAnsi="Book Antiqua"/>
                <w:color w:val="141314"/>
                <w:sz w:val="24"/>
                <w:szCs w:val="24"/>
              </w:rPr>
              <w:t>for</w:t>
            </w:r>
            <w:proofErr w:type="gramEnd"/>
            <w:r w:rsidRPr="00AE4053">
              <w:rPr>
                <w:rFonts w:ascii="Book Antiqua" w:hAnsi="Book Antiqua"/>
                <w:color w:val="141314"/>
                <w:sz w:val="24"/>
                <w:szCs w:val="24"/>
              </w:rPr>
              <w:t xml:space="preserve"> HCV (PPV 88%)</w:t>
            </w:r>
          </w:p>
        </w:tc>
      </w:tr>
      <w:tr w:rsidR="006D509B" w:rsidRPr="00AE4053" w14:paraId="39ACEA6D" w14:textId="77777777" w:rsidTr="0055128F">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65583970" w14:textId="5954FE78" w:rsidR="00297D5C" w:rsidRPr="006C3ACC" w:rsidRDefault="00297D5C" w:rsidP="00AE4053">
            <w:pPr>
              <w:snapToGrid w:val="0"/>
              <w:spacing w:line="360" w:lineRule="auto"/>
              <w:jc w:val="both"/>
              <w:rPr>
                <w:rFonts w:ascii="Book Antiqua" w:hAnsi="Book Antiqua"/>
                <w:b w:val="0"/>
                <w:color w:val="141314"/>
                <w:sz w:val="24"/>
                <w:szCs w:val="24"/>
              </w:rPr>
            </w:pPr>
            <w:r w:rsidRPr="006C3ACC">
              <w:rPr>
                <w:rFonts w:ascii="Book Antiqua" w:hAnsi="Book Antiqua"/>
                <w:b w:val="0"/>
                <w:color w:val="141314"/>
                <w:sz w:val="24"/>
                <w:szCs w:val="24"/>
              </w:rPr>
              <w:t xml:space="preserve">Bureau </w:t>
            </w:r>
            <w:r w:rsidRPr="006C3ACC">
              <w:rPr>
                <w:rFonts w:ascii="Book Antiqua" w:hAnsi="Book Antiqua"/>
                <w:b w:val="0"/>
                <w:i/>
                <w:color w:val="141314"/>
                <w:sz w:val="24"/>
                <w:szCs w:val="24"/>
              </w:rPr>
              <w:t>et al</w:t>
            </w:r>
            <w:r w:rsidRPr="006C3ACC">
              <w:rPr>
                <w:rFonts w:ascii="Book Antiqua" w:hAnsi="Book Antiqua"/>
                <w:color w:val="141314"/>
                <w:sz w:val="24"/>
                <w:szCs w:val="24"/>
              </w:rPr>
              <w:fldChar w:fldCharType="begin"/>
            </w:r>
            <w:r w:rsidR="008F2F86" w:rsidRPr="006C3ACC">
              <w:rPr>
                <w:rFonts w:ascii="Book Antiqua" w:hAnsi="Book Antiqua"/>
                <w:b w:val="0"/>
                <w:color w:val="141314"/>
                <w:sz w:val="24"/>
                <w:szCs w:val="24"/>
              </w:rPr>
              <w:instrText xml:space="preserve"> ADDIN ZOTERO_ITEM CSL_CITATION {"citationID":"1PXqbTmO","properties":{"formattedCitation":"{\\rtf \\super [35]\\nosupersub{}}","plainCitation":"[35]"},"citationItems":[{"id":4026,"uris":["http://zotero.org/users/271015/items/F6A9D397"],"uri":["http://zotero.org/users/271015/items/F6A9D397"],"itemData":{"id":4026,"type":"article-journal","title":"Transient elastography accurately predicts presence of significant portal hypertension in patients with chronic liver disease","container-title":"Alimentary Pharmacology &amp; Therapeutics","page":"1261-1268","volume":"27","issue":"12","source":"PubMed","abstract":"BACKGROUND: Hepatic venous pressure gradient (HVPG) is a prognostic marker in patients with cirrhosis. Transient elastography measures liver stiffness (LS).\nAIM: To assess the correlation between LS and HVPG and to investigate the performance of transient elastography for the diagnosis of significant portal hypertension (PHT).\nMETHODS: Liver stiffness was measured by Fibroscan in 150 consecutive patients who underwent a liver biopsy with haemodynamic measurements. Usual clinical and biological data were collected. Significant PHT was defined as a HVPG &gt; or = 10 mmHg.\nRESULTS: Hepatic venous pressure gradient was found to be &gt; or = 10 mmHg in 76 patients. Cirrhosis was diagnosed in 89 patients. HVPG was found to be correlated with: LS (rho = 0.858; P &lt; 0.001) and inversely correlated with prothrombin index (rho = -0.718; P &lt; 0.001). Regarding significant PHT, AUROC for LS and prothrombin index were 0.945 [0.904-0.987] and 0.892 [0.837-0.947] respectively. The cut-off value of 21 kPa accurately predicted significant PHT in 92% of the 144 patients for whom LS was successful.\nCONCLUSION: Liver stiffness measurement is correlated with HVPG and transient elastography identifies patients with significant PHT.","DOI":"10.1111/j.1365-2036.2008.03701.x","ISSN":"1365-2036","note":"PMID: 18397389","journalAbbreviation":"Aliment. Pharmacol. Ther.","language":"eng","author":[{"family":"Bureau","given":"C."},{"family":"Metivier","given":"S."},{"family":"Peron","given":"J. M."},{"family":"Selves","given":"J."},{"family":"Robic","given":"M. A."},{"family":"Gourraud","given":"P. A."},{"family":"Rouquet","given":"O."},{"family":"Dupuis","given":"E."},{"family":"Alric","given":"L."},{"family":"Vinel","given":"J. P."}],"issued":{"date-parts":[["2008",6]]}}}],"schema":"https://github.com/citation-style-language/schema/raw/master/csl-citation.json"} </w:instrText>
            </w:r>
            <w:r w:rsidRPr="006C3ACC">
              <w:rPr>
                <w:rFonts w:ascii="Book Antiqua" w:hAnsi="Book Antiqua"/>
                <w:color w:val="141314"/>
                <w:sz w:val="24"/>
                <w:szCs w:val="24"/>
              </w:rPr>
              <w:fldChar w:fldCharType="separate"/>
            </w:r>
            <w:r w:rsidR="008F2F86" w:rsidRPr="006C3ACC">
              <w:rPr>
                <w:rFonts w:ascii="Book Antiqua" w:hAnsi="Book Antiqua"/>
                <w:b w:val="0"/>
                <w:color w:val="000000"/>
                <w:sz w:val="24"/>
                <w:szCs w:val="24"/>
                <w:vertAlign w:val="superscript"/>
              </w:rPr>
              <w:t>[35]</w:t>
            </w:r>
            <w:r w:rsidRPr="006C3ACC">
              <w:rPr>
                <w:rFonts w:ascii="Book Antiqua" w:hAnsi="Book Antiqua"/>
                <w:color w:val="141314"/>
                <w:sz w:val="24"/>
                <w:szCs w:val="24"/>
              </w:rPr>
              <w:fldChar w:fldCharType="end"/>
            </w:r>
          </w:p>
        </w:tc>
        <w:tc>
          <w:tcPr>
            <w:tcW w:w="457" w:type="pct"/>
          </w:tcPr>
          <w:p w14:paraId="04A069F6" w14:textId="139F4AF9"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France</w:t>
            </w:r>
          </w:p>
        </w:tc>
        <w:tc>
          <w:tcPr>
            <w:tcW w:w="371" w:type="pct"/>
          </w:tcPr>
          <w:p w14:paraId="190DC7E7" w14:textId="610BF7D7"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2008</w:t>
            </w:r>
          </w:p>
        </w:tc>
        <w:tc>
          <w:tcPr>
            <w:tcW w:w="617" w:type="pct"/>
          </w:tcPr>
          <w:p w14:paraId="40BAB1F9" w14:textId="232FD497"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150</w:t>
            </w:r>
          </w:p>
        </w:tc>
        <w:tc>
          <w:tcPr>
            <w:tcW w:w="555" w:type="pct"/>
          </w:tcPr>
          <w:p w14:paraId="533DCCD7" w14:textId="4AB3FDA7"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0.858</w:t>
            </w:r>
          </w:p>
        </w:tc>
        <w:tc>
          <w:tcPr>
            <w:tcW w:w="954" w:type="pct"/>
          </w:tcPr>
          <w:p w14:paraId="6073C236" w14:textId="573D586E" w:rsidR="00297D5C" w:rsidRPr="00AE4053" w:rsidRDefault="009C17C4"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0.945 </w:t>
            </w:r>
            <w:r w:rsidR="00297D5C" w:rsidRPr="00AE4053">
              <w:rPr>
                <w:rFonts w:ascii="Book Antiqua" w:hAnsi="Book Antiqua"/>
                <w:color w:val="141314"/>
                <w:sz w:val="24"/>
                <w:szCs w:val="24"/>
              </w:rPr>
              <w:t>(0.904-0.987)</w:t>
            </w:r>
          </w:p>
        </w:tc>
        <w:tc>
          <w:tcPr>
            <w:tcW w:w="1120" w:type="pct"/>
          </w:tcPr>
          <w:p w14:paraId="554A7B1E" w14:textId="3AB1BE55" w:rsidR="00297D5C" w:rsidRPr="00AE4053" w:rsidRDefault="006D509B"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21 </w:t>
            </w:r>
            <w:r w:rsidR="00297D5C" w:rsidRPr="00AE4053">
              <w:rPr>
                <w:rFonts w:ascii="Book Antiqua" w:hAnsi="Book Antiqua"/>
                <w:color w:val="141314"/>
                <w:sz w:val="24"/>
                <w:szCs w:val="24"/>
              </w:rPr>
              <w:t>(PPV 92%)</w:t>
            </w:r>
          </w:p>
        </w:tc>
      </w:tr>
      <w:tr w:rsidR="006D509B" w:rsidRPr="00AE4053" w14:paraId="7C8BF328" w14:textId="77777777" w:rsidTr="0055128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38FF843C" w14:textId="2CB32DCB" w:rsidR="000A0708" w:rsidRPr="006C3ACC" w:rsidRDefault="000A0708" w:rsidP="00AE4053">
            <w:pPr>
              <w:snapToGrid w:val="0"/>
              <w:spacing w:line="360" w:lineRule="auto"/>
              <w:jc w:val="both"/>
              <w:rPr>
                <w:rFonts w:ascii="Book Antiqua" w:hAnsi="Book Antiqua"/>
                <w:b w:val="0"/>
                <w:color w:val="141314"/>
                <w:sz w:val="24"/>
                <w:szCs w:val="24"/>
              </w:rPr>
            </w:pPr>
            <w:r w:rsidRPr="006C3ACC">
              <w:rPr>
                <w:rFonts w:ascii="Book Antiqua" w:hAnsi="Book Antiqua"/>
                <w:b w:val="0"/>
                <w:color w:val="141314"/>
                <w:sz w:val="24"/>
                <w:szCs w:val="24"/>
              </w:rPr>
              <w:t>Sánchez-</w:t>
            </w:r>
            <w:proofErr w:type="spellStart"/>
            <w:r w:rsidRPr="006C3ACC">
              <w:rPr>
                <w:rFonts w:ascii="Book Antiqua" w:hAnsi="Book Antiqua"/>
                <w:b w:val="0"/>
                <w:color w:val="141314"/>
                <w:sz w:val="24"/>
                <w:szCs w:val="24"/>
              </w:rPr>
              <w:t>Conde</w:t>
            </w:r>
            <w:proofErr w:type="spellEnd"/>
            <w:r w:rsidRPr="006C3ACC">
              <w:rPr>
                <w:rFonts w:ascii="Book Antiqua" w:hAnsi="Book Antiqua"/>
                <w:b w:val="0"/>
                <w:color w:val="141314"/>
                <w:sz w:val="24"/>
                <w:szCs w:val="24"/>
              </w:rPr>
              <w:t xml:space="preserve"> </w:t>
            </w:r>
            <w:r w:rsidRPr="006C3ACC">
              <w:rPr>
                <w:rFonts w:ascii="Book Antiqua" w:hAnsi="Book Antiqua"/>
                <w:b w:val="0"/>
                <w:i/>
                <w:color w:val="141314"/>
                <w:sz w:val="24"/>
                <w:szCs w:val="24"/>
              </w:rPr>
              <w:t>et al</w:t>
            </w:r>
            <w:r w:rsidRPr="006C3ACC">
              <w:rPr>
                <w:rFonts w:ascii="Book Antiqua" w:hAnsi="Book Antiqua"/>
                <w:color w:val="141314"/>
                <w:sz w:val="24"/>
                <w:szCs w:val="24"/>
              </w:rPr>
              <w:fldChar w:fldCharType="begin"/>
            </w:r>
            <w:r w:rsidR="008F2F86" w:rsidRPr="006C3ACC">
              <w:rPr>
                <w:rFonts w:ascii="Book Antiqua" w:hAnsi="Book Antiqua"/>
                <w:b w:val="0"/>
                <w:color w:val="141314"/>
                <w:sz w:val="24"/>
                <w:szCs w:val="24"/>
              </w:rPr>
              <w:instrText xml:space="preserve"> ADDIN ZOTERO_ITEM CSL_CITATION {"citationID":"voyayAJH","properties":{"formattedCitation":"{\\rtf \\super [36]\\nosupersub{}}","plainCitation":"[36]"},"citationItems":[{"id":4260,"uris":["http://zotero.org/users/271015/items/V9BQUFTC"],"uri":["http://zotero.org/users/271015/items/V9BQUFTC"],"itemData":{"id":4260,"type":"article-journal","title":"Use of transient elastography (FibroScan®) for the noninvasive assessment of portal hypertension in HIV/HCV-coinfected patients","container-title":"Journal of Viral Hepatitis","page":"685-691","volume":"18","issue":"10","source":"PubMed","abstract":"The hepatic venous pressure gradient (HVPG) is the gold standard for assessing portal pressure and correlates with the occurrence of portal hypertension (PH)-related complications. Transient elastography (TE) is a new, highly accurate noninvasive technique, which enables us to evaluate hepatic fibrosis to detect advanced fibrosis and cirrhosis. We performed a hepatic haemodynamic study and TE in 38 HIV/HCV-coinfected patients. The association between HVPG and liver stiffness was assessed by linear regression. The diagnostic value of TE was assessed by receiver operating characteristic (ROC) curves. We considered clinically significant PH as an HVPG ≥ 10 mmHg and severe PH as an HVPG ≥ 12 mmHg. A total of 38 HIV/HCV-coinfected patients were included. Twenty-eight patients (73.7%) had clinically significant PH (HVPG ≥ 10 mmHg), and 23 (60.5%) of these had severe PH (HVPG ≥ 12 mmHg). We found a statistically significant association between liver stiffness (kPa) and HVPG (r(2) = 0.46, P &lt; 0.001, straight line equation HVPG=7.4 + 0.204*TE). The areas under the ROC curves were 0.80 [95% confidence interval (CI), 0.64-0.97] and 0.80 (95% CI, 0.66-0.94) for the prediction of HVPG ≥ 10 and ≥ 12 mmHg, respectively. Our data suggest that TE can predict the presence of clinically significant and severe PH in HIV/HCV-coinfected patients.","DOI":"10.1111/j.1365-2893.2010.01371.x","ISSN":"1365-2893","note":"PMID: 21914085","journalAbbreviation":"J. Viral Hepat.","language":"eng","author":[{"family":"Sánchez-Conde","given":"M."},{"family":"Miralles","given":"P."},{"family":"Bellón","given":"J. María"},{"family":"Rincón","given":"D."},{"family":"Ramírez","given":"M."},{"family":"Gutiérrez","given":"I."},{"family":"Ripoll","given":"C."},{"family":"López","given":"J. C."},{"family":"Cosín","given":"J."},{"family":"Clemente","given":"G."},{"family":"Lo Iacono","given":"O."},{"family":"Bañares","given":"R."},{"family":"Berenguer","given":"J."}],"issued":{"date-parts":[["2011",10]]}}}],"schema":"https://github.com/citation-style-language/schema/raw/master/csl-citation.json"} </w:instrText>
            </w:r>
            <w:r w:rsidRPr="006C3ACC">
              <w:rPr>
                <w:rFonts w:ascii="Book Antiqua" w:hAnsi="Book Antiqua"/>
                <w:color w:val="141314"/>
                <w:sz w:val="24"/>
                <w:szCs w:val="24"/>
              </w:rPr>
              <w:fldChar w:fldCharType="separate"/>
            </w:r>
            <w:r w:rsidR="008F2F86" w:rsidRPr="006C3ACC">
              <w:rPr>
                <w:rFonts w:ascii="Book Antiqua" w:hAnsi="Book Antiqua"/>
                <w:b w:val="0"/>
                <w:color w:val="000000"/>
                <w:sz w:val="24"/>
                <w:szCs w:val="24"/>
                <w:vertAlign w:val="superscript"/>
              </w:rPr>
              <w:t>[36]</w:t>
            </w:r>
            <w:r w:rsidRPr="006C3ACC">
              <w:rPr>
                <w:rFonts w:ascii="Book Antiqua" w:hAnsi="Book Antiqua"/>
                <w:color w:val="141314"/>
                <w:sz w:val="24"/>
                <w:szCs w:val="24"/>
              </w:rPr>
              <w:fldChar w:fldCharType="end"/>
            </w:r>
          </w:p>
        </w:tc>
        <w:tc>
          <w:tcPr>
            <w:tcW w:w="457" w:type="pct"/>
          </w:tcPr>
          <w:p w14:paraId="3D80B83B" w14:textId="7FA5540B" w:rsidR="000A0708" w:rsidRPr="00AE4053" w:rsidRDefault="000A0708"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Spain</w:t>
            </w:r>
          </w:p>
        </w:tc>
        <w:tc>
          <w:tcPr>
            <w:tcW w:w="371" w:type="pct"/>
          </w:tcPr>
          <w:p w14:paraId="0E287F63" w14:textId="04961E37" w:rsidR="000A0708" w:rsidRPr="00AE4053" w:rsidRDefault="000A0708"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2011</w:t>
            </w:r>
          </w:p>
        </w:tc>
        <w:tc>
          <w:tcPr>
            <w:tcW w:w="617" w:type="pct"/>
          </w:tcPr>
          <w:p w14:paraId="42ABA52C" w14:textId="0E11CCF8" w:rsidR="000A0708" w:rsidRPr="00AE4053" w:rsidRDefault="000A0708"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38</w:t>
            </w:r>
          </w:p>
        </w:tc>
        <w:tc>
          <w:tcPr>
            <w:tcW w:w="555" w:type="pct"/>
          </w:tcPr>
          <w:p w14:paraId="4DEC6944" w14:textId="5BF10748" w:rsidR="000A0708" w:rsidRPr="00AE4053" w:rsidRDefault="000A0708"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0.46</w:t>
            </w:r>
          </w:p>
        </w:tc>
        <w:tc>
          <w:tcPr>
            <w:tcW w:w="954" w:type="pct"/>
          </w:tcPr>
          <w:p w14:paraId="018F3F35" w14:textId="7D7851DE" w:rsidR="000A0708" w:rsidRPr="00AE4053" w:rsidRDefault="009C17C4"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0.80 </w:t>
            </w:r>
            <w:r w:rsidR="000A0708" w:rsidRPr="00AE4053">
              <w:rPr>
                <w:rFonts w:ascii="Book Antiqua" w:hAnsi="Book Antiqua"/>
                <w:color w:val="141314"/>
                <w:sz w:val="24"/>
                <w:szCs w:val="24"/>
              </w:rPr>
              <w:t>(0.64-0.97)</w:t>
            </w:r>
          </w:p>
        </w:tc>
        <w:tc>
          <w:tcPr>
            <w:tcW w:w="1120" w:type="pct"/>
          </w:tcPr>
          <w:p w14:paraId="6F787E23" w14:textId="5004F698" w:rsidR="00ED6F54" w:rsidRPr="00AE4053" w:rsidRDefault="00ED6F54"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14</w:t>
            </w:r>
            <w:r w:rsidR="006D509B">
              <w:rPr>
                <w:rFonts w:ascii="Book Antiqua" w:hAnsi="Book Antiqua"/>
                <w:color w:val="141314"/>
                <w:sz w:val="24"/>
                <w:szCs w:val="24"/>
              </w:rPr>
              <w:t xml:space="preserve"> </w:t>
            </w:r>
            <w:r w:rsidRPr="00AE4053">
              <w:rPr>
                <w:rFonts w:ascii="Book Antiqua" w:hAnsi="Book Antiqua"/>
                <w:color w:val="141314"/>
                <w:sz w:val="24"/>
                <w:szCs w:val="24"/>
              </w:rPr>
              <w:t>(PPV 84%)</w:t>
            </w:r>
          </w:p>
        </w:tc>
      </w:tr>
      <w:tr w:rsidR="006D509B" w:rsidRPr="00AE4053" w14:paraId="6C84CFCD" w14:textId="77777777" w:rsidTr="0055128F">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472D14C0" w14:textId="70F0834F" w:rsidR="00297D5C" w:rsidRPr="006C3ACC" w:rsidRDefault="00297D5C" w:rsidP="00AE4053">
            <w:pPr>
              <w:snapToGrid w:val="0"/>
              <w:spacing w:line="360" w:lineRule="auto"/>
              <w:jc w:val="both"/>
              <w:rPr>
                <w:rFonts w:ascii="Book Antiqua" w:hAnsi="Book Antiqua"/>
                <w:b w:val="0"/>
                <w:color w:val="141314"/>
                <w:sz w:val="24"/>
                <w:szCs w:val="24"/>
              </w:rPr>
            </w:pPr>
            <w:proofErr w:type="spellStart"/>
            <w:r w:rsidRPr="006C3ACC">
              <w:rPr>
                <w:rFonts w:ascii="Book Antiqua" w:hAnsi="Book Antiqua"/>
                <w:b w:val="0"/>
                <w:color w:val="141314"/>
                <w:sz w:val="24"/>
                <w:szCs w:val="24"/>
              </w:rPr>
              <w:t>Reiberger</w:t>
            </w:r>
            <w:proofErr w:type="spellEnd"/>
            <w:r w:rsidRPr="006C3ACC">
              <w:rPr>
                <w:rFonts w:ascii="Book Antiqua" w:hAnsi="Book Antiqua"/>
                <w:b w:val="0"/>
                <w:color w:val="141314"/>
                <w:sz w:val="24"/>
                <w:szCs w:val="24"/>
              </w:rPr>
              <w:t xml:space="preserve"> </w:t>
            </w:r>
            <w:r w:rsidRPr="006C3ACC">
              <w:rPr>
                <w:rFonts w:ascii="Book Antiqua" w:hAnsi="Book Antiqua"/>
                <w:b w:val="0"/>
                <w:i/>
                <w:color w:val="141314"/>
                <w:sz w:val="24"/>
                <w:szCs w:val="24"/>
              </w:rPr>
              <w:t>et al</w:t>
            </w:r>
            <w:r w:rsidRPr="006C3ACC">
              <w:rPr>
                <w:rFonts w:ascii="Book Antiqua" w:hAnsi="Book Antiqua"/>
                <w:color w:val="141314"/>
                <w:sz w:val="24"/>
                <w:szCs w:val="24"/>
              </w:rPr>
              <w:fldChar w:fldCharType="begin"/>
            </w:r>
            <w:r w:rsidR="008F2F86" w:rsidRPr="006C3ACC">
              <w:rPr>
                <w:rFonts w:ascii="Book Antiqua" w:hAnsi="Book Antiqua"/>
                <w:b w:val="0"/>
                <w:color w:val="141314"/>
                <w:sz w:val="24"/>
                <w:szCs w:val="24"/>
              </w:rPr>
              <w:instrText xml:space="preserve"> ADDIN ZOTERO_ITEM CSL_CITATION {"citationID":"E9gfVBdU","properties":{"formattedCitation":"{\\rtf \\super [13]\\nosupersub{}}","plainCitation":"[13]"},"citationItems":[{"id":4243,"uris":["http://zotero.org/users/271015/items/QMARKV4N"],"uri":["http://zotero.org/users/271015/items/QMARKV4N"],"itemData":{"id":4243,"type":"article-journal","title":"Noninvasive screening for liver fibrosis and portal hypertension by transient elastography--a large single center experience","container-title":"Wiener Klinische Wochenschrift","page":"395-402","volume":"124","issue":"11-12","source":"PubMed","abstract":"BACKGROUND: Transient elastography (TE) is a noninvasive tool to assess hepatic fibrosis by measuring liver stiffness (LS). Recent studies suggest that TE may be used to screen for liver cirrhosis and clinically significant portal hypertension (≥ 10 mmHg; CSPH), whereas data on the clinical applicability of TE are limited.\nMETHODS: Among 695 patients undergoing measurement of LS, data on liver biopsies and on hepatic venous pressure gradient (HVPG) were available in 290 and 502 patients, respectively. Analysis of the area under the receiver operating curve (AUC) was used to assess the positive (PPV) and negative predictive (NPV) values of LS cut-offs for staging of hepatic fibrosis and for diagnosis of CSPH.\nRESULTS: LS was significantly associated with fibrosis stage (R = 0.872;p &lt; 0.0001). AUC for diagnosis of fibrosis F2 (&gt; 7.2 kPa) was 0.690, 0.737 for F3 (&gt; 9.6 kPa), and 0.904 for F4 (&gt; 12.1 kPa), respectively. At a LS cut-off of 12.1 kPa the PPV and NPV for diagnosis of cirrhosis were 87 and 91 %, respectively. A significant correlation of LS and HVPG was noted (R = 0.794;p &lt; 0.0001), being stronger in patients with viral disease (R = 0.838;p &lt; 0.0001) than in patients with alcoholic disease (R = 0.756;p &lt; 0.0001). The LS cut-off at 18 kPa can identify CSPH with a PPV and NPV of 86 and 80 %, respectively.\nCONCLUSIONS: This large single center study confirms the clinical utility of TE as valuable noninvasive screening tool for liver fibrosis with excellent accuracy to rule out F4 cirrhosis. However, the moderate PPV and NPV limit the diagnostic use of TE for discriminating patients with and without CSPH.","DOI":"10.1007/s00508-012-0190-5","ISSN":"1613-7671","note":"PMID: 22699260","journalAbbreviation":"Wien. Klin. Wochenschr.","language":"eng","author":[{"family":"Reiberger","given":"Thomas"},{"family":"Ferlitsch","given":"Arnulf"},{"family":"Payer","given":"Berit Anna"},{"family":"Pinter","given":"Matthias"},{"family":"Schwabl","given":"Philipp"},{"family":"Stift","given":"Judith"},{"family":"Trauner","given":"Michael"},{"family":"Peck-Radosavljevic","given":"Markus"}],"issued":{"date-parts":[["2012",6]]}}}],"schema":"https://github.com/citation-style-language/schema/raw/master/csl-citation.json"} </w:instrText>
            </w:r>
            <w:r w:rsidRPr="006C3ACC">
              <w:rPr>
                <w:rFonts w:ascii="Book Antiqua" w:hAnsi="Book Antiqua"/>
                <w:color w:val="141314"/>
                <w:sz w:val="24"/>
                <w:szCs w:val="24"/>
              </w:rPr>
              <w:fldChar w:fldCharType="separate"/>
            </w:r>
            <w:r w:rsidR="008F2F86" w:rsidRPr="006C3ACC">
              <w:rPr>
                <w:rFonts w:ascii="Book Antiqua" w:hAnsi="Book Antiqua"/>
                <w:b w:val="0"/>
                <w:color w:val="000000"/>
                <w:sz w:val="24"/>
                <w:szCs w:val="24"/>
                <w:vertAlign w:val="superscript"/>
              </w:rPr>
              <w:t>[13]</w:t>
            </w:r>
            <w:r w:rsidRPr="006C3ACC">
              <w:rPr>
                <w:rFonts w:ascii="Book Antiqua" w:hAnsi="Book Antiqua"/>
                <w:color w:val="141314"/>
                <w:sz w:val="24"/>
                <w:szCs w:val="24"/>
              </w:rPr>
              <w:fldChar w:fldCharType="end"/>
            </w:r>
          </w:p>
        </w:tc>
        <w:tc>
          <w:tcPr>
            <w:tcW w:w="457" w:type="pct"/>
          </w:tcPr>
          <w:p w14:paraId="2781F20D" w14:textId="1913C140"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Austria</w:t>
            </w:r>
          </w:p>
        </w:tc>
        <w:tc>
          <w:tcPr>
            <w:tcW w:w="371" w:type="pct"/>
          </w:tcPr>
          <w:p w14:paraId="3F2FB091" w14:textId="25E970F2"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2012</w:t>
            </w:r>
          </w:p>
        </w:tc>
        <w:tc>
          <w:tcPr>
            <w:tcW w:w="617" w:type="pct"/>
          </w:tcPr>
          <w:p w14:paraId="23958E55" w14:textId="079EAC57"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502</w:t>
            </w:r>
          </w:p>
        </w:tc>
        <w:tc>
          <w:tcPr>
            <w:tcW w:w="555" w:type="pct"/>
          </w:tcPr>
          <w:p w14:paraId="58ADA04D" w14:textId="7616B9B2"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0.794</w:t>
            </w:r>
          </w:p>
        </w:tc>
        <w:tc>
          <w:tcPr>
            <w:tcW w:w="954" w:type="pct"/>
          </w:tcPr>
          <w:p w14:paraId="7E7A63B4" w14:textId="217DD151" w:rsidR="00297D5C" w:rsidRPr="00AE4053" w:rsidRDefault="009C17C4"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0.817 </w:t>
            </w:r>
            <w:r w:rsidR="00297D5C" w:rsidRPr="00AE4053">
              <w:rPr>
                <w:rFonts w:ascii="Book Antiqua" w:hAnsi="Book Antiqua"/>
                <w:color w:val="141314"/>
                <w:sz w:val="24"/>
                <w:szCs w:val="24"/>
              </w:rPr>
              <w:t>(0.752-0.891)</w:t>
            </w:r>
          </w:p>
        </w:tc>
        <w:tc>
          <w:tcPr>
            <w:tcW w:w="1120" w:type="pct"/>
          </w:tcPr>
          <w:p w14:paraId="3B821CAF" w14:textId="48A051AA" w:rsidR="00297D5C" w:rsidRPr="00AE4053" w:rsidRDefault="006D509B"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18 </w:t>
            </w:r>
            <w:r w:rsidR="00297D5C" w:rsidRPr="00AE4053">
              <w:rPr>
                <w:rFonts w:ascii="Book Antiqua" w:hAnsi="Book Antiqua"/>
                <w:color w:val="141314"/>
                <w:sz w:val="24"/>
                <w:szCs w:val="24"/>
              </w:rPr>
              <w:t>(PPV 86%)</w:t>
            </w:r>
          </w:p>
        </w:tc>
      </w:tr>
      <w:tr w:rsidR="006D509B" w:rsidRPr="00AE4053" w14:paraId="2A85259B" w14:textId="77777777" w:rsidTr="0055128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77BE120C" w14:textId="55EA613D" w:rsidR="00297D5C" w:rsidRPr="006C3ACC" w:rsidRDefault="00297D5C" w:rsidP="00AE4053">
            <w:pPr>
              <w:snapToGrid w:val="0"/>
              <w:spacing w:line="360" w:lineRule="auto"/>
              <w:jc w:val="both"/>
              <w:rPr>
                <w:rFonts w:ascii="Book Antiqua" w:hAnsi="Book Antiqua"/>
                <w:b w:val="0"/>
                <w:color w:val="141314"/>
                <w:sz w:val="24"/>
                <w:szCs w:val="24"/>
              </w:rPr>
            </w:pPr>
            <w:proofErr w:type="spellStart"/>
            <w:r w:rsidRPr="006C3ACC">
              <w:rPr>
                <w:rFonts w:ascii="Book Antiqua" w:hAnsi="Book Antiqua"/>
                <w:b w:val="0"/>
                <w:color w:val="141314"/>
                <w:sz w:val="24"/>
                <w:szCs w:val="24"/>
              </w:rPr>
              <w:t>Llop</w:t>
            </w:r>
            <w:proofErr w:type="spellEnd"/>
            <w:r w:rsidRPr="006C3ACC">
              <w:rPr>
                <w:rFonts w:ascii="Book Antiqua" w:hAnsi="Book Antiqua"/>
                <w:b w:val="0"/>
                <w:color w:val="141314"/>
                <w:sz w:val="24"/>
                <w:szCs w:val="24"/>
              </w:rPr>
              <w:t xml:space="preserve"> </w:t>
            </w:r>
            <w:r w:rsidRPr="006C3ACC">
              <w:rPr>
                <w:rFonts w:ascii="Book Antiqua" w:hAnsi="Book Antiqua"/>
                <w:b w:val="0"/>
                <w:i/>
                <w:color w:val="141314"/>
                <w:sz w:val="24"/>
                <w:szCs w:val="24"/>
              </w:rPr>
              <w:t>et al</w:t>
            </w:r>
            <w:r w:rsidRPr="006C3ACC">
              <w:rPr>
                <w:rFonts w:ascii="Book Antiqua" w:hAnsi="Book Antiqua"/>
                <w:color w:val="141314"/>
                <w:sz w:val="24"/>
                <w:szCs w:val="24"/>
              </w:rPr>
              <w:fldChar w:fldCharType="begin"/>
            </w:r>
            <w:r w:rsidR="008F2F86" w:rsidRPr="006C3ACC">
              <w:rPr>
                <w:rFonts w:ascii="Book Antiqua" w:hAnsi="Book Antiqua"/>
                <w:b w:val="0"/>
                <w:color w:val="141314"/>
                <w:sz w:val="24"/>
                <w:szCs w:val="24"/>
              </w:rPr>
              <w:instrText xml:space="preserve"> ADDIN ZOTERO_ITEM CSL_CITATION {"citationID":"xXgK2i3K","properties":{"formattedCitation":"{\\rtf \\super [20]\\nosupersub{}}","plainCitation":"[20]"},"citationItems":[{"id":4051,"uris":["http://zotero.org/users/271015/items/5VXAHSSA"],"uri":["http://zotero.org/users/271015/items/5VXAHSSA"],"itemData":{"id":4051,"type":"article-journal","title":"Assessment of portal hypertension by transient elastography in patients with compensated cirrhosis and potentially resectable liver tumors","container-title":"Journal of Hepatology","page":"103-108","volume":"56","issue":"1","source":"PubMed","abstract":"BACKGROUND &amp; AIMS: Patients with cirrhosis and small hepatocellular carcinoma with normal bilirubin and hepatic venous pressure gradient (HVPG) &lt;10 mm Hg have &gt;70% 5-year survival after hepatic resection. On the contrary, patients with HVPG ≥10 mm Hg (clinically significant portal hypertension, CSPH) frequently develop decompensation following surgery, with around 50% 5-year survival. Liver stiffness (LS) evaluation by transient elastography might non-invasively identify CSPH. We investigated the usefulness of LS predicting CSPH in patients with compensated cirrhosis and potentially resectable liver tumors.\nMETHODS: Ninety-seven consecutive Child-Pugh A patients with potentially resectable liver tumors referred for HVPG measurement were prospectively evaluated. In fasting conditions LS was measured before the hemodynamic study.\nRESULTS: HVPG could be measured in all patients, whereas LS could not be measured in 18 (18.5%) obese patients. In the 79 patients with valid LS, 32 (40.5%) had CSPH; mean HVPG was 8.8±4.7 mm Hg. Mean LS was 18.4±12.3 kPa. LS showed a moderate correlation with HVPG (r=0.552; p&lt;0.001). LS&lt;13.6 kPa had high sensitivity (91%) but low specificity (57%) excluding CSPH. Conversely, LS&gt;21 kPa had low sensitivity (53%) and high specificity (91%) predicting CSPH. 35% of patients had LS between 13.6 and 21 kPa (\"grey zone\").\nCONCLUSIONS: These data suggest that in real-life scenarios half of patients with potentially resectable liver nodules can be non-invasively classified as having or not CSPH by LS. However, in the remaining half, LS is either not applicable or inaccurate. In this last population HVPG is still a non replaceable method to detect CSPH.","DOI":"10.1016/j.jhep.2011.06.027","ISSN":"1600-0641","note":"PMID: 21827733","journalAbbreviation":"J. Hepatol.","language":"eng","author":[{"family":"Llop","given":"Elba"},{"family":"Berzigotti","given":"Annalisa"},{"family":"Reig","given":"Maria"},{"family":"Erice","given":"Eva"},{"family":"Reverter","given":"Enric"},{"family":"Seijo","given":"Susana"},{"family":"Abraldes","given":"Juan G."},{"family":"Bruix","given":"Jordi"},{"family":"Bosch","given":"Jaime"},{"family":"García-Pagan","given":"Juan Carlos"}],"issued":{"date-parts":[["2012",1]]}}}],"schema":"https://github.com/citation-style-language/schema/raw/master/csl-citation.json"} </w:instrText>
            </w:r>
            <w:r w:rsidRPr="006C3ACC">
              <w:rPr>
                <w:rFonts w:ascii="Book Antiqua" w:hAnsi="Book Antiqua"/>
                <w:color w:val="141314"/>
                <w:sz w:val="24"/>
                <w:szCs w:val="24"/>
              </w:rPr>
              <w:fldChar w:fldCharType="separate"/>
            </w:r>
            <w:r w:rsidR="008F2F86" w:rsidRPr="006C3ACC">
              <w:rPr>
                <w:rFonts w:ascii="Book Antiqua" w:hAnsi="Book Antiqua"/>
                <w:b w:val="0"/>
                <w:color w:val="000000"/>
                <w:sz w:val="24"/>
                <w:szCs w:val="24"/>
                <w:vertAlign w:val="superscript"/>
              </w:rPr>
              <w:t>[20]</w:t>
            </w:r>
            <w:r w:rsidRPr="006C3ACC">
              <w:rPr>
                <w:rFonts w:ascii="Book Antiqua" w:hAnsi="Book Antiqua"/>
                <w:color w:val="141314"/>
                <w:sz w:val="24"/>
                <w:szCs w:val="24"/>
              </w:rPr>
              <w:fldChar w:fldCharType="end"/>
            </w:r>
          </w:p>
        </w:tc>
        <w:tc>
          <w:tcPr>
            <w:tcW w:w="457" w:type="pct"/>
          </w:tcPr>
          <w:p w14:paraId="51C74B8C" w14:textId="37F23B26"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Spain</w:t>
            </w:r>
          </w:p>
        </w:tc>
        <w:tc>
          <w:tcPr>
            <w:tcW w:w="371" w:type="pct"/>
          </w:tcPr>
          <w:p w14:paraId="65AA16FE" w14:textId="62D404AF"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2012</w:t>
            </w:r>
          </w:p>
        </w:tc>
        <w:tc>
          <w:tcPr>
            <w:tcW w:w="617" w:type="pct"/>
          </w:tcPr>
          <w:p w14:paraId="49410602" w14:textId="7AC48C48"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97</w:t>
            </w:r>
          </w:p>
        </w:tc>
        <w:tc>
          <w:tcPr>
            <w:tcW w:w="555" w:type="pct"/>
          </w:tcPr>
          <w:p w14:paraId="453A458C" w14:textId="60DECD2F"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0.552</w:t>
            </w:r>
          </w:p>
        </w:tc>
        <w:tc>
          <w:tcPr>
            <w:tcW w:w="954" w:type="pct"/>
          </w:tcPr>
          <w:p w14:paraId="6EB3BE9E" w14:textId="45DAAF5E" w:rsidR="00297D5C" w:rsidRPr="00AE4053" w:rsidRDefault="009C17C4"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0.840 </w:t>
            </w:r>
            <w:r w:rsidR="00297D5C" w:rsidRPr="00AE4053">
              <w:rPr>
                <w:rFonts w:ascii="Book Antiqua" w:hAnsi="Book Antiqua"/>
                <w:color w:val="141314"/>
                <w:sz w:val="24"/>
                <w:szCs w:val="24"/>
              </w:rPr>
              <w:t>(0.748–0.933)</w:t>
            </w:r>
          </w:p>
        </w:tc>
        <w:tc>
          <w:tcPr>
            <w:tcW w:w="1120" w:type="pct"/>
          </w:tcPr>
          <w:p w14:paraId="5E905E9B" w14:textId="78C0E2BE" w:rsidR="00297D5C" w:rsidRPr="00AE4053" w:rsidRDefault="006D509B"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21 </w:t>
            </w:r>
            <w:r w:rsidR="00297D5C" w:rsidRPr="00AE4053">
              <w:rPr>
                <w:rFonts w:ascii="Book Antiqua" w:hAnsi="Book Antiqua"/>
                <w:color w:val="141314"/>
                <w:sz w:val="24"/>
                <w:szCs w:val="24"/>
              </w:rPr>
              <w:t>(PPV 81%)</w:t>
            </w:r>
          </w:p>
        </w:tc>
      </w:tr>
      <w:tr w:rsidR="006D509B" w:rsidRPr="00AE4053" w14:paraId="462504F1" w14:textId="77777777" w:rsidTr="0055128F">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1A830543" w14:textId="13EB3A78" w:rsidR="00297D5C" w:rsidRPr="006C3ACC" w:rsidRDefault="00297D5C" w:rsidP="00AE4053">
            <w:pPr>
              <w:snapToGrid w:val="0"/>
              <w:spacing w:line="360" w:lineRule="auto"/>
              <w:jc w:val="both"/>
              <w:rPr>
                <w:rFonts w:ascii="Book Antiqua" w:hAnsi="Book Antiqua"/>
                <w:b w:val="0"/>
                <w:color w:val="141314"/>
                <w:sz w:val="24"/>
                <w:szCs w:val="24"/>
              </w:rPr>
            </w:pPr>
            <w:proofErr w:type="spellStart"/>
            <w:r w:rsidRPr="006C3ACC">
              <w:rPr>
                <w:rFonts w:ascii="Book Antiqua" w:hAnsi="Book Antiqua"/>
                <w:b w:val="0"/>
                <w:color w:val="141314"/>
                <w:sz w:val="24"/>
                <w:szCs w:val="24"/>
              </w:rPr>
              <w:t>Berzigotti</w:t>
            </w:r>
            <w:proofErr w:type="spellEnd"/>
            <w:r w:rsidRPr="006C3ACC">
              <w:rPr>
                <w:rFonts w:ascii="Book Antiqua" w:hAnsi="Book Antiqua"/>
                <w:b w:val="0"/>
                <w:color w:val="141314"/>
                <w:sz w:val="24"/>
                <w:szCs w:val="24"/>
              </w:rPr>
              <w:t xml:space="preserve"> </w:t>
            </w:r>
            <w:r w:rsidR="006C3ACC">
              <w:rPr>
                <w:rFonts w:ascii="Book Antiqua" w:hAnsi="Book Antiqua"/>
                <w:b w:val="0"/>
                <w:i/>
                <w:color w:val="141314"/>
                <w:sz w:val="24"/>
                <w:szCs w:val="24"/>
              </w:rPr>
              <w:t>et al</w:t>
            </w:r>
            <w:r w:rsidRPr="006C3ACC">
              <w:rPr>
                <w:rFonts w:ascii="Book Antiqua" w:hAnsi="Book Antiqua"/>
                <w:color w:val="141314"/>
                <w:sz w:val="24"/>
                <w:szCs w:val="24"/>
              </w:rPr>
              <w:fldChar w:fldCharType="begin"/>
            </w:r>
            <w:r w:rsidR="008F2F86" w:rsidRPr="006C3ACC">
              <w:rPr>
                <w:rFonts w:ascii="Book Antiqua" w:hAnsi="Book Antiqua"/>
                <w:b w:val="0"/>
                <w:color w:val="141314"/>
                <w:sz w:val="24"/>
                <w:szCs w:val="24"/>
              </w:rPr>
              <w:instrText xml:space="preserve"> ADDIN ZOTERO_ITEM CSL_CITATION {"citationID":"e0t3ehkA","properties":{"formattedCitation":"{\\rtf \\super [37]\\nosupersub{}}","plainCitation":"[37]"},"citationItems":[{"id":4066,"uris":["http://zotero.org/users/271015/items/E3ZIN45N"],"uri":["http://zotero.org/users/271015/items/E3ZIN45N"],"itemData":{"id":4066,"type":"article-journal","title":"Elastography, spleen size, and platelet count identify portal hypertension in patients with compensated cirrhosis","container-title":"Gastroenterology","page":"102-111.e1","volume":"144","issue":"1","source":"PubMed","abstract":"BACKGROUND &amp; AIMS: Noninvasive methods are needed to identify clinically significant portal hypertension (CSPH) and esophageal varices (EVs) in patients with compensated cirrhosis. We looked for markers of the presence of CSPH and EVs in patients with cirrhosis.\nMETHODS: We performed a cross-sectional study that included a training set of 117 patients with compensated cirrhosis, confirmed by histology, from a tertiary referral center. Spleen diameter was measured by ultrasound, and liver stiffness (LS) was measured by transient elastography; endoscopy was used as the standard for detection of EVs, and measurements of hepatic venous pressure gradient were used as the standard for identifying CSPH. We assessed the ability of platelet count, spleen diameter, LS, and combinations of these factors (ie, ratio of platelet count to spleen size, and LS × spleen size/platelet count [LSPS]) to identify patients with CSPH and EV. The analysis included 2 new statistical models: the PH risk score and the varices risk score. Results were validated using an independent series of 56 patients with compensated patients from another center.\nRESULTS: LS was the best single noninvasive variable for identifying patients with CSPH (area under the receiver operating characteristic, 0.883; 95% confidence interval [CI], 0.824-0.943; P &lt; .0001). The area under the receiver operating characteristic value increased when LS was combined with platelet count and spleen size, either as LSPS (0.918; 95% CI, 0.872-0.965; P &lt; .0001) or PH risk score (0.935; 95% CI, 0.893-0.977; P &lt; .0001). More than 80% of patients were accurately classified using LSPS and PH risk score. Analyses of the varices risk score and LSPS were superior to all other noninvasive tests for identifying patients with EVs (area under the receiver operating characteristic, 0.909; 95% CI, 0.841-0.954 and 0.882; 95% CI, 0.810-0.935, respectively); they correctly classified 85% of patients in the training set and 75% in the validation set.\nCONCLUSIONS: Combined data on LS, spleen diameter, and platelet count can be used to identify patients with compensated cirrhosis most likely to have CSPH and EV.","DOI":"10.1053/j.gastro.2012.10.001","ISSN":"1528-0012","note":"PMID: 23058320","journalAbbreviation":"Gastroenterology","language":"eng","author":[{"family":"Berzigotti","given":"Annalisa"},{"family":"Seijo","given":"Susana"},{"family":"Arena","given":"Umberto"},{"family":"Abraldes","given":"Juan G."},{"family":"Vizzutti","given":"Francesco"},{"family":"García-Pagán","given":"Juan Carlos"},{"family":"Pinzani","given":"Massimo"},{"family":"Bosch","given":"Jaime"}],"issued":{"date-parts":[["2013",1]]}}}],"schema":"https://github.com/citation-style-language/schema/raw/master/csl-citation.json"} </w:instrText>
            </w:r>
            <w:r w:rsidRPr="006C3ACC">
              <w:rPr>
                <w:rFonts w:ascii="Book Antiqua" w:hAnsi="Book Antiqua"/>
                <w:color w:val="141314"/>
                <w:sz w:val="24"/>
                <w:szCs w:val="24"/>
              </w:rPr>
              <w:fldChar w:fldCharType="separate"/>
            </w:r>
            <w:r w:rsidR="008F2F86" w:rsidRPr="006C3ACC">
              <w:rPr>
                <w:rFonts w:ascii="Book Antiqua" w:hAnsi="Book Antiqua"/>
                <w:b w:val="0"/>
                <w:color w:val="000000"/>
                <w:sz w:val="24"/>
                <w:szCs w:val="24"/>
                <w:vertAlign w:val="superscript"/>
              </w:rPr>
              <w:t>[37]</w:t>
            </w:r>
            <w:r w:rsidRPr="006C3ACC">
              <w:rPr>
                <w:rFonts w:ascii="Book Antiqua" w:hAnsi="Book Antiqua"/>
                <w:color w:val="141314"/>
                <w:sz w:val="24"/>
                <w:szCs w:val="24"/>
              </w:rPr>
              <w:fldChar w:fldCharType="end"/>
            </w:r>
          </w:p>
        </w:tc>
        <w:tc>
          <w:tcPr>
            <w:tcW w:w="457" w:type="pct"/>
          </w:tcPr>
          <w:p w14:paraId="2F6D8C0B" w14:textId="4FA4D026"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Spain</w:t>
            </w:r>
          </w:p>
        </w:tc>
        <w:tc>
          <w:tcPr>
            <w:tcW w:w="371" w:type="pct"/>
          </w:tcPr>
          <w:p w14:paraId="18A25E63" w14:textId="00D215E1"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2013</w:t>
            </w:r>
          </w:p>
        </w:tc>
        <w:tc>
          <w:tcPr>
            <w:tcW w:w="617" w:type="pct"/>
          </w:tcPr>
          <w:p w14:paraId="280BAE05" w14:textId="169E1B94"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117</w:t>
            </w:r>
          </w:p>
        </w:tc>
        <w:tc>
          <w:tcPr>
            <w:tcW w:w="555" w:type="pct"/>
          </w:tcPr>
          <w:p w14:paraId="57CE67DC" w14:textId="5E727716"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w:t>
            </w:r>
          </w:p>
        </w:tc>
        <w:tc>
          <w:tcPr>
            <w:tcW w:w="954" w:type="pct"/>
          </w:tcPr>
          <w:p w14:paraId="471B28D5" w14:textId="510E2D90" w:rsidR="00297D5C" w:rsidRPr="00AE4053" w:rsidRDefault="009C17C4"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0.883 </w:t>
            </w:r>
            <w:r w:rsidR="00297D5C" w:rsidRPr="00AE4053">
              <w:rPr>
                <w:rFonts w:ascii="Book Antiqua" w:hAnsi="Book Antiqua"/>
                <w:color w:val="141314"/>
                <w:sz w:val="24"/>
                <w:szCs w:val="24"/>
              </w:rPr>
              <w:t>(0.824-0.943)</w:t>
            </w:r>
          </w:p>
        </w:tc>
        <w:tc>
          <w:tcPr>
            <w:tcW w:w="1120" w:type="pct"/>
          </w:tcPr>
          <w:p w14:paraId="631FB62E" w14:textId="74C41143" w:rsidR="00297D5C" w:rsidRPr="00AE4053" w:rsidRDefault="006D509B"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21.1 </w:t>
            </w:r>
            <w:r w:rsidR="00297D5C" w:rsidRPr="00AE4053">
              <w:rPr>
                <w:rFonts w:ascii="Book Antiqua" w:hAnsi="Book Antiqua"/>
                <w:color w:val="141314"/>
                <w:sz w:val="24"/>
                <w:szCs w:val="24"/>
              </w:rPr>
              <w:t>(sensitivity 65%)</w:t>
            </w:r>
          </w:p>
        </w:tc>
      </w:tr>
      <w:tr w:rsidR="006D509B" w:rsidRPr="00AE4053" w14:paraId="440180D7" w14:textId="77777777" w:rsidTr="0055128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4DE3CE53" w14:textId="422EBAA0" w:rsidR="00297D5C" w:rsidRPr="006C3ACC" w:rsidRDefault="00297D5C" w:rsidP="00AE4053">
            <w:pPr>
              <w:snapToGrid w:val="0"/>
              <w:spacing w:line="360" w:lineRule="auto"/>
              <w:jc w:val="both"/>
              <w:rPr>
                <w:rFonts w:ascii="Book Antiqua" w:hAnsi="Book Antiqua"/>
                <w:b w:val="0"/>
                <w:color w:val="141314"/>
                <w:sz w:val="24"/>
                <w:szCs w:val="24"/>
              </w:rPr>
            </w:pPr>
            <w:r w:rsidRPr="006C3ACC">
              <w:rPr>
                <w:rFonts w:ascii="Book Antiqua" w:hAnsi="Book Antiqua"/>
                <w:b w:val="0"/>
                <w:color w:val="141314"/>
                <w:sz w:val="24"/>
                <w:szCs w:val="24"/>
              </w:rPr>
              <w:t xml:space="preserve">Hong </w:t>
            </w:r>
            <w:r w:rsidRPr="006C3ACC">
              <w:rPr>
                <w:rFonts w:ascii="Book Antiqua" w:hAnsi="Book Antiqua"/>
                <w:b w:val="0"/>
                <w:i/>
                <w:color w:val="141314"/>
                <w:sz w:val="24"/>
                <w:szCs w:val="24"/>
              </w:rPr>
              <w:t>et al</w:t>
            </w:r>
            <w:r w:rsidRPr="006C3ACC">
              <w:rPr>
                <w:rFonts w:ascii="Book Antiqua" w:hAnsi="Book Antiqua"/>
                <w:color w:val="141314"/>
                <w:sz w:val="24"/>
                <w:szCs w:val="24"/>
              </w:rPr>
              <w:fldChar w:fldCharType="begin"/>
            </w:r>
            <w:r w:rsidR="008F2F86" w:rsidRPr="006C3ACC">
              <w:rPr>
                <w:rFonts w:ascii="Book Antiqua" w:hAnsi="Book Antiqua"/>
                <w:b w:val="0"/>
                <w:color w:val="141314"/>
                <w:sz w:val="24"/>
                <w:szCs w:val="24"/>
              </w:rPr>
              <w:instrText xml:space="preserve"> ADDIN ZOTERO_ITEM CSL_CITATION {"citationID":"0FdnFfqh","properties":{"formattedCitation":"{\\rtf \\super [38]\\nosupersub{}}","plainCitation":"[38]"},"citationItems":[{"id":4237,"uris":["http://zotero.org/users/271015/items/PXCGEBUS"],"uri":["http://zotero.org/users/271015/items/PXCGEBUS"],"itemData":{"id":4237,"type":"article-journal","title":"The usefulness of non-invasive liver stiffness measurements in predicting clinically significant portal hypertension in cirrhotic patients: Korean data","container-title":"Clinical and Molecular Hepatology","page":"370-375","volume":"19","issue":"4","source":"PubMed","abstract":"BACKGROUND/AIMS: Liver stiffness measurement (LSM) has been proposed as a non-invasive method for estimating the severity of fibrosis and the complications of cirrhosis. Measurement of the hepatic venous pressure gradient (HVPG) is the gold standard for assessing the presence of portal hypertension, but its invasiveness limits its clinical application. In this study we evaluated the relationship between LSM and HVPG, and the predictive value of LSM for clinically significant portal hypertension (CSPH) and severe portal hypertension in cirrhosis.\nMETHODS: LSM was performed with transient elastography in 59 consecutive cirrhotic patients who underwent hemodynamic HVPG investigations. CSPH and severe portal hypertension were defined as HVPG ≥10 and ≥12 mmHg, respectively. Linear regression analysis was performed to evaluate the relationship between LSM and HVPG. Diagnostic values were analyzed based on receiver operating characteristic (ROC) curves.\nRESULTS: A strong positive correlation between LSM and HVPG was observed in the overall population (r(2)=0.496, P&lt;0.0001). The area under the ROC curve (AUROC) for the prediction of CSPH (HVPG ≥10 mmHg) was 0.851, and the sensitivity, specificity, positive predictive value (PPV), and negative predictive value (NPV) for an LSM cutoff value of 21.95 kPa were 82.5%, 73.7%, 86.8%, and 66.7%, respectively. The AUROC at prediction of severe portal hypertension (HVPG ≥12 mmHg) was 0.877, and the sensitivity, specificity, PPV, and NPV at LSM cutoff value of 24.25 kPa were 82.9%, 70.8%, 80.6%, and 73.9%, respectively.\nCONCLUSIONS: LSM exhibited a significant correlation with HVPG in patients with cirrhosis. LSM could be a non-invasive method for predicting CSPH and severe portal hypertension in Korean patients with liver cirrhosis.","DOI":"10.3350/cmh.2013.19.4.370","ISSN":"2287-285X","note":"PMID: 24459641\nPMCID: PMC3894436","shortTitle":"The usefulness of non-invasive liver stiffness measurements in predicting clinically significant portal hypertension in cirrhotic patients","journalAbbreviation":"Clin Mol Hepatol","language":"eng","author":[{"family":"Hong","given":"Won Ki"},{"family":"Kim","given":"Moon Young"},{"family":"Baik","given":"Soon Koo"},{"family":"Shin","given":"Seung Yong"},{"family":"Kim","given":"Jung Min"},{"family":"Kang","given":"Yong Seok"},{"family":"Lim","given":"Yoo Li"},{"family":"Kim","given":"Young Ju"},{"family":"Cho","given":"Youn Zoo"},{"family":"Hwang","given":"Hye Won"},{"family":"Lee","given":"Jin Hyung"},{"family":"Chae","given":"Myeong Hun"},{"family":"Kim","given":"Hyoun A."},{"family":"Kang","given":"Hye Won"},{"family":"Kwon","given":"Sang Ok"}],"issued":{"date-parts":[["2013",12]]}}}],"schema":"https://github.com/citation-style-language/schema/raw/master/csl-citation.json"} </w:instrText>
            </w:r>
            <w:r w:rsidRPr="006C3ACC">
              <w:rPr>
                <w:rFonts w:ascii="Book Antiqua" w:hAnsi="Book Antiqua"/>
                <w:color w:val="141314"/>
                <w:sz w:val="24"/>
                <w:szCs w:val="24"/>
              </w:rPr>
              <w:fldChar w:fldCharType="separate"/>
            </w:r>
            <w:r w:rsidR="008F2F86" w:rsidRPr="006C3ACC">
              <w:rPr>
                <w:rFonts w:ascii="Book Antiqua" w:hAnsi="Book Antiqua"/>
                <w:b w:val="0"/>
                <w:color w:val="000000"/>
                <w:sz w:val="24"/>
                <w:szCs w:val="24"/>
                <w:vertAlign w:val="superscript"/>
              </w:rPr>
              <w:t>[38]</w:t>
            </w:r>
            <w:r w:rsidRPr="006C3ACC">
              <w:rPr>
                <w:rFonts w:ascii="Book Antiqua" w:hAnsi="Book Antiqua"/>
                <w:color w:val="141314"/>
                <w:sz w:val="24"/>
                <w:szCs w:val="24"/>
              </w:rPr>
              <w:fldChar w:fldCharType="end"/>
            </w:r>
          </w:p>
        </w:tc>
        <w:tc>
          <w:tcPr>
            <w:tcW w:w="457" w:type="pct"/>
          </w:tcPr>
          <w:p w14:paraId="376F1C9F" w14:textId="31A98D9B" w:rsidR="00297D5C" w:rsidRPr="00AE4053" w:rsidRDefault="006D509B"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South </w:t>
            </w:r>
            <w:r w:rsidR="00297D5C" w:rsidRPr="00AE4053">
              <w:rPr>
                <w:rFonts w:ascii="Book Antiqua" w:hAnsi="Book Antiqua"/>
                <w:color w:val="141314"/>
                <w:sz w:val="24"/>
                <w:szCs w:val="24"/>
              </w:rPr>
              <w:t>Korea</w:t>
            </w:r>
          </w:p>
        </w:tc>
        <w:tc>
          <w:tcPr>
            <w:tcW w:w="371" w:type="pct"/>
          </w:tcPr>
          <w:p w14:paraId="3CA9CAC4" w14:textId="1D6F74E8"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2013</w:t>
            </w:r>
          </w:p>
        </w:tc>
        <w:tc>
          <w:tcPr>
            <w:tcW w:w="617" w:type="pct"/>
          </w:tcPr>
          <w:p w14:paraId="58D49439" w14:textId="57E4BC6D"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59</w:t>
            </w:r>
          </w:p>
        </w:tc>
        <w:tc>
          <w:tcPr>
            <w:tcW w:w="555" w:type="pct"/>
          </w:tcPr>
          <w:p w14:paraId="76C615CA" w14:textId="684F8039"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0.496</w:t>
            </w:r>
          </w:p>
        </w:tc>
        <w:tc>
          <w:tcPr>
            <w:tcW w:w="954" w:type="pct"/>
          </w:tcPr>
          <w:p w14:paraId="567FF0DA" w14:textId="3AF4BC82"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0.851</w:t>
            </w:r>
          </w:p>
        </w:tc>
        <w:tc>
          <w:tcPr>
            <w:tcW w:w="1120" w:type="pct"/>
          </w:tcPr>
          <w:p w14:paraId="6E47326F" w14:textId="7875641A" w:rsidR="00297D5C" w:rsidRPr="00AE4053" w:rsidRDefault="006D509B"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21.95 </w:t>
            </w:r>
            <w:r w:rsidR="00297D5C" w:rsidRPr="00AE4053">
              <w:rPr>
                <w:rFonts w:ascii="Book Antiqua" w:hAnsi="Book Antiqua"/>
                <w:color w:val="141314"/>
                <w:sz w:val="24"/>
                <w:szCs w:val="24"/>
              </w:rPr>
              <w:t>(PPV 87%)</w:t>
            </w:r>
          </w:p>
        </w:tc>
      </w:tr>
      <w:tr w:rsidR="006D509B" w:rsidRPr="00AE4053" w14:paraId="732A6221" w14:textId="77777777" w:rsidTr="0055128F">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287D7445" w14:textId="15BA6C56" w:rsidR="00297D5C" w:rsidRPr="006C3ACC" w:rsidRDefault="00297D5C" w:rsidP="00AE4053">
            <w:pPr>
              <w:snapToGrid w:val="0"/>
              <w:spacing w:line="360" w:lineRule="auto"/>
              <w:jc w:val="both"/>
              <w:rPr>
                <w:rFonts w:ascii="Book Antiqua" w:hAnsi="Book Antiqua"/>
                <w:b w:val="0"/>
                <w:color w:val="141314"/>
                <w:sz w:val="24"/>
                <w:szCs w:val="24"/>
              </w:rPr>
            </w:pPr>
            <w:proofErr w:type="spellStart"/>
            <w:r w:rsidRPr="006C3ACC">
              <w:rPr>
                <w:rFonts w:ascii="Book Antiqua" w:hAnsi="Book Antiqua"/>
                <w:b w:val="0"/>
                <w:color w:val="141314"/>
                <w:sz w:val="24"/>
                <w:szCs w:val="24"/>
              </w:rPr>
              <w:t>Salzl</w:t>
            </w:r>
            <w:proofErr w:type="spellEnd"/>
            <w:r w:rsidRPr="006C3ACC">
              <w:rPr>
                <w:rFonts w:ascii="Book Antiqua" w:hAnsi="Book Antiqua"/>
                <w:b w:val="0"/>
                <w:color w:val="141314"/>
                <w:sz w:val="24"/>
                <w:szCs w:val="24"/>
              </w:rPr>
              <w:t xml:space="preserve"> </w:t>
            </w:r>
            <w:r w:rsidRPr="006C3ACC">
              <w:rPr>
                <w:rFonts w:ascii="Book Antiqua" w:hAnsi="Book Antiqua"/>
                <w:b w:val="0"/>
                <w:i/>
                <w:color w:val="141314"/>
                <w:sz w:val="24"/>
                <w:szCs w:val="24"/>
              </w:rPr>
              <w:t>et al</w:t>
            </w:r>
            <w:r w:rsidRPr="006C3ACC">
              <w:rPr>
                <w:rFonts w:ascii="Book Antiqua" w:hAnsi="Book Antiqua"/>
                <w:color w:val="141314"/>
                <w:sz w:val="24"/>
                <w:szCs w:val="24"/>
              </w:rPr>
              <w:fldChar w:fldCharType="begin"/>
            </w:r>
            <w:r w:rsidR="008F2F86" w:rsidRPr="006C3ACC">
              <w:rPr>
                <w:rFonts w:ascii="Book Antiqua" w:hAnsi="Book Antiqua"/>
                <w:b w:val="0"/>
                <w:color w:val="141314"/>
                <w:sz w:val="24"/>
                <w:szCs w:val="24"/>
              </w:rPr>
              <w:instrText xml:space="preserve"> ADDIN ZOTERO_ITEM CSL_CITATION {"citationID":"DjuciBOQ","properties":{"formattedCitation":"{\\rtf \\super [28]\\nosupersub{}}","plainCitation":"[28]"},"citationItems":[{"id":4235,"uris":["http://zotero.org/users/271015/items/PE97WGWX"],"uri":["http://zotero.org/users/271015/items/PE97WGWX"],"itemData":{"id":4235,"type":"article-journal","title":"Evaluation of portal hypertension and varices by acoustic radiation force impulse imaging of the liver compared to transient elastography and AST to platelet ratio index","container-title":"Ultraschall in Der Medizin (Stuttgart, Germany: 1980)","page":"528-533","volume":"35","issue":"6","source":"PubMed","abstract":"BACKGROUND: Acoustic radiation force impulse imaging (ARFI) is a new method of liver stiffness measurement (LSM). The aim was to compare ARFI, transient elastography (TE) and AST to platelet ratio index (APRI) for the noninvasive diagnosis of clinically significant portal hypertension (CSPH, hepatic venous pressure gradient; HVPG ≥</w:instrText>
            </w:r>
            <w:r w:rsidR="008F2F86" w:rsidRPr="006C3ACC">
              <w:rPr>
                <w:rFonts w:ascii="Cambria Math" w:hAnsi="Cambria Math" w:cs="Cambria Math"/>
                <w:b w:val="0"/>
                <w:color w:val="141314"/>
                <w:sz w:val="24"/>
                <w:szCs w:val="24"/>
              </w:rPr>
              <w:instrText> </w:instrText>
            </w:r>
            <w:r w:rsidR="008F2F86" w:rsidRPr="006C3ACC">
              <w:rPr>
                <w:rFonts w:ascii="Book Antiqua" w:hAnsi="Book Antiqua"/>
                <w:b w:val="0"/>
                <w:color w:val="141314"/>
                <w:sz w:val="24"/>
                <w:szCs w:val="24"/>
              </w:rPr>
              <w:instrText>10 mmHg) and esophageal varices (EV).\nMATERIALS AND METHODS: LSM via ARFI and TE was performed in 88 consecutive patients with cirrhosis prior to HVPG measurement. The mean liver stiffness for ARFI was calculated out of 5 measurements for each lobe.\nRESULTS: LSM by TE and ARFI was not successful in 22 (25%) patients and 1 (1</w:instrText>
            </w:r>
            <w:r w:rsidR="008F2F86" w:rsidRPr="006C3ACC">
              <w:rPr>
                <w:rFonts w:ascii="Cambria Math" w:hAnsi="Cambria Math" w:cs="Cambria Math"/>
                <w:b w:val="0"/>
                <w:color w:val="141314"/>
                <w:sz w:val="24"/>
                <w:szCs w:val="24"/>
              </w:rPr>
              <w:instrText> </w:instrText>
            </w:r>
            <w:r w:rsidR="008F2F86" w:rsidRPr="006C3ACC">
              <w:rPr>
                <w:rFonts w:ascii="Book Antiqua" w:hAnsi="Book Antiqua"/>
                <w:b w:val="0"/>
                <w:color w:val="141314"/>
                <w:sz w:val="24"/>
                <w:szCs w:val="24"/>
              </w:rPr>
              <w:instrText>%) patient, respectively, due to ascites or obesity. Both TE (r</w:instrText>
            </w:r>
            <w:r w:rsidR="008F2F86" w:rsidRPr="006C3ACC">
              <w:rPr>
                <w:rFonts w:ascii="Cambria Math" w:hAnsi="Cambria Math" w:cs="Cambria Math"/>
                <w:b w:val="0"/>
                <w:color w:val="141314"/>
                <w:sz w:val="24"/>
                <w:szCs w:val="24"/>
              </w:rPr>
              <w:instrText> </w:instrText>
            </w:r>
            <w:r w:rsidR="008F2F86" w:rsidRPr="006C3ACC">
              <w:rPr>
                <w:rFonts w:ascii="Book Antiqua" w:hAnsi="Book Antiqua"/>
                <w:b w:val="0"/>
                <w:color w:val="141314"/>
                <w:sz w:val="24"/>
                <w:szCs w:val="24"/>
              </w:rPr>
              <w:instrText>=</w:instrText>
            </w:r>
            <w:r w:rsidR="008F2F86" w:rsidRPr="006C3ACC">
              <w:rPr>
                <w:rFonts w:ascii="Cambria Math" w:hAnsi="Cambria Math" w:cs="Cambria Math"/>
                <w:b w:val="0"/>
                <w:color w:val="141314"/>
                <w:sz w:val="24"/>
                <w:szCs w:val="24"/>
              </w:rPr>
              <w:instrText> </w:instrText>
            </w:r>
            <w:r w:rsidR="008F2F86" w:rsidRPr="006C3ACC">
              <w:rPr>
                <w:rFonts w:ascii="Book Antiqua" w:hAnsi="Book Antiqua"/>
                <w:b w:val="0"/>
                <w:color w:val="141314"/>
                <w:sz w:val="24"/>
                <w:szCs w:val="24"/>
              </w:rPr>
              <w:instrText>0.765; p</w:instrText>
            </w:r>
            <w:r w:rsidR="008F2F86" w:rsidRPr="006C3ACC">
              <w:rPr>
                <w:rFonts w:ascii="Cambria Math" w:hAnsi="Cambria Math" w:cs="Cambria Math"/>
                <w:b w:val="0"/>
                <w:color w:val="141314"/>
                <w:sz w:val="24"/>
                <w:szCs w:val="24"/>
              </w:rPr>
              <w:instrText> </w:instrText>
            </w:r>
            <w:r w:rsidR="008F2F86" w:rsidRPr="006C3ACC">
              <w:rPr>
                <w:rFonts w:ascii="Book Antiqua" w:hAnsi="Book Antiqua"/>
                <w:b w:val="0"/>
                <w:color w:val="141314"/>
                <w:sz w:val="24"/>
                <w:szCs w:val="24"/>
              </w:rPr>
              <w:instrText>&lt;</w:instrText>
            </w:r>
            <w:r w:rsidR="008F2F86" w:rsidRPr="006C3ACC">
              <w:rPr>
                <w:rFonts w:ascii="Cambria Math" w:hAnsi="Cambria Math" w:cs="Cambria Math"/>
                <w:b w:val="0"/>
                <w:color w:val="141314"/>
                <w:sz w:val="24"/>
                <w:szCs w:val="24"/>
              </w:rPr>
              <w:instrText> </w:instrText>
            </w:r>
            <w:r w:rsidR="008F2F86" w:rsidRPr="006C3ACC">
              <w:rPr>
                <w:rFonts w:ascii="Book Antiqua" w:hAnsi="Book Antiqua"/>
                <w:b w:val="0"/>
                <w:color w:val="141314"/>
                <w:sz w:val="24"/>
                <w:szCs w:val="24"/>
              </w:rPr>
              <w:instrText>0.001) and ARFI (r</w:instrText>
            </w:r>
            <w:r w:rsidR="008F2F86" w:rsidRPr="006C3ACC">
              <w:rPr>
                <w:rFonts w:ascii="Cambria Math" w:hAnsi="Cambria Math" w:cs="Cambria Math"/>
                <w:b w:val="0"/>
                <w:color w:val="141314"/>
                <w:sz w:val="24"/>
                <w:szCs w:val="24"/>
              </w:rPr>
              <w:instrText> </w:instrText>
            </w:r>
            <w:r w:rsidR="008F2F86" w:rsidRPr="006C3ACC">
              <w:rPr>
                <w:rFonts w:ascii="Book Antiqua" w:hAnsi="Book Antiqua"/>
                <w:b w:val="0"/>
                <w:color w:val="141314"/>
                <w:sz w:val="24"/>
                <w:szCs w:val="24"/>
              </w:rPr>
              <w:instrText>=</w:instrText>
            </w:r>
            <w:r w:rsidR="008F2F86" w:rsidRPr="006C3ACC">
              <w:rPr>
                <w:rFonts w:ascii="Cambria Math" w:hAnsi="Cambria Math" w:cs="Cambria Math"/>
                <w:b w:val="0"/>
                <w:color w:val="141314"/>
                <w:sz w:val="24"/>
                <w:szCs w:val="24"/>
              </w:rPr>
              <w:instrText> </w:instrText>
            </w:r>
            <w:r w:rsidR="008F2F86" w:rsidRPr="006C3ACC">
              <w:rPr>
                <w:rFonts w:ascii="Book Antiqua" w:hAnsi="Book Antiqua"/>
                <w:b w:val="0"/>
                <w:color w:val="141314"/>
                <w:sz w:val="24"/>
                <w:szCs w:val="24"/>
              </w:rPr>
              <w:instrText>0.646; p</w:instrText>
            </w:r>
            <w:r w:rsidR="008F2F86" w:rsidRPr="006C3ACC">
              <w:rPr>
                <w:rFonts w:ascii="Cambria Math" w:hAnsi="Cambria Math" w:cs="Cambria Math"/>
                <w:b w:val="0"/>
                <w:color w:val="141314"/>
                <w:sz w:val="24"/>
                <w:szCs w:val="24"/>
              </w:rPr>
              <w:instrText> </w:instrText>
            </w:r>
            <w:r w:rsidR="008F2F86" w:rsidRPr="006C3ACC">
              <w:rPr>
                <w:rFonts w:ascii="Book Antiqua" w:hAnsi="Book Antiqua"/>
                <w:b w:val="0"/>
                <w:color w:val="141314"/>
                <w:sz w:val="24"/>
                <w:szCs w:val="24"/>
              </w:rPr>
              <w:instrText>&lt;</w:instrText>
            </w:r>
            <w:r w:rsidR="008F2F86" w:rsidRPr="006C3ACC">
              <w:rPr>
                <w:rFonts w:ascii="Cambria Math" w:hAnsi="Cambria Math" w:cs="Cambria Math"/>
                <w:b w:val="0"/>
                <w:color w:val="141314"/>
                <w:sz w:val="24"/>
                <w:szCs w:val="24"/>
              </w:rPr>
              <w:instrText> </w:instrText>
            </w:r>
            <w:r w:rsidR="008F2F86" w:rsidRPr="006C3ACC">
              <w:rPr>
                <w:rFonts w:ascii="Book Antiqua" w:hAnsi="Book Antiqua"/>
                <w:b w:val="0"/>
                <w:color w:val="141314"/>
                <w:sz w:val="24"/>
                <w:szCs w:val="24"/>
              </w:rPr>
              <w:instrText xml:space="preserve">0.001) correlated significantly with HVPG. At the optimal cut-off (16.8 kPa), TE (area under the curve, AUC 0.870) yielded a sensitivity and specificity of 89.7% and 75%, respectively, for predicting CSPH. At the optimal cut-off (2.58 m/s), the sensitivity and specificity for ARFI (AUC 0.855) were 71.4% and 87.5%, respectively. Using an APRI (AUC 0.838), the sensitivity and specificity were 69% and 87.5%, respectively. The AUC for the diagnosis of EV was 0.802 for TE (cut-off: 27.9 kPa), 0.743 for ARFI (cut-off: 2.74 m/s), and 0.805 for APRI (cut-off: 1.90).\nCONCLUSION: ARFI shows a higher applicability particularly in obese and ascitic patients. All three investigated methods show a high diagnostic accuracy for CSPH. Notably, APRI performed not significantly different compared to ARFI for the diagnosis of CSPH.","DOI":"10.1055/s-0034-1366506","ISSN":"1438-8782","note":"PMID: 24871695","journalAbbreviation":"Ultraschall Med","language":"eng","author":[{"family":"Salzl","given":"P."},{"family":"Reiberger","given":"T."},{"family":"Ferlitsch","given":"M."},{"family":"Payer","given":"B. A."},{"family":"Schwengerer","given":"B."},{"family":"Trauner","given":"M."},{"family":"Peck-Radosavljevic","given":"M."},{"family":"Ferlitsch","given":"A."}],"issued":{"date-parts":[["2014",12]]}}}],"schema":"https://github.com/citation-style-language/schema/raw/master/csl-citation.json"} </w:instrText>
            </w:r>
            <w:r w:rsidRPr="006C3ACC">
              <w:rPr>
                <w:rFonts w:ascii="Book Antiqua" w:hAnsi="Book Antiqua"/>
                <w:color w:val="141314"/>
                <w:sz w:val="24"/>
                <w:szCs w:val="24"/>
              </w:rPr>
              <w:fldChar w:fldCharType="separate"/>
            </w:r>
            <w:r w:rsidR="008F2F86" w:rsidRPr="006C3ACC">
              <w:rPr>
                <w:rFonts w:ascii="Book Antiqua" w:hAnsi="Book Antiqua"/>
                <w:b w:val="0"/>
                <w:color w:val="000000"/>
                <w:sz w:val="24"/>
                <w:szCs w:val="24"/>
                <w:vertAlign w:val="superscript"/>
              </w:rPr>
              <w:t>[28]</w:t>
            </w:r>
            <w:r w:rsidRPr="006C3ACC">
              <w:rPr>
                <w:rFonts w:ascii="Book Antiqua" w:hAnsi="Book Antiqua"/>
                <w:color w:val="141314"/>
                <w:sz w:val="24"/>
                <w:szCs w:val="24"/>
              </w:rPr>
              <w:fldChar w:fldCharType="end"/>
            </w:r>
          </w:p>
        </w:tc>
        <w:tc>
          <w:tcPr>
            <w:tcW w:w="457" w:type="pct"/>
          </w:tcPr>
          <w:p w14:paraId="6FE2459E" w14:textId="0D04874B"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Austria</w:t>
            </w:r>
          </w:p>
        </w:tc>
        <w:tc>
          <w:tcPr>
            <w:tcW w:w="371" w:type="pct"/>
          </w:tcPr>
          <w:p w14:paraId="5695B456" w14:textId="01C6FBBA"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2014</w:t>
            </w:r>
          </w:p>
        </w:tc>
        <w:tc>
          <w:tcPr>
            <w:tcW w:w="617" w:type="pct"/>
          </w:tcPr>
          <w:p w14:paraId="48341D7C" w14:textId="49B3B9E1"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88</w:t>
            </w:r>
          </w:p>
        </w:tc>
        <w:tc>
          <w:tcPr>
            <w:tcW w:w="555" w:type="pct"/>
          </w:tcPr>
          <w:p w14:paraId="0F0A06DD" w14:textId="4CF706DD"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0.765</w:t>
            </w:r>
          </w:p>
        </w:tc>
        <w:tc>
          <w:tcPr>
            <w:tcW w:w="954" w:type="pct"/>
          </w:tcPr>
          <w:p w14:paraId="2D1553A1" w14:textId="59F09DEB"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0.870</w:t>
            </w:r>
          </w:p>
        </w:tc>
        <w:tc>
          <w:tcPr>
            <w:tcW w:w="1120" w:type="pct"/>
          </w:tcPr>
          <w:p w14:paraId="125BFA83" w14:textId="4EB376B4" w:rsidR="00297D5C" w:rsidRPr="00AE4053" w:rsidRDefault="006D509B"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16.8 </w:t>
            </w:r>
            <w:r w:rsidR="00297D5C" w:rsidRPr="00AE4053">
              <w:rPr>
                <w:rFonts w:ascii="Book Antiqua" w:hAnsi="Book Antiqua"/>
                <w:color w:val="141314"/>
                <w:sz w:val="24"/>
                <w:szCs w:val="24"/>
              </w:rPr>
              <w:t>(sensitivity 90%)</w:t>
            </w:r>
          </w:p>
        </w:tc>
      </w:tr>
      <w:tr w:rsidR="006D509B" w:rsidRPr="00AE4053" w14:paraId="530DB87D" w14:textId="77777777" w:rsidTr="0055128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3E395D50" w14:textId="2BDADB69" w:rsidR="00297D5C" w:rsidRPr="006C3ACC" w:rsidRDefault="00297D5C" w:rsidP="00AE4053">
            <w:pPr>
              <w:snapToGrid w:val="0"/>
              <w:spacing w:line="360" w:lineRule="auto"/>
              <w:jc w:val="both"/>
              <w:rPr>
                <w:rFonts w:ascii="Book Antiqua" w:hAnsi="Book Antiqua"/>
                <w:b w:val="0"/>
                <w:color w:val="141314"/>
                <w:sz w:val="24"/>
                <w:szCs w:val="24"/>
              </w:rPr>
            </w:pPr>
            <w:proofErr w:type="spellStart"/>
            <w:r w:rsidRPr="006C3ACC">
              <w:rPr>
                <w:rFonts w:ascii="Book Antiqua" w:hAnsi="Book Antiqua"/>
                <w:b w:val="0"/>
                <w:color w:val="141314"/>
                <w:sz w:val="24"/>
                <w:szCs w:val="24"/>
              </w:rPr>
              <w:t>Augustin</w:t>
            </w:r>
            <w:proofErr w:type="spellEnd"/>
            <w:r w:rsidRPr="006C3ACC">
              <w:rPr>
                <w:rFonts w:ascii="Book Antiqua" w:hAnsi="Book Antiqua"/>
                <w:b w:val="0"/>
                <w:color w:val="141314"/>
                <w:sz w:val="24"/>
                <w:szCs w:val="24"/>
              </w:rPr>
              <w:t xml:space="preserve"> </w:t>
            </w:r>
            <w:r w:rsidRPr="006C3ACC">
              <w:rPr>
                <w:rFonts w:ascii="Book Antiqua" w:hAnsi="Book Antiqua"/>
                <w:b w:val="0"/>
                <w:i/>
                <w:color w:val="141314"/>
                <w:sz w:val="24"/>
                <w:szCs w:val="24"/>
              </w:rPr>
              <w:t>et al</w:t>
            </w:r>
            <w:r w:rsidRPr="006C3ACC">
              <w:rPr>
                <w:rFonts w:ascii="Book Antiqua" w:hAnsi="Book Antiqua"/>
                <w:color w:val="141314"/>
                <w:sz w:val="24"/>
                <w:szCs w:val="24"/>
              </w:rPr>
              <w:fldChar w:fldCharType="begin"/>
            </w:r>
            <w:r w:rsidR="008F2F86" w:rsidRPr="006C3ACC">
              <w:rPr>
                <w:rFonts w:ascii="Book Antiqua" w:hAnsi="Book Antiqua"/>
                <w:b w:val="0"/>
                <w:color w:val="141314"/>
                <w:sz w:val="24"/>
                <w:szCs w:val="24"/>
              </w:rPr>
              <w:instrText xml:space="preserve"> ADDIN ZOTERO_ITEM CSL_CITATION {"citationID":"CQRA4Ny1","properties":{"formattedCitation":"{\\rtf \\super [39]\\nosupersub{}}","plainCitation":"[39]"},"citationItems":[{"id":4241,"uris":["http://zotero.org/users/271015/items/BFF4KUHH"],"uri":["http://zotero.org/users/271015/items/BFF4KUHH"],"itemData":{"id":4241,"type":"article-journal","title":"Detection of early portal hypertension with routine data and liver stiffness in patients with asymptomatic liver disease: a prospective study","container-title":"Journal of Hepatology","page":"561-569","volume":"60","issue":"3","source":"PubMed","abstract":"BACKGROUND &amp; AIMS: Detecting portal hypertension (PH) before the development of varices is important for prognosis and for designing interventional studies. None of the available strategies is used in practice. We evaluated a sequential screening-diagnostic strategy based on clinical data and transient elastography (TE) to detect PH in asymptomatic outpatients with liver disease.\nMETHODS: Consecutive patients with chronic liver disease and no previous diagnosis of PH were screened by TE. Patients with liver stiffness (LS) </w:instrText>
            </w:r>
            <w:r w:rsidR="008F2F86" w:rsidRPr="006C3ACC">
              <w:rPr>
                <w:rFonts w:ascii="Cambria Math" w:hAnsi="Cambria Math" w:cs="Cambria Math"/>
                <w:b w:val="0"/>
                <w:color w:val="141314"/>
                <w:sz w:val="24"/>
                <w:szCs w:val="24"/>
              </w:rPr>
              <w:instrText>⩾</w:instrText>
            </w:r>
            <w:r w:rsidR="008F2F86" w:rsidRPr="006C3ACC">
              <w:rPr>
                <w:rFonts w:ascii="Book Antiqua" w:hAnsi="Book Antiqua"/>
                <w:b w:val="0"/>
                <w:color w:val="141314"/>
                <w:sz w:val="24"/>
                <w:szCs w:val="24"/>
              </w:rPr>
              <w:instrText xml:space="preserve"> 13.6 kPa were further evaluated by endoscopy and hepatic venous pressure gradient (HVPG). For analysis, patients were classified in 3 groups: group A, platelets </w:instrText>
            </w:r>
            <w:r w:rsidR="008F2F86" w:rsidRPr="006C3ACC">
              <w:rPr>
                <w:rFonts w:ascii="Cambria Math" w:hAnsi="Cambria Math" w:cs="Cambria Math"/>
                <w:b w:val="0"/>
                <w:color w:val="141314"/>
                <w:sz w:val="24"/>
                <w:szCs w:val="24"/>
              </w:rPr>
              <w:instrText>⩾</w:instrText>
            </w:r>
            <w:r w:rsidR="008F2F86" w:rsidRPr="006C3ACC">
              <w:rPr>
                <w:rFonts w:ascii="Book Antiqua" w:hAnsi="Book Antiqua"/>
                <w:b w:val="0"/>
                <w:color w:val="141314"/>
                <w:sz w:val="24"/>
                <w:szCs w:val="24"/>
              </w:rPr>
              <w:instrText xml:space="preserve"> 150,000/mm(3), normal abdominal ultrasound; group B, platelets &lt;150,000/mm(3), normal ultrasound; group C, platelets &lt;150,000/mm(3), abnormal ultrasound (splenomegaly, nodular liver surface).\nRESULTS: 250 patients were evaluated (69% group A, 20% group B, 11% group C). In 9% elastography was non-valid. LS </w:instrText>
            </w:r>
            <w:r w:rsidR="008F2F86" w:rsidRPr="006C3ACC">
              <w:rPr>
                <w:rFonts w:ascii="Cambria Math" w:hAnsi="Cambria Math" w:cs="Cambria Math"/>
                <w:b w:val="0"/>
                <w:color w:val="141314"/>
                <w:sz w:val="24"/>
                <w:szCs w:val="24"/>
              </w:rPr>
              <w:instrText>⩾</w:instrText>
            </w:r>
            <w:r w:rsidR="008F2F86" w:rsidRPr="006C3ACC">
              <w:rPr>
                <w:rFonts w:ascii="Book Antiqua" w:hAnsi="Book Antiqua"/>
                <w:b w:val="0"/>
                <w:color w:val="141314"/>
                <w:sz w:val="24"/>
                <w:szCs w:val="24"/>
              </w:rPr>
              <w:instrText xml:space="preserve"> 13.6 was found in 54 patients (8% A, 43% B, and 81% C, p&lt;0.001). Endoscopy was performed in 49 of these: 20% had small varices, 0% high-risk varices. No patients from group A had varices, and 90% with varices belonged to group C. HVPG was obtained in 40 patients: 93% had PH (HVPG &gt;5 mmHg) and 65% clinically significant PH (CSPH, HVPG </w:instrText>
            </w:r>
            <w:r w:rsidR="008F2F86" w:rsidRPr="006C3ACC">
              <w:rPr>
                <w:rFonts w:ascii="Cambria Math" w:hAnsi="Cambria Math" w:cs="Cambria Math"/>
                <w:b w:val="0"/>
                <w:color w:val="141314"/>
                <w:sz w:val="24"/>
                <w:szCs w:val="24"/>
              </w:rPr>
              <w:instrText>⩾</w:instrText>
            </w:r>
            <w:r w:rsidR="008F2F86" w:rsidRPr="006C3ACC">
              <w:rPr>
                <w:rFonts w:ascii="Book Antiqua" w:hAnsi="Book Antiqua"/>
                <w:b w:val="0"/>
                <w:color w:val="141314"/>
                <w:sz w:val="24"/>
                <w:szCs w:val="24"/>
              </w:rPr>
              <w:instrText xml:space="preserve"> 10). Only 3 patients, all from group A, had HVPG &lt;5. All patients from groups B and C with LS </w:instrText>
            </w:r>
            <w:r w:rsidR="008F2F86" w:rsidRPr="006C3ACC">
              <w:rPr>
                <w:rFonts w:ascii="Cambria Math" w:hAnsi="Cambria Math" w:cs="Cambria Math"/>
                <w:b w:val="0"/>
                <w:color w:val="141314"/>
                <w:sz w:val="24"/>
                <w:szCs w:val="24"/>
              </w:rPr>
              <w:instrText>⩾</w:instrText>
            </w:r>
            <w:r w:rsidR="008F2F86" w:rsidRPr="006C3ACC">
              <w:rPr>
                <w:rFonts w:ascii="Book Antiqua" w:hAnsi="Book Antiqua"/>
                <w:b w:val="0"/>
                <w:color w:val="141314"/>
                <w:sz w:val="24"/>
                <w:szCs w:val="24"/>
              </w:rPr>
              <w:instrText xml:space="preserve"> 13.6 had PH. The LS 25 cut-off was excellent at ruling-in CSPH.\nCONCLUSIONS: A simple strategy based on routine clinical data and TE could be useful to detect early PH among asymptomatic patients with chronic liver disease.","DOI":"10.1016/j.jhep.2013.10.027","ISSN":"1600-0641","note":"PMID: 24211744","shortTitle":"Detection of early portal hypertension with routine data and liver stiffness in patients with asymptomatic liver disease","journalAbbreviation":"J. Hepatol.","language":"eng","author":[{"family":"Augustin","given":"Salvador"},{"family":"Millán","given":"Laura"},{"family":"González","given":"Antonio"},{"family":"Martell","given":"María"},{"family":"Gelabert","given":"Arántzazu"},{"family":"Segarra","given":"Antoni"},{"family":"Serres","given":"Xavier"},{"family":"Esteban","given":"Rafael"},{"family":"Genescà","given":"Joan"}],"issued":{"date-parts":[["2014",3]]}}}],"schema":"https://github.com/citation-style-language/schema/raw/master/csl-citation.json"} </w:instrText>
            </w:r>
            <w:r w:rsidRPr="006C3ACC">
              <w:rPr>
                <w:rFonts w:ascii="Book Antiqua" w:hAnsi="Book Antiqua"/>
                <w:color w:val="141314"/>
                <w:sz w:val="24"/>
                <w:szCs w:val="24"/>
              </w:rPr>
              <w:fldChar w:fldCharType="separate"/>
            </w:r>
            <w:r w:rsidR="008F2F86" w:rsidRPr="006C3ACC">
              <w:rPr>
                <w:rFonts w:ascii="Book Antiqua" w:hAnsi="Book Antiqua"/>
                <w:b w:val="0"/>
                <w:color w:val="000000"/>
                <w:sz w:val="24"/>
                <w:szCs w:val="24"/>
                <w:vertAlign w:val="superscript"/>
              </w:rPr>
              <w:t>[39]</w:t>
            </w:r>
            <w:r w:rsidRPr="006C3ACC">
              <w:rPr>
                <w:rFonts w:ascii="Book Antiqua" w:hAnsi="Book Antiqua"/>
                <w:color w:val="141314"/>
                <w:sz w:val="24"/>
                <w:szCs w:val="24"/>
              </w:rPr>
              <w:fldChar w:fldCharType="end"/>
            </w:r>
          </w:p>
        </w:tc>
        <w:tc>
          <w:tcPr>
            <w:tcW w:w="457" w:type="pct"/>
          </w:tcPr>
          <w:p w14:paraId="39BD8CF2" w14:textId="45BAC2CF"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Spain</w:t>
            </w:r>
          </w:p>
        </w:tc>
        <w:tc>
          <w:tcPr>
            <w:tcW w:w="371" w:type="pct"/>
          </w:tcPr>
          <w:p w14:paraId="37D4F34F" w14:textId="28D0463C"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2014</w:t>
            </w:r>
          </w:p>
        </w:tc>
        <w:tc>
          <w:tcPr>
            <w:tcW w:w="617" w:type="pct"/>
          </w:tcPr>
          <w:p w14:paraId="7F86FDE7" w14:textId="592326C4"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40</w:t>
            </w:r>
          </w:p>
        </w:tc>
        <w:tc>
          <w:tcPr>
            <w:tcW w:w="555" w:type="pct"/>
          </w:tcPr>
          <w:p w14:paraId="75D15CA4" w14:textId="3BCF254D"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w:t>
            </w:r>
          </w:p>
        </w:tc>
        <w:tc>
          <w:tcPr>
            <w:tcW w:w="954" w:type="pct"/>
          </w:tcPr>
          <w:p w14:paraId="0478B2E6" w14:textId="7EE72047"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w:t>
            </w:r>
          </w:p>
        </w:tc>
        <w:tc>
          <w:tcPr>
            <w:tcW w:w="1120" w:type="pct"/>
          </w:tcPr>
          <w:p w14:paraId="57DDD321" w14:textId="77777777"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25.0</w:t>
            </w:r>
          </w:p>
          <w:p w14:paraId="78C78FCF" w14:textId="0FD5E219" w:rsidR="00355AE6" w:rsidRPr="00AE4053" w:rsidRDefault="00355AE6"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p>
        </w:tc>
      </w:tr>
      <w:tr w:rsidR="006D509B" w:rsidRPr="00AE4053" w14:paraId="0F8AE6F6" w14:textId="77777777" w:rsidTr="0055128F">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0D2A8A2A" w14:textId="59BF67DD" w:rsidR="00297D5C" w:rsidRPr="006C3ACC" w:rsidRDefault="006C3ACC" w:rsidP="00AE4053">
            <w:pPr>
              <w:snapToGrid w:val="0"/>
              <w:spacing w:line="360" w:lineRule="auto"/>
              <w:jc w:val="both"/>
              <w:rPr>
                <w:rFonts w:ascii="Book Antiqua" w:hAnsi="Book Antiqua"/>
                <w:b w:val="0"/>
                <w:color w:val="141314"/>
                <w:sz w:val="24"/>
                <w:szCs w:val="24"/>
              </w:rPr>
            </w:pPr>
            <w:proofErr w:type="spellStart"/>
            <w:r w:rsidRPr="006C3ACC">
              <w:rPr>
                <w:rFonts w:ascii="Book Antiqua" w:hAnsi="Book Antiqua"/>
                <w:b w:val="0"/>
                <w:color w:val="141314"/>
                <w:sz w:val="24"/>
                <w:szCs w:val="24"/>
              </w:rPr>
              <w:t>Zykus</w:t>
            </w:r>
            <w:proofErr w:type="spellEnd"/>
            <w:r w:rsidRPr="006C3ACC">
              <w:rPr>
                <w:rFonts w:ascii="Book Antiqua" w:hAnsi="Book Antiqua"/>
                <w:b w:val="0"/>
                <w:color w:val="141314"/>
                <w:sz w:val="24"/>
                <w:szCs w:val="24"/>
              </w:rPr>
              <w:t xml:space="preserve"> </w:t>
            </w:r>
            <w:r w:rsidRPr="006C3ACC">
              <w:rPr>
                <w:rFonts w:ascii="Book Antiqua" w:hAnsi="Book Antiqua"/>
                <w:b w:val="0"/>
                <w:i/>
                <w:color w:val="141314"/>
                <w:sz w:val="24"/>
                <w:szCs w:val="24"/>
              </w:rPr>
              <w:t>et al</w:t>
            </w:r>
            <w:r w:rsidR="00297D5C" w:rsidRPr="006C3ACC">
              <w:rPr>
                <w:rFonts w:ascii="Book Antiqua" w:hAnsi="Book Antiqua"/>
                <w:color w:val="141314"/>
                <w:sz w:val="24"/>
                <w:szCs w:val="24"/>
              </w:rPr>
              <w:fldChar w:fldCharType="begin"/>
            </w:r>
            <w:r w:rsidR="008F2F86" w:rsidRPr="006C3ACC">
              <w:rPr>
                <w:rFonts w:ascii="Book Antiqua" w:hAnsi="Book Antiqua"/>
                <w:b w:val="0"/>
                <w:color w:val="141314"/>
                <w:sz w:val="24"/>
                <w:szCs w:val="24"/>
              </w:rPr>
              <w:instrText xml:space="preserve"> ADDIN ZOTERO_ITEM CSL_CITATION {"citationID":"jOsOzZHO","properties":{"formattedCitation":"{\\rtf \\super [31]\\nosupersub{}}","plainCitation":"[31]"},"citationItems":[{"id":4225,"uris":["http://zotero.org/users/271015/items/SSBDRSI4"],"uri":["http://zotero.org/users/271015/items/SSBDRSI4"],"itemData":{"id":4225,"type":"article-journal","title":"Liver and spleen transient elastography predicts portal hypertension in patients with chronic liver disease: a prospective cohort study","container-title":"BMC gastroenterology","page":"183","volume":"15","source":"PubMed","abstract":"BACKGROUND: To assess correlation between liver or spleen stiffness measurement by transient elastography (TE) and hepatic venous pressure gradient (HVPG) in patients with chronic liver disease as well find optimal and rule in/rule out cut-offs for prognosis of clinically significant (CSPH) and severe (SPH) portal hypertension.\nMETHODS: In this prospective study patients with different chronic liver diseases were included. TE was performed at the same day prior to HVPG measurement. HVPG was measured using catheter tip occlusion technique. Based on HVPG, patients were categorized into groups of CSPH and SPH. Cut-off values were established by applying ROC curve analysis.\nRESULTS: The study included 107 consecutive patients referred for HVPG measurement or transjugular liver biopsy. Successful spleen TE was performed in 99 of the patients. Liver and spleen TE strongly correlated with HVPG, r</w:instrText>
            </w:r>
            <w:r w:rsidR="008F2F86" w:rsidRPr="006C3ACC">
              <w:rPr>
                <w:rFonts w:ascii="Cambria Math" w:hAnsi="Cambria Math" w:cs="Cambria Math"/>
                <w:b w:val="0"/>
                <w:color w:val="141314"/>
                <w:sz w:val="24"/>
                <w:szCs w:val="24"/>
              </w:rPr>
              <w:instrText> </w:instrText>
            </w:r>
            <w:r w:rsidR="008F2F86" w:rsidRPr="006C3ACC">
              <w:rPr>
                <w:rFonts w:ascii="Book Antiqua" w:hAnsi="Book Antiqua"/>
                <w:b w:val="0"/>
                <w:color w:val="141314"/>
                <w:sz w:val="24"/>
                <w:szCs w:val="24"/>
              </w:rPr>
              <w:instrText>=</w:instrText>
            </w:r>
            <w:r w:rsidR="008F2F86" w:rsidRPr="006C3ACC">
              <w:rPr>
                <w:rFonts w:ascii="Cambria Math" w:hAnsi="Cambria Math" w:cs="Cambria Math"/>
                <w:b w:val="0"/>
                <w:color w:val="141314"/>
                <w:sz w:val="24"/>
                <w:szCs w:val="24"/>
              </w:rPr>
              <w:instrText> </w:instrText>
            </w:r>
            <w:r w:rsidR="008F2F86" w:rsidRPr="006C3ACC">
              <w:rPr>
                <w:rFonts w:ascii="Book Antiqua" w:hAnsi="Book Antiqua"/>
                <w:b w:val="0"/>
                <w:color w:val="141314"/>
                <w:sz w:val="24"/>
                <w:szCs w:val="24"/>
              </w:rPr>
              <w:instrText>0.75 and r</w:instrText>
            </w:r>
            <w:r w:rsidR="008F2F86" w:rsidRPr="006C3ACC">
              <w:rPr>
                <w:rFonts w:ascii="Cambria Math" w:hAnsi="Cambria Math" w:cs="Cambria Math"/>
                <w:b w:val="0"/>
                <w:color w:val="141314"/>
                <w:sz w:val="24"/>
                <w:szCs w:val="24"/>
              </w:rPr>
              <w:instrText> </w:instrText>
            </w:r>
            <w:r w:rsidR="008F2F86" w:rsidRPr="006C3ACC">
              <w:rPr>
                <w:rFonts w:ascii="Book Antiqua" w:hAnsi="Book Antiqua"/>
                <w:b w:val="0"/>
                <w:color w:val="141314"/>
                <w:sz w:val="24"/>
                <w:szCs w:val="24"/>
              </w:rPr>
              <w:instrText>=</w:instrText>
            </w:r>
            <w:r w:rsidR="008F2F86" w:rsidRPr="006C3ACC">
              <w:rPr>
                <w:rFonts w:ascii="Cambria Math" w:hAnsi="Cambria Math" w:cs="Cambria Math"/>
                <w:b w:val="0"/>
                <w:color w:val="141314"/>
                <w:sz w:val="24"/>
                <w:szCs w:val="24"/>
              </w:rPr>
              <w:instrText> </w:instrText>
            </w:r>
            <w:r w:rsidR="008F2F86" w:rsidRPr="006C3ACC">
              <w:rPr>
                <w:rFonts w:ascii="Book Antiqua" w:hAnsi="Book Antiqua"/>
                <w:b w:val="0"/>
                <w:color w:val="141314"/>
                <w:sz w:val="24"/>
                <w:szCs w:val="24"/>
              </w:rPr>
              <w:instrText xml:space="preserve">0.62, respectively. Accuracy to detect CSPH was 88.7% for liver stiffness of 17.4 kPa and 77.7% for spleen stiffness of 47.6 kPa. Accuracy to detect SPH was 83.1% for liver stiffness of 20.6 kPa and 77.7 % for spleen stiffness of 50.7 kPa. Liver stiffness &lt;11.4 kPa could rule out CSPH with 55.2% specificity and &gt;21.9 kPa rule in CSPH with 74.4% sensitivity. Liver stiffness &lt;12.1 kPa could rule out SPH with 50.0% specificity and &gt;35 kPa rule in SPH with 58.2% sensitivity.\nCONCLUSIONS: Liver and spleen stiffness correlate with HVPG and could be used to predict CSPH or SPH. Spleen elastography was not superior to liver elastography in predicting portal hypertension.","DOI":"10.1186/s12876-015-0414-z","ISSN":"1471-230X","note":"PMID: 26702818\nPMCID: PMC4690243","shortTitle":"Liver and spleen transient elastography predicts portal hypertension in patients with chronic liver disease","journalAbbreviation":"BMC Gastroenterol","language":"eng","author":[{"family":"Zykus","given":"Romanas"},{"family":"Jonaitis","given":"Laimas"},{"family":"Petrenkienė","given":"Vitalija"},{"family":"Pranculis","given":"Andrius"},{"family":"Kupčinskas","given":"Limas"}],"issued":{"date-parts":[["2015"]]}}}],"schema":"https://github.com/citation-style-language/schema/raw/master/csl-citation.json"} </w:instrText>
            </w:r>
            <w:r w:rsidR="00297D5C" w:rsidRPr="006C3ACC">
              <w:rPr>
                <w:rFonts w:ascii="Book Antiqua" w:hAnsi="Book Antiqua"/>
                <w:color w:val="141314"/>
                <w:sz w:val="24"/>
                <w:szCs w:val="24"/>
              </w:rPr>
              <w:fldChar w:fldCharType="separate"/>
            </w:r>
            <w:r w:rsidR="008F2F86" w:rsidRPr="006C3ACC">
              <w:rPr>
                <w:rFonts w:ascii="Book Antiqua" w:hAnsi="Book Antiqua"/>
                <w:b w:val="0"/>
                <w:color w:val="000000"/>
                <w:sz w:val="24"/>
                <w:szCs w:val="24"/>
                <w:vertAlign w:val="superscript"/>
              </w:rPr>
              <w:t>[31]</w:t>
            </w:r>
            <w:r w:rsidR="00297D5C" w:rsidRPr="006C3ACC">
              <w:rPr>
                <w:rFonts w:ascii="Book Antiqua" w:hAnsi="Book Antiqua"/>
                <w:color w:val="141314"/>
                <w:sz w:val="24"/>
                <w:szCs w:val="24"/>
              </w:rPr>
              <w:fldChar w:fldCharType="end"/>
            </w:r>
          </w:p>
        </w:tc>
        <w:tc>
          <w:tcPr>
            <w:tcW w:w="457" w:type="pct"/>
          </w:tcPr>
          <w:p w14:paraId="1AFE72DC" w14:textId="4FBEA8FE"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Lithuania</w:t>
            </w:r>
          </w:p>
        </w:tc>
        <w:tc>
          <w:tcPr>
            <w:tcW w:w="371" w:type="pct"/>
          </w:tcPr>
          <w:p w14:paraId="34031DAA" w14:textId="0D8AA591"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2015</w:t>
            </w:r>
          </w:p>
        </w:tc>
        <w:tc>
          <w:tcPr>
            <w:tcW w:w="617" w:type="pct"/>
          </w:tcPr>
          <w:p w14:paraId="63E5DC8F" w14:textId="5F824568"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107</w:t>
            </w:r>
          </w:p>
        </w:tc>
        <w:tc>
          <w:tcPr>
            <w:tcW w:w="555" w:type="pct"/>
          </w:tcPr>
          <w:p w14:paraId="3F63EAAF" w14:textId="14D6CCB9"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0.75</w:t>
            </w:r>
          </w:p>
        </w:tc>
        <w:tc>
          <w:tcPr>
            <w:tcW w:w="954" w:type="pct"/>
          </w:tcPr>
          <w:p w14:paraId="69E84CBF" w14:textId="03CE30D1"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0.949</w:t>
            </w:r>
          </w:p>
        </w:tc>
        <w:tc>
          <w:tcPr>
            <w:tcW w:w="1120" w:type="pct"/>
          </w:tcPr>
          <w:p w14:paraId="7C470DF2" w14:textId="3338A960" w:rsidR="00297D5C" w:rsidRPr="00AE4053" w:rsidRDefault="006D509B"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17.4 </w:t>
            </w:r>
            <w:r w:rsidR="00297D5C" w:rsidRPr="00AE4053">
              <w:rPr>
                <w:rFonts w:ascii="Book Antiqua" w:hAnsi="Book Antiqua"/>
                <w:color w:val="141314"/>
                <w:sz w:val="24"/>
                <w:szCs w:val="24"/>
              </w:rPr>
              <w:t>(accuracy 89%)</w:t>
            </w:r>
          </w:p>
        </w:tc>
      </w:tr>
      <w:tr w:rsidR="006D509B" w:rsidRPr="00AE4053" w14:paraId="061C2CF4" w14:textId="77777777" w:rsidTr="0055128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5ECB2E0D" w14:textId="1965D2AA" w:rsidR="00297D5C" w:rsidRPr="006C3ACC" w:rsidRDefault="00297D5C" w:rsidP="00AE4053">
            <w:pPr>
              <w:snapToGrid w:val="0"/>
              <w:spacing w:line="360" w:lineRule="auto"/>
              <w:jc w:val="both"/>
              <w:rPr>
                <w:rFonts w:ascii="Book Antiqua" w:hAnsi="Book Antiqua"/>
                <w:b w:val="0"/>
                <w:color w:val="141314"/>
                <w:sz w:val="24"/>
                <w:szCs w:val="24"/>
              </w:rPr>
            </w:pPr>
            <w:proofErr w:type="spellStart"/>
            <w:r w:rsidRPr="006C3ACC">
              <w:rPr>
                <w:rFonts w:ascii="Book Antiqua" w:hAnsi="Book Antiqua"/>
                <w:b w:val="0"/>
                <w:color w:val="141314"/>
                <w:sz w:val="24"/>
                <w:szCs w:val="24"/>
              </w:rPr>
              <w:t>Procopet</w:t>
            </w:r>
            <w:proofErr w:type="spellEnd"/>
            <w:r w:rsidRPr="006C3ACC">
              <w:rPr>
                <w:rFonts w:ascii="Book Antiqua" w:hAnsi="Book Antiqua"/>
                <w:b w:val="0"/>
                <w:color w:val="141314"/>
                <w:sz w:val="24"/>
                <w:szCs w:val="24"/>
              </w:rPr>
              <w:t xml:space="preserve"> </w:t>
            </w:r>
            <w:r w:rsidR="006C3ACC">
              <w:rPr>
                <w:rFonts w:ascii="Book Antiqua" w:hAnsi="Book Antiqua"/>
                <w:b w:val="0"/>
                <w:i/>
                <w:color w:val="141314"/>
                <w:sz w:val="24"/>
                <w:szCs w:val="24"/>
              </w:rPr>
              <w:t>et al</w:t>
            </w:r>
            <w:r w:rsidRPr="006C3ACC">
              <w:rPr>
                <w:rFonts w:ascii="Book Antiqua" w:hAnsi="Book Antiqua"/>
                <w:color w:val="141314"/>
                <w:sz w:val="24"/>
                <w:szCs w:val="24"/>
              </w:rPr>
              <w:fldChar w:fldCharType="begin"/>
            </w:r>
            <w:r w:rsidR="008F2F86" w:rsidRPr="006C3ACC">
              <w:rPr>
                <w:rFonts w:ascii="Book Antiqua" w:hAnsi="Book Antiqua"/>
                <w:b w:val="0"/>
                <w:color w:val="141314"/>
                <w:sz w:val="24"/>
                <w:szCs w:val="24"/>
              </w:rPr>
              <w:instrText xml:space="preserve"> ADDIN ZOTERO_ITEM CSL_CITATION {"citationID":"mTbIIzi8","properties":{"formattedCitation":"{\\rtf \\super [32]\\nosupersub{}}","plainCitation":"[32]"},"citationItems":[{"id":4227,"uris":["http://zotero.org/users/271015/items/7NJFA734"],"uri":["http://zotero.org/users/271015/items/7NJFA734"],"itemData":{"id":4227,"type":"article-journal","title":"Serum tests, liver stiffness and artificial neural networks for diagnosing cirrhosis and portal hypertension","container-title":"Digestive and Liver Disease: Official Journal of the Italian Society of Gastroenterology and the Italian Association for the Study of the Liver","page":"411-416","volume":"47","issue":"5","source":"PubMed","abstract":"BACKGROUND: The diagnostic performance of biochemical scores and artificial neural network models for portal hypertension and cirrhosis is not well established.\nAIMS: To assess diagnostic accuracy of six serum scores, artificial neural networks and liver stiffness measured by transient elastography, for diagnosing cirrhosis, clinically significant portal hypertension and oesophageal varices.\nMETHODS: 202 consecutive compensated patients requiring liver biopsy and hepatic venous pressure gradient measurement were included. Several serum tests (alone and combined into scores) and liver stiffness were measured. Artificial neural networks containing or not liver stiffness as input variable were also created.\nRESULTS: The best non-invasive method for diagnosing cirrhosis, portal hypertension and oesophageal varices was liver stiffness (C-statistics=0.93, 0.94, and 0.90, respectively). Among serum tests/scores the best for diagnosing cirrhosis and portal hypertension and oesophageal varices were, respectively, Fibrosis-4, and Lok score. Artificial neural networks including liver stiffness had high diagnostic performance for cirrhosis, portal hypertension and oesophageal varices (accuracy&gt;80%), but were not statistically superior to liver stiffness alone.\nCONCLUSIONS: Liver stiffness was the best non-invasive method to assess the presence of cirrhosis, portal hypertension and oesophageal varices. The use of artificial neural networks integrating different non-invasive tests did not increase the diagnostic accuracy of liver stiffness alone.","DOI":"10.1016/j.dld.2015.02.001","ISSN":"1878-3562","note":"PMID: 25732434","journalAbbreviation":"Dig Liver Dis","language":"eng","author":[{"family":"Procopet","given":"Bogdan"},{"family":"Cristea","given":"Vasile Mircea"},{"family":"Robic","given":"Marie Angele"},{"family":"Grigorescu","given":"Mircea"},{"family":"Agachi","given":"Paul Serban"},{"family":"Metivier","given":"Sophie"},{"family":"Peron","given":"Jean Marie"},{"family":"Selves","given":"Janick"},{"family":"Stefanescu","given":"Horia"},{"family":"Berzigotti","given":"Annalisa"},{"family":"Vinel","given":"Jean Pierre"},{"family":"Bureau","given":"Christophe"}],"issued":{"date-parts":[["2015",5]]}}}],"schema":"https://github.com/citation-style-language/schema/raw/master/csl-citation.json"} </w:instrText>
            </w:r>
            <w:r w:rsidRPr="006C3ACC">
              <w:rPr>
                <w:rFonts w:ascii="Book Antiqua" w:hAnsi="Book Antiqua"/>
                <w:color w:val="141314"/>
                <w:sz w:val="24"/>
                <w:szCs w:val="24"/>
              </w:rPr>
              <w:fldChar w:fldCharType="separate"/>
            </w:r>
            <w:r w:rsidR="008F2F86" w:rsidRPr="006C3ACC">
              <w:rPr>
                <w:rFonts w:ascii="Book Antiqua" w:hAnsi="Book Antiqua"/>
                <w:b w:val="0"/>
                <w:color w:val="000000"/>
                <w:sz w:val="24"/>
                <w:szCs w:val="24"/>
                <w:vertAlign w:val="superscript"/>
              </w:rPr>
              <w:t>[32]</w:t>
            </w:r>
            <w:r w:rsidRPr="006C3ACC">
              <w:rPr>
                <w:rFonts w:ascii="Book Antiqua" w:hAnsi="Book Antiqua"/>
                <w:color w:val="141314"/>
                <w:sz w:val="24"/>
                <w:szCs w:val="24"/>
              </w:rPr>
              <w:fldChar w:fldCharType="end"/>
            </w:r>
          </w:p>
        </w:tc>
        <w:tc>
          <w:tcPr>
            <w:tcW w:w="457" w:type="pct"/>
          </w:tcPr>
          <w:p w14:paraId="3B318F6A" w14:textId="77777777" w:rsidR="00297D5C" w:rsidRPr="00AE4053" w:rsidRDefault="002853CE"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Europe</w:t>
            </w:r>
          </w:p>
          <w:p w14:paraId="5F3CD6BD" w14:textId="2F671797" w:rsidR="002853CE" w:rsidRPr="00AE4053" w:rsidRDefault="002853CE"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w:t>
            </w:r>
            <w:proofErr w:type="spellStart"/>
            <w:r w:rsidRPr="00AE4053">
              <w:rPr>
                <w:rFonts w:ascii="Book Antiqua" w:hAnsi="Book Antiqua"/>
                <w:color w:val="141314"/>
                <w:sz w:val="24"/>
                <w:szCs w:val="24"/>
              </w:rPr>
              <w:t>Multic</w:t>
            </w:r>
            <w:r w:rsidRPr="00AE4053">
              <w:rPr>
                <w:rFonts w:ascii="Book Antiqua" w:hAnsi="Book Antiqua"/>
                <w:color w:val="141314"/>
                <w:sz w:val="24"/>
                <w:szCs w:val="24"/>
              </w:rPr>
              <w:lastRenderedPageBreak/>
              <w:t>entric</w:t>
            </w:r>
            <w:proofErr w:type="spellEnd"/>
            <w:r w:rsidRPr="00AE4053">
              <w:rPr>
                <w:rFonts w:ascii="Book Antiqua" w:hAnsi="Book Antiqua"/>
                <w:color w:val="141314"/>
                <w:sz w:val="24"/>
                <w:szCs w:val="24"/>
              </w:rPr>
              <w:t>)</w:t>
            </w:r>
          </w:p>
        </w:tc>
        <w:tc>
          <w:tcPr>
            <w:tcW w:w="371" w:type="pct"/>
          </w:tcPr>
          <w:p w14:paraId="33B29BE3" w14:textId="3843932C"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lastRenderedPageBreak/>
              <w:t>2015</w:t>
            </w:r>
          </w:p>
        </w:tc>
        <w:tc>
          <w:tcPr>
            <w:tcW w:w="617" w:type="pct"/>
          </w:tcPr>
          <w:p w14:paraId="576CF741" w14:textId="2726DDA7"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202</w:t>
            </w:r>
          </w:p>
        </w:tc>
        <w:tc>
          <w:tcPr>
            <w:tcW w:w="555" w:type="pct"/>
          </w:tcPr>
          <w:p w14:paraId="667D3C59" w14:textId="0F788F34"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w:t>
            </w:r>
          </w:p>
        </w:tc>
        <w:tc>
          <w:tcPr>
            <w:tcW w:w="954" w:type="pct"/>
          </w:tcPr>
          <w:p w14:paraId="7EB2CBAF" w14:textId="4325DF1D" w:rsidR="00297D5C" w:rsidRPr="00AE4053" w:rsidRDefault="009C17C4"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0.94 </w:t>
            </w:r>
            <w:r w:rsidR="00297D5C" w:rsidRPr="00AE4053">
              <w:rPr>
                <w:rFonts w:ascii="Book Antiqua" w:hAnsi="Book Antiqua"/>
                <w:color w:val="141314"/>
                <w:sz w:val="24"/>
                <w:szCs w:val="24"/>
              </w:rPr>
              <w:t>(0.89-0.99)</w:t>
            </w:r>
          </w:p>
        </w:tc>
        <w:tc>
          <w:tcPr>
            <w:tcW w:w="1120" w:type="pct"/>
          </w:tcPr>
          <w:p w14:paraId="0549527B" w14:textId="222E1B8B" w:rsidR="00297D5C" w:rsidRPr="00AE4053" w:rsidRDefault="006D509B"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21.1 </w:t>
            </w:r>
            <w:r w:rsidR="00297D5C" w:rsidRPr="00AE4053">
              <w:rPr>
                <w:rFonts w:ascii="Book Antiqua" w:hAnsi="Book Antiqua"/>
                <w:color w:val="141314"/>
                <w:sz w:val="24"/>
                <w:szCs w:val="24"/>
              </w:rPr>
              <w:t>(accuracy 90%)</w:t>
            </w:r>
          </w:p>
        </w:tc>
      </w:tr>
      <w:tr w:rsidR="006D509B" w:rsidRPr="00AE4053" w14:paraId="11A240F4" w14:textId="77777777" w:rsidTr="0055128F">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01F530FC" w14:textId="724F70B6" w:rsidR="00297D5C" w:rsidRPr="006C3ACC" w:rsidRDefault="00297D5C" w:rsidP="00AE4053">
            <w:pPr>
              <w:snapToGrid w:val="0"/>
              <w:spacing w:line="360" w:lineRule="auto"/>
              <w:jc w:val="both"/>
              <w:rPr>
                <w:rFonts w:ascii="Book Antiqua" w:hAnsi="Book Antiqua"/>
                <w:b w:val="0"/>
                <w:color w:val="141314"/>
                <w:sz w:val="24"/>
                <w:szCs w:val="24"/>
              </w:rPr>
            </w:pPr>
            <w:proofErr w:type="spellStart"/>
            <w:r w:rsidRPr="006C3ACC">
              <w:rPr>
                <w:rFonts w:ascii="Book Antiqua" w:hAnsi="Book Antiqua"/>
                <w:b w:val="0"/>
                <w:color w:val="141314"/>
                <w:sz w:val="24"/>
                <w:szCs w:val="24"/>
              </w:rPr>
              <w:lastRenderedPageBreak/>
              <w:t>Kitson</w:t>
            </w:r>
            <w:proofErr w:type="spellEnd"/>
            <w:r w:rsidRPr="006C3ACC">
              <w:rPr>
                <w:rFonts w:ascii="Book Antiqua" w:hAnsi="Book Antiqua"/>
                <w:b w:val="0"/>
                <w:color w:val="141314"/>
                <w:sz w:val="24"/>
                <w:szCs w:val="24"/>
              </w:rPr>
              <w:t xml:space="preserve"> </w:t>
            </w:r>
            <w:r w:rsidRPr="006C3ACC">
              <w:rPr>
                <w:rFonts w:ascii="Book Antiqua" w:hAnsi="Book Antiqua"/>
                <w:b w:val="0"/>
                <w:i/>
                <w:color w:val="141314"/>
                <w:sz w:val="24"/>
                <w:szCs w:val="24"/>
              </w:rPr>
              <w:t>et al</w:t>
            </w:r>
            <w:r w:rsidRPr="006C3ACC">
              <w:rPr>
                <w:rFonts w:ascii="Book Antiqua" w:hAnsi="Book Antiqua"/>
                <w:color w:val="141314"/>
                <w:sz w:val="24"/>
                <w:szCs w:val="24"/>
              </w:rPr>
              <w:fldChar w:fldCharType="begin"/>
            </w:r>
            <w:r w:rsidR="008F2F86" w:rsidRPr="006C3ACC">
              <w:rPr>
                <w:rFonts w:ascii="Book Antiqua" w:hAnsi="Book Antiqua"/>
                <w:b w:val="0"/>
                <w:color w:val="141314"/>
                <w:sz w:val="24"/>
                <w:szCs w:val="24"/>
              </w:rPr>
              <w:instrText xml:space="preserve"> ADDIN ZOTERO_ITEM CSL_CITATION {"citationID":"yB6t8gmR","properties":{"formattedCitation":"{\\rtf \\super [40]\\nosupersub{}}","plainCitation":"[40]"},"citationItems":[{"id":4229,"uris":["http://zotero.org/users/271015/items/EPTU7QNB"],"uri":["http://zotero.org/users/271015/items/EPTU7QNB"],"itemData":{"id":4229,"type":"article-journal","title":"Liver stiffness and the prediction of clinically significant portal hypertension and portal hypertensive complications","container-title":"Scandinavian Journal of Gastroenterology","page":"462-469","volume":"50","issue":"4","source":"PubMed","abstract":"OBJECTIVE: Clinically significant portal hypertension (CSPH) is associated with increased risk of liver disease complications, but its identification requires invasive methods. Liver stiffness (LS) measurement via transient elastography correlates with the presence of CSPH. We, therefore, evaluated LS as a noninvasive tool in the prediction of CSPH and portal hypertensive complications.\nMATERIAL AND METHODS: Ninety-five consecutive patients successfully underwent measurement of hepatic venous pressure gradient (HVPG) and LS on the same day. Recent laboratory tests were correlated. Patients were followed up for development of portal hypertensive complications. Predictors of CSPH and complications were identified.\nRESULTS: Seventy-six (80%) were male and mean age was 56.8 ± 9.3 years. Ninety-three percent and 72% of patients had cirrhosis and esophageal varices, respectively. Only LS (r(2) = 0.38; p &lt; 0.0001) and international normalized ratio (r(2) = 0.21; p = 0.02) were independently associated with HVPG. An LS &gt;29.0 kilopascal (kPa) predicted CSPH with 71.9% sensitivity, 100% specificity, 100% positive predictive value (PPV), and 56.0% negative predictive value (NPV). An LS &lt;25.0 kPa in those with platelet count &gt;150 × 10(9)/L excluded CSPH with 91.7% sensitivity, 100% specificity, 100% PPV, and 90% NPV. Ninety patients were followed up for a median duration of 15.1 months. CSPH and LS &gt;34.5 kPa predicted portal hypertensive complications with 100% and 75.0% sensitivity, 40.3% and 69.4% specificity, 43.1% and 52.5% PPV, and 100% and 86.2% NPV, respectively.\nCONCLUSION: LS shows promise as a noninvasive marker of CSPH and portal hypertensive complications. Combining LS with platelet count improves diagnostic accuracy in the exclusion of CSPH.","DOI":"10.3109/00365521.2014.964758","ISSN":"1502-7708","note":"PMID: 25623641","journalAbbreviation":"Scand. J. Gastroenterol.","language":"eng","author":[{"family":"Kitson","given":"Matthew T."},{"family":"Roberts","given":"Stuart K."},{"family":"Colman","given":"John C."},{"family":"Paul","given":"Eldho"},{"family":"Button","given":"Peter"},{"family":"Kemp","given":"William"}],"issued":{"date-parts":[["2015",4]]}}}],"schema":"https://github.com/citation-style-language/schema/raw/master/csl-citation.json"} </w:instrText>
            </w:r>
            <w:r w:rsidRPr="006C3ACC">
              <w:rPr>
                <w:rFonts w:ascii="Book Antiqua" w:hAnsi="Book Antiqua"/>
                <w:color w:val="141314"/>
                <w:sz w:val="24"/>
                <w:szCs w:val="24"/>
              </w:rPr>
              <w:fldChar w:fldCharType="separate"/>
            </w:r>
            <w:r w:rsidR="008F2F86" w:rsidRPr="006C3ACC">
              <w:rPr>
                <w:rFonts w:ascii="Book Antiqua" w:hAnsi="Book Antiqua"/>
                <w:b w:val="0"/>
                <w:color w:val="000000"/>
                <w:sz w:val="24"/>
                <w:szCs w:val="24"/>
                <w:vertAlign w:val="superscript"/>
              </w:rPr>
              <w:t>[40]</w:t>
            </w:r>
            <w:r w:rsidRPr="006C3ACC">
              <w:rPr>
                <w:rFonts w:ascii="Book Antiqua" w:hAnsi="Book Antiqua"/>
                <w:color w:val="141314"/>
                <w:sz w:val="24"/>
                <w:szCs w:val="24"/>
              </w:rPr>
              <w:fldChar w:fldCharType="end"/>
            </w:r>
          </w:p>
        </w:tc>
        <w:tc>
          <w:tcPr>
            <w:tcW w:w="457" w:type="pct"/>
          </w:tcPr>
          <w:p w14:paraId="71E5F095" w14:textId="1371CBA4"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Australia</w:t>
            </w:r>
          </w:p>
        </w:tc>
        <w:tc>
          <w:tcPr>
            <w:tcW w:w="371" w:type="pct"/>
          </w:tcPr>
          <w:p w14:paraId="3664EAB2" w14:textId="7C4E5525"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2015</w:t>
            </w:r>
          </w:p>
        </w:tc>
        <w:tc>
          <w:tcPr>
            <w:tcW w:w="617" w:type="pct"/>
          </w:tcPr>
          <w:p w14:paraId="31070B60" w14:textId="51EA0868"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95</w:t>
            </w:r>
          </w:p>
        </w:tc>
        <w:tc>
          <w:tcPr>
            <w:tcW w:w="555" w:type="pct"/>
          </w:tcPr>
          <w:p w14:paraId="0A735D59" w14:textId="1F1A87FF"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0.38</w:t>
            </w:r>
          </w:p>
        </w:tc>
        <w:tc>
          <w:tcPr>
            <w:tcW w:w="954" w:type="pct"/>
          </w:tcPr>
          <w:p w14:paraId="3A2C3B86" w14:textId="0CCF396E" w:rsidR="00297D5C" w:rsidRPr="00AE4053" w:rsidRDefault="009C17C4"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0.90 </w:t>
            </w:r>
            <w:r w:rsidR="00297D5C" w:rsidRPr="00AE4053">
              <w:rPr>
                <w:rFonts w:ascii="Book Antiqua" w:hAnsi="Book Antiqua"/>
                <w:color w:val="141314"/>
                <w:sz w:val="24"/>
                <w:szCs w:val="24"/>
              </w:rPr>
              <w:t>(0.83-0.97)</w:t>
            </w:r>
          </w:p>
        </w:tc>
        <w:tc>
          <w:tcPr>
            <w:tcW w:w="1120" w:type="pct"/>
          </w:tcPr>
          <w:p w14:paraId="095BE026" w14:textId="6781AD72" w:rsidR="00297D5C" w:rsidRPr="00AE4053" w:rsidRDefault="00007436"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29.0 </w:t>
            </w:r>
            <w:r w:rsidR="00297D5C" w:rsidRPr="00AE4053">
              <w:rPr>
                <w:rFonts w:ascii="Book Antiqua" w:hAnsi="Book Antiqua"/>
                <w:color w:val="141314"/>
                <w:sz w:val="24"/>
                <w:szCs w:val="24"/>
              </w:rPr>
              <w:t>(PPV 100%)</w:t>
            </w:r>
          </w:p>
        </w:tc>
      </w:tr>
      <w:tr w:rsidR="006D509B" w:rsidRPr="00AE4053" w14:paraId="78AE8880" w14:textId="77777777" w:rsidTr="0055128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78AC8418" w14:textId="6CA3F5B8" w:rsidR="00297D5C" w:rsidRPr="006C3ACC" w:rsidRDefault="00297D5C" w:rsidP="00AE4053">
            <w:pPr>
              <w:snapToGrid w:val="0"/>
              <w:spacing w:line="360" w:lineRule="auto"/>
              <w:jc w:val="both"/>
              <w:rPr>
                <w:rFonts w:ascii="Book Antiqua" w:hAnsi="Book Antiqua"/>
                <w:b w:val="0"/>
                <w:color w:val="141314"/>
                <w:sz w:val="24"/>
                <w:szCs w:val="24"/>
              </w:rPr>
            </w:pPr>
            <w:proofErr w:type="spellStart"/>
            <w:r w:rsidRPr="006C3ACC">
              <w:rPr>
                <w:rFonts w:ascii="Book Antiqua" w:hAnsi="Book Antiqua"/>
                <w:b w:val="0"/>
                <w:color w:val="141314"/>
                <w:sz w:val="24"/>
                <w:szCs w:val="24"/>
              </w:rPr>
              <w:t>Elkrief</w:t>
            </w:r>
            <w:proofErr w:type="spellEnd"/>
            <w:r w:rsidRPr="006C3ACC">
              <w:rPr>
                <w:rFonts w:ascii="Book Antiqua" w:hAnsi="Book Antiqua"/>
                <w:b w:val="0"/>
                <w:color w:val="141314"/>
                <w:sz w:val="24"/>
                <w:szCs w:val="24"/>
              </w:rPr>
              <w:t xml:space="preserve"> </w:t>
            </w:r>
            <w:r w:rsidRPr="006C3ACC">
              <w:rPr>
                <w:rFonts w:ascii="Book Antiqua" w:hAnsi="Book Antiqua"/>
                <w:b w:val="0"/>
                <w:i/>
                <w:color w:val="141314"/>
                <w:sz w:val="24"/>
                <w:szCs w:val="24"/>
              </w:rPr>
              <w:t>et al</w:t>
            </w:r>
            <w:r w:rsidRPr="006C3ACC">
              <w:rPr>
                <w:rFonts w:ascii="Book Antiqua" w:hAnsi="Book Antiqua"/>
                <w:color w:val="141314"/>
                <w:sz w:val="24"/>
                <w:szCs w:val="24"/>
              </w:rPr>
              <w:fldChar w:fldCharType="begin"/>
            </w:r>
            <w:r w:rsidR="008F2F86" w:rsidRPr="006C3ACC">
              <w:rPr>
                <w:rFonts w:ascii="Book Antiqua" w:hAnsi="Book Antiqua"/>
                <w:b w:val="0"/>
                <w:color w:val="141314"/>
                <w:sz w:val="24"/>
                <w:szCs w:val="24"/>
              </w:rPr>
              <w:instrText xml:space="preserve"> ADDIN ZOTERO_ITEM CSL_CITATION {"citationID":"dZJoyO3h","properties":{"formattedCitation":"{\\rtf \\super [25]\\nosupersub{}}","plainCitation":"[25]"},"citationItems":[{"id":4231,"uris":["http://zotero.org/users/271015/items/AWMWMVAQ"],"uri":["http://zotero.org/users/271015/items/AWMWMVAQ"],"itemData":{"id":4231,"type":"article-journal","title":"Prospective comparison of spleen and liver stiffness by using shear-wave and transient elastography for detection of portal hypertension in cirrhosis","container-title":"Radiology","page":"589-598","volume":"275","issue":"2","source":"PubMed","abstract":"PURPOSE: To prospectively compare the technical success rate and accuracy of shear-wave elastography (SWE) and transient elastography (TE) for the detection of clinically significant portal hypertension (PH) in patients with advanced cirrhosis who are undergoing hepatic vein pressure gradient (HVPG) measurements.\nMATERIALS AND METHODS: The institutional ethics committee approved the study, and written informed consent was obtained. Seventy-nine consecutive patients with cirrhosis who were undergoing SWE and TE at the time of HVPG measurement were studied. The technical success rate of SWE and TE was compared with the diagnostic value of liver stiffness (LS) and spleen stiffness (SS) measurements and composite scores (LS spleen-diameter-to-platelet-ratio score [LSPS] and PH risk score) by using SWE and TE to detect clinically significant PH (HVPG ≥ 10 mm Hg) and esophageal varices at high risk of bleeding. Areas under the receiver operating characteristic curve and the DeLong test were used.\nRESULTS: The technical success rate of SWE was significantly better than that of TE for both LS and SS (97% and 97% vs 44% and 42%, respectively; P &lt; .001). LS of more than 24.6 kPa with SWE had a sensitivity, specificity, and accuracy for clinically significant PH of 81%, 88%, and 82%, respectively. Diagnostic performance of LS by using SWE was significantly better than that for SS for the diagnosis of clinically significant PH (area under the receiver operating characteristic curve of 0.87 vs 0.64, P = .003). LS, SS, LSPS, and PH risk score (according to SWE or TE) did not differ between patients with and those without high-risk esophageal varices (P = .09-.42).\nCONCLUSION: In patients with advanced cirrhosis who are undergoing HVPG measurements, LS measurements obtained by using SWE have a higher technical success rate and a better diagnostic value than TE for clinically significant PH.","DOI":"10.1148/radiol.14141210","ISSN":"1527-1315","note":"PMID: 25469784","journalAbbreviation":"Radiology","language":"eng","author":[{"family":"Elkrief","given":"Laure"},{"family":"Rautou","given":"Pierre-Emmanuel"},{"family":"Ronot","given":"Maxime"},{"family":"Lambert","given":"Simon"},{"family":"Dioguardi Burgio","given":"Marco"},{"family":"Francoz","given":"Claire"},{"family":"Plessier","given":"Aurélie"},{"family":"Durand","given":"François"},{"family":"Valla","given":"Dominique"},{"family":"Lebrec","given":"Didier"},{"family":"Vilgrain","given":"Valérie"},{"family":"Castéra","given":"Laurent"}],"issued":{"date-parts":[["2015",5]]}}}],"schema":"https://github.com/citation-style-language/schema/raw/master/csl-citation.json"} </w:instrText>
            </w:r>
            <w:r w:rsidRPr="006C3ACC">
              <w:rPr>
                <w:rFonts w:ascii="Book Antiqua" w:hAnsi="Book Antiqua"/>
                <w:color w:val="141314"/>
                <w:sz w:val="24"/>
                <w:szCs w:val="24"/>
              </w:rPr>
              <w:fldChar w:fldCharType="separate"/>
            </w:r>
            <w:r w:rsidR="008F2F86" w:rsidRPr="006C3ACC">
              <w:rPr>
                <w:rFonts w:ascii="Book Antiqua" w:hAnsi="Book Antiqua"/>
                <w:b w:val="0"/>
                <w:color w:val="000000"/>
                <w:sz w:val="24"/>
                <w:szCs w:val="24"/>
                <w:vertAlign w:val="superscript"/>
              </w:rPr>
              <w:t>[25]</w:t>
            </w:r>
            <w:r w:rsidRPr="006C3ACC">
              <w:rPr>
                <w:rFonts w:ascii="Book Antiqua" w:hAnsi="Book Antiqua"/>
                <w:color w:val="141314"/>
                <w:sz w:val="24"/>
                <w:szCs w:val="24"/>
              </w:rPr>
              <w:fldChar w:fldCharType="end"/>
            </w:r>
          </w:p>
        </w:tc>
        <w:tc>
          <w:tcPr>
            <w:tcW w:w="457" w:type="pct"/>
          </w:tcPr>
          <w:p w14:paraId="0D549072" w14:textId="58E6BB47"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France</w:t>
            </w:r>
          </w:p>
        </w:tc>
        <w:tc>
          <w:tcPr>
            <w:tcW w:w="371" w:type="pct"/>
          </w:tcPr>
          <w:p w14:paraId="0036257B" w14:textId="473E94FA"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2015</w:t>
            </w:r>
          </w:p>
        </w:tc>
        <w:tc>
          <w:tcPr>
            <w:tcW w:w="617" w:type="pct"/>
          </w:tcPr>
          <w:p w14:paraId="6625A6F1" w14:textId="1A51693B"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79</w:t>
            </w:r>
          </w:p>
        </w:tc>
        <w:tc>
          <w:tcPr>
            <w:tcW w:w="555" w:type="pct"/>
          </w:tcPr>
          <w:p w14:paraId="13092E53" w14:textId="57E00DC3" w:rsidR="00297D5C" w:rsidRPr="00AE4053" w:rsidRDefault="00297D5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w:t>
            </w:r>
          </w:p>
        </w:tc>
        <w:tc>
          <w:tcPr>
            <w:tcW w:w="954" w:type="pct"/>
          </w:tcPr>
          <w:p w14:paraId="31363A31" w14:textId="5DB0E064" w:rsidR="00297D5C" w:rsidRPr="00AE4053" w:rsidRDefault="009C17C4"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0.78 </w:t>
            </w:r>
            <w:r w:rsidR="00297D5C" w:rsidRPr="00AE4053">
              <w:rPr>
                <w:rFonts w:ascii="Book Antiqua" w:hAnsi="Book Antiqua"/>
                <w:color w:val="141314"/>
                <w:sz w:val="24"/>
                <w:szCs w:val="24"/>
              </w:rPr>
              <w:t>(0.58-0.98)</w:t>
            </w:r>
          </w:p>
        </w:tc>
        <w:tc>
          <w:tcPr>
            <w:tcW w:w="1120" w:type="pct"/>
          </w:tcPr>
          <w:p w14:paraId="7AD0FB1B" w14:textId="7BA0EFC8" w:rsidR="00297D5C" w:rsidRPr="00AE4053" w:rsidRDefault="00007436"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65.3 </w:t>
            </w:r>
            <w:r w:rsidR="00297D5C" w:rsidRPr="00AE4053">
              <w:rPr>
                <w:rFonts w:ascii="Book Antiqua" w:hAnsi="Book Antiqua"/>
                <w:color w:val="141314"/>
                <w:sz w:val="24"/>
                <w:szCs w:val="24"/>
              </w:rPr>
              <w:t>(PPV 100%)</w:t>
            </w:r>
          </w:p>
        </w:tc>
      </w:tr>
      <w:tr w:rsidR="006D509B" w:rsidRPr="00AE4053" w14:paraId="6290F31A" w14:textId="77777777" w:rsidTr="0055128F">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5A215B34" w14:textId="69167A91" w:rsidR="00297D5C" w:rsidRPr="006C3ACC" w:rsidRDefault="00297D5C" w:rsidP="00AE4053">
            <w:pPr>
              <w:snapToGrid w:val="0"/>
              <w:spacing w:line="360" w:lineRule="auto"/>
              <w:jc w:val="both"/>
              <w:rPr>
                <w:rFonts w:ascii="Book Antiqua" w:hAnsi="Book Antiqua"/>
                <w:b w:val="0"/>
                <w:color w:val="141314"/>
                <w:sz w:val="24"/>
                <w:szCs w:val="24"/>
              </w:rPr>
            </w:pPr>
            <w:proofErr w:type="spellStart"/>
            <w:r w:rsidRPr="006C3ACC">
              <w:rPr>
                <w:rFonts w:ascii="Book Antiqua" w:hAnsi="Book Antiqua"/>
                <w:b w:val="0"/>
                <w:color w:val="141314"/>
                <w:sz w:val="24"/>
                <w:szCs w:val="24"/>
              </w:rPr>
              <w:t>Schwabl</w:t>
            </w:r>
            <w:proofErr w:type="spellEnd"/>
            <w:r w:rsidRPr="006C3ACC">
              <w:rPr>
                <w:rFonts w:ascii="Book Antiqua" w:hAnsi="Book Antiqua"/>
                <w:b w:val="0"/>
                <w:color w:val="141314"/>
                <w:sz w:val="24"/>
                <w:szCs w:val="24"/>
              </w:rPr>
              <w:t xml:space="preserve"> </w:t>
            </w:r>
            <w:r w:rsidRPr="006C3ACC">
              <w:rPr>
                <w:rFonts w:ascii="Book Antiqua" w:hAnsi="Book Antiqua"/>
                <w:b w:val="0"/>
                <w:i/>
                <w:color w:val="141314"/>
                <w:sz w:val="24"/>
                <w:szCs w:val="24"/>
              </w:rPr>
              <w:t>et al</w:t>
            </w:r>
            <w:r w:rsidRPr="006C3ACC">
              <w:rPr>
                <w:rFonts w:ascii="Book Antiqua" w:hAnsi="Book Antiqua"/>
                <w:color w:val="141314"/>
                <w:sz w:val="24"/>
                <w:szCs w:val="24"/>
              </w:rPr>
              <w:fldChar w:fldCharType="begin"/>
            </w:r>
            <w:r w:rsidR="008F2F86" w:rsidRPr="006C3ACC">
              <w:rPr>
                <w:rFonts w:ascii="Book Antiqua" w:hAnsi="Book Antiqua"/>
                <w:b w:val="0"/>
                <w:color w:val="141314"/>
                <w:sz w:val="24"/>
                <w:szCs w:val="24"/>
              </w:rPr>
              <w:instrText xml:space="preserve"> ADDIN ZOTERO_ITEM CSL_CITATION {"citationID":"Du1IUXmD","properties":{"formattedCitation":"{\\rtf \\super [41]\\nosupersub{}}","plainCitation":"[41]"},"citationItems":[{"id":4233,"uris":["http://zotero.org/users/271015/items/PMZA25VW"],"uri":["http://zotero.org/users/271015/items/PMZA25VW"],"itemData":{"id":4233,"type":"article-journal","title":"New reliability criteria for transient elastography increase the number of accurate measurements for screening of cirrhosis and portal hypertension","container-title":"Liver International: Official Journal of the International Association for the Study of the Liver","page":"381-390","volume":"35","issue":"2","source":"PubMed","abstract":"BACKGROUND &amp; AIMS: Transient elastography (TE) can non-invasively diagnose cirrhosis and portal hypertension (PHT). New TE reliability criteria suggest classifying measurements as very reliable (IQR/M &lt; 0.1), reliable (IQR&lt;0.3 or &gt;0.3, if TE &lt; 7.1 kPa) and poorly reliable (IQR/M &gt; 0.3, if TE &gt; 7.1 kPa). Compare traditional (reliable: success rate &gt;60% + IQR/M ≤ 0.30) and new TE quality criteria (accurate: very reliable + reliable) regarding their diagnostic accuracy for cirrhosis and PHT and to identify potential confounders (age, aetiology, necroinflammatory activity, steatosis, siderosis, cholestasis, aminotransferases) of TE performance.\nMETHODS: Patients undergoing simultaneous measurements of TE, portal pressure (hepatic venous pressure gradient, HVPG) and liver biopsy were analysed.\nRESULTS: Among 226 patients (48.7 ± 13.1 years, 74.7% male, 75.7% viral aetiology, 57% F3/F4), traditional TE quality criteria identified 71.6% reliable measurements, while new criteria yielded in 83.2% accurate results. Reliable TE values according to both criteria significantly correlated with fibrosis stage (r = 0.648 vs. r = 0.636) and HVPG (r = 0.836 vs. r = 0.846). Diagnostic accuracy for cirrhosis (cut-off &gt;14.5 kPa) was 76.5% (AUC: 0.863) and 75.0% (AUC: 0.852) for traditional and new TE criteria, respectively, while for predicting HVPG ≥ 10 mmHg (&gt;16.1 kPa), the accuracies were 88.9% (AUC: 0.957) and 89.8% (AUC: 0.962). New TE criteria allowed a better discrimination of reliable and non-reliable results for prediction of fibrosis and CSPH. Only aetiology and aminotransferases were independent confounders of the correlation of TE and fibrosis stage, while no confounder affected the correlation of TE and HVPG.\nCONCLUSIONS: New reliability criteria for TE measurements increase the number of patients with accurate measurements without affecting diagnostic performance for detecting cirrhosis and portal hypertension. Aetiology of liver disease and aminotransferases should be considered when assessing liver fibrosis by TE.","DOI":"10.1111/liv.12623","ISSN":"1478-3231","note":"PMID: 24953516","journalAbbreviation":"Liver Int.","language":"eng","author":[{"family":"Schwabl","given":"Philipp"},{"family":"Bota","given":"Simona"},{"family":"Salzl","given":"Petra"},{"family":"Mandorfer","given":"Mattias"},{"family":"Payer","given":"Berit A."},{"family":"Ferlitsch","given":"Arnulf"},{"family":"Stift","given":"Judith"},{"family":"Wrba","given":"Friedrich"},{"family":"Trauner","given":"Michael"},{"family":"Peck-Radosavljevic","given":"Markus"},{"family":"Reiberger","given":"Thomas"}],"issued":{"date-parts":[["2015",2]]}}}],"schema":"https://github.com/citation-style-language/schema/raw/master/csl-citation.json"} </w:instrText>
            </w:r>
            <w:r w:rsidRPr="006C3ACC">
              <w:rPr>
                <w:rFonts w:ascii="Book Antiqua" w:hAnsi="Book Antiqua"/>
                <w:color w:val="141314"/>
                <w:sz w:val="24"/>
                <w:szCs w:val="24"/>
              </w:rPr>
              <w:fldChar w:fldCharType="separate"/>
            </w:r>
            <w:r w:rsidR="008F2F86" w:rsidRPr="006C3ACC">
              <w:rPr>
                <w:rFonts w:ascii="Book Antiqua" w:hAnsi="Book Antiqua"/>
                <w:b w:val="0"/>
                <w:color w:val="000000"/>
                <w:sz w:val="24"/>
                <w:szCs w:val="24"/>
                <w:vertAlign w:val="superscript"/>
              </w:rPr>
              <w:t>[41]</w:t>
            </w:r>
            <w:r w:rsidRPr="006C3ACC">
              <w:rPr>
                <w:rFonts w:ascii="Book Antiqua" w:hAnsi="Book Antiqua"/>
                <w:color w:val="141314"/>
                <w:sz w:val="24"/>
                <w:szCs w:val="24"/>
              </w:rPr>
              <w:fldChar w:fldCharType="end"/>
            </w:r>
          </w:p>
        </w:tc>
        <w:tc>
          <w:tcPr>
            <w:tcW w:w="457" w:type="pct"/>
          </w:tcPr>
          <w:p w14:paraId="4CB4C82F" w14:textId="5D59CEDE"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Austria</w:t>
            </w:r>
          </w:p>
        </w:tc>
        <w:tc>
          <w:tcPr>
            <w:tcW w:w="371" w:type="pct"/>
          </w:tcPr>
          <w:p w14:paraId="4E709B4D" w14:textId="59620BB7"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2015</w:t>
            </w:r>
          </w:p>
        </w:tc>
        <w:tc>
          <w:tcPr>
            <w:tcW w:w="617" w:type="pct"/>
          </w:tcPr>
          <w:p w14:paraId="1E7B27A7" w14:textId="403EC20B"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226</w:t>
            </w:r>
          </w:p>
        </w:tc>
        <w:tc>
          <w:tcPr>
            <w:tcW w:w="555" w:type="pct"/>
          </w:tcPr>
          <w:p w14:paraId="3A8F7C8E" w14:textId="24B1CB1C"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0.836 &amp; 0.846</w:t>
            </w:r>
          </w:p>
        </w:tc>
        <w:tc>
          <w:tcPr>
            <w:tcW w:w="954" w:type="pct"/>
          </w:tcPr>
          <w:p w14:paraId="5EFC4C3A" w14:textId="7D2DDE66"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0.957 &amp; 0.962</w:t>
            </w:r>
          </w:p>
        </w:tc>
        <w:tc>
          <w:tcPr>
            <w:tcW w:w="1120" w:type="pct"/>
          </w:tcPr>
          <w:p w14:paraId="75FA41EF" w14:textId="0C0418B5" w:rsidR="00297D5C" w:rsidRPr="00AE4053" w:rsidRDefault="00007436"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16.1 </w:t>
            </w:r>
            <w:r w:rsidR="00297D5C" w:rsidRPr="00AE4053">
              <w:rPr>
                <w:rFonts w:ascii="Book Antiqua" w:hAnsi="Book Antiqua"/>
                <w:color w:val="141314"/>
                <w:sz w:val="24"/>
                <w:szCs w:val="24"/>
              </w:rPr>
              <w:t>(accuracy 89% &amp; 90%)</w:t>
            </w:r>
          </w:p>
        </w:tc>
      </w:tr>
      <w:tr w:rsidR="006D509B" w:rsidRPr="00AE4053" w14:paraId="24EF905A" w14:textId="77777777" w:rsidTr="0055128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50BAB4A9" w14:textId="3F4DE357" w:rsidR="00D80B6B" w:rsidRPr="006C3ACC" w:rsidRDefault="00D80B6B" w:rsidP="00AE4053">
            <w:pPr>
              <w:snapToGrid w:val="0"/>
              <w:spacing w:line="360" w:lineRule="auto"/>
              <w:jc w:val="both"/>
              <w:rPr>
                <w:rFonts w:ascii="Book Antiqua" w:hAnsi="Book Antiqua"/>
                <w:b w:val="0"/>
                <w:color w:val="141314"/>
                <w:sz w:val="24"/>
                <w:szCs w:val="24"/>
              </w:rPr>
            </w:pPr>
            <w:proofErr w:type="spellStart"/>
            <w:r w:rsidRPr="006C3ACC">
              <w:rPr>
                <w:rFonts w:ascii="Book Antiqua" w:hAnsi="Book Antiqua"/>
                <w:b w:val="0"/>
                <w:color w:val="141314"/>
                <w:sz w:val="24"/>
                <w:szCs w:val="24"/>
              </w:rPr>
              <w:t>Hametner</w:t>
            </w:r>
            <w:proofErr w:type="spellEnd"/>
            <w:r w:rsidRPr="006C3ACC">
              <w:rPr>
                <w:rFonts w:ascii="Book Antiqua" w:hAnsi="Book Antiqua"/>
                <w:b w:val="0"/>
                <w:color w:val="141314"/>
                <w:sz w:val="24"/>
                <w:szCs w:val="24"/>
              </w:rPr>
              <w:t xml:space="preserve"> </w:t>
            </w:r>
            <w:r w:rsidR="006C3ACC">
              <w:rPr>
                <w:rFonts w:ascii="Book Antiqua" w:hAnsi="Book Antiqua"/>
                <w:b w:val="0"/>
                <w:i/>
                <w:color w:val="141314"/>
                <w:sz w:val="24"/>
                <w:szCs w:val="24"/>
              </w:rPr>
              <w:t>et al</w:t>
            </w:r>
            <w:r w:rsidRPr="006C3ACC">
              <w:rPr>
                <w:rFonts w:ascii="Book Antiqua" w:hAnsi="Book Antiqua"/>
                <w:color w:val="141314"/>
                <w:sz w:val="24"/>
                <w:szCs w:val="24"/>
              </w:rPr>
              <w:fldChar w:fldCharType="begin"/>
            </w:r>
            <w:r w:rsidR="008F2F86" w:rsidRPr="006C3ACC">
              <w:rPr>
                <w:rFonts w:ascii="Book Antiqua" w:hAnsi="Book Antiqua"/>
                <w:b w:val="0"/>
                <w:color w:val="141314"/>
                <w:sz w:val="24"/>
                <w:szCs w:val="24"/>
              </w:rPr>
              <w:instrText xml:space="preserve"> ADDIN ZOTERO_ITEM CSL_CITATION {"citationID":"sfdAtJo0","properties":{"formattedCitation":"{\\rtf \\super [29]\\nosupersub{}}","plainCitation":"[29]"},"citationItems":[{"id":4246,"uris":["http://zotero.org/users/271015/items/XEJ88G9V"],"uri":["http://zotero.org/users/271015/items/XEJ88G9V"],"itemData":{"id":4246,"type":"article-journal","title":"The VITRO Score (Von Willebrand Factor Antigen/Thrombocyte Ratio) as a New Marker for Clinically Significant Portal Hypertension in Comparison to Other Non-Invasive Parameters of Fibrosis Including ELF Test","container-title":"PloS One","page":"e0149230","volume":"11","issue":"2","source":"PubMed","abstract":"BACKGROUND: Clinically significant portal hypertension (CSPH), defined as hepatic venous pressure gradient (HVPG) ≥10 mmHg, causes major complications. HVPG is not always available, so a non-invasive tool to diagnose CSPH would be useful. VWF-Ag can be used to diagnose. Using the VITRO score (the VWF-Ag/platelet ratio) instead of VWF-Ag itself improves the diagnostic accuracy of detecting cirrhosis/ fibrosis in HCV patients.\nAIM: This study tested the diagnostic accuracy of VITRO score detecting CSPH compared to HVPG measurement.\nMETHODS: All patients underwent HVPG testing and were categorised as CSPH or no CSPH. The following patient data were determined: CPS, D'Amico stage, VITRO score, APRI and transient elastography (TE).\nRESULTS: The analysis included 236 patients; 170 (72%) were male, and the median age was 57.9 (35.2-76.3; 95% CI). Disease aetiology included ALD (39.4%), HCV (23.4%), NASH (12.3%), other (8.1%) and unknown (11.9%). The CPS showed 140 patients (59.3%) with CPS A; 56 (23.7%) with CPS B; and 18 (7.6%) with CPS C. 136 patients (57.6%) had compensated and 100 (42.4%) had decompensated cirrhosis; 83.9% had HVPG ≥10 mmHg. The VWF-Ag and the VITRO score increased significantly with worsening HVPG categories (P&lt;0.0001). ROC analysis was performed for the detection of CSPH and showed AUC values of 0.92 for TE, 0.86 for VITRO score, 0.79 for VWF-Ag, 0.68 for ELF and 0.62 for APRI.\nCONCLUSION: The VITRO score is an easy way to diagnose CSPH independently of CPS in routine clinical work and may improve the management of patients with cirrhosis.","DOI":"10.1371/journal.pone.0149230","ISSN":"1932-6203","note":"PMID: 26895398\nPMCID: PMC4760704","journalAbbreviation":"PLoS ONE","language":"eng","author":[{"family":"Hametner","given":"Stephanie"},{"family":"Ferlitsch","given":"Arnulf"},{"family":"Ferlitsch","given":"Monika"},{"family":"Etschmaier","given":"Alexandra"},{"family":"Schöfl","given":"Rainer"},{"family":"Ziachehabi","given":"Alexander"},{"family":"Maieron","given":"Andreas"}],"issued":{"date-parts":[["2016"]]}}}],"schema":"https://github.com/citation-style-language/schema/raw/master/csl-citation.json"} </w:instrText>
            </w:r>
            <w:r w:rsidRPr="006C3ACC">
              <w:rPr>
                <w:rFonts w:ascii="Book Antiqua" w:hAnsi="Book Antiqua"/>
                <w:color w:val="141314"/>
                <w:sz w:val="24"/>
                <w:szCs w:val="24"/>
              </w:rPr>
              <w:fldChar w:fldCharType="separate"/>
            </w:r>
            <w:r w:rsidR="008F2F86" w:rsidRPr="006C3ACC">
              <w:rPr>
                <w:rFonts w:ascii="Book Antiqua" w:hAnsi="Book Antiqua"/>
                <w:b w:val="0"/>
                <w:color w:val="000000"/>
                <w:sz w:val="24"/>
                <w:szCs w:val="24"/>
                <w:vertAlign w:val="superscript"/>
              </w:rPr>
              <w:t>[29]</w:t>
            </w:r>
            <w:r w:rsidRPr="006C3ACC">
              <w:rPr>
                <w:rFonts w:ascii="Book Antiqua" w:hAnsi="Book Antiqua"/>
                <w:color w:val="141314"/>
                <w:sz w:val="24"/>
                <w:szCs w:val="24"/>
              </w:rPr>
              <w:fldChar w:fldCharType="end"/>
            </w:r>
          </w:p>
        </w:tc>
        <w:tc>
          <w:tcPr>
            <w:tcW w:w="457" w:type="pct"/>
          </w:tcPr>
          <w:p w14:paraId="25B18EBA" w14:textId="74FE09ED" w:rsidR="00D80B6B" w:rsidRPr="00AE4053" w:rsidRDefault="00D80B6B"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Austria</w:t>
            </w:r>
          </w:p>
        </w:tc>
        <w:tc>
          <w:tcPr>
            <w:tcW w:w="371" w:type="pct"/>
          </w:tcPr>
          <w:p w14:paraId="27BD30C4" w14:textId="1CC25298" w:rsidR="00D80B6B" w:rsidRPr="00AE4053" w:rsidRDefault="00D80B6B"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2016</w:t>
            </w:r>
          </w:p>
        </w:tc>
        <w:tc>
          <w:tcPr>
            <w:tcW w:w="617" w:type="pct"/>
          </w:tcPr>
          <w:p w14:paraId="200495B7" w14:textId="50CFC986" w:rsidR="00D80B6B" w:rsidRPr="00AE4053" w:rsidRDefault="00D80B6B"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236</w:t>
            </w:r>
          </w:p>
        </w:tc>
        <w:tc>
          <w:tcPr>
            <w:tcW w:w="555" w:type="pct"/>
          </w:tcPr>
          <w:p w14:paraId="6AF03E08" w14:textId="3CF0621A" w:rsidR="00D80B6B" w:rsidRPr="00AE4053" w:rsidRDefault="00722CE3"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w:t>
            </w:r>
          </w:p>
        </w:tc>
        <w:tc>
          <w:tcPr>
            <w:tcW w:w="954" w:type="pct"/>
          </w:tcPr>
          <w:p w14:paraId="1D88ADB9" w14:textId="0C83B063" w:rsidR="00D80B6B" w:rsidRPr="00AE4053" w:rsidRDefault="00007436"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0.92 </w:t>
            </w:r>
            <w:r w:rsidR="00722CE3" w:rsidRPr="00AE4053">
              <w:rPr>
                <w:rFonts w:ascii="Book Antiqua" w:hAnsi="Book Antiqua"/>
                <w:color w:val="141314"/>
                <w:sz w:val="24"/>
                <w:szCs w:val="24"/>
              </w:rPr>
              <w:t>(0.86</w:t>
            </w:r>
            <w:r w:rsidR="004B11F3" w:rsidRPr="00AE4053">
              <w:rPr>
                <w:rFonts w:ascii="Book Antiqua" w:hAnsi="Book Antiqua"/>
                <w:color w:val="141314"/>
                <w:sz w:val="24"/>
                <w:szCs w:val="24"/>
              </w:rPr>
              <w:t>-</w:t>
            </w:r>
            <w:r w:rsidR="00722CE3" w:rsidRPr="00AE4053">
              <w:rPr>
                <w:rFonts w:ascii="Book Antiqua" w:hAnsi="Book Antiqua"/>
                <w:color w:val="141314"/>
                <w:sz w:val="24"/>
                <w:szCs w:val="24"/>
              </w:rPr>
              <w:t>0.96)</w:t>
            </w:r>
          </w:p>
        </w:tc>
        <w:tc>
          <w:tcPr>
            <w:tcW w:w="1120" w:type="pct"/>
          </w:tcPr>
          <w:p w14:paraId="1F7D4C94" w14:textId="419FA7A5" w:rsidR="00722CE3" w:rsidRPr="00AE4053" w:rsidRDefault="0044591C"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24.8</w:t>
            </w:r>
            <w:r w:rsidR="00007436">
              <w:rPr>
                <w:rFonts w:ascii="Book Antiqua" w:hAnsi="Book Antiqua"/>
                <w:color w:val="141314"/>
                <w:sz w:val="24"/>
                <w:szCs w:val="24"/>
              </w:rPr>
              <w:t xml:space="preserve"> </w:t>
            </w:r>
            <w:r w:rsidR="00722CE3" w:rsidRPr="00AE4053">
              <w:rPr>
                <w:rFonts w:ascii="Book Antiqua" w:hAnsi="Book Antiqua"/>
                <w:color w:val="141314"/>
                <w:sz w:val="24"/>
                <w:szCs w:val="24"/>
              </w:rPr>
              <w:t>(PPV 98%)</w:t>
            </w:r>
          </w:p>
        </w:tc>
      </w:tr>
      <w:tr w:rsidR="006D509B" w:rsidRPr="00AE4053" w14:paraId="242D4877" w14:textId="77777777" w:rsidTr="0055128F">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339FB275" w14:textId="03D640DE" w:rsidR="00297D5C" w:rsidRPr="006C3ACC" w:rsidRDefault="00297D5C" w:rsidP="00AE4053">
            <w:pPr>
              <w:snapToGrid w:val="0"/>
              <w:spacing w:line="360" w:lineRule="auto"/>
              <w:jc w:val="both"/>
              <w:rPr>
                <w:rFonts w:ascii="Book Antiqua" w:hAnsi="Book Antiqua"/>
                <w:b w:val="0"/>
                <w:color w:val="141314"/>
                <w:sz w:val="24"/>
                <w:szCs w:val="24"/>
              </w:rPr>
            </w:pPr>
            <w:r w:rsidRPr="006C3ACC">
              <w:rPr>
                <w:rFonts w:ascii="Book Antiqua" w:hAnsi="Book Antiqua"/>
                <w:b w:val="0"/>
                <w:color w:val="141314"/>
                <w:sz w:val="24"/>
                <w:szCs w:val="24"/>
              </w:rPr>
              <w:t>This study</w:t>
            </w:r>
          </w:p>
        </w:tc>
        <w:tc>
          <w:tcPr>
            <w:tcW w:w="457" w:type="pct"/>
          </w:tcPr>
          <w:p w14:paraId="108E078D" w14:textId="0B7B1D8D"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India</w:t>
            </w:r>
          </w:p>
        </w:tc>
        <w:tc>
          <w:tcPr>
            <w:tcW w:w="371" w:type="pct"/>
          </w:tcPr>
          <w:p w14:paraId="33C465EB" w14:textId="0D2954B6"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2016</w:t>
            </w:r>
          </w:p>
        </w:tc>
        <w:tc>
          <w:tcPr>
            <w:tcW w:w="617" w:type="pct"/>
          </w:tcPr>
          <w:p w14:paraId="1086BCF8" w14:textId="05A37D39"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326</w:t>
            </w:r>
          </w:p>
        </w:tc>
        <w:tc>
          <w:tcPr>
            <w:tcW w:w="555" w:type="pct"/>
          </w:tcPr>
          <w:p w14:paraId="75A5F45E" w14:textId="56C37FAC" w:rsidR="00297D5C" w:rsidRPr="00AE4053" w:rsidRDefault="00297D5C"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sidRPr="00AE4053">
              <w:rPr>
                <w:rFonts w:ascii="Book Antiqua" w:hAnsi="Book Antiqua"/>
                <w:color w:val="141314"/>
                <w:sz w:val="24"/>
                <w:szCs w:val="24"/>
              </w:rPr>
              <w:t>0.361</w:t>
            </w:r>
          </w:p>
        </w:tc>
        <w:tc>
          <w:tcPr>
            <w:tcW w:w="954" w:type="pct"/>
          </w:tcPr>
          <w:p w14:paraId="35897294" w14:textId="31D50305" w:rsidR="00297D5C" w:rsidRPr="00AE4053" w:rsidRDefault="00007436"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0.740 </w:t>
            </w:r>
            <w:r w:rsidR="00297D5C" w:rsidRPr="00AE4053">
              <w:rPr>
                <w:rFonts w:ascii="Book Antiqua" w:hAnsi="Book Antiqua"/>
                <w:color w:val="141314"/>
                <w:sz w:val="24"/>
                <w:szCs w:val="24"/>
              </w:rPr>
              <w:t>(0.662-0.818)</w:t>
            </w:r>
          </w:p>
        </w:tc>
        <w:tc>
          <w:tcPr>
            <w:tcW w:w="1120" w:type="pct"/>
          </w:tcPr>
          <w:p w14:paraId="1C0C2C58" w14:textId="7664B1C8" w:rsidR="00297D5C" w:rsidRPr="00AE4053" w:rsidRDefault="00007436" w:rsidP="006D509B">
            <w:pPr>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color w:val="141314"/>
                <w:sz w:val="24"/>
                <w:szCs w:val="24"/>
              </w:rPr>
            </w:pPr>
            <w:r>
              <w:rPr>
                <w:rFonts w:ascii="Book Antiqua" w:hAnsi="Book Antiqua"/>
                <w:color w:val="141314"/>
                <w:sz w:val="24"/>
                <w:szCs w:val="24"/>
              </w:rPr>
              <w:t xml:space="preserve">21.6 </w:t>
            </w:r>
            <w:r w:rsidR="00297D5C" w:rsidRPr="00AE4053">
              <w:rPr>
                <w:rFonts w:ascii="Book Antiqua" w:hAnsi="Book Antiqua"/>
                <w:color w:val="141314"/>
                <w:sz w:val="24"/>
                <w:szCs w:val="24"/>
              </w:rPr>
              <w:t>(PPV 93%)</w:t>
            </w:r>
          </w:p>
        </w:tc>
      </w:tr>
      <w:tr w:rsidR="006D509B" w:rsidRPr="00AE4053" w14:paraId="166E00B3" w14:textId="77777777" w:rsidTr="0055128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6" w:type="pct"/>
          </w:tcPr>
          <w:p w14:paraId="52A9373A" w14:textId="151D7E1D" w:rsidR="00B907C3" w:rsidRPr="006C3ACC" w:rsidRDefault="00B907C3" w:rsidP="00AE4053">
            <w:pPr>
              <w:snapToGrid w:val="0"/>
              <w:spacing w:line="360" w:lineRule="auto"/>
              <w:jc w:val="both"/>
              <w:rPr>
                <w:rFonts w:ascii="Book Antiqua" w:hAnsi="Book Antiqua"/>
                <w:b w:val="0"/>
                <w:color w:val="141314"/>
                <w:sz w:val="24"/>
                <w:szCs w:val="24"/>
              </w:rPr>
            </w:pPr>
            <w:r w:rsidRPr="006C3ACC">
              <w:rPr>
                <w:rFonts w:ascii="Book Antiqua" w:hAnsi="Book Antiqua"/>
                <w:b w:val="0"/>
                <w:color w:val="141314"/>
                <w:sz w:val="24"/>
                <w:szCs w:val="24"/>
              </w:rPr>
              <w:t>Total</w:t>
            </w:r>
          </w:p>
        </w:tc>
        <w:tc>
          <w:tcPr>
            <w:tcW w:w="457" w:type="pct"/>
          </w:tcPr>
          <w:p w14:paraId="40B89F89" w14:textId="77777777" w:rsidR="00B907C3" w:rsidRPr="00AE4053" w:rsidRDefault="00B907C3"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141314"/>
                <w:sz w:val="24"/>
                <w:szCs w:val="24"/>
              </w:rPr>
            </w:pPr>
          </w:p>
        </w:tc>
        <w:tc>
          <w:tcPr>
            <w:tcW w:w="371" w:type="pct"/>
          </w:tcPr>
          <w:p w14:paraId="05CD2117" w14:textId="77777777" w:rsidR="00B907C3" w:rsidRPr="00AE4053" w:rsidRDefault="00B907C3"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141314"/>
                <w:sz w:val="24"/>
                <w:szCs w:val="24"/>
              </w:rPr>
            </w:pPr>
          </w:p>
        </w:tc>
        <w:tc>
          <w:tcPr>
            <w:tcW w:w="617" w:type="pct"/>
          </w:tcPr>
          <w:p w14:paraId="297B2C6C" w14:textId="099B6337" w:rsidR="00B907C3" w:rsidRPr="00007436" w:rsidRDefault="00B907C3"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007436">
              <w:rPr>
                <w:rFonts w:ascii="Book Antiqua" w:hAnsi="Book Antiqua"/>
                <w:color w:val="141314"/>
                <w:sz w:val="24"/>
                <w:szCs w:val="24"/>
              </w:rPr>
              <w:t>2</w:t>
            </w:r>
            <w:r w:rsidR="00023DE9" w:rsidRPr="00007436">
              <w:rPr>
                <w:rFonts w:ascii="Book Antiqua" w:hAnsi="Book Antiqua"/>
                <w:color w:val="141314"/>
                <w:sz w:val="24"/>
                <w:szCs w:val="24"/>
              </w:rPr>
              <w:t>515</w:t>
            </w:r>
          </w:p>
        </w:tc>
        <w:tc>
          <w:tcPr>
            <w:tcW w:w="555" w:type="pct"/>
          </w:tcPr>
          <w:p w14:paraId="7564067E" w14:textId="77777777" w:rsidR="00B907C3" w:rsidRPr="00007436" w:rsidRDefault="00B907C3"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p>
        </w:tc>
        <w:tc>
          <w:tcPr>
            <w:tcW w:w="954" w:type="pct"/>
          </w:tcPr>
          <w:p w14:paraId="195A191F" w14:textId="77777777" w:rsidR="00B907C3" w:rsidRPr="00007436" w:rsidRDefault="00B907C3"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p>
        </w:tc>
        <w:tc>
          <w:tcPr>
            <w:tcW w:w="1120" w:type="pct"/>
          </w:tcPr>
          <w:p w14:paraId="30826BCA" w14:textId="2701BED3" w:rsidR="00B907C3" w:rsidRPr="00007436" w:rsidRDefault="00B907C3" w:rsidP="006D509B">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141314"/>
                <w:sz w:val="24"/>
                <w:szCs w:val="24"/>
              </w:rPr>
            </w:pPr>
            <w:r w:rsidRPr="00007436">
              <w:rPr>
                <w:rFonts w:ascii="Book Antiqua" w:hAnsi="Book Antiqua"/>
                <w:color w:val="141314"/>
                <w:sz w:val="24"/>
                <w:szCs w:val="24"/>
              </w:rPr>
              <w:t>Weighted mean: 21.</w:t>
            </w:r>
            <w:r w:rsidR="004D555D" w:rsidRPr="00007436">
              <w:rPr>
                <w:rFonts w:ascii="Book Antiqua" w:hAnsi="Book Antiqua"/>
                <w:color w:val="141314"/>
                <w:sz w:val="24"/>
                <w:szCs w:val="24"/>
              </w:rPr>
              <w:t>8</w:t>
            </w:r>
          </w:p>
        </w:tc>
      </w:tr>
    </w:tbl>
    <w:p w14:paraId="7A3B44FE" w14:textId="16F98547" w:rsidR="000634EC" w:rsidRPr="00007436" w:rsidRDefault="00177D21" w:rsidP="00AE4053">
      <w:pPr>
        <w:snapToGrid w:val="0"/>
        <w:spacing w:after="0" w:line="360" w:lineRule="auto"/>
        <w:jc w:val="both"/>
        <w:rPr>
          <w:rFonts w:ascii="Book Antiqua" w:hAnsi="Book Antiqua"/>
          <w:color w:val="141314"/>
          <w:sz w:val="24"/>
          <w:szCs w:val="24"/>
        </w:rPr>
      </w:pPr>
      <w:r w:rsidRPr="00007436">
        <w:rPr>
          <w:rFonts w:ascii="Book Antiqua" w:hAnsi="Book Antiqua"/>
          <w:color w:val="141314"/>
          <w:sz w:val="24"/>
          <w:szCs w:val="24"/>
        </w:rPr>
        <w:t>TE</w:t>
      </w:r>
      <w:r w:rsidR="00007436">
        <w:rPr>
          <w:rFonts w:ascii="Book Antiqua" w:hAnsi="Book Antiqua"/>
          <w:color w:val="141314"/>
          <w:sz w:val="24"/>
          <w:szCs w:val="24"/>
        </w:rPr>
        <w:t>:</w:t>
      </w:r>
      <w:r w:rsidRPr="00007436">
        <w:rPr>
          <w:rFonts w:ascii="Book Antiqua" w:hAnsi="Book Antiqua"/>
          <w:color w:val="141314"/>
          <w:sz w:val="24"/>
          <w:szCs w:val="24"/>
        </w:rPr>
        <w:t xml:space="preserve"> </w:t>
      </w:r>
      <w:r w:rsidRPr="00007436">
        <w:rPr>
          <w:rFonts w:ascii="Book Antiqua" w:hAnsi="Book Antiqua"/>
          <w:caps/>
          <w:color w:val="141314"/>
          <w:sz w:val="24"/>
          <w:szCs w:val="24"/>
        </w:rPr>
        <w:t>t</w:t>
      </w:r>
      <w:r w:rsidRPr="00007436">
        <w:rPr>
          <w:rFonts w:ascii="Book Antiqua" w:hAnsi="Book Antiqua"/>
          <w:color w:val="141314"/>
          <w:sz w:val="24"/>
          <w:szCs w:val="24"/>
        </w:rPr>
        <w:t xml:space="preserve">ransient </w:t>
      </w:r>
      <w:proofErr w:type="spellStart"/>
      <w:r w:rsidRPr="00007436">
        <w:rPr>
          <w:rFonts w:ascii="Book Antiqua" w:hAnsi="Book Antiqua"/>
          <w:color w:val="141314"/>
          <w:sz w:val="24"/>
          <w:szCs w:val="24"/>
        </w:rPr>
        <w:t>elastography</w:t>
      </w:r>
      <w:proofErr w:type="spellEnd"/>
      <w:r w:rsidRPr="00007436">
        <w:rPr>
          <w:rFonts w:ascii="Book Antiqua" w:hAnsi="Book Antiqua"/>
          <w:color w:val="141314"/>
          <w:sz w:val="24"/>
          <w:szCs w:val="24"/>
        </w:rPr>
        <w:t>; HVPG</w:t>
      </w:r>
      <w:r w:rsidR="00007436">
        <w:rPr>
          <w:rFonts w:ascii="Book Antiqua" w:hAnsi="Book Antiqua"/>
          <w:color w:val="141314"/>
          <w:sz w:val="24"/>
          <w:szCs w:val="24"/>
        </w:rPr>
        <w:t>:</w:t>
      </w:r>
      <w:r w:rsidRPr="00007436">
        <w:rPr>
          <w:rFonts w:ascii="Book Antiqua" w:hAnsi="Book Antiqua"/>
          <w:color w:val="141314"/>
          <w:sz w:val="24"/>
          <w:szCs w:val="24"/>
        </w:rPr>
        <w:t xml:space="preserve"> </w:t>
      </w:r>
      <w:r w:rsidRPr="00007436">
        <w:rPr>
          <w:rFonts w:ascii="Book Antiqua" w:hAnsi="Book Antiqua"/>
          <w:caps/>
          <w:color w:val="141314"/>
          <w:sz w:val="24"/>
          <w:szCs w:val="24"/>
        </w:rPr>
        <w:t>h</w:t>
      </w:r>
      <w:r w:rsidRPr="00007436">
        <w:rPr>
          <w:rFonts w:ascii="Book Antiqua" w:hAnsi="Book Antiqua"/>
          <w:color w:val="141314"/>
          <w:sz w:val="24"/>
          <w:szCs w:val="24"/>
        </w:rPr>
        <w:t>epatic venous pressure gradient; AUROC</w:t>
      </w:r>
      <w:r w:rsidR="00007436">
        <w:rPr>
          <w:rFonts w:ascii="Book Antiqua" w:hAnsi="Book Antiqua"/>
          <w:color w:val="141314"/>
          <w:sz w:val="24"/>
          <w:szCs w:val="24"/>
        </w:rPr>
        <w:t>:</w:t>
      </w:r>
      <w:r w:rsidRPr="00007436">
        <w:rPr>
          <w:rFonts w:ascii="Book Antiqua" w:hAnsi="Book Antiqua"/>
          <w:color w:val="141314"/>
          <w:sz w:val="24"/>
          <w:szCs w:val="24"/>
        </w:rPr>
        <w:t xml:space="preserve"> </w:t>
      </w:r>
      <w:r w:rsidRPr="00007436">
        <w:rPr>
          <w:rFonts w:ascii="Book Antiqua" w:hAnsi="Book Antiqua"/>
          <w:caps/>
          <w:color w:val="141314"/>
          <w:sz w:val="24"/>
          <w:szCs w:val="24"/>
        </w:rPr>
        <w:t>a</w:t>
      </w:r>
      <w:r w:rsidRPr="00007436">
        <w:rPr>
          <w:rFonts w:ascii="Book Antiqua" w:hAnsi="Book Antiqua"/>
          <w:color w:val="141314"/>
          <w:sz w:val="24"/>
          <w:szCs w:val="24"/>
        </w:rPr>
        <w:t>rea under receiver operating characteristic; CSPH</w:t>
      </w:r>
      <w:r w:rsidR="00007436">
        <w:rPr>
          <w:rFonts w:ascii="Book Antiqua" w:hAnsi="Book Antiqua"/>
          <w:color w:val="141314"/>
          <w:sz w:val="24"/>
          <w:szCs w:val="24"/>
        </w:rPr>
        <w:t>:</w:t>
      </w:r>
      <w:r w:rsidRPr="00007436">
        <w:rPr>
          <w:rFonts w:ascii="Book Antiqua" w:hAnsi="Book Antiqua"/>
          <w:color w:val="141314"/>
          <w:sz w:val="24"/>
          <w:szCs w:val="24"/>
        </w:rPr>
        <w:t xml:space="preserve"> </w:t>
      </w:r>
      <w:r w:rsidRPr="00007436">
        <w:rPr>
          <w:rFonts w:ascii="Book Antiqua" w:hAnsi="Book Antiqua"/>
          <w:caps/>
          <w:color w:val="141314"/>
          <w:sz w:val="24"/>
          <w:szCs w:val="24"/>
        </w:rPr>
        <w:t>c</w:t>
      </w:r>
      <w:r w:rsidRPr="00007436">
        <w:rPr>
          <w:rFonts w:ascii="Book Antiqua" w:hAnsi="Book Antiqua"/>
          <w:color w:val="141314"/>
          <w:sz w:val="24"/>
          <w:szCs w:val="24"/>
        </w:rPr>
        <w:t>linically signi</w:t>
      </w:r>
      <w:r w:rsidR="00DB73DF">
        <w:rPr>
          <w:rFonts w:ascii="Book Antiqua" w:hAnsi="Book Antiqua"/>
          <w:color w:val="141314"/>
          <w:sz w:val="24"/>
          <w:szCs w:val="24"/>
        </w:rPr>
        <w:t>ficant portal hypertension; PPV</w:t>
      </w:r>
      <w:r w:rsidR="00DB73DF">
        <w:rPr>
          <w:rFonts w:ascii="Book Antiqua" w:hAnsi="Book Antiqua" w:hint="eastAsia"/>
          <w:color w:val="141314"/>
          <w:sz w:val="24"/>
          <w:szCs w:val="24"/>
          <w:lang w:eastAsia="zh-CN"/>
        </w:rPr>
        <w:t>:</w:t>
      </w:r>
      <w:r w:rsidRPr="00007436">
        <w:rPr>
          <w:rFonts w:ascii="Book Antiqua" w:hAnsi="Book Antiqua"/>
          <w:color w:val="141314"/>
          <w:sz w:val="24"/>
          <w:szCs w:val="24"/>
        </w:rPr>
        <w:t xml:space="preserve"> positive predictive value.</w:t>
      </w:r>
      <w:r w:rsidR="002B4B93" w:rsidRPr="00007436">
        <w:rPr>
          <w:rFonts w:ascii="Book Antiqua" w:hAnsi="Book Antiqua"/>
          <w:color w:val="141314"/>
          <w:sz w:val="24"/>
          <w:szCs w:val="24"/>
        </w:rPr>
        <w:br w:type="page"/>
      </w:r>
    </w:p>
    <w:p w14:paraId="44CA83FB" w14:textId="4EB40B4E" w:rsidR="00177D21" w:rsidRPr="00AE4053" w:rsidRDefault="008F7EE1" w:rsidP="00AE4053">
      <w:pPr>
        <w:snapToGrid w:val="0"/>
        <w:spacing w:after="0" w:line="360" w:lineRule="auto"/>
        <w:jc w:val="both"/>
        <w:rPr>
          <w:rFonts w:ascii="Book Antiqua" w:hAnsi="Book Antiqua"/>
          <w:b/>
          <w:sz w:val="24"/>
          <w:szCs w:val="24"/>
        </w:rPr>
      </w:pPr>
      <w:r>
        <w:rPr>
          <w:rFonts w:ascii="Book Antiqua" w:hAnsi="Book Antiqua"/>
          <w:b/>
          <w:noProof/>
          <w:sz w:val="24"/>
          <w:szCs w:val="24"/>
          <w:lang w:eastAsia="zh-CN"/>
        </w:rPr>
        <w:lastRenderedPageBreak/>
        <w:drawing>
          <wp:inline distT="0" distB="0" distL="0" distR="0" wp14:anchorId="60DCF486" wp14:editId="712D0158">
            <wp:extent cx="3718893" cy="2977869"/>
            <wp:effectExtent l="0" t="0" r="0" b="0"/>
            <wp:docPr id="1" name="图片 1" descr="D:\WJG\编稿\WJG加工厂\2016-12-2\30111\30111-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6-12-2\30111\30111-Figure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9923" cy="2978694"/>
                    </a:xfrm>
                    <a:prstGeom prst="rect">
                      <a:avLst/>
                    </a:prstGeom>
                    <a:noFill/>
                    <a:ln>
                      <a:noFill/>
                    </a:ln>
                  </pic:spPr>
                </pic:pic>
              </a:graphicData>
            </a:graphic>
          </wp:inline>
        </w:drawing>
      </w:r>
    </w:p>
    <w:p w14:paraId="1C8BE9D7" w14:textId="00A1D509" w:rsidR="00DE19B2" w:rsidRPr="00AE4053" w:rsidRDefault="00DE19B2" w:rsidP="00AE4053">
      <w:pPr>
        <w:snapToGrid w:val="0"/>
        <w:spacing w:after="0" w:line="360" w:lineRule="auto"/>
        <w:jc w:val="both"/>
        <w:rPr>
          <w:rFonts w:ascii="Book Antiqua" w:hAnsi="Book Antiqua"/>
          <w:b/>
          <w:sz w:val="24"/>
          <w:szCs w:val="24"/>
        </w:rPr>
      </w:pPr>
      <w:r w:rsidRPr="00AE4053">
        <w:rPr>
          <w:rFonts w:ascii="Book Antiqua" w:hAnsi="Book Antiqua"/>
          <w:b/>
          <w:sz w:val="24"/>
          <w:szCs w:val="24"/>
        </w:rPr>
        <w:t>Figure 1</w:t>
      </w:r>
      <w:r w:rsidR="008F7EE1">
        <w:rPr>
          <w:rFonts w:ascii="Book Antiqua" w:hAnsi="Book Antiqua"/>
          <w:b/>
          <w:sz w:val="24"/>
          <w:szCs w:val="24"/>
        </w:rPr>
        <w:t xml:space="preserve"> </w:t>
      </w:r>
      <w:r w:rsidRPr="00AE4053">
        <w:rPr>
          <w:rFonts w:ascii="Book Antiqua" w:hAnsi="Book Antiqua"/>
          <w:b/>
          <w:sz w:val="24"/>
          <w:szCs w:val="24"/>
        </w:rPr>
        <w:t xml:space="preserve">Scatterplot of </w:t>
      </w:r>
      <w:r w:rsidR="008F7EE1" w:rsidRPr="008F7EE1">
        <w:rPr>
          <w:rFonts w:ascii="Book Antiqua" w:hAnsi="Book Antiqua"/>
          <w:b/>
          <w:sz w:val="24"/>
          <w:szCs w:val="24"/>
        </w:rPr>
        <w:t xml:space="preserve">transient </w:t>
      </w:r>
      <w:proofErr w:type="spellStart"/>
      <w:r w:rsidR="008F7EE1" w:rsidRPr="008F7EE1">
        <w:rPr>
          <w:rFonts w:ascii="Book Antiqua" w:hAnsi="Book Antiqua"/>
          <w:b/>
          <w:sz w:val="24"/>
          <w:szCs w:val="24"/>
        </w:rPr>
        <w:t>elastography</w:t>
      </w:r>
      <w:proofErr w:type="spellEnd"/>
      <w:r w:rsidRPr="00AE4053">
        <w:rPr>
          <w:rFonts w:ascii="Book Antiqua" w:hAnsi="Book Antiqua"/>
          <w:b/>
          <w:sz w:val="24"/>
          <w:szCs w:val="24"/>
        </w:rPr>
        <w:t xml:space="preserve"> and </w:t>
      </w:r>
      <w:r w:rsidR="008F7EE1" w:rsidRPr="008F7EE1">
        <w:rPr>
          <w:rFonts w:ascii="Book Antiqua" w:hAnsi="Book Antiqua"/>
          <w:b/>
          <w:sz w:val="24"/>
          <w:szCs w:val="24"/>
        </w:rPr>
        <w:t xml:space="preserve">hepatic venous pressure gradient </w:t>
      </w:r>
      <w:r w:rsidRPr="00AE4053">
        <w:rPr>
          <w:rFonts w:ascii="Book Antiqua" w:hAnsi="Book Antiqua"/>
          <w:b/>
          <w:sz w:val="24"/>
          <w:szCs w:val="24"/>
        </w:rPr>
        <w:t>values.</w:t>
      </w:r>
      <w:r w:rsidR="008F7EE1">
        <w:rPr>
          <w:rFonts w:ascii="Book Antiqua" w:hAnsi="Book Antiqua"/>
          <w:b/>
          <w:sz w:val="24"/>
          <w:szCs w:val="24"/>
        </w:rPr>
        <w:t xml:space="preserve"> </w:t>
      </w:r>
      <w:r w:rsidR="008F7EE1" w:rsidRPr="00007436">
        <w:rPr>
          <w:rFonts w:ascii="Book Antiqua" w:hAnsi="Book Antiqua"/>
          <w:color w:val="141314"/>
          <w:sz w:val="24"/>
          <w:szCs w:val="24"/>
        </w:rPr>
        <w:t>HVPG</w:t>
      </w:r>
      <w:r w:rsidR="008F7EE1">
        <w:rPr>
          <w:rFonts w:ascii="Book Antiqua" w:hAnsi="Book Antiqua"/>
          <w:color w:val="141314"/>
          <w:sz w:val="24"/>
          <w:szCs w:val="24"/>
        </w:rPr>
        <w:t>:</w:t>
      </w:r>
      <w:r w:rsidR="008F7EE1" w:rsidRPr="00007436">
        <w:rPr>
          <w:rFonts w:ascii="Book Antiqua" w:hAnsi="Book Antiqua"/>
          <w:color w:val="141314"/>
          <w:sz w:val="24"/>
          <w:szCs w:val="24"/>
        </w:rPr>
        <w:t xml:space="preserve"> </w:t>
      </w:r>
      <w:r w:rsidR="008F7EE1" w:rsidRPr="00007436">
        <w:rPr>
          <w:rFonts w:ascii="Book Antiqua" w:hAnsi="Book Antiqua"/>
          <w:caps/>
          <w:color w:val="141314"/>
          <w:sz w:val="24"/>
          <w:szCs w:val="24"/>
        </w:rPr>
        <w:t>h</w:t>
      </w:r>
      <w:r w:rsidR="008F7EE1" w:rsidRPr="00007436">
        <w:rPr>
          <w:rFonts w:ascii="Book Antiqua" w:hAnsi="Book Antiqua"/>
          <w:color w:val="141314"/>
          <w:sz w:val="24"/>
          <w:szCs w:val="24"/>
        </w:rPr>
        <w:t>epatic venous pressure gradient</w:t>
      </w:r>
      <w:r w:rsidR="008F7EE1">
        <w:rPr>
          <w:rFonts w:ascii="Book Antiqua" w:hAnsi="Book Antiqua"/>
          <w:color w:val="141314"/>
          <w:sz w:val="24"/>
          <w:szCs w:val="24"/>
        </w:rPr>
        <w:t>.</w:t>
      </w:r>
    </w:p>
    <w:p w14:paraId="14A63791" w14:textId="3BBDA6AA" w:rsidR="00DE19B2" w:rsidRPr="00AE4053" w:rsidRDefault="00DE19B2" w:rsidP="00AE4053">
      <w:pPr>
        <w:snapToGrid w:val="0"/>
        <w:spacing w:after="0" w:line="360" w:lineRule="auto"/>
        <w:jc w:val="both"/>
        <w:rPr>
          <w:rFonts w:ascii="Book Antiqua" w:hAnsi="Book Antiqua"/>
          <w:b/>
          <w:sz w:val="24"/>
          <w:szCs w:val="24"/>
        </w:rPr>
      </w:pPr>
    </w:p>
    <w:p w14:paraId="53C57D9A" w14:textId="77777777" w:rsidR="008F7EE1" w:rsidRDefault="008F7EE1">
      <w:pPr>
        <w:rPr>
          <w:rFonts w:ascii="Book Antiqua" w:hAnsi="Book Antiqua"/>
          <w:b/>
          <w:sz w:val="24"/>
          <w:szCs w:val="24"/>
        </w:rPr>
      </w:pPr>
      <w:r>
        <w:rPr>
          <w:rFonts w:ascii="Book Antiqua" w:hAnsi="Book Antiqua"/>
          <w:b/>
          <w:sz w:val="24"/>
          <w:szCs w:val="24"/>
        </w:rPr>
        <w:br w:type="page"/>
      </w:r>
    </w:p>
    <w:p w14:paraId="524343DA" w14:textId="77777777" w:rsidR="0055128F" w:rsidRDefault="0055128F" w:rsidP="00AE4053">
      <w:pPr>
        <w:snapToGrid w:val="0"/>
        <w:spacing w:after="0" w:line="360" w:lineRule="auto"/>
        <w:jc w:val="both"/>
        <w:rPr>
          <w:rFonts w:ascii="Book Antiqua" w:hAnsi="Book Antiqua"/>
          <w:b/>
          <w:sz w:val="24"/>
          <w:szCs w:val="24"/>
        </w:rPr>
      </w:pPr>
      <w:r>
        <w:rPr>
          <w:rFonts w:ascii="Book Antiqua" w:hAnsi="Book Antiqua"/>
          <w:b/>
          <w:noProof/>
          <w:sz w:val="24"/>
          <w:szCs w:val="24"/>
          <w:lang w:eastAsia="zh-CN"/>
        </w:rPr>
        <w:lastRenderedPageBreak/>
        <w:drawing>
          <wp:inline distT="0" distB="0" distL="0" distR="0" wp14:anchorId="68EB5DEA" wp14:editId="2E973751">
            <wp:extent cx="3769419" cy="3018329"/>
            <wp:effectExtent l="0" t="0" r="2540" b="0"/>
            <wp:docPr id="2" name="图片 2" descr="D:\WJG\编稿\WJG加工厂\2016-12-2\30111\30111-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编稿\WJG加工厂\2016-12-2\30111\30111-Figure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2850" cy="3021077"/>
                    </a:xfrm>
                    <a:prstGeom prst="rect">
                      <a:avLst/>
                    </a:prstGeom>
                    <a:noFill/>
                    <a:ln>
                      <a:noFill/>
                    </a:ln>
                  </pic:spPr>
                </pic:pic>
              </a:graphicData>
            </a:graphic>
          </wp:inline>
        </w:drawing>
      </w:r>
      <w:r w:rsidRPr="0055128F">
        <w:rPr>
          <w:rFonts w:ascii="Book Antiqua" w:hAnsi="Book Antiqua"/>
          <w:b/>
          <w:sz w:val="24"/>
          <w:szCs w:val="24"/>
        </w:rPr>
        <w:t xml:space="preserve"> </w:t>
      </w:r>
    </w:p>
    <w:p w14:paraId="63A36EB2" w14:textId="207C8839" w:rsidR="00FD2C56" w:rsidRPr="00AE4053" w:rsidRDefault="00FD2C56" w:rsidP="00AE4053">
      <w:pPr>
        <w:snapToGrid w:val="0"/>
        <w:spacing w:after="0" w:line="360" w:lineRule="auto"/>
        <w:jc w:val="both"/>
        <w:rPr>
          <w:rFonts w:ascii="Book Antiqua" w:hAnsi="Book Antiqua"/>
          <w:b/>
          <w:sz w:val="24"/>
          <w:szCs w:val="24"/>
        </w:rPr>
      </w:pPr>
      <w:r w:rsidRPr="00AE4053">
        <w:rPr>
          <w:rFonts w:ascii="Book Antiqua" w:hAnsi="Book Antiqua"/>
          <w:b/>
          <w:sz w:val="24"/>
          <w:szCs w:val="24"/>
        </w:rPr>
        <w:t>Figure 2</w:t>
      </w:r>
      <w:r w:rsidR="00D52684">
        <w:rPr>
          <w:rFonts w:ascii="Book Antiqua" w:hAnsi="Book Antiqua"/>
          <w:b/>
          <w:sz w:val="24"/>
          <w:szCs w:val="24"/>
        </w:rPr>
        <w:t xml:space="preserve"> </w:t>
      </w:r>
      <w:r w:rsidRPr="00AE4053">
        <w:rPr>
          <w:rFonts w:ascii="Book Antiqua" w:hAnsi="Book Antiqua"/>
          <w:b/>
          <w:sz w:val="24"/>
          <w:szCs w:val="24"/>
        </w:rPr>
        <w:t xml:space="preserve">Median </w:t>
      </w:r>
      <w:r w:rsidR="0055128F" w:rsidRPr="008F7EE1">
        <w:rPr>
          <w:rFonts w:ascii="Book Antiqua" w:hAnsi="Book Antiqua"/>
          <w:b/>
          <w:sz w:val="24"/>
          <w:szCs w:val="24"/>
        </w:rPr>
        <w:t xml:space="preserve">transient </w:t>
      </w:r>
      <w:proofErr w:type="spellStart"/>
      <w:r w:rsidR="0055128F" w:rsidRPr="008F7EE1">
        <w:rPr>
          <w:rFonts w:ascii="Book Antiqua" w:hAnsi="Book Antiqua"/>
          <w:b/>
          <w:sz w:val="24"/>
          <w:szCs w:val="24"/>
        </w:rPr>
        <w:t>elastography</w:t>
      </w:r>
      <w:proofErr w:type="spellEnd"/>
      <w:r w:rsidR="0055128F">
        <w:rPr>
          <w:rFonts w:ascii="Book Antiqua" w:hAnsi="Book Antiqua"/>
          <w:b/>
          <w:sz w:val="24"/>
          <w:szCs w:val="24"/>
        </w:rPr>
        <w:t xml:space="preserve"> </w:t>
      </w:r>
      <w:r w:rsidRPr="00AE4053">
        <w:rPr>
          <w:rFonts w:ascii="Book Antiqua" w:hAnsi="Book Antiqua"/>
          <w:b/>
          <w:sz w:val="24"/>
          <w:szCs w:val="24"/>
        </w:rPr>
        <w:t>values in patients with various stages of portal hypertension.</w:t>
      </w:r>
      <w:r w:rsidR="0055128F">
        <w:rPr>
          <w:rFonts w:ascii="Book Antiqua" w:hAnsi="Book Antiqua"/>
          <w:b/>
          <w:sz w:val="24"/>
          <w:szCs w:val="24"/>
        </w:rPr>
        <w:t xml:space="preserve"> </w:t>
      </w:r>
      <w:r w:rsidR="0055128F" w:rsidRPr="00007436">
        <w:rPr>
          <w:rFonts w:ascii="Book Antiqua" w:hAnsi="Book Antiqua"/>
          <w:color w:val="141314"/>
          <w:sz w:val="24"/>
          <w:szCs w:val="24"/>
        </w:rPr>
        <w:t>HVPG</w:t>
      </w:r>
      <w:r w:rsidR="0055128F">
        <w:rPr>
          <w:rFonts w:ascii="Book Antiqua" w:hAnsi="Book Antiqua"/>
          <w:color w:val="141314"/>
          <w:sz w:val="24"/>
          <w:szCs w:val="24"/>
        </w:rPr>
        <w:t>:</w:t>
      </w:r>
      <w:r w:rsidR="0055128F" w:rsidRPr="00007436">
        <w:rPr>
          <w:rFonts w:ascii="Book Antiqua" w:hAnsi="Book Antiqua"/>
          <w:color w:val="141314"/>
          <w:sz w:val="24"/>
          <w:szCs w:val="24"/>
        </w:rPr>
        <w:t xml:space="preserve"> </w:t>
      </w:r>
      <w:r w:rsidR="0055128F" w:rsidRPr="00007436">
        <w:rPr>
          <w:rFonts w:ascii="Book Antiqua" w:hAnsi="Book Antiqua"/>
          <w:caps/>
          <w:color w:val="141314"/>
          <w:sz w:val="24"/>
          <w:szCs w:val="24"/>
        </w:rPr>
        <w:t>h</w:t>
      </w:r>
      <w:r w:rsidR="0055128F" w:rsidRPr="00007436">
        <w:rPr>
          <w:rFonts w:ascii="Book Antiqua" w:hAnsi="Book Antiqua"/>
          <w:color w:val="141314"/>
          <w:sz w:val="24"/>
          <w:szCs w:val="24"/>
        </w:rPr>
        <w:t>epatic venous pressure gradient</w:t>
      </w:r>
      <w:r w:rsidR="0055128F">
        <w:rPr>
          <w:rFonts w:ascii="Book Antiqua" w:hAnsi="Book Antiqua"/>
          <w:color w:val="141314"/>
          <w:sz w:val="24"/>
          <w:szCs w:val="24"/>
        </w:rPr>
        <w:t>.</w:t>
      </w:r>
    </w:p>
    <w:p w14:paraId="72BDA6FF" w14:textId="77777777" w:rsidR="002835F9" w:rsidRPr="00AE4053" w:rsidRDefault="002835F9" w:rsidP="00AE4053">
      <w:pPr>
        <w:snapToGrid w:val="0"/>
        <w:spacing w:after="0" w:line="360" w:lineRule="auto"/>
        <w:jc w:val="both"/>
        <w:rPr>
          <w:rFonts w:ascii="Book Antiqua" w:hAnsi="Book Antiqua"/>
          <w:b/>
          <w:sz w:val="24"/>
          <w:szCs w:val="24"/>
        </w:rPr>
      </w:pPr>
    </w:p>
    <w:p w14:paraId="268E140E" w14:textId="77777777" w:rsidR="0055128F" w:rsidRDefault="0055128F">
      <w:pPr>
        <w:rPr>
          <w:rFonts w:ascii="Book Antiqua" w:hAnsi="Book Antiqua"/>
          <w:b/>
          <w:sz w:val="24"/>
          <w:szCs w:val="24"/>
        </w:rPr>
      </w:pPr>
      <w:r>
        <w:rPr>
          <w:rFonts w:ascii="Book Antiqua" w:hAnsi="Book Antiqua"/>
          <w:b/>
          <w:sz w:val="24"/>
          <w:szCs w:val="24"/>
        </w:rPr>
        <w:br w:type="page"/>
      </w:r>
    </w:p>
    <w:p w14:paraId="33A42B76" w14:textId="3880D4CC" w:rsidR="0055128F" w:rsidRDefault="0055128F" w:rsidP="00AE4053">
      <w:pPr>
        <w:snapToGrid w:val="0"/>
        <w:spacing w:after="0" w:line="360" w:lineRule="auto"/>
        <w:jc w:val="both"/>
        <w:rPr>
          <w:rFonts w:ascii="Book Antiqua" w:hAnsi="Book Antiqua"/>
          <w:b/>
          <w:sz w:val="24"/>
          <w:szCs w:val="24"/>
        </w:rPr>
      </w:pPr>
      <w:r>
        <w:rPr>
          <w:rFonts w:ascii="Book Antiqua" w:hAnsi="Book Antiqua"/>
          <w:b/>
          <w:noProof/>
          <w:sz w:val="24"/>
          <w:szCs w:val="24"/>
          <w:lang w:eastAsia="zh-CN"/>
        </w:rPr>
        <w:lastRenderedPageBreak/>
        <w:drawing>
          <wp:inline distT="0" distB="0" distL="0" distR="0" wp14:anchorId="717DC9BA" wp14:editId="15AF2C13">
            <wp:extent cx="4537955" cy="3633324"/>
            <wp:effectExtent l="0" t="0" r="0" b="5715"/>
            <wp:docPr id="3" name="图片 3" descr="D:\WJG\编稿\WJG加工厂\2016-12-2\30111\30111-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JG\编稿\WJG加工厂\2016-12-2\30111\30111-Figure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8710" cy="3633928"/>
                    </a:xfrm>
                    <a:prstGeom prst="rect">
                      <a:avLst/>
                    </a:prstGeom>
                    <a:noFill/>
                    <a:ln>
                      <a:noFill/>
                    </a:ln>
                  </pic:spPr>
                </pic:pic>
              </a:graphicData>
            </a:graphic>
          </wp:inline>
        </w:drawing>
      </w:r>
    </w:p>
    <w:p w14:paraId="3FFE40D4" w14:textId="0D2DE33C" w:rsidR="00D04BF2" w:rsidRPr="00AE4053" w:rsidRDefault="003D72AB" w:rsidP="00AE4053">
      <w:pPr>
        <w:snapToGrid w:val="0"/>
        <w:spacing w:after="0" w:line="360" w:lineRule="auto"/>
        <w:jc w:val="both"/>
        <w:rPr>
          <w:rFonts w:ascii="Book Antiqua" w:hAnsi="Book Antiqua"/>
          <w:b/>
          <w:sz w:val="24"/>
          <w:szCs w:val="24"/>
        </w:rPr>
      </w:pPr>
      <w:r w:rsidRPr="00AE4053">
        <w:rPr>
          <w:rFonts w:ascii="Book Antiqua" w:hAnsi="Book Antiqua"/>
          <w:b/>
          <w:sz w:val="24"/>
          <w:szCs w:val="24"/>
        </w:rPr>
        <w:t xml:space="preserve">Figure </w:t>
      </w:r>
      <w:r w:rsidR="00FD2C56" w:rsidRPr="00AE4053">
        <w:rPr>
          <w:rFonts w:ascii="Book Antiqua" w:hAnsi="Book Antiqua"/>
          <w:b/>
          <w:sz w:val="24"/>
          <w:szCs w:val="24"/>
        </w:rPr>
        <w:t>3</w:t>
      </w:r>
      <w:r w:rsidR="0055128F">
        <w:rPr>
          <w:rFonts w:ascii="Book Antiqua" w:hAnsi="Book Antiqua"/>
          <w:b/>
          <w:sz w:val="24"/>
          <w:szCs w:val="24"/>
        </w:rPr>
        <w:t xml:space="preserve"> </w:t>
      </w:r>
      <w:r w:rsidR="0055128F" w:rsidRPr="0055128F">
        <w:rPr>
          <w:rFonts w:ascii="Book Antiqua" w:hAnsi="Book Antiqua"/>
          <w:b/>
          <w:sz w:val="24"/>
          <w:szCs w:val="24"/>
        </w:rPr>
        <w:t>Receiver operating characteristic</w:t>
      </w:r>
      <w:r w:rsidR="0055128F">
        <w:rPr>
          <w:rFonts w:ascii="Book Antiqua" w:hAnsi="Book Antiqua"/>
          <w:b/>
          <w:sz w:val="24"/>
          <w:szCs w:val="24"/>
        </w:rPr>
        <w:t xml:space="preserve"> </w:t>
      </w:r>
      <w:r w:rsidRPr="00AE4053">
        <w:rPr>
          <w:rFonts w:ascii="Book Antiqua" w:hAnsi="Book Antiqua"/>
          <w:b/>
          <w:sz w:val="24"/>
          <w:szCs w:val="24"/>
        </w:rPr>
        <w:t xml:space="preserve">curves </w:t>
      </w:r>
      <w:r w:rsidR="00BF6C8D" w:rsidRPr="00AE4053">
        <w:rPr>
          <w:rFonts w:ascii="Book Antiqua" w:hAnsi="Book Antiqua"/>
          <w:b/>
          <w:sz w:val="24"/>
          <w:szCs w:val="24"/>
        </w:rPr>
        <w:t xml:space="preserve">of </w:t>
      </w:r>
      <w:r w:rsidR="0055128F" w:rsidRPr="008F7EE1">
        <w:rPr>
          <w:rFonts w:ascii="Book Antiqua" w:hAnsi="Book Antiqua"/>
          <w:b/>
          <w:sz w:val="24"/>
          <w:szCs w:val="24"/>
        </w:rPr>
        <w:t xml:space="preserve">transient </w:t>
      </w:r>
      <w:proofErr w:type="spellStart"/>
      <w:r w:rsidR="0055128F" w:rsidRPr="008F7EE1">
        <w:rPr>
          <w:rFonts w:ascii="Book Antiqua" w:hAnsi="Book Antiqua"/>
          <w:b/>
          <w:sz w:val="24"/>
          <w:szCs w:val="24"/>
        </w:rPr>
        <w:t>elastography</w:t>
      </w:r>
      <w:proofErr w:type="spellEnd"/>
      <w:r w:rsidR="00BF6C8D" w:rsidRPr="00AE4053">
        <w:rPr>
          <w:rFonts w:ascii="Book Antiqua" w:hAnsi="Book Antiqua"/>
          <w:b/>
          <w:sz w:val="24"/>
          <w:szCs w:val="24"/>
        </w:rPr>
        <w:t xml:space="preserve"> for predicting various stages of portal hypertension.</w:t>
      </w:r>
      <w:r w:rsidR="0055128F">
        <w:rPr>
          <w:rFonts w:ascii="Book Antiqua" w:hAnsi="Book Antiqua"/>
          <w:b/>
          <w:sz w:val="24"/>
          <w:szCs w:val="24"/>
        </w:rPr>
        <w:t xml:space="preserve"> </w:t>
      </w:r>
      <w:r w:rsidR="0055128F" w:rsidRPr="00007436">
        <w:rPr>
          <w:rFonts w:ascii="Book Antiqua" w:hAnsi="Book Antiqua"/>
          <w:color w:val="141314"/>
          <w:sz w:val="24"/>
          <w:szCs w:val="24"/>
        </w:rPr>
        <w:t>HVPG</w:t>
      </w:r>
      <w:r w:rsidR="0055128F">
        <w:rPr>
          <w:rFonts w:ascii="Book Antiqua" w:hAnsi="Book Antiqua"/>
          <w:color w:val="141314"/>
          <w:sz w:val="24"/>
          <w:szCs w:val="24"/>
        </w:rPr>
        <w:t>:</w:t>
      </w:r>
      <w:r w:rsidR="0055128F" w:rsidRPr="00007436">
        <w:rPr>
          <w:rFonts w:ascii="Book Antiqua" w:hAnsi="Book Antiqua"/>
          <w:color w:val="141314"/>
          <w:sz w:val="24"/>
          <w:szCs w:val="24"/>
        </w:rPr>
        <w:t xml:space="preserve"> </w:t>
      </w:r>
      <w:r w:rsidR="0055128F" w:rsidRPr="00007436">
        <w:rPr>
          <w:rFonts w:ascii="Book Antiqua" w:hAnsi="Book Antiqua"/>
          <w:caps/>
          <w:color w:val="141314"/>
          <w:sz w:val="24"/>
          <w:szCs w:val="24"/>
        </w:rPr>
        <w:t>h</w:t>
      </w:r>
      <w:r w:rsidR="0055128F" w:rsidRPr="00007436">
        <w:rPr>
          <w:rFonts w:ascii="Book Antiqua" w:hAnsi="Book Antiqua"/>
          <w:color w:val="141314"/>
          <w:sz w:val="24"/>
          <w:szCs w:val="24"/>
        </w:rPr>
        <w:t>epatic venous pressure gradient</w:t>
      </w:r>
      <w:r w:rsidR="0055128F">
        <w:rPr>
          <w:rFonts w:ascii="Book Antiqua" w:hAnsi="Book Antiqua"/>
          <w:color w:val="141314"/>
          <w:sz w:val="24"/>
          <w:szCs w:val="24"/>
        </w:rPr>
        <w:t>.</w:t>
      </w:r>
    </w:p>
    <w:p w14:paraId="6AFD8EF9" w14:textId="77777777" w:rsidR="0055128F" w:rsidRDefault="0055128F">
      <w:pPr>
        <w:rPr>
          <w:rFonts w:ascii="Book Antiqua" w:hAnsi="Book Antiqua"/>
          <w:b/>
          <w:sz w:val="24"/>
          <w:szCs w:val="24"/>
        </w:rPr>
      </w:pPr>
      <w:r>
        <w:rPr>
          <w:rFonts w:ascii="Book Antiqua" w:hAnsi="Book Antiqua"/>
          <w:b/>
          <w:sz w:val="24"/>
          <w:szCs w:val="24"/>
        </w:rPr>
        <w:br w:type="page"/>
      </w:r>
    </w:p>
    <w:p w14:paraId="1C62C7CB" w14:textId="40167EF8" w:rsidR="0055128F" w:rsidRDefault="0055128F" w:rsidP="00AE4053">
      <w:pPr>
        <w:snapToGrid w:val="0"/>
        <w:spacing w:after="0" w:line="360" w:lineRule="auto"/>
        <w:jc w:val="both"/>
        <w:rPr>
          <w:rFonts w:ascii="Book Antiqua" w:hAnsi="Book Antiqua"/>
          <w:b/>
          <w:sz w:val="24"/>
          <w:szCs w:val="24"/>
        </w:rPr>
      </w:pPr>
      <w:r>
        <w:rPr>
          <w:rFonts w:ascii="Book Antiqua" w:hAnsi="Book Antiqua"/>
          <w:b/>
          <w:noProof/>
          <w:sz w:val="24"/>
          <w:szCs w:val="24"/>
          <w:lang w:eastAsia="zh-CN"/>
        </w:rPr>
        <w:lastRenderedPageBreak/>
        <w:drawing>
          <wp:inline distT="0" distB="0" distL="0" distR="0" wp14:anchorId="71F251D8" wp14:editId="58FD6C3A">
            <wp:extent cx="3592864" cy="2876954"/>
            <wp:effectExtent l="0" t="0" r="7620" b="0"/>
            <wp:docPr id="4" name="图片 4" descr="D:\WJG\编稿\WJG加工厂\2016-12-2\30111\30111-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JG\编稿\WJG加工厂\2016-12-2\30111\30111-Figure 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3859" cy="2877751"/>
                    </a:xfrm>
                    <a:prstGeom prst="rect">
                      <a:avLst/>
                    </a:prstGeom>
                    <a:noFill/>
                    <a:ln>
                      <a:noFill/>
                    </a:ln>
                  </pic:spPr>
                </pic:pic>
              </a:graphicData>
            </a:graphic>
          </wp:inline>
        </w:drawing>
      </w:r>
    </w:p>
    <w:p w14:paraId="29FCE96C" w14:textId="6B0E24AE" w:rsidR="0055128F" w:rsidRPr="00AE4053" w:rsidRDefault="00D04BF2" w:rsidP="0055128F">
      <w:pPr>
        <w:snapToGrid w:val="0"/>
        <w:spacing w:after="0" w:line="360" w:lineRule="auto"/>
        <w:jc w:val="both"/>
        <w:rPr>
          <w:rFonts w:ascii="Book Antiqua" w:hAnsi="Book Antiqua"/>
          <w:b/>
          <w:sz w:val="24"/>
          <w:szCs w:val="24"/>
        </w:rPr>
      </w:pPr>
      <w:r w:rsidRPr="00AE4053">
        <w:rPr>
          <w:rFonts w:ascii="Book Antiqua" w:hAnsi="Book Antiqua"/>
          <w:b/>
          <w:sz w:val="24"/>
          <w:szCs w:val="24"/>
        </w:rPr>
        <w:t>Figure 4</w:t>
      </w:r>
      <w:r w:rsidR="0055128F">
        <w:rPr>
          <w:rFonts w:ascii="Book Antiqua" w:hAnsi="Book Antiqua"/>
          <w:b/>
          <w:sz w:val="24"/>
          <w:szCs w:val="24"/>
        </w:rPr>
        <w:t xml:space="preserve"> </w:t>
      </w:r>
      <w:r w:rsidRPr="00AE4053">
        <w:rPr>
          <w:rFonts w:ascii="Book Antiqua" w:hAnsi="Book Antiqua"/>
          <w:b/>
          <w:sz w:val="24"/>
          <w:szCs w:val="24"/>
        </w:rPr>
        <w:t xml:space="preserve">Median </w:t>
      </w:r>
      <w:r w:rsidR="0055128F" w:rsidRPr="0055128F">
        <w:rPr>
          <w:rFonts w:ascii="Book Antiqua" w:hAnsi="Book Antiqua"/>
          <w:b/>
          <w:sz w:val="24"/>
          <w:szCs w:val="24"/>
        </w:rPr>
        <w:t>hepatic venous pressure gradient</w:t>
      </w:r>
      <w:r w:rsidRPr="00AE4053">
        <w:rPr>
          <w:rFonts w:ascii="Book Antiqua" w:hAnsi="Book Antiqua"/>
          <w:b/>
          <w:sz w:val="24"/>
          <w:szCs w:val="24"/>
        </w:rPr>
        <w:t xml:space="preserve"> values </w:t>
      </w:r>
      <w:r w:rsidR="00C059EB" w:rsidRPr="00AE4053">
        <w:rPr>
          <w:rFonts w:ascii="Book Antiqua" w:hAnsi="Book Antiqua"/>
          <w:b/>
          <w:sz w:val="24"/>
          <w:szCs w:val="24"/>
        </w:rPr>
        <w:t xml:space="preserve">in patients with </w:t>
      </w:r>
      <w:r w:rsidR="0055128F" w:rsidRPr="008F7EE1">
        <w:rPr>
          <w:rFonts w:ascii="Book Antiqua" w:hAnsi="Book Antiqua"/>
          <w:b/>
          <w:sz w:val="24"/>
          <w:szCs w:val="24"/>
        </w:rPr>
        <w:t xml:space="preserve">transient </w:t>
      </w:r>
      <w:proofErr w:type="spellStart"/>
      <w:r w:rsidR="0055128F" w:rsidRPr="008F7EE1">
        <w:rPr>
          <w:rFonts w:ascii="Book Antiqua" w:hAnsi="Book Antiqua"/>
          <w:b/>
          <w:sz w:val="24"/>
          <w:szCs w:val="24"/>
        </w:rPr>
        <w:t>elastography</w:t>
      </w:r>
      <w:proofErr w:type="spellEnd"/>
      <w:r w:rsidR="0055128F">
        <w:rPr>
          <w:rFonts w:ascii="Book Antiqua" w:hAnsi="Book Antiqua"/>
          <w:b/>
          <w:sz w:val="24"/>
          <w:szCs w:val="24"/>
        </w:rPr>
        <w:t xml:space="preserve"> </w:t>
      </w:r>
      <w:r w:rsidR="00C059EB" w:rsidRPr="00AE4053">
        <w:rPr>
          <w:rFonts w:ascii="Book Antiqua" w:hAnsi="Book Antiqua"/>
          <w:b/>
          <w:sz w:val="24"/>
          <w:szCs w:val="24"/>
        </w:rPr>
        <w:t xml:space="preserve">values </w:t>
      </w:r>
      <w:r w:rsidR="00E72F9A" w:rsidRPr="00AE4053">
        <w:rPr>
          <w:rFonts w:ascii="Book Antiqua" w:hAnsi="Book Antiqua"/>
          <w:b/>
          <w:sz w:val="24"/>
          <w:szCs w:val="24"/>
        </w:rPr>
        <w:t xml:space="preserve">less than </w:t>
      </w:r>
      <w:r w:rsidR="00C059EB" w:rsidRPr="00AE4053">
        <w:rPr>
          <w:rFonts w:ascii="Book Antiqua" w:hAnsi="Book Antiqua"/>
          <w:b/>
          <w:sz w:val="24"/>
          <w:szCs w:val="24"/>
        </w:rPr>
        <w:t xml:space="preserve">and </w:t>
      </w:r>
      <w:r w:rsidR="00E72F9A" w:rsidRPr="00AE4053">
        <w:rPr>
          <w:rFonts w:ascii="Book Antiqua" w:hAnsi="Book Antiqua"/>
          <w:b/>
          <w:sz w:val="24"/>
          <w:szCs w:val="24"/>
        </w:rPr>
        <w:t xml:space="preserve">greater than </w:t>
      </w:r>
      <w:r w:rsidR="00C059EB" w:rsidRPr="00AE4053">
        <w:rPr>
          <w:rFonts w:ascii="Book Antiqua" w:hAnsi="Book Antiqua"/>
          <w:b/>
          <w:sz w:val="24"/>
          <w:szCs w:val="24"/>
        </w:rPr>
        <w:t xml:space="preserve">21.6 </w:t>
      </w:r>
      <w:proofErr w:type="spellStart"/>
      <w:r w:rsidR="00C059EB" w:rsidRPr="00AE4053">
        <w:rPr>
          <w:rFonts w:ascii="Book Antiqua" w:hAnsi="Book Antiqua"/>
          <w:b/>
          <w:sz w:val="24"/>
          <w:szCs w:val="24"/>
        </w:rPr>
        <w:t>kPa</w:t>
      </w:r>
      <w:proofErr w:type="spellEnd"/>
      <w:r w:rsidR="00C059EB" w:rsidRPr="00AE4053">
        <w:rPr>
          <w:rFonts w:ascii="Book Antiqua" w:hAnsi="Book Antiqua"/>
          <w:b/>
          <w:sz w:val="24"/>
          <w:szCs w:val="24"/>
        </w:rPr>
        <w:t>.</w:t>
      </w:r>
      <w:r w:rsidR="0055128F">
        <w:rPr>
          <w:rFonts w:ascii="Book Antiqua" w:hAnsi="Book Antiqua"/>
          <w:b/>
          <w:sz w:val="24"/>
          <w:szCs w:val="24"/>
        </w:rPr>
        <w:t xml:space="preserve"> </w:t>
      </w:r>
      <w:r w:rsidR="0055128F" w:rsidRPr="00007436">
        <w:rPr>
          <w:rFonts w:ascii="Book Antiqua" w:hAnsi="Book Antiqua"/>
          <w:color w:val="141314"/>
          <w:sz w:val="24"/>
          <w:szCs w:val="24"/>
        </w:rPr>
        <w:t>HVPG</w:t>
      </w:r>
      <w:r w:rsidR="0055128F">
        <w:rPr>
          <w:rFonts w:ascii="Book Antiqua" w:hAnsi="Book Antiqua"/>
          <w:color w:val="141314"/>
          <w:sz w:val="24"/>
          <w:szCs w:val="24"/>
        </w:rPr>
        <w:t>:</w:t>
      </w:r>
      <w:r w:rsidR="0055128F" w:rsidRPr="00007436">
        <w:rPr>
          <w:rFonts w:ascii="Book Antiqua" w:hAnsi="Book Antiqua"/>
          <w:color w:val="141314"/>
          <w:sz w:val="24"/>
          <w:szCs w:val="24"/>
        </w:rPr>
        <w:t xml:space="preserve"> </w:t>
      </w:r>
      <w:r w:rsidR="0055128F" w:rsidRPr="00007436">
        <w:rPr>
          <w:rFonts w:ascii="Book Antiqua" w:hAnsi="Book Antiqua"/>
          <w:caps/>
          <w:color w:val="141314"/>
          <w:sz w:val="24"/>
          <w:szCs w:val="24"/>
        </w:rPr>
        <w:t>h</w:t>
      </w:r>
      <w:r w:rsidR="0055128F" w:rsidRPr="00007436">
        <w:rPr>
          <w:rFonts w:ascii="Book Antiqua" w:hAnsi="Book Antiqua"/>
          <w:color w:val="141314"/>
          <w:sz w:val="24"/>
          <w:szCs w:val="24"/>
        </w:rPr>
        <w:t>epatic venous pressure gradient</w:t>
      </w:r>
      <w:r w:rsidR="0055128F">
        <w:rPr>
          <w:rFonts w:ascii="Book Antiqua" w:hAnsi="Book Antiqua"/>
          <w:color w:val="141314"/>
          <w:sz w:val="24"/>
          <w:szCs w:val="24"/>
        </w:rPr>
        <w:t>.</w:t>
      </w:r>
    </w:p>
    <w:p w14:paraId="7A5DEE88" w14:textId="59B51E6F" w:rsidR="00C059EB" w:rsidRPr="002D59BC" w:rsidRDefault="00C059EB" w:rsidP="00AE4053">
      <w:pPr>
        <w:snapToGrid w:val="0"/>
        <w:spacing w:after="0" w:line="360" w:lineRule="auto"/>
        <w:jc w:val="both"/>
        <w:rPr>
          <w:rFonts w:ascii="Book Antiqua" w:hAnsi="Book Antiqua"/>
          <w:b/>
          <w:sz w:val="24"/>
          <w:szCs w:val="24"/>
        </w:rPr>
      </w:pPr>
    </w:p>
    <w:sectPr w:rsidR="00C059EB" w:rsidRPr="002D59BC" w:rsidSect="007E13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97C33" w14:textId="77777777" w:rsidR="00471F90" w:rsidRDefault="00471F90" w:rsidP="000A4F21">
      <w:pPr>
        <w:spacing w:after="0" w:line="240" w:lineRule="auto"/>
      </w:pPr>
      <w:r>
        <w:separator/>
      </w:r>
    </w:p>
  </w:endnote>
  <w:endnote w:type="continuationSeparator" w:id="0">
    <w:p w14:paraId="01BDBA0C" w14:textId="77777777" w:rsidR="00471F90" w:rsidRDefault="00471F90" w:rsidP="000A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EB2B0" w14:textId="77777777" w:rsidR="00471F90" w:rsidRDefault="00471F90" w:rsidP="000A4F21">
      <w:pPr>
        <w:spacing w:after="0" w:line="240" w:lineRule="auto"/>
      </w:pPr>
      <w:r>
        <w:separator/>
      </w:r>
    </w:p>
  </w:footnote>
  <w:footnote w:type="continuationSeparator" w:id="0">
    <w:p w14:paraId="14EBB32B" w14:textId="77777777" w:rsidR="00471F90" w:rsidRDefault="00471F90" w:rsidP="000A4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56D"/>
    <w:multiLevelType w:val="hybridMultilevel"/>
    <w:tmpl w:val="0C00A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D4D5A"/>
    <w:multiLevelType w:val="hybridMultilevel"/>
    <w:tmpl w:val="6E76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A5992"/>
    <w:multiLevelType w:val="hybridMultilevel"/>
    <w:tmpl w:val="01D4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E3171"/>
    <w:multiLevelType w:val="hybridMultilevel"/>
    <w:tmpl w:val="76ECC6BE"/>
    <w:lvl w:ilvl="0" w:tplc="2072FC44">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4A919EF"/>
    <w:multiLevelType w:val="hybridMultilevel"/>
    <w:tmpl w:val="BBD216C8"/>
    <w:lvl w:ilvl="0" w:tplc="36886F40">
      <w:start w:val="1"/>
      <w:numFmt w:val="decimal"/>
      <w:lvlText w:val="%1."/>
      <w:lvlJc w:val="left"/>
      <w:pPr>
        <w:ind w:left="720" w:hanging="360"/>
      </w:pPr>
      <w:rPr>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72"/>
    <w:rsid w:val="00001456"/>
    <w:rsid w:val="00001A41"/>
    <w:rsid w:val="00004B0A"/>
    <w:rsid w:val="00007436"/>
    <w:rsid w:val="000075FB"/>
    <w:rsid w:val="0000763E"/>
    <w:rsid w:val="00015A0F"/>
    <w:rsid w:val="00016D65"/>
    <w:rsid w:val="00017A16"/>
    <w:rsid w:val="00023DE9"/>
    <w:rsid w:val="0002413C"/>
    <w:rsid w:val="00025E71"/>
    <w:rsid w:val="00027865"/>
    <w:rsid w:val="00031D63"/>
    <w:rsid w:val="00033515"/>
    <w:rsid w:val="00037AA8"/>
    <w:rsid w:val="00040067"/>
    <w:rsid w:val="000452F7"/>
    <w:rsid w:val="000455FE"/>
    <w:rsid w:val="00047192"/>
    <w:rsid w:val="00047FE1"/>
    <w:rsid w:val="00050DB0"/>
    <w:rsid w:val="00051224"/>
    <w:rsid w:val="00053998"/>
    <w:rsid w:val="00061D48"/>
    <w:rsid w:val="000634EC"/>
    <w:rsid w:val="00076A9B"/>
    <w:rsid w:val="00090E53"/>
    <w:rsid w:val="0009441A"/>
    <w:rsid w:val="00096F79"/>
    <w:rsid w:val="000A0708"/>
    <w:rsid w:val="000A17F4"/>
    <w:rsid w:val="000A2F22"/>
    <w:rsid w:val="000A3D19"/>
    <w:rsid w:val="000A3D26"/>
    <w:rsid w:val="000A3E26"/>
    <w:rsid w:val="000A4F21"/>
    <w:rsid w:val="000B1AD8"/>
    <w:rsid w:val="000B5CC6"/>
    <w:rsid w:val="000B5E74"/>
    <w:rsid w:val="000C1030"/>
    <w:rsid w:val="000C2B90"/>
    <w:rsid w:val="000C63DA"/>
    <w:rsid w:val="000D0047"/>
    <w:rsid w:val="000D7F89"/>
    <w:rsid w:val="000E299E"/>
    <w:rsid w:val="000E50A1"/>
    <w:rsid w:val="000E51C8"/>
    <w:rsid w:val="000F0267"/>
    <w:rsid w:val="000F12B1"/>
    <w:rsid w:val="000F27BD"/>
    <w:rsid w:val="000F4730"/>
    <w:rsid w:val="000F4A07"/>
    <w:rsid w:val="000F786F"/>
    <w:rsid w:val="00106CD9"/>
    <w:rsid w:val="0011288D"/>
    <w:rsid w:val="00117306"/>
    <w:rsid w:val="00124489"/>
    <w:rsid w:val="001245AC"/>
    <w:rsid w:val="001246DE"/>
    <w:rsid w:val="00125511"/>
    <w:rsid w:val="0012612E"/>
    <w:rsid w:val="00127926"/>
    <w:rsid w:val="0013381E"/>
    <w:rsid w:val="00135217"/>
    <w:rsid w:val="001369A4"/>
    <w:rsid w:val="0013776C"/>
    <w:rsid w:val="00137B97"/>
    <w:rsid w:val="00141CD4"/>
    <w:rsid w:val="00142704"/>
    <w:rsid w:val="00145690"/>
    <w:rsid w:val="001477EF"/>
    <w:rsid w:val="00147ADC"/>
    <w:rsid w:val="00151CF8"/>
    <w:rsid w:val="00151E6A"/>
    <w:rsid w:val="00153D76"/>
    <w:rsid w:val="00155A83"/>
    <w:rsid w:val="00157676"/>
    <w:rsid w:val="001576C9"/>
    <w:rsid w:val="00160194"/>
    <w:rsid w:val="00161229"/>
    <w:rsid w:val="0016139E"/>
    <w:rsid w:val="00166BB7"/>
    <w:rsid w:val="00173251"/>
    <w:rsid w:val="00176183"/>
    <w:rsid w:val="00177D21"/>
    <w:rsid w:val="00182C5F"/>
    <w:rsid w:val="00186A96"/>
    <w:rsid w:val="001927B0"/>
    <w:rsid w:val="00196E4B"/>
    <w:rsid w:val="00197728"/>
    <w:rsid w:val="001A0544"/>
    <w:rsid w:val="001A0962"/>
    <w:rsid w:val="001A4AD0"/>
    <w:rsid w:val="001A55B5"/>
    <w:rsid w:val="001A650C"/>
    <w:rsid w:val="001A70E1"/>
    <w:rsid w:val="001B008D"/>
    <w:rsid w:val="001B6D2E"/>
    <w:rsid w:val="001B74EA"/>
    <w:rsid w:val="001C1006"/>
    <w:rsid w:val="001C6296"/>
    <w:rsid w:val="001D64B4"/>
    <w:rsid w:val="001D7358"/>
    <w:rsid w:val="001E0D7B"/>
    <w:rsid w:val="001E177D"/>
    <w:rsid w:val="001E601F"/>
    <w:rsid w:val="001E69C2"/>
    <w:rsid w:val="001E7E4C"/>
    <w:rsid w:val="001F62C9"/>
    <w:rsid w:val="00200DE8"/>
    <w:rsid w:val="00203B4D"/>
    <w:rsid w:val="00205FCD"/>
    <w:rsid w:val="002070B7"/>
    <w:rsid w:val="00213DAD"/>
    <w:rsid w:val="00216C34"/>
    <w:rsid w:val="002176DF"/>
    <w:rsid w:val="002200CB"/>
    <w:rsid w:val="002223D4"/>
    <w:rsid w:val="0022337E"/>
    <w:rsid w:val="00223F5E"/>
    <w:rsid w:val="002242D9"/>
    <w:rsid w:val="00224638"/>
    <w:rsid w:val="00225DB0"/>
    <w:rsid w:val="00227AF4"/>
    <w:rsid w:val="00227EAF"/>
    <w:rsid w:val="00232DFE"/>
    <w:rsid w:val="00233655"/>
    <w:rsid w:val="0024045D"/>
    <w:rsid w:val="00242385"/>
    <w:rsid w:val="00244B67"/>
    <w:rsid w:val="0025119A"/>
    <w:rsid w:val="002649AA"/>
    <w:rsid w:val="00265801"/>
    <w:rsid w:val="00271E4C"/>
    <w:rsid w:val="00272E59"/>
    <w:rsid w:val="0027711F"/>
    <w:rsid w:val="0028118A"/>
    <w:rsid w:val="00281B57"/>
    <w:rsid w:val="0028228E"/>
    <w:rsid w:val="002835F9"/>
    <w:rsid w:val="0028534B"/>
    <w:rsid w:val="002853CE"/>
    <w:rsid w:val="00290D1A"/>
    <w:rsid w:val="00290F9C"/>
    <w:rsid w:val="002915C1"/>
    <w:rsid w:val="00291E87"/>
    <w:rsid w:val="00292BC9"/>
    <w:rsid w:val="0029412F"/>
    <w:rsid w:val="00294417"/>
    <w:rsid w:val="00297D5C"/>
    <w:rsid w:val="002A17D5"/>
    <w:rsid w:val="002A67F6"/>
    <w:rsid w:val="002B4B93"/>
    <w:rsid w:val="002B55C7"/>
    <w:rsid w:val="002B6724"/>
    <w:rsid w:val="002C2091"/>
    <w:rsid w:val="002C28CD"/>
    <w:rsid w:val="002C39B2"/>
    <w:rsid w:val="002D0BD2"/>
    <w:rsid w:val="002D4F9E"/>
    <w:rsid w:val="002D59BC"/>
    <w:rsid w:val="002D7072"/>
    <w:rsid w:val="002E1CD8"/>
    <w:rsid w:val="002E598E"/>
    <w:rsid w:val="002E6009"/>
    <w:rsid w:val="002F1B60"/>
    <w:rsid w:val="002F638C"/>
    <w:rsid w:val="002F6956"/>
    <w:rsid w:val="00300FF9"/>
    <w:rsid w:val="00301DC7"/>
    <w:rsid w:val="0030246A"/>
    <w:rsid w:val="00302E8D"/>
    <w:rsid w:val="003036FF"/>
    <w:rsid w:val="00305627"/>
    <w:rsid w:val="003108ED"/>
    <w:rsid w:val="00311828"/>
    <w:rsid w:val="00316548"/>
    <w:rsid w:val="00324377"/>
    <w:rsid w:val="003252A3"/>
    <w:rsid w:val="00325434"/>
    <w:rsid w:val="00326004"/>
    <w:rsid w:val="00326400"/>
    <w:rsid w:val="003345CB"/>
    <w:rsid w:val="00335371"/>
    <w:rsid w:val="003405EF"/>
    <w:rsid w:val="00343889"/>
    <w:rsid w:val="00344E68"/>
    <w:rsid w:val="00346FD1"/>
    <w:rsid w:val="00347F28"/>
    <w:rsid w:val="00353CD8"/>
    <w:rsid w:val="00355AE6"/>
    <w:rsid w:val="00361AFC"/>
    <w:rsid w:val="003639C3"/>
    <w:rsid w:val="00365749"/>
    <w:rsid w:val="0037239F"/>
    <w:rsid w:val="003765C0"/>
    <w:rsid w:val="00381DAF"/>
    <w:rsid w:val="00382240"/>
    <w:rsid w:val="003841FA"/>
    <w:rsid w:val="003859C3"/>
    <w:rsid w:val="00385EFB"/>
    <w:rsid w:val="00393E34"/>
    <w:rsid w:val="00393EE1"/>
    <w:rsid w:val="00394134"/>
    <w:rsid w:val="0039784E"/>
    <w:rsid w:val="003B6B04"/>
    <w:rsid w:val="003C020A"/>
    <w:rsid w:val="003C15CF"/>
    <w:rsid w:val="003C24E9"/>
    <w:rsid w:val="003C3806"/>
    <w:rsid w:val="003C3F2B"/>
    <w:rsid w:val="003C5CA7"/>
    <w:rsid w:val="003D4B30"/>
    <w:rsid w:val="003D72AB"/>
    <w:rsid w:val="003E17CB"/>
    <w:rsid w:val="003E5632"/>
    <w:rsid w:val="003E6FB7"/>
    <w:rsid w:val="003F249F"/>
    <w:rsid w:val="003F3603"/>
    <w:rsid w:val="004031B9"/>
    <w:rsid w:val="00405B36"/>
    <w:rsid w:val="004076F3"/>
    <w:rsid w:val="004136DF"/>
    <w:rsid w:val="00415F57"/>
    <w:rsid w:val="00416F80"/>
    <w:rsid w:val="00421219"/>
    <w:rsid w:val="004245AE"/>
    <w:rsid w:val="004247DE"/>
    <w:rsid w:val="00425872"/>
    <w:rsid w:val="00427E2B"/>
    <w:rsid w:val="00432EB3"/>
    <w:rsid w:val="00433AC3"/>
    <w:rsid w:val="0043678C"/>
    <w:rsid w:val="0044591C"/>
    <w:rsid w:val="004461E6"/>
    <w:rsid w:val="0044680C"/>
    <w:rsid w:val="00447D17"/>
    <w:rsid w:val="004501F1"/>
    <w:rsid w:val="00453EF6"/>
    <w:rsid w:val="004557DE"/>
    <w:rsid w:val="00457D99"/>
    <w:rsid w:val="00460E56"/>
    <w:rsid w:val="00463449"/>
    <w:rsid w:val="00465FC0"/>
    <w:rsid w:val="0046639C"/>
    <w:rsid w:val="00466C9D"/>
    <w:rsid w:val="00471F90"/>
    <w:rsid w:val="0047291E"/>
    <w:rsid w:val="0047503E"/>
    <w:rsid w:val="00480C49"/>
    <w:rsid w:val="0048310C"/>
    <w:rsid w:val="00484774"/>
    <w:rsid w:val="00490DCD"/>
    <w:rsid w:val="004927D9"/>
    <w:rsid w:val="00493EAA"/>
    <w:rsid w:val="004952EB"/>
    <w:rsid w:val="00495CDF"/>
    <w:rsid w:val="004B11F3"/>
    <w:rsid w:val="004B51A0"/>
    <w:rsid w:val="004B54A0"/>
    <w:rsid w:val="004B7569"/>
    <w:rsid w:val="004C17CF"/>
    <w:rsid w:val="004C68E9"/>
    <w:rsid w:val="004C6C39"/>
    <w:rsid w:val="004D00BD"/>
    <w:rsid w:val="004D23A5"/>
    <w:rsid w:val="004D26C9"/>
    <w:rsid w:val="004D27DD"/>
    <w:rsid w:val="004D3844"/>
    <w:rsid w:val="004D4B1E"/>
    <w:rsid w:val="004D5238"/>
    <w:rsid w:val="004D555D"/>
    <w:rsid w:val="004D5DDF"/>
    <w:rsid w:val="004E2E76"/>
    <w:rsid w:val="004E6070"/>
    <w:rsid w:val="004E6B82"/>
    <w:rsid w:val="004F2A7D"/>
    <w:rsid w:val="004F39A1"/>
    <w:rsid w:val="004F4CA0"/>
    <w:rsid w:val="004F5E89"/>
    <w:rsid w:val="004F5F90"/>
    <w:rsid w:val="004F75ED"/>
    <w:rsid w:val="0050036D"/>
    <w:rsid w:val="0050122B"/>
    <w:rsid w:val="00510440"/>
    <w:rsid w:val="00512725"/>
    <w:rsid w:val="0051421A"/>
    <w:rsid w:val="00514FBA"/>
    <w:rsid w:val="005155E1"/>
    <w:rsid w:val="005205D6"/>
    <w:rsid w:val="00523D09"/>
    <w:rsid w:val="00525D7A"/>
    <w:rsid w:val="00530FA2"/>
    <w:rsid w:val="00531641"/>
    <w:rsid w:val="00540104"/>
    <w:rsid w:val="00540694"/>
    <w:rsid w:val="0054635B"/>
    <w:rsid w:val="00547C9C"/>
    <w:rsid w:val="0055128F"/>
    <w:rsid w:val="00557883"/>
    <w:rsid w:val="00561EBD"/>
    <w:rsid w:val="00561F88"/>
    <w:rsid w:val="00562C15"/>
    <w:rsid w:val="00562ED6"/>
    <w:rsid w:val="00563278"/>
    <w:rsid w:val="00576391"/>
    <w:rsid w:val="00584307"/>
    <w:rsid w:val="00587A78"/>
    <w:rsid w:val="00590D24"/>
    <w:rsid w:val="00597508"/>
    <w:rsid w:val="00597C4D"/>
    <w:rsid w:val="005A3C3B"/>
    <w:rsid w:val="005A72A3"/>
    <w:rsid w:val="005B3370"/>
    <w:rsid w:val="005B52C3"/>
    <w:rsid w:val="005B5398"/>
    <w:rsid w:val="005B7BC9"/>
    <w:rsid w:val="005C047D"/>
    <w:rsid w:val="005C0A89"/>
    <w:rsid w:val="005C169A"/>
    <w:rsid w:val="005C4FE7"/>
    <w:rsid w:val="005D376F"/>
    <w:rsid w:val="005D6E00"/>
    <w:rsid w:val="005D7512"/>
    <w:rsid w:val="005E36CD"/>
    <w:rsid w:val="005E474E"/>
    <w:rsid w:val="005E72C2"/>
    <w:rsid w:val="005F7630"/>
    <w:rsid w:val="00605AB9"/>
    <w:rsid w:val="00607033"/>
    <w:rsid w:val="00607C11"/>
    <w:rsid w:val="0061133B"/>
    <w:rsid w:val="006165B4"/>
    <w:rsid w:val="00617475"/>
    <w:rsid w:val="006231EC"/>
    <w:rsid w:val="00641A7D"/>
    <w:rsid w:val="006454EA"/>
    <w:rsid w:val="00653166"/>
    <w:rsid w:val="00655831"/>
    <w:rsid w:val="006600B5"/>
    <w:rsid w:val="006609E6"/>
    <w:rsid w:val="00660C8C"/>
    <w:rsid w:val="006643E9"/>
    <w:rsid w:val="00664C3F"/>
    <w:rsid w:val="00667088"/>
    <w:rsid w:val="00671734"/>
    <w:rsid w:val="006759B0"/>
    <w:rsid w:val="00677EB9"/>
    <w:rsid w:val="0069209B"/>
    <w:rsid w:val="006A3A8F"/>
    <w:rsid w:val="006A6FE0"/>
    <w:rsid w:val="006B0C52"/>
    <w:rsid w:val="006B41AB"/>
    <w:rsid w:val="006B6C42"/>
    <w:rsid w:val="006B74E4"/>
    <w:rsid w:val="006B7523"/>
    <w:rsid w:val="006C10E7"/>
    <w:rsid w:val="006C1C62"/>
    <w:rsid w:val="006C35E8"/>
    <w:rsid w:val="006C3ACC"/>
    <w:rsid w:val="006C3F61"/>
    <w:rsid w:val="006C5323"/>
    <w:rsid w:val="006C533A"/>
    <w:rsid w:val="006D1E7B"/>
    <w:rsid w:val="006D34E2"/>
    <w:rsid w:val="006D509B"/>
    <w:rsid w:val="006D6759"/>
    <w:rsid w:val="006E4704"/>
    <w:rsid w:val="006E49B9"/>
    <w:rsid w:val="006E5FB7"/>
    <w:rsid w:val="006E6DAD"/>
    <w:rsid w:val="006F2647"/>
    <w:rsid w:val="006F3A39"/>
    <w:rsid w:val="006F48DE"/>
    <w:rsid w:val="006F7EC7"/>
    <w:rsid w:val="0070054F"/>
    <w:rsid w:val="0070493C"/>
    <w:rsid w:val="00705A5A"/>
    <w:rsid w:val="00707F5C"/>
    <w:rsid w:val="007135A5"/>
    <w:rsid w:val="0071471A"/>
    <w:rsid w:val="00722CE3"/>
    <w:rsid w:val="007304F8"/>
    <w:rsid w:val="00731E83"/>
    <w:rsid w:val="00732C8C"/>
    <w:rsid w:val="00733706"/>
    <w:rsid w:val="00733B5B"/>
    <w:rsid w:val="007345A6"/>
    <w:rsid w:val="0073519F"/>
    <w:rsid w:val="007365D4"/>
    <w:rsid w:val="007370B7"/>
    <w:rsid w:val="00741166"/>
    <w:rsid w:val="0074278F"/>
    <w:rsid w:val="007550E6"/>
    <w:rsid w:val="007557D2"/>
    <w:rsid w:val="00756EF5"/>
    <w:rsid w:val="007570F0"/>
    <w:rsid w:val="007573E3"/>
    <w:rsid w:val="00766037"/>
    <w:rsid w:val="00766861"/>
    <w:rsid w:val="00776E1F"/>
    <w:rsid w:val="00777911"/>
    <w:rsid w:val="00782944"/>
    <w:rsid w:val="007842A8"/>
    <w:rsid w:val="00792B07"/>
    <w:rsid w:val="00793BFC"/>
    <w:rsid w:val="007940BB"/>
    <w:rsid w:val="007970D0"/>
    <w:rsid w:val="007A0518"/>
    <w:rsid w:val="007A0953"/>
    <w:rsid w:val="007A5757"/>
    <w:rsid w:val="007A5A80"/>
    <w:rsid w:val="007A6194"/>
    <w:rsid w:val="007C589F"/>
    <w:rsid w:val="007D0947"/>
    <w:rsid w:val="007D2771"/>
    <w:rsid w:val="007D3006"/>
    <w:rsid w:val="007D435C"/>
    <w:rsid w:val="007D74B6"/>
    <w:rsid w:val="007E130C"/>
    <w:rsid w:val="007E6753"/>
    <w:rsid w:val="007E6F6D"/>
    <w:rsid w:val="007F0306"/>
    <w:rsid w:val="007F1693"/>
    <w:rsid w:val="007F419F"/>
    <w:rsid w:val="008017E5"/>
    <w:rsid w:val="00802257"/>
    <w:rsid w:val="00822C9F"/>
    <w:rsid w:val="008311A6"/>
    <w:rsid w:val="00835EC7"/>
    <w:rsid w:val="00836C28"/>
    <w:rsid w:val="00836D01"/>
    <w:rsid w:val="00840799"/>
    <w:rsid w:val="00840C18"/>
    <w:rsid w:val="00850D2F"/>
    <w:rsid w:val="00855329"/>
    <w:rsid w:val="008561EF"/>
    <w:rsid w:val="00857D33"/>
    <w:rsid w:val="0086199F"/>
    <w:rsid w:val="00873BB8"/>
    <w:rsid w:val="00874451"/>
    <w:rsid w:val="008770B1"/>
    <w:rsid w:val="008776CD"/>
    <w:rsid w:val="008A3064"/>
    <w:rsid w:val="008A3A58"/>
    <w:rsid w:val="008A41A5"/>
    <w:rsid w:val="008B0DA5"/>
    <w:rsid w:val="008B13DD"/>
    <w:rsid w:val="008B2660"/>
    <w:rsid w:val="008B7075"/>
    <w:rsid w:val="008C4A6C"/>
    <w:rsid w:val="008C5A8B"/>
    <w:rsid w:val="008C744A"/>
    <w:rsid w:val="008D0A97"/>
    <w:rsid w:val="008D6D25"/>
    <w:rsid w:val="008E0267"/>
    <w:rsid w:val="008E0E20"/>
    <w:rsid w:val="008E13C4"/>
    <w:rsid w:val="008E388B"/>
    <w:rsid w:val="008E3B59"/>
    <w:rsid w:val="008E4497"/>
    <w:rsid w:val="008E7899"/>
    <w:rsid w:val="008E7A2E"/>
    <w:rsid w:val="008F081B"/>
    <w:rsid w:val="008F13F8"/>
    <w:rsid w:val="008F2F86"/>
    <w:rsid w:val="008F49E6"/>
    <w:rsid w:val="008F4D58"/>
    <w:rsid w:val="008F7DD7"/>
    <w:rsid w:val="008F7EE1"/>
    <w:rsid w:val="00902F64"/>
    <w:rsid w:val="009041A2"/>
    <w:rsid w:val="009045A4"/>
    <w:rsid w:val="0091022A"/>
    <w:rsid w:val="009112D8"/>
    <w:rsid w:val="00917EDD"/>
    <w:rsid w:val="009246F6"/>
    <w:rsid w:val="009307B2"/>
    <w:rsid w:val="009368DE"/>
    <w:rsid w:val="0094121D"/>
    <w:rsid w:val="00945DCB"/>
    <w:rsid w:val="0094693C"/>
    <w:rsid w:val="00953C68"/>
    <w:rsid w:val="00956AFD"/>
    <w:rsid w:val="00956B15"/>
    <w:rsid w:val="00960B44"/>
    <w:rsid w:val="009615E3"/>
    <w:rsid w:val="00963159"/>
    <w:rsid w:val="00963425"/>
    <w:rsid w:val="00971666"/>
    <w:rsid w:val="00973869"/>
    <w:rsid w:val="0097557C"/>
    <w:rsid w:val="009768A0"/>
    <w:rsid w:val="00977AEE"/>
    <w:rsid w:val="00977D23"/>
    <w:rsid w:val="00984C23"/>
    <w:rsid w:val="009873BC"/>
    <w:rsid w:val="009940CD"/>
    <w:rsid w:val="0099560E"/>
    <w:rsid w:val="00995D8F"/>
    <w:rsid w:val="009A220E"/>
    <w:rsid w:val="009A2DA2"/>
    <w:rsid w:val="009B066F"/>
    <w:rsid w:val="009B34D6"/>
    <w:rsid w:val="009B4634"/>
    <w:rsid w:val="009B5FF9"/>
    <w:rsid w:val="009C17C4"/>
    <w:rsid w:val="009C3074"/>
    <w:rsid w:val="009C450B"/>
    <w:rsid w:val="009C4F65"/>
    <w:rsid w:val="009C5DBA"/>
    <w:rsid w:val="009C644B"/>
    <w:rsid w:val="009D353C"/>
    <w:rsid w:val="009D3736"/>
    <w:rsid w:val="009E2E00"/>
    <w:rsid w:val="009E4AE6"/>
    <w:rsid w:val="009E5538"/>
    <w:rsid w:val="009F3D68"/>
    <w:rsid w:val="009F69FD"/>
    <w:rsid w:val="00A044A5"/>
    <w:rsid w:val="00A16BA4"/>
    <w:rsid w:val="00A17D95"/>
    <w:rsid w:val="00A22E92"/>
    <w:rsid w:val="00A23A48"/>
    <w:rsid w:val="00A24CC6"/>
    <w:rsid w:val="00A3237B"/>
    <w:rsid w:val="00A328F1"/>
    <w:rsid w:val="00A36553"/>
    <w:rsid w:val="00A548C7"/>
    <w:rsid w:val="00A55ED2"/>
    <w:rsid w:val="00A6478B"/>
    <w:rsid w:val="00A70738"/>
    <w:rsid w:val="00A80566"/>
    <w:rsid w:val="00A82D61"/>
    <w:rsid w:val="00A85326"/>
    <w:rsid w:val="00A85CED"/>
    <w:rsid w:val="00A90BC1"/>
    <w:rsid w:val="00A90D75"/>
    <w:rsid w:val="00A969F1"/>
    <w:rsid w:val="00A97BB4"/>
    <w:rsid w:val="00AA6138"/>
    <w:rsid w:val="00AB0259"/>
    <w:rsid w:val="00AB198F"/>
    <w:rsid w:val="00AB3DB0"/>
    <w:rsid w:val="00AB6E07"/>
    <w:rsid w:val="00AC279A"/>
    <w:rsid w:val="00AC538B"/>
    <w:rsid w:val="00AC58B6"/>
    <w:rsid w:val="00AC77B1"/>
    <w:rsid w:val="00AD059C"/>
    <w:rsid w:val="00AD3EC6"/>
    <w:rsid w:val="00AD3F6E"/>
    <w:rsid w:val="00AD7341"/>
    <w:rsid w:val="00AE4053"/>
    <w:rsid w:val="00AE7941"/>
    <w:rsid w:val="00AF18A7"/>
    <w:rsid w:val="00AF1D2E"/>
    <w:rsid w:val="00AF28BB"/>
    <w:rsid w:val="00AF5D04"/>
    <w:rsid w:val="00B0002F"/>
    <w:rsid w:val="00B03D5C"/>
    <w:rsid w:val="00B0650F"/>
    <w:rsid w:val="00B07409"/>
    <w:rsid w:val="00B07AED"/>
    <w:rsid w:val="00B22EF2"/>
    <w:rsid w:val="00B24139"/>
    <w:rsid w:val="00B278B5"/>
    <w:rsid w:val="00B35F06"/>
    <w:rsid w:val="00B37AFA"/>
    <w:rsid w:val="00B429FF"/>
    <w:rsid w:val="00B4368B"/>
    <w:rsid w:val="00B43932"/>
    <w:rsid w:val="00B45DAA"/>
    <w:rsid w:val="00B47368"/>
    <w:rsid w:val="00B47753"/>
    <w:rsid w:val="00B50C4F"/>
    <w:rsid w:val="00B52F7C"/>
    <w:rsid w:val="00B54992"/>
    <w:rsid w:val="00B559C7"/>
    <w:rsid w:val="00B56BC3"/>
    <w:rsid w:val="00B600E8"/>
    <w:rsid w:val="00B608D2"/>
    <w:rsid w:val="00B61C5B"/>
    <w:rsid w:val="00B63043"/>
    <w:rsid w:val="00B70880"/>
    <w:rsid w:val="00B71FFF"/>
    <w:rsid w:val="00B75C3D"/>
    <w:rsid w:val="00B808EC"/>
    <w:rsid w:val="00B82C7C"/>
    <w:rsid w:val="00B8338B"/>
    <w:rsid w:val="00B8660B"/>
    <w:rsid w:val="00B8724B"/>
    <w:rsid w:val="00B905A4"/>
    <w:rsid w:val="00B907C3"/>
    <w:rsid w:val="00B90912"/>
    <w:rsid w:val="00B96D9C"/>
    <w:rsid w:val="00BA1646"/>
    <w:rsid w:val="00BB4C14"/>
    <w:rsid w:val="00BB5AB2"/>
    <w:rsid w:val="00BB696D"/>
    <w:rsid w:val="00BB7ED2"/>
    <w:rsid w:val="00BC1CC6"/>
    <w:rsid w:val="00BC36DE"/>
    <w:rsid w:val="00BC38FE"/>
    <w:rsid w:val="00BC46F8"/>
    <w:rsid w:val="00BC6E01"/>
    <w:rsid w:val="00BD38AC"/>
    <w:rsid w:val="00BD58E4"/>
    <w:rsid w:val="00BD7A56"/>
    <w:rsid w:val="00BE19DD"/>
    <w:rsid w:val="00BE33D0"/>
    <w:rsid w:val="00BF0B9F"/>
    <w:rsid w:val="00BF6C8D"/>
    <w:rsid w:val="00C006E5"/>
    <w:rsid w:val="00C007DE"/>
    <w:rsid w:val="00C059EB"/>
    <w:rsid w:val="00C10986"/>
    <w:rsid w:val="00C13B1B"/>
    <w:rsid w:val="00C2225F"/>
    <w:rsid w:val="00C2452C"/>
    <w:rsid w:val="00C25540"/>
    <w:rsid w:val="00C33DC1"/>
    <w:rsid w:val="00C36F26"/>
    <w:rsid w:val="00C37277"/>
    <w:rsid w:val="00C42DF4"/>
    <w:rsid w:val="00C46689"/>
    <w:rsid w:val="00C47BCE"/>
    <w:rsid w:val="00C510B1"/>
    <w:rsid w:val="00C52C12"/>
    <w:rsid w:val="00C52CDE"/>
    <w:rsid w:val="00C53225"/>
    <w:rsid w:val="00C53F38"/>
    <w:rsid w:val="00C53F40"/>
    <w:rsid w:val="00C5479D"/>
    <w:rsid w:val="00C571AF"/>
    <w:rsid w:val="00C5720C"/>
    <w:rsid w:val="00C573AD"/>
    <w:rsid w:val="00C60E39"/>
    <w:rsid w:val="00C614FC"/>
    <w:rsid w:val="00C63408"/>
    <w:rsid w:val="00C6420D"/>
    <w:rsid w:val="00C664BF"/>
    <w:rsid w:val="00C73538"/>
    <w:rsid w:val="00C77732"/>
    <w:rsid w:val="00C87EE3"/>
    <w:rsid w:val="00C90282"/>
    <w:rsid w:val="00C91816"/>
    <w:rsid w:val="00C937FC"/>
    <w:rsid w:val="00C9644E"/>
    <w:rsid w:val="00CA12AD"/>
    <w:rsid w:val="00CA1A52"/>
    <w:rsid w:val="00CA33B4"/>
    <w:rsid w:val="00CA60DB"/>
    <w:rsid w:val="00CA7A33"/>
    <w:rsid w:val="00CB5D35"/>
    <w:rsid w:val="00CB7003"/>
    <w:rsid w:val="00CC4946"/>
    <w:rsid w:val="00CC69B5"/>
    <w:rsid w:val="00CD4AE5"/>
    <w:rsid w:val="00CD550D"/>
    <w:rsid w:val="00CD79AE"/>
    <w:rsid w:val="00CE06D5"/>
    <w:rsid w:val="00CE1F02"/>
    <w:rsid w:val="00CE4F3D"/>
    <w:rsid w:val="00CE53CD"/>
    <w:rsid w:val="00CF0BD0"/>
    <w:rsid w:val="00CF5191"/>
    <w:rsid w:val="00CF7A6B"/>
    <w:rsid w:val="00D00C0C"/>
    <w:rsid w:val="00D01086"/>
    <w:rsid w:val="00D02B94"/>
    <w:rsid w:val="00D045B2"/>
    <w:rsid w:val="00D04BF2"/>
    <w:rsid w:val="00D059D7"/>
    <w:rsid w:val="00D05D19"/>
    <w:rsid w:val="00D12C71"/>
    <w:rsid w:val="00D139E4"/>
    <w:rsid w:val="00D13C88"/>
    <w:rsid w:val="00D15837"/>
    <w:rsid w:val="00D16B6F"/>
    <w:rsid w:val="00D1787F"/>
    <w:rsid w:val="00D20E34"/>
    <w:rsid w:val="00D22A93"/>
    <w:rsid w:val="00D30D8D"/>
    <w:rsid w:val="00D33215"/>
    <w:rsid w:val="00D33A99"/>
    <w:rsid w:val="00D35218"/>
    <w:rsid w:val="00D35AEA"/>
    <w:rsid w:val="00D40760"/>
    <w:rsid w:val="00D419FF"/>
    <w:rsid w:val="00D43848"/>
    <w:rsid w:val="00D43F42"/>
    <w:rsid w:val="00D44E1F"/>
    <w:rsid w:val="00D51B64"/>
    <w:rsid w:val="00D52684"/>
    <w:rsid w:val="00D60B36"/>
    <w:rsid w:val="00D627CD"/>
    <w:rsid w:val="00D62DCD"/>
    <w:rsid w:val="00D63185"/>
    <w:rsid w:val="00D65382"/>
    <w:rsid w:val="00D7067F"/>
    <w:rsid w:val="00D726B6"/>
    <w:rsid w:val="00D754B7"/>
    <w:rsid w:val="00D77D2D"/>
    <w:rsid w:val="00D80B6B"/>
    <w:rsid w:val="00D8381E"/>
    <w:rsid w:val="00D83B76"/>
    <w:rsid w:val="00D847D0"/>
    <w:rsid w:val="00D85C00"/>
    <w:rsid w:val="00D8618C"/>
    <w:rsid w:val="00D92A25"/>
    <w:rsid w:val="00D948F0"/>
    <w:rsid w:val="00D9571A"/>
    <w:rsid w:val="00D96347"/>
    <w:rsid w:val="00DA5730"/>
    <w:rsid w:val="00DB7100"/>
    <w:rsid w:val="00DB73DF"/>
    <w:rsid w:val="00DC067C"/>
    <w:rsid w:val="00DC3913"/>
    <w:rsid w:val="00DC7259"/>
    <w:rsid w:val="00DC7D7B"/>
    <w:rsid w:val="00DD5B41"/>
    <w:rsid w:val="00DD5B70"/>
    <w:rsid w:val="00DD6F9B"/>
    <w:rsid w:val="00DD7EB7"/>
    <w:rsid w:val="00DE19B2"/>
    <w:rsid w:val="00DE5079"/>
    <w:rsid w:val="00DF1A14"/>
    <w:rsid w:val="00DF586B"/>
    <w:rsid w:val="00E0346D"/>
    <w:rsid w:val="00E04446"/>
    <w:rsid w:val="00E0650A"/>
    <w:rsid w:val="00E0798D"/>
    <w:rsid w:val="00E11E76"/>
    <w:rsid w:val="00E12834"/>
    <w:rsid w:val="00E12A38"/>
    <w:rsid w:val="00E15D47"/>
    <w:rsid w:val="00E21083"/>
    <w:rsid w:val="00E30A67"/>
    <w:rsid w:val="00E30A7D"/>
    <w:rsid w:val="00E332B8"/>
    <w:rsid w:val="00E3702B"/>
    <w:rsid w:val="00E42FC3"/>
    <w:rsid w:val="00E436B4"/>
    <w:rsid w:val="00E45091"/>
    <w:rsid w:val="00E45A93"/>
    <w:rsid w:val="00E5075C"/>
    <w:rsid w:val="00E5369D"/>
    <w:rsid w:val="00E61F86"/>
    <w:rsid w:val="00E72D52"/>
    <w:rsid w:val="00E72F9A"/>
    <w:rsid w:val="00E806D8"/>
    <w:rsid w:val="00E83655"/>
    <w:rsid w:val="00E86161"/>
    <w:rsid w:val="00E9497A"/>
    <w:rsid w:val="00EB2249"/>
    <w:rsid w:val="00EB277E"/>
    <w:rsid w:val="00EB64CC"/>
    <w:rsid w:val="00EC1E0C"/>
    <w:rsid w:val="00EC2F1C"/>
    <w:rsid w:val="00EC4597"/>
    <w:rsid w:val="00EC68B4"/>
    <w:rsid w:val="00EC6F8A"/>
    <w:rsid w:val="00ED1E60"/>
    <w:rsid w:val="00ED2A4A"/>
    <w:rsid w:val="00ED3C46"/>
    <w:rsid w:val="00ED41F4"/>
    <w:rsid w:val="00ED42D3"/>
    <w:rsid w:val="00ED6F54"/>
    <w:rsid w:val="00EF1FDF"/>
    <w:rsid w:val="00EF4415"/>
    <w:rsid w:val="00EF53F4"/>
    <w:rsid w:val="00EF6A72"/>
    <w:rsid w:val="00F02D79"/>
    <w:rsid w:val="00F03932"/>
    <w:rsid w:val="00F12835"/>
    <w:rsid w:val="00F131BD"/>
    <w:rsid w:val="00F21EA9"/>
    <w:rsid w:val="00F23D4C"/>
    <w:rsid w:val="00F24047"/>
    <w:rsid w:val="00F2705E"/>
    <w:rsid w:val="00F334BC"/>
    <w:rsid w:val="00F4407F"/>
    <w:rsid w:val="00F445F8"/>
    <w:rsid w:val="00F478EF"/>
    <w:rsid w:val="00F51049"/>
    <w:rsid w:val="00F56885"/>
    <w:rsid w:val="00F61788"/>
    <w:rsid w:val="00F630CF"/>
    <w:rsid w:val="00F74D44"/>
    <w:rsid w:val="00F80437"/>
    <w:rsid w:val="00F8146C"/>
    <w:rsid w:val="00F815F5"/>
    <w:rsid w:val="00F8441E"/>
    <w:rsid w:val="00F849A4"/>
    <w:rsid w:val="00F8527F"/>
    <w:rsid w:val="00F859C5"/>
    <w:rsid w:val="00F861B1"/>
    <w:rsid w:val="00F91888"/>
    <w:rsid w:val="00F96B6B"/>
    <w:rsid w:val="00FA1729"/>
    <w:rsid w:val="00FA5464"/>
    <w:rsid w:val="00FA675C"/>
    <w:rsid w:val="00FA6F14"/>
    <w:rsid w:val="00FA7AC0"/>
    <w:rsid w:val="00FB0FEA"/>
    <w:rsid w:val="00FB17CD"/>
    <w:rsid w:val="00FB7136"/>
    <w:rsid w:val="00FB76B1"/>
    <w:rsid w:val="00FB77D4"/>
    <w:rsid w:val="00FC1779"/>
    <w:rsid w:val="00FC3C08"/>
    <w:rsid w:val="00FC6C98"/>
    <w:rsid w:val="00FD2C56"/>
    <w:rsid w:val="00FD3394"/>
    <w:rsid w:val="00FD5524"/>
    <w:rsid w:val="00FD623B"/>
    <w:rsid w:val="00FF0B8D"/>
    <w:rsid w:val="00FF145B"/>
    <w:rsid w:val="00FF2A67"/>
    <w:rsid w:val="00FF3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8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72"/>
    <w:rPr>
      <w:lang w:val="en-US"/>
    </w:rPr>
  </w:style>
  <w:style w:type="paragraph" w:styleId="1">
    <w:name w:val="heading 1"/>
    <w:basedOn w:val="a"/>
    <w:next w:val="a"/>
    <w:link w:val="1Char"/>
    <w:uiPriority w:val="9"/>
    <w:qFormat/>
    <w:rsid w:val="004D523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E536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252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A72"/>
    <w:pPr>
      <w:ind w:left="720"/>
      <w:contextualSpacing/>
    </w:pPr>
  </w:style>
  <w:style w:type="table" w:styleId="a4">
    <w:name w:val="Table Grid"/>
    <w:basedOn w:val="a1"/>
    <w:uiPriority w:val="59"/>
    <w:rsid w:val="00436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a1"/>
    <w:uiPriority w:val="60"/>
    <w:rsid w:val="006B6C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Char"/>
    <w:uiPriority w:val="99"/>
    <w:semiHidden/>
    <w:unhideWhenUsed/>
    <w:rsid w:val="00017A16"/>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017A16"/>
    <w:rPr>
      <w:rFonts w:ascii="Tahoma" w:hAnsi="Tahoma" w:cs="Tahoma"/>
      <w:sz w:val="16"/>
      <w:szCs w:val="16"/>
      <w:lang w:val="en-US"/>
    </w:rPr>
  </w:style>
  <w:style w:type="character" w:styleId="a6">
    <w:name w:val="annotation reference"/>
    <w:basedOn w:val="a0"/>
    <w:uiPriority w:val="99"/>
    <w:semiHidden/>
    <w:unhideWhenUsed/>
    <w:rsid w:val="00563278"/>
    <w:rPr>
      <w:sz w:val="16"/>
      <w:szCs w:val="16"/>
    </w:rPr>
  </w:style>
  <w:style w:type="paragraph" w:styleId="a7">
    <w:name w:val="annotation text"/>
    <w:basedOn w:val="a"/>
    <w:link w:val="Char0"/>
    <w:uiPriority w:val="99"/>
    <w:semiHidden/>
    <w:unhideWhenUsed/>
    <w:rsid w:val="00563278"/>
    <w:pPr>
      <w:spacing w:line="240" w:lineRule="auto"/>
    </w:pPr>
    <w:rPr>
      <w:sz w:val="20"/>
      <w:szCs w:val="20"/>
    </w:rPr>
  </w:style>
  <w:style w:type="character" w:customStyle="1" w:styleId="Char0">
    <w:name w:val="批注文字 Char"/>
    <w:basedOn w:val="a0"/>
    <w:link w:val="a7"/>
    <w:uiPriority w:val="99"/>
    <w:semiHidden/>
    <w:rsid w:val="00563278"/>
    <w:rPr>
      <w:sz w:val="20"/>
      <w:szCs w:val="20"/>
      <w:lang w:val="en-US"/>
    </w:rPr>
  </w:style>
  <w:style w:type="paragraph" w:styleId="a8">
    <w:name w:val="annotation subject"/>
    <w:basedOn w:val="a7"/>
    <w:next w:val="a7"/>
    <w:link w:val="Char1"/>
    <w:uiPriority w:val="99"/>
    <w:semiHidden/>
    <w:unhideWhenUsed/>
    <w:rsid w:val="00563278"/>
    <w:rPr>
      <w:b/>
      <w:bCs/>
    </w:rPr>
  </w:style>
  <w:style w:type="character" w:customStyle="1" w:styleId="Char1">
    <w:name w:val="批注主题 Char"/>
    <w:basedOn w:val="Char0"/>
    <w:link w:val="a8"/>
    <w:uiPriority w:val="99"/>
    <w:semiHidden/>
    <w:rsid w:val="00563278"/>
    <w:rPr>
      <w:b/>
      <w:bCs/>
      <w:sz w:val="20"/>
      <w:szCs w:val="20"/>
      <w:lang w:val="en-US"/>
    </w:rPr>
  </w:style>
  <w:style w:type="table" w:customStyle="1" w:styleId="LightShading2">
    <w:name w:val="Light Shading2"/>
    <w:basedOn w:val="a1"/>
    <w:uiPriority w:val="60"/>
    <w:rsid w:val="004B54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Document Map"/>
    <w:basedOn w:val="a"/>
    <w:link w:val="Char2"/>
    <w:uiPriority w:val="99"/>
    <w:semiHidden/>
    <w:unhideWhenUsed/>
    <w:rsid w:val="005C169A"/>
    <w:pPr>
      <w:spacing w:after="0" w:line="240" w:lineRule="auto"/>
    </w:pPr>
    <w:rPr>
      <w:rFonts w:ascii="Tahoma" w:hAnsi="Tahoma" w:cs="Tahoma"/>
      <w:sz w:val="16"/>
      <w:szCs w:val="16"/>
    </w:rPr>
  </w:style>
  <w:style w:type="character" w:customStyle="1" w:styleId="Char2">
    <w:name w:val="文档结构图 Char"/>
    <w:basedOn w:val="a0"/>
    <w:link w:val="a9"/>
    <w:uiPriority w:val="99"/>
    <w:semiHidden/>
    <w:rsid w:val="005C169A"/>
    <w:rPr>
      <w:rFonts w:ascii="Tahoma" w:hAnsi="Tahoma" w:cs="Tahoma"/>
      <w:sz w:val="16"/>
      <w:szCs w:val="16"/>
      <w:lang w:val="en-US"/>
    </w:rPr>
  </w:style>
  <w:style w:type="character" w:styleId="aa">
    <w:name w:val="Hyperlink"/>
    <w:basedOn w:val="a0"/>
    <w:uiPriority w:val="99"/>
    <w:unhideWhenUsed/>
    <w:rsid w:val="006165B4"/>
    <w:rPr>
      <w:color w:val="0000FF" w:themeColor="hyperlink"/>
      <w:u w:val="single"/>
    </w:rPr>
  </w:style>
  <w:style w:type="character" w:customStyle="1" w:styleId="1Char">
    <w:name w:val="标题 1 Char"/>
    <w:basedOn w:val="a0"/>
    <w:link w:val="1"/>
    <w:uiPriority w:val="9"/>
    <w:rsid w:val="004D5238"/>
    <w:rPr>
      <w:rFonts w:asciiTheme="majorHAnsi" w:eastAsiaTheme="majorEastAsia" w:hAnsiTheme="majorHAnsi" w:cstheme="majorBidi"/>
      <w:b/>
      <w:bCs/>
      <w:color w:val="345A8A" w:themeColor="accent1" w:themeShade="B5"/>
      <w:sz w:val="32"/>
      <w:szCs w:val="32"/>
      <w:lang w:val="en-US"/>
    </w:rPr>
  </w:style>
  <w:style w:type="paragraph" w:styleId="TOC">
    <w:name w:val="TOC Heading"/>
    <w:basedOn w:val="1"/>
    <w:next w:val="a"/>
    <w:uiPriority w:val="39"/>
    <w:unhideWhenUsed/>
    <w:qFormat/>
    <w:rsid w:val="004D5238"/>
    <w:pPr>
      <w:outlineLvl w:val="9"/>
    </w:pPr>
    <w:rPr>
      <w:color w:val="365F91" w:themeColor="accent1" w:themeShade="BF"/>
      <w:sz w:val="28"/>
      <w:szCs w:val="28"/>
    </w:rPr>
  </w:style>
  <w:style w:type="paragraph" w:styleId="10">
    <w:name w:val="toc 1"/>
    <w:basedOn w:val="a"/>
    <w:next w:val="a"/>
    <w:autoRedefine/>
    <w:uiPriority w:val="39"/>
    <w:unhideWhenUsed/>
    <w:rsid w:val="004D5238"/>
    <w:pPr>
      <w:spacing w:before="120" w:after="0"/>
    </w:pPr>
    <w:rPr>
      <w:b/>
      <w:sz w:val="24"/>
      <w:szCs w:val="24"/>
    </w:rPr>
  </w:style>
  <w:style w:type="paragraph" w:styleId="20">
    <w:name w:val="toc 2"/>
    <w:basedOn w:val="a"/>
    <w:next w:val="a"/>
    <w:autoRedefine/>
    <w:uiPriority w:val="39"/>
    <w:unhideWhenUsed/>
    <w:rsid w:val="004D5238"/>
    <w:pPr>
      <w:spacing w:after="0"/>
      <w:ind w:left="220"/>
    </w:pPr>
    <w:rPr>
      <w:b/>
    </w:rPr>
  </w:style>
  <w:style w:type="paragraph" w:styleId="30">
    <w:name w:val="toc 3"/>
    <w:basedOn w:val="a"/>
    <w:next w:val="a"/>
    <w:autoRedefine/>
    <w:uiPriority w:val="39"/>
    <w:unhideWhenUsed/>
    <w:rsid w:val="004D5238"/>
    <w:pPr>
      <w:spacing w:after="0"/>
      <w:ind w:left="440"/>
    </w:pPr>
  </w:style>
  <w:style w:type="paragraph" w:styleId="4">
    <w:name w:val="toc 4"/>
    <w:basedOn w:val="a"/>
    <w:next w:val="a"/>
    <w:autoRedefine/>
    <w:uiPriority w:val="39"/>
    <w:semiHidden/>
    <w:unhideWhenUsed/>
    <w:rsid w:val="004D5238"/>
    <w:pPr>
      <w:spacing w:after="0"/>
      <w:ind w:left="660"/>
    </w:pPr>
    <w:rPr>
      <w:sz w:val="20"/>
      <w:szCs w:val="20"/>
    </w:rPr>
  </w:style>
  <w:style w:type="paragraph" w:styleId="5">
    <w:name w:val="toc 5"/>
    <w:basedOn w:val="a"/>
    <w:next w:val="a"/>
    <w:autoRedefine/>
    <w:uiPriority w:val="39"/>
    <w:semiHidden/>
    <w:unhideWhenUsed/>
    <w:rsid w:val="004D5238"/>
    <w:pPr>
      <w:spacing w:after="0"/>
      <w:ind w:left="880"/>
    </w:pPr>
    <w:rPr>
      <w:sz w:val="20"/>
      <w:szCs w:val="20"/>
    </w:rPr>
  </w:style>
  <w:style w:type="paragraph" w:styleId="6">
    <w:name w:val="toc 6"/>
    <w:basedOn w:val="a"/>
    <w:next w:val="a"/>
    <w:autoRedefine/>
    <w:uiPriority w:val="39"/>
    <w:semiHidden/>
    <w:unhideWhenUsed/>
    <w:rsid w:val="004D5238"/>
    <w:pPr>
      <w:spacing w:after="0"/>
      <w:ind w:left="1100"/>
    </w:pPr>
    <w:rPr>
      <w:sz w:val="20"/>
      <w:szCs w:val="20"/>
    </w:rPr>
  </w:style>
  <w:style w:type="paragraph" w:styleId="7">
    <w:name w:val="toc 7"/>
    <w:basedOn w:val="a"/>
    <w:next w:val="a"/>
    <w:autoRedefine/>
    <w:uiPriority w:val="39"/>
    <w:semiHidden/>
    <w:unhideWhenUsed/>
    <w:rsid w:val="004D5238"/>
    <w:pPr>
      <w:spacing w:after="0"/>
      <w:ind w:left="1320"/>
    </w:pPr>
    <w:rPr>
      <w:sz w:val="20"/>
      <w:szCs w:val="20"/>
    </w:rPr>
  </w:style>
  <w:style w:type="paragraph" w:styleId="8">
    <w:name w:val="toc 8"/>
    <w:basedOn w:val="a"/>
    <w:next w:val="a"/>
    <w:autoRedefine/>
    <w:uiPriority w:val="39"/>
    <w:semiHidden/>
    <w:unhideWhenUsed/>
    <w:rsid w:val="004D5238"/>
    <w:pPr>
      <w:spacing w:after="0"/>
      <w:ind w:left="1540"/>
    </w:pPr>
    <w:rPr>
      <w:sz w:val="20"/>
      <w:szCs w:val="20"/>
    </w:rPr>
  </w:style>
  <w:style w:type="paragraph" w:styleId="9">
    <w:name w:val="toc 9"/>
    <w:basedOn w:val="a"/>
    <w:next w:val="a"/>
    <w:autoRedefine/>
    <w:uiPriority w:val="39"/>
    <w:semiHidden/>
    <w:unhideWhenUsed/>
    <w:rsid w:val="004D5238"/>
    <w:pPr>
      <w:spacing w:after="0"/>
      <w:ind w:left="1760"/>
    </w:pPr>
    <w:rPr>
      <w:sz w:val="20"/>
      <w:szCs w:val="20"/>
    </w:rPr>
  </w:style>
  <w:style w:type="character" w:customStyle="1" w:styleId="2Char">
    <w:name w:val="标题 2 Char"/>
    <w:basedOn w:val="a0"/>
    <w:link w:val="2"/>
    <w:uiPriority w:val="9"/>
    <w:rsid w:val="00E5369D"/>
    <w:rPr>
      <w:rFonts w:asciiTheme="majorHAnsi" w:eastAsiaTheme="majorEastAsia" w:hAnsiTheme="majorHAnsi" w:cstheme="majorBidi"/>
      <w:b/>
      <w:bCs/>
      <w:color w:val="4F81BD" w:themeColor="accent1"/>
      <w:sz w:val="26"/>
      <w:szCs w:val="26"/>
      <w:lang w:val="en-US"/>
    </w:rPr>
  </w:style>
  <w:style w:type="paragraph" w:styleId="ab">
    <w:name w:val="Bibliography"/>
    <w:basedOn w:val="a"/>
    <w:next w:val="a"/>
    <w:uiPriority w:val="37"/>
    <w:unhideWhenUsed/>
    <w:rsid w:val="00DA5730"/>
    <w:pPr>
      <w:tabs>
        <w:tab w:val="left" w:pos="380"/>
        <w:tab w:val="left" w:pos="500"/>
      </w:tabs>
      <w:spacing w:after="240" w:line="240" w:lineRule="auto"/>
      <w:ind w:left="504" w:hanging="504"/>
    </w:pPr>
  </w:style>
  <w:style w:type="character" w:styleId="ac">
    <w:name w:val="Placeholder Text"/>
    <w:basedOn w:val="a0"/>
    <w:uiPriority w:val="99"/>
    <w:semiHidden/>
    <w:rsid w:val="00E42FC3"/>
    <w:rPr>
      <w:color w:val="808080"/>
    </w:rPr>
  </w:style>
  <w:style w:type="character" w:customStyle="1" w:styleId="3Char">
    <w:name w:val="标题 3 Char"/>
    <w:basedOn w:val="a0"/>
    <w:link w:val="3"/>
    <w:uiPriority w:val="9"/>
    <w:rsid w:val="003252A3"/>
    <w:rPr>
      <w:rFonts w:asciiTheme="majorHAnsi" w:eastAsiaTheme="majorEastAsia" w:hAnsiTheme="majorHAnsi" w:cstheme="majorBidi"/>
      <w:b/>
      <w:bCs/>
      <w:color w:val="4F81BD" w:themeColor="accent1"/>
      <w:lang w:val="en-US"/>
    </w:rPr>
  </w:style>
  <w:style w:type="table" w:styleId="ad">
    <w:name w:val="Light Grid"/>
    <w:basedOn w:val="a1"/>
    <w:uiPriority w:val="62"/>
    <w:rsid w:val="00AC27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e">
    <w:name w:val="FollowedHyperlink"/>
    <w:basedOn w:val="a0"/>
    <w:uiPriority w:val="99"/>
    <w:semiHidden/>
    <w:unhideWhenUsed/>
    <w:rsid w:val="0047503E"/>
    <w:rPr>
      <w:color w:val="800080" w:themeColor="followedHyperlink"/>
      <w:u w:val="single"/>
    </w:rPr>
  </w:style>
  <w:style w:type="paragraph" w:customStyle="1" w:styleId="11">
    <w:name w:val="正文1"/>
    <w:uiPriority w:val="99"/>
    <w:rsid w:val="00FA675C"/>
    <w:pPr>
      <w:spacing w:after="0"/>
    </w:pPr>
    <w:rPr>
      <w:rFonts w:ascii="Arial" w:hAnsi="Arial" w:cs="Arial"/>
      <w:color w:val="000000"/>
      <w:szCs w:val="20"/>
      <w:lang w:val="pl-PL" w:eastAsia="pl-PL"/>
    </w:rPr>
  </w:style>
  <w:style w:type="paragraph" w:styleId="af">
    <w:name w:val="header"/>
    <w:basedOn w:val="a"/>
    <w:link w:val="Char3"/>
    <w:uiPriority w:val="99"/>
    <w:unhideWhenUsed/>
    <w:rsid w:val="000A4F2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
    <w:uiPriority w:val="99"/>
    <w:rsid w:val="000A4F21"/>
    <w:rPr>
      <w:sz w:val="18"/>
      <w:szCs w:val="18"/>
      <w:lang w:val="en-US"/>
    </w:rPr>
  </w:style>
  <w:style w:type="paragraph" w:styleId="af0">
    <w:name w:val="footer"/>
    <w:basedOn w:val="a"/>
    <w:link w:val="Char4"/>
    <w:uiPriority w:val="99"/>
    <w:unhideWhenUsed/>
    <w:rsid w:val="000A4F21"/>
    <w:pPr>
      <w:tabs>
        <w:tab w:val="center" w:pos="4153"/>
        <w:tab w:val="right" w:pos="8306"/>
      </w:tabs>
      <w:snapToGrid w:val="0"/>
      <w:spacing w:line="240" w:lineRule="auto"/>
    </w:pPr>
    <w:rPr>
      <w:sz w:val="18"/>
      <w:szCs w:val="18"/>
    </w:rPr>
  </w:style>
  <w:style w:type="character" w:customStyle="1" w:styleId="Char4">
    <w:name w:val="页脚 Char"/>
    <w:basedOn w:val="a0"/>
    <w:link w:val="af0"/>
    <w:uiPriority w:val="99"/>
    <w:rsid w:val="000A4F21"/>
    <w:rPr>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72"/>
    <w:rPr>
      <w:lang w:val="en-US"/>
    </w:rPr>
  </w:style>
  <w:style w:type="paragraph" w:styleId="1">
    <w:name w:val="heading 1"/>
    <w:basedOn w:val="a"/>
    <w:next w:val="a"/>
    <w:link w:val="1Char"/>
    <w:uiPriority w:val="9"/>
    <w:qFormat/>
    <w:rsid w:val="004D523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E536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252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A72"/>
    <w:pPr>
      <w:ind w:left="720"/>
      <w:contextualSpacing/>
    </w:pPr>
  </w:style>
  <w:style w:type="table" w:styleId="a4">
    <w:name w:val="Table Grid"/>
    <w:basedOn w:val="a1"/>
    <w:uiPriority w:val="59"/>
    <w:rsid w:val="00436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a1"/>
    <w:uiPriority w:val="60"/>
    <w:rsid w:val="006B6C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Char"/>
    <w:uiPriority w:val="99"/>
    <w:semiHidden/>
    <w:unhideWhenUsed/>
    <w:rsid w:val="00017A16"/>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017A16"/>
    <w:rPr>
      <w:rFonts w:ascii="Tahoma" w:hAnsi="Tahoma" w:cs="Tahoma"/>
      <w:sz w:val="16"/>
      <w:szCs w:val="16"/>
      <w:lang w:val="en-US"/>
    </w:rPr>
  </w:style>
  <w:style w:type="character" w:styleId="a6">
    <w:name w:val="annotation reference"/>
    <w:basedOn w:val="a0"/>
    <w:uiPriority w:val="99"/>
    <w:semiHidden/>
    <w:unhideWhenUsed/>
    <w:rsid w:val="00563278"/>
    <w:rPr>
      <w:sz w:val="16"/>
      <w:szCs w:val="16"/>
    </w:rPr>
  </w:style>
  <w:style w:type="paragraph" w:styleId="a7">
    <w:name w:val="annotation text"/>
    <w:basedOn w:val="a"/>
    <w:link w:val="Char0"/>
    <w:uiPriority w:val="99"/>
    <w:semiHidden/>
    <w:unhideWhenUsed/>
    <w:rsid w:val="00563278"/>
    <w:pPr>
      <w:spacing w:line="240" w:lineRule="auto"/>
    </w:pPr>
    <w:rPr>
      <w:sz w:val="20"/>
      <w:szCs w:val="20"/>
    </w:rPr>
  </w:style>
  <w:style w:type="character" w:customStyle="1" w:styleId="Char0">
    <w:name w:val="批注文字 Char"/>
    <w:basedOn w:val="a0"/>
    <w:link w:val="a7"/>
    <w:uiPriority w:val="99"/>
    <w:semiHidden/>
    <w:rsid w:val="00563278"/>
    <w:rPr>
      <w:sz w:val="20"/>
      <w:szCs w:val="20"/>
      <w:lang w:val="en-US"/>
    </w:rPr>
  </w:style>
  <w:style w:type="paragraph" w:styleId="a8">
    <w:name w:val="annotation subject"/>
    <w:basedOn w:val="a7"/>
    <w:next w:val="a7"/>
    <w:link w:val="Char1"/>
    <w:uiPriority w:val="99"/>
    <w:semiHidden/>
    <w:unhideWhenUsed/>
    <w:rsid w:val="00563278"/>
    <w:rPr>
      <w:b/>
      <w:bCs/>
    </w:rPr>
  </w:style>
  <w:style w:type="character" w:customStyle="1" w:styleId="Char1">
    <w:name w:val="批注主题 Char"/>
    <w:basedOn w:val="Char0"/>
    <w:link w:val="a8"/>
    <w:uiPriority w:val="99"/>
    <w:semiHidden/>
    <w:rsid w:val="00563278"/>
    <w:rPr>
      <w:b/>
      <w:bCs/>
      <w:sz w:val="20"/>
      <w:szCs w:val="20"/>
      <w:lang w:val="en-US"/>
    </w:rPr>
  </w:style>
  <w:style w:type="table" w:customStyle="1" w:styleId="LightShading2">
    <w:name w:val="Light Shading2"/>
    <w:basedOn w:val="a1"/>
    <w:uiPriority w:val="60"/>
    <w:rsid w:val="004B54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Document Map"/>
    <w:basedOn w:val="a"/>
    <w:link w:val="Char2"/>
    <w:uiPriority w:val="99"/>
    <w:semiHidden/>
    <w:unhideWhenUsed/>
    <w:rsid w:val="005C169A"/>
    <w:pPr>
      <w:spacing w:after="0" w:line="240" w:lineRule="auto"/>
    </w:pPr>
    <w:rPr>
      <w:rFonts w:ascii="Tahoma" w:hAnsi="Tahoma" w:cs="Tahoma"/>
      <w:sz w:val="16"/>
      <w:szCs w:val="16"/>
    </w:rPr>
  </w:style>
  <w:style w:type="character" w:customStyle="1" w:styleId="Char2">
    <w:name w:val="文档结构图 Char"/>
    <w:basedOn w:val="a0"/>
    <w:link w:val="a9"/>
    <w:uiPriority w:val="99"/>
    <w:semiHidden/>
    <w:rsid w:val="005C169A"/>
    <w:rPr>
      <w:rFonts w:ascii="Tahoma" w:hAnsi="Tahoma" w:cs="Tahoma"/>
      <w:sz w:val="16"/>
      <w:szCs w:val="16"/>
      <w:lang w:val="en-US"/>
    </w:rPr>
  </w:style>
  <w:style w:type="character" w:styleId="aa">
    <w:name w:val="Hyperlink"/>
    <w:basedOn w:val="a0"/>
    <w:uiPriority w:val="99"/>
    <w:unhideWhenUsed/>
    <w:rsid w:val="006165B4"/>
    <w:rPr>
      <w:color w:val="0000FF" w:themeColor="hyperlink"/>
      <w:u w:val="single"/>
    </w:rPr>
  </w:style>
  <w:style w:type="character" w:customStyle="1" w:styleId="1Char">
    <w:name w:val="标题 1 Char"/>
    <w:basedOn w:val="a0"/>
    <w:link w:val="1"/>
    <w:uiPriority w:val="9"/>
    <w:rsid w:val="004D5238"/>
    <w:rPr>
      <w:rFonts w:asciiTheme="majorHAnsi" w:eastAsiaTheme="majorEastAsia" w:hAnsiTheme="majorHAnsi" w:cstheme="majorBidi"/>
      <w:b/>
      <w:bCs/>
      <w:color w:val="345A8A" w:themeColor="accent1" w:themeShade="B5"/>
      <w:sz w:val="32"/>
      <w:szCs w:val="32"/>
      <w:lang w:val="en-US"/>
    </w:rPr>
  </w:style>
  <w:style w:type="paragraph" w:styleId="TOC">
    <w:name w:val="TOC Heading"/>
    <w:basedOn w:val="1"/>
    <w:next w:val="a"/>
    <w:uiPriority w:val="39"/>
    <w:unhideWhenUsed/>
    <w:qFormat/>
    <w:rsid w:val="004D5238"/>
    <w:pPr>
      <w:outlineLvl w:val="9"/>
    </w:pPr>
    <w:rPr>
      <w:color w:val="365F91" w:themeColor="accent1" w:themeShade="BF"/>
      <w:sz w:val="28"/>
      <w:szCs w:val="28"/>
    </w:rPr>
  </w:style>
  <w:style w:type="paragraph" w:styleId="10">
    <w:name w:val="toc 1"/>
    <w:basedOn w:val="a"/>
    <w:next w:val="a"/>
    <w:autoRedefine/>
    <w:uiPriority w:val="39"/>
    <w:unhideWhenUsed/>
    <w:rsid w:val="004D5238"/>
    <w:pPr>
      <w:spacing w:before="120" w:after="0"/>
    </w:pPr>
    <w:rPr>
      <w:b/>
      <w:sz w:val="24"/>
      <w:szCs w:val="24"/>
    </w:rPr>
  </w:style>
  <w:style w:type="paragraph" w:styleId="20">
    <w:name w:val="toc 2"/>
    <w:basedOn w:val="a"/>
    <w:next w:val="a"/>
    <w:autoRedefine/>
    <w:uiPriority w:val="39"/>
    <w:unhideWhenUsed/>
    <w:rsid w:val="004D5238"/>
    <w:pPr>
      <w:spacing w:after="0"/>
      <w:ind w:left="220"/>
    </w:pPr>
    <w:rPr>
      <w:b/>
    </w:rPr>
  </w:style>
  <w:style w:type="paragraph" w:styleId="30">
    <w:name w:val="toc 3"/>
    <w:basedOn w:val="a"/>
    <w:next w:val="a"/>
    <w:autoRedefine/>
    <w:uiPriority w:val="39"/>
    <w:unhideWhenUsed/>
    <w:rsid w:val="004D5238"/>
    <w:pPr>
      <w:spacing w:after="0"/>
      <w:ind w:left="440"/>
    </w:pPr>
  </w:style>
  <w:style w:type="paragraph" w:styleId="4">
    <w:name w:val="toc 4"/>
    <w:basedOn w:val="a"/>
    <w:next w:val="a"/>
    <w:autoRedefine/>
    <w:uiPriority w:val="39"/>
    <w:semiHidden/>
    <w:unhideWhenUsed/>
    <w:rsid w:val="004D5238"/>
    <w:pPr>
      <w:spacing w:after="0"/>
      <w:ind w:left="660"/>
    </w:pPr>
    <w:rPr>
      <w:sz w:val="20"/>
      <w:szCs w:val="20"/>
    </w:rPr>
  </w:style>
  <w:style w:type="paragraph" w:styleId="5">
    <w:name w:val="toc 5"/>
    <w:basedOn w:val="a"/>
    <w:next w:val="a"/>
    <w:autoRedefine/>
    <w:uiPriority w:val="39"/>
    <w:semiHidden/>
    <w:unhideWhenUsed/>
    <w:rsid w:val="004D5238"/>
    <w:pPr>
      <w:spacing w:after="0"/>
      <w:ind w:left="880"/>
    </w:pPr>
    <w:rPr>
      <w:sz w:val="20"/>
      <w:szCs w:val="20"/>
    </w:rPr>
  </w:style>
  <w:style w:type="paragraph" w:styleId="6">
    <w:name w:val="toc 6"/>
    <w:basedOn w:val="a"/>
    <w:next w:val="a"/>
    <w:autoRedefine/>
    <w:uiPriority w:val="39"/>
    <w:semiHidden/>
    <w:unhideWhenUsed/>
    <w:rsid w:val="004D5238"/>
    <w:pPr>
      <w:spacing w:after="0"/>
      <w:ind w:left="1100"/>
    </w:pPr>
    <w:rPr>
      <w:sz w:val="20"/>
      <w:szCs w:val="20"/>
    </w:rPr>
  </w:style>
  <w:style w:type="paragraph" w:styleId="7">
    <w:name w:val="toc 7"/>
    <w:basedOn w:val="a"/>
    <w:next w:val="a"/>
    <w:autoRedefine/>
    <w:uiPriority w:val="39"/>
    <w:semiHidden/>
    <w:unhideWhenUsed/>
    <w:rsid w:val="004D5238"/>
    <w:pPr>
      <w:spacing w:after="0"/>
      <w:ind w:left="1320"/>
    </w:pPr>
    <w:rPr>
      <w:sz w:val="20"/>
      <w:szCs w:val="20"/>
    </w:rPr>
  </w:style>
  <w:style w:type="paragraph" w:styleId="8">
    <w:name w:val="toc 8"/>
    <w:basedOn w:val="a"/>
    <w:next w:val="a"/>
    <w:autoRedefine/>
    <w:uiPriority w:val="39"/>
    <w:semiHidden/>
    <w:unhideWhenUsed/>
    <w:rsid w:val="004D5238"/>
    <w:pPr>
      <w:spacing w:after="0"/>
      <w:ind w:left="1540"/>
    </w:pPr>
    <w:rPr>
      <w:sz w:val="20"/>
      <w:szCs w:val="20"/>
    </w:rPr>
  </w:style>
  <w:style w:type="paragraph" w:styleId="9">
    <w:name w:val="toc 9"/>
    <w:basedOn w:val="a"/>
    <w:next w:val="a"/>
    <w:autoRedefine/>
    <w:uiPriority w:val="39"/>
    <w:semiHidden/>
    <w:unhideWhenUsed/>
    <w:rsid w:val="004D5238"/>
    <w:pPr>
      <w:spacing w:after="0"/>
      <w:ind w:left="1760"/>
    </w:pPr>
    <w:rPr>
      <w:sz w:val="20"/>
      <w:szCs w:val="20"/>
    </w:rPr>
  </w:style>
  <w:style w:type="character" w:customStyle="1" w:styleId="2Char">
    <w:name w:val="标题 2 Char"/>
    <w:basedOn w:val="a0"/>
    <w:link w:val="2"/>
    <w:uiPriority w:val="9"/>
    <w:rsid w:val="00E5369D"/>
    <w:rPr>
      <w:rFonts w:asciiTheme="majorHAnsi" w:eastAsiaTheme="majorEastAsia" w:hAnsiTheme="majorHAnsi" w:cstheme="majorBidi"/>
      <w:b/>
      <w:bCs/>
      <w:color w:val="4F81BD" w:themeColor="accent1"/>
      <w:sz w:val="26"/>
      <w:szCs w:val="26"/>
      <w:lang w:val="en-US"/>
    </w:rPr>
  </w:style>
  <w:style w:type="paragraph" w:styleId="ab">
    <w:name w:val="Bibliography"/>
    <w:basedOn w:val="a"/>
    <w:next w:val="a"/>
    <w:uiPriority w:val="37"/>
    <w:unhideWhenUsed/>
    <w:rsid w:val="00DA5730"/>
    <w:pPr>
      <w:tabs>
        <w:tab w:val="left" w:pos="380"/>
        <w:tab w:val="left" w:pos="500"/>
      </w:tabs>
      <w:spacing w:after="240" w:line="240" w:lineRule="auto"/>
      <w:ind w:left="504" w:hanging="504"/>
    </w:pPr>
  </w:style>
  <w:style w:type="character" w:styleId="ac">
    <w:name w:val="Placeholder Text"/>
    <w:basedOn w:val="a0"/>
    <w:uiPriority w:val="99"/>
    <w:semiHidden/>
    <w:rsid w:val="00E42FC3"/>
    <w:rPr>
      <w:color w:val="808080"/>
    </w:rPr>
  </w:style>
  <w:style w:type="character" w:customStyle="1" w:styleId="3Char">
    <w:name w:val="标题 3 Char"/>
    <w:basedOn w:val="a0"/>
    <w:link w:val="3"/>
    <w:uiPriority w:val="9"/>
    <w:rsid w:val="003252A3"/>
    <w:rPr>
      <w:rFonts w:asciiTheme="majorHAnsi" w:eastAsiaTheme="majorEastAsia" w:hAnsiTheme="majorHAnsi" w:cstheme="majorBidi"/>
      <w:b/>
      <w:bCs/>
      <w:color w:val="4F81BD" w:themeColor="accent1"/>
      <w:lang w:val="en-US"/>
    </w:rPr>
  </w:style>
  <w:style w:type="table" w:styleId="ad">
    <w:name w:val="Light Grid"/>
    <w:basedOn w:val="a1"/>
    <w:uiPriority w:val="62"/>
    <w:rsid w:val="00AC27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e">
    <w:name w:val="FollowedHyperlink"/>
    <w:basedOn w:val="a0"/>
    <w:uiPriority w:val="99"/>
    <w:semiHidden/>
    <w:unhideWhenUsed/>
    <w:rsid w:val="0047503E"/>
    <w:rPr>
      <w:color w:val="800080" w:themeColor="followedHyperlink"/>
      <w:u w:val="single"/>
    </w:rPr>
  </w:style>
  <w:style w:type="paragraph" w:customStyle="1" w:styleId="11">
    <w:name w:val="正文1"/>
    <w:uiPriority w:val="99"/>
    <w:rsid w:val="00FA675C"/>
    <w:pPr>
      <w:spacing w:after="0"/>
    </w:pPr>
    <w:rPr>
      <w:rFonts w:ascii="Arial" w:hAnsi="Arial" w:cs="Arial"/>
      <w:color w:val="000000"/>
      <w:szCs w:val="20"/>
      <w:lang w:val="pl-PL" w:eastAsia="pl-PL"/>
    </w:rPr>
  </w:style>
  <w:style w:type="paragraph" w:styleId="af">
    <w:name w:val="header"/>
    <w:basedOn w:val="a"/>
    <w:link w:val="Char3"/>
    <w:uiPriority w:val="99"/>
    <w:unhideWhenUsed/>
    <w:rsid w:val="000A4F2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
    <w:uiPriority w:val="99"/>
    <w:rsid w:val="000A4F21"/>
    <w:rPr>
      <w:sz w:val="18"/>
      <w:szCs w:val="18"/>
      <w:lang w:val="en-US"/>
    </w:rPr>
  </w:style>
  <w:style w:type="paragraph" w:styleId="af0">
    <w:name w:val="footer"/>
    <w:basedOn w:val="a"/>
    <w:link w:val="Char4"/>
    <w:uiPriority w:val="99"/>
    <w:unhideWhenUsed/>
    <w:rsid w:val="000A4F21"/>
    <w:pPr>
      <w:tabs>
        <w:tab w:val="center" w:pos="4153"/>
        <w:tab w:val="right" w:pos="8306"/>
      </w:tabs>
      <w:snapToGrid w:val="0"/>
      <w:spacing w:line="240" w:lineRule="auto"/>
    </w:pPr>
    <w:rPr>
      <w:sz w:val="18"/>
      <w:szCs w:val="18"/>
    </w:rPr>
  </w:style>
  <w:style w:type="character" w:customStyle="1" w:styleId="Char4">
    <w:name w:val="页脚 Char"/>
    <w:basedOn w:val="a0"/>
    <w:link w:val="af0"/>
    <w:uiPriority w:val="99"/>
    <w:rsid w:val="000A4F21"/>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8201">
      <w:bodyDiv w:val="1"/>
      <w:marLeft w:val="0"/>
      <w:marRight w:val="0"/>
      <w:marTop w:val="0"/>
      <w:marBottom w:val="0"/>
      <w:divBdr>
        <w:top w:val="none" w:sz="0" w:space="0" w:color="auto"/>
        <w:left w:val="none" w:sz="0" w:space="0" w:color="auto"/>
        <w:bottom w:val="none" w:sz="0" w:space="0" w:color="auto"/>
        <w:right w:val="none" w:sz="0" w:space="0" w:color="auto"/>
      </w:divBdr>
    </w:div>
    <w:div w:id="433524760">
      <w:bodyDiv w:val="1"/>
      <w:marLeft w:val="0"/>
      <w:marRight w:val="0"/>
      <w:marTop w:val="0"/>
      <w:marBottom w:val="0"/>
      <w:divBdr>
        <w:top w:val="none" w:sz="0" w:space="0" w:color="auto"/>
        <w:left w:val="none" w:sz="0" w:space="0" w:color="auto"/>
        <w:bottom w:val="none" w:sz="0" w:space="0" w:color="auto"/>
        <w:right w:val="none" w:sz="0" w:space="0" w:color="auto"/>
      </w:divBdr>
      <w:divsChild>
        <w:div w:id="807207045">
          <w:marLeft w:val="0"/>
          <w:marRight w:val="0"/>
          <w:marTop w:val="0"/>
          <w:marBottom w:val="0"/>
          <w:divBdr>
            <w:top w:val="none" w:sz="0" w:space="0" w:color="auto"/>
            <w:left w:val="none" w:sz="0" w:space="0" w:color="auto"/>
            <w:bottom w:val="none" w:sz="0" w:space="0" w:color="auto"/>
            <w:right w:val="none" w:sz="0" w:space="0" w:color="auto"/>
          </w:divBdr>
        </w:div>
        <w:div w:id="1941717919">
          <w:marLeft w:val="0"/>
          <w:marRight w:val="0"/>
          <w:marTop w:val="0"/>
          <w:marBottom w:val="0"/>
          <w:divBdr>
            <w:top w:val="none" w:sz="0" w:space="0" w:color="auto"/>
            <w:left w:val="none" w:sz="0" w:space="0" w:color="auto"/>
            <w:bottom w:val="none" w:sz="0" w:space="0" w:color="auto"/>
            <w:right w:val="none" w:sz="0" w:space="0" w:color="auto"/>
          </w:divBdr>
        </w:div>
        <w:div w:id="948007774">
          <w:marLeft w:val="0"/>
          <w:marRight w:val="0"/>
          <w:marTop w:val="0"/>
          <w:marBottom w:val="0"/>
          <w:divBdr>
            <w:top w:val="none" w:sz="0" w:space="0" w:color="auto"/>
            <w:left w:val="none" w:sz="0" w:space="0" w:color="auto"/>
            <w:bottom w:val="none" w:sz="0" w:space="0" w:color="auto"/>
            <w:right w:val="none" w:sz="0" w:space="0" w:color="auto"/>
          </w:divBdr>
        </w:div>
        <w:div w:id="109713558">
          <w:marLeft w:val="0"/>
          <w:marRight w:val="0"/>
          <w:marTop w:val="0"/>
          <w:marBottom w:val="0"/>
          <w:divBdr>
            <w:top w:val="none" w:sz="0" w:space="0" w:color="auto"/>
            <w:left w:val="none" w:sz="0" w:space="0" w:color="auto"/>
            <w:bottom w:val="none" w:sz="0" w:space="0" w:color="auto"/>
            <w:right w:val="none" w:sz="0" w:space="0" w:color="auto"/>
          </w:divBdr>
        </w:div>
        <w:div w:id="1289047778">
          <w:marLeft w:val="0"/>
          <w:marRight w:val="0"/>
          <w:marTop w:val="0"/>
          <w:marBottom w:val="0"/>
          <w:divBdr>
            <w:top w:val="none" w:sz="0" w:space="0" w:color="auto"/>
            <w:left w:val="none" w:sz="0" w:space="0" w:color="auto"/>
            <w:bottom w:val="none" w:sz="0" w:space="0" w:color="auto"/>
            <w:right w:val="none" w:sz="0" w:space="0" w:color="auto"/>
          </w:divBdr>
        </w:div>
        <w:div w:id="1243642136">
          <w:marLeft w:val="0"/>
          <w:marRight w:val="0"/>
          <w:marTop w:val="0"/>
          <w:marBottom w:val="0"/>
          <w:divBdr>
            <w:top w:val="none" w:sz="0" w:space="0" w:color="auto"/>
            <w:left w:val="none" w:sz="0" w:space="0" w:color="auto"/>
            <w:bottom w:val="none" w:sz="0" w:space="0" w:color="auto"/>
            <w:right w:val="none" w:sz="0" w:space="0" w:color="auto"/>
          </w:divBdr>
        </w:div>
        <w:div w:id="1112239914">
          <w:marLeft w:val="0"/>
          <w:marRight w:val="0"/>
          <w:marTop w:val="0"/>
          <w:marBottom w:val="0"/>
          <w:divBdr>
            <w:top w:val="none" w:sz="0" w:space="0" w:color="auto"/>
            <w:left w:val="none" w:sz="0" w:space="0" w:color="auto"/>
            <w:bottom w:val="none" w:sz="0" w:space="0" w:color="auto"/>
            <w:right w:val="none" w:sz="0" w:space="0" w:color="auto"/>
          </w:divBdr>
        </w:div>
        <w:div w:id="1145665953">
          <w:marLeft w:val="0"/>
          <w:marRight w:val="0"/>
          <w:marTop w:val="0"/>
          <w:marBottom w:val="0"/>
          <w:divBdr>
            <w:top w:val="none" w:sz="0" w:space="0" w:color="auto"/>
            <w:left w:val="none" w:sz="0" w:space="0" w:color="auto"/>
            <w:bottom w:val="none" w:sz="0" w:space="0" w:color="auto"/>
            <w:right w:val="none" w:sz="0" w:space="0" w:color="auto"/>
          </w:divBdr>
        </w:div>
        <w:div w:id="865485615">
          <w:marLeft w:val="0"/>
          <w:marRight w:val="0"/>
          <w:marTop w:val="0"/>
          <w:marBottom w:val="0"/>
          <w:divBdr>
            <w:top w:val="none" w:sz="0" w:space="0" w:color="auto"/>
            <w:left w:val="none" w:sz="0" w:space="0" w:color="auto"/>
            <w:bottom w:val="none" w:sz="0" w:space="0" w:color="auto"/>
            <w:right w:val="none" w:sz="0" w:space="0" w:color="auto"/>
          </w:divBdr>
        </w:div>
        <w:div w:id="95710309">
          <w:marLeft w:val="0"/>
          <w:marRight w:val="0"/>
          <w:marTop w:val="0"/>
          <w:marBottom w:val="0"/>
          <w:divBdr>
            <w:top w:val="none" w:sz="0" w:space="0" w:color="auto"/>
            <w:left w:val="none" w:sz="0" w:space="0" w:color="auto"/>
            <w:bottom w:val="none" w:sz="0" w:space="0" w:color="auto"/>
            <w:right w:val="none" w:sz="0" w:space="0" w:color="auto"/>
          </w:divBdr>
        </w:div>
        <w:div w:id="2132088704">
          <w:marLeft w:val="0"/>
          <w:marRight w:val="0"/>
          <w:marTop w:val="0"/>
          <w:marBottom w:val="0"/>
          <w:divBdr>
            <w:top w:val="none" w:sz="0" w:space="0" w:color="auto"/>
            <w:left w:val="none" w:sz="0" w:space="0" w:color="auto"/>
            <w:bottom w:val="none" w:sz="0" w:space="0" w:color="auto"/>
            <w:right w:val="none" w:sz="0" w:space="0" w:color="auto"/>
          </w:divBdr>
        </w:div>
      </w:divsChild>
    </w:div>
    <w:div w:id="542253762">
      <w:bodyDiv w:val="1"/>
      <w:marLeft w:val="0"/>
      <w:marRight w:val="0"/>
      <w:marTop w:val="0"/>
      <w:marBottom w:val="0"/>
      <w:divBdr>
        <w:top w:val="none" w:sz="0" w:space="0" w:color="auto"/>
        <w:left w:val="none" w:sz="0" w:space="0" w:color="auto"/>
        <w:bottom w:val="none" w:sz="0" w:space="0" w:color="auto"/>
        <w:right w:val="none" w:sz="0" w:space="0" w:color="auto"/>
      </w:divBdr>
    </w:div>
    <w:div w:id="648288869">
      <w:bodyDiv w:val="1"/>
      <w:marLeft w:val="0"/>
      <w:marRight w:val="0"/>
      <w:marTop w:val="0"/>
      <w:marBottom w:val="0"/>
      <w:divBdr>
        <w:top w:val="none" w:sz="0" w:space="0" w:color="auto"/>
        <w:left w:val="none" w:sz="0" w:space="0" w:color="auto"/>
        <w:bottom w:val="none" w:sz="0" w:space="0" w:color="auto"/>
        <w:right w:val="none" w:sz="0" w:space="0" w:color="auto"/>
      </w:divBdr>
    </w:div>
    <w:div w:id="677343278">
      <w:bodyDiv w:val="1"/>
      <w:marLeft w:val="0"/>
      <w:marRight w:val="0"/>
      <w:marTop w:val="0"/>
      <w:marBottom w:val="0"/>
      <w:divBdr>
        <w:top w:val="none" w:sz="0" w:space="0" w:color="auto"/>
        <w:left w:val="none" w:sz="0" w:space="0" w:color="auto"/>
        <w:bottom w:val="none" w:sz="0" w:space="0" w:color="auto"/>
        <w:right w:val="none" w:sz="0" w:space="0" w:color="auto"/>
      </w:divBdr>
      <w:divsChild>
        <w:div w:id="1095590687">
          <w:marLeft w:val="0"/>
          <w:marRight w:val="0"/>
          <w:marTop w:val="0"/>
          <w:marBottom w:val="0"/>
          <w:divBdr>
            <w:top w:val="none" w:sz="0" w:space="0" w:color="auto"/>
            <w:left w:val="none" w:sz="0" w:space="0" w:color="auto"/>
            <w:bottom w:val="none" w:sz="0" w:space="0" w:color="auto"/>
            <w:right w:val="none" w:sz="0" w:space="0" w:color="auto"/>
          </w:divBdr>
        </w:div>
        <w:div w:id="1092777055">
          <w:marLeft w:val="0"/>
          <w:marRight w:val="0"/>
          <w:marTop w:val="0"/>
          <w:marBottom w:val="0"/>
          <w:divBdr>
            <w:top w:val="none" w:sz="0" w:space="0" w:color="auto"/>
            <w:left w:val="none" w:sz="0" w:space="0" w:color="auto"/>
            <w:bottom w:val="none" w:sz="0" w:space="0" w:color="auto"/>
            <w:right w:val="none" w:sz="0" w:space="0" w:color="auto"/>
          </w:divBdr>
        </w:div>
        <w:div w:id="2132432846">
          <w:marLeft w:val="0"/>
          <w:marRight w:val="0"/>
          <w:marTop w:val="0"/>
          <w:marBottom w:val="0"/>
          <w:divBdr>
            <w:top w:val="none" w:sz="0" w:space="0" w:color="auto"/>
            <w:left w:val="none" w:sz="0" w:space="0" w:color="auto"/>
            <w:bottom w:val="none" w:sz="0" w:space="0" w:color="auto"/>
            <w:right w:val="none" w:sz="0" w:space="0" w:color="auto"/>
          </w:divBdr>
        </w:div>
      </w:divsChild>
    </w:div>
    <w:div w:id="762261733">
      <w:bodyDiv w:val="1"/>
      <w:marLeft w:val="0"/>
      <w:marRight w:val="0"/>
      <w:marTop w:val="0"/>
      <w:marBottom w:val="0"/>
      <w:divBdr>
        <w:top w:val="none" w:sz="0" w:space="0" w:color="auto"/>
        <w:left w:val="none" w:sz="0" w:space="0" w:color="auto"/>
        <w:bottom w:val="none" w:sz="0" w:space="0" w:color="auto"/>
        <w:right w:val="none" w:sz="0" w:space="0" w:color="auto"/>
      </w:divBdr>
      <w:divsChild>
        <w:div w:id="1382435785">
          <w:marLeft w:val="0"/>
          <w:marRight w:val="0"/>
          <w:marTop w:val="0"/>
          <w:marBottom w:val="0"/>
          <w:divBdr>
            <w:top w:val="none" w:sz="0" w:space="0" w:color="auto"/>
            <w:left w:val="none" w:sz="0" w:space="0" w:color="auto"/>
            <w:bottom w:val="none" w:sz="0" w:space="0" w:color="auto"/>
            <w:right w:val="none" w:sz="0" w:space="0" w:color="auto"/>
          </w:divBdr>
        </w:div>
        <w:div w:id="2147234820">
          <w:marLeft w:val="0"/>
          <w:marRight w:val="0"/>
          <w:marTop w:val="0"/>
          <w:marBottom w:val="0"/>
          <w:divBdr>
            <w:top w:val="none" w:sz="0" w:space="0" w:color="auto"/>
            <w:left w:val="none" w:sz="0" w:space="0" w:color="auto"/>
            <w:bottom w:val="none" w:sz="0" w:space="0" w:color="auto"/>
            <w:right w:val="none" w:sz="0" w:space="0" w:color="auto"/>
          </w:divBdr>
        </w:div>
        <w:div w:id="142626743">
          <w:marLeft w:val="0"/>
          <w:marRight w:val="0"/>
          <w:marTop w:val="0"/>
          <w:marBottom w:val="0"/>
          <w:divBdr>
            <w:top w:val="none" w:sz="0" w:space="0" w:color="auto"/>
            <w:left w:val="none" w:sz="0" w:space="0" w:color="auto"/>
            <w:bottom w:val="none" w:sz="0" w:space="0" w:color="auto"/>
            <w:right w:val="none" w:sz="0" w:space="0" w:color="auto"/>
          </w:divBdr>
        </w:div>
      </w:divsChild>
    </w:div>
    <w:div w:id="798688068">
      <w:bodyDiv w:val="1"/>
      <w:marLeft w:val="0"/>
      <w:marRight w:val="0"/>
      <w:marTop w:val="0"/>
      <w:marBottom w:val="0"/>
      <w:divBdr>
        <w:top w:val="none" w:sz="0" w:space="0" w:color="auto"/>
        <w:left w:val="none" w:sz="0" w:space="0" w:color="auto"/>
        <w:bottom w:val="none" w:sz="0" w:space="0" w:color="auto"/>
        <w:right w:val="none" w:sz="0" w:space="0" w:color="auto"/>
      </w:divBdr>
      <w:divsChild>
        <w:div w:id="442190997">
          <w:marLeft w:val="0"/>
          <w:marRight w:val="0"/>
          <w:marTop w:val="0"/>
          <w:marBottom w:val="0"/>
          <w:divBdr>
            <w:top w:val="none" w:sz="0" w:space="0" w:color="auto"/>
            <w:left w:val="none" w:sz="0" w:space="0" w:color="auto"/>
            <w:bottom w:val="none" w:sz="0" w:space="0" w:color="auto"/>
            <w:right w:val="none" w:sz="0" w:space="0" w:color="auto"/>
          </w:divBdr>
        </w:div>
        <w:div w:id="486215839">
          <w:marLeft w:val="0"/>
          <w:marRight w:val="0"/>
          <w:marTop w:val="0"/>
          <w:marBottom w:val="0"/>
          <w:divBdr>
            <w:top w:val="none" w:sz="0" w:space="0" w:color="auto"/>
            <w:left w:val="none" w:sz="0" w:space="0" w:color="auto"/>
            <w:bottom w:val="none" w:sz="0" w:space="0" w:color="auto"/>
            <w:right w:val="none" w:sz="0" w:space="0" w:color="auto"/>
          </w:divBdr>
        </w:div>
        <w:div w:id="735397454">
          <w:marLeft w:val="0"/>
          <w:marRight w:val="0"/>
          <w:marTop w:val="0"/>
          <w:marBottom w:val="0"/>
          <w:divBdr>
            <w:top w:val="none" w:sz="0" w:space="0" w:color="auto"/>
            <w:left w:val="none" w:sz="0" w:space="0" w:color="auto"/>
            <w:bottom w:val="none" w:sz="0" w:space="0" w:color="auto"/>
            <w:right w:val="none" w:sz="0" w:space="0" w:color="auto"/>
          </w:divBdr>
        </w:div>
      </w:divsChild>
    </w:div>
    <w:div w:id="890577525">
      <w:bodyDiv w:val="1"/>
      <w:marLeft w:val="0"/>
      <w:marRight w:val="0"/>
      <w:marTop w:val="0"/>
      <w:marBottom w:val="0"/>
      <w:divBdr>
        <w:top w:val="none" w:sz="0" w:space="0" w:color="auto"/>
        <w:left w:val="none" w:sz="0" w:space="0" w:color="auto"/>
        <w:bottom w:val="none" w:sz="0" w:space="0" w:color="auto"/>
        <w:right w:val="none" w:sz="0" w:space="0" w:color="auto"/>
      </w:divBdr>
      <w:divsChild>
        <w:div w:id="1619681274">
          <w:marLeft w:val="0"/>
          <w:marRight w:val="0"/>
          <w:marTop w:val="0"/>
          <w:marBottom w:val="0"/>
          <w:divBdr>
            <w:top w:val="none" w:sz="0" w:space="0" w:color="auto"/>
            <w:left w:val="none" w:sz="0" w:space="0" w:color="auto"/>
            <w:bottom w:val="none" w:sz="0" w:space="0" w:color="auto"/>
            <w:right w:val="none" w:sz="0" w:space="0" w:color="auto"/>
          </w:divBdr>
        </w:div>
        <w:div w:id="268315055">
          <w:marLeft w:val="0"/>
          <w:marRight w:val="0"/>
          <w:marTop w:val="0"/>
          <w:marBottom w:val="0"/>
          <w:divBdr>
            <w:top w:val="none" w:sz="0" w:space="0" w:color="auto"/>
            <w:left w:val="none" w:sz="0" w:space="0" w:color="auto"/>
            <w:bottom w:val="none" w:sz="0" w:space="0" w:color="auto"/>
            <w:right w:val="none" w:sz="0" w:space="0" w:color="auto"/>
          </w:divBdr>
        </w:div>
        <w:div w:id="641738803">
          <w:marLeft w:val="0"/>
          <w:marRight w:val="0"/>
          <w:marTop w:val="0"/>
          <w:marBottom w:val="0"/>
          <w:divBdr>
            <w:top w:val="none" w:sz="0" w:space="0" w:color="auto"/>
            <w:left w:val="none" w:sz="0" w:space="0" w:color="auto"/>
            <w:bottom w:val="none" w:sz="0" w:space="0" w:color="auto"/>
            <w:right w:val="none" w:sz="0" w:space="0" w:color="auto"/>
          </w:divBdr>
        </w:div>
        <w:div w:id="1284196325">
          <w:marLeft w:val="0"/>
          <w:marRight w:val="0"/>
          <w:marTop w:val="0"/>
          <w:marBottom w:val="0"/>
          <w:divBdr>
            <w:top w:val="none" w:sz="0" w:space="0" w:color="auto"/>
            <w:left w:val="none" w:sz="0" w:space="0" w:color="auto"/>
            <w:bottom w:val="none" w:sz="0" w:space="0" w:color="auto"/>
            <w:right w:val="none" w:sz="0" w:space="0" w:color="auto"/>
          </w:divBdr>
        </w:div>
        <w:div w:id="1108702003">
          <w:marLeft w:val="0"/>
          <w:marRight w:val="0"/>
          <w:marTop w:val="0"/>
          <w:marBottom w:val="0"/>
          <w:divBdr>
            <w:top w:val="none" w:sz="0" w:space="0" w:color="auto"/>
            <w:left w:val="none" w:sz="0" w:space="0" w:color="auto"/>
            <w:bottom w:val="none" w:sz="0" w:space="0" w:color="auto"/>
            <w:right w:val="none" w:sz="0" w:space="0" w:color="auto"/>
          </w:divBdr>
        </w:div>
        <w:div w:id="308558467">
          <w:marLeft w:val="0"/>
          <w:marRight w:val="0"/>
          <w:marTop w:val="0"/>
          <w:marBottom w:val="0"/>
          <w:divBdr>
            <w:top w:val="none" w:sz="0" w:space="0" w:color="auto"/>
            <w:left w:val="none" w:sz="0" w:space="0" w:color="auto"/>
            <w:bottom w:val="none" w:sz="0" w:space="0" w:color="auto"/>
            <w:right w:val="none" w:sz="0" w:space="0" w:color="auto"/>
          </w:divBdr>
        </w:div>
        <w:div w:id="1124956937">
          <w:marLeft w:val="0"/>
          <w:marRight w:val="0"/>
          <w:marTop w:val="0"/>
          <w:marBottom w:val="0"/>
          <w:divBdr>
            <w:top w:val="none" w:sz="0" w:space="0" w:color="auto"/>
            <w:left w:val="none" w:sz="0" w:space="0" w:color="auto"/>
            <w:bottom w:val="none" w:sz="0" w:space="0" w:color="auto"/>
            <w:right w:val="none" w:sz="0" w:space="0" w:color="auto"/>
          </w:divBdr>
        </w:div>
        <w:div w:id="1084453460">
          <w:marLeft w:val="0"/>
          <w:marRight w:val="0"/>
          <w:marTop w:val="0"/>
          <w:marBottom w:val="0"/>
          <w:divBdr>
            <w:top w:val="none" w:sz="0" w:space="0" w:color="auto"/>
            <w:left w:val="none" w:sz="0" w:space="0" w:color="auto"/>
            <w:bottom w:val="none" w:sz="0" w:space="0" w:color="auto"/>
            <w:right w:val="none" w:sz="0" w:space="0" w:color="auto"/>
          </w:divBdr>
        </w:div>
        <w:div w:id="462818950">
          <w:marLeft w:val="0"/>
          <w:marRight w:val="0"/>
          <w:marTop w:val="0"/>
          <w:marBottom w:val="0"/>
          <w:divBdr>
            <w:top w:val="none" w:sz="0" w:space="0" w:color="auto"/>
            <w:left w:val="none" w:sz="0" w:space="0" w:color="auto"/>
            <w:bottom w:val="none" w:sz="0" w:space="0" w:color="auto"/>
            <w:right w:val="none" w:sz="0" w:space="0" w:color="auto"/>
          </w:divBdr>
        </w:div>
        <w:div w:id="989484722">
          <w:marLeft w:val="0"/>
          <w:marRight w:val="0"/>
          <w:marTop w:val="0"/>
          <w:marBottom w:val="0"/>
          <w:divBdr>
            <w:top w:val="none" w:sz="0" w:space="0" w:color="auto"/>
            <w:left w:val="none" w:sz="0" w:space="0" w:color="auto"/>
            <w:bottom w:val="none" w:sz="0" w:space="0" w:color="auto"/>
            <w:right w:val="none" w:sz="0" w:space="0" w:color="auto"/>
          </w:divBdr>
        </w:div>
        <w:div w:id="170727340">
          <w:marLeft w:val="0"/>
          <w:marRight w:val="0"/>
          <w:marTop w:val="0"/>
          <w:marBottom w:val="0"/>
          <w:divBdr>
            <w:top w:val="none" w:sz="0" w:space="0" w:color="auto"/>
            <w:left w:val="none" w:sz="0" w:space="0" w:color="auto"/>
            <w:bottom w:val="none" w:sz="0" w:space="0" w:color="auto"/>
            <w:right w:val="none" w:sz="0" w:space="0" w:color="auto"/>
          </w:divBdr>
        </w:div>
        <w:div w:id="1098714075">
          <w:marLeft w:val="0"/>
          <w:marRight w:val="0"/>
          <w:marTop w:val="0"/>
          <w:marBottom w:val="0"/>
          <w:divBdr>
            <w:top w:val="none" w:sz="0" w:space="0" w:color="auto"/>
            <w:left w:val="none" w:sz="0" w:space="0" w:color="auto"/>
            <w:bottom w:val="none" w:sz="0" w:space="0" w:color="auto"/>
            <w:right w:val="none" w:sz="0" w:space="0" w:color="auto"/>
          </w:divBdr>
        </w:div>
        <w:div w:id="1533957622">
          <w:marLeft w:val="0"/>
          <w:marRight w:val="0"/>
          <w:marTop w:val="0"/>
          <w:marBottom w:val="0"/>
          <w:divBdr>
            <w:top w:val="none" w:sz="0" w:space="0" w:color="auto"/>
            <w:left w:val="none" w:sz="0" w:space="0" w:color="auto"/>
            <w:bottom w:val="none" w:sz="0" w:space="0" w:color="auto"/>
            <w:right w:val="none" w:sz="0" w:space="0" w:color="auto"/>
          </w:divBdr>
        </w:div>
        <w:div w:id="1437863888">
          <w:marLeft w:val="0"/>
          <w:marRight w:val="0"/>
          <w:marTop w:val="0"/>
          <w:marBottom w:val="0"/>
          <w:divBdr>
            <w:top w:val="none" w:sz="0" w:space="0" w:color="auto"/>
            <w:left w:val="none" w:sz="0" w:space="0" w:color="auto"/>
            <w:bottom w:val="none" w:sz="0" w:space="0" w:color="auto"/>
            <w:right w:val="none" w:sz="0" w:space="0" w:color="auto"/>
          </w:divBdr>
        </w:div>
        <w:div w:id="949163492">
          <w:marLeft w:val="0"/>
          <w:marRight w:val="0"/>
          <w:marTop w:val="0"/>
          <w:marBottom w:val="0"/>
          <w:divBdr>
            <w:top w:val="none" w:sz="0" w:space="0" w:color="auto"/>
            <w:left w:val="none" w:sz="0" w:space="0" w:color="auto"/>
            <w:bottom w:val="none" w:sz="0" w:space="0" w:color="auto"/>
            <w:right w:val="none" w:sz="0" w:space="0" w:color="auto"/>
          </w:divBdr>
        </w:div>
        <w:div w:id="1319384823">
          <w:marLeft w:val="0"/>
          <w:marRight w:val="0"/>
          <w:marTop w:val="0"/>
          <w:marBottom w:val="0"/>
          <w:divBdr>
            <w:top w:val="none" w:sz="0" w:space="0" w:color="auto"/>
            <w:left w:val="none" w:sz="0" w:space="0" w:color="auto"/>
            <w:bottom w:val="none" w:sz="0" w:space="0" w:color="auto"/>
            <w:right w:val="none" w:sz="0" w:space="0" w:color="auto"/>
          </w:divBdr>
        </w:div>
        <w:div w:id="874386454">
          <w:marLeft w:val="0"/>
          <w:marRight w:val="0"/>
          <w:marTop w:val="0"/>
          <w:marBottom w:val="0"/>
          <w:divBdr>
            <w:top w:val="none" w:sz="0" w:space="0" w:color="auto"/>
            <w:left w:val="none" w:sz="0" w:space="0" w:color="auto"/>
            <w:bottom w:val="none" w:sz="0" w:space="0" w:color="auto"/>
            <w:right w:val="none" w:sz="0" w:space="0" w:color="auto"/>
          </w:divBdr>
        </w:div>
        <w:div w:id="239213674">
          <w:marLeft w:val="0"/>
          <w:marRight w:val="0"/>
          <w:marTop w:val="0"/>
          <w:marBottom w:val="0"/>
          <w:divBdr>
            <w:top w:val="none" w:sz="0" w:space="0" w:color="auto"/>
            <w:left w:val="none" w:sz="0" w:space="0" w:color="auto"/>
            <w:bottom w:val="none" w:sz="0" w:space="0" w:color="auto"/>
            <w:right w:val="none" w:sz="0" w:space="0" w:color="auto"/>
          </w:divBdr>
        </w:div>
        <w:div w:id="224294070">
          <w:marLeft w:val="0"/>
          <w:marRight w:val="0"/>
          <w:marTop w:val="0"/>
          <w:marBottom w:val="0"/>
          <w:divBdr>
            <w:top w:val="none" w:sz="0" w:space="0" w:color="auto"/>
            <w:left w:val="none" w:sz="0" w:space="0" w:color="auto"/>
            <w:bottom w:val="none" w:sz="0" w:space="0" w:color="auto"/>
            <w:right w:val="none" w:sz="0" w:space="0" w:color="auto"/>
          </w:divBdr>
        </w:div>
        <w:div w:id="423309318">
          <w:marLeft w:val="0"/>
          <w:marRight w:val="0"/>
          <w:marTop w:val="0"/>
          <w:marBottom w:val="0"/>
          <w:divBdr>
            <w:top w:val="none" w:sz="0" w:space="0" w:color="auto"/>
            <w:left w:val="none" w:sz="0" w:space="0" w:color="auto"/>
            <w:bottom w:val="none" w:sz="0" w:space="0" w:color="auto"/>
            <w:right w:val="none" w:sz="0" w:space="0" w:color="auto"/>
          </w:divBdr>
        </w:div>
        <w:div w:id="1708291114">
          <w:marLeft w:val="0"/>
          <w:marRight w:val="0"/>
          <w:marTop w:val="0"/>
          <w:marBottom w:val="0"/>
          <w:divBdr>
            <w:top w:val="none" w:sz="0" w:space="0" w:color="auto"/>
            <w:left w:val="none" w:sz="0" w:space="0" w:color="auto"/>
            <w:bottom w:val="none" w:sz="0" w:space="0" w:color="auto"/>
            <w:right w:val="none" w:sz="0" w:space="0" w:color="auto"/>
          </w:divBdr>
        </w:div>
        <w:div w:id="313536550">
          <w:marLeft w:val="0"/>
          <w:marRight w:val="0"/>
          <w:marTop w:val="0"/>
          <w:marBottom w:val="0"/>
          <w:divBdr>
            <w:top w:val="none" w:sz="0" w:space="0" w:color="auto"/>
            <w:left w:val="none" w:sz="0" w:space="0" w:color="auto"/>
            <w:bottom w:val="none" w:sz="0" w:space="0" w:color="auto"/>
            <w:right w:val="none" w:sz="0" w:space="0" w:color="auto"/>
          </w:divBdr>
        </w:div>
        <w:div w:id="1205092855">
          <w:marLeft w:val="0"/>
          <w:marRight w:val="0"/>
          <w:marTop w:val="0"/>
          <w:marBottom w:val="0"/>
          <w:divBdr>
            <w:top w:val="none" w:sz="0" w:space="0" w:color="auto"/>
            <w:left w:val="none" w:sz="0" w:space="0" w:color="auto"/>
            <w:bottom w:val="none" w:sz="0" w:space="0" w:color="auto"/>
            <w:right w:val="none" w:sz="0" w:space="0" w:color="auto"/>
          </w:divBdr>
        </w:div>
        <w:div w:id="930118762">
          <w:marLeft w:val="0"/>
          <w:marRight w:val="0"/>
          <w:marTop w:val="0"/>
          <w:marBottom w:val="0"/>
          <w:divBdr>
            <w:top w:val="none" w:sz="0" w:space="0" w:color="auto"/>
            <w:left w:val="none" w:sz="0" w:space="0" w:color="auto"/>
            <w:bottom w:val="none" w:sz="0" w:space="0" w:color="auto"/>
            <w:right w:val="none" w:sz="0" w:space="0" w:color="auto"/>
          </w:divBdr>
        </w:div>
        <w:div w:id="777798539">
          <w:marLeft w:val="0"/>
          <w:marRight w:val="0"/>
          <w:marTop w:val="0"/>
          <w:marBottom w:val="0"/>
          <w:divBdr>
            <w:top w:val="none" w:sz="0" w:space="0" w:color="auto"/>
            <w:left w:val="none" w:sz="0" w:space="0" w:color="auto"/>
            <w:bottom w:val="none" w:sz="0" w:space="0" w:color="auto"/>
            <w:right w:val="none" w:sz="0" w:space="0" w:color="auto"/>
          </w:divBdr>
        </w:div>
        <w:div w:id="1369375275">
          <w:marLeft w:val="0"/>
          <w:marRight w:val="0"/>
          <w:marTop w:val="0"/>
          <w:marBottom w:val="0"/>
          <w:divBdr>
            <w:top w:val="none" w:sz="0" w:space="0" w:color="auto"/>
            <w:left w:val="none" w:sz="0" w:space="0" w:color="auto"/>
            <w:bottom w:val="none" w:sz="0" w:space="0" w:color="auto"/>
            <w:right w:val="none" w:sz="0" w:space="0" w:color="auto"/>
          </w:divBdr>
        </w:div>
        <w:div w:id="745152454">
          <w:marLeft w:val="0"/>
          <w:marRight w:val="0"/>
          <w:marTop w:val="0"/>
          <w:marBottom w:val="0"/>
          <w:divBdr>
            <w:top w:val="none" w:sz="0" w:space="0" w:color="auto"/>
            <w:left w:val="none" w:sz="0" w:space="0" w:color="auto"/>
            <w:bottom w:val="none" w:sz="0" w:space="0" w:color="auto"/>
            <w:right w:val="none" w:sz="0" w:space="0" w:color="auto"/>
          </w:divBdr>
        </w:div>
        <w:div w:id="1934589490">
          <w:marLeft w:val="0"/>
          <w:marRight w:val="0"/>
          <w:marTop w:val="0"/>
          <w:marBottom w:val="0"/>
          <w:divBdr>
            <w:top w:val="none" w:sz="0" w:space="0" w:color="auto"/>
            <w:left w:val="none" w:sz="0" w:space="0" w:color="auto"/>
            <w:bottom w:val="none" w:sz="0" w:space="0" w:color="auto"/>
            <w:right w:val="none" w:sz="0" w:space="0" w:color="auto"/>
          </w:divBdr>
        </w:div>
        <w:div w:id="38942797">
          <w:marLeft w:val="0"/>
          <w:marRight w:val="0"/>
          <w:marTop w:val="0"/>
          <w:marBottom w:val="0"/>
          <w:divBdr>
            <w:top w:val="none" w:sz="0" w:space="0" w:color="auto"/>
            <w:left w:val="none" w:sz="0" w:space="0" w:color="auto"/>
            <w:bottom w:val="none" w:sz="0" w:space="0" w:color="auto"/>
            <w:right w:val="none" w:sz="0" w:space="0" w:color="auto"/>
          </w:divBdr>
        </w:div>
        <w:div w:id="1742099053">
          <w:marLeft w:val="0"/>
          <w:marRight w:val="0"/>
          <w:marTop w:val="0"/>
          <w:marBottom w:val="0"/>
          <w:divBdr>
            <w:top w:val="none" w:sz="0" w:space="0" w:color="auto"/>
            <w:left w:val="none" w:sz="0" w:space="0" w:color="auto"/>
            <w:bottom w:val="none" w:sz="0" w:space="0" w:color="auto"/>
            <w:right w:val="none" w:sz="0" w:space="0" w:color="auto"/>
          </w:divBdr>
        </w:div>
        <w:div w:id="1298219504">
          <w:marLeft w:val="0"/>
          <w:marRight w:val="0"/>
          <w:marTop w:val="0"/>
          <w:marBottom w:val="0"/>
          <w:divBdr>
            <w:top w:val="none" w:sz="0" w:space="0" w:color="auto"/>
            <w:left w:val="none" w:sz="0" w:space="0" w:color="auto"/>
            <w:bottom w:val="none" w:sz="0" w:space="0" w:color="auto"/>
            <w:right w:val="none" w:sz="0" w:space="0" w:color="auto"/>
          </w:divBdr>
        </w:div>
        <w:div w:id="996151192">
          <w:marLeft w:val="0"/>
          <w:marRight w:val="0"/>
          <w:marTop w:val="0"/>
          <w:marBottom w:val="0"/>
          <w:divBdr>
            <w:top w:val="none" w:sz="0" w:space="0" w:color="auto"/>
            <w:left w:val="none" w:sz="0" w:space="0" w:color="auto"/>
            <w:bottom w:val="none" w:sz="0" w:space="0" w:color="auto"/>
            <w:right w:val="none" w:sz="0" w:space="0" w:color="auto"/>
          </w:divBdr>
        </w:div>
        <w:div w:id="1196115491">
          <w:marLeft w:val="0"/>
          <w:marRight w:val="0"/>
          <w:marTop w:val="0"/>
          <w:marBottom w:val="0"/>
          <w:divBdr>
            <w:top w:val="none" w:sz="0" w:space="0" w:color="auto"/>
            <w:left w:val="none" w:sz="0" w:space="0" w:color="auto"/>
            <w:bottom w:val="none" w:sz="0" w:space="0" w:color="auto"/>
            <w:right w:val="none" w:sz="0" w:space="0" w:color="auto"/>
          </w:divBdr>
        </w:div>
        <w:div w:id="983043658">
          <w:marLeft w:val="0"/>
          <w:marRight w:val="0"/>
          <w:marTop w:val="0"/>
          <w:marBottom w:val="0"/>
          <w:divBdr>
            <w:top w:val="none" w:sz="0" w:space="0" w:color="auto"/>
            <w:left w:val="none" w:sz="0" w:space="0" w:color="auto"/>
            <w:bottom w:val="none" w:sz="0" w:space="0" w:color="auto"/>
            <w:right w:val="none" w:sz="0" w:space="0" w:color="auto"/>
          </w:divBdr>
        </w:div>
        <w:div w:id="723211867">
          <w:marLeft w:val="0"/>
          <w:marRight w:val="0"/>
          <w:marTop w:val="0"/>
          <w:marBottom w:val="0"/>
          <w:divBdr>
            <w:top w:val="none" w:sz="0" w:space="0" w:color="auto"/>
            <w:left w:val="none" w:sz="0" w:space="0" w:color="auto"/>
            <w:bottom w:val="none" w:sz="0" w:space="0" w:color="auto"/>
            <w:right w:val="none" w:sz="0" w:space="0" w:color="auto"/>
          </w:divBdr>
        </w:div>
        <w:div w:id="73820870">
          <w:marLeft w:val="0"/>
          <w:marRight w:val="0"/>
          <w:marTop w:val="0"/>
          <w:marBottom w:val="0"/>
          <w:divBdr>
            <w:top w:val="none" w:sz="0" w:space="0" w:color="auto"/>
            <w:left w:val="none" w:sz="0" w:space="0" w:color="auto"/>
            <w:bottom w:val="none" w:sz="0" w:space="0" w:color="auto"/>
            <w:right w:val="none" w:sz="0" w:space="0" w:color="auto"/>
          </w:divBdr>
        </w:div>
        <w:div w:id="1520969374">
          <w:marLeft w:val="0"/>
          <w:marRight w:val="0"/>
          <w:marTop w:val="0"/>
          <w:marBottom w:val="0"/>
          <w:divBdr>
            <w:top w:val="none" w:sz="0" w:space="0" w:color="auto"/>
            <w:left w:val="none" w:sz="0" w:space="0" w:color="auto"/>
            <w:bottom w:val="none" w:sz="0" w:space="0" w:color="auto"/>
            <w:right w:val="none" w:sz="0" w:space="0" w:color="auto"/>
          </w:divBdr>
        </w:div>
        <w:div w:id="42415109">
          <w:marLeft w:val="0"/>
          <w:marRight w:val="0"/>
          <w:marTop w:val="0"/>
          <w:marBottom w:val="0"/>
          <w:divBdr>
            <w:top w:val="none" w:sz="0" w:space="0" w:color="auto"/>
            <w:left w:val="none" w:sz="0" w:space="0" w:color="auto"/>
            <w:bottom w:val="none" w:sz="0" w:space="0" w:color="auto"/>
            <w:right w:val="none" w:sz="0" w:space="0" w:color="auto"/>
          </w:divBdr>
        </w:div>
        <w:div w:id="860162223">
          <w:marLeft w:val="0"/>
          <w:marRight w:val="0"/>
          <w:marTop w:val="0"/>
          <w:marBottom w:val="0"/>
          <w:divBdr>
            <w:top w:val="none" w:sz="0" w:space="0" w:color="auto"/>
            <w:left w:val="none" w:sz="0" w:space="0" w:color="auto"/>
            <w:bottom w:val="none" w:sz="0" w:space="0" w:color="auto"/>
            <w:right w:val="none" w:sz="0" w:space="0" w:color="auto"/>
          </w:divBdr>
        </w:div>
        <w:div w:id="603617543">
          <w:marLeft w:val="0"/>
          <w:marRight w:val="0"/>
          <w:marTop w:val="0"/>
          <w:marBottom w:val="0"/>
          <w:divBdr>
            <w:top w:val="none" w:sz="0" w:space="0" w:color="auto"/>
            <w:left w:val="none" w:sz="0" w:space="0" w:color="auto"/>
            <w:bottom w:val="none" w:sz="0" w:space="0" w:color="auto"/>
            <w:right w:val="none" w:sz="0" w:space="0" w:color="auto"/>
          </w:divBdr>
        </w:div>
        <w:div w:id="625620768">
          <w:marLeft w:val="0"/>
          <w:marRight w:val="0"/>
          <w:marTop w:val="0"/>
          <w:marBottom w:val="0"/>
          <w:divBdr>
            <w:top w:val="none" w:sz="0" w:space="0" w:color="auto"/>
            <w:left w:val="none" w:sz="0" w:space="0" w:color="auto"/>
            <w:bottom w:val="none" w:sz="0" w:space="0" w:color="auto"/>
            <w:right w:val="none" w:sz="0" w:space="0" w:color="auto"/>
          </w:divBdr>
        </w:div>
        <w:div w:id="1728189468">
          <w:marLeft w:val="0"/>
          <w:marRight w:val="0"/>
          <w:marTop w:val="0"/>
          <w:marBottom w:val="0"/>
          <w:divBdr>
            <w:top w:val="none" w:sz="0" w:space="0" w:color="auto"/>
            <w:left w:val="none" w:sz="0" w:space="0" w:color="auto"/>
            <w:bottom w:val="none" w:sz="0" w:space="0" w:color="auto"/>
            <w:right w:val="none" w:sz="0" w:space="0" w:color="auto"/>
          </w:divBdr>
        </w:div>
        <w:div w:id="1995523956">
          <w:marLeft w:val="0"/>
          <w:marRight w:val="0"/>
          <w:marTop w:val="0"/>
          <w:marBottom w:val="0"/>
          <w:divBdr>
            <w:top w:val="none" w:sz="0" w:space="0" w:color="auto"/>
            <w:left w:val="none" w:sz="0" w:space="0" w:color="auto"/>
            <w:bottom w:val="none" w:sz="0" w:space="0" w:color="auto"/>
            <w:right w:val="none" w:sz="0" w:space="0" w:color="auto"/>
          </w:divBdr>
        </w:div>
        <w:div w:id="1395471127">
          <w:marLeft w:val="0"/>
          <w:marRight w:val="0"/>
          <w:marTop w:val="0"/>
          <w:marBottom w:val="0"/>
          <w:divBdr>
            <w:top w:val="none" w:sz="0" w:space="0" w:color="auto"/>
            <w:left w:val="none" w:sz="0" w:space="0" w:color="auto"/>
            <w:bottom w:val="none" w:sz="0" w:space="0" w:color="auto"/>
            <w:right w:val="none" w:sz="0" w:space="0" w:color="auto"/>
          </w:divBdr>
        </w:div>
        <w:div w:id="235165031">
          <w:marLeft w:val="0"/>
          <w:marRight w:val="0"/>
          <w:marTop w:val="0"/>
          <w:marBottom w:val="0"/>
          <w:divBdr>
            <w:top w:val="none" w:sz="0" w:space="0" w:color="auto"/>
            <w:left w:val="none" w:sz="0" w:space="0" w:color="auto"/>
            <w:bottom w:val="none" w:sz="0" w:space="0" w:color="auto"/>
            <w:right w:val="none" w:sz="0" w:space="0" w:color="auto"/>
          </w:divBdr>
        </w:div>
        <w:div w:id="42216773">
          <w:marLeft w:val="0"/>
          <w:marRight w:val="0"/>
          <w:marTop w:val="0"/>
          <w:marBottom w:val="0"/>
          <w:divBdr>
            <w:top w:val="none" w:sz="0" w:space="0" w:color="auto"/>
            <w:left w:val="none" w:sz="0" w:space="0" w:color="auto"/>
            <w:bottom w:val="none" w:sz="0" w:space="0" w:color="auto"/>
            <w:right w:val="none" w:sz="0" w:space="0" w:color="auto"/>
          </w:divBdr>
        </w:div>
        <w:div w:id="1265840090">
          <w:marLeft w:val="0"/>
          <w:marRight w:val="0"/>
          <w:marTop w:val="0"/>
          <w:marBottom w:val="0"/>
          <w:divBdr>
            <w:top w:val="none" w:sz="0" w:space="0" w:color="auto"/>
            <w:left w:val="none" w:sz="0" w:space="0" w:color="auto"/>
            <w:bottom w:val="none" w:sz="0" w:space="0" w:color="auto"/>
            <w:right w:val="none" w:sz="0" w:space="0" w:color="auto"/>
          </w:divBdr>
        </w:div>
        <w:div w:id="1543788157">
          <w:marLeft w:val="0"/>
          <w:marRight w:val="0"/>
          <w:marTop w:val="0"/>
          <w:marBottom w:val="0"/>
          <w:divBdr>
            <w:top w:val="none" w:sz="0" w:space="0" w:color="auto"/>
            <w:left w:val="none" w:sz="0" w:space="0" w:color="auto"/>
            <w:bottom w:val="none" w:sz="0" w:space="0" w:color="auto"/>
            <w:right w:val="none" w:sz="0" w:space="0" w:color="auto"/>
          </w:divBdr>
        </w:div>
        <w:div w:id="715468384">
          <w:marLeft w:val="0"/>
          <w:marRight w:val="0"/>
          <w:marTop w:val="0"/>
          <w:marBottom w:val="0"/>
          <w:divBdr>
            <w:top w:val="none" w:sz="0" w:space="0" w:color="auto"/>
            <w:left w:val="none" w:sz="0" w:space="0" w:color="auto"/>
            <w:bottom w:val="none" w:sz="0" w:space="0" w:color="auto"/>
            <w:right w:val="none" w:sz="0" w:space="0" w:color="auto"/>
          </w:divBdr>
        </w:div>
        <w:div w:id="554853285">
          <w:marLeft w:val="0"/>
          <w:marRight w:val="0"/>
          <w:marTop w:val="0"/>
          <w:marBottom w:val="0"/>
          <w:divBdr>
            <w:top w:val="none" w:sz="0" w:space="0" w:color="auto"/>
            <w:left w:val="none" w:sz="0" w:space="0" w:color="auto"/>
            <w:bottom w:val="none" w:sz="0" w:space="0" w:color="auto"/>
            <w:right w:val="none" w:sz="0" w:space="0" w:color="auto"/>
          </w:divBdr>
        </w:div>
        <w:div w:id="1590232523">
          <w:marLeft w:val="0"/>
          <w:marRight w:val="0"/>
          <w:marTop w:val="0"/>
          <w:marBottom w:val="0"/>
          <w:divBdr>
            <w:top w:val="none" w:sz="0" w:space="0" w:color="auto"/>
            <w:left w:val="none" w:sz="0" w:space="0" w:color="auto"/>
            <w:bottom w:val="none" w:sz="0" w:space="0" w:color="auto"/>
            <w:right w:val="none" w:sz="0" w:space="0" w:color="auto"/>
          </w:divBdr>
        </w:div>
        <w:div w:id="1168713088">
          <w:marLeft w:val="0"/>
          <w:marRight w:val="0"/>
          <w:marTop w:val="0"/>
          <w:marBottom w:val="0"/>
          <w:divBdr>
            <w:top w:val="none" w:sz="0" w:space="0" w:color="auto"/>
            <w:left w:val="none" w:sz="0" w:space="0" w:color="auto"/>
            <w:bottom w:val="none" w:sz="0" w:space="0" w:color="auto"/>
            <w:right w:val="none" w:sz="0" w:space="0" w:color="auto"/>
          </w:divBdr>
        </w:div>
        <w:div w:id="867790680">
          <w:marLeft w:val="0"/>
          <w:marRight w:val="0"/>
          <w:marTop w:val="0"/>
          <w:marBottom w:val="0"/>
          <w:divBdr>
            <w:top w:val="none" w:sz="0" w:space="0" w:color="auto"/>
            <w:left w:val="none" w:sz="0" w:space="0" w:color="auto"/>
            <w:bottom w:val="none" w:sz="0" w:space="0" w:color="auto"/>
            <w:right w:val="none" w:sz="0" w:space="0" w:color="auto"/>
          </w:divBdr>
        </w:div>
        <w:div w:id="905215654">
          <w:marLeft w:val="0"/>
          <w:marRight w:val="0"/>
          <w:marTop w:val="0"/>
          <w:marBottom w:val="0"/>
          <w:divBdr>
            <w:top w:val="none" w:sz="0" w:space="0" w:color="auto"/>
            <w:left w:val="none" w:sz="0" w:space="0" w:color="auto"/>
            <w:bottom w:val="none" w:sz="0" w:space="0" w:color="auto"/>
            <w:right w:val="none" w:sz="0" w:space="0" w:color="auto"/>
          </w:divBdr>
        </w:div>
        <w:div w:id="1261989646">
          <w:marLeft w:val="0"/>
          <w:marRight w:val="0"/>
          <w:marTop w:val="0"/>
          <w:marBottom w:val="0"/>
          <w:divBdr>
            <w:top w:val="none" w:sz="0" w:space="0" w:color="auto"/>
            <w:left w:val="none" w:sz="0" w:space="0" w:color="auto"/>
            <w:bottom w:val="none" w:sz="0" w:space="0" w:color="auto"/>
            <w:right w:val="none" w:sz="0" w:space="0" w:color="auto"/>
          </w:divBdr>
        </w:div>
        <w:div w:id="384253407">
          <w:marLeft w:val="0"/>
          <w:marRight w:val="0"/>
          <w:marTop w:val="0"/>
          <w:marBottom w:val="0"/>
          <w:divBdr>
            <w:top w:val="none" w:sz="0" w:space="0" w:color="auto"/>
            <w:left w:val="none" w:sz="0" w:space="0" w:color="auto"/>
            <w:bottom w:val="none" w:sz="0" w:space="0" w:color="auto"/>
            <w:right w:val="none" w:sz="0" w:space="0" w:color="auto"/>
          </w:divBdr>
        </w:div>
        <w:div w:id="667827231">
          <w:marLeft w:val="0"/>
          <w:marRight w:val="0"/>
          <w:marTop w:val="0"/>
          <w:marBottom w:val="0"/>
          <w:divBdr>
            <w:top w:val="none" w:sz="0" w:space="0" w:color="auto"/>
            <w:left w:val="none" w:sz="0" w:space="0" w:color="auto"/>
            <w:bottom w:val="none" w:sz="0" w:space="0" w:color="auto"/>
            <w:right w:val="none" w:sz="0" w:space="0" w:color="auto"/>
          </w:divBdr>
        </w:div>
        <w:div w:id="2091344229">
          <w:marLeft w:val="0"/>
          <w:marRight w:val="0"/>
          <w:marTop w:val="0"/>
          <w:marBottom w:val="0"/>
          <w:divBdr>
            <w:top w:val="none" w:sz="0" w:space="0" w:color="auto"/>
            <w:left w:val="none" w:sz="0" w:space="0" w:color="auto"/>
            <w:bottom w:val="none" w:sz="0" w:space="0" w:color="auto"/>
            <w:right w:val="none" w:sz="0" w:space="0" w:color="auto"/>
          </w:divBdr>
        </w:div>
        <w:div w:id="348214473">
          <w:marLeft w:val="0"/>
          <w:marRight w:val="0"/>
          <w:marTop w:val="0"/>
          <w:marBottom w:val="0"/>
          <w:divBdr>
            <w:top w:val="none" w:sz="0" w:space="0" w:color="auto"/>
            <w:left w:val="none" w:sz="0" w:space="0" w:color="auto"/>
            <w:bottom w:val="none" w:sz="0" w:space="0" w:color="auto"/>
            <w:right w:val="none" w:sz="0" w:space="0" w:color="auto"/>
          </w:divBdr>
        </w:div>
        <w:div w:id="1219707275">
          <w:marLeft w:val="0"/>
          <w:marRight w:val="0"/>
          <w:marTop w:val="0"/>
          <w:marBottom w:val="0"/>
          <w:divBdr>
            <w:top w:val="none" w:sz="0" w:space="0" w:color="auto"/>
            <w:left w:val="none" w:sz="0" w:space="0" w:color="auto"/>
            <w:bottom w:val="none" w:sz="0" w:space="0" w:color="auto"/>
            <w:right w:val="none" w:sz="0" w:space="0" w:color="auto"/>
          </w:divBdr>
        </w:div>
        <w:div w:id="515578605">
          <w:marLeft w:val="0"/>
          <w:marRight w:val="0"/>
          <w:marTop w:val="0"/>
          <w:marBottom w:val="0"/>
          <w:divBdr>
            <w:top w:val="none" w:sz="0" w:space="0" w:color="auto"/>
            <w:left w:val="none" w:sz="0" w:space="0" w:color="auto"/>
            <w:bottom w:val="none" w:sz="0" w:space="0" w:color="auto"/>
            <w:right w:val="none" w:sz="0" w:space="0" w:color="auto"/>
          </w:divBdr>
        </w:div>
        <w:div w:id="421221812">
          <w:marLeft w:val="0"/>
          <w:marRight w:val="0"/>
          <w:marTop w:val="0"/>
          <w:marBottom w:val="0"/>
          <w:divBdr>
            <w:top w:val="none" w:sz="0" w:space="0" w:color="auto"/>
            <w:left w:val="none" w:sz="0" w:space="0" w:color="auto"/>
            <w:bottom w:val="none" w:sz="0" w:space="0" w:color="auto"/>
            <w:right w:val="none" w:sz="0" w:space="0" w:color="auto"/>
          </w:divBdr>
        </w:div>
        <w:div w:id="46608160">
          <w:marLeft w:val="0"/>
          <w:marRight w:val="0"/>
          <w:marTop w:val="0"/>
          <w:marBottom w:val="0"/>
          <w:divBdr>
            <w:top w:val="none" w:sz="0" w:space="0" w:color="auto"/>
            <w:left w:val="none" w:sz="0" w:space="0" w:color="auto"/>
            <w:bottom w:val="none" w:sz="0" w:space="0" w:color="auto"/>
            <w:right w:val="none" w:sz="0" w:space="0" w:color="auto"/>
          </w:divBdr>
        </w:div>
        <w:div w:id="32116772">
          <w:marLeft w:val="0"/>
          <w:marRight w:val="0"/>
          <w:marTop w:val="0"/>
          <w:marBottom w:val="0"/>
          <w:divBdr>
            <w:top w:val="none" w:sz="0" w:space="0" w:color="auto"/>
            <w:left w:val="none" w:sz="0" w:space="0" w:color="auto"/>
            <w:bottom w:val="none" w:sz="0" w:space="0" w:color="auto"/>
            <w:right w:val="none" w:sz="0" w:space="0" w:color="auto"/>
          </w:divBdr>
        </w:div>
        <w:div w:id="1028988133">
          <w:marLeft w:val="0"/>
          <w:marRight w:val="0"/>
          <w:marTop w:val="0"/>
          <w:marBottom w:val="0"/>
          <w:divBdr>
            <w:top w:val="none" w:sz="0" w:space="0" w:color="auto"/>
            <w:left w:val="none" w:sz="0" w:space="0" w:color="auto"/>
            <w:bottom w:val="none" w:sz="0" w:space="0" w:color="auto"/>
            <w:right w:val="none" w:sz="0" w:space="0" w:color="auto"/>
          </w:divBdr>
        </w:div>
        <w:div w:id="444663737">
          <w:marLeft w:val="0"/>
          <w:marRight w:val="0"/>
          <w:marTop w:val="0"/>
          <w:marBottom w:val="0"/>
          <w:divBdr>
            <w:top w:val="none" w:sz="0" w:space="0" w:color="auto"/>
            <w:left w:val="none" w:sz="0" w:space="0" w:color="auto"/>
            <w:bottom w:val="none" w:sz="0" w:space="0" w:color="auto"/>
            <w:right w:val="none" w:sz="0" w:space="0" w:color="auto"/>
          </w:divBdr>
        </w:div>
        <w:div w:id="1315333076">
          <w:marLeft w:val="0"/>
          <w:marRight w:val="0"/>
          <w:marTop w:val="0"/>
          <w:marBottom w:val="0"/>
          <w:divBdr>
            <w:top w:val="none" w:sz="0" w:space="0" w:color="auto"/>
            <w:left w:val="none" w:sz="0" w:space="0" w:color="auto"/>
            <w:bottom w:val="none" w:sz="0" w:space="0" w:color="auto"/>
            <w:right w:val="none" w:sz="0" w:space="0" w:color="auto"/>
          </w:divBdr>
        </w:div>
        <w:div w:id="1384477555">
          <w:marLeft w:val="0"/>
          <w:marRight w:val="0"/>
          <w:marTop w:val="0"/>
          <w:marBottom w:val="0"/>
          <w:divBdr>
            <w:top w:val="none" w:sz="0" w:space="0" w:color="auto"/>
            <w:left w:val="none" w:sz="0" w:space="0" w:color="auto"/>
            <w:bottom w:val="none" w:sz="0" w:space="0" w:color="auto"/>
            <w:right w:val="none" w:sz="0" w:space="0" w:color="auto"/>
          </w:divBdr>
        </w:div>
        <w:div w:id="968898467">
          <w:marLeft w:val="0"/>
          <w:marRight w:val="0"/>
          <w:marTop w:val="0"/>
          <w:marBottom w:val="0"/>
          <w:divBdr>
            <w:top w:val="none" w:sz="0" w:space="0" w:color="auto"/>
            <w:left w:val="none" w:sz="0" w:space="0" w:color="auto"/>
            <w:bottom w:val="none" w:sz="0" w:space="0" w:color="auto"/>
            <w:right w:val="none" w:sz="0" w:space="0" w:color="auto"/>
          </w:divBdr>
        </w:div>
        <w:div w:id="7341818">
          <w:marLeft w:val="0"/>
          <w:marRight w:val="0"/>
          <w:marTop w:val="0"/>
          <w:marBottom w:val="0"/>
          <w:divBdr>
            <w:top w:val="none" w:sz="0" w:space="0" w:color="auto"/>
            <w:left w:val="none" w:sz="0" w:space="0" w:color="auto"/>
            <w:bottom w:val="none" w:sz="0" w:space="0" w:color="auto"/>
            <w:right w:val="none" w:sz="0" w:space="0" w:color="auto"/>
          </w:divBdr>
        </w:div>
        <w:div w:id="1086417027">
          <w:marLeft w:val="0"/>
          <w:marRight w:val="0"/>
          <w:marTop w:val="0"/>
          <w:marBottom w:val="0"/>
          <w:divBdr>
            <w:top w:val="none" w:sz="0" w:space="0" w:color="auto"/>
            <w:left w:val="none" w:sz="0" w:space="0" w:color="auto"/>
            <w:bottom w:val="none" w:sz="0" w:space="0" w:color="auto"/>
            <w:right w:val="none" w:sz="0" w:space="0" w:color="auto"/>
          </w:divBdr>
        </w:div>
        <w:div w:id="211356370">
          <w:marLeft w:val="0"/>
          <w:marRight w:val="0"/>
          <w:marTop w:val="0"/>
          <w:marBottom w:val="0"/>
          <w:divBdr>
            <w:top w:val="none" w:sz="0" w:space="0" w:color="auto"/>
            <w:left w:val="none" w:sz="0" w:space="0" w:color="auto"/>
            <w:bottom w:val="none" w:sz="0" w:space="0" w:color="auto"/>
            <w:right w:val="none" w:sz="0" w:space="0" w:color="auto"/>
          </w:divBdr>
        </w:div>
        <w:div w:id="519899443">
          <w:marLeft w:val="0"/>
          <w:marRight w:val="0"/>
          <w:marTop w:val="0"/>
          <w:marBottom w:val="0"/>
          <w:divBdr>
            <w:top w:val="none" w:sz="0" w:space="0" w:color="auto"/>
            <w:left w:val="none" w:sz="0" w:space="0" w:color="auto"/>
            <w:bottom w:val="none" w:sz="0" w:space="0" w:color="auto"/>
            <w:right w:val="none" w:sz="0" w:space="0" w:color="auto"/>
          </w:divBdr>
        </w:div>
        <w:div w:id="1917014731">
          <w:marLeft w:val="0"/>
          <w:marRight w:val="0"/>
          <w:marTop w:val="0"/>
          <w:marBottom w:val="0"/>
          <w:divBdr>
            <w:top w:val="none" w:sz="0" w:space="0" w:color="auto"/>
            <w:left w:val="none" w:sz="0" w:space="0" w:color="auto"/>
            <w:bottom w:val="none" w:sz="0" w:space="0" w:color="auto"/>
            <w:right w:val="none" w:sz="0" w:space="0" w:color="auto"/>
          </w:divBdr>
        </w:div>
        <w:div w:id="1128625688">
          <w:marLeft w:val="0"/>
          <w:marRight w:val="0"/>
          <w:marTop w:val="0"/>
          <w:marBottom w:val="0"/>
          <w:divBdr>
            <w:top w:val="none" w:sz="0" w:space="0" w:color="auto"/>
            <w:left w:val="none" w:sz="0" w:space="0" w:color="auto"/>
            <w:bottom w:val="none" w:sz="0" w:space="0" w:color="auto"/>
            <w:right w:val="none" w:sz="0" w:space="0" w:color="auto"/>
          </w:divBdr>
        </w:div>
        <w:div w:id="434011854">
          <w:marLeft w:val="0"/>
          <w:marRight w:val="0"/>
          <w:marTop w:val="0"/>
          <w:marBottom w:val="0"/>
          <w:divBdr>
            <w:top w:val="none" w:sz="0" w:space="0" w:color="auto"/>
            <w:left w:val="none" w:sz="0" w:space="0" w:color="auto"/>
            <w:bottom w:val="none" w:sz="0" w:space="0" w:color="auto"/>
            <w:right w:val="none" w:sz="0" w:space="0" w:color="auto"/>
          </w:divBdr>
        </w:div>
        <w:div w:id="1342202912">
          <w:marLeft w:val="0"/>
          <w:marRight w:val="0"/>
          <w:marTop w:val="0"/>
          <w:marBottom w:val="0"/>
          <w:divBdr>
            <w:top w:val="none" w:sz="0" w:space="0" w:color="auto"/>
            <w:left w:val="none" w:sz="0" w:space="0" w:color="auto"/>
            <w:bottom w:val="none" w:sz="0" w:space="0" w:color="auto"/>
            <w:right w:val="none" w:sz="0" w:space="0" w:color="auto"/>
          </w:divBdr>
        </w:div>
        <w:div w:id="1427966595">
          <w:marLeft w:val="0"/>
          <w:marRight w:val="0"/>
          <w:marTop w:val="0"/>
          <w:marBottom w:val="0"/>
          <w:divBdr>
            <w:top w:val="none" w:sz="0" w:space="0" w:color="auto"/>
            <w:left w:val="none" w:sz="0" w:space="0" w:color="auto"/>
            <w:bottom w:val="none" w:sz="0" w:space="0" w:color="auto"/>
            <w:right w:val="none" w:sz="0" w:space="0" w:color="auto"/>
          </w:divBdr>
        </w:div>
        <w:div w:id="1443258671">
          <w:marLeft w:val="0"/>
          <w:marRight w:val="0"/>
          <w:marTop w:val="0"/>
          <w:marBottom w:val="0"/>
          <w:divBdr>
            <w:top w:val="none" w:sz="0" w:space="0" w:color="auto"/>
            <w:left w:val="none" w:sz="0" w:space="0" w:color="auto"/>
            <w:bottom w:val="none" w:sz="0" w:space="0" w:color="auto"/>
            <w:right w:val="none" w:sz="0" w:space="0" w:color="auto"/>
          </w:divBdr>
        </w:div>
        <w:div w:id="1988585819">
          <w:marLeft w:val="0"/>
          <w:marRight w:val="0"/>
          <w:marTop w:val="0"/>
          <w:marBottom w:val="0"/>
          <w:divBdr>
            <w:top w:val="none" w:sz="0" w:space="0" w:color="auto"/>
            <w:left w:val="none" w:sz="0" w:space="0" w:color="auto"/>
            <w:bottom w:val="none" w:sz="0" w:space="0" w:color="auto"/>
            <w:right w:val="none" w:sz="0" w:space="0" w:color="auto"/>
          </w:divBdr>
        </w:div>
        <w:div w:id="44768108">
          <w:marLeft w:val="0"/>
          <w:marRight w:val="0"/>
          <w:marTop w:val="0"/>
          <w:marBottom w:val="0"/>
          <w:divBdr>
            <w:top w:val="none" w:sz="0" w:space="0" w:color="auto"/>
            <w:left w:val="none" w:sz="0" w:space="0" w:color="auto"/>
            <w:bottom w:val="none" w:sz="0" w:space="0" w:color="auto"/>
            <w:right w:val="none" w:sz="0" w:space="0" w:color="auto"/>
          </w:divBdr>
        </w:div>
        <w:div w:id="312105295">
          <w:marLeft w:val="0"/>
          <w:marRight w:val="0"/>
          <w:marTop w:val="0"/>
          <w:marBottom w:val="0"/>
          <w:divBdr>
            <w:top w:val="none" w:sz="0" w:space="0" w:color="auto"/>
            <w:left w:val="none" w:sz="0" w:space="0" w:color="auto"/>
            <w:bottom w:val="none" w:sz="0" w:space="0" w:color="auto"/>
            <w:right w:val="none" w:sz="0" w:space="0" w:color="auto"/>
          </w:divBdr>
        </w:div>
        <w:div w:id="1461722177">
          <w:marLeft w:val="0"/>
          <w:marRight w:val="0"/>
          <w:marTop w:val="0"/>
          <w:marBottom w:val="0"/>
          <w:divBdr>
            <w:top w:val="none" w:sz="0" w:space="0" w:color="auto"/>
            <w:left w:val="none" w:sz="0" w:space="0" w:color="auto"/>
            <w:bottom w:val="none" w:sz="0" w:space="0" w:color="auto"/>
            <w:right w:val="none" w:sz="0" w:space="0" w:color="auto"/>
          </w:divBdr>
        </w:div>
        <w:div w:id="26637717">
          <w:marLeft w:val="0"/>
          <w:marRight w:val="0"/>
          <w:marTop w:val="0"/>
          <w:marBottom w:val="0"/>
          <w:divBdr>
            <w:top w:val="none" w:sz="0" w:space="0" w:color="auto"/>
            <w:left w:val="none" w:sz="0" w:space="0" w:color="auto"/>
            <w:bottom w:val="none" w:sz="0" w:space="0" w:color="auto"/>
            <w:right w:val="none" w:sz="0" w:space="0" w:color="auto"/>
          </w:divBdr>
        </w:div>
        <w:div w:id="2001345454">
          <w:marLeft w:val="0"/>
          <w:marRight w:val="0"/>
          <w:marTop w:val="0"/>
          <w:marBottom w:val="0"/>
          <w:divBdr>
            <w:top w:val="none" w:sz="0" w:space="0" w:color="auto"/>
            <w:left w:val="none" w:sz="0" w:space="0" w:color="auto"/>
            <w:bottom w:val="none" w:sz="0" w:space="0" w:color="auto"/>
            <w:right w:val="none" w:sz="0" w:space="0" w:color="auto"/>
          </w:divBdr>
        </w:div>
        <w:div w:id="1855879518">
          <w:marLeft w:val="0"/>
          <w:marRight w:val="0"/>
          <w:marTop w:val="0"/>
          <w:marBottom w:val="0"/>
          <w:divBdr>
            <w:top w:val="none" w:sz="0" w:space="0" w:color="auto"/>
            <w:left w:val="none" w:sz="0" w:space="0" w:color="auto"/>
            <w:bottom w:val="none" w:sz="0" w:space="0" w:color="auto"/>
            <w:right w:val="none" w:sz="0" w:space="0" w:color="auto"/>
          </w:divBdr>
        </w:div>
        <w:div w:id="942344890">
          <w:marLeft w:val="0"/>
          <w:marRight w:val="0"/>
          <w:marTop w:val="0"/>
          <w:marBottom w:val="0"/>
          <w:divBdr>
            <w:top w:val="none" w:sz="0" w:space="0" w:color="auto"/>
            <w:left w:val="none" w:sz="0" w:space="0" w:color="auto"/>
            <w:bottom w:val="none" w:sz="0" w:space="0" w:color="auto"/>
            <w:right w:val="none" w:sz="0" w:space="0" w:color="auto"/>
          </w:divBdr>
        </w:div>
        <w:div w:id="366024816">
          <w:marLeft w:val="0"/>
          <w:marRight w:val="0"/>
          <w:marTop w:val="0"/>
          <w:marBottom w:val="0"/>
          <w:divBdr>
            <w:top w:val="none" w:sz="0" w:space="0" w:color="auto"/>
            <w:left w:val="none" w:sz="0" w:space="0" w:color="auto"/>
            <w:bottom w:val="none" w:sz="0" w:space="0" w:color="auto"/>
            <w:right w:val="none" w:sz="0" w:space="0" w:color="auto"/>
          </w:divBdr>
        </w:div>
        <w:div w:id="112133698">
          <w:marLeft w:val="0"/>
          <w:marRight w:val="0"/>
          <w:marTop w:val="0"/>
          <w:marBottom w:val="0"/>
          <w:divBdr>
            <w:top w:val="none" w:sz="0" w:space="0" w:color="auto"/>
            <w:left w:val="none" w:sz="0" w:space="0" w:color="auto"/>
            <w:bottom w:val="none" w:sz="0" w:space="0" w:color="auto"/>
            <w:right w:val="none" w:sz="0" w:space="0" w:color="auto"/>
          </w:divBdr>
        </w:div>
        <w:div w:id="716245845">
          <w:marLeft w:val="0"/>
          <w:marRight w:val="0"/>
          <w:marTop w:val="0"/>
          <w:marBottom w:val="0"/>
          <w:divBdr>
            <w:top w:val="none" w:sz="0" w:space="0" w:color="auto"/>
            <w:left w:val="none" w:sz="0" w:space="0" w:color="auto"/>
            <w:bottom w:val="none" w:sz="0" w:space="0" w:color="auto"/>
            <w:right w:val="none" w:sz="0" w:space="0" w:color="auto"/>
          </w:divBdr>
        </w:div>
        <w:div w:id="1512644164">
          <w:marLeft w:val="0"/>
          <w:marRight w:val="0"/>
          <w:marTop w:val="0"/>
          <w:marBottom w:val="0"/>
          <w:divBdr>
            <w:top w:val="none" w:sz="0" w:space="0" w:color="auto"/>
            <w:left w:val="none" w:sz="0" w:space="0" w:color="auto"/>
            <w:bottom w:val="none" w:sz="0" w:space="0" w:color="auto"/>
            <w:right w:val="none" w:sz="0" w:space="0" w:color="auto"/>
          </w:divBdr>
        </w:div>
        <w:div w:id="896286039">
          <w:marLeft w:val="0"/>
          <w:marRight w:val="0"/>
          <w:marTop w:val="0"/>
          <w:marBottom w:val="0"/>
          <w:divBdr>
            <w:top w:val="none" w:sz="0" w:space="0" w:color="auto"/>
            <w:left w:val="none" w:sz="0" w:space="0" w:color="auto"/>
            <w:bottom w:val="none" w:sz="0" w:space="0" w:color="auto"/>
            <w:right w:val="none" w:sz="0" w:space="0" w:color="auto"/>
          </w:divBdr>
        </w:div>
        <w:div w:id="1480609786">
          <w:marLeft w:val="0"/>
          <w:marRight w:val="0"/>
          <w:marTop w:val="0"/>
          <w:marBottom w:val="0"/>
          <w:divBdr>
            <w:top w:val="none" w:sz="0" w:space="0" w:color="auto"/>
            <w:left w:val="none" w:sz="0" w:space="0" w:color="auto"/>
            <w:bottom w:val="none" w:sz="0" w:space="0" w:color="auto"/>
            <w:right w:val="none" w:sz="0" w:space="0" w:color="auto"/>
          </w:divBdr>
        </w:div>
        <w:div w:id="1408650700">
          <w:marLeft w:val="0"/>
          <w:marRight w:val="0"/>
          <w:marTop w:val="0"/>
          <w:marBottom w:val="0"/>
          <w:divBdr>
            <w:top w:val="none" w:sz="0" w:space="0" w:color="auto"/>
            <w:left w:val="none" w:sz="0" w:space="0" w:color="auto"/>
            <w:bottom w:val="none" w:sz="0" w:space="0" w:color="auto"/>
            <w:right w:val="none" w:sz="0" w:space="0" w:color="auto"/>
          </w:divBdr>
        </w:div>
        <w:div w:id="724720257">
          <w:marLeft w:val="0"/>
          <w:marRight w:val="0"/>
          <w:marTop w:val="0"/>
          <w:marBottom w:val="0"/>
          <w:divBdr>
            <w:top w:val="none" w:sz="0" w:space="0" w:color="auto"/>
            <w:left w:val="none" w:sz="0" w:space="0" w:color="auto"/>
            <w:bottom w:val="none" w:sz="0" w:space="0" w:color="auto"/>
            <w:right w:val="none" w:sz="0" w:space="0" w:color="auto"/>
          </w:divBdr>
        </w:div>
        <w:div w:id="657267457">
          <w:marLeft w:val="0"/>
          <w:marRight w:val="0"/>
          <w:marTop w:val="0"/>
          <w:marBottom w:val="0"/>
          <w:divBdr>
            <w:top w:val="none" w:sz="0" w:space="0" w:color="auto"/>
            <w:left w:val="none" w:sz="0" w:space="0" w:color="auto"/>
            <w:bottom w:val="none" w:sz="0" w:space="0" w:color="auto"/>
            <w:right w:val="none" w:sz="0" w:space="0" w:color="auto"/>
          </w:divBdr>
        </w:div>
        <w:div w:id="1975672218">
          <w:marLeft w:val="0"/>
          <w:marRight w:val="0"/>
          <w:marTop w:val="0"/>
          <w:marBottom w:val="0"/>
          <w:divBdr>
            <w:top w:val="none" w:sz="0" w:space="0" w:color="auto"/>
            <w:left w:val="none" w:sz="0" w:space="0" w:color="auto"/>
            <w:bottom w:val="none" w:sz="0" w:space="0" w:color="auto"/>
            <w:right w:val="none" w:sz="0" w:space="0" w:color="auto"/>
          </w:divBdr>
        </w:div>
        <w:div w:id="2053067092">
          <w:marLeft w:val="0"/>
          <w:marRight w:val="0"/>
          <w:marTop w:val="0"/>
          <w:marBottom w:val="0"/>
          <w:divBdr>
            <w:top w:val="none" w:sz="0" w:space="0" w:color="auto"/>
            <w:left w:val="none" w:sz="0" w:space="0" w:color="auto"/>
            <w:bottom w:val="none" w:sz="0" w:space="0" w:color="auto"/>
            <w:right w:val="none" w:sz="0" w:space="0" w:color="auto"/>
          </w:divBdr>
        </w:div>
        <w:div w:id="782190263">
          <w:marLeft w:val="0"/>
          <w:marRight w:val="0"/>
          <w:marTop w:val="0"/>
          <w:marBottom w:val="0"/>
          <w:divBdr>
            <w:top w:val="none" w:sz="0" w:space="0" w:color="auto"/>
            <w:left w:val="none" w:sz="0" w:space="0" w:color="auto"/>
            <w:bottom w:val="none" w:sz="0" w:space="0" w:color="auto"/>
            <w:right w:val="none" w:sz="0" w:space="0" w:color="auto"/>
          </w:divBdr>
        </w:div>
        <w:div w:id="1808890974">
          <w:marLeft w:val="0"/>
          <w:marRight w:val="0"/>
          <w:marTop w:val="0"/>
          <w:marBottom w:val="0"/>
          <w:divBdr>
            <w:top w:val="none" w:sz="0" w:space="0" w:color="auto"/>
            <w:left w:val="none" w:sz="0" w:space="0" w:color="auto"/>
            <w:bottom w:val="none" w:sz="0" w:space="0" w:color="auto"/>
            <w:right w:val="none" w:sz="0" w:space="0" w:color="auto"/>
          </w:divBdr>
        </w:div>
        <w:div w:id="1178621938">
          <w:marLeft w:val="0"/>
          <w:marRight w:val="0"/>
          <w:marTop w:val="0"/>
          <w:marBottom w:val="0"/>
          <w:divBdr>
            <w:top w:val="none" w:sz="0" w:space="0" w:color="auto"/>
            <w:left w:val="none" w:sz="0" w:space="0" w:color="auto"/>
            <w:bottom w:val="none" w:sz="0" w:space="0" w:color="auto"/>
            <w:right w:val="none" w:sz="0" w:space="0" w:color="auto"/>
          </w:divBdr>
        </w:div>
        <w:div w:id="2032337518">
          <w:marLeft w:val="0"/>
          <w:marRight w:val="0"/>
          <w:marTop w:val="0"/>
          <w:marBottom w:val="0"/>
          <w:divBdr>
            <w:top w:val="none" w:sz="0" w:space="0" w:color="auto"/>
            <w:left w:val="none" w:sz="0" w:space="0" w:color="auto"/>
            <w:bottom w:val="none" w:sz="0" w:space="0" w:color="auto"/>
            <w:right w:val="none" w:sz="0" w:space="0" w:color="auto"/>
          </w:divBdr>
        </w:div>
        <w:div w:id="924417040">
          <w:marLeft w:val="0"/>
          <w:marRight w:val="0"/>
          <w:marTop w:val="0"/>
          <w:marBottom w:val="0"/>
          <w:divBdr>
            <w:top w:val="none" w:sz="0" w:space="0" w:color="auto"/>
            <w:left w:val="none" w:sz="0" w:space="0" w:color="auto"/>
            <w:bottom w:val="none" w:sz="0" w:space="0" w:color="auto"/>
            <w:right w:val="none" w:sz="0" w:space="0" w:color="auto"/>
          </w:divBdr>
        </w:div>
        <w:div w:id="771978920">
          <w:marLeft w:val="0"/>
          <w:marRight w:val="0"/>
          <w:marTop w:val="0"/>
          <w:marBottom w:val="0"/>
          <w:divBdr>
            <w:top w:val="none" w:sz="0" w:space="0" w:color="auto"/>
            <w:left w:val="none" w:sz="0" w:space="0" w:color="auto"/>
            <w:bottom w:val="none" w:sz="0" w:space="0" w:color="auto"/>
            <w:right w:val="none" w:sz="0" w:space="0" w:color="auto"/>
          </w:divBdr>
        </w:div>
        <w:div w:id="1069691526">
          <w:marLeft w:val="0"/>
          <w:marRight w:val="0"/>
          <w:marTop w:val="0"/>
          <w:marBottom w:val="0"/>
          <w:divBdr>
            <w:top w:val="none" w:sz="0" w:space="0" w:color="auto"/>
            <w:left w:val="none" w:sz="0" w:space="0" w:color="auto"/>
            <w:bottom w:val="none" w:sz="0" w:space="0" w:color="auto"/>
            <w:right w:val="none" w:sz="0" w:space="0" w:color="auto"/>
          </w:divBdr>
        </w:div>
        <w:div w:id="1339192625">
          <w:marLeft w:val="0"/>
          <w:marRight w:val="0"/>
          <w:marTop w:val="0"/>
          <w:marBottom w:val="0"/>
          <w:divBdr>
            <w:top w:val="none" w:sz="0" w:space="0" w:color="auto"/>
            <w:left w:val="none" w:sz="0" w:space="0" w:color="auto"/>
            <w:bottom w:val="none" w:sz="0" w:space="0" w:color="auto"/>
            <w:right w:val="none" w:sz="0" w:space="0" w:color="auto"/>
          </w:divBdr>
        </w:div>
        <w:div w:id="105122531">
          <w:marLeft w:val="0"/>
          <w:marRight w:val="0"/>
          <w:marTop w:val="0"/>
          <w:marBottom w:val="0"/>
          <w:divBdr>
            <w:top w:val="none" w:sz="0" w:space="0" w:color="auto"/>
            <w:left w:val="none" w:sz="0" w:space="0" w:color="auto"/>
            <w:bottom w:val="none" w:sz="0" w:space="0" w:color="auto"/>
            <w:right w:val="none" w:sz="0" w:space="0" w:color="auto"/>
          </w:divBdr>
        </w:div>
        <w:div w:id="697044266">
          <w:marLeft w:val="0"/>
          <w:marRight w:val="0"/>
          <w:marTop w:val="0"/>
          <w:marBottom w:val="0"/>
          <w:divBdr>
            <w:top w:val="none" w:sz="0" w:space="0" w:color="auto"/>
            <w:left w:val="none" w:sz="0" w:space="0" w:color="auto"/>
            <w:bottom w:val="none" w:sz="0" w:space="0" w:color="auto"/>
            <w:right w:val="none" w:sz="0" w:space="0" w:color="auto"/>
          </w:divBdr>
        </w:div>
        <w:div w:id="2108885223">
          <w:marLeft w:val="0"/>
          <w:marRight w:val="0"/>
          <w:marTop w:val="0"/>
          <w:marBottom w:val="0"/>
          <w:divBdr>
            <w:top w:val="none" w:sz="0" w:space="0" w:color="auto"/>
            <w:left w:val="none" w:sz="0" w:space="0" w:color="auto"/>
            <w:bottom w:val="none" w:sz="0" w:space="0" w:color="auto"/>
            <w:right w:val="none" w:sz="0" w:space="0" w:color="auto"/>
          </w:divBdr>
        </w:div>
        <w:div w:id="44719717">
          <w:marLeft w:val="0"/>
          <w:marRight w:val="0"/>
          <w:marTop w:val="0"/>
          <w:marBottom w:val="0"/>
          <w:divBdr>
            <w:top w:val="none" w:sz="0" w:space="0" w:color="auto"/>
            <w:left w:val="none" w:sz="0" w:space="0" w:color="auto"/>
            <w:bottom w:val="none" w:sz="0" w:space="0" w:color="auto"/>
            <w:right w:val="none" w:sz="0" w:space="0" w:color="auto"/>
          </w:divBdr>
        </w:div>
        <w:div w:id="1791316137">
          <w:marLeft w:val="0"/>
          <w:marRight w:val="0"/>
          <w:marTop w:val="0"/>
          <w:marBottom w:val="0"/>
          <w:divBdr>
            <w:top w:val="none" w:sz="0" w:space="0" w:color="auto"/>
            <w:left w:val="none" w:sz="0" w:space="0" w:color="auto"/>
            <w:bottom w:val="none" w:sz="0" w:space="0" w:color="auto"/>
            <w:right w:val="none" w:sz="0" w:space="0" w:color="auto"/>
          </w:divBdr>
        </w:div>
        <w:div w:id="177044349">
          <w:marLeft w:val="0"/>
          <w:marRight w:val="0"/>
          <w:marTop w:val="0"/>
          <w:marBottom w:val="0"/>
          <w:divBdr>
            <w:top w:val="none" w:sz="0" w:space="0" w:color="auto"/>
            <w:left w:val="none" w:sz="0" w:space="0" w:color="auto"/>
            <w:bottom w:val="none" w:sz="0" w:space="0" w:color="auto"/>
            <w:right w:val="none" w:sz="0" w:space="0" w:color="auto"/>
          </w:divBdr>
        </w:div>
        <w:div w:id="695883688">
          <w:marLeft w:val="0"/>
          <w:marRight w:val="0"/>
          <w:marTop w:val="0"/>
          <w:marBottom w:val="0"/>
          <w:divBdr>
            <w:top w:val="none" w:sz="0" w:space="0" w:color="auto"/>
            <w:left w:val="none" w:sz="0" w:space="0" w:color="auto"/>
            <w:bottom w:val="none" w:sz="0" w:space="0" w:color="auto"/>
            <w:right w:val="none" w:sz="0" w:space="0" w:color="auto"/>
          </w:divBdr>
        </w:div>
        <w:div w:id="1983120511">
          <w:marLeft w:val="0"/>
          <w:marRight w:val="0"/>
          <w:marTop w:val="0"/>
          <w:marBottom w:val="0"/>
          <w:divBdr>
            <w:top w:val="none" w:sz="0" w:space="0" w:color="auto"/>
            <w:left w:val="none" w:sz="0" w:space="0" w:color="auto"/>
            <w:bottom w:val="none" w:sz="0" w:space="0" w:color="auto"/>
            <w:right w:val="none" w:sz="0" w:space="0" w:color="auto"/>
          </w:divBdr>
        </w:div>
        <w:div w:id="2109424123">
          <w:marLeft w:val="0"/>
          <w:marRight w:val="0"/>
          <w:marTop w:val="0"/>
          <w:marBottom w:val="0"/>
          <w:divBdr>
            <w:top w:val="none" w:sz="0" w:space="0" w:color="auto"/>
            <w:left w:val="none" w:sz="0" w:space="0" w:color="auto"/>
            <w:bottom w:val="none" w:sz="0" w:space="0" w:color="auto"/>
            <w:right w:val="none" w:sz="0" w:space="0" w:color="auto"/>
          </w:divBdr>
        </w:div>
        <w:div w:id="1690567638">
          <w:marLeft w:val="0"/>
          <w:marRight w:val="0"/>
          <w:marTop w:val="0"/>
          <w:marBottom w:val="0"/>
          <w:divBdr>
            <w:top w:val="none" w:sz="0" w:space="0" w:color="auto"/>
            <w:left w:val="none" w:sz="0" w:space="0" w:color="auto"/>
            <w:bottom w:val="none" w:sz="0" w:space="0" w:color="auto"/>
            <w:right w:val="none" w:sz="0" w:space="0" w:color="auto"/>
          </w:divBdr>
        </w:div>
        <w:div w:id="587037489">
          <w:marLeft w:val="0"/>
          <w:marRight w:val="0"/>
          <w:marTop w:val="0"/>
          <w:marBottom w:val="0"/>
          <w:divBdr>
            <w:top w:val="none" w:sz="0" w:space="0" w:color="auto"/>
            <w:left w:val="none" w:sz="0" w:space="0" w:color="auto"/>
            <w:bottom w:val="none" w:sz="0" w:space="0" w:color="auto"/>
            <w:right w:val="none" w:sz="0" w:space="0" w:color="auto"/>
          </w:divBdr>
        </w:div>
      </w:divsChild>
    </w:div>
    <w:div w:id="924144750">
      <w:bodyDiv w:val="1"/>
      <w:marLeft w:val="0"/>
      <w:marRight w:val="0"/>
      <w:marTop w:val="0"/>
      <w:marBottom w:val="0"/>
      <w:divBdr>
        <w:top w:val="none" w:sz="0" w:space="0" w:color="auto"/>
        <w:left w:val="none" w:sz="0" w:space="0" w:color="auto"/>
        <w:bottom w:val="none" w:sz="0" w:space="0" w:color="auto"/>
        <w:right w:val="none" w:sz="0" w:space="0" w:color="auto"/>
      </w:divBdr>
      <w:divsChild>
        <w:div w:id="2025740201">
          <w:marLeft w:val="0"/>
          <w:marRight w:val="0"/>
          <w:marTop w:val="0"/>
          <w:marBottom w:val="0"/>
          <w:divBdr>
            <w:top w:val="none" w:sz="0" w:space="0" w:color="auto"/>
            <w:left w:val="none" w:sz="0" w:space="0" w:color="auto"/>
            <w:bottom w:val="none" w:sz="0" w:space="0" w:color="auto"/>
            <w:right w:val="none" w:sz="0" w:space="0" w:color="auto"/>
          </w:divBdr>
        </w:div>
        <w:div w:id="2129543778">
          <w:marLeft w:val="0"/>
          <w:marRight w:val="0"/>
          <w:marTop w:val="0"/>
          <w:marBottom w:val="0"/>
          <w:divBdr>
            <w:top w:val="none" w:sz="0" w:space="0" w:color="auto"/>
            <w:left w:val="none" w:sz="0" w:space="0" w:color="auto"/>
            <w:bottom w:val="none" w:sz="0" w:space="0" w:color="auto"/>
            <w:right w:val="none" w:sz="0" w:space="0" w:color="auto"/>
          </w:divBdr>
        </w:div>
        <w:div w:id="1166937152">
          <w:marLeft w:val="0"/>
          <w:marRight w:val="0"/>
          <w:marTop w:val="0"/>
          <w:marBottom w:val="0"/>
          <w:divBdr>
            <w:top w:val="none" w:sz="0" w:space="0" w:color="auto"/>
            <w:left w:val="none" w:sz="0" w:space="0" w:color="auto"/>
            <w:bottom w:val="none" w:sz="0" w:space="0" w:color="auto"/>
            <w:right w:val="none" w:sz="0" w:space="0" w:color="auto"/>
          </w:divBdr>
        </w:div>
        <w:div w:id="111629056">
          <w:marLeft w:val="0"/>
          <w:marRight w:val="0"/>
          <w:marTop w:val="0"/>
          <w:marBottom w:val="0"/>
          <w:divBdr>
            <w:top w:val="none" w:sz="0" w:space="0" w:color="auto"/>
            <w:left w:val="none" w:sz="0" w:space="0" w:color="auto"/>
            <w:bottom w:val="none" w:sz="0" w:space="0" w:color="auto"/>
            <w:right w:val="none" w:sz="0" w:space="0" w:color="auto"/>
          </w:divBdr>
        </w:div>
      </w:divsChild>
    </w:div>
    <w:div w:id="1252005294">
      <w:bodyDiv w:val="1"/>
      <w:marLeft w:val="0"/>
      <w:marRight w:val="0"/>
      <w:marTop w:val="0"/>
      <w:marBottom w:val="0"/>
      <w:divBdr>
        <w:top w:val="none" w:sz="0" w:space="0" w:color="auto"/>
        <w:left w:val="none" w:sz="0" w:space="0" w:color="auto"/>
        <w:bottom w:val="none" w:sz="0" w:space="0" w:color="auto"/>
        <w:right w:val="none" w:sz="0" w:space="0" w:color="auto"/>
      </w:divBdr>
    </w:div>
    <w:div w:id="1409114624">
      <w:bodyDiv w:val="1"/>
      <w:marLeft w:val="0"/>
      <w:marRight w:val="0"/>
      <w:marTop w:val="0"/>
      <w:marBottom w:val="0"/>
      <w:divBdr>
        <w:top w:val="none" w:sz="0" w:space="0" w:color="auto"/>
        <w:left w:val="none" w:sz="0" w:space="0" w:color="auto"/>
        <w:bottom w:val="none" w:sz="0" w:space="0" w:color="auto"/>
        <w:right w:val="none" w:sz="0" w:space="0" w:color="auto"/>
      </w:divBdr>
      <w:divsChild>
        <w:div w:id="258149214">
          <w:marLeft w:val="0"/>
          <w:marRight w:val="0"/>
          <w:marTop w:val="0"/>
          <w:marBottom w:val="0"/>
          <w:divBdr>
            <w:top w:val="none" w:sz="0" w:space="0" w:color="auto"/>
            <w:left w:val="none" w:sz="0" w:space="0" w:color="auto"/>
            <w:bottom w:val="none" w:sz="0" w:space="0" w:color="auto"/>
            <w:right w:val="none" w:sz="0" w:space="0" w:color="auto"/>
          </w:divBdr>
        </w:div>
        <w:div w:id="569312214">
          <w:marLeft w:val="0"/>
          <w:marRight w:val="0"/>
          <w:marTop w:val="0"/>
          <w:marBottom w:val="0"/>
          <w:divBdr>
            <w:top w:val="none" w:sz="0" w:space="0" w:color="auto"/>
            <w:left w:val="none" w:sz="0" w:space="0" w:color="auto"/>
            <w:bottom w:val="none" w:sz="0" w:space="0" w:color="auto"/>
            <w:right w:val="none" w:sz="0" w:space="0" w:color="auto"/>
          </w:divBdr>
        </w:div>
        <w:div w:id="1127579122">
          <w:marLeft w:val="0"/>
          <w:marRight w:val="0"/>
          <w:marTop w:val="0"/>
          <w:marBottom w:val="0"/>
          <w:divBdr>
            <w:top w:val="none" w:sz="0" w:space="0" w:color="auto"/>
            <w:left w:val="none" w:sz="0" w:space="0" w:color="auto"/>
            <w:bottom w:val="none" w:sz="0" w:space="0" w:color="auto"/>
            <w:right w:val="none" w:sz="0" w:space="0" w:color="auto"/>
          </w:divBdr>
        </w:div>
      </w:divsChild>
    </w:div>
    <w:div w:id="1460567928">
      <w:bodyDiv w:val="1"/>
      <w:marLeft w:val="0"/>
      <w:marRight w:val="0"/>
      <w:marTop w:val="0"/>
      <w:marBottom w:val="0"/>
      <w:divBdr>
        <w:top w:val="none" w:sz="0" w:space="0" w:color="auto"/>
        <w:left w:val="none" w:sz="0" w:space="0" w:color="auto"/>
        <w:bottom w:val="none" w:sz="0" w:space="0" w:color="auto"/>
        <w:right w:val="none" w:sz="0" w:space="0" w:color="auto"/>
      </w:divBdr>
      <w:divsChild>
        <w:div w:id="869143147">
          <w:marLeft w:val="0"/>
          <w:marRight w:val="0"/>
          <w:marTop w:val="0"/>
          <w:marBottom w:val="0"/>
          <w:divBdr>
            <w:top w:val="none" w:sz="0" w:space="0" w:color="auto"/>
            <w:left w:val="none" w:sz="0" w:space="0" w:color="auto"/>
            <w:bottom w:val="none" w:sz="0" w:space="0" w:color="auto"/>
            <w:right w:val="none" w:sz="0" w:space="0" w:color="auto"/>
          </w:divBdr>
        </w:div>
        <w:div w:id="287247033">
          <w:marLeft w:val="0"/>
          <w:marRight w:val="0"/>
          <w:marTop w:val="0"/>
          <w:marBottom w:val="0"/>
          <w:divBdr>
            <w:top w:val="none" w:sz="0" w:space="0" w:color="auto"/>
            <w:left w:val="none" w:sz="0" w:space="0" w:color="auto"/>
            <w:bottom w:val="none" w:sz="0" w:space="0" w:color="auto"/>
            <w:right w:val="none" w:sz="0" w:space="0" w:color="auto"/>
          </w:divBdr>
        </w:div>
        <w:div w:id="1535540956">
          <w:marLeft w:val="0"/>
          <w:marRight w:val="0"/>
          <w:marTop w:val="0"/>
          <w:marBottom w:val="0"/>
          <w:divBdr>
            <w:top w:val="none" w:sz="0" w:space="0" w:color="auto"/>
            <w:left w:val="none" w:sz="0" w:space="0" w:color="auto"/>
            <w:bottom w:val="none" w:sz="0" w:space="0" w:color="auto"/>
            <w:right w:val="none" w:sz="0" w:space="0" w:color="auto"/>
          </w:divBdr>
        </w:div>
        <w:div w:id="1775520425">
          <w:marLeft w:val="0"/>
          <w:marRight w:val="0"/>
          <w:marTop w:val="0"/>
          <w:marBottom w:val="0"/>
          <w:divBdr>
            <w:top w:val="none" w:sz="0" w:space="0" w:color="auto"/>
            <w:left w:val="none" w:sz="0" w:space="0" w:color="auto"/>
            <w:bottom w:val="none" w:sz="0" w:space="0" w:color="auto"/>
            <w:right w:val="none" w:sz="0" w:space="0" w:color="auto"/>
          </w:divBdr>
        </w:div>
        <w:div w:id="1711419807">
          <w:marLeft w:val="0"/>
          <w:marRight w:val="0"/>
          <w:marTop w:val="0"/>
          <w:marBottom w:val="0"/>
          <w:divBdr>
            <w:top w:val="none" w:sz="0" w:space="0" w:color="auto"/>
            <w:left w:val="none" w:sz="0" w:space="0" w:color="auto"/>
            <w:bottom w:val="none" w:sz="0" w:space="0" w:color="auto"/>
            <w:right w:val="none" w:sz="0" w:space="0" w:color="auto"/>
          </w:divBdr>
        </w:div>
        <w:div w:id="1197350043">
          <w:marLeft w:val="0"/>
          <w:marRight w:val="0"/>
          <w:marTop w:val="0"/>
          <w:marBottom w:val="0"/>
          <w:divBdr>
            <w:top w:val="none" w:sz="0" w:space="0" w:color="auto"/>
            <w:left w:val="none" w:sz="0" w:space="0" w:color="auto"/>
            <w:bottom w:val="none" w:sz="0" w:space="0" w:color="auto"/>
            <w:right w:val="none" w:sz="0" w:space="0" w:color="auto"/>
          </w:divBdr>
        </w:div>
        <w:div w:id="1710572990">
          <w:marLeft w:val="0"/>
          <w:marRight w:val="0"/>
          <w:marTop w:val="0"/>
          <w:marBottom w:val="0"/>
          <w:divBdr>
            <w:top w:val="none" w:sz="0" w:space="0" w:color="auto"/>
            <w:left w:val="none" w:sz="0" w:space="0" w:color="auto"/>
            <w:bottom w:val="none" w:sz="0" w:space="0" w:color="auto"/>
            <w:right w:val="none" w:sz="0" w:space="0" w:color="auto"/>
          </w:divBdr>
        </w:div>
        <w:div w:id="522019889">
          <w:marLeft w:val="0"/>
          <w:marRight w:val="0"/>
          <w:marTop w:val="0"/>
          <w:marBottom w:val="0"/>
          <w:divBdr>
            <w:top w:val="none" w:sz="0" w:space="0" w:color="auto"/>
            <w:left w:val="none" w:sz="0" w:space="0" w:color="auto"/>
            <w:bottom w:val="none" w:sz="0" w:space="0" w:color="auto"/>
            <w:right w:val="none" w:sz="0" w:space="0" w:color="auto"/>
          </w:divBdr>
        </w:div>
        <w:div w:id="1545749072">
          <w:marLeft w:val="0"/>
          <w:marRight w:val="0"/>
          <w:marTop w:val="0"/>
          <w:marBottom w:val="0"/>
          <w:divBdr>
            <w:top w:val="none" w:sz="0" w:space="0" w:color="auto"/>
            <w:left w:val="none" w:sz="0" w:space="0" w:color="auto"/>
            <w:bottom w:val="none" w:sz="0" w:space="0" w:color="auto"/>
            <w:right w:val="none" w:sz="0" w:space="0" w:color="auto"/>
          </w:divBdr>
        </w:div>
        <w:div w:id="107436990">
          <w:marLeft w:val="0"/>
          <w:marRight w:val="0"/>
          <w:marTop w:val="0"/>
          <w:marBottom w:val="0"/>
          <w:divBdr>
            <w:top w:val="none" w:sz="0" w:space="0" w:color="auto"/>
            <w:left w:val="none" w:sz="0" w:space="0" w:color="auto"/>
            <w:bottom w:val="none" w:sz="0" w:space="0" w:color="auto"/>
            <w:right w:val="none" w:sz="0" w:space="0" w:color="auto"/>
          </w:divBdr>
        </w:div>
        <w:div w:id="707343374">
          <w:marLeft w:val="0"/>
          <w:marRight w:val="0"/>
          <w:marTop w:val="0"/>
          <w:marBottom w:val="0"/>
          <w:divBdr>
            <w:top w:val="none" w:sz="0" w:space="0" w:color="auto"/>
            <w:left w:val="none" w:sz="0" w:space="0" w:color="auto"/>
            <w:bottom w:val="none" w:sz="0" w:space="0" w:color="auto"/>
            <w:right w:val="none" w:sz="0" w:space="0" w:color="auto"/>
          </w:divBdr>
        </w:div>
        <w:div w:id="262032352">
          <w:marLeft w:val="0"/>
          <w:marRight w:val="0"/>
          <w:marTop w:val="0"/>
          <w:marBottom w:val="0"/>
          <w:divBdr>
            <w:top w:val="none" w:sz="0" w:space="0" w:color="auto"/>
            <w:left w:val="none" w:sz="0" w:space="0" w:color="auto"/>
            <w:bottom w:val="none" w:sz="0" w:space="0" w:color="auto"/>
            <w:right w:val="none" w:sz="0" w:space="0" w:color="auto"/>
          </w:divBdr>
        </w:div>
        <w:div w:id="2056195998">
          <w:marLeft w:val="0"/>
          <w:marRight w:val="0"/>
          <w:marTop w:val="0"/>
          <w:marBottom w:val="0"/>
          <w:divBdr>
            <w:top w:val="none" w:sz="0" w:space="0" w:color="auto"/>
            <w:left w:val="none" w:sz="0" w:space="0" w:color="auto"/>
            <w:bottom w:val="none" w:sz="0" w:space="0" w:color="auto"/>
            <w:right w:val="none" w:sz="0" w:space="0" w:color="auto"/>
          </w:divBdr>
        </w:div>
        <w:div w:id="749429294">
          <w:marLeft w:val="0"/>
          <w:marRight w:val="0"/>
          <w:marTop w:val="0"/>
          <w:marBottom w:val="0"/>
          <w:divBdr>
            <w:top w:val="none" w:sz="0" w:space="0" w:color="auto"/>
            <w:left w:val="none" w:sz="0" w:space="0" w:color="auto"/>
            <w:bottom w:val="none" w:sz="0" w:space="0" w:color="auto"/>
            <w:right w:val="none" w:sz="0" w:space="0" w:color="auto"/>
          </w:divBdr>
        </w:div>
        <w:div w:id="653683278">
          <w:marLeft w:val="0"/>
          <w:marRight w:val="0"/>
          <w:marTop w:val="0"/>
          <w:marBottom w:val="0"/>
          <w:divBdr>
            <w:top w:val="none" w:sz="0" w:space="0" w:color="auto"/>
            <w:left w:val="none" w:sz="0" w:space="0" w:color="auto"/>
            <w:bottom w:val="none" w:sz="0" w:space="0" w:color="auto"/>
            <w:right w:val="none" w:sz="0" w:space="0" w:color="auto"/>
          </w:divBdr>
        </w:div>
        <w:div w:id="1369145069">
          <w:marLeft w:val="0"/>
          <w:marRight w:val="0"/>
          <w:marTop w:val="0"/>
          <w:marBottom w:val="0"/>
          <w:divBdr>
            <w:top w:val="none" w:sz="0" w:space="0" w:color="auto"/>
            <w:left w:val="none" w:sz="0" w:space="0" w:color="auto"/>
            <w:bottom w:val="none" w:sz="0" w:space="0" w:color="auto"/>
            <w:right w:val="none" w:sz="0" w:space="0" w:color="auto"/>
          </w:divBdr>
        </w:div>
        <w:div w:id="72701587">
          <w:marLeft w:val="0"/>
          <w:marRight w:val="0"/>
          <w:marTop w:val="0"/>
          <w:marBottom w:val="0"/>
          <w:divBdr>
            <w:top w:val="none" w:sz="0" w:space="0" w:color="auto"/>
            <w:left w:val="none" w:sz="0" w:space="0" w:color="auto"/>
            <w:bottom w:val="none" w:sz="0" w:space="0" w:color="auto"/>
            <w:right w:val="none" w:sz="0" w:space="0" w:color="auto"/>
          </w:divBdr>
        </w:div>
        <w:div w:id="1787845232">
          <w:marLeft w:val="0"/>
          <w:marRight w:val="0"/>
          <w:marTop w:val="0"/>
          <w:marBottom w:val="0"/>
          <w:divBdr>
            <w:top w:val="none" w:sz="0" w:space="0" w:color="auto"/>
            <w:left w:val="none" w:sz="0" w:space="0" w:color="auto"/>
            <w:bottom w:val="none" w:sz="0" w:space="0" w:color="auto"/>
            <w:right w:val="none" w:sz="0" w:space="0" w:color="auto"/>
          </w:divBdr>
        </w:div>
        <w:div w:id="212884958">
          <w:marLeft w:val="0"/>
          <w:marRight w:val="0"/>
          <w:marTop w:val="0"/>
          <w:marBottom w:val="0"/>
          <w:divBdr>
            <w:top w:val="none" w:sz="0" w:space="0" w:color="auto"/>
            <w:left w:val="none" w:sz="0" w:space="0" w:color="auto"/>
            <w:bottom w:val="none" w:sz="0" w:space="0" w:color="auto"/>
            <w:right w:val="none" w:sz="0" w:space="0" w:color="auto"/>
          </w:divBdr>
        </w:div>
        <w:div w:id="721098816">
          <w:marLeft w:val="0"/>
          <w:marRight w:val="0"/>
          <w:marTop w:val="0"/>
          <w:marBottom w:val="0"/>
          <w:divBdr>
            <w:top w:val="none" w:sz="0" w:space="0" w:color="auto"/>
            <w:left w:val="none" w:sz="0" w:space="0" w:color="auto"/>
            <w:bottom w:val="none" w:sz="0" w:space="0" w:color="auto"/>
            <w:right w:val="none" w:sz="0" w:space="0" w:color="auto"/>
          </w:divBdr>
        </w:div>
        <w:div w:id="1562133159">
          <w:marLeft w:val="0"/>
          <w:marRight w:val="0"/>
          <w:marTop w:val="0"/>
          <w:marBottom w:val="0"/>
          <w:divBdr>
            <w:top w:val="none" w:sz="0" w:space="0" w:color="auto"/>
            <w:left w:val="none" w:sz="0" w:space="0" w:color="auto"/>
            <w:bottom w:val="none" w:sz="0" w:space="0" w:color="auto"/>
            <w:right w:val="none" w:sz="0" w:space="0" w:color="auto"/>
          </w:divBdr>
        </w:div>
        <w:div w:id="738596478">
          <w:marLeft w:val="0"/>
          <w:marRight w:val="0"/>
          <w:marTop w:val="0"/>
          <w:marBottom w:val="0"/>
          <w:divBdr>
            <w:top w:val="none" w:sz="0" w:space="0" w:color="auto"/>
            <w:left w:val="none" w:sz="0" w:space="0" w:color="auto"/>
            <w:bottom w:val="none" w:sz="0" w:space="0" w:color="auto"/>
            <w:right w:val="none" w:sz="0" w:space="0" w:color="auto"/>
          </w:divBdr>
        </w:div>
        <w:div w:id="2090733254">
          <w:marLeft w:val="0"/>
          <w:marRight w:val="0"/>
          <w:marTop w:val="0"/>
          <w:marBottom w:val="0"/>
          <w:divBdr>
            <w:top w:val="none" w:sz="0" w:space="0" w:color="auto"/>
            <w:left w:val="none" w:sz="0" w:space="0" w:color="auto"/>
            <w:bottom w:val="none" w:sz="0" w:space="0" w:color="auto"/>
            <w:right w:val="none" w:sz="0" w:space="0" w:color="auto"/>
          </w:divBdr>
        </w:div>
        <w:div w:id="1162231873">
          <w:marLeft w:val="0"/>
          <w:marRight w:val="0"/>
          <w:marTop w:val="0"/>
          <w:marBottom w:val="0"/>
          <w:divBdr>
            <w:top w:val="none" w:sz="0" w:space="0" w:color="auto"/>
            <w:left w:val="none" w:sz="0" w:space="0" w:color="auto"/>
            <w:bottom w:val="none" w:sz="0" w:space="0" w:color="auto"/>
            <w:right w:val="none" w:sz="0" w:space="0" w:color="auto"/>
          </w:divBdr>
        </w:div>
        <w:div w:id="351885760">
          <w:marLeft w:val="0"/>
          <w:marRight w:val="0"/>
          <w:marTop w:val="0"/>
          <w:marBottom w:val="0"/>
          <w:divBdr>
            <w:top w:val="none" w:sz="0" w:space="0" w:color="auto"/>
            <w:left w:val="none" w:sz="0" w:space="0" w:color="auto"/>
            <w:bottom w:val="none" w:sz="0" w:space="0" w:color="auto"/>
            <w:right w:val="none" w:sz="0" w:space="0" w:color="auto"/>
          </w:divBdr>
        </w:div>
        <w:div w:id="759716187">
          <w:marLeft w:val="0"/>
          <w:marRight w:val="0"/>
          <w:marTop w:val="0"/>
          <w:marBottom w:val="0"/>
          <w:divBdr>
            <w:top w:val="none" w:sz="0" w:space="0" w:color="auto"/>
            <w:left w:val="none" w:sz="0" w:space="0" w:color="auto"/>
            <w:bottom w:val="none" w:sz="0" w:space="0" w:color="auto"/>
            <w:right w:val="none" w:sz="0" w:space="0" w:color="auto"/>
          </w:divBdr>
        </w:div>
        <w:div w:id="666321311">
          <w:marLeft w:val="0"/>
          <w:marRight w:val="0"/>
          <w:marTop w:val="0"/>
          <w:marBottom w:val="0"/>
          <w:divBdr>
            <w:top w:val="none" w:sz="0" w:space="0" w:color="auto"/>
            <w:left w:val="none" w:sz="0" w:space="0" w:color="auto"/>
            <w:bottom w:val="none" w:sz="0" w:space="0" w:color="auto"/>
            <w:right w:val="none" w:sz="0" w:space="0" w:color="auto"/>
          </w:divBdr>
        </w:div>
        <w:div w:id="75056649">
          <w:marLeft w:val="0"/>
          <w:marRight w:val="0"/>
          <w:marTop w:val="0"/>
          <w:marBottom w:val="0"/>
          <w:divBdr>
            <w:top w:val="none" w:sz="0" w:space="0" w:color="auto"/>
            <w:left w:val="none" w:sz="0" w:space="0" w:color="auto"/>
            <w:bottom w:val="none" w:sz="0" w:space="0" w:color="auto"/>
            <w:right w:val="none" w:sz="0" w:space="0" w:color="auto"/>
          </w:divBdr>
        </w:div>
        <w:div w:id="1689407342">
          <w:marLeft w:val="0"/>
          <w:marRight w:val="0"/>
          <w:marTop w:val="0"/>
          <w:marBottom w:val="0"/>
          <w:divBdr>
            <w:top w:val="none" w:sz="0" w:space="0" w:color="auto"/>
            <w:left w:val="none" w:sz="0" w:space="0" w:color="auto"/>
            <w:bottom w:val="none" w:sz="0" w:space="0" w:color="auto"/>
            <w:right w:val="none" w:sz="0" w:space="0" w:color="auto"/>
          </w:divBdr>
        </w:div>
        <w:div w:id="1165125501">
          <w:marLeft w:val="0"/>
          <w:marRight w:val="0"/>
          <w:marTop w:val="0"/>
          <w:marBottom w:val="0"/>
          <w:divBdr>
            <w:top w:val="none" w:sz="0" w:space="0" w:color="auto"/>
            <w:left w:val="none" w:sz="0" w:space="0" w:color="auto"/>
            <w:bottom w:val="none" w:sz="0" w:space="0" w:color="auto"/>
            <w:right w:val="none" w:sz="0" w:space="0" w:color="auto"/>
          </w:divBdr>
        </w:div>
        <w:div w:id="1317421475">
          <w:marLeft w:val="0"/>
          <w:marRight w:val="0"/>
          <w:marTop w:val="0"/>
          <w:marBottom w:val="0"/>
          <w:divBdr>
            <w:top w:val="none" w:sz="0" w:space="0" w:color="auto"/>
            <w:left w:val="none" w:sz="0" w:space="0" w:color="auto"/>
            <w:bottom w:val="none" w:sz="0" w:space="0" w:color="auto"/>
            <w:right w:val="none" w:sz="0" w:space="0" w:color="auto"/>
          </w:divBdr>
        </w:div>
        <w:div w:id="425268763">
          <w:marLeft w:val="0"/>
          <w:marRight w:val="0"/>
          <w:marTop w:val="0"/>
          <w:marBottom w:val="0"/>
          <w:divBdr>
            <w:top w:val="none" w:sz="0" w:space="0" w:color="auto"/>
            <w:left w:val="none" w:sz="0" w:space="0" w:color="auto"/>
            <w:bottom w:val="none" w:sz="0" w:space="0" w:color="auto"/>
            <w:right w:val="none" w:sz="0" w:space="0" w:color="auto"/>
          </w:divBdr>
        </w:div>
        <w:div w:id="725957144">
          <w:marLeft w:val="0"/>
          <w:marRight w:val="0"/>
          <w:marTop w:val="0"/>
          <w:marBottom w:val="0"/>
          <w:divBdr>
            <w:top w:val="none" w:sz="0" w:space="0" w:color="auto"/>
            <w:left w:val="none" w:sz="0" w:space="0" w:color="auto"/>
            <w:bottom w:val="none" w:sz="0" w:space="0" w:color="auto"/>
            <w:right w:val="none" w:sz="0" w:space="0" w:color="auto"/>
          </w:divBdr>
        </w:div>
        <w:div w:id="1435008408">
          <w:marLeft w:val="0"/>
          <w:marRight w:val="0"/>
          <w:marTop w:val="0"/>
          <w:marBottom w:val="0"/>
          <w:divBdr>
            <w:top w:val="none" w:sz="0" w:space="0" w:color="auto"/>
            <w:left w:val="none" w:sz="0" w:space="0" w:color="auto"/>
            <w:bottom w:val="none" w:sz="0" w:space="0" w:color="auto"/>
            <w:right w:val="none" w:sz="0" w:space="0" w:color="auto"/>
          </w:divBdr>
        </w:div>
        <w:div w:id="1601182018">
          <w:marLeft w:val="0"/>
          <w:marRight w:val="0"/>
          <w:marTop w:val="0"/>
          <w:marBottom w:val="0"/>
          <w:divBdr>
            <w:top w:val="none" w:sz="0" w:space="0" w:color="auto"/>
            <w:left w:val="none" w:sz="0" w:space="0" w:color="auto"/>
            <w:bottom w:val="none" w:sz="0" w:space="0" w:color="auto"/>
            <w:right w:val="none" w:sz="0" w:space="0" w:color="auto"/>
          </w:divBdr>
        </w:div>
        <w:div w:id="31267693">
          <w:marLeft w:val="0"/>
          <w:marRight w:val="0"/>
          <w:marTop w:val="0"/>
          <w:marBottom w:val="0"/>
          <w:divBdr>
            <w:top w:val="none" w:sz="0" w:space="0" w:color="auto"/>
            <w:left w:val="none" w:sz="0" w:space="0" w:color="auto"/>
            <w:bottom w:val="none" w:sz="0" w:space="0" w:color="auto"/>
            <w:right w:val="none" w:sz="0" w:space="0" w:color="auto"/>
          </w:divBdr>
        </w:div>
        <w:div w:id="995181555">
          <w:marLeft w:val="0"/>
          <w:marRight w:val="0"/>
          <w:marTop w:val="0"/>
          <w:marBottom w:val="0"/>
          <w:divBdr>
            <w:top w:val="none" w:sz="0" w:space="0" w:color="auto"/>
            <w:left w:val="none" w:sz="0" w:space="0" w:color="auto"/>
            <w:bottom w:val="none" w:sz="0" w:space="0" w:color="auto"/>
            <w:right w:val="none" w:sz="0" w:space="0" w:color="auto"/>
          </w:divBdr>
        </w:div>
        <w:div w:id="1674726772">
          <w:marLeft w:val="0"/>
          <w:marRight w:val="0"/>
          <w:marTop w:val="0"/>
          <w:marBottom w:val="0"/>
          <w:divBdr>
            <w:top w:val="none" w:sz="0" w:space="0" w:color="auto"/>
            <w:left w:val="none" w:sz="0" w:space="0" w:color="auto"/>
            <w:bottom w:val="none" w:sz="0" w:space="0" w:color="auto"/>
            <w:right w:val="none" w:sz="0" w:space="0" w:color="auto"/>
          </w:divBdr>
        </w:div>
        <w:div w:id="82801412">
          <w:marLeft w:val="0"/>
          <w:marRight w:val="0"/>
          <w:marTop w:val="0"/>
          <w:marBottom w:val="0"/>
          <w:divBdr>
            <w:top w:val="none" w:sz="0" w:space="0" w:color="auto"/>
            <w:left w:val="none" w:sz="0" w:space="0" w:color="auto"/>
            <w:bottom w:val="none" w:sz="0" w:space="0" w:color="auto"/>
            <w:right w:val="none" w:sz="0" w:space="0" w:color="auto"/>
          </w:divBdr>
        </w:div>
        <w:div w:id="468591598">
          <w:marLeft w:val="0"/>
          <w:marRight w:val="0"/>
          <w:marTop w:val="0"/>
          <w:marBottom w:val="0"/>
          <w:divBdr>
            <w:top w:val="none" w:sz="0" w:space="0" w:color="auto"/>
            <w:left w:val="none" w:sz="0" w:space="0" w:color="auto"/>
            <w:bottom w:val="none" w:sz="0" w:space="0" w:color="auto"/>
            <w:right w:val="none" w:sz="0" w:space="0" w:color="auto"/>
          </w:divBdr>
        </w:div>
        <w:div w:id="58863357">
          <w:marLeft w:val="0"/>
          <w:marRight w:val="0"/>
          <w:marTop w:val="0"/>
          <w:marBottom w:val="0"/>
          <w:divBdr>
            <w:top w:val="none" w:sz="0" w:space="0" w:color="auto"/>
            <w:left w:val="none" w:sz="0" w:space="0" w:color="auto"/>
            <w:bottom w:val="none" w:sz="0" w:space="0" w:color="auto"/>
            <w:right w:val="none" w:sz="0" w:space="0" w:color="auto"/>
          </w:divBdr>
        </w:div>
        <w:div w:id="1087774991">
          <w:marLeft w:val="0"/>
          <w:marRight w:val="0"/>
          <w:marTop w:val="0"/>
          <w:marBottom w:val="0"/>
          <w:divBdr>
            <w:top w:val="none" w:sz="0" w:space="0" w:color="auto"/>
            <w:left w:val="none" w:sz="0" w:space="0" w:color="auto"/>
            <w:bottom w:val="none" w:sz="0" w:space="0" w:color="auto"/>
            <w:right w:val="none" w:sz="0" w:space="0" w:color="auto"/>
          </w:divBdr>
        </w:div>
        <w:div w:id="1461150821">
          <w:marLeft w:val="0"/>
          <w:marRight w:val="0"/>
          <w:marTop w:val="0"/>
          <w:marBottom w:val="0"/>
          <w:divBdr>
            <w:top w:val="none" w:sz="0" w:space="0" w:color="auto"/>
            <w:left w:val="none" w:sz="0" w:space="0" w:color="auto"/>
            <w:bottom w:val="none" w:sz="0" w:space="0" w:color="auto"/>
            <w:right w:val="none" w:sz="0" w:space="0" w:color="auto"/>
          </w:divBdr>
        </w:div>
        <w:div w:id="631255216">
          <w:marLeft w:val="0"/>
          <w:marRight w:val="0"/>
          <w:marTop w:val="0"/>
          <w:marBottom w:val="0"/>
          <w:divBdr>
            <w:top w:val="none" w:sz="0" w:space="0" w:color="auto"/>
            <w:left w:val="none" w:sz="0" w:space="0" w:color="auto"/>
            <w:bottom w:val="none" w:sz="0" w:space="0" w:color="auto"/>
            <w:right w:val="none" w:sz="0" w:space="0" w:color="auto"/>
          </w:divBdr>
        </w:div>
        <w:div w:id="1479027853">
          <w:marLeft w:val="0"/>
          <w:marRight w:val="0"/>
          <w:marTop w:val="0"/>
          <w:marBottom w:val="0"/>
          <w:divBdr>
            <w:top w:val="none" w:sz="0" w:space="0" w:color="auto"/>
            <w:left w:val="none" w:sz="0" w:space="0" w:color="auto"/>
            <w:bottom w:val="none" w:sz="0" w:space="0" w:color="auto"/>
            <w:right w:val="none" w:sz="0" w:space="0" w:color="auto"/>
          </w:divBdr>
        </w:div>
        <w:div w:id="1135830222">
          <w:marLeft w:val="0"/>
          <w:marRight w:val="0"/>
          <w:marTop w:val="0"/>
          <w:marBottom w:val="0"/>
          <w:divBdr>
            <w:top w:val="none" w:sz="0" w:space="0" w:color="auto"/>
            <w:left w:val="none" w:sz="0" w:space="0" w:color="auto"/>
            <w:bottom w:val="none" w:sz="0" w:space="0" w:color="auto"/>
            <w:right w:val="none" w:sz="0" w:space="0" w:color="auto"/>
          </w:divBdr>
        </w:div>
        <w:div w:id="1483083806">
          <w:marLeft w:val="0"/>
          <w:marRight w:val="0"/>
          <w:marTop w:val="0"/>
          <w:marBottom w:val="0"/>
          <w:divBdr>
            <w:top w:val="none" w:sz="0" w:space="0" w:color="auto"/>
            <w:left w:val="none" w:sz="0" w:space="0" w:color="auto"/>
            <w:bottom w:val="none" w:sz="0" w:space="0" w:color="auto"/>
            <w:right w:val="none" w:sz="0" w:space="0" w:color="auto"/>
          </w:divBdr>
        </w:div>
        <w:div w:id="1773895508">
          <w:marLeft w:val="0"/>
          <w:marRight w:val="0"/>
          <w:marTop w:val="0"/>
          <w:marBottom w:val="0"/>
          <w:divBdr>
            <w:top w:val="none" w:sz="0" w:space="0" w:color="auto"/>
            <w:left w:val="none" w:sz="0" w:space="0" w:color="auto"/>
            <w:bottom w:val="none" w:sz="0" w:space="0" w:color="auto"/>
            <w:right w:val="none" w:sz="0" w:space="0" w:color="auto"/>
          </w:divBdr>
        </w:div>
        <w:div w:id="1942302334">
          <w:marLeft w:val="0"/>
          <w:marRight w:val="0"/>
          <w:marTop w:val="0"/>
          <w:marBottom w:val="0"/>
          <w:divBdr>
            <w:top w:val="none" w:sz="0" w:space="0" w:color="auto"/>
            <w:left w:val="none" w:sz="0" w:space="0" w:color="auto"/>
            <w:bottom w:val="none" w:sz="0" w:space="0" w:color="auto"/>
            <w:right w:val="none" w:sz="0" w:space="0" w:color="auto"/>
          </w:divBdr>
        </w:div>
        <w:div w:id="883909039">
          <w:marLeft w:val="0"/>
          <w:marRight w:val="0"/>
          <w:marTop w:val="0"/>
          <w:marBottom w:val="0"/>
          <w:divBdr>
            <w:top w:val="none" w:sz="0" w:space="0" w:color="auto"/>
            <w:left w:val="none" w:sz="0" w:space="0" w:color="auto"/>
            <w:bottom w:val="none" w:sz="0" w:space="0" w:color="auto"/>
            <w:right w:val="none" w:sz="0" w:space="0" w:color="auto"/>
          </w:divBdr>
        </w:div>
        <w:div w:id="740905789">
          <w:marLeft w:val="0"/>
          <w:marRight w:val="0"/>
          <w:marTop w:val="0"/>
          <w:marBottom w:val="0"/>
          <w:divBdr>
            <w:top w:val="none" w:sz="0" w:space="0" w:color="auto"/>
            <w:left w:val="none" w:sz="0" w:space="0" w:color="auto"/>
            <w:bottom w:val="none" w:sz="0" w:space="0" w:color="auto"/>
            <w:right w:val="none" w:sz="0" w:space="0" w:color="auto"/>
          </w:divBdr>
        </w:div>
        <w:div w:id="1797599700">
          <w:marLeft w:val="0"/>
          <w:marRight w:val="0"/>
          <w:marTop w:val="0"/>
          <w:marBottom w:val="0"/>
          <w:divBdr>
            <w:top w:val="none" w:sz="0" w:space="0" w:color="auto"/>
            <w:left w:val="none" w:sz="0" w:space="0" w:color="auto"/>
            <w:bottom w:val="none" w:sz="0" w:space="0" w:color="auto"/>
            <w:right w:val="none" w:sz="0" w:space="0" w:color="auto"/>
          </w:divBdr>
        </w:div>
        <w:div w:id="554048093">
          <w:marLeft w:val="0"/>
          <w:marRight w:val="0"/>
          <w:marTop w:val="0"/>
          <w:marBottom w:val="0"/>
          <w:divBdr>
            <w:top w:val="none" w:sz="0" w:space="0" w:color="auto"/>
            <w:left w:val="none" w:sz="0" w:space="0" w:color="auto"/>
            <w:bottom w:val="none" w:sz="0" w:space="0" w:color="auto"/>
            <w:right w:val="none" w:sz="0" w:space="0" w:color="auto"/>
          </w:divBdr>
        </w:div>
        <w:div w:id="5258511">
          <w:marLeft w:val="0"/>
          <w:marRight w:val="0"/>
          <w:marTop w:val="0"/>
          <w:marBottom w:val="0"/>
          <w:divBdr>
            <w:top w:val="none" w:sz="0" w:space="0" w:color="auto"/>
            <w:left w:val="none" w:sz="0" w:space="0" w:color="auto"/>
            <w:bottom w:val="none" w:sz="0" w:space="0" w:color="auto"/>
            <w:right w:val="none" w:sz="0" w:space="0" w:color="auto"/>
          </w:divBdr>
        </w:div>
        <w:div w:id="100422296">
          <w:marLeft w:val="0"/>
          <w:marRight w:val="0"/>
          <w:marTop w:val="0"/>
          <w:marBottom w:val="0"/>
          <w:divBdr>
            <w:top w:val="none" w:sz="0" w:space="0" w:color="auto"/>
            <w:left w:val="none" w:sz="0" w:space="0" w:color="auto"/>
            <w:bottom w:val="none" w:sz="0" w:space="0" w:color="auto"/>
            <w:right w:val="none" w:sz="0" w:space="0" w:color="auto"/>
          </w:divBdr>
        </w:div>
        <w:div w:id="975338483">
          <w:marLeft w:val="0"/>
          <w:marRight w:val="0"/>
          <w:marTop w:val="0"/>
          <w:marBottom w:val="0"/>
          <w:divBdr>
            <w:top w:val="none" w:sz="0" w:space="0" w:color="auto"/>
            <w:left w:val="none" w:sz="0" w:space="0" w:color="auto"/>
            <w:bottom w:val="none" w:sz="0" w:space="0" w:color="auto"/>
            <w:right w:val="none" w:sz="0" w:space="0" w:color="auto"/>
          </w:divBdr>
        </w:div>
        <w:div w:id="1104031040">
          <w:marLeft w:val="0"/>
          <w:marRight w:val="0"/>
          <w:marTop w:val="0"/>
          <w:marBottom w:val="0"/>
          <w:divBdr>
            <w:top w:val="none" w:sz="0" w:space="0" w:color="auto"/>
            <w:left w:val="none" w:sz="0" w:space="0" w:color="auto"/>
            <w:bottom w:val="none" w:sz="0" w:space="0" w:color="auto"/>
            <w:right w:val="none" w:sz="0" w:space="0" w:color="auto"/>
          </w:divBdr>
        </w:div>
        <w:div w:id="1965843797">
          <w:marLeft w:val="0"/>
          <w:marRight w:val="0"/>
          <w:marTop w:val="0"/>
          <w:marBottom w:val="0"/>
          <w:divBdr>
            <w:top w:val="none" w:sz="0" w:space="0" w:color="auto"/>
            <w:left w:val="none" w:sz="0" w:space="0" w:color="auto"/>
            <w:bottom w:val="none" w:sz="0" w:space="0" w:color="auto"/>
            <w:right w:val="none" w:sz="0" w:space="0" w:color="auto"/>
          </w:divBdr>
        </w:div>
        <w:div w:id="653919316">
          <w:marLeft w:val="0"/>
          <w:marRight w:val="0"/>
          <w:marTop w:val="0"/>
          <w:marBottom w:val="0"/>
          <w:divBdr>
            <w:top w:val="none" w:sz="0" w:space="0" w:color="auto"/>
            <w:left w:val="none" w:sz="0" w:space="0" w:color="auto"/>
            <w:bottom w:val="none" w:sz="0" w:space="0" w:color="auto"/>
            <w:right w:val="none" w:sz="0" w:space="0" w:color="auto"/>
          </w:divBdr>
        </w:div>
        <w:div w:id="544415061">
          <w:marLeft w:val="0"/>
          <w:marRight w:val="0"/>
          <w:marTop w:val="0"/>
          <w:marBottom w:val="0"/>
          <w:divBdr>
            <w:top w:val="none" w:sz="0" w:space="0" w:color="auto"/>
            <w:left w:val="none" w:sz="0" w:space="0" w:color="auto"/>
            <w:bottom w:val="none" w:sz="0" w:space="0" w:color="auto"/>
            <w:right w:val="none" w:sz="0" w:space="0" w:color="auto"/>
          </w:divBdr>
        </w:div>
        <w:div w:id="1583950801">
          <w:marLeft w:val="0"/>
          <w:marRight w:val="0"/>
          <w:marTop w:val="0"/>
          <w:marBottom w:val="0"/>
          <w:divBdr>
            <w:top w:val="none" w:sz="0" w:space="0" w:color="auto"/>
            <w:left w:val="none" w:sz="0" w:space="0" w:color="auto"/>
            <w:bottom w:val="none" w:sz="0" w:space="0" w:color="auto"/>
            <w:right w:val="none" w:sz="0" w:space="0" w:color="auto"/>
          </w:divBdr>
        </w:div>
        <w:div w:id="2047438399">
          <w:marLeft w:val="0"/>
          <w:marRight w:val="0"/>
          <w:marTop w:val="0"/>
          <w:marBottom w:val="0"/>
          <w:divBdr>
            <w:top w:val="none" w:sz="0" w:space="0" w:color="auto"/>
            <w:left w:val="none" w:sz="0" w:space="0" w:color="auto"/>
            <w:bottom w:val="none" w:sz="0" w:space="0" w:color="auto"/>
            <w:right w:val="none" w:sz="0" w:space="0" w:color="auto"/>
          </w:divBdr>
        </w:div>
        <w:div w:id="555704644">
          <w:marLeft w:val="0"/>
          <w:marRight w:val="0"/>
          <w:marTop w:val="0"/>
          <w:marBottom w:val="0"/>
          <w:divBdr>
            <w:top w:val="none" w:sz="0" w:space="0" w:color="auto"/>
            <w:left w:val="none" w:sz="0" w:space="0" w:color="auto"/>
            <w:bottom w:val="none" w:sz="0" w:space="0" w:color="auto"/>
            <w:right w:val="none" w:sz="0" w:space="0" w:color="auto"/>
          </w:divBdr>
        </w:div>
        <w:div w:id="388187212">
          <w:marLeft w:val="0"/>
          <w:marRight w:val="0"/>
          <w:marTop w:val="0"/>
          <w:marBottom w:val="0"/>
          <w:divBdr>
            <w:top w:val="none" w:sz="0" w:space="0" w:color="auto"/>
            <w:left w:val="none" w:sz="0" w:space="0" w:color="auto"/>
            <w:bottom w:val="none" w:sz="0" w:space="0" w:color="auto"/>
            <w:right w:val="none" w:sz="0" w:space="0" w:color="auto"/>
          </w:divBdr>
        </w:div>
        <w:div w:id="801263937">
          <w:marLeft w:val="0"/>
          <w:marRight w:val="0"/>
          <w:marTop w:val="0"/>
          <w:marBottom w:val="0"/>
          <w:divBdr>
            <w:top w:val="none" w:sz="0" w:space="0" w:color="auto"/>
            <w:left w:val="none" w:sz="0" w:space="0" w:color="auto"/>
            <w:bottom w:val="none" w:sz="0" w:space="0" w:color="auto"/>
            <w:right w:val="none" w:sz="0" w:space="0" w:color="auto"/>
          </w:divBdr>
        </w:div>
        <w:div w:id="1265184470">
          <w:marLeft w:val="0"/>
          <w:marRight w:val="0"/>
          <w:marTop w:val="0"/>
          <w:marBottom w:val="0"/>
          <w:divBdr>
            <w:top w:val="none" w:sz="0" w:space="0" w:color="auto"/>
            <w:left w:val="none" w:sz="0" w:space="0" w:color="auto"/>
            <w:bottom w:val="none" w:sz="0" w:space="0" w:color="auto"/>
            <w:right w:val="none" w:sz="0" w:space="0" w:color="auto"/>
          </w:divBdr>
        </w:div>
        <w:div w:id="1779792523">
          <w:marLeft w:val="0"/>
          <w:marRight w:val="0"/>
          <w:marTop w:val="0"/>
          <w:marBottom w:val="0"/>
          <w:divBdr>
            <w:top w:val="none" w:sz="0" w:space="0" w:color="auto"/>
            <w:left w:val="none" w:sz="0" w:space="0" w:color="auto"/>
            <w:bottom w:val="none" w:sz="0" w:space="0" w:color="auto"/>
            <w:right w:val="none" w:sz="0" w:space="0" w:color="auto"/>
          </w:divBdr>
        </w:div>
        <w:div w:id="1593394309">
          <w:marLeft w:val="0"/>
          <w:marRight w:val="0"/>
          <w:marTop w:val="0"/>
          <w:marBottom w:val="0"/>
          <w:divBdr>
            <w:top w:val="none" w:sz="0" w:space="0" w:color="auto"/>
            <w:left w:val="none" w:sz="0" w:space="0" w:color="auto"/>
            <w:bottom w:val="none" w:sz="0" w:space="0" w:color="auto"/>
            <w:right w:val="none" w:sz="0" w:space="0" w:color="auto"/>
          </w:divBdr>
        </w:div>
        <w:div w:id="1364594538">
          <w:marLeft w:val="0"/>
          <w:marRight w:val="0"/>
          <w:marTop w:val="0"/>
          <w:marBottom w:val="0"/>
          <w:divBdr>
            <w:top w:val="none" w:sz="0" w:space="0" w:color="auto"/>
            <w:left w:val="none" w:sz="0" w:space="0" w:color="auto"/>
            <w:bottom w:val="none" w:sz="0" w:space="0" w:color="auto"/>
            <w:right w:val="none" w:sz="0" w:space="0" w:color="auto"/>
          </w:divBdr>
        </w:div>
        <w:div w:id="1453789096">
          <w:marLeft w:val="0"/>
          <w:marRight w:val="0"/>
          <w:marTop w:val="0"/>
          <w:marBottom w:val="0"/>
          <w:divBdr>
            <w:top w:val="none" w:sz="0" w:space="0" w:color="auto"/>
            <w:left w:val="none" w:sz="0" w:space="0" w:color="auto"/>
            <w:bottom w:val="none" w:sz="0" w:space="0" w:color="auto"/>
            <w:right w:val="none" w:sz="0" w:space="0" w:color="auto"/>
          </w:divBdr>
        </w:div>
        <w:div w:id="754404846">
          <w:marLeft w:val="0"/>
          <w:marRight w:val="0"/>
          <w:marTop w:val="0"/>
          <w:marBottom w:val="0"/>
          <w:divBdr>
            <w:top w:val="none" w:sz="0" w:space="0" w:color="auto"/>
            <w:left w:val="none" w:sz="0" w:space="0" w:color="auto"/>
            <w:bottom w:val="none" w:sz="0" w:space="0" w:color="auto"/>
            <w:right w:val="none" w:sz="0" w:space="0" w:color="auto"/>
          </w:divBdr>
        </w:div>
        <w:div w:id="1166944238">
          <w:marLeft w:val="0"/>
          <w:marRight w:val="0"/>
          <w:marTop w:val="0"/>
          <w:marBottom w:val="0"/>
          <w:divBdr>
            <w:top w:val="none" w:sz="0" w:space="0" w:color="auto"/>
            <w:left w:val="none" w:sz="0" w:space="0" w:color="auto"/>
            <w:bottom w:val="none" w:sz="0" w:space="0" w:color="auto"/>
            <w:right w:val="none" w:sz="0" w:space="0" w:color="auto"/>
          </w:divBdr>
        </w:div>
        <w:div w:id="1994139583">
          <w:marLeft w:val="0"/>
          <w:marRight w:val="0"/>
          <w:marTop w:val="0"/>
          <w:marBottom w:val="0"/>
          <w:divBdr>
            <w:top w:val="none" w:sz="0" w:space="0" w:color="auto"/>
            <w:left w:val="none" w:sz="0" w:space="0" w:color="auto"/>
            <w:bottom w:val="none" w:sz="0" w:space="0" w:color="auto"/>
            <w:right w:val="none" w:sz="0" w:space="0" w:color="auto"/>
          </w:divBdr>
        </w:div>
        <w:div w:id="1721859933">
          <w:marLeft w:val="0"/>
          <w:marRight w:val="0"/>
          <w:marTop w:val="0"/>
          <w:marBottom w:val="0"/>
          <w:divBdr>
            <w:top w:val="none" w:sz="0" w:space="0" w:color="auto"/>
            <w:left w:val="none" w:sz="0" w:space="0" w:color="auto"/>
            <w:bottom w:val="none" w:sz="0" w:space="0" w:color="auto"/>
            <w:right w:val="none" w:sz="0" w:space="0" w:color="auto"/>
          </w:divBdr>
        </w:div>
        <w:div w:id="777142349">
          <w:marLeft w:val="0"/>
          <w:marRight w:val="0"/>
          <w:marTop w:val="0"/>
          <w:marBottom w:val="0"/>
          <w:divBdr>
            <w:top w:val="none" w:sz="0" w:space="0" w:color="auto"/>
            <w:left w:val="none" w:sz="0" w:space="0" w:color="auto"/>
            <w:bottom w:val="none" w:sz="0" w:space="0" w:color="auto"/>
            <w:right w:val="none" w:sz="0" w:space="0" w:color="auto"/>
          </w:divBdr>
        </w:div>
        <w:div w:id="1633319539">
          <w:marLeft w:val="0"/>
          <w:marRight w:val="0"/>
          <w:marTop w:val="0"/>
          <w:marBottom w:val="0"/>
          <w:divBdr>
            <w:top w:val="none" w:sz="0" w:space="0" w:color="auto"/>
            <w:left w:val="none" w:sz="0" w:space="0" w:color="auto"/>
            <w:bottom w:val="none" w:sz="0" w:space="0" w:color="auto"/>
            <w:right w:val="none" w:sz="0" w:space="0" w:color="auto"/>
          </w:divBdr>
        </w:div>
        <w:div w:id="992024613">
          <w:marLeft w:val="0"/>
          <w:marRight w:val="0"/>
          <w:marTop w:val="0"/>
          <w:marBottom w:val="0"/>
          <w:divBdr>
            <w:top w:val="none" w:sz="0" w:space="0" w:color="auto"/>
            <w:left w:val="none" w:sz="0" w:space="0" w:color="auto"/>
            <w:bottom w:val="none" w:sz="0" w:space="0" w:color="auto"/>
            <w:right w:val="none" w:sz="0" w:space="0" w:color="auto"/>
          </w:divBdr>
        </w:div>
        <w:div w:id="1543635292">
          <w:marLeft w:val="0"/>
          <w:marRight w:val="0"/>
          <w:marTop w:val="0"/>
          <w:marBottom w:val="0"/>
          <w:divBdr>
            <w:top w:val="none" w:sz="0" w:space="0" w:color="auto"/>
            <w:left w:val="none" w:sz="0" w:space="0" w:color="auto"/>
            <w:bottom w:val="none" w:sz="0" w:space="0" w:color="auto"/>
            <w:right w:val="none" w:sz="0" w:space="0" w:color="auto"/>
          </w:divBdr>
        </w:div>
        <w:div w:id="1047025632">
          <w:marLeft w:val="0"/>
          <w:marRight w:val="0"/>
          <w:marTop w:val="0"/>
          <w:marBottom w:val="0"/>
          <w:divBdr>
            <w:top w:val="none" w:sz="0" w:space="0" w:color="auto"/>
            <w:left w:val="none" w:sz="0" w:space="0" w:color="auto"/>
            <w:bottom w:val="none" w:sz="0" w:space="0" w:color="auto"/>
            <w:right w:val="none" w:sz="0" w:space="0" w:color="auto"/>
          </w:divBdr>
        </w:div>
      </w:divsChild>
    </w:div>
    <w:div w:id="1549106800">
      <w:bodyDiv w:val="1"/>
      <w:marLeft w:val="0"/>
      <w:marRight w:val="0"/>
      <w:marTop w:val="0"/>
      <w:marBottom w:val="0"/>
      <w:divBdr>
        <w:top w:val="none" w:sz="0" w:space="0" w:color="auto"/>
        <w:left w:val="none" w:sz="0" w:space="0" w:color="auto"/>
        <w:bottom w:val="none" w:sz="0" w:space="0" w:color="auto"/>
        <w:right w:val="none" w:sz="0" w:space="0" w:color="auto"/>
      </w:divBdr>
      <w:divsChild>
        <w:div w:id="479077055">
          <w:marLeft w:val="0"/>
          <w:marRight w:val="0"/>
          <w:marTop w:val="0"/>
          <w:marBottom w:val="0"/>
          <w:divBdr>
            <w:top w:val="none" w:sz="0" w:space="0" w:color="auto"/>
            <w:left w:val="none" w:sz="0" w:space="0" w:color="auto"/>
            <w:bottom w:val="none" w:sz="0" w:space="0" w:color="auto"/>
            <w:right w:val="none" w:sz="0" w:space="0" w:color="auto"/>
          </w:divBdr>
        </w:div>
        <w:div w:id="173694832">
          <w:marLeft w:val="0"/>
          <w:marRight w:val="0"/>
          <w:marTop w:val="0"/>
          <w:marBottom w:val="0"/>
          <w:divBdr>
            <w:top w:val="none" w:sz="0" w:space="0" w:color="auto"/>
            <w:left w:val="none" w:sz="0" w:space="0" w:color="auto"/>
            <w:bottom w:val="none" w:sz="0" w:space="0" w:color="auto"/>
            <w:right w:val="none" w:sz="0" w:space="0" w:color="auto"/>
          </w:divBdr>
        </w:div>
        <w:div w:id="1683051616">
          <w:marLeft w:val="0"/>
          <w:marRight w:val="0"/>
          <w:marTop w:val="0"/>
          <w:marBottom w:val="0"/>
          <w:divBdr>
            <w:top w:val="none" w:sz="0" w:space="0" w:color="auto"/>
            <w:left w:val="none" w:sz="0" w:space="0" w:color="auto"/>
            <w:bottom w:val="none" w:sz="0" w:space="0" w:color="auto"/>
            <w:right w:val="none" w:sz="0" w:space="0" w:color="auto"/>
          </w:divBdr>
        </w:div>
        <w:div w:id="42028348">
          <w:marLeft w:val="0"/>
          <w:marRight w:val="0"/>
          <w:marTop w:val="0"/>
          <w:marBottom w:val="0"/>
          <w:divBdr>
            <w:top w:val="none" w:sz="0" w:space="0" w:color="auto"/>
            <w:left w:val="none" w:sz="0" w:space="0" w:color="auto"/>
            <w:bottom w:val="none" w:sz="0" w:space="0" w:color="auto"/>
            <w:right w:val="none" w:sz="0" w:space="0" w:color="auto"/>
          </w:divBdr>
        </w:div>
        <w:div w:id="670374782">
          <w:marLeft w:val="0"/>
          <w:marRight w:val="0"/>
          <w:marTop w:val="0"/>
          <w:marBottom w:val="0"/>
          <w:divBdr>
            <w:top w:val="none" w:sz="0" w:space="0" w:color="auto"/>
            <w:left w:val="none" w:sz="0" w:space="0" w:color="auto"/>
            <w:bottom w:val="none" w:sz="0" w:space="0" w:color="auto"/>
            <w:right w:val="none" w:sz="0" w:space="0" w:color="auto"/>
          </w:divBdr>
        </w:div>
        <w:div w:id="1239823397">
          <w:marLeft w:val="0"/>
          <w:marRight w:val="0"/>
          <w:marTop w:val="0"/>
          <w:marBottom w:val="0"/>
          <w:divBdr>
            <w:top w:val="none" w:sz="0" w:space="0" w:color="auto"/>
            <w:left w:val="none" w:sz="0" w:space="0" w:color="auto"/>
            <w:bottom w:val="none" w:sz="0" w:space="0" w:color="auto"/>
            <w:right w:val="none" w:sz="0" w:space="0" w:color="auto"/>
          </w:divBdr>
        </w:div>
        <w:div w:id="92092760">
          <w:marLeft w:val="0"/>
          <w:marRight w:val="0"/>
          <w:marTop w:val="0"/>
          <w:marBottom w:val="0"/>
          <w:divBdr>
            <w:top w:val="none" w:sz="0" w:space="0" w:color="auto"/>
            <w:left w:val="none" w:sz="0" w:space="0" w:color="auto"/>
            <w:bottom w:val="none" w:sz="0" w:space="0" w:color="auto"/>
            <w:right w:val="none" w:sz="0" w:space="0" w:color="auto"/>
          </w:divBdr>
        </w:div>
        <w:div w:id="118300688">
          <w:marLeft w:val="0"/>
          <w:marRight w:val="0"/>
          <w:marTop w:val="0"/>
          <w:marBottom w:val="0"/>
          <w:divBdr>
            <w:top w:val="none" w:sz="0" w:space="0" w:color="auto"/>
            <w:left w:val="none" w:sz="0" w:space="0" w:color="auto"/>
            <w:bottom w:val="none" w:sz="0" w:space="0" w:color="auto"/>
            <w:right w:val="none" w:sz="0" w:space="0" w:color="auto"/>
          </w:divBdr>
        </w:div>
        <w:div w:id="305745662">
          <w:marLeft w:val="0"/>
          <w:marRight w:val="0"/>
          <w:marTop w:val="0"/>
          <w:marBottom w:val="0"/>
          <w:divBdr>
            <w:top w:val="none" w:sz="0" w:space="0" w:color="auto"/>
            <w:left w:val="none" w:sz="0" w:space="0" w:color="auto"/>
            <w:bottom w:val="none" w:sz="0" w:space="0" w:color="auto"/>
            <w:right w:val="none" w:sz="0" w:space="0" w:color="auto"/>
          </w:divBdr>
        </w:div>
        <w:div w:id="94981434">
          <w:marLeft w:val="0"/>
          <w:marRight w:val="0"/>
          <w:marTop w:val="0"/>
          <w:marBottom w:val="0"/>
          <w:divBdr>
            <w:top w:val="none" w:sz="0" w:space="0" w:color="auto"/>
            <w:left w:val="none" w:sz="0" w:space="0" w:color="auto"/>
            <w:bottom w:val="none" w:sz="0" w:space="0" w:color="auto"/>
            <w:right w:val="none" w:sz="0" w:space="0" w:color="auto"/>
          </w:divBdr>
        </w:div>
        <w:div w:id="1007102878">
          <w:marLeft w:val="0"/>
          <w:marRight w:val="0"/>
          <w:marTop w:val="0"/>
          <w:marBottom w:val="0"/>
          <w:divBdr>
            <w:top w:val="none" w:sz="0" w:space="0" w:color="auto"/>
            <w:left w:val="none" w:sz="0" w:space="0" w:color="auto"/>
            <w:bottom w:val="none" w:sz="0" w:space="0" w:color="auto"/>
            <w:right w:val="none" w:sz="0" w:space="0" w:color="auto"/>
          </w:divBdr>
        </w:div>
        <w:div w:id="1468090494">
          <w:marLeft w:val="0"/>
          <w:marRight w:val="0"/>
          <w:marTop w:val="0"/>
          <w:marBottom w:val="0"/>
          <w:divBdr>
            <w:top w:val="none" w:sz="0" w:space="0" w:color="auto"/>
            <w:left w:val="none" w:sz="0" w:space="0" w:color="auto"/>
            <w:bottom w:val="none" w:sz="0" w:space="0" w:color="auto"/>
            <w:right w:val="none" w:sz="0" w:space="0" w:color="auto"/>
          </w:divBdr>
        </w:div>
        <w:div w:id="926881783">
          <w:marLeft w:val="0"/>
          <w:marRight w:val="0"/>
          <w:marTop w:val="0"/>
          <w:marBottom w:val="0"/>
          <w:divBdr>
            <w:top w:val="none" w:sz="0" w:space="0" w:color="auto"/>
            <w:left w:val="none" w:sz="0" w:space="0" w:color="auto"/>
            <w:bottom w:val="none" w:sz="0" w:space="0" w:color="auto"/>
            <w:right w:val="none" w:sz="0" w:space="0" w:color="auto"/>
          </w:divBdr>
        </w:div>
        <w:div w:id="1996715072">
          <w:marLeft w:val="0"/>
          <w:marRight w:val="0"/>
          <w:marTop w:val="0"/>
          <w:marBottom w:val="0"/>
          <w:divBdr>
            <w:top w:val="none" w:sz="0" w:space="0" w:color="auto"/>
            <w:left w:val="none" w:sz="0" w:space="0" w:color="auto"/>
            <w:bottom w:val="none" w:sz="0" w:space="0" w:color="auto"/>
            <w:right w:val="none" w:sz="0" w:space="0" w:color="auto"/>
          </w:divBdr>
        </w:div>
        <w:div w:id="1466507606">
          <w:marLeft w:val="0"/>
          <w:marRight w:val="0"/>
          <w:marTop w:val="0"/>
          <w:marBottom w:val="0"/>
          <w:divBdr>
            <w:top w:val="none" w:sz="0" w:space="0" w:color="auto"/>
            <w:left w:val="none" w:sz="0" w:space="0" w:color="auto"/>
            <w:bottom w:val="none" w:sz="0" w:space="0" w:color="auto"/>
            <w:right w:val="none" w:sz="0" w:space="0" w:color="auto"/>
          </w:divBdr>
        </w:div>
        <w:div w:id="1785005372">
          <w:marLeft w:val="0"/>
          <w:marRight w:val="0"/>
          <w:marTop w:val="0"/>
          <w:marBottom w:val="0"/>
          <w:divBdr>
            <w:top w:val="none" w:sz="0" w:space="0" w:color="auto"/>
            <w:left w:val="none" w:sz="0" w:space="0" w:color="auto"/>
            <w:bottom w:val="none" w:sz="0" w:space="0" w:color="auto"/>
            <w:right w:val="none" w:sz="0" w:space="0" w:color="auto"/>
          </w:divBdr>
        </w:div>
        <w:div w:id="1465006332">
          <w:marLeft w:val="0"/>
          <w:marRight w:val="0"/>
          <w:marTop w:val="0"/>
          <w:marBottom w:val="0"/>
          <w:divBdr>
            <w:top w:val="none" w:sz="0" w:space="0" w:color="auto"/>
            <w:left w:val="none" w:sz="0" w:space="0" w:color="auto"/>
            <w:bottom w:val="none" w:sz="0" w:space="0" w:color="auto"/>
            <w:right w:val="none" w:sz="0" w:space="0" w:color="auto"/>
          </w:divBdr>
        </w:div>
        <w:div w:id="634530799">
          <w:marLeft w:val="0"/>
          <w:marRight w:val="0"/>
          <w:marTop w:val="0"/>
          <w:marBottom w:val="0"/>
          <w:divBdr>
            <w:top w:val="none" w:sz="0" w:space="0" w:color="auto"/>
            <w:left w:val="none" w:sz="0" w:space="0" w:color="auto"/>
            <w:bottom w:val="none" w:sz="0" w:space="0" w:color="auto"/>
            <w:right w:val="none" w:sz="0" w:space="0" w:color="auto"/>
          </w:divBdr>
        </w:div>
        <w:div w:id="90048718">
          <w:marLeft w:val="0"/>
          <w:marRight w:val="0"/>
          <w:marTop w:val="0"/>
          <w:marBottom w:val="0"/>
          <w:divBdr>
            <w:top w:val="none" w:sz="0" w:space="0" w:color="auto"/>
            <w:left w:val="none" w:sz="0" w:space="0" w:color="auto"/>
            <w:bottom w:val="none" w:sz="0" w:space="0" w:color="auto"/>
            <w:right w:val="none" w:sz="0" w:space="0" w:color="auto"/>
          </w:divBdr>
        </w:div>
        <w:div w:id="1380980742">
          <w:marLeft w:val="0"/>
          <w:marRight w:val="0"/>
          <w:marTop w:val="0"/>
          <w:marBottom w:val="0"/>
          <w:divBdr>
            <w:top w:val="none" w:sz="0" w:space="0" w:color="auto"/>
            <w:left w:val="none" w:sz="0" w:space="0" w:color="auto"/>
            <w:bottom w:val="none" w:sz="0" w:space="0" w:color="auto"/>
            <w:right w:val="none" w:sz="0" w:space="0" w:color="auto"/>
          </w:divBdr>
        </w:div>
        <w:div w:id="1028146832">
          <w:marLeft w:val="0"/>
          <w:marRight w:val="0"/>
          <w:marTop w:val="0"/>
          <w:marBottom w:val="0"/>
          <w:divBdr>
            <w:top w:val="none" w:sz="0" w:space="0" w:color="auto"/>
            <w:left w:val="none" w:sz="0" w:space="0" w:color="auto"/>
            <w:bottom w:val="none" w:sz="0" w:space="0" w:color="auto"/>
            <w:right w:val="none" w:sz="0" w:space="0" w:color="auto"/>
          </w:divBdr>
        </w:div>
        <w:div w:id="714744863">
          <w:marLeft w:val="0"/>
          <w:marRight w:val="0"/>
          <w:marTop w:val="0"/>
          <w:marBottom w:val="0"/>
          <w:divBdr>
            <w:top w:val="none" w:sz="0" w:space="0" w:color="auto"/>
            <w:left w:val="none" w:sz="0" w:space="0" w:color="auto"/>
            <w:bottom w:val="none" w:sz="0" w:space="0" w:color="auto"/>
            <w:right w:val="none" w:sz="0" w:space="0" w:color="auto"/>
          </w:divBdr>
        </w:div>
        <w:div w:id="1279067981">
          <w:marLeft w:val="0"/>
          <w:marRight w:val="0"/>
          <w:marTop w:val="0"/>
          <w:marBottom w:val="0"/>
          <w:divBdr>
            <w:top w:val="none" w:sz="0" w:space="0" w:color="auto"/>
            <w:left w:val="none" w:sz="0" w:space="0" w:color="auto"/>
            <w:bottom w:val="none" w:sz="0" w:space="0" w:color="auto"/>
            <w:right w:val="none" w:sz="0" w:space="0" w:color="auto"/>
          </w:divBdr>
        </w:div>
        <w:div w:id="732629532">
          <w:marLeft w:val="0"/>
          <w:marRight w:val="0"/>
          <w:marTop w:val="0"/>
          <w:marBottom w:val="0"/>
          <w:divBdr>
            <w:top w:val="none" w:sz="0" w:space="0" w:color="auto"/>
            <w:left w:val="none" w:sz="0" w:space="0" w:color="auto"/>
            <w:bottom w:val="none" w:sz="0" w:space="0" w:color="auto"/>
            <w:right w:val="none" w:sz="0" w:space="0" w:color="auto"/>
          </w:divBdr>
        </w:div>
        <w:div w:id="1425759731">
          <w:marLeft w:val="0"/>
          <w:marRight w:val="0"/>
          <w:marTop w:val="0"/>
          <w:marBottom w:val="0"/>
          <w:divBdr>
            <w:top w:val="none" w:sz="0" w:space="0" w:color="auto"/>
            <w:left w:val="none" w:sz="0" w:space="0" w:color="auto"/>
            <w:bottom w:val="none" w:sz="0" w:space="0" w:color="auto"/>
            <w:right w:val="none" w:sz="0" w:space="0" w:color="auto"/>
          </w:divBdr>
        </w:div>
        <w:div w:id="1608537621">
          <w:marLeft w:val="0"/>
          <w:marRight w:val="0"/>
          <w:marTop w:val="0"/>
          <w:marBottom w:val="0"/>
          <w:divBdr>
            <w:top w:val="none" w:sz="0" w:space="0" w:color="auto"/>
            <w:left w:val="none" w:sz="0" w:space="0" w:color="auto"/>
            <w:bottom w:val="none" w:sz="0" w:space="0" w:color="auto"/>
            <w:right w:val="none" w:sz="0" w:space="0" w:color="auto"/>
          </w:divBdr>
        </w:div>
        <w:div w:id="349642121">
          <w:marLeft w:val="0"/>
          <w:marRight w:val="0"/>
          <w:marTop w:val="0"/>
          <w:marBottom w:val="0"/>
          <w:divBdr>
            <w:top w:val="none" w:sz="0" w:space="0" w:color="auto"/>
            <w:left w:val="none" w:sz="0" w:space="0" w:color="auto"/>
            <w:bottom w:val="none" w:sz="0" w:space="0" w:color="auto"/>
            <w:right w:val="none" w:sz="0" w:space="0" w:color="auto"/>
          </w:divBdr>
        </w:div>
        <w:div w:id="335813221">
          <w:marLeft w:val="0"/>
          <w:marRight w:val="0"/>
          <w:marTop w:val="0"/>
          <w:marBottom w:val="0"/>
          <w:divBdr>
            <w:top w:val="none" w:sz="0" w:space="0" w:color="auto"/>
            <w:left w:val="none" w:sz="0" w:space="0" w:color="auto"/>
            <w:bottom w:val="none" w:sz="0" w:space="0" w:color="auto"/>
            <w:right w:val="none" w:sz="0" w:space="0" w:color="auto"/>
          </w:divBdr>
        </w:div>
        <w:div w:id="594096629">
          <w:marLeft w:val="0"/>
          <w:marRight w:val="0"/>
          <w:marTop w:val="0"/>
          <w:marBottom w:val="0"/>
          <w:divBdr>
            <w:top w:val="none" w:sz="0" w:space="0" w:color="auto"/>
            <w:left w:val="none" w:sz="0" w:space="0" w:color="auto"/>
            <w:bottom w:val="none" w:sz="0" w:space="0" w:color="auto"/>
            <w:right w:val="none" w:sz="0" w:space="0" w:color="auto"/>
          </w:divBdr>
        </w:div>
        <w:div w:id="582841887">
          <w:marLeft w:val="0"/>
          <w:marRight w:val="0"/>
          <w:marTop w:val="0"/>
          <w:marBottom w:val="0"/>
          <w:divBdr>
            <w:top w:val="none" w:sz="0" w:space="0" w:color="auto"/>
            <w:left w:val="none" w:sz="0" w:space="0" w:color="auto"/>
            <w:bottom w:val="none" w:sz="0" w:space="0" w:color="auto"/>
            <w:right w:val="none" w:sz="0" w:space="0" w:color="auto"/>
          </w:divBdr>
        </w:div>
        <w:div w:id="1014529463">
          <w:marLeft w:val="0"/>
          <w:marRight w:val="0"/>
          <w:marTop w:val="0"/>
          <w:marBottom w:val="0"/>
          <w:divBdr>
            <w:top w:val="none" w:sz="0" w:space="0" w:color="auto"/>
            <w:left w:val="none" w:sz="0" w:space="0" w:color="auto"/>
            <w:bottom w:val="none" w:sz="0" w:space="0" w:color="auto"/>
            <w:right w:val="none" w:sz="0" w:space="0" w:color="auto"/>
          </w:divBdr>
        </w:div>
        <w:div w:id="2104567861">
          <w:marLeft w:val="0"/>
          <w:marRight w:val="0"/>
          <w:marTop w:val="0"/>
          <w:marBottom w:val="0"/>
          <w:divBdr>
            <w:top w:val="none" w:sz="0" w:space="0" w:color="auto"/>
            <w:left w:val="none" w:sz="0" w:space="0" w:color="auto"/>
            <w:bottom w:val="none" w:sz="0" w:space="0" w:color="auto"/>
            <w:right w:val="none" w:sz="0" w:space="0" w:color="auto"/>
          </w:divBdr>
        </w:div>
        <w:div w:id="298613145">
          <w:marLeft w:val="0"/>
          <w:marRight w:val="0"/>
          <w:marTop w:val="0"/>
          <w:marBottom w:val="0"/>
          <w:divBdr>
            <w:top w:val="none" w:sz="0" w:space="0" w:color="auto"/>
            <w:left w:val="none" w:sz="0" w:space="0" w:color="auto"/>
            <w:bottom w:val="none" w:sz="0" w:space="0" w:color="auto"/>
            <w:right w:val="none" w:sz="0" w:space="0" w:color="auto"/>
          </w:divBdr>
        </w:div>
        <w:div w:id="467014044">
          <w:marLeft w:val="0"/>
          <w:marRight w:val="0"/>
          <w:marTop w:val="0"/>
          <w:marBottom w:val="0"/>
          <w:divBdr>
            <w:top w:val="none" w:sz="0" w:space="0" w:color="auto"/>
            <w:left w:val="none" w:sz="0" w:space="0" w:color="auto"/>
            <w:bottom w:val="none" w:sz="0" w:space="0" w:color="auto"/>
            <w:right w:val="none" w:sz="0" w:space="0" w:color="auto"/>
          </w:divBdr>
        </w:div>
        <w:div w:id="352342470">
          <w:marLeft w:val="0"/>
          <w:marRight w:val="0"/>
          <w:marTop w:val="0"/>
          <w:marBottom w:val="0"/>
          <w:divBdr>
            <w:top w:val="none" w:sz="0" w:space="0" w:color="auto"/>
            <w:left w:val="none" w:sz="0" w:space="0" w:color="auto"/>
            <w:bottom w:val="none" w:sz="0" w:space="0" w:color="auto"/>
            <w:right w:val="none" w:sz="0" w:space="0" w:color="auto"/>
          </w:divBdr>
        </w:div>
        <w:div w:id="1233003462">
          <w:marLeft w:val="0"/>
          <w:marRight w:val="0"/>
          <w:marTop w:val="0"/>
          <w:marBottom w:val="0"/>
          <w:divBdr>
            <w:top w:val="none" w:sz="0" w:space="0" w:color="auto"/>
            <w:left w:val="none" w:sz="0" w:space="0" w:color="auto"/>
            <w:bottom w:val="none" w:sz="0" w:space="0" w:color="auto"/>
            <w:right w:val="none" w:sz="0" w:space="0" w:color="auto"/>
          </w:divBdr>
        </w:div>
        <w:div w:id="65349762">
          <w:marLeft w:val="0"/>
          <w:marRight w:val="0"/>
          <w:marTop w:val="0"/>
          <w:marBottom w:val="0"/>
          <w:divBdr>
            <w:top w:val="none" w:sz="0" w:space="0" w:color="auto"/>
            <w:left w:val="none" w:sz="0" w:space="0" w:color="auto"/>
            <w:bottom w:val="none" w:sz="0" w:space="0" w:color="auto"/>
            <w:right w:val="none" w:sz="0" w:space="0" w:color="auto"/>
          </w:divBdr>
        </w:div>
        <w:div w:id="285544468">
          <w:marLeft w:val="0"/>
          <w:marRight w:val="0"/>
          <w:marTop w:val="0"/>
          <w:marBottom w:val="0"/>
          <w:divBdr>
            <w:top w:val="none" w:sz="0" w:space="0" w:color="auto"/>
            <w:left w:val="none" w:sz="0" w:space="0" w:color="auto"/>
            <w:bottom w:val="none" w:sz="0" w:space="0" w:color="auto"/>
            <w:right w:val="none" w:sz="0" w:space="0" w:color="auto"/>
          </w:divBdr>
        </w:div>
        <w:div w:id="1717047945">
          <w:marLeft w:val="0"/>
          <w:marRight w:val="0"/>
          <w:marTop w:val="0"/>
          <w:marBottom w:val="0"/>
          <w:divBdr>
            <w:top w:val="none" w:sz="0" w:space="0" w:color="auto"/>
            <w:left w:val="none" w:sz="0" w:space="0" w:color="auto"/>
            <w:bottom w:val="none" w:sz="0" w:space="0" w:color="auto"/>
            <w:right w:val="none" w:sz="0" w:space="0" w:color="auto"/>
          </w:divBdr>
        </w:div>
        <w:div w:id="582957880">
          <w:marLeft w:val="0"/>
          <w:marRight w:val="0"/>
          <w:marTop w:val="0"/>
          <w:marBottom w:val="0"/>
          <w:divBdr>
            <w:top w:val="none" w:sz="0" w:space="0" w:color="auto"/>
            <w:left w:val="none" w:sz="0" w:space="0" w:color="auto"/>
            <w:bottom w:val="none" w:sz="0" w:space="0" w:color="auto"/>
            <w:right w:val="none" w:sz="0" w:space="0" w:color="auto"/>
          </w:divBdr>
        </w:div>
        <w:div w:id="2067606456">
          <w:marLeft w:val="0"/>
          <w:marRight w:val="0"/>
          <w:marTop w:val="0"/>
          <w:marBottom w:val="0"/>
          <w:divBdr>
            <w:top w:val="none" w:sz="0" w:space="0" w:color="auto"/>
            <w:left w:val="none" w:sz="0" w:space="0" w:color="auto"/>
            <w:bottom w:val="none" w:sz="0" w:space="0" w:color="auto"/>
            <w:right w:val="none" w:sz="0" w:space="0" w:color="auto"/>
          </w:divBdr>
        </w:div>
        <w:div w:id="1063523628">
          <w:marLeft w:val="0"/>
          <w:marRight w:val="0"/>
          <w:marTop w:val="0"/>
          <w:marBottom w:val="0"/>
          <w:divBdr>
            <w:top w:val="none" w:sz="0" w:space="0" w:color="auto"/>
            <w:left w:val="none" w:sz="0" w:space="0" w:color="auto"/>
            <w:bottom w:val="none" w:sz="0" w:space="0" w:color="auto"/>
            <w:right w:val="none" w:sz="0" w:space="0" w:color="auto"/>
          </w:divBdr>
        </w:div>
        <w:div w:id="1199583079">
          <w:marLeft w:val="0"/>
          <w:marRight w:val="0"/>
          <w:marTop w:val="0"/>
          <w:marBottom w:val="0"/>
          <w:divBdr>
            <w:top w:val="none" w:sz="0" w:space="0" w:color="auto"/>
            <w:left w:val="none" w:sz="0" w:space="0" w:color="auto"/>
            <w:bottom w:val="none" w:sz="0" w:space="0" w:color="auto"/>
            <w:right w:val="none" w:sz="0" w:space="0" w:color="auto"/>
          </w:divBdr>
        </w:div>
        <w:div w:id="91433670">
          <w:marLeft w:val="0"/>
          <w:marRight w:val="0"/>
          <w:marTop w:val="0"/>
          <w:marBottom w:val="0"/>
          <w:divBdr>
            <w:top w:val="none" w:sz="0" w:space="0" w:color="auto"/>
            <w:left w:val="none" w:sz="0" w:space="0" w:color="auto"/>
            <w:bottom w:val="none" w:sz="0" w:space="0" w:color="auto"/>
            <w:right w:val="none" w:sz="0" w:space="0" w:color="auto"/>
          </w:divBdr>
        </w:div>
        <w:div w:id="2057121024">
          <w:marLeft w:val="0"/>
          <w:marRight w:val="0"/>
          <w:marTop w:val="0"/>
          <w:marBottom w:val="0"/>
          <w:divBdr>
            <w:top w:val="none" w:sz="0" w:space="0" w:color="auto"/>
            <w:left w:val="none" w:sz="0" w:space="0" w:color="auto"/>
            <w:bottom w:val="none" w:sz="0" w:space="0" w:color="auto"/>
            <w:right w:val="none" w:sz="0" w:space="0" w:color="auto"/>
          </w:divBdr>
        </w:div>
        <w:div w:id="1955358840">
          <w:marLeft w:val="0"/>
          <w:marRight w:val="0"/>
          <w:marTop w:val="0"/>
          <w:marBottom w:val="0"/>
          <w:divBdr>
            <w:top w:val="none" w:sz="0" w:space="0" w:color="auto"/>
            <w:left w:val="none" w:sz="0" w:space="0" w:color="auto"/>
            <w:bottom w:val="none" w:sz="0" w:space="0" w:color="auto"/>
            <w:right w:val="none" w:sz="0" w:space="0" w:color="auto"/>
          </w:divBdr>
        </w:div>
        <w:div w:id="1469931583">
          <w:marLeft w:val="0"/>
          <w:marRight w:val="0"/>
          <w:marTop w:val="0"/>
          <w:marBottom w:val="0"/>
          <w:divBdr>
            <w:top w:val="none" w:sz="0" w:space="0" w:color="auto"/>
            <w:left w:val="none" w:sz="0" w:space="0" w:color="auto"/>
            <w:bottom w:val="none" w:sz="0" w:space="0" w:color="auto"/>
            <w:right w:val="none" w:sz="0" w:space="0" w:color="auto"/>
          </w:divBdr>
        </w:div>
        <w:div w:id="1696685834">
          <w:marLeft w:val="0"/>
          <w:marRight w:val="0"/>
          <w:marTop w:val="0"/>
          <w:marBottom w:val="0"/>
          <w:divBdr>
            <w:top w:val="none" w:sz="0" w:space="0" w:color="auto"/>
            <w:left w:val="none" w:sz="0" w:space="0" w:color="auto"/>
            <w:bottom w:val="none" w:sz="0" w:space="0" w:color="auto"/>
            <w:right w:val="none" w:sz="0" w:space="0" w:color="auto"/>
          </w:divBdr>
        </w:div>
        <w:div w:id="683291602">
          <w:marLeft w:val="0"/>
          <w:marRight w:val="0"/>
          <w:marTop w:val="0"/>
          <w:marBottom w:val="0"/>
          <w:divBdr>
            <w:top w:val="none" w:sz="0" w:space="0" w:color="auto"/>
            <w:left w:val="none" w:sz="0" w:space="0" w:color="auto"/>
            <w:bottom w:val="none" w:sz="0" w:space="0" w:color="auto"/>
            <w:right w:val="none" w:sz="0" w:space="0" w:color="auto"/>
          </w:divBdr>
        </w:div>
        <w:div w:id="126974587">
          <w:marLeft w:val="0"/>
          <w:marRight w:val="0"/>
          <w:marTop w:val="0"/>
          <w:marBottom w:val="0"/>
          <w:divBdr>
            <w:top w:val="none" w:sz="0" w:space="0" w:color="auto"/>
            <w:left w:val="none" w:sz="0" w:space="0" w:color="auto"/>
            <w:bottom w:val="none" w:sz="0" w:space="0" w:color="auto"/>
            <w:right w:val="none" w:sz="0" w:space="0" w:color="auto"/>
          </w:divBdr>
        </w:div>
        <w:div w:id="2078047650">
          <w:marLeft w:val="0"/>
          <w:marRight w:val="0"/>
          <w:marTop w:val="0"/>
          <w:marBottom w:val="0"/>
          <w:divBdr>
            <w:top w:val="none" w:sz="0" w:space="0" w:color="auto"/>
            <w:left w:val="none" w:sz="0" w:space="0" w:color="auto"/>
            <w:bottom w:val="none" w:sz="0" w:space="0" w:color="auto"/>
            <w:right w:val="none" w:sz="0" w:space="0" w:color="auto"/>
          </w:divBdr>
        </w:div>
        <w:div w:id="1477648749">
          <w:marLeft w:val="0"/>
          <w:marRight w:val="0"/>
          <w:marTop w:val="0"/>
          <w:marBottom w:val="0"/>
          <w:divBdr>
            <w:top w:val="none" w:sz="0" w:space="0" w:color="auto"/>
            <w:left w:val="none" w:sz="0" w:space="0" w:color="auto"/>
            <w:bottom w:val="none" w:sz="0" w:space="0" w:color="auto"/>
            <w:right w:val="none" w:sz="0" w:space="0" w:color="auto"/>
          </w:divBdr>
        </w:div>
        <w:div w:id="1936790119">
          <w:marLeft w:val="0"/>
          <w:marRight w:val="0"/>
          <w:marTop w:val="0"/>
          <w:marBottom w:val="0"/>
          <w:divBdr>
            <w:top w:val="none" w:sz="0" w:space="0" w:color="auto"/>
            <w:left w:val="none" w:sz="0" w:space="0" w:color="auto"/>
            <w:bottom w:val="none" w:sz="0" w:space="0" w:color="auto"/>
            <w:right w:val="none" w:sz="0" w:space="0" w:color="auto"/>
          </w:divBdr>
        </w:div>
        <w:div w:id="1943108517">
          <w:marLeft w:val="0"/>
          <w:marRight w:val="0"/>
          <w:marTop w:val="0"/>
          <w:marBottom w:val="0"/>
          <w:divBdr>
            <w:top w:val="none" w:sz="0" w:space="0" w:color="auto"/>
            <w:left w:val="none" w:sz="0" w:space="0" w:color="auto"/>
            <w:bottom w:val="none" w:sz="0" w:space="0" w:color="auto"/>
            <w:right w:val="none" w:sz="0" w:space="0" w:color="auto"/>
          </w:divBdr>
        </w:div>
        <w:div w:id="538860531">
          <w:marLeft w:val="0"/>
          <w:marRight w:val="0"/>
          <w:marTop w:val="0"/>
          <w:marBottom w:val="0"/>
          <w:divBdr>
            <w:top w:val="none" w:sz="0" w:space="0" w:color="auto"/>
            <w:left w:val="none" w:sz="0" w:space="0" w:color="auto"/>
            <w:bottom w:val="none" w:sz="0" w:space="0" w:color="auto"/>
            <w:right w:val="none" w:sz="0" w:space="0" w:color="auto"/>
          </w:divBdr>
        </w:div>
        <w:div w:id="609510757">
          <w:marLeft w:val="0"/>
          <w:marRight w:val="0"/>
          <w:marTop w:val="0"/>
          <w:marBottom w:val="0"/>
          <w:divBdr>
            <w:top w:val="none" w:sz="0" w:space="0" w:color="auto"/>
            <w:left w:val="none" w:sz="0" w:space="0" w:color="auto"/>
            <w:bottom w:val="none" w:sz="0" w:space="0" w:color="auto"/>
            <w:right w:val="none" w:sz="0" w:space="0" w:color="auto"/>
          </w:divBdr>
        </w:div>
        <w:div w:id="1940915294">
          <w:marLeft w:val="0"/>
          <w:marRight w:val="0"/>
          <w:marTop w:val="0"/>
          <w:marBottom w:val="0"/>
          <w:divBdr>
            <w:top w:val="none" w:sz="0" w:space="0" w:color="auto"/>
            <w:left w:val="none" w:sz="0" w:space="0" w:color="auto"/>
            <w:bottom w:val="none" w:sz="0" w:space="0" w:color="auto"/>
            <w:right w:val="none" w:sz="0" w:space="0" w:color="auto"/>
          </w:divBdr>
        </w:div>
        <w:div w:id="554196144">
          <w:marLeft w:val="0"/>
          <w:marRight w:val="0"/>
          <w:marTop w:val="0"/>
          <w:marBottom w:val="0"/>
          <w:divBdr>
            <w:top w:val="none" w:sz="0" w:space="0" w:color="auto"/>
            <w:left w:val="none" w:sz="0" w:space="0" w:color="auto"/>
            <w:bottom w:val="none" w:sz="0" w:space="0" w:color="auto"/>
            <w:right w:val="none" w:sz="0" w:space="0" w:color="auto"/>
          </w:divBdr>
        </w:div>
        <w:div w:id="2018801216">
          <w:marLeft w:val="0"/>
          <w:marRight w:val="0"/>
          <w:marTop w:val="0"/>
          <w:marBottom w:val="0"/>
          <w:divBdr>
            <w:top w:val="none" w:sz="0" w:space="0" w:color="auto"/>
            <w:left w:val="none" w:sz="0" w:space="0" w:color="auto"/>
            <w:bottom w:val="none" w:sz="0" w:space="0" w:color="auto"/>
            <w:right w:val="none" w:sz="0" w:space="0" w:color="auto"/>
          </w:divBdr>
        </w:div>
        <w:div w:id="697706543">
          <w:marLeft w:val="0"/>
          <w:marRight w:val="0"/>
          <w:marTop w:val="0"/>
          <w:marBottom w:val="0"/>
          <w:divBdr>
            <w:top w:val="none" w:sz="0" w:space="0" w:color="auto"/>
            <w:left w:val="none" w:sz="0" w:space="0" w:color="auto"/>
            <w:bottom w:val="none" w:sz="0" w:space="0" w:color="auto"/>
            <w:right w:val="none" w:sz="0" w:space="0" w:color="auto"/>
          </w:divBdr>
        </w:div>
        <w:div w:id="575670709">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834220682">
          <w:marLeft w:val="0"/>
          <w:marRight w:val="0"/>
          <w:marTop w:val="0"/>
          <w:marBottom w:val="0"/>
          <w:divBdr>
            <w:top w:val="none" w:sz="0" w:space="0" w:color="auto"/>
            <w:left w:val="none" w:sz="0" w:space="0" w:color="auto"/>
            <w:bottom w:val="none" w:sz="0" w:space="0" w:color="auto"/>
            <w:right w:val="none" w:sz="0" w:space="0" w:color="auto"/>
          </w:divBdr>
        </w:div>
        <w:div w:id="1885216022">
          <w:marLeft w:val="0"/>
          <w:marRight w:val="0"/>
          <w:marTop w:val="0"/>
          <w:marBottom w:val="0"/>
          <w:divBdr>
            <w:top w:val="none" w:sz="0" w:space="0" w:color="auto"/>
            <w:left w:val="none" w:sz="0" w:space="0" w:color="auto"/>
            <w:bottom w:val="none" w:sz="0" w:space="0" w:color="auto"/>
            <w:right w:val="none" w:sz="0" w:space="0" w:color="auto"/>
          </w:divBdr>
        </w:div>
        <w:div w:id="1951204594">
          <w:marLeft w:val="0"/>
          <w:marRight w:val="0"/>
          <w:marTop w:val="0"/>
          <w:marBottom w:val="0"/>
          <w:divBdr>
            <w:top w:val="none" w:sz="0" w:space="0" w:color="auto"/>
            <w:left w:val="none" w:sz="0" w:space="0" w:color="auto"/>
            <w:bottom w:val="none" w:sz="0" w:space="0" w:color="auto"/>
            <w:right w:val="none" w:sz="0" w:space="0" w:color="auto"/>
          </w:divBdr>
        </w:div>
        <w:div w:id="801189743">
          <w:marLeft w:val="0"/>
          <w:marRight w:val="0"/>
          <w:marTop w:val="0"/>
          <w:marBottom w:val="0"/>
          <w:divBdr>
            <w:top w:val="none" w:sz="0" w:space="0" w:color="auto"/>
            <w:left w:val="none" w:sz="0" w:space="0" w:color="auto"/>
            <w:bottom w:val="none" w:sz="0" w:space="0" w:color="auto"/>
            <w:right w:val="none" w:sz="0" w:space="0" w:color="auto"/>
          </w:divBdr>
        </w:div>
        <w:div w:id="1205403909">
          <w:marLeft w:val="0"/>
          <w:marRight w:val="0"/>
          <w:marTop w:val="0"/>
          <w:marBottom w:val="0"/>
          <w:divBdr>
            <w:top w:val="none" w:sz="0" w:space="0" w:color="auto"/>
            <w:left w:val="none" w:sz="0" w:space="0" w:color="auto"/>
            <w:bottom w:val="none" w:sz="0" w:space="0" w:color="auto"/>
            <w:right w:val="none" w:sz="0" w:space="0" w:color="auto"/>
          </w:divBdr>
        </w:div>
        <w:div w:id="431903829">
          <w:marLeft w:val="0"/>
          <w:marRight w:val="0"/>
          <w:marTop w:val="0"/>
          <w:marBottom w:val="0"/>
          <w:divBdr>
            <w:top w:val="none" w:sz="0" w:space="0" w:color="auto"/>
            <w:left w:val="none" w:sz="0" w:space="0" w:color="auto"/>
            <w:bottom w:val="none" w:sz="0" w:space="0" w:color="auto"/>
            <w:right w:val="none" w:sz="0" w:space="0" w:color="auto"/>
          </w:divBdr>
        </w:div>
        <w:div w:id="1569683914">
          <w:marLeft w:val="0"/>
          <w:marRight w:val="0"/>
          <w:marTop w:val="0"/>
          <w:marBottom w:val="0"/>
          <w:divBdr>
            <w:top w:val="none" w:sz="0" w:space="0" w:color="auto"/>
            <w:left w:val="none" w:sz="0" w:space="0" w:color="auto"/>
            <w:bottom w:val="none" w:sz="0" w:space="0" w:color="auto"/>
            <w:right w:val="none" w:sz="0" w:space="0" w:color="auto"/>
          </w:divBdr>
        </w:div>
        <w:div w:id="1848589853">
          <w:marLeft w:val="0"/>
          <w:marRight w:val="0"/>
          <w:marTop w:val="0"/>
          <w:marBottom w:val="0"/>
          <w:divBdr>
            <w:top w:val="none" w:sz="0" w:space="0" w:color="auto"/>
            <w:left w:val="none" w:sz="0" w:space="0" w:color="auto"/>
            <w:bottom w:val="none" w:sz="0" w:space="0" w:color="auto"/>
            <w:right w:val="none" w:sz="0" w:space="0" w:color="auto"/>
          </w:divBdr>
        </w:div>
        <w:div w:id="1832405416">
          <w:marLeft w:val="0"/>
          <w:marRight w:val="0"/>
          <w:marTop w:val="0"/>
          <w:marBottom w:val="0"/>
          <w:divBdr>
            <w:top w:val="none" w:sz="0" w:space="0" w:color="auto"/>
            <w:left w:val="none" w:sz="0" w:space="0" w:color="auto"/>
            <w:bottom w:val="none" w:sz="0" w:space="0" w:color="auto"/>
            <w:right w:val="none" w:sz="0" w:space="0" w:color="auto"/>
          </w:divBdr>
        </w:div>
      </w:divsChild>
    </w:div>
    <w:div w:id="1703894157">
      <w:bodyDiv w:val="1"/>
      <w:marLeft w:val="0"/>
      <w:marRight w:val="0"/>
      <w:marTop w:val="0"/>
      <w:marBottom w:val="0"/>
      <w:divBdr>
        <w:top w:val="none" w:sz="0" w:space="0" w:color="auto"/>
        <w:left w:val="none" w:sz="0" w:space="0" w:color="auto"/>
        <w:bottom w:val="none" w:sz="0" w:space="0" w:color="auto"/>
        <w:right w:val="none" w:sz="0" w:space="0" w:color="auto"/>
      </w:divBdr>
    </w:div>
    <w:div w:id="1835609771">
      <w:bodyDiv w:val="1"/>
      <w:marLeft w:val="0"/>
      <w:marRight w:val="0"/>
      <w:marTop w:val="0"/>
      <w:marBottom w:val="0"/>
      <w:divBdr>
        <w:top w:val="none" w:sz="0" w:space="0" w:color="auto"/>
        <w:left w:val="none" w:sz="0" w:space="0" w:color="auto"/>
        <w:bottom w:val="none" w:sz="0" w:space="0" w:color="auto"/>
        <w:right w:val="none" w:sz="0" w:space="0" w:color="auto"/>
      </w:divBdr>
    </w:div>
    <w:div w:id="2013726632">
      <w:bodyDiv w:val="1"/>
      <w:marLeft w:val="0"/>
      <w:marRight w:val="0"/>
      <w:marTop w:val="0"/>
      <w:marBottom w:val="0"/>
      <w:divBdr>
        <w:top w:val="none" w:sz="0" w:space="0" w:color="auto"/>
        <w:left w:val="none" w:sz="0" w:space="0" w:color="auto"/>
        <w:bottom w:val="none" w:sz="0" w:space="0" w:color="auto"/>
        <w:right w:val="none" w:sz="0" w:space="0" w:color="auto"/>
      </w:divBdr>
      <w:divsChild>
        <w:div w:id="295335926">
          <w:marLeft w:val="0"/>
          <w:marRight w:val="0"/>
          <w:marTop w:val="0"/>
          <w:marBottom w:val="0"/>
          <w:divBdr>
            <w:top w:val="none" w:sz="0" w:space="0" w:color="auto"/>
            <w:left w:val="none" w:sz="0" w:space="0" w:color="auto"/>
            <w:bottom w:val="none" w:sz="0" w:space="0" w:color="auto"/>
            <w:right w:val="none" w:sz="0" w:space="0" w:color="auto"/>
          </w:divBdr>
        </w:div>
        <w:div w:id="1019695847">
          <w:marLeft w:val="0"/>
          <w:marRight w:val="0"/>
          <w:marTop w:val="0"/>
          <w:marBottom w:val="0"/>
          <w:divBdr>
            <w:top w:val="none" w:sz="0" w:space="0" w:color="auto"/>
            <w:left w:val="none" w:sz="0" w:space="0" w:color="auto"/>
            <w:bottom w:val="none" w:sz="0" w:space="0" w:color="auto"/>
            <w:right w:val="none" w:sz="0" w:space="0" w:color="auto"/>
          </w:divBdr>
        </w:div>
        <w:div w:id="35938063">
          <w:marLeft w:val="0"/>
          <w:marRight w:val="0"/>
          <w:marTop w:val="0"/>
          <w:marBottom w:val="0"/>
          <w:divBdr>
            <w:top w:val="none" w:sz="0" w:space="0" w:color="auto"/>
            <w:left w:val="none" w:sz="0" w:space="0" w:color="auto"/>
            <w:bottom w:val="none" w:sz="0" w:space="0" w:color="auto"/>
            <w:right w:val="none" w:sz="0" w:space="0" w:color="auto"/>
          </w:divBdr>
        </w:div>
        <w:div w:id="1560480248">
          <w:marLeft w:val="0"/>
          <w:marRight w:val="0"/>
          <w:marTop w:val="0"/>
          <w:marBottom w:val="0"/>
          <w:divBdr>
            <w:top w:val="none" w:sz="0" w:space="0" w:color="auto"/>
            <w:left w:val="none" w:sz="0" w:space="0" w:color="auto"/>
            <w:bottom w:val="none" w:sz="0" w:space="0" w:color="auto"/>
            <w:right w:val="none" w:sz="0" w:space="0" w:color="auto"/>
          </w:divBdr>
        </w:div>
        <w:div w:id="196162609">
          <w:marLeft w:val="0"/>
          <w:marRight w:val="0"/>
          <w:marTop w:val="0"/>
          <w:marBottom w:val="0"/>
          <w:divBdr>
            <w:top w:val="none" w:sz="0" w:space="0" w:color="auto"/>
            <w:left w:val="none" w:sz="0" w:space="0" w:color="auto"/>
            <w:bottom w:val="none" w:sz="0" w:space="0" w:color="auto"/>
            <w:right w:val="none" w:sz="0" w:space="0" w:color="auto"/>
          </w:divBdr>
        </w:div>
        <w:div w:id="1441753007">
          <w:marLeft w:val="0"/>
          <w:marRight w:val="0"/>
          <w:marTop w:val="0"/>
          <w:marBottom w:val="0"/>
          <w:divBdr>
            <w:top w:val="none" w:sz="0" w:space="0" w:color="auto"/>
            <w:left w:val="none" w:sz="0" w:space="0" w:color="auto"/>
            <w:bottom w:val="none" w:sz="0" w:space="0" w:color="auto"/>
            <w:right w:val="none" w:sz="0" w:space="0" w:color="auto"/>
          </w:divBdr>
        </w:div>
        <w:div w:id="1399209625">
          <w:marLeft w:val="0"/>
          <w:marRight w:val="0"/>
          <w:marTop w:val="0"/>
          <w:marBottom w:val="0"/>
          <w:divBdr>
            <w:top w:val="none" w:sz="0" w:space="0" w:color="auto"/>
            <w:left w:val="none" w:sz="0" w:space="0" w:color="auto"/>
            <w:bottom w:val="none" w:sz="0" w:space="0" w:color="auto"/>
            <w:right w:val="none" w:sz="0" w:space="0" w:color="auto"/>
          </w:divBdr>
        </w:div>
        <w:div w:id="2108454866">
          <w:marLeft w:val="0"/>
          <w:marRight w:val="0"/>
          <w:marTop w:val="0"/>
          <w:marBottom w:val="0"/>
          <w:divBdr>
            <w:top w:val="none" w:sz="0" w:space="0" w:color="auto"/>
            <w:left w:val="none" w:sz="0" w:space="0" w:color="auto"/>
            <w:bottom w:val="none" w:sz="0" w:space="0" w:color="auto"/>
            <w:right w:val="none" w:sz="0" w:space="0" w:color="auto"/>
          </w:divBdr>
        </w:div>
        <w:div w:id="1859389551">
          <w:marLeft w:val="0"/>
          <w:marRight w:val="0"/>
          <w:marTop w:val="0"/>
          <w:marBottom w:val="0"/>
          <w:divBdr>
            <w:top w:val="none" w:sz="0" w:space="0" w:color="auto"/>
            <w:left w:val="none" w:sz="0" w:space="0" w:color="auto"/>
            <w:bottom w:val="none" w:sz="0" w:space="0" w:color="auto"/>
            <w:right w:val="none" w:sz="0" w:space="0" w:color="auto"/>
          </w:divBdr>
        </w:div>
        <w:div w:id="462314171">
          <w:marLeft w:val="0"/>
          <w:marRight w:val="0"/>
          <w:marTop w:val="0"/>
          <w:marBottom w:val="0"/>
          <w:divBdr>
            <w:top w:val="none" w:sz="0" w:space="0" w:color="auto"/>
            <w:left w:val="none" w:sz="0" w:space="0" w:color="auto"/>
            <w:bottom w:val="none" w:sz="0" w:space="0" w:color="auto"/>
            <w:right w:val="none" w:sz="0" w:space="0" w:color="auto"/>
          </w:divBdr>
        </w:div>
        <w:div w:id="1660040290">
          <w:marLeft w:val="0"/>
          <w:marRight w:val="0"/>
          <w:marTop w:val="0"/>
          <w:marBottom w:val="0"/>
          <w:divBdr>
            <w:top w:val="none" w:sz="0" w:space="0" w:color="auto"/>
            <w:left w:val="none" w:sz="0" w:space="0" w:color="auto"/>
            <w:bottom w:val="none" w:sz="0" w:space="0" w:color="auto"/>
            <w:right w:val="none" w:sz="0" w:space="0" w:color="auto"/>
          </w:divBdr>
        </w:div>
        <w:div w:id="636451387">
          <w:marLeft w:val="0"/>
          <w:marRight w:val="0"/>
          <w:marTop w:val="0"/>
          <w:marBottom w:val="0"/>
          <w:divBdr>
            <w:top w:val="none" w:sz="0" w:space="0" w:color="auto"/>
            <w:left w:val="none" w:sz="0" w:space="0" w:color="auto"/>
            <w:bottom w:val="none" w:sz="0" w:space="0" w:color="auto"/>
            <w:right w:val="none" w:sz="0" w:space="0" w:color="auto"/>
          </w:divBdr>
        </w:div>
        <w:div w:id="1608195017">
          <w:marLeft w:val="0"/>
          <w:marRight w:val="0"/>
          <w:marTop w:val="0"/>
          <w:marBottom w:val="0"/>
          <w:divBdr>
            <w:top w:val="none" w:sz="0" w:space="0" w:color="auto"/>
            <w:left w:val="none" w:sz="0" w:space="0" w:color="auto"/>
            <w:bottom w:val="none" w:sz="0" w:space="0" w:color="auto"/>
            <w:right w:val="none" w:sz="0" w:space="0" w:color="auto"/>
          </w:divBdr>
        </w:div>
        <w:div w:id="1866139749">
          <w:marLeft w:val="0"/>
          <w:marRight w:val="0"/>
          <w:marTop w:val="0"/>
          <w:marBottom w:val="0"/>
          <w:divBdr>
            <w:top w:val="none" w:sz="0" w:space="0" w:color="auto"/>
            <w:left w:val="none" w:sz="0" w:space="0" w:color="auto"/>
            <w:bottom w:val="none" w:sz="0" w:space="0" w:color="auto"/>
            <w:right w:val="none" w:sz="0" w:space="0" w:color="auto"/>
          </w:divBdr>
        </w:div>
        <w:div w:id="592326262">
          <w:marLeft w:val="0"/>
          <w:marRight w:val="0"/>
          <w:marTop w:val="0"/>
          <w:marBottom w:val="0"/>
          <w:divBdr>
            <w:top w:val="none" w:sz="0" w:space="0" w:color="auto"/>
            <w:left w:val="none" w:sz="0" w:space="0" w:color="auto"/>
            <w:bottom w:val="none" w:sz="0" w:space="0" w:color="auto"/>
            <w:right w:val="none" w:sz="0" w:space="0" w:color="auto"/>
          </w:divBdr>
        </w:div>
        <w:div w:id="95827183">
          <w:marLeft w:val="0"/>
          <w:marRight w:val="0"/>
          <w:marTop w:val="0"/>
          <w:marBottom w:val="0"/>
          <w:divBdr>
            <w:top w:val="none" w:sz="0" w:space="0" w:color="auto"/>
            <w:left w:val="none" w:sz="0" w:space="0" w:color="auto"/>
            <w:bottom w:val="none" w:sz="0" w:space="0" w:color="auto"/>
            <w:right w:val="none" w:sz="0" w:space="0" w:color="auto"/>
          </w:divBdr>
        </w:div>
        <w:div w:id="1396277215">
          <w:marLeft w:val="0"/>
          <w:marRight w:val="0"/>
          <w:marTop w:val="0"/>
          <w:marBottom w:val="0"/>
          <w:divBdr>
            <w:top w:val="none" w:sz="0" w:space="0" w:color="auto"/>
            <w:left w:val="none" w:sz="0" w:space="0" w:color="auto"/>
            <w:bottom w:val="none" w:sz="0" w:space="0" w:color="auto"/>
            <w:right w:val="none" w:sz="0" w:space="0" w:color="auto"/>
          </w:divBdr>
        </w:div>
        <w:div w:id="775910898">
          <w:marLeft w:val="0"/>
          <w:marRight w:val="0"/>
          <w:marTop w:val="0"/>
          <w:marBottom w:val="0"/>
          <w:divBdr>
            <w:top w:val="none" w:sz="0" w:space="0" w:color="auto"/>
            <w:left w:val="none" w:sz="0" w:space="0" w:color="auto"/>
            <w:bottom w:val="none" w:sz="0" w:space="0" w:color="auto"/>
            <w:right w:val="none" w:sz="0" w:space="0" w:color="auto"/>
          </w:divBdr>
        </w:div>
      </w:divsChild>
    </w:div>
    <w:div w:id="2136099644">
      <w:bodyDiv w:val="1"/>
      <w:marLeft w:val="0"/>
      <w:marRight w:val="0"/>
      <w:marTop w:val="0"/>
      <w:marBottom w:val="0"/>
      <w:divBdr>
        <w:top w:val="none" w:sz="0" w:space="0" w:color="auto"/>
        <w:left w:val="none" w:sz="0" w:space="0" w:color="auto"/>
        <w:bottom w:val="none" w:sz="0" w:space="0" w:color="auto"/>
        <w:right w:val="none" w:sz="0" w:space="0" w:color="auto"/>
      </w:divBdr>
      <w:divsChild>
        <w:div w:id="299531856">
          <w:marLeft w:val="0"/>
          <w:marRight w:val="0"/>
          <w:marTop w:val="0"/>
          <w:marBottom w:val="0"/>
          <w:divBdr>
            <w:top w:val="none" w:sz="0" w:space="0" w:color="auto"/>
            <w:left w:val="none" w:sz="0" w:space="0" w:color="auto"/>
            <w:bottom w:val="none" w:sz="0" w:space="0" w:color="auto"/>
            <w:right w:val="none" w:sz="0" w:space="0" w:color="auto"/>
          </w:divBdr>
        </w:div>
        <w:div w:id="1723555374">
          <w:marLeft w:val="0"/>
          <w:marRight w:val="0"/>
          <w:marTop w:val="0"/>
          <w:marBottom w:val="0"/>
          <w:divBdr>
            <w:top w:val="none" w:sz="0" w:space="0" w:color="auto"/>
            <w:left w:val="none" w:sz="0" w:space="0" w:color="auto"/>
            <w:bottom w:val="none" w:sz="0" w:space="0" w:color="auto"/>
            <w:right w:val="none" w:sz="0" w:space="0" w:color="auto"/>
          </w:divBdr>
        </w:div>
        <w:div w:id="838695851">
          <w:marLeft w:val="0"/>
          <w:marRight w:val="0"/>
          <w:marTop w:val="0"/>
          <w:marBottom w:val="0"/>
          <w:divBdr>
            <w:top w:val="none" w:sz="0" w:space="0" w:color="auto"/>
            <w:left w:val="none" w:sz="0" w:space="0" w:color="auto"/>
            <w:bottom w:val="none" w:sz="0" w:space="0" w:color="auto"/>
            <w:right w:val="none" w:sz="0" w:space="0" w:color="auto"/>
          </w:divBdr>
        </w:div>
        <w:div w:id="2100444636">
          <w:marLeft w:val="0"/>
          <w:marRight w:val="0"/>
          <w:marTop w:val="0"/>
          <w:marBottom w:val="0"/>
          <w:divBdr>
            <w:top w:val="none" w:sz="0" w:space="0" w:color="auto"/>
            <w:left w:val="none" w:sz="0" w:space="0" w:color="auto"/>
            <w:bottom w:val="none" w:sz="0" w:space="0" w:color="auto"/>
            <w:right w:val="none" w:sz="0" w:space="0" w:color="auto"/>
          </w:divBdr>
        </w:div>
        <w:div w:id="1139495182">
          <w:marLeft w:val="0"/>
          <w:marRight w:val="0"/>
          <w:marTop w:val="0"/>
          <w:marBottom w:val="0"/>
          <w:divBdr>
            <w:top w:val="none" w:sz="0" w:space="0" w:color="auto"/>
            <w:left w:val="none" w:sz="0" w:space="0" w:color="auto"/>
            <w:bottom w:val="none" w:sz="0" w:space="0" w:color="auto"/>
            <w:right w:val="none" w:sz="0" w:space="0" w:color="auto"/>
          </w:divBdr>
        </w:div>
        <w:div w:id="334111181">
          <w:marLeft w:val="0"/>
          <w:marRight w:val="0"/>
          <w:marTop w:val="0"/>
          <w:marBottom w:val="0"/>
          <w:divBdr>
            <w:top w:val="none" w:sz="0" w:space="0" w:color="auto"/>
            <w:left w:val="none" w:sz="0" w:space="0" w:color="auto"/>
            <w:bottom w:val="none" w:sz="0" w:space="0" w:color="auto"/>
            <w:right w:val="none" w:sz="0" w:space="0" w:color="auto"/>
          </w:divBdr>
        </w:div>
        <w:div w:id="1153836433">
          <w:marLeft w:val="0"/>
          <w:marRight w:val="0"/>
          <w:marTop w:val="0"/>
          <w:marBottom w:val="0"/>
          <w:divBdr>
            <w:top w:val="none" w:sz="0" w:space="0" w:color="auto"/>
            <w:left w:val="none" w:sz="0" w:space="0" w:color="auto"/>
            <w:bottom w:val="none" w:sz="0" w:space="0" w:color="auto"/>
            <w:right w:val="none" w:sz="0" w:space="0" w:color="auto"/>
          </w:divBdr>
        </w:div>
        <w:div w:id="85886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diabetesatla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hishk10@yahoo.com"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BBB54-8A21-474B-A677-E0E8B5FB7BB6}">
  <ds:schemaRefs>
    <ds:schemaRef ds:uri="http://schemas.openxmlformats.org/officeDocument/2006/bibliography"/>
  </ds:schemaRefs>
</ds:datastoreItem>
</file>

<file path=customXml/itemProps2.xml><?xml version="1.0" encoding="utf-8"?>
<ds:datastoreItem xmlns:ds="http://schemas.openxmlformats.org/officeDocument/2006/customXml" ds:itemID="{F03C7789-1AAA-4AE2-8AAE-7DD42E6B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33174</Words>
  <Characters>189092</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3</cp:revision>
  <dcterms:created xsi:type="dcterms:W3CDTF">2017-01-02T04:34:00Z</dcterms:created>
  <dcterms:modified xsi:type="dcterms:W3CDTF">2017-01-03T01:25:00Z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id="DKskihIS"/&gt;&lt;style id="http://www.zotero.org/styles/world-journal-of-gastroenterology"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