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BEBD9" w14:textId="444A7703" w:rsidR="00CE08B4" w:rsidRPr="006A747F" w:rsidRDefault="00CE08B4" w:rsidP="00235EA3">
      <w:pPr>
        <w:autoSpaceDE w:val="0"/>
        <w:autoSpaceDN w:val="0"/>
        <w:adjustRightInd w:val="0"/>
        <w:snapToGrid w:val="0"/>
        <w:spacing w:line="360" w:lineRule="auto"/>
        <w:rPr>
          <w:rFonts w:ascii="Book Antiqua" w:eastAsia="MS Mincho" w:hAnsi="Book Antiqua" w:cs="Times New Roman"/>
          <w:b/>
          <w:color w:val="000000"/>
          <w:kern w:val="0"/>
          <w:sz w:val="24"/>
          <w:szCs w:val="24"/>
        </w:rPr>
      </w:pPr>
      <w:r w:rsidRPr="006A747F">
        <w:rPr>
          <w:rFonts w:ascii="Book Antiqua" w:eastAsia="MS Mincho" w:hAnsi="Book Antiqua" w:cs="Times New Roman"/>
          <w:b/>
          <w:color w:val="000000"/>
          <w:kern w:val="0"/>
          <w:sz w:val="24"/>
          <w:szCs w:val="24"/>
        </w:rPr>
        <w:t xml:space="preserve">Name of Journal: </w:t>
      </w:r>
      <w:r w:rsidRPr="006A747F">
        <w:rPr>
          <w:rFonts w:ascii="Book Antiqua" w:eastAsia="MS Mincho" w:hAnsi="Book Antiqua" w:cs="Times New Roman"/>
          <w:b/>
          <w:i/>
          <w:color w:val="000000"/>
          <w:kern w:val="0"/>
          <w:sz w:val="24"/>
          <w:szCs w:val="24"/>
        </w:rPr>
        <w:t>World Journal of Gastroenterology</w:t>
      </w:r>
    </w:p>
    <w:p w14:paraId="61DF886B" w14:textId="370D8554" w:rsidR="006F34AD" w:rsidRPr="006A747F" w:rsidRDefault="00CE08B4" w:rsidP="00235EA3">
      <w:pPr>
        <w:autoSpaceDE w:val="0"/>
        <w:autoSpaceDN w:val="0"/>
        <w:adjustRightInd w:val="0"/>
        <w:snapToGrid w:val="0"/>
        <w:spacing w:line="360" w:lineRule="auto"/>
        <w:rPr>
          <w:rFonts w:ascii="Book Antiqua" w:eastAsia="MS Mincho" w:hAnsi="Book Antiqua" w:cs="Times New Roman"/>
          <w:b/>
          <w:color w:val="000000"/>
          <w:kern w:val="0"/>
          <w:sz w:val="24"/>
          <w:szCs w:val="24"/>
        </w:rPr>
      </w:pPr>
      <w:r w:rsidRPr="006A747F">
        <w:rPr>
          <w:rFonts w:ascii="Book Antiqua" w:eastAsia="MS Mincho" w:hAnsi="Book Antiqua" w:cs="Times New Roman"/>
          <w:b/>
          <w:color w:val="000000"/>
          <w:kern w:val="0"/>
          <w:sz w:val="24"/>
          <w:szCs w:val="24"/>
        </w:rPr>
        <w:t>ESPS Manuscript NO: 30141</w:t>
      </w:r>
    </w:p>
    <w:p w14:paraId="1C5BD177" w14:textId="2FC41A88" w:rsidR="006A747F" w:rsidRDefault="00CE08B4" w:rsidP="00235EA3">
      <w:pPr>
        <w:autoSpaceDE w:val="0"/>
        <w:autoSpaceDN w:val="0"/>
        <w:adjustRightInd w:val="0"/>
        <w:snapToGrid w:val="0"/>
        <w:spacing w:line="360" w:lineRule="auto"/>
        <w:rPr>
          <w:rFonts w:ascii="Book Antiqua" w:eastAsia="MS Mincho" w:hAnsi="Book Antiqua" w:cs="Times New Roman"/>
          <w:b/>
          <w:color w:val="000000"/>
          <w:kern w:val="0"/>
          <w:sz w:val="24"/>
          <w:szCs w:val="24"/>
        </w:rPr>
      </w:pPr>
      <w:r w:rsidRPr="006A747F">
        <w:rPr>
          <w:rFonts w:ascii="Book Antiqua" w:eastAsia="MS Mincho" w:hAnsi="Book Antiqua" w:cs="Times New Roman"/>
          <w:b/>
          <w:color w:val="000000"/>
          <w:kern w:val="0"/>
          <w:sz w:val="24"/>
          <w:szCs w:val="24"/>
        </w:rPr>
        <w:t xml:space="preserve">Manuscript Type: </w:t>
      </w:r>
      <w:r w:rsidR="006A747F" w:rsidRPr="006A747F">
        <w:rPr>
          <w:rFonts w:ascii="Book Antiqua" w:eastAsia="MS Mincho" w:hAnsi="Book Antiqua" w:cs="Times New Roman"/>
          <w:b/>
          <w:color w:val="000000"/>
          <w:kern w:val="0"/>
          <w:sz w:val="24"/>
          <w:szCs w:val="24"/>
        </w:rPr>
        <w:t>ORIGINAL ARTICLE</w:t>
      </w:r>
    </w:p>
    <w:p w14:paraId="76CE2245" w14:textId="77777777" w:rsidR="006A747F" w:rsidRDefault="006A747F" w:rsidP="00235EA3">
      <w:pPr>
        <w:autoSpaceDE w:val="0"/>
        <w:autoSpaceDN w:val="0"/>
        <w:adjustRightInd w:val="0"/>
        <w:snapToGrid w:val="0"/>
        <w:spacing w:line="360" w:lineRule="auto"/>
        <w:rPr>
          <w:rFonts w:ascii="Book Antiqua" w:eastAsia="MS Mincho" w:hAnsi="Book Antiqua" w:cs="Times New Roman"/>
          <w:b/>
          <w:color w:val="000000"/>
          <w:kern w:val="0"/>
          <w:sz w:val="24"/>
          <w:szCs w:val="24"/>
        </w:rPr>
      </w:pPr>
    </w:p>
    <w:p w14:paraId="45DD8EAA" w14:textId="7AED25C0" w:rsidR="00CE08B4" w:rsidRPr="006A747F" w:rsidRDefault="00CE08B4" w:rsidP="00235EA3">
      <w:pPr>
        <w:autoSpaceDE w:val="0"/>
        <w:autoSpaceDN w:val="0"/>
        <w:adjustRightInd w:val="0"/>
        <w:snapToGrid w:val="0"/>
        <w:spacing w:line="360" w:lineRule="auto"/>
        <w:rPr>
          <w:rFonts w:ascii="Book Antiqua" w:eastAsia="MS Mincho" w:hAnsi="Book Antiqua" w:cs="Times New Roman"/>
          <w:b/>
          <w:i/>
          <w:color w:val="000000"/>
          <w:kern w:val="0"/>
          <w:sz w:val="24"/>
          <w:szCs w:val="24"/>
        </w:rPr>
      </w:pPr>
      <w:r w:rsidRPr="006A747F">
        <w:rPr>
          <w:rFonts w:ascii="Book Antiqua" w:eastAsia="MS Mincho" w:hAnsi="Book Antiqua" w:cs="Times New Roman"/>
          <w:b/>
          <w:i/>
          <w:color w:val="000000"/>
          <w:kern w:val="0"/>
          <w:sz w:val="24"/>
          <w:szCs w:val="24"/>
        </w:rPr>
        <w:t>Retrospective</w:t>
      </w:r>
      <w:r w:rsidRPr="006A747F">
        <w:rPr>
          <w:rFonts w:ascii="Book Antiqua" w:eastAsia="MS Mincho" w:hAnsi="Book Antiqua" w:cs="Times New Roman"/>
          <w:b/>
          <w:i/>
          <w:caps/>
          <w:color w:val="000000"/>
          <w:kern w:val="0"/>
          <w:sz w:val="24"/>
          <w:szCs w:val="24"/>
        </w:rPr>
        <w:t xml:space="preserve"> s</w:t>
      </w:r>
      <w:r w:rsidRPr="006A747F">
        <w:rPr>
          <w:rFonts w:ascii="Book Antiqua" w:eastAsia="MS Mincho" w:hAnsi="Book Antiqua" w:cs="Times New Roman"/>
          <w:b/>
          <w:i/>
          <w:color w:val="000000"/>
          <w:kern w:val="0"/>
          <w:sz w:val="24"/>
          <w:szCs w:val="24"/>
        </w:rPr>
        <w:t>tudy</w:t>
      </w:r>
    </w:p>
    <w:p w14:paraId="0DFF6ED7" w14:textId="613FA666" w:rsidR="00464D5C" w:rsidRPr="006A747F" w:rsidRDefault="00D15388" w:rsidP="00235EA3">
      <w:pPr>
        <w:autoSpaceDE w:val="0"/>
        <w:autoSpaceDN w:val="0"/>
        <w:adjustRightInd w:val="0"/>
        <w:snapToGrid w:val="0"/>
        <w:spacing w:line="360" w:lineRule="auto"/>
        <w:rPr>
          <w:rFonts w:ascii="Book Antiqua" w:eastAsia="MS Mincho" w:hAnsi="Book Antiqua" w:cs="Times New Roman"/>
          <w:b/>
          <w:color w:val="000000"/>
          <w:kern w:val="0"/>
          <w:sz w:val="24"/>
          <w:szCs w:val="24"/>
        </w:rPr>
      </w:pPr>
      <w:r w:rsidRPr="006A747F">
        <w:rPr>
          <w:rFonts w:ascii="Book Antiqua" w:hAnsi="Book Antiqua"/>
          <w:b/>
          <w:sz w:val="24"/>
          <w:szCs w:val="24"/>
        </w:rPr>
        <w:t>Clinical impact of surveillance for head and neck cancer in patients with esophageal squamous cell carcinoma</w:t>
      </w:r>
    </w:p>
    <w:p w14:paraId="5E5F1BA3" w14:textId="1B4BE541" w:rsidR="00207F5C" w:rsidRPr="006A747F" w:rsidRDefault="00207F5C" w:rsidP="00235EA3">
      <w:pPr>
        <w:autoSpaceDE w:val="0"/>
        <w:autoSpaceDN w:val="0"/>
        <w:adjustRightInd w:val="0"/>
        <w:snapToGrid w:val="0"/>
        <w:spacing w:line="360" w:lineRule="auto"/>
        <w:rPr>
          <w:rFonts w:ascii="Book Antiqua" w:eastAsia="MS Mincho" w:hAnsi="Book Antiqua" w:cs="Times New Roman"/>
          <w:kern w:val="0"/>
          <w:sz w:val="24"/>
          <w:szCs w:val="24"/>
        </w:rPr>
      </w:pPr>
    </w:p>
    <w:p w14:paraId="0F685B18" w14:textId="2976C407" w:rsidR="00720061" w:rsidRPr="006A747F" w:rsidRDefault="00CE08B4" w:rsidP="00235EA3">
      <w:pPr>
        <w:autoSpaceDE w:val="0"/>
        <w:autoSpaceDN w:val="0"/>
        <w:adjustRightInd w:val="0"/>
        <w:snapToGrid w:val="0"/>
        <w:spacing w:line="360" w:lineRule="auto"/>
        <w:rPr>
          <w:rFonts w:ascii="Book Antiqua" w:eastAsia="MS Mincho" w:hAnsi="Book Antiqua" w:cs="Times New Roman"/>
          <w:kern w:val="0"/>
          <w:sz w:val="24"/>
          <w:szCs w:val="24"/>
        </w:rPr>
      </w:pPr>
      <w:r w:rsidRPr="006A747F">
        <w:rPr>
          <w:rFonts w:ascii="Book Antiqua" w:eastAsia="MS Mincho" w:hAnsi="Book Antiqua" w:cs="Times New Roman"/>
          <w:kern w:val="0"/>
          <w:sz w:val="24"/>
          <w:szCs w:val="24"/>
        </w:rPr>
        <w:t>Morimoto H</w:t>
      </w:r>
      <w:r w:rsidR="006A747F">
        <w:rPr>
          <w:rFonts w:ascii="Book Antiqua" w:eastAsia="MS Mincho" w:hAnsi="Book Antiqua" w:cs="Times New Roman"/>
          <w:kern w:val="0"/>
          <w:sz w:val="24"/>
          <w:szCs w:val="24"/>
        </w:rPr>
        <w:t xml:space="preserve"> </w:t>
      </w:r>
      <w:r w:rsidRPr="006A747F">
        <w:rPr>
          <w:rFonts w:ascii="Book Antiqua" w:eastAsia="MS Mincho" w:hAnsi="Book Antiqua" w:cs="Times New Roman"/>
          <w:i/>
          <w:kern w:val="0"/>
          <w:sz w:val="24"/>
          <w:szCs w:val="24"/>
        </w:rPr>
        <w:t>et al.</w:t>
      </w:r>
      <w:r w:rsidRPr="006A747F">
        <w:rPr>
          <w:rFonts w:ascii="Book Antiqua" w:eastAsia="MS Mincho" w:hAnsi="Book Antiqua" w:cs="Times New Roman"/>
          <w:kern w:val="0"/>
          <w:sz w:val="24"/>
          <w:szCs w:val="24"/>
        </w:rPr>
        <w:t xml:space="preserve"> </w:t>
      </w:r>
      <w:r w:rsidR="00AB732D" w:rsidRPr="006A747F">
        <w:rPr>
          <w:rFonts w:ascii="Book Antiqua" w:eastAsia="MS Mincho" w:hAnsi="Book Antiqua" w:cs="Times New Roman"/>
          <w:kern w:val="0"/>
          <w:sz w:val="24"/>
          <w:szCs w:val="24"/>
        </w:rPr>
        <w:t>Clinical impact of surveillance for HNSCC</w:t>
      </w:r>
    </w:p>
    <w:p w14:paraId="2BCEA09B" w14:textId="00D4903D" w:rsidR="007E2CB1" w:rsidRPr="006A747F" w:rsidRDefault="007E2CB1" w:rsidP="00235EA3">
      <w:pPr>
        <w:autoSpaceDE w:val="0"/>
        <w:autoSpaceDN w:val="0"/>
        <w:adjustRightInd w:val="0"/>
        <w:snapToGrid w:val="0"/>
        <w:spacing w:line="360" w:lineRule="auto"/>
        <w:rPr>
          <w:rFonts w:ascii="Book Antiqua" w:eastAsia="MS Mincho" w:hAnsi="Book Antiqua" w:cs="Times New Roman"/>
          <w:kern w:val="0"/>
          <w:sz w:val="24"/>
          <w:szCs w:val="24"/>
        </w:rPr>
      </w:pPr>
    </w:p>
    <w:p w14:paraId="2167729D" w14:textId="7364C31C" w:rsidR="0052705D" w:rsidRPr="00531215" w:rsidRDefault="0052705D" w:rsidP="00235EA3">
      <w:pPr>
        <w:autoSpaceDE w:val="0"/>
        <w:autoSpaceDN w:val="0"/>
        <w:adjustRightInd w:val="0"/>
        <w:snapToGrid w:val="0"/>
        <w:spacing w:line="360" w:lineRule="auto"/>
        <w:rPr>
          <w:rFonts w:ascii="Book Antiqua" w:eastAsia="MS Mincho" w:hAnsi="Book Antiqua" w:cs="Times New Roman"/>
          <w:color w:val="000000"/>
          <w:sz w:val="24"/>
          <w:szCs w:val="24"/>
        </w:rPr>
      </w:pPr>
      <w:r w:rsidRPr="00531215">
        <w:rPr>
          <w:rFonts w:ascii="Book Antiqua" w:eastAsia="MS Mincho" w:hAnsi="Book Antiqua" w:cs="Times New Roman"/>
          <w:color w:val="000000"/>
          <w:sz w:val="24"/>
          <w:szCs w:val="24"/>
        </w:rPr>
        <w:t>Hiroyuki Morimoto, Tomonori Yano, Yusuke Yoda, Yasuhiro Oono, Hiroaki Ikematsu, Ryuichi Hayashi, Atsushi Ohtsu, Kazuhiro Kaneko</w:t>
      </w:r>
    </w:p>
    <w:p w14:paraId="30E41D5E" w14:textId="77777777" w:rsidR="00D15388" w:rsidRPr="006A747F" w:rsidRDefault="00D15388" w:rsidP="00235EA3">
      <w:pPr>
        <w:autoSpaceDE w:val="0"/>
        <w:autoSpaceDN w:val="0"/>
        <w:adjustRightInd w:val="0"/>
        <w:snapToGrid w:val="0"/>
        <w:spacing w:line="360" w:lineRule="auto"/>
        <w:rPr>
          <w:rFonts w:ascii="Book Antiqua" w:eastAsia="MS Mincho" w:hAnsi="Book Antiqua" w:cs="Times New Roman"/>
          <w:kern w:val="0"/>
          <w:sz w:val="24"/>
          <w:szCs w:val="24"/>
        </w:rPr>
      </w:pPr>
    </w:p>
    <w:p w14:paraId="7AD5C57E" w14:textId="308349E6" w:rsidR="00303B78" w:rsidRPr="006A747F" w:rsidRDefault="00207F5C" w:rsidP="00235EA3">
      <w:pPr>
        <w:snapToGrid w:val="0"/>
        <w:spacing w:line="360" w:lineRule="auto"/>
        <w:rPr>
          <w:rFonts w:ascii="Book Antiqua" w:eastAsia="MS Mincho" w:hAnsi="Book Antiqua" w:cs="Times New Roman"/>
          <w:color w:val="000000"/>
          <w:sz w:val="24"/>
          <w:szCs w:val="24"/>
        </w:rPr>
      </w:pPr>
      <w:r w:rsidRPr="006A747F">
        <w:rPr>
          <w:rFonts w:ascii="Book Antiqua" w:eastAsia="MS Mincho" w:hAnsi="Book Antiqua" w:cs="Times New Roman"/>
          <w:b/>
          <w:color w:val="000000"/>
          <w:sz w:val="24"/>
          <w:szCs w:val="24"/>
        </w:rPr>
        <w:t xml:space="preserve">Hiroyuki Morimoto, Tomonori Yano, Yusuke Yoda, Yasuhiro Oono, Hiroaki Ikematsu, </w:t>
      </w:r>
      <w:r w:rsidR="00D833A9" w:rsidRPr="006A747F">
        <w:rPr>
          <w:rFonts w:ascii="Book Antiqua" w:eastAsia="MS Mincho" w:hAnsi="Book Antiqua" w:cs="Times New Roman"/>
          <w:b/>
          <w:color w:val="000000"/>
          <w:sz w:val="24"/>
          <w:szCs w:val="24"/>
        </w:rPr>
        <w:t>Kazuhiro Kaneko</w:t>
      </w:r>
      <w:r w:rsidR="00303B78" w:rsidRPr="006A747F">
        <w:rPr>
          <w:rFonts w:ascii="Book Antiqua" w:eastAsia="MS Mincho" w:hAnsi="Book Antiqua" w:cs="Times New Roman"/>
          <w:b/>
          <w:color w:val="000000"/>
          <w:sz w:val="24"/>
          <w:szCs w:val="24"/>
        </w:rPr>
        <w:t>,</w:t>
      </w:r>
      <w:r w:rsidR="00303B78" w:rsidRPr="006A747F">
        <w:rPr>
          <w:rFonts w:ascii="Book Antiqua" w:eastAsia="MS Mincho" w:hAnsi="Book Antiqua" w:cs="Times New Roman"/>
          <w:color w:val="000000"/>
          <w:sz w:val="24"/>
          <w:szCs w:val="24"/>
        </w:rPr>
        <w:t xml:space="preserve"> Department of Gastroenterology</w:t>
      </w:r>
      <w:r w:rsidR="00077311">
        <w:rPr>
          <w:rFonts w:ascii="Book Antiqua" w:eastAsia="MS Mincho" w:hAnsi="Book Antiqua" w:cs="Times New Roman"/>
          <w:color w:val="000000"/>
          <w:sz w:val="24"/>
          <w:szCs w:val="24"/>
        </w:rPr>
        <w:t xml:space="preserve"> and</w:t>
      </w:r>
      <w:r w:rsidR="00303B78" w:rsidRPr="006A747F">
        <w:rPr>
          <w:rFonts w:ascii="Book Antiqua" w:eastAsia="MS Mincho" w:hAnsi="Book Antiqua" w:cs="Times New Roman"/>
          <w:color w:val="000000"/>
          <w:sz w:val="24"/>
          <w:szCs w:val="24"/>
        </w:rPr>
        <w:t xml:space="preserve"> </w:t>
      </w:r>
      <w:r w:rsidR="00303B78" w:rsidRPr="006A747F">
        <w:rPr>
          <w:rFonts w:ascii="Book Antiqua" w:eastAsia="MS Mincho" w:hAnsi="Book Antiqua" w:cs="Times New Roman"/>
          <w:color w:val="000000" w:themeColor="text1"/>
          <w:sz w:val="24"/>
          <w:szCs w:val="24"/>
        </w:rPr>
        <w:t xml:space="preserve">Endoscopy, </w:t>
      </w:r>
      <w:r w:rsidR="00303B78" w:rsidRPr="006A747F">
        <w:rPr>
          <w:rFonts w:ascii="Book Antiqua" w:eastAsia="MS Mincho" w:hAnsi="Book Antiqua" w:cs="Times New Roman"/>
          <w:color w:val="000000"/>
          <w:sz w:val="24"/>
          <w:szCs w:val="24"/>
        </w:rPr>
        <w:t>National Cancer Center Hospital East,</w:t>
      </w:r>
      <w:r w:rsidR="006A747F">
        <w:rPr>
          <w:rFonts w:ascii="Book Antiqua" w:eastAsia="MS Mincho" w:hAnsi="Book Antiqua" w:cs="Times New Roman"/>
          <w:color w:val="000000" w:themeColor="text1"/>
          <w:sz w:val="24"/>
          <w:szCs w:val="24"/>
        </w:rPr>
        <w:t xml:space="preserve"> </w:t>
      </w:r>
      <w:r w:rsidR="00303B78" w:rsidRPr="006A747F">
        <w:rPr>
          <w:rFonts w:ascii="Book Antiqua" w:eastAsia="MS Mincho" w:hAnsi="Book Antiqua" w:cs="Times New Roman"/>
          <w:color w:val="000000"/>
          <w:sz w:val="24"/>
          <w:szCs w:val="24"/>
        </w:rPr>
        <w:t xml:space="preserve">Kashiwa, </w:t>
      </w:r>
      <w:r w:rsidR="00303B78" w:rsidRPr="006A747F">
        <w:rPr>
          <w:rFonts w:ascii="Book Antiqua" w:eastAsia="MS Mincho" w:hAnsi="Book Antiqua" w:cs="Times New Roman"/>
          <w:color w:val="000000" w:themeColor="text1"/>
          <w:sz w:val="24"/>
          <w:szCs w:val="24"/>
        </w:rPr>
        <w:t xml:space="preserve">Chiba 277-8577, </w:t>
      </w:r>
      <w:r w:rsidR="006A747F">
        <w:rPr>
          <w:rFonts w:ascii="Book Antiqua" w:eastAsia="MS Mincho" w:hAnsi="Book Antiqua" w:cs="Times New Roman"/>
          <w:color w:val="000000"/>
          <w:sz w:val="24"/>
          <w:szCs w:val="24"/>
        </w:rPr>
        <w:t>Japan</w:t>
      </w:r>
    </w:p>
    <w:p w14:paraId="0C5547C2" w14:textId="77777777" w:rsidR="00B744F9" w:rsidRPr="006A747F" w:rsidRDefault="00B744F9" w:rsidP="00235EA3">
      <w:pPr>
        <w:snapToGrid w:val="0"/>
        <w:spacing w:line="360" w:lineRule="auto"/>
        <w:rPr>
          <w:rFonts w:ascii="Book Antiqua" w:eastAsia="MS Mincho" w:hAnsi="Book Antiqua" w:cs="Times New Roman"/>
          <w:color w:val="000000"/>
          <w:kern w:val="0"/>
          <w:sz w:val="24"/>
          <w:szCs w:val="24"/>
        </w:rPr>
      </w:pPr>
    </w:p>
    <w:p w14:paraId="47DB608E" w14:textId="28022E09" w:rsidR="00FE27FA" w:rsidRPr="006A747F" w:rsidRDefault="00B744F9" w:rsidP="00235EA3">
      <w:pPr>
        <w:snapToGrid w:val="0"/>
        <w:spacing w:line="360" w:lineRule="auto"/>
        <w:rPr>
          <w:rFonts w:ascii="Book Antiqua" w:eastAsia="MS Mincho" w:hAnsi="Book Antiqua" w:cs="Times New Roman"/>
          <w:color w:val="000000"/>
          <w:sz w:val="24"/>
          <w:szCs w:val="24"/>
        </w:rPr>
      </w:pPr>
      <w:r w:rsidRPr="006A747F">
        <w:rPr>
          <w:rFonts w:ascii="Book Antiqua" w:eastAsia="MS Mincho" w:hAnsi="Book Antiqua" w:cs="Times New Roman"/>
          <w:b/>
          <w:color w:val="000000"/>
          <w:sz w:val="24"/>
          <w:szCs w:val="24"/>
        </w:rPr>
        <w:t>Ryuichi Hayashi,</w:t>
      </w:r>
      <w:r w:rsidR="00FE27FA" w:rsidRPr="006A747F">
        <w:rPr>
          <w:rFonts w:ascii="Book Antiqua" w:eastAsia="MS Mincho" w:hAnsi="Book Antiqua" w:cs="Times New Roman"/>
          <w:color w:val="000000"/>
          <w:sz w:val="24"/>
          <w:szCs w:val="24"/>
        </w:rPr>
        <w:t xml:space="preserve"> Department of Head and Neck Surgery, National Cancer Center Hospital East,</w:t>
      </w:r>
      <w:r w:rsidR="006A747F">
        <w:rPr>
          <w:rFonts w:ascii="Book Antiqua" w:eastAsia="MS Mincho" w:hAnsi="Book Antiqua" w:cs="Times New Roman"/>
          <w:color w:val="000000" w:themeColor="text1"/>
          <w:sz w:val="24"/>
          <w:szCs w:val="24"/>
        </w:rPr>
        <w:t xml:space="preserve"> </w:t>
      </w:r>
      <w:r w:rsidR="00FE27FA" w:rsidRPr="006A747F">
        <w:rPr>
          <w:rFonts w:ascii="Book Antiqua" w:eastAsia="MS Mincho" w:hAnsi="Book Antiqua" w:cs="Times New Roman"/>
          <w:color w:val="000000"/>
          <w:sz w:val="24"/>
          <w:szCs w:val="24"/>
        </w:rPr>
        <w:t xml:space="preserve">Kashiwa, </w:t>
      </w:r>
      <w:r w:rsidR="00FE27FA" w:rsidRPr="006A747F">
        <w:rPr>
          <w:rFonts w:ascii="Book Antiqua" w:eastAsia="MS Mincho" w:hAnsi="Book Antiqua" w:cs="Times New Roman"/>
          <w:color w:val="000000" w:themeColor="text1"/>
          <w:sz w:val="24"/>
          <w:szCs w:val="24"/>
        </w:rPr>
        <w:t xml:space="preserve">Chiba 277-8577, </w:t>
      </w:r>
      <w:r w:rsidR="006A747F">
        <w:rPr>
          <w:rFonts w:ascii="Book Antiqua" w:eastAsia="MS Mincho" w:hAnsi="Book Antiqua" w:cs="Times New Roman"/>
          <w:color w:val="000000"/>
          <w:sz w:val="24"/>
          <w:szCs w:val="24"/>
        </w:rPr>
        <w:t>Japan</w:t>
      </w:r>
    </w:p>
    <w:p w14:paraId="4C93B470" w14:textId="786B4FA5" w:rsidR="00B744F9" w:rsidRPr="006A747F" w:rsidRDefault="00B744F9" w:rsidP="00235EA3">
      <w:pPr>
        <w:snapToGrid w:val="0"/>
        <w:spacing w:line="360" w:lineRule="auto"/>
        <w:rPr>
          <w:rFonts w:ascii="Book Antiqua" w:eastAsia="MS Mincho" w:hAnsi="Book Antiqua" w:cs="Times New Roman"/>
          <w:color w:val="000000"/>
          <w:sz w:val="24"/>
          <w:szCs w:val="24"/>
        </w:rPr>
      </w:pPr>
    </w:p>
    <w:p w14:paraId="46275EF4" w14:textId="3EA49031" w:rsidR="00FE27FA" w:rsidRPr="006A747F" w:rsidRDefault="00B744F9" w:rsidP="00235EA3">
      <w:pPr>
        <w:snapToGrid w:val="0"/>
        <w:spacing w:line="360" w:lineRule="auto"/>
        <w:rPr>
          <w:rFonts w:ascii="Book Antiqua" w:eastAsia="MS Mincho" w:hAnsi="Book Antiqua" w:cs="Times New Roman"/>
          <w:color w:val="000000"/>
          <w:sz w:val="24"/>
          <w:szCs w:val="24"/>
        </w:rPr>
      </w:pPr>
      <w:r w:rsidRPr="006A747F">
        <w:rPr>
          <w:rFonts w:ascii="Book Antiqua" w:eastAsia="MS Mincho" w:hAnsi="Book Antiqua" w:cs="Times New Roman"/>
          <w:b/>
          <w:color w:val="000000"/>
          <w:sz w:val="24"/>
          <w:szCs w:val="24"/>
        </w:rPr>
        <w:t xml:space="preserve">Atsushi Ohtsu, </w:t>
      </w:r>
      <w:r w:rsidR="00F46A5A" w:rsidRPr="006A747F">
        <w:rPr>
          <w:rFonts w:ascii="Book Antiqua" w:eastAsia="MS Mincho" w:hAnsi="Book Antiqua" w:cs="Times New Roman"/>
          <w:color w:val="000000"/>
          <w:sz w:val="24"/>
          <w:szCs w:val="24"/>
        </w:rPr>
        <w:t>Director</w:t>
      </w:r>
      <w:r w:rsidR="00FE27FA" w:rsidRPr="006A747F">
        <w:rPr>
          <w:rFonts w:ascii="Book Antiqua" w:eastAsia="MS Mincho" w:hAnsi="Book Antiqua" w:cs="Times New Roman"/>
          <w:color w:val="000000"/>
          <w:sz w:val="24"/>
          <w:szCs w:val="24"/>
        </w:rPr>
        <w:t>, National Cancer Center Hospital East,</w:t>
      </w:r>
      <w:r w:rsidR="006A747F">
        <w:rPr>
          <w:rFonts w:ascii="Book Antiqua" w:eastAsia="MS Mincho" w:hAnsi="Book Antiqua" w:cs="Times New Roman"/>
          <w:color w:val="000000"/>
          <w:sz w:val="24"/>
          <w:szCs w:val="24"/>
        </w:rPr>
        <w:t xml:space="preserve"> </w:t>
      </w:r>
      <w:r w:rsidR="00FE27FA" w:rsidRPr="006A747F">
        <w:rPr>
          <w:rFonts w:ascii="Book Antiqua" w:eastAsia="MS Mincho" w:hAnsi="Book Antiqua" w:cs="Times New Roman"/>
          <w:color w:val="000000"/>
          <w:sz w:val="24"/>
          <w:szCs w:val="24"/>
        </w:rPr>
        <w:t xml:space="preserve">Kashiwa, </w:t>
      </w:r>
      <w:r w:rsidR="00FE27FA" w:rsidRPr="006A747F">
        <w:rPr>
          <w:rFonts w:ascii="Book Antiqua" w:eastAsia="MS Mincho" w:hAnsi="Book Antiqua" w:cs="Times New Roman"/>
          <w:color w:val="000000" w:themeColor="text1"/>
          <w:sz w:val="24"/>
          <w:szCs w:val="24"/>
        </w:rPr>
        <w:t xml:space="preserve">Chiba 277-8577, </w:t>
      </w:r>
      <w:r w:rsidR="006A747F">
        <w:rPr>
          <w:rFonts w:ascii="Book Antiqua" w:eastAsia="MS Mincho" w:hAnsi="Book Antiqua" w:cs="Times New Roman"/>
          <w:color w:val="000000"/>
          <w:sz w:val="24"/>
          <w:szCs w:val="24"/>
        </w:rPr>
        <w:t>Japan</w:t>
      </w:r>
    </w:p>
    <w:p w14:paraId="6589B648" w14:textId="77777777" w:rsidR="00B744F9" w:rsidRPr="006A747F" w:rsidRDefault="00B744F9" w:rsidP="00235EA3">
      <w:pPr>
        <w:snapToGrid w:val="0"/>
        <w:spacing w:line="360" w:lineRule="auto"/>
        <w:rPr>
          <w:rFonts w:ascii="Book Antiqua" w:eastAsia="MS Mincho" w:hAnsi="Book Antiqua" w:cs="Times New Roman"/>
          <w:color w:val="000000"/>
          <w:kern w:val="0"/>
          <w:sz w:val="24"/>
          <w:szCs w:val="24"/>
        </w:rPr>
      </w:pPr>
    </w:p>
    <w:p w14:paraId="26254688" w14:textId="1DFCDBBB" w:rsidR="00B744F9" w:rsidRPr="006A747F" w:rsidRDefault="00B744F9" w:rsidP="00235EA3">
      <w:pPr>
        <w:snapToGrid w:val="0"/>
        <w:spacing w:line="360" w:lineRule="auto"/>
        <w:rPr>
          <w:rFonts w:ascii="Book Antiqua" w:eastAsia="MS Mincho" w:hAnsi="Book Antiqua" w:cs="Times New Roman"/>
          <w:color w:val="000000"/>
          <w:sz w:val="24"/>
          <w:szCs w:val="24"/>
          <w:vertAlign w:val="superscript"/>
        </w:rPr>
      </w:pPr>
      <w:r w:rsidRPr="006A747F">
        <w:rPr>
          <w:rFonts w:ascii="Book Antiqua" w:eastAsia="MS Mincho" w:hAnsi="Book Antiqua" w:cs="Times New Roman"/>
          <w:b/>
          <w:color w:val="000000"/>
          <w:sz w:val="24"/>
          <w:szCs w:val="24"/>
        </w:rPr>
        <w:t>Kazuhiro Kaneko</w:t>
      </w:r>
      <w:r w:rsidR="00FE27FA" w:rsidRPr="006A747F">
        <w:rPr>
          <w:rFonts w:ascii="Book Antiqua" w:eastAsia="MS Mincho" w:hAnsi="Book Antiqua" w:cs="Times New Roman"/>
          <w:b/>
          <w:color w:val="000000"/>
          <w:sz w:val="24"/>
          <w:szCs w:val="24"/>
        </w:rPr>
        <w:t xml:space="preserve">, </w:t>
      </w:r>
      <w:r w:rsidR="00FE27FA" w:rsidRPr="006A747F">
        <w:rPr>
          <w:rFonts w:ascii="Book Antiqua" w:eastAsia="MS Mincho" w:hAnsi="Book Antiqua" w:cs="Times New Roman"/>
          <w:color w:val="000000"/>
          <w:sz w:val="24"/>
          <w:szCs w:val="24"/>
        </w:rPr>
        <w:t>Division of Science and Technology for Endoscopy, National Cancer Center Hospital East,</w:t>
      </w:r>
      <w:r w:rsidR="006A747F">
        <w:rPr>
          <w:rFonts w:ascii="Book Antiqua" w:eastAsia="MS Mincho" w:hAnsi="Book Antiqua" w:cs="Times New Roman"/>
          <w:color w:val="000000" w:themeColor="text1"/>
          <w:sz w:val="24"/>
          <w:szCs w:val="24"/>
        </w:rPr>
        <w:t xml:space="preserve"> </w:t>
      </w:r>
      <w:r w:rsidR="00FE27FA" w:rsidRPr="006A747F">
        <w:rPr>
          <w:rFonts w:ascii="Book Antiqua" w:eastAsia="MS Mincho" w:hAnsi="Book Antiqua" w:cs="Times New Roman"/>
          <w:color w:val="000000"/>
          <w:sz w:val="24"/>
          <w:szCs w:val="24"/>
        </w:rPr>
        <w:t xml:space="preserve">Kashiwa, </w:t>
      </w:r>
      <w:r w:rsidR="00FE27FA" w:rsidRPr="006A747F">
        <w:rPr>
          <w:rFonts w:ascii="Book Antiqua" w:eastAsia="MS Mincho" w:hAnsi="Book Antiqua" w:cs="Times New Roman"/>
          <w:color w:val="000000" w:themeColor="text1"/>
          <w:sz w:val="24"/>
          <w:szCs w:val="24"/>
        </w:rPr>
        <w:t xml:space="preserve">Chiba 277-8577, </w:t>
      </w:r>
      <w:r w:rsidR="006A747F">
        <w:rPr>
          <w:rFonts w:ascii="Book Antiqua" w:eastAsia="MS Mincho" w:hAnsi="Book Antiqua" w:cs="Times New Roman"/>
          <w:color w:val="000000"/>
          <w:sz w:val="24"/>
          <w:szCs w:val="24"/>
        </w:rPr>
        <w:t>Japan</w:t>
      </w:r>
    </w:p>
    <w:p w14:paraId="0A19F22B" w14:textId="77777777" w:rsidR="00FE27FA" w:rsidRPr="006A747F" w:rsidRDefault="00FE27FA" w:rsidP="00235EA3">
      <w:pPr>
        <w:snapToGrid w:val="0"/>
        <w:spacing w:line="360" w:lineRule="auto"/>
        <w:rPr>
          <w:rFonts w:ascii="Book Antiqua" w:eastAsia="MS Mincho" w:hAnsi="Book Antiqua" w:cs="Times New Roman"/>
          <w:color w:val="000000"/>
          <w:sz w:val="24"/>
          <w:szCs w:val="24"/>
          <w:vertAlign w:val="superscript"/>
        </w:rPr>
      </w:pPr>
    </w:p>
    <w:p w14:paraId="6C41471D" w14:textId="7FDFEF91" w:rsidR="00FE27FA" w:rsidRPr="006A747F" w:rsidRDefault="00FE27FA" w:rsidP="00235EA3">
      <w:pPr>
        <w:snapToGrid w:val="0"/>
        <w:spacing w:line="360" w:lineRule="auto"/>
        <w:rPr>
          <w:rFonts w:ascii="Book Antiqua" w:eastAsia="MS Mincho" w:hAnsi="Book Antiqua" w:cs="Times New Roman"/>
          <w:color w:val="000000"/>
          <w:sz w:val="24"/>
          <w:szCs w:val="24"/>
        </w:rPr>
      </w:pPr>
      <w:r w:rsidRPr="006A747F">
        <w:rPr>
          <w:rFonts w:ascii="Book Antiqua" w:eastAsia="MS Mincho" w:hAnsi="Book Antiqua" w:cs="Times New Roman"/>
          <w:b/>
          <w:color w:val="000000"/>
          <w:sz w:val="24"/>
          <w:szCs w:val="24"/>
        </w:rPr>
        <w:t>Hiroyuki Morimoto, Atsushi Ohtsu</w:t>
      </w:r>
      <w:r w:rsidR="00650F0B" w:rsidRPr="006A747F">
        <w:rPr>
          <w:rFonts w:ascii="Book Antiqua" w:eastAsia="MS Mincho" w:hAnsi="Book Antiqua" w:cs="Times New Roman"/>
          <w:b/>
          <w:color w:val="000000"/>
          <w:sz w:val="24"/>
          <w:szCs w:val="24"/>
        </w:rPr>
        <w:t>,</w:t>
      </w:r>
      <w:r w:rsidR="00650F0B" w:rsidRPr="006A747F">
        <w:rPr>
          <w:rFonts w:ascii="Book Antiqua" w:eastAsia="MS Mincho" w:hAnsi="Book Antiqua" w:cs="Times New Roman"/>
          <w:color w:val="000000"/>
          <w:sz w:val="24"/>
          <w:szCs w:val="24"/>
        </w:rPr>
        <w:t xml:space="preserve"> Course of Advanced Clinical Research of Cancer, Juntendo University Graduate School of Medicine</w:t>
      </w:r>
      <w:r w:rsidR="00D629A7" w:rsidRPr="006A747F">
        <w:rPr>
          <w:rFonts w:ascii="Book Antiqua" w:eastAsia="MS Mincho" w:hAnsi="Book Antiqua" w:cs="Times New Roman"/>
          <w:color w:val="000000"/>
          <w:sz w:val="24"/>
          <w:szCs w:val="24"/>
        </w:rPr>
        <w:t>,</w:t>
      </w:r>
      <w:r w:rsidR="006A747F">
        <w:rPr>
          <w:rFonts w:ascii="Book Antiqua" w:eastAsia="MS Mincho" w:hAnsi="Book Antiqua" w:cs="Times New Roman"/>
          <w:color w:val="000000"/>
          <w:sz w:val="24"/>
          <w:szCs w:val="24"/>
        </w:rPr>
        <w:t xml:space="preserve"> </w:t>
      </w:r>
      <w:r w:rsidR="00D629A7" w:rsidRPr="006A747F">
        <w:rPr>
          <w:rFonts w:ascii="Book Antiqua" w:eastAsia="MS Mincho" w:hAnsi="Book Antiqua" w:cs="Times New Roman"/>
          <w:color w:val="000000"/>
          <w:sz w:val="24"/>
          <w:szCs w:val="24"/>
        </w:rPr>
        <w:t xml:space="preserve">Kashiwa, </w:t>
      </w:r>
      <w:r w:rsidR="006A747F" w:rsidRPr="006A747F">
        <w:rPr>
          <w:rFonts w:ascii="Book Antiqua" w:eastAsia="MS Mincho" w:hAnsi="Book Antiqua" w:cs="Times New Roman"/>
          <w:color w:val="000000" w:themeColor="text1"/>
          <w:sz w:val="24"/>
          <w:szCs w:val="24"/>
        </w:rPr>
        <w:t xml:space="preserve">Chiba 277-8577, </w:t>
      </w:r>
      <w:r w:rsidR="006A747F">
        <w:rPr>
          <w:rFonts w:ascii="Book Antiqua" w:eastAsia="MS Mincho" w:hAnsi="Book Antiqua" w:cs="Times New Roman"/>
          <w:color w:val="000000"/>
          <w:sz w:val="24"/>
          <w:szCs w:val="24"/>
        </w:rPr>
        <w:t>Japan</w:t>
      </w:r>
    </w:p>
    <w:p w14:paraId="206C0D27" w14:textId="77777777" w:rsidR="00FE27FA" w:rsidRPr="006A747F" w:rsidRDefault="00FE27FA" w:rsidP="00235EA3">
      <w:pPr>
        <w:snapToGrid w:val="0"/>
        <w:spacing w:line="360" w:lineRule="auto"/>
        <w:rPr>
          <w:rFonts w:ascii="Book Antiqua" w:eastAsia="MS Mincho" w:hAnsi="Book Antiqua" w:cs="Times New Roman"/>
          <w:color w:val="000000"/>
          <w:sz w:val="24"/>
          <w:szCs w:val="24"/>
        </w:rPr>
      </w:pPr>
    </w:p>
    <w:p w14:paraId="1AD62358" w14:textId="0D76BB31" w:rsidR="006F34AD" w:rsidRPr="006A747F" w:rsidRDefault="00757FF2" w:rsidP="00235EA3">
      <w:pPr>
        <w:snapToGrid w:val="0"/>
        <w:spacing w:line="360" w:lineRule="auto"/>
        <w:rPr>
          <w:rFonts w:ascii="Book Antiqua" w:eastAsia="MS Mincho" w:hAnsi="Book Antiqua" w:cs="Times New Roman"/>
          <w:color w:val="000000"/>
          <w:sz w:val="24"/>
          <w:szCs w:val="24"/>
        </w:rPr>
      </w:pPr>
      <w:r w:rsidRPr="006A747F">
        <w:rPr>
          <w:rFonts w:ascii="Book Antiqua" w:eastAsia="MS Mincho" w:hAnsi="Book Antiqua" w:cs="Times New Roman"/>
          <w:b/>
          <w:color w:val="000000"/>
          <w:sz w:val="24"/>
          <w:szCs w:val="24"/>
        </w:rPr>
        <w:t>Author contributions:</w:t>
      </w:r>
      <w:r w:rsidRPr="006A747F">
        <w:rPr>
          <w:rFonts w:ascii="Book Antiqua" w:eastAsia="MS Mincho" w:hAnsi="Book Antiqua" w:cs="Times New Roman"/>
          <w:color w:val="000000"/>
          <w:sz w:val="24"/>
          <w:szCs w:val="24"/>
        </w:rPr>
        <w:t xml:space="preserve"> Morimoto H and Yano T contributed equally to this work; Morimoto H and Yano T designed t</w:t>
      </w:r>
      <w:r w:rsidR="006F34AD" w:rsidRPr="006A747F">
        <w:rPr>
          <w:rFonts w:ascii="Book Antiqua" w:eastAsia="MS Mincho" w:hAnsi="Book Antiqua" w:cs="Times New Roman"/>
          <w:color w:val="000000"/>
          <w:sz w:val="24"/>
          <w:szCs w:val="24"/>
        </w:rPr>
        <w:t>he research; Morimoto H, Yano T, Yoda Y, Oono Y, Ikematsu H</w:t>
      </w:r>
      <w:r w:rsidR="006A747F">
        <w:rPr>
          <w:rFonts w:ascii="Book Antiqua" w:eastAsia="MS Mincho" w:hAnsi="Book Antiqua" w:cs="Times New Roman"/>
          <w:color w:val="000000"/>
          <w:sz w:val="24"/>
          <w:szCs w:val="24"/>
        </w:rPr>
        <w:t xml:space="preserve"> </w:t>
      </w:r>
      <w:r w:rsidRPr="006A747F">
        <w:rPr>
          <w:rFonts w:ascii="Book Antiqua" w:eastAsia="MS Mincho" w:hAnsi="Book Antiqua" w:cs="Times New Roman"/>
          <w:color w:val="000000"/>
          <w:sz w:val="24"/>
          <w:szCs w:val="24"/>
        </w:rPr>
        <w:t xml:space="preserve">and Kaneko K </w:t>
      </w:r>
      <w:r w:rsidR="006F34AD" w:rsidRPr="006A747F">
        <w:rPr>
          <w:rFonts w:ascii="Book Antiqua" w:eastAsia="MS Mincho" w:hAnsi="Book Antiqua" w:cs="Times New Roman"/>
          <w:color w:val="000000"/>
          <w:sz w:val="24"/>
          <w:szCs w:val="24"/>
        </w:rPr>
        <w:t xml:space="preserve">acquired data and </w:t>
      </w:r>
      <w:r w:rsidRPr="006A747F">
        <w:rPr>
          <w:rFonts w:ascii="Book Antiqua" w:eastAsia="MS Mincho" w:hAnsi="Book Antiqua" w:cs="Times New Roman"/>
          <w:color w:val="000000"/>
          <w:sz w:val="24"/>
          <w:szCs w:val="24"/>
        </w:rPr>
        <w:t xml:space="preserve">performed the </w:t>
      </w:r>
      <w:r w:rsidR="00F470B0" w:rsidRPr="006A747F">
        <w:rPr>
          <w:rFonts w:ascii="Book Antiqua" w:eastAsia="MS Mincho" w:hAnsi="Book Antiqua" w:cs="Times New Roman"/>
          <w:color w:val="000000"/>
          <w:sz w:val="24"/>
          <w:szCs w:val="24"/>
        </w:rPr>
        <w:t>research; Morimoto H, Yano T and Kaneko K wrote the</w:t>
      </w:r>
      <w:r w:rsidR="006F34AD" w:rsidRPr="006A747F">
        <w:rPr>
          <w:rFonts w:ascii="Book Antiqua" w:eastAsia="MS Mincho" w:hAnsi="Book Antiqua" w:cs="Times New Roman"/>
          <w:color w:val="000000"/>
          <w:sz w:val="24"/>
          <w:szCs w:val="24"/>
        </w:rPr>
        <w:t xml:space="preserve"> draft; </w:t>
      </w:r>
      <w:r w:rsidR="00F470B0" w:rsidRPr="006A747F">
        <w:rPr>
          <w:rFonts w:ascii="Book Antiqua" w:eastAsia="MS Mincho" w:hAnsi="Book Antiqua" w:cs="Times New Roman"/>
          <w:color w:val="000000"/>
          <w:sz w:val="24"/>
          <w:szCs w:val="24"/>
        </w:rPr>
        <w:t>Ohtsu A and Hayashi R supervised the report.</w:t>
      </w:r>
    </w:p>
    <w:p w14:paraId="3213F872" w14:textId="77777777" w:rsidR="006F34AD" w:rsidRPr="006A747F" w:rsidRDefault="006F34AD" w:rsidP="00235EA3">
      <w:pPr>
        <w:snapToGrid w:val="0"/>
        <w:spacing w:line="360" w:lineRule="auto"/>
        <w:rPr>
          <w:rFonts w:ascii="Book Antiqua" w:eastAsia="MS Mincho" w:hAnsi="Book Antiqua" w:cs="Times New Roman"/>
          <w:color w:val="000000"/>
          <w:sz w:val="24"/>
          <w:szCs w:val="24"/>
        </w:rPr>
      </w:pPr>
    </w:p>
    <w:p w14:paraId="0721557F" w14:textId="75F28A67" w:rsidR="00AB1173" w:rsidRPr="006A747F" w:rsidRDefault="00AB1173" w:rsidP="00235EA3">
      <w:pPr>
        <w:snapToGrid w:val="0"/>
        <w:spacing w:line="360" w:lineRule="auto"/>
        <w:rPr>
          <w:rFonts w:ascii="Book Antiqua" w:eastAsia="MS Mincho" w:hAnsi="Book Antiqua" w:cs="Times New Roman"/>
          <w:color w:val="000000"/>
          <w:sz w:val="24"/>
          <w:szCs w:val="24"/>
        </w:rPr>
      </w:pPr>
      <w:r w:rsidRPr="006A747F">
        <w:rPr>
          <w:rFonts w:ascii="Book Antiqua" w:eastAsia="MS Mincho" w:hAnsi="Book Antiqua" w:cs="Times New Roman"/>
          <w:b/>
          <w:color w:val="000000"/>
          <w:sz w:val="24"/>
          <w:szCs w:val="24"/>
        </w:rPr>
        <w:t>Insti</w:t>
      </w:r>
      <w:r w:rsidR="00A8078B" w:rsidRPr="006A747F">
        <w:rPr>
          <w:rFonts w:ascii="Book Antiqua" w:eastAsia="MS Mincho" w:hAnsi="Book Antiqua" w:cs="Times New Roman"/>
          <w:b/>
          <w:color w:val="000000"/>
          <w:sz w:val="24"/>
          <w:szCs w:val="24"/>
        </w:rPr>
        <w:t>tutional review board statement</w:t>
      </w:r>
      <w:r w:rsidR="00A8078B" w:rsidRPr="006A747F">
        <w:rPr>
          <w:rFonts w:ascii="Book Antiqua" w:eastAsia="MS Mincho" w:hAnsi="Book Antiqua" w:cs="Times New Roman"/>
          <w:color w:val="000000"/>
          <w:sz w:val="24"/>
          <w:szCs w:val="24"/>
        </w:rPr>
        <w:t>: This study was reviewed and approved by National Cancer Center</w:t>
      </w:r>
      <w:r w:rsidR="00B77690" w:rsidRPr="006A747F">
        <w:rPr>
          <w:rFonts w:ascii="Book Antiqua" w:eastAsia="MS Mincho" w:hAnsi="Book Antiqua" w:cs="Times New Roman"/>
          <w:color w:val="000000"/>
          <w:sz w:val="24"/>
          <w:szCs w:val="24"/>
        </w:rPr>
        <w:t xml:space="preserve"> Institutional Review Board (2012-331)</w:t>
      </w:r>
      <w:r w:rsidR="00A8078B" w:rsidRPr="006A747F">
        <w:rPr>
          <w:rFonts w:ascii="Book Antiqua" w:eastAsia="MS Mincho" w:hAnsi="Book Antiqua" w:cs="Times New Roman"/>
          <w:color w:val="000000"/>
          <w:sz w:val="24"/>
          <w:szCs w:val="24"/>
        </w:rPr>
        <w:t>.</w:t>
      </w:r>
    </w:p>
    <w:p w14:paraId="46CA2A01" w14:textId="77777777" w:rsidR="00FB4F83" w:rsidRPr="006A747F" w:rsidRDefault="00FB4F83" w:rsidP="00235EA3">
      <w:pPr>
        <w:snapToGrid w:val="0"/>
        <w:spacing w:line="360" w:lineRule="auto"/>
        <w:rPr>
          <w:rFonts w:ascii="Book Antiqua" w:eastAsia="MS Mincho" w:hAnsi="Book Antiqua" w:cs="Times New Roman"/>
          <w:b/>
          <w:bCs/>
          <w:sz w:val="24"/>
          <w:szCs w:val="24"/>
        </w:rPr>
      </w:pPr>
    </w:p>
    <w:p w14:paraId="54BA41C1" w14:textId="18BB766C" w:rsidR="00FB4F83" w:rsidRPr="006A747F" w:rsidRDefault="00AB1173"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
          <w:bCs/>
          <w:sz w:val="24"/>
          <w:szCs w:val="24"/>
        </w:rPr>
        <w:t xml:space="preserve">Informed consent statement: </w:t>
      </w:r>
      <w:r w:rsidR="00B77690" w:rsidRPr="006A747F">
        <w:rPr>
          <w:rFonts w:ascii="Book Antiqua" w:eastAsia="MS Mincho" w:hAnsi="Book Antiqua" w:cs="Times New Roman"/>
          <w:bCs/>
          <w:sz w:val="24"/>
          <w:szCs w:val="24"/>
        </w:rPr>
        <w:t>All</w:t>
      </w:r>
      <w:r w:rsidR="00B77690" w:rsidRPr="006A747F">
        <w:rPr>
          <w:rFonts w:ascii="Book Antiqua" w:eastAsia="MS Mincho" w:hAnsi="Book Antiqua" w:cs="Times New Roman"/>
          <w:b/>
          <w:bCs/>
          <w:sz w:val="24"/>
          <w:szCs w:val="24"/>
        </w:rPr>
        <w:t xml:space="preserve"> </w:t>
      </w:r>
      <w:r w:rsidR="00B77690" w:rsidRPr="006A747F">
        <w:rPr>
          <w:rFonts w:ascii="Book Antiqua" w:eastAsia="MS Mincho" w:hAnsi="Book Antiqua" w:cs="Times New Roman"/>
          <w:bCs/>
          <w:sz w:val="24"/>
          <w:szCs w:val="24"/>
        </w:rPr>
        <w:t>study participated p</w:t>
      </w:r>
      <w:r w:rsidRPr="006A747F">
        <w:rPr>
          <w:rFonts w:ascii="Book Antiqua" w:eastAsia="MS Mincho" w:hAnsi="Book Antiqua" w:cs="Times New Roman"/>
          <w:bCs/>
          <w:sz w:val="24"/>
          <w:szCs w:val="24"/>
        </w:rPr>
        <w:t>atients</w:t>
      </w:r>
      <w:r w:rsidR="00B77690" w:rsidRPr="006A747F">
        <w:rPr>
          <w:rFonts w:ascii="Book Antiqua" w:eastAsia="MS Mincho" w:hAnsi="Book Antiqua" w:cs="Times New Roman"/>
          <w:bCs/>
          <w:sz w:val="24"/>
          <w:szCs w:val="24"/>
        </w:rPr>
        <w:t xml:space="preserve"> provided written </w:t>
      </w:r>
      <w:r w:rsidRPr="006A747F">
        <w:rPr>
          <w:rFonts w:ascii="Book Antiqua" w:eastAsia="MS Mincho" w:hAnsi="Book Antiqua" w:cs="Times New Roman"/>
          <w:bCs/>
          <w:sz w:val="24"/>
          <w:szCs w:val="24"/>
        </w:rPr>
        <w:t>informed consent</w:t>
      </w:r>
      <w:r w:rsidR="00B77690" w:rsidRPr="006A747F">
        <w:rPr>
          <w:rFonts w:ascii="Book Antiqua" w:eastAsia="MS Mincho" w:hAnsi="Book Antiqua" w:cs="Times New Roman"/>
          <w:bCs/>
          <w:sz w:val="24"/>
          <w:szCs w:val="24"/>
        </w:rPr>
        <w:t xml:space="preserve"> before enrollment and any intervention and examination in this study.</w:t>
      </w:r>
      <w:r w:rsidRPr="006A747F">
        <w:rPr>
          <w:rFonts w:ascii="Book Antiqua" w:eastAsia="MS Mincho" w:hAnsi="Book Antiqua" w:cs="Times New Roman"/>
          <w:bCs/>
          <w:sz w:val="24"/>
          <w:szCs w:val="24"/>
        </w:rPr>
        <w:t xml:space="preserve"> For full disclosure, the details of the study are published on the home page of </w:t>
      </w:r>
      <w:r w:rsidR="0013656F" w:rsidRPr="006A747F">
        <w:rPr>
          <w:rFonts w:ascii="Book Antiqua" w:eastAsia="MS Mincho" w:hAnsi="Book Antiqua" w:cs="Times New Roman"/>
          <w:bCs/>
          <w:sz w:val="24"/>
          <w:szCs w:val="24"/>
        </w:rPr>
        <w:t>National Cancer Center.</w:t>
      </w:r>
    </w:p>
    <w:p w14:paraId="29B2302B" w14:textId="77777777" w:rsidR="0013656F" w:rsidRPr="006A747F" w:rsidRDefault="0013656F" w:rsidP="00235EA3">
      <w:pPr>
        <w:snapToGrid w:val="0"/>
        <w:spacing w:line="360" w:lineRule="auto"/>
        <w:rPr>
          <w:rFonts w:ascii="Book Antiqua" w:eastAsia="MS Mincho" w:hAnsi="Book Antiqua" w:cs="Times New Roman"/>
          <w:bCs/>
          <w:sz w:val="24"/>
          <w:szCs w:val="24"/>
        </w:rPr>
      </w:pPr>
    </w:p>
    <w:p w14:paraId="674CFE8A" w14:textId="1EF7FF26" w:rsidR="0013656F" w:rsidRPr="006A747F" w:rsidRDefault="00DA7EBC"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
          <w:bCs/>
          <w:sz w:val="24"/>
          <w:szCs w:val="24"/>
        </w:rPr>
        <w:t>Conflict-of-interest statement:</w:t>
      </w:r>
      <w:r w:rsidRPr="006A747F">
        <w:rPr>
          <w:rFonts w:ascii="Book Antiqua" w:eastAsia="MS Mincho" w:hAnsi="Book Antiqua" w:cs="Times New Roman"/>
          <w:bCs/>
          <w:sz w:val="24"/>
          <w:szCs w:val="24"/>
        </w:rPr>
        <w:t xml:space="preserve"> We have no financial relationships to disclose</w:t>
      </w:r>
      <w:r w:rsidR="006A747F">
        <w:rPr>
          <w:rFonts w:ascii="Book Antiqua" w:eastAsia="MS Mincho" w:hAnsi="Book Antiqua" w:cs="Times New Roman"/>
          <w:bCs/>
          <w:sz w:val="24"/>
          <w:szCs w:val="24"/>
        </w:rPr>
        <w:t>.</w:t>
      </w:r>
    </w:p>
    <w:p w14:paraId="08796E58" w14:textId="77777777" w:rsidR="00FB4F83" w:rsidRPr="006A747F" w:rsidRDefault="00FB4F83" w:rsidP="00235EA3">
      <w:pPr>
        <w:snapToGrid w:val="0"/>
        <w:spacing w:line="360" w:lineRule="auto"/>
        <w:rPr>
          <w:rFonts w:ascii="Book Antiqua" w:eastAsia="MS Mincho" w:hAnsi="Book Antiqua" w:cs="Times New Roman"/>
          <w:b/>
          <w:bCs/>
          <w:sz w:val="24"/>
          <w:szCs w:val="24"/>
        </w:rPr>
      </w:pPr>
    </w:p>
    <w:p w14:paraId="358AE8A8" w14:textId="4B807BA9" w:rsidR="00FB4F83" w:rsidRPr="006A747F" w:rsidRDefault="00DA7EBC"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t xml:space="preserve">Data sharing statement: </w:t>
      </w:r>
      <w:r w:rsidRPr="006A747F">
        <w:rPr>
          <w:rFonts w:ascii="Book Antiqua" w:eastAsia="MS Mincho" w:hAnsi="Book Antiqua" w:cs="Times New Roman"/>
          <w:bCs/>
          <w:sz w:val="24"/>
          <w:szCs w:val="24"/>
        </w:rPr>
        <w:t>No additional data are available.</w:t>
      </w:r>
    </w:p>
    <w:p w14:paraId="2D0C41D6" w14:textId="77777777" w:rsidR="00FB4F83" w:rsidRDefault="00FB4F83" w:rsidP="00235EA3">
      <w:pPr>
        <w:snapToGrid w:val="0"/>
        <w:spacing w:line="360" w:lineRule="auto"/>
        <w:rPr>
          <w:rFonts w:ascii="Book Antiqua" w:eastAsia="MS Mincho" w:hAnsi="Book Antiqua" w:cs="Times New Roman"/>
          <w:b/>
          <w:bCs/>
          <w:sz w:val="24"/>
          <w:szCs w:val="24"/>
        </w:rPr>
      </w:pPr>
    </w:p>
    <w:p w14:paraId="2B0938F7" w14:textId="77777777" w:rsidR="006A747F" w:rsidRPr="00005305" w:rsidRDefault="006A747F" w:rsidP="00235EA3">
      <w:pPr>
        <w:pStyle w:val="1"/>
        <w:snapToGrid w:val="0"/>
        <w:spacing w:line="360" w:lineRule="auto"/>
        <w:jc w:val="both"/>
        <w:rPr>
          <w:rFonts w:ascii="Book Antiqua" w:hAnsi="Book Antiqua" w:cs="Times New Roman"/>
          <w:bCs/>
          <w:color w:val="auto"/>
          <w:sz w:val="24"/>
          <w:highlight w:val="white"/>
          <w:lang w:val="en-US"/>
        </w:rPr>
      </w:pPr>
      <w:bookmarkStart w:id="0" w:name="OLE_LINK734"/>
      <w:bookmarkStart w:id="1" w:name="OLE_LINK441"/>
      <w:bookmarkStart w:id="2" w:name="OLE_LINK442"/>
      <w:bookmarkStart w:id="3" w:name="OLE_LINK1032"/>
      <w:bookmarkStart w:id="4" w:name="OLE_LINK1232"/>
      <w:bookmarkStart w:id="5"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6" w:name="OLE_LINK479"/>
      <w:bookmarkStart w:id="7" w:name="OLE_LINK496"/>
      <w:bookmarkStart w:id="8" w:name="OLE_LINK506"/>
      <w:bookmarkStart w:id="9"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lang w:val="en-US"/>
          </w:rPr>
          <w:t>http://creativecommons.org/licenses/by-nc/4.0/</w:t>
        </w:r>
      </w:hyperlink>
      <w:bookmarkEnd w:id="0"/>
      <w:bookmarkEnd w:id="6"/>
      <w:bookmarkEnd w:id="7"/>
      <w:bookmarkEnd w:id="8"/>
      <w:bookmarkEnd w:id="9"/>
    </w:p>
    <w:bookmarkEnd w:id="1"/>
    <w:bookmarkEnd w:id="2"/>
    <w:bookmarkEnd w:id="3"/>
    <w:bookmarkEnd w:id="4"/>
    <w:bookmarkEnd w:id="5"/>
    <w:p w14:paraId="1BDB2CA8" w14:textId="77777777" w:rsidR="006A747F" w:rsidRDefault="006A747F" w:rsidP="00235EA3">
      <w:pPr>
        <w:pStyle w:val="1"/>
        <w:snapToGrid w:val="0"/>
        <w:spacing w:line="360" w:lineRule="auto"/>
        <w:jc w:val="both"/>
        <w:rPr>
          <w:rFonts w:ascii="Book Antiqua" w:hAnsi="Book Antiqua" w:cs="Times New Roman"/>
          <w:b/>
          <w:bCs/>
          <w:color w:val="FF0000"/>
          <w:sz w:val="24"/>
          <w:highlight w:val="white"/>
          <w:lang w:val="en-US" w:eastAsia="zh-CN"/>
        </w:rPr>
      </w:pPr>
    </w:p>
    <w:p w14:paraId="424CE31A" w14:textId="77777777" w:rsidR="006A747F" w:rsidRDefault="006A747F" w:rsidP="00235EA3">
      <w:pPr>
        <w:pStyle w:val="1"/>
        <w:snapToGrid w:val="0"/>
        <w:spacing w:line="360" w:lineRule="auto"/>
        <w:jc w:val="both"/>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1F71F42B" w14:textId="77777777" w:rsidR="006A747F" w:rsidRPr="006A747F" w:rsidRDefault="006A747F" w:rsidP="00235EA3">
      <w:pPr>
        <w:snapToGrid w:val="0"/>
        <w:spacing w:line="360" w:lineRule="auto"/>
        <w:rPr>
          <w:rFonts w:ascii="Book Antiqua" w:eastAsia="MS Mincho" w:hAnsi="Book Antiqua" w:cs="Times New Roman"/>
          <w:b/>
          <w:bCs/>
          <w:sz w:val="24"/>
          <w:szCs w:val="24"/>
        </w:rPr>
      </w:pPr>
    </w:p>
    <w:p w14:paraId="534DD72F" w14:textId="0E4FD271" w:rsidR="00A377B5" w:rsidRPr="006A747F" w:rsidRDefault="00145899"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
          <w:bCs/>
          <w:sz w:val="24"/>
          <w:szCs w:val="24"/>
        </w:rPr>
        <w:lastRenderedPageBreak/>
        <w:t>Correspondence to: Tomonori</w:t>
      </w:r>
      <w:r w:rsidR="001D1BF7" w:rsidRPr="006A747F">
        <w:rPr>
          <w:rFonts w:ascii="Book Antiqua" w:eastAsia="MS Mincho" w:hAnsi="Book Antiqua" w:cs="Times New Roman"/>
          <w:b/>
          <w:bCs/>
          <w:sz w:val="24"/>
          <w:szCs w:val="24"/>
        </w:rPr>
        <w:t xml:space="preserve"> Yano</w:t>
      </w:r>
      <w:r w:rsidR="00A377B5" w:rsidRPr="006A747F">
        <w:rPr>
          <w:rFonts w:ascii="Book Antiqua" w:eastAsia="MS Mincho" w:hAnsi="Book Antiqua" w:cs="Times New Roman"/>
          <w:b/>
          <w:bCs/>
          <w:sz w:val="24"/>
          <w:szCs w:val="24"/>
        </w:rPr>
        <w:t>,</w:t>
      </w:r>
      <w:r w:rsidR="001D1BF7" w:rsidRPr="006A747F">
        <w:rPr>
          <w:rFonts w:ascii="Book Antiqua" w:eastAsia="MS Mincho" w:hAnsi="Book Antiqua" w:cs="Times New Roman"/>
          <w:b/>
          <w:bCs/>
          <w:sz w:val="24"/>
          <w:szCs w:val="24"/>
        </w:rPr>
        <w:t xml:space="preserve"> MD, </w:t>
      </w:r>
      <w:r w:rsidR="00077311">
        <w:rPr>
          <w:rFonts w:ascii="Book Antiqua" w:eastAsia="MS Mincho" w:hAnsi="Book Antiqua" w:cs="Times New Roman"/>
          <w:b/>
          <w:bCs/>
          <w:sz w:val="24"/>
          <w:szCs w:val="24"/>
        </w:rPr>
        <w:t>Chief</w:t>
      </w:r>
      <w:r w:rsidR="001D1BF7" w:rsidRPr="006A747F">
        <w:rPr>
          <w:rFonts w:ascii="Book Antiqua" w:eastAsia="MS Mincho" w:hAnsi="Book Antiqua" w:cs="Times New Roman"/>
          <w:b/>
          <w:bCs/>
          <w:sz w:val="24"/>
          <w:szCs w:val="24"/>
        </w:rPr>
        <w:t>,</w:t>
      </w:r>
      <w:r w:rsidR="001D1BF7" w:rsidRPr="006A747F">
        <w:rPr>
          <w:rFonts w:ascii="Book Antiqua" w:eastAsia="MS Mincho" w:hAnsi="Book Antiqua" w:cs="Times New Roman"/>
          <w:bCs/>
          <w:sz w:val="24"/>
          <w:szCs w:val="24"/>
        </w:rPr>
        <w:t xml:space="preserve"> </w:t>
      </w:r>
      <w:r w:rsidR="00A377B5" w:rsidRPr="006A747F">
        <w:rPr>
          <w:rFonts w:ascii="Book Antiqua" w:eastAsia="MS Mincho" w:hAnsi="Book Antiqua" w:cs="Times New Roman"/>
          <w:bCs/>
          <w:sz w:val="24"/>
          <w:szCs w:val="24"/>
        </w:rPr>
        <w:t>Department of Gastroenterology</w:t>
      </w:r>
      <w:r w:rsidR="00490B4A">
        <w:rPr>
          <w:rFonts w:ascii="Book Antiqua" w:eastAsia="SimSun" w:hAnsi="Book Antiqua" w:cs="Times New Roman" w:hint="eastAsia"/>
          <w:bCs/>
          <w:sz w:val="24"/>
          <w:szCs w:val="24"/>
          <w:lang w:eastAsia="zh-CN"/>
        </w:rPr>
        <w:t xml:space="preserve"> </w:t>
      </w:r>
      <w:r w:rsidR="00077311">
        <w:rPr>
          <w:rFonts w:ascii="Book Antiqua" w:eastAsia="MS Mincho" w:hAnsi="Book Antiqua" w:cs="Times New Roman"/>
          <w:bCs/>
          <w:sz w:val="24"/>
          <w:szCs w:val="24"/>
        </w:rPr>
        <w:t xml:space="preserve">and </w:t>
      </w:r>
      <w:r w:rsidR="00A377B5" w:rsidRPr="006A747F">
        <w:rPr>
          <w:rFonts w:ascii="Book Antiqua" w:eastAsia="MS Mincho" w:hAnsi="Book Antiqua" w:cs="Times New Roman"/>
          <w:bCs/>
          <w:sz w:val="24"/>
          <w:szCs w:val="24"/>
        </w:rPr>
        <w:t>Endoscopy, National Cancer Center Hospital East, Kashiwanoha 6-5-1, Kashiwa, Chiba 277-8577, Japan</w:t>
      </w:r>
      <w:r w:rsidR="006A747F">
        <w:rPr>
          <w:rFonts w:ascii="Book Antiqua" w:eastAsia="MS Mincho" w:hAnsi="Book Antiqua" w:cs="Times New Roman"/>
          <w:bCs/>
          <w:sz w:val="24"/>
          <w:szCs w:val="24"/>
        </w:rPr>
        <w:t>.</w:t>
      </w:r>
      <w:r w:rsidR="001D1BF7" w:rsidRPr="006A747F">
        <w:rPr>
          <w:rFonts w:ascii="Book Antiqua" w:eastAsia="MS Mincho" w:hAnsi="Book Antiqua" w:cs="Times New Roman"/>
          <w:bCs/>
          <w:sz w:val="24"/>
          <w:szCs w:val="24"/>
        </w:rPr>
        <w:t xml:space="preserve"> </w:t>
      </w:r>
      <w:r w:rsidR="00882192" w:rsidRPr="006A747F">
        <w:rPr>
          <w:rFonts w:ascii="Book Antiqua" w:eastAsia="MS Mincho" w:hAnsi="Book Antiqua" w:cs="Times New Roman"/>
          <w:bCs/>
          <w:sz w:val="24"/>
          <w:szCs w:val="24"/>
        </w:rPr>
        <w:t>toyano@east.ncc.go.jp</w:t>
      </w:r>
    </w:p>
    <w:p w14:paraId="7656AB4D" w14:textId="5F1BE88F" w:rsidR="006A747F" w:rsidRDefault="00A377B5"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
          <w:bCs/>
          <w:sz w:val="24"/>
          <w:szCs w:val="24"/>
        </w:rPr>
        <w:t>T</w:t>
      </w:r>
      <w:r w:rsidR="001D1BF7" w:rsidRPr="006A747F">
        <w:rPr>
          <w:rFonts w:ascii="Book Antiqua" w:eastAsia="MS Mincho" w:hAnsi="Book Antiqua" w:cs="Times New Roman"/>
          <w:b/>
          <w:bCs/>
          <w:sz w:val="24"/>
          <w:szCs w:val="24"/>
        </w:rPr>
        <w:t>elephone</w:t>
      </w:r>
      <w:r w:rsidRPr="006A747F">
        <w:rPr>
          <w:rFonts w:ascii="Book Antiqua" w:eastAsia="MS Mincho" w:hAnsi="Book Antiqua" w:cs="Times New Roman"/>
          <w:b/>
          <w:bCs/>
          <w:sz w:val="24"/>
          <w:szCs w:val="24"/>
        </w:rPr>
        <w:t>:</w:t>
      </w:r>
      <w:r w:rsidR="00C00396">
        <w:rPr>
          <w:rFonts w:ascii="Book Antiqua" w:eastAsia="SimSun" w:hAnsi="Book Antiqua" w:cs="Times New Roman" w:hint="eastAsia"/>
          <w:bCs/>
          <w:sz w:val="24"/>
          <w:szCs w:val="24"/>
          <w:lang w:eastAsia="zh-CN"/>
        </w:rPr>
        <w:t xml:space="preserve"> </w:t>
      </w:r>
      <w:r w:rsidR="006A747F">
        <w:rPr>
          <w:rFonts w:ascii="Book Antiqua" w:eastAsia="MS Mincho" w:hAnsi="Book Antiqua" w:cs="Times New Roman"/>
          <w:bCs/>
          <w:sz w:val="24"/>
          <w:szCs w:val="24"/>
        </w:rPr>
        <w:t>+81-4-7133</w:t>
      </w:r>
      <w:r w:rsidR="001D1BF7" w:rsidRPr="006A747F">
        <w:rPr>
          <w:rFonts w:ascii="Book Antiqua" w:eastAsia="MS Mincho" w:hAnsi="Book Antiqua" w:cs="Times New Roman"/>
          <w:bCs/>
          <w:sz w:val="24"/>
          <w:szCs w:val="24"/>
        </w:rPr>
        <w:t>1111</w:t>
      </w:r>
    </w:p>
    <w:p w14:paraId="0A3E23FE" w14:textId="0C5B036F" w:rsidR="00FB4F83" w:rsidRPr="006A747F" w:rsidRDefault="00A377B5"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t>F</w:t>
      </w:r>
      <w:r w:rsidR="006A747F" w:rsidRPr="006A747F">
        <w:rPr>
          <w:rFonts w:ascii="Book Antiqua" w:eastAsia="MS Mincho" w:hAnsi="Book Antiqua" w:cs="Times New Roman"/>
          <w:b/>
          <w:bCs/>
          <w:sz w:val="24"/>
          <w:szCs w:val="24"/>
        </w:rPr>
        <w:t>ax</w:t>
      </w:r>
      <w:r w:rsidRPr="006A747F">
        <w:rPr>
          <w:rFonts w:ascii="Book Antiqua" w:eastAsia="MS Mincho" w:hAnsi="Book Antiqua" w:cs="Times New Roman"/>
          <w:b/>
          <w:bCs/>
          <w:sz w:val="24"/>
          <w:szCs w:val="24"/>
        </w:rPr>
        <w:t>:</w:t>
      </w:r>
      <w:r w:rsidR="006A747F">
        <w:rPr>
          <w:rFonts w:ascii="Book Antiqua" w:eastAsia="MS Mincho" w:hAnsi="Book Antiqua" w:cs="Times New Roman"/>
          <w:bCs/>
          <w:sz w:val="24"/>
          <w:szCs w:val="24"/>
        </w:rPr>
        <w:t xml:space="preserve"> +81-4-7131</w:t>
      </w:r>
      <w:r w:rsidRPr="006A747F">
        <w:rPr>
          <w:rFonts w:ascii="Book Antiqua" w:eastAsia="MS Mincho" w:hAnsi="Book Antiqua" w:cs="Times New Roman"/>
          <w:bCs/>
          <w:sz w:val="24"/>
          <w:szCs w:val="24"/>
        </w:rPr>
        <w:t>4724</w:t>
      </w:r>
    </w:p>
    <w:p w14:paraId="0CF77AAD" w14:textId="77777777" w:rsidR="00FB4F83" w:rsidRDefault="00FB4F83" w:rsidP="00235EA3">
      <w:pPr>
        <w:snapToGrid w:val="0"/>
        <w:spacing w:line="360" w:lineRule="auto"/>
        <w:rPr>
          <w:rFonts w:ascii="Book Antiqua" w:eastAsia="MS Mincho" w:hAnsi="Book Antiqua" w:cs="Times New Roman"/>
          <w:b/>
          <w:bCs/>
          <w:sz w:val="24"/>
          <w:szCs w:val="24"/>
        </w:rPr>
      </w:pPr>
    </w:p>
    <w:p w14:paraId="3AC1B52D" w14:textId="653BBDB8" w:rsidR="006A747F" w:rsidRPr="006A747F" w:rsidRDefault="006A747F" w:rsidP="00235EA3">
      <w:pPr>
        <w:widowControl/>
        <w:snapToGrid w:val="0"/>
        <w:spacing w:line="360" w:lineRule="auto"/>
        <w:rPr>
          <w:rFonts w:ascii="Book Antiqua" w:eastAsia="SimSun" w:hAnsi="Book Antiqua" w:cs="SimSun"/>
          <w:b/>
          <w:kern w:val="0"/>
          <w:sz w:val="24"/>
          <w:szCs w:val="24"/>
          <w:lang w:eastAsia="zh-CN"/>
        </w:rPr>
      </w:pPr>
      <w:bookmarkStart w:id="10" w:name="OLE_LINK952"/>
      <w:r w:rsidRPr="006A747F">
        <w:rPr>
          <w:rFonts w:ascii="Book Antiqua" w:eastAsia="SimSun" w:hAnsi="Book Antiqua" w:cs="SimSun"/>
          <w:b/>
          <w:kern w:val="0"/>
          <w:sz w:val="24"/>
          <w:szCs w:val="24"/>
          <w:lang w:eastAsia="zh-CN"/>
        </w:rPr>
        <w:t>Received:</w:t>
      </w:r>
      <w:r>
        <w:rPr>
          <w:rFonts w:ascii="Book Antiqua" w:eastAsia="SimSun" w:hAnsi="Book Antiqua" w:cs="SimSun"/>
          <w:b/>
          <w:kern w:val="0"/>
          <w:sz w:val="24"/>
          <w:szCs w:val="24"/>
          <w:lang w:eastAsia="zh-CN"/>
        </w:rPr>
        <w:t xml:space="preserve"> </w:t>
      </w:r>
      <w:r w:rsidRPr="006A747F">
        <w:rPr>
          <w:rFonts w:ascii="Book Antiqua" w:eastAsia="SimSun" w:hAnsi="Book Antiqua" w:cs="SimSun"/>
          <w:kern w:val="0"/>
          <w:sz w:val="24"/>
          <w:szCs w:val="24"/>
          <w:lang w:eastAsia="zh-CN"/>
        </w:rPr>
        <w:t>September 13, 2016</w:t>
      </w:r>
    </w:p>
    <w:p w14:paraId="34504362" w14:textId="0A3034C4" w:rsidR="006A747F" w:rsidRPr="006A747F" w:rsidRDefault="006A747F" w:rsidP="00235EA3">
      <w:pPr>
        <w:widowControl/>
        <w:snapToGrid w:val="0"/>
        <w:spacing w:line="360" w:lineRule="auto"/>
        <w:rPr>
          <w:rFonts w:ascii="Book Antiqua" w:eastAsia="SimSun" w:hAnsi="Book Antiqua" w:cs="SimSun"/>
          <w:b/>
          <w:kern w:val="0"/>
          <w:sz w:val="24"/>
          <w:szCs w:val="24"/>
          <w:lang w:eastAsia="zh-CN"/>
        </w:rPr>
      </w:pPr>
      <w:r w:rsidRPr="006A747F">
        <w:rPr>
          <w:rFonts w:ascii="Book Antiqua" w:eastAsia="SimSun" w:hAnsi="Book Antiqua" w:cs="SimSun"/>
          <w:b/>
          <w:kern w:val="0"/>
          <w:sz w:val="24"/>
          <w:szCs w:val="24"/>
          <w:lang w:eastAsia="zh-CN"/>
        </w:rPr>
        <w:t>Peer-review started:</w:t>
      </w:r>
      <w:r>
        <w:rPr>
          <w:rFonts w:ascii="Book Antiqua" w:eastAsia="SimSun" w:hAnsi="Book Antiqua" w:cs="SimSun"/>
          <w:b/>
          <w:kern w:val="0"/>
          <w:sz w:val="24"/>
          <w:szCs w:val="24"/>
          <w:lang w:eastAsia="zh-CN"/>
        </w:rPr>
        <w:t xml:space="preserve"> </w:t>
      </w:r>
      <w:r w:rsidRPr="006A747F">
        <w:rPr>
          <w:rFonts w:ascii="Book Antiqua" w:eastAsia="SimSun" w:hAnsi="Book Antiqua" w:cs="SimSun"/>
          <w:kern w:val="0"/>
          <w:sz w:val="24"/>
          <w:szCs w:val="24"/>
          <w:lang w:eastAsia="zh-CN"/>
        </w:rPr>
        <w:t>September 1</w:t>
      </w:r>
      <w:r>
        <w:rPr>
          <w:rFonts w:ascii="Book Antiqua" w:eastAsia="SimSun" w:hAnsi="Book Antiqua" w:cs="SimSun"/>
          <w:kern w:val="0"/>
          <w:sz w:val="24"/>
          <w:szCs w:val="24"/>
          <w:lang w:eastAsia="zh-CN"/>
        </w:rPr>
        <w:t>6</w:t>
      </w:r>
      <w:r w:rsidRPr="006A747F">
        <w:rPr>
          <w:rFonts w:ascii="Book Antiqua" w:eastAsia="SimSun" w:hAnsi="Book Antiqua" w:cs="SimSun"/>
          <w:kern w:val="0"/>
          <w:sz w:val="24"/>
          <w:szCs w:val="24"/>
          <w:lang w:eastAsia="zh-CN"/>
        </w:rPr>
        <w:t>, 2016</w:t>
      </w:r>
    </w:p>
    <w:p w14:paraId="0635DDBF" w14:textId="1CE1E5A8" w:rsidR="006A747F" w:rsidRPr="006A747F" w:rsidRDefault="006A747F" w:rsidP="00235EA3">
      <w:pPr>
        <w:widowControl/>
        <w:snapToGrid w:val="0"/>
        <w:spacing w:line="360" w:lineRule="auto"/>
        <w:rPr>
          <w:rFonts w:ascii="Book Antiqua" w:eastAsia="SimSun" w:hAnsi="Book Antiqua" w:cs="SimSun"/>
          <w:b/>
          <w:kern w:val="0"/>
          <w:sz w:val="24"/>
          <w:szCs w:val="24"/>
          <w:lang w:eastAsia="zh-CN"/>
        </w:rPr>
      </w:pPr>
      <w:r w:rsidRPr="006A747F">
        <w:rPr>
          <w:rFonts w:ascii="Book Antiqua" w:eastAsia="SimSun" w:hAnsi="Book Antiqua" w:cs="SimSun"/>
          <w:b/>
          <w:kern w:val="0"/>
          <w:sz w:val="24"/>
          <w:szCs w:val="24"/>
          <w:lang w:eastAsia="zh-CN"/>
        </w:rPr>
        <w:t>First decision:</w:t>
      </w:r>
      <w:r>
        <w:rPr>
          <w:rFonts w:ascii="Book Antiqua" w:eastAsia="SimSun" w:hAnsi="Book Antiqua" w:cs="SimSun"/>
          <w:b/>
          <w:kern w:val="0"/>
          <w:sz w:val="24"/>
          <w:szCs w:val="24"/>
          <w:lang w:eastAsia="zh-CN"/>
        </w:rPr>
        <w:t xml:space="preserve"> </w:t>
      </w:r>
      <w:r w:rsidRPr="006A747F">
        <w:rPr>
          <w:rFonts w:ascii="Book Antiqua" w:eastAsia="SimSun" w:hAnsi="Book Antiqua" w:cs="SimSun"/>
          <w:kern w:val="0"/>
          <w:sz w:val="24"/>
          <w:szCs w:val="24"/>
          <w:lang w:eastAsia="zh-CN"/>
        </w:rPr>
        <w:t>October 28, 2016</w:t>
      </w:r>
    </w:p>
    <w:p w14:paraId="5B88A561" w14:textId="69A6CAD2" w:rsidR="006A747F" w:rsidRPr="006A747F" w:rsidRDefault="006A747F" w:rsidP="00235EA3">
      <w:pPr>
        <w:widowControl/>
        <w:snapToGrid w:val="0"/>
        <w:spacing w:line="360" w:lineRule="auto"/>
        <w:rPr>
          <w:rFonts w:ascii="Book Antiqua" w:eastAsia="SimSun" w:hAnsi="Book Antiqua" w:cs="SimSun"/>
          <w:b/>
          <w:kern w:val="0"/>
          <w:sz w:val="24"/>
          <w:szCs w:val="24"/>
          <w:lang w:eastAsia="zh-CN"/>
        </w:rPr>
      </w:pPr>
      <w:r w:rsidRPr="006A747F">
        <w:rPr>
          <w:rFonts w:ascii="Book Antiqua" w:eastAsia="SimSun" w:hAnsi="Book Antiqua" w:cs="SimSun"/>
          <w:b/>
          <w:kern w:val="0"/>
          <w:sz w:val="24"/>
          <w:szCs w:val="24"/>
          <w:lang w:eastAsia="zh-CN"/>
        </w:rPr>
        <w:t>Revised:</w:t>
      </w:r>
      <w:r>
        <w:rPr>
          <w:rFonts w:ascii="Book Antiqua" w:eastAsia="SimSun" w:hAnsi="Book Antiqua" w:cs="SimSun"/>
          <w:b/>
          <w:kern w:val="0"/>
          <w:sz w:val="24"/>
          <w:szCs w:val="24"/>
          <w:lang w:eastAsia="zh-CN"/>
        </w:rPr>
        <w:t xml:space="preserve"> </w:t>
      </w:r>
      <w:r w:rsidRPr="006A747F">
        <w:rPr>
          <w:rFonts w:ascii="Book Antiqua" w:eastAsia="SimSun" w:hAnsi="Book Antiqua" w:cs="SimSun"/>
          <w:kern w:val="0"/>
          <w:sz w:val="24"/>
          <w:szCs w:val="24"/>
          <w:lang w:eastAsia="zh-CN"/>
        </w:rPr>
        <w:t>November 24, 2016</w:t>
      </w:r>
    </w:p>
    <w:p w14:paraId="243D4E89" w14:textId="5E9C5574" w:rsidR="006A747F" w:rsidRPr="00BE4BC0" w:rsidRDefault="006A747F" w:rsidP="00BE4BC0">
      <w:pPr>
        <w:spacing w:line="360" w:lineRule="auto"/>
        <w:rPr>
          <w:rFonts w:ascii="Book Antiqua" w:hAnsi="Book Antiqua"/>
          <w:color w:val="000000"/>
          <w:sz w:val="24"/>
        </w:rPr>
      </w:pPr>
      <w:r w:rsidRPr="006A747F">
        <w:rPr>
          <w:rFonts w:ascii="Book Antiqua" w:eastAsia="SimSun" w:hAnsi="Book Antiqua" w:cs="SimSun"/>
          <w:b/>
          <w:kern w:val="0"/>
          <w:sz w:val="24"/>
          <w:szCs w:val="24"/>
          <w:lang w:eastAsia="zh-CN"/>
        </w:rPr>
        <w:t>Accepted:</w:t>
      </w:r>
      <w:r w:rsidR="00BE4BC0" w:rsidRPr="00BE4BC0">
        <w:rPr>
          <w:rFonts w:ascii="Book Antiqua" w:hAnsi="Book Antiqua"/>
          <w:color w:val="000000"/>
          <w:sz w:val="24"/>
        </w:rPr>
        <w:t xml:space="preserve"> </w:t>
      </w:r>
      <w:r w:rsidR="00BE4BC0">
        <w:rPr>
          <w:rFonts w:ascii="Book Antiqua" w:hAnsi="Book Antiqua"/>
          <w:color w:val="000000"/>
          <w:sz w:val="24"/>
        </w:rPr>
        <w:t>January 18</w:t>
      </w:r>
      <w:r w:rsidR="00BE4BC0">
        <w:rPr>
          <w:rFonts w:ascii="Book Antiqua" w:hAnsi="Book Antiqua"/>
          <w:color w:val="000000"/>
          <w:sz w:val="24"/>
        </w:rPr>
        <w:t>, 2017</w:t>
      </w:r>
      <w:bookmarkStart w:id="11" w:name="_GoBack"/>
      <w:bookmarkEnd w:id="11"/>
    </w:p>
    <w:p w14:paraId="5EFA9E82" w14:textId="77777777" w:rsidR="006A747F" w:rsidRPr="006A747F" w:rsidRDefault="006A747F" w:rsidP="00235EA3">
      <w:pPr>
        <w:widowControl/>
        <w:snapToGrid w:val="0"/>
        <w:spacing w:line="360" w:lineRule="auto"/>
        <w:rPr>
          <w:rFonts w:ascii="Book Antiqua" w:eastAsia="SimSun" w:hAnsi="Book Antiqua" w:cs="SimSun"/>
          <w:b/>
          <w:kern w:val="0"/>
          <w:sz w:val="24"/>
          <w:szCs w:val="24"/>
          <w:lang w:eastAsia="zh-CN"/>
        </w:rPr>
      </w:pPr>
      <w:r w:rsidRPr="006A747F">
        <w:rPr>
          <w:rFonts w:ascii="Book Antiqua" w:eastAsia="SimSun" w:hAnsi="Book Antiqua" w:cs="SimSun"/>
          <w:b/>
          <w:kern w:val="0"/>
          <w:sz w:val="24"/>
          <w:szCs w:val="24"/>
          <w:lang w:eastAsia="zh-CN"/>
        </w:rPr>
        <w:t>Article in press:</w:t>
      </w:r>
    </w:p>
    <w:p w14:paraId="4F9FB8AB" w14:textId="77777777" w:rsidR="006A747F" w:rsidRPr="006A747F" w:rsidRDefault="006A747F" w:rsidP="00235EA3">
      <w:pPr>
        <w:widowControl/>
        <w:snapToGrid w:val="0"/>
        <w:spacing w:line="360" w:lineRule="auto"/>
        <w:rPr>
          <w:rFonts w:ascii="Book Antiqua" w:eastAsia="SimSun" w:hAnsi="Book Antiqua" w:cs="Arial"/>
          <w:b/>
          <w:kern w:val="0"/>
          <w:sz w:val="24"/>
          <w:szCs w:val="24"/>
          <w:lang w:val="pl-PL" w:eastAsia="zh-CN"/>
        </w:rPr>
      </w:pPr>
      <w:r w:rsidRPr="006A747F">
        <w:rPr>
          <w:rFonts w:ascii="Book Antiqua" w:eastAsia="SimSun" w:hAnsi="Book Antiqua" w:cs="Arial"/>
          <w:b/>
          <w:kern w:val="0"/>
          <w:sz w:val="24"/>
          <w:szCs w:val="24"/>
          <w:lang w:val="pl-PL" w:eastAsia="pl-PL"/>
        </w:rPr>
        <w:t>Published online</w:t>
      </w:r>
      <w:r w:rsidRPr="006A747F">
        <w:rPr>
          <w:rFonts w:ascii="Book Antiqua" w:eastAsia="SimSun" w:hAnsi="Book Antiqua" w:cs="Arial" w:hint="eastAsia"/>
          <w:b/>
          <w:kern w:val="0"/>
          <w:sz w:val="24"/>
          <w:szCs w:val="24"/>
          <w:lang w:val="pl-PL" w:eastAsia="pl-PL"/>
        </w:rPr>
        <w:t>:</w:t>
      </w:r>
    </w:p>
    <w:bookmarkEnd w:id="10"/>
    <w:p w14:paraId="1A9F5FB1" w14:textId="77777777" w:rsidR="006A747F" w:rsidRPr="006A747F" w:rsidRDefault="006A747F" w:rsidP="00235EA3">
      <w:pPr>
        <w:snapToGrid w:val="0"/>
        <w:spacing w:line="360" w:lineRule="auto"/>
        <w:rPr>
          <w:rFonts w:ascii="Book Antiqua" w:eastAsia="MS Mincho" w:hAnsi="Book Antiqua" w:cs="Times New Roman"/>
          <w:b/>
          <w:bCs/>
          <w:sz w:val="24"/>
          <w:szCs w:val="24"/>
        </w:rPr>
      </w:pPr>
    </w:p>
    <w:p w14:paraId="58285C83" w14:textId="77777777" w:rsidR="006A747F" w:rsidRDefault="006A747F" w:rsidP="00235EA3">
      <w:pPr>
        <w:widowControl/>
        <w:snapToGrid w:val="0"/>
        <w:spacing w:line="360" w:lineRule="auto"/>
        <w:jc w:val="left"/>
        <w:rPr>
          <w:rFonts w:ascii="Book Antiqua" w:eastAsia="MS Mincho" w:hAnsi="Book Antiqua" w:cs="Times New Roman"/>
          <w:b/>
          <w:bCs/>
          <w:sz w:val="24"/>
          <w:szCs w:val="24"/>
        </w:rPr>
      </w:pPr>
      <w:r>
        <w:rPr>
          <w:rFonts w:ascii="Book Antiqua" w:eastAsia="MS Mincho" w:hAnsi="Book Antiqua" w:cs="Times New Roman"/>
          <w:b/>
          <w:bCs/>
          <w:sz w:val="24"/>
          <w:szCs w:val="24"/>
        </w:rPr>
        <w:br w:type="page"/>
      </w:r>
    </w:p>
    <w:p w14:paraId="228A77ED" w14:textId="2B041F0F" w:rsidR="0043745B" w:rsidRPr="006A747F" w:rsidRDefault="00A377B5"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lastRenderedPageBreak/>
        <w:t>Abstract</w:t>
      </w:r>
    </w:p>
    <w:p w14:paraId="3CD42225" w14:textId="77777777" w:rsidR="006A747F" w:rsidRPr="006A747F" w:rsidRDefault="00145899"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AIM</w:t>
      </w:r>
    </w:p>
    <w:p w14:paraId="1318FAAE" w14:textId="312EC44D" w:rsidR="00A377B5" w:rsidRDefault="001F1B21"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To evaluate the clinical impact of surveillance for head and neck</w:t>
      </w:r>
      <w:r w:rsidR="001C39F5" w:rsidRPr="006A747F">
        <w:rPr>
          <w:rFonts w:ascii="Book Antiqua" w:eastAsia="MS Mincho" w:hAnsi="Book Antiqua" w:cs="Times New Roman"/>
          <w:bCs/>
          <w:sz w:val="24"/>
          <w:szCs w:val="24"/>
        </w:rPr>
        <w:t xml:space="preserve"> (HN) region with narrow band imaging (NBI) </w:t>
      </w:r>
      <w:r w:rsidRPr="006A747F">
        <w:rPr>
          <w:rFonts w:ascii="Book Antiqua" w:eastAsia="MS Mincho" w:hAnsi="Book Antiqua" w:cs="Times New Roman"/>
          <w:bCs/>
          <w:sz w:val="24"/>
          <w:szCs w:val="24"/>
        </w:rPr>
        <w:t>in patients with esophageal squamous cell carcinoma (ESCC).</w:t>
      </w:r>
    </w:p>
    <w:p w14:paraId="3EBFD625" w14:textId="77777777" w:rsidR="006A747F" w:rsidRPr="006A747F" w:rsidRDefault="006A747F" w:rsidP="00235EA3">
      <w:pPr>
        <w:snapToGrid w:val="0"/>
        <w:spacing w:line="360" w:lineRule="auto"/>
        <w:rPr>
          <w:rFonts w:ascii="Book Antiqua" w:eastAsia="MS Mincho" w:hAnsi="Book Antiqua" w:cs="Times New Roman"/>
          <w:b/>
          <w:bCs/>
          <w:sz w:val="24"/>
          <w:szCs w:val="24"/>
        </w:rPr>
      </w:pPr>
    </w:p>
    <w:p w14:paraId="71E69B14" w14:textId="77777777" w:rsidR="006A747F" w:rsidRPr="006A747F" w:rsidRDefault="00145899"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METHODS</w:t>
      </w:r>
    </w:p>
    <w:p w14:paraId="23314999" w14:textId="04231561" w:rsidR="00145899" w:rsidRPr="006A747F" w:rsidRDefault="00145899"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Since 2006, we introduced the surveillance for HN region usin</w:t>
      </w:r>
      <w:r w:rsidR="001F1B21" w:rsidRPr="006A747F">
        <w:rPr>
          <w:rFonts w:ascii="Book Antiqua" w:eastAsia="MS Mincho" w:hAnsi="Book Antiqua" w:cs="Times New Roman"/>
          <w:bCs/>
          <w:sz w:val="24"/>
          <w:szCs w:val="24"/>
        </w:rPr>
        <w:t xml:space="preserve">g NBI for all patients with </w:t>
      </w:r>
      <w:r w:rsidRPr="006A747F">
        <w:rPr>
          <w:rFonts w:ascii="Book Antiqua" w:eastAsia="MS Mincho" w:hAnsi="Book Antiqua" w:cs="Times New Roman"/>
          <w:bCs/>
          <w:sz w:val="24"/>
          <w:szCs w:val="24"/>
        </w:rPr>
        <w:t xml:space="preserve">ESCC before treatment, and </w:t>
      </w:r>
      <w:r w:rsidR="001C39F5" w:rsidRPr="006A747F">
        <w:rPr>
          <w:rFonts w:ascii="Book Antiqua" w:eastAsia="MS Mincho" w:hAnsi="Book Antiqua" w:cs="Times New Roman"/>
          <w:bCs/>
          <w:sz w:val="24"/>
          <w:szCs w:val="24"/>
        </w:rPr>
        <w:t xml:space="preserve">each </w:t>
      </w:r>
      <w:r w:rsidRPr="006A747F">
        <w:rPr>
          <w:rFonts w:ascii="Book Antiqua" w:eastAsia="MS Mincho" w:hAnsi="Book Antiqua" w:cs="Times New Roman"/>
          <w:bCs/>
          <w:sz w:val="24"/>
          <w:szCs w:val="24"/>
        </w:rPr>
        <w:t>follow-up. The patients with newly diagnosed stage I to III ESCC were enrolled and classified into two groups as follows: Group A (</w:t>
      </w:r>
      <w:r w:rsidR="001C39F5" w:rsidRPr="006A747F">
        <w:rPr>
          <w:rFonts w:ascii="Book Antiqua" w:eastAsia="MS Mincho" w:hAnsi="Book Antiqua" w:cs="Times New Roman"/>
          <w:bCs/>
          <w:sz w:val="24"/>
          <w:szCs w:val="24"/>
        </w:rPr>
        <w:t xml:space="preserve">no </w:t>
      </w:r>
      <w:r w:rsidRPr="006A747F">
        <w:rPr>
          <w:rFonts w:ascii="Book Antiqua" w:eastAsia="MS Mincho" w:hAnsi="Book Antiqua" w:cs="Times New Roman"/>
          <w:bCs/>
          <w:sz w:val="24"/>
          <w:szCs w:val="24"/>
        </w:rPr>
        <w:t>surveillance for</w:t>
      </w:r>
      <w:r w:rsidR="001C39F5" w:rsidRPr="006A747F">
        <w:rPr>
          <w:rFonts w:ascii="Book Antiqua" w:eastAsia="MS Mincho" w:hAnsi="Book Antiqua" w:cs="Times New Roman"/>
          <w:bCs/>
          <w:sz w:val="24"/>
          <w:szCs w:val="24"/>
        </w:rPr>
        <w:t xml:space="preserve"> HN region)</w:t>
      </w:r>
      <w:r w:rsidRPr="006A747F">
        <w:rPr>
          <w:rFonts w:ascii="Book Antiqua" w:eastAsia="MS Mincho" w:hAnsi="Book Antiqua" w:cs="Times New Roman"/>
          <w:bCs/>
          <w:sz w:val="24"/>
          <w:szCs w:val="24"/>
        </w:rPr>
        <w:t xml:space="preserve">; between 1992 and 2000), and Group B (surveillance for </w:t>
      </w:r>
      <w:r w:rsidR="001C39F5" w:rsidRPr="006A747F">
        <w:rPr>
          <w:rFonts w:ascii="Book Antiqua" w:eastAsia="MS Mincho" w:hAnsi="Book Antiqua" w:cs="Times New Roman"/>
          <w:bCs/>
          <w:sz w:val="24"/>
          <w:szCs w:val="24"/>
        </w:rPr>
        <w:t>HN region with NBI</w:t>
      </w:r>
      <w:r w:rsidRPr="006A747F">
        <w:rPr>
          <w:rFonts w:ascii="Book Antiqua" w:eastAsia="MS Mincho" w:hAnsi="Book Antiqua" w:cs="Times New Roman"/>
          <w:bCs/>
          <w:sz w:val="24"/>
          <w:szCs w:val="24"/>
        </w:rPr>
        <w:t xml:space="preserve">; between 2006 and 2008). </w:t>
      </w:r>
      <w:r w:rsidR="001C39F5" w:rsidRPr="006A747F">
        <w:rPr>
          <w:rFonts w:ascii="Book Antiqua" w:eastAsia="MS Mincho" w:hAnsi="Book Antiqua" w:cs="Times New Roman"/>
          <w:bCs/>
          <w:sz w:val="24"/>
          <w:szCs w:val="24"/>
        </w:rPr>
        <w:t>W</w:t>
      </w:r>
      <w:r w:rsidRPr="006A747F">
        <w:rPr>
          <w:rFonts w:ascii="Book Antiqua" w:eastAsia="MS Mincho" w:hAnsi="Book Antiqua" w:cs="Times New Roman"/>
          <w:bCs/>
          <w:sz w:val="24"/>
          <w:szCs w:val="24"/>
        </w:rPr>
        <w:t xml:space="preserve">e </w:t>
      </w:r>
      <w:r w:rsidR="001C39F5" w:rsidRPr="006A747F">
        <w:rPr>
          <w:rFonts w:ascii="Book Antiqua" w:eastAsia="MS Mincho" w:hAnsi="Book Antiqua" w:cs="Times New Roman"/>
          <w:bCs/>
          <w:sz w:val="24"/>
          <w:szCs w:val="24"/>
        </w:rPr>
        <w:t xml:space="preserve">comparatively evaluated </w:t>
      </w:r>
      <w:r w:rsidRPr="006A747F">
        <w:rPr>
          <w:rFonts w:ascii="Book Antiqua" w:eastAsia="MS Mincho" w:hAnsi="Book Antiqua" w:cs="Times New Roman"/>
          <w:bCs/>
          <w:sz w:val="24"/>
          <w:szCs w:val="24"/>
        </w:rPr>
        <w:t>the detection rate of superficia</w:t>
      </w:r>
      <w:r w:rsidR="001C39F5" w:rsidRPr="006A747F">
        <w:rPr>
          <w:rFonts w:ascii="Book Antiqua" w:eastAsia="MS Mincho" w:hAnsi="Book Antiqua" w:cs="Times New Roman"/>
          <w:bCs/>
          <w:sz w:val="24"/>
          <w:szCs w:val="24"/>
        </w:rPr>
        <w:t xml:space="preserve">l </w:t>
      </w:r>
      <w:r w:rsidR="000F46E7" w:rsidRPr="006A747F">
        <w:rPr>
          <w:rFonts w:ascii="Book Antiqua" w:eastAsia="MS Mincho" w:hAnsi="Book Antiqua" w:cs="Times New Roman"/>
          <w:bCs/>
          <w:sz w:val="24"/>
          <w:szCs w:val="24"/>
        </w:rPr>
        <w:t xml:space="preserve">head and neck squamous cell carcinoma </w:t>
      </w:r>
      <w:r w:rsidR="000F46E7">
        <w:rPr>
          <w:rFonts w:ascii="Book Antiqua" w:eastAsia="SimSun" w:hAnsi="Book Antiqua" w:cs="Times New Roman" w:hint="eastAsia"/>
          <w:bCs/>
          <w:sz w:val="24"/>
          <w:szCs w:val="24"/>
          <w:lang w:eastAsia="zh-CN"/>
        </w:rPr>
        <w:t>(</w:t>
      </w:r>
      <w:r w:rsidR="001C39F5" w:rsidRPr="006A747F">
        <w:rPr>
          <w:rFonts w:ascii="Book Antiqua" w:eastAsia="MS Mincho" w:hAnsi="Book Antiqua" w:cs="Times New Roman"/>
          <w:bCs/>
          <w:sz w:val="24"/>
          <w:szCs w:val="24"/>
        </w:rPr>
        <w:t>HNSCC</w:t>
      </w:r>
      <w:r w:rsidR="000F46E7">
        <w:rPr>
          <w:rFonts w:ascii="Book Antiqua" w:eastAsia="SimSun" w:hAnsi="Book Antiqua" w:cs="Times New Roman" w:hint="eastAsia"/>
          <w:bCs/>
          <w:sz w:val="24"/>
          <w:szCs w:val="24"/>
          <w:lang w:eastAsia="zh-CN"/>
        </w:rPr>
        <w:t>)</w:t>
      </w:r>
      <w:r w:rsidR="001C39F5" w:rsidRPr="006A747F">
        <w:rPr>
          <w:rFonts w:ascii="Book Antiqua" w:eastAsia="MS Mincho" w:hAnsi="Book Antiqua" w:cs="Times New Roman"/>
          <w:bCs/>
          <w:sz w:val="24"/>
          <w:szCs w:val="24"/>
        </w:rPr>
        <w:t>, and the serious events</w:t>
      </w:r>
      <w:r w:rsidRPr="006A747F">
        <w:rPr>
          <w:rFonts w:ascii="Book Antiqua" w:eastAsia="MS Mincho" w:hAnsi="Book Antiqua" w:cs="Times New Roman"/>
          <w:bCs/>
          <w:sz w:val="24"/>
          <w:szCs w:val="24"/>
        </w:rPr>
        <w:t xml:space="preserve"> due to metachronous advanced HNSCC during the follow-up.</w:t>
      </w:r>
    </w:p>
    <w:p w14:paraId="2433A871" w14:textId="77777777" w:rsidR="006A747F" w:rsidRDefault="006A747F" w:rsidP="00235EA3">
      <w:pPr>
        <w:snapToGrid w:val="0"/>
        <w:spacing w:line="360" w:lineRule="auto"/>
        <w:rPr>
          <w:rFonts w:ascii="Book Antiqua" w:eastAsia="MS Mincho" w:hAnsi="Book Antiqua" w:cs="Times New Roman"/>
          <w:b/>
          <w:bCs/>
          <w:sz w:val="24"/>
          <w:szCs w:val="24"/>
        </w:rPr>
      </w:pPr>
    </w:p>
    <w:p w14:paraId="77D24D43" w14:textId="77777777" w:rsidR="006A747F" w:rsidRPr="006A747F" w:rsidRDefault="00145899"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RESULTS</w:t>
      </w:r>
    </w:p>
    <w:p w14:paraId="0855E8D1" w14:textId="58BCD0EC" w:rsidR="00145899" w:rsidRPr="006A747F" w:rsidRDefault="00145899"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Cs/>
          <w:sz w:val="24"/>
          <w:szCs w:val="24"/>
        </w:rPr>
        <w:t xml:space="preserve">A total 561 patients (group A: 254, group B: 307) were enrolled. Synchronous superficial HNSCC was detected in 1 patient (0.3%) in group A, and in 12 </w:t>
      </w:r>
      <w:r w:rsidR="001C39F5" w:rsidRPr="006A747F">
        <w:rPr>
          <w:rFonts w:ascii="Book Antiqua" w:eastAsia="MS Mincho" w:hAnsi="Book Antiqua" w:cs="Times New Roman"/>
          <w:bCs/>
          <w:sz w:val="24"/>
          <w:szCs w:val="24"/>
        </w:rPr>
        <w:t>(3.9%) in group B (</w:t>
      </w:r>
      <w:r w:rsidR="001C39F5" w:rsidRPr="006A747F">
        <w:rPr>
          <w:rFonts w:ascii="Book Antiqua" w:eastAsia="MS Mincho" w:hAnsi="Book Antiqua" w:cs="Times New Roman"/>
          <w:bCs/>
          <w:i/>
          <w:caps/>
          <w:sz w:val="24"/>
          <w:szCs w:val="24"/>
        </w:rPr>
        <w:t>p</w:t>
      </w:r>
      <w:r w:rsidR="001C39F5" w:rsidRPr="006A747F">
        <w:rPr>
          <w:rFonts w:ascii="Book Antiqua" w:eastAsia="MS Mincho" w:hAnsi="Book Antiqua" w:cs="Times New Roman"/>
          <w:bCs/>
          <w:sz w:val="24"/>
          <w:szCs w:val="24"/>
        </w:rPr>
        <w:t xml:space="preserve"> = 0.008). </w:t>
      </w:r>
      <w:r w:rsidRPr="006A747F">
        <w:rPr>
          <w:rFonts w:ascii="Book Antiqua" w:eastAsia="MS Mincho" w:hAnsi="Book Antiqua" w:cs="Times New Roman"/>
          <w:bCs/>
          <w:sz w:val="24"/>
          <w:szCs w:val="24"/>
        </w:rPr>
        <w:t xml:space="preserve">During </w:t>
      </w:r>
      <w:r w:rsidR="00F46A5A" w:rsidRPr="006A747F">
        <w:rPr>
          <w:rFonts w:ascii="Book Antiqua" w:eastAsia="MS Mincho" w:hAnsi="Book Antiqua" w:cs="Times New Roman"/>
          <w:bCs/>
          <w:sz w:val="24"/>
          <w:szCs w:val="24"/>
        </w:rPr>
        <w:t xml:space="preserve">the </w:t>
      </w:r>
      <w:r w:rsidRPr="006A747F">
        <w:rPr>
          <w:rFonts w:ascii="Book Antiqua" w:eastAsia="MS Mincho" w:hAnsi="Book Antiqua" w:cs="Times New Roman"/>
          <w:bCs/>
          <w:sz w:val="24"/>
          <w:szCs w:val="24"/>
        </w:rPr>
        <w:t>follow up</w:t>
      </w:r>
      <w:r w:rsidR="00F46A5A" w:rsidRPr="006A747F">
        <w:rPr>
          <w:rFonts w:ascii="Book Antiqua" w:eastAsia="MS Mincho" w:hAnsi="Book Antiqua" w:cs="Times New Roman"/>
          <w:bCs/>
          <w:sz w:val="24"/>
          <w:szCs w:val="24"/>
        </w:rPr>
        <w:t xml:space="preserve"> period</w:t>
      </w:r>
      <w:r w:rsidRPr="006A747F">
        <w:rPr>
          <w:rFonts w:ascii="Book Antiqua" w:eastAsia="MS Mincho" w:hAnsi="Book Antiqua" w:cs="Times New Roman"/>
          <w:bCs/>
          <w:sz w:val="24"/>
          <w:szCs w:val="24"/>
        </w:rPr>
        <w:t xml:space="preserve">, metachronous </w:t>
      </w:r>
      <w:r w:rsidR="001C39F5" w:rsidRPr="006A747F">
        <w:rPr>
          <w:rFonts w:ascii="Book Antiqua" w:eastAsia="MS Mincho" w:hAnsi="Book Antiqua" w:cs="Times New Roman"/>
          <w:bCs/>
          <w:sz w:val="24"/>
          <w:szCs w:val="24"/>
        </w:rPr>
        <w:t xml:space="preserve">HNSCC </w:t>
      </w:r>
      <w:r w:rsidRPr="006A747F">
        <w:rPr>
          <w:rFonts w:ascii="Book Antiqua" w:eastAsia="MS Mincho" w:hAnsi="Book Antiqua" w:cs="Times New Roman"/>
          <w:bCs/>
          <w:sz w:val="24"/>
          <w:szCs w:val="24"/>
        </w:rPr>
        <w:t>were detected in 10 patients (3.9%) in group A and in 30 patients (9.8%</w:t>
      </w:r>
      <w:r w:rsidR="00A0019E" w:rsidRPr="006A747F">
        <w:rPr>
          <w:rFonts w:ascii="Book Antiqua" w:eastAsia="MS Mincho" w:hAnsi="Book Antiqua" w:cs="Times New Roman"/>
          <w:bCs/>
          <w:sz w:val="24"/>
          <w:szCs w:val="24"/>
        </w:rPr>
        <w:t>) in group B (</w:t>
      </w:r>
      <w:r w:rsidR="006A747F" w:rsidRPr="006A747F">
        <w:rPr>
          <w:rFonts w:ascii="Book Antiqua" w:eastAsia="MS Mincho" w:hAnsi="Book Antiqua" w:cs="Times New Roman"/>
          <w:bCs/>
          <w:i/>
          <w:caps/>
          <w:sz w:val="24"/>
          <w:szCs w:val="24"/>
        </w:rPr>
        <w:t>p</w:t>
      </w:r>
      <w:r w:rsidR="00A0019E" w:rsidRPr="006A747F">
        <w:rPr>
          <w:rFonts w:ascii="Book Antiqua" w:eastAsia="MS Mincho" w:hAnsi="Book Antiqua" w:cs="Times New Roman"/>
          <w:bCs/>
          <w:sz w:val="24"/>
          <w:szCs w:val="24"/>
        </w:rPr>
        <w:t xml:space="preserve"> = 0.008). All </w:t>
      </w:r>
      <w:r w:rsidR="00020C4A" w:rsidRPr="006A747F">
        <w:rPr>
          <w:rFonts w:ascii="Book Antiqua" w:eastAsia="MS Mincho" w:hAnsi="Book Antiqua" w:cs="Times New Roman"/>
          <w:bCs/>
          <w:sz w:val="24"/>
          <w:szCs w:val="24"/>
        </w:rPr>
        <w:t xml:space="preserve">metachronous </w:t>
      </w:r>
      <w:r w:rsidRPr="006A747F">
        <w:rPr>
          <w:rFonts w:ascii="Book Antiqua" w:eastAsia="MS Mincho" w:hAnsi="Book Antiqua" w:cs="Times New Roman"/>
          <w:bCs/>
          <w:sz w:val="24"/>
          <w:szCs w:val="24"/>
        </w:rPr>
        <w:t xml:space="preserve">lesions in group B were early stage, and </w:t>
      </w:r>
      <w:r w:rsidR="005E6230" w:rsidRPr="006A747F">
        <w:rPr>
          <w:rFonts w:ascii="Book Antiqua" w:eastAsia="MS Mincho" w:hAnsi="Book Antiqua" w:cs="Times New Roman"/>
          <w:bCs/>
          <w:sz w:val="24"/>
          <w:szCs w:val="24"/>
        </w:rPr>
        <w:t>26</w:t>
      </w:r>
      <w:r w:rsidR="00F46A5A" w:rsidRPr="006A747F">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 xml:space="preserve">patients underwent </w:t>
      </w:r>
      <w:r w:rsidR="005E6230" w:rsidRPr="006A747F">
        <w:rPr>
          <w:rFonts w:ascii="Book Antiqua" w:eastAsia="MS Mincho" w:hAnsi="Book Antiqua" w:cs="Times New Roman"/>
          <w:bCs/>
          <w:sz w:val="24"/>
          <w:szCs w:val="24"/>
        </w:rPr>
        <w:t xml:space="preserve">local </w:t>
      </w:r>
      <w:r w:rsidRPr="006A747F">
        <w:rPr>
          <w:rFonts w:ascii="Book Antiqua" w:eastAsia="MS Mincho" w:hAnsi="Book Antiqua" w:cs="Times New Roman"/>
          <w:bCs/>
          <w:sz w:val="24"/>
          <w:szCs w:val="24"/>
        </w:rPr>
        <w:t>resection, however, 6 of 10 patients</w:t>
      </w:r>
      <w:r w:rsidR="00FA7665" w:rsidRPr="006A747F">
        <w:rPr>
          <w:rFonts w:ascii="Book Antiqua" w:eastAsia="MS Mincho" w:hAnsi="Book Antiqua" w:cs="Times New Roman"/>
          <w:bCs/>
          <w:sz w:val="24"/>
          <w:szCs w:val="24"/>
        </w:rPr>
        <w:t xml:space="preserve"> (60%)</w:t>
      </w:r>
      <w:r w:rsidRPr="006A747F">
        <w:rPr>
          <w:rFonts w:ascii="Book Antiqua" w:eastAsia="MS Mincho" w:hAnsi="Book Antiqua" w:cs="Times New Roman"/>
          <w:bCs/>
          <w:sz w:val="24"/>
          <w:szCs w:val="24"/>
        </w:rPr>
        <w:t xml:space="preserve"> in group A</w:t>
      </w:r>
      <w:r w:rsidR="00020C4A" w:rsidRPr="006A747F">
        <w:rPr>
          <w:rFonts w:ascii="Book Antiqua" w:eastAsia="MS Mincho" w:hAnsi="Book Antiqua" w:cs="Times New Roman"/>
          <w:bCs/>
          <w:sz w:val="24"/>
          <w:szCs w:val="24"/>
        </w:rPr>
        <w:t xml:space="preserve"> lost their laryngeal function</w:t>
      </w:r>
      <w:r w:rsidRPr="006A747F">
        <w:rPr>
          <w:rFonts w:ascii="Book Antiqua" w:eastAsia="MS Mincho" w:hAnsi="Book Antiqua" w:cs="Times New Roman"/>
          <w:bCs/>
          <w:sz w:val="24"/>
          <w:szCs w:val="24"/>
        </w:rPr>
        <w:t xml:space="preserve"> and died </w:t>
      </w:r>
      <w:r w:rsidR="00020C4A" w:rsidRPr="006A747F">
        <w:rPr>
          <w:rFonts w:ascii="Book Antiqua" w:eastAsia="MS Mincho" w:hAnsi="Book Antiqua" w:cs="Times New Roman"/>
          <w:bCs/>
          <w:sz w:val="24"/>
          <w:szCs w:val="24"/>
        </w:rPr>
        <w:t xml:space="preserve">with metachronous </w:t>
      </w:r>
      <w:r w:rsidR="006A747F">
        <w:rPr>
          <w:rFonts w:ascii="Book Antiqua" w:eastAsia="MS Mincho" w:hAnsi="Book Antiqua" w:cs="Times New Roman"/>
          <w:bCs/>
          <w:sz w:val="24"/>
          <w:szCs w:val="24"/>
        </w:rPr>
        <w:t>HNSCC.</w:t>
      </w:r>
    </w:p>
    <w:p w14:paraId="5EA7DA87" w14:textId="77777777" w:rsidR="006A747F" w:rsidRDefault="006A747F" w:rsidP="00235EA3">
      <w:pPr>
        <w:snapToGrid w:val="0"/>
        <w:spacing w:line="360" w:lineRule="auto"/>
        <w:rPr>
          <w:rFonts w:ascii="Book Antiqua" w:eastAsia="MS Mincho" w:hAnsi="Book Antiqua" w:cs="Times New Roman"/>
          <w:b/>
          <w:bCs/>
          <w:sz w:val="24"/>
          <w:szCs w:val="24"/>
        </w:rPr>
      </w:pPr>
    </w:p>
    <w:p w14:paraId="472B6CA1" w14:textId="77777777" w:rsidR="006A747F" w:rsidRPr="006A747F" w:rsidRDefault="00145899"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CONCLUSION</w:t>
      </w:r>
    </w:p>
    <w:p w14:paraId="3FB50594" w14:textId="67F33CC5" w:rsidR="00145899" w:rsidRPr="006A747F" w:rsidRDefault="0034254D"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Surveillance for the HN region by using NBI endoscopy increase the detection</w:t>
      </w:r>
      <w:r w:rsidR="00F46A5A" w:rsidRPr="006A747F">
        <w:rPr>
          <w:rFonts w:ascii="Book Antiqua" w:eastAsia="MS Mincho" w:hAnsi="Book Antiqua" w:cs="Times New Roman"/>
          <w:bCs/>
          <w:sz w:val="24"/>
          <w:szCs w:val="24"/>
        </w:rPr>
        <w:t xml:space="preserve"> rate</w:t>
      </w:r>
      <w:r w:rsidRPr="006A747F">
        <w:rPr>
          <w:rFonts w:ascii="Book Antiqua" w:eastAsia="MS Mincho" w:hAnsi="Book Antiqua" w:cs="Times New Roman"/>
          <w:bCs/>
          <w:sz w:val="24"/>
          <w:szCs w:val="24"/>
        </w:rPr>
        <w:t xml:space="preserve"> of early HNSCC in patients with ESCC, and led to decrease serious events related to </w:t>
      </w:r>
      <w:r w:rsidR="00020C4A" w:rsidRPr="006A747F">
        <w:rPr>
          <w:rFonts w:ascii="Book Antiqua" w:eastAsia="MS Mincho" w:hAnsi="Book Antiqua" w:cs="Times New Roman"/>
          <w:bCs/>
          <w:sz w:val="24"/>
          <w:szCs w:val="24"/>
        </w:rPr>
        <w:t xml:space="preserve">advanced </w:t>
      </w:r>
      <w:r w:rsidRPr="006A747F">
        <w:rPr>
          <w:rFonts w:ascii="Book Antiqua" w:eastAsia="MS Mincho" w:hAnsi="Book Antiqua" w:cs="Times New Roman"/>
          <w:bCs/>
          <w:sz w:val="24"/>
          <w:szCs w:val="24"/>
        </w:rPr>
        <w:t>metachronous HNSCC.</w:t>
      </w:r>
    </w:p>
    <w:p w14:paraId="0FEA4D47" w14:textId="77777777" w:rsidR="00145899" w:rsidRPr="006A747F" w:rsidRDefault="00145899" w:rsidP="00235EA3">
      <w:pPr>
        <w:snapToGrid w:val="0"/>
        <w:spacing w:line="360" w:lineRule="auto"/>
        <w:rPr>
          <w:rFonts w:ascii="Book Antiqua" w:eastAsia="MS Mincho" w:hAnsi="Book Antiqua" w:cs="Times New Roman"/>
          <w:b/>
          <w:bCs/>
          <w:sz w:val="24"/>
          <w:szCs w:val="24"/>
        </w:rPr>
      </w:pPr>
    </w:p>
    <w:p w14:paraId="195AF4A2" w14:textId="674AAEE1" w:rsidR="00627175" w:rsidRPr="006A747F" w:rsidRDefault="00145899"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t>Key words:</w:t>
      </w:r>
      <w:r w:rsidR="00081C7E" w:rsidRPr="006A747F">
        <w:rPr>
          <w:rFonts w:ascii="Book Antiqua" w:eastAsia="MS Mincho" w:hAnsi="Book Antiqua" w:cs="Times New Roman"/>
          <w:b/>
          <w:bCs/>
          <w:sz w:val="24"/>
          <w:szCs w:val="24"/>
        </w:rPr>
        <w:t xml:space="preserve"> </w:t>
      </w:r>
      <w:r w:rsidR="00020C4A" w:rsidRPr="006A747F">
        <w:rPr>
          <w:rFonts w:ascii="Book Antiqua" w:eastAsia="MS Mincho" w:hAnsi="Book Antiqua" w:cs="Times New Roman"/>
          <w:bCs/>
          <w:caps/>
          <w:sz w:val="24"/>
          <w:szCs w:val="24"/>
        </w:rPr>
        <w:t>e</w:t>
      </w:r>
      <w:r w:rsidR="00020C4A" w:rsidRPr="006A747F">
        <w:rPr>
          <w:rFonts w:ascii="Book Antiqua" w:eastAsia="MS Mincho" w:hAnsi="Book Antiqua" w:cs="Times New Roman"/>
          <w:bCs/>
          <w:sz w:val="24"/>
          <w:szCs w:val="24"/>
        </w:rPr>
        <w:t xml:space="preserve">sophageal squamous cell carcinoma; </w:t>
      </w:r>
      <w:r w:rsidR="00020C4A" w:rsidRPr="006A747F">
        <w:rPr>
          <w:rFonts w:ascii="Book Antiqua" w:eastAsia="MS Mincho" w:hAnsi="Book Antiqua" w:cs="Times New Roman"/>
          <w:bCs/>
          <w:caps/>
          <w:sz w:val="24"/>
          <w:szCs w:val="24"/>
        </w:rPr>
        <w:t>h</w:t>
      </w:r>
      <w:r w:rsidR="00020C4A" w:rsidRPr="006A747F">
        <w:rPr>
          <w:rFonts w:ascii="Book Antiqua" w:eastAsia="MS Mincho" w:hAnsi="Book Antiqua" w:cs="Times New Roman"/>
          <w:bCs/>
          <w:sz w:val="24"/>
          <w:szCs w:val="24"/>
        </w:rPr>
        <w:t>ead and neck squamous cell carcinoma</w:t>
      </w:r>
      <w:r w:rsidR="00081C7E" w:rsidRPr="006A747F">
        <w:rPr>
          <w:rFonts w:ascii="Book Antiqua" w:eastAsia="MS Mincho" w:hAnsi="Book Antiqua" w:cs="Times New Roman"/>
          <w:bCs/>
          <w:sz w:val="24"/>
          <w:szCs w:val="24"/>
        </w:rPr>
        <w:t>;</w:t>
      </w:r>
      <w:r w:rsidR="00020C4A" w:rsidRPr="006A747F">
        <w:rPr>
          <w:rFonts w:ascii="Book Antiqua" w:eastAsia="MS Mincho" w:hAnsi="Book Antiqua" w:cs="Times New Roman"/>
          <w:bCs/>
          <w:sz w:val="24"/>
          <w:szCs w:val="24"/>
        </w:rPr>
        <w:t xml:space="preserve"> Narrow </w:t>
      </w:r>
      <w:r w:rsidR="006A747F" w:rsidRPr="006A747F">
        <w:rPr>
          <w:rFonts w:ascii="Book Antiqua" w:eastAsia="MS Mincho" w:hAnsi="Book Antiqua" w:cs="Times New Roman"/>
          <w:bCs/>
          <w:sz w:val="24"/>
          <w:szCs w:val="24"/>
        </w:rPr>
        <w:t>b</w:t>
      </w:r>
      <w:r w:rsidR="00020C4A" w:rsidRPr="006A747F">
        <w:rPr>
          <w:rFonts w:ascii="Book Antiqua" w:eastAsia="MS Mincho" w:hAnsi="Book Antiqua" w:cs="Times New Roman"/>
          <w:bCs/>
          <w:sz w:val="24"/>
          <w:szCs w:val="24"/>
        </w:rPr>
        <w:t xml:space="preserve">and </w:t>
      </w:r>
      <w:r w:rsidR="006A747F" w:rsidRPr="006A747F">
        <w:rPr>
          <w:rFonts w:ascii="Book Antiqua" w:eastAsia="MS Mincho" w:hAnsi="Book Antiqua" w:cs="Times New Roman"/>
          <w:bCs/>
          <w:sz w:val="24"/>
          <w:szCs w:val="24"/>
        </w:rPr>
        <w:t>i</w:t>
      </w:r>
      <w:r w:rsidR="00020C4A" w:rsidRPr="006A747F">
        <w:rPr>
          <w:rFonts w:ascii="Book Antiqua" w:eastAsia="MS Mincho" w:hAnsi="Book Antiqua" w:cs="Times New Roman"/>
          <w:bCs/>
          <w:sz w:val="24"/>
          <w:szCs w:val="24"/>
        </w:rPr>
        <w:t>maging</w:t>
      </w:r>
      <w:r w:rsidR="00081C7E" w:rsidRPr="006A747F">
        <w:rPr>
          <w:rFonts w:ascii="Book Antiqua" w:eastAsia="MS Mincho" w:hAnsi="Book Antiqua" w:cs="Times New Roman"/>
          <w:bCs/>
          <w:sz w:val="24"/>
          <w:szCs w:val="24"/>
        </w:rPr>
        <w:t>;</w:t>
      </w:r>
      <w:r w:rsidR="00020C4A" w:rsidRPr="006A747F">
        <w:rPr>
          <w:rFonts w:ascii="Book Antiqua" w:eastAsia="MS Mincho" w:hAnsi="Book Antiqua" w:cs="Times New Roman"/>
          <w:bCs/>
          <w:sz w:val="24"/>
          <w:szCs w:val="24"/>
        </w:rPr>
        <w:t xml:space="preserve"> </w:t>
      </w:r>
      <w:r w:rsidR="00020C4A" w:rsidRPr="006A747F">
        <w:rPr>
          <w:rFonts w:ascii="Book Antiqua" w:eastAsia="MS Mincho" w:hAnsi="Book Antiqua" w:cs="Times New Roman"/>
          <w:bCs/>
          <w:caps/>
          <w:sz w:val="24"/>
          <w:szCs w:val="24"/>
        </w:rPr>
        <w:t>e</w:t>
      </w:r>
      <w:r w:rsidR="00020C4A" w:rsidRPr="006A747F">
        <w:rPr>
          <w:rFonts w:ascii="Book Antiqua" w:eastAsia="MS Mincho" w:hAnsi="Book Antiqua" w:cs="Times New Roman"/>
          <w:bCs/>
          <w:sz w:val="24"/>
          <w:szCs w:val="24"/>
        </w:rPr>
        <w:t>ndoscopic resection</w:t>
      </w:r>
      <w:r w:rsidR="00A26634" w:rsidRPr="006A747F">
        <w:rPr>
          <w:rFonts w:ascii="Book Antiqua" w:eastAsia="MS Mincho" w:hAnsi="Book Antiqua" w:cs="Times New Roman"/>
          <w:bCs/>
          <w:sz w:val="24"/>
          <w:szCs w:val="24"/>
        </w:rPr>
        <w:t xml:space="preserve">; </w:t>
      </w:r>
      <w:r w:rsidR="00081C7E" w:rsidRPr="006A747F">
        <w:rPr>
          <w:rFonts w:ascii="Book Antiqua" w:eastAsia="MS Mincho" w:hAnsi="Book Antiqua" w:cs="Times New Roman"/>
          <w:bCs/>
          <w:caps/>
          <w:sz w:val="24"/>
          <w:szCs w:val="24"/>
        </w:rPr>
        <w:t>s</w:t>
      </w:r>
      <w:r w:rsidR="00081C7E" w:rsidRPr="006A747F">
        <w:rPr>
          <w:rFonts w:ascii="Book Antiqua" w:eastAsia="MS Mincho" w:hAnsi="Book Antiqua" w:cs="Times New Roman"/>
          <w:bCs/>
          <w:sz w:val="24"/>
          <w:szCs w:val="24"/>
        </w:rPr>
        <w:t xml:space="preserve">urveillance; </w:t>
      </w:r>
      <w:r w:rsidR="00081C7E" w:rsidRPr="006A747F">
        <w:rPr>
          <w:rFonts w:ascii="Book Antiqua" w:eastAsia="MS Mincho" w:hAnsi="Book Antiqua" w:cs="Times New Roman"/>
          <w:bCs/>
          <w:caps/>
          <w:sz w:val="24"/>
          <w:szCs w:val="24"/>
        </w:rPr>
        <w:t>m</w:t>
      </w:r>
      <w:r w:rsidR="00081C7E" w:rsidRPr="006A747F">
        <w:rPr>
          <w:rFonts w:ascii="Book Antiqua" w:eastAsia="MS Mincho" w:hAnsi="Book Antiqua" w:cs="Times New Roman"/>
          <w:bCs/>
          <w:sz w:val="24"/>
          <w:szCs w:val="24"/>
        </w:rPr>
        <w:t>etachronous cancer</w:t>
      </w:r>
    </w:p>
    <w:p w14:paraId="5167A2AC" w14:textId="77777777" w:rsidR="00627175" w:rsidRDefault="00627175" w:rsidP="00235EA3">
      <w:pPr>
        <w:snapToGrid w:val="0"/>
        <w:spacing w:line="360" w:lineRule="auto"/>
        <w:rPr>
          <w:rFonts w:ascii="Book Antiqua" w:eastAsia="MS Mincho" w:hAnsi="Book Antiqua" w:cs="Times New Roman"/>
          <w:b/>
          <w:bCs/>
          <w:sz w:val="24"/>
          <w:szCs w:val="24"/>
        </w:rPr>
      </w:pPr>
    </w:p>
    <w:p w14:paraId="10299779" w14:textId="77777777" w:rsidR="006A747F" w:rsidRPr="006A747F" w:rsidRDefault="006A747F" w:rsidP="00235EA3">
      <w:pPr>
        <w:snapToGrid w:val="0"/>
        <w:spacing w:line="360" w:lineRule="auto"/>
        <w:rPr>
          <w:rFonts w:ascii="Book Antiqua" w:eastAsia="MS Mincho" w:hAnsi="Book Antiqua" w:cs="Times New Roman"/>
          <w:bCs/>
          <w:sz w:val="24"/>
          <w:szCs w:val="24"/>
        </w:rPr>
      </w:pPr>
      <w:bookmarkStart w:id="12" w:name="OLE_LINK363"/>
      <w:bookmarkStart w:id="13" w:name="OLE_LINK364"/>
      <w:bookmarkStart w:id="14" w:name="OLE_LINK359"/>
      <w:bookmarkStart w:id="15" w:name="OLE_LINK1037"/>
      <w:bookmarkStart w:id="16" w:name="OLE_LINK1195"/>
      <w:bookmarkStart w:id="17" w:name="OLE_LINK1140"/>
      <w:bookmarkStart w:id="18" w:name="OLE_LINK1062"/>
      <w:bookmarkStart w:id="19" w:name="OLE_LINK500"/>
      <w:bookmarkStart w:id="20" w:name="OLE_LINK916"/>
      <w:bookmarkStart w:id="21" w:name="OLE_LINK956"/>
      <w:bookmarkStart w:id="22" w:name="OLE_LINK994"/>
      <w:r w:rsidRPr="006A747F">
        <w:rPr>
          <w:rFonts w:ascii="Book Antiqua" w:eastAsia="MS Mincho" w:hAnsi="Book Antiqua" w:cs="Times New Roman" w:hint="eastAsia"/>
          <w:b/>
          <w:bCs/>
          <w:sz w:val="24"/>
          <w:szCs w:val="24"/>
        </w:rPr>
        <w:t>©</w:t>
      </w:r>
      <w:r w:rsidRPr="006A747F">
        <w:rPr>
          <w:rFonts w:ascii="Book Antiqua" w:eastAsia="MS Mincho" w:hAnsi="Book Antiqua" w:cs="Times New Roman"/>
          <w:b/>
          <w:bCs/>
          <w:sz w:val="24"/>
          <w:szCs w:val="24"/>
        </w:rPr>
        <w:t xml:space="preserve"> The Author(s) 201</w:t>
      </w:r>
      <w:r w:rsidRPr="006A747F">
        <w:rPr>
          <w:rFonts w:ascii="Book Antiqua" w:eastAsia="MS Mincho" w:hAnsi="Book Antiqua" w:cs="Times New Roman" w:hint="eastAsia"/>
          <w:b/>
          <w:bCs/>
          <w:sz w:val="24"/>
          <w:szCs w:val="24"/>
        </w:rPr>
        <w:t>7</w:t>
      </w:r>
      <w:r w:rsidRPr="006A747F">
        <w:rPr>
          <w:rFonts w:ascii="Book Antiqua" w:eastAsia="MS Mincho" w:hAnsi="Book Antiqua" w:cs="Times New Roman"/>
          <w:b/>
          <w:bCs/>
          <w:sz w:val="24"/>
          <w:szCs w:val="24"/>
        </w:rPr>
        <w:t xml:space="preserve">. </w:t>
      </w:r>
      <w:r w:rsidRPr="006A747F">
        <w:rPr>
          <w:rFonts w:ascii="Book Antiqua" w:eastAsia="MS Mincho" w:hAnsi="Book Antiqua" w:cs="Times New Roman"/>
          <w:bCs/>
          <w:sz w:val="24"/>
          <w:szCs w:val="24"/>
        </w:rPr>
        <w:t>Published by Baishideng Publishing Group Inc. All rights reserved.</w:t>
      </w:r>
    </w:p>
    <w:bookmarkEnd w:id="12"/>
    <w:bookmarkEnd w:id="13"/>
    <w:bookmarkEnd w:id="14"/>
    <w:bookmarkEnd w:id="15"/>
    <w:bookmarkEnd w:id="16"/>
    <w:bookmarkEnd w:id="17"/>
    <w:bookmarkEnd w:id="18"/>
    <w:bookmarkEnd w:id="19"/>
    <w:bookmarkEnd w:id="20"/>
    <w:bookmarkEnd w:id="21"/>
    <w:bookmarkEnd w:id="22"/>
    <w:p w14:paraId="47C9175D" w14:textId="77777777" w:rsidR="006A747F" w:rsidRPr="006A747F" w:rsidRDefault="006A747F" w:rsidP="00235EA3">
      <w:pPr>
        <w:snapToGrid w:val="0"/>
        <w:spacing w:line="360" w:lineRule="auto"/>
        <w:rPr>
          <w:rFonts w:ascii="Book Antiqua" w:eastAsia="MS Mincho" w:hAnsi="Book Antiqua" w:cs="Times New Roman"/>
          <w:b/>
          <w:bCs/>
          <w:sz w:val="24"/>
          <w:szCs w:val="24"/>
        </w:rPr>
      </w:pPr>
    </w:p>
    <w:p w14:paraId="57C42D8D" w14:textId="2D538544" w:rsidR="00CC5DF8" w:rsidRPr="006A747F" w:rsidRDefault="00145899"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
          <w:bCs/>
          <w:sz w:val="24"/>
          <w:szCs w:val="24"/>
        </w:rPr>
        <w:t xml:space="preserve">Core tip: </w:t>
      </w:r>
      <w:r w:rsidR="003F5173" w:rsidRPr="006A747F">
        <w:rPr>
          <w:rFonts w:ascii="Book Antiqua" w:eastAsia="MS Mincho" w:hAnsi="Book Antiqua" w:cs="Times New Roman"/>
          <w:bCs/>
          <w:sz w:val="24"/>
          <w:szCs w:val="24"/>
        </w:rPr>
        <w:t>This is a retrospective study to evaluate the clinical impact of intensive surveillance</w:t>
      </w:r>
      <w:r w:rsidR="00720A39" w:rsidRPr="006A747F">
        <w:rPr>
          <w:rFonts w:ascii="Book Antiqua" w:eastAsia="MS Mincho" w:hAnsi="Book Antiqua" w:cs="Times New Roman"/>
          <w:bCs/>
          <w:sz w:val="24"/>
          <w:szCs w:val="24"/>
        </w:rPr>
        <w:t xml:space="preserve"> for</w:t>
      </w:r>
      <w:r w:rsidR="00020C4A" w:rsidRPr="006A747F">
        <w:rPr>
          <w:rFonts w:ascii="Book Antiqua" w:eastAsia="MS Mincho" w:hAnsi="Book Antiqua" w:cs="Times New Roman"/>
          <w:bCs/>
          <w:sz w:val="24"/>
          <w:szCs w:val="24"/>
        </w:rPr>
        <w:t xml:space="preserve"> </w:t>
      </w:r>
      <w:r w:rsidR="006A747F" w:rsidRPr="006A747F">
        <w:rPr>
          <w:rFonts w:ascii="Book Antiqua" w:eastAsia="MS Mincho" w:hAnsi="Book Antiqua" w:cs="Times New Roman"/>
          <w:bCs/>
          <w:sz w:val="24"/>
          <w:szCs w:val="24"/>
        </w:rPr>
        <w:t>head and neck (HN)</w:t>
      </w:r>
      <w:r w:rsidR="00020C4A" w:rsidRPr="006A747F">
        <w:rPr>
          <w:rFonts w:ascii="Book Antiqua" w:eastAsia="MS Mincho" w:hAnsi="Book Antiqua" w:cs="Times New Roman"/>
          <w:bCs/>
          <w:sz w:val="24"/>
          <w:szCs w:val="24"/>
        </w:rPr>
        <w:t xml:space="preserve"> region</w:t>
      </w:r>
      <w:r w:rsidR="00720A39" w:rsidRPr="006A747F">
        <w:rPr>
          <w:rFonts w:ascii="Book Antiqua" w:eastAsia="MS Mincho" w:hAnsi="Book Antiqua" w:cs="Times New Roman"/>
          <w:bCs/>
          <w:sz w:val="24"/>
          <w:szCs w:val="24"/>
        </w:rPr>
        <w:t xml:space="preserve"> by using </w:t>
      </w:r>
      <w:r w:rsidR="006A747F" w:rsidRPr="006A747F">
        <w:rPr>
          <w:rFonts w:ascii="Book Antiqua" w:eastAsia="MS Mincho" w:hAnsi="Book Antiqua" w:cs="Times New Roman"/>
          <w:bCs/>
          <w:sz w:val="24"/>
          <w:szCs w:val="24"/>
        </w:rPr>
        <w:t>narrow band imaging (NBI)</w:t>
      </w:r>
      <w:r w:rsidR="00720A39" w:rsidRPr="006A747F">
        <w:rPr>
          <w:rFonts w:ascii="Book Antiqua" w:eastAsia="MS Mincho" w:hAnsi="Book Antiqua" w:cs="Times New Roman"/>
          <w:bCs/>
          <w:sz w:val="24"/>
          <w:szCs w:val="24"/>
        </w:rPr>
        <w:t xml:space="preserve"> endoscopy</w:t>
      </w:r>
      <w:r w:rsidR="003F5173" w:rsidRPr="006A747F">
        <w:rPr>
          <w:rFonts w:ascii="Book Antiqua" w:eastAsia="MS Mincho" w:hAnsi="Book Antiqua" w:cs="Times New Roman"/>
          <w:bCs/>
          <w:sz w:val="24"/>
          <w:szCs w:val="24"/>
        </w:rPr>
        <w:t xml:space="preserve"> in patients with </w:t>
      </w:r>
      <w:r w:rsidR="006A747F" w:rsidRPr="006A747F">
        <w:rPr>
          <w:rFonts w:ascii="Book Antiqua" w:eastAsia="MS Mincho" w:hAnsi="Book Antiqua" w:cs="Times New Roman"/>
          <w:bCs/>
          <w:sz w:val="24"/>
          <w:szCs w:val="24"/>
        </w:rPr>
        <w:t>esophageal squamous cell carcinoma (ESCC)</w:t>
      </w:r>
      <w:r w:rsidR="003F5173" w:rsidRPr="006A747F">
        <w:rPr>
          <w:rFonts w:ascii="Book Antiqua" w:eastAsia="MS Mincho" w:hAnsi="Book Antiqua" w:cs="Times New Roman"/>
          <w:bCs/>
          <w:sz w:val="24"/>
          <w:szCs w:val="24"/>
        </w:rPr>
        <w:t>.</w:t>
      </w:r>
      <w:r w:rsidR="00CC5DF8" w:rsidRPr="006A747F">
        <w:rPr>
          <w:rFonts w:ascii="Book Antiqua" w:eastAsia="MS Mincho" w:hAnsi="Book Antiqua" w:cs="Times New Roman"/>
          <w:bCs/>
          <w:sz w:val="24"/>
          <w:szCs w:val="24"/>
        </w:rPr>
        <w:t xml:space="preserve"> </w:t>
      </w:r>
      <w:r w:rsidR="001F045C" w:rsidRPr="006A747F">
        <w:rPr>
          <w:rFonts w:ascii="Book Antiqua" w:eastAsia="MS Mincho" w:hAnsi="Book Antiqua" w:cs="Times New Roman"/>
          <w:bCs/>
          <w:sz w:val="24"/>
          <w:szCs w:val="24"/>
        </w:rPr>
        <w:t>T</w:t>
      </w:r>
      <w:r w:rsidR="00720A39" w:rsidRPr="006A747F">
        <w:rPr>
          <w:rFonts w:ascii="Book Antiqua" w:eastAsia="MS Mincho" w:hAnsi="Book Antiqua" w:cs="Times New Roman"/>
          <w:bCs/>
          <w:sz w:val="24"/>
          <w:szCs w:val="24"/>
        </w:rPr>
        <w:t xml:space="preserve">he detection rate of superficial </w:t>
      </w:r>
      <w:r w:rsidR="000F46E7" w:rsidRPr="006A747F">
        <w:rPr>
          <w:rFonts w:ascii="Book Antiqua" w:eastAsia="MS Mincho" w:hAnsi="Book Antiqua" w:cs="Times New Roman"/>
          <w:bCs/>
          <w:sz w:val="24"/>
          <w:szCs w:val="24"/>
        </w:rPr>
        <w:t xml:space="preserve">head and neck squamous cell carcinoma </w:t>
      </w:r>
      <w:r w:rsidR="000F46E7">
        <w:rPr>
          <w:rFonts w:ascii="Book Antiqua" w:eastAsia="SimSun" w:hAnsi="Book Antiqua" w:cs="Times New Roman" w:hint="eastAsia"/>
          <w:bCs/>
          <w:sz w:val="24"/>
          <w:szCs w:val="24"/>
          <w:lang w:eastAsia="zh-CN"/>
        </w:rPr>
        <w:t>(</w:t>
      </w:r>
      <w:r w:rsidR="00720A39" w:rsidRPr="006A747F">
        <w:rPr>
          <w:rFonts w:ascii="Book Antiqua" w:eastAsia="MS Mincho" w:hAnsi="Book Antiqua" w:cs="Times New Roman"/>
          <w:bCs/>
          <w:sz w:val="24"/>
          <w:szCs w:val="24"/>
        </w:rPr>
        <w:t>HNSCC</w:t>
      </w:r>
      <w:r w:rsidR="000F46E7">
        <w:rPr>
          <w:rFonts w:ascii="Book Antiqua" w:eastAsia="SimSun" w:hAnsi="Book Antiqua" w:cs="Times New Roman" w:hint="eastAsia"/>
          <w:bCs/>
          <w:sz w:val="24"/>
          <w:szCs w:val="24"/>
          <w:lang w:eastAsia="zh-CN"/>
        </w:rPr>
        <w:t>)</w:t>
      </w:r>
      <w:r w:rsidR="00EA1131" w:rsidRPr="006A747F">
        <w:rPr>
          <w:rFonts w:ascii="Book Antiqua" w:eastAsia="MS Mincho" w:hAnsi="Book Antiqua" w:cs="Times New Roman"/>
          <w:bCs/>
          <w:sz w:val="24"/>
          <w:szCs w:val="24"/>
        </w:rPr>
        <w:t xml:space="preserve"> which could be easily treated with endoscopic resection was dramatically increased after introduction of surveillance for HN region with NBI</w:t>
      </w:r>
      <w:r w:rsidR="00720A39" w:rsidRPr="006A747F">
        <w:rPr>
          <w:rFonts w:ascii="Book Antiqua" w:eastAsia="MS Mincho" w:hAnsi="Book Antiqua" w:cs="Times New Roman"/>
          <w:bCs/>
          <w:sz w:val="24"/>
          <w:szCs w:val="24"/>
        </w:rPr>
        <w:t>, and the serious events (loss of laryngeal function, death) due to metachronous advanced HNSCC</w:t>
      </w:r>
      <w:r w:rsidR="001F045C" w:rsidRPr="006A747F">
        <w:rPr>
          <w:rFonts w:ascii="Book Antiqua" w:eastAsia="MS Mincho" w:hAnsi="Book Antiqua" w:cs="Times New Roman"/>
          <w:b/>
          <w:bCs/>
          <w:color w:val="000000" w:themeColor="text1"/>
          <w:sz w:val="24"/>
          <w:szCs w:val="24"/>
        </w:rPr>
        <w:t xml:space="preserve"> </w:t>
      </w:r>
      <w:r w:rsidR="001F045C" w:rsidRPr="006A747F">
        <w:rPr>
          <w:rStyle w:val="st1"/>
          <w:rFonts w:ascii="Book Antiqua" w:hAnsi="Book Antiqua" w:cs="Arial"/>
          <w:color w:val="000000" w:themeColor="text1"/>
          <w:sz w:val="24"/>
          <w:szCs w:val="24"/>
        </w:rPr>
        <w:t xml:space="preserve">were </w:t>
      </w:r>
      <w:r w:rsidR="00720A39" w:rsidRPr="006A747F">
        <w:rPr>
          <w:rFonts w:ascii="Book Antiqua" w:eastAsia="MS Mincho" w:hAnsi="Book Antiqua" w:cs="Times New Roman"/>
          <w:bCs/>
          <w:sz w:val="24"/>
          <w:szCs w:val="24"/>
        </w:rPr>
        <w:t>led to decrease</w:t>
      </w:r>
      <w:r w:rsidR="00EA1131" w:rsidRPr="006A747F">
        <w:rPr>
          <w:rFonts w:ascii="Book Antiqua" w:eastAsia="MS Mincho" w:hAnsi="Book Antiqua" w:cs="Times New Roman"/>
          <w:bCs/>
          <w:sz w:val="24"/>
          <w:szCs w:val="24"/>
        </w:rPr>
        <w:t xml:space="preserve"> when comparing with historical control</w:t>
      </w:r>
      <w:r w:rsidR="00720A39" w:rsidRPr="006A747F">
        <w:rPr>
          <w:rFonts w:ascii="Book Antiqua" w:eastAsia="MS Mincho" w:hAnsi="Book Antiqua" w:cs="Times New Roman"/>
          <w:bCs/>
          <w:sz w:val="24"/>
          <w:szCs w:val="24"/>
        </w:rPr>
        <w:t>.</w:t>
      </w:r>
      <w:r w:rsidR="00EA1131" w:rsidRPr="006A747F">
        <w:rPr>
          <w:rFonts w:ascii="Book Antiqua" w:eastAsia="MS Mincho" w:hAnsi="Book Antiqua" w:cs="Times New Roman"/>
          <w:bCs/>
          <w:sz w:val="24"/>
          <w:szCs w:val="24"/>
        </w:rPr>
        <w:t xml:space="preserve"> Surveillance for HN region with NBI might have a clinical impact at the point of reduction </w:t>
      </w:r>
      <w:r w:rsidR="004A71E9" w:rsidRPr="006A747F">
        <w:rPr>
          <w:rFonts w:ascii="Book Antiqua" w:eastAsia="MS Mincho" w:hAnsi="Book Antiqua" w:cs="Times New Roman"/>
          <w:bCs/>
          <w:sz w:val="24"/>
          <w:szCs w:val="24"/>
        </w:rPr>
        <w:t>of head and neck cancer death in esophageal cancer survivor.</w:t>
      </w:r>
    </w:p>
    <w:p w14:paraId="21CCE846" w14:textId="77777777" w:rsidR="00E41920" w:rsidRPr="006A747F" w:rsidRDefault="00E41920" w:rsidP="00235EA3">
      <w:pPr>
        <w:snapToGrid w:val="0"/>
        <w:spacing w:line="360" w:lineRule="auto"/>
        <w:rPr>
          <w:rFonts w:ascii="Book Antiqua" w:eastAsia="MS Mincho" w:hAnsi="Book Antiqua" w:cs="Times New Roman"/>
          <w:b/>
          <w:bCs/>
          <w:sz w:val="24"/>
          <w:szCs w:val="24"/>
        </w:rPr>
      </w:pPr>
    </w:p>
    <w:p w14:paraId="69EE2A14" w14:textId="7703269D" w:rsidR="004A71E9" w:rsidRPr="006A747F" w:rsidRDefault="00CC258D" w:rsidP="00235EA3">
      <w:pPr>
        <w:autoSpaceDE w:val="0"/>
        <w:autoSpaceDN w:val="0"/>
        <w:adjustRightInd w:val="0"/>
        <w:snapToGrid w:val="0"/>
        <w:spacing w:line="360" w:lineRule="auto"/>
        <w:rPr>
          <w:rFonts w:ascii="Book Antiqua" w:eastAsia="MS Mincho" w:hAnsi="Book Antiqua" w:cs="Times New Roman"/>
          <w:b/>
          <w:color w:val="000000"/>
          <w:kern w:val="0"/>
          <w:sz w:val="24"/>
          <w:szCs w:val="24"/>
        </w:rPr>
      </w:pPr>
      <w:r w:rsidRPr="006A747F">
        <w:rPr>
          <w:rFonts w:ascii="Book Antiqua" w:eastAsia="MS Mincho" w:hAnsi="Book Antiqua" w:cs="Times New Roman"/>
          <w:bCs/>
          <w:sz w:val="24"/>
          <w:szCs w:val="24"/>
        </w:rPr>
        <w:t>Morimoto H, Yano T, Yoda Y, Oono Y, Ikematsu H, Hayashi R, Ohtsu A, Kaneko K</w:t>
      </w:r>
      <w:r w:rsidR="00DA0A91" w:rsidRPr="006A747F">
        <w:rPr>
          <w:rFonts w:ascii="Book Antiqua" w:eastAsia="MS Mincho" w:hAnsi="Book Antiqua" w:cs="Times New Roman"/>
          <w:bCs/>
          <w:sz w:val="24"/>
          <w:szCs w:val="24"/>
        </w:rPr>
        <w:t xml:space="preserve">. </w:t>
      </w:r>
      <w:r w:rsidR="004A71E9" w:rsidRPr="006A747F">
        <w:rPr>
          <w:rFonts w:ascii="Book Antiqua" w:hAnsi="Book Antiqua"/>
          <w:sz w:val="24"/>
          <w:szCs w:val="24"/>
        </w:rPr>
        <w:t>Clinical impact of surveillance for head and neck cancer in patients with esophageal squamous cell carcinoma</w:t>
      </w:r>
      <w:r w:rsidR="00882192" w:rsidRPr="006A747F">
        <w:rPr>
          <w:rFonts w:ascii="Book Antiqua" w:hAnsi="Book Antiqua"/>
          <w:sz w:val="24"/>
          <w:szCs w:val="24"/>
        </w:rPr>
        <w:t xml:space="preserve">. </w:t>
      </w:r>
      <w:r w:rsidR="00882192" w:rsidRPr="006A747F">
        <w:rPr>
          <w:rFonts w:ascii="Book Antiqua" w:hAnsi="Book Antiqua"/>
          <w:i/>
          <w:sz w:val="24"/>
          <w:szCs w:val="24"/>
        </w:rPr>
        <w:t xml:space="preserve">World J Gastroenterol </w:t>
      </w:r>
      <w:r w:rsidR="00882192" w:rsidRPr="006A747F">
        <w:rPr>
          <w:rFonts w:ascii="Book Antiqua" w:hAnsi="Book Antiqua"/>
          <w:sz w:val="24"/>
          <w:szCs w:val="24"/>
        </w:rPr>
        <w:t>201</w:t>
      </w:r>
      <w:r w:rsidR="006A747F">
        <w:rPr>
          <w:rFonts w:ascii="Book Antiqua" w:hAnsi="Book Antiqua"/>
          <w:sz w:val="24"/>
          <w:szCs w:val="24"/>
        </w:rPr>
        <w:t>7</w:t>
      </w:r>
      <w:r w:rsidR="00882192" w:rsidRPr="006A747F">
        <w:rPr>
          <w:rFonts w:ascii="Book Antiqua" w:hAnsi="Book Antiqua"/>
          <w:sz w:val="24"/>
          <w:szCs w:val="24"/>
        </w:rPr>
        <w:t>; In press</w:t>
      </w:r>
    </w:p>
    <w:p w14:paraId="60F2EB67" w14:textId="77777777" w:rsidR="00CC258D" w:rsidRPr="006A747F" w:rsidRDefault="00CC258D" w:rsidP="00235EA3">
      <w:pPr>
        <w:snapToGrid w:val="0"/>
        <w:spacing w:line="360" w:lineRule="auto"/>
        <w:rPr>
          <w:rFonts w:ascii="Book Antiqua" w:eastAsia="MS Mincho" w:hAnsi="Book Antiqua" w:cs="Times New Roman"/>
          <w:b/>
          <w:bCs/>
          <w:sz w:val="24"/>
          <w:szCs w:val="24"/>
        </w:rPr>
      </w:pPr>
    </w:p>
    <w:p w14:paraId="4496BEF2" w14:textId="77777777" w:rsidR="006A747F" w:rsidRDefault="006A747F" w:rsidP="00235EA3">
      <w:pPr>
        <w:widowControl/>
        <w:snapToGrid w:val="0"/>
        <w:spacing w:line="360" w:lineRule="auto"/>
        <w:jc w:val="left"/>
        <w:rPr>
          <w:rFonts w:ascii="Book Antiqua" w:eastAsia="MS Mincho" w:hAnsi="Book Antiqua" w:cs="Times New Roman"/>
          <w:b/>
          <w:bCs/>
          <w:sz w:val="24"/>
          <w:szCs w:val="24"/>
        </w:rPr>
      </w:pPr>
      <w:r>
        <w:rPr>
          <w:rFonts w:ascii="Book Antiqua" w:eastAsia="MS Mincho" w:hAnsi="Book Antiqua" w:cs="Times New Roman"/>
          <w:b/>
          <w:bCs/>
          <w:sz w:val="24"/>
          <w:szCs w:val="24"/>
        </w:rPr>
        <w:br w:type="page"/>
      </w:r>
    </w:p>
    <w:p w14:paraId="63E14EE7" w14:textId="4211EBFA" w:rsidR="00186AE8" w:rsidRPr="006A747F" w:rsidRDefault="00186AE8" w:rsidP="00235EA3">
      <w:pPr>
        <w:snapToGrid w:val="0"/>
        <w:spacing w:line="360" w:lineRule="auto"/>
        <w:rPr>
          <w:rFonts w:ascii="Book Antiqua" w:eastAsia="MS Mincho" w:hAnsi="Book Antiqua" w:cs="Times New Roman"/>
          <w:b/>
          <w:bCs/>
          <w:caps/>
          <w:sz w:val="24"/>
          <w:szCs w:val="24"/>
        </w:rPr>
      </w:pPr>
      <w:r w:rsidRPr="006A747F">
        <w:rPr>
          <w:rFonts w:ascii="Book Antiqua" w:eastAsia="MS Mincho" w:hAnsi="Book Antiqua" w:cs="Times New Roman"/>
          <w:b/>
          <w:bCs/>
          <w:caps/>
          <w:sz w:val="24"/>
          <w:szCs w:val="24"/>
        </w:rPr>
        <w:lastRenderedPageBreak/>
        <w:t>Introduction</w:t>
      </w:r>
    </w:p>
    <w:p w14:paraId="26E84954" w14:textId="0FC4EA16" w:rsidR="00E41920" w:rsidRPr="006A747F" w:rsidRDefault="00E41920"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Most of patients with esophageal squamous cell carcinoma (ESCC) have a high prevalence of second primary head and neck squamous cell carcinoma (HNSCC)</w:t>
      </w:r>
      <w:r w:rsidR="00140FA9" w:rsidRPr="006A747F">
        <w:rPr>
          <w:rFonts w:ascii="Book Antiqua" w:eastAsia="MS Mincho" w:hAnsi="Book Antiqua" w:cs="Times New Roman"/>
          <w:bCs/>
          <w:sz w:val="24"/>
          <w:szCs w:val="24"/>
          <w:vertAlign w:val="superscript"/>
        </w:rPr>
        <w:t>[1]</w:t>
      </w:r>
      <w:r w:rsidRPr="006A747F">
        <w:rPr>
          <w:rFonts w:ascii="Book Antiqua" w:eastAsia="MS Mincho" w:hAnsi="Book Antiqua" w:cs="Times New Roman"/>
          <w:bCs/>
          <w:sz w:val="24"/>
          <w:szCs w:val="24"/>
        </w:rPr>
        <w:t>.</w:t>
      </w:r>
      <w:r w:rsidR="006A747F">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Matsubara et al. reported an assessment of the risk of a second primary cancer in patients with ESCC undergoing esophagectomy</w:t>
      </w:r>
      <w:r w:rsidR="000B3858" w:rsidRPr="006A747F">
        <w:rPr>
          <w:rFonts w:ascii="Book Antiqua" w:eastAsia="MS Mincho" w:hAnsi="Book Antiqua" w:cs="Times New Roman"/>
          <w:bCs/>
          <w:sz w:val="24"/>
          <w:szCs w:val="24"/>
          <w:vertAlign w:val="superscript"/>
        </w:rPr>
        <w:t>[2]</w:t>
      </w:r>
      <w:r w:rsidRPr="006A747F">
        <w:rPr>
          <w:rFonts w:ascii="Book Antiqua" w:eastAsia="MS Mincho" w:hAnsi="Book Antiqua" w:cs="Times New Roman"/>
          <w:bCs/>
          <w:sz w:val="24"/>
          <w:szCs w:val="24"/>
        </w:rPr>
        <w:t>. In that report, HNSCC was the highest risk after esophagectomy and the prognosis after the detection of HNSCC was significantly unfavorable compared to that of other malignancies because of the difficulty in the early detection of HNSCC. A</w:t>
      </w:r>
      <w:r w:rsidR="006242FD" w:rsidRPr="006A747F">
        <w:rPr>
          <w:rFonts w:ascii="Book Antiqua" w:eastAsia="MS Mincho" w:hAnsi="Book Antiqua" w:cs="Times New Roman"/>
          <w:bCs/>
          <w:sz w:val="24"/>
          <w:szCs w:val="24"/>
        </w:rPr>
        <w:t>n</w:t>
      </w:r>
      <w:r w:rsidRPr="006A747F">
        <w:rPr>
          <w:rFonts w:ascii="Book Antiqua" w:eastAsia="MS Mincho" w:hAnsi="Book Antiqua" w:cs="Times New Roman"/>
          <w:bCs/>
          <w:sz w:val="24"/>
          <w:szCs w:val="24"/>
        </w:rPr>
        <w:t xml:space="preserve"> image-enhanced endoscopic technology system, narrow-band imaging (NBI), was reported to be useful for the detection of superficial HNSCC</w:t>
      </w:r>
      <w:r w:rsidR="00867B27" w:rsidRPr="006A747F">
        <w:rPr>
          <w:rFonts w:ascii="Book Antiqua" w:eastAsia="MS Mincho" w:hAnsi="Book Antiqua" w:cs="Times New Roman"/>
          <w:bCs/>
          <w:sz w:val="24"/>
          <w:szCs w:val="24"/>
          <w:vertAlign w:val="superscript"/>
        </w:rPr>
        <w:t>[3-6]</w:t>
      </w:r>
      <w:r w:rsidR="00867B27" w:rsidRPr="006A747F">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These superficial lesions are depicted clearly as well-demarcated brownish areas without magnification, and increased intraepithelial papillary capillary loops (IPCL) with irregularity are visible as the endoscopic features of superf</w:t>
      </w:r>
      <w:r w:rsidR="00867B27" w:rsidRPr="006A747F">
        <w:rPr>
          <w:rFonts w:ascii="Book Antiqua" w:eastAsia="MS Mincho" w:hAnsi="Book Antiqua" w:cs="Times New Roman"/>
          <w:bCs/>
          <w:sz w:val="24"/>
          <w:szCs w:val="24"/>
        </w:rPr>
        <w:t>icial HNSCC with magnification</w:t>
      </w:r>
      <w:r w:rsidR="00867B27" w:rsidRPr="006A747F">
        <w:rPr>
          <w:rFonts w:ascii="Book Antiqua" w:eastAsia="MS Mincho" w:hAnsi="Book Antiqua" w:cs="Times New Roman"/>
          <w:bCs/>
          <w:sz w:val="24"/>
          <w:szCs w:val="24"/>
          <w:vertAlign w:val="superscript"/>
        </w:rPr>
        <w:t>[3]</w:t>
      </w:r>
      <w:r w:rsidR="00867B27" w:rsidRPr="006A747F">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Muto </w:t>
      </w:r>
      <w:r w:rsidRPr="006A747F">
        <w:rPr>
          <w:rFonts w:ascii="Book Antiqua" w:eastAsia="MS Mincho" w:hAnsi="Book Antiqua" w:cs="Times New Roman"/>
          <w:bCs/>
          <w:i/>
          <w:sz w:val="24"/>
          <w:szCs w:val="24"/>
        </w:rPr>
        <w:t>et al</w:t>
      </w:r>
      <w:r w:rsidR="006A747F" w:rsidRPr="006A747F">
        <w:rPr>
          <w:rFonts w:ascii="Book Antiqua" w:eastAsia="MS Mincho" w:hAnsi="Book Antiqua" w:cs="Times New Roman"/>
          <w:bCs/>
          <w:sz w:val="24"/>
          <w:szCs w:val="24"/>
          <w:vertAlign w:val="superscript"/>
        </w:rPr>
        <w:t>[3]</w:t>
      </w:r>
      <w:r w:rsidR="006A747F">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reported that both detection rate and diagnostic accuracy of HNSCC were higher in NBI than in white light imaging. Furthermore, several studies have also reported that minimally invasive treatment, such as peroral endoscopic resection (ER) of superficial pharyngeal cancer, was a feasible and effective treatment with curative intent</w:t>
      </w:r>
      <w:r w:rsidR="00867B27" w:rsidRPr="006A747F">
        <w:rPr>
          <w:rFonts w:ascii="Book Antiqua" w:eastAsia="MS Mincho" w:hAnsi="Book Antiqua" w:cs="Times New Roman"/>
          <w:bCs/>
          <w:sz w:val="24"/>
          <w:szCs w:val="24"/>
          <w:vertAlign w:val="superscript"/>
        </w:rPr>
        <w:t>[7-9]</w:t>
      </w:r>
      <w:r w:rsidR="006A747F">
        <w:rPr>
          <w:rFonts w:ascii="Book Antiqua" w:eastAsia="MS Mincho" w:hAnsi="Book Antiqua" w:cs="Times New Roman"/>
          <w:bCs/>
          <w:sz w:val="24"/>
          <w:szCs w:val="24"/>
        </w:rPr>
        <w:t>.</w:t>
      </w:r>
    </w:p>
    <w:p w14:paraId="2CCADB45" w14:textId="1055013F" w:rsidR="00145899" w:rsidRPr="006A747F" w:rsidRDefault="00E41920"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At the beginning of 2006, we introduced intensive surveillance</w:t>
      </w:r>
      <w:r w:rsidR="00F46A5A" w:rsidRPr="006A747F">
        <w:rPr>
          <w:rFonts w:ascii="Book Antiqua" w:eastAsia="MS Mincho" w:hAnsi="Book Antiqua" w:cs="Times New Roman"/>
          <w:bCs/>
          <w:sz w:val="24"/>
          <w:szCs w:val="24"/>
        </w:rPr>
        <w:t xml:space="preserve"> program</w:t>
      </w:r>
      <w:r w:rsidRPr="006A747F">
        <w:rPr>
          <w:rFonts w:ascii="Book Antiqua" w:eastAsia="MS Mincho" w:hAnsi="Book Antiqua" w:cs="Times New Roman"/>
          <w:bCs/>
          <w:sz w:val="24"/>
          <w:szCs w:val="24"/>
        </w:rPr>
        <w:t xml:space="preserve"> for the head and neck (HN) region, including the oropharynx, hypopharynx, and larynx, using NBI for all ESCC patients before treatment and at every follow up visit. If early HNSCCs were detected, these lesions were mainly treated with ER after the confirmation of cured esophageal cancer. However, it has not been yet clarified whether prompt detection and intervention for early HNSCC in patients with ESCC would decrease the death rate or the loss of laryngeal function related to metachronous advanced HNSCC. In this study, we compared the detection rate of early HNSCC, and the number of serious adverse events related to metachronous advanced HNSCC, in periods before </w:t>
      </w:r>
      <w:r w:rsidRPr="006A747F">
        <w:rPr>
          <w:rFonts w:ascii="Book Antiqua" w:eastAsia="MS Mincho" w:hAnsi="Book Antiqua" w:cs="Times New Roman"/>
          <w:bCs/>
          <w:sz w:val="24"/>
          <w:szCs w:val="24"/>
        </w:rPr>
        <w:lastRenderedPageBreak/>
        <w:t>and after the commencement of NBI surveillance for the head and neck region.</w:t>
      </w:r>
    </w:p>
    <w:p w14:paraId="7C5B89F4" w14:textId="77777777" w:rsidR="00E41920" w:rsidRPr="006A747F" w:rsidRDefault="00E41920" w:rsidP="00235EA3">
      <w:pPr>
        <w:snapToGrid w:val="0"/>
        <w:spacing w:line="360" w:lineRule="auto"/>
        <w:rPr>
          <w:rFonts w:ascii="Book Antiqua" w:eastAsia="MS Mincho" w:hAnsi="Book Antiqua" w:cs="Times New Roman"/>
          <w:b/>
          <w:bCs/>
          <w:sz w:val="24"/>
          <w:szCs w:val="24"/>
        </w:rPr>
      </w:pPr>
    </w:p>
    <w:p w14:paraId="36D962A7" w14:textId="77F29344" w:rsidR="00145899" w:rsidRPr="006A747F" w:rsidRDefault="00145899" w:rsidP="00235EA3">
      <w:pPr>
        <w:snapToGrid w:val="0"/>
        <w:spacing w:line="360" w:lineRule="auto"/>
        <w:rPr>
          <w:rFonts w:ascii="Book Antiqua" w:eastAsia="MS Mincho" w:hAnsi="Book Antiqua" w:cs="Times New Roman"/>
          <w:b/>
          <w:bCs/>
          <w:caps/>
          <w:sz w:val="24"/>
          <w:szCs w:val="24"/>
        </w:rPr>
      </w:pPr>
      <w:r w:rsidRPr="006A747F">
        <w:rPr>
          <w:rFonts w:ascii="Book Antiqua" w:eastAsia="MS Mincho" w:hAnsi="Book Antiqua" w:cs="Times New Roman"/>
          <w:b/>
          <w:bCs/>
          <w:caps/>
          <w:sz w:val="24"/>
          <w:szCs w:val="24"/>
        </w:rPr>
        <w:t>M</w:t>
      </w:r>
      <w:r w:rsidR="00186AE8" w:rsidRPr="006A747F">
        <w:rPr>
          <w:rFonts w:ascii="Book Antiqua" w:eastAsia="MS Mincho" w:hAnsi="Book Antiqua" w:cs="Times New Roman"/>
          <w:b/>
          <w:bCs/>
          <w:caps/>
          <w:sz w:val="24"/>
          <w:szCs w:val="24"/>
        </w:rPr>
        <w:t>aterials and Methods</w:t>
      </w:r>
    </w:p>
    <w:p w14:paraId="1143DCB3" w14:textId="77777777" w:rsidR="002169AA" w:rsidRPr="006A747F" w:rsidRDefault="002169AA"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Patients</w:t>
      </w:r>
    </w:p>
    <w:p w14:paraId="7376878E" w14:textId="085795BB" w:rsidR="002169AA" w:rsidRPr="006A747F" w:rsidRDefault="002169AA"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 xml:space="preserve">Patients were recruited from our database of patients who have received definitive treatments, such as ER, surgery and chemoradiotherapy (CRT), for ESCC in the National Cancer Center Hospital East. </w:t>
      </w:r>
      <w:r w:rsidR="00F46A5A" w:rsidRPr="006A747F">
        <w:rPr>
          <w:rFonts w:ascii="Book Antiqua" w:eastAsia="MS Mincho" w:hAnsi="Book Antiqua" w:cs="Times New Roman"/>
          <w:bCs/>
          <w:sz w:val="24"/>
          <w:szCs w:val="24"/>
        </w:rPr>
        <w:t xml:space="preserve">Selection </w:t>
      </w:r>
      <w:r w:rsidRPr="006A747F">
        <w:rPr>
          <w:rFonts w:ascii="Book Antiqua" w:eastAsia="MS Mincho" w:hAnsi="Book Antiqua" w:cs="Times New Roman"/>
          <w:bCs/>
          <w:sz w:val="24"/>
          <w:szCs w:val="24"/>
        </w:rPr>
        <w:t xml:space="preserve">criteria </w:t>
      </w:r>
      <w:r w:rsidR="001972C0" w:rsidRPr="006A747F">
        <w:rPr>
          <w:rFonts w:ascii="Book Antiqua" w:eastAsia="MS Mincho" w:hAnsi="Book Antiqua" w:cs="Times New Roman"/>
          <w:bCs/>
          <w:sz w:val="24"/>
          <w:szCs w:val="24"/>
        </w:rPr>
        <w:t xml:space="preserve">of this study </w:t>
      </w:r>
      <w:r w:rsidRPr="006A747F">
        <w:rPr>
          <w:rFonts w:ascii="Book Antiqua" w:eastAsia="MS Mincho" w:hAnsi="Book Antiqua" w:cs="Times New Roman"/>
          <w:bCs/>
          <w:sz w:val="24"/>
          <w:szCs w:val="24"/>
        </w:rPr>
        <w:t xml:space="preserve">were as follows: </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1) initial treatment histologically confirmed ESCC</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2) clinical stage I to III</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3) no prior HNSCC</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4) absence of synchronous advanced cancer containing HNSCC</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5) no recurrence or metastasis of ESCC detected within 6 months after initial ER or surgery for ESCC</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6) complete response (CR) was achieved and a recurrence after achieving CR or metastasis was not detected within 6 months of CRT</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7) an observation period longer than a year after treatment for ESCC</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and </w:t>
      </w:r>
      <w:r w:rsidR="005C5CFE">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8) provided written informed consent before all endoscopic evaluation and treatment. </w:t>
      </w:r>
    </w:p>
    <w:p w14:paraId="253B4C32" w14:textId="1A5B9793" w:rsidR="002169AA" w:rsidRPr="006A747F" w:rsidRDefault="002169AA"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 xml:space="preserve">Two groups were classified between the periods before and after commencement of surveillance for the HN region. ESCC patients who were treated between October 1992 and December 2000, </w:t>
      </w:r>
      <w:r w:rsidR="005E6230" w:rsidRPr="006A747F">
        <w:rPr>
          <w:rFonts w:ascii="Book Antiqua" w:eastAsia="MS Mincho" w:hAnsi="Book Antiqua" w:cs="Times New Roman"/>
          <w:bCs/>
          <w:sz w:val="24"/>
          <w:szCs w:val="24"/>
        </w:rPr>
        <w:t xml:space="preserve">with a follow-up </w:t>
      </w:r>
      <w:r w:rsidRPr="006A747F">
        <w:rPr>
          <w:rFonts w:ascii="Book Antiqua" w:eastAsia="MS Mincho" w:hAnsi="Book Antiqua" w:cs="Times New Roman"/>
          <w:bCs/>
          <w:sz w:val="24"/>
          <w:szCs w:val="24"/>
        </w:rPr>
        <w:t xml:space="preserve">until December 2004 were defined as a control group (group A). During this period, the HN region was not intensively observed to detect superficial lesion with endoscopy before treatment or during follow up periods. Group B was defined patients who were treated between January 2006 and December 2008 and followed until December 2014. These patients in group B </w:t>
      </w:r>
      <w:r w:rsidR="005E6230" w:rsidRPr="006A747F">
        <w:rPr>
          <w:rFonts w:ascii="Book Antiqua" w:eastAsia="MS Mincho" w:hAnsi="Book Antiqua" w:cs="Times New Roman"/>
          <w:bCs/>
          <w:sz w:val="24"/>
          <w:szCs w:val="24"/>
        </w:rPr>
        <w:t xml:space="preserve">routinely </w:t>
      </w:r>
      <w:r w:rsidRPr="006A747F">
        <w:rPr>
          <w:rFonts w:ascii="Book Antiqua" w:eastAsia="MS Mincho" w:hAnsi="Book Antiqua" w:cs="Times New Roman"/>
          <w:bCs/>
          <w:sz w:val="24"/>
          <w:szCs w:val="24"/>
        </w:rPr>
        <w:t xml:space="preserve">received intensive surveillance using magnified </w:t>
      </w:r>
      <w:r w:rsidR="005C5CFE">
        <w:rPr>
          <w:rFonts w:ascii="Book Antiqua" w:eastAsia="MS Mincho" w:hAnsi="Book Antiqua" w:cs="Times New Roman"/>
          <w:bCs/>
          <w:sz w:val="24"/>
          <w:szCs w:val="24"/>
        </w:rPr>
        <w:t>NBI endoscopy in the HN region.</w:t>
      </w:r>
    </w:p>
    <w:p w14:paraId="6EE6EC82" w14:textId="77777777" w:rsidR="002169AA" w:rsidRPr="006A747F" w:rsidRDefault="002169AA" w:rsidP="00235EA3">
      <w:pPr>
        <w:snapToGrid w:val="0"/>
        <w:spacing w:line="360" w:lineRule="auto"/>
        <w:rPr>
          <w:rFonts w:ascii="Book Antiqua" w:eastAsia="MS Mincho" w:hAnsi="Book Antiqua" w:cs="Times New Roman"/>
          <w:bCs/>
          <w:sz w:val="24"/>
          <w:szCs w:val="24"/>
        </w:rPr>
      </w:pPr>
    </w:p>
    <w:p w14:paraId="2C0C28F8" w14:textId="4E4AA0C0" w:rsidR="002169AA" w:rsidRPr="006A747F" w:rsidRDefault="002169AA"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Endoscopic exa</w:t>
      </w:r>
      <w:r w:rsidR="005C5CFE">
        <w:rPr>
          <w:rFonts w:ascii="Book Antiqua" w:eastAsia="MS Mincho" w:hAnsi="Book Antiqua" w:cs="Times New Roman"/>
          <w:b/>
          <w:bCs/>
          <w:i/>
          <w:sz w:val="24"/>
          <w:szCs w:val="24"/>
        </w:rPr>
        <w:t>mination and follow-up schedule</w:t>
      </w:r>
    </w:p>
    <w:p w14:paraId="698C81BE" w14:textId="46D2B1D4" w:rsidR="002169AA" w:rsidRPr="006A747F" w:rsidRDefault="002169AA"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 xml:space="preserve">Since the patients in group A underwent conventional endoscopy with white light illumination, intensive surveillance to detect superficial HNSCC was not performed actively. In contrast, the HN regions including the oropharynx, </w:t>
      </w:r>
      <w:r w:rsidRPr="006A747F">
        <w:rPr>
          <w:rFonts w:ascii="Book Antiqua" w:eastAsia="MS Mincho" w:hAnsi="Book Antiqua" w:cs="Times New Roman"/>
          <w:bCs/>
          <w:sz w:val="24"/>
          <w:szCs w:val="24"/>
        </w:rPr>
        <w:lastRenderedPageBreak/>
        <w:t xml:space="preserve">hypopharynx and larynx, were observed using endoscope equipped with a NBI system (Olympus Medical Science, Tokyo, Japan) in group B. The endoscopic observation order in the HN region using NBI endoscopy in our </w:t>
      </w:r>
      <w:r w:rsidR="00E7307B" w:rsidRPr="006A747F">
        <w:rPr>
          <w:rFonts w:ascii="Book Antiqua" w:eastAsia="MS Mincho" w:hAnsi="Book Antiqua" w:cs="Times New Roman"/>
          <w:bCs/>
          <w:sz w:val="24"/>
          <w:szCs w:val="24"/>
        </w:rPr>
        <w:t>hospital is shown in Figure 1</w:t>
      </w:r>
      <w:r w:rsidR="00E7307B" w:rsidRPr="006A747F">
        <w:rPr>
          <w:rFonts w:ascii="Book Antiqua" w:eastAsia="MS Mincho" w:hAnsi="Book Antiqua" w:cs="Times New Roman"/>
          <w:bCs/>
          <w:sz w:val="24"/>
          <w:szCs w:val="24"/>
          <w:vertAlign w:val="superscript"/>
        </w:rPr>
        <w:t>[10]</w:t>
      </w:r>
      <w:r w:rsidR="00E7307B" w:rsidRPr="006A747F">
        <w:rPr>
          <w:rFonts w:ascii="Book Antiqua" w:eastAsia="MS Mincho" w:hAnsi="Book Antiqua" w:cs="Times New Roman"/>
          <w:bCs/>
          <w:sz w:val="24"/>
          <w:szCs w:val="24"/>
        </w:rPr>
        <w:t>.</w:t>
      </w:r>
    </w:p>
    <w:p w14:paraId="4E5A3315" w14:textId="114F6E69" w:rsidR="002169AA" w:rsidRPr="006A747F" w:rsidRDefault="002169AA"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The follow-up schedule of endoscopic observation after the treatment for esophageal cancer was as follows. Patients who received CRT were evaluated every 6 months after achieving CR. The init</w:t>
      </w:r>
      <w:r w:rsidR="00E40427" w:rsidRPr="006A747F">
        <w:rPr>
          <w:rFonts w:ascii="Book Antiqua" w:eastAsia="MS Mincho" w:hAnsi="Book Antiqua" w:cs="Times New Roman"/>
          <w:bCs/>
          <w:sz w:val="24"/>
          <w:szCs w:val="24"/>
        </w:rPr>
        <w:t>ial examination was performed at</w:t>
      </w:r>
      <w:r w:rsidRPr="006A747F">
        <w:rPr>
          <w:rFonts w:ascii="Book Antiqua" w:eastAsia="MS Mincho" w:hAnsi="Book Antiqua" w:cs="Times New Roman"/>
          <w:bCs/>
          <w:sz w:val="24"/>
          <w:szCs w:val="24"/>
        </w:rPr>
        <w:t xml:space="preserve"> 3 months </w:t>
      </w:r>
      <w:r w:rsidR="00E40427" w:rsidRPr="006A747F">
        <w:rPr>
          <w:rFonts w:ascii="Book Antiqua" w:eastAsia="MS Mincho" w:hAnsi="Book Antiqua" w:cs="Times New Roman"/>
          <w:bCs/>
          <w:sz w:val="24"/>
          <w:szCs w:val="24"/>
        </w:rPr>
        <w:t xml:space="preserve">in patients </w:t>
      </w:r>
      <w:r w:rsidRPr="006A747F">
        <w:rPr>
          <w:rFonts w:ascii="Book Antiqua" w:eastAsia="MS Mincho" w:hAnsi="Book Antiqua" w:cs="Times New Roman"/>
          <w:bCs/>
          <w:sz w:val="24"/>
          <w:szCs w:val="24"/>
        </w:rPr>
        <w:t>after ER, and every 6 months thereafter, and an annual examination was performed in pa</w:t>
      </w:r>
      <w:r w:rsidR="005C5CFE">
        <w:rPr>
          <w:rFonts w:ascii="Book Antiqua" w:eastAsia="MS Mincho" w:hAnsi="Book Antiqua" w:cs="Times New Roman"/>
          <w:bCs/>
          <w:sz w:val="24"/>
          <w:szCs w:val="24"/>
        </w:rPr>
        <w:t>tients after esophagectomy.</w:t>
      </w:r>
    </w:p>
    <w:p w14:paraId="75669D65" w14:textId="77777777" w:rsidR="002169AA" w:rsidRPr="005C5CFE" w:rsidRDefault="002169AA" w:rsidP="00235EA3">
      <w:pPr>
        <w:snapToGrid w:val="0"/>
        <w:spacing w:line="360" w:lineRule="auto"/>
        <w:rPr>
          <w:rFonts w:ascii="Book Antiqua" w:eastAsia="MS Mincho" w:hAnsi="Book Antiqua" w:cs="Times New Roman"/>
          <w:bCs/>
          <w:sz w:val="24"/>
          <w:szCs w:val="24"/>
        </w:rPr>
      </w:pPr>
    </w:p>
    <w:p w14:paraId="7CB113B0" w14:textId="77777777" w:rsidR="002169AA" w:rsidRPr="006A747F" w:rsidRDefault="002169AA"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Pathological evaluation of HNSCC</w:t>
      </w:r>
    </w:p>
    <w:p w14:paraId="304D4BA3" w14:textId="5EF2E6C0" w:rsidR="002169AA" w:rsidRPr="006A747F" w:rsidRDefault="002169AA"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The histologic diagnosis was made according to criteria proposed by World Health Organization</w:t>
      </w:r>
      <w:r w:rsidR="00701D18" w:rsidRPr="006A747F">
        <w:rPr>
          <w:rFonts w:ascii="Book Antiqua" w:eastAsia="MS Mincho" w:hAnsi="Book Antiqua" w:cs="Times New Roman"/>
          <w:bCs/>
          <w:sz w:val="24"/>
          <w:szCs w:val="24"/>
          <w:vertAlign w:val="superscript"/>
        </w:rPr>
        <w:t>[11]</w:t>
      </w:r>
      <w:r w:rsidRPr="006A747F">
        <w:rPr>
          <w:rFonts w:ascii="Book Antiqua" w:eastAsia="MS Mincho" w:hAnsi="Book Antiqua" w:cs="Times New Roman"/>
          <w:bCs/>
          <w:sz w:val="24"/>
          <w:szCs w:val="24"/>
        </w:rPr>
        <w:t>.</w:t>
      </w:r>
      <w:r w:rsidR="005C5CFE">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Clinical staging was determined according to the Japan Society for Head and Neck Cancer, same as the TNM classification 7th edition. Superficial cancers without lymph node or distant metastasis were defined as early cancer and cancers invad</w:t>
      </w:r>
      <w:r w:rsidR="0046426F" w:rsidRPr="006A747F">
        <w:rPr>
          <w:rFonts w:ascii="Book Antiqua" w:eastAsia="MS Mincho" w:hAnsi="Book Antiqua" w:cs="Times New Roman"/>
          <w:bCs/>
          <w:sz w:val="24"/>
          <w:szCs w:val="24"/>
        </w:rPr>
        <w:t xml:space="preserve">ing muscularis propria and </w:t>
      </w:r>
      <w:r w:rsidRPr="006A747F">
        <w:rPr>
          <w:rFonts w:ascii="Book Antiqua" w:eastAsia="MS Mincho" w:hAnsi="Book Antiqua" w:cs="Times New Roman"/>
          <w:bCs/>
          <w:sz w:val="24"/>
          <w:szCs w:val="24"/>
        </w:rPr>
        <w:t>deeper layers w</w:t>
      </w:r>
      <w:r w:rsidR="005C5CFE">
        <w:rPr>
          <w:rFonts w:ascii="Book Antiqua" w:eastAsia="MS Mincho" w:hAnsi="Book Antiqua" w:cs="Times New Roman"/>
          <w:bCs/>
          <w:sz w:val="24"/>
          <w:szCs w:val="24"/>
        </w:rPr>
        <w:t>ere defined as advanced cancer.</w:t>
      </w:r>
    </w:p>
    <w:p w14:paraId="205B7A11" w14:textId="77777777" w:rsidR="002169AA" w:rsidRPr="005C5CFE" w:rsidRDefault="002169AA" w:rsidP="00235EA3">
      <w:pPr>
        <w:snapToGrid w:val="0"/>
        <w:spacing w:line="360" w:lineRule="auto"/>
        <w:rPr>
          <w:rFonts w:ascii="Book Antiqua" w:eastAsia="MS Mincho" w:hAnsi="Book Antiqua" w:cs="Times New Roman"/>
          <w:bCs/>
          <w:sz w:val="24"/>
          <w:szCs w:val="24"/>
        </w:rPr>
      </w:pPr>
    </w:p>
    <w:p w14:paraId="7066AD73" w14:textId="77777777" w:rsidR="002169AA" w:rsidRPr="006A747F" w:rsidRDefault="002169AA"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Treatment strategy and details of treatment for HNSCCs</w:t>
      </w:r>
    </w:p>
    <w:p w14:paraId="2E18F55D" w14:textId="74BE7178" w:rsidR="002169AA" w:rsidRPr="006A747F" w:rsidRDefault="002169AA"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Treatment for early HNSCC was provided after initial treatment for ESCC was completed. However, second primary HNSCC was not treated if the ESCC was not cured, because there was few</w:t>
      </w:r>
      <w:r w:rsidR="005C5CFE">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possibility that the treatment for HNSCC affected</w:t>
      </w:r>
      <w:r w:rsidR="005C5CFE">
        <w:rPr>
          <w:rFonts w:ascii="Book Antiqua" w:eastAsia="MS Mincho" w:hAnsi="Book Antiqua" w:cs="Times New Roman"/>
          <w:bCs/>
          <w:sz w:val="24"/>
          <w:szCs w:val="24"/>
        </w:rPr>
        <w:t xml:space="preserve"> the prognosis.</w:t>
      </w:r>
    </w:p>
    <w:p w14:paraId="0E89A982" w14:textId="2330099C" w:rsidR="002169AA" w:rsidRPr="006A747F" w:rsidRDefault="002169AA"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Endoscopic resection for HNSCC under general anesthesia was introduced in our hospital at the beginning of 2003. Subsequently, early HNSCC was mainly treated with ER after the confirmation of cured ESCC. When a lesion was small (approximately 10 mm in diameter or less), endoscopic mucosal resection with the cap technique (EMR-C) was performed</w:t>
      </w:r>
      <w:r w:rsidR="00E7307B" w:rsidRPr="006A747F">
        <w:rPr>
          <w:rFonts w:ascii="Book Antiqua" w:eastAsia="MS Mincho" w:hAnsi="Book Antiqua" w:cs="Times New Roman"/>
          <w:bCs/>
          <w:sz w:val="24"/>
          <w:szCs w:val="24"/>
          <w:vertAlign w:val="superscript"/>
        </w:rPr>
        <w:t>[</w:t>
      </w:r>
      <w:r w:rsidR="005C5CFE">
        <w:rPr>
          <w:rFonts w:ascii="Book Antiqua" w:eastAsia="MS Mincho" w:hAnsi="Book Antiqua" w:cs="Times New Roman"/>
          <w:bCs/>
          <w:sz w:val="24"/>
          <w:szCs w:val="24"/>
          <w:vertAlign w:val="superscript"/>
        </w:rPr>
        <w:t>8,12-</w:t>
      </w:r>
      <w:r w:rsidRPr="006A747F">
        <w:rPr>
          <w:rFonts w:ascii="Book Antiqua" w:eastAsia="MS Mincho" w:hAnsi="Book Antiqua" w:cs="Times New Roman"/>
          <w:bCs/>
          <w:sz w:val="24"/>
          <w:szCs w:val="24"/>
          <w:vertAlign w:val="superscript"/>
        </w:rPr>
        <w:t>14</w:t>
      </w:r>
      <w:r w:rsidR="00E7307B" w:rsidRPr="006A747F">
        <w:rPr>
          <w:rFonts w:ascii="Book Antiqua" w:eastAsia="MS Mincho" w:hAnsi="Book Antiqua" w:cs="Times New Roman"/>
          <w:bCs/>
          <w:sz w:val="24"/>
          <w:szCs w:val="24"/>
          <w:vertAlign w:val="superscript"/>
        </w:rPr>
        <w:t>]</w:t>
      </w:r>
      <w:r w:rsidRPr="006A747F">
        <w:rPr>
          <w:rFonts w:ascii="Book Antiqua" w:eastAsia="MS Mincho" w:hAnsi="Book Antiqua" w:cs="Times New Roman"/>
          <w:bCs/>
          <w:sz w:val="24"/>
          <w:szCs w:val="24"/>
        </w:rPr>
        <w:t>, and endoscopic submucosal dissection (ESD) was performed for larger lesions (over 10 mm in diameter)</w:t>
      </w:r>
      <w:r w:rsidR="00E7307B" w:rsidRPr="006A747F">
        <w:rPr>
          <w:rFonts w:ascii="Book Antiqua" w:eastAsia="MS Mincho" w:hAnsi="Book Antiqua" w:cs="Times New Roman"/>
          <w:bCs/>
          <w:sz w:val="24"/>
          <w:szCs w:val="24"/>
          <w:vertAlign w:val="superscript"/>
        </w:rPr>
        <w:t>[</w:t>
      </w:r>
      <w:r w:rsidR="005C5CFE">
        <w:rPr>
          <w:rFonts w:ascii="Book Antiqua" w:eastAsia="MS Mincho" w:hAnsi="Book Antiqua" w:cs="Times New Roman"/>
          <w:bCs/>
          <w:sz w:val="24"/>
          <w:szCs w:val="24"/>
          <w:vertAlign w:val="superscript"/>
        </w:rPr>
        <w:t>7,</w:t>
      </w:r>
      <w:r w:rsidRPr="006A747F">
        <w:rPr>
          <w:rFonts w:ascii="Book Antiqua" w:eastAsia="MS Mincho" w:hAnsi="Book Antiqua" w:cs="Times New Roman"/>
          <w:bCs/>
          <w:sz w:val="24"/>
          <w:szCs w:val="24"/>
          <w:vertAlign w:val="superscript"/>
        </w:rPr>
        <w:t>9</w:t>
      </w:r>
      <w:r w:rsidR="00E7307B" w:rsidRPr="006A747F">
        <w:rPr>
          <w:rFonts w:ascii="Book Antiqua" w:eastAsia="MS Mincho" w:hAnsi="Book Antiqua" w:cs="Times New Roman"/>
          <w:bCs/>
          <w:sz w:val="24"/>
          <w:szCs w:val="24"/>
          <w:vertAlign w:val="superscript"/>
        </w:rPr>
        <w:t>]</w:t>
      </w:r>
      <w:r w:rsidRPr="006A747F">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lastRenderedPageBreak/>
        <w:t>The procedure of ESD was as follows. A videoendoscope with a water jet system (JIFQ-260J, Olympus, Tokyo</w:t>
      </w:r>
      <w:r w:rsidR="005C5CFE">
        <w:rPr>
          <w:rFonts w:ascii="Book Antiqua" w:eastAsia="MS Mincho" w:hAnsi="Book Antiqua" w:cs="Times New Roman"/>
          <w:bCs/>
          <w:sz w:val="24"/>
          <w:szCs w:val="24"/>
        </w:rPr>
        <w:t>, Japan</w:t>
      </w:r>
      <w:r w:rsidRPr="006A747F">
        <w:rPr>
          <w:rFonts w:ascii="Book Antiqua" w:eastAsia="MS Mincho" w:hAnsi="Book Antiqua" w:cs="Times New Roman"/>
          <w:bCs/>
          <w:sz w:val="24"/>
          <w:szCs w:val="24"/>
        </w:rPr>
        <w:t>) was used for the entire procedure. And then 7 to 10 m</w:t>
      </w:r>
      <w:r w:rsidRPr="005C5CFE">
        <w:rPr>
          <w:rFonts w:ascii="Book Antiqua" w:eastAsia="MS Mincho" w:hAnsi="Book Antiqua" w:cs="Times New Roman"/>
          <w:bCs/>
          <w:caps/>
          <w:sz w:val="24"/>
          <w:szCs w:val="24"/>
        </w:rPr>
        <w:t>l</w:t>
      </w:r>
      <w:r w:rsidRPr="006A747F">
        <w:rPr>
          <w:rFonts w:ascii="Book Antiqua" w:eastAsia="MS Mincho" w:hAnsi="Book Antiqua" w:cs="Times New Roman"/>
          <w:bCs/>
          <w:sz w:val="24"/>
          <w:szCs w:val="24"/>
        </w:rPr>
        <w:t xml:space="preserve"> of 2.0% glycerin-free Lugol iodine solution, consisting of 2.0</w:t>
      </w:r>
      <w:r w:rsidR="005C5CFE">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g potassium iodine and 4.0</w:t>
      </w:r>
      <w:r w:rsidR="005C5CFE">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g iodine in 100 m</w:t>
      </w:r>
      <w:r w:rsidRPr="005C5CFE">
        <w:rPr>
          <w:rFonts w:ascii="Book Antiqua" w:eastAsia="MS Mincho" w:hAnsi="Book Antiqua" w:cs="Times New Roman"/>
          <w:bCs/>
          <w:caps/>
          <w:sz w:val="24"/>
          <w:szCs w:val="24"/>
        </w:rPr>
        <w:t>l</w:t>
      </w:r>
      <w:r w:rsidRPr="006A747F">
        <w:rPr>
          <w:rFonts w:ascii="Book Antiqua" w:eastAsia="MS Mincho" w:hAnsi="Book Antiqua" w:cs="Times New Roman"/>
          <w:bCs/>
          <w:sz w:val="24"/>
          <w:szCs w:val="24"/>
        </w:rPr>
        <w:t xml:space="preserve"> distilled water was sprayed to delineate the margins of the lesion. Markings were placed outside the margin of the lesion with a dual knife (Olympus KD-650L) and an electrosurgical current generator (ICC200, Erbe, Tübingen, Germany) set at 25 W for forced coagulation mode. A saline solution with epinephrine and indigo carmine dye was injected into the subepithelial layer. A circumferential incision around the lesion was performed and then the subepithelial tissue was dissected by the dual knife with 50 W current for forced coagulation mode. After the lesion was resected, a temporary tracheostomy was performed by a head and neck surgeon if laryngeal edema was severe.</w:t>
      </w:r>
    </w:p>
    <w:p w14:paraId="5238A6F5" w14:textId="77777777" w:rsidR="002169AA" w:rsidRPr="006A747F" w:rsidRDefault="002169AA" w:rsidP="00235EA3">
      <w:pPr>
        <w:snapToGrid w:val="0"/>
        <w:spacing w:line="360" w:lineRule="auto"/>
        <w:rPr>
          <w:rFonts w:ascii="Book Antiqua" w:eastAsia="MS Mincho" w:hAnsi="Book Antiqua" w:cs="Times New Roman"/>
          <w:bCs/>
          <w:sz w:val="24"/>
          <w:szCs w:val="24"/>
        </w:rPr>
      </w:pPr>
    </w:p>
    <w:p w14:paraId="6269F0D3" w14:textId="77777777" w:rsidR="002169AA" w:rsidRPr="006A747F" w:rsidRDefault="002169AA"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Analysis and statistics</w:t>
      </w:r>
    </w:p>
    <w:p w14:paraId="1548B71B" w14:textId="04ED73FA" w:rsidR="002169AA" w:rsidRPr="006A747F" w:rsidRDefault="002169AA"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The detection rate of superficial HNSCC was evaluated for each group. The incidence rate of metachronous HNSCC and serious events related to metachronous HNSCC, such as death or loss of laryngeal function, were also evaluated.</w:t>
      </w:r>
    </w:p>
    <w:p w14:paraId="56445390" w14:textId="57CA8B1C" w:rsidR="00CB1D21" w:rsidRPr="006A747F" w:rsidRDefault="00CB1D21"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All information was collected from the medical records or was provided by the patients’ physicians. This retrospective study was approved by the institutional review board of the National Cancer Center in accordance with the Declaration of Helsinki.</w:t>
      </w:r>
    </w:p>
    <w:p w14:paraId="4CAA7C4E" w14:textId="2486EA2E" w:rsidR="00145899" w:rsidRPr="006A747F" w:rsidRDefault="002169AA"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 xml:space="preserve">SPSS Statistics 22 (IBM) was used for statistical analysis. The results were expressed as medians. The Fisher’s exact test was used to analyze categorical data to compare proportions. Risks of metachronous HNSCC were estimated by using the Kaplan-Meier method. </w:t>
      </w:r>
      <w:r w:rsidR="00CF34CC" w:rsidRPr="005C5CFE">
        <w:rPr>
          <w:rFonts w:ascii="Book Antiqua" w:eastAsia="MS Mincho" w:hAnsi="Book Antiqua" w:cs="Times New Roman"/>
          <w:bCs/>
          <w:i/>
          <w:sz w:val="24"/>
          <w:szCs w:val="24"/>
        </w:rPr>
        <w:t>P</w:t>
      </w:r>
      <w:r w:rsidR="00CF34CC" w:rsidRPr="006A747F">
        <w:rPr>
          <w:rFonts w:ascii="Book Antiqua" w:eastAsia="MS Mincho" w:hAnsi="Book Antiqua" w:cs="Times New Roman"/>
          <w:bCs/>
          <w:sz w:val="24"/>
          <w:szCs w:val="24"/>
        </w:rPr>
        <w:t xml:space="preserve">-value of &lt; 0.05 was </w:t>
      </w:r>
      <w:r w:rsidR="00417CB3" w:rsidRPr="006A747F">
        <w:rPr>
          <w:rFonts w:ascii="Book Antiqua" w:eastAsia="MS Mincho" w:hAnsi="Book Antiqua" w:cs="Times New Roman"/>
          <w:bCs/>
          <w:sz w:val="24"/>
          <w:szCs w:val="24"/>
        </w:rPr>
        <w:t>s</w:t>
      </w:r>
      <w:r w:rsidR="00CF34CC" w:rsidRPr="006A747F">
        <w:rPr>
          <w:rFonts w:ascii="Book Antiqua" w:eastAsia="MS Mincho" w:hAnsi="Book Antiqua" w:cs="Times New Roman"/>
          <w:bCs/>
          <w:sz w:val="24"/>
          <w:szCs w:val="24"/>
        </w:rPr>
        <w:t>considered statistically significant.</w:t>
      </w:r>
    </w:p>
    <w:p w14:paraId="416DBF70" w14:textId="77777777" w:rsidR="002169AA" w:rsidRPr="006A747F" w:rsidRDefault="002169AA" w:rsidP="00235EA3">
      <w:pPr>
        <w:snapToGrid w:val="0"/>
        <w:spacing w:line="360" w:lineRule="auto"/>
        <w:rPr>
          <w:rFonts w:ascii="Book Antiqua" w:eastAsia="MS Mincho" w:hAnsi="Book Antiqua" w:cs="Times New Roman"/>
          <w:b/>
          <w:bCs/>
          <w:sz w:val="24"/>
          <w:szCs w:val="24"/>
        </w:rPr>
      </w:pPr>
    </w:p>
    <w:p w14:paraId="2BB8A452" w14:textId="2F20D1B0" w:rsidR="00145899" w:rsidRPr="006A747F" w:rsidRDefault="00145899"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lastRenderedPageBreak/>
        <w:t>RESULTS</w:t>
      </w:r>
    </w:p>
    <w:p w14:paraId="3F9C91D7" w14:textId="77777777" w:rsidR="006929F7" w:rsidRPr="006A747F" w:rsidRDefault="006929F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Patient characteristics</w:t>
      </w:r>
    </w:p>
    <w:p w14:paraId="7493B773" w14:textId="31A58ED3" w:rsidR="006929F7" w:rsidRPr="006A747F" w:rsidRDefault="006929F7"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 xml:space="preserve">A total of 470 patients with stage I to III ESCC were initially treated with definitive treatments (ER: 125, surgery: 119, CRT: 173) between October 1992 and December 2000 as group A, whereas 443 patients with stage I to III ESCC were initially treated (ER: 159, surgery: 161, CRT: 123) between January 2006 and December 2008 as group B. Patients consisting of 254 in group A and 307 in group B were recruited in this study according to the </w:t>
      </w:r>
      <w:r w:rsidR="00915F22" w:rsidRPr="006A747F">
        <w:rPr>
          <w:rFonts w:ascii="Book Antiqua" w:eastAsia="MS Mincho" w:hAnsi="Book Antiqua" w:cs="Times New Roman"/>
          <w:bCs/>
          <w:sz w:val="24"/>
          <w:szCs w:val="24"/>
        </w:rPr>
        <w:t xml:space="preserve">eligibility </w:t>
      </w:r>
      <w:r w:rsidRPr="006A747F">
        <w:rPr>
          <w:rFonts w:ascii="Book Antiqua" w:eastAsia="MS Mincho" w:hAnsi="Book Antiqua" w:cs="Times New Roman"/>
          <w:bCs/>
          <w:sz w:val="24"/>
          <w:szCs w:val="24"/>
        </w:rPr>
        <w:t xml:space="preserve">criteria. The characteristics of these patients are shown in Table 1. The male-to-female ratio, clinical stage of ESCC, and the follow up period were not significantly different between group A and group B, however, median age was significantly higher in patients of group B than in patients of group </w:t>
      </w:r>
      <w:r w:rsidR="006242FD" w:rsidRPr="006A747F">
        <w:rPr>
          <w:rFonts w:ascii="Book Antiqua" w:eastAsia="MS Mincho" w:hAnsi="Book Antiqua" w:cs="Times New Roman"/>
          <w:bCs/>
          <w:sz w:val="24"/>
          <w:szCs w:val="24"/>
        </w:rPr>
        <w:t>A</w:t>
      </w:r>
      <w:r w:rsidRPr="006A747F">
        <w:rPr>
          <w:rFonts w:ascii="Book Antiqua" w:eastAsia="MS Mincho" w:hAnsi="Book Antiqua" w:cs="Times New Roman"/>
          <w:bCs/>
          <w:sz w:val="24"/>
          <w:szCs w:val="24"/>
        </w:rPr>
        <w:t>. There was a</w:t>
      </w:r>
      <w:r w:rsidR="005E6230" w:rsidRPr="006A747F">
        <w:rPr>
          <w:rFonts w:ascii="Book Antiqua" w:eastAsia="MS Mincho" w:hAnsi="Book Antiqua" w:cs="Times New Roman"/>
          <w:bCs/>
          <w:sz w:val="24"/>
          <w:szCs w:val="24"/>
        </w:rPr>
        <w:t xml:space="preserve"> significant</w:t>
      </w:r>
      <w:r w:rsidRPr="006A747F">
        <w:rPr>
          <w:rFonts w:ascii="Book Antiqua" w:eastAsia="MS Mincho" w:hAnsi="Book Antiqua" w:cs="Times New Roman"/>
          <w:bCs/>
          <w:sz w:val="24"/>
          <w:szCs w:val="24"/>
        </w:rPr>
        <w:t xml:space="preserve"> difference in a treatment for </w:t>
      </w:r>
      <w:r w:rsidR="005E6230" w:rsidRPr="006A747F">
        <w:rPr>
          <w:rFonts w:ascii="Book Antiqua" w:eastAsia="MS Mincho" w:hAnsi="Book Antiqua" w:cs="Times New Roman"/>
          <w:bCs/>
          <w:sz w:val="24"/>
          <w:szCs w:val="24"/>
        </w:rPr>
        <w:t>ESCC in both groups (</w:t>
      </w:r>
      <w:r w:rsidR="005E6230" w:rsidRPr="005C5CFE">
        <w:rPr>
          <w:rFonts w:ascii="Book Antiqua" w:eastAsia="MS Mincho" w:hAnsi="Book Antiqua" w:cs="Times New Roman"/>
          <w:bCs/>
          <w:i/>
          <w:caps/>
          <w:sz w:val="24"/>
          <w:szCs w:val="24"/>
        </w:rPr>
        <w:t>p</w:t>
      </w:r>
      <w:r w:rsidR="005C5CFE">
        <w:rPr>
          <w:rFonts w:ascii="Book Antiqua" w:eastAsia="MS Mincho" w:hAnsi="Book Antiqua" w:cs="Times New Roman"/>
          <w:bCs/>
          <w:sz w:val="24"/>
          <w:szCs w:val="24"/>
        </w:rPr>
        <w:t xml:space="preserve"> </w:t>
      </w:r>
      <w:r w:rsidR="005E6230" w:rsidRPr="006A747F">
        <w:rPr>
          <w:rFonts w:ascii="Book Antiqua" w:eastAsia="MS Mincho" w:hAnsi="Book Antiqua" w:cs="Times New Roman"/>
          <w:bCs/>
          <w:sz w:val="24"/>
          <w:szCs w:val="24"/>
        </w:rPr>
        <w:t>=</w:t>
      </w:r>
      <w:r w:rsidR="005C5CFE">
        <w:rPr>
          <w:rFonts w:ascii="Book Antiqua" w:eastAsia="MS Mincho" w:hAnsi="Book Antiqua" w:cs="Times New Roman"/>
          <w:bCs/>
          <w:sz w:val="24"/>
          <w:szCs w:val="24"/>
        </w:rPr>
        <w:t xml:space="preserve"> </w:t>
      </w:r>
      <w:r w:rsidR="005E6230" w:rsidRPr="006A747F">
        <w:rPr>
          <w:rFonts w:ascii="Book Antiqua" w:eastAsia="MS Mincho" w:hAnsi="Book Antiqua" w:cs="Times New Roman"/>
          <w:bCs/>
          <w:sz w:val="24"/>
          <w:szCs w:val="24"/>
        </w:rPr>
        <w:t>0.025): t</w:t>
      </w:r>
      <w:r w:rsidRPr="006A747F">
        <w:rPr>
          <w:rFonts w:ascii="Book Antiqua" w:eastAsia="MS Mincho" w:hAnsi="Book Antiqua" w:cs="Times New Roman"/>
          <w:bCs/>
          <w:sz w:val="24"/>
          <w:szCs w:val="24"/>
        </w:rPr>
        <w:t>he frequency of CRT were higher in group A (group A: 37%. Group B: 23%).</w:t>
      </w:r>
    </w:p>
    <w:p w14:paraId="3E1AE369" w14:textId="77777777" w:rsidR="00FD04DD" w:rsidRPr="006A747F" w:rsidRDefault="00FD04DD" w:rsidP="00235EA3">
      <w:pPr>
        <w:snapToGrid w:val="0"/>
        <w:spacing w:line="360" w:lineRule="auto"/>
        <w:rPr>
          <w:rFonts w:ascii="Book Antiqua" w:eastAsia="MS Mincho" w:hAnsi="Book Antiqua" w:cs="Times New Roman"/>
          <w:bCs/>
          <w:sz w:val="24"/>
          <w:szCs w:val="24"/>
        </w:rPr>
      </w:pPr>
    </w:p>
    <w:p w14:paraId="61F1A884" w14:textId="77777777" w:rsidR="006929F7" w:rsidRPr="006A747F" w:rsidRDefault="006929F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Synchronous HNSCC</w:t>
      </w:r>
    </w:p>
    <w:p w14:paraId="0EDAC5F8" w14:textId="17FA65A0" w:rsidR="006929F7" w:rsidRPr="006A747F" w:rsidRDefault="006929F7"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Synchronous superficial HNSCC was detected in only 1 patient (0.3%) in group A. In contrast, the synchronous superficial HNSCC was found in 12 (3.9%) patients in group B (</w:t>
      </w:r>
      <w:r w:rsidR="005C5CFE" w:rsidRPr="005C5CFE">
        <w:rPr>
          <w:rFonts w:ascii="Book Antiqua" w:eastAsia="MS Mincho" w:hAnsi="Book Antiqua" w:cs="Times New Roman"/>
          <w:bCs/>
          <w:i/>
          <w:caps/>
          <w:sz w:val="24"/>
          <w:szCs w:val="24"/>
        </w:rPr>
        <w:t>p</w:t>
      </w:r>
      <w:r w:rsidRPr="006A747F">
        <w:rPr>
          <w:rFonts w:ascii="Book Antiqua" w:eastAsia="MS Mincho" w:hAnsi="Book Antiqua" w:cs="Times New Roman"/>
          <w:bCs/>
          <w:sz w:val="24"/>
          <w:szCs w:val="24"/>
        </w:rPr>
        <w:t xml:space="preserve"> = 0.008) (Table 2). Among these all 13 patients, 9 patients (69%) were cured of ESCC and 7 of the 9 patients with synchronous HNSCC were treated after the treatment for ESCC. In these 7 patients who were treated for HNSCC, 5 patients underwent organ preserved local resection (ER or surgery). One patient with hypopharyngeal cancer in group A underwent radiotherapy and 1 patient with hypopharyngeal cancer in group B underwent total pharyngo-laryngo-esophagectomy (TPLE) because the tumor was located in a position where treatment to preserve laryngeal function was impossible. The remaining 4 patients did not receive any treatment for synchronous HNSCC because their ESCC was not cured. Most of the patients who were cured of ESCC and received treatment for superficial HNSCC had preserved </w:t>
      </w:r>
      <w:r w:rsidRPr="006A747F">
        <w:rPr>
          <w:rFonts w:ascii="Book Antiqua" w:eastAsia="MS Mincho" w:hAnsi="Book Antiqua" w:cs="Times New Roman"/>
          <w:bCs/>
          <w:sz w:val="24"/>
          <w:szCs w:val="24"/>
        </w:rPr>
        <w:lastRenderedPageBreak/>
        <w:t>laryngeal function. No patient died due to synchronous HNSCC in both groups.</w:t>
      </w:r>
    </w:p>
    <w:p w14:paraId="79E971CA" w14:textId="77777777" w:rsidR="006929F7" w:rsidRPr="006A747F" w:rsidRDefault="006929F7" w:rsidP="00235EA3">
      <w:pPr>
        <w:snapToGrid w:val="0"/>
        <w:spacing w:line="360" w:lineRule="auto"/>
        <w:rPr>
          <w:rFonts w:ascii="Book Antiqua" w:eastAsia="MS Mincho" w:hAnsi="Book Antiqua" w:cs="Times New Roman"/>
          <w:b/>
          <w:bCs/>
          <w:sz w:val="24"/>
          <w:szCs w:val="24"/>
        </w:rPr>
      </w:pPr>
    </w:p>
    <w:p w14:paraId="0BBF4327" w14:textId="77777777" w:rsidR="006929F7" w:rsidRPr="006A747F" w:rsidRDefault="006929F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Metachronous HNSCC</w:t>
      </w:r>
    </w:p>
    <w:p w14:paraId="437FF0E1" w14:textId="18FDCEA2" w:rsidR="006929F7" w:rsidRPr="006A747F" w:rsidRDefault="006929F7"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Metachronous HNSCC lesions were detected in 10 patients (3.9%) in group A and in 30 patients (9.8%) in group B (</w:t>
      </w:r>
      <w:r w:rsidR="005C5CFE" w:rsidRPr="005C5CFE">
        <w:rPr>
          <w:rFonts w:ascii="Book Antiqua" w:eastAsia="MS Mincho" w:hAnsi="Book Antiqua" w:cs="Times New Roman"/>
          <w:bCs/>
          <w:i/>
          <w:caps/>
          <w:sz w:val="24"/>
          <w:szCs w:val="24"/>
        </w:rPr>
        <w:t>p</w:t>
      </w:r>
      <w:r w:rsidRPr="006A747F">
        <w:rPr>
          <w:rFonts w:ascii="Book Antiqua" w:eastAsia="MS Mincho" w:hAnsi="Book Antiqua" w:cs="Times New Roman"/>
          <w:bCs/>
          <w:sz w:val="24"/>
          <w:szCs w:val="24"/>
        </w:rPr>
        <w:t xml:space="preserve"> = 0.008, Table 3). The cumulative risk of metachronous HNSCC after treatment of ESCC is shown in Figure 2. The 5-year cumulative risk of developing metachronous HNSCC after treatment f</w:t>
      </w:r>
      <w:r w:rsidR="005831CF" w:rsidRPr="006A747F">
        <w:rPr>
          <w:rFonts w:ascii="Book Antiqua" w:eastAsia="MS Mincho" w:hAnsi="Book Antiqua" w:cs="Times New Roman"/>
          <w:bCs/>
          <w:sz w:val="24"/>
          <w:szCs w:val="24"/>
        </w:rPr>
        <w:t>or ESCC was only 2.5%</w:t>
      </w:r>
      <w:r w:rsidRPr="006A747F">
        <w:rPr>
          <w:rFonts w:ascii="Book Antiqua" w:eastAsia="MS Mincho" w:hAnsi="Book Antiqua" w:cs="Times New Roman"/>
          <w:bCs/>
          <w:sz w:val="24"/>
          <w:szCs w:val="24"/>
        </w:rPr>
        <w:t xml:space="preserve"> in group A, whereas it was 8.7% in group B (</w:t>
      </w:r>
      <w:r w:rsidR="005C5CFE" w:rsidRPr="005C5CFE">
        <w:rPr>
          <w:rFonts w:ascii="Book Antiqua" w:eastAsia="MS Mincho" w:hAnsi="Book Antiqua" w:cs="Times New Roman"/>
          <w:bCs/>
          <w:i/>
          <w:caps/>
          <w:sz w:val="24"/>
          <w:szCs w:val="24"/>
        </w:rPr>
        <w:t>p</w:t>
      </w:r>
      <w:r w:rsidR="005C5CFE">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&lt;</w:t>
      </w:r>
      <w:r w:rsidR="005C5CFE">
        <w:rPr>
          <w:rFonts w:ascii="Book Antiqua" w:eastAsia="MS Mincho" w:hAnsi="Book Antiqua" w:cs="Times New Roman"/>
          <w:bCs/>
          <w:sz w:val="24"/>
          <w:szCs w:val="24"/>
        </w:rPr>
        <w:t xml:space="preserve"> </w:t>
      </w:r>
      <w:r w:rsidRPr="006A747F">
        <w:rPr>
          <w:rFonts w:ascii="Book Antiqua" w:eastAsia="MS Mincho" w:hAnsi="Book Antiqua" w:cs="Times New Roman"/>
          <w:bCs/>
          <w:sz w:val="24"/>
          <w:szCs w:val="24"/>
        </w:rPr>
        <w:t xml:space="preserve">0.001). </w:t>
      </w:r>
    </w:p>
    <w:p w14:paraId="1E48CD0B" w14:textId="6079815A" w:rsidR="006929F7" w:rsidRPr="006A747F" w:rsidRDefault="006929F7"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The characteristics of metachronous HNSCCs are shown in Table 3. Eleven metachronous HNSCC lesions were detected in 10 patients in group A, and 53 lesions in 30 patients in group B (</w:t>
      </w:r>
      <w:r w:rsidR="005C5CFE" w:rsidRPr="005C5CFE">
        <w:rPr>
          <w:rFonts w:ascii="Book Antiqua" w:eastAsia="MS Mincho" w:hAnsi="Book Antiqua" w:cs="Times New Roman"/>
          <w:bCs/>
          <w:i/>
          <w:caps/>
          <w:sz w:val="24"/>
          <w:szCs w:val="24"/>
        </w:rPr>
        <w:t>p</w:t>
      </w:r>
      <w:r w:rsidRPr="006A747F">
        <w:rPr>
          <w:rFonts w:ascii="Book Antiqua" w:eastAsia="MS Mincho" w:hAnsi="Book Antiqua" w:cs="Times New Roman"/>
          <w:bCs/>
          <w:sz w:val="24"/>
          <w:szCs w:val="24"/>
        </w:rPr>
        <w:t xml:space="preserve"> = 0.008). In the clinical stages of metachronous HNSCC, only 4 (36%) lesions were superficial type and stage I/II in group A, however, all 53 lesions were superficial lesions in group B (</w:t>
      </w:r>
      <w:r w:rsidR="005C5CFE" w:rsidRPr="005C5CFE">
        <w:rPr>
          <w:rFonts w:ascii="Book Antiqua" w:eastAsia="MS Mincho" w:hAnsi="Book Antiqua" w:cs="Times New Roman"/>
          <w:bCs/>
          <w:i/>
          <w:caps/>
          <w:sz w:val="24"/>
          <w:szCs w:val="24"/>
        </w:rPr>
        <w:t>p</w:t>
      </w:r>
      <w:r w:rsidRPr="006A747F">
        <w:rPr>
          <w:rFonts w:ascii="Book Antiqua" w:eastAsia="MS Mincho" w:hAnsi="Book Antiqua" w:cs="Times New Roman"/>
          <w:bCs/>
          <w:sz w:val="24"/>
          <w:szCs w:val="24"/>
        </w:rPr>
        <w:t xml:space="preserve"> &lt; 0.001), and these lesions were stage I/II. </w:t>
      </w:r>
    </w:p>
    <w:p w14:paraId="69EEE8A6" w14:textId="77777777" w:rsidR="006929F7" w:rsidRPr="005C5CFE" w:rsidRDefault="006929F7" w:rsidP="00235EA3">
      <w:pPr>
        <w:snapToGrid w:val="0"/>
        <w:spacing w:line="360" w:lineRule="auto"/>
        <w:rPr>
          <w:rFonts w:ascii="Book Antiqua" w:eastAsia="MS Mincho" w:hAnsi="Book Antiqua" w:cs="Times New Roman"/>
          <w:bCs/>
          <w:sz w:val="24"/>
          <w:szCs w:val="24"/>
        </w:rPr>
      </w:pPr>
    </w:p>
    <w:p w14:paraId="0D60175A" w14:textId="77777777" w:rsidR="006929F7" w:rsidRPr="006A747F" w:rsidRDefault="006929F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Clinical course of patients with metachronous HNSCC</w:t>
      </w:r>
    </w:p>
    <w:p w14:paraId="3A6C9284" w14:textId="114A673A" w:rsidR="006929F7" w:rsidRPr="006A747F" w:rsidRDefault="006929F7"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The clinical course of patients with metachronous HNSCC is shown in Table 4. There were no patients i</w:t>
      </w:r>
      <w:r w:rsidR="00817584" w:rsidRPr="006A747F">
        <w:rPr>
          <w:rFonts w:ascii="Book Antiqua" w:eastAsia="MS Mincho" w:hAnsi="Book Antiqua" w:cs="Times New Roman"/>
          <w:bCs/>
          <w:sz w:val="24"/>
          <w:szCs w:val="24"/>
        </w:rPr>
        <w:t xml:space="preserve">n group A who </w:t>
      </w:r>
      <w:r w:rsidRPr="006A747F">
        <w:rPr>
          <w:rFonts w:ascii="Book Antiqua" w:eastAsia="MS Mincho" w:hAnsi="Book Antiqua" w:cs="Times New Roman"/>
          <w:bCs/>
          <w:sz w:val="24"/>
          <w:szCs w:val="24"/>
        </w:rPr>
        <w:t xml:space="preserve">underwent ER as an initial therapy. Of 10 patients in group A, 7 (70%) who were detected metachronous HNSCC had stage III/IV HNSCC at diagnosis. In these 7 patients, only one patient who received radiotherapy </w:t>
      </w:r>
      <w:r w:rsidR="005E6230" w:rsidRPr="006A747F">
        <w:rPr>
          <w:rFonts w:ascii="Book Antiqua" w:eastAsia="MS Mincho" w:hAnsi="Book Antiqua" w:cs="Times New Roman"/>
          <w:bCs/>
          <w:sz w:val="24"/>
          <w:szCs w:val="24"/>
        </w:rPr>
        <w:t>achieved a cure for</w:t>
      </w:r>
      <w:r w:rsidR="005C5CFE">
        <w:rPr>
          <w:rFonts w:ascii="Book Antiqua" w:eastAsia="MS Mincho" w:hAnsi="Book Antiqua" w:cs="Times New Roman"/>
          <w:bCs/>
          <w:sz w:val="24"/>
          <w:szCs w:val="24"/>
        </w:rPr>
        <w:t xml:space="preserve"> HNSCC.</w:t>
      </w:r>
    </w:p>
    <w:p w14:paraId="723D9BFB" w14:textId="79715CD0" w:rsidR="006929F7" w:rsidRPr="006A747F" w:rsidRDefault="006929F7"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In contrast, metachronous HNSCC was found in 30 patients with 53 lesions in group B (Table 4). Furthermore, all the 53 lesions were superficial cancer alone. ER was performed in</w:t>
      </w:r>
      <w:r w:rsidR="005E6230" w:rsidRPr="006A747F">
        <w:rPr>
          <w:rFonts w:ascii="Book Antiqua" w:eastAsia="MS Mincho" w:hAnsi="Book Antiqua" w:cs="Times New Roman"/>
          <w:bCs/>
          <w:sz w:val="24"/>
          <w:szCs w:val="24"/>
        </w:rPr>
        <w:t xml:space="preserve"> 44 of the 53 lesions and </w:t>
      </w:r>
      <w:r w:rsidRPr="006A747F">
        <w:rPr>
          <w:rFonts w:ascii="Book Antiqua" w:eastAsia="MS Mincho" w:hAnsi="Book Antiqua" w:cs="Times New Roman"/>
          <w:bCs/>
          <w:sz w:val="24"/>
          <w:szCs w:val="24"/>
        </w:rPr>
        <w:t xml:space="preserve">only 2 of 44 lesions had local recurrence. One of the 2 patients </w:t>
      </w:r>
      <w:r w:rsidR="005E6230" w:rsidRPr="006A747F">
        <w:rPr>
          <w:rFonts w:ascii="Book Antiqua" w:eastAsia="MS Mincho" w:hAnsi="Book Antiqua" w:cs="Times New Roman"/>
          <w:bCs/>
          <w:sz w:val="24"/>
          <w:szCs w:val="24"/>
        </w:rPr>
        <w:t xml:space="preserve">had re-ER </w:t>
      </w:r>
      <w:r w:rsidRPr="006A747F">
        <w:rPr>
          <w:rFonts w:ascii="Book Antiqua" w:eastAsia="MS Mincho" w:hAnsi="Book Antiqua" w:cs="Times New Roman"/>
          <w:bCs/>
          <w:sz w:val="24"/>
          <w:szCs w:val="24"/>
        </w:rPr>
        <w:t xml:space="preserve">and was cured, and another patient </w:t>
      </w:r>
      <w:r w:rsidR="005E6230" w:rsidRPr="006A747F">
        <w:rPr>
          <w:rFonts w:ascii="Book Antiqua" w:eastAsia="MS Mincho" w:hAnsi="Book Antiqua" w:cs="Times New Roman"/>
          <w:bCs/>
          <w:sz w:val="24"/>
          <w:szCs w:val="24"/>
        </w:rPr>
        <w:t xml:space="preserve">has </w:t>
      </w:r>
      <w:r w:rsidRPr="006A747F">
        <w:rPr>
          <w:rFonts w:ascii="Book Antiqua" w:eastAsia="MS Mincho" w:hAnsi="Book Antiqua" w:cs="Times New Roman"/>
          <w:bCs/>
          <w:sz w:val="24"/>
          <w:szCs w:val="24"/>
        </w:rPr>
        <w:t xml:space="preserve">not </w:t>
      </w:r>
      <w:r w:rsidR="005E6230" w:rsidRPr="006A747F">
        <w:rPr>
          <w:rFonts w:ascii="Book Antiqua" w:eastAsia="MS Mincho" w:hAnsi="Book Antiqua" w:cs="Times New Roman"/>
          <w:bCs/>
          <w:sz w:val="24"/>
          <w:szCs w:val="24"/>
        </w:rPr>
        <w:t xml:space="preserve">receive any </w:t>
      </w:r>
      <w:r w:rsidRPr="006A747F">
        <w:rPr>
          <w:rFonts w:ascii="Book Antiqua" w:eastAsia="MS Mincho" w:hAnsi="Book Antiqua" w:cs="Times New Roman"/>
          <w:bCs/>
          <w:sz w:val="24"/>
          <w:szCs w:val="24"/>
        </w:rPr>
        <w:t>active treatment</w:t>
      </w:r>
      <w:r w:rsidR="005E6230" w:rsidRPr="006A747F">
        <w:rPr>
          <w:rFonts w:ascii="Book Antiqua" w:eastAsia="MS Mincho" w:hAnsi="Book Antiqua" w:cs="Times New Roman"/>
          <w:bCs/>
          <w:sz w:val="24"/>
          <w:szCs w:val="24"/>
        </w:rPr>
        <w:t>s</w:t>
      </w:r>
      <w:r w:rsidRPr="006A747F">
        <w:rPr>
          <w:rFonts w:ascii="Book Antiqua" w:eastAsia="MS Mincho" w:hAnsi="Book Antiqua" w:cs="Times New Roman"/>
          <w:bCs/>
          <w:sz w:val="24"/>
          <w:szCs w:val="24"/>
        </w:rPr>
        <w:t xml:space="preserve"> for the superficial cancer. There were no patients who developed lymph node or distant metastasis within the observation period. In addition, 2 patients were received RT alone, and the </w:t>
      </w:r>
      <w:r w:rsidRPr="006A747F">
        <w:rPr>
          <w:rFonts w:ascii="Book Antiqua" w:eastAsia="MS Mincho" w:hAnsi="Book Antiqua" w:cs="Times New Roman"/>
          <w:bCs/>
          <w:sz w:val="24"/>
          <w:szCs w:val="24"/>
        </w:rPr>
        <w:lastRenderedPageBreak/>
        <w:t xml:space="preserve">remaining 2 were not treated for HNSCC because their ESCC recurred after </w:t>
      </w:r>
      <w:r w:rsidR="005C5CFE">
        <w:rPr>
          <w:rFonts w:ascii="Book Antiqua" w:eastAsia="MS Mincho" w:hAnsi="Book Antiqua" w:cs="Times New Roman"/>
          <w:bCs/>
          <w:sz w:val="24"/>
          <w:szCs w:val="24"/>
        </w:rPr>
        <w:t>the initial treatment for ESCC.</w:t>
      </w:r>
    </w:p>
    <w:p w14:paraId="4095D7B5" w14:textId="3468CF7D" w:rsidR="006929F7" w:rsidRPr="006A747F" w:rsidRDefault="00817584" w:rsidP="00235EA3">
      <w:pPr>
        <w:snapToGrid w:val="0"/>
        <w:spacing w:line="360" w:lineRule="auto"/>
        <w:ind w:firstLineChars="100" w:firstLine="240"/>
        <w:rPr>
          <w:rFonts w:ascii="Book Antiqua" w:eastAsia="MS Mincho" w:hAnsi="Book Antiqua" w:cs="Times New Roman"/>
          <w:bCs/>
          <w:sz w:val="24"/>
          <w:szCs w:val="24"/>
        </w:rPr>
      </w:pPr>
      <w:r w:rsidRPr="006A747F">
        <w:rPr>
          <w:rFonts w:ascii="Book Antiqua" w:eastAsia="MS Mincho" w:hAnsi="Book Antiqua" w:cs="Times New Roman"/>
          <w:bCs/>
          <w:sz w:val="24"/>
          <w:szCs w:val="24"/>
        </w:rPr>
        <w:t>As serious events</w:t>
      </w:r>
      <w:r w:rsidR="006929F7" w:rsidRPr="006A747F">
        <w:rPr>
          <w:rFonts w:ascii="Book Antiqua" w:eastAsia="MS Mincho" w:hAnsi="Book Antiqua" w:cs="Times New Roman"/>
          <w:bCs/>
          <w:sz w:val="24"/>
          <w:szCs w:val="24"/>
        </w:rPr>
        <w:t xml:space="preserve">, the 7 of 10 patients in group A died due to cancer, and 6 of the 7 patients died due to </w:t>
      </w:r>
      <w:r w:rsidR="00EF79BD" w:rsidRPr="006A747F">
        <w:rPr>
          <w:rFonts w:ascii="Book Antiqua" w:eastAsia="MS Mincho" w:hAnsi="Book Antiqua" w:cs="Times New Roman"/>
          <w:bCs/>
          <w:sz w:val="24"/>
          <w:szCs w:val="24"/>
        </w:rPr>
        <w:t>metachronous HN</w:t>
      </w:r>
      <w:r w:rsidR="006929F7" w:rsidRPr="006A747F">
        <w:rPr>
          <w:rFonts w:ascii="Book Antiqua" w:eastAsia="MS Mincho" w:hAnsi="Book Antiqua" w:cs="Times New Roman"/>
          <w:bCs/>
          <w:sz w:val="24"/>
          <w:szCs w:val="24"/>
        </w:rPr>
        <w:t xml:space="preserve">SCC (group A: 60%. Group B: 0%. </w:t>
      </w:r>
      <w:r w:rsidR="00821DA2" w:rsidRPr="005C5CFE">
        <w:rPr>
          <w:rFonts w:ascii="Book Antiqua" w:eastAsia="MS Mincho" w:hAnsi="Book Antiqua" w:cs="Times New Roman"/>
          <w:bCs/>
          <w:i/>
          <w:caps/>
          <w:sz w:val="24"/>
          <w:szCs w:val="24"/>
        </w:rPr>
        <w:t>p</w:t>
      </w:r>
      <w:r w:rsidR="00821DA2" w:rsidRPr="006A747F">
        <w:rPr>
          <w:rFonts w:ascii="Book Antiqua" w:eastAsia="MS Mincho" w:hAnsi="Book Antiqua" w:cs="Times New Roman"/>
          <w:bCs/>
          <w:sz w:val="24"/>
          <w:szCs w:val="24"/>
        </w:rPr>
        <w:t xml:space="preserve"> </w:t>
      </w:r>
      <w:r w:rsidR="006929F7" w:rsidRPr="006A747F">
        <w:rPr>
          <w:rFonts w:ascii="Book Antiqua" w:eastAsia="MS Mincho" w:hAnsi="Book Antiqua" w:cs="Times New Roman"/>
          <w:bCs/>
          <w:sz w:val="24"/>
          <w:szCs w:val="24"/>
        </w:rPr>
        <w:t>&lt;</w:t>
      </w:r>
      <w:r w:rsidR="00821DA2">
        <w:rPr>
          <w:rFonts w:ascii="Book Antiqua" w:eastAsia="MS Mincho" w:hAnsi="Book Antiqua" w:cs="Times New Roman"/>
          <w:bCs/>
          <w:sz w:val="24"/>
          <w:szCs w:val="24"/>
        </w:rPr>
        <w:t xml:space="preserve"> </w:t>
      </w:r>
      <w:r w:rsidR="006929F7" w:rsidRPr="006A747F">
        <w:rPr>
          <w:rFonts w:ascii="Book Antiqua" w:eastAsia="MS Mincho" w:hAnsi="Book Antiqua" w:cs="Times New Roman"/>
          <w:bCs/>
          <w:sz w:val="24"/>
          <w:szCs w:val="24"/>
        </w:rPr>
        <w:t>0.001, Table 4). Furthermore, 6 of the 10 patients (60%) in group A who were detected in metachronous HNSCC lost laryngeal function due to intensive treatment, otherwise none of the 30 patients with the 53 lesions in group B lost laryngeal function (</w:t>
      </w:r>
      <w:r w:rsidR="00821DA2" w:rsidRPr="005C5CFE">
        <w:rPr>
          <w:rFonts w:ascii="Book Antiqua" w:eastAsia="MS Mincho" w:hAnsi="Book Antiqua" w:cs="Times New Roman"/>
          <w:bCs/>
          <w:i/>
          <w:caps/>
          <w:sz w:val="24"/>
          <w:szCs w:val="24"/>
        </w:rPr>
        <w:t>p</w:t>
      </w:r>
      <w:r w:rsidR="00821DA2" w:rsidRPr="006A747F">
        <w:rPr>
          <w:rFonts w:ascii="Book Antiqua" w:eastAsia="MS Mincho" w:hAnsi="Book Antiqua" w:cs="Times New Roman"/>
          <w:bCs/>
          <w:sz w:val="24"/>
          <w:szCs w:val="24"/>
        </w:rPr>
        <w:t xml:space="preserve"> </w:t>
      </w:r>
      <w:r w:rsidR="006929F7" w:rsidRPr="006A747F">
        <w:rPr>
          <w:rFonts w:ascii="Book Antiqua" w:eastAsia="MS Mincho" w:hAnsi="Book Antiqua" w:cs="Times New Roman"/>
          <w:bCs/>
          <w:sz w:val="24"/>
          <w:szCs w:val="24"/>
        </w:rPr>
        <w:t>&lt;</w:t>
      </w:r>
      <w:r w:rsidR="00821DA2">
        <w:rPr>
          <w:rFonts w:ascii="Book Antiqua" w:eastAsia="MS Mincho" w:hAnsi="Book Antiqua" w:cs="Times New Roman"/>
          <w:bCs/>
          <w:sz w:val="24"/>
          <w:szCs w:val="24"/>
        </w:rPr>
        <w:t xml:space="preserve"> 0.001).</w:t>
      </w:r>
    </w:p>
    <w:p w14:paraId="4F810768" w14:textId="77777777" w:rsidR="006929F7" w:rsidRPr="006A747F" w:rsidRDefault="006929F7" w:rsidP="00235EA3">
      <w:pPr>
        <w:snapToGrid w:val="0"/>
        <w:spacing w:line="360" w:lineRule="auto"/>
        <w:rPr>
          <w:rFonts w:ascii="Book Antiqua" w:eastAsia="MS Mincho" w:hAnsi="Book Antiqua" w:cs="Times New Roman"/>
          <w:bCs/>
          <w:sz w:val="24"/>
          <w:szCs w:val="24"/>
        </w:rPr>
      </w:pPr>
    </w:p>
    <w:p w14:paraId="2405F3A7" w14:textId="77777777" w:rsidR="006929F7" w:rsidRPr="006A747F" w:rsidRDefault="006929F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Clinical outcome of all patients with ESCC</w:t>
      </w:r>
    </w:p>
    <w:p w14:paraId="6584B501" w14:textId="5EB836AC" w:rsidR="00145899" w:rsidRPr="006A747F" w:rsidRDefault="006929F7"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 xml:space="preserve">Clinical outcome is shown in Table 5. A total of 82 (32%) patients in group A and 53 (17%) patients in group B died during the follow up periods. While there was no significant difference in the frequency of deaths due to the progression of ESCC between both groups </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group A </w:t>
      </w:r>
      <w:r w:rsidRPr="00821DA2">
        <w:rPr>
          <w:rFonts w:ascii="Book Antiqua" w:eastAsia="MS Mincho" w:hAnsi="Book Antiqua" w:cs="Times New Roman"/>
          <w:bCs/>
          <w:i/>
          <w:sz w:val="24"/>
          <w:szCs w:val="24"/>
        </w:rPr>
        <w:t xml:space="preserve">vs </w:t>
      </w:r>
      <w:r w:rsidRPr="006A747F">
        <w:rPr>
          <w:rFonts w:ascii="Book Antiqua" w:eastAsia="MS Mincho" w:hAnsi="Book Antiqua" w:cs="Times New Roman"/>
          <w:bCs/>
          <w:sz w:val="24"/>
          <w:szCs w:val="24"/>
        </w:rPr>
        <w:t xml:space="preserve">B: 43 </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17%</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Pr="00821DA2">
        <w:rPr>
          <w:rFonts w:ascii="Book Antiqua" w:eastAsia="MS Mincho" w:hAnsi="Book Antiqua" w:cs="Times New Roman"/>
          <w:bCs/>
          <w:i/>
          <w:sz w:val="24"/>
          <w:szCs w:val="24"/>
        </w:rPr>
        <w:t>vs</w:t>
      </w:r>
      <w:r w:rsidRPr="006A747F">
        <w:rPr>
          <w:rFonts w:ascii="Book Antiqua" w:eastAsia="MS Mincho" w:hAnsi="Book Antiqua" w:cs="Times New Roman"/>
          <w:bCs/>
          <w:sz w:val="24"/>
          <w:szCs w:val="24"/>
        </w:rPr>
        <w:t xml:space="preserve"> 41 </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13%</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00821DA2" w:rsidRPr="005C5CFE">
        <w:rPr>
          <w:rFonts w:ascii="Book Antiqua" w:eastAsia="MS Mincho" w:hAnsi="Book Antiqua" w:cs="Times New Roman"/>
          <w:bCs/>
          <w:i/>
          <w:caps/>
          <w:sz w:val="24"/>
          <w:szCs w:val="24"/>
        </w:rPr>
        <w:t>p</w:t>
      </w:r>
      <w:r w:rsidRPr="006A747F">
        <w:rPr>
          <w:rFonts w:ascii="Book Antiqua" w:eastAsia="MS Mincho" w:hAnsi="Book Antiqua" w:cs="Times New Roman"/>
          <w:bCs/>
          <w:sz w:val="24"/>
          <w:szCs w:val="24"/>
        </w:rPr>
        <w:t xml:space="preserve"> = 0.28</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 the deaths related to metachronous HNSCC were more frequent in group A (</w:t>
      </w:r>
      <w:r w:rsidR="00821DA2" w:rsidRPr="006A747F">
        <w:rPr>
          <w:rFonts w:ascii="Book Antiqua" w:eastAsia="MS Mincho" w:hAnsi="Book Antiqua" w:cs="Times New Roman"/>
          <w:bCs/>
          <w:sz w:val="24"/>
          <w:szCs w:val="24"/>
        </w:rPr>
        <w:t xml:space="preserve">group A </w:t>
      </w:r>
      <w:r w:rsidR="00821DA2" w:rsidRPr="00821DA2">
        <w:rPr>
          <w:rFonts w:ascii="Book Antiqua" w:eastAsia="MS Mincho" w:hAnsi="Book Antiqua" w:cs="Times New Roman"/>
          <w:bCs/>
          <w:i/>
          <w:sz w:val="24"/>
          <w:szCs w:val="24"/>
        </w:rPr>
        <w:t xml:space="preserve">vs </w:t>
      </w:r>
      <w:r w:rsidR="00821DA2">
        <w:rPr>
          <w:rFonts w:ascii="Book Antiqua" w:eastAsia="MS Mincho" w:hAnsi="Book Antiqua" w:cs="Times New Roman"/>
          <w:bCs/>
          <w:sz w:val="24"/>
          <w:szCs w:val="24"/>
        </w:rPr>
        <w:t>B</w:t>
      </w:r>
      <w:r w:rsidRPr="006A747F">
        <w:rPr>
          <w:rFonts w:ascii="Book Antiqua" w:eastAsia="MS Mincho" w:hAnsi="Book Antiqua" w:cs="Times New Roman"/>
          <w:bCs/>
          <w:sz w:val="24"/>
          <w:szCs w:val="24"/>
        </w:rPr>
        <w:t xml:space="preserve">: 6 </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2.4%</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Pr="00821DA2">
        <w:rPr>
          <w:rFonts w:ascii="Book Antiqua" w:eastAsia="MS Mincho" w:hAnsi="Book Antiqua" w:cs="Times New Roman"/>
          <w:bCs/>
          <w:i/>
          <w:sz w:val="24"/>
          <w:szCs w:val="24"/>
        </w:rPr>
        <w:t>vs</w:t>
      </w:r>
      <w:r w:rsidRPr="006A747F">
        <w:rPr>
          <w:rFonts w:ascii="Book Antiqua" w:eastAsia="MS Mincho" w:hAnsi="Book Antiqua" w:cs="Times New Roman"/>
          <w:bCs/>
          <w:sz w:val="24"/>
          <w:szCs w:val="24"/>
        </w:rPr>
        <w:t xml:space="preserve"> 0 </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0%</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00821DA2" w:rsidRPr="005C5CFE">
        <w:rPr>
          <w:rFonts w:ascii="Book Antiqua" w:eastAsia="MS Mincho" w:hAnsi="Book Antiqua" w:cs="Times New Roman"/>
          <w:bCs/>
          <w:i/>
          <w:caps/>
          <w:sz w:val="24"/>
          <w:szCs w:val="24"/>
        </w:rPr>
        <w:t>p</w:t>
      </w:r>
      <w:r w:rsidRPr="006A747F">
        <w:rPr>
          <w:rFonts w:ascii="Book Antiqua" w:eastAsia="MS Mincho" w:hAnsi="Book Antiqua" w:cs="Times New Roman"/>
          <w:bCs/>
          <w:sz w:val="24"/>
          <w:szCs w:val="24"/>
        </w:rPr>
        <w:t xml:space="preserve"> = 0.008</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In contrast, other noncancerous diseases or unknown sudden death </w:t>
      </w:r>
      <w:r w:rsidR="00264721" w:rsidRPr="006A747F">
        <w:rPr>
          <w:rFonts w:ascii="Book Antiqua" w:eastAsia="MS Mincho" w:hAnsi="Book Antiqua" w:cs="Times New Roman"/>
          <w:bCs/>
          <w:sz w:val="24"/>
          <w:szCs w:val="24"/>
        </w:rPr>
        <w:t xml:space="preserve">which might be late toxicity of RT for ESCC </w:t>
      </w:r>
      <w:r w:rsidRPr="006A747F">
        <w:rPr>
          <w:rFonts w:ascii="Book Antiqua" w:eastAsia="MS Mincho" w:hAnsi="Book Antiqua" w:cs="Times New Roman"/>
          <w:bCs/>
          <w:sz w:val="24"/>
          <w:szCs w:val="24"/>
        </w:rPr>
        <w:t xml:space="preserve">were more frequent in group A </w:t>
      </w:r>
      <w:r w:rsidR="00821DA2" w:rsidRPr="006A747F">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27 </w:t>
      </w:r>
      <w:r w:rsidR="00821DA2" w:rsidRPr="006A747F">
        <w:rPr>
          <w:rFonts w:ascii="Book Antiqua" w:eastAsia="MS Mincho" w:hAnsi="Book Antiqua" w:cs="Times New Roman"/>
          <w:bCs/>
          <w:sz w:val="24"/>
          <w:szCs w:val="24"/>
        </w:rPr>
        <w:t>(</w:t>
      </w:r>
      <w:r w:rsidRPr="006A747F">
        <w:rPr>
          <w:rFonts w:ascii="Book Antiqua" w:eastAsia="MS Mincho" w:hAnsi="Book Antiqua" w:cs="Times New Roman"/>
          <w:bCs/>
          <w:sz w:val="24"/>
          <w:szCs w:val="24"/>
        </w:rPr>
        <w:t>11%</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Pr="00821DA2">
        <w:rPr>
          <w:rFonts w:ascii="Book Antiqua" w:eastAsia="MS Mincho" w:hAnsi="Book Antiqua" w:cs="Times New Roman"/>
          <w:bCs/>
          <w:i/>
          <w:sz w:val="24"/>
          <w:szCs w:val="24"/>
        </w:rPr>
        <w:t>vs</w:t>
      </w:r>
      <w:r w:rsidRPr="006A747F">
        <w:rPr>
          <w:rFonts w:ascii="Book Antiqua" w:eastAsia="MS Mincho" w:hAnsi="Book Antiqua" w:cs="Times New Roman"/>
          <w:bCs/>
          <w:sz w:val="24"/>
          <w:szCs w:val="24"/>
        </w:rPr>
        <w:t xml:space="preserve"> 8 </w:t>
      </w:r>
      <w:r w:rsidR="00821DA2">
        <w:rPr>
          <w:rFonts w:ascii="Book Antiqua" w:eastAsia="MS Mincho" w:hAnsi="Book Antiqua" w:cs="Times New Roman"/>
          <w:bCs/>
          <w:sz w:val="24"/>
          <w:szCs w:val="24"/>
        </w:rPr>
        <w:t>(</w:t>
      </w:r>
      <w:r w:rsidRPr="006A747F">
        <w:rPr>
          <w:rFonts w:ascii="Book Antiqua" w:eastAsia="MS Mincho" w:hAnsi="Book Antiqua" w:cs="Times New Roman"/>
          <w:bCs/>
          <w:sz w:val="24"/>
          <w:szCs w:val="24"/>
        </w:rPr>
        <w:t>2.6%</w:t>
      </w:r>
      <w:r w:rsidR="00821DA2" w:rsidRPr="006A747F">
        <w:rPr>
          <w:rFonts w:ascii="Book Antiqua" w:eastAsia="MS Mincho" w:hAnsi="Book Antiqua" w:cs="Times New Roman"/>
          <w:bCs/>
          <w:sz w:val="24"/>
          <w:szCs w:val="24"/>
        </w:rPr>
        <w:t>)</w:t>
      </w:r>
      <w:r w:rsidRPr="006A747F">
        <w:rPr>
          <w:rFonts w:ascii="Book Antiqua" w:eastAsia="MS Mincho" w:hAnsi="Book Antiqua" w:cs="Times New Roman"/>
          <w:bCs/>
          <w:sz w:val="24"/>
          <w:szCs w:val="24"/>
        </w:rPr>
        <w:t xml:space="preserve">, </w:t>
      </w:r>
      <w:r w:rsidRPr="00821DA2">
        <w:rPr>
          <w:rFonts w:ascii="Book Antiqua" w:eastAsia="MS Mincho" w:hAnsi="Book Antiqua" w:cs="Times New Roman"/>
          <w:bCs/>
          <w:i/>
          <w:caps/>
          <w:sz w:val="24"/>
          <w:szCs w:val="24"/>
        </w:rPr>
        <w:t>p</w:t>
      </w:r>
      <w:r w:rsidRPr="006A747F">
        <w:rPr>
          <w:rFonts w:ascii="Book Antiqua" w:eastAsia="MS Mincho" w:hAnsi="Book Antiqua" w:cs="Times New Roman"/>
          <w:bCs/>
          <w:sz w:val="24"/>
          <w:szCs w:val="24"/>
        </w:rPr>
        <w:t xml:space="preserve"> &lt; 0.001</w:t>
      </w:r>
      <w:r w:rsidR="00821DA2" w:rsidRPr="006A747F">
        <w:rPr>
          <w:rFonts w:ascii="Book Antiqua" w:eastAsia="MS Mincho" w:hAnsi="Book Antiqua" w:cs="Times New Roman"/>
          <w:bCs/>
          <w:sz w:val="24"/>
          <w:szCs w:val="24"/>
        </w:rPr>
        <w:t>]</w:t>
      </w:r>
      <w:r w:rsidRPr="006A747F">
        <w:rPr>
          <w:rFonts w:ascii="Book Antiqua" w:eastAsia="MS Mincho" w:hAnsi="Book Antiqua" w:cs="Times New Roman"/>
          <w:bCs/>
          <w:sz w:val="24"/>
          <w:szCs w:val="24"/>
        </w:rPr>
        <w:t>.</w:t>
      </w:r>
    </w:p>
    <w:p w14:paraId="23A7B30B" w14:textId="77777777" w:rsidR="006929F7" w:rsidRPr="00821DA2" w:rsidRDefault="006929F7" w:rsidP="00235EA3">
      <w:pPr>
        <w:snapToGrid w:val="0"/>
        <w:spacing w:line="360" w:lineRule="auto"/>
        <w:rPr>
          <w:rFonts w:ascii="Book Antiqua" w:eastAsia="MS Mincho" w:hAnsi="Book Antiqua" w:cs="Times New Roman"/>
          <w:b/>
          <w:bCs/>
          <w:sz w:val="24"/>
          <w:szCs w:val="24"/>
        </w:rPr>
      </w:pPr>
    </w:p>
    <w:p w14:paraId="19191D1D" w14:textId="5C328E39" w:rsidR="00145899" w:rsidRPr="006A747F" w:rsidRDefault="00145899"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t>DISCUSSION</w:t>
      </w:r>
    </w:p>
    <w:p w14:paraId="0A78C646" w14:textId="19B7208C" w:rsidR="007246B1" w:rsidRPr="006A747F" w:rsidRDefault="007246B1" w:rsidP="00235EA3">
      <w:pPr>
        <w:autoSpaceDE w:val="0"/>
        <w:autoSpaceDN w:val="0"/>
        <w:adjustRightInd w:val="0"/>
        <w:snapToGrid w:val="0"/>
        <w:spacing w:line="360" w:lineRule="auto"/>
        <w:rPr>
          <w:rFonts w:ascii="Book Antiqua" w:eastAsia="MS Mincho" w:hAnsi="Book Antiqua" w:cs="Times New Roman"/>
          <w:sz w:val="24"/>
          <w:szCs w:val="24"/>
        </w:rPr>
      </w:pPr>
      <w:r w:rsidRPr="006A747F">
        <w:rPr>
          <w:rFonts w:ascii="Book Antiqua" w:eastAsia="MS Mincho" w:hAnsi="Book Antiqua" w:cs="Times New Roman"/>
          <w:sz w:val="24"/>
          <w:szCs w:val="24"/>
        </w:rPr>
        <w:t>This is the first study to investigate the clinical significance of early detection and intervention to second primary HNSCC in ESCC patients.</w:t>
      </w:r>
      <w:r w:rsidRPr="006A747F">
        <w:rPr>
          <w:rFonts w:ascii="Book Antiqua" w:eastAsia="MS Mincho" w:hAnsi="Book Antiqua" w:cs="Times New Roman"/>
          <w:color w:val="000000" w:themeColor="text1"/>
          <w:sz w:val="24"/>
          <w:szCs w:val="24"/>
        </w:rPr>
        <w:t xml:space="preserve"> </w:t>
      </w:r>
      <w:r w:rsidRPr="006A747F">
        <w:rPr>
          <w:rFonts w:ascii="Book Antiqua" w:eastAsia="MS Mincho" w:hAnsi="Book Antiqua" w:cs="Times New Roman"/>
          <w:sz w:val="24"/>
          <w:szCs w:val="24"/>
        </w:rPr>
        <w:t>The innovation of NBI has allowed for the early diagnosis of head and neck cancer. The NBI technique could significantly improve the efficacy of screening and surveillance of HN region, especially the lesions at oropharyngeal and hypopharyngeal mucosal sites. In previous reports, NBI screening was undertaken for the HN region (10%-13%) in ESCC patients</w:t>
      </w:r>
      <w:r w:rsidR="00A35A44" w:rsidRPr="006A747F">
        <w:rPr>
          <w:rFonts w:ascii="Book Antiqua" w:eastAsia="MS Mincho" w:hAnsi="Book Antiqua" w:cs="Times New Roman"/>
          <w:sz w:val="24"/>
          <w:szCs w:val="24"/>
          <w:vertAlign w:val="superscript"/>
        </w:rPr>
        <w:t>[3,4]</w:t>
      </w:r>
      <w:r w:rsidRPr="006A747F">
        <w:rPr>
          <w:rFonts w:ascii="Book Antiqua" w:eastAsia="MS Mincho" w:hAnsi="Book Antiqua" w:cs="Times New Roman"/>
          <w:sz w:val="24"/>
          <w:szCs w:val="24"/>
        </w:rPr>
        <w:t>.</w:t>
      </w:r>
      <w:r w:rsidR="00821DA2">
        <w:rPr>
          <w:rFonts w:ascii="Book Antiqua" w:eastAsia="MS Mincho" w:hAnsi="Book Antiqua" w:cs="Times New Roman"/>
          <w:sz w:val="24"/>
          <w:szCs w:val="24"/>
        </w:rPr>
        <w:t xml:space="preserve"> </w:t>
      </w:r>
      <w:r w:rsidRPr="006A747F">
        <w:rPr>
          <w:rFonts w:ascii="Book Antiqua" w:eastAsia="MS Mincho" w:hAnsi="Book Antiqua" w:cs="Times New Roman"/>
          <w:sz w:val="24"/>
          <w:szCs w:val="24"/>
        </w:rPr>
        <w:t xml:space="preserve">In this study, we classified into two groups whether intervention of NBI </w:t>
      </w:r>
      <w:r w:rsidRPr="006A747F">
        <w:rPr>
          <w:rFonts w:ascii="Book Antiqua" w:eastAsia="MS Mincho" w:hAnsi="Book Antiqua" w:cs="Times New Roman"/>
          <w:kern w:val="0"/>
          <w:sz w:val="24"/>
          <w:szCs w:val="24"/>
        </w:rPr>
        <w:t>surveillance</w:t>
      </w:r>
      <w:r w:rsidRPr="006A747F">
        <w:rPr>
          <w:rFonts w:ascii="Book Antiqua" w:eastAsia="MS Mincho" w:hAnsi="Book Antiqua" w:cs="Times New Roman"/>
          <w:sz w:val="24"/>
          <w:szCs w:val="24"/>
        </w:rPr>
        <w:t xml:space="preserve"> was present or not, and detection rate of superficial HNSCC was clarified. Few superficial HNSCCs </w:t>
      </w:r>
      <w:r w:rsidRPr="006A747F">
        <w:rPr>
          <w:rFonts w:ascii="Book Antiqua" w:eastAsia="MS Mincho" w:hAnsi="Book Antiqua" w:cs="Times New Roman"/>
          <w:sz w:val="24"/>
          <w:szCs w:val="24"/>
        </w:rPr>
        <w:lastRenderedPageBreak/>
        <w:t>were detected using conventional endoscopy with white light illumination alone, however, many superficial HNSCCs were detected synchronously (3.9%) and metachronously</w:t>
      </w:r>
      <w:r w:rsidRPr="006A747F" w:rsidDel="00DA1F12">
        <w:rPr>
          <w:rFonts w:ascii="Book Antiqua" w:eastAsia="MS Mincho" w:hAnsi="Book Antiqua" w:cs="Times New Roman"/>
          <w:sz w:val="24"/>
          <w:szCs w:val="24"/>
        </w:rPr>
        <w:t xml:space="preserve"> </w:t>
      </w:r>
      <w:r w:rsidRPr="006A747F">
        <w:rPr>
          <w:rFonts w:ascii="Book Antiqua" w:eastAsia="MS Mincho" w:hAnsi="Book Antiqua" w:cs="Times New Roman"/>
          <w:sz w:val="24"/>
          <w:szCs w:val="24"/>
        </w:rPr>
        <w:t>(9.4%) after commencement of NBI surveillance. Furthermore, multiple metachronous HNSCCs were also detected. One of the main reason of lower HNSCC detection rate is considered that we did not perform NBI surveillance with magnifying endoscopy in all cases. One important point was that almost all of metachronous HNSCC could be detected as superficial cancer by NBI surveillance once from six months to one year.</w:t>
      </w:r>
    </w:p>
    <w:p w14:paraId="565B269F" w14:textId="10AE9EE5" w:rsidR="007246B1" w:rsidRPr="006A747F" w:rsidRDefault="007246B1" w:rsidP="00235EA3">
      <w:pPr>
        <w:widowControl/>
        <w:snapToGrid w:val="0"/>
        <w:spacing w:line="360" w:lineRule="auto"/>
        <w:ind w:firstLineChars="100" w:firstLine="240"/>
        <w:rPr>
          <w:rFonts w:ascii="Book Antiqua" w:eastAsia="MS Mincho" w:hAnsi="Book Antiqua" w:cs="Times New Roman"/>
          <w:sz w:val="24"/>
          <w:szCs w:val="24"/>
        </w:rPr>
      </w:pPr>
      <w:r w:rsidRPr="006A747F">
        <w:rPr>
          <w:rFonts w:ascii="Book Antiqua" w:eastAsia="MS Mincho" w:hAnsi="Book Antiqua" w:cs="Times New Roman"/>
          <w:sz w:val="24"/>
          <w:szCs w:val="24"/>
        </w:rPr>
        <w:t xml:space="preserve">Furthermore, early detection of second primary HNSCC in ESCC patients brought to minimally invasive treatment, such as peroral ER. In this study, ER was performed in 83% of second primary HNSCCs due to NBI surveillance, and these patients did not lose </w:t>
      </w:r>
      <w:r w:rsidRPr="006A747F">
        <w:rPr>
          <w:rFonts w:ascii="Book Antiqua" w:hAnsi="Book Antiqua" w:cs="Times New Roman"/>
          <w:color w:val="000000"/>
          <w:sz w:val="24"/>
          <w:szCs w:val="24"/>
        </w:rPr>
        <w:t>laryngeal function. In contrast, most of the second primary HNSCCs were detected as advanced cancers in no NBI</w:t>
      </w:r>
      <w:r w:rsidRPr="006A747F">
        <w:rPr>
          <w:rFonts w:ascii="Book Antiqua" w:eastAsia="MS Mincho" w:hAnsi="Book Antiqua" w:cs="Times New Roman"/>
          <w:sz w:val="24"/>
          <w:szCs w:val="24"/>
        </w:rPr>
        <w:t xml:space="preserve"> surveillance from 1992 to 2000, 60% of patients lost </w:t>
      </w:r>
      <w:r w:rsidRPr="006A747F">
        <w:rPr>
          <w:rFonts w:ascii="Book Antiqua" w:hAnsi="Book Antiqua" w:cs="Times New Roman"/>
          <w:color w:val="000000"/>
          <w:sz w:val="24"/>
          <w:szCs w:val="24"/>
        </w:rPr>
        <w:t xml:space="preserve">laryngeal function due to invasive treatment. </w:t>
      </w:r>
      <w:r w:rsidRPr="006A747F">
        <w:rPr>
          <w:rFonts w:ascii="Book Antiqua" w:eastAsia="MS Mincho" w:hAnsi="Book Antiqua" w:cs="Times New Roman"/>
          <w:sz w:val="24"/>
          <w:szCs w:val="24"/>
        </w:rPr>
        <w:t>Several studies have reported that peroral ER of superficial HNSCC is a feasible and effective treatment with curative intent</w:t>
      </w:r>
      <w:r w:rsidR="003B2F03" w:rsidRPr="006A747F">
        <w:rPr>
          <w:rFonts w:ascii="Book Antiqua" w:eastAsia="MS Mincho" w:hAnsi="Book Antiqua" w:cs="Times New Roman"/>
          <w:sz w:val="24"/>
          <w:szCs w:val="24"/>
          <w:vertAlign w:val="superscript"/>
        </w:rPr>
        <w:t>[</w:t>
      </w:r>
      <w:r w:rsidR="00821DA2">
        <w:rPr>
          <w:rFonts w:ascii="Book Antiqua" w:eastAsia="MS Mincho" w:hAnsi="Book Antiqua" w:cs="Times New Roman"/>
          <w:sz w:val="24"/>
          <w:szCs w:val="24"/>
          <w:vertAlign w:val="superscript"/>
        </w:rPr>
        <w:t>9,15,</w:t>
      </w:r>
      <w:r w:rsidR="003B2F03" w:rsidRPr="006A747F">
        <w:rPr>
          <w:rFonts w:ascii="Book Antiqua" w:eastAsia="MS Mincho" w:hAnsi="Book Antiqua" w:cs="Times New Roman"/>
          <w:sz w:val="24"/>
          <w:szCs w:val="24"/>
          <w:vertAlign w:val="superscript"/>
        </w:rPr>
        <w:t>16]</w:t>
      </w:r>
      <w:r w:rsidRPr="006A747F">
        <w:rPr>
          <w:rFonts w:ascii="Book Antiqua" w:eastAsia="MS Mincho" w:hAnsi="Book Antiqua" w:cs="Times New Roman"/>
          <w:sz w:val="24"/>
          <w:szCs w:val="24"/>
        </w:rPr>
        <w:t>. Muto et al. reported that local recurrence or distant metastasis after ER or superficial pharyngeal cancer were only 8% and patients who underwent ER had an excellent prognosis, with a 5-year cause-spe</w:t>
      </w:r>
      <w:r w:rsidR="00821DA2">
        <w:rPr>
          <w:rFonts w:ascii="Book Antiqua" w:eastAsia="MS Mincho" w:hAnsi="Book Antiqua" w:cs="Times New Roman"/>
          <w:sz w:val="24"/>
          <w:szCs w:val="24"/>
        </w:rPr>
        <w:t>cific survival rate of 97% (95%</w:t>
      </w:r>
      <w:r w:rsidRPr="006A747F">
        <w:rPr>
          <w:rFonts w:ascii="Book Antiqua" w:eastAsia="MS Mincho" w:hAnsi="Book Antiqua" w:cs="Times New Roman"/>
          <w:sz w:val="24"/>
          <w:szCs w:val="24"/>
        </w:rPr>
        <w:t>CI</w:t>
      </w:r>
      <w:r w:rsidR="00821DA2">
        <w:rPr>
          <w:rFonts w:ascii="Book Antiqua" w:eastAsia="MS Mincho" w:hAnsi="Book Antiqua" w:cs="Times New Roman"/>
          <w:sz w:val="24"/>
          <w:szCs w:val="24"/>
        </w:rPr>
        <w:t xml:space="preserve">: </w:t>
      </w:r>
      <w:r w:rsidRPr="006A747F">
        <w:rPr>
          <w:rFonts w:ascii="Book Antiqua" w:eastAsia="MS Mincho" w:hAnsi="Book Antiqua" w:cs="Times New Roman"/>
          <w:sz w:val="24"/>
          <w:szCs w:val="24"/>
        </w:rPr>
        <w:t>93</w:t>
      </w:r>
      <w:r w:rsidR="00821DA2">
        <w:rPr>
          <w:rFonts w:ascii="Book Antiqua" w:eastAsia="MS Mincho" w:hAnsi="Book Antiqua" w:cs="Times New Roman"/>
          <w:sz w:val="24"/>
          <w:szCs w:val="24"/>
        </w:rPr>
        <w:t>%</w:t>
      </w:r>
      <w:r w:rsidRPr="006A747F">
        <w:rPr>
          <w:rFonts w:ascii="Book Antiqua" w:eastAsia="MS Mincho" w:hAnsi="Book Antiqua" w:cs="Times New Roman"/>
          <w:sz w:val="24"/>
          <w:szCs w:val="24"/>
        </w:rPr>
        <w:t>-100</w:t>
      </w:r>
      <w:r w:rsidR="00821DA2">
        <w:rPr>
          <w:rFonts w:ascii="Book Antiqua" w:eastAsia="MS Mincho" w:hAnsi="Book Antiqua" w:cs="Times New Roman"/>
          <w:sz w:val="24"/>
          <w:szCs w:val="24"/>
        </w:rPr>
        <w:t>%</w:t>
      </w:r>
      <w:r w:rsidRPr="006A747F">
        <w:rPr>
          <w:rFonts w:ascii="Book Antiqua" w:eastAsia="MS Mincho" w:hAnsi="Book Antiqua" w:cs="Times New Roman"/>
          <w:sz w:val="24"/>
          <w:szCs w:val="24"/>
        </w:rPr>
        <w:t>)</w:t>
      </w:r>
      <w:r w:rsidR="00A35A44" w:rsidRPr="006A747F">
        <w:rPr>
          <w:rFonts w:ascii="Book Antiqua" w:eastAsia="MS Mincho" w:hAnsi="Book Antiqua" w:cs="Times New Roman"/>
          <w:sz w:val="24"/>
          <w:szCs w:val="24"/>
          <w:vertAlign w:val="superscript"/>
        </w:rPr>
        <w:t>[</w:t>
      </w:r>
      <w:r w:rsidR="00041D58" w:rsidRPr="006A747F">
        <w:rPr>
          <w:rFonts w:ascii="Book Antiqua" w:eastAsia="MS Mincho" w:hAnsi="Book Antiqua" w:cs="Times New Roman"/>
          <w:sz w:val="24"/>
          <w:szCs w:val="24"/>
          <w:vertAlign w:val="superscript"/>
        </w:rPr>
        <w:t>9</w:t>
      </w:r>
      <w:r w:rsidR="00A35A44" w:rsidRPr="006A747F">
        <w:rPr>
          <w:rFonts w:ascii="Book Antiqua" w:eastAsia="MS Mincho" w:hAnsi="Book Antiqua" w:cs="Times New Roman"/>
          <w:sz w:val="24"/>
          <w:szCs w:val="24"/>
          <w:vertAlign w:val="superscript"/>
        </w:rPr>
        <w:t>]</w:t>
      </w:r>
      <w:r w:rsidRPr="006A747F">
        <w:rPr>
          <w:rFonts w:ascii="Book Antiqua" w:eastAsia="MS Mincho" w:hAnsi="Book Antiqua" w:cs="Times New Roman"/>
          <w:sz w:val="24"/>
          <w:szCs w:val="24"/>
        </w:rPr>
        <w:t>.</w:t>
      </w:r>
      <w:r w:rsidRPr="006A747F">
        <w:rPr>
          <w:rFonts w:ascii="Book Antiqua" w:eastAsia="MS Mincho" w:hAnsi="Book Antiqua" w:cs="Times New Roman"/>
          <w:sz w:val="24"/>
          <w:szCs w:val="24"/>
          <w:vertAlign w:val="superscript"/>
        </w:rPr>
        <w:t xml:space="preserve"> </w:t>
      </w:r>
      <w:r w:rsidRPr="006A747F">
        <w:rPr>
          <w:rFonts w:ascii="Book Antiqua" w:eastAsia="MS Mincho" w:hAnsi="Book Antiqua" w:cs="Times New Roman"/>
          <w:sz w:val="24"/>
          <w:szCs w:val="24"/>
        </w:rPr>
        <w:t xml:space="preserve">We believe development of ER for cancer of oral cavity would progress along with early detection of superficial HNSCC. Loss of </w:t>
      </w:r>
      <w:r w:rsidRPr="006A747F">
        <w:rPr>
          <w:rFonts w:ascii="Book Antiqua" w:hAnsi="Book Antiqua" w:cs="Times New Roman"/>
          <w:color w:val="000000"/>
          <w:sz w:val="24"/>
          <w:szCs w:val="24"/>
        </w:rPr>
        <w:t xml:space="preserve">laryngeal function is a serious problem, and decreases quality of life in patients with second primary HNSCC. In contrast, we clarified that second primary advanced HNSCC could become the risk of death if superficial HNSCC was not detected. HNSCC was 2.4% of various death factors in no NBI </w:t>
      </w:r>
      <w:r w:rsidRPr="006A747F">
        <w:rPr>
          <w:rFonts w:ascii="Book Antiqua" w:eastAsia="MS Mincho" w:hAnsi="Book Antiqua" w:cs="Times New Roman"/>
          <w:sz w:val="24"/>
          <w:szCs w:val="24"/>
        </w:rPr>
        <w:t xml:space="preserve">surveillance, however, there was no HNSCC related death after NBI surveillance. In this study, while two groups were different periods (1992-2000 </w:t>
      </w:r>
      <w:r w:rsidRPr="00821DA2">
        <w:rPr>
          <w:rFonts w:ascii="Book Antiqua" w:eastAsia="MS Mincho" w:hAnsi="Book Antiqua" w:cs="Times New Roman"/>
          <w:i/>
          <w:sz w:val="24"/>
          <w:szCs w:val="24"/>
        </w:rPr>
        <w:t>vs</w:t>
      </w:r>
      <w:r w:rsidR="00821DA2" w:rsidRPr="00821DA2">
        <w:rPr>
          <w:rFonts w:ascii="Book Antiqua" w:eastAsia="MS Mincho" w:hAnsi="Book Antiqua" w:cs="Times New Roman"/>
          <w:i/>
          <w:sz w:val="24"/>
          <w:szCs w:val="24"/>
        </w:rPr>
        <w:t xml:space="preserve"> </w:t>
      </w:r>
      <w:r w:rsidRPr="006A747F">
        <w:rPr>
          <w:rFonts w:ascii="Book Antiqua" w:eastAsia="MS Mincho" w:hAnsi="Book Antiqua" w:cs="Times New Roman"/>
          <w:sz w:val="24"/>
          <w:szCs w:val="24"/>
        </w:rPr>
        <w:t xml:space="preserve">2006-2008), </w:t>
      </w:r>
      <w:r w:rsidRPr="006A747F">
        <w:rPr>
          <w:rFonts w:ascii="Book Antiqua" w:eastAsia="MS Mincho" w:hAnsi="Book Antiqua" w:cs="Times New Roman"/>
          <w:bCs/>
          <w:sz w:val="24"/>
          <w:szCs w:val="24"/>
        </w:rPr>
        <w:t xml:space="preserve">we compared the </w:t>
      </w:r>
      <w:r w:rsidRPr="006A747F">
        <w:rPr>
          <w:rFonts w:ascii="Book Antiqua" w:eastAsia="MS Mincho" w:hAnsi="Book Antiqua" w:cs="Times New Roman"/>
          <w:kern w:val="0"/>
          <w:sz w:val="24"/>
          <w:szCs w:val="24"/>
        </w:rPr>
        <w:t xml:space="preserve">detection rate of early HNSCC, and the number of serious adverse events related to metachronous advanced HNSCC, in periods before </w:t>
      </w:r>
      <w:r w:rsidRPr="006A747F">
        <w:rPr>
          <w:rFonts w:ascii="Book Antiqua" w:eastAsia="MS Mincho" w:hAnsi="Book Antiqua" w:cs="Times New Roman"/>
          <w:kern w:val="0"/>
          <w:sz w:val="24"/>
          <w:szCs w:val="24"/>
        </w:rPr>
        <w:lastRenderedPageBreak/>
        <w:t xml:space="preserve">and after the </w:t>
      </w:r>
      <w:r w:rsidRPr="006A747F">
        <w:rPr>
          <w:rFonts w:ascii="Book Antiqua" w:eastAsia="MS Mincho" w:hAnsi="Book Antiqua" w:cs="Times New Roman"/>
          <w:color w:val="000000" w:themeColor="text1"/>
          <w:kern w:val="0"/>
          <w:sz w:val="24"/>
          <w:szCs w:val="24"/>
        </w:rPr>
        <w:t>commencement</w:t>
      </w:r>
      <w:r w:rsidRPr="006A747F">
        <w:rPr>
          <w:rFonts w:ascii="Book Antiqua" w:eastAsia="MS Mincho" w:hAnsi="Book Antiqua" w:cs="Times New Roman"/>
          <w:color w:val="FF0000"/>
          <w:kern w:val="0"/>
          <w:sz w:val="24"/>
          <w:szCs w:val="24"/>
        </w:rPr>
        <w:t xml:space="preserve"> </w:t>
      </w:r>
      <w:r w:rsidRPr="006A747F">
        <w:rPr>
          <w:rFonts w:ascii="Book Antiqua" w:eastAsia="MS Mincho" w:hAnsi="Book Antiqua" w:cs="Times New Roman"/>
          <w:kern w:val="0"/>
          <w:sz w:val="24"/>
          <w:szCs w:val="24"/>
        </w:rPr>
        <w:t xml:space="preserve">of NBI surveillance for the head and neck region. </w:t>
      </w:r>
      <w:r w:rsidRPr="006A747F">
        <w:rPr>
          <w:rFonts w:ascii="Book Antiqua" w:eastAsia="MS Mincho" w:hAnsi="Book Antiqua" w:cs="Times New Roman"/>
          <w:sz w:val="24"/>
          <w:szCs w:val="24"/>
        </w:rPr>
        <w:t xml:space="preserve">We suggested that early detection of </w:t>
      </w:r>
      <w:r w:rsidRPr="006A747F">
        <w:rPr>
          <w:rFonts w:ascii="Book Antiqua" w:eastAsia="MS Mincho" w:hAnsi="Book Antiqua" w:cs="Times New Roman"/>
          <w:kern w:val="0"/>
          <w:sz w:val="24"/>
          <w:szCs w:val="24"/>
        </w:rPr>
        <w:t xml:space="preserve">metachronous HNSCC in ESCC patients led to minimally invasive ER without loss of </w:t>
      </w:r>
      <w:r w:rsidRPr="006A747F">
        <w:rPr>
          <w:rFonts w:ascii="Book Antiqua" w:hAnsi="Book Antiqua" w:cs="Times New Roman"/>
          <w:color w:val="000000"/>
          <w:sz w:val="24"/>
          <w:szCs w:val="24"/>
        </w:rPr>
        <w:t>laryngeal function</w:t>
      </w:r>
      <w:r w:rsidRPr="006A747F">
        <w:rPr>
          <w:rFonts w:ascii="Book Antiqua" w:eastAsia="MS Mincho" w:hAnsi="Book Antiqua" w:cs="Times New Roman"/>
          <w:kern w:val="0"/>
          <w:sz w:val="24"/>
          <w:szCs w:val="24"/>
        </w:rPr>
        <w:t xml:space="preserve">, and avoided HNSCC related death. Regarding follow-up periods, NBI </w:t>
      </w:r>
      <w:r w:rsidRPr="006A747F">
        <w:rPr>
          <w:rFonts w:ascii="Book Antiqua" w:eastAsia="MS Mincho" w:hAnsi="Book Antiqua" w:cs="Times New Roman"/>
          <w:sz w:val="24"/>
          <w:szCs w:val="24"/>
        </w:rPr>
        <w:t>surveillance</w:t>
      </w:r>
      <w:r w:rsidRPr="006A747F">
        <w:rPr>
          <w:rFonts w:ascii="Book Antiqua" w:eastAsia="MS Mincho" w:hAnsi="Book Antiqua" w:cs="Times New Roman"/>
          <w:kern w:val="0"/>
          <w:sz w:val="24"/>
          <w:szCs w:val="24"/>
        </w:rPr>
        <w:t xml:space="preserve"> was performed in 6 mo</w:t>
      </w:r>
      <w:r w:rsidR="00821DA2">
        <w:rPr>
          <w:rFonts w:ascii="Book Antiqua" w:eastAsia="MS Mincho" w:hAnsi="Book Antiqua" w:cs="Times New Roman"/>
          <w:kern w:val="0"/>
          <w:sz w:val="24"/>
          <w:szCs w:val="24"/>
        </w:rPr>
        <w:t xml:space="preserve"> </w:t>
      </w:r>
      <w:r w:rsidRPr="006A747F">
        <w:rPr>
          <w:rFonts w:ascii="Book Antiqua" w:eastAsia="MS Mincho" w:hAnsi="Book Antiqua" w:cs="Times New Roman"/>
          <w:kern w:val="0"/>
          <w:sz w:val="24"/>
          <w:szCs w:val="24"/>
        </w:rPr>
        <w:t xml:space="preserve">for ER and CRT and in 1 year for operation. In our present results, 5 years have passed through NBI </w:t>
      </w:r>
      <w:r w:rsidRPr="006A747F">
        <w:rPr>
          <w:rFonts w:ascii="Book Antiqua" w:eastAsia="MS Mincho" w:hAnsi="Book Antiqua" w:cs="Times New Roman"/>
          <w:sz w:val="24"/>
          <w:szCs w:val="24"/>
        </w:rPr>
        <w:t>surveillance, however, advanced HNSCC was not detected. We believe that 6 months follow-up periods would be appropriate.</w:t>
      </w:r>
    </w:p>
    <w:p w14:paraId="01E58EA3" w14:textId="16127636" w:rsidR="007246B1" w:rsidRPr="006A747F" w:rsidRDefault="007246B1" w:rsidP="00235EA3">
      <w:pPr>
        <w:snapToGrid w:val="0"/>
        <w:spacing w:line="360" w:lineRule="auto"/>
        <w:ind w:firstLineChars="100" w:firstLine="240"/>
        <w:rPr>
          <w:rFonts w:ascii="Book Antiqua" w:eastAsia="MS Mincho" w:hAnsi="Book Antiqua" w:cs="Times New Roman"/>
          <w:sz w:val="24"/>
          <w:szCs w:val="24"/>
        </w:rPr>
      </w:pPr>
      <w:r w:rsidRPr="006A747F">
        <w:rPr>
          <w:rFonts w:ascii="Book Antiqua" w:eastAsia="MS Mincho" w:hAnsi="Book Antiqua" w:cs="Times New Roman"/>
          <w:sz w:val="24"/>
          <w:szCs w:val="24"/>
        </w:rPr>
        <w:t>Limitations of this retrospective study are that the data are taken from only a single institution, and historical background, the medical backgrounds of the ESCC patients, are different in each group. Moreover, it is uncertain whether the approximately 5 years of follow up in the present study is long enough to verify the serious events due to metachronous HNSCC. However, it seems impossible to conduct a randomized control study since the usefulness of endoscopic surveillance with NBI has been demonstrated.</w:t>
      </w:r>
    </w:p>
    <w:p w14:paraId="5E9DB3C4" w14:textId="77777777" w:rsidR="007246B1" w:rsidRPr="006A747F" w:rsidRDefault="007246B1" w:rsidP="00235EA3">
      <w:pPr>
        <w:snapToGrid w:val="0"/>
        <w:spacing w:line="360" w:lineRule="auto"/>
        <w:ind w:firstLineChars="100" w:firstLine="240"/>
        <w:rPr>
          <w:rFonts w:ascii="Book Antiqua" w:eastAsia="MS Mincho" w:hAnsi="Book Antiqua" w:cs="Times New Roman"/>
          <w:sz w:val="24"/>
          <w:szCs w:val="24"/>
        </w:rPr>
      </w:pPr>
      <w:r w:rsidRPr="006A747F">
        <w:rPr>
          <w:rFonts w:ascii="Book Antiqua" w:eastAsia="MS Mincho" w:hAnsi="Book Antiqua" w:cs="Times New Roman"/>
          <w:sz w:val="24"/>
          <w:szCs w:val="24"/>
        </w:rPr>
        <w:t xml:space="preserve">In conclusion, endoscopic surveillance using NBI for the HN region improved detection of both synchronous and metachronous superficial HNSCC in patients with ESCC. The early detection and intervention for HNSCC might lead to the reduction of serious adverse events and the risk of death related to HNSCC. </w:t>
      </w:r>
    </w:p>
    <w:p w14:paraId="26581ED4" w14:textId="77777777" w:rsidR="001209BC" w:rsidRPr="006A747F" w:rsidRDefault="001209BC" w:rsidP="00235EA3">
      <w:pPr>
        <w:snapToGrid w:val="0"/>
        <w:spacing w:line="360" w:lineRule="auto"/>
        <w:rPr>
          <w:rFonts w:ascii="Book Antiqua" w:eastAsia="MS Mincho" w:hAnsi="Book Antiqua" w:cs="Times New Roman"/>
          <w:b/>
          <w:bCs/>
          <w:sz w:val="24"/>
          <w:szCs w:val="24"/>
        </w:rPr>
      </w:pPr>
    </w:p>
    <w:p w14:paraId="1A870B55" w14:textId="49CA8190" w:rsidR="00145899" w:rsidRPr="006A747F" w:rsidRDefault="00145899"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t>COMMENTS</w:t>
      </w:r>
    </w:p>
    <w:p w14:paraId="78D9484D" w14:textId="27D58A88" w:rsidR="00145899" w:rsidRPr="006A747F" w:rsidRDefault="00994DE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Background</w:t>
      </w:r>
    </w:p>
    <w:p w14:paraId="40E9B132" w14:textId="0B9F5B4A" w:rsidR="00B80851" w:rsidRPr="006A747F" w:rsidRDefault="0065578D"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 xml:space="preserve">Most of patients with esophageal squamous cell carcinoma (ESCC) have a high prevalence of second primary head and neck squamous cell carcinoma (HNSCC). </w:t>
      </w:r>
      <w:r w:rsidRPr="006A747F">
        <w:rPr>
          <w:rFonts w:ascii="Book Antiqua" w:eastAsia="MS Mincho" w:hAnsi="Book Antiqua" w:cs="Times New Roman"/>
          <w:sz w:val="24"/>
          <w:szCs w:val="24"/>
        </w:rPr>
        <w:t xml:space="preserve">The innovation of </w:t>
      </w:r>
      <w:r w:rsidRPr="006A747F">
        <w:rPr>
          <w:rFonts w:ascii="Book Antiqua" w:eastAsia="MS Mincho" w:hAnsi="Book Antiqua" w:cs="Times New Roman"/>
          <w:bCs/>
          <w:sz w:val="24"/>
          <w:szCs w:val="24"/>
        </w:rPr>
        <w:t>narrow-band imaging</w:t>
      </w:r>
      <w:r w:rsidRPr="006A747F">
        <w:rPr>
          <w:rFonts w:ascii="Book Antiqua" w:eastAsia="MS Mincho" w:hAnsi="Book Antiqua" w:cs="Times New Roman"/>
          <w:sz w:val="24"/>
          <w:szCs w:val="24"/>
        </w:rPr>
        <w:t xml:space="preserve"> (NBI) has allowed for the early diagnosis of head and neck cancer. However, it has not been yet clarified whether prompt detection and intervention for early HNSCC in patients with ESCC would decrease the death rate o</w:t>
      </w:r>
      <w:r w:rsidR="00857330" w:rsidRPr="006A747F">
        <w:rPr>
          <w:rFonts w:ascii="Book Antiqua" w:eastAsia="MS Mincho" w:hAnsi="Book Antiqua" w:cs="Times New Roman"/>
          <w:sz w:val="24"/>
          <w:szCs w:val="24"/>
        </w:rPr>
        <w:t>r the serious events</w:t>
      </w:r>
      <w:r w:rsidRPr="006A747F">
        <w:rPr>
          <w:rFonts w:ascii="Book Antiqua" w:eastAsia="MS Mincho" w:hAnsi="Book Antiqua" w:cs="Times New Roman"/>
          <w:sz w:val="24"/>
          <w:szCs w:val="24"/>
        </w:rPr>
        <w:t xml:space="preserve"> related to </w:t>
      </w:r>
      <w:r w:rsidRPr="006A747F">
        <w:rPr>
          <w:rFonts w:ascii="Book Antiqua" w:eastAsia="MS Mincho" w:hAnsi="Book Antiqua" w:cs="Times New Roman"/>
          <w:sz w:val="24"/>
          <w:szCs w:val="24"/>
        </w:rPr>
        <w:lastRenderedPageBreak/>
        <w:t>metachronous advanced HNSCC. In this study, we compared the detection rate of early HNSCC, and the number of serious adverse events related to metachronous advanced HNSCC, in periods before and after the commencement of NBI surveillance for the head and neck region.</w:t>
      </w:r>
    </w:p>
    <w:p w14:paraId="2B47997B" w14:textId="77777777" w:rsidR="0065578D" w:rsidRPr="006A747F" w:rsidRDefault="0065578D" w:rsidP="00235EA3">
      <w:pPr>
        <w:snapToGrid w:val="0"/>
        <w:spacing w:line="360" w:lineRule="auto"/>
        <w:rPr>
          <w:rFonts w:ascii="Book Antiqua" w:eastAsia="MS Mincho" w:hAnsi="Book Antiqua" w:cs="Times New Roman"/>
          <w:bCs/>
          <w:sz w:val="24"/>
          <w:szCs w:val="24"/>
        </w:rPr>
      </w:pPr>
    </w:p>
    <w:p w14:paraId="463040D9" w14:textId="4295EF48" w:rsidR="00994DE7" w:rsidRPr="006A747F" w:rsidRDefault="00994DE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Research frontiers</w:t>
      </w:r>
    </w:p>
    <w:p w14:paraId="6AEA88FB" w14:textId="58D03434" w:rsidR="00994DE7" w:rsidRPr="006A747F" w:rsidRDefault="001D08D6"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NBI is useful to detect the early HNSCC and minimally invasive treatment, such as peroral endoscopic resection (ER) of early HNSCC, is a feasible and effective treatment with curative intent. This res</w:t>
      </w:r>
      <w:r w:rsidR="00CB5B2F" w:rsidRPr="006A747F">
        <w:rPr>
          <w:rFonts w:ascii="Book Antiqua" w:eastAsia="MS Mincho" w:hAnsi="Book Antiqua" w:cs="Times New Roman"/>
          <w:bCs/>
          <w:sz w:val="24"/>
          <w:szCs w:val="24"/>
        </w:rPr>
        <w:t>ults of this study contribute to clarifying the clinical impact of early intervention to metachronous NHSCCs in patient with ESCC.</w:t>
      </w:r>
    </w:p>
    <w:p w14:paraId="603FAA52" w14:textId="77777777" w:rsidR="00B80851" w:rsidRPr="006A747F" w:rsidRDefault="00B80851" w:rsidP="00235EA3">
      <w:pPr>
        <w:snapToGrid w:val="0"/>
        <w:spacing w:line="360" w:lineRule="auto"/>
        <w:rPr>
          <w:rFonts w:ascii="Book Antiqua" w:eastAsia="MS Mincho" w:hAnsi="Book Antiqua" w:cs="Times New Roman"/>
          <w:bCs/>
          <w:sz w:val="24"/>
          <w:szCs w:val="24"/>
        </w:rPr>
      </w:pPr>
    </w:p>
    <w:p w14:paraId="0D097ECB" w14:textId="1EF942B8" w:rsidR="00994DE7" w:rsidRPr="006A747F" w:rsidRDefault="00994DE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Innovations and breakthroughs</w:t>
      </w:r>
    </w:p>
    <w:p w14:paraId="65CE48F8" w14:textId="12B8282B" w:rsidR="005A60C6" w:rsidRPr="006A747F" w:rsidRDefault="00651915"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Cs/>
          <w:sz w:val="24"/>
          <w:szCs w:val="24"/>
        </w:rPr>
        <w:t xml:space="preserve">In this study, </w:t>
      </w:r>
      <w:r w:rsidR="00FD11EB" w:rsidRPr="006A747F">
        <w:rPr>
          <w:rFonts w:ascii="Book Antiqua" w:eastAsia="MS Mincho" w:hAnsi="Book Antiqua" w:cs="Times New Roman"/>
          <w:bCs/>
          <w:sz w:val="24"/>
          <w:szCs w:val="24"/>
        </w:rPr>
        <w:t xml:space="preserve">many </w:t>
      </w:r>
      <w:r w:rsidRPr="006A747F">
        <w:rPr>
          <w:rFonts w:ascii="Book Antiqua" w:eastAsia="MS Mincho" w:hAnsi="Book Antiqua" w:cs="Times New Roman"/>
          <w:bCs/>
          <w:sz w:val="24"/>
          <w:szCs w:val="24"/>
        </w:rPr>
        <w:t>HNSCCs were detected synchronously (3.9%) and metachronously (9.4%) after commencement of NBI surveillance</w:t>
      </w:r>
      <w:r w:rsidR="002015EB" w:rsidRPr="006A747F">
        <w:rPr>
          <w:rFonts w:ascii="Book Antiqua" w:eastAsia="MS Mincho" w:hAnsi="Book Antiqua" w:cs="Times New Roman"/>
          <w:bCs/>
          <w:sz w:val="24"/>
          <w:szCs w:val="24"/>
        </w:rPr>
        <w:t xml:space="preserve">, and all 53 </w:t>
      </w:r>
      <w:r w:rsidR="00FD11EB" w:rsidRPr="006A747F">
        <w:rPr>
          <w:rFonts w:ascii="Book Antiqua" w:eastAsia="MS Mincho" w:hAnsi="Book Antiqua" w:cs="Times New Roman"/>
          <w:bCs/>
          <w:sz w:val="24"/>
          <w:szCs w:val="24"/>
        </w:rPr>
        <w:t>lesions</w:t>
      </w:r>
      <w:r w:rsidR="002015EB" w:rsidRPr="006A747F">
        <w:rPr>
          <w:rFonts w:ascii="Book Antiqua" w:eastAsia="MS Mincho" w:hAnsi="Book Antiqua" w:cs="Times New Roman"/>
          <w:bCs/>
          <w:sz w:val="24"/>
          <w:szCs w:val="24"/>
        </w:rPr>
        <w:t xml:space="preserve"> could be detected as </w:t>
      </w:r>
      <w:r w:rsidR="00FD11EB" w:rsidRPr="006A747F">
        <w:rPr>
          <w:rFonts w:ascii="Book Antiqua" w:eastAsia="MS Mincho" w:hAnsi="Book Antiqua" w:cs="Times New Roman"/>
          <w:bCs/>
          <w:sz w:val="24"/>
          <w:szCs w:val="24"/>
        </w:rPr>
        <w:t>early stage</w:t>
      </w:r>
      <w:r w:rsidRPr="006A747F">
        <w:rPr>
          <w:rFonts w:ascii="Book Antiqua" w:eastAsia="MS Mincho" w:hAnsi="Book Antiqua" w:cs="Times New Roman"/>
          <w:bCs/>
          <w:sz w:val="24"/>
          <w:szCs w:val="24"/>
        </w:rPr>
        <w:t>. These result</w:t>
      </w:r>
      <w:r w:rsidR="00821DA2">
        <w:rPr>
          <w:rFonts w:ascii="Book Antiqua" w:eastAsia="MS Mincho" w:hAnsi="Book Antiqua" w:cs="Times New Roman"/>
          <w:bCs/>
          <w:sz w:val="24"/>
          <w:szCs w:val="24"/>
        </w:rPr>
        <w:t>s</w:t>
      </w:r>
      <w:r w:rsidRPr="006A747F">
        <w:rPr>
          <w:rFonts w:ascii="Book Antiqua" w:eastAsia="MS Mincho" w:hAnsi="Book Antiqua" w:cs="Times New Roman"/>
          <w:bCs/>
          <w:sz w:val="24"/>
          <w:szCs w:val="24"/>
        </w:rPr>
        <w:t xml:space="preserve"> are in agreement with previous reports.</w:t>
      </w:r>
      <w:r w:rsidR="005A60C6" w:rsidRPr="006A747F">
        <w:rPr>
          <w:rFonts w:ascii="Book Antiqua" w:eastAsia="MS Mincho" w:hAnsi="Book Antiqua" w:cs="Times New Roman"/>
          <w:bCs/>
          <w:sz w:val="24"/>
          <w:szCs w:val="24"/>
        </w:rPr>
        <w:t xml:space="preserve"> </w:t>
      </w:r>
      <w:r w:rsidR="005A60C6" w:rsidRPr="006A747F">
        <w:rPr>
          <w:rFonts w:ascii="Book Antiqua" w:eastAsia="MS Mincho" w:hAnsi="Book Antiqua" w:cs="Times New Roman"/>
          <w:sz w:val="24"/>
          <w:szCs w:val="24"/>
        </w:rPr>
        <w:t xml:space="preserve">Minimally invasive treatment (ER) was performed in 83% of these second primary HNSCCs due to NBI surveillance and these patients did not lose </w:t>
      </w:r>
      <w:r w:rsidR="005A60C6" w:rsidRPr="006A747F">
        <w:rPr>
          <w:rFonts w:ascii="Book Antiqua" w:hAnsi="Book Antiqua" w:cs="Times New Roman"/>
          <w:color w:val="000000"/>
          <w:sz w:val="24"/>
          <w:szCs w:val="24"/>
        </w:rPr>
        <w:t>laryngeal function or death related to HNSCC.</w:t>
      </w:r>
      <w:r w:rsidR="005A60C6" w:rsidRPr="006A747F">
        <w:rPr>
          <w:rFonts w:ascii="Book Antiqua" w:eastAsia="MS Mincho" w:hAnsi="Book Antiqua" w:cs="Times New Roman"/>
          <w:b/>
          <w:bCs/>
          <w:sz w:val="24"/>
          <w:szCs w:val="24"/>
        </w:rPr>
        <w:t xml:space="preserve"> </w:t>
      </w:r>
      <w:r w:rsidR="005A60C6" w:rsidRPr="006A747F">
        <w:rPr>
          <w:rFonts w:ascii="Book Antiqua" w:hAnsi="Book Antiqua" w:cs="Times New Roman"/>
          <w:color w:val="000000"/>
          <w:sz w:val="24"/>
          <w:szCs w:val="24"/>
        </w:rPr>
        <w:t>In contrast, most of the second primary HNSCCs</w:t>
      </w:r>
      <w:r w:rsidR="00821DA2">
        <w:rPr>
          <w:rFonts w:ascii="Book Antiqua" w:hAnsi="Book Antiqua" w:cs="Times New Roman"/>
          <w:color w:val="000000"/>
          <w:sz w:val="24"/>
          <w:szCs w:val="24"/>
        </w:rPr>
        <w:t xml:space="preserve"> </w:t>
      </w:r>
      <w:r w:rsidR="005A60C6" w:rsidRPr="006A747F">
        <w:rPr>
          <w:rFonts w:ascii="Book Antiqua" w:hAnsi="Book Antiqua" w:cs="Times New Roman"/>
          <w:color w:val="000000"/>
          <w:sz w:val="24"/>
          <w:szCs w:val="24"/>
        </w:rPr>
        <w:t>were detected as advanced cancers in no NBI</w:t>
      </w:r>
      <w:r w:rsidR="005A60C6" w:rsidRPr="006A747F">
        <w:rPr>
          <w:rFonts w:ascii="Book Antiqua" w:eastAsia="MS Mincho" w:hAnsi="Book Antiqua" w:cs="Times New Roman"/>
          <w:sz w:val="24"/>
          <w:szCs w:val="24"/>
        </w:rPr>
        <w:t xml:space="preserve"> surveillance from 1992 to 2000, 60% of patients lost </w:t>
      </w:r>
      <w:r w:rsidR="005A60C6" w:rsidRPr="006A747F">
        <w:rPr>
          <w:rFonts w:ascii="Book Antiqua" w:hAnsi="Book Antiqua" w:cs="Times New Roman"/>
          <w:color w:val="000000"/>
          <w:sz w:val="24"/>
          <w:szCs w:val="24"/>
        </w:rPr>
        <w:t>laryngeal function and were died due to invasive treatment.</w:t>
      </w:r>
    </w:p>
    <w:p w14:paraId="747EBF8F" w14:textId="77777777" w:rsidR="000B30D1" w:rsidRPr="006A747F" w:rsidRDefault="000B30D1" w:rsidP="00235EA3">
      <w:pPr>
        <w:snapToGrid w:val="0"/>
        <w:spacing w:line="360" w:lineRule="auto"/>
        <w:rPr>
          <w:rFonts w:ascii="Book Antiqua" w:eastAsia="MS Mincho" w:hAnsi="Book Antiqua" w:cs="Times New Roman"/>
          <w:bCs/>
          <w:sz w:val="24"/>
          <w:szCs w:val="24"/>
        </w:rPr>
      </w:pPr>
    </w:p>
    <w:p w14:paraId="5B815BAB" w14:textId="6C5F9159" w:rsidR="00994DE7" w:rsidRPr="006A747F" w:rsidRDefault="00994DE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Applications</w:t>
      </w:r>
    </w:p>
    <w:p w14:paraId="0CA68C43" w14:textId="575081C2" w:rsidR="00994DE7" w:rsidRPr="006A747F" w:rsidRDefault="00B5265C"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t>This study suggested that early intervention for metachronous HNSCC is useful to reduce the serious adverse events and the risk of death related to HNSCC in patient with ESCC.</w:t>
      </w:r>
    </w:p>
    <w:p w14:paraId="1AE535E6" w14:textId="77777777" w:rsidR="00B80851" w:rsidRPr="006A747F" w:rsidRDefault="00B80851" w:rsidP="00235EA3">
      <w:pPr>
        <w:snapToGrid w:val="0"/>
        <w:spacing w:line="360" w:lineRule="auto"/>
        <w:rPr>
          <w:rFonts w:ascii="Book Antiqua" w:eastAsia="MS Mincho" w:hAnsi="Book Antiqua" w:cs="Times New Roman"/>
          <w:bCs/>
          <w:sz w:val="24"/>
          <w:szCs w:val="24"/>
        </w:rPr>
      </w:pPr>
    </w:p>
    <w:p w14:paraId="2957E737" w14:textId="2C4DE167" w:rsidR="00994DE7" w:rsidRPr="006A747F" w:rsidRDefault="00994DE7" w:rsidP="00235EA3">
      <w:pPr>
        <w:snapToGrid w:val="0"/>
        <w:spacing w:line="360" w:lineRule="auto"/>
        <w:rPr>
          <w:rFonts w:ascii="Book Antiqua" w:eastAsia="MS Mincho" w:hAnsi="Book Antiqua" w:cs="Times New Roman"/>
          <w:b/>
          <w:bCs/>
          <w:i/>
          <w:sz w:val="24"/>
          <w:szCs w:val="24"/>
        </w:rPr>
      </w:pPr>
      <w:r w:rsidRPr="006A747F">
        <w:rPr>
          <w:rFonts w:ascii="Book Antiqua" w:eastAsia="MS Mincho" w:hAnsi="Book Antiqua" w:cs="Times New Roman"/>
          <w:b/>
          <w:bCs/>
          <w:i/>
          <w:sz w:val="24"/>
          <w:szCs w:val="24"/>
        </w:rPr>
        <w:t>Terminology</w:t>
      </w:r>
    </w:p>
    <w:p w14:paraId="1DA36802" w14:textId="137665F0" w:rsidR="001209BC" w:rsidRPr="006A747F" w:rsidRDefault="00B5265C" w:rsidP="00235EA3">
      <w:pPr>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lastRenderedPageBreak/>
        <w:t xml:space="preserve">NBI: </w:t>
      </w:r>
      <w:r w:rsidR="00F54560" w:rsidRPr="006A747F">
        <w:rPr>
          <w:rFonts w:ascii="Book Antiqua" w:eastAsia="MS Mincho" w:hAnsi="Book Antiqua" w:cs="Times New Roman"/>
          <w:bCs/>
          <w:sz w:val="24"/>
          <w:szCs w:val="24"/>
        </w:rPr>
        <w:t>A video endoscopic imaging technique that enhances the display of the microstructures and capillaries in the superficial mucosal layer using narrow band filters that change the spectral features of the observation light.</w:t>
      </w:r>
      <w:r w:rsidRPr="006A747F">
        <w:rPr>
          <w:rFonts w:ascii="Book Antiqua" w:eastAsia="MS Mincho" w:hAnsi="Book Antiqua" w:cs="Times New Roman"/>
          <w:bCs/>
          <w:sz w:val="24"/>
          <w:szCs w:val="24"/>
        </w:rPr>
        <w:t xml:space="preserve"> </w:t>
      </w:r>
    </w:p>
    <w:p w14:paraId="66517B04" w14:textId="77777777" w:rsidR="00B80851" w:rsidRPr="006A747F" w:rsidRDefault="00B80851" w:rsidP="00235EA3">
      <w:pPr>
        <w:snapToGrid w:val="0"/>
        <w:spacing w:line="360" w:lineRule="auto"/>
        <w:rPr>
          <w:rFonts w:ascii="Book Antiqua" w:eastAsia="MS Mincho" w:hAnsi="Book Antiqua" w:cs="Times New Roman"/>
          <w:bCs/>
          <w:sz w:val="24"/>
          <w:szCs w:val="24"/>
        </w:rPr>
      </w:pPr>
    </w:p>
    <w:p w14:paraId="07EF7ED8" w14:textId="77777777" w:rsidR="00821DA2" w:rsidRPr="00821DA2" w:rsidRDefault="00821DA2" w:rsidP="00235EA3">
      <w:pPr>
        <w:snapToGrid w:val="0"/>
        <w:spacing w:line="360" w:lineRule="auto"/>
        <w:rPr>
          <w:rFonts w:ascii="Book Antiqua" w:eastAsia="MS Mincho" w:hAnsi="Book Antiqua" w:cs="Times New Roman"/>
          <w:bCs/>
          <w:sz w:val="24"/>
          <w:szCs w:val="24"/>
          <w:lang w:val="en-GB"/>
        </w:rPr>
      </w:pPr>
      <w:bookmarkStart w:id="23" w:name="OLE_LINK493"/>
      <w:bookmarkStart w:id="24" w:name="OLE_LINK494"/>
      <w:r w:rsidRPr="00821DA2">
        <w:rPr>
          <w:rFonts w:ascii="Book Antiqua" w:eastAsia="MS Mincho" w:hAnsi="Book Antiqua" w:cs="Times New Roman" w:hint="eastAsia"/>
          <w:b/>
          <w:bCs/>
          <w:i/>
          <w:iCs/>
          <w:sz w:val="24"/>
          <w:szCs w:val="24"/>
        </w:rPr>
        <w:t>Peer-review</w:t>
      </w:r>
      <w:r w:rsidRPr="00821DA2">
        <w:rPr>
          <w:rFonts w:ascii="Book Antiqua" w:eastAsia="MS Mincho" w:hAnsi="Book Antiqua" w:cs="Times New Roman"/>
          <w:b/>
          <w:bCs/>
          <w:sz w:val="24"/>
          <w:szCs w:val="24"/>
          <w:lang w:val="en-GB"/>
        </w:rPr>
        <w:t xml:space="preserve"> </w:t>
      </w:r>
      <w:bookmarkEnd w:id="23"/>
      <w:bookmarkEnd w:id="24"/>
    </w:p>
    <w:p w14:paraId="2F49DCC4" w14:textId="3A0E91DD" w:rsidR="00D936E6" w:rsidRPr="006A747F" w:rsidRDefault="00821DA2" w:rsidP="00235EA3">
      <w:pPr>
        <w:snapToGrid w:val="0"/>
        <w:spacing w:line="360" w:lineRule="auto"/>
        <w:rPr>
          <w:rFonts w:ascii="Book Antiqua" w:eastAsia="MS Mincho" w:hAnsi="Book Antiqua" w:cs="Times New Roman"/>
          <w:bCs/>
          <w:sz w:val="24"/>
          <w:szCs w:val="24"/>
        </w:rPr>
      </w:pPr>
      <w:r w:rsidRPr="00821DA2">
        <w:rPr>
          <w:rFonts w:ascii="Book Antiqua" w:eastAsia="MS Mincho" w:hAnsi="Book Antiqua" w:cs="Times New Roman"/>
          <w:bCs/>
          <w:sz w:val="24"/>
          <w:szCs w:val="24"/>
        </w:rPr>
        <w:t>This study investigated the clinical usefulness of surveillance of head and neck cancer in patients with esophageal squamous cell carcinoma. Although the study is retrospectively performed, the results are well analyzed and clearly presented.</w:t>
      </w:r>
    </w:p>
    <w:p w14:paraId="4B7C88E8" w14:textId="77777777" w:rsidR="00821DA2" w:rsidRDefault="00821DA2" w:rsidP="00235EA3">
      <w:pPr>
        <w:widowControl/>
        <w:snapToGrid w:val="0"/>
        <w:spacing w:line="360" w:lineRule="auto"/>
        <w:jc w:val="left"/>
        <w:rPr>
          <w:rFonts w:ascii="Book Antiqua" w:eastAsia="MS Mincho" w:hAnsi="Book Antiqua" w:cs="Times New Roman"/>
          <w:b/>
          <w:bCs/>
          <w:sz w:val="24"/>
          <w:szCs w:val="24"/>
        </w:rPr>
      </w:pPr>
      <w:r>
        <w:rPr>
          <w:rFonts w:ascii="Book Antiqua" w:eastAsia="MS Mincho" w:hAnsi="Book Antiqua" w:cs="Times New Roman"/>
          <w:b/>
          <w:bCs/>
          <w:sz w:val="24"/>
          <w:szCs w:val="24"/>
        </w:rPr>
        <w:br w:type="page"/>
      </w:r>
    </w:p>
    <w:p w14:paraId="42B7ADC1" w14:textId="3DE9C021" w:rsidR="00145899" w:rsidRPr="006A747F" w:rsidRDefault="00145899" w:rsidP="00235EA3">
      <w:pPr>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lastRenderedPageBreak/>
        <w:t>REFERENCES</w:t>
      </w:r>
    </w:p>
    <w:p w14:paraId="60B282DD"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1 </w:t>
      </w:r>
      <w:r w:rsidRPr="00235EA3">
        <w:rPr>
          <w:rFonts w:ascii="Book Antiqua" w:eastAsia="SimSun" w:hAnsi="Book Antiqua" w:cs="SimSun"/>
          <w:b/>
          <w:bCs/>
          <w:color w:val="000000"/>
          <w:kern w:val="0"/>
          <w:sz w:val="24"/>
          <w:szCs w:val="24"/>
          <w:lang w:eastAsia="zh-CN"/>
        </w:rPr>
        <w:t>Noguchi T</w:t>
      </w:r>
      <w:r w:rsidRPr="00235EA3">
        <w:rPr>
          <w:rFonts w:ascii="Book Antiqua" w:eastAsia="SimSun" w:hAnsi="Book Antiqua" w:cs="SimSun"/>
          <w:color w:val="000000"/>
          <w:kern w:val="0"/>
          <w:sz w:val="24"/>
          <w:szCs w:val="24"/>
          <w:lang w:eastAsia="zh-CN"/>
        </w:rPr>
        <w:t>, Kato T, Takeno S, Wada S, Yanagisawa S, Suzuki M. Necessity of screening for multiple primary cancers in patients with esophageal cancer. </w:t>
      </w:r>
      <w:r w:rsidRPr="00235EA3">
        <w:rPr>
          <w:rFonts w:ascii="Book Antiqua" w:eastAsia="SimSun" w:hAnsi="Book Antiqua" w:cs="SimSun"/>
          <w:i/>
          <w:iCs/>
          <w:color w:val="000000"/>
          <w:kern w:val="0"/>
          <w:sz w:val="24"/>
          <w:szCs w:val="24"/>
          <w:lang w:eastAsia="zh-CN"/>
        </w:rPr>
        <w:t>Ann Thorac Cardiovasc Surg</w:t>
      </w:r>
      <w:r w:rsidRPr="00235EA3">
        <w:rPr>
          <w:rFonts w:ascii="Book Antiqua" w:eastAsia="SimSun" w:hAnsi="Book Antiqua" w:cs="SimSun"/>
          <w:color w:val="000000"/>
          <w:kern w:val="0"/>
          <w:sz w:val="24"/>
          <w:szCs w:val="24"/>
          <w:lang w:eastAsia="zh-CN"/>
        </w:rPr>
        <w:t> 2002; </w:t>
      </w:r>
      <w:r w:rsidRPr="00235EA3">
        <w:rPr>
          <w:rFonts w:ascii="Book Antiqua" w:eastAsia="SimSun" w:hAnsi="Book Antiqua" w:cs="SimSun"/>
          <w:b/>
          <w:bCs/>
          <w:color w:val="000000"/>
          <w:kern w:val="0"/>
          <w:sz w:val="24"/>
          <w:szCs w:val="24"/>
          <w:lang w:eastAsia="zh-CN"/>
        </w:rPr>
        <w:t>8</w:t>
      </w:r>
      <w:r w:rsidRPr="00235EA3">
        <w:rPr>
          <w:rFonts w:ascii="Book Antiqua" w:eastAsia="SimSun" w:hAnsi="Book Antiqua" w:cs="SimSun"/>
          <w:color w:val="000000"/>
          <w:kern w:val="0"/>
          <w:sz w:val="24"/>
          <w:szCs w:val="24"/>
          <w:lang w:eastAsia="zh-CN"/>
        </w:rPr>
        <w:t>: 336-342 [PMID: 12517292]</w:t>
      </w:r>
    </w:p>
    <w:p w14:paraId="3B535591"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2 </w:t>
      </w:r>
      <w:r w:rsidRPr="00235EA3">
        <w:rPr>
          <w:rFonts w:ascii="Book Antiqua" w:eastAsia="SimSun" w:hAnsi="Book Antiqua" w:cs="SimSun"/>
          <w:b/>
          <w:bCs/>
          <w:color w:val="000000"/>
          <w:kern w:val="0"/>
          <w:sz w:val="24"/>
          <w:szCs w:val="24"/>
          <w:lang w:eastAsia="zh-CN"/>
        </w:rPr>
        <w:t>Matsubara T</w:t>
      </w:r>
      <w:r w:rsidRPr="00235EA3">
        <w:rPr>
          <w:rFonts w:ascii="Book Antiqua" w:eastAsia="SimSun" w:hAnsi="Book Antiqua" w:cs="SimSun"/>
          <w:color w:val="000000"/>
          <w:kern w:val="0"/>
          <w:sz w:val="24"/>
          <w:szCs w:val="24"/>
          <w:lang w:eastAsia="zh-CN"/>
        </w:rPr>
        <w:t>, Yamada K, Nakagawa A. Risk of second primary malignancy after esophagectomy for squamous cell carcinoma of the thoracic esophagus. </w:t>
      </w:r>
      <w:r w:rsidRPr="00235EA3">
        <w:rPr>
          <w:rFonts w:ascii="Book Antiqua" w:eastAsia="SimSun" w:hAnsi="Book Antiqua" w:cs="SimSun"/>
          <w:i/>
          <w:iCs/>
          <w:color w:val="000000"/>
          <w:kern w:val="0"/>
          <w:sz w:val="24"/>
          <w:szCs w:val="24"/>
          <w:lang w:eastAsia="zh-CN"/>
        </w:rPr>
        <w:t>J Clin Oncol</w:t>
      </w:r>
      <w:r w:rsidRPr="00235EA3">
        <w:rPr>
          <w:rFonts w:ascii="Book Antiqua" w:eastAsia="SimSun" w:hAnsi="Book Antiqua" w:cs="SimSun"/>
          <w:color w:val="000000"/>
          <w:kern w:val="0"/>
          <w:sz w:val="24"/>
          <w:szCs w:val="24"/>
          <w:lang w:eastAsia="zh-CN"/>
        </w:rPr>
        <w:t xml:space="preserve"> 2003; </w:t>
      </w:r>
      <w:r w:rsidRPr="00235EA3">
        <w:rPr>
          <w:rFonts w:ascii="Book Antiqua" w:eastAsia="SimSun" w:hAnsi="Book Antiqua" w:cs="SimSun"/>
          <w:b/>
          <w:bCs/>
          <w:color w:val="000000"/>
          <w:kern w:val="0"/>
          <w:sz w:val="24"/>
          <w:szCs w:val="24"/>
          <w:lang w:eastAsia="zh-CN"/>
        </w:rPr>
        <w:t>21</w:t>
      </w:r>
      <w:r w:rsidRPr="00235EA3">
        <w:rPr>
          <w:rFonts w:ascii="Book Antiqua" w:eastAsia="SimSun" w:hAnsi="Book Antiqua" w:cs="SimSun"/>
          <w:color w:val="000000"/>
          <w:kern w:val="0"/>
          <w:sz w:val="24"/>
          <w:szCs w:val="24"/>
          <w:lang w:eastAsia="zh-CN"/>
        </w:rPr>
        <w:t>: 4336-4341 [PMID: 14645422 DOI: 10.1200/JCO.2003.12.074]</w:t>
      </w:r>
    </w:p>
    <w:p w14:paraId="07066A21"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3 </w:t>
      </w:r>
      <w:r w:rsidRPr="00235EA3">
        <w:rPr>
          <w:rFonts w:ascii="Book Antiqua" w:eastAsia="SimSun" w:hAnsi="Book Antiqua" w:cs="SimSun"/>
          <w:b/>
          <w:bCs/>
          <w:color w:val="000000"/>
          <w:kern w:val="0"/>
          <w:sz w:val="24"/>
          <w:szCs w:val="24"/>
          <w:lang w:eastAsia="zh-CN"/>
        </w:rPr>
        <w:t>Muto M</w:t>
      </w:r>
      <w:r w:rsidRPr="00235EA3">
        <w:rPr>
          <w:rFonts w:ascii="Book Antiqua" w:eastAsia="SimSun" w:hAnsi="Book Antiqua" w:cs="SimSun"/>
          <w:color w:val="000000"/>
          <w:kern w:val="0"/>
          <w:sz w:val="24"/>
          <w:szCs w:val="24"/>
          <w:lang w:eastAsia="zh-CN"/>
        </w:rPr>
        <w:t>, Minashi K, Yano T, Saito Y, Oda I, Nonaka S, Omori T, Sugiura H, Goda K, Kaise M, Inoue H, Ishikawa H, Ochiai A, Shimoda T, Watanabe H, Tajiri H, Saito D. Early detection of superficial squamous cell carcinoma in the head and neck region and esophagus by narrow band imaging: a multicenter randomized controlled trial. </w:t>
      </w:r>
      <w:r w:rsidRPr="00235EA3">
        <w:rPr>
          <w:rFonts w:ascii="Book Antiqua" w:eastAsia="SimSun" w:hAnsi="Book Antiqua" w:cs="SimSun"/>
          <w:i/>
          <w:iCs/>
          <w:color w:val="000000"/>
          <w:kern w:val="0"/>
          <w:sz w:val="24"/>
          <w:szCs w:val="24"/>
          <w:lang w:eastAsia="zh-CN"/>
        </w:rPr>
        <w:t>J Clin Oncol</w:t>
      </w:r>
      <w:r w:rsidRPr="00235EA3">
        <w:rPr>
          <w:rFonts w:ascii="Book Antiqua" w:eastAsia="SimSun" w:hAnsi="Book Antiqua" w:cs="SimSun"/>
          <w:color w:val="000000"/>
          <w:kern w:val="0"/>
          <w:sz w:val="24"/>
          <w:szCs w:val="24"/>
          <w:lang w:eastAsia="zh-CN"/>
        </w:rPr>
        <w:t> 2010; </w:t>
      </w:r>
      <w:r w:rsidRPr="00235EA3">
        <w:rPr>
          <w:rFonts w:ascii="Book Antiqua" w:eastAsia="SimSun" w:hAnsi="Book Antiqua" w:cs="SimSun"/>
          <w:b/>
          <w:bCs/>
          <w:color w:val="000000"/>
          <w:kern w:val="0"/>
          <w:sz w:val="24"/>
          <w:szCs w:val="24"/>
          <w:lang w:eastAsia="zh-CN"/>
        </w:rPr>
        <w:t>28</w:t>
      </w:r>
      <w:r w:rsidRPr="00235EA3">
        <w:rPr>
          <w:rFonts w:ascii="Book Antiqua" w:eastAsia="SimSun" w:hAnsi="Book Antiqua" w:cs="SimSun"/>
          <w:color w:val="000000"/>
          <w:kern w:val="0"/>
          <w:sz w:val="24"/>
          <w:szCs w:val="24"/>
          <w:lang w:eastAsia="zh-CN"/>
        </w:rPr>
        <w:t>: 1566-1572 [PMID: 20177025 DOI: 10.1200/JCO.2009.25.4680]</w:t>
      </w:r>
    </w:p>
    <w:p w14:paraId="1C222E49"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4 </w:t>
      </w:r>
      <w:r w:rsidRPr="00235EA3">
        <w:rPr>
          <w:rFonts w:ascii="Book Antiqua" w:eastAsia="SimSun" w:hAnsi="Book Antiqua" w:cs="SimSun"/>
          <w:b/>
          <w:bCs/>
          <w:color w:val="000000"/>
          <w:kern w:val="0"/>
          <w:sz w:val="24"/>
          <w:szCs w:val="24"/>
          <w:lang w:eastAsia="zh-CN"/>
        </w:rPr>
        <w:t>Katada C</w:t>
      </w:r>
      <w:r w:rsidRPr="00235EA3">
        <w:rPr>
          <w:rFonts w:ascii="Book Antiqua" w:eastAsia="SimSun" w:hAnsi="Book Antiqua" w:cs="SimSun"/>
          <w:color w:val="000000"/>
          <w:kern w:val="0"/>
          <w:sz w:val="24"/>
          <w:szCs w:val="24"/>
          <w:lang w:eastAsia="zh-CN"/>
        </w:rPr>
        <w:t>, Tanabe S, Koizumi W, Higuchi K, Sasaki T, Azuma M, Katada N, Masaki T, Nakayama M, Okamoto M, Muto M. Narrow band imaging for detecting superficial squamous cell carcinoma of the head and neck in patients with esophageal squamous cell carcinoma. </w:t>
      </w:r>
      <w:r w:rsidRPr="00235EA3">
        <w:rPr>
          <w:rFonts w:ascii="Book Antiqua" w:eastAsia="SimSun" w:hAnsi="Book Antiqua" w:cs="SimSun"/>
          <w:i/>
          <w:iCs/>
          <w:color w:val="000000"/>
          <w:kern w:val="0"/>
          <w:sz w:val="24"/>
          <w:szCs w:val="24"/>
          <w:lang w:eastAsia="zh-CN"/>
        </w:rPr>
        <w:t>Endoscopy</w:t>
      </w:r>
      <w:r w:rsidRPr="00235EA3">
        <w:rPr>
          <w:rFonts w:ascii="Book Antiqua" w:eastAsia="SimSun" w:hAnsi="Book Antiqua" w:cs="SimSun"/>
          <w:color w:val="000000"/>
          <w:kern w:val="0"/>
          <w:sz w:val="24"/>
          <w:szCs w:val="24"/>
          <w:lang w:eastAsia="zh-CN"/>
        </w:rPr>
        <w:t> 2010; </w:t>
      </w:r>
      <w:r w:rsidRPr="00235EA3">
        <w:rPr>
          <w:rFonts w:ascii="Book Antiqua" w:eastAsia="SimSun" w:hAnsi="Book Antiqua" w:cs="SimSun"/>
          <w:b/>
          <w:bCs/>
          <w:color w:val="000000"/>
          <w:kern w:val="0"/>
          <w:sz w:val="24"/>
          <w:szCs w:val="24"/>
          <w:lang w:eastAsia="zh-CN"/>
        </w:rPr>
        <w:t>42</w:t>
      </w:r>
      <w:r w:rsidRPr="00235EA3">
        <w:rPr>
          <w:rFonts w:ascii="Book Antiqua" w:eastAsia="SimSun" w:hAnsi="Book Antiqua" w:cs="SimSun"/>
          <w:color w:val="000000"/>
          <w:kern w:val="0"/>
          <w:sz w:val="24"/>
          <w:szCs w:val="24"/>
          <w:lang w:eastAsia="zh-CN"/>
        </w:rPr>
        <w:t>: 185-190 [PMID: 20195988 DOI: 10.1055/s-0029-1243963]</w:t>
      </w:r>
    </w:p>
    <w:p w14:paraId="66566622" w14:textId="50DF1EEF"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5 </w:t>
      </w:r>
      <w:r w:rsidRPr="00235EA3">
        <w:rPr>
          <w:rFonts w:ascii="Book Antiqua" w:eastAsia="SimSun" w:hAnsi="Book Antiqua" w:cs="SimSun"/>
          <w:b/>
          <w:bCs/>
          <w:color w:val="000000"/>
          <w:kern w:val="0"/>
          <w:sz w:val="24"/>
          <w:szCs w:val="24"/>
          <w:lang w:eastAsia="zh-CN"/>
        </w:rPr>
        <w:t>Nonaka S</w:t>
      </w:r>
      <w:r w:rsidRPr="00235EA3">
        <w:rPr>
          <w:rFonts w:ascii="Book Antiqua" w:eastAsia="SimSun" w:hAnsi="Book Antiqua" w:cs="SimSun"/>
          <w:color w:val="000000"/>
          <w:kern w:val="0"/>
          <w:sz w:val="24"/>
          <w:szCs w:val="24"/>
          <w:lang w:eastAsia="zh-CN"/>
        </w:rPr>
        <w:t xml:space="preserve">, Saito Y, Oda I, Kozu T, Saito D. Narrow-band imaging endoscopy with magnification is useful for detecting metachronous superficial pharyngeal cancer in patients with esophageal squamous cell carcinoma. </w:t>
      </w:r>
      <w:r w:rsidRPr="00235EA3">
        <w:rPr>
          <w:rFonts w:ascii="Book Antiqua" w:eastAsia="SimSun" w:hAnsi="Book Antiqua" w:cs="SimSun"/>
          <w:i/>
          <w:iCs/>
          <w:color w:val="000000"/>
          <w:kern w:val="0"/>
          <w:sz w:val="24"/>
          <w:szCs w:val="24"/>
          <w:lang w:eastAsia="zh-CN"/>
        </w:rPr>
        <w:t>J Gastroenterol Hepatol</w:t>
      </w:r>
      <w:r>
        <w:rPr>
          <w:rFonts w:ascii="Book Antiqua" w:eastAsia="SimSun" w:hAnsi="Book Antiqua" w:cs="SimSun"/>
          <w:color w:val="000000"/>
          <w:kern w:val="0"/>
          <w:sz w:val="24"/>
          <w:szCs w:val="24"/>
          <w:lang w:eastAsia="zh-CN"/>
        </w:rPr>
        <w:t xml:space="preserve"> </w:t>
      </w:r>
      <w:r w:rsidRPr="00235EA3">
        <w:rPr>
          <w:rFonts w:ascii="Book Antiqua" w:eastAsia="SimSun" w:hAnsi="Book Antiqua" w:cs="SimSun"/>
          <w:color w:val="000000"/>
          <w:kern w:val="0"/>
          <w:sz w:val="24"/>
          <w:szCs w:val="24"/>
          <w:lang w:eastAsia="zh-CN"/>
        </w:rPr>
        <w:t>2010; </w:t>
      </w:r>
      <w:r w:rsidRPr="00235EA3">
        <w:rPr>
          <w:rFonts w:ascii="Book Antiqua" w:eastAsia="SimSun" w:hAnsi="Book Antiqua" w:cs="SimSun"/>
          <w:b/>
          <w:bCs/>
          <w:color w:val="000000"/>
          <w:kern w:val="0"/>
          <w:sz w:val="24"/>
          <w:szCs w:val="24"/>
          <w:lang w:eastAsia="zh-CN"/>
        </w:rPr>
        <w:t>25</w:t>
      </w:r>
      <w:r w:rsidRPr="00235EA3">
        <w:rPr>
          <w:rFonts w:ascii="Book Antiqua" w:eastAsia="SimSun" w:hAnsi="Book Antiqua" w:cs="SimSun"/>
          <w:color w:val="000000"/>
          <w:kern w:val="0"/>
          <w:sz w:val="24"/>
          <w:szCs w:val="24"/>
          <w:lang w:eastAsia="zh-CN"/>
        </w:rPr>
        <w:t>: 264-269 [PMID: 19874445 DOI: 10.1111/j.1440-1746.2009.05993.x]</w:t>
      </w:r>
    </w:p>
    <w:p w14:paraId="1B99085C"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6 </w:t>
      </w:r>
      <w:r w:rsidRPr="00235EA3">
        <w:rPr>
          <w:rFonts w:ascii="Book Antiqua" w:eastAsia="SimSun" w:hAnsi="Book Antiqua" w:cs="SimSun"/>
          <w:b/>
          <w:bCs/>
          <w:color w:val="000000"/>
          <w:kern w:val="0"/>
          <w:sz w:val="24"/>
          <w:szCs w:val="24"/>
          <w:lang w:eastAsia="zh-CN"/>
        </w:rPr>
        <w:t>Piazza C</w:t>
      </w:r>
      <w:r w:rsidRPr="00235EA3">
        <w:rPr>
          <w:rFonts w:ascii="Book Antiqua" w:eastAsia="SimSun" w:hAnsi="Book Antiqua" w:cs="SimSun"/>
          <w:color w:val="000000"/>
          <w:kern w:val="0"/>
          <w:sz w:val="24"/>
          <w:szCs w:val="24"/>
          <w:lang w:eastAsia="zh-CN"/>
        </w:rPr>
        <w:t>, Dessouky O, Peretti G, Cocco D, De Benedetto L, Nicolai P. Narrow-band imaging: a new tool for evaluation of head and neck squamous cell carcinomas. Review of the literature. </w:t>
      </w:r>
      <w:r w:rsidRPr="00235EA3">
        <w:rPr>
          <w:rFonts w:ascii="Book Antiqua" w:eastAsia="SimSun" w:hAnsi="Book Antiqua" w:cs="SimSun"/>
          <w:i/>
          <w:iCs/>
          <w:color w:val="000000"/>
          <w:kern w:val="0"/>
          <w:sz w:val="24"/>
          <w:szCs w:val="24"/>
          <w:lang w:eastAsia="zh-CN"/>
        </w:rPr>
        <w:t>Acta Otorhinolaryngol Ital</w:t>
      </w:r>
      <w:r w:rsidRPr="00235EA3">
        <w:rPr>
          <w:rFonts w:ascii="Book Antiqua" w:eastAsia="SimSun" w:hAnsi="Book Antiqua" w:cs="SimSun"/>
          <w:color w:val="000000"/>
          <w:kern w:val="0"/>
          <w:sz w:val="24"/>
          <w:szCs w:val="24"/>
          <w:lang w:eastAsia="zh-CN"/>
        </w:rPr>
        <w:t> 2008; </w:t>
      </w:r>
      <w:r w:rsidRPr="00235EA3">
        <w:rPr>
          <w:rFonts w:ascii="Book Antiqua" w:eastAsia="SimSun" w:hAnsi="Book Antiqua" w:cs="SimSun"/>
          <w:b/>
          <w:bCs/>
          <w:color w:val="000000"/>
          <w:kern w:val="0"/>
          <w:sz w:val="24"/>
          <w:szCs w:val="24"/>
          <w:lang w:eastAsia="zh-CN"/>
        </w:rPr>
        <w:t>28</w:t>
      </w:r>
      <w:r w:rsidRPr="00235EA3">
        <w:rPr>
          <w:rFonts w:ascii="Book Antiqua" w:eastAsia="SimSun" w:hAnsi="Book Antiqua" w:cs="SimSun"/>
          <w:color w:val="000000"/>
          <w:kern w:val="0"/>
          <w:sz w:val="24"/>
          <w:szCs w:val="24"/>
          <w:lang w:eastAsia="zh-CN"/>
        </w:rPr>
        <w:t>: 49-54 [PMID: 18669067]</w:t>
      </w:r>
    </w:p>
    <w:p w14:paraId="58E27B60"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lastRenderedPageBreak/>
        <w:t>7 </w:t>
      </w:r>
      <w:r w:rsidRPr="00235EA3">
        <w:rPr>
          <w:rFonts w:ascii="Book Antiqua" w:eastAsia="SimSun" w:hAnsi="Book Antiqua" w:cs="SimSun"/>
          <w:b/>
          <w:bCs/>
          <w:color w:val="000000"/>
          <w:kern w:val="0"/>
          <w:sz w:val="24"/>
          <w:szCs w:val="24"/>
          <w:lang w:eastAsia="zh-CN"/>
        </w:rPr>
        <w:t>Iizuka T</w:t>
      </w:r>
      <w:r w:rsidRPr="00235EA3">
        <w:rPr>
          <w:rFonts w:ascii="Book Antiqua" w:eastAsia="SimSun" w:hAnsi="Book Antiqua" w:cs="SimSun"/>
          <w:color w:val="000000"/>
          <w:kern w:val="0"/>
          <w:sz w:val="24"/>
          <w:szCs w:val="24"/>
          <w:lang w:eastAsia="zh-CN"/>
        </w:rPr>
        <w:t xml:space="preserve">, Kikuchi D, Hoteya S, Yahagi N, Takeda H. Endoscopic submucosal dissection for treatment of mesopharyngeal and hypopharyngeal carcinomas. </w:t>
      </w:r>
      <w:r w:rsidRPr="00235EA3">
        <w:rPr>
          <w:rFonts w:ascii="Book Antiqua" w:eastAsia="SimSun" w:hAnsi="Book Antiqua" w:cs="SimSun"/>
          <w:i/>
          <w:iCs/>
          <w:color w:val="000000"/>
          <w:kern w:val="0"/>
          <w:sz w:val="24"/>
          <w:szCs w:val="24"/>
          <w:lang w:eastAsia="zh-CN"/>
        </w:rPr>
        <w:t>Endoscopy</w:t>
      </w:r>
      <w:r w:rsidRPr="00235EA3">
        <w:rPr>
          <w:rFonts w:ascii="Book Antiqua" w:eastAsia="SimSun" w:hAnsi="Book Antiqua" w:cs="SimSun"/>
          <w:color w:val="000000"/>
          <w:kern w:val="0"/>
          <w:sz w:val="24"/>
          <w:szCs w:val="24"/>
          <w:lang w:eastAsia="zh-CN"/>
        </w:rPr>
        <w:t> 2009; </w:t>
      </w:r>
      <w:r w:rsidRPr="00235EA3">
        <w:rPr>
          <w:rFonts w:ascii="Book Antiqua" w:eastAsia="SimSun" w:hAnsi="Book Antiqua" w:cs="SimSun"/>
          <w:b/>
          <w:bCs/>
          <w:color w:val="000000"/>
          <w:kern w:val="0"/>
          <w:sz w:val="24"/>
          <w:szCs w:val="24"/>
          <w:lang w:eastAsia="zh-CN"/>
        </w:rPr>
        <w:t>41</w:t>
      </w:r>
      <w:r w:rsidRPr="00235EA3">
        <w:rPr>
          <w:rFonts w:ascii="Book Antiqua" w:eastAsia="SimSun" w:hAnsi="Book Antiqua" w:cs="SimSun"/>
          <w:color w:val="000000"/>
          <w:kern w:val="0"/>
          <w:sz w:val="24"/>
          <w:szCs w:val="24"/>
          <w:lang w:eastAsia="zh-CN"/>
        </w:rPr>
        <w:t>: 113-117 [PMID: 19214888 DOI: 10.1055/s-0028-1119453]</w:t>
      </w:r>
    </w:p>
    <w:p w14:paraId="03A3F66F"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8 </w:t>
      </w:r>
      <w:r w:rsidRPr="00235EA3">
        <w:rPr>
          <w:rFonts w:ascii="Book Antiqua" w:eastAsia="SimSun" w:hAnsi="Book Antiqua" w:cs="SimSun"/>
          <w:b/>
          <w:bCs/>
          <w:color w:val="000000"/>
          <w:kern w:val="0"/>
          <w:sz w:val="24"/>
          <w:szCs w:val="24"/>
          <w:lang w:eastAsia="zh-CN"/>
        </w:rPr>
        <w:t>Suzuki H</w:t>
      </w:r>
      <w:r w:rsidRPr="00235EA3">
        <w:rPr>
          <w:rFonts w:ascii="Book Antiqua" w:eastAsia="SimSun" w:hAnsi="Book Antiqua" w:cs="SimSun"/>
          <w:color w:val="000000"/>
          <w:kern w:val="0"/>
          <w:sz w:val="24"/>
          <w:szCs w:val="24"/>
          <w:lang w:eastAsia="zh-CN"/>
        </w:rPr>
        <w:t xml:space="preserve">, Saito Y, Oda I, Nonaka S, Nakanishi Y. Feasibility of endoscopic mucosal resection for superficial pharyngeal cancer: a minimally invasive treatment. </w:t>
      </w:r>
      <w:r w:rsidRPr="00235EA3">
        <w:rPr>
          <w:rFonts w:ascii="Book Antiqua" w:eastAsia="SimSun" w:hAnsi="Book Antiqua" w:cs="SimSun"/>
          <w:i/>
          <w:iCs/>
          <w:color w:val="000000"/>
          <w:kern w:val="0"/>
          <w:sz w:val="24"/>
          <w:szCs w:val="24"/>
          <w:lang w:eastAsia="zh-CN"/>
        </w:rPr>
        <w:t>Endoscopy</w:t>
      </w:r>
      <w:r w:rsidRPr="00235EA3">
        <w:rPr>
          <w:rFonts w:ascii="Book Antiqua" w:eastAsia="SimSun" w:hAnsi="Book Antiqua" w:cs="SimSun"/>
          <w:color w:val="000000"/>
          <w:kern w:val="0"/>
          <w:sz w:val="24"/>
          <w:szCs w:val="24"/>
          <w:lang w:eastAsia="zh-CN"/>
        </w:rPr>
        <w:t> 2010; </w:t>
      </w:r>
      <w:r w:rsidRPr="00235EA3">
        <w:rPr>
          <w:rFonts w:ascii="Book Antiqua" w:eastAsia="SimSun" w:hAnsi="Book Antiqua" w:cs="SimSun"/>
          <w:b/>
          <w:bCs/>
          <w:color w:val="000000"/>
          <w:kern w:val="0"/>
          <w:sz w:val="24"/>
          <w:szCs w:val="24"/>
          <w:lang w:eastAsia="zh-CN"/>
        </w:rPr>
        <w:t>42</w:t>
      </w:r>
      <w:r w:rsidRPr="00235EA3">
        <w:rPr>
          <w:rFonts w:ascii="Book Antiqua" w:eastAsia="SimSun" w:hAnsi="Book Antiqua" w:cs="SimSun"/>
          <w:color w:val="000000"/>
          <w:kern w:val="0"/>
          <w:sz w:val="24"/>
          <w:szCs w:val="24"/>
          <w:lang w:eastAsia="zh-CN"/>
        </w:rPr>
        <w:t>: 1-7 [PMID: 20066588 DOI: 10.1055/s-0029-1243807]</w:t>
      </w:r>
    </w:p>
    <w:p w14:paraId="4431AAA9"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9 </w:t>
      </w:r>
      <w:r w:rsidRPr="00235EA3">
        <w:rPr>
          <w:rFonts w:ascii="Book Antiqua" w:eastAsia="SimSun" w:hAnsi="Book Antiqua" w:cs="SimSun"/>
          <w:b/>
          <w:bCs/>
          <w:color w:val="000000"/>
          <w:kern w:val="0"/>
          <w:sz w:val="24"/>
          <w:szCs w:val="24"/>
          <w:lang w:eastAsia="zh-CN"/>
        </w:rPr>
        <w:t>Muto M</w:t>
      </w:r>
      <w:r w:rsidRPr="00235EA3">
        <w:rPr>
          <w:rFonts w:ascii="Book Antiqua" w:eastAsia="SimSun" w:hAnsi="Book Antiqua" w:cs="SimSun"/>
          <w:color w:val="000000"/>
          <w:kern w:val="0"/>
          <w:sz w:val="24"/>
          <w:szCs w:val="24"/>
          <w:lang w:eastAsia="zh-CN"/>
        </w:rPr>
        <w:t>, Satake H, Yano T, Minashi K, Hayashi R, Fujii S, Ochiai A, Ohtsu A, Morita S, Horimatsu T, Ezoe Y, Miyamoto S, Asato R, Tateya I, Yoshizawa A, Chiba T. Long-term outcome of transoral organ-preserving pharyngeal endoscopic resection for superficial pharyngeal cancer. </w:t>
      </w:r>
      <w:r w:rsidRPr="00235EA3">
        <w:rPr>
          <w:rFonts w:ascii="Book Antiqua" w:eastAsia="SimSun" w:hAnsi="Book Antiqua" w:cs="SimSun"/>
          <w:i/>
          <w:iCs/>
          <w:color w:val="000000"/>
          <w:kern w:val="0"/>
          <w:sz w:val="24"/>
          <w:szCs w:val="24"/>
          <w:lang w:eastAsia="zh-CN"/>
        </w:rPr>
        <w:t>Gastrointest Endosc</w:t>
      </w:r>
      <w:r w:rsidRPr="00235EA3">
        <w:rPr>
          <w:rFonts w:ascii="Book Antiqua" w:eastAsia="SimSun" w:hAnsi="Book Antiqua" w:cs="SimSun"/>
          <w:color w:val="000000"/>
          <w:kern w:val="0"/>
          <w:sz w:val="24"/>
          <w:szCs w:val="24"/>
          <w:lang w:eastAsia="zh-CN"/>
        </w:rPr>
        <w:t xml:space="preserve"> 2011; </w:t>
      </w:r>
      <w:r w:rsidRPr="00235EA3">
        <w:rPr>
          <w:rFonts w:ascii="Book Antiqua" w:eastAsia="SimSun" w:hAnsi="Book Antiqua" w:cs="SimSun"/>
          <w:b/>
          <w:bCs/>
          <w:color w:val="000000"/>
          <w:kern w:val="0"/>
          <w:sz w:val="24"/>
          <w:szCs w:val="24"/>
          <w:lang w:eastAsia="zh-CN"/>
        </w:rPr>
        <w:t>74</w:t>
      </w:r>
      <w:r w:rsidRPr="00235EA3">
        <w:rPr>
          <w:rFonts w:ascii="Book Antiqua" w:eastAsia="SimSun" w:hAnsi="Book Antiqua" w:cs="SimSun"/>
          <w:color w:val="000000"/>
          <w:kern w:val="0"/>
          <w:sz w:val="24"/>
          <w:szCs w:val="24"/>
          <w:lang w:eastAsia="zh-CN"/>
        </w:rPr>
        <w:t>: 477-484 [PMID: 21704994 DOI: 10.1016/j.gie.2011.04.027]</w:t>
      </w:r>
    </w:p>
    <w:p w14:paraId="406CE0EC"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10 </w:t>
      </w:r>
      <w:r w:rsidRPr="00235EA3">
        <w:rPr>
          <w:rFonts w:ascii="Book Antiqua" w:eastAsia="SimSun" w:hAnsi="Book Antiqua" w:cs="SimSun"/>
          <w:b/>
          <w:bCs/>
          <w:color w:val="000000"/>
          <w:kern w:val="0"/>
          <w:sz w:val="24"/>
          <w:szCs w:val="24"/>
          <w:lang w:eastAsia="zh-CN"/>
        </w:rPr>
        <w:t>Kaneko K</w:t>
      </w:r>
      <w:r w:rsidRPr="00235EA3">
        <w:rPr>
          <w:rFonts w:ascii="Book Antiqua" w:eastAsia="SimSun" w:hAnsi="Book Antiqua" w:cs="SimSun"/>
          <w:color w:val="000000"/>
          <w:kern w:val="0"/>
          <w:sz w:val="24"/>
          <w:szCs w:val="24"/>
          <w:lang w:eastAsia="zh-CN"/>
        </w:rPr>
        <w:t xml:space="preserve">, Yano T, Minashi K, Kojima T, Ito M, Satake H, Yajima Y, Yoda Y, Ikematsu H, Oono Y, Hayashi R, Onozawa M, Ohtsu A. Treatment strategy for superficial pharyngeal squamous cell carcinoma synchronously combined with esophageal cancer. </w:t>
      </w:r>
      <w:r w:rsidRPr="00235EA3">
        <w:rPr>
          <w:rFonts w:ascii="Book Antiqua" w:eastAsia="SimSun" w:hAnsi="Book Antiqua" w:cs="SimSun"/>
          <w:i/>
          <w:iCs/>
          <w:color w:val="000000"/>
          <w:kern w:val="0"/>
          <w:sz w:val="24"/>
          <w:szCs w:val="24"/>
          <w:lang w:eastAsia="zh-CN"/>
        </w:rPr>
        <w:t>Oncology</w:t>
      </w:r>
      <w:r w:rsidRPr="00235EA3">
        <w:rPr>
          <w:rFonts w:ascii="Book Antiqua" w:eastAsia="SimSun" w:hAnsi="Book Antiqua" w:cs="SimSun"/>
          <w:color w:val="000000"/>
          <w:kern w:val="0"/>
          <w:sz w:val="24"/>
          <w:szCs w:val="24"/>
          <w:lang w:eastAsia="zh-CN"/>
        </w:rPr>
        <w:t xml:space="preserve"> 2013; </w:t>
      </w:r>
      <w:r w:rsidRPr="00235EA3">
        <w:rPr>
          <w:rFonts w:ascii="Book Antiqua" w:eastAsia="SimSun" w:hAnsi="Book Antiqua" w:cs="SimSun"/>
          <w:b/>
          <w:bCs/>
          <w:color w:val="000000"/>
          <w:kern w:val="0"/>
          <w:sz w:val="24"/>
          <w:szCs w:val="24"/>
          <w:lang w:eastAsia="zh-CN"/>
        </w:rPr>
        <w:t>84</w:t>
      </w:r>
      <w:r w:rsidRPr="00235EA3">
        <w:rPr>
          <w:rFonts w:ascii="Book Antiqua" w:eastAsia="SimSun" w:hAnsi="Book Antiqua" w:cs="SimSun"/>
          <w:color w:val="000000"/>
          <w:kern w:val="0"/>
          <w:sz w:val="24"/>
          <w:szCs w:val="24"/>
          <w:lang w:eastAsia="zh-CN"/>
        </w:rPr>
        <w:t>: 57-64 [PMID: 23128894 DOI: 10.1159/000337981]</w:t>
      </w:r>
    </w:p>
    <w:p w14:paraId="2BFD9B2C"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 xml:space="preserve">11 </w:t>
      </w:r>
      <w:r w:rsidRPr="00235EA3">
        <w:rPr>
          <w:rFonts w:ascii="Book Antiqua" w:eastAsia="SimSun" w:hAnsi="Book Antiqua" w:cs="SimSun"/>
          <w:b/>
          <w:color w:val="000000"/>
          <w:kern w:val="0"/>
          <w:sz w:val="24"/>
          <w:szCs w:val="24"/>
          <w:lang w:eastAsia="zh-CN"/>
        </w:rPr>
        <w:t>Barnes D</w:t>
      </w:r>
      <w:r w:rsidRPr="00235EA3">
        <w:rPr>
          <w:rFonts w:ascii="Book Antiqua" w:eastAsia="SimSun" w:hAnsi="Book Antiqua" w:cs="SimSun"/>
          <w:color w:val="000000"/>
          <w:kern w:val="0"/>
          <w:sz w:val="24"/>
          <w:szCs w:val="24"/>
          <w:lang w:eastAsia="zh-CN"/>
        </w:rPr>
        <w:t>, Eveson JW, Reichart P. World Health Organization Classification of Tumors. Pathology and genetics. Head and Neck tumors. Lyon: IARC Press 2005</w:t>
      </w:r>
    </w:p>
    <w:p w14:paraId="3B36ADDE"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12 Japan Society for Head and Neck Cancer, General rules for clinical studies on head and neck cancer. Tokyo: Kanehara, 2005</w:t>
      </w:r>
    </w:p>
    <w:p w14:paraId="3BB8F10B"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13 </w:t>
      </w:r>
      <w:r w:rsidRPr="00235EA3">
        <w:rPr>
          <w:rFonts w:ascii="Book Antiqua" w:eastAsia="SimSun" w:hAnsi="Book Antiqua" w:cs="SimSun"/>
          <w:b/>
          <w:bCs/>
          <w:color w:val="000000"/>
          <w:kern w:val="0"/>
          <w:sz w:val="24"/>
          <w:szCs w:val="24"/>
          <w:lang w:eastAsia="zh-CN"/>
        </w:rPr>
        <w:t>Inoue H</w:t>
      </w:r>
      <w:r w:rsidRPr="00235EA3">
        <w:rPr>
          <w:rFonts w:ascii="Book Antiqua" w:eastAsia="SimSun" w:hAnsi="Book Antiqua" w:cs="SimSun"/>
          <w:color w:val="000000"/>
          <w:kern w:val="0"/>
          <w:sz w:val="24"/>
          <w:szCs w:val="24"/>
          <w:lang w:eastAsia="zh-CN"/>
        </w:rPr>
        <w:t>, Endo M, Takeshita K, Yoshino K, Muraoka Y, Yoneshima H. A new simplified technique of endoscopic esophageal mucosal resection using a cap-fitted panendoscope (EMRC) </w:t>
      </w:r>
      <w:r w:rsidRPr="00235EA3">
        <w:rPr>
          <w:rFonts w:ascii="Book Antiqua" w:eastAsia="SimSun" w:hAnsi="Book Antiqua" w:cs="SimSun"/>
          <w:i/>
          <w:iCs/>
          <w:color w:val="000000"/>
          <w:kern w:val="0"/>
          <w:sz w:val="24"/>
          <w:szCs w:val="24"/>
          <w:lang w:eastAsia="zh-CN"/>
        </w:rPr>
        <w:t>Surg Endosc</w:t>
      </w:r>
      <w:r w:rsidRPr="00235EA3">
        <w:rPr>
          <w:rFonts w:ascii="Book Antiqua" w:eastAsia="SimSun" w:hAnsi="Book Antiqua" w:cs="SimSun"/>
          <w:color w:val="000000"/>
          <w:kern w:val="0"/>
          <w:sz w:val="24"/>
          <w:szCs w:val="24"/>
          <w:lang w:eastAsia="zh-CN"/>
        </w:rPr>
        <w:t> 1992; </w:t>
      </w:r>
      <w:r w:rsidRPr="00235EA3">
        <w:rPr>
          <w:rFonts w:ascii="Book Antiqua" w:eastAsia="SimSun" w:hAnsi="Book Antiqua" w:cs="SimSun"/>
          <w:b/>
          <w:bCs/>
          <w:color w:val="000000"/>
          <w:kern w:val="0"/>
          <w:sz w:val="24"/>
          <w:szCs w:val="24"/>
          <w:lang w:eastAsia="zh-CN"/>
        </w:rPr>
        <w:t>6</w:t>
      </w:r>
      <w:r w:rsidRPr="00235EA3">
        <w:rPr>
          <w:rFonts w:ascii="Book Antiqua" w:eastAsia="SimSun" w:hAnsi="Book Antiqua" w:cs="SimSun"/>
          <w:color w:val="000000"/>
          <w:kern w:val="0"/>
          <w:sz w:val="24"/>
          <w:szCs w:val="24"/>
          <w:lang w:eastAsia="zh-CN"/>
        </w:rPr>
        <w:t>: 264-265 [PMID: 1465738]</w:t>
      </w:r>
    </w:p>
    <w:p w14:paraId="41041334"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14 </w:t>
      </w:r>
      <w:r w:rsidRPr="00235EA3">
        <w:rPr>
          <w:rFonts w:ascii="Book Antiqua" w:eastAsia="SimSun" w:hAnsi="Book Antiqua" w:cs="SimSun"/>
          <w:b/>
          <w:bCs/>
          <w:color w:val="000000"/>
          <w:kern w:val="0"/>
          <w:sz w:val="24"/>
          <w:szCs w:val="24"/>
          <w:lang w:eastAsia="zh-CN"/>
        </w:rPr>
        <w:t>Inoue H</w:t>
      </w:r>
      <w:r w:rsidRPr="00235EA3">
        <w:rPr>
          <w:rFonts w:ascii="Book Antiqua" w:eastAsia="SimSun" w:hAnsi="Book Antiqua" w:cs="SimSun"/>
          <w:color w:val="000000"/>
          <w:kern w:val="0"/>
          <w:sz w:val="24"/>
          <w:szCs w:val="24"/>
          <w:lang w:eastAsia="zh-CN"/>
        </w:rPr>
        <w:t>, Tani M, Nagai K, Kawano T, Takeshita K, Endo M, Iwai T. Treatment of esophageal and gastric tumors. </w:t>
      </w:r>
      <w:r w:rsidRPr="00235EA3">
        <w:rPr>
          <w:rFonts w:ascii="Book Antiqua" w:eastAsia="SimSun" w:hAnsi="Book Antiqua" w:cs="SimSun"/>
          <w:i/>
          <w:iCs/>
          <w:color w:val="000000"/>
          <w:kern w:val="0"/>
          <w:sz w:val="24"/>
          <w:szCs w:val="24"/>
          <w:lang w:eastAsia="zh-CN"/>
        </w:rPr>
        <w:t>Endoscopy</w:t>
      </w:r>
      <w:r w:rsidRPr="00235EA3">
        <w:rPr>
          <w:rFonts w:ascii="Book Antiqua" w:eastAsia="SimSun" w:hAnsi="Book Antiqua" w:cs="SimSun"/>
          <w:color w:val="000000"/>
          <w:kern w:val="0"/>
          <w:sz w:val="24"/>
          <w:szCs w:val="24"/>
          <w:lang w:eastAsia="zh-CN"/>
        </w:rPr>
        <w:t> 1999; </w:t>
      </w:r>
      <w:r w:rsidRPr="00235EA3">
        <w:rPr>
          <w:rFonts w:ascii="Book Antiqua" w:eastAsia="SimSun" w:hAnsi="Book Antiqua" w:cs="SimSun"/>
          <w:b/>
          <w:bCs/>
          <w:color w:val="000000"/>
          <w:kern w:val="0"/>
          <w:sz w:val="24"/>
          <w:szCs w:val="24"/>
          <w:lang w:eastAsia="zh-CN"/>
        </w:rPr>
        <w:t>31</w:t>
      </w:r>
      <w:r w:rsidRPr="00235EA3">
        <w:rPr>
          <w:rFonts w:ascii="Book Antiqua" w:eastAsia="SimSun" w:hAnsi="Book Antiqua" w:cs="SimSun"/>
          <w:color w:val="000000"/>
          <w:kern w:val="0"/>
          <w:sz w:val="24"/>
          <w:szCs w:val="24"/>
          <w:lang w:eastAsia="zh-CN"/>
        </w:rPr>
        <w:t>: 47-55 [PMID: 10082409 DOI: 10.1055/s-1999-13647]</w:t>
      </w:r>
    </w:p>
    <w:p w14:paraId="5461946C"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lastRenderedPageBreak/>
        <w:t>15 </w:t>
      </w:r>
      <w:r w:rsidRPr="00235EA3">
        <w:rPr>
          <w:rFonts w:ascii="Book Antiqua" w:eastAsia="SimSun" w:hAnsi="Book Antiqua" w:cs="SimSun"/>
          <w:b/>
          <w:bCs/>
          <w:color w:val="000000"/>
          <w:kern w:val="0"/>
          <w:sz w:val="24"/>
          <w:szCs w:val="24"/>
          <w:lang w:eastAsia="zh-CN"/>
        </w:rPr>
        <w:t>Muto M</w:t>
      </w:r>
      <w:r w:rsidRPr="00235EA3">
        <w:rPr>
          <w:rFonts w:ascii="Book Antiqua" w:eastAsia="SimSun" w:hAnsi="Book Antiqua" w:cs="SimSun"/>
          <w:color w:val="000000"/>
          <w:kern w:val="0"/>
          <w:sz w:val="24"/>
          <w:szCs w:val="24"/>
          <w:lang w:eastAsia="zh-CN"/>
        </w:rPr>
        <w:t>, Nakane M, Katada C, Sano Y, Ohtsu A, Esumi H, Ebihara S, Yoshida S. Squamous cell carcinoma in situ at oropharyngeal and hypopharyngeal mucosal sites. </w:t>
      </w:r>
      <w:r w:rsidRPr="00235EA3">
        <w:rPr>
          <w:rFonts w:ascii="Book Antiqua" w:eastAsia="SimSun" w:hAnsi="Book Antiqua" w:cs="SimSun"/>
          <w:i/>
          <w:iCs/>
          <w:color w:val="000000"/>
          <w:kern w:val="0"/>
          <w:sz w:val="24"/>
          <w:szCs w:val="24"/>
          <w:lang w:eastAsia="zh-CN"/>
        </w:rPr>
        <w:t>Cancer</w:t>
      </w:r>
      <w:r w:rsidRPr="00235EA3">
        <w:rPr>
          <w:rFonts w:ascii="Book Antiqua" w:eastAsia="SimSun" w:hAnsi="Book Antiqua" w:cs="SimSun"/>
          <w:color w:val="000000"/>
          <w:kern w:val="0"/>
          <w:sz w:val="24"/>
          <w:szCs w:val="24"/>
          <w:lang w:eastAsia="zh-CN"/>
        </w:rPr>
        <w:t> 2004; </w:t>
      </w:r>
      <w:r w:rsidRPr="00235EA3">
        <w:rPr>
          <w:rFonts w:ascii="Book Antiqua" w:eastAsia="SimSun" w:hAnsi="Book Antiqua" w:cs="SimSun"/>
          <w:b/>
          <w:bCs/>
          <w:color w:val="000000"/>
          <w:kern w:val="0"/>
          <w:sz w:val="24"/>
          <w:szCs w:val="24"/>
          <w:lang w:eastAsia="zh-CN"/>
        </w:rPr>
        <w:t>101</w:t>
      </w:r>
      <w:r w:rsidRPr="00235EA3">
        <w:rPr>
          <w:rFonts w:ascii="Book Antiqua" w:eastAsia="SimSun" w:hAnsi="Book Antiqua" w:cs="SimSun"/>
          <w:color w:val="000000"/>
          <w:kern w:val="0"/>
          <w:sz w:val="24"/>
          <w:szCs w:val="24"/>
          <w:lang w:eastAsia="zh-CN"/>
        </w:rPr>
        <w:t>: 1375-1381 [PMID: 15368325 DOI: 10.1002/cncr.20482]</w:t>
      </w:r>
    </w:p>
    <w:p w14:paraId="3E87C79B" w14:textId="77777777" w:rsidR="00235EA3" w:rsidRPr="00235EA3" w:rsidRDefault="00235EA3" w:rsidP="00235EA3">
      <w:pPr>
        <w:widowControl/>
        <w:snapToGrid w:val="0"/>
        <w:spacing w:line="360" w:lineRule="auto"/>
        <w:rPr>
          <w:rFonts w:ascii="Book Antiqua" w:eastAsia="SimSun" w:hAnsi="Book Antiqua" w:cs="SimSun"/>
          <w:color w:val="000000"/>
          <w:kern w:val="0"/>
          <w:sz w:val="24"/>
          <w:szCs w:val="24"/>
          <w:lang w:eastAsia="zh-CN"/>
        </w:rPr>
      </w:pPr>
      <w:r w:rsidRPr="00235EA3">
        <w:rPr>
          <w:rFonts w:ascii="Book Antiqua" w:eastAsia="SimSun" w:hAnsi="Book Antiqua" w:cs="SimSun"/>
          <w:color w:val="000000"/>
          <w:kern w:val="0"/>
          <w:sz w:val="24"/>
          <w:szCs w:val="24"/>
          <w:lang w:eastAsia="zh-CN"/>
        </w:rPr>
        <w:t>16 </w:t>
      </w:r>
      <w:r w:rsidRPr="00235EA3">
        <w:rPr>
          <w:rFonts w:ascii="Book Antiqua" w:eastAsia="SimSun" w:hAnsi="Book Antiqua" w:cs="SimSun"/>
          <w:b/>
          <w:bCs/>
          <w:color w:val="000000"/>
          <w:kern w:val="0"/>
          <w:sz w:val="24"/>
          <w:szCs w:val="24"/>
          <w:lang w:eastAsia="zh-CN"/>
        </w:rPr>
        <w:t>Satake H</w:t>
      </w:r>
      <w:r w:rsidRPr="00235EA3">
        <w:rPr>
          <w:rFonts w:ascii="Book Antiqua" w:eastAsia="SimSun" w:hAnsi="Book Antiqua" w:cs="SimSun"/>
          <w:color w:val="000000"/>
          <w:kern w:val="0"/>
          <w:sz w:val="24"/>
          <w:szCs w:val="24"/>
          <w:lang w:eastAsia="zh-CN"/>
        </w:rPr>
        <w:t xml:space="preserve">, Yano T, Muto M, Minashi K, Yoda Y, Kojima T, Oono Y, Ikematsu H, Aoyama I, Morita S, Miyamoto S, Fujii S, Yoshizawa A, Ochiai A, Hayashi R, Kaneko K. Clinical outcome after endoscopic resection for superficial pharyngeal squamous cell carcinoma invading the subepithelial layer. </w:t>
      </w:r>
      <w:r w:rsidRPr="00235EA3">
        <w:rPr>
          <w:rFonts w:ascii="Book Antiqua" w:eastAsia="SimSun" w:hAnsi="Book Antiqua" w:cs="SimSun"/>
          <w:i/>
          <w:iCs/>
          <w:color w:val="000000"/>
          <w:kern w:val="0"/>
          <w:sz w:val="24"/>
          <w:szCs w:val="24"/>
          <w:lang w:eastAsia="zh-CN"/>
        </w:rPr>
        <w:t>Endoscopy</w:t>
      </w:r>
      <w:r w:rsidRPr="00235EA3">
        <w:rPr>
          <w:rFonts w:ascii="Book Antiqua" w:eastAsia="SimSun" w:hAnsi="Book Antiqua" w:cs="SimSun"/>
          <w:color w:val="000000"/>
          <w:kern w:val="0"/>
          <w:sz w:val="24"/>
          <w:szCs w:val="24"/>
          <w:lang w:eastAsia="zh-CN"/>
        </w:rPr>
        <w:t xml:space="preserve"> 2015; </w:t>
      </w:r>
      <w:r w:rsidRPr="00235EA3">
        <w:rPr>
          <w:rFonts w:ascii="Book Antiqua" w:eastAsia="SimSun" w:hAnsi="Book Antiqua" w:cs="SimSun"/>
          <w:b/>
          <w:bCs/>
          <w:color w:val="000000"/>
          <w:kern w:val="0"/>
          <w:sz w:val="24"/>
          <w:szCs w:val="24"/>
          <w:lang w:eastAsia="zh-CN"/>
        </w:rPr>
        <w:t>47</w:t>
      </w:r>
      <w:r w:rsidRPr="00235EA3">
        <w:rPr>
          <w:rFonts w:ascii="Book Antiqua" w:eastAsia="SimSun" w:hAnsi="Book Antiqua" w:cs="SimSun"/>
          <w:color w:val="000000"/>
          <w:kern w:val="0"/>
          <w:sz w:val="24"/>
          <w:szCs w:val="24"/>
          <w:lang w:eastAsia="zh-CN"/>
        </w:rPr>
        <w:t>: 11-18 [PMID: 25268310 DOI: 10.1055/s-0034-1378107.]</w:t>
      </w:r>
    </w:p>
    <w:p w14:paraId="7A014D03" w14:textId="77777777" w:rsidR="00235EA3" w:rsidRPr="00235EA3" w:rsidRDefault="00235EA3" w:rsidP="00235EA3">
      <w:pPr>
        <w:widowControl/>
        <w:snapToGrid w:val="0"/>
        <w:spacing w:line="360" w:lineRule="auto"/>
        <w:jc w:val="right"/>
        <w:rPr>
          <w:rFonts w:ascii="Book Antiqua" w:eastAsia="SimSun" w:hAnsi="Book Antiqua" w:cs="Times New Roman"/>
          <w:kern w:val="0"/>
          <w:sz w:val="24"/>
          <w:szCs w:val="24"/>
          <w:lang w:eastAsia="zh-CN"/>
        </w:rPr>
      </w:pPr>
      <w:bookmarkStart w:id="25" w:name="OLE_LINK51"/>
      <w:bookmarkStart w:id="26" w:name="OLE_LINK52"/>
      <w:bookmarkStart w:id="27" w:name="OLE_LINK120"/>
      <w:bookmarkStart w:id="28" w:name="OLE_LINK148"/>
      <w:bookmarkStart w:id="29" w:name="OLE_LINK72"/>
      <w:bookmarkStart w:id="30" w:name="OLE_LINK112"/>
      <w:bookmarkStart w:id="31" w:name="OLE_LINK320"/>
      <w:bookmarkStart w:id="32" w:name="OLE_LINK387"/>
      <w:bookmarkStart w:id="33" w:name="OLE_LINK183"/>
      <w:bookmarkStart w:id="34" w:name="OLE_LINK254"/>
      <w:bookmarkStart w:id="35" w:name="OLE_LINK149"/>
      <w:bookmarkStart w:id="36" w:name="OLE_LINK225"/>
      <w:bookmarkStart w:id="37" w:name="OLE_LINK207"/>
      <w:bookmarkStart w:id="38" w:name="OLE_LINK226"/>
      <w:bookmarkStart w:id="39" w:name="OLE_LINK212"/>
      <w:bookmarkStart w:id="40" w:name="OLE_LINK250"/>
      <w:bookmarkStart w:id="41" w:name="OLE_LINK281"/>
      <w:bookmarkStart w:id="42" w:name="OLE_LINK282"/>
      <w:bookmarkStart w:id="43" w:name="OLE_LINK313"/>
      <w:bookmarkStart w:id="44" w:name="OLE_LINK304"/>
      <w:bookmarkStart w:id="45" w:name="OLE_LINK321"/>
      <w:bookmarkStart w:id="46" w:name="OLE_LINK385"/>
      <w:bookmarkStart w:id="47" w:name="OLE_LINK400"/>
      <w:bookmarkStart w:id="48" w:name="OLE_LINK346"/>
      <w:bookmarkStart w:id="49" w:name="OLE_LINK371"/>
      <w:bookmarkStart w:id="50" w:name="OLE_LINK334"/>
      <w:bookmarkStart w:id="51" w:name="OLE_LINK1830"/>
      <w:bookmarkStart w:id="52" w:name="OLE_LINK457"/>
      <w:bookmarkStart w:id="53" w:name="OLE_LINK288"/>
      <w:bookmarkStart w:id="54" w:name="OLE_LINK384"/>
      <w:bookmarkStart w:id="55" w:name="OLE_LINK379"/>
      <w:bookmarkStart w:id="56" w:name="OLE_LINK303"/>
      <w:bookmarkStart w:id="57" w:name="OLE_LINK450"/>
      <w:bookmarkStart w:id="58" w:name="OLE_LINK489"/>
      <w:bookmarkStart w:id="59" w:name="OLE_LINK535"/>
      <w:bookmarkStart w:id="60" w:name="OLE_LINK648"/>
      <w:bookmarkStart w:id="61" w:name="OLE_LINK686"/>
      <w:bookmarkStart w:id="62" w:name="OLE_LINK471"/>
      <w:bookmarkStart w:id="63" w:name="OLE_LINK462"/>
      <w:bookmarkStart w:id="64" w:name="OLE_LINK519"/>
      <w:bookmarkStart w:id="65" w:name="OLE_LINK575"/>
      <w:bookmarkStart w:id="66" w:name="OLE_LINK491"/>
      <w:bookmarkStart w:id="67" w:name="OLE_LINK532"/>
      <w:bookmarkStart w:id="68" w:name="OLE_LINK572"/>
      <w:bookmarkStart w:id="69" w:name="OLE_LINK574"/>
      <w:bookmarkStart w:id="70" w:name="OLE_LINK480"/>
      <w:bookmarkStart w:id="71" w:name="OLE_LINK567"/>
      <w:bookmarkStart w:id="72" w:name="OLE_LINK2700"/>
      <w:bookmarkStart w:id="73" w:name="OLE_LINK581"/>
      <w:bookmarkStart w:id="74" w:name="OLE_LINK639"/>
      <w:bookmarkStart w:id="75" w:name="OLE_LINK688"/>
      <w:bookmarkStart w:id="76" w:name="OLE_LINK722"/>
      <w:bookmarkStart w:id="77" w:name="OLE_LINK542"/>
      <w:bookmarkStart w:id="78" w:name="OLE_LINK589"/>
      <w:bookmarkStart w:id="79" w:name="OLE_LINK582"/>
      <w:bookmarkStart w:id="80" w:name="OLE_LINK640"/>
      <w:bookmarkStart w:id="81" w:name="OLE_LINK714"/>
      <w:bookmarkStart w:id="82" w:name="OLE_LINK593"/>
      <w:bookmarkStart w:id="83" w:name="OLE_LINK716"/>
      <w:bookmarkStart w:id="84" w:name="OLE_LINK770"/>
      <w:bookmarkStart w:id="85" w:name="OLE_LINK801"/>
      <w:bookmarkStart w:id="86" w:name="OLE_LINK660"/>
      <w:bookmarkStart w:id="87" w:name="OLE_LINK781"/>
      <w:bookmarkStart w:id="88" w:name="OLE_LINK833"/>
      <w:bookmarkStart w:id="89" w:name="OLE_LINK642"/>
      <w:bookmarkStart w:id="90" w:name="OLE_LINK700"/>
      <w:bookmarkStart w:id="91" w:name="OLE_LINK792"/>
      <w:bookmarkStart w:id="92" w:name="OLE_LINK2882"/>
      <w:bookmarkStart w:id="93" w:name="OLE_LINK836"/>
      <w:bookmarkStart w:id="94" w:name="OLE_LINK889"/>
      <w:bookmarkStart w:id="95" w:name="OLE_LINK782"/>
      <w:bookmarkStart w:id="96" w:name="OLE_LINK826"/>
      <w:bookmarkStart w:id="97" w:name="OLE_LINK865"/>
      <w:bookmarkStart w:id="98" w:name="OLE_LINK856"/>
      <w:bookmarkStart w:id="99" w:name="OLE_LINK908"/>
      <w:bookmarkStart w:id="100" w:name="OLE_LINK980"/>
      <w:bookmarkStart w:id="101" w:name="OLE_LINK1018"/>
      <w:bookmarkStart w:id="102" w:name="OLE_LINK1049"/>
      <w:bookmarkStart w:id="103" w:name="OLE_LINK1076"/>
      <w:bookmarkStart w:id="104" w:name="OLE_LINK1106"/>
      <w:bookmarkStart w:id="105" w:name="OLE_LINK891"/>
      <w:bookmarkStart w:id="106" w:name="OLE_LINK943"/>
      <w:bookmarkStart w:id="107" w:name="OLE_LINK981"/>
      <w:bookmarkStart w:id="108" w:name="OLE_LINK1030"/>
      <w:bookmarkStart w:id="109" w:name="OLE_LINK847"/>
      <w:bookmarkStart w:id="110" w:name="OLE_LINK909"/>
      <w:bookmarkStart w:id="111" w:name="OLE_LINK906"/>
      <w:bookmarkStart w:id="112" w:name="OLE_LINK992"/>
      <w:bookmarkStart w:id="113" w:name="OLE_LINK993"/>
      <w:bookmarkStart w:id="114" w:name="OLE_LINK1052"/>
      <w:bookmarkStart w:id="115" w:name="OLE_LINK946"/>
      <w:bookmarkStart w:id="116" w:name="OLE_LINK911"/>
      <w:bookmarkStart w:id="117" w:name="OLE_LINK930"/>
      <w:bookmarkStart w:id="118" w:name="OLE_LINK1059"/>
      <w:bookmarkStart w:id="119" w:name="OLE_LINK1174"/>
      <w:bookmarkStart w:id="120" w:name="OLE_LINK1137"/>
      <w:bookmarkStart w:id="121" w:name="OLE_LINK1167"/>
      <w:bookmarkStart w:id="122" w:name="OLE_LINK1200"/>
      <w:bookmarkStart w:id="123" w:name="OLE_LINK1241"/>
      <w:bookmarkStart w:id="124" w:name="OLE_LINK1288"/>
      <w:bookmarkStart w:id="125" w:name="OLE_LINK1056"/>
      <w:bookmarkStart w:id="126" w:name="OLE_LINK1158"/>
      <w:bookmarkStart w:id="127" w:name="OLE_LINK1175"/>
      <w:bookmarkStart w:id="128" w:name="OLE_LINK1074"/>
      <w:bookmarkStart w:id="129" w:name="OLE_LINK1169"/>
      <w:r w:rsidRPr="00235EA3">
        <w:rPr>
          <w:rFonts w:ascii="Book Antiqua" w:eastAsia="SimSun" w:hAnsi="Book Antiqua" w:cs="Times New Roman"/>
          <w:b/>
          <w:bCs/>
          <w:kern w:val="0"/>
          <w:sz w:val="24"/>
          <w:szCs w:val="24"/>
          <w:lang w:eastAsia="zh-CN"/>
        </w:rPr>
        <w:t>P-Reviewer:</w:t>
      </w:r>
      <w:r w:rsidRPr="00235EA3">
        <w:rPr>
          <w:rFonts w:ascii="Book Antiqua" w:eastAsia="SimSun" w:hAnsi="Book Antiqua" w:cs="Times New Roman" w:hint="eastAsia"/>
          <w:bCs/>
          <w:kern w:val="0"/>
          <w:sz w:val="24"/>
          <w:szCs w:val="24"/>
          <w:lang w:eastAsia="zh-CN"/>
        </w:rPr>
        <w:t xml:space="preserve"> </w:t>
      </w:r>
      <w:r w:rsidRPr="00235EA3">
        <w:rPr>
          <w:rFonts w:ascii="Book Antiqua" w:eastAsia="SimSun" w:hAnsi="Book Antiqua" w:cs="Times New Roman"/>
          <w:bCs/>
          <w:kern w:val="0"/>
          <w:sz w:val="24"/>
          <w:szCs w:val="24"/>
          <w:lang w:eastAsia="zh-CN"/>
        </w:rPr>
        <w:t>Iijima K, Li CJ</w:t>
      </w:r>
      <w:r w:rsidRPr="00235EA3">
        <w:rPr>
          <w:rFonts w:ascii="Book Antiqua" w:eastAsia="SimSun" w:hAnsi="Book Antiqua" w:cs="Times New Roman"/>
          <w:b/>
          <w:bCs/>
          <w:kern w:val="0"/>
          <w:sz w:val="24"/>
          <w:szCs w:val="24"/>
          <w:lang w:eastAsia="zh-CN"/>
        </w:rPr>
        <w:t xml:space="preserve"> S-Editor:</w:t>
      </w:r>
      <w:r w:rsidRPr="00235EA3">
        <w:rPr>
          <w:rFonts w:ascii="Book Antiqua" w:eastAsia="SimSun" w:hAnsi="Book Antiqua" w:cs="Times New Roman" w:hint="eastAsia"/>
          <w:kern w:val="0"/>
          <w:sz w:val="24"/>
          <w:szCs w:val="24"/>
          <w:lang w:eastAsia="zh-CN"/>
        </w:rPr>
        <w:t xml:space="preserve"> Gong ZM</w:t>
      </w:r>
    </w:p>
    <w:p w14:paraId="1EF465C7" w14:textId="77777777" w:rsidR="00235EA3" w:rsidRPr="00235EA3" w:rsidRDefault="00235EA3" w:rsidP="00235EA3">
      <w:pPr>
        <w:widowControl/>
        <w:snapToGrid w:val="0"/>
        <w:spacing w:line="360" w:lineRule="auto"/>
        <w:jc w:val="right"/>
        <w:rPr>
          <w:rFonts w:ascii="Book Antiqua" w:eastAsia="SimSun" w:hAnsi="Book Antiqua" w:cs="Times New Roman"/>
          <w:b/>
          <w:bCs/>
          <w:kern w:val="0"/>
          <w:sz w:val="24"/>
          <w:szCs w:val="24"/>
          <w:lang w:eastAsia="zh-CN"/>
        </w:rPr>
      </w:pPr>
      <w:r w:rsidRPr="00235EA3">
        <w:rPr>
          <w:rFonts w:ascii="Book Antiqua" w:eastAsia="SimSun" w:hAnsi="Book Antiqua" w:cs="Times New Roman"/>
          <w:b/>
          <w:bCs/>
          <w:kern w:val="0"/>
          <w:sz w:val="24"/>
          <w:szCs w:val="24"/>
          <w:lang w:eastAsia="zh-CN"/>
        </w:rPr>
        <w:t>L-Editor:</w:t>
      </w:r>
      <w:r w:rsidRPr="00235EA3">
        <w:rPr>
          <w:rFonts w:ascii="Book Antiqua" w:eastAsia="SimSun" w:hAnsi="Book Antiqua" w:cs="Times New Roman"/>
          <w:kern w:val="0"/>
          <w:sz w:val="24"/>
          <w:szCs w:val="24"/>
          <w:lang w:eastAsia="zh-CN"/>
        </w:rPr>
        <w:t xml:space="preserve"> </w:t>
      </w:r>
      <w:r w:rsidRPr="00235EA3">
        <w:rPr>
          <w:rFonts w:ascii="Book Antiqua" w:eastAsia="SimSun" w:hAnsi="Book Antiqua" w:cs="Times New Roman"/>
          <w:b/>
          <w:bCs/>
          <w:kern w:val="0"/>
          <w:sz w:val="24"/>
          <w:szCs w:val="24"/>
          <w:lang w:eastAsia="zh-CN"/>
        </w:rPr>
        <w:t>E-Editor:</w:t>
      </w:r>
    </w:p>
    <w:p w14:paraId="20F1362C" w14:textId="77777777" w:rsidR="00235EA3" w:rsidRPr="00235EA3" w:rsidRDefault="00235EA3" w:rsidP="00235EA3">
      <w:pPr>
        <w:widowControl/>
        <w:shd w:val="clear" w:color="auto" w:fill="FFFFFF"/>
        <w:snapToGrid w:val="0"/>
        <w:spacing w:line="360" w:lineRule="auto"/>
        <w:rPr>
          <w:rFonts w:ascii="Book Antiqua" w:eastAsia="SimSun" w:hAnsi="Book Antiqua" w:cs="Helvetica"/>
          <w:b/>
          <w:kern w:val="0"/>
          <w:sz w:val="24"/>
          <w:szCs w:val="24"/>
          <w:lang w:eastAsia="zh-CN"/>
        </w:rPr>
      </w:pPr>
      <w:bookmarkStart w:id="130" w:name="OLE_LINK880"/>
      <w:bookmarkStart w:id="131" w:name="OLE_LINK881"/>
      <w:bookmarkStart w:id="132" w:name="OLE_LINK497"/>
      <w:bookmarkStart w:id="133" w:name="OLE_LINK8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235EA3">
        <w:rPr>
          <w:rFonts w:ascii="Book Antiqua" w:eastAsia="SimSun" w:hAnsi="Book Antiqua" w:cs="Helvetica"/>
          <w:b/>
          <w:kern w:val="0"/>
          <w:sz w:val="24"/>
          <w:szCs w:val="24"/>
          <w:lang w:eastAsia="zh-CN"/>
        </w:rPr>
        <w:t xml:space="preserve">Specialty type: </w:t>
      </w:r>
      <w:r w:rsidRPr="00235EA3">
        <w:rPr>
          <w:rFonts w:ascii="Book Antiqua" w:eastAsia="SimSun" w:hAnsi="Book Antiqua" w:cs="Helvetica"/>
          <w:kern w:val="0"/>
          <w:sz w:val="24"/>
          <w:szCs w:val="24"/>
          <w:lang w:eastAsia="zh-CN"/>
        </w:rPr>
        <w:t>Gastroenterology and</w:t>
      </w:r>
      <w:r w:rsidRPr="00235EA3">
        <w:rPr>
          <w:rFonts w:ascii="Book Antiqua" w:eastAsia="SimSun" w:hAnsi="Book Antiqua" w:cs="Helvetica" w:hint="eastAsia"/>
          <w:kern w:val="0"/>
          <w:sz w:val="24"/>
          <w:szCs w:val="24"/>
          <w:lang w:eastAsia="zh-CN"/>
        </w:rPr>
        <w:t xml:space="preserve"> </w:t>
      </w:r>
      <w:r w:rsidRPr="00235EA3">
        <w:rPr>
          <w:rFonts w:ascii="Book Antiqua" w:eastAsia="SimSun" w:hAnsi="Book Antiqua" w:cs="Helvetica"/>
          <w:kern w:val="0"/>
          <w:sz w:val="24"/>
          <w:szCs w:val="24"/>
          <w:lang w:eastAsia="zh-CN"/>
        </w:rPr>
        <w:t>hepatology</w:t>
      </w:r>
    </w:p>
    <w:p w14:paraId="60B7F645" w14:textId="77777777" w:rsidR="00235EA3" w:rsidRPr="00235EA3" w:rsidRDefault="00235EA3" w:rsidP="00235EA3">
      <w:pPr>
        <w:widowControl/>
        <w:shd w:val="clear" w:color="auto" w:fill="FFFFFF"/>
        <w:snapToGrid w:val="0"/>
        <w:spacing w:line="360" w:lineRule="auto"/>
        <w:rPr>
          <w:rFonts w:ascii="Book Antiqua" w:eastAsia="SimSun" w:hAnsi="Book Antiqua" w:cs="Helvetica"/>
          <w:b/>
          <w:kern w:val="0"/>
          <w:sz w:val="24"/>
          <w:szCs w:val="24"/>
          <w:lang w:eastAsia="zh-CN"/>
        </w:rPr>
      </w:pPr>
      <w:r w:rsidRPr="00235EA3">
        <w:rPr>
          <w:rFonts w:ascii="Book Antiqua" w:eastAsia="SimSun" w:hAnsi="Book Antiqua" w:cs="Helvetica"/>
          <w:b/>
          <w:kern w:val="0"/>
          <w:sz w:val="24"/>
          <w:szCs w:val="24"/>
          <w:lang w:eastAsia="zh-CN"/>
        </w:rPr>
        <w:t xml:space="preserve">Country of origin: </w:t>
      </w:r>
      <w:r w:rsidRPr="00235EA3">
        <w:rPr>
          <w:rFonts w:ascii="Book Antiqua" w:eastAsia="SimSun" w:hAnsi="Book Antiqua" w:cs="Helvetica"/>
          <w:caps/>
          <w:kern w:val="0"/>
          <w:sz w:val="24"/>
          <w:szCs w:val="24"/>
          <w:lang w:val="en-CA" w:eastAsia="zh-CN"/>
        </w:rPr>
        <w:t>j</w:t>
      </w:r>
      <w:r w:rsidRPr="00235EA3">
        <w:rPr>
          <w:rFonts w:ascii="Book Antiqua" w:eastAsia="SimSun" w:hAnsi="Book Antiqua" w:cs="Helvetica"/>
          <w:kern w:val="0"/>
          <w:sz w:val="24"/>
          <w:szCs w:val="24"/>
          <w:lang w:val="en-CA" w:eastAsia="zh-CN"/>
        </w:rPr>
        <w:t>apan</w:t>
      </w:r>
    </w:p>
    <w:p w14:paraId="0C6FAF6E" w14:textId="77777777" w:rsidR="00235EA3" w:rsidRPr="00235EA3" w:rsidRDefault="00235EA3" w:rsidP="00235EA3">
      <w:pPr>
        <w:widowControl/>
        <w:shd w:val="clear" w:color="auto" w:fill="FFFFFF"/>
        <w:snapToGrid w:val="0"/>
        <w:spacing w:line="360" w:lineRule="auto"/>
        <w:rPr>
          <w:rFonts w:ascii="Book Antiqua" w:eastAsia="SimSun" w:hAnsi="Book Antiqua" w:cs="Helvetica"/>
          <w:b/>
          <w:kern w:val="0"/>
          <w:sz w:val="24"/>
          <w:szCs w:val="24"/>
          <w:lang w:eastAsia="zh-CN"/>
        </w:rPr>
      </w:pPr>
      <w:r w:rsidRPr="00235EA3">
        <w:rPr>
          <w:rFonts w:ascii="Book Antiqua" w:eastAsia="SimSun" w:hAnsi="Book Antiqua" w:cs="Helvetica"/>
          <w:b/>
          <w:kern w:val="0"/>
          <w:sz w:val="24"/>
          <w:szCs w:val="24"/>
          <w:lang w:eastAsia="zh-CN"/>
        </w:rPr>
        <w:t>Peer-review report classification</w:t>
      </w:r>
    </w:p>
    <w:p w14:paraId="33A9B3D4" w14:textId="77777777" w:rsidR="00235EA3" w:rsidRPr="00235EA3" w:rsidRDefault="00235EA3" w:rsidP="00235EA3">
      <w:pPr>
        <w:widowControl/>
        <w:shd w:val="clear" w:color="auto" w:fill="FFFFFF"/>
        <w:snapToGrid w:val="0"/>
        <w:spacing w:line="360" w:lineRule="auto"/>
        <w:rPr>
          <w:rFonts w:ascii="Book Antiqua" w:eastAsia="SimSun" w:hAnsi="Book Antiqua" w:cs="Helvetica"/>
          <w:kern w:val="0"/>
          <w:sz w:val="24"/>
          <w:szCs w:val="24"/>
          <w:lang w:eastAsia="zh-CN"/>
        </w:rPr>
      </w:pPr>
      <w:r w:rsidRPr="00235EA3">
        <w:rPr>
          <w:rFonts w:ascii="Book Antiqua" w:eastAsia="SimSun" w:hAnsi="Book Antiqua" w:cs="Helvetica"/>
          <w:kern w:val="0"/>
          <w:sz w:val="24"/>
          <w:szCs w:val="24"/>
          <w:lang w:eastAsia="zh-CN"/>
        </w:rPr>
        <w:t xml:space="preserve">Grade A (Excellent): </w:t>
      </w:r>
      <w:r w:rsidRPr="00235EA3">
        <w:rPr>
          <w:rFonts w:ascii="Book Antiqua" w:eastAsia="SimSun" w:hAnsi="Book Antiqua" w:cs="Helvetica" w:hint="eastAsia"/>
          <w:kern w:val="0"/>
          <w:sz w:val="24"/>
          <w:szCs w:val="24"/>
          <w:lang w:eastAsia="zh-CN"/>
        </w:rPr>
        <w:t>0</w:t>
      </w:r>
    </w:p>
    <w:p w14:paraId="10648D95" w14:textId="77777777" w:rsidR="00235EA3" w:rsidRPr="00235EA3" w:rsidRDefault="00235EA3" w:rsidP="00235EA3">
      <w:pPr>
        <w:widowControl/>
        <w:shd w:val="clear" w:color="auto" w:fill="FFFFFF"/>
        <w:snapToGrid w:val="0"/>
        <w:spacing w:line="360" w:lineRule="auto"/>
        <w:rPr>
          <w:rFonts w:ascii="Book Antiqua" w:eastAsia="SimSun" w:hAnsi="Book Antiqua" w:cs="Helvetica"/>
          <w:kern w:val="0"/>
          <w:sz w:val="24"/>
          <w:szCs w:val="24"/>
          <w:lang w:eastAsia="zh-CN"/>
        </w:rPr>
      </w:pPr>
      <w:r w:rsidRPr="00235EA3">
        <w:rPr>
          <w:rFonts w:ascii="Book Antiqua" w:eastAsia="SimSun" w:hAnsi="Book Antiqua" w:cs="Helvetica"/>
          <w:kern w:val="0"/>
          <w:sz w:val="24"/>
          <w:szCs w:val="24"/>
          <w:lang w:eastAsia="zh-CN"/>
        </w:rPr>
        <w:t>Grade B (Very good): B, B</w:t>
      </w:r>
    </w:p>
    <w:p w14:paraId="7C983E21" w14:textId="77777777" w:rsidR="00235EA3" w:rsidRPr="00235EA3" w:rsidRDefault="00235EA3" w:rsidP="00235EA3">
      <w:pPr>
        <w:widowControl/>
        <w:shd w:val="clear" w:color="auto" w:fill="FFFFFF"/>
        <w:snapToGrid w:val="0"/>
        <w:spacing w:line="360" w:lineRule="auto"/>
        <w:rPr>
          <w:rFonts w:ascii="Book Antiqua" w:eastAsia="SimSun" w:hAnsi="Book Antiqua" w:cs="Helvetica"/>
          <w:kern w:val="0"/>
          <w:sz w:val="24"/>
          <w:szCs w:val="24"/>
          <w:lang w:eastAsia="zh-CN"/>
        </w:rPr>
      </w:pPr>
      <w:r w:rsidRPr="00235EA3">
        <w:rPr>
          <w:rFonts w:ascii="Book Antiqua" w:eastAsia="SimSun" w:hAnsi="Book Antiqua" w:cs="Helvetica"/>
          <w:kern w:val="0"/>
          <w:sz w:val="24"/>
          <w:szCs w:val="24"/>
          <w:lang w:eastAsia="zh-CN"/>
        </w:rPr>
        <w:t>Grade C (Good): 0</w:t>
      </w:r>
    </w:p>
    <w:p w14:paraId="7794703F" w14:textId="77777777" w:rsidR="00235EA3" w:rsidRPr="00235EA3" w:rsidRDefault="00235EA3" w:rsidP="00235EA3">
      <w:pPr>
        <w:widowControl/>
        <w:shd w:val="clear" w:color="auto" w:fill="FFFFFF"/>
        <w:snapToGrid w:val="0"/>
        <w:spacing w:line="360" w:lineRule="auto"/>
        <w:rPr>
          <w:rFonts w:ascii="Book Antiqua" w:eastAsia="SimSun" w:hAnsi="Book Antiqua" w:cs="Helvetica"/>
          <w:kern w:val="0"/>
          <w:sz w:val="24"/>
          <w:szCs w:val="24"/>
          <w:lang w:eastAsia="zh-CN"/>
        </w:rPr>
      </w:pPr>
      <w:r w:rsidRPr="00235EA3">
        <w:rPr>
          <w:rFonts w:ascii="Book Antiqua" w:eastAsia="SimSun" w:hAnsi="Book Antiqua" w:cs="Helvetica"/>
          <w:kern w:val="0"/>
          <w:sz w:val="24"/>
          <w:szCs w:val="24"/>
          <w:lang w:eastAsia="zh-CN"/>
        </w:rPr>
        <w:t xml:space="preserve">Grade D (Fair): </w:t>
      </w:r>
      <w:r w:rsidRPr="00235EA3">
        <w:rPr>
          <w:rFonts w:ascii="Book Antiqua" w:eastAsia="SimSun" w:hAnsi="Book Antiqua" w:cs="Helvetica" w:hint="eastAsia"/>
          <w:kern w:val="0"/>
          <w:sz w:val="24"/>
          <w:szCs w:val="24"/>
          <w:lang w:eastAsia="zh-CN"/>
        </w:rPr>
        <w:t>0</w:t>
      </w:r>
    </w:p>
    <w:p w14:paraId="14A30F42" w14:textId="77777777" w:rsidR="00235EA3" w:rsidRPr="00235EA3" w:rsidRDefault="00235EA3" w:rsidP="00235EA3">
      <w:pPr>
        <w:widowControl/>
        <w:shd w:val="clear" w:color="auto" w:fill="FFFFFF"/>
        <w:snapToGrid w:val="0"/>
        <w:spacing w:line="360" w:lineRule="auto"/>
        <w:rPr>
          <w:rFonts w:ascii="Book Antiqua" w:eastAsia="SimSun" w:hAnsi="Book Antiqua" w:cs="Helvetica"/>
          <w:kern w:val="0"/>
          <w:sz w:val="24"/>
          <w:szCs w:val="24"/>
          <w:lang w:eastAsia="zh-CN"/>
        </w:rPr>
      </w:pPr>
      <w:r w:rsidRPr="00235EA3">
        <w:rPr>
          <w:rFonts w:ascii="Book Antiqua" w:eastAsia="SimSun" w:hAnsi="Book Antiqua" w:cs="Helvetica"/>
          <w:kern w:val="0"/>
          <w:sz w:val="24"/>
          <w:szCs w:val="24"/>
          <w:lang w:eastAsia="zh-CN"/>
        </w:rPr>
        <w:t xml:space="preserve">Grade E (Poor): </w:t>
      </w:r>
      <w:r w:rsidRPr="00235EA3">
        <w:rPr>
          <w:rFonts w:ascii="Book Antiqua" w:eastAsia="SimSun" w:hAnsi="Book Antiqua" w:cs="Helvetica" w:hint="eastAsia"/>
          <w:kern w:val="0"/>
          <w:sz w:val="24"/>
          <w:szCs w:val="24"/>
          <w:lang w:eastAsia="zh-CN"/>
        </w:rPr>
        <w:t>0</w:t>
      </w:r>
      <w:bookmarkEnd w:id="130"/>
      <w:bookmarkEnd w:id="131"/>
    </w:p>
    <w:bookmarkEnd w:id="132"/>
    <w:bookmarkEnd w:id="133"/>
    <w:p w14:paraId="4DB5CBFD" w14:textId="170CF0D4" w:rsidR="00235EA3" w:rsidRDefault="00235EA3" w:rsidP="00235EA3">
      <w:pPr>
        <w:widowControl/>
        <w:snapToGrid w:val="0"/>
        <w:spacing w:line="360" w:lineRule="auto"/>
        <w:jc w:val="left"/>
        <w:rPr>
          <w:rFonts w:ascii="Book Antiqua" w:eastAsia="SimSun" w:hAnsi="Book Antiqua" w:cs="Times New Roman"/>
          <w:sz w:val="24"/>
          <w:szCs w:val="24"/>
          <w:lang w:eastAsia="zh-CN"/>
        </w:rPr>
      </w:pPr>
      <w:r>
        <w:rPr>
          <w:rFonts w:ascii="Book Antiqua" w:eastAsia="SimSun" w:hAnsi="Book Antiqua" w:cs="Times New Roman"/>
          <w:sz w:val="24"/>
          <w:szCs w:val="24"/>
          <w:lang w:eastAsia="zh-CN"/>
        </w:rPr>
        <w:br w:type="page"/>
      </w:r>
    </w:p>
    <w:p w14:paraId="667FB2AE" w14:textId="6373C546" w:rsidR="005831CF" w:rsidRPr="006A747F" w:rsidRDefault="00970E3F" w:rsidP="00235EA3">
      <w:pPr>
        <w:snapToGrid w:val="0"/>
        <w:spacing w:line="360" w:lineRule="auto"/>
        <w:rPr>
          <w:rFonts w:ascii="Book Antiqua" w:eastAsia="MS PGothic" w:hAnsi="Book Antiqua" w:cs="Times New Roman"/>
          <w:color w:val="000000"/>
          <w:kern w:val="0"/>
          <w:sz w:val="24"/>
          <w:szCs w:val="24"/>
        </w:rPr>
      </w:pPr>
      <w:r>
        <w:rPr>
          <w:noProof/>
          <w:lang w:eastAsia="zh-CN"/>
        </w:rPr>
        <w:lastRenderedPageBreak/>
        <w:drawing>
          <wp:inline distT="0" distB="0" distL="0" distR="0" wp14:anchorId="14F7CFF2" wp14:editId="5B691F0C">
            <wp:extent cx="5400040" cy="4050030"/>
            <wp:effectExtent l="0" t="0" r="0" b="7620"/>
            <wp:docPr id="1" name="図 1" descr="C:\Users\TOMONORI YANO\AppData\Local\Microsoft\Windows\INetCacheContent.Word\Figure 1 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ONORI YANO\AppData\Local\Microsoft\Windows\INetCacheContent.Word\Figure 1 rev.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4E52901D" w14:textId="67FC7DA8" w:rsidR="00EF575E" w:rsidRPr="001E0E5A" w:rsidRDefault="00EF575E" w:rsidP="00235EA3">
      <w:pPr>
        <w:snapToGrid w:val="0"/>
        <w:spacing w:line="360" w:lineRule="auto"/>
        <w:rPr>
          <w:rFonts w:ascii="Book Antiqua" w:eastAsia="SimSun" w:hAnsi="Book Antiqua"/>
          <w:sz w:val="24"/>
          <w:szCs w:val="24"/>
          <w:lang w:eastAsia="zh-CN"/>
        </w:rPr>
      </w:pPr>
      <w:r w:rsidRPr="006A747F">
        <w:rPr>
          <w:rFonts w:ascii="Book Antiqua" w:hAnsi="Book Antiqua"/>
          <w:b/>
          <w:bCs/>
          <w:sz w:val="24"/>
          <w:szCs w:val="24"/>
        </w:rPr>
        <w:t xml:space="preserve">Figure 1 </w:t>
      </w:r>
      <w:r w:rsidRPr="001E0E5A">
        <w:rPr>
          <w:rFonts w:ascii="Book Antiqua" w:hAnsi="Book Antiqua"/>
          <w:b/>
          <w:sz w:val="24"/>
          <w:szCs w:val="24"/>
        </w:rPr>
        <w:t>Narrow Band Imaging observations in individual regions</w:t>
      </w:r>
      <w:r w:rsidR="001E0E5A">
        <w:rPr>
          <w:rFonts w:ascii="Book Antiqua" w:eastAsia="SimSun" w:hAnsi="Book Antiqua" w:hint="eastAsia"/>
          <w:b/>
          <w:sz w:val="24"/>
          <w:szCs w:val="24"/>
          <w:lang w:eastAsia="zh-CN"/>
        </w:rPr>
        <w:t xml:space="preserve"> </w:t>
      </w:r>
      <w:r w:rsidRPr="001E0E5A">
        <w:rPr>
          <w:rFonts w:ascii="Book Antiqua" w:hAnsi="Book Antiqua"/>
          <w:b/>
          <w:sz w:val="24"/>
          <w:szCs w:val="24"/>
        </w:rPr>
        <w:t>from the oropharynx to the pharynx.</w:t>
      </w:r>
      <w:r w:rsidRPr="001E0E5A">
        <w:rPr>
          <w:rFonts w:ascii="Book Antiqua" w:hAnsi="Book Antiqua"/>
          <w:sz w:val="24"/>
          <w:szCs w:val="24"/>
        </w:rPr>
        <w:t xml:space="preserve"> </w:t>
      </w:r>
      <w:r w:rsidRPr="001E0E5A">
        <w:rPr>
          <w:rFonts w:ascii="Book Antiqua" w:hAnsi="Book Antiqua"/>
          <w:bCs/>
          <w:sz w:val="24"/>
          <w:szCs w:val="24"/>
        </w:rPr>
        <w:t xml:space="preserve">A : </w:t>
      </w:r>
      <w:r w:rsidRPr="001E0E5A">
        <w:rPr>
          <w:rFonts w:ascii="Book Antiqua" w:hAnsi="Book Antiqua"/>
          <w:sz w:val="24"/>
          <w:szCs w:val="24"/>
        </w:rPr>
        <w:t xml:space="preserve">The view seen from the entrance of the oral cavity: dorsal side of tongue, hard palate and soft palate; </w:t>
      </w:r>
      <w:r w:rsidRPr="001E0E5A">
        <w:rPr>
          <w:rFonts w:ascii="Book Antiqua" w:hAnsi="Book Antiqua"/>
          <w:bCs/>
          <w:sz w:val="24"/>
          <w:szCs w:val="24"/>
        </w:rPr>
        <w:t xml:space="preserve">B: </w:t>
      </w:r>
      <w:r w:rsidRPr="001E0E5A">
        <w:rPr>
          <w:rFonts w:ascii="Book Antiqua" w:hAnsi="Book Antiqua"/>
          <w:sz w:val="24"/>
          <w:szCs w:val="24"/>
        </w:rPr>
        <w:t xml:space="preserve">Uvula, palatoglossal arch and lateral walls of oropharynx; </w:t>
      </w:r>
      <w:r w:rsidRPr="001E0E5A">
        <w:rPr>
          <w:rFonts w:ascii="Book Antiqua" w:hAnsi="Book Antiqua"/>
          <w:bCs/>
          <w:sz w:val="24"/>
          <w:szCs w:val="24"/>
        </w:rPr>
        <w:t xml:space="preserve">C: Posterior wall of oropharynx; D: </w:t>
      </w:r>
      <w:r w:rsidRPr="001E0E5A">
        <w:rPr>
          <w:rFonts w:ascii="Book Antiqua" w:hAnsi="Book Antiqua"/>
          <w:sz w:val="24"/>
          <w:szCs w:val="24"/>
        </w:rPr>
        <w:t xml:space="preserve">The lateral wall of oropharynx; </w:t>
      </w:r>
      <w:r w:rsidRPr="001E0E5A">
        <w:rPr>
          <w:rFonts w:ascii="Book Antiqua" w:hAnsi="Book Antiqua"/>
          <w:bCs/>
          <w:sz w:val="24"/>
          <w:szCs w:val="24"/>
        </w:rPr>
        <w:t xml:space="preserve">E </w:t>
      </w:r>
      <w:r w:rsidRPr="001E0E5A">
        <w:rPr>
          <w:rFonts w:ascii="Book Antiqua" w:hAnsi="Book Antiqua"/>
          <w:sz w:val="24"/>
          <w:szCs w:val="24"/>
        </w:rPr>
        <w:t xml:space="preserve">Vallecula of epiglottis, median glossoepiglottic fold; </w:t>
      </w:r>
      <w:r w:rsidRPr="001E0E5A">
        <w:rPr>
          <w:rFonts w:ascii="Book Antiqua" w:hAnsi="Book Antiqua"/>
          <w:bCs/>
          <w:sz w:val="24"/>
          <w:szCs w:val="24"/>
        </w:rPr>
        <w:t>F The right side of epiglottis, base of tongue</w:t>
      </w:r>
      <w:r w:rsidRPr="001E0E5A">
        <w:rPr>
          <w:rFonts w:ascii="Book Antiqua" w:hAnsi="Book Antiqua"/>
          <w:sz w:val="24"/>
          <w:szCs w:val="24"/>
        </w:rPr>
        <w:t xml:space="preserve">; </w:t>
      </w:r>
      <w:r w:rsidRPr="001E0E5A">
        <w:rPr>
          <w:rFonts w:ascii="Book Antiqua" w:hAnsi="Book Antiqua"/>
          <w:bCs/>
          <w:sz w:val="24"/>
          <w:szCs w:val="24"/>
        </w:rPr>
        <w:t xml:space="preserve">G: Vocal cord, arytenoids and aryepiglottic fold; H: </w:t>
      </w:r>
      <w:r w:rsidRPr="001E0E5A">
        <w:rPr>
          <w:rFonts w:ascii="Book Antiqua" w:hAnsi="Book Antiqua"/>
          <w:sz w:val="24"/>
          <w:szCs w:val="24"/>
        </w:rPr>
        <w:t xml:space="preserve">Post-cricoid area and posterior wall of hypopharynx; </w:t>
      </w:r>
      <w:r w:rsidRPr="001E0E5A">
        <w:rPr>
          <w:rFonts w:ascii="Book Antiqua" w:hAnsi="Book Antiqua"/>
          <w:bCs/>
          <w:sz w:val="24"/>
          <w:szCs w:val="24"/>
        </w:rPr>
        <w:t xml:space="preserve">I: </w:t>
      </w:r>
      <w:r w:rsidRPr="001E0E5A">
        <w:rPr>
          <w:rFonts w:ascii="Book Antiqua" w:hAnsi="Book Antiqua"/>
          <w:sz w:val="24"/>
          <w:szCs w:val="24"/>
        </w:rPr>
        <w:t>The lateral wall an</w:t>
      </w:r>
      <w:r w:rsidR="001E0E5A" w:rsidRPr="001E0E5A">
        <w:rPr>
          <w:rFonts w:ascii="Book Antiqua" w:hAnsi="Book Antiqua"/>
          <w:sz w:val="24"/>
          <w:szCs w:val="24"/>
        </w:rPr>
        <w:t>d apex of right piriform sinus.</w:t>
      </w:r>
    </w:p>
    <w:p w14:paraId="506F7E67" w14:textId="6AD90931" w:rsidR="00EF575E" w:rsidRDefault="00EF575E" w:rsidP="00235EA3">
      <w:pPr>
        <w:snapToGrid w:val="0"/>
        <w:spacing w:line="360" w:lineRule="auto"/>
        <w:rPr>
          <w:rFonts w:ascii="Book Antiqua" w:eastAsia="MS PGothic" w:hAnsi="Book Antiqua" w:cs="Times New Roman"/>
          <w:color w:val="000000"/>
          <w:kern w:val="0"/>
          <w:sz w:val="24"/>
          <w:szCs w:val="24"/>
        </w:rPr>
      </w:pPr>
    </w:p>
    <w:p w14:paraId="234283FB" w14:textId="7AD46006" w:rsidR="00970E3F" w:rsidRPr="006A747F" w:rsidRDefault="00970E3F" w:rsidP="00235EA3">
      <w:pPr>
        <w:snapToGrid w:val="0"/>
        <w:spacing w:line="360" w:lineRule="auto"/>
        <w:rPr>
          <w:rFonts w:ascii="Book Antiqua" w:eastAsia="MS PGothic" w:hAnsi="Book Antiqua" w:cs="Times New Roman"/>
          <w:color w:val="000000"/>
          <w:kern w:val="0"/>
          <w:sz w:val="24"/>
          <w:szCs w:val="24"/>
        </w:rPr>
      </w:pPr>
      <w:r>
        <w:rPr>
          <w:noProof/>
          <w:lang w:eastAsia="zh-CN"/>
        </w:rPr>
        <w:lastRenderedPageBreak/>
        <w:drawing>
          <wp:inline distT="0" distB="0" distL="0" distR="0" wp14:anchorId="4CF5368C" wp14:editId="3BACCCCE">
            <wp:extent cx="3800475" cy="2926600"/>
            <wp:effectExtent l="0" t="0" r="0" b="7620"/>
            <wp:docPr id="2" name="図 2" descr="C:\Users\TOMONORI YANO\AppData\Local\Microsoft\Windows\INetCacheContent.Word\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ONORI YANO\AppData\Local\Microsoft\Windows\INetCacheContent.Word\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2893" cy="2928462"/>
                    </a:xfrm>
                    <a:prstGeom prst="rect">
                      <a:avLst/>
                    </a:prstGeom>
                    <a:noFill/>
                    <a:ln>
                      <a:noFill/>
                    </a:ln>
                  </pic:spPr>
                </pic:pic>
              </a:graphicData>
            </a:graphic>
          </wp:inline>
        </w:drawing>
      </w:r>
    </w:p>
    <w:p w14:paraId="559A243B" w14:textId="3EB8E436" w:rsidR="00D57DC9" w:rsidRPr="00D57DC9" w:rsidRDefault="008C27DF" w:rsidP="00D57DC9">
      <w:pPr>
        <w:snapToGrid w:val="0"/>
        <w:spacing w:line="360" w:lineRule="auto"/>
        <w:rPr>
          <w:rFonts w:ascii="Book Antiqua" w:eastAsia="SimSun" w:hAnsi="Book Antiqua" w:cs="Times New Roman"/>
          <w:bCs/>
          <w:sz w:val="24"/>
          <w:szCs w:val="24"/>
          <w:lang w:eastAsia="zh-CN"/>
        </w:rPr>
      </w:pPr>
      <w:r w:rsidRPr="006A747F">
        <w:rPr>
          <w:rFonts w:ascii="Book Antiqua" w:eastAsia="MS Mincho" w:hAnsi="Book Antiqua" w:cs="Times New Roman"/>
          <w:b/>
          <w:bCs/>
          <w:noProof/>
          <w:sz w:val="24"/>
          <w:szCs w:val="24"/>
        </w:rPr>
        <w:t>Figure 2</w:t>
      </w:r>
      <w:r w:rsidR="00D57DC9">
        <w:rPr>
          <w:rFonts w:ascii="Book Antiqua" w:eastAsia="SimSun" w:hAnsi="Book Antiqua" w:cs="Times New Roman" w:hint="eastAsia"/>
          <w:b/>
          <w:bCs/>
          <w:noProof/>
          <w:sz w:val="24"/>
          <w:szCs w:val="24"/>
          <w:lang w:eastAsia="zh-CN"/>
        </w:rPr>
        <w:t xml:space="preserve"> </w:t>
      </w:r>
      <w:r w:rsidR="005831CF" w:rsidRPr="00D57DC9">
        <w:rPr>
          <w:rFonts w:ascii="Book Antiqua" w:eastAsia="MS Mincho" w:hAnsi="Book Antiqua" w:cs="Times New Roman"/>
          <w:b/>
          <w:bCs/>
          <w:sz w:val="24"/>
          <w:szCs w:val="24"/>
        </w:rPr>
        <w:t xml:space="preserve">The cumulative risk of metachronous </w:t>
      </w:r>
      <w:r w:rsidR="00D57DC9" w:rsidRPr="00D57DC9">
        <w:rPr>
          <w:rFonts w:ascii="Book Antiqua" w:eastAsia="MS Mincho" w:hAnsi="Book Antiqua" w:cs="Times New Roman"/>
          <w:b/>
          <w:bCs/>
          <w:sz w:val="24"/>
          <w:szCs w:val="24"/>
        </w:rPr>
        <w:t xml:space="preserve">head and neck squamous cell carcinoma </w:t>
      </w:r>
      <w:r w:rsidR="005831CF" w:rsidRPr="00D57DC9">
        <w:rPr>
          <w:rFonts w:ascii="Book Antiqua" w:eastAsia="MS Mincho" w:hAnsi="Book Antiqua" w:cs="Times New Roman"/>
          <w:b/>
          <w:bCs/>
          <w:sz w:val="24"/>
          <w:szCs w:val="24"/>
        </w:rPr>
        <w:t xml:space="preserve">after treatment of </w:t>
      </w:r>
      <w:r w:rsidR="00D57DC9" w:rsidRPr="00D57DC9">
        <w:rPr>
          <w:rFonts w:ascii="Book Antiqua" w:eastAsia="MS Mincho" w:hAnsi="Book Antiqua" w:cs="Times New Roman"/>
          <w:b/>
          <w:bCs/>
          <w:sz w:val="24"/>
          <w:szCs w:val="24"/>
        </w:rPr>
        <w:t>esophageal squamous cell carcinoma</w:t>
      </w:r>
      <w:r w:rsidR="00D57DC9" w:rsidRPr="00D57DC9">
        <w:rPr>
          <w:rFonts w:ascii="Book Antiqua" w:eastAsia="SimSun" w:hAnsi="Book Antiqua" w:cs="Times New Roman" w:hint="eastAsia"/>
          <w:b/>
          <w:bCs/>
          <w:sz w:val="24"/>
          <w:szCs w:val="24"/>
          <w:lang w:eastAsia="zh-CN"/>
        </w:rPr>
        <w:t>.</w:t>
      </w:r>
      <w:r w:rsidR="00D57DC9">
        <w:rPr>
          <w:rFonts w:ascii="Book Antiqua" w:eastAsia="SimSun" w:hAnsi="Book Antiqua" w:cs="Times New Roman" w:hint="eastAsia"/>
          <w:bCs/>
          <w:sz w:val="24"/>
          <w:szCs w:val="24"/>
          <w:lang w:eastAsia="zh-CN"/>
        </w:rPr>
        <w:t xml:space="preserve"> </w:t>
      </w:r>
      <w:r w:rsidR="00D57DC9" w:rsidRPr="006A747F">
        <w:rPr>
          <w:rFonts w:ascii="Book Antiqua" w:hAnsi="Book Antiqua"/>
          <w:sz w:val="24"/>
          <w:szCs w:val="24"/>
        </w:rPr>
        <w:t xml:space="preserve">ESCC: </w:t>
      </w:r>
      <w:r w:rsidR="00D57DC9" w:rsidRPr="00816B31">
        <w:rPr>
          <w:rFonts w:ascii="Book Antiqua" w:hAnsi="Book Antiqua"/>
          <w:caps/>
          <w:sz w:val="24"/>
          <w:szCs w:val="24"/>
        </w:rPr>
        <w:t>e</w:t>
      </w:r>
      <w:r w:rsidR="00D57DC9" w:rsidRPr="006A747F">
        <w:rPr>
          <w:rFonts w:ascii="Book Antiqua" w:hAnsi="Book Antiqua"/>
          <w:sz w:val="24"/>
          <w:szCs w:val="24"/>
        </w:rPr>
        <w:t>sophageal squamous cell carcinoma</w:t>
      </w:r>
      <w:r w:rsidR="00D57DC9">
        <w:rPr>
          <w:rFonts w:ascii="Book Antiqua" w:hAnsi="Book Antiqua"/>
          <w:sz w:val="24"/>
          <w:szCs w:val="24"/>
        </w:rPr>
        <w:t>.</w:t>
      </w:r>
    </w:p>
    <w:p w14:paraId="42ADB14D" w14:textId="77777777" w:rsidR="00D57DC9" w:rsidRPr="00D57DC9" w:rsidRDefault="00D57DC9" w:rsidP="00235EA3">
      <w:pPr>
        <w:widowControl/>
        <w:snapToGrid w:val="0"/>
        <w:spacing w:line="360" w:lineRule="auto"/>
        <w:rPr>
          <w:rFonts w:ascii="Book Antiqua" w:eastAsia="SimSun" w:hAnsi="Book Antiqua" w:cs="Times New Roman"/>
          <w:bCs/>
          <w:sz w:val="24"/>
          <w:szCs w:val="24"/>
          <w:lang w:eastAsia="zh-CN"/>
        </w:rPr>
      </w:pPr>
    </w:p>
    <w:p w14:paraId="5697D80A" w14:textId="625DFDBA" w:rsidR="00DC448A" w:rsidRPr="00C41DA3" w:rsidRDefault="00DC448A" w:rsidP="00235EA3">
      <w:pPr>
        <w:widowControl/>
        <w:snapToGrid w:val="0"/>
        <w:spacing w:line="360" w:lineRule="auto"/>
        <w:rPr>
          <w:rFonts w:ascii="Book Antiqua" w:eastAsia="MS Mincho" w:hAnsi="Book Antiqua" w:cs="Times New Roman"/>
          <w:bCs/>
          <w:sz w:val="24"/>
          <w:szCs w:val="24"/>
        </w:rPr>
      </w:pPr>
      <w:r w:rsidRPr="006A747F">
        <w:rPr>
          <w:rFonts w:ascii="Book Antiqua" w:eastAsia="MS Mincho" w:hAnsi="Book Antiqua" w:cs="Times New Roman"/>
          <w:bCs/>
          <w:sz w:val="24"/>
          <w:szCs w:val="24"/>
        </w:rPr>
        <w:br w:type="page"/>
      </w:r>
    </w:p>
    <w:p w14:paraId="0001E9EB" w14:textId="305C9B34" w:rsidR="00DC448A" w:rsidRPr="008B3850" w:rsidRDefault="00DC448A" w:rsidP="00235EA3">
      <w:pPr>
        <w:snapToGrid w:val="0"/>
        <w:spacing w:line="360" w:lineRule="auto"/>
        <w:rPr>
          <w:rFonts w:ascii="Book Antiqua" w:hAnsi="Book Antiqua"/>
          <w:b/>
          <w:sz w:val="24"/>
          <w:szCs w:val="24"/>
        </w:rPr>
      </w:pPr>
      <w:r w:rsidRPr="008B3850">
        <w:rPr>
          <w:rFonts w:ascii="Book Antiqua" w:hAnsi="Book Antiqua"/>
          <w:b/>
          <w:sz w:val="24"/>
          <w:szCs w:val="24"/>
        </w:rPr>
        <w:lastRenderedPageBreak/>
        <w:t>Table 1</w:t>
      </w:r>
      <w:r w:rsidR="008B3850" w:rsidRPr="008B3850">
        <w:rPr>
          <w:rFonts w:ascii="Book Antiqua" w:hAnsi="Book Antiqua"/>
          <w:b/>
          <w:sz w:val="24"/>
          <w:szCs w:val="24"/>
        </w:rPr>
        <w:t xml:space="preserve"> </w:t>
      </w:r>
      <w:r w:rsidRPr="008B3850">
        <w:rPr>
          <w:rFonts w:ascii="Book Antiqua" w:hAnsi="Book Antiqua"/>
          <w:b/>
          <w:sz w:val="24"/>
          <w:szCs w:val="24"/>
        </w:rPr>
        <w:t>The</w:t>
      </w:r>
      <w:r w:rsidR="008B3850">
        <w:rPr>
          <w:rFonts w:ascii="Book Antiqua" w:hAnsi="Book Antiqua"/>
          <w:b/>
          <w:sz w:val="24"/>
          <w:szCs w:val="24"/>
        </w:rPr>
        <w:t xml:space="preserve"> </w:t>
      </w:r>
      <w:r w:rsidRPr="008B3850">
        <w:rPr>
          <w:rFonts w:ascii="Book Antiqua" w:hAnsi="Book Antiqua"/>
          <w:b/>
          <w:sz w:val="24"/>
          <w:szCs w:val="24"/>
        </w:rPr>
        <w:t xml:space="preserve">characteristics of patients with </w:t>
      </w:r>
      <w:r w:rsidR="00F67E3A" w:rsidRPr="00F67E3A">
        <w:rPr>
          <w:rFonts w:ascii="Book Antiqua" w:hAnsi="Book Antiqua"/>
          <w:b/>
          <w:sz w:val="24"/>
          <w:szCs w:val="24"/>
        </w:rPr>
        <w:t>esophageal squamous cell carcinoma</w:t>
      </w:r>
      <w:r w:rsidR="00F67E3A" w:rsidRPr="00F67E3A">
        <w:rPr>
          <w:rFonts w:ascii="Book Antiqua" w:hAnsi="Book Antiqua"/>
          <w:b/>
          <w:i/>
          <w:sz w:val="24"/>
          <w:szCs w:val="24"/>
        </w:rPr>
        <w:t xml:space="preserve"> </w:t>
      </w:r>
      <w:r w:rsidRPr="008B3850">
        <w:rPr>
          <w:rFonts w:ascii="Book Antiqua" w:hAnsi="Book Antiqua"/>
          <w:b/>
          <w:i/>
          <w:sz w:val="24"/>
          <w:szCs w:val="24"/>
        </w:rPr>
        <w:t>n</w:t>
      </w:r>
      <w:r w:rsidRPr="008B3850">
        <w:rPr>
          <w:rFonts w:ascii="Book Antiqua" w:hAnsi="Book Antiqua"/>
          <w:b/>
          <w:sz w:val="24"/>
          <w:szCs w:val="24"/>
        </w:rPr>
        <w:t xml:space="preserve"> (%)</w:t>
      </w:r>
    </w:p>
    <w:tbl>
      <w:tblPr>
        <w:tblW w:w="9029" w:type="dxa"/>
        <w:tblInd w:w="-327"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3374"/>
        <w:gridCol w:w="2297"/>
        <w:gridCol w:w="2126"/>
        <w:gridCol w:w="1232"/>
      </w:tblGrid>
      <w:tr w:rsidR="00816B31" w:rsidRPr="006A747F" w14:paraId="010D7034" w14:textId="5312574B" w:rsidTr="00F67E3A">
        <w:trPr>
          <w:trHeight w:val="408"/>
        </w:trPr>
        <w:tc>
          <w:tcPr>
            <w:tcW w:w="3374" w:type="dxa"/>
            <w:tcBorders>
              <w:top w:val="single" w:sz="4" w:space="0" w:color="auto"/>
              <w:bottom w:val="single" w:sz="4" w:space="0" w:color="auto"/>
            </w:tcBorders>
            <w:noWrap/>
            <w:vAlign w:val="center"/>
            <w:hideMark/>
          </w:tcPr>
          <w:p w14:paraId="69B9DAE0" w14:textId="084EA75B" w:rsidR="00816B31" w:rsidRPr="00816B31" w:rsidRDefault="00816B31" w:rsidP="00235EA3">
            <w:pPr>
              <w:widowControl/>
              <w:snapToGrid w:val="0"/>
              <w:spacing w:line="360" w:lineRule="auto"/>
              <w:rPr>
                <w:rFonts w:ascii="Book Antiqua" w:eastAsia="MS PGothic" w:hAnsi="Book Antiqua" w:cs="Times New Roman"/>
                <w:b/>
                <w:bCs/>
                <w:color w:val="000000"/>
                <w:kern w:val="0"/>
                <w:sz w:val="24"/>
                <w:szCs w:val="24"/>
              </w:rPr>
            </w:pPr>
          </w:p>
        </w:tc>
        <w:tc>
          <w:tcPr>
            <w:tcW w:w="2297" w:type="dxa"/>
            <w:tcBorders>
              <w:top w:val="single" w:sz="4" w:space="0" w:color="auto"/>
              <w:bottom w:val="single" w:sz="4" w:space="0" w:color="auto"/>
            </w:tcBorders>
            <w:noWrap/>
            <w:vAlign w:val="center"/>
            <w:hideMark/>
          </w:tcPr>
          <w:p w14:paraId="3F390710" w14:textId="0DAFAD1E" w:rsidR="00816B31" w:rsidRPr="006A747F" w:rsidRDefault="00816B31"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A</w:t>
            </w:r>
            <w:r>
              <w:rPr>
                <w:rFonts w:ascii="Book Antiqua" w:eastAsia="MS PGothic" w:hAnsi="Book Antiqua" w:cs="Times New Roman"/>
                <w:b/>
                <w:bCs/>
                <w:color w:val="000000"/>
                <w:kern w:val="0"/>
                <w:sz w:val="24"/>
                <w:szCs w:val="24"/>
              </w:rPr>
              <w:t xml:space="preserve"> </w:t>
            </w:r>
            <w:r w:rsidRPr="00816B31">
              <w:rPr>
                <w:rFonts w:ascii="Book Antiqua" w:eastAsia="MS PGothic" w:hAnsi="Book Antiqua" w:cs="Times New Roman"/>
                <w:b/>
                <w:bCs/>
                <w:iCs/>
                <w:color w:val="000000"/>
                <w:kern w:val="0"/>
                <w:sz w:val="24"/>
                <w:szCs w:val="24"/>
              </w:rPr>
              <w:t>(</w:t>
            </w:r>
            <w:r w:rsidRPr="006A747F">
              <w:rPr>
                <w:rFonts w:ascii="Book Antiqua" w:eastAsia="MS PGothic" w:hAnsi="Book Antiqua" w:cs="Times New Roman"/>
                <w:b/>
                <w:bCs/>
                <w:i/>
                <w:iCs/>
                <w:color w:val="000000"/>
                <w:kern w:val="0"/>
                <w:sz w:val="24"/>
                <w:szCs w:val="24"/>
              </w:rPr>
              <w:t xml:space="preserve">n </w:t>
            </w:r>
            <w:r w:rsidRPr="006A747F">
              <w:rPr>
                <w:rFonts w:ascii="Book Antiqua" w:eastAsia="MS PGothic" w:hAnsi="Book Antiqua" w:cs="Times New Roman"/>
                <w:b/>
                <w:bCs/>
                <w:color w:val="000000"/>
                <w:kern w:val="0"/>
                <w:sz w:val="24"/>
                <w:szCs w:val="24"/>
              </w:rPr>
              <w:t>= 254</w:t>
            </w:r>
            <w:r>
              <w:rPr>
                <w:rFonts w:ascii="Book Antiqua" w:eastAsia="MS PGothic" w:hAnsi="Book Antiqua" w:cs="Times New Roman"/>
                <w:b/>
                <w:bCs/>
                <w:color w:val="000000"/>
                <w:kern w:val="0"/>
                <w:sz w:val="24"/>
                <w:szCs w:val="24"/>
              </w:rPr>
              <w:t>)</w:t>
            </w:r>
          </w:p>
        </w:tc>
        <w:tc>
          <w:tcPr>
            <w:tcW w:w="2126" w:type="dxa"/>
            <w:tcBorders>
              <w:top w:val="single" w:sz="4" w:space="0" w:color="auto"/>
              <w:bottom w:val="single" w:sz="4" w:space="0" w:color="auto"/>
            </w:tcBorders>
            <w:noWrap/>
            <w:vAlign w:val="center"/>
            <w:hideMark/>
          </w:tcPr>
          <w:p w14:paraId="09D0D931" w14:textId="65BCDB82" w:rsidR="00816B31" w:rsidRPr="006A747F" w:rsidRDefault="00816B31"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B</w:t>
            </w:r>
            <w:r>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i/>
                <w:iCs/>
                <w:color w:val="000000"/>
                <w:kern w:val="0"/>
                <w:sz w:val="24"/>
                <w:szCs w:val="24"/>
              </w:rPr>
              <w:t xml:space="preserve">n </w:t>
            </w:r>
            <w:r w:rsidRPr="006A747F">
              <w:rPr>
                <w:rFonts w:ascii="Book Antiqua" w:eastAsia="MS PGothic" w:hAnsi="Book Antiqua" w:cs="Times New Roman"/>
                <w:b/>
                <w:bCs/>
                <w:color w:val="000000"/>
                <w:kern w:val="0"/>
                <w:sz w:val="24"/>
                <w:szCs w:val="24"/>
              </w:rPr>
              <w:t>= 307</w:t>
            </w:r>
            <w:r>
              <w:rPr>
                <w:rFonts w:ascii="Book Antiqua" w:eastAsia="MS PGothic" w:hAnsi="Book Antiqua" w:cs="Times New Roman"/>
                <w:b/>
                <w:bCs/>
                <w:color w:val="000000"/>
                <w:kern w:val="0"/>
                <w:sz w:val="24"/>
                <w:szCs w:val="24"/>
              </w:rPr>
              <w:t>)</w:t>
            </w:r>
          </w:p>
        </w:tc>
        <w:tc>
          <w:tcPr>
            <w:tcW w:w="1232" w:type="dxa"/>
            <w:tcBorders>
              <w:top w:val="single" w:sz="4" w:space="0" w:color="auto"/>
              <w:bottom w:val="single" w:sz="4" w:space="0" w:color="auto"/>
            </w:tcBorders>
            <w:noWrap/>
            <w:vAlign w:val="center"/>
            <w:hideMark/>
          </w:tcPr>
          <w:p w14:paraId="2C28E141" w14:textId="460CB8AE" w:rsidR="00816B31" w:rsidRPr="006A747F" w:rsidRDefault="00816B31" w:rsidP="00235EA3">
            <w:pPr>
              <w:snapToGrid w:val="0"/>
              <w:spacing w:line="360" w:lineRule="auto"/>
              <w:jc w:val="center"/>
              <w:rPr>
                <w:rFonts w:ascii="Book Antiqua" w:eastAsia="MS PGothic" w:hAnsi="Book Antiqua" w:cs="Times New Roman"/>
                <w:b/>
                <w:bCs/>
                <w:color w:val="000000"/>
                <w:kern w:val="0"/>
                <w:sz w:val="24"/>
                <w:szCs w:val="24"/>
              </w:rPr>
            </w:pPr>
            <w:r w:rsidRPr="00816B31">
              <w:rPr>
                <w:rFonts w:ascii="Book Antiqua" w:eastAsia="MS PGothic" w:hAnsi="Book Antiqua" w:cs="Times New Roman"/>
                <w:b/>
                <w:bCs/>
                <w:i/>
                <w:iCs/>
                <w:caps/>
                <w:color w:val="000000"/>
                <w:kern w:val="0"/>
                <w:sz w:val="24"/>
                <w:szCs w:val="24"/>
              </w:rPr>
              <w:t>p</w:t>
            </w:r>
            <w:r w:rsidRPr="00816B31">
              <w:rPr>
                <w:rFonts w:ascii="Book Antiqua" w:eastAsia="MS PGothic" w:hAnsi="Book Antiqua" w:cs="Times New Roman"/>
                <w:b/>
                <w:bCs/>
                <w:caps/>
                <w:color w:val="000000"/>
                <w:kern w:val="0"/>
                <w:sz w:val="24"/>
                <w:szCs w:val="24"/>
              </w:rPr>
              <w:t xml:space="preserve"> </w:t>
            </w:r>
            <w:r w:rsidRPr="006A747F">
              <w:rPr>
                <w:rFonts w:ascii="Book Antiqua" w:eastAsia="MS PGothic" w:hAnsi="Book Antiqua" w:cs="Times New Roman"/>
                <w:b/>
                <w:bCs/>
                <w:color w:val="000000"/>
                <w:kern w:val="0"/>
                <w:sz w:val="24"/>
                <w:szCs w:val="24"/>
              </w:rPr>
              <w:t>value</w:t>
            </w:r>
          </w:p>
        </w:tc>
      </w:tr>
      <w:tr w:rsidR="00816B31" w:rsidRPr="006A747F" w14:paraId="4E4D0082" w14:textId="77777777" w:rsidTr="00F67E3A">
        <w:trPr>
          <w:trHeight w:val="276"/>
        </w:trPr>
        <w:tc>
          <w:tcPr>
            <w:tcW w:w="3374" w:type="dxa"/>
            <w:tcBorders>
              <w:top w:val="single" w:sz="4" w:space="0" w:color="auto"/>
            </w:tcBorders>
            <w:noWrap/>
            <w:vAlign w:val="center"/>
            <w:hideMark/>
          </w:tcPr>
          <w:p w14:paraId="18DB3735" w14:textId="281A86A8" w:rsidR="00816B31" w:rsidRPr="006A747F" w:rsidRDefault="00816B31" w:rsidP="00235EA3">
            <w:pPr>
              <w:widowControl/>
              <w:snapToGrid w:val="0"/>
              <w:spacing w:line="360" w:lineRule="auto"/>
              <w:jc w:val="left"/>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Sex</w:t>
            </w:r>
          </w:p>
        </w:tc>
        <w:tc>
          <w:tcPr>
            <w:tcW w:w="2297" w:type="dxa"/>
            <w:tcBorders>
              <w:top w:val="single" w:sz="4" w:space="0" w:color="auto"/>
            </w:tcBorders>
            <w:noWrap/>
            <w:vAlign w:val="center"/>
            <w:hideMark/>
          </w:tcPr>
          <w:p w14:paraId="68156AF4"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c>
          <w:tcPr>
            <w:tcW w:w="2126" w:type="dxa"/>
            <w:tcBorders>
              <w:top w:val="single" w:sz="4" w:space="0" w:color="auto"/>
            </w:tcBorders>
            <w:noWrap/>
            <w:vAlign w:val="center"/>
            <w:hideMark/>
          </w:tcPr>
          <w:p w14:paraId="5FF9C8CE"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c>
          <w:tcPr>
            <w:tcW w:w="1232" w:type="dxa"/>
            <w:tcBorders>
              <w:top w:val="single" w:sz="4" w:space="0" w:color="auto"/>
            </w:tcBorders>
            <w:noWrap/>
            <w:vAlign w:val="center"/>
            <w:hideMark/>
          </w:tcPr>
          <w:p w14:paraId="73A5B870"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r>
      <w:tr w:rsidR="00816B31" w:rsidRPr="006A747F" w14:paraId="663F8FFD" w14:textId="77777777" w:rsidTr="00F67E3A">
        <w:trPr>
          <w:trHeight w:val="276"/>
        </w:trPr>
        <w:tc>
          <w:tcPr>
            <w:tcW w:w="3374" w:type="dxa"/>
            <w:noWrap/>
            <w:vAlign w:val="center"/>
            <w:hideMark/>
          </w:tcPr>
          <w:p w14:paraId="0ABE1DDB" w14:textId="09890645" w:rsidR="00816B31" w:rsidRPr="006A747F" w:rsidRDefault="00816B31" w:rsidP="00235EA3">
            <w:pPr>
              <w:widowControl/>
              <w:snapToGrid w:val="0"/>
              <w:spacing w:line="360" w:lineRule="auto"/>
              <w:ind w:firstLineChars="100" w:firstLine="240"/>
              <w:jc w:val="left"/>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Male</w:t>
            </w:r>
          </w:p>
        </w:tc>
        <w:tc>
          <w:tcPr>
            <w:tcW w:w="2297" w:type="dxa"/>
            <w:noWrap/>
            <w:vAlign w:val="center"/>
            <w:hideMark/>
          </w:tcPr>
          <w:p w14:paraId="2D3F1BB2" w14:textId="300D97AB"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214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(84)</w:t>
            </w:r>
          </w:p>
        </w:tc>
        <w:tc>
          <w:tcPr>
            <w:tcW w:w="2126" w:type="dxa"/>
            <w:noWrap/>
            <w:vAlign w:val="center"/>
            <w:hideMark/>
          </w:tcPr>
          <w:p w14:paraId="317CD465" w14:textId="67ED16EC"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260</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(85)</w:t>
            </w:r>
          </w:p>
        </w:tc>
        <w:tc>
          <w:tcPr>
            <w:tcW w:w="1232" w:type="dxa"/>
            <w:noWrap/>
            <w:vAlign w:val="center"/>
            <w:hideMark/>
          </w:tcPr>
          <w:p w14:paraId="46E4A4FF"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0.907</w:t>
            </w:r>
          </w:p>
        </w:tc>
      </w:tr>
      <w:tr w:rsidR="00816B31" w:rsidRPr="006A747F" w14:paraId="3BC0EF12" w14:textId="77777777" w:rsidTr="00F67E3A">
        <w:trPr>
          <w:trHeight w:val="276"/>
        </w:trPr>
        <w:tc>
          <w:tcPr>
            <w:tcW w:w="3374" w:type="dxa"/>
            <w:noWrap/>
            <w:vAlign w:val="center"/>
            <w:hideMark/>
          </w:tcPr>
          <w:p w14:paraId="3AE87452" w14:textId="635E5D3A" w:rsidR="00816B31" w:rsidRPr="006A747F" w:rsidRDefault="00816B31" w:rsidP="00235EA3">
            <w:pPr>
              <w:widowControl/>
              <w:snapToGrid w:val="0"/>
              <w:spacing w:line="360" w:lineRule="auto"/>
              <w:ind w:firstLineChars="100" w:firstLine="240"/>
              <w:jc w:val="left"/>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Female</w:t>
            </w:r>
          </w:p>
        </w:tc>
        <w:tc>
          <w:tcPr>
            <w:tcW w:w="2297" w:type="dxa"/>
            <w:noWrap/>
            <w:vAlign w:val="center"/>
            <w:hideMark/>
          </w:tcPr>
          <w:p w14:paraId="16DC7178" w14:textId="5A19614C"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40</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(16)</w:t>
            </w:r>
          </w:p>
        </w:tc>
        <w:tc>
          <w:tcPr>
            <w:tcW w:w="2126" w:type="dxa"/>
            <w:noWrap/>
            <w:vAlign w:val="center"/>
            <w:hideMark/>
          </w:tcPr>
          <w:p w14:paraId="3CE7752E" w14:textId="117FCF7A"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47</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(15)</w:t>
            </w:r>
          </w:p>
        </w:tc>
        <w:tc>
          <w:tcPr>
            <w:tcW w:w="1232" w:type="dxa"/>
            <w:noWrap/>
            <w:vAlign w:val="center"/>
            <w:hideMark/>
          </w:tcPr>
          <w:p w14:paraId="5AD4F5F7"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r>
      <w:tr w:rsidR="00816B31" w:rsidRPr="006A747F" w14:paraId="08A6D676" w14:textId="77777777" w:rsidTr="00F67E3A">
        <w:trPr>
          <w:trHeight w:val="276"/>
        </w:trPr>
        <w:tc>
          <w:tcPr>
            <w:tcW w:w="3374" w:type="dxa"/>
            <w:noWrap/>
            <w:vAlign w:val="center"/>
            <w:hideMark/>
          </w:tcPr>
          <w:p w14:paraId="670285BE" w14:textId="0FF2ECDC" w:rsidR="00816B31" w:rsidRPr="006A747F" w:rsidRDefault="00816B31" w:rsidP="00235EA3">
            <w:pPr>
              <w:widowControl/>
              <w:snapToGrid w:val="0"/>
              <w:spacing w:line="360" w:lineRule="auto"/>
              <w:jc w:val="left"/>
              <w:rPr>
                <w:rFonts w:ascii="Book Antiqua" w:eastAsia="MS PGothic" w:hAnsi="Book Antiqua" w:cs="Times New Roman"/>
                <w:bCs/>
                <w:color w:val="000000"/>
                <w:kern w:val="0"/>
                <w:sz w:val="24"/>
                <w:szCs w:val="24"/>
              </w:rPr>
            </w:pPr>
            <w:r>
              <w:rPr>
                <w:rFonts w:ascii="Book Antiqua" w:eastAsia="MS PGothic" w:hAnsi="Book Antiqua" w:cs="Times New Roman"/>
                <w:bCs/>
                <w:color w:val="000000"/>
                <w:kern w:val="0"/>
                <w:sz w:val="24"/>
                <w:szCs w:val="24"/>
              </w:rPr>
              <w:t>Age (yr</w:t>
            </w:r>
            <w:r w:rsidRPr="006A747F">
              <w:rPr>
                <w:rFonts w:ascii="Book Antiqua" w:eastAsia="MS PGothic" w:hAnsi="Book Antiqua" w:cs="Times New Roman"/>
                <w:bCs/>
                <w:color w:val="000000"/>
                <w:kern w:val="0"/>
                <w:sz w:val="24"/>
                <w:szCs w:val="24"/>
              </w:rPr>
              <w:t>)</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median (range)</w:t>
            </w:r>
          </w:p>
        </w:tc>
        <w:tc>
          <w:tcPr>
            <w:tcW w:w="2297" w:type="dxa"/>
            <w:noWrap/>
            <w:vAlign w:val="center"/>
            <w:hideMark/>
          </w:tcPr>
          <w:p w14:paraId="13FB21C9"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64 (39-81)</w:t>
            </w:r>
          </w:p>
        </w:tc>
        <w:tc>
          <w:tcPr>
            <w:tcW w:w="2126" w:type="dxa"/>
            <w:vAlign w:val="center"/>
          </w:tcPr>
          <w:p w14:paraId="0F5D9F08" w14:textId="3F7BB59D"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66 (41-86)</w:t>
            </w:r>
          </w:p>
        </w:tc>
        <w:tc>
          <w:tcPr>
            <w:tcW w:w="1232" w:type="dxa"/>
            <w:noWrap/>
            <w:vAlign w:val="center"/>
            <w:hideMark/>
          </w:tcPr>
          <w:p w14:paraId="4EF768DC" w14:textId="0CC2F936"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&lt;</w:t>
            </w:r>
            <w:r>
              <w:rPr>
                <w:rFonts w:ascii="Book Antiqua" w:eastAsia="MS PGothic" w:hAnsi="Book Antiqua" w:cs="Times New Roman"/>
                <w:bCs/>
                <w:color w:val="000000"/>
                <w:kern w:val="0"/>
                <w:sz w:val="24"/>
                <w:szCs w:val="24"/>
              </w:rPr>
              <w:t xml:space="preserve"> 0</w:t>
            </w:r>
            <w:r w:rsidRPr="006A747F">
              <w:rPr>
                <w:rFonts w:ascii="Book Antiqua" w:eastAsia="MS PGothic" w:hAnsi="Book Antiqua" w:cs="Times New Roman"/>
                <w:bCs/>
                <w:color w:val="000000"/>
                <w:kern w:val="0"/>
                <w:sz w:val="24"/>
                <w:szCs w:val="24"/>
              </w:rPr>
              <w:t>.001</w:t>
            </w:r>
          </w:p>
        </w:tc>
      </w:tr>
      <w:tr w:rsidR="00816B31" w:rsidRPr="006A747F" w14:paraId="63C1D89B" w14:textId="77777777" w:rsidTr="00F67E3A">
        <w:trPr>
          <w:trHeight w:val="276"/>
        </w:trPr>
        <w:tc>
          <w:tcPr>
            <w:tcW w:w="3374" w:type="dxa"/>
            <w:noWrap/>
            <w:vAlign w:val="center"/>
            <w:hideMark/>
          </w:tcPr>
          <w:p w14:paraId="037E3254" w14:textId="77777777" w:rsidR="00816B31" w:rsidRPr="006A747F" w:rsidRDefault="00816B31" w:rsidP="00235EA3">
            <w:pPr>
              <w:widowControl/>
              <w:snapToGrid w:val="0"/>
              <w:spacing w:line="360" w:lineRule="auto"/>
              <w:jc w:val="left"/>
              <w:rPr>
                <w:rFonts w:ascii="Book Antiqua" w:eastAsia="MS PGothic" w:hAnsi="Book Antiqua" w:cs="Times New Roman"/>
                <w:bCs/>
                <w:kern w:val="0"/>
                <w:sz w:val="24"/>
                <w:szCs w:val="24"/>
              </w:rPr>
            </w:pPr>
            <w:r w:rsidRPr="006A747F">
              <w:rPr>
                <w:rFonts w:ascii="Book Antiqua" w:eastAsia="MS PGothic" w:hAnsi="Book Antiqua" w:cs="Times New Roman"/>
                <w:bCs/>
                <w:kern w:val="0"/>
                <w:sz w:val="24"/>
                <w:szCs w:val="24"/>
              </w:rPr>
              <w:t>Baseline clinical TNM-stage</w:t>
            </w:r>
          </w:p>
        </w:tc>
        <w:tc>
          <w:tcPr>
            <w:tcW w:w="2297" w:type="dxa"/>
            <w:noWrap/>
            <w:vAlign w:val="center"/>
            <w:hideMark/>
          </w:tcPr>
          <w:p w14:paraId="6D682FB9"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c>
          <w:tcPr>
            <w:tcW w:w="2126" w:type="dxa"/>
            <w:noWrap/>
            <w:vAlign w:val="center"/>
            <w:hideMark/>
          </w:tcPr>
          <w:p w14:paraId="4E97D5E9"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c>
          <w:tcPr>
            <w:tcW w:w="1232" w:type="dxa"/>
            <w:noWrap/>
            <w:vAlign w:val="center"/>
            <w:hideMark/>
          </w:tcPr>
          <w:p w14:paraId="4959AB1E"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r>
      <w:tr w:rsidR="00816B31" w:rsidRPr="006A747F" w14:paraId="4680B6F5" w14:textId="77777777" w:rsidTr="00F67E3A">
        <w:trPr>
          <w:trHeight w:val="276"/>
        </w:trPr>
        <w:tc>
          <w:tcPr>
            <w:tcW w:w="3374" w:type="dxa"/>
            <w:noWrap/>
            <w:vAlign w:val="center"/>
            <w:hideMark/>
          </w:tcPr>
          <w:p w14:paraId="07833231" w14:textId="4765DC63" w:rsidR="00816B31" w:rsidRPr="006A747F" w:rsidRDefault="00816B31" w:rsidP="00235EA3">
            <w:pPr>
              <w:widowControl/>
              <w:snapToGrid w:val="0"/>
              <w:spacing w:line="360" w:lineRule="auto"/>
              <w:ind w:firstLineChars="100" w:firstLine="240"/>
              <w:jc w:val="left"/>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I</w:t>
            </w:r>
          </w:p>
        </w:tc>
        <w:tc>
          <w:tcPr>
            <w:tcW w:w="2297" w:type="dxa"/>
            <w:noWrap/>
            <w:vAlign w:val="center"/>
            <w:hideMark/>
          </w:tcPr>
          <w:p w14:paraId="7A60DCCC" w14:textId="0D888474"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119</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(47)</w:t>
            </w:r>
          </w:p>
        </w:tc>
        <w:tc>
          <w:tcPr>
            <w:tcW w:w="2126" w:type="dxa"/>
            <w:noWrap/>
            <w:vAlign w:val="center"/>
            <w:hideMark/>
          </w:tcPr>
          <w:p w14:paraId="4B547D31" w14:textId="19E06571"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155</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(50)</w:t>
            </w:r>
          </w:p>
        </w:tc>
        <w:tc>
          <w:tcPr>
            <w:tcW w:w="1232" w:type="dxa"/>
            <w:noWrap/>
            <w:vAlign w:val="center"/>
            <w:hideMark/>
          </w:tcPr>
          <w:p w14:paraId="378EAC34"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0.39</w:t>
            </w:r>
          </w:p>
        </w:tc>
      </w:tr>
      <w:tr w:rsidR="00816B31" w:rsidRPr="006A747F" w14:paraId="21086CEF" w14:textId="77777777" w:rsidTr="00F67E3A">
        <w:trPr>
          <w:trHeight w:val="276"/>
        </w:trPr>
        <w:tc>
          <w:tcPr>
            <w:tcW w:w="3374" w:type="dxa"/>
            <w:noWrap/>
            <w:vAlign w:val="center"/>
            <w:hideMark/>
          </w:tcPr>
          <w:p w14:paraId="78C7A1CC" w14:textId="6C633EFD" w:rsidR="00816B31" w:rsidRPr="006A747F" w:rsidRDefault="00816B31" w:rsidP="00235EA3">
            <w:pPr>
              <w:widowControl/>
              <w:snapToGrid w:val="0"/>
              <w:spacing w:line="360" w:lineRule="auto"/>
              <w:ind w:firstLineChars="100" w:firstLine="240"/>
              <w:jc w:val="left"/>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II</w:t>
            </w:r>
          </w:p>
        </w:tc>
        <w:tc>
          <w:tcPr>
            <w:tcW w:w="2297" w:type="dxa"/>
            <w:noWrap/>
            <w:vAlign w:val="center"/>
            <w:hideMark/>
          </w:tcPr>
          <w:p w14:paraId="470543E1" w14:textId="2FD0F692"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66</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(26)</w:t>
            </w:r>
          </w:p>
        </w:tc>
        <w:tc>
          <w:tcPr>
            <w:tcW w:w="2126" w:type="dxa"/>
            <w:noWrap/>
            <w:vAlign w:val="center"/>
            <w:hideMark/>
          </w:tcPr>
          <w:p w14:paraId="6A108AEE" w14:textId="5B1F942E"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88</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(29)</w:t>
            </w:r>
          </w:p>
        </w:tc>
        <w:tc>
          <w:tcPr>
            <w:tcW w:w="1232" w:type="dxa"/>
            <w:noWrap/>
            <w:vAlign w:val="center"/>
            <w:hideMark/>
          </w:tcPr>
          <w:p w14:paraId="2728105B"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0.50</w:t>
            </w:r>
          </w:p>
        </w:tc>
      </w:tr>
      <w:tr w:rsidR="00816B31" w:rsidRPr="006A747F" w14:paraId="3BC7E71B" w14:textId="77777777" w:rsidTr="00F67E3A">
        <w:trPr>
          <w:trHeight w:val="276"/>
        </w:trPr>
        <w:tc>
          <w:tcPr>
            <w:tcW w:w="3374" w:type="dxa"/>
            <w:noWrap/>
            <w:vAlign w:val="center"/>
            <w:hideMark/>
          </w:tcPr>
          <w:p w14:paraId="1035D1A9" w14:textId="64BB55F4" w:rsidR="00816B31" w:rsidRPr="006A747F" w:rsidRDefault="00816B31" w:rsidP="00235EA3">
            <w:pPr>
              <w:widowControl/>
              <w:snapToGrid w:val="0"/>
              <w:spacing w:line="360" w:lineRule="auto"/>
              <w:ind w:firstLineChars="100" w:firstLine="240"/>
              <w:jc w:val="left"/>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III</w:t>
            </w:r>
          </w:p>
        </w:tc>
        <w:tc>
          <w:tcPr>
            <w:tcW w:w="2297" w:type="dxa"/>
            <w:noWrap/>
            <w:vAlign w:val="center"/>
            <w:hideMark/>
          </w:tcPr>
          <w:p w14:paraId="028D16E2" w14:textId="2320F2F6"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69</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(27)</w:t>
            </w:r>
          </w:p>
        </w:tc>
        <w:tc>
          <w:tcPr>
            <w:tcW w:w="2126" w:type="dxa"/>
            <w:noWrap/>
            <w:vAlign w:val="center"/>
            <w:hideMark/>
          </w:tcPr>
          <w:p w14:paraId="218D06A4" w14:textId="3E2AC4BE"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(21)</w:t>
            </w:r>
          </w:p>
        </w:tc>
        <w:tc>
          <w:tcPr>
            <w:tcW w:w="1232" w:type="dxa"/>
            <w:noWrap/>
            <w:vAlign w:val="center"/>
            <w:hideMark/>
          </w:tcPr>
          <w:p w14:paraId="6F6B0A55"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0.09</w:t>
            </w:r>
          </w:p>
        </w:tc>
      </w:tr>
      <w:tr w:rsidR="00816B31" w:rsidRPr="006A747F" w14:paraId="457B4F1F" w14:textId="77777777" w:rsidTr="00F67E3A">
        <w:trPr>
          <w:trHeight w:val="276"/>
        </w:trPr>
        <w:tc>
          <w:tcPr>
            <w:tcW w:w="3374" w:type="dxa"/>
            <w:noWrap/>
            <w:vAlign w:val="center"/>
            <w:hideMark/>
          </w:tcPr>
          <w:p w14:paraId="7EF9C242" w14:textId="77777777" w:rsidR="00816B31" w:rsidRPr="006A747F" w:rsidRDefault="00816B31" w:rsidP="00235EA3">
            <w:pPr>
              <w:widowControl/>
              <w:snapToGrid w:val="0"/>
              <w:spacing w:line="360" w:lineRule="auto"/>
              <w:jc w:val="left"/>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Treatment for primary ESCC</w:t>
            </w:r>
          </w:p>
        </w:tc>
        <w:tc>
          <w:tcPr>
            <w:tcW w:w="2297" w:type="dxa"/>
            <w:noWrap/>
            <w:vAlign w:val="center"/>
            <w:hideMark/>
          </w:tcPr>
          <w:p w14:paraId="2C0E825B"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c>
          <w:tcPr>
            <w:tcW w:w="2126" w:type="dxa"/>
            <w:noWrap/>
            <w:vAlign w:val="center"/>
            <w:hideMark/>
          </w:tcPr>
          <w:p w14:paraId="77AED989"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c>
          <w:tcPr>
            <w:tcW w:w="1232" w:type="dxa"/>
            <w:noWrap/>
            <w:vAlign w:val="center"/>
            <w:hideMark/>
          </w:tcPr>
          <w:p w14:paraId="65663419"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r>
      <w:tr w:rsidR="00816B31" w:rsidRPr="006A747F" w14:paraId="08B16F90" w14:textId="77777777" w:rsidTr="00F67E3A">
        <w:trPr>
          <w:trHeight w:val="276"/>
        </w:trPr>
        <w:tc>
          <w:tcPr>
            <w:tcW w:w="3374" w:type="dxa"/>
            <w:noWrap/>
            <w:vAlign w:val="center"/>
            <w:hideMark/>
          </w:tcPr>
          <w:p w14:paraId="4B9CBF9A" w14:textId="243CD2E8" w:rsidR="00816B31" w:rsidRPr="006A747F" w:rsidRDefault="00816B31" w:rsidP="00235EA3">
            <w:pPr>
              <w:widowControl/>
              <w:snapToGrid w:val="0"/>
              <w:spacing w:line="360" w:lineRule="auto"/>
              <w:ind w:firstLineChars="100" w:firstLine="240"/>
              <w:jc w:val="left"/>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Surgery</w:t>
            </w:r>
          </w:p>
        </w:tc>
        <w:tc>
          <w:tcPr>
            <w:tcW w:w="2297" w:type="dxa"/>
            <w:noWrap/>
            <w:vAlign w:val="center"/>
            <w:hideMark/>
          </w:tcPr>
          <w:p w14:paraId="63756C75" w14:textId="1089DFAA"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84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(33)</w:t>
            </w:r>
          </w:p>
        </w:tc>
        <w:tc>
          <w:tcPr>
            <w:tcW w:w="2126" w:type="dxa"/>
            <w:noWrap/>
            <w:vAlign w:val="center"/>
            <w:hideMark/>
          </w:tcPr>
          <w:p w14:paraId="4401929A" w14:textId="53504DAC"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124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(40)</w:t>
            </w:r>
          </w:p>
        </w:tc>
        <w:tc>
          <w:tcPr>
            <w:tcW w:w="1232" w:type="dxa"/>
            <w:noWrap/>
            <w:vAlign w:val="center"/>
            <w:hideMark/>
          </w:tcPr>
          <w:p w14:paraId="46ED5CE4"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0.079</w:t>
            </w:r>
          </w:p>
        </w:tc>
      </w:tr>
      <w:tr w:rsidR="00816B31" w:rsidRPr="006A747F" w14:paraId="24C24FF1" w14:textId="77777777" w:rsidTr="00F67E3A">
        <w:trPr>
          <w:trHeight w:val="276"/>
        </w:trPr>
        <w:tc>
          <w:tcPr>
            <w:tcW w:w="3374" w:type="dxa"/>
            <w:noWrap/>
            <w:vAlign w:val="center"/>
            <w:hideMark/>
          </w:tcPr>
          <w:p w14:paraId="2F833388" w14:textId="77777777" w:rsidR="00816B31" w:rsidRPr="006A747F" w:rsidRDefault="00816B31" w:rsidP="00235EA3">
            <w:pPr>
              <w:widowControl/>
              <w:snapToGrid w:val="0"/>
              <w:spacing w:line="360" w:lineRule="auto"/>
              <w:ind w:firstLineChars="100" w:firstLine="240"/>
              <w:jc w:val="left"/>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Endoscopic resection</w:t>
            </w:r>
          </w:p>
        </w:tc>
        <w:tc>
          <w:tcPr>
            <w:tcW w:w="2297" w:type="dxa"/>
            <w:noWrap/>
            <w:vAlign w:val="center"/>
            <w:hideMark/>
          </w:tcPr>
          <w:p w14:paraId="1ACBB120" w14:textId="73747100"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77</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(30)</w:t>
            </w:r>
          </w:p>
        </w:tc>
        <w:tc>
          <w:tcPr>
            <w:tcW w:w="2126" w:type="dxa"/>
            <w:noWrap/>
            <w:vAlign w:val="center"/>
            <w:hideMark/>
          </w:tcPr>
          <w:p w14:paraId="6B307F34" w14:textId="60361150"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113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(37)</w:t>
            </w:r>
          </w:p>
        </w:tc>
        <w:tc>
          <w:tcPr>
            <w:tcW w:w="1232" w:type="dxa"/>
            <w:noWrap/>
            <w:vAlign w:val="center"/>
            <w:hideMark/>
          </w:tcPr>
          <w:p w14:paraId="3C4406BF"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0.010</w:t>
            </w:r>
          </w:p>
        </w:tc>
      </w:tr>
      <w:tr w:rsidR="00816B31" w:rsidRPr="006A747F" w14:paraId="4206522F" w14:textId="77777777" w:rsidTr="00F67E3A">
        <w:trPr>
          <w:trHeight w:val="276"/>
        </w:trPr>
        <w:tc>
          <w:tcPr>
            <w:tcW w:w="3374" w:type="dxa"/>
            <w:noWrap/>
            <w:vAlign w:val="center"/>
            <w:hideMark/>
          </w:tcPr>
          <w:p w14:paraId="01617C4A" w14:textId="77777777" w:rsidR="00816B31" w:rsidRPr="006A747F" w:rsidRDefault="00816B31" w:rsidP="00235EA3">
            <w:pPr>
              <w:widowControl/>
              <w:snapToGrid w:val="0"/>
              <w:spacing w:line="360" w:lineRule="auto"/>
              <w:ind w:firstLineChars="100" w:firstLine="240"/>
              <w:jc w:val="left"/>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Chemoradiotherapy</w:t>
            </w:r>
          </w:p>
        </w:tc>
        <w:tc>
          <w:tcPr>
            <w:tcW w:w="2297" w:type="dxa"/>
            <w:noWrap/>
            <w:vAlign w:val="center"/>
            <w:hideMark/>
          </w:tcPr>
          <w:p w14:paraId="0DEDEC4C" w14:textId="1E63D7E8"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93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(37)</w:t>
            </w:r>
          </w:p>
        </w:tc>
        <w:tc>
          <w:tcPr>
            <w:tcW w:w="2126" w:type="dxa"/>
            <w:noWrap/>
            <w:vAlign w:val="center"/>
            <w:hideMark/>
          </w:tcPr>
          <w:p w14:paraId="4E9D3ED8" w14:textId="759EA59C"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70</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(23)</w:t>
            </w:r>
          </w:p>
        </w:tc>
        <w:tc>
          <w:tcPr>
            <w:tcW w:w="1232" w:type="dxa"/>
            <w:noWrap/>
            <w:vAlign w:val="center"/>
            <w:hideMark/>
          </w:tcPr>
          <w:p w14:paraId="44989CC8"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0.001</w:t>
            </w:r>
          </w:p>
        </w:tc>
      </w:tr>
      <w:tr w:rsidR="00816B31" w:rsidRPr="006A747F" w14:paraId="012B2E66" w14:textId="77777777" w:rsidTr="00F67E3A">
        <w:trPr>
          <w:trHeight w:val="276"/>
        </w:trPr>
        <w:tc>
          <w:tcPr>
            <w:tcW w:w="3374" w:type="dxa"/>
            <w:noWrap/>
            <w:vAlign w:val="center"/>
            <w:hideMark/>
          </w:tcPr>
          <w:p w14:paraId="1468FCB1" w14:textId="6C3139A1" w:rsidR="00816B31" w:rsidRPr="006A747F" w:rsidRDefault="00816B31" w:rsidP="00235EA3">
            <w:pPr>
              <w:snapToGrid w:val="0"/>
              <w:spacing w:line="360" w:lineRule="auto"/>
              <w:jc w:val="left"/>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Follow-up period</w:t>
            </w:r>
          </w:p>
        </w:tc>
        <w:tc>
          <w:tcPr>
            <w:tcW w:w="2297" w:type="dxa"/>
            <w:noWrap/>
            <w:vAlign w:val="center"/>
            <w:hideMark/>
          </w:tcPr>
          <w:p w14:paraId="592EBFE2"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c>
          <w:tcPr>
            <w:tcW w:w="2126" w:type="dxa"/>
            <w:noWrap/>
            <w:vAlign w:val="center"/>
            <w:hideMark/>
          </w:tcPr>
          <w:p w14:paraId="6B7CABEE"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c>
          <w:tcPr>
            <w:tcW w:w="1232" w:type="dxa"/>
            <w:noWrap/>
            <w:vAlign w:val="center"/>
            <w:hideMark/>
          </w:tcPr>
          <w:p w14:paraId="34B0A471" w14:textId="77777777" w:rsidR="00816B31" w:rsidRPr="006A747F" w:rsidRDefault="00816B31" w:rsidP="00235EA3">
            <w:pPr>
              <w:widowControl/>
              <w:snapToGrid w:val="0"/>
              <w:spacing w:line="360" w:lineRule="auto"/>
              <w:jc w:val="center"/>
              <w:rPr>
                <w:rFonts w:ascii="Book Antiqua" w:eastAsia="Times New Roman" w:hAnsi="Book Antiqua"/>
                <w:kern w:val="0"/>
                <w:sz w:val="24"/>
                <w:szCs w:val="24"/>
              </w:rPr>
            </w:pPr>
          </w:p>
        </w:tc>
      </w:tr>
      <w:tr w:rsidR="00816B31" w:rsidRPr="006A747F" w14:paraId="1E1E6CFB" w14:textId="77777777" w:rsidTr="00F67E3A">
        <w:trPr>
          <w:trHeight w:val="276"/>
        </w:trPr>
        <w:tc>
          <w:tcPr>
            <w:tcW w:w="3374" w:type="dxa"/>
            <w:noWrap/>
            <w:vAlign w:val="center"/>
            <w:hideMark/>
          </w:tcPr>
          <w:p w14:paraId="367D4084" w14:textId="77777777" w:rsidR="00816B31" w:rsidRPr="006A747F" w:rsidRDefault="00816B31" w:rsidP="00235EA3">
            <w:pPr>
              <w:widowControl/>
              <w:snapToGrid w:val="0"/>
              <w:spacing w:line="360" w:lineRule="auto"/>
              <w:ind w:firstLineChars="100" w:firstLine="240"/>
              <w:jc w:val="left"/>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Median months (range)</w:t>
            </w:r>
          </w:p>
        </w:tc>
        <w:tc>
          <w:tcPr>
            <w:tcW w:w="2297" w:type="dxa"/>
            <w:noWrap/>
            <w:vAlign w:val="center"/>
            <w:hideMark/>
          </w:tcPr>
          <w:p w14:paraId="4CEACCC8" w14:textId="77777777" w:rsidR="00816B31" w:rsidRPr="006A747F" w:rsidRDefault="00816B31" w:rsidP="00235EA3">
            <w:pPr>
              <w:widowControl/>
              <w:snapToGrid w:val="0"/>
              <w:spacing w:line="360" w:lineRule="auto"/>
              <w:jc w:val="center"/>
              <w:rPr>
                <w:rFonts w:ascii="Book Antiqua" w:eastAsia="MS PGothic" w:hAnsi="Book Antiqua" w:cs="Times New Roman"/>
                <w:bCs/>
                <w:kern w:val="0"/>
                <w:sz w:val="24"/>
                <w:szCs w:val="24"/>
              </w:rPr>
            </w:pPr>
            <w:r w:rsidRPr="006A747F">
              <w:rPr>
                <w:rFonts w:ascii="Book Antiqua" w:eastAsia="MS PGothic" w:hAnsi="Book Antiqua" w:cs="Times New Roman"/>
                <w:bCs/>
                <w:kern w:val="0"/>
                <w:sz w:val="24"/>
                <w:szCs w:val="24"/>
              </w:rPr>
              <w:t>60 (13-145)</w:t>
            </w:r>
          </w:p>
        </w:tc>
        <w:tc>
          <w:tcPr>
            <w:tcW w:w="2126" w:type="dxa"/>
            <w:noWrap/>
            <w:vAlign w:val="center"/>
            <w:hideMark/>
          </w:tcPr>
          <w:p w14:paraId="4734BFC6" w14:textId="77777777" w:rsidR="00816B31" w:rsidRPr="006A747F" w:rsidRDefault="00816B31" w:rsidP="00235EA3">
            <w:pPr>
              <w:widowControl/>
              <w:snapToGrid w:val="0"/>
              <w:spacing w:line="360" w:lineRule="auto"/>
              <w:jc w:val="center"/>
              <w:rPr>
                <w:rFonts w:ascii="Book Antiqua" w:eastAsia="MS PGothic" w:hAnsi="Book Antiqua" w:cs="Times New Roman"/>
                <w:bCs/>
                <w:kern w:val="0"/>
                <w:sz w:val="24"/>
                <w:szCs w:val="24"/>
              </w:rPr>
            </w:pPr>
            <w:r w:rsidRPr="006A747F">
              <w:rPr>
                <w:rFonts w:ascii="Book Antiqua" w:eastAsia="MS PGothic" w:hAnsi="Book Antiqua" w:cs="Times New Roman"/>
                <w:bCs/>
                <w:kern w:val="0"/>
                <w:sz w:val="24"/>
                <w:szCs w:val="24"/>
              </w:rPr>
              <w:t>67(12-107)</w:t>
            </w:r>
          </w:p>
        </w:tc>
        <w:tc>
          <w:tcPr>
            <w:tcW w:w="1232" w:type="dxa"/>
            <w:noWrap/>
            <w:vAlign w:val="center"/>
            <w:hideMark/>
          </w:tcPr>
          <w:p w14:paraId="21DEF53A" w14:textId="77777777" w:rsidR="00816B31" w:rsidRPr="006A747F" w:rsidRDefault="00816B31"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0.15</w:t>
            </w:r>
          </w:p>
        </w:tc>
      </w:tr>
    </w:tbl>
    <w:p w14:paraId="104795CE" w14:textId="299F368C" w:rsidR="00DC448A" w:rsidRPr="006A747F" w:rsidRDefault="00DC448A" w:rsidP="00235EA3">
      <w:pPr>
        <w:snapToGrid w:val="0"/>
        <w:spacing w:line="360" w:lineRule="auto"/>
        <w:rPr>
          <w:rFonts w:ascii="Book Antiqua" w:hAnsi="Book Antiqua"/>
          <w:sz w:val="24"/>
          <w:szCs w:val="24"/>
        </w:rPr>
      </w:pPr>
      <w:r w:rsidRPr="006A747F">
        <w:rPr>
          <w:rFonts w:ascii="Book Antiqua" w:hAnsi="Book Antiqua"/>
          <w:sz w:val="24"/>
          <w:szCs w:val="24"/>
        </w:rPr>
        <w:t xml:space="preserve">ESCC: </w:t>
      </w:r>
      <w:r w:rsidRPr="00816B31">
        <w:rPr>
          <w:rFonts w:ascii="Book Antiqua" w:hAnsi="Book Antiqua"/>
          <w:caps/>
          <w:sz w:val="24"/>
          <w:szCs w:val="24"/>
        </w:rPr>
        <w:t>e</w:t>
      </w:r>
      <w:r w:rsidRPr="006A747F">
        <w:rPr>
          <w:rFonts w:ascii="Book Antiqua" w:hAnsi="Book Antiqua"/>
          <w:sz w:val="24"/>
          <w:szCs w:val="24"/>
        </w:rPr>
        <w:t>sophageal squamous cell carcinoma</w:t>
      </w:r>
      <w:r w:rsidR="00816B31">
        <w:rPr>
          <w:rFonts w:ascii="Book Antiqua" w:hAnsi="Book Antiqua"/>
          <w:sz w:val="24"/>
          <w:szCs w:val="24"/>
        </w:rPr>
        <w:t>.</w:t>
      </w:r>
    </w:p>
    <w:p w14:paraId="1BE4D46D" w14:textId="26C7B5D8" w:rsidR="00DC448A" w:rsidRPr="006A747F" w:rsidRDefault="00DC448A" w:rsidP="00235EA3">
      <w:pPr>
        <w:widowControl/>
        <w:snapToGrid w:val="0"/>
        <w:spacing w:line="360" w:lineRule="auto"/>
        <w:rPr>
          <w:rFonts w:ascii="Book Antiqua" w:eastAsia="MS Mincho" w:hAnsi="Book Antiqua" w:cs="Times New Roman"/>
          <w:b/>
          <w:bCs/>
          <w:sz w:val="24"/>
          <w:szCs w:val="24"/>
        </w:rPr>
      </w:pPr>
      <w:r w:rsidRPr="006A747F">
        <w:rPr>
          <w:rFonts w:ascii="Book Antiqua" w:eastAsia="MS Mincho" w:hAnsi="Book Antiqua" w:cs="Times New Roman"/>
          <w:b/>
          <w:bCs/>
          <w:sz w:val="24"/>
          <w:szCs w:val="24"/>
        </w:rPr>
        <w:br w:type="page"/>
      </w:r>
    </w:p>
    <w:p w14:paraId="40F02A38" w14:textId="480610F7" w:rsidR="00DC448A" w:rsidRPr="001C5EDA" w:rsidRDefault="00DC448A" w:rsidP="00235EA3">
      <w:pPr>
        <w:snapToGrid w:val="0"/>
        <w:spacing w:line="360" w:lineRule="auto"/>
        <w:rPr>
          <w:rFonts w:ascii="Book Antiqua" w:hAnsi="Book Antiqua"/>
          <w:b/>
          <w:sz w:val="24"/>
          <w:szCs w:val="24"/>
        </w:rPr>
      </w:pPr>
      <w:r w:rsidRPr="001C5EDA">
        <w:rPr>
          <w:rFonts w:ascii="Book Antiqua" w:hAnsi="Book Antiqua"/>
          <w:b/>
          <w:sz w:val="24"/>
          <w:szCs w:val="24"/>
        </w:rPr>
        <w:lastRenderedPageBreak/>
        <w:t>Table 2</w:t>
      </w:r>
      <w:r w:rsidR="00F67E3A" w:rsidRPr="001C5EDA">
        <w:rPr>
          <w:rFonts w:ascii="Book Antiqua" w:hAnsi="Book Antiqua"/>
          <w:b/>
          <w:sz w:val="24"/>
          <w:szCs w:val="24"/>
        </w:rPr>
        <w:t xml:space="preserve"> </w:t>
      </w:r>
      <w:r w:rsidRPr="001C5EDA">
        <w:rPr>
          <w:rFonts w:ascii="Book Antiqua" w:hAnsi="Book Antiqua"/>
          <w:b/>
          <w:sz w:val="24"/>
          <w:szCs w:val="24"/>
        </w:rPr>
        <w:t xml:space="preserve">Synchronous superficial </w:t>
      </w:r>
      <w:r w:rsidR="001C5EDA" w:rsidRPr="001C5EDA">
        <w:rPr>
          <w:rFonts w:ascii="Book Antiqua" w:hAnsi="Book Antiqua"/>
          <w:b/>
          <w:sz w:val="24"/>
          <w:szCs w:val="24"/>
        </w:rPr>
        <w:t>head and neck squamous cell carcinoma</w:t>
      </w:r>
      <w:r w:rsidRPr="001C5EDA">
        <w:rPr>
          <w:rFonts w:ascii="Book Antiqua" w:hAnsi="Book Antiqua"/>
          <w:b/>
          <w:sz w:val="24"/>
          <w:szCs w:val="24"/>
        </w:rPr>
        <w:t xml:space="preserve"> lesions </w:t>
      </w:r>
      <w:r w:rsidRPr="001C5EDA">
        <w:rPr>
          <w:rFonts w:ascii="Book Antiqua" w:hAnsi="Book Antiqua"/>
          <w:b/>
          <w:i/>
          <w:sz w:val="24"/>
          <w:szCs w:val="24"/>
        </w:rPr>
        <w:t>n</w:t>
      </w:r>
      <w:r w:rsidRPr="001C5EDA">
        <w:rPr>
          <w:rFonts w:ascii="Book Antiqua" w:hAnsi="Book Antiqua"/>
          <w:b/>
          <w:sz w:val="24"/>
          <w:szCs w:val="24"/>
        </w:rPr>
        <w:t xml:space="preserve"> (%)</w:t>
      </w:r>
    </w:p>
    <w:tbl>
      <w:tblPr>
        <w:tblW w:w="9392" w:type="dxa"/>
        <w:tblInd w:w="-468"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4412"/>
        <w:gridCol w:w="1912"/>
        <w:gridCol w:w="1744"/>
        <w:gridCol w:w="1324"/>
      </w:tblGrid>
      <w:tr w:rsidR="001C5EDA" w:rsidRPr="006A747F" w14:paraId="5A0A8BD1" w14:textId="77777777" w:rsidTr="001061AB">
        <w:trPr>
          <w:trHeight w:val="674"/>
        </w:trPr>
        <w:tc>
          <w:tcPr>
            <w:tcW w:w="4412" w:type="dxa"/>
            <w:tcBorders>
              <w:top w:val="single" w:sz="4" w:space="0" w:color="auto"/>
              <w:bottom w:val="single" w:sz="4" w:space="0" w:color="auto"/>
            </w:tcBorders>
            <w:noWrap/>
            <w:vAlign w:val="center"/>
            <w:hideMark/>
          </w:tcPr>
          <w:p w14:paraId="5A669D08" w14:textId="50583A5A" w:rsidR="001C5EDA" w:rsidRPr="001C5EDA" w:rsidRDefault="001C5EDA" w:rsidP="00235EA3">
            <w:pPr>
              <w:widowControl/>
              <w:snapToGrid w:val="0"/>
              <w:spacing w:line="360" w:lineRule="auto"/>
              <w:rPr>
                <w:rFonts w:ascii="Book Antiqua" w:eastAsia="MS PGothic" w:hAnsi="Book Antiqua" w:cs="Times New Roman"/>
                <w:b/>
                <w:bCs/>
                <w:color w:val="000000"/>
                <w:kern w:val="0"/>
                <w:sz w:val="24"/>
                <w:szCs w:val="24"/>
              </w:rPr>
            </w:pPr>
          </w:p>
        </w:tc>
        <w:tc>
          <w:tcPr>
            <w:tcW w:w="1912" w:type="dxa"/>
            <w:tcBorders>
              <w:top w:val="single" w:sz="4" w:space="0" w:color="auto"/>
              <w:bottom w:val="single" w:sz="4" w:space="0" w:color="auto"/>
            </w:tcBorders>
            <w:noWrap/>
            <w:vAlign w:val="center"/>
            <w:hideMark/>
          </w:tcPr>
          <w:p w14:paraId="77E84352" w14:textId="63C380A9" w:rsidR="001C5EDA" w:rsidRPr="006A747F" w:rsidRDefault="001C5EDA"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A</w:t>
            </w:r>
            <w:r>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i/>
                <w:iCs/>
                <w:color w:val="000000"/>
                <w:kern w:val="0"/>
                <w:sz w:val="24"/>
                <w:szCs w:val="24"/>
              </w:rPr>
              <w:t xml:space="preserve">n </w:t>
            </w:r>
            <w:r w:rsidRPr="006A747F">
              <w:rPr>
                <w:rFonts w:ascii="Book Antiqua" w:eastAsia="MS PGothic" w:hAnsi="Book Antiqua" w:cs="Times New Roman"/>
                <w:b/>
                <w:bCs/>
                <w:color w:val="000000"/>
                <w:kern w:val="0"/>
                <w:sz w:val="24"/>
                <w:szCs w:val="24"/>
              </w:rPr>
              <w:t>= 254</w:t>
            </w:r>
            <w:r>
              <w:rPr>
                <w:rFonts w:ascii="Book Antiqua" w:eastAsia="MS PGothic" w:hAnsi="Book Antiqua" w:cs="Times New Roman"/>
                <w:b/>
                <w:bCs/>
                <w:color w:val="000000"/>
                <w:kern w:val="0"/>
                <w:sz w:val="24"/>
                <w:szCs w:val="24"/>
              </w:rPr>
              <w:t>)</w:t>
            </w:r>
          </w:p>
        </w:tc>
        <w:tc>
          <w:tcPr>
            <w:tcW w:w="1744" w:type="dxa"/>
            <w:tcBorders>
              <w:top w:val="single" w:sz="4" w:space="0" w:color="auto"/>
              <w:bottom w:val="single" w:sz="4" w:space="0" w:color="auto"/>
            </w:tcBorders>
            <w:noWrap/>
            <w:vAlign w:val="center"/>
            <w:hideMark/>
          </w:tcPr>
          <w:p w14:paraId="37231F56" w14:textId="065A66B0" w:rsidR="001C5EDA" w:rsidRPr="006A747F" w:rsidRDefault="001C5EDA"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B</w:t>
            </w:r>
            <w:r>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i/>
                <w:iCs/>
                <w:color w:val="000000"/>
                <w:kern w:val="0"/>
                <w:sz w:val="24"/>
                <w:szCs w:val="24"/>
              </w:rPr>
              <w:t xml:space="preserve">n </w:t>
            </w:r>
            <w:r w:rsidRPr="006A747F">
              <w:rPr>
                <w:rFonts w:ascii="Book Antiqua" w:eastAsia="MS PGothic" w:hAnsi="Book Antiqua" w:cs="Times New Roman"/>
                <w:b/>
                <w:bCs/>
                <w:color w:val="000000"/>
                <w:kern w:val="0"/>
                <w:sz w:val="24"/>
                <w:szCs w:val="24"/>
              </w:rPr>
              <w:t>= 307</w:t>
            </w:r>
            <w:r>
              <w:rPr>
                <w:rFonts w:ascii="Book Antiqua" w:eastAsia="MS PGothic" w:hAnsi="Book Antiqua" w:cs="Times New Roman"/>
                <w:b/>
                <w:bCs/>
                <w:color w:val="000000"/>
                <w:kern w:val="0"/>
                <w:sz w:val="24"/>
                <w:szCs w:val="24"/>
              </w:rPr>
              <w:t>)</w:t>
            </w:r>
          </w:p>
        </w:tc>
        <w:tc>
          <w:tcPr>
            <w:tcW w:w="1324" w:type="dxa"/>
            <w:tcBorders>
              <w:top w:val="single" w:sz="4" w:space="0" w:color="auto"/>
              <w:bottom w:val="single" w:sz="4" w:space="0" w:color="auto"/>
            </w:tcBorders>
            <w:vAlign w:val="center"/>
          </w:tcPr>
          <w:p w14:paraId="1B7E5EE1" w14:textId="67001E35" w:rsidR="001C5EDA" w:rsidRPr="006A747F" w:rsidRDefault="001C5EDA" w:rsidP="00235EA3">
            <w:pPr>
              <w:snapToGrid w:val="0"/>
              <w:spacing w:line="360" w:lineRule="auto"/>
              <w:jc w:val="center"/>
              <w:rPr>
                <w:rFonts w:ascii="Book Antiqua" w:eastAsia="MS PGothic" w:hAnsi="Book Antiqua" w:cs="Times New Roman"/>
                <w:b/>
                <w:bCs/>
                <w:color w:val="000000"/>
                <w:kern w:val="0"/>
                <w:sz w:val="24"/>
                <w:szCs w:val="24"/>
              </w:rPr>
            </w:pPr>
            <w:r w:rsidRPr="001C5EDA">
              <w:rPr>
                <w:rFonts w:ascii="Book Antiqua" w:eastAsia="MS PGothic" w:hAnsi="Book Antiqua" w:cs="Times New Roman"/>
                <w:b/>
                <w:bCs/>
                <w:i/>
                <w:iCs/>
                <w:caps/>
                <w:color w:val="000000"/>
                <w:kern w:val="0"/>
                <w:sz w:val="24"/>
                <w:szCs w:val="24"/>
              </w:rPr>
              <w:t>p</w:t>
            </w:r>
            <w:r w:rsidRPr="006A747F">
              <w:rPr>
                <w:rFonts w:ascii="Book Antiqua" w:eastAsia="MS PGothic" w:hAnsi="Book Antiqua" w:cs="Times New Roman"/>
                <w:b/>
                <w:bCs/>
                <w:i/>
                <w:iCs/>
                <w:color w:val="000000"/>
                <w:kern w:val="0"/>
                <w:sz w:val="24"/>
                <w:szCs w:val="24"/>
              </w:rPr>
              <w:t xml:space="preserve"> </w:t>
            </w:r>
            <w:r w:rsidRPr="006A747F">
              <w:rPr>
                <w:rFonts w:ascii="Book Antiqua" w:eastAsia="MS PGothic" w:hAnsi="Book Antiqua" w:cs="Times New Roman"/>
                <w:b/>
                <w:bCs/>
                <w:color w:val="000000"/>
                <w:kern w:val="0"/>
                <w:sz w:val="24"/>
                <w:szCs w:val="24"/>
              </w:rPr>
              <w:t>value</w:t>
            </w:r>
          </w:p>
        </w:tc>
      </w:tr>
      <w:tr w:rsidR="001C5EDA" w:rsidRPr="006A747F" w14:paraId="08AA0C6E" w14:textId="77777777" w:rsidTr="001061AB">
        <w:trPr>
          <w:trHeight w:val="272"/>
        </w:trPr>
        <w:tc>
          <w:tcPr>
            <w:tcW w:w="4412" w:type="dxa"/>
            <w:tcBorders>
              <w:top w:val="single" w:sz="4" w:space="0" w:color="auto"/>
            </w:tcBorders>
            <w:noWrap/>
            <w:vAlign w:val="center"/>
            <w:hideMark/>
          </w:tcPr>
          <w:p w14:paraId="2E5673DE" w14:textId="20C67FB6" w:rsidR="001C5EDA" w:rsidRPr="006A747F" w:rsidRDefault="001C5EDA" w:rsidP="00235EA3">
            <w:pPr>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 xml:space="preserve">Synchronous HNSCC </w:t>
            </w:r>
          </w:p>
        </w:tc>
        <w:tc>
          <w:tcPr>
            <w:tcW w:w="1912" w:type="dxa"/>
            <w:tcBorders>
              <w:top w:val="single" w:sz="4" w:space="0" w:color="auto"/>
            </w:tcBorders>
            <w:noWrap/>
            <w:vAlign w:val="center"/>
            <w:hideMark/>
          </w:tcPr>
          <w:p w14:paraId="075433A3"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c>
          <w:tcPr>
            <w:tcW w:w="1744" w:type="dxa"/>
            <w:tcBorders>
              <w:top w:val="single" w:sz="4" w:space="0" w:color="auto"/>
            </w:tcBorders>
            <w:noWrap/>
            <w:vAlign w:val="center"/>
            <w:hideMark/>
          </w:tcPr>
          <w:p w14:paraId="2E7007ED"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c>
          <w:tcPr>
            <w:tcW w:w="1324" w:type="dxa"/>
            <w:tcBorders>
              <w:top w:val="single" w:sz="4" w:space="0" w:color="auto"/>
            </w:tcBorders>
            <w:noWrap/>
            <w:vAlign w:val="center"/>
            <w:hideMark/>
          </w:tcPr>
          <w:p w14:paraId="0AE830F0"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r>
      <w:tr w:rsidR="001C5EDA" w:rsidRPr="006A747F" w14:paraId="238C2B32" w14:textId="77777777" w:rsidTr="001061AB">
        <w:trPr>
          <w:trHeight w:val="272"/>
        </w:trPr>
        <w:tc>
          <w:tcPr>
            <w:tcW w:w="4412" w:type="dxa"/>
            <w:noWrap/>
            <w:vAlign w:val="center"/>
            <w:hideMark/>
          </w:tcPr>
          <w:p w14:paraId="65CF0A78" w14:textId="12F409E1" w:rsidR="001C5EDA" w:rsidRPr="006A747F" w:rsidRDefault="001C5EDA"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No. of patients</w:t>
            </w:r>
          </w:p>
        </w:tc>
        <w:tc>
          <w:tcPr>
            <w:tcW w:w="1912" w:type="dxa"/>
            <w:noWrap/>
            <w:vAlign w:val="center"/>
            <w:hideMark/>
          </w:tcPr>
          <w:p w14:paraId="365175B4" w14:textId="0200ED1A"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(0.3)</w:t>
            </w:r>
          </w:p>
        </w:tc>
        <w:tc>
          <w:tcPr>
            <w:tcW w:w="1744" w:type="dxa"/>
            <w:noWrap/>
            <w:vAlign w:val="center"/>
            <w:hideMark/>
          </w:tcPr>
          <w:p w14:paraId="45C347A9" w14:textId="414B037E"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12</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(3.9)</w:t>
            </w:r>
          </w:p>
        </w:tc>
        <w:tc>
          <w:tcPr>
            <w:tcW w:w="1324" w:type="dxa"/>
            <w:noWrap/>
            <w:vAlign w:val="center"/>
            <w:hideMark/>
          </w:tcPr>
          <w:p w14:paraId="0D0F6B18" w14:textId="77777777"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0.008</w:t>
            </w:r>
          </w:p>
        </w:tc>
      </w:tr>
      <w:tr w:rsidR="001C5EDA" w:rsidRPr="006A747F" w14:paraId="17F356D7" w14:textId="77777777" w:rsidTr="001061AB">
        <w:trPr>
          <w:trHeight w:val="272"/>
        </w:trPr>
        <w:tc>
          <w:tcPr>
            <w:tcW w:w="4412" w:type="dxa"/>
            <w:noWrap/>
            <w:vAlign w:val="center"/>
            <w:hideMark/>
          </w:tcPr>
          <w:p w14:paraId="7BDF2393" w14:textId="2DCBE7A4" w:rsidR="001C5EDA" w:rsidRPr="006A747F" w:rsidRDefault="001C5EDA"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 xml:space="preserve">No. of lesions </w:t>
            </w:r>
          </w:p>
        </w:tc>
        <w:tc>
          <w:tcPr>
            <w:tcW w:w="1912" w:type="dxa"/>
            <w:noWrap/>
            <w:vAlign w:val="center"/>
            <w:hideMark/>
          </w:tcPr>
          <w:p w14:paraId="5098C000" w14:textId="1DD9FFB4"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p>
        </w:tc>
        <w:tc>
          <w:tcPr>
            <w:tcW w:w="1744" w:type="dxa"/>
            <w:noWrap/>
            <w:vAlign w:val="center"/>
            <w:hideMark/>
          </w:tcPr>
          <w:p w14:paraId="2C7BF376" w14:textId="18A75BE0"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14</w:t>
            </w:r>
          </w:p>
        </w:tc>
        <w:tc>
          <w:tcPr>
            <w:tcW w:w="1324" w:type="dxa"/>
            <w:noWrap/>
            <w:vAlign w:val="center"/>
            <w:hideMark/>
          </w:tcPr>
          <w:p w14:paraId="371767BC" w14:textId="78C175AF"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0.01</w:t>
            </w:r>
            <w:r>
              <w:rPr>
                <w:rFonts w:ascii="Book Antiqua" w:eastAsia="MS PGothic" w:hAnsi="Book Antiqua" w:cs="Times New Roman"/>
                <w:bCs/>
                <w:color w:val="000000"/>
                <w:kern w:val="0"/>
                <w:sz w:val="24"/>
                <w:szCs w:val="24"/>
              </w:rPr>
              <w:t>0</w:t>
            </w:r>
          </w:p>
        </w:tc>
      </w:tr>
      <w:tr w:rsidR="001C5EDA" w:rsidRPr="006A747F" w14:paraId="494323A5" w14:textId="77777777" w:rsidTr="001061AB">
        <w:trPr>
          <w:trHeight w:val="272"/>
        </w:trPr>
        <w:tc>
          <w:tcPr>
            <w:tcW w:w="4412" w:type="dxa"/>
            <w:noWrap/>
            <w:vAlign w:val="center"/>
            <w:hideMark/>
          </w:tcPr>
          <w:p w14:paraId="441108BB" w14:textId="74F3331F" w:rsidR="001C5EDA" w:rsidRPr="006A747F" w:rsidRDefault="001C5EDA" w:rsidP="00235EA3">
            <w:pPr>
              <w:snapToGrid w:val="0"/>
              <w:spacing w:line="360" w:lineRule="auto"/>
              <w:rPr>
                <w:rFonts w:ascii="Book Antiqua" w:eastAsia="MS PGothic" w:hAnsi="Book Antiqua" w:cs="Times New Roman"/>
                <w:bCs/>
                <w:kern w:val="0"/>
                <w:sz w:val="24"/>
                <w:szCs w:val="24"/>
              </w:rPr>
            </w:pPr>
            <w:r w:rsidRPr="006A747F">
              <w:rPr>
                <w:rFonts w:ascii="Book Antiqua" w:eastAsia="MS PGothic" w:hAnsi="Book Antiqua" w:cs="Times New Roman"/>
                <w:bCs/>
                <w:kern w:val="0"/>
                <w:sz w:val="24"/>
                <w:szCs w:val="24"/>
              </w:rPr>
              <w:t>Location of cancer</w:t>
            </w:r>
          </w:p>
        </w:tc>
        <w:tc>
          <w:tcPr>
            <w:tcW w:w="1912" w:type="dxa"/>
            <w:noWrap/>
            <w:vAlign w:val="center"/>
            <w:hideMark/>
          </w:tcPr>
          <w:p w14:paraId="31F27E07"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c>
          <w:tcPr>
            <w:tcW w:w="1744" w:type="dxa"/>
            <w:noWrap/>
            <w:vAlign w:val="center"/>
            <w:hideMark/>
          </w:tcPr>
          <w:p w14:paraId="2132E637"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c>
          <w:tcPr>
            <w:tcW w:w="1324" w:type="dxa"/>
            <w:noWrap/>
            <w:vAlign w:val="center"/>
            <w:hideMark/>
          </w:tcPr>
          <w:p w14:paraId="4C613BE2"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r>
      <w:tr w:rsidR="001C5EDA" w:rsidRPr="006A747F" w14:paraId="24208E32" w14:textId="77777777" w:rsidTr="001061AB">
        <w:trPr>
          <w:trHeight w:val="272"/>
        </w:trPr>
        <w:tc>
          <w:tcPr>
            <w:tcW w:w="4412" w:type="dxa"/>
            <w:noWrap/>
            <w:vAlign w:val="center"/>
            <w:hideMark/>
          </w:tcPr>
          <w:p w14:paraId="0E6E7D64" w14:textId="4C9E669D" w:rsidR="001C5EDA" w:rsidRPr="006A747F" w:rsidRDefault="001C5EDA"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Oropharynx</w:t>
            </w:r>
          </w:p>
        </w:tc>
        <w:tc>
          <w:tcPr>
            <w:tcW w:w="1912" w:type="dxa"/>
            <w:noWrap/>
            <w:vAlign w:val="center"/>
            <w:hideMark/>
          </w:tcPr>
          <w:p w14:paraId="02A99EFD" w14:textId="5EDB2BF4"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744" w:type="dxa"/>
            <w:noWrap/>
            <w:vAlign w:val="center"/>
            <w:hideMark/>
          </w:tcPr>
          <w:p w14:paraId="335B6270" w14:textId="315E27FF"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5</w:t>
            </w:r>
          </w:p>
        </w:tc>
        <w:tc>
          <w:tcPr>
            <w:tcW w:w="1324" w:type="dxa"/>
            <w:noWrap/>
            <w:vAlign w:val="center"/>
            <w:hideMark/>
          </w:tcPr>
          <w:p w14:paraId="419249A8"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r>
      <w:tr w:rsidR="001C5EDA" w:rsidRPr="006A747F" w14:paraId="1215EB52" w14:textId="77777777" w:rsidTr="001061AB">
        <w:trPr>
          <w:trHeight w:val="272"/>
        </w:trPr>
        <w:tc>
          <w:tcPr>
            <w:tcW w:w="4412" w:type="dxa"/>
            <w:noWrap/>
            <w:vAlign w:val="center"/>
            <w:hideMark/>
          </w:tcPr>
          <w:p w14:paraId="1B20E53E" w14:textId="3CB178F1" w:rsidR="001C5EDA" w:rsidRPr="006A747F" w:rsidRDefault="001C5EDA"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Hypopharynx</w:t>
            </w:r>
          </w:p>
        </w:tc>
        <w:tc>
          <w:tcPr>
            <w:tcW w:w="1912" w:type="dxa"/>
            <w:noWrap/>
            <w:vAlign w:val="center"/>
            <w:hideMark/>
          </w:tcPr>
          <w:p w14:paraId="6B0425CF" w14:textId="6C838D59"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p>
        </w:tc>
        <w:tc>
          <w:tcPr>
            <w:tcW w:w="1744" w:type="dxa"/>
            <w:noWrap/>
            <w:vAlign w:val="center"/>
            <w:hideMark/>
          </w:tcPr>
          <w:p w14:paraId="0D84AB2D" w14:textId="0C0744D0"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8</w:t>
            </w:r>
          </w:p>
        </w:tc>
        <w:tc>
          <w:tcPr>
            <w:tcW w:w="1324" w:type="dxa"/>
            <w:noWrap/>
            <w:vAlign w:val="center"/>
            <w:hideMark/>
          </w:tcPr>
          <w:p w14:paraId="7701909E"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r>
      <w:tr w:rsidR="001C5EDA" w:rsidRPr="006A747F" w14:paraId="3441BF1D" w14:textId="77777777" w:rsidTr="001061AB">
        <w:trPr>
          <w:trHeight w:val="272"/>
        </w:trPr>
        <w:tc>
          <w:tcPr>
            <w:tcW w:w="4412" w:type="dxa"/>
            <w:noWrap/>
            <w:vAlign w:val="center"/>
            <w:hideMark/>
          </w:tcPr>
          <w:p w14:paraId="5F961955" w14:textId="72673162" w:rsidR="001C5EDA" w:rsidRPr="006A747F" w:rsidRDefault="001C5EDA"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Larynx</w:t>
            </w:r>
          </w:p>
        </w:tc>
        <w:tc>
          <w:tcPr>
            <w:tcW w:w="1912" w:type="dxa"/>
            <w:noWrap/>
            <w:vAlign w:val="center"/>
            <w:hideMark/>
          </w:tcPr>
          <w:p w14:paraId="13661EB2" w14:textId="427E22A7"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744" w:type="dxa"/>
            <w:noWrap/>
            <w:vAlign w:val="center"/>
            <w:hideMark/>
          </w:tcPr>
          <w:p w14:paraId="2DDBCDD3" w14:textId="4778CE87"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p>
        </w:tc>
        <w:tc>
          <w:tcPr>
            <w:tcW w:w="1324" w:type="dxa"/>
            <w:noWrap/>
            <w:vAlign w:val="center"/>
            <w:hideMark/>
          </w:tcPr>
          <w:p w14:paraId="4E29CA46" w14:textId="77777777" w:rsidR="001C5EDA" w:rsidRPr="006A747F" w:rsidRDefault="001C5EDA" w:rsidP="00235EA3">
            <w:pPr>
              <w:widowControl/>
              <w:snapToGrid w:val="0"/>
              <w:spacing w:line="360" w:lineRule="auto"/>
              <w:jc w:val="center"/>
              <w:rPr>
                <w:rFonts w:ascii="Book Antiqua" w:eastAsia="Times New Roman" w:hAnsi="Book Antiqua"/>
                <w:kern w:val="0"/>
                <w:sz w:val="24"/>
                <w:szCs w:val="24"/>
              </w:rPr>
            </w:pPr>
          </w:p>
        </w:tc>
      </w:tr>
      <w:tr w:rsidR="001C5EDA" w:rsidRPr="006A747F" w14:paraId="6F5888BE" w14:textId="77777777" w:rsidTr="001061AB">
        <w:trPr>
          <w:trHeight w:val="272"/>
        </w:trPr>
        <w:tc>
          <w:tcPr>
            <w:tcW w:w="4412" w:type="dxa"/>
            <w:shd w:val="clear" w:color="auto" w:fill="FFFFFF"/>
            <w:noWrap/>
            <w:vAlign w:val="center"/>
            <w:hideMark/>
          </w:tcPr>
          <w:p w14:paraId="594D93A6" w14:textId="77777777" w:rsidR="001C5EDA" w:rsidRPr="006A747F" w:rsidRDefault="001C5EDA"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Treatment for synchronous HNSCC</w:t>
            </w:r>
          </w:p>
        </w:tc>
        <w:tc>
          <w:tcPr>
            <w:tcW w:w="1912" w:type="dxa"/>
            <w:shd w:val="clear" w:color="auto" w:fill="FFFFFF"/>
            <w:noWrap/>
            <w:vAlign w:val="center"/>
            <w:hideMark/>
          </w:tcPr>
          <w:p w14:paraId="255331C4" w14:textId="2DF3D0B6" w:rsidR="001C5EDA" w:rsidRPr="006A747F" w:rsidRDefault="001C5EDA" w:rsidP="00235EA3">
            <w:pPr>
              <w:widowControl/>
              <w:snapToGrid w:val="0"/>
              <w:spacing w:line="360" w:lineRule="auto"/>
              <w:jc w:val="center"/>
              <w:rPr>
                <w:rFonts w:ascii="Book Antiqua" w:eastAsia="MS PGothic" w:hAnsi="Book Antiqua" w:cs="Times New Roman"/>
                <w:color w:val="000000"/>
                <w:kern w:val="0"/>
                <w:sz w:val="24"/>
                <w:szCs w:val="24"/>
              </w:rPr>
            </w:pPr>
          </w:p>
        </w:tc>
        <w:tc>
          <w:tcPr>
            <w:tcW w:w="1744" w:type="dxa"/>
            <w:shd w:val="clear" w:color="auto" w:fill="FFFFFF"/>
            <w:noWrap/>
            <w:vAlign w:val="center"/>
            <w:hideMark/>
          </w:tcPr>
          <w:p w14:paraId="69F1BC07" w14:textId="678CC1EA" w:rsidR="001C5EDA" w:rsidRPr="006A747F" w:rsidRDefault="001C5EDA" w:rsidP="00235EA3">
            <w:pPr>
              <w:widowControl/>
              <w:snapToGrid w:val="0"/>
              <w:spacing w:line="360" w:lineRule="auto"/>
              <w:jc w:val="center"/>
              <w:rPr>
                <w:rFonts w:ascii="Book Antiqua" w:eastAsia="MS PGothic" w:hAnsi="Book Antiqua" w:cs="Times New Roman"/>
                <w:color w:val="000000"/>
                <w:kern w:val="0"/>
                <w:sz w:val="24"/>
                <w:szCs w:val="24"/>
              </w:rPr>
            </w:pPr>
          </w:p>
        </w:tc>
        <w:tc>
          <w:tcPr>
            <w:tcW w:w="1324" w:type="dxa"/>
            <w:shd w:val="clear" w:color="auto" w:fill="FFFFFF"/>
            <w:noWrap/>
            <w:vAlign w:val="center"/>
            <w:hideMark/>
          </w:tcPr>
          <w:p w14:paraId="6FFD9C0D" w14:textId="1DF81BDB" w:rsidR="001C5EDA" w:rsidRPr="006A747F" w:rsidRDefault="001C5EDA" w:rsidP="00235EA3">
            <w:pPr>
              <w:widowControl/>
              <w:snapToGrid w:val="0"/>
              <w:spacing w:line="360" w:lineRule="auto"/>
              <w:jc w:val="center"/>
              <w:rPr>
                <w:rFonts w:ascii="Book Antiqua" w:eastAsia="MS PGothic" w:hAnsi="Book Antiqua" w:cs="Times New Roman"/>
                <w:color w:val="000000"/>
                <w:kern w:val="0"/>
                <w:sz w:val="24"/>
                <w:szCs w:val="24"/>
              </w:rPr>
            </w:pPr>
          </w:p>
        </w:tc>
      </w:tr>
      <w:tr w:rsidR="001C5EDA" w:rsidRPr="006A747F" w14:paraId="7930C287" w14:textId="77777777" w:rsidTr="001061AB">
        <w:trPr>
          <w:trHeight w:val="266"/>
        </w:trPr>
        <w:tc>
          <w:tcPr>
            <w:tcW w:w="4412" w:type="dxa"/>
            <w:shd w:val="clear" w:color="auto" w:fill="FFFFFF"/>
            <w:noWrap/>
            <w:vAlign w:val="center"/>
            <w:hideMark/>
          </w:tcPr>
          <w:p w14:paraId="6229BE43" w14:textId="32E45CEC" w:rsidR="001C5EDA" w:rsidRPr="006A747F" w:rsidRDefault="001C5EDA" w:rsidP="00235EA3">
            <w:pPr>
              <w:widowControl/>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ER or surgical local resection</w:t>
            </w:r>
          </w:p>
        </w:tc>
        <w:tc>
          <w:tcPr>
            <w:tcW w:w="1912" w:type="dxa"/>
            <w:shd w:val="clear" w:color="auto" w:fill="FFFFFF"/>
            <w:noWrap/>
            <w:vAlign w:val="center"/>
            <w:hideMark/>
          </w:tcPr>
          <w:p w14:paraId="0CE2EDC2" w14:textId="0CB376B1"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744" w:type="dxa"/>
            <w:shd w:val="clear" w:color="auto" w:fill="FFFFFF"/>
            <w:noWrap/>
            <w:vAlign w:val="center"/>
            <w:hideMark/>
          </w:tcPr>
          <w:p w14:paraId="4C4AB8AC" w14:textId="06B773CB"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7</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(58)</w:t>
            </w:r>
          </w:p>
        </w:tc>
        <w:tc>
          <w:tcPr>
            <w:tcW w:w="1324" w:type="dxa"/>
            <w:shd w:val="clear" w:color="auto" w:fill="FFFFFF"/>
            <w:noWrap/>
            <w:vAlign w:val="center"/>
            <w:hideMark/>
          </w:tcPr>
          <w:p w14:paraId="0E15E64D" w14:textId="77777777" w:rsidR="001C5EDA" w:rsidRPr="006A747F" w:rsidRDefault="001C5EDA" w:rsidP="00235EA3">
            <w:pPr>
              <w:snapToGrid w:val="0"/>
              <w:spacing w:line="360" w:lineRule="auto"/>
              <w:jc w:val="center"/>
              <w:rPr>
                <w:rFonts w:ascii="Book Antiqua" w:eastAsia="MS PGothic" w:hAnsi="Book Antiqua" w:cs="Times New Roman"/>
                <w:color w:val="000000"/>
                <w:kern w:val="0"/>
                <w:sz w:val="24"/>
                <w:szCs w:val="24"/>
              </w:rPr>
            </w:pPr>
          </w:p>
        </w:tc>
      </w:tr>
      <w:tr w:rsidR="001C5EDA" w:rsidRPr="006A747F" w14:paraId="7EADF385" w14:textId="77777777" w:rsidTr="001061AB">
        <w:trPr>
          <w:trHeight w:val="272"/>
        </w:trPr>
        <w:tc>
          <w:tcPr>
            <w:tcW w:w="4412" w:type="dxa"/>
            <w:shd w:val="clear" w:color="auto" w:fill="FFFFFF"/>
            <w:noWrap/>
            <w:vAlign w:val="center"/>
            <w:hideMark/>
          </w:tcPr>
          <w:p w14:paraId="7C67F990" w14:textId="0D573207" w:rsidR="001C5EDA" w:rsidRPr="006A747F" w:rsidRDefault="001C5EDA" w:rsidP="00235EA3">
            <w:pPr>
              <w:widowControl/>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TPLE</w:t>
            </w:r>
          </w:p>
        </w:tc>
        <w:tc>
          <w:tcPr>
            <w:tcW w:w="1912" w:type="dxa"/>
            <w:shd w:val="clear" w:color="auto" w:fill="FFFFFF"/>
            <w:noWrap/>
            <w:vAlign w:val="center"/>
            <w:hideMark/>
          </w:tcPr>
          <w:p w14:paraId="62563BE5" w14:textId="33AAD60A"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744" w:type="dxa"/>
            <w:shd w:val="clear" w:color="auto" w:fill="FFFFFF"/>
            <w:noWrap/>
            <w:vAlign w:val="center"/>
            <w:hideMark/>
          </w:tcPr>
          <w:p w14:paraId="438B6C12" w14:textId="1AE94C01"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(8)</w:t>
            </w:r>
          </w:p>
        </w:tc>
        <w:tc>
          <w:tcPr>
            <w:tcW w:w="1324" w:type="dxa"/>
            <w:shd w:val="clear" w:color="auto" w:fill="FFFFFF"/>
            <w:noWrap/>
            <w:vAlign w:val="center"/>
            <w:hideMark/>
          </w:tcPr>
          <w:p w14:paraId="4B6F0F62" w14:textId="77777777"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p>
        </w:tc>
      </w:tr>
      <w:tr w:rsidR="001C5EDA" w:rsidRPr="006A747F" w14:paraId="3B8BB511" w14:textId="77777777" w:rsidTr="001061AB">
        <w:trPr>
          <w:trHeight w:val="272"/>
        </w:trPr>
        <w:tc>
          <w:tcPr>
            <w:tcW w:w="4412" w:type="dxa"/>
            <w:shd w:val="clear" w:color="auto" w:fill="FFFFFF"/>
            <w:noWrap/>
            <w:vAlign w:val="center"/>
            <w:hideMark/>
          </w:tcPr>
          <w:p w14:paraId="0A62F5B0" w14:textId="71F0B6BC" w:rsidR="001C5EDA" w:rsidRPr="006A747F" w:rsidRDefault="001C5EDA" w:rsidP="00235EA3">
            <w:pPr>
              <w:widowControl/>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Radiation and/or chemotherapy</w:t>
            </w:r>
          </w:p>
        </w:tc>
        <w:tc>
          <w:tcPr>
            <w:tcW w:w="1912" w:type="dxa"/>
            <w:shd w:val="clear" w:color="auto" w:fill="FFFFFF"/>
            <w:noWrap/>
            <w:vAlign w:val="center"/>
            <w:hideMark/>
          </w:tcPr>
          <w:p w14:paraId="45160ACD" w14:textId="0EA701FD"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(100)</w:t>
            </w:r>
          </w:p>
        </w:tc>
        <w:tc>
          <w:tcPr>
            <w:tcW w:w="1744" w:type="dxa"/>
            <w:shd w:val="clear" w:color="auto" w:fill="FFFFFF"/>
            <w:noWrap/>
            <w:vAlign w:val="center"/>
            <w:hideMark/>
          </w:tcPr>
          <w:p w14:paraId="2B5A7A1A" w14:textId="3C637C8B"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324" w:type="dxa"/>
            <w:shd w:val="clear" w:color="auto" w:fill="FFFFFF"/>
            <w:noWrap/>
            <w:vAlign w:val="center"/>
            <w:hideMark/>
          </w:tcPr>
          <w:p w14:paraId="488BF03A" w14:textId="77777777"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p>
        </w:tc>
      </w:tr>
      <w:tr w:rsidR="001C5EDA" w:rsidRPr="006A747F" w14:paraId="3FF99E8A" w14:textId="77777777" w:rsidTr="001061AB">
        <w:trPr>
          <w:trHeight w:val="272"/>
        </w:trPr>
        <w:tc>
          <w:tcPr>
            <w:tcW w:w="4412" w:type="dxa"/>
            <w:shd w:val="clear" w:color="auto" w:fill="FFFFFF"/>
            <w:noWrap/>
            <w:vAlign w:val="center"/>
            <w:hideMark/>
          </w:tcPr>
          <w:p w14:paraId="22B87A6A" w14:textId="48498824" w:rsidR="001C5EDA" w:rsidRPr="001C5EDA" w:rsidRDefault="001C5EDA" w:rsidP="00235EA3">
            <w:pPr>
              <w:widowControl/>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No treatment</w:t>
            </w:r>
          </w:p>
        </w:tc>
        <w:tc>
          <w:tcPr>
            <w:tcW w:w="1912" w:type="dxa"/>
            <w:shd w:val="clear" w:color="auto" w:fill="FFFFFF"/>
            <w:noWrap/>
            <w:vAlign w:val="center"/>
            <w:hideMark/>
          </w:tcPr>
          <w:p w14:paraId="4E5C5D27" w14:textId="15DB0204"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744" w:type="dxa"/>
            <w:shd w:val="clear" w:color="auto" w:fill="FFFFFF"/>
            <w:noWrap/>
            <w:vAlign w:val="center"/>
            <w:hideMark/>
          </w:tcPr>
          <w:p w14:paraId="5E326384" w14:textId="3450718B"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(33)</w:t>
            </w:r>
          </w:p>
        </w:tc>
        <w:tc>
          <w:tcPr>
            <w:tcW w:w="1324" w:type="dxa"/>
            <w:shd w:val="clear" w:color="auto" w:fill="FFFFFF"/>
            <w:noWrap/>
            <w:vAlign w:val="center"/>
            <w:hideMark/>
          </w:tcPr>
          <w:p w14:paraId="56BA3114" w14:textId="77777777"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p>
        </w:tc>
      </w:tr>
      <w:tr w:rsidR="001C5EDA" w:rsidRPr="006A747F" w14:paraId="1CB8ED67" w14:textId="77777777" w:rsidTr="001061AB">
        <w:trPr>
          <w:trHeight w:val="272"/>
        </w:trPr>
        <w:tc>
          <w:tcPr>
            <w:tcW w:w="4412" w:type="dxa"/>
            <w:shd w:val="clear" w:color="auto" w:fill="FFFFFF"/>
            <w:noWrap/>
            <w:vAlign w:val="center"/>
            <w:hideMark/>
          </w:tcPr>
          <w:p w14:paraId="6643D88A" w14:textId="77777777" w:rsidR="001C5EDA" w:rsidRPr="006A747F" w:rsidRDefault="001C5EDA"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Death due to synchronous HNSCC</w:t>
            </w:r>
          </w:p>
        </w:tc>
        <w:tc>
          <w:tcPr>
            <w:tcW w:w="1912" w:type="dxa"/>
            <w:shd w:val="clear" w:color="auto" w:fill="FFFFFF"/>
            <w:noWrap/>
            <w:vAlign w:val="center"/>
            <w:hideMark/>
          </w:tcPr>
          <w:p w14:paraId="0864CF7A" w14:textId="43485BCC"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744" w:type="dxa"/>
            <w:shd w:val="clear" w:color="auto" w:fill="FFFFFF"/>
            <w:noWrap/>
            <w:vAlign w:val="center"/>
            <w:hideMark/>
          </w:tcPr>
          <w:p w14:paraId="438ABD2B" w14:textId="0F5353E7" w:rsidR="001C5EDA" w:rsidRPr="006A747F" w:rsidRDefault="001C5EDA"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324" w:type="dxa"/>
            <w:shd w:val="clear" w:color="auto" w:fill="FFFFFF"/>
            <w:noWrap/>
            <w:vAlign w:val="center"/>
            <w:hideMark/>
          </w:tcPr>
          <w:p w14:paraId="47979195" w14:textId="77777777" w:rsidR="001C5EDA" w:rsidRPr="006A747F" w:rsidRDefault="001C5EDA" w:rsidP="00235EA3">
            <w:pPr>
              <w:snapToGrid w:val="0"/>
              <w:spacing w:line="360" w:lineRule="auto"/>
              <w:jc w:val="center"/>
              <w:rPr>
                <w:rFonts w:ascii="Book Antiqua" w:eastAsia="MS PGothic" w:hAnsi="Book Antiqua" w:cs="Times New Roman"/>
                <w:bCs/>
                <w:color w:val="000000"/>
                <w:kern w:val="0"/>
                <w:sz w:val="24"/>
                <w:szCs w:val="24"/>
              </w:rPr>
            </w:pPr>
          </w:p>
        </w:tc>
      </w:tr>
    </w:tbl>
    <w:p w14:paraId="0B5352B3" w14:textId="1CFFC11D" w:rsidR="00DC448A" w:rsidRPr="006A747F" w:rsidRDefault="00DC448A" w:rsidP="00235EA3">
      <w:pPr>
        <w:snapToGrid w:val="0"/>
        <w:spacing w:line="360" w:lineRule="auto"/>
        <w:rPr>
          <w:rFonts w:ascii="Book Antiqua" w:hAnsi="Book Antiqua"/>
          <w:sz w:val="24"/>
          <w:szCs w:val="24"/>
        </w:rPr>
      </w:pPr>
      <w:r w:rsidRPr="006A747F">
        <w:rPr>
          <w:rFonts w:ascii="Book Antiqua" w:hAnsi="Book Antiqua"/>
          <w:sz w:val="24"/>
          <w:szCs w:val="24"/>
        </w:rPr>
        <w:t xml:space="preserve">ER: </w:t>
      </w:r>
      <w:r w:rsidRPr="001C5EDA">
        <w:rPr>
          <w:rFonts w:ascii="Book Antiqua" w:hAnsi="Book Antiqua"/>
          <w:caps/>
          <w:sz w:val="24"/>
          <w:szCs w:val="24"/>
        </w:rPr>
        <w:t>e</w:t>
      </w:r>
      <w:r w:rsidRPr="006A747F">
        <w:rPr>
          <w:rFonts w:ascii="Book Antiqua" w:hAnsi="Book Antiqua"/>
          <w:sz w:val="24"/>
          <w:szCs w:val="24"/>
        </w:rPr>
        <w:t xml:space="preserve">ndoscopic resection; TPLE: </w:t>
      </w:r>
      <w:r w:rsidRPr="001C5EDA">
        <w:rPr>
          <w:rFonts w:ascii="Book Antiqua" w:hAnsi="Book Antiqua"/>
          <w:caps/>
          <w:sz w:val="24"/>
          <w:szCs w:val="24"/>
        </w:rPr>
        <w:t>t</w:t>
      </w:r>
      <w:r w:rsidRPr="006A747F">
        <w:rPr>
          <w:rFonts w:ascii="Book Antiqua" w:hAnsi="Book Antiqua"/>
          <w:sz w:val="24"/>
          <w:szCs w:val="24"/>
        </w:rPr>
        <w:t>otal pharyngo-laryngo-esophagectomy</w:t>
      </w:r>
      <w:r w:rsidR="001C5EDA">
        <w:rPr>
          <w:rFonts w:ascii="Book Antiqua" w:hAnsi="Book Antiqua"/>
          <w:sz w:val="24"/>
          <w:szCs w:val="24"/>
        </w:rPr>
        <w:t xml:space="preserve">; </w:t>
      </w:r>
      <w:r w:rsidRPr="006A747F">
        <w:rPr>
          <w:rFonts w:ascii="Book Antiqua" w:hAnsi="Book Antiqua"/>
          <w:sz w:val="24"/>
          <w:szCs w:val="24"/>
        </w:rPr>
        <w:t xml:space="preserve">HNSCC: </w:t>
      </w:r>
      <w:r w:rsidRPr="001C5EDA">
        <w:rPr>
          <w:rFonts w:ascii="Book Antiqua" w:hAnsi="Book Antiqua"/>
          <w:caps/>
          <w:sz w:val="24"/>
          <w:szCs w:val="24"/>
        </w:rPr>
        <w:t>h</w:t>
      </w:r>
      <w:r w:rsidRPr="006A747F">
        <w:rPr>
          <w:rFonts w:ascii="Book Antiqua" w:hAnsi="Book Antiqua"/>
          <w:sz w:val="24"/>
          <w:szCs w:val="24"/>
        </w:rPr>
        <w:t>ead and neck squamous cell carcinoma</w:t>
      </w:r>
      <w:r w:rsidR="001C5EDA">
        <w:rPr>
          <w:rFonts w:ascii="Book Antiqua" w:hAnsi="Book Antiqua"/>
          <w:sz w:val="24"/>
          <w:szCs w:val="24"/>
        </w:rPr>
        <w:t>.</w:t>
      </w:r>
    </w:p>
    <w:p w14:paraId="57DEE0BD" w14:textId="77777777" w:rsidR="00DC448A" w:rsidRPr="006A747F" w:rsidRDefault="00DC448A" w:rsidP="00235EA3">
      <w:pPr>
        <w:widowControl/>
        <w:snapToGrid w:val="0"/>
        <w:spacing w:line="360" w:lineRule="auto"/>
        <w:rPr>
          <w:rFonts w:ascii="Book Antiqua" w:hAnsi="Book Antiqua"/>
          <w:sz w:val="24"/>
          <w:szCs w:val="24"/>
        </w:rPr>
      </w:pPr>
      <w:r w:rsidRPr="006A747F">
        <w:rPr>
          <w:rFonts w:ascii="Book Antiqua" w:hAnsi="Book Antiqua"/>
          <w:sz w:val="24"/>
          <w:szCs w:val="24"/>
        </w:rPr>
        <w:br w:type="page"/>
      </w:r>
    </w:p>
    <w:p w14:paraId="11DA4826" w14:textId="188BA517" w:rsidR="00DC448A" w:rsidRPr="001061AB" w:rsidRDefault="00DC448A" w:rsidP="00235EA3">
      <w:pPr>
        <w:snapToGrid w:val="0"/>
        <w:spacing w:line="360" w:lineRule="auto"/>
        <w:rPr>
          <w:rFonts w:ascii="Book Antiqua" w:hAnsi="Book Antiqua"/>
          <w:b/>
          <w:sz w:val="24"/>
          <w:szCs w:val="24"/>
        </w:rPr>
      </w:pPr>
      <w:r w:rsidRPr="001061AB">
        <w:rPr>
          <w:rFonts w:ascii="Book Antiqua" w:hAnsi="Book Antiqua"/>
          <w:b/>
          <w:sz w:val="24"/>
          <w:szCs w:val="24"/>
        </w:rPr>
        <w:lastRenderedPageBreak/>
        <w:t>Table 3</w:t>
      </w:r>
      <w:r w:rsidR="001061AB" w:rsidRPr="001061AB">
        <w:rPr>
          <w:rFonts w:ascii="Book Antiqua" w:hAnsi="Book Antiqua"/>
          <w:b/>
          <w:sz w:val="24"/>
          <w:szCs w:val="24"/>
        </w:rPr>
        <w:t xml:space="preserve"> </w:t>
      </w:r>
      <w:r w:rsidRPr="001061AB">
        <w:rPr>
          <w:rFonts w:ascii="Book Antiqua" w:hAnsi="Book Antiqua"/>
          <w:b/>
          <w:sz w:val="24"/>
          <w:szCs w:val="24"/>
        </w:rPr>
        <w:t xml:space="preserve">Characteristics of metachronous </w:t>
      </w:r>
      <w:r w:rsidR="001061AB" w:rsidRPr="001061AB">
        <w:rPr>
          <w:rFonts w:ascii="Book Antiqua" w:hAnsi="Book Antiqua"/>
          <w:b/>
          <w:sz w:val="24"/>
          <w:szCs w:val="24"/>
        </w:rPr>
        <w:t>head and neck squamous cell carcinoma</w:t>
      </w:r>
      <w:r w:rsidRPr="001061AB">
        <w:rPr>
          <w:rFonts w:ascii="Book Antiqua" w:hAnsi="Book Antiqua"/>
          <w:b/>
          <w:sz w:val="24"/>
          <w:szCs w:val="24"/>
        </w:rPr>
        <w:t xml:space="preserve"> </w:t>
      </w:r>
      <w:r w:rsidRPr="001061AB">
        <w:rPr>
          <w:rFonts w:ascii="Book Antiqua" w:hAnsi="Book Antiqua"/>
          <w:b/>
          <w:i/>
          <w:sz w:val="24"/>
          <w:szCs w:val="24"/>
        </w:rPr>
        <w:t>n</w:t>
      </w:r>
      <w:r w:rsidRPr="001061AB">
        <w:rPr>
          <w:rFonts w:ascii="Book Antiqua" w:hAnsi="Book Antiqua"/>
          <w:b/>
          <w:sz w:val="24"/>
          <w:szCs w:val="24"/>
        </w:rPr>
        <w:t xml:space="preserve"> (%)</w:t>
      </w:r>
    </w:p>
    <w:tbl>
      <w:tblPr>
        <w:tblW w:w="9189" w:type="dxa"/>
        <w:tblInd w:w="-185"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4153"/>
        <w:gridCol w:w="1943"/>
        <w:gridCol w:w="1872"/>
        <w:gridCol w:w="1221"/>
      </w:tblGrid>
      <w:tr w:rsidR="001061AB" w:rsidRPr="006A747F" w14:paraId="0998061E" w14:textId="77777777" w:rsidTr="00D1229D">
        <w:trPr>
          <w:trHeight w:val="882"/>
        </w:trPr>
        <w:tc>
          <w:tcPr>
            <w:tcW w:w="4153" w:type="dxa"/>
            <w:tcBorders>
              <w:top w:val="single" w:sz="4" w:space="0" w:color="auto"/>
              <w:bottom w:val="single" w:sz="4" w:space="0" w:color="auto"/>
            </w:tcBorders>
            <w:noWrap/>
            <w:vAlign w:val="center"/>
            <w:hideMark/>
          </w:tcPr>
          <w:p w14:paraId="2496C7C7" w14:textId="4BEB58B8" w:rsidR="001061AB" w:rsidRPr="001061AB" w:rsidRDefault="001061AB" w:rsidP="00235EA3">
            <w:pPr>
              <w:widowControl/>
              <w:snapToGrid w:val="0"/>
              <w:spacing w:line="360" w:lineRule="auto"/>
              <w:rPr>
                <w:rFonts w:ascii="Book Antiqua" w:eastAsia="MS PGothic" w:hAnsi="Book Antiqua" w:cs="Times New Roman"/>
                <w:b/>
                <w:bCs/>
                <w:color w:val="000000"/>
                <w:kern w:val="0"/>
                <w:sz w:val="24"/>
                <w:szCs w:val="24"/>
              </w:rPr>
            </w:pPr>
          </w:p>
        </w:tc>
        <w:tc>
          <w:tcPr>
            <w:tcW w:w="1943" w:type="dxa"/>
            <w:tcBorders>
              <w:top w:val="single" w:sz="4" w:space="0" w:color="auto"/>
              <w:bottom w:val="single" w:sz="4" w:space="0" w:color="auto"/>
            </w:tcBorders>
            <w:noWrap/>
            <w:vAlign w:val="center"/>
            <w:hideMark/>
          </w:tcPr>
          <w:p w14:paraId="51CF7763" w14:textId="3D4D6AAF" w:rsidR="001061AB" w:rsidRPr="006A747F" w:rsidRDefault="001061AB"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A</w:t>
            </w:r>
            <w:r>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i/>
                <w:iCs/>
                <w:color w:val="000000"/>
                <w:kern w:val="0"/>
                <w:sz w:val="24"/>
                <w:szCs w:val="24"/>
              </w:rPr>
              <w:t xml:space="preserve">n </w:t>
            </w:r>
            <w:r w:rsidRPr="006A747F">
              <w:rPr>
                <w:rFonts w:ascii="Book Antiqua" w:eastAsia="MS PGothic" w:hAnsi="Book Antiqua" w:cs="Times New Roman"/>
                <w:b/>
                <w:bCs/>
                <w:color w:val="000000"/>
                <w:kern w:val="0"/>
                <w:sz w:val="24"/>
                <w:szCs w:val="24"/>
              </w:rPr>
              <w:t>= 254</w:t>
            </w:r>
            <w:r>
              <w:rPr>
                <w:rFonts w:ascii="Book Antiqua" w:eastAsia="MS PGothic" w:hAnsi="Book Antiqua" w:cs="Times New Roman"/>
                <w:b/>
                <w:bCs/>
                <w:color w:val="000000"/>
                <w:kern w:val="0"/>
                <w:sz w:val="24"/>
                <w:szCs w:val="24"/>
              </w:rPr>
              <w:t>)</w:t>
            </w:r>
          </w:p>
        </w:tc>
        <w:tc>
          <w:tcPr>
            <w:tcW w:w="1872" w:type="dxa"/>
            <w:tcBorders>
              <w:top w:val="single" w:sz="4" w:space="0" w:color="auto"/>
              <w:bottom w:val="single" w:sz="4" w:space="0" w:color="auto"/>
            </w:tcBorders>
            <w:noWrap/>
            <w:vAlign w:val="center"/>
            <w:hideMark/>
          </w:tcPr>
          <w:p w14:paraId="6D2F490E" w14:textId="6B948F61" w:rsidR="001061AB" w:rsidRPr="006A747F" w:rsidRDefault="001061AB"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B</w:t>
            </w:r>
            <w:r>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i/>
                <w:iCs/>
                <w:color w:val="000000"/>
                <w:kern w:val="0"/>
                <w:sz w:val="24"/>
                <w:szCs w:val="24"/>
              </w:rPr>
              <w:t xml:space="preserve">n </w:t>
            </w:r>
            <w:r w:rsidRPr="006A747F">
              <w:rPr>
                <w:rFonts w:ascii="Book Antiqua" w:eastAsia="MS PGothic" w:hAnsi="Book Antiqua" w:cs="Times New Roman"/>
                <w:b/>
                <w:bCs/>
                <w:color w:val="000000"/>
                <w:kern w:val="0"/>
                <w:sz w:val="24"/>
                <w:szCs w:val="24"/>
              </w:rPr>
              <w:t>= 307</w:t>
            </w:r>
            <w:r>
              <w:rPr>
                <w:rFonts w:ascii="Book Antiqua" w:eastAsia="MS PGothic" w:hAnsi="Book Antiqua" w:cs="Times New Roman"/>
                <w:b/>
                <w:bCs/>
                <w:color w:val="000000"/>
                <w:kern w:val="0"/>
                <w:sz w:val="24"/>
                <w:szCs w:val="24"/>
              </w:rPr>
              <w:t>)</w:t>
            </w:r>
          </w:p>
        </w:tc>
        <w:tc>
          <w:tcPr>
            <w:tcW w:w="1221" w:type="dxa"/>
            <w:tcBorders>
              <w:top w:val="single" w:sz="4" w:space="0" w:color="auto"/>
              <w:bottom w:val="single" w:sz="4" w:space="0" w:color="auto"/>
            </w:tcBorders>
            <w:noWrap/>
            <w:vAlign w:val="center"/>
            <w:hideMark/>
          </w:tcPr>
          <w:p w14:paraId="46C834A2" w14:textId="2E844DA7" w:rsidR="001061AB" w:rsidRPr="006A747F" w:rsidRDefault="001061AB" w:rsidP="00235EA3">
            <w:pPr>
              <w:snapToGrid w:val="0"/>
              <w:spacing w:line="360" w:lineRule="auto"/>
              <w:jc w:val="center"/>
              <w:rPr>
                <w:rFonts w:ascii="Book Antiqua" w:eastAsia="MS PGothic" w:hAnsi="Book Antiqua" w:cs="Times New Roman"/>
                <w:b/>
                <w:bCs/>
                <w:color w:val="000000"/>
                <w:kern w:val="0"/>
                <w:sz w:val="24"/>
                <w:szCs w:val="24"/>
              </w:rPr>
            </w:pPr>
            <w:r w:rsidRPr="001061AB">
              <w:rPr>
                <w:rFonts w:ascii="Book Antiqua" w:eastAsia="MS PGothic" w:hAnsi="Book Antiqua" w:cs="Times New Roman"/>
                <w:b/>
                <w:bCs/>
                <w:i/>
                <w:iCs/>
                <w:caps/>
                <w:color w:val="000000"/>
                <w:kern w:val="0"/>
                <w:sz w:val="24"/>
                <w:szCs w:val="24"/>
              </w:rPr>
              <w:t>p</w:t>
            </w:r>
            <w:r w:rsidRPr="006A747F">
              <w:rPr>
                <w:rFonts w:ascii="Book Antiqua" w:eastAsia="MS PGothic" w:hAnsi="Book Antiqua" w:cs="Times New Roman"/>
                <w:b/>
                <w:bCs/>
                <w:color w:val="000000"/>
                <w:kern w:val="0"/>
                <w:sz w:val="24"/>
                <w:szCs w:val="24"/>
              </w:rPr>
              <w:t xml:space="preserve"> value</w:t>
            </w:r>
          </w:p>
        </w:tc>
      </w:tr>
      <w:tr w:rsidR="001061AB" w:rsidRPr="006A747F" w14:paraId="52F411AA" w14:textId="77777777" w:rsidTr="00D1229D">
        <w:trPr>
          <w:trHeight w:val="278"/>
        </w:trPr>
        <w:tc>
          <w:tcPr>
            <w:tcW w:w="4153" w:type="dxa"/>
            <w:tcBorders>
              <w:top w:val="single" w:sz="4" w:space="0" w:color="auto"/>
            </w:tcBorders>
            <w:noWrap/>
            <w:vAlign w:val="center"/>
            <w:hideMark/>
          </w:tcPr>
          <w:p w14:paraId="06F84A5A" w14:textId="449D34CB" w:rsidR="001061AB" w:rsidRPr="006A747F" w:rsidRDefault="001061AB" w:rsidP="00235EA3">
            <w:pPr>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 xml:space="preserve">Metachronous HNSCC </w:t>
            </w:r>
          </w:p>
        </w:tc>
        <w:tc>
          <w:tcPr>
            <w:tcW w:w="1943" w:type="dxa"/>
            <w:tcBorders>
              <w:top w:val="single" w:sz="4" w:space="0" w:color="auto"/>
            </w:tcBorders>
            <w:noWrap/>
            <w:vAlign w:val="center"/>
            <w:hideMark/>
          </w:tcPr>
          <w:p w14:paraId="786F07CF" w14:textId="77777777" w:rsidR="001061AB" w:rsidRPr="006A747F" w:rsidRDefault="001061AB" w:rsidP="00235EA3">
            <w:pPr>
              <w:widowControl/>
              <w:snapToGrid w:val="0"/>
              <w:spacing w:line="360" w:lineRule="auto"/>
              <w:jc w:val="center"/>
              <w:rPr>
                <w:rFonts w:ascii="Book Antiqua" w:eastAsia="Times New Roman" w:hAnsi="Book Antiqua"/>
                <w:kern w:val="0"/>
                <w:sz w:val="24"/>
                <w:szCs w:val="24"/>
              </w:rPr>
            </w:pPr>
          </w:p>
        </w:tc>
        <w:tc>
          <w:tcPr>
            <w:tcW w:w="1872" w:type="dxa"/>
            <w:tcBorders>
              <w:top w:val="single" w:sz="4" w:space="0" w:color="auto"/>
            </w:tcBorders>
            <w:noWrap/>
            <w:vAlign w:val="center"/>
            <w:hideMark/>
          </w:tcPr>
          <w:p w14:paraId="1D01BE58" w14:textId="77777777" w:rsidR="001061AB" w:rsidRPr="006A747F" w:rsidRDefault="001061AB" w:rsidP="00235EA3">
            <w:pPr>
              <w:widowControl/>
              <w:snapToGrid w:val="0"/>
              <w:spacing w:line="360" w:lineRule="auto"/>
              <w:jc w:val="center"/>
              <w:rPr>
                <w:rFonts w:ascii="Book Antiqua" w:eastAsia="Times New Roman" w:hAnsi="Book Antiqua"/>
                <w:kern w:val="0"/>
                <w:sz w:val="24"/>
                <w:szCs w:val="24"/>
              </w:rPr>
            </w:pPr>
          </w:p>
        </w:tc>
        <w:tc>
          <w:tcPr>
            <w:tcW w:w="1221" w:type="dxa"/>
            <w:tcBorders>
              <w:top w:val="single" w:sz="4" w:space="0" w:color="auto"/>
            </w:tcBorders>
            <w:noWrap/>
            <w:vAlign w:val="center"/>
            <w:hideMark/>
          </w:tcPr>
          <w:p w14:paraId="1D3D47B1" w14:textId="77777777" w:rsidR="001061AB" w:rsidRPr="006A747F" w:rsidRDefault="001061AB" w:rsidP="00235EA3">
            <w:pPr>
              <w:widowControl/>
              <w:snapToGrid w:val="0"/>
              <w:spacing w:line="360" w:lineRule="auto"/>
              <w:jc w:val="center"/>
              <w:rPr>
                <w:rFonts w:ascii="Book Antiqua" w:eastAsia="Times New Roman" w:hAnsi="Book Antiqua"/>
                <w:kern w:val="0"/>
                <w:sz w:val="24"/>
                <w:szCs w:val="24"/>
              </w:rPr>
            </w:pPr>
          </w:p>
        </w:tc>
      </w:tr>
      <w:tr w:rsidR="001061AB" w:rsidRPr="006A747F" w14:paraId="5CB684B2" w14:textId="77777777" w:rsidTr="00D1229D">
        <w:trPr>
          <w:trHeight w:val="278"/>
        </w:trPr>
        <w:tc>
          <w:tcPr>
            <w:tcW w:w="4153" w:type="dxa"/>
            <w:noWrap/>
            <w:vAlign w:val="center"/>
            <w:hideMark/>
          </w:tcPr>
          <w:p w14:paraId="13F7AE71" w14:textId="7A4C53D0" w:rsidR="001061AB" w:rsidRPr="006A747F" w:rsidRDefault="001061AB"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No. of patients</w:t>
            </w:r>
          </w:p>
        </w:tc>
        <w:tc>
          <w:tcPr>
            <w:tcW w:w="1943" w:type="dxa"/>
            <w:noWrap/>
            <w:vAlign w:val="center"/>
            <w:hideMark/>
          </w:tcPr>
          <w:p w14:paraId="4E299A73" w14:textId="42821106" w:rsidR="001061AB" w:rsidRPr="006A747F" w:rsidRDefault="001061AB"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10</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(3.9)</w:t>
            </w:r>
          </w:p>
        </w:tc>
        <w:tc>
          <w:tcPr>
            <w:tcW w:w="1872" w:type="dxa"/>
            <w:noWrap/>
            <w:vAlign w:val="center"/>
            <w:hideMark/>
          </w:tcPr>
          <w:p w14:paraId="3DA9F3C5" w14:textId="07F22B0E" w:rsidR="001061AB" w:rsidRPr="006A747F" w:rsidRDefault="001061AB"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30</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(9.8)</w:t>
            </w:r>
          </w:p>
        </w:tc>
        <w:tc>
          <w:tcPr>
            <w:tcW w:w="1221" w:type="dxa"/>
            <w:noWrap/>
            <w:vAlign w:val="center"/>
            <w:hideMark/>
          </w:tcPr>
          <w:p w14:paraId="7266617A" w14:textId="77777777" w:rsidR="001061AB" w:rsidRPr="006A747F" w:rsidRDefault="001061AB"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0.008</w:t>
            </w:r>
          </w:p>
        </w:tc>
      </w:tr>
      <w:tr w:rsidR="001061AB" w:rsidRPr="006A747F" w14:paraId="0F79B624" w14:textId="77777777" w:rsidTr="00D1229D">
        <w:trPr>
          <w:trHeight w:val="278"/>
        </w:trPr>
        <w:tc>
          <w:tcPr>
            <w:tcW w:w="4153" w:type="dxa"/>
            <w:noWrap/>
            <w:vAlign w:val="center"/>
            <w:hideMark/>
          </w:tcPr>
          <w:p w14:paraId="61AAC449" w14:textId="0713B01F" w:rsidR="001061AB" w:rsidRPr="001061AB" w:rsidRDefault="001061AB"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No. of lesions per patients</w:t>
            </w:r>
          </w:p>
        </w:tc>
        <w:tc>
          <w:tcPr>
            <w:tcW w:w="1943" w:type="dxa"/>
            <w:noWrap/>
            <w:vAlign w:val="center"/>
            <w:hideMark/>
          </w:tcPr>
          <w:p w14:paraId="67131A16" w14:textId="77777777" w:rsidR="001061AB" w:rsidRPr="006A747F" w:rsidRDefault="001061AB" w:rsidP="00235EA3">
            <w:pPr>
              <w:widowControl/>
              <w:snapToGrid w:val="0"/>
              <w:spacing w:line="360" w:lineRule="auto"/>
              <w:jc w:val="center"/>
              <w:rPr>
                <w:rFonts w:ascii="Book Antiqua" w:eastAsia="Times New Roman" w:hAnsi="Book Antiqua"/>
                <w:kern w:val="0"/>
                <w:sz w:val="24"/>
                <w:szCs w:val="24"/>
              </w:rPr>
            </w:pPr>
          </w:p>
        </w:tc>
        <w:tc>
          <w:tcPr>
            <w:tcW w:w="1872" w:type="dxa"/>
            <w:noWrap/>
            <w:vAlign w:val="center"/>
            <w:hideMark/>
          </w:tcPr>
          <w:p w14:paraId="455C57D0" w14:textId="77777777" w:rsidR="001061AB" w:rsidRPr="006A747F" w:rsidRDefault="001061AB" w:rsidP="00235EA3">
            <w:pPr>
              <w:widowControl/>
              <w:snapToGrid w:val="0"/>
              <w:spacing w:line="360" w:lineRule="auto"/>
              <w:jc w:val="center"/>
              <w:rPr>
                <w:rFonts w:ascii="Book Antiqua" w:eastAsia="Times New Roman" w:hAnsi="Book Antiqua"/>
                <w:kern w:val="0"/>
                <w:sz w:val="24"/>
                <w:szCs w:val="24"/>
              </w:rPr>
            </w:pPr>
          </w:p>
        </w:tc>
        <w:tc>
          <w:tcPr>
            <w:tcW w:w="1221" w:type="dxa"/>
            <w:noWrap/>
            <w:vAlign w:val="center"/>
            <w:hideMark/>
          </w:tcPr>
          <w:p w14:paraId="0D3A451A" w14:textId="77777777" w:rsidR="001061AB" w:rsidRPr="006A747F" w:rsidRDefault="001061AB" w:rsidP="00235EA3">
            <w:pPr>
              <w:widowControl/>
              <w:snapToGrid w:val="0"/>
              <w:spacing w:line="360" w:lineRule="auto"/>
              <w:jc w:val="center"/>
              <w:rPr>
                <w:rFonts w:ascii="Book Antiqua" w:hAnsi="Book Antiqua" w:cs="Times New Roman"/>
                <w:kern w:val="0"/>
                <w:sz w:val="24"/>
                <w:szCs w:val="24"/>
              </w:rPr>
            </w:pPr>
            <w:r w:rsidRPr="006A747F">
              <w:rPr>
                <w:rFonts w:ascii="Book Antiqua" w:hAnsi="Book Antiqua" w:cs="Times New Roman"/>
                <w:kern w:val="0"/>
                <w:sz w:val="24"/>
                <w:szCs w:val="24"/>
              </w:rPr>
              <w:t>0.404</w:t>
            </w:r>
          </w:p>
        </w:tc>
      </w:tr>
      <w:tr w:rsidR="00D1229D" w:rsidRPr="006A747F" w14:paraId="40B82922" w14:textId="77777777" w:rsidTr="00D1229D">
        <w:trPr>
          <w:trHeight w:val="278"/>
        </w:trPr>
        <w:tc>
          <w:tcPr>
            <w:tcW w:w="4153" w:type="dxa"/>
            <w:noWrap/>
            <w:vAlign w:val="center"/>
            <w:hideMark/>
          </w:tcPr>
          <w:p w14:paraId="73D11F0A" w14:textId="77C026BF"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1</w:t>
            </w:r>
          </w:p>
        </w:tc>
        <w:tc>
          <w:tcPr>
            <w:tcW w:w="1943" w:type="dxa"/>
            <w:noWrap/>
            <w:vAlign w:val="center"/>
            <w:hideMark/>
          </w:tcPr>
          <w:p w14:paraId="2798000D" w14:textId="623DD0F1"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9</w:t>
            </w:r>
          </w:p>
        </w:tc>
        <w:tc>
          <w:tcPr>
            <w:tcW w:w="1872" w:type="dxa"/>
            <w:noWrap/>
            <w:vAlign w:val="center"/>
            <w:hideMark/>
          </w:tcPr>
          <w:p w14:paraId="1686DE08" w14:textId="506BBFD6"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22</w:t>
            </w:r>
          </w:p>
        </w:tc>
        <w:tc>
          <w:tcPr>
            <w:tcW w:w="1221" w:type="dxa"/>
            <w:noWrap/>
            <w:vAlign w:val="center"/>
            <w:hideMark/>
          </w:tcPr>
          <w:p w14:paraId="62F3DED3"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704D5AEA" w14:textId="77777777" w:rsidTr="00D1229D">
        <w:trPr>
          <w:trHeight w:val="278"/>
        </w:trPr>
        <w:tc>
          <w:tcPr>
            <w:tcW w:w="4153" w:type="dxa"/>
            <w:noWrap/>
            <w:vAlign w:val="center"/>
            <w:hideMark/>
          </w:tcPr>
          <w:p w14:paraId="16E43BE9" w14:textId="6EF21E90"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Pr>
                <w:rFonts w:ascii="Book Antiqua" w:eastAsia="SimSun" w:hAnsi="Book Antiqua" w:cs="SimSun"/>
                <w:bCs/>
                <w:color w:val="000000"/>
                <w:kern w:val="0"/>
                <w:sz w:val="24"/>
                <w:szCs w:val="24"/>
              </w:rPr>
              <w:t>≥</w:t>
            </w:r>
            <w:r>
              <w:rPr>
                <w:rFonts w:ascii="SimSun" w:eastAsia="SimSun" w:hAnsi="SimSun" w:cs="SimSun"/>
                <w:bCs/>
                <w:color w:val="000000"/>
                <w:kern w:val="0"/>
                <w:sz w:val="24"/>
                <w:szCs w:val="24"/>
              </w:rPr>
              <w:t xml:space="preserve"> </w:t>
            </w:r>
            <w:r w:rsidRPr="006A747F">
              <w:rPr>
                <w:rFonts w:ascii="Book Antiqua" w:eastAsia="MS PGothic" w:hAnsi="Book Antiqua" w:cs="Times New Roman"/>
                <w:bCs/>
                <w:color w:val="000000"/>
                <w:kern w:val="0"/>
                <w:sz w:val="24"/>
                <w:szCs w:val="24"/>
              </w:rPr>
              <w:t>2</w:t>
            </w:r>
          </w:p>
        </w:tc>
        <w:tc>
          <w:tcPr>
            <w:tcW w:w="1943" w:type="dxa"/>
            <w:noWrap/>
            <w:vAlign w:val="center"/>
            <w:hideMark/>
          </w:tcPr>
          <w:p w14:paraId="1412A266" w14:textId="5C654431"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p>
        </w:tc>
        <w:tc>
          <w:tcPr>
            <w:tcW w:w="1872" w:type="dxa"/>
            <w:noWrap/>
            <w:vAlign w:val="center"/>
            <w:hideMark/>
          </w:tcPr>
          <w:p w14:paraId="5E893277" w14:textId="23A271A5"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8</w:t>
            </w:r>
          </w:p>
        </w:tc>
        <w:tc>
          <w:tcPr>
            <w:tcW w:w="1221" w:type="dxa"/>
            <w:noWrap/>
            <w:vAlign w:val="center"/>
            <w:hideMark/>
          </w:tcPr>
          <w:p w14:paraId="565E075D"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7A513613" w14:textId="77777777" w:rsidTr="00D1229D">
        <w:trPr>
          <w:trHeight w:val="272"/>
        </w:trPr>
        <w:tc>
          <w:tcPr>
            <w:tcW w:w="4153" w:type="dxa"/>
            <w:noWrap/>
            <w:vAlign w:val="center"/>
            <w:hideMark/>
          </w:tcPr>
          <w:p w14:paraId="0C80DD78" w14:textId="77777777" w:rsidR="00D1229D" w:rsidRPr="006A747F" w:rsidRDefault="00D1229D"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Total number of cancers</w:t>
            </w:r>
          </w:p>
        </w:tc>
        <w:tc>
          <w:tcPr>
            <w:tcW w:w="1943" w:type="dxa"/>
            <w:noWrap/>
            <w:vAlign w:val="center"/>
            <w:hideMark/>
          </w:tcPr>
          <w:p w14:paraId="0BFF61AE" w14:textId="4C9BFBEA"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11</w:t>
            </w:r>
          </w:p>
        </w:tc>
        <w:tc>
          <w:tcPr>
            <w:tcW w:w="1872" w:type="dxa"/>
            <w:noWrap/>
            <w:vAlign w:val="center"/>
            <w:hideMark/>
          </w:tcPr>
          <w:p w14:paraId="0E58E461" w14:textId="0E70663A"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53</w:t>
            </w:r>
          </w:p>
        </w:tc>
        <w:tc>
          <w:tcPr>
            <w:tcW w:w="1221" w:type="dxa"/>
            <w:noWrap/>
            <w:vAlign w:val="center"/>
            <w:hideMark/>
          </w:tcPr>
          <w:p w14:paraId="0041E094" w14:textId="77777777"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0.007</w:t>
            </w:r>
          </w:p>
        </w:tc>
      </w:tr>
      <w:tr w:rsidR="00D1229D" w:rsidRPr="006A747F" w14:paraId="2EA9A9D4" w14:textId="77777777" w:rsidTr="00D1229D">
        <w:trPr>
          <w:trHeight w:val="278"/>
        </w:trPr>
        <w:tc>
          <w:tcPr>
            <w:tcW w:w="4153" w:type="dxa"/>
            <w:noWrap/>
            <w:vAlign w:val="center"/>
            <w:hideMark/>
          </w:tcPr>
          <w:p w14:paraId="14842C99" w14:textId="4DAC2E7B" w:rsidR="00D1229D" w:rsidRPr="006A747F" w:rsidRDefault="00D1229D" w:rsidP="00235EA3">
            <w:pPr>
              <w:snapToGrid w:val="0"/>
              <w:spacing w:line="360" w:lineRule="auto"/>
              <w:rPr>
                <w:rFonts w:ascii="Book Antiqua" w:eastAsia="MS PGothic" w:hAnsi="Book Antiqua" w:cs="Times New Roman"/>
                <w:bCs/>
                <w:kern w:val="0"/>
                <w:sz w:val="24"/>
                <w:szCs w:val="24"/>
              </w:rPr>
            </w:pPr>
            <w:r w:rsidRPr="006A747F">
              <w:rPr>
                <w:rFonts w:ascii="Book Antiqua" w:eastAsia="MS PGothic" w:hAnsi="Book Antiqua" w:cs="Times New Roman"/>
                <w:bCs/>
                <w:kern w:val="0"/>
                <w:sz w:val="24"/>
                <w:szCs w:val="24"/>
              </w:rPr>
              <w:t>Location of cancer</w:t>
            </w:r>
          </w:p>
        </w:tc>
        <w:tc>
          <w:tcPr>
            <w:tcW w:w="1943" w:type="dxa"/>
            <w:noWrap/>
            <w:vAlign w:val="center"/>
            <w:hideMark/>
          </w:tcPr>
          <w:p w14:paraId="4AFC2503"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872" w:type="dxa"/>
            <w:noWrap/>
            <w:vAlign w:val="center"/>
            <w:hideMark/>
          </w:tcPr>
          <w:p w14:paraId="6D774B7C"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221" w:type="dxa"/>
            <w:noWrap/>
            <w:vAlign w:val="center"/>
            <w:hideMark/>
          </w:tcPr>
          <w:p w14:paraId="1F3AD27C"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6297132F" w14:textId="77777777" w:rsidTr="00D1229D">
        <w:trPr>
          <w:trHeight w:val="278"/>
        </w:trPr>
        <w:tc>
          <w:tcPr>
            <w:tcW w:w="4153" w:type="dxa"/>
            <w:noWrap/>
            <w:vAlign w:val="center"/>
            <w:hideMark/>
          </w:tcPr>
          <w:p w14:paraId="481D3747" w14:textId="028FB3F6" w:rsidR="00D1229D" w:rsidRPr="006A747F" w:rsidRDefault="00D1229D"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Oropharynx</w:t>
            </w:r>
          </w:p>
        </w:tc>
        <w:tc>
          <w:tcPr>
            <w:tcW w:w="1943" w:type="dxa"/>
            <w:noWrap/>
            <w:vAlign w:val="center"/>
            <w:hideMark/>
          </w:tcPr>
          <w:p w14:paraId="6F42A75D" w14:textId="0A892670"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3</w:t>
            </w:r>
          </w:p>
        </w:tc>
        <w:tc>
          <w:tcPr>
            <w:tcW w:w="1872" w:type="dxa"/>
            <w:noWrap/>
            <w:vAlign w:val="center"/>
            <w:hideMark/>
          </w:tcPr>
          <w:p w14:paraId="3C34B7E8" w14:textId="0A8BE574"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13</w:t>
            </w:r>
          </w:p>
        </w:tc>
        <w:tc>
          <w:tcPr>
            <w:tcW w:w="1221" w:type="dxa"/>
            <w:noWrap/>
            <w:vAlign w:val="center"/>
            <w:hideMark/>
          </w:tcPr>
          <w:p w14:paraId="429ED67B"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2DB8A839" w14:textId="77777777" w:rsidTr="00D1229D">
        <w:trPr>
          <w:trHeight w:val="278"/>
        </w:trPr>
        <w:tc>
          <w:tcPr>
            <w:tcW w:w="4153" w:type="dxa"/>
            <w:noWrap/>
            <w:vAlign w:val="center"/>
            <w:hideMark/>
          </w:tcPr>
          <w:p w14:paraId="160BFE7D" w14:textId="70F2B492" w:rsidR="00D1229D" w:rsidRPr="006A747F" w:rsidRDefault="00D1229D"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Hypopharynx</w:t>
            </w:r>
          </w:p>
        </w:tc>
        <w:tc>
          <w:tcPr>
            <w:tcW w:w="1943" w:type="dxa"/>
            <w:noWrap/>
            <w:vAlign w:val="center"/>
            <w:hideMark/>
          </w:tcPr>
          <w:p w14:paraId="6E30656F" w14:textId="655C687C"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7</w:t>
            </w:r>
          </w:p>
        </w:tc>
        <w:tc>
          <w:tcPr>
            <w:tcW w:w="1872" w:type="dxa"/>
            <w:noWrap/>
            <w:vAlign w:val="center"/>
            <w:hideMark/>
          </w:tcPr>
          <w:p w14:paraId="2C1AF052" w14:textId="48BDE2FD"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34</w:t>
            </w:r>
          </w:p>
        </w:tc>
        <w:tc>
          <w:tcPr>
            <w:tcW w:w="1221" w:type="dxa"/>
            <w:noWrap/>
            <w:vAlign w:val="center"/>
            <w:hideMark/>
          </w:tcPr>
          <w:p w14:paraId="431F958A"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580FC140" w14:textId="77777777" w:rsidTr="00D1229D">
        <w:trPr>
          <w:trHeight w:val="278"/>
        </w:trPr>
        <w:tc>
          <w:tcPr>
            <w:tcW w:w="4153" w:type="dxa"/>
            <w:noWrap/>
            <w:vAlign w:val="center"/>
            <w:hideMark/>
          </w:tcPr>
          <w:p w14:paraId="716A074A" w14:textId="5BCFA122"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Larynx</w:t>
            </w:r>
          </w:p>
        </w:tc>
        <w:tc>
          <w:tcPr>
            <w:tcW w:w="1943" w:type="dxa"/>
            <w:noWrap/>
            <w:vAlign w:val="center"/>
            <w:hideMark/>
          </w:tcPr>
          <w:p w14:paraId="051E1F9B" w14:textId="617B640D"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p>
        </w:tc>
        <w:tc>
          <w:tcPr>
            <w:tcW w:w="1872" w:type="dxa"/>
            <w:noWrap/>
            <w:vAlign w:val="center"/>
            <w:hideMark/>
          </w:tcPr>
          <w:p w14:paraId="309B79E8" w14:textId="690B37F8"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w:t>
            </w:r>
          </w:p>
        </w:tc>
        <w:tc>
          <w:tcPr>
            <w:tcW w:w="1221" w:type="dxa"/>
            <w:noWrap/>
            <w:vAlign w:val="center"/>
            <w:hideMark/>
          </w:tcPr>
          <w:p w14:paraId="42EEA3D4"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3C394C21" w14:textId="77777777" w:rsidTr="00D1229D">
        <w:trPr>
          <w:trHeight w:val="272"/>
        </w:trPr>
        <w:tc>
          <w:tcPr>
            <w:tcW w:w="4153" w:type="dxa"/>
            <w:noWrap/>
            <w:vAlign w:val="center"/>
            <w:hideMark/>
          </w:tcPr>
          <w:p w14:paraId="6A165944" w14:textId="3D07DE5C" w:rsidR="00D1229D" w:rsidRPr="006A747F" w:rsidRDefault="00D1229D" w:rsidP="00235EA3">
            <w:pPr>
              <w:widowControl/>
              <w:snapToGrid w:val="0"/>
              <w:spacing w:line="360" w:lineRule="auto"/>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Clinical stage</w:t>
            </w:r>
          </w:p>
        </w:tc>
        <w:tc>
          <w:tcPr>
            <w:tcW w:w="1943" w:type="dxa"/>
            <w:noWrap/>
            <w:vAlign w:val="center"/>
            <w:hideMark/>
          </w:tcPr>
          <w:p w14:paraId="113610A4"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872" w:type="dxa"/>
            <w:noWrap/>
            <w:vAlign w:val="center"/>
            <w:hideMark/>
          </w:tcPr>
          <w:p w14:paraId="60D5F262"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221" w:type="dxa"/>
            <w:noWrap/>
            <w:vAlign w:val="center"/>
            <w:hideMark/>
          </w:tcPr>
          <w:p w14:paraId="14A94142" w14:textId="2A98390B" w:rsidR="00D1229D" w:rsidRPr="006A747F" w:rsidRDefault="00D1229D" w:rsidP="00235EA3">
            <w:pPr>
              <w:widowControl/>
              <w:snapToGrid w:val="0"/>
              <w:spacing w:line="360" w:lineRule="auto"/>
              <w:jc w:val="center"/>
              <w:rPr>
                <w:rFonts w:ascii="Book Antiqua" w:eastAsia="Times New Roman" w:hAnsi="Book Antiqua" w:cs="Times New Roman"/>
                <w:kern w:val="0"/>
                <w:sz w:val="24"/>
                <w:szCs w:val="24"/>
              </w:rPr>
            </w:pPr>
            <w:r w:rsidRPr="006A747F">
              <w:rPr>
                <w:rFonts w:ascii="Book Antiqua" w:eastAsia="MS PGothic" w:hAnsi="Book Antiqua" w:cs="Times New Roman"/>
                <w:bCs/>
                <w:color w:val="000000"/>
                <w:kern w:val="0"/>
                <w:sz w:val="24"/>
                <w:szCs w:val="24"/>
              </w:rPr>
              <w:t>&lt;</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0.001</w:t>
            </w:r>
          </w:p>
        </w:tc>
      </w:tr>
      <w:tr w:rsidR="00D1229D" w:rsidRPr="006A747F" w14:paraId="6EB3C73B" w14:textId="77777777" w:rsidTr="00D1229D">
        <w:trPr>
          <w:trHeight w:val="272"/>
        </w:trPr>
        <w:tc>
          <w:tcPr>
            <w:tcW w:w="4153" w:type="dxa"/>
            <w:noWrap/>
            <w:vAlign w:val="center"/>
            <w:hideMark/>
          </w:tcPr>
          <w:p w14:paraId="262F85E0" w14:textId="55CA615D"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I/II</w:t>
            </w:r>
          </w:p>
        </w:tc>
        <w:tc>
          <w:tcPr>
            <w:tcW w:w="1943" w:type="dxa"/>
            <w:noWrap/>
            <w:vAlign w:val="center"/>
            <w:hideMark/>
          </w:tcPr>
          <w:p w14:paraId="6DCB91FD" w14:textId="13B61209"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(36)</w:t>
            </w:r>
          </w:p>
        </w:tc>
        <w:tc>
          <w:tcPr>
            <w:tcW w:w="1872" w:type="dxa"/>
            <w:noWrap/>
            <w:vAlign w:val="center"/>
            <w:hideMark/>
          </w:tcPr>
          <w:p w14:paraId="1C357548" w14:textId="3D045DD2"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53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(100)</w:t>
            </w:r>
          </w:p>
        </w:tc>
        <w:tc>
          <w:tcPr>
            <w:tcW w:w="1221" w:type="dxa"/>
            <w:vAlign w:val="center"/>
          </w:tcPr>
          <w:p w14:paraId="59500A9B" w14:textId="77777777"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p>
        </w:tc>
      </w:tr>
      <w:tr w:rsidR="00D1229D" w:rsidRPr="006A747F" w14:paraId="51DABC90" w14:textId="77777777" w:rsidTr="00D1229D">
        <w:trPr>
          <w:trHeight w:val="272"/>
        </w:trPr>
        <w:tc>
          <w:tcPr>
            <w:tcW w:w="4153" w:type="dxa"/>
            <w:noWrap/>
            <w:vAlign w:val="center"/>
            <w:hideMark/>
          </w:tcPr>
          <w:p w14:paraId="7AE208A2" w14:textId="4E868200"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III/IV</w:t>
            </w:r>
          </w:p>
        </w:tc>
        <w:tc>
          <w:tcPr>
            <w:tcW w:w="1943" w:type="dxa"/>
            <w:noWrap/>
            <w:vAlign w:val="center"/>
            <w:hideMark/>
          </w:tcPr>
          <w:p w14:paraId="6C2D6EEC" w14:textId="1B962115"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7</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(64)</w:t>
            </w:r>
          </w:p>
        </w:tc>
        <w:tc>
          <w:tcPr>
            <w:tcW w:w="1872" w:type="dxa"/>
            <w:noWrap/>
            <w:vAlign w:val="center"/>
            <w:hideMark/>
          </w:tcPr>
          <w:p w14:paraId="65CA4A13" w14:textId="0EDD0821"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221" w:type="dxa"/>
            <w:noWrap/>
            <w:vAlign w:val="center"/>
            <w:hideMark/>
          </w:tcPr>
          <w:p w14:paraId="41FAE973"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4984D9CD" w14:textId="77777777" w:rsidTr="00D1229D">
        <w:trPr>
          <w:trHeight w:val="272"/>
        </w:trPr>
        <w:tc>
          <w:tcPr>
            <w:tcW w:w="4153" w:type="dxa"/>
            <w:noWrap/>
            <w:vAlign w:val="center"/>
            <w:hideMark/>
          </w:tcPr>
          <w:p w14:paraId="4F80CDB5" w14:textId="77777777" w:rsidR="00D1229D" w:rsidRPr="006A747F" w:rsidRDefault="00D1229D"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Interval between ESCC and HNSCC</w:t>
            </w:r>
          </w:p>
        </w:tc>
        <w:tc>
          <w:tcPr>
            <w:tcW w:w="1943" w:type="dxa"/>
            <w:noWrap/>
            <w:vAlign w:val="center"/>
            <w:hideMark/>
          </w:tcPr>
          <w:p w14:paraId="14121B49"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872" w:type="dxa"/>
            <w:noWrap/>
            <w:vAlign w:val="center"/>
            <w:hideMark/>
          </w:tcPr>
          <w:p w14:paraId="4D0FCE5E"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221" w:type="dxa"/>
            <w:noWrap/>
            <w:vAlign w:val="center"/>
            <w:hideMark/>
          </w:tcPr>
          <w:p w14:paraId="5256082F"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5A0D41DE" w14:textId="77777777" w:rsidTr="00D1229D">
        <w:trPr>
          <w:trHeight w:val="272"/>
        </w:trPr>
        <w:tc>
          <w:tcPr>
            <w:tcW w:w="4153" w:type="dxa"/>
            <w:noWrap/>
            <w:vAlign w:val="center"/>
            <w:hideMark/>
          </w:tcPr>
          <w:p w14:paraId="264757CC" w14:textId="77777777" w:rsidR="00D1229D" w:rsidRPr="006A747F" w:rsidRDefault="00D1229D"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Median months (range)</w:t>
            </w:r>
          </w:p>
        </w:tc>
        <w:tc>
          <w:tcPr>
            <w:tcW w:w="1943" w:type="dxa"/>
            <w:shd w:val="clear" w:color="auto" w:fill="FFFFFF"/>
            <w:noWrap/>
            <w:vAlign w:val="center"/>
            <w:hideMark/>
          </w:tcPr>
          <w:p w14:paraId="498A758C" w14:textId="7A3F18DB"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56</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(7-80)</w:t>
            </w:r>
          </w:p>
        </w:tc>
        <w:tc>
          <w:tcPr>
            <w:tcW w:w="1872" w:type="dxa"/>
            <w:shd w:val="clear" w:color="auto" w:fill="FFFFFF"/>
            <w:noWrap/>
            <w:vAlign w:val="center"/>
            <w:hideMark/>
          </w:tcPr>
          <w:p w14:paraId="293978D1" w14:textId="3E22A617"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31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(7-107)</w:t>
            </w:r>
          </w:p>
        </w:tc>
        <w:tc>
          <w:tcPr>
            <w:tcW w:w="1221" w:type="dxa"/>
            <w:shd w:val="clear" w:color="auto" w:fill="FFFFFF"/>
            <w:noWrap/>
            <w:vAlign w:val="center"/>
            <w:hideMark/>
          </w:tcPr>
          <w:p w14:paraId="1CDCB4B5" w14:textId="10DB47AB"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0.13</w:t>
            </w:r>
          </w:p>
        </w:tc>
      </w:tr>
    </w:tbl>
    <w:p w14:paraId="49A4D1BE" w14:textId="524A94E0" w:rsidR="00DC448A" w:rsidRPr="006A747F" w:rsidRDefault="00DC448A" w:rsidP="00235EA3">
      <w:pPr>
        <w:snapToGrid w:val="0"/>
        <w:spacing w:line="360" w:lineRule="auto"/>
        <w:rPr>
          <w:rFonts w:ascii="Book Antiqua" w:hAnsi="Book Antiqua"/>
          <w:sz w:val="24"/>
          <w:szCs w:val="24"/>
        </w:rPr>
      </w:pPr>
      <w:r w:rsidRPr="006A747F">
        <w:rPr>
          <w:rFonts w:ascii="Book Antiqua" w:hAnsi="Book Antiqua"/>
          <w:sz w:val="24"/>
          <w:szCs w:val="24"/>
        </w:rPr>
        <w:t xml:space="preserve">HNSCC: </w:t>
      </w:r>
      <w:r w:rsidRPr="00D1229D">
        <w:rPr>
          <w:rFonts w:ascii="Book Antiqua" w:hAnsi="Book Antiqua"/>
          <w:caps/>
          <w:sz w:val="24"/>
          <w:szCs w:val="24"/>
        </w:rPr>
        <w:t>h</w:t>
      </w:r>
      <w:r w:rsidRPr="006A747F">
        <w:rPr>
          <w:rFonts w:ascii="Book Antiqua" w:hAnsi="Book Antiqua"/>
          <w:sz w:val="24"/>
          <w:szCs w:val="24"/>
        </w:rPr>
        <w:t>ead and neck squamous cell carcinoma</w:t>
      </w:r>
      <w:r w:rsidR="00D1229D">
        <w:rPr>
          <w:rFonts w:ascii="Book Antiqua" w:hAnsi="Book Antiqua"/>
          <w:sz w:val="24"/>
          <w:szCs w:val="24"/>
        </w:rPr>
        <w:t>.</w:t>
      </w:r>
    </w:p>
    <w:p w14:paraId="6CEAAFCF" w14:textId="306E9944" w:rsidR="00DC448A" w:rsidRPr="006A747F" w:rsidRDefault="00DC448A" w:rsidP="00235EA3">
      <w:pPr>
        <w:snapToGrid w:val="0"/>
        <w:spacing w:line="360" w:lineRule="auto"/>
        <w:rPr>
          <w:rFonts w:ascii="Book Antiqua" w:hAnsi="Book Antiqua"/>
          <w:sz w:val="24"/>
          <w:szCs w:val="24"/>
        </w:rPr>
      </w:pPr>
    </w:p>
    <w:p w14:paraId="1DFA8758" w14:textId="77777777" w:rsidR="00DC448A" w:rsidRPr="006A747F" w:rsidRDefault="00DC448A" w:rsidP="00235EA3">
      <w:pPr>
        <w:widowControl/>
        <w:snapToGrid w:val="0"/>
        <w:spacing w:line="360" w:lineRule="auto"/>
        <w:rPr>
          <w:rFonts w:ascii="Book Antiqua" w:hAnsi="Book Antiqua"/>
          <w:sz w:val="24"/>
          <w:szCs w:val="24"/>
        </w:rPr>
      </w:pPr>
      <w:r w:rsidRPr="006A747F">
        <w:rPr>
          <w:rFonts w:ascii="Book Antiqua" w:hAnsi="Book Antiqua"/>
          <w:sz w:val="24"/>
          <w:szCs w:val="24"/>
        </w:rPr>
        <w:br w:type="page"/>
      </w:r>
    </w:p>
    <w:p w14:paraId="60DA1869" w14:textId="65786D2C" w:rsidR="00DC448A" w:rsidRPr="005E6A32" w:rsidRDefault="00DC448A" w:rsidP="00235EA3">
      <w:pPr>
        <w:snapToGrid w:val="0"/>
        <w:spacing w:line="360" w:lineRule="auto"/>
        <w:rPr>
          <w:rFonts w:ascii="Book Antiqua" w:hAnsi="Book Antiqua"/>
          <w:b/>
          <w:sz w:val="24"/>
          <w:szCs w:val="24"/>
        </w:rPr>
      </w:pPr>
      <w:r w:rsidRPr="005E6A32">
        <w:rPr>
          <w:rFonts w:ascii="Book Antiqua" w:hAnsi="Book Antiqua"/>
          <w:b/>
          <w:sz w:val="24"/>
          <w:szCs w:val="24"/>
        </w:rPr>
        <w:lastRenderedPageBreak/>
        <w:t>Table 4</w:t>
      </w:r>
      <w:r w:rsidR="00D1229D" w:rsidRPr="005E6A32">
        <w:rPr>
          <w:rFonts w:ascii="Book Antiqua" w:hAnsi="Book Antiqua"/>
          <w:b/>
          <w:sz w:val="24"/>
          <w:szCs w:val="24"/>
        </w:rPr>
        <w:t xml:space="preserve"> </w:t>
      </w:r>
      <w:r w:rsidRPr="005E6A32">
        <w:rPr>
          <w:rFonts w:ascii="Book Antiqua" w:hAnsi="Book Antiqua"/>
          <w:b/>
          <w:sz w:val="24"/>
          <w:szCs w:val="24"/>
        </w:rPr>
        <w:t xml:space="preserve">Clinical course of patients with metachronous </w:t>
      </w:r>
      <w:r w:rsidR="005E6A32" w:rsidRPr="005E6A32">
        <w:rPr>
          <w:rFonts w:ascii="Book Antiqua" w:hAnsi="Book Antiqua"/>
          <w:b/>
          <w:sz w:val="24"/>
          <w:szCs w:val="24"/>
        </w:rPr>
        <w:t>head and neck squamous cell carcinoma</w:t>
      </w:r>
      <w:r w:rsidR="005E6A32" w:rsidRPr="005E6A32">
        <w:rPr>
          <w:rFonts w:ascii="Book Antiqua" w:hAnsi="Book Antiqua"/>
          <w:b/>
          <w:i/>
          <w:sz w:val="24"/>
          <w:szCs w:val="24"/>
        </w:rPr>
        <w:t xml:space="preserve"> </w:t>
      </w:r>
      <w:r w:rsidRPr="005E6A32">
        <w:rPr>
          <w:rFonts w:ascii="Book Antiqua" w:hAnsi="Book Antiqua"/>
          <w:b/>
          <w:i/>
          <w:sz w:val="24"/>
          <w:szCs w:val="24"/>
        </w:rPr>
        <w:t>n</w:t>
      </w:r>
      <w:r w:rsidRPr="005E6A32">
        <w:rPr>
          <w:rFonts w:ascii="Book Antiqua" w:hAnsi="Book Antiqua"/>
          <w:b/>
          <w:sz w:val="24"/>
          <w:szCs w:val="24"/>
        </w:rPr>
        <w:t xml:space="preserve"> (%)</w:t>
      </w:r>
    </w:p>
    <w:tbl>
      <w:tblPr>
        <w:tblW w:w="10206" w:type="dxa"/>
        <w:tblInd w:w="-468"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4962"/>
        <w:gridCol w:w="2126"/>
        <w:gridCol w:w="1984"/>
        <w:gridCol w:w="1134"/>
      </w:tblGrid>
      <w:tr w:rsidR="00D1229D" w:rsidRPr="006A747F" w14:paraId="0DA77679" w14:textId="77777777" w:rsidTr="005E6A32">
        <w:trPr>
          <w:trHeight w:val="307"/>
        </w:trPr>
        <w:tc>
          <w:tcPr>
            <w:tcW w:w="4962" w:type="dxa"/>
            <w:tcBorders>
              <w:top w:val="single" w:sz="4" w:space="0" w:color="auto"/>
              <w:bottom w:val="single" w:sz="4" w:space="0" w:color="auto"/>
            </w:tcBorders>
            <w:noWrap/>
            <w:vAlign w:val="center"/>
            <w:hideMark/>
          </w:tcPr>
          <w:p w14:paraId="6DFA70EE" w14:textId="77777777" w:rsidR="00D1229D" w:rsidRPr="006A747F" w:rsidRDefault="00D1229D" w:rsidP="00235EA3">
            <w:pPr>
              <w:widowControl/>
              <w:snapToGrid w:val="0"/>
              <w:spacing w:line="360" w:lineRule="auto"/>
              <w:rPr>
                <w:rFonts w:ascii="Book Antiqua" w:eastAsia="Times New Roman" w:hAnsi="Book Antiqua"/>
                <w:kern w:val="0"/>
                <w:sz w:val="24"/>
                <w:szCs w:val="24"/>
              </w:rPr>
            </w:pPr>
          </w:p>
        </w:tc>
        <w:tc>
          <w:tcPr>
            <w:tcW w:w="2126" w:type="dxa"/>
            <w:tcBorders>
              <w:top w:val="single" w:sz="4" w:space="0" w:color="auto"/>
              <w:bottom w:val="single" w:sz="4" w:space="0" w:color="auto"/>
            </w:tcBorders>
            <w:noWrap/>
            <w:vAlign w:val="center"/>
            <w:hideMark/>
          </w:tcPr>
          <w:p w14:paraId="3BE81720" w14:textId="0AE2960B" w:rsidR="00D1229D" w:rsidRPr="006A747F" w:rsidRDefault="00D1229D"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A</w:t>
            </w:r>
            <w:r w:rsidR="005E6A32">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color w:val="000000"/>
                <w:kern w:val="0"/>
                <w:sz w:val="24"/>
                <w:szCs w:val="24"/>
              </w:rPr>
              <w:t>patients</w:t>
            </w:r>
            <w:r w:rsidR="005E6A32">
              <w:rPr>
                <w:rFonts w:ascii="Book Antiqua" w:eastAsia="MS PGothic" w:hAnsi="Book Antiqua" w:cs="Times New Roman"/>
                <w:b/>
                <w:bCs/>
                <w:color w:val="000000"/>
                <w:kern w:val="0"/>
                <w:sz w:val="24"/>
                <w:szCs w:val="24"/>
              </w:rPr>
              <w:t xml:space="preserve"> </w:t>
            </w:r>
            <w:r w:rsidR="005E6A32" w:rsidRPr="005E6A32">
              <w:rPr>
                <w:rFonts w:ascii="Book Antiqua" w:hAnsi="Book Antiqua"/>
                <w:b/>
                <w:sz w:val="24"/>
                <w:szCs w:val="24"/>
              </w:rPr>
              <w:t>(</w:t>
            </w:r>
            <w:r w:rsidR="005E6A32" w:rsidRPr="005E6A32">
              <w:rPr>
                <w:rFonts w:ascii="Book Antiqua" w:hAnsi="Book Antiqua"/>
                <w:b/>
                <w:i/>
                <w:sz w:val="24"/>
                <w:szCs w:val="24"/>
              </w:rPr>
              <w:t>n</w:t>
            </w:r>
            <w:r w:rsidR="005E6A32" w:rsidRPr="005E6A32">
              <w:rPr>
                <w:rFonts w:ascii="Book Antiqua" w:hAnsi="Book Antiqua"/>
                <w:b/>
                <w:sz w:val="24"/>
                <w:szCs w:val="24"/>
              </w:rPr>
              <w:t xml:space="preserve"> </w:t>
            </w:r>
            <w:r w:rsidR="005E6A32">
              <w:rPr>
                <w:rFonts w:ascii="Book Antiqua" w:hAnsi="Book Antiqua"/>
                <w:b/>
                <w:sz w:val="24"/>
                <w:szCs w:val="24"/>
              </w:rPr>
              <w:t>= 10</w:t>
            </w:r>
            <w:r w:rsidR="005E6A32" w:rsidRPr="005E6A32">
              <w:rPr>
                <w:rFonts w:ascii="Book Antiqua" w:hAnsi="Book Antiqua"/>
                <w:b/>
                <w:sz w:val="24"/>
                <w:szCs w:val="24"/>
              </w:rPr>
              <w:t>)</w:t>
            </w:r>
          </w:p>
        </w:tc>
        <w:tc>
          <w:tcPr>
            <w:tcW w:w="1984" w:type="dxa"/>
            <w:tcBorders>
              <w:top w:val="single" w:sz="4" w:space="0" w:color="auto"/>
              <w:bottom w:val="single" w:sz="4" w:space="0" w:color="auto"/>
            </w:tcBorders>
            <w:noWrap/>
            <w:vAlign w:val="center"/>
            <w:hideMark/>
          </w:tcPr>
          <w:p w14:paraId="7505D337" w14:textId="31A2CD0F" w:rsidR="00D1229D" w:rsidRPr="006A747F" w:rsidRDefault="00D1229D"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B</w:t>
            </w:r>
            <w:r w:rsidR="005E6A32">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color w:val="000000"/>
                <w:kern w:val="0"/>
                <w:sz w:val="24"/>
                <w:szCs w:val="24"/>
              </w:rPr>
              <w:t>patients</w:t>
            </w:r>
            <w:r w:rsidR="005E6A32">
              <w:rPr>
                <w:rFonts w:ascii="Book Antiqua" w:eastAsia="MS PGothic" w:hAnsi="Book Antiqua" w:cs="Times New Roman"/>
                <w:b/>
                <w:bCs/>
                <w:color w:val="000000"/>
                <w:kern w:val="0"/>
                <w:sz w:val="24"/>
                <w:szCs w:val="24"/>
              </w:rPr>
              <w:t xml:space="preserve"> </w:t>
            </w:r>
            <w:r w:rsidR="005E6A32" w:rsidRPr="005E6A32">
              <w:rPr>
                <w:rFonts w:ascii="Book Antiqua" w:hAnsi="Book Antiqua"/>
                <w:b/>
                <w:sz w:val="24"/>
                <w:szCs w:val="24"/>
              </w:rPr>
              <w:t>(</w:t>
            </w:r>
            <w:r w:rsidR="005E6A32" w:rsidRPr="005E6A32">
              <w:rPr>
                <w:rFonts w:ascii="Book Antiqua" w:hAnsi="Book Antiqua"/>
                <w:b/>
                <w:i/>
                <w:sz w:val="24"/>
                <w:szCs w:val="24"/>
              </w:rPr>
              <w:t>n</w:t>
            </w:r>
            <w:r w:rsidR="005E6A32" w:rsidRPr="005E6A32">
              <w:rPr>
                <w:rFonts w:ascii="Book Antiqua" w:hAnsi="Book Antiqua"/>
                <w:b/>
                <w:sz w:val="24"/>
                <w:szCs w:val="24"/>
              </w:rPr>
              <w:t xml:space="preserve"> </w:t>
            </w:r>
            <w:r w:rsidR="005E6A32">
              <w:rPr>
                <w:rFonts w:ascii="Book Antiqua" w:hAnsi="Book Antiqua"/>
                <w:b/>
                <w:sz w:val="24"/>
                <w:szCs w:val="24"/>
              </w:rPr>
              <w:t>= 30</w:t>
            </w:r>
            <w:r w:rsidR="005E6A32" w:rsidRPr="005E6A32">
              <w:rPr>
                <w:rFonts w:ascii="Book Antiqua" w:hAnsi="Book Antiqua"/>
                <w:b/>
                <w:sz w:val="24"/>
                <w:szCs w:val="24"/>
              </w:rPr>
              <w:t>)</w:t>
            </w:r>
          </w:p>
        </w:tc>
        <w:tc>
          <w:tcPr>
            <w:tcW w:w="1134" w:type="dxa"/>
            <w:tcBorders>
              <w:top w:val="single" w:sz="4" w:space="0" w:color="auto"/>
              <w:bottom w:val="single" w:sz="4" w:space="0" w:color="auto"/>
            </w:tcBorders>
            <w:noWrap/>
            <w:vAlign w:val="center"/>
            <w:hideMark/>
          </w:tcPr>
          <w:p w14:paraId="344D8E57" w14:textId="77777777" w:rsidR="00D1229D" w:rsidRPr="006A747F" w:rsidRDefault="00D1229D" w:rsidP="00235EA3">
            <w:pPr>
              <w:widowControl/>
              <w:snapToGrid w:val="0"/>
              <w:spacing w:line="360" w:lineRule="auto"/>
              <w:jc w:val="center"/>
              <w:rPr>
                <w:rFonts w:ascii="Book Antiqua" w:eastAsia="Times New Roman" w:hAnsi="Book Antiqua" w:cs="Times New Roman"/>
                <w:kern w:val="0"/>
                <w:sz w:val="24"/>
                <w:szCs w:val="24"/>
              </w:rPr>
            </w:pPr>
            <w:r w:rsidRPr="00D1229D">
              <w:rPr>
                <w:rFonts w:ascii="Book Antiqua" w:eastAsia="MS PGothic" w:hAnsi="Book Antiqua" w:cs="Times New Roman"/>
                <w:b/>
                <w:bCs/>
                <w:i/>
                <w:iCs/>
                <w:caps/>
                <w:color w:val="000000"/>
                <w:kern w:val="0"/>
                <w:sz w:val="24"/>
                <w:szCs w:val="24"/>
              </w:rPr>
              <w:t>p</w:t>
            </w:r>
            <w:r w:rsidRPr="006A747F">
              <w:rPr>
                <w:rFonts w:ascii="Book Antiqua" w:eastAsia="MS PGothic" w:hAnsi="Book Antiqua" w:cs="Times New Roman"/>
                <w:b/>
                <w:bCs/>
                <w:color w:val="000000"/>
                <w:kern w:val="0"/>
                <w:sz w:val="24"/>
                <w:szCs w:val="24"/>
              </w:rPr>
              <w:t xml:space="preserve"> value</w:t>
            </w:r>
          </w:p>
        </w:tc>
      </w:tr>
      <w:tr w:rsidR="00D1229D" w:rsidRPr="006A747F" w14:paraId="31D8F388" w14:textId="77777777" w:rsidTr="005E6A32">
        <w:trPr>
          <w:trHeight w:val="283"/>
        </w:trPr>
        <w:tc>
          <w:tcPr>
            <w:tcW w:w="4962" w:type="dxa"/>
            <w:tcBorders>
              <w:top w:val="single" w:sz="4" w:space="0" w:color="auto"/>
            </w:tcBorders>
            <w:noWrap/>
            <w:vAlign w:val="center"/>
            <w:hideMark/>
          </w:tcPr>
          <w:p w14:paraId="6C78AFAF" w14:textId="77777777" w:rsidR="00D1229D" w:rsidRPr="006A747F" w:rsidRDefault="00D1229D"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 xml:space="preserve">Metachronous HNSCC </w:t>
            </w:r>
          </w:p>
        </w:tc>
        <w:tc>
          <w:tcPr>
            <w:tcW w:w="2126" w:type="dxa"/>
            <w:tcBorders>
              <w:top w:val="single" w:sz="4" w:space="0" w:color="auto"/>
            </w:tcBorders>
            <w:noWrap/>
            <w:vAlign w:val="center"/>
            <w:hideMark/>
          </w:tcPr>
          <w:p w14:paraId="344CCAB5" w14:textId="6D83F092"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11 lesions</w:t>
            </w:r>
          </w:p>
        </w:tc>
        <w:tc>
          <w:tcPr>
            <w:tcW w:w="1984" w:type="dxa"/>
            <w:tcBorders>
              <w:top w:val="single" w:sz="4" w:space="0" w:color="auto"/>
            </w:tcBorders>
            <w:noWrap/>
            <w:vAlign w:val="center"/>
            <w:hideMark/>
          </w:tcPr>
          <w:p w14:paraId="7B508690" w14:textId="73A65625"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53 lesions</w:t>
            </w:r>
          </w:p>
        </w:tc>
        <w:tc>
          <w:tcPr>
            <w:tcW w:w="1134" w:type="dxa"/>
            <w:tcBorders>
              <w:top w:val="single" w:sz="4" w:space="0" w:color="auto"/>
            </w:tcBorders>
            <w:noWrap/>
            <w:vAlign w:val="center"/>
            <w:hideMark/>
          </w:tcPr>
          <w:p w14:paraId="57E97276" w14:textId="55E81774" w:rsidR="00D1229D" w:rsidRPr="006A747F" w:rsidRDefault="00D1229D" w:rsidP="00235EA3">
            <w:pPr>
              <w:widowControl/>
              <w:snapToGrid w:val="0"/>
              <w:spacing w:line="360" w:lineRule="auto"/>
              <w:jc w:val="center"/>
              <w:rPr>
                <w:rFonts w:ascii="Book Antiqua" w:eastAsia="Times New Roman" w:hAnsi="Book Antiqua" w:cs="Times New Roman"/>
                <w:kern w:val="0"/>
                <w:sz w:val="24"/>
                <w:szCs w:val="24"/>
              </w:rPr>
            </w:pPr>
            <w:r w:rsidRPr="006A747F">
              <w:rPr>
                <w:rFonts w:ascii="Book Antiqua" w:eastAsia="MS PGothic" w:hAnsi="Book Antiqua" w:cs="Times New Roman"/>
                <w:bCs/>
                <w:color w:val="000000"/>
                <w:kern w:val="0"/>
                <w:sz w:val="24"/>
                <w:szCs w:val="24"/>
              </w:rPr>
              <w:t>&lt;</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0.001</w:t>
            </w:r>
          </w:p>
        </w:tc>
      </w:tr>
      <w:tr w:rsidR="00D1229D" w:rsidRPr="006A747F" w14:paraId="3E57A483" w14:textId="77777777" w:rsidTr="005E6A32">
        <w:trPr>
          <w:trHeight w:val="277"/>
        </w:trPr>
        <w:tc>
          <w:tcPr>
            <w:tcW w:w="4962" w:type="dxa"/>
            <w:noWrap/>
            <w:vAlign w:val="center"/>
            <w:hideMark/>
          </w:tcPr>
          <w:p w14:paraId="0E22889B" w14:textId="5A1F18E0"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I/II</w:t>
            </w:r>
          </w:p>
        </w:tc>
        <w:tc>
          <w:tcPr>
            <w:tcW w:w="2126" w:type="dxa"/>
            <w:noWrap/>
            <w:vAlign w:val="center"/>
            <w:hideMark/>
          </w:tcPr>
          <w:p w14:paraId="66611980" w14:textId="6710DF56"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(36)</w:t>
            </w:r>
          </w:p>
        </w:tc>
        <w:tc>
          <w:tcPr>
            <w:tcW w:w="1984" w:type="dxa"/>
            <w:noWrap/>
            <w:vAlign w:val="center"/>
            <w:hideMark/>
          </w:tcPr>
          <w:p w14:paraId="2E287C34" w14:textId="46780D93"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53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(100)</w:t>
            </w:r>
          </w:p>
        </w:tc>
        <w:tc>
          <w:tcPr>
            <w:tcW w:w="1134" w:type="dxa"/>
            <w:noWrap/>
            <w:vAlign w:val="center"/>
            <w:hideMark/>
          </w:tcPr>
          <w:p w14:paraId="278F4505"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6549D7A8" w14:textId="77777777" w:rsidTr="005E6A32">
        <w:trPr>
          <w:trHeight w:val="277"/>
        </w:trPr>
        <w:tc>
          <w:tcPr>
            <w:tcW w:w="4962" w:type="dxa"/>
            <w:noWrap/>
            <w:vAlign w:val="center"/>
            <w:hideMark/>
          </w:tcPr>
          <w:p w14:paraId="150B3D99" w14:textId="6D683843"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III/IV</w:t>
            </w:r>
          </w:p>
        </w:tc>
        <w:tc>
          <w:tcPr>
            <w:tcW w:w="2126" w:type="dxa"/>
            <w:noWrap/>
            <w:vAlign w:val="center"/>
            <w:hideMark/>
          </w:tcPr>
          <w:p w14:paraId="35C5A192" w14:textId="1F66D0E7"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7</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(64)</w:t>
            </w:r>
          </w:p>
        </w:tc>
        <w:tc>
          <w:tcPr>
            <w:tcW w:w="1984" w:type="dxa"/>
            <w:noWrap/>
            <w:vAlign w:val="center"/>
            <w:hideMark/>
          </w:tcPr>
          <w:p w14:paraId="062F8F85" w14:textId="4E2EF679" w:rsidR="00D1229D" w:rsidRPr="00D1229D" w:rsidRDefault="00D1229D" w:rsidP="00235EA3">
            <w:pPr>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Cs/>
                <w:color w:val="000000"/>
                <w:kern w:val="0"/>
                <w:sz w:val="24"/>
                <w:szCs w:val="24"/>
              </w:rPr>
              <w:t>0</w:t>
            </w:r>
            <w:r>
              <w:rPr>
                <w:rFonts w:ascii="Book Antiqua" w:eastAsia="MS PGothic" w:hAnsi="Book Antiqua" w:cs="Times New Roman"/>
                <w:bCs/>
                <w:color w:val="000000"/>
                <w:kern w:val="0"/>
                <w:sz w:val="24"/>
                <w:szCs w:val="24"/>
              </w:rPr>
              <w:t xml:space="preserve"> (0)</w:t>
            </w:r>
          </w:p>
        </w:tc>
        <w:tc>
          <w:tcPr>
            <w:tcW w:w="1134" w:type="dxa"/>
            <w:noWrap/>
            <w:vAlign w:val="center"/>
            <w:hideMark/>
          </w:tcPr>
          <w:p w14:paraId="78A4CC98"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042B1920" w14:textId="77777777" w:rsidTr="005E6A32">
        <w:trPr>
          <w:trHeight w:val="271"/>
        </w:trPr>
        <w:tc>
          <w:tcPr>
            <w:tcW w:w="4962" w:type="dxa"/>
            <w:noWrap/>
            <w:vAlign w:val="center"/>
            <w:hideMark/>
          </w:tcPr>
          <w:p w14:paraId="5CE32C5C" w14:textId="21B80E72" w:rsidR="00D1229D" w:rsidRPr="006A747F" w:rsidRDefault="005E6A32" w:rsidP="00235EA3">
            <w:pPr>
              <w:widowControl/>
              <w:snapToGrid w:val="0"/>
              <w:spacing w:line="360" w:lineRule="auto"/>
              <w:rPr>
                <w:rFonts w:ascii="Book Antiqua" w:eastAsia="MS PGothic" w:hAnsi="Book Antiqua" w:cs="Times New Roman"/>
                <w:bCs/>
                <w:color w:val="000000"/>
                <w:kern w:val="0"/>
                <w:sz w:val="24"/>
                <w:szCs w:val="24"/>
              </w:rPr>
            </w:pPr>
            <w:r>
              <w:rPr>
                <w:rFonts w:ascii="Book Antiqua" w:eastAsia="MS PGothic" w:hAnsi="Book Antiqua" w:cs="Times New Roman"/>
                <w:bCs/>
                <w:color w:val="000000"/>
                <w:kern w:val="0"/>
                <w:sz w:val="24"/>
                <w:szCs w:val="24"/>
              </w:rPr>
              <w:t>Treatment</w:t>
            </w:r>
          </w:p>
        </w:tc>
        <w:tc>
          <w:tcPr>
            <w:tcW w:w="2126" w:type="dxa"/>
            <w:noWrap/>
            <w:vAlign w:val="center"/>
            <w:hideMark/>
          </w:tcPr>
          <w:p w14:paraId="459BF958"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984" w:type="dxa"/>
            <w:noWrap/>
            <w:vAlign w:val="center"/>
            <w:hideMark/>
          </w:tcPr>
          <w:p w14:paraId="65BA9CA5"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134" w:type="dxa"/>
            <w:noWrap/>
            <w:vAlign w:val="center"/>
            <w:hideMark/>
          </w:tcPr>
          <w:p w14:paraId="17CBE55F"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29B03CBA" w14:textId="77777777" w:rsidTr="005E6A32">
        <w:trPr>
          <w:trHeight w:val="271"/>
        </w:trPr>
        <w:tc>
          <w:tcPr>
            <w:tcW w:w="4962" w:type="dxa"/>
            <w:noWrap/>
            <w:vAlign w:val="center"/>
            <w:hideMark/>
          </w:tcPr>
          <w:p w14:paraId="4F04A340" w14:textId="0BCFF2B9" w:rsidR="00D1229D" w:rsidRPr="006A747F" w:rsidRDefault="00D1229D"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Local resection</w:t>
            </w:r>
          </w:p>
        </w:tc>
        <w:tc>
          <w:tcPr>
            <w:tcW w:w="2126" w:type="dxa"/>
            <w:noWrap/>
            <w:vAlign w:val="center"/>
            <w:hideMark/>
          </w:tcPr>
          <w:p w14:paraId="62C500CF" w14:textId="2E122C40"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(18)</w:t>
            </w:r>
          </w:p>
        </w:tc>
        <w:tc>
          <w:tcPr>
            <w:tcW w:w="1984" w:type="dxa"/>
            <w:noWrap/>
            <w:vAlign w:val="center"/>
            <w:hideMark/>
          </w:tcPr>
          <w:p w14:paraId="1E881A7F" w14:textId="4F61AC5C"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49</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(92)</w:t>
            </w:r>
          </w:p>
        </w:tc>
        <w:tc>
          <w:tcPr>
            <w:tcW w:w="1134" w:type="dxa"/>
            <w:noWrap/>
            <w:vAlign w:val="center"/>
            <w:hideMark/>
          </w:tcPr>
          <w:p w14:paraId="0A8EF741" w14:textId="0F9B8DF0"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&lt;</w:t>
            </w:r>
            <w:r w:rsidR="005E6A32">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0.001</w:t>
            </w:r>
          </w:p>
        </w:tc>
      </w:tr>
      <w:tr w:rsidR="00D1229D" w:rsidRPr="006A747F" w14:paraId="73F9E24D" w14:textId="77777777" w:rsidTr="005E6A32">
        <w:trPr>
          <w:trHeight w:val="271"/>
        </w:trPr>
        <w:tc>
          <w:tcPr>
            <w:tcW w:w="4962" w:type="dxa"/>
            <w:noWrap/>
            <w:vAlign w:val="center"/>
            <w:hideMark/>
          </w:tcPr>
          <w:p w14:paraId="1AECF9AA" w14:textId="2F511F96" w:rsidR="00D1229D" w:rsidRPr="006A747F" w:rsidRDefault="00D1229D" w:rsidP="00235EA3">
            <w:pPr>
              <w:widowControl/>
              <w:snapToGrid w:val="0"/>
              <w:spacing w:line="360" w:lineRule="auto"/>
              <w:ind w:firstLineChars="200" w:firstLine="48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Endoscopic resection</w:t>
            </w:r>
          </w:p>
        </w:tc>
        <w:tc>
          <w:tcPr>
            <w:tcW w:w="2126" w:type="dxa"/>
            <w:noWrap/>
            <w:vAlign w:val="center"/>
            <w:hideMark/>
          </w:tcPr>
          <w:p w14:paraId="6D25AF86" w14:textId="103C2D5E"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984" w:type="dxa"/>
            <w:noWrap/>
            <w:vAlign w:val="center"/>
            <w:hideMark/>
          </w:tcPr>
          <w:p w14:paraId="0A55B9F7" w14:textId="5FB7D60F"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44</w:t>
            </w:r>
          </w:p>
        </w:tc>
        <w:tc>
          <w:tcPr>
            <w:tcW w:w="1134" w:type="dxa"/>
            <w:noWrap/>
            <w:vAlign w:val="center"/>
            <w:hideMark/>
          </w:tcPr>
          <w:p w14:paraId="4C22F410"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7CCD77C6" w14:textId="77777777" w:rsidTr="005E6A32">
        <w:trPr>
          <w:trHeight w:val="271"/>
        </w:trPr>
        <w:tc>
          <w:tcPr>
            <w:tcW w:w="4962" w:type="dxa"/>
            <w:noWrap/>
            <w:vAlign w:val="center"/>
            <w:hideMark/>
          </w:tcPr>
          <w:p w14:paraId="3DC023F7" w14:textId="18E80221" w:rsidR="00D1229D" w:rsidRPr="006A747F" w:rsidRDefault="00D1229D" w:rsidP="00235EA3">
            <w:pPr>
              <w:widowControl/>
              <w:snapToGrid w:val="0"/>
              <w:spacing w:line="360" w:lineRule="auto"/>
              <w:ind w:firstLineChars="200" w:firstLine="48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Surgical local resection</w:t>
            </w:r>
          </w:p>
        </w:tc>
        <w:tc>
          <w:tcPr>
            <w:tcW w:w="2126" w:type="dxa"/>
            <w:noWrap/>
            <w:vAlign w:val="center"/>
            <w:hideMark/>
          </w:tcPr>
          <w:p w14:paraId="4A33A64B" w14:textId="44B09DD3"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w:t>
            </w:r>
          </w:p>
        </w:tc>
        <w:tc>
          <w:tcPr>
            <w:tcW w:w="1984" w:type="dxa"/>
            <w:noWrap/>
            <w:vAlign w:val="center"/>
            <w:hideMark/>
          </w:tcPr>
          <w:p w14:paraId="5DCEB017" w14:textId="711FB0D5"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5</w:t>
            </w:r>
          </w:p>
        </w:tc>
        <w:tc>
          <w:tcPr>
            <w:tcW w:w="1134" w:type="dxa"/>
            <w:noWrap/>
            <w:vAlign w:val="center"/>
            <w:hideMark/>
          </w:tcPr>
          <w:p w14:paraId="6BC4ED38"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485D001C" w14:textId="77777777" w:rsidTr="005E6A32">
        <w:trPr>
          <w:trHeight w:val="271"/>
        </w:trPr>
        <w:tc>
          <w:tcPr>
            <w:tcW w:w="4962" w:type="dxa"/>
            <w:noWrap/>
            <w:vAlign w:val="center"/>
            <w:hideMark/>
          </w:tcPr>
          <w:p w14:paraId="3F9C44C0" w14:textId="017B3848"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TPLE</w:t>
            </w:r>
          </w:p>
        </w:tc>
        <w:tc>
          <w:tcPr>
            <w:tcW w:w="2126" w:type="dxa"/>
            <w:noWrap/>
            <w:vAlign w:val="center"/>
            <w:hideMark/>
          </w:tcPr>
          <w:p w14:paraId="64034565" w14:textId="2A3A2BC7"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(27)</w:t>
            </w:r>
          </w:p>
        </w:tc>
        <w:tc>
          <w:tcPr>
            <w:tcW w:w="1984" w:type="dxa"/>
            <w:noWrap/>
            <w:vAlign w:val="center"/>
            <w:hideMark/>
          </w:tcPr>
          <w:p w14:paraId="1AEA1389" w14:textId="4351F7F9"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r>
              <w:rPr>
                <w:rFonts w:ascii="Book Antiqua" w:eastAsia="MS PGothic" w:hAnsi="Book Antiqua" w:cs="Times New Roman"/>
                <w:bCs/>
                <w:color w:val="000000"/>
                <w:kern w:val="0"/>
                <w:sz w:val="24"/>
                <w:szCs w:val="24"/>
              </w:rPr>
              <w:t xml:space="preserve"> (0)</w:t>
            </w:r>
          </w:p>
        </w:tc>
        <w:tc>
          <w:tcPr>
            <w:tcW w:w="1134" w:type="dxa"/>
            <w:noWrap/>
            <w:vAlign w:val="center"/>
            <w:hideMark/>
          </w:tcPr>
          <w:p w14:paraId="05166CEA" w14:textId="77777777"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0.001</w:t>
            </w:r>
          </w:p>
        </w:tc>
      </w:tr>
      <w:tr w:rsidR="00D1229D" w:rsidRPr="006A747F" w14:paraId="0433E390" w14:textId="77777777" w:rsidTr="005E6A32">
        <w:trPr>
          <w:trHeight w:val="271"/>
        </w:trPr>
        <w:tc>
          <w:tcPr>
            <w:tcW w:w="4962" w:type="dxa"/>
            <w:noWrap/>
            <w:vAlign w:val="center"/>
            <w:hideMark/>
          </w:tcPr>
          <w:p w14:paraId="715968C7" w14:textId="77777777" w:rsidR="00D1229D" w:rsidRPr="006A747F" w:rsidRDefault="00D1229D" w:rsidP="00235EA3">
            <w:pPr>
              <w:widowControl/>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Radiotherapy alone and/or chemotherapy</w:t>
            </w:r>
          </w:p>
        </w:tc>
        <w:tc>
          <w:tcPr>
            <w:tcW w:w="2126" w:type="dxa"/>
            <w:noWrap/>
            <w:vAlign w:val="center"/>
            <w:hideMark/>
          </w:tcPr>
          <w:p w14:paraId="6BCF6329" w14:textId="50FB37D0"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(36)</w:t>
            </w:r>
          </w:p>
        </w:tc>
        <w:tc>
          <w:tcPr>
            <w:tcW w:w="1984" w:type="dxa"/>
            <w:noWrap/>
            <w:vAlign w:val="center"/>
            <w:hideMark/>
          </w:tcPr>
          <w:p w14:paraId="22BB2AE9" w14:textId="1902D63E"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(4)</w:t>
            </w:r>
          </w:p>
        </w:tc>
        <w:tc>
          <w:tcPr>
            <w:tcW w:w="1134" w:type="dxa"/>
            <w:noWrap/>
            <w:vAlign w:val="center"/>
            <w:hideMark/>
          </w:tcPr>
          <w:p w14:paraId="55D91628" w14:textId="77777777" w:rsidR="00D1229D" w:rsidRPr="006A747F" w:rsidRDefault="00D1229D" w:rsidP="00235EA3">
            <w:pPr>
              <w:widowControl/>
              <w:snapToGrid w:val="0"/>
              <w:spacing w:line="360" w:lineRule="auto"/>
              <w:jc w:val="center"/>
              <w:rPr>
                <w:rFonts w:ascii="Book Antiqua" w:hAnsi="Book Antiqua" w:cs="Times New Roman"/>
                <w:kern w:val="0"/>
                <w:sz w:val="24"/>
                <w:szCs w:val="24"/>
              </w:rPr>
            </w:pPr>
            <w:r w:rsidRPr="006A747F">
              <w:rPr>
                <w:rFonts w:ascii="Book Antiqua" w:hAnsi="Book Antiqua" w:cs="Times New Roman"/>
                <w:kern w:val="0"/>
                <w:sz w:val="24"/>
                <w:szCs w:val="24"/>
              </w:rPr>
              <w:t>0.006</w:t>
            </w:r>
          </w:p>
        </w:tc>
      </w:tr>
      <w:tr w:rsidR="00D1229D" w:rsidRPr="006A747F" w14:paraId="25CA1352" w14:textId="77777777" w:rsidTr="005E6A32">
        <w:trPr>
          <w:trHeight w:val="271"/>
        </w:trPr>
        <w:tc>
          <w:tcPr>
            <w:tcW w:w="4962" w:type="dxa"/>
            <w:noWrap/>
            <w:vAlign w:val="center"/>
            <w:hideMark/>
          </w:tcPr>
          <w:p w14:paraId="3B84106A" w14:textId="5E2DD533" w:rsidR="00D1229D" w:rsidRPr="006A747F" w:rsidRDefault="00D1229D"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No treatment</w:t>
            </w:r>
          </w:p>
        </w:tc>
        <w:tc>
          <w:tcPr>
            <w:tcW w:w="2126" w:type="dxa"/>
            <w:noWrap/>
            <w:vAlign w:val="center"/>
            <w:hideMark/>
          </w:tcPr>
          <w:p w14:paraId="29CD3F65" w14:textId="724F68CF"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(18)</w:t>
            </w:r>
          </w:p>
        </w:tc>
        <w:tc>
          <w:tcPr>
            <w:tcW w:w="1984" w:type="dxa"/>
            <w:noWrap/>
            <w:vAlign w:val="center"/>
            <w:hideMark/>
          </w:tcPr>
          <w:p w14:paraId="5DAD53CD" w14:textId="466CB201"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(4)</w:t>
            </w:r>
          </w:p>
        </w:tc>
        <w:tc>
          <w:tcPr>
            <w:tcW w:w="1134" w:type="dxa"/>
            <w:noWrap/>
            <w:vAlign w:val="center"/>
            <w:hideMark/>
          </w:tcPr>
          <w:p w14:paraId="6490E5BB" w14:textId="77777777" w:rsidR="00D1229D" w:rsidRPr="006A747F" w:rsidRDefault="00D1229D" w:rsidP="00235EA3">
            <w:pPr>
              <w:widowControl/>
              <w:snapToGrid w:val="0"/>
              <w:spacing w:line="360" w:lineRule="auto"/>
              <w:jc w:val="center"/>
              <w:rPr>
                <w:rFonts w:ascii="Book Antiqua" w:hAnsi="Book Antiqua" w:cs="Times New Roman"/>
                <w:kern w:val="0"/>
                <w:sz w:val="24"/>
                <w:szCs w:val="24"/>
              </w:rPr>
            </w:pPr>
            <w:r w:rsidRPr="006A747F">
              <w:rPr>
                <w:rFonts w:ascii="Book Antiqua" w:hAnsi="Book Antiqua" w:cs="Times New Roman"/>
                <w:kern w:val="0"/>
                <w:sz w:val="24"/>
                <w:szCs w:val="24"/>
              </w:rPr>
              <w:t>0.133</w:t>
            </w:r>
          </w:p>
        </w:tc>
      </w:tr>
      <w:tr w:rsidR="00D1229D" w:rsidRPr="006A747F" w14:paraId="2738332A" w14:textId="77777777" w:rsidTr="005E6A32">
        <w:trPr>
          <w:trHeight w:val="271"/>
        </w:trPr>
        <w:tc>
          <w:tcPr>
            <w:tcW w:w="4962" w:type="dxa"/>
            <w:noWrap/>
            <w:vAlign w:val="center"/>
            <w:hideMark/>
          </w:tcPr>
          <w:p w14:paraId="54540934" w14:textId="77777777" w:rsidR="00D1229D" w:rsidRPr="006A747F" w:rsidRDefault="00D1229D"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Laryngeal function</w:t>
            </w:r>
          </w:p>
        </w:tc>
        <w:tc>
          <w:tcPr>
            <w:tcW w:w="2126" w:type="dxa"/>
            <w:noWrap/>
            <w:vAlign w:val="center"/>
            <w:hideMark/>
          </w:tcPr>
          <w:p w14:paraId="342844E5"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984" w:type="dxa"/>
            <w:noWrap/>
            <w:vAlign w:val="center"/>
            <w:hideMark/>
          </w:tcPr>
          <w:p w14:paraId="4E0C08EC"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c>
          <w:tcPr>
            <w:tcW w:w="1134" w:type="dxa"/>
            <w:noWrap/>
            <w:vAlign w:val="center"/>
            <w:hideMark/>
          </w:tcPr>
          <w:p w14:paraId="489214E3" w14:textId="52F5A003" w:rsidR="00D1229D" w:rsidRPr="006A747F" w:rsidRDefault="00D1229D" w:rsidP="00235EA3">
            <w:pPr>
              <w:widowControl/>
              <w:snapToGrid w:val="0"/>
              <w:spacing w:line="360" w:lineRule="auto"/>
              <w:jc w:val="center"/>
              <w:rPr>
                <w:rFonts w:ascii="Book Antiqua" w:eastAsia="Times New Roman" w:hAnsi="Book Antiqua" w:cs="Times New Roman"/>
                <w:kern w:val="0"/>
                <w:sz w:val="24"/>
                <w:szCs w:val="24"/>
              </w:rPr>
            </w:pPr>
            <w:r w:rsidRPr="006A747F">
              <w:rPr>
                <w:rFonts w:ascii="Book Antiqua" w:eastAsia="MS PGothic" w:hAnsi="Book Antiqua" w:cs="Times New Roman"/>
                <w:bCs/>
                <w:color w:val="000000"/>
                <w:kern w:val="0"/>
                <w:sz w:val="24"/>
                <w:szCs w:val="24"/>
              </w:rPr>
              <w:t>&lt;</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0.001</w:t>
            </w:r>
          </w:p>
        </w:tc>
      </w:tr>
      <w:tr w:rsidR="00D1229D" w:rsidRPr="006A747F" w14:paraId="7042128E" w14:textId="77777777" w:rsidTr="005E6A32">
        <w:trPr>
          <w:trHeight w:val="271"/>
        </w:trPr>
        <w:tc>
          <w:tcPr>
            <w:tcW w:w="4962" w:type="dxa"/>
            <w:noWrap/>
            <w:vAlign w:val="center"/>
            <w:hideMark/>
          </w:tcPr>
          <w:p w14:paraId="496F54BF" w14:textId="00CD2BE0" w:rsidR="00D1229D" w:rsidRPr="006A747F" w:rsidRDefault="00D1229D" w:rsidP="00235EA3">
            <w:pPr>
              <w:snapToGrid w:val="0"/>
              <w:spacing w:line="360" w:lineRule="auto"/>
              <w:ind w:firstLineChars="100" w:firstLine="24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Maintained</w:t>
            </w:r>
          </w:p>
        </w:tc>
        <w:tc>
          <w:tcPr>
            <w:tcW w:w="2126" w:type="dxa"/>
            <w:noWrap/>
            <w:vAlign w:val="center"/>
            <w:hideMark/>
          </w:tcPr>
          <w:p w14:paraId="43F0A49E" w14:textId="39A5D704"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(40)</w:t>
            </w:r>
          </w:p>
        </w:tc>
        <w:tc>
          <w:tcPr>
            <w:tcW w:w="1984" w:type="dxa"/>
            <w:noWrap/>
            <w:vAlign w:val="center"/>
            <w:hideMark/>
          </w:tcPr>
          <w:p w14:paraId="3EEE1BBB" w14:textId="65439533"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30</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(100)</w:t>
            </w:r>
          </w:p>
        </w:tc>
        <w:tc>
          <w:tcPr>
            <w:tcW w:w="1134" w:type="dxa"/>
            <w:noWrap/>
            <w:vAlign w:val="center"/>
            <w:hideMark/>
          </w:tcPr>
          <w:p w14:paraId="6369E34E"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D1229D" w:rsidRPr="006A747F" w14:paraId="055C2C9E" w14:textId="77777777" w:rsidTr="005E6A32">
        <w:trPr>
          <w:trHeight w:val="271"/>
        </w:trPr>
        <w:tc>
          <w:tcPr>
            <w:tcW w:w="4962" w:type="dxa"/>
            <w:noWrap/>
            <w:vAlign w:val="center"/>
            <w:hideMark/>
          </w:tcPr>
          <w:p w14:paraId="272060D4" w14:textId="63A37699" w:rsidR="00D1229D" w:rsidRPr="006A747F" w:rsidRDefault="00D1229D"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Lost</w:t>
            </w:r>
          </w:p>
        </w:tc>
        <w:tc>
          <w:tcPr>
            <w:tcW w:w="2126" w:type="dxa"/>
            <w:noWrap/>
            <w:vAlign w:val="center"/>
            <w:hideMark/>
          </w:tcPr>
          <w:p w14:paraId="50386512" w14:textId="7F305B78" w:rsidR="00D1229D" w:rsidRPr="006A747F" w:rsidRDefault="00D1229D"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(60)</w:t>
            </w:r>
          </w:p>
        </w:tc>
        <w:tc>
          <w:tcPr>
            <w:tcW w:w="1984" w:type="dxa"/>
            <w:noWrap/>
            <w:vAlign w:val="center"/>
            <w:hideMark/>
          </w:tcPr>
          <w:p w14:paraId="23CDF251" w14:textId="0BB86D4D" w:rsidR="00D1229D" w:rsidRPr="006A747F" w:rsidRDefault="00D1229D"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134" w:type="dxa"/>
            <w:noWrap/>
            <w:vAlign w:val="center"/>
            <w:hideMark/>
          </w:tcPr>
          <w:p w14:paraId="5BA934D1" w14:textId="77777777" w:rsidR="00D1229D" w:rsidRPr="006A747F" w:rsidRDefault="00D1229D" w:rsidP="00235EA3">
            <w:pPr>
              <w:widowControl/>
              <w:snapToGrid w:val="0"/>
              <w:spacing w:line="360" w:lineRule="auto"/>
              <w:jc w:val="center"/>
              <w:rPr>
                <w:rFonts w:ascii="Book Antiqua" w:eastAsia="Times New Roman" w:hAnsi="Book Antiqua"/>
                <w:kern w:val="0"/>
                <w:sz w:val="24"/>
                <w:szCs w:val="24"/>
              </w:rPr>
            </w:pPr>
          </w:p>
        </w:tc>
      </w:tr>
      <w:tr w:rsidR="005E6A32" w:rsidRPr="006A747F" w14:paraId="502B2134" w14:textId="77777777" w:rsidTr="005E6A32">
        <w:trPr>
          <w:trHeight w:val="271"/>
        </w:trPr>
        <w:tc>
          <w:tcPr>
            <w:tcW w:w="4962" w:type="dxa"/>
            <w:noWrap/>
            <w:vAlign w:val="center"/>
            <w:hideMark/>
          </w:tcPr>
          <w:p w14:paraId="3C285216" w14:textId="77777777" w:rsidR="005E6A32" w:rsidRPr="006A747F" w:rsidRDefault="005E6A32"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Outcome</w:t>
            </w:r>
          </w:p>
        </w:tc>
        <w:tc>
          <w:tcPr>
            <w:tcW w:w="2126" w:type="dxa"/>
            <w:noWrap/>
            <w:vAlign w:val="center"/>
            <w:hideMark/>
          </w:tcPr>
          <w:p w14:paraId="3D38EEDA" w14:textId="77777777" w:rsidR="005E6A32" w:rsidRPr="006A747F" w:rsidRDefault="005E6A32" w:rsidP="00235EA3">
            <w:pPr>
              <w:widowControl/>
              <w:snapToGrid w:val="0"/>
              <w:spacing w:line="360" w:lineRule="auto"/>
              <w:jc w:val="center"/>
              <w:rPr>
                <w:rFonts w:ascii="Book Antiqua" w:eastAsia="Times New Roman" w:hAnsi="Book Antiqua"/>
                <w:kern w:val="0"/>
                <w:sz w:val="24"/>
                <w:szCs w:val="24"/>
              </w:rPr>
            </w:pPr>
          </w:p>
        </w:tc>
        <w:tc>
          <w:tcPr>
            <w:tcW w:w="1984" w:type="dxa"/>
            <w:noWrap/>
            <w:vAlign w:val="center"/>
            <w:hideMark/>
          </w:tcPr>
          <w:p w14:paraId="60F2204B" w14:textId="77777777" w:rsidR="005E6A32" w:rsidRPr="006A747F" w:rsidRDefault="005E6A32" w:rsidP="00235EA3">
            <w:pPr>
              <w:widowControl/>
              <w:snapToGrid w:val="0"/>
              <w:spacing w:line="360" w:lineRule="auto"/>
              <w:jc w:val="center"/>
              <w:rPr>
                <w:rFonts w:ascii="Book Antiqua" w:eastAsia="Times New Roman" w:hAnsi="Book Antiqua"/>
                <w:kern w:val="0"/>
                <w:sz w:val="24"/>
                <w:szCs w:val="24"/>
              </w:rPr>
            </w:pPr>
          </w:p>
        </w:tc>
        <w:tc>
          <w:tcPr>
            <w:tcW w:w="1134" w:type="dxa"/>
            <w:noWrap/>
            <w:vAlign w:val="center"/>
            <w:hideMark/>
          </w:tcPr>
          <w:p w14:paraId="486B1C57" w14:textId="77777777" w:rsidR="005E6A32" w:rsidRPr="006A747F" w:rsidRDefault="005E6A32" w:rsidP="00235EA3">
            <w:pPr>
              <w:widowControl/>
              <w:snapToGrid w:val="0"/>
              <w:spacing w:line="360" w:lineRule="auto"/>
              <w:jc w:val="center"/>
              <w:rPr>
                <w:rFonts w:ascii="Book Antiqua" w:eastAsia="Times New Roman" w:hAnsi="Book Antiqua" w:cs="Times New Roman"/>
                <w:kern w:val="0"/>
                <w:sz w:val="24"/>
                <w:szCs w:val="24"/>
              </w:rPr>
            </w:pPr>
            <w:r w:rsidRPr="006A747F">
              <w:rPr>
                <w:rFonts w:ascii="Book Antiqua" w:eastAsia="MS PGothic" w:hAnsi="Book Antiqua" w:cs="Times New Roman"/>
                <w:bCs/>
                <w:color w:val="000000"/>
                <w:kern w:val="0"/>
                <w:sz w:val="24"/>
                <w:szCs w:val="24"/>
              </w:rPr>
              <w:t>0.001</w:t>
            </w:r>
          </w:p>
        </w:tc>
      </w:tr>
      <w:tr w:rsidR="005E6A32" w:rsidRPr="006A747F" w14:paraId="5F228366" w14:textId="77777777" w:rsidTr="005E6A32">
        <w:trPr>
          <w:trHeight w:val="271"/>
        </w:trPr>
        <w:tc>
          <w:tcPr>
            <w:tcW w:w="4962" w:type="dxa"/>
            <w:noWrap/>
            <w:vAlign w:val="center"/>
            <w:hideMark/>
          </w:tcPr>
          <w:p w14:paraId="60DA2B38" w14:textId="25148E52" w:rsidR="005E6A32" w:rsidRPr="006A747F" w:rsidRDefault="005E6A32"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Alive</w:t>
            </w:r>
          </w:p>
        </w:tc>
        <w:tc>
          <w:tcPr>
            <w:tcW w:w="2126" w:type="dxa"/>
            <w:noWrap/>
            <w:vAlign w:val="center"/>
            <w:hideMark/>
          </w:tcPr>
          <w:p w14:paraId="2FBFB689" w14:textId="4168DA0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(30)</w:t>
            </w:r>
          </w:p>
        </w:tc>
        <w:tc>
          <w:tcPr>
            <w:tcW w:w="1984" w:type="dxa"/>
            <w:noWrap/>
            <w:vAlign w:val="center"/>
            <w:hideMark/>
          </w:tcPr>
          <w:p w14:paraId="122F3D0E" w14:textId="4464D422"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26</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(87)</w:t>
            </w:r>
          </w:p>
        </w:tc>
        <w:tc>
          <w:tcPr>
            <w:tcW w:w="1134" w:type="dxa"/>
            <w:noWrap/>
            <w:vAlign w:val="center"/>
            <w:hideMark/>
          </w:tcPr>
          <w:p w14:paraId="4AA2B5BA" w14:textId="77777777" w:rsidR="005E6A32" w:rsidRPr="006A747F" w:rsidRDefault="005E6A32" w:rsidP="00235EA3">
            <w:pPr>
              <w:widowControl/>
              <w:snapToGrid w:val="0"/>
              <w:spacing w:line="360" w:lineRule="auto"/>
              <w:jc w:val="center"/>
              <w:rPr>
                <w:rFonts w:ascii="Book Antiqua" w:eastAsia="Times New Roman" w:hAnsi="Book Antiqua"/>
                <w:kern w:val="0"/>
                <w:sz w:val="24"/>
                <w:szCs w:val="24"/>
              </w:rPr>
            </w:pPr>
          </w:p>
        </w:tc>
      </w:tr>
      <w:tr w:rsidR="005E6A32" w:rsidRPr="006A747F" w14:paraId="2F7A1FC8" w14:textId="77777777" w:rsidTr="005E6A32">
        <w:trPr>
          <w:trHeight w:val="271"/>
        </w:trPr>
        <w:tc>
          <w:tcPr>
            <w:tcW w:w="4962" w:type="dxa"/>
            <w:noWrap/>
            <w:vAlign w:val="center"/>
            <w:hideMark/>
          </w:tcPr>
          <w:p w14:paraId="1FBF71B4" w14:textId="2CED47EA" w:rsidR="005E6A32" w:rsidRPr="006A747F" w:rsidRDefault="005E6A32"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Death</w:t>
            </w:r>
          </w:p>
        </w:tc>
        <w:tc>
          <w:tcPr>
            <w:tcW w:w="2126" w:type="dxa"/>
            <w:noWrap/>
            <w:vAlign w:val="center"/>
            <w:hideMark/>
          </w:tcPr>
          <w:p w14:paraId="6EAA17AE" w14:textId="7B1237D2"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7</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(70)</w:t>
            </w:r>
          </w:p>
        </w:tc>
        <w:tc>
          <w:tcPr>
            <w:tcW w:w="1984" w:type="dxa"/>
            <w:noWrap/>
            <w:vAlign w:val="center"/>
            <w:hideMark/>
          </w:tcPr>
          <w:p w14:paraId="7012704E" w14:textId="38865843"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(13)</w:t>
            </w:r>
          </w:p>
        </w:tc>
        <w:tc>
          <w:tcPr>
            <w:tcW w:w="1134" w:type="dxa"/>
            <w:noWrap/>
            <w:vAlign w:val="center"/>
            <w:hideMark/>
          </w:tcPr>
          <w:p w14:paraId="4715EEE2" w14:textId="77777777" w:rsidR="005E6A32" w:rsidRPr="006A747F" w:rsidRDefault="005E6A32" w:rsidP="00235EA3">
            <w:pPr>
              <w:widowControl/>
              <w:snapToGrid w:val="0"/>
              <w:spacing w:line="360" w:lineRule="auto"/>
              <w:jc w:val="center"/>
              <w:rPr>
                <w:rFonts w:ascii="Book Antiqua" w:eastAsia="Times New Roman" w:hAnsi="Book Antiqua"/>
                <w:kern w:val="0"/>
                <w:sz w:val="24"/>
                <w:szCs w:val="24"/>
              </w:rPr>
            </w:pPr>
          </w:p>
        </w:tc>
      </w:tr>
      <w:tr w:rsidR="005E6A32" w:rsidRPr="006A747F" w14:paraId="65BEFE2F" w14:textId="77777777" w:rsidTr="005E6A32">
        <w:trPr>
          <w:trHeight w:val="271"/>
        </w:trPr>
        <w:tc>
          <w:tcPr>
            <w:tcW w:w="4962" w:type="dxa"/>
            <w:noWrap/>
            <w:vAlign w:val="center"/>
            <w:hideMark/>
          </w:tcPr>
          <w:p w14:paraId="62805EC2" w14:textId="77777777" w:rsidR="005E6A32" w:rsidRPr="006A747F" w:rsidRDefault="005E6A32"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Death with metachronous HNSCC</w:t>
            </w:r>
          </w:p>
        </w:tc>
        <w:tc>
          <w:tcPr>
            <w:tcW w:w="2126" w:type="dxa"/>
            <w:noWrap/>
            <w:vAlign w:val="center"/>
            <w:hideMark/>
          </w:tcPr>
          <w:p w14:paraId="028413F4" w14:textId="4713DD0B"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(60)</w:t>
            </w:r>
          </w:p>
        </w:tc>
        <w:tc>
          <w:tcPr>
            <w:tcW w:w="1984" w:type="dxa"/>
            <w:noWrap/>
            <w:vAlign w:val="center"/>
            <w:hideMark/>
          </w:tcPr>
          <w:p w14:paraId="00B77A81" w14:textId="3BAAE4CD"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w:t>
            </w:r>
          </w:p>
        </w:tc>
        <w:tc>
          <w:tcPr>
            <w:tcW w:w="1134" w:type="dxa"/>
            <w:noWrap/>
            <w:vAlign w:val="center"/>
            <w:hideMark/>
          </w:tcPr>
          <w:p w14:paraId="42698924" w14:textId="26185C59"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&lt;</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0.001</w:t>
            </w:r>
          </w:p>
        </w:tc>
      </w:tr>
    </w:tbl>
    <w:p w14:paraId="098AE48D" w14:textId="4511F808" w:rsidR="00DC448A" w:rsidRPr="005E6A32" w:rsidRDefault="00DC448A" w:rsidP="00235EA3">
      <w:pPr>
        <w:snapToGrid w:val="0"/>
        <w:spacing w:line="360" w:lineRule="auto"/>
        <w:rPr>
          <w:rFonts w:ascii="Book Antiqua" w:eastAsia="MS Mincho" w:hAnsi="Book Antiqua" w:cs="Times New Roman"/>
          <w:bCs/>
          <w:kern w:val="0"/>
          <w:sz w:val="24"/>
          <w:szCs w:val="24"/>
        </w:rPr>
      </w:pPr>
      <w:r w:rsidRPr="006A747F">
        <w:rPr>
          <w:rFonts w:ascii="Book Antiqua" w:hAnsi="Book Antiqua"/>
          <w:sz w:val="24"/>
          <w:szCs w:val="24"/>
        </w:rPr>
        <w:t>HNSCC:</w:t>
      </w:r>
      <w:r w:rsidR="005E6A32">
        <w:rPr>
          <w:rFonts w:ascii="Book Antiqua" w:hAnsi="Book Antiqua"/>
          <w:sz w:val="24"/>
          <w:szCs w:val="24"/>
        </w:rPr>
        <w:t xml:space="preserve"> </w:t>
      </w:r>
      <w:r w:rsidRPr="005E6A32">
        <w:rPr>
          <w:rFonts w:ascii="Book Antiqua" w:hAnsi="Book Antiqua"/>
          <w:caps/>
          <w:sz w:val="24"/>
          <w:szCs w:val="24"/>
        </w:rPr>
        <w:t>h</w:t>
      </w:r>
      <w:r w:rsidRPr="006A747F">
        <w:rPr>
          <w:rFonts w:ascii="Book Antiqua" w:hAnsi="Book Antiqua"/>
          <w:sz w:val="24"/>
          <w:szCs w:val="24"/>
        </w:rPr>
        <w:t>ead and neck squamous cell carcinoma</w:t>
      </w:r>
      <w:r w:rsidR="005E6A32">
        <w:rPr>
          <w:rFonts w:ascii="Book Antiqua" w:hAnsi="Book Antiqua"/>
          <w:sz w:val="24"/>
          <w:szCs w:val="24"/>
        </w:rPr>
        <w:t>;</w:t>
      </w:r>
      <w:r w:rsidRPr="006A747F">
        <w:rPr>
          <w:rFonts w:ascii="Book Antiqua" w:hAnsi="Book Antiqua"/>
          <w:sz w:val="24"/>
          <w:szCs w:val="24"/>
        </w:rPr>
        <w:t xml:space="preserve"> TPLE:</w:t>
      </w:r>
      <w:r w:rsidRPr="006A747F">
        <w:rPr>
          <w:rFonts w:ascii="Book Antiqua" w:eastAsia="MS Mincho" w:hAnsi="Book Antiqua" w:cs="Times New Roman"/>
          <w:bCs/>
          <w:kern w:val="0"/>
          <w:sz w:val="24"/>
          <w:szCs w:val="24"/>
        </w:rPr>
        <w:t xml:space="preserve"> </w:t>
      </w:r>
      <w:r w:rsidRPr="005E6A32">
        <w:rPr>
          <w:rFonts w:ascii="Book Antiqua" w:eastAsia="MS Mincho" w:hAnsi="Book Antiqua" w:cs="Times New Roman"/>
          <w:bCs/>
          <w:caps/>
          <w:kern w:val="0"/>
          <w:sz w:val="24"/>
          <w:szCs w:val="24"/>
        </w:rPr>
        <w:t>t</w:t>
      </w:r>
      <w:r w:rsidRPr="006A747F">
        <w:rPr>
          <w:rFonts w:ascii="Book Antiqua" w:eastAsia="MS Mincho" w:hAnsi="Book Antiqua" w:cs="Times New Roman"/>
          <w:bCs/>
          <w:kern w:val="0"/>
          <w:sz w:val="24"/>
          <w:szCs w:val="24"/>
        </w:rPr>
        <w:t>otal pharyngo-laryngo-esophagectomy</w:t>
      </w:r>
      <w:r w:rsidR="005E6A32">
        <w:rPr>
          <w:rFonts w:ascii="Book Antiqua" w:eastAsia="MS Mincho" w:hAnsi="Book Antiqua" w:cs="Times New Roman"/>
          <w:bCs/>
          <w:kern w:val="0"/>
          <w:sz w:val="24"/>
          <w:szCs w:val="24"/>
        </w:rPr>
        <w:t>.</w:t>
      </w:r>
    </w:p>
    <w:p w14:paraId="79D500CB" w14:textId="77777777" w:rsidR="00DC448A" w:rsidRPr="006A747F" w:rsidRDefault="00DC448A" w:rsidP="00235EA3">
      <w:pPr>
        <w:widowControl/>
        <w:snapToGrid w:val="0"/>
        <w:spacing w:line="360" w:lineRule="auto"/>
        <w:rPr>
          <w:rFonts w:ascii="Book Antiqua" w:hAnsi="Book Antiqua"/>
          <w:sz w:val="24"/>
          <w:szCs w:val="24"/>
        </w:rPr>
      </w:pPr>
      <w:r w:rsidRPr="006A747F">
        <w:rPr>
          <w:rFonts w:ascii="Book Antiqua" w:hAnsi="Book Antiqua"/>
          <w:sz w:val="24"/>
          <w:szCs w:val="24"/>
        </w:rPr>
        <w:br w:type="page"/>
      </w:r>
    </w:p>
    <w:p w14:paraId="1FFF824F" w14:textId="45847042" w:rsidR="00DC448A" w:rsidRPr="005E6A32" w:rsidRDefault="00DC448A" w:rsidP="00235EA3">
      <w:pPr>
        <w:snapToGrid w:val="0"/>
        <w:spacing w:line="360" w:lineRule="auto"/>
        <w:rPr>
          <w:rFonts w:ascii="Book Antiqua" w:hAnsi="Book Antiqua"/>
          <w:b/>
          <w:sz w:val="24"/>
          <w:szCs w:val="24"/>
        </w:rPr>
      </w:pPr>
      <w:r w:rsidRPr="005E6A32">
        <w:rPr>
          <w:rFonts w:ascii="Book Antiqua" w:hAnsi="Book Antiqua"/>
          <w:b/>
          <w:sz w:val="24"/>
          <w:szCs w:val="24"/>
        </w:rPr>
        <w:lastRenderedPageBreak/>
        <w:t>Table</w:t>
      </w:r>
      <w:r w:rsidR="005E6A32" w:rsidRPr="005E6A32">
        <w:rPr>
          <w:rFonts w:ascii="Book Antiqua" w:hAnsi="Book Antiqua"/>
          <w:b/>
          <w:sz w:val="24"/>
          <w:szCs w:val="24"/>
        </w:rPr>
        <w:t xml:space="preserve"> </w:t>
      </w:r>
      <w:r w:rsidRPr="005E6A32">
        <w:rPr>
          <w:rFonts w:ascii="Book Antiqua" w:hAnsi="Book Antiqua"/>
          <w:b/>
          <w:sz w:val="24"/>
          <w:szCs w:val="24"/>
        </w:rPr>
        <w:t>5</w:t>
      </w:r>
      <w:r w:rsidR="005E6A32" w:rsidRPr="005E6A32">
        <w:rPr>
          <w:rFonts w:ascii="Book Antiqua" w:hAnsi="Book Antiqua"/>
          <w:b/>
          <w:sz w:val="24"/>
          <w:szCs w:val="24"/>
        </w:rPr>
        <w:t xml:space="preserve"> </w:t>
      </w:r>
      <w:r w:rsidRPr="005E6A32">
        <w:rPr>
          <w:rFonts w:ascii="Book Antiqua" w:hAnsi="Book Antiqua"/>
          <w:b/>
          <w:sz w:val="24"/>
          <w:szCs w:val="24"/>
        </w:rPr>
        <w:t xml:space="preserve">Clinical outcome of all patients with </w:t>
      </w:r>
      <w:r w:rsidR="005E6A32" w:rsidRPr="005E6A32">
        <w:rPr>
          <w:rFonts w:ascii="Book Antiqua" w:hAnsi="Book Antiqua"/>
          <w:b/>
          <w:sz w:val="24"/>
          <w:szCs w:val="24"/>
        </w:rPr>
        <w:t>esophageal squamous cell carcinoma</w:t>
      </w:r>
      <w:r w:rsidRPr="005E6A32">
        <w:rPr>
          <w:rFonts w:ascii="Book Antiqua" w:hAnsi="Book Antiqua"/>
          <w:b/>
          <w:sz w:val="24"/>
          <w:szCs w:val="24"/>
        </w:rPr>
        <w:t xml:space="preserve"> </w:t>
      </w:r>
      <w:r w:rsidRPr="005E6A32">
        <w:rPr>
          <w:rFonts w:ascii="Book Antiqua" w:hAnsi="Book Antiqua"/>
          <w:b/>
          <w:i/>
          <w:sz w:val="24"/>
          <w:szCs w:val="24"/>
        </w:rPr>
        <w:t>n</w:t>
      </w:r>
      <w:r w:rsidRPr="005E6A32">
        <w:rPr>
          <w:rFonts w:ascii="Book Antiqua" w:hAnsi="Book Antiqua"/>
          <w:b/>
          <w:sz w:val="24"/>
          <w:szCs w:val="24"/>
        </w:rPr>
        <w:t xml:space="preserve"> (%)</w:t>
      </w:r>
    </w:p>
    <w:tbl>
      <w:tblPr>
        <w:tblW w:w="10490" w:type="dxa"/>
        <w:tblInd w:w="-752"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5427"/>
        <w:gridCol w:w="2087"/>
        <w:gridCol w:w="1750"/>
        <w:gridCol w:w="15"/>
        <w:gridCol w:w="1211"/>
      </w:tblGrid>
      <w:tr w:rsidR="005E6A32" w:rsidRPr="006A747F" w14:paraId="14773B53" w14:textId="77777777" w:rsidTr="003A1A26">
        <w:trPr>
          <w:trHeight w:val="905"/>
        </w:trPr>
        <w:tc>
          <w:tcPr>
            <w:tcW w:w="5427" w:type="dxa"/>
            <w:tcBorders>
              <w:top w:val="single" w:sz="4" w:space="0" w:color="auto"/>
              <w:bottom w:val="single" w:sz="4" w:space="0" w:color="auto"/>
            </w:tcBorders>
            <w:noWrap/>
            <w:vAlign w:val="center"/>
            <w:hideMark/>
          </w:tcPr>
          <w:p w14:paraId="2E352781" w14:textId="06AA22C1" w:rsidR="005E6A32" w:rsidRPr="005E6A32" w:rsidRDefault="005E6A32" w:rsidP="00235EA3">
            <w:pPr>
              <w:widowControl/>
              <w:snapToGrid w:val="0"/>
              <w:spacing w:line="360" w:lineRule="auto"/>
              <w:rPr>
                <w:rFonts w:ascii="Book Antiqua" w:eastAsia="MS PGothic" w:hAnsi="Book Antiqua" w:cs="Times New Roman"/>
                <w:b/>
                <w:bCs/>
                <w:color w:val="000000"/>
                <w:kern w:val="0"/>
                <w:sz w:val="24"/>
                <w:szCs w:val="24"/>
              </w:rPr>
            </w:pPr>
          </w:p>
        </w:tc>
        <w:tc>
          <w:tcPr>
            <w:tcW w:w="2087" w:type="dxa"/>
            <w:tcBorders>
              <w:top w:val="single" w:sz="4" w:space="0" w:color="auto"/>
              <w:bottom w:val="single" w:sz="4" w:space="0" w:color="auto"/>
            </w:tcBorders>
            <w:noWrap/>
            <w:vAlign w:val="center"/>
            <w:hideMark/>
          </w:tcPr>
          <w:p w14:paraId="5D9F0229" w14:textId="597F233F" w:rsidR="005E6A32" w:rsidRPr="006A747F" w:rsidRDefault="005E6A32"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A</w:t>
            </w:r>
            <w:r>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i/>
                <w:iCs/>
                <w:color w:val="000000"/>
                <w:kern w:val="0"/>
                <w:sz w:val="24"/>
                <w:szCs w:val="24"/>
              </w:rPr>
              <w:t xml:space="preserve">n </w:t>
            </w:r>
            <w:r w:rsidRPr="006A747F">
              <w:rPr>
                <w:rFonts w:ascii="Book Antiqua" w:eastAsia="MS PGothic" w:hAnsi="Book Antiqua" w:cs="Times New Roman"/>
                <w:b/>
                <w:bCs/>
                <w:color w:val="000000"/>
                <w:kern w:val="0"/>
                <w:sz w:val="24"/>
                <w:szCs w:val="24"/>
              </w:rPr>
              <w:t>= 254</w:t>
            </w:r>
            <w:r>
              <w:rPr>
                <w:rFonts w:ascii="Book Antiqua" w:eastAsia="MS PGothic" w:hAnsi="Book Antiqua" w:cs="Times New Roman"/>
                <w:b/>
                <w:bCs/>
                <w:color w:val="000000"/>
                <w:kern w:val="0"/>
                <w:sz w:val="24"/>
                <w:szCs w:val="24"/>
              </w:rPr>
              <w:t>)</w:t>
            </w:r>
          </w:p>
        </w:tc>
        <w:tc>
          <w:tcPr>
            <w:tcW w:w="1750" w:type="dxa"/>
            <w:tcBorders>
              <w:top w:val="single" w:sz="4" w:space="0" w:color="auto"/>
              <w:bottom w:val="single" w:sz="4" w:space="0" w:color="auto"/>
            </w:tcBorders>
            <w:noWrap/>
            <w:vAlign w:val="center"/>
            <w:hideMark/>
          </w:tcPr>
          <w:p w14:paraId="20C94E4C" w14:textId="1E5D6308" w:rsidR="005E6A32" w:rsidRPr="006A747F" w:rsidRDefault="005E6A32" w:rsidP="00235EA3">
            <w:pPr>
              <w:widowControl/>
              <w:snapToGrid w:val="0"/>
              <w:spacing w:line="360" w:lineRule="auto"/>
              <w:jc w:val="center"/>
              <w:rPr>
                <w:rFonts w:ascii="Book Antiqua" w:eastAsia="MS PGothic" w:hAnsi="Book Antiqua" w:cs="Times New Roman"/>
                <w:b/>
                <w:bCs/>
                <w:color w:val="000000"/>
                <w:kern w:val="0"/>
                <w:sz w:val="24"/>
                <w:szCs w:val="24"/>
              </w:rPr>
            </w:pPr>
            <w:r w:rsidRPr="006A747F">
              <w:rPr>
                <w:rFonts w:ascii="Book Antiqua" w:eastAsia="MS PGothic" w:hAnsi="Book Antiqua" w:cs="Times New Roman"/>
                <w:b/>
                <w:bCs/>
                <w:color w:val="000000"/>
                <w:kern w:val="0"/>
                <w:sz w:val="24"/>
                <w:szCs w:val="24"/>
              </w:rPr>
              <w:t>Group B</w:t>
            </w:r>
            <w:r>
              <w:rPr>
                <w:rFonts w:ascii="Book Antiqua" w:eastAsia="MS PGothic" w:hAnsi="Book Antiqua" w:cs="Times New Roman"/>
                <w:b/>
                <w:bCs/>
                <w:color w:val="000000"/>
                <w:kern w:val="0"/>
                <w:sz w:val="24"/>
                <w:szCs w:val="24"/>
              </w:rPr>
              <w:t xml:space="preserve"> (</w:t>
            </w:r>
            <w:r w:rsidRPr="006A747F">
              <w:rPr>
                <w:rFonts w:ascii="Book Antiqua" w:eastAsia="MS PGothic" w:hAnsi="Book Antiqua" w:cs="Times New Roman"/>
                <w:b/>
                <w:bCs/>
                <w:i/>
                <w:iCs/>
                <w:color w:val="000000"/>
                <w:kern w:val="0"/>
                <w:sz w:val="24"/>
                <w:szCs w:val="24"/>
              </w:rPr>
              <w:t xml:space="preserve">n </w:t>
            </w:r>
            <w:r w:rsidRPr="006A747F">
              <w:rPr>
                <w:rFonts w:ascii="Book Antiqua" w:eastAsia="MS PGothic" w:hAnsi="Book Antiqua" w:cs="Times New Roman"/>
                <w:b/>
                <w:bCs/>
                <w:color w:val="000000"/>
                <w:kern w:val="0"/>
                <w:sz w:val="24"/>
                <w:szCs w:val="24"/>
              </w:rPr>
              <w:t>= 307</w:t>
            </w:r>
            <w:r>
              <w:rPr>
                <w:rFonts w:ascii="Book Antiqua" w:eastAsia="MS PGothic" w:hAnsi="Book Antiqua" w:cs="Times New Roman"/>
                <w:b/>
                <w:bCs/>
                <w:color w:val="000000"/>
                <w:kern w:val="0"/>
                <w:sz w:val="24"/>
                <w:szCs w:val="24"/>
              </w:rPr>
              <w:t>)</w:t>
            </w:r>
          </w:p>
        </w:tc>
        <w:tc>
          <w:tcPr>
            <w:tcW w:w="1226" w:type="dxa"/>
            <w:gridSpan w:val="2"/>
            <w:tcBorders>
              <w:top w:val="single" w:sz="4" w:space="0" w:color="auto"/>
              <w:bottom w:val="single" w:sz="4" w:space="0" w:color="auto"/>
            </w:tcBorders>
            <w:noWrap/>
            <w:vAlign w:val="center"/>
            <w:hideMark/>
          </w:tcPr>
          <w:p w14:paraId="65CD6A63" w14:textId="4985F5D1" w:rsidR="005E6A32" w:rsidRPr="006A747F" w:rsidRDefault="005E6A32" w:rsidP="00235EA3">
            <w:pPr>
              <w:snapToGrid w:val="0"/>
              <w:spacing w:line="360" w:lineRule="auto"/>
              <w:jc w:val="center"/>
              <w:rPr>
                <w:rFonts w:ascii="Book Antiqua" w:eastAsia="Times New Roman" w:hAnsi="Book Antiqua"/>
                <w:kern w:val="0"/>
                <w:sz w:val="24"/>
                <w:szCs w:val="24"/>
              </w:rPr>
            </w:pPr>
            <w:r w:rsidRPr="005E6A32">
              <w:rPr>
                <w:rFonts w:ascii="Book Antiqua" w:eastAsia="MS PGothic" w:hAnsi="Book Antiqua" w:cs="Times New Roman"/>
                <w:b/>
                <w:bCs/>
                <w:i/>
                <w:iCs/>
                <w:caps/>
                <w:color w:val="000000"/>
                <w:kern w:val="0"/>
                <w:sz w:val="24"/>
                <w:szCs w:val="24"/>
              </w:rPr>
              <w:t>p</w:t>
            </w:r>
            <w:r w:rsidRPr="005E6A32">
              <w:rPr>
                <w:rFonts w:ascii="Book Antiqua" w:eastAsia="MS PGothic" w:hAnsi="Book Antiqua" w:cs="Times New Roman"/>
                <w:b/>
                <w:bCs/>
                <w:caps/>
                <w:color w:val="000000"/>
                <w:kern w:val="0"/>
                <w:sz w:val="24"/>
                <w:szCs w:val="24"/>
              </w:rPr>
              <w:t xml:space="preserve"> </w:t>
            </w:r>
            <w:r w:rsidRPr="006A747F">
              <w:rPr>
                <w:rFonts w:ascii="Book Antiqua" w:eastAsia="MS PGothic" w:hAnsi="Book Antiqua" w:cs="Times New Roman"/>
                <w:b/>
                <w:bCs/>
                <w:color w:val="000000"/>
                <w:kern w:val="0"/>
                <w:sz w:val="24"/>
                <w:szCs w:val="24"/>
              </w:rPr>
              <w:t>value</w:t>
            </w:r>
          </w:p>
        </w:tc>
      </w:tr>
      <w:tr w:rsidR="005E6A32" w:rsidRPr="006A747F" w14:paraId="1C704CF1" w14:textId="77777777" w:rsidTr="003A1A26">
        <w:trPr>
          <w:trHeight w:val="278"/>
        </w:trPr>
        <w:tc>
          <w:tcPr>
            <w:tcW w:w="5427" w:type="dxa"/>
            <w:tcBorders>
              <w:top w:val="single" w:sz="4" w:space="0" w:color="auto"/>
            </w:tcBorders>
            <w:noWrap/>
            <w:vAlign w:val="center"/>
            <w:hideMark/>
          </w:tcPr>
          <w:p w14:paraId="161F8C98" w14:textId="77777777" w:rsidR="005E6A32" w:rsidRPr="006A747F" w:rsidRDefault="005E6A32"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Occurrence of advanced metachronous HNSCC</w:t>
            </w:r>
          </w:p>
        </w:tc>
        <w:tc>
          <w:tcPr>
            <w:tcW w:w="2087" w:type="dxa"/>
            <w:tcBorders>
              <w:top w:val="single" w:sz="4" w:space="0" w:color="auto"/>
            </w:tcBorders>
            <w:noWrap/>
            <w:vAlign w:val="center"/>
            <w:hideMark/>
          </w:tcPr>
          <w:p w14:paraId="56EBEBFC" w14:textId="41ED8D8F"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7</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(2.8)</w:t>
            </w:r>
          </w:p>
        </w:tc>
        <w:tc>
          <w:tcPr>
            <w:tcW w:w="1750" w:type="dxa"/>
            <w:tcBorders>
              <w:top w:val="single" w:sz="4" w:space="0" w:color="auto"/>
            </w:tcBorders>
            <w:noWrap/>
            <w:vAlign w:val="center"/>
            <w:hideMark/>
          </w:tcPr>
          <w:p w14:paraId="19E7E85F" w14:textId="098674D0" w:rsidR="005E6A32" w:rsidRPr="006A747F" w:rsidRDefault="005E6A32"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226" w:type="dxa"/>
            <w:gridSpan w:val="2"/>
            <w:tcBorders>
              <w:top w:val="single" w:sz="4" w:space="0" w:color="auto"/>
            </w:tcBorders>
            <w:noWrap/>
            <w:vAlign w:val="center"/>
            <w:hideMark/>
          </w:tcPr>
          <w:p w14:paraId="70CA501D" w14:textId="7777777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0.003</w:t>
            </w:r>
          </w:p>
        </w:tc>
      </w:tr>
      <w:tr w:rsidR="005E6A32" w:rsidRPr="006A747F" w14:paraId="5717103C" w14:textId="77777777" w:rsidTr="003A1A26">
        <w:trPr>
          <w:trHeight w:val="278"/>
        </w:trPr>
        <w:tc>
          <w:tcPr>
            <w:tcW w:w="5427" w:type="dxa"/>
            <w:noWrap/>
            <w:vAlign w:val="center"/>
            <w:hideMark/>
          </w:tcPr>
          <w:p w14:paraId="1B447C51" w14:textId="77777777" w:rsidR="005E6A32" w:rsidRPr="006A747F" w:rsidRDefault="005E6A32" w:rsidP="00235EA3">
            <w:pPr>
              <w:widowControl/>
              <w:snapToGrid w:val="0"/>
              <w:spacing w:line="360" w:lineRule="auto"/>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Loss of laryngeal function</w:t>
            </w:r>
          </w:p>
        </w:tc>
        <w:tc>
          <w:tcPr>
            <w:tcW w:w="2087" w:type="dxa"/>
            <w:noWrap/>
            <w:vAlign w:val="center"/>
            <w:hideMark/>
          </w:tcPr>
          <w:p w14:paraId="2545BE1A" w14:textId="2698C964"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(2.4)</w:t>
            </w:r>
          </w:p>
        </w:tc>
        <w:tc>
          <w:tcPr>
            <w:tcW w:w="1750" w:type="dxa"/>
            <w:noWrap/>
            <w:vAlign w:val="center"/>
            <w:hideMark/>
          </w:tcPr>
          <w:p w14:paraId="3B437D97" w14:textId="65C13691" w:rsidR="005E6A32" w:rsidRPr="006A747F" w:rsidRDefault="005E6A32"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226" w:type="dxa"/>
            <w:gridSpan w:val="2"/>
            <w:noWrap/>
            <w:vAlign w:val="center"/>
            <w:hideMark/>
          </w:tcPr>
          <w:p w14:paraId="2735D41C" w14:textId="7777777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0.008</w:t>
            </w:r>
          </w:p>
        </w:tc>
      </w:tr>
      <w:tr w:rsidR="005E6A32" w:rsidRPr="006A747F" w14:paraId="491A0FC8" w14:textId="77777777" w:rsidTr="003A1A26">
        <w:trPr>
          <w:trHeight w:val="272"/>
        </w:trPr>
        <w:tc>
          <w:tcPr>
            <w:tcW w:w="5427" w:type="dxa"/>
            <w:noWrap/>
            <w:vAlign w:val="center"/>
            <w:hideMark/>
          </w:tcPr>
          <w:p w14:paraId="6E80D444" w14:textId="0FA08E65" w:rsidR="005E6A32" w:rsidRPr="006A747F" w:rsidRDefault="005E6A32" w:rsidP="00235EA3">
            <w:pPr>
              <w:widowControl/>
              <w:snapToGrid w:val="0"/>
              <w:spacing w:line="360" w:lineRule="auto"/>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Outcome</w:t>
            </w:r>
          </w:p>
        </w:tc>
        <w:tc>
          <w:tcPr>
            <w:tcW w:w="2087" w:type="dxa"/>
            <w:noWrap/>
            <w:vAlign w:val="center"/>
            <w:hideMark/>
          </w:tcPr>
          <w:p w14:paraId="10E908BF" w14:textId="77777777" w:rsidR="005E6A32" w:rsidRPr="006A747F" w:rsidRDefault="005E6A32" w:rsidP="00235EA3">
            <w:pPr>
              <w:widowControl/>
              <w:snapToGrid w:val="0"/>
              <w:spacing w:line="360" w:lineRule="auto"/>
              <w:jc w:val="center"/>
              <w:rPr>
                <w:rFonts w:ascii="Book Antiqua" w:eastAsia="Times New Roman" w:hAnsi="Book Antiqua"/>
                <w:kern w:val="0"/>
                <w:sz w:val="24"/>
                <w:szCs w:val="24"/>
              </w:rPr>
            </w:pPr>
          </w:p>
        </w:tc>
        <w:tc>
          <w:tcPr>
            <w:tcW w:w="1750" w:type="dxa"/>
            <w:noWrap/>
            <w:vAlign w:val="center"/>
            <w:hideMark/>
          </w:tcPr>
          <w:p w14:paraId="18A5D617" w14:textId="77777777" w:rsidR="005E6A32" w:rsidRPr="006A747F" w:rsidRDefault="005E6A32" w:rsidP="00235EA3">
            <w:pPr>
              <w:widowControl/>
              <w:snapToGrid w:val="0"/>
              <w:spacing w:line="360" w:lineRule="auto"/>
              <w:jc w:val="center"/>
              <w:rPr>
                <w:rFonts w:ascii="Book Antiqua" w:eastAsia="Times New Roman" w:hAnsi="Book Antiqua"/>
                <w:kern w:val="0"/>
                <w:sz w:val="24"/>
                <w:szCs w:val="24"/>
              </w:rPr>
            </w:pPr>
          </w:p>
        </w:tc>
        <w:tc>
          <w:tcPr>
            <w:tcW w:w="1226" w:type="dxa"/>
            <w:gridSpan w:val="2"/>
            <w:noWrap/>
            <w:vAlign w:val="center"/>
            <w:hideMark/>
          </w:tcPr>
          <w:p w14:paraId="2D12E64E" w14:textId="40573CC8" w:rsidR="005E6A32" w:rsidRPr="006A747F" w:rsidRDefault="005E6A32" w:rsidP="00235EA3">
            <w:pPr>
              <w:widowControl/>
              <w:snapToGrid w:val="0"/>
              <w:spacing w:line="360" w:lineRule="auto"/>
              <w:jc w:val="center"/>
              <w:rPr>
                <w:rFonts w:ascii="Book Antiqua" w:eastAsia="Times New Roman" w:hAnsi="Book Antiqua" w:cs="Times New Roman"/>
                <w:kern w:val="0"/>
                <w:sz w:val="24"/>
                <w:szCs w:val="24"/>
              </w:rPr>
            </w:pPr>
            <w:r w:rsidRPr="006A747F">
              <w:rPr>
                <w:rFonts w:ascii="Book Antiqua" w:eastAsia="MS PGothic" w:hAnsi="Book Antiqua" w:cs="Times New Roman"/>
                <w:bCs/>
                <w:color w:val="000000"/>
                <w:kern w:val="0"/>
                <w:sz w:val="24"/>
                <w:szCs w:val="24"/>
              </w:rPr>
              <w:t>&lt;</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0.001</w:t>
            </w:r>
          </w:p>
        </w:tc>
      </w:tr>
      <w:tr w:rsidR="005E6A32" w:rsidRPr="006A747F" w14:paraId="7BE736B9" w14:textId="77777777" w:rsidTr="003A1A26">
        <w:trPr>
          <w:trHeight w:val="272"/>
        </w:trPr>
        <w:tc>
          <w:tcPr>
            <w:tcW w:w="5427" w:type="dxa"/>
            <w:noWrap/>
            <w:vAlign w:val="center"/>
            <w:hideMark/>
          </w:tcPr>
          <w:p w14:paraId="3C1DED1C" w14:textId="4EC37612" w:rsidR="005E6A32" w:rsidRPr="006A747F" w:rsidRDefault="005E6A32"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Alive</w:t>
            </w:r>
          </w:p>
        </w:tc>
        <w:tc>
          <w:tcPr>
            <w:tcW w:w="2087" w:type="dxa"/>
            <w:noWrap/>
            <w:vAlign w:val="center"/>
            <w:hideMark/>
          </w:tcPr>
          <w:p w14:paraId="5B2E64B5" w14:textId="7F0F0E56"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172</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(68)</w:t>
            </w:r>
          </w:p>
        </w:tc>
        <w:tc>
          <w:tcPr>
            <w:tcW w:w="1750" w:type="dxa"/>
            <w:noWrap/>
            <w:vAlign w:val="center"/>
            <w:hideMark/>
          </w:tcPr>
          <w:p w14:paraId="7C8AFB9A" w14:textId="0B1FF5C6"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254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(83)</w:t>
            </w:r>
          </w:p>
        </w:tc>
        <w:tc>
          <w:tcPr>
            <w:tcW w:w="1226" w:type="dxa"/>
            <w:gridSpan w:val="2"/>
            <w:noWrap/>
            <w:vAlign w:val="center"/>
            <w:hideMark/>
          </w:tcPr>
          <w:p w14:paraId="7AE34551" w14:textId="77777777" w:rsidR="005E6A32" w:rsidRPr="006A747F" w:rsidRDefault="005E6A32" w:rsidP="00235EA3">
            <w:pPr>
              <w:snapToGrid w:val="0"/>
              <w:spacing w:line="360" w:lineRule="auto"/>
              <w:jc w:val="center"/>
              <w:rPr>
                <w:rFonts w:ascii="Book Antiqua" w:eastAsia="MS PGothic" w:hAnsi="Book Antiqua" w:cs="Times New Roman"/>
                <w:bCs/>
                <w:color w:val="000000"/>
                <w:kern w:val="0"/>
                <w:sz w:val="24"/>
                <w:szCs w:val="24"/>
              </w:rPr>
            </w:pPr>
          </w:p>
        </w:tc>
      </w:tr>
      <w:tr w:rsidR="005E6A32" w:rsidRPr="006A747F" w14:paraId="66D2920F" w14:textId="77777777" w:rsidTr="003A1A26">
        <w:trPr>
          <w:trHeight w:val="272"/>
        </w:trPr>
        <w:tc>
          <w:tcPr>
            <w:tcW w:w="5427" w:type="dxa"/>
            <w:noWrap/>
            <w:vAlign w:val="center"/>
            <w:hideMark/>
          </w:tcPr>
          <w:p w14:paraId="7610356F" w14:textId="5DAD7CC2" w:rsidR="005E6A32" w:rsidRPr="006A747F" w:rsidRDefault="005E6A32" w:rsidP="00235EA3">
            <w:pPr>
              <w:widowControl/>
              <w:snapToGrid w:val="0"/>
              <w:spacing w:line="360" w:lineRule="auto"/>
              <w:ind w:firstLineChars="100" w:firstLine="240"/>
              <w:rPr>
                <w:rFonts w:ascii="Book Antiqua" w:eastAsia="Times New Roman" w:hAnsi="Book Antiqua"/>
                <w:kern w:val="0"/>
                <w:sz w:val="24"/>
                <w:szCs w:val="24"/>
              </w:rPr>
            </w:pPr>
            <w:r w:rsidRPr="006A747F">
              <w:rPr>
                <w:rFonts w:ascii="Book Antiqua" w:eastAsia="MS PGothic" w:hAnsi="Book Antiqua" w:cs="Times New Roman"/>
                <w:bCs/>
                <w:color w:val="000000"/>
                <w:kern w:val="0"/>
                <w:sz w:val="24"/>
                <w:szCs w:val="24"/>
              </w:rPr>
              <w:t>Dead</w:t>
            </w:r>
          </w:p>
        </w:tc>
        <w:tc>
          <w:tcPr>
            <w:tcW w:w="2087" w:type="dxa"/>
            <w:noWrap/>
            <w:vAlign w:val="center"/>
            <w:hideMark/>
          </w:tcPr>
          <w:p w14:paraId="767AD1C2" w14:textId="16BB836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82</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(32)</w:t>
            </w:r>
          </w:p>
        </w:tc>
        <w:tc>
          <w:tcPr>
            <w:tcW w:w="1750" w:type="dxa"/>
            <w:noWrap/>
            <w:vAlign w:val="center"/>
            <w:hideMark/>
          </w:tcPr>
          <w:p w14:paraId="538E867B" w14:textId="43003DF2"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53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(17)</w:t>
            </w:r>
          </w:p>
        </w:tc>
        <w:tc>
          <w:tcPr>
            <w:tcW w:w="1226" w:type="dxa"/>
            <w:gridSpan w:val="2"/>
            <w:noWrap/>
            <w:vAlign w:val="center"/>
            <w:hideMark/>
          </w:tcPr>
          <w:p w14:paraId="1DC9EE95" w14:textId="77777777" w:rsidR="005E6A32" w:rsidRPr="006A747F" w:rsidRDefault="005E6A32" w:rsidP="00235EA3">
            <w:pPr>
              <w:snapToGrid w:val="0"/>
              <w:spacing w:line="360" w:lineRule="auto"/>
              <w:jc w:val="center"/>
              <w:rPr>
                <w:rFonts w:ascii="Book Antiqua" w:eastAsia="MS PGothic" w:hAnsi="Book Antiqua" w:cs="Times New Roman"/>
                <w:bCs/>
                <w:color w:val="000000"/>
                <w:kern w:val="0"/>
                <w:sz w:val="24"/>
                <w:szCs w:val="24"/>
              </w:rPr>
            </w:pPr>
          </w:p>
        </w:tc>
      </w:tr>
      <w:tr w:rsidR="005E6A32" w:rsidRPr="006A747F" w14:paraId="54ECC7F6" w14:textId="77777777" w:rsidTr="003A1A26">
        <w:trPr>
          <w:trHeight w:val="272"/>
        </w:trPr>
        <w:tc>
          <w:tcPr>
            <w:tcW w:w="5427" w:type="dxa"/>
            <w:noWrap/>
            <w:vAlign w:val="center"/>
            <w:hideMark/>
          </w:tcPr>
          <w:p w14:paraId="5D1BE2FA" w14:textId="736793A2" w:rsidR="005E6A32" w:rsidRPr="006A747F" w:rsidRDefault="005E6A32" w:rsidP="00235EA3">
            <w:pPr>
              <w:snapToGrid w:val="0"/>
              <w:spacing w:line="360" w:lineRule="auto"/>
              <w:ind w:firstLineChars="200" w:firstLine="48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ESCC</w:t>
            </w:r>
          </w:p>
        </w:tc>
        <w:tc>
          <w:tcPr>
            <w:tcW w:w="2087" w:type="dxa"/>
            <w:noWrap/>
            <w:vAlign w:val="center"/>
            <w:hideMark/>
          </w:tcPr>
          <w:p w14:paraId="6A2EB820" w14:textId="034D302B"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(17)</w:t>
            </w:r>
          </w:p>
        </w:tc>
        <w:tc>
          <w:tcPr>
            <w:tcW w:w="1750" w:type="dxa"/>
            <w:noWrap/>
            <w:vAlign w:val="center"/>
            <w:hideMark/>
          </w:tcPr>
          <w:p w14:paraId="04FCDB17" w14:textId="57156AB3"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(13)</w:t>
            </w:r>
          </w:p>
        </w:tc>
        <w:tc>
          <w:tcPr>
            <w:tcW w:w="1226" w:type="dxa"/>
            <w:gridSpan w:val="2"/>
            <w:noWrap/>
            <w:vAlign w:val="center"/>
            <w:hideMark/>
          </w:tcPr>
          <w:p w14:paraId="736DC35D" w14:textId="7777777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0.284</w:t>
            </w:r>
          </w:p>
        </w:tc>
      </w:tr>
      <w:tr w:rsidR="005E6A32" w:rsidRPr="006A747F" w14:paraId="55E2E832" w14:textId="77777777" w:rsidTr="003A1A26">
        <w:trPr>
          <w:trHeight w:val="272"/>
        </w:trPr>
        <w:tc>
          <w:tcPr>
            <w:tcW w:w="5427" w:type="dxa"/>
            <w:noWrap/>
            <w:vAlign w:val="center"/>
          </w:tcPr>
          <w:p w14:paraId="25FD7E0C" w14:textId="4AFDD08E" w:rsidR="005E6A32" w:rsidRPr="006A747F" w:rsidRDefault="005E6A32" w:rsidP="00235EA3">
            <w:pPr>
              <w:widowControl/>
              <w:snapToGrid w:val="0"/>
              <w:spacing w:line="360" w:lineRule="auto"/>
              <w:ind w:firstLineChars="200" w:firstLine="48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HNSCC</w:t>
            </w:r>
          </w:p>
        </w:tc>
        <w:tc>
          <w:tcPr>
            <w:tcW w:w="2087" w:type="dxa"/>
            <w:noWrap/>
            <w:vAlign w:val="center"/>
            <w:hideMark/>
          </w:tcPr>
          <w:p w14:paraId="36105B29" w14:textId="44E9F04F"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(2.4)</w:t>
            </w:r>
          </w:p>
        </w:tc>
        <w:tc>
          <w:tcPr>
            <w:tcW w:w="1750" w:type="dxa"/>
            <w:noWrap/>
            <w:vAlign w:val="center"/>
            <w:hideMark/>
          </w:tcPr>
          <w:p w14:paraId="717694AF" w14:textId="73B2CC1C"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226" w:type="dxa"/>
            <w:gridSpan w:val="2"/>
            <w:noWrap/>
            <w:vAlign w:val="center"/>
            <w:hideMark/>
          </w:tcPr>
          <w:p w14:paraId="6D32EE0A" w14:textId="7777777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0.018</w:t>
            </w:r>
          </w:p>
        </w:tc>
      </w:tr>
      <w:tr w:rsidR="005E6A32" w:rsidRPr="006A747F" w14:paraId="69F036BF" w14:textId="77777777" w:rsidTr="003A1A26">
        <w:trPr>
          <w:trHeight w:val="272"/>
        </w:trPr>
        <w:tc>
          <w:tcPr>
            <w:tcW w:w="5427" w:type="dxa"/>
            <w:noWrap/>
            <w:vAlign w:val="center"/>
            <w:hideMark/>
          </w:tcPr>
          <w:p w14:paraId="11129DC5" w14:textId="77777777" w:rsidR="005E6A32" w:rsidRPr="006A747F" w:rsidRDefault="005E6A32" w:rsidP="00235EA3">
            <w:pPr>
              <w:widowControl/>
              <w:snapToGrid w:val="0"/>
              <w:spacing w:line="360" w:lineRule="auto"/>
              <w:ind w:firstLineChars="200" w:firstLine="48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Other cancer</w:t>
            </w:r>
          </w:p>
        </w:tc>
        <w:tc>
          <w:tcPr>
            <w:tcW w:w="2087" w:type="dxa"/>
            <w:noWrap/>
            <w:vAlign w:val="center"/>
            <w:hideMark/>
          </w:tcPr>
          <w:p w14:paraId="7E8E90F0" w14:textId="16A0ABE5"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(2.4)</w:t>
            </w:r>
          </w:p>
        </w:tc>
        <w:tc>
          <w:tcPr>
            <w:tcW w:w="1750" w:type="dxa"/>
            <w:noWrap/>
            <w:vAlign w:val="center"/>
            <w:hideMark/>
          </w:tcPr>
          <w:p w14:paraId="10B5D551" w14:textId="725C212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4</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(1.3)</w:t>
            </w:r>
          </w:p>
        </w:tc>
        <w:tc>
          <w:tcPr>
            <w:tcW w:w="1226" w:type="dxa"/>
            <w:gridSpan w:val="2"/>
            <w:noWrap/>
            <w:vAlign w:val="center"/>
            <w:hideMark/>
          </w:tcPr>
          <w:p w14:paraId="2AC530DC" w14:textId="7777777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0.360</w:t>
            </w:r>
          </w:p>
        </w:tc>
      </w:tr>
      <w:tr w:rsidR="005E6A32" w:rsidRPr="006A747F" w14:paraId="4EDEBC7E" w14:textId="77777777" w:rsidTr="003A1A26">
        <w:trPr>
          <w:trHeight w:val="272"/>
        </w:trPr>
        <w:tc>
          <w:tcPr>
            <w:tcW w:w="5427" w:type="dxa"/>
            <w:noWrap/>
            <w:vAlign w:val="center"/>
            <w:hideMark/>
          </w:tcPr>
          <w:p w14:paraId="5B73C8BA" w14:textId="77777777" w:rsidR="005E6A32" w:rsidRPr="006A747F" w:rsidRDefault="005E6A32" w:rsidP="00235EA3">
            <w:pPr>
              <w:widowControl/>
              <w:snapToGrid w:val="0"/>
              <w:spacing w:line="360" w:lineRule="auto"/>
              <w:ind w:firstLineChars="300" w:firstLine="72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Gastric cancer</w:t>
            </w:r>
          </w:p>
        </w:tc>
        <w:tc>
          <w:tcPr>
            <w:tcW w:w="2087" w:type="dxa"/>
            <w:noWrap/>
            <w:vAlign w:val="center"/>
            <w:hideMark/>
          </w:tcPr>
          <w:p w14:paraId="34BCC3E9" w14:textId="47EF76EE"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3</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(1.2)</w:t>
            </w:r>
          </w:p>
        </w:tc>
        <w:tc>
          <w:tcPr>
            <w:tcW w:w="1750" w:type="dxa"/>
            <w:noWrap/>
            <w:vAlign w:val="center"/>
            <w:hideMark/>
          </w:tcPr>
          <w:p w14:paraId="47FB0112" w14:textId="7978EC9F" w:rsidR="005E6A32" w:rsidRPr="006A747F" w:rsidRDefault="005E6A32"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226" w:type="dxa"/>
            <w:gridSpan w:val="2"/>
            <w:noWrap/>
            <w:vAlign w:val="center"/>
            <w:hideMark/>
          </w:tcPr>
          <w:p w14:paraId="0364D8D3" w14:textId="77777777"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0.092</w:t>
            </w:r>
          </w:p>
        </w:tc>
      </w:tr>
      <w:tr w:rsidR="005E6A32" w:rsidRPr="006A747F" w14:paraId="1A68DD18" w14:textId="77777777" w:rsidTr="003A1A26">
        <w:trPr>
          <w:trHeight w:val="272"/>
        </w:trPr>
        <w:tc>
          <w:tcPr>
            <w:tcW w:w="5427" w:type="dxa"/>
            <w:noWrap/>
            <w:vAlign w:val="center"/>
            <w:hideMark/>
          </w:tcPr>
          <w:p w14:paraId="5DD17D7B" w14:textId="77777777" w:rsidR="005E6A32" w:rsidRPr="006A747F" w:rsidRDefault="005E6A32" w:rsidP="00235EA3">
            <w:pPr>
              <w:widowControl/>
              <w:snapToGrid w:val="0"/>
              <w:spacing w:line="360" w:lineRule="auto"/>
              <w:ind w:firstLineChars="300" w:firstLine="72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Lung cancer</w:t>
            </w:r>
          </w:p>
        </w:tc>
        <w:tc>
          <w:tcPr>
            <w:tcW w:w="2087" w:type="dxa"/>
            <w:noWrap/>
            <w:vAlign w:val="center"/>
            <w:hideMark/>
          </w:tcPr>
          <w:p w14:paraId="0EF2011D" w14:textId="7A2BB438" w:rsidR="005E6A32" w:rsidRPr="006A747F" w:rsidRDefault="005E6A32"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750" w:type="dxa"/>
            <w:noWrap/>
            <w:vAlign w:val="center"/>
            <w:hideMark/>
          </w:tcPr>
          <w:p w14:paraId="6BF83E40" w14:textId="7CDE0C4A"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(0.7)</w:t>
            </w:r>
          </w:p>
        </w:tc>
        <w:tc>
          <w:tcPr>
            <w:tcW w:w="1226" w:type="dxa"/>
            <w:gridSpan w:val="2"/>
            <w:noWrap/>
            <w:vAlign w:val="center"/>
            <w:hideMark/>
          </w:tcPr>
          <w:p w14:paraId="2D791D61" w14:textId="355CDD54"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Pr>
                <w:rFonts w:ascii="Book Antiqua" w:eastAsia="MS PGothic" w:hAnsi="Book Antiqua" w:cs="Times New Roman"/>
                <w:bCs/>
                <w:color w:val="000000"/>
                <w:kern w:val="0"/>
                <w:sz w:val="24"/>
                <w:szCs w:val="24"/>
              </w:rPr>
              <w:t>0</w:t>
            </w:r>
            <w:r w:rsidRPr="006A747F">
              <w:rPr>
                <w:rFonts w:ascii="Book Antiqua" w:eastAsia="MS PGothic" w:hAnsi="Book Antiqua" w:cs="Times New Roman"/>
                <w:bCs/>
                <w:color w:val="000000"/>
                <w:kern w:val="0"/>
                <w:sz w:val="24"/>
                <w:szCs w:val="24"/>
              </w:rPr>
              <w:t>.0503</w:t>
            </w:r>
          </w:p>
        </w:tc>
      </w:tr>
      <w:tr w:rsidR="005E6A32" w:rsidRPr="006A747F" w14:paraId="2152AF57" w14:textId="77777777" w:rsidTr="003A1A26">
        <w:trPr>
          <w:trHeight w:val="272"/>
        </w:trPr>
        <w:tc>
          <w:tcPr>
            <w:tcW w:w="5427" w:type="dxa"/>
            <w:noWrap/>
            <w:vAlign w:val="center"/>
            <w:hideMark/>
          </w:tcPr>
          <w:p w14:paraId="25D0D53B" w14:textId="77777777" w:rsidR="005E6A32" w:rsidRPr="006A747F" w:rsidRDefault="005E6A32" w:rsidP="00235EA3">
            <w:pPr>
              <w:widowControl/>
              <w:snapToGrid w:val="0"/>
              <w:spacing w:line="360" w:lineRule="auto"/>
              <w:ind w:firstLineChars="300" w:firstLine="72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Lymphoma</w:t>
            </w:r>
          </w:p>
        </w:tc>
        <w:tc>
          <w:tcPr>
            <w:tcW w:w="2087" w:type="dxa"/>
            <w:noWrap/>
            <w:vAlign w:val="center"/>
            <w:hideMark/>
          </w:tcPr>
          <w:p w14:paraId="7F269E6C" w14:textId="1851A6FF"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(0.4)</w:t>
            </w:r>
          </w:p>
        </w:tc>
        <w:tc>
          <w:tcPr>
            <w:tcW w:w="1750" w:type="dxa"/>
            <w:noWrap/>
            <w:vAlign w:val="center"/>
            <w:hideMark/>
          </w:tcPr>
          <w:p w14:paraId="218871AF" w14:textId="11FD0990"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(0.3)</w:t>
            </w:r>
          </w:p>
        </w:tc>
        <w:tc>
          <w:tcPr>
            <w:tcW w:w="1226" w:type="dxa"/>
            <w:gridSpan w:val="2"/>
            <w:noWrap/>
            <w:vAlign w:val="center"/>
            <w:hideMark/>
          </w:tcPr>
          <w:p w14:paraId="0A7E10AF" w14:textId="33649961" w:rsidR="005E6A32" w:rsidRPr="006A747F" w:rsidRDefault="005E6A32"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&gt;</w:t>
            </w:r>
            <w:r>
              <w:rPr>
                <w:rFonts w:ascii="Book Antiqua" w:eastAsia="MS PGothic" w:hAnsi="Book Antiqua" w:cs="Times New Roman"/>
                <w:bCs/>
                <w:color w:val="000000"/>
                <w:kern w:val="0"/>
                <w:sz w:val="24"/>
                <w:szCs w:val="24"/>
              </w:rPr>
              <w:t xml:space="preserve"> 0</w:t>
            </w:r>
            <w:r w:rsidRPr="006A747F">
              <w:rPr>
                <w:rFonts w:ascii="Book Antiqua" w:eastAsia="MS PGothic" w:hAnsi="Book Antiqua" w:cs="Times New Roman"/>
                <w:bCs/>
                <w:color w:val="000000"/>
                <w:kern w:val="0"/>
                <w:sz w:val="24"/>
                <w:szCs w:val="24"/>
              </w:rPr>
              <w:t>.999</w:t>
            </w:r>
          </w:p>
        </w:tc>
      </w:tr>
      <w:tr w:rsidR="003A1A26" w:rsidRPr="006A747F" w14:paraId="2E502F2C" w14:textId="77777777" w:rsidTr="003A1A26">
        <w:trPr>
          <w:trHeight w:val="272"/>
        </w:trPr>
        <w:tc>
          <w:tcPr>
            <w:tcW w:w="5427" w:type="dxa"/>
            <w:noWrap/>
            <w:vAlign w:val="center"/>
            <w:hideMark/>
          </w:tcPr>
          <w:p w14:paraId="421CAC87" w14:textId="77777777" w:rsidR="003A1A26" w:rsidRPr="006A747F" w:rsidRDefault="003A1A26" w:rsidP="00235EA3">
            <w:pPr>
              <w:widowControl/>
              <w:snapToGrid w:val="0"/>
              <w:spacing w:line="360" w:lineRule="auto"/>
              <w:ind w:firstLineChars="300" w:firstLine="72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HCC</w:t>
            </w:r>
          </w:p>
        </w:tc>
        <w:tc>
          <w:tcPr>
            <w:tcW w:w="2087" w:type="dxa"/>
            <w:noWrap/>
            <w:vAlign w:val="center"/>
            <w:hideMark/>
          </w:tcPr>
          <w:p w14:paraId="1E9DC449" w14:textId="17F6314A"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(0.4)</w:t>
            </w:r>
          </w:p>
        </w:tc>
        <w:tc>
          <w:tcPr>
            <w:tcW w:w="1750" w:type="dxa"/>
            <w:noWrap/>
            <w:vAlign w:val="center"/>
            <w:hideMark/>
          </w:tcPr>
          <w:p w14:paraId="2C28E5E4" w14:textId="23C6E0E1"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(0.3)</w:t>
            </w:r>
          </w:p>
        </w:tc>
        <w:tc>
          <w:tcPr>
            <w:tcW w:w="1226" w:type="dxa"/>
            <w:gridSpan w:val="2"/>
            <w:noWrap/>
            <w:vAlign w:val="center"/>
            <w:hideMark/>
          </w:tcPr>
          <w:p w14:paraId="380837C4" w14:textId="459901EC"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&gt;</w:t>
            </w:r>
            <w:r>
              <w:rPr>
                <w:rFonts w:ascii="Book Antiqua" w:eastAsia="MS PGothic" w:hAnsi="Book Antiqua" w:cs="Times New Roman"/>
                <w:bCs/>
                <w:color w:val="000000"/>
                <w:kern w:val="0"/>
                <w:sz w:val="24"/>
                <w:szCs w:val="24"/>
              </w:rPr>
              <w:t xml:space="preserve"> 0</w:t>
            </w:r>
            <w:r w:rsidRPr="006A747F">
              <w:rPr>
                <w:rFonts w:ascii="Book Antiqua" w:eastAsia="MS PGothic" w:hAnsi="Book Antiqua" w:cs="Times New Roman"/>
                <w:bCs/>
                <w:color w:val="000000"/>
                <w:kern w:val="0"/>
                <w:sz w:val="24"/>
                <w:szCs w:val="24"/>
              </w:rPr>
              <w:t>.999</w:t>
            </w:r>
          </w:p>
        </w:tc>
      </w:tr>
      <w:tr w:rsidR="003A1A26" w:rsidRPr="006A747F" w14:paraId="1CC3265C" w14:textId="77777777" w:rsidTr="003A1A26">
        <w:trPr>
          <w:trHeight w:val="272"/>
        </w:trPr>
        <w:tc>
          <w:tcPr>
            <w:tcW w:w="5427" w:type="dxa"/>
            <w:noWrap/>
            <w:vAlign w:val="center"/>
            <w:hideMark/>
          </w:tcPr>
          <w:p w14:paraId="14C889C5" w14:textId="77777777" w:rsidR="003A1A26" w:rsidRPr="006A747F" w:rsidRDefault="003A1A26" w:rsidP="00235EA3">
            <w:pPr>
              <w:widowControl/>
              <w:snapToGrid w:val="0"/>
              <w:spacing w:line="360" w:lineRule="auto"/>
              <w:ind w:firstLineChars="300" w:firstLine="72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Prostate cancer</w:t>
            </w:r>
          </w:p>
        </w:tc>
        <w:tc>
          <w:tcPr>
            <w:tcW w:w="2087" w:type="dxa"/>
            <w:noWrap/>
            <w:vAlign w:val="center"/>
            <w:hideMark/>
          </w:tcPr>
          <w:p w14:paraId="11ABA98E" w14:textId="1714594E"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(0.4)</w:t>
            </w:r>
          </w:p>
        </w:tc>
        <w:tc>
          <w:tcPr>
            <w:tcW w:w="1750" w:type="dxa"/>
            <w:noWrap/>
            <w:vAlign w:val="center"/>
            <w:hideMark/>
          </w:tcPr>
          <w:p w14:paraId="16811E6B" w14:textId="4DD1C40D" w:rsidR="003A1A26" w:rsidRPr="006A747F" w:rsidRDefault="003A1A26" w:rsidP="00235EA3">
            <w:pPr>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w:t>
            </w:r>
          </w:p>
        </w:tc>
        <w:tc>
          <w:tcPr>
            <w:tcW w:w="1226" w:type="dxa"/>
            <w:gridSpan w:val="2"/>
            <w:noWrap/>
            <w:vAlign w:val="center"/>
            <w:hideMark/>
          </w:tcPr>
          <w:p w14:paraId="7278BBA2" w14:textId="77777777"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0.452</w:t>
            </w:r>
          </w:p>
        </w:tc>
      </w:tr>
      <w:tr w:rsidR="003A1A26" w:rsidRPr="006A747F" w14:paraId="6F570DE8" w14:textId="77777777" w:rsidTr="003A1A26">
        <w:trPr>
          <w:trHeight w:val="272"/>
        </w:trPr>
        <w:tc>
          <w:tcPr>
            <w:tcW w:w="5427" w:type="dxa"/>
            <w:noWrap/>
            <w:vAlign w:val="center"/>
            <w:hideMark/>
          </w:tcPr>
          <w:p w14:paraId="61F1CC56" w14:textId="0F7F848D" w:rsidR="003A1A26" w:rsidRPr="006A747F" w:rsidRDefault="003A1A26" w:rsidP="00235EA3">
            <w:pPr>
              <w:widowControl/>
              <w:snapToGrid w:val="0"/>
              <w:spacing w:line="360" w:lineRule="auto"/>
              <w:ind w:firstLineChars="200" w:firstLine="480"/>
              <w:rPr>
                <w:rFonts w:ascii="Book Antiqua" w:eastAsia="MS PGothic" w:hAnsi="Book Antiqua" w:cs="Times New Roman"/>
                <w:bCs/>
                <w:color w:val="000000"/>
                <w:kern w:val="0"/>
                <w:sz w:val="24"/>
                <w:szCs w:val="24"/>
              </w:rPr>
            </w:pPr>
            <w:r>
              <w:rPr>
                <w:rFonts w:ascii="Book Antiqua" w:eastAsia="MS PGothic" w:hAnsi="Book Antiqua" w:cs="Times New Roman"/>
                <w:bCs/>
                <w:color w:val="000000"/>
                <w:kern w:val="0"/>
                <w:sz w:val="24"/>
                <w:szCs w:val="24"/>
              </w:rPr>
              <w:t>Other/</w:t>
            </w:r>
            <w:r w:rsidRPr="006A747F">
              <w:rPr>
                <w:rFonts w:ascii="Book Antiqua" w:eastAsia="MS PGothic" w:hAnsi="Book Antiqua" w:cs="Times New Roman"/>
                <w:bCs/>
                <w:color w:val="000000"/>
                <w:kern w:val="0"/>
                <w:sz w:val="24"/>
                <w:szCs w:val="24"/>
              </w:rPr>
              <w:t>unknown</w:t>
            </w:r>
          </w:p>
        </w:tc>
        <w:tc>
          <w:tcPr>
            <w:tcW w:w="2087" w:type="dxa"/>
            <w:noWrap/>
            <w:vAlign w:val="center"/>
            <w:hideMark/>
          </w:tcPr>
          <w:p w14:paraId="3ECC90B5" w14:textId="1C79FEC4"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27</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(11)</w:t>
            </w:r>
          </w:p>
        </w:tc>
        <w:tc>
          <w:tcPr>
            <w:tcW w:w="1750" w:type="dxa"/>
            <w:noWrap/>
            <w:vAlign w:val="center"/>
            <w:hideMark/>
          </w:tcPr>
          <w:p w14:paraId="1070A6D1" w14:textId="2BB309FE"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8</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(2.6)</w:t>
            </w:r>
          </w:p>
        </w:tc>
        <w:tc>
          <w:tcPr>
            <w:tcW w:w="1226" w:type="dxa"/>
            <w:gridSpan w:val="2"/>
            <w:noWrap/>
            <w:vAlign w:val="center"/>
            <w:hideMark/>
          </w:tcPr>
          <w:p w14:paraId="4CBC5008" w14:textId="7C428D7F"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&lt;</w:t>
            </w:r>
            <w:r>
              <w:rPr>
                <w:rFonts w:ascii="Book Antiqua" w:eastAsia="MS PGothic" w:hAnsi="Book Antiqua" w:cs="Times New Roman"/>
                <w:bCs/>
                <w:color w:val="000000"/>
                <w:kern w:val="0"/>
                <w:sz w:val="24"/>
                <w:szCs w:val="24"/>
              </w:rPr>
              <w:t xml:space="preserve"> 0</w:t>
            </w:r>
            <w:r w:rsidRPr="006A747F">
              <w:rPr>
                <w:rFonts w:ascii="Book Antiqua" w:eastAsia="MS PGothic" w:hAnsi="Book Antiqua" w:cs="Times New Roman"/>
                <w:bCs/>
                <w:color w:val="000000"/>
                <w:kern w:val="0"/>
                <w:sz w:val="24"/>
                <w:szCs w:val="24"/>
              </w:rPr>
              <w:t>.0001</w:t>
            </w:r>
          </w:p>
        </w:tc>
      </w:tr>
      <w:tr w:rsidR="003A1A26" w:rsidRPr="006A747F" w14:paraId="467CF80A" w14:textId="77777777" w:rsidTr="003A1A26">
        <w:trPr>
          <w:trHeight w:val="266"/>
        </w:trPr>
        <w:tc>
          <w:tcPr>
            <w:tcW w:w="5427" w:type="dxa"/>
            <w:noWrap/>
            <w:vAlign w:val="center"/>
            <w:hideMark/>
          </w:tcPr>
          <w:p w14:paraId="51FFEC84" w14:textId="77777777" w:rsidR="003A1A26" w:rsidRPr="006A747F" w:rsidRDefault="003A1A26" w:rsidP="00235EA3">
            <w:pPr>
              <w:widowControl/>
              <w:snapToGrid w:val="0"/>
              <w:spacing w:line="360" w:lineRule="auto"/>
              <w:ind w:firstLineChars="300" w:firstLine="72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Radiation pneumonia</w:t>
            </w:r>
          </w:p>
        </w:tc>
        <w:tc>
          <w:tcPr>
            <w:tcW w:w="2087" w:type="dxa"/>
            <w:noWrap/>
            <w:vAlign w:val="center"/>
            <w:hideMark/>
          </w:tcPr>
          <w:p w14:paraId="35712269" w14:textId="326071C9"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8</w:t>
            </w:r>
            <w:r>
              <w:rPr>
                <w:rFonts w:ascii="Book Antiqua" w:eastAsia="MS PGothic" w:hAnsi="Book Antiqua" w:cs="Times New Roman"/>
                <w:bCs/>
                <w:color w:val="000000"/>
                <w:kern w:val="0"/>
                <w:sz w:val="24"/>
                <w:szCs w:val="24"/>
              </w:rPr>
              <w:t xml:space="preserve"> (8.1</w:t>
            </w:r>
            <w:r w:rsidRPr="006A747F">
              <w:rPr>
                <w:rFonts w:ascii="Book Antiqua" w:eastAsia="MS PGothic" w:hAnsi="Book Antiqua" w:cs="Times New Roman"/>
                <w:bCs/>
                <w:color w:val="000000"/>
                <w:kern w:val="0"/>
                <w:sz w:val="24"/>
                <w:szCs w:val="24"/>
              </w:rPr>
              <w:t>)</w:t>
            </w:r>
          </w:p>
        </w:tc>
        <w:tc>
          <w:tcPr>
            <w:tcW w:w="1765" w:type="dxa"/>
            <w:gridSpan w:val="2"/>
            <w:noWrap/>
            <w:vAlign w:val="center"/>
            <w:hideMark/>
          </w:tcPr>
          <w:p w14:paraId="0AA95EDB" w14:textId="61C70BF9"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(0.3)</w:t>
            </w:r>
          </w:p>
        </w:tc>
        <w:tc>
          <w:tcPr>
            <w:tcW w:w="1211" w:type="dxa"/>
            <w:noWrap/>
            <w:vAlign w:val="center"/>
            <w:hideMark/>
          </w:tcPr>
          <w:p w14:paraId="1EA8A2DF" w14:textId="77777777"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0.013</w:t>
            </w:r>
          </w:p>
        </w:tc>
      </w:tr>
      <w:tr w:rsidR="003A1A26" w:rsidRPr="006A747F" w14:paraId="09418CAC" w14:textId="77777777" w:rsidTr="003A1A26">
        <w:trPr>
          <w:trHeight w:val="266"/>
        </w:trPr>
        <w:tc>
          <w:tcPr>
            <w:tcW w:w="5427" w:type="dxa"/>
            <w:noWrap/>
            <w:vAlign w:val="center"/>
            <w:hideMark/>
          </w:tcPr>
          <w:p w14:paraId="52B06B89" w14:textId="77777777" w:rsidR="003A1A26" w:rsidRPr="006A747F" w:rsidRDefault="003A1A26" w:rsidP="00235EA3">
            <w:pPr>
              <w:widowControl/>
              <w:snapToGrid w:val="0"/>
              <w:spacing w:line="360" w:lineRule="auto"/>
              <w:ind w:firstLineChars="300" w:firstLine="720"/>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Heart failure</w:t>
            </w:r>
          </w:p>
        </w:tc>
        <w:tc>
          <w:tcPr>
            <w:tcW w:w="2087" w:type="dxa"/>
            <w:noWrap/>
            <w:vAlign w:val="center"/>
            <w:hideMark/>
          </w:tcPr>
          <w:p w14:paraId="22477F04" w14:textId="645B5B3F"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6</w:t>
            </w:r>
            <w:r>
              <w:rPr>
                <w:rFonts w:ascii="Book Antiqua" w:eastAsia="MS PGothic" w:hAnsi="Book Antiqua" w:cs="Times New Roman"/>
                <w:bCs/>
                <w:color w:val="000000"/>
                <w:kern w:val="0"/>
                <w:sz w:val="24"/>
                <w:szCs w:val="24"/>
              </w:rPr>
              <w:t xml:space="preserve"> (2.4</w:t>
            </w:r>
            <w:r w:rsidRPr="006A747F">
              <w:rPr>
                <w:rFonts w:ascii="Book Antiqua" w:eastAsia="MS PGothic" w:hAnsi="Book Antiqua" w:cs="Times New Roman"/>
                <w:bCs/>
                <w:color w:val="000000"/>
                <w:kern w:val="0"/>
                <w:sz w:val="24"/>
                <w:szCs w:val="24"/>
              </w:rPr>
              <w:t>)</w:t>
            </w:r>
          </w:p>
        </w:tc>
        <w:tc>
          <w:tcPr>
            <w:tcW w:w="1765" w:type="dxa"/>
            <w:gridSpan w:val="2"/>
            <w:noWrap/>
            <w:vAlign w:val="center"/>
            <w:hideMark/>
          </w:tcPr>
          <w:p w14:paraId="5C46EE3A" w14:textId="769BFE7E"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1</w:t>
            </w:r>
            <w:r>
              <w:rPr>
                <w:rFonts w:ascii="Book Antiqua" w:eastAsia="MS PGothic" w:hAnsi="Book Antiqua" w:cs="Times New Roman"/>
                <w:bCs/>
                <w:color w:val="000000"/>
                <w:kern w:val="0"/>
                <w:sz w:val="24"/>
                <w:szCs w:val="24"/>
              </w:rPr>
              <w:t xml:space="preserve"> </w:t>
            </w:r>
            <w:r w:rsidRPr="006A747F">
              <w:rPr>
                <w:rFonts w:ascii="Book Antiqua" w:eastAsia="MS PGothic" w:hAnsi="Book Antiqua" w:cs="Times New Roman"/>
                <w:bCs/>
                <w:color w:val="000000"/>
                <w:kern w:val="0"/>
                <w:sz w:val="24"/>
                <w:szCs w:val="24"/>
              </w:rPr>
              <w:t>(0.3)</w:t>
            </w:r>
          </w:p>
        </w:tc>
        <w:tc>
          <w:tcPr>
            <w:tcW w:w="1211" w:type="dxa"/>
            <w:noWrap/>
            <w:vAlign w:val="center"/>
            <w:hideMark/>
          </w:tcPr>
          <w:p w14:paraId="282E09FA" w14:textId="77777777" w:rsidR="003A1A26" w:rsidRPr="006A747F" w:rsidRDefault="003A1A26" w:rsidP="00235EA3">
            <w:pPr>
              <w:widowControl/>
              <w:snapToGrid w:val="0"/>
              <w:spacing w:line="360" w:lineRule="auto"/>
              <w:jc w:val="center"/>
              <w:rPr>
                <w:rFonts w:ascii="Book Antiqua" w:eastAsia="MS PGothic" w:hAnsi="Book Antiqua" w:cs="Times New Roman"/>
                <w:bCs/>
                <w:color w:val="000000"/>
                <w:kern w:val="0"/>
                <w:sz w:val="24"/>
                <w:szCs w:val="24"/>
              </w:rPr>
            </w:pPr>
            <w:r w:rsidRPr="006A747F">
              <w:rPr>
                <w:rFonts w:ascii="Book Antiqua" w:eastAsia="MS PGothic" w:hAnsi="Book Antiqua" w:cs="Times New Roman"/>
                <w:bCs/>
                <w:color w:val="000000"/>
                <w:kern w:val="0"/>
                <w:sz w:val="24"/>
                <w:szCs w:val="24"/>
              </w:rPr>
              <w:t>0.050</w:t>
            </w:r>
          </w:p>
        </w:tc>
      </w:tr>
    </w:tbl>
    <w:p w14:paraId="035DFF59" w14:textId="253AA530" w:rsidR="005831CF" w:rsidRPr="003A1A26" w:rsidRDefault="00DC448A" w:rsidP="00235EA3">
      <w:pPr>
        <w:snapToGrid w:val="0"/>
        <w:spacing w:line="360" w:lineRule="auto"/>
        <w:rPr>
          <w:rFonts w:ascii="Book Antiqua" w:hAnsi="Book Antiqua"/>
          <w:sz w:val="24"/>
          <w:szCs w:val="24"/>
        </w:rPr>
      </w:pPr>
      <w:r w:rsidRPr="006A747F">
        <w:rPr>
          <w:rFonts w:ascii="Book Antiqua" w:hAnsi="Book Antiqua"/>
          <w:sz w:val="24"/>
          <w:szCs w:val="24"/>
        </w:rPr>
        <w:t>HNSCC:</w:t>
      </w:r>
      <w:r w:rsidR="003A1A26">
        <w:rPr>
          <w:rFonts w:ascii="Book Antiqua" w:hAnsi="Book Antiqua"/>
          <w:sz w:val="24"/>
          <w:szCs w:val="24"/>
        </w:rPr>
        <w:t xml:space="preserve"> </w:t>
      </w:r>
      <w:r w:rsidRPr="003A1A26">
        <w:rPr>
          <w:rFonts w:ascii="Book Antiqua" w:hAnsi="Book Antiqua"/>
          <w:caps/>
          <w:sz w:val="24"/>
          <w:szCs w:val="24"/>
        </w:rPr>
        <w:t>h</w:t>
      </w:r>
      <w:r w:rsidRPr="006A747F">
        <w:rPr>
          <w:rFonts w:ascii="Book Antiqua" w:hAnsi="Book Antiqua"/>
          <w:sz w:val="24"/>
          <w:szCs w:val="24"/>
        </w:rPr>
        <w:t>ead and neck squamous cell carcinoma</w:t>
      </w:r>
      <w:r w:rsidR="003A1A26">
        <w:rPr>
          <w:rFonts w:ascii="Book Antiqua" w:hAnsi="Book Antiqua"/>
          <w:sz w:val="24"/>
          <w:szCs w:val="24"/>
        </w:rPr>
        <w:t>;</w:t>
      </w:r>
      <w:r w:rsidRPr="006A747F">
        <w:rPr>
          <w:rFonts w:ascii="Book Antiqua" w:hAnsi="Book Antiqua"/>
          <w:sz w:val="24"/>
          <w:szCs w:val="24"/>
        </w:rPr>
        <w:t xml:space="preserve"> ESCC: </w:t>
      </w:r>
      <w:r w:rsidRPr="003A1A26">
        <w:rPr>
          <w:rFonts w:ascii="Book Antiqua" w:hAnsi="Book Antiqua"/>
          <w:caps/>
          <w:sz w:val="24"/>
          <w:szCs w:val="24"/>
        </w:rPr>
        <w:t>e</w:t>
      </w:r>
      <w:r w:rsidRPr="006A747F">
        <w:rPr>
          <w:rFonts w:ascii="Book Antiqua" w:hAnsi="Book Antiqua"/>
          <w:sz w:val="24"/>
          <w:szCs w:val="24"/>
        </w:rPr>
        <w:t>sophageal squamous cell carcinoma</w:t>
      </w:r>
      <w:r w:rsidR="003A1A26">
        <w:rPr>
          <w:rFonts w:ascii="Book Antiqua" w:hAnsi="Book Antiqua"/>
          <w:sz w:val="24"/>
          <w:szCs w:val="24"/>
        </w:rPr>
        <w:t xml:space="preserve">; </w:t>
      </w:r>
      <w:r w:rsidRPr="006A747F">
        <w:rPr>
          <w:rFonts w:ascii="Book Antiqua" w:hAnsi="Book Antiqua"/>
          <w:sz w:val="24"/>
          <w:szCs w:val="24"/>
        </w:rPr>
        <w:t xml:space="preserve">HCC: </w:t>
      </w:r>
      <w:r w:rsidRPr="003A1A26">
        <w:rPr>
          <w:rFonts w:ascii="Book Antiqua" w:hAnsi="Book Antiqua"/>
          <w:caps/>
          <w:sz w:val="24"/>
          <w:szCs w:val="24"/>
        </w:rPr>
        <w:t>h</w:t>
      </w:r>
      <w:r w:rsidRPr="006A747F">
        <w:rPr>
          <w:rFonts w:ascii="Book Antiqua" w:hAnsi="Book Antiqua"/>
          <w:sz w:val="24"/>
          <w:szCs w:val="24"/>
        </w:rPr>
        <w:t>epatocellular carcinoma</w:t>
      </w:r>
      <w:r w:rsidR="003A1A26">
        <w:rPr>
          <w:rFonts w:ascii="Book Antiqua" w:hAnsi="Book Antiqua"/>
          <w:sz w:val="24"/>
          <w:szCs w:val="24"/>
        </w:rPr>
        <w:t>.</w:t>
      </w:r>
    </w:p>
    <w:sectPr w:rsidR="005831CF" w:rsidRPr="003A1A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892C7" w14:textId="77777777" w:rsidR="008A6365" w:rsidRDefault="008A6365" w:rsidP="00207F5C">
      <w:r>
        <w:separator/>
      </w:r>
    </w:p>
  </w:endnote>
  <w:endnote w:type="continuationSeparator" w:id="0">
    <w:p w14:paraId="15B3FA85" w14:textId="77777777" w:rsidR="008A6365" w:rsidRDefault="008A6365" w:rsidP="0020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N W3">
    <w:altName w:val="MS Gothic"/>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8BF9E" w14:textId="77777777" w:rsidR="008A6365" w:rsidRDefault="008A6365" w:rsidP="00207F5C">
      <w:r>
        <w:separator/>
      </w:r>
    </w:p>
  </w:footnote>
  <w:footnote w:type="continuationSeparator" w:id="0">
    <w:p w14:paraId="57D85FB9" w14:textId="77777777" w:rsidR="008A6365" w:rsidRDefault="008A6365" w:rsidP="00207F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391305"/>
    <w:multiLevelType w:val="hybridMultilevel"/>
    <w:tmpl w:val="3AE82A16"/>
    <w:lvl w:ilvl="0" w:tplc="9FC2556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70B"/>
    <w:rsid w:val="00004BB2"/>
    <w:rsid w:val="00011270"/>
    <w:rsid w:val="000114D2"/>
    <w:rsid w:val="000134B5"/>
    <w:rsid w:val="00015965"/>
    <w:rsid w:val="00017219"/>
    <w:rsid w:val="00020C4A"/>
    <w:rsid w:val="00020DBE"/>
    <w:rsid w:val="00023727"/>
    <w:rsid w:val="000243B3"/>
    <w:rsid w:val="0003184F"/>
    <w:rsid w:val="00031A94"/>
    <w:rsid w:val="000338B8"/>
    <w:rsid w:val="00041D58"/>
    <w:rsid w:val="00047724"/>
    <w:rsid w:val="00052868"/>
    <w:rsid w:val="00060F50"/>
    <w:rsid w:val="00077311"/>
    <w:rsid w:val="00081C7E"/>
    <w:rsid w:val="000839AF"/>
    <w:rsid w:val="00085182"/>
    <w:rsid w:val="00090054"/>
    <w:rsid w:val="00091E1A"/>
    <w:rsid w:val="0009477B"/>
    <w:rsid w:val="000A1014"/>
    <w:rsid w:val="000A10EA"/>
    <w:rsid w:val="000A19D3"/>
    <w:rsid w:val="000A3103"/>
    <w:rsid w:val="000A36FD"/>
    <w:rsid w:val="000B30D1"/>
    <w:rsid w:val="000B3858"/>
    <w:rsid w:val="000B57E1"/>
    <w:rsid w:val="000B5F8E"/>
    <w:rsid w:val="000B75AD"/>
    <w:rsid w:val="000C24FA"/>
    <w:rsid w:val="000D221B"/>
    <w:rsid w:val="000D2DB3"/>
    <w:rsid w:val="000D7652"/>
    <w:rsid w:val="000D796A"/>
    <w:rsid w:val="000E044F"/>
    <w:rsid w:val="000E0DF7"/>
    <w:rsid w:val="000E1A45"/>
    <w:rsid w:val="000E59A5"/>
    <w:rsid w:val="000F46E7"/>
    <w:rsid w:val="000F5E2C"/>
    <w:rsid w:val="001010B2"/>
    <w:rsid w:val="001061AB"/>
    <w:rsid w:val="00111F35"/>
    <w:rsid w:val="00112CD3"/>
    <w:rsid w:val="001209BC"/>
    <w:rsid w:val="001212DA"/>
    <w:rsid w:val="00122AB7"/>
    <w:rsid w:val="001245CE"/>
    <w:rsid w:val="0013091D"/>
    <w:rsid w:val="00131DF6"/>
    <w:rsid w:val="0013582D"/>
    <w:rsid w:val="00136092"/>
    <w:rsid w:val="0013656F"/>
    <w:rsid w:val="00140FA9"/>
    <w:rsid w:val="00142A9A"/>
    <w:rsid w:val="00143EA0"/>
    <w:rsid w:val="0014492E"/>
    <w:rsid w:val="00145899"/>
    <w:rsid w:val="00150ACE"/>
    <w:rsid w:val="00151590"/>
    <w:rsid w:val="00162AF8"/>
    <w:rsid w:val="001704A4"/>
    <w:rsid w:val="001737FB"/>
    <w:rsid w:val="0017410C"/>
    <w:rsid w:val="001741DE"/>
    <w:rsid w:val="00184A6F"/>
    <w:rsid w:val="001853B9"/>
    <w:rsid w:val="00185CEF"/>
    <w:rsid w:val="00186AE8"/>
    <w:rsid w:val="00187DA9"/>
    <w:rsid w:val="00191165"/>
    <w:rsid w:val="0019260F"/>
    <w:rsid w:val="00192D93"/>
    <w:rsid w:val="001972C0"/>
    <w:rsid w:val="001B318A"/>
    <w:rsid w:val="001B737F"/>
    <w:rsid w:val="001C013E"/>
    <w:rsid w:val="001C281B"/>
    <w:rsid w:val="001C39F5"/>
    <w:rsid w:val="001C4173"/>
    <w:rsid w:val="001C5EDA"/>
    <w:rsid w:val="001D08D6"/>
    <w:rsid w:val="001D0A46"/>
    <w:rsid w:val="001D17EC"/>
    <w:rsid w:val="001D1BF7"/>
    <w:rsid w:val="001D33DB"/>
    <w:rsid w:val="001E0350"/>
    <w:rsid w:val="001E0E5A"/>
    <w:rsid w:val="001E3CAF"/>
    <w:rsid w:val="001E56A3"/>
    <w:rsid w:val="001F045C"/>
    <w:rsid w:val="001F05C0"/>
    <w:rsid w:val="001F1B21"/>
    <w:rsid w:val="001F278D"/>
    <w:rsid w:val="001F54E7"/>
    <w:rsid w:val="001F604D"/>
    <w:rsid w:val="002015EB"/>
    <w:rsid w:val="00201D69"/>
    <w:rsid w:val="002035D2"/>
    <w:rsid w:val="0020708A"/>
    <w:rsid w:val="00207F5C"/>
    <w:rsid w:val="002169AA"/>
    <w:rsid w:val="00221835"/>
    <w:rsid w:val="00221FD5"/>
    <w:rsid w:val="00223204"/>
    <w:rsid w:val="00223CC1"/>
    <w:rsid w:val="00226101"/>
    <w:rsid w:val="0023106E"/>
    <w:rsid w:val="00232307"/>
    <w:rsid w:val="00235EA3"/>
    <w:rsid w:val="00237F74"/>
    <w:rsid w:val="002420C6"/>
    <w:rsid w:val="002469D3"/>
    <w:rsid w:val="00253250"/>
    <w:rsid w:val="00253256"/>
    <w:rsid w:val="00254287"/>
    <w:rsid w:val="002559E7"/>
    <w:rsid w:val="002561A5"/>
    <w:rsid w:val="00256AFA"/>
    <w:rsid w:val="002643C9"/>
    <w:rsid w:val="00264721"/>
    <w:rsid w:val="0027067F"/>
    <w:rsid w:val="00272346"/>
    <w:rsid w:val="002768E6"/>
    <w:rsid w:val="0028329A"/>
    <w:rsid w:val="002833C5"/>
    <w:rsid w:val="002925B2"/>
    <w:rsid w:val="0029323F"/>
    <w:rsid w:val="0029327B"/>
    <w:rsid w:val="00293DF4"/>
    <w:rsid w:val="002944FC"/>
    <w:rsid w:val="00297A63"/>
    <w:rsid w:val="002A590C"/>
    <w:rsid w:val="002D6A45"/>
    <w:rsid w:val="002E292D"/>
    <w:rsid w:val="002E56F8"/>
    <w:rsid w:val="002F04C6"/>
    <w:rsid w:val="002F71B5"/>
    <w:rsid w:val="002F7349"/>
    <w:rsid w:val="00303B78"/>
    <w:rsid w:val="003046B8"/>
    <w:rsid w:val="00305E74"/>
    <w:rsid w:val="0031318B"/>
    <w:rsid w:val="003226DB"/>
    <w:rsid w:val="003251CD"/>
    <w:rsid w:val="003266B8"/>
    <w:rsid w:val="00337ED1"/>
    <w:rsid w:val="00340755"/>
    <w:rsid w:val="00340C1D"/>
    <w:rsid w:val="00341607"/>
    <w:rsid w:val="0034254D"/>
    <w:rsid w:val="003436CF"/>
    <w:rsid w:val="003442BB"/>
    <w:rsid w:val="00344B7B"/>
    <w:rsid w:val="00347836"/>
    <w:rsid w:val="00353154"/>
    <w:rsid w:val="003670D2"/>
    <w:rsid w:val="00367772"/>
    <w:rsid w:val="003708E1"/>
    <w:rsid w:val="003748F3"/>
    <w:rsid w:val="00375D40"/>
    <w:rsid w:val="00376DD8"/>
    <w:rsid w:val="00380A0B"/>
    <w:rsid w:val="0039054D"/>
    <w:rsid w:val="00392B34"/>
    <w:rsid w:val="00392C86"/>
    <w:rsid w:val="003957DF"/>
    <w:rsid w:val="003963DB"/>
    <w:rsid w:val="003A072E"/>
    <w:rsid w:val="003A122F"/>
    <w:rsid w:val="003A1A26"/>
    <w:rsid w:val="003B2F03"/>
    <w:rsid w:val="003B406B"/>
    <w:rsid w:val="003B5172"/>
    <w:rsid w:val="003D0085"/>
    <w:rsid w:val="003D22AB"/>
    <w:rsid w:val="003D4A75"/>
    <w:rsid w:val="003D6330"/>
    <w:rsid w:val="003D77CC"/>
    <w:rsid w:val="003D7908"/>
    <w:rsid w:val="003E6915"/>
    <w:rsid w:val="003E6CFD"/>
    <w:rsid w:val="003E7E0A"/>
    <w:rsid w:val="003F15D2"/>
    <w:rsid w:val="003F20F4"/>
    <w:rsid w:val="003F2653"/>
    <w:rsid w:val="003F5173"/>
    <w:rsid w:val="003F5455"/>
    <w:rsid w:val="003F7E1A"/>
    <w:rsid w:val="00410BD4"/>
    <w:rsid w:val="00414EF4"/>
    <w:rsid w:val="00417CB3"/>
    <w:rsid w:val="00422676"/>
    <w:rsid w:val="00423F67"/>
    <w:rsid w:val="00425F89"/>
    <w:rsid w:val="00426A56"/>
    <w:rsid w:val="00432346"/>
    <w:rsid w:val="0043745B"/>
    <w:rsid w:val="00437F29"/>
    <w:rsid w:val="004408CF"/>
    <w:rsid w:val="004423BC"/>
    <w:rsid w:val="004423DF"/>
    <w:rsid w:val="00442761"/>
    <w:rsid w:val="00444094"/>
    <w:rsid w:val="00447252"/>
    <w:rsid w:val="00453A51"/>
    <w:rsid w:val="00455F45"/>
    <w:rsid w:val="00461730"/>
    <w:rsid w:val="0046426F"/>
    <w:rsid w:val="00464D5C"/>
    <w:rsid w:val="00466AD4"/>
    <w:rsid w:val="00473907"/>
    <w:rsid w:val="00475AA3"/>
    <w:rsid w:val="00475BB4"/>
    <w:rsid w:val="00476C9C"/>
    <w:rsid w:val="00480E5C"/>
    <w:rsid w:val="00490AFD"/>
    <w:rsid w:val="00490B4A"/>
    <w:rsid w:val="00490C35"/>
    <w:rsid w:val="0049359D"/>
    <w:rsid w:val="004944B9"/>
    <w:rsid w:val="00496BE2"/>
    <w:rsid w:val="004A1BFC"/>
    <w:rsid w:val="004A3B72"/>
    <w:rsid w:val="004A71E9"/>
    <w:rsid w:val="004B7868"/>
    <w:rsid w:val="004B7F0A"/>
    <w:rsid w:val="004C0485"/>
    <w:rsid w:val="004C3E7C"/>
    <w:rsid w:val="004C6BD6"/>
    <w:rsid w:val="004C7609"/>
    <w:rsid w:val="004D2CB1"/>
    <w:rsid w:val="004D6C06"/>
    <w:rsid w:val="004E2C84"/>
    <w:rsid w:val="004F2447"/>
    <w:rsid w:val="004F2F7A"/>
    <w:rsid w:val="00500C35"/>
    <w:rsid w:val="0050736C"/>
    <w:rsid w:val="00507DE2"/>
    <w:rsid w:val="0051253F"/>
    <w:rsid w:val="00512E10"/>
    <w:rsid w:val="00517A76"/>
    <w:rsid w:val="00517D17"/>
    <w:rsid w:val="00520877"/>
    <w:rsid w:val="005212DA"/>
    <w:rsid w:val="005216C1"/>
    <w:rsid w:val="0052705D"/>
    <w:rsid w:val="00531215"/>
    <w:rsid w:val="005333BA"/>
    <w:rsid w:val="00533B4F"/>
    <w:rsid w:val="0054221A"/>
    <w:rsid w:val="00543200"/>
    <w:rsid w:val="00550825"/>
    <w:rsid w:val="00551925"/>
    <w:rsid w:val="00566E94"/>
    <w:rsid w:val="0056794E"/>
    <w:rsid w:val="00571A6C"/>
    <w:rsid w:val="00573CCE"/>
    <w:rsid w:val="0057485E"/>
    <w:rsid w:val="0057608B"/>
    <w:rsid w:val="005831CF"/>
    <w:rsid w:val="0058373C"/>
    <w:rsid w:val="0059475E"/>
    <w:rsid w:val="00595886"/>
    <w:rsid w:val="0059717A"/>
    <w:rsid w:val="005A1949"/>
    <w:rsid w:val="005A2F23"/>
    <w:rsid w:val="005A54D5"/>
    <w:rsid w:val="005A60C6"/>
    <w:rsid w:val="005B3513"/>
    <w:rsid w:val="005B3A41"/>
    <w:rsid w:val="005B4123"/>
    <w:rsid w:val="005B72A0"/>
    <w:rsid w:val="005C05E1"/>
    <w:rsid w:val="005C0840"/>
    <w:rsid w:val="005C5CFE"/>
    <w:rsid w:val="005C7F71"/>
    <w:rsid w:val="005D2706"/>
    <w:rsid w:val="005D6A8F"/>
    <w:rsid w:val="005D721C"/>
    <w:rsid w:val="005D76B3"/>
    <w:rsid w:val="005D7D2C"/>
    <w:rsid w:val="005E2508"/>
    <w:rsid w:val="005E4640"/>
    <w:rsid w:val="005E6230"/>
    <w:rsid w:val="005E6A32"/>
    <w:rsid w:val="005E75E4"/>
    <w:rsid w:val="005F3195"/>
    <w:rsid w:val="005F78E1"/>
    <w:rsid w:val="00601E24"/>
    <w:rsid w:val="00607BA1"/>
    <w:rsid w:val="006131BE"/>
    <w:rsid w:val="006142CE"/>
    <w:rsid w:val="00622C6D"/>
    <w:rsid w:val="00622E76"/>
    <w:rsid w:val="006242FD"/>
    <w:rsid w:val="006259B4"/>
    <w:rsid w:val="00627175"/>
    <w:rsid w:val="006306B2"/>
    <w:rsid w:val="00637550"/>
    <w:rsid w:val="0064001C"/>
    <w:rsid w:val="00641E5D"/>
    <w:rsid w:val="0064480E"/>
    <w:rsid w:val="00646A2C"/>
    <w:rsid w:val="00650F0B"/>
    <w:rsid w:val="00651915"/>
    <w:rsid w:val="0065578D"/>
    <w:rsid w:val="00660B39"/>
    <w:rsid w:val="0066212D"/>
    <w:rsid w:val="006625F2"/>
    <w:rsid w:val="00662D33"/>
    <w:rsid w:val="006635EF"/>
    <w:rsid w:val="00664CA9"/>
    <w:rsid w:val="006677AB"/>
    <w:rsid w:val="00672CF4"/>
    <w:rsid w:val="0067444A"/>
    <w:rsid w:val="006748D9"/>
    <w:rsid w:val="00674F42"/>
    <w:rsid w:val="00675AA7"/>
    <w:rsid w:val="0067624A"/>
    <w:rsid w:val="00677483"/>
    <w:rsid w:val="00683CF6"/>
    <w:rsid w:val="00685D88"/>
    <w:rsid w:val="00691CAB"/>
    <w:rsid w:val="006929F7"/>
    <w:rsid w:val="00694301"/>
    <w:rsid w:val="00695667"/>
    <w:rsid w:val="00695A3A"/>
    <w:rsid w:val="00695AC0"/>
    <w:rsid w:val="006A15F8"/>
    <w:rsid w:val="006A4E5A"/>
    <w:rsid w:val="006A648E"/>
    <w:rsid w:val="006A747F"/>
    <w:rsid w:val="006B1804"/>
    <w:rsid w:val="006B6243"/>
    <w:rsid w:val="006B62B4"/>
    <w:rsid w:val="006C270F"/>
    <w:rsid w:val="006C4967"/>
    <w:rsid w:val="006C5247"/>
    <w:rsid w:val="006C5475"/>
    <w:rsid w:val="006C7182"/>
    <w:rsid w:val="006D2630"/>
    <w:rsid w:val="006D5B25"/>
    <w:rsid w:val="006E53CF"/>
    <w:rsid w:val="006E7166"/>
    <w:rsid w:val="006F21C2"/>
    <w:rsid w:val="006F34AD"/>
    <w:rsid w:val="006F5EA5"/>
    <w:rsid w:val="006F6E30"/>
    <w:rsid w:val="00700356"/>
    <w:rsid w:val="00701D18"/>
    <w:rsid w:val="0070333C"/>
    <w:rsid w:val="0071127A"/>
    <w:rsid w:val="007119B2"/>
    <w:rsid w:val="00711EAD"/>
    <w:rsid w:val="00720061"/>
    <w:rsid w:val="00720A39"/>
    <w:rsid w:val="00723D08"/>
    <w:rsid w:val="007246B1"/>
    <w:rsid w:val="00733AE0"/>
    <w:rsid w:val="00736F41"/>
    <w:rsid w:val="00736F76"/>
    <w:rsid w:val="00741371"/>
    <w:rsid w:val="00744B03"/>
    <w:rsid w:val="0074616D"/>
    <w:rsid w:val="00747FF2"/>
    <w:rsid w:val="007510E3"/>
    <w:rsid w:val="00752331"/>
    <w:rsid w:val="00757FF2"/>
    <w:rsid w:val="0076214B"/>
    <w:rsid w:val="00762479"/>
    <w:rsid w:val="00775887"/>
    <w:rsid w:val="007850B3"/>
    <w:rsid w:val="00785603"/>
    <w:rsid w:val="0079045B"/>
    <w:rsid w:val="00792440"/>
    <w:rsid w:val="00796122"/>
    <w:rsid w:val="007A02DC"/>
    <w:rsid w:val="007A21C3"/>
    <w:rsid w:val="007A5D09"/>
    <w:rsid w:val="007B4844"/>
    <w:rsid w:val="007B5592"/>
    <w:rsid w:val="007B65BB"/>
    <w:rsid w:val="007B68E8"/>
    <w:rsid w:val="007C0657"/>
    <w:rsid w:val="007C336C"/>
    <w:rsid w:val="007C6AA1"/>
    <w:rsid w:val="007D034C"/>
    <w:rsid w:val="007D22B6"/>
    <w:rsid w:val="007D2849"/>
    <w:rsid w:val="007E0C30"/>
    <w:rsid w:val="007E12F8"/>
    <w:rsid w:val="007E2CB1"/>
    <w:rsid w:val="007E5B44"/>
    <w:rsid w:val="007E60AE"/>
    <w:rsid w:val="007E6556"/>
    <w:rsid w:val="007F0032"/>
    <w:rsid w:val="007F325B"/>
    <w:rsid w:val="00814439"/>
    <w:rsid w:val="008144F7"/>
    <w:rsid w:val="00814852"/>
    <w:rsid w:val="0081591C"/>
    <w:rsid w:val="00816B31"/>
    <w:rsid w:val="00817584"/>
    <w:rsid w:val="0081776C"/>
    <w:rsid w:val="00821C08"/>
    <w:rsid w:val="00821DA2"/>
    <w:rsid w:val="00824952"/>
    <w:rsid w:val="00824D2D"/>
    <w:rsid w:val="008259E5"/>
    <w:rsid w:val="0082723F"/>
    <w:rsid w:val="00833FA9"/>
    <w:rsid w:val="008348E5"/>
    <w:rsid w:val="00837A89"/>
    <w:rsid w:val="00843783"/>
    <w:rsid w:val="00843ACD"/>
    <w:rsid w:val="00853033"/>
    <w:rsid w:val="00853906"/>
    <w:rsid w:val="00857330"/>
    <w:rsid w:val="00860CA8"/>
    <w:rsid w:val="00860E67"/>
    <w:rsid w:val="00862861"/>
    <w:rsid w:val="00865347"/>
    <w:rsid w:val="00867B27"/>
    <w:rsid w:val="0087145F"/>
    <w:rsid w:val="00873D21"/>
    <w:rsid w:val="0088094A"/>
    <w:rsid w:val="00882192"/>
    <w:rsid w:val="00885837"/>
    <w:rsid w:val="008903CD"/>
    <w:rsid w:val="008A0B42"/>
    <w:rsid w:val="008A0FBD"/>
    <w:rsid w:val="008A6365"/>
    <w:rsid w:val="008A6EAF"/>
    <w:rsid w:val="008B3850"/>
    <w:rsid w:val="008B45E9"/>
    <w:rsid w:val="008B47E6"/>
    <w:rsid w:val="008B573C"/>
    <w:rsid w:val="008C27DF"/>
    <w:rsid w:val="008C44FF"/>
    <w:rsid w:val="008D071D"/>
    <w:rsid w:val="008D5C5A"/>
    <w:rsid w:val="008E28DD"/>
    <w:rsid w:val="008F28DA"/>
    <w:rsid w:val="008F350A"/>
    <w:rsid w:val="009105C4"/>
    <w:rsid w:val="0091125E"/>
    <w:rsid w:val="00911A25"/>
    <w:rsid w:val="0091307B"/>
    <w:rsid w:val="00914B4B"/>
    <w:rsid w:val="00915F22"/>
    <w:rsid w:val="0093123F"/>
    <w:rsid w:val="009361F7"/>
    <w:rsid w:val="00940A37"/>
    <w:rsid w:val="00944108"/>
    <w:rsid w:val="00944701"/>
    <w:rsid w:val="00954314"/>
    <w:rsid w:val="0096046E"/>
    <w:rsid w:val="00964540"/>
    <w:rsid w:val="00965E49"/>
    <w:rsid w:val="00966B0A"/>
    <w:rsid w:val="009672FA"/>
    <w:rsid w:val="00970E3F"/>
    <w:rsid w:val="009750FA"/>
    <w:rsid w:val="00976150"/>
    <w:rsid w:val="0098265A"/>
    <w:rsid w:val="009839CB"/>
    <w:rsid w:val="009862D1"/>
    <w:rsid w:val="00987EB2"/>
    <w:rsid w:val="00994810"/>
    <w:rsid w:val="00994DE7"/>
    <w:rsid w:val="00997828"/>
    <w:rsid w:val="00997A11"/>
    <w:rsid w:val="009A257B"/>
    <w:rsid w:val="009B3AC0"/>
    <w:rsid w:val="009B51E0"/>
    <w:rsid w:val="009B7554"/>
    <w:rsid w:val="009C1963"/>
    <w:rsid w:val="009D2DC1"/>
    <w:rsid w:val="009D640E"/>
    <w:rsid w:val="009D6F92"/>
    <w:rsid w:val="009D7BBA"/>
    <w:rsid w:val="009E0745"/>
    <w:rsid w:val="009E7D02"/>
    <w:rsid w:val="009F202C"/>
    <w:rsid w:val="009F313A"/>
    <w:rsid w:val="009F3F33"/>
    <w:rsid w:val="009F587F"/>
    <w:rsid w:val="00A0019E"/>
    <w:rsid w:val="00A0078B"/>
    <w:rsid w:val="00A012F5"/>
    <w:rsid w:val="00A063CD"/>
    <w:rsid w:val="00A1335B"/>
    <w:rsid w:val="00A2259B"/>
    <w:rsid w:val="00A26634"/>
    <w:rsid w:val="00A309F6"/>
    <w:rsid w:val="00A31F08"/>
    <w:rsid w:val="00A35A44"/>
    <w:rsid w:val="00A377B5"/>
    <w:rsid w:val="00A4133A"/>
    <w:rsid w:val="00A43A35"/>
    <w:rsid w:val="00A4626C"/>
    <w:rsid w:val="00A544F5"/>
    <w:rsid w:val="00A61697"/>
    <w:rsid w:val="00A61753"/>
    <w:rsid w:val="00A62D19"/>
    <w:rsid w:val="00A649A0"/>
    <w:rsid w:val="00A652DD"/>
    <w:rsid w:val="00A70675"/>
    <w:rsid w:val="00A7306F"/>
    <w:rsid w:val="00A74018"/>
    <w:rsid w:val="00A7570B"/>
    <w:rsid w:val="00A8078B"/>
    <w:rsid w:val="00A8221F"/>
    <w:rsid w:val="00A84026"/>
    <w:rsid w:val="00A92BDE"/>
    <w:rsid w:val="00A94DBA"/>
    <w:rsid w:val="00A95390"/>
    <w:rsid w:val="00AA306A"/>
    <w:rsid w:val="00AB1173"/>
    <w:rsid w:val="00AB222F"/>
    <w:rsid w:val="00AB2A2F"/>
    <w:rsid w:val="00AB5FA1"/>
    <w:rsid w:val="00AB732D"/>
    <w:rsid w:val="00AC0778"/>
    <w:rsid w:val="00AC21A9"/>
    <w:rsid w:val="00AD3C3B"/>
    <w:rsid w:val="00AD636D"/>
    <w:rsid w:val="00AE17A8"/>
    <w:rsid w:val="00AE7F0B"/>
    <w:rsid w:val="00AF0296"/>
    <w:rsid w:val="00AF0B10"/>
    <w:rsid w:val="00AF4696"/>
    <w:rsid w:val="00AF6B97"/>
    <w:rsid w:val="00B00466"/>
    <w:rsid w:val="00B01EC6"/>
    <w:rsid w:val="00B05627"/>
    <w:rsid w:val="00B05ADB"/>
    <w:rsid w:val="00B10691"/>
    <w:rsid w:val="00B12060"/>
    <w:rsid w:val="00B12406"/>
    <w:rsid w:val="00B136D3"/>
    <w:rsid w:val="00B14C01"/>
    <w:rsid w:val="00B154BC"/>
    <w:rsid w:val="00B24474"/>
    <w:rsid w:val="00B262F8"/>
    <w:rsid w:val="00B27E73"/>
    <w:rsid w:val="00B300A9"/>
    <w:rsid w:val="00B30867"/>
    <w:rsid w:val="00B3177B"/>
    <w:rsid w:val="00B336DD"/>
    <w:rsid w:val="00B33950"/>
    <w:rsid w:val="00B37090"/>
    <w:rsid w:val="00B37B37"/>
    <w:rsid w:val="00B5265C"/>
    <w:rsid w:val="00B52824"/>
    <w:rsid w:val="00B565B5"/>
    <w:rsid w:val="00B619F5"/>
    <w:rsid w:val="00B61C17"/>
    <w:rsid w:val="00B66AF0"/>
    <w:rsid w:val="00B70585"/>
    <w:rsid w:val="00B73184"/>
    <w:rsid w:val="00B73B9E"/>
    <w:rsid w:val="00B744F9"/>
    <w:rsid w:val="00B74906"/>
    <w:rsid w:val="00B77690"/>
    <w:rsid w:val="00B80851"/>
    <w:rsid w:val="00B849E5"/>
    <w:rsid w:val="00B95DA7"/>
    <w:rsid w:val="00B96309"/>
    <w:rsid w:val="00B97072"/>
    <w:rsid w:val="00BA41C5"/>
    <w:rsid w:val="00BA4DF2"/>
    <w:rsid w:val="00BA6769"/>
    <w:rsid w:val="00BB15A9"/>
    <w:rsid w:val="00BB713F"/>
    <w:rsid w:val="00BC6AA6"/>
    <w:rsid w:val="00BC6C88"/>
    <w:rsid w:val="00BD60B2"/>
    <w:rsid w:val="00BD65A5"/>
    <w:rsid w:val="00BE0D4B"/>
    <w:rsid w:val="00BE494C"/>
    <w:rsid w:val="00BE4BC0"/>
    <w:rsid w:val="00BF529E"/>
    <w:rsid w:val="00BF74AB"/>
    <w:rsid w:val="00C00396"/>
    <w:rsid w:val="00C05998"/>
    <w:rsid w:val="00C1466D"/>
    <w:rsid w:val="00C16FCF"/>
    <w:rsid w:val="00C20886"/>
    <w:rsid w:val="00C21D2A"/>
    <w:rsid w:val="00C2672E"/>
    <w:rsid w:val="00C279F6"/>
    <w:rsid w:val="00C32B2A"/>
    <w:rsid w:val="00C33B37"/>
    <w:rsid w:val="00C41DA3"/>
    <w:rsid w:val="00C4292D"/>
    <w:rsid w:val="00C54C3D"/>
    <w:rsid w:val="00C55FFD"/>
    <w:rsid w:val="00C56946"/>
    <w:rsid w:val="00C61180"/>
    <w:rsid w:val="00C62160"/>
    <w:rsid w:val="00C6331A"/>
    <w:rsid w:val="00C63564"/>
    <w:rsid w:val="00C66C97"/>
    <w:rsid w:val="00C73403"/>
    <w:rsid w:val="00C73F8B"/>
    <w:rsid w:val="00C77DA0"/>
    <w:rsid w:val="00CA1582"/>
    <w:rsid w:val="00CA76EB"/>
    <w:rsid w:val="00CB044D"/>
    <w:rsid w:val="00CB1D21"/>
    <w:rsid w:val="00CB24E4"/>
    <w:rsid w:val="00CB282D"/>
    <w:rsid w:val="00CB5B2F"/>
    <w:rsid w:val="00CB6490"/>
    <w:rsid w:val="00CB6ECA"/>
    <w:rsid w:val="00CC258D"/>
    <w:rsid w:val="00CC5DF8"/>
    <w:rsid w:val="00CC687E"/>
    <w:rsid w:val="00CD26EF"/>
    <w:rsid w:val="00CD73E8"/>
    <w:rsid w:val="00CE08B4"/>
    <w:rsid w:val="00CE73BA"/>
    <w:rsid w:val="00CF34CC"/>
    <w:rsid w:val="00D07BBB"/>
    <w:rsid w:val="00D11504"/>
    <w:rsid w:val="00D1229D"/>
    <w:rsid w:val="00D15388"/>
    <w:rsid w:val="00D17CD8"/>
    <w:rsid w:val="00D24DFB"/>
    <w:rsid w:val="00D312B4"/>
    <w:rsid w:val="00D32A7E"/>
    <w:rsid w:val="00D378F8"/>
    <w:rsid w:val="00D4144C"/>
    <w:rsid w:val="00D422A6"/>
    <w:rsid w:val="00D430EC"/>
    <w:rsid w:val="00D4400F"/>
    <w:rsid w:val="00D5644D"/>
    <w:rsid w:val="00D5748C"/>
    <w:rsid w:val="00D57DC9"/>
    <w:rsid w:val="00D629A7"/>
    <w:rsid w:val="00D6679D"/>
    <w:rsid w:val="00D71B82"/>
    <w:rsid w:val="00D74D4F"/>
    <w:rsid w:val="00D75FFF"/>
    <w:rsid w:val="00D773F2"/>
    <w:rsid w:val="00D80E93"/>
    <w:rsid w:val="00D81E7B"/>
    <w:rsid w:val="00D833A9"/>
    <w:rsid w:val="00D84155"/>
    <w:rsid w:val="00D859CF"/>
    <w:rsid w:val="00D92BAA"/>
    <w:rsid w:val="00D936E6"/>
    <w:rsid w:val="00D97803"/>
    <w:rsid w:val="00DA0A91"/>
    <w:rsid w:val="00DA1F12"/>
    <w:rsid w:val="00DA7EBC"/>
    <w:rsid w:val="00DB5F7A"/>
    <w:rsid w:val="00DB60C8"/>
    <w:rsid w:val="00DC448A"/>
    <w:rsid w:val="00DC60F2"/>
    <w:rsid w:val="00DD0D76"/>
    <w:rsid w:val="00DD1617"/>
    <w:rsid w:val="00DE0787"/>
    <w:rsid w:val="00DE0B9B"/>
    <w:rsid w:val="00DE13D5"/>
    <w:rsid w:val="00DE5038"/>
    <w:rsid w:val="00DE7CE6"/>
    <w:rsid w:val="00DF222C"/>
    <w:rsid w:val="00DF326E"/>
    <w:rsid w:val="00DF3B41"/>
    <w:rsid w:val="00DF76E6"/>
    <w:rsid w:val="00E02488"/>
    <w:rsid w:val="00E02AA6"/>
    <w:rsid w:val="00E04947"/>
    <w:rsid w:val="00E05279"/>
    <w:rsid w:val="00E05514"/>
    <w:rsid w:val="00E06434"/>
    <w:rsid w:val="00E20980"/>
    <w:rsid w:val="00E2255B"/>
    <w:rsid w:val="00E24B4C"/>
    <w:rsid w:val="00E35F17"/>
    <w:rsid w:val="00E40427"/>
    <w:rsid w:val="00E41920"/>
    <w:rsid w:val="00E41ED8"/>
    <w:rsid w:val="00E43D9B"/>
    <w:rsid w:val="00E45237"/>
    <w:rsid w:val="00E472CD"/>
    <w:rsid w:val="00E61FF0"/>
    <w:rsid w:val="00E66FE3"/>
    <w:rsid w:val="00E67F70"/>
    <w:rsid w:val="00E70E95"/>
    <w:rsid w:val="00E7307B"/>
    <w:rsid w:val="00E775C5"/>
    <w:rsid w:val="00E77B82"/>
    <w:rsid w:val="00E81CEA"/>
    <w:rsid w:val="00E83769"/>
    <w:rsid w:val="00E86249"/>
    <w:rsid w:val="00E9291F"/>
    <w:rsid w:val="00EA1131"/>
    <w:rsid w:val="00EA3460"/>
    <w:rsid w:val="00EA3841"/>
    <w:rsid w:val="00EA447D"/>
    <w:rsid w:val="00EB0DE5"/>
    <w:rsid w:val="00EC3B41"/>
    <w:rsid w:val="00EC4652"/>
    <w:rsid w:val="00ED00B6"/>
    <w:rsid w:val="00ED1C86"/>
    <w:rsid w:val="00ED66FC"/>
    <w:rsid w:val="00EF37BB"/>
    <w:rsid w:val="00EF550B"/>
    <w:rsid w:val="00EF575E"/>
    <w:rsid w:val="00EF79BD"/>
    <w:rsid w:val="00F01E77"/>
    <w:rsid w:val="00F0269B"/>
    <w:rsid w:val="00F0355D"/>
    <w:rsid w:val="00F04EC4"/>
    <w:rsid w:val="00F219C9"/>
    <w:rsid w:val="00F23FBA"/>
    <w:rsid w:val="00F25876"/>
    <w:rsid w:val="00F31AD1"/>
    <w:rsid w:val="00F33855"/>
    <w:rsid w:val="00F43494"/>
    <w:rsid w:val="00F438C6"/>
    <w:rsid w:val="00F46A5A"/>
    <w:rsid w:val="00F470B0"/>
    <w:rsid w:val="00F51805"/>
    <w:rsid w:val="00F54187"/>
    <w:rsid w:val="00F54560"/>
    <w:rsid w:val="00F55C84"/>
    <w:rsid w:val="00F61155"/>
    <w:rsid w:val="00F62007"/>
    <w:rsid w:val="00F67E3A"/>
    <w:rsid w:val="00F724FA"/>
    <w:rsid w:val="00F72EC6"/>
    <w:rsid w:val="00F7780D"/>
    <w:rsid w:val="00F77855"/>
    <w:rsid w:val="00F82BF1"/>
    <w:rsid w:val="00FA0D04"/>
    <w:rsid w:val="00FA7665"/>
    <w:rsid w:val="00FB34FE"/>
    <w:rsid w:val="00FB3926"/>
    <w:rsid w:val="00FB4F83"/>
    <w:rsid w:val="00FB66B4"/>
    <w:rsid w:val="00FC1F36"/>
    <w:rsid w:val="00FC5964"/>
    <w:rsid w:val="00FC6075"/>
    <w:rsid w:val="00FD0146"/>
    <w:rsid w:val="00FD04DD"/>
    <w:rsid w:val="00FD0FF7"/>
    <w:rsid w:val="00FD1192"/>
    <w:rsid w:val="00FD11EB"/>
    <w:rsid w:val="00FD305A"/>
    <w:rsid w:val="00FD5542"/>
    <w:rsid w:val="00FD5AA2"/>
    <w:rsid w:val="00FE1CAC"/>
    <w:rsid w:val="00FE27FA"/>
    <w:rsid w:val="00FF0184"/>
    <w:rsid w:val="00FF7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45D192F"/>
  <w15:docId w15:val="{E976D5F0-43F6-4918-B7E8-DB14D7E1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EC4"/>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F5C"/>
    <w:pPr>
      <w:tabs>
        <w:tab w:val="center" w:pos="4252"/>
        <w:tab w:val="right" w:pos="8504"/>
      </w:tabs>
      <w:snapToGrid w:val="0"/>
    </w:pPr>
  </w:style>
  <w:style w:type="character" w:customStyle="1" w:styleId="HeaderChar">
    <w:name w:val="Header Char"/>
    <w:basedOn w:val="DefaultParagraphFont"/>
    <w:link w:val="Header"/>
    <w:uiPriority w:val="99"/>
    <w:rsid w:val="00207F5C"/>
  </w:style>
  <w:style w:type="paragraph" w:styleId="Footer">
    <w:name w:val="footer"/>
    <w:basedOn w:val="Normal"/>
    <w:link w:val="FooterChar"/>
    <w:uiPriority w:val="99"/>
    <w:unhideWhenUsed/>
    <w:rsid w:val="00207F5C"/>
    <w:pPr>
      <w:tabs>
        <w:tab w:val="center" w:pos="4252"/>
        <w:tab w:val="right" w:pos="8504"/>
      </w:tabs>
      <w:snapToGrid w:val="0"/>
    </w:pPr>
  </w:style>
  <w:style w:type="character" w:customStyle="1" w:styleId="FooterChar">
    <w:name w:val="Footer Char"/>
    <w:basedOn w:val="DefaultParagraphFont"/>
    <w:link w:val="Footer"/>
    <w:uiPriority w:val="99"/>
    <w:rsid w:val="00207F5C"/>
  </w:style>
  <w:style w:type="character" w:styleId="CommentReference">
    <w:name w:val="annotation reference"/>
    <w:basedOn w:val="DefaultParagraphFont"/>
    <w:uiPriority w:val="99"/>
    <w:semiHidden/>
    <w:unhideWhenUsed/>
    <w:rsid w:val="00D833A9"/>
    <w:rPr>
      <w:sz w:val="18"/>
      <w:szCs w:val="18"/>
    </w:rPr>
  </w:style>
  <w:style w:type="paragraph" w:styleId="CommentText">
    <w:name w:val="annotation text"/>
    <w:basedOn w:val="Normal"/>
    <w:link w:val="CommentTextChar"/>
    <w:uiPriority w:val="99"/>
    <w:semiHidden/>
    <w:unhideWhenUsed/>
    <w:rsid w:val="00D833A9"/>
    <w:pPr>
      <w:jc w:val="left"/>
    </w:pPr>
  </w:style>
  <w:style w:type="character" w:customStyle="1" w:styleId="CommentTextChar">
    <w:name w:val="Comment Text Char"/>
    <w:basedOn w:val="DefaultParagraphFont"/>
    <w:link w:val="CommentText"/>
    <w:uiPriority w:val="99"/>
    <w:semiHidden/>
    <w:rsid w:val="00D833A9"/>
  </w:style>
  <w:style w:type="paragraph" w:styleId="CommentSubject">
    <w:name w:val="annotation subject"/>
    <w:basedOn w:val="CommentText"/>
    <w:next w:val="CommentText"/>
    <w:link w:val="CommentSubjectChar"/>
    <w:uiPriority w:val="99"/>
    <w:semiHidden/>
    <w:unhideWhenUsed/>
    <w:rsid w:val="00D833A9"/>
    <w:rPr>
      <w:b/>
      <w:bCs/>
    </w:rPr>
  </w:style>
  <w:style w:type="character" w:customStyle="1" w:styleId="CommentSubjectChar">
    <w:name w:val="Comment Subject Char"/>
    <w:basedOn w:val="CommentTextChar"/>
    <w:link w:val="CommentSubject"/>
    <w:uiPriority w:val="99"/>
    <w:semiHidden/>
    <w:rsid w:val="00D833A9"/>
    <w:rPr>
      <w:b/>
      <w:bCs/>
    </w:rPr>
  </w:style>
  <w:style w:type="paragraph" w:styleId="BalloonText">
    <w:name w:val="Balloon Text"/>
    <w:basedOn w:val="Normal"/>
    <w:link w:val="BalloonTextChar"/>
    <w:uiPriority w:val="99"/>
    <w:semiHidden/>
    <w:unhideWhenUsed/>
    <w:rsid w:val="00D833A9"/>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D833A9"/>
    <w:rPr>
      <w:rFonts w:ascii="ヒラギノ角ゴ ProN W3" w:eastAsia="ヒラギノ角ゴ ProN W3"/>
      <w:sz w:val="18"/>
      <w:szCs w:val="18"/>
    </w:rPr>
  </w:style>
  <w:style w:type="paragraph" w:styleId="Revision">
    <w:name w:val="Revision"/>
    <w:hidden/>
    <w:uiPriority w:val="99"/>
    <w:semiHidden/>
    <w:rsid w:val="004C6BD6"/>
  </w:style>
  <w:style w:type="paragraph" w:styleId="FootnoteText">
    <w:name w:val="footnote text"/>
    <w:basedOn w:val="Normal"/>
    <w:link w:val="FootnoteTextChar"/>
    <w:uiPriority w:val="99"/>
    <w:unhideWhenUsed/>
    <w:rsid w:val="000E59A5"/>
    <w:pPr>
      <w:snapToGrid w:val="0"/>
      <w:jc w:val="left"/>
    </w:pPr>
  </w:style>
  <w:style w:type="character" w:customStyle="1" w:styleId="FootnoteTextChar">
    <w:name w:val="Footnote Text Char"/>
    <w:basedOn w:val="DefaultParagraphFont"/>
    <w:link w:val="FootnoteText"/>
    <w:uiPriority w:val="99"/>
    <w:rsid w:val="000E59A5"/>
  </w:style>
  <w:style w:type="character" w:styleId="FootnoteReference">
    <w:name w:val="footnote reference"/>
    <w:basedOn w:val="DefaultParagraphFont"/>
    <w:uiPriority w:val="99"/>
    <w:unhideWhenUsed/>
    <w:rsid w:val="000E59A5"/>
    <w:rPr>
      <w:vertAlign w:val="superscript"/>
    </w:rPr>
  </w:style>
  <w:style w:type="paragraph" w:styleId="ListParagraph">
    <w:name w:val="List Paragraph"/>
    <w:basedOn w:val="Normal"/>
    <w:uiPriority w:val="34"/>
    <w:qFormat/>
    <w:rsid w:val="00677483"/>
    <w:pPr>
      <w:ind w:leftChars="400" w:left="840"/>
    </w:pPr>
  </w:style>
  <w:style w:type="character" w:styleId="Emphasis">
    <w:name w:val="Emphasis"/>
    <w:basedOn w:val="DefaultParagraphFont"/>
    <w:uiPriority w:val="20"/>
    <w:qFormat/>
    <w:rsid w:val="001F045C"/>
    <w:rPr>
      <w:b/>
      <w:bCs/>
      <w:i w:val="0"/>
      <w:iCs w:val="0"/>
    </w:rPr>
  </w:style>
  <w:style w:type="character" w:customStyle="1" w:styleId="st1">
    <w:name w:val="st1"/>
    <w:basedOn w:val="DefaultParagraphFont"/>
    <w:rsid w:val="001F045C"/>
  </w:style>
  <w:style w:type="table" w:styleId="TableGrid">
    <w:name w:val="Table Grid"/>
    <w:basedOn w:val="TableNormal"/>
    <w:uiPriority w:val="39"/>
    <w:rsid w:val="00EF5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6A747F"/>
    <w:pPr>
      <w:spacing w:line="276" w:lineRule="auto"/>
    </w:pPr>
    <w:rPr>
      <w:rFonts w:ascii="Arial" w:eastAsia="SimSun" w:hAnsi="Arial" w:cs="Arial"/>
      <w:color w:val="000000"/>
      <w:kern w:val="0"/>
      <w:sz w:val="22"/>
      <w:szCs w:val="20"/>
      <w:lang w:val="pl-PL" w:eastAsia="pl-PL"/>
    </w:rPr>
  </w:style>
  <w:style w:type="character" w:styleId="Hyperlink">
    <w:name w:val="Hyperlink"/>
    <w:basedOn w:val="DefaultParagraphFont"/>
    <w:uiPriority w:val="99"/>
    <w:unhideWhenUsed/>
    <w:rsid w:val="006A74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079927">
      <w:bodyDiv w:val="1"/>
      <w:marLeft w:val="0"/>
      <w:marRight w:val="0"/>
      <w:marTop w:val="0"/>
      <w:marBottom w:val="0"/>
      <w:divBdr>
        <w:top w:val="none" w:sz="0" w:space="0" w:color="auto"/>
        <w:left w:val="none" w:sz="0" w:space="0" w:color="auto"/>
        <w:bottom w:val="none" w:sz="0" w:space="0" w:color="auto"/>
        <w:right w:val="none" w:sz="0" w:space="0" w:color="auto"/>
      </w:divBdr>
    </w:div>
    <w:div w:id="1096051743">
      <w:bodyDiv w:val="1"/>
      <w:marLeft w:val="0"/>
      <w:marRight w:val="0"/>
      <w:marTop w:val="0"/>
      <w:marBottom w:val="0"/>
      <w:divBdr>
        <w:top w:val="none" w:sz="0" w:space="0" w:color="auto"/>
        <w:left w:val="none" w:sz="0" w:space="0" w:color="auto"/>
        <w:bottom w:val="none" w:sz="0" w:space="0" w:color="auto"/>
        <w:right w:val="none" w:sz="0" w:space="0" w:color="auto"/>
      </w:divBdr>
    </w:div>
    <w:div w:id="1471167715">
      <w:bodyDiv w:val="1"/>
      <w:marLeft w:val="0"/>
      <w:marRight w:val="0"/>
      <w:marTop w:val="0"/>
      <w:marBottom w:val="0"/>
      <w:divBdr>
        <w:top w:val="none" w:sz="0" w:space="0" w:color="auto"/>
        <w:left w:val="none" w:sz="0" w:space="0" w:color="auto"/>
        <w:bottom w:val="none" w:sz="0" w:space="0" w:color="auto"/>
        <w:right w:val="none" w:sz="0" w:space="0" w:color="auto"/>
      </w:divBdr>
      <w:divsChild>
        <w:div w:id="1103962373">
          <w:marLeft w:val="0"/>
          <w:marRight w:val="1"/>
          <w:marTop w:val="0"/>
          <w:marBottom w:val="0"/>
          <w:divBdr>
            <w:top w:val="none" w:sz="0" w:space="0" w:color="auto"/>
            <w:left w:val="none" w:sz="0" w:space="0" w:color="auto"/>
            <w:bottom w:val="none" w:sz="0" w:space="0" w:color="auto"/>
            <w:right w:val="none" w:sz="0" w:space="0" w:color="auto"/>
          </w:divBdr>
          <w:divsChild>
            <w:div w:id="1843742066">
              <w:marLeft w:val="0"/>
              <w:marRight w:val="0"/>
              <w:marTop w:val="0"/>
              <w:marBottom w:val="0"/>
              <w:divBdr>
                <w:top w:val="none" w:sz="0" w:space="0" w:color="auto"/>
                <w:left w:val="none" w:sz="0" w:space="0" w:color="auto"/>
                <w:bottom w:val="none" w:sz="0" w:space="0" w:color="auto"/>
                <w:right w:val="none" w:sz="0" w:space="0" w:color="auto"/>
              </w:divBdr>
              <w:divsChild>
                <w:div w:id="334772437">
                  <w:marLeft w:val="0"/>
                  <w:marRight w:val="1"/>
                  <w:marTop w:val="0"/>
                  <w:marBottom w:val="0"/>
                  <w:divBdr>
                    <w:top w:val="none" w:sz="0" w:space="0" w:color="auto"/>
                    <w:left w:val="none" w:sz="0" w:space="0" w:color="auto"/>
                    <w:bottom w:val="none" w:sz="0" w:space="0" w:color="auto"/>
                    <w:right w:val="none" w:sz="0" w:space="0" w:color="auto"/>
                  </w:divBdr>
                  <w:divsChild>
                    <w:div w:id="2069303147">
                      <w:marLeft w:val="0"/>
                      <w:marRight w:val="0"/>
                      <w:marTop w:val="0"/>
                      <w:marBottom w:val="0"/>
                      <w:divBdr>
                        <w:top w:val="none" w:sz="0" w:space="0" w:color="auto"/>
                        <w:left w:val="none" w:sz="0" w:space="0" w:color="auto"/>
                        <w:bottom w:val="none" w:sz="0" w:space="0" w:color="auto"/>
                        <w:right w:val="none" w:sz="0" w:space="0" w:color="auto"/>
                      </w:divBdr>
                      <w:divsChild>
                        <w:div w:id="507477551">
                          <w:marLeft w:val="0"/>
                          <w:marRight w:val="0"/>
                          <w:marTop w:val="0"/>
                          <w:marBottom w:val="0"/>
                          <w:divBdr>
                            <w:top w:val="none" w:sz="0" w:space="0" w:color="auto"/>
                            <w:left w:val="none" w:sz="0" w:space="0" w:color="auto"/>
                            <w:bottom w:val="none" w:sz="0" w:space="0" w:color="auto"/>
                            <w:right w:val="none" w:sz="0" w:space="0" w:color="auto"/>
                          </w:divBdr>
                          <w:divsChild>
                            <w:div w:id="808279110">
                              <w:marLeft w:val="0"/>
                              <w:marRight w:val="0"/>
                              <w:marTop w:val="120"/>
                              <w:marBottom w:val="360"/>
                              <w:divBdr>
                                <w:top w:val="none" w:sz="0" w:space="0" w:color="auto"/>
                                <w:left w:val="none" w:sz="0" w:space="0" w:color="auto"/>
                                <w:bottom w:val="none" w:sz="0" w:space="0" w:color="auto"/>
                                <w:right w:val="none" w:sz="0" w:space="0" w:color="auto"/>
                              </w:divBdr>
                              <w:divsChild>
                                <w:div w:id="905795474">
                                  <w:marLeft w:val="420"/>
                                  <w:marRight w:val="0"/>
                                  <w:marTop w:val="0"/>
                                  <w:marBottom w:val="0"/>
                                  <w:divBdr>
                                    <w:top w:val="none" w:sz="0" w:space="0" w:color="auto"/>
                                    <w:left w:val="none" w:sz="0" w:space="0" w:color="auto"/>
                                    <w:bottom w:val="none" w:sz="0" w:space="0" w:color="auto"/>
                                    <w:right w:val="none" w:sz="0" w:space="0" w:color="auto"/>
                                  </w:divBdr>
                                  <w:divsChild>
                                    <w:div w:id="784423575">
                                      <w:marLeft w:val="0"/>
                                      <w:marRight w:val="0"/>
                                      <w:marTop w:val="34"/>
                                      <w:marBottom w:val="34"/>
                                      <w:divBdr>
                                        <w:top w:val="none" w:sz="0" w:space="0" w:color="auto"/>
                                        <w:left w:val="none" w:sz="0" w:space="0" w:color="auto"/>
                                        <w:bottom w:val="none" w:sz="0" w:space="0" w:color="auto"/>
                                        <w:right w:val="none" w:sz="0" w:space="0" w:color="auto"/>
                                      </w:divBdr>
                                    </w:div>
                                    <w:div w:id="722141582">
                                      <w:marLeft w:val="0"/>
                                      <w:marRight w:val="0"/>
                                      <w:marTop w:val="0"/>
                                      <w:marBottom w:val="0"/>
                                      <w:divBdr>
                                        <w:top w:val="none" w:sz="0" w:space="0" w:color="auto"/>
                                        <w:left w:val="none" w:sz="0" w:space="0" w:color="auto"/>
                                        <w:bottom w:val="none" w:sz="0" w:space="0" w:color="auto"/>
                                        <w:right w:val="none" w:sz="0" w:space="0" w:color="auto"/>
                                      </w:divBdr>
                                      <w:divsChild>
                                        <w:div w:id="18972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032794">
      <w:bodyDiv w:val="1"/>
      <w:marLeft w:val="0"/>
      <w:marRight w:val="0"/>
      <w:marTop w:val="0"/>
      <w:marBottom w:val="0"/>
      <w:divBdr>
        <w:top w:val="none" w:sz="0" w:space="0" w:color="auto"/>
        <w:left w:val="none" w:sz="0" w:space="0" w:color="auto"/>
        <w:bottom w:val="none" w:sz="0" w:space="0" w:color="auto"/>
        <w:right w:val="none" w:sz="0" w:space="0" w:color="auto"/>
      </w:divBdr>
      <w:divsChild>
        <w:div w:id="1030642754">
          <w:marLeft w:val="0"/>
          <w:marRight w:val="1"/>
          <w:marTop w:val="0"/>
          <w:marBottom w:val="0"/>
          <w:divBdr>
            <w:top w:val="none" w:sz="0" w:space="0" w:color="auto"/>
            <w:left w:val="none" w:sz="0" w:space="0" w:color="auto"/>
            <w:bottom w:val="none" w:sz="0" w:space="0" w:color="auto"/>
            <w:right w:val="none" w:sz="0" w:space="0" w:color="auto"/>
          </w:divBdr>
          <w:divsChild>
            <w:div w:id="2093163914">
              <w:marLeft w:val="0"/>
              <w:marRight w:val="0"/>
              <w:marTop w:val="0"/>
              <w:marBottom w:val="0"/>
              <w:divBdr>
                <w:top w:val="none" w:sz="0" w:space="0" w:color="auto"/>
                <w:left w:val="none" w:sz="0" w:space="0" w:color="auto"/>
                <w:bottom w:val="none" w:sz="0" w:space="0" w:color="auto"/>
                <w:right w:val="none" w:sz="0" w:space="0" w:color="auto"/>
              </w:divBdr>
              <w:divsChild>
                <w:div w:id="33817777">
                  <w:marLeft w:val="0"/>
                  <w:marRight w:val="0"/>
                  <w:marTop w:val="0"/>
                  <w:marBottom w:val="0"/>
                  <w:divBdr>
                    <w:top w:val="none" w:sz="0" w:space="0" w:color="auto"/>
                    <w:left w:val="none" w:sz="0" w:space="0" w:color="auto"/>
                    <w:bottom w:val="none" w:sz="0" w:space="0" w:color="auto"/>
                    <w:right w:val="none" w:sz="0" w:space="0" w:color="auto"/>
                  </w:divBdr>
                  <w:divsChild>
                    <w:div w:id="46691032">
                      <w:marLeft w:val="0"/>
                      <w:marRight w:val="0"/>
                      <w:marTop w:val="0"/>
                      <w:marBottom w:val="0"/>
                      <w:divBdr>
                        <w:top w:val="none" w:sz="0" w:space="0" w:color="auto"/>
                        <w:left w:val="none" w:sz="0" w:space="0" w:color="auto"/>
                        <w:bottom w:val="none" w:sz="0" w:space="0" w:color="auto"/>
                        <w:right w:val="none" w:sz="0" w:space="0" w:color="auto"/>
                      </w:divBdr>
                      <w:divsChild>
                        <w:div w:id="1696229293">
                          <w:marLeft w:val="0"/>
                          <w:marRight w:val="0"/>
                          <w:marTop w:val="0"/>
                          <w:marBottom w:val="0"/>
                          <w:divBdr>
                            <w:top w:val="none" w:sz="0" w:space="0" w:color="auto"/>
                            <w:left w:val="none" w:sz="0" w:space="0" w:color="auto"/>
                            <w:bottom w:val="none" w:sz="0" w:space="0" w:color="auto"/>
                            <w:right w:val="none" w:sz="0" w:space="0" w:color="auto"/>
                          </w:divBdr>
                          <w:divsChild>
                            <w:div w:id="1016614533">
                              <w:marLeft w:val="0"/>
                              <w:marRight w:val="0"/>
                              <w:marTop w:val="0"/>
                              <w:marBottom w:val="0"/>
                              <w:divBdr>
                                <w:top w:val="none" w:sz="0" w:space="0" w:color="auto"/>
                                <w:left w:val="none" w:sz="0" w:space="0" w:color="auto"/>
                                <w:bottom w:val="none" w:sz="0" w:space="0" w:color="auto"/>
                                <w:right w:val="none" w:sz="0" w:space="0" w:color="auto"/>
                              </w:divBdr>
                              <w:divsChild>
                                <w:div w:id="1833914005">
                                  <w:marLeft w:val="0"/>
                                  <w:marRight w:val="0"/>
                                  <w:marTop w:val="185"/>
                                  <w:marBottom w:val="517"/>
                                  <w:divBdr>
                                    <w:top w:val="single" w:sz="36" w:space="6" w:color="97B0C8"/>
                                    <w:left w:val="none" w:sz="0" w:space="0" w:color="auto"/>
                                    <w:bottom w:val="none" w:sz="0" w:space="0" w:color="auto"/>
                                    <w:right w:val="none" w:sz="0" w:space="0" w:color="auto"/>
                                  </w:divBdr>
                                  <w:divsChild>
                                    <w:div w:id="1083338536">
                                      <w:marLeft w:val="0"/>
                                      <w:marRight w:val="0"/>
                                      <w:marTop w:val="0"/>
                                      <w:marBottom w:val="0"/>
                                      <w:divBdr>
                                        <w:top w:val="none" w:sz="0" w:space="0" w:color="auto"/>
                                        <w:left w:val="none" w:sz="0" w:space="0" w:color="auto"/>
                                        <w:bottom w:val="none" w:sz="0" w:space="0" w:color="auto"/>
                                        <w:right w:val="none" w:sz="0" w:space="0" w:color="auto"/>
                                      </w:divBdr>
                                      <w:divsChild>
                                        <w:div w:id="2127500825">
                                          <w:marLeft w:val="0"/>
                                          <w:marRight w:val="0"/>
                                          <w:marTop w:val="0"/>
                                          <w:marBottom w:val="0"/>
                                          <w:divBdr>
                                            <w:top w:val="none" w:sz="0" w:space="0" w:color="auto"/>
                                            <w:left w:val="none" w:sz="0" w:space="0" w:color="auto"/>
                                            <w:bottom w:val="none" w:sz="0" w:space="0" w:color="auto"/>
                                            <w:right w:val="none" w:sz="0" w:space="0" w:color="auto"/>
                                          </w:divBdr>
                                          <w:divsChild>
                                            <w:div w:id="2068255902">
                                              <w:marLeft w:val="0"/>
                                              <w:marRight w:val="0"/>
                                              <w:marTop w:val="0"/>
                                              <w:marBottom w:val="0"/>
                                              <w:divBdr>
                                                <w:top w:val="none" w:sz="0" w:space="0" w:color="auto"/>
                                                <w:left w:val="none" w:sz="0" w:space="0" w:color="auto"/>
                                                <w:bottom w:val="none" w:sz="0" w:space="0" w:color="auto"/>
                                                <w:right w:val="none" w:sz="0" w:space="0" w:color="auto"/>
                                              </w:divBdr>
                                              <w:divsChild>
                                                <w:div w:id="1745951422">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E796E-183A-44B7-8602-83C41BB4C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4997</Words>
  <Characters>28488</Characters>
  <Application>Microsoft Office Word</Application>
  <DocSecurity>0</DocSecurity>
  <Lines>237</Lines>
  <Paragraphs>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森本浩之</dc:creator>
  <cp:keywords/>
  <dc:description/>
  <cp:lastModifiedBy>LS Ma</cp:lastModifiedBy>
  <cp:revision>2</cp:revision>
  <cp:lastPrinted>2016-02-08T05:17:00Z</cp:lastPrinted>
  <dcterms:created xsi:type="dcterms:W3CDTF">2017-01-18T01:13:00Z</dcterms:created>
  <dcterms:modified xsi:type="dcterms:W3CDTF">2017-01-18T01:13:00Z</dcterms:modified>
</cp:coreProperties>
</file>